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182B5ECE" w:rsidR="00C40420" w:rsidRDefault="00DD466D" w:rsidP="004A448E">
      <w:pPr>
        <w:pStyle w:val="Heading1"/>
      </w:pPr>
      <w:r>
        <w:t>1.ИМЕ НА ЛЕКАРСТВЕНИЯ ПРОДУКТ</w:t>
      </w:r>
    </w:p>
    <w:p w14:paraId="52E0BBE8" w14:textId="1295A088" w:rsidR="00844B11" w:rsidRDefault="00844B11" w:rsidP="00844B11"/>
    <w:p w14:paraId="1FFC3C9E" w14:textId="77777777" w:rsidR="00844B11" w:rsidRPr="00844B11" w:rsidRDefault="00844B11" w:rsidP="00844B11">
      <w:pPr>
        <w:rPr>
          <w:sz w:val="24"/>
          <w:szCs w:val="24"/>
          <w:lang w:val="ru-RU"/>
        </w:rPr>
      </w:pPr>
      <w:r w:rsidRPr="00844B11">
        <w:rPr>
          <w:lang w:eastAsia="bg-BG"/>
        </w:rPr>
        <w:t xml:space="preserve">Атеростад 5 </w:t>
      </w:r>
      <w:r w:rsidRPr="00844B11">
        <w:rPr>
          <w:lang w:val="en-US"/>
        </w:rPr>
        <w:t>mg</w:t>
      </w:r>
      <w:r w:rsidRPr="00844B11">
        <w:rPr>
          <w:lang w:val="ru-RU"/>
        </w:rPr>
        <w:t xml:space="preserve"> </w:t>
      </w:r>
      <w:r w:rsidRPr="00844B11">
        <w:rPr>
          <w:lang w:eastAsia="bg-BG"/>
        </w:rPr>
        <w:t>филмирани таблетки</w:t>
      </w:r>
    </w:p>
    <w:p w14:paraId="2AAE4753" w14:textId="77777777" w:rsidR="00844B11" w:rsidRPr="00844B11" w:rsidRDefault="00844B11" w:rsidP="00844B11">
      <w:pPr>
        <w:rPr>
          <w:sz w:val="24"/>
          <w:szCs w:val="24"/>
          <w:lang w:val="ru-RU"/>
        </w:rPr>
      </w:pPr>
      <w:r w:rsidRPr="00844B11">
        <w:rPr>
          <w:lang w:eastAsia="bg-BG"/>
        </w:rPr>
        <w:t xml:space="preserve">Атеростад 10 </w:t>
      </w:r>
      <w:r w:rsidRPr="00844B11">
        <w:rPr>
          <w:lang w:val="en-US"/>
        </w:rPr>
        <w:t>mg</w:t>
      </w:r>
      <w:r w:rsidRPr="00844B11">
        <w:rPr>
          <w:lang w:val="ru-RU"/>
        </w:rPr>
        <w:t xml:space="preserve"> </w:t>
      </w:r>
      <w:r w:rsidRPr="00844B11">
        <w:rPr>
          <w:lang w:eastAsia="bg-BG"/>
        </w:rPr>
        <w:t>филмирани таблетки</w:t>
      </w:r>
    </w:p>
    <w:p w14:paraId="7AF31164" w14:textId="77777777" w:rsidR="00844B11" w:rsidRPr="00844B11" w:rsidRDefault="00844B11" w:rsidP="00844B11">
      <w:pPr>
        <w:rPr>
          <w:sz w:val="24"/>
          <w:szCs w:val="24"/>
          <w:lang w:val="ru-RU"/>
        </w:rPr>
      </w:pPr>
      <w:r w:rsidRPr="00844B11">
        <w:rPr>
          <w:lang w:eastAsia="bg-BG"/>
        </w:rPr>
        <w:t xml:space="preserve">Атеростад 20 </w:t>
      </w:r>
      <w:r w:rsidRPr="00844B11">
        <w:rPr>
          <w:lang w:val="en-US"/>
        </w:rPr>
        <w:t>mg</w:t>
      </w:r>
      <w:r w:rsidRPr="00844B11">
        <w:rPr>
          <w:lang w:val="ru-RU"/>
        </w:rPr>
        <w:t xml:space="preserve"> </w:t>
      </w:r>
      <w:r w:rsidRPr="00844B11">
        <w:rPr>
          <w:lang w:eastAsia="bg-BG"/>
        </w:rPr>
        <w:t>филмирани таблетки</w:t>
      </w:r>
    </w:p>
    <w:p w14:paraId="69E1010C" w14:textId="77777777" w:rsidR="00844B11" w:rsidRPr="00844B11" w:rsidRDefault="00844B11" w:rsidP="00844B11">
      <w:pPr>
        <w:rPr>
          <w:lang w:val="ru-RU"/>
        </w:rPr>
      </w:pPr>
    </w:p>
    <w:p w14:paraId="59EF2C27" w14:textId="5B5F1622" w:rsidR="00844B11" w:rsidRPr="00844B11" w:rsidRDefault="00844B11" w:rsidP="00844B11">
      <w:pPr>
        <w:rPr>
          <w:sz w:val="24"/>
          <w:szCs w:val="24"/>
          <w:lang w:val="ru-RU"/>
        </w:rPr>
      </w:pPr>
      <w:proofErr w:type="spellStart"/>
      <w:r w:rsidRPr="00844B11">
        <w:rPr>
          <w:lang w:val="en-US"/>
        </w:rPr>
        <w:t>Aterostad</w:t>
      </w:r>
      <w:proofErr w:type="spellEnd"/>
      <w:r w:rsidRPr="00844B11">
        <w:rPr>
          <w:lang w:val="ru-RU"/>
        </w:rPr>
        <w:t xml:space="preserve"> </w:t>
      </w:r>
      <w:r w:rsidRPr="00844B11">
        <w:rPr>
          <w:lang w:eastAsia="bg-BG"/>
        </w:rPr>
        <w:t xml:space="preserve">5 </w:t>
      </w:r>
      <w:r w:rsidRPr="00844B11">
        <w:rPr>
          <w:lang w:val="en-US"/>
        </w:rPr>
        <w:t>mg</w:t>
      </w:r>
      <w:r w:rsidRPr="00844B11">
        <w:rPr>
          <w:lang w:val="ru-RU"/>
        </w:rPr>
        <w:t xml:space="preserve"> </w:t>
      </w:r>
      <w:r w:rsidRPr="00844B11">
        <w:rPr>
          <w:lang w:val="en-US"/>
        </w:rPr>
        <w:t>film</w:t>
      </w:r>
      <w:r w:rsidRPr="00844B11">
        <w:rPr>
          <w:lang w:val="ru-RU"/>
        </w:rPr>
        <w:t>-</w:t>
      </w:r>
      <w:r w:rsidRPr="00844B11">
        <w:rPr>
          <w:lang w:val="en-US"/>
        </w:rPr>
        <w:t>coated</w:t>
      </w:r>
      <w:r w:rsidRPr="00844B11">
        <w:rPr>
          <w:lang w:val="ru-RU"/>
        </w:rPr>
        <w:t xml:space="preserve"> </w:t>
      </w:r>
      <w:r w:rsidRPr="00844B11">
        <w:rPr>
          <w:lang w:val="en-US"/>
        </w:rPr>
        <w:t>tablets</w:t>
      </w:r>
    </w:p>
    <w:p w14:paraId="477DB3B4" w14:textId="77777777" w:rsidR="00844B11" w:rsidRPr="00844B11" w:rsidRDefault="00844B11" w:rsidP="00844B11">
      <w:pPr>
        <w:rPr>
          <w:sz w:val="24"/>
          <w:szCs w:val="24"/>
          <w:lang w:val="en-US"/>
        </w:rPr>
      </w:pPr>
      <w:proofErr w:type="spellStart"/>
      <w:r w:rsidRPr="00844B11">
        <w:rPr>
          <w:lang w:val="en-US"/>
        </w:rPr>
        <w:t>Aterostad</w:t>
      </w:r>
      <w:proofErr w:type="spellEnd"/>
      <w:r w:rsidRPr="00844B11">
        <w:rPr>
          <w:lang w:val="en-US"/>
        </w:rPr>
        <w:t xml:space="preserve"> 10 mg film-coated tablets</w:t>
      </w:r>
    </w:p>
    <w:p w14:paraId="113C2E71" w14:textId="3C63CA92" w:rsidR="00844B11" w:rsidRPr="00844B11" w:rsidRDefault="00844B11" w:rsidP="00844B11">
      <w:proofErr w:type="spellStart"/>
      <w:r w:rsidRPr="00844B11">
        <w:rPr>
          <w:lang w:val="en-US"/>
        </w:rPr>
        <w:t>Aterostad</w:t>
      </w:r>
      <w:proofErr w:type="spellEnd"/>
      <w:r w:rsidRPr="00844B11">
        <w:rPr>
          <w:lang w:val="en-US"/>
        </w:rPr>
        <w:t xml:space="preserve"> 20 mg film-coated tablets</w:t>
      </w:r>
    </w:p>
    <w:p w14:paraId="6920A680" w14:textId="77F21C5F" w:rsidR="00C40420" w:rsidRDefault="00DD466D" w:rsidP="004A448E">
      <w:pPr>
        <w:pStyle w:val="Heading1"/>
      </w:pPr>
      <w:r>
        <w:t>2. КАЧЕСТВЕН И КОЛИЧЕСТВЕН СЪСТАВ</w:t>
      </w:r>
    </w:p>
    <w:p w14:paraId="1E3761C0" w14:textId="4DADB254" w:rsidR="00844B11" w:rsidRDefault="00844B11" w:rsidP="00844B11"/>
    <w:p w14:paraId="08DD3547" w14:textId="63B57952" w:rsidR="00844B11" w:rsidRPr="00844B11" w:rsidRDefault="00844B11" w:rsidP="00844B11">
      <w:pPr>
        <w:spacing w:line="240" w:lineRule="auto"/>
        <w:rPr>
          <w:rFonts w:eastAsia="Times New Roman" w:cs="Arial"/>
          <w:b/>
          <w:bCs/>
          <w:color w:val="000000"/>
          <w:szCs w:val="20"/>
          <w:lang w:val="ru-RU"/>
        </w:rPr>
      </w:pPr>
      <w:r w:rsidRPr="00844B11">
        <w:rPr>
          <w:rFonts w:eastAsia="Times New Roman" w:cs="Arial"/>
          <w:b/>
          <w:bCs/>
          <w:color w:val="000000"/>
          <w:szCs w:val="20"/>
        </w:rPr>
        <w:t xml:space="preserve">5 </w:t>
      </w:r>
      <w:r w:rsidRPr="00844B11">
        <w:rPr>
          <w:rFonts w:eastAsia="Times New Roman" w:cs="Arial"/>
          <w:b/>
          <w:bCs/>
          <w:color w:val="000000"/>
          <w:szCs w:val="20"/>
          <w:lang w:val="en-US"/>
        </w:rPr>
        <w:t>mg</w:t>
      </w:r>
      <w:r w:rsidRPr="00844B11">
        <w:rPr>
          <w:rFonts w:eastAsia="Times New Roman" w:cs="Arial"/>
          <w:b/>
          <w:bCs/>
          <w:color w:val="000000"/>
          <w:szCs w:val="20"/>
        </w:rPr>
        <w:t xml:space="preserve">: </w:t>
      </w:r>
      <w:r w:rsidRPr="00844B11">
        <w:rPr>
          <w:rFonts w:eastAsia="Times New Roman" w:cs="Arial"/>
          <w:color w:val="000000"/>
          <w:szCs w:val="20"/>
          <w:lang w:eastAsia="bg-BG"/>
        </w:rPr>
        <w:t xml:space="preserve">Всяка таблетка съдържа 5 </w:t>
      </w:r>
      <w:r w:rsidRPr="00844B11">
        <w:rPr>
          <w:rFonts w:eastAsia="Times New Roman" w:cs="Arial"/>
          <w:color w:val="000000"/>
          <w:szCs w:val="20"/>
          <w:lang w:val="en-US"/>
        </w:rPr>
        <w:t>mg</w:t>
      </w:r>
      <w:r w:rsidRPr="00844B11">
        <w:rPr>
          <w:rFonts w:eastAsia="Times New Roman" w:cs="Arial"/>
          <w:color w:val="000000"/>
          <w:szCs w:val="20"/>
        </w:rPr>
        <w:t xml:space="preserve"> </w:t>
      </w:r>
      <w:r w:rsidRPr="00844B11">
        <w:rPr>
          <w:rFonts w:eastAsia="Times New Roman" w:cs="Arial"/>
          <w:color w:val="000000"/>
          <w:szCs w:val="20"/>
          <w:lang w:eastAsia="bg-BG"/>
        </w:rPr>
        <w:t xml:space="preserve">розувастатин </w:t>
      </w:r>
      <w:r w:rsidRPr="00844B11">
        <w:rPr>
          <w:rFonts w:eastAsia="Times New Roman" w:cs="Arial"/>
          <w:i/>
          <w:iCs/>
          <w:color w:val="000000"/>
          <w:szCs w:val="20"/>
        </w:rPr>
        <w:t>(</w:t>
      </w:r>
      <w:proofErr w:type="spellStart"/>
      <w:r w:rsidRPr="00844B11">
        <w:rPr>
          <w:rFonts w:eastAsia="Times New Roman" w:cs="Arial"/>
          <w:i/>
          <w:iCs/>
          <w:color w:val="000000"/>
          <w:szCs w:val="20"/>
          <w:lang w:val="en-US"/>
        </w:rPr>
        <w:t>rosuvastatin</w:t>
      </w:r>
      <w:proofErr w:type="spellEnd"/>
      <w:r w:rsidRPr="00844B11">
        <w:rPr>
          <w:rFonts w:eastAsia="Times New Roman" w:cs="Arial"/>
          <w:i/>
          <w:iCs/>
          <w:color w:val="000000"/>
          <w:szCs w:val="20"/>
        </w:rPr>
        <w:t>)</w:t>
      </w:r>
      <w:r w:rsidRPr="00844B11">
        <w:rPr>
          <w:rFonts w:eastAsia="Times New Roman" w:cs="Arial"/>
          <w:color w:val="000000"/>
          <w:szCs w:val="20"/>
        </w:rPr>
        <w:t xml:space="preserve"> </w:t>
      </w:r>
      <w:r w:rsidRPr="00844B11">
        <w:rPr>
          <w:rFonts w:eastAsia="Times New Roman" w:cs="Arial"/>
          <w:color w:val="000000"/>
          <w:szCs w:val="20"/>
          <w:lang w:eastAsia="bg-BG"/>
        </w:rPr>
        <w:t xml:space="preserve">като розувастатин калций. Помощно вещество с известно действие: Всяка таблетка съдържа 41,10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лактоза монохидрат.</w:t>
      </w:r>
    </w:p>
    <w:p w14:paraId="006A6B7F" w14:textId="77777777" w:rsidR="00844B11" w:rsidRPr="00844B11" w:rsidRDefault="00844B11" w:rsidP="00844B11">
      <w:pPr>
        <w:spacing w:line="240" w:lineRule="auto"/>
        <w:rPr>
          <w:rFonts w:eastAsia="Times New Roman" w:cs="Arial"/>
          <w:b/>
          <w:bCs/>
          <w:color w:val="000000"/>
          <w:szCs w:val="20"/>
          <w:lang w:val="en-US"/>
        </w:rPr>
      </w:pPr>
    </w:p>
    <w:p w14:paraId="1DE4172A" w14:textId="724EDB29" w:rsidR="00844B11" w:rsidRPr="00844B11" w:rsidRDefault="00844B11" w:rsidP="00844B11">
      <w:pPr>
        <w:spacing w:line="240" w:lineRule="auto"/>
        <w:rPr>
          <w:rFonts w:eastAsia="Times New Roman" w:cs="Arial"/>
          <w:b/>
          <w:bCs/>
          <w:color w:val="000000"/>
          <w:szCs w:val="20"/>
          <w:lang w:val="ru-RU"/>
        </w:rPr>
      </w:pPr>
      <w:r w:rsidRPr="00844B11">
        <w:rPr>
          <w:rFonts w:eastAsia="Times New Roman" w:cs="Arial"/>
          <w:b/>
          <w:bCs/>
          <w:color w:val="000000"/>
          <w:szCs w:val="20"/>
        </w:rPr>
        <w:t xml:space="preserve">10 </w:t>
      </w:r>
      <w:r w:rsidRPr="00844B11">
        <w:rPr>
          <w:rFonts w:eastAsia="Times New Roman" w:cs="Arial"/>
          <w:b/>
          <w:bCs/>
          <w:color w:val="000000"/>
          <w:szCs w:val="20"/>
          <w:lang w:val="en-US"/>
        </w:rPr>
        <w:t>mg</w:t>
      </w:r>
      <w:r w:rsidRPr="00844B11">
        <w:rPr>
          <w:rFonts w:eastAsia="Times New Roman" w:cs="Arial"/>
          <w:b/>
          <w:bCs/>
          <w:color w:val="000000"/>
          <w:szCs w:val="20"/>
        </w:rPr>
        <w:t xml:space="preserve">: </w:t>
      </w:r>
      <w:r w:rsidRPr="00844B11">
        <w:rPr>
          <w:rFonts w:eastAsia="Times New Roman" w:cs="Arial"/>
          <w:color w:val="000000"/>
          <w:szCs w:val="20"/>
          <w:lang w:eastAsia="bg-BG"/>
        </w:rPr>
        <w:t xml:space="preserve">Всяка таблетка съдържа 10 </w:t>
      </w:r>
      <w:r w:rsidRPr="00844B11">
        <w:rPr>
          <w:rFonts w:eastAsia="Times New Roman" w:cs="Arial"/>
          <w:color w:val="000000"/>
          <w:szCs w:val="20"/>
          <w:lang w:val="en-US"/>
        </w:rPr>
        <w:t>mg</w:t>
      </w:r>
      <w:r w:rsidRPr="00844B11">
        <w:rPr>
          <w:rFonts w:eastAsia="Times New Roman" w:cs="Arial"/>
          <w:color w:val="000000"/>
          <w:szCs w:val="20"/>
        </w:rPr>
        <w:t xml:space="preserve"> </w:t>
      </w:r>
      <w:r w:rsidRPr="00844B11">
        <w:rPr>
          <w:rFonts w:eastAsia="Times New Roman" w:cs="Arial"/>
          <w:color w:val="000000"/>
          <w:szCs w:val="20"/>
          <w:lang w:eastAsia="bg-BG"/>
        </w:rPr>
        <w:t xml:space="preserve">розувастатин </w:t>
      </w:r>
      <w:r w:rsidRPr="00844B11">
        <w:rPr>
          <w:rFonts w:eastAsia="Times New Roman" w:cs="Arial"/>
          <w:i/>
          <w:iCs/>
          <w:color w:val="000000"/>
          <w:szCs w:val="20"/>
        </w:rPr>
        <w:t>(</w:t>
      </w:r>
      <w:proofErr w:type="spellStart"/>
      <w:r w:rsidRPr="00844B11">
        <w:rPr>
          <w:rFonts w:eastAsia="Times New Roman" w:cs="Arial"/>
          <w:i/>
          <w:iCs/>
          <w:color w:val="000000"/>
          <w:szCs w:val="20"/>
          <w:lang w:val="en-US"/>
        </w:rPr>
        <w:t>rosuvastatin</w:t>
      </w:r>
      <w:proofErr w:type="spellEnd"/>
      <w:r w:rsidRPr="00844B11">
        <w:rPr>
          <w:rFonts w:eastAsia="Times New Roman" w:cs="Arial"/>
          <w:i/>
          <w:iCs/>
          <w:color w:val="000000"/>
          <w:szCs w:val="20"/>
        </w:rPr>
        <w:t>)</w:t>
      </w:r>
      <w:r w:rsidRPr="00844B11">
        <w:rPr>
          <w:rFonts w:eastAsia="Times New Roman" w:cs="Arial"/>
          <w:color w:val="000000"/>
          <w:szCs w:val="20"/>
        </w:rPr>
        <w:t xml:space="preserve"> </w:t>
      </w:r>
      <w:r w:rsidRPr="00844B11">
        <w:rPr>
          <w:rFonts w:eastAsia="Times New Roman" w:cs="Arial"/>
          <w:color w:val="000000"/>
          <w:szCs w:val="20"/>
          <w:lang w:eastAsia="bg-BG"/>
        </w:rPr>
        <w:t>като розувастатин калций. Помощно вещество с известно действие: Всяка таблетка съдържа 82,</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21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лактоза монохидрат.</w:t>
      </w:r>
    </w:p>
    <w:p w14:paraId="38711614" w14:textId="77777777" w:rsidR="00844B11" w:rsidRPr="00844B11" w:rsidRDefault="00844B11" w:rsidP="00844B11">
      <w:pPr>
        <w:spacing w:line="240" w:lineRule="auto"/>
        <w:rPr>
          <w:rFonts w:eastAsia="Times New Roman" w:cs="Arial"/>
          <w:b/>
          <w:bCs/>
          <w:color w:val="000000"/>
          <w:szCs w:val="20"/>
          <w:lang w:val="en-US"/>
        </w:rPr>
      </w:pPr>
    </w:p>
    <w:p w14:paraId="52596A24" w14:textId="661458F9" w:rsidR="00844B11" w:rsidRPr="00844B11" w:rsidRDefault="00844B11" w:rsidP="00844B11">
      <w:pPr>
        <w:spacing w:line="240" w:lineRule="auto"/>
        <w:rPr>
          <w:rFonts w:eastAsia="Times New Roman" w:cs="Arial"/>
          <w:b/>
          <w:bCs/>
          <w:color w:val="000000"/>
          <w:szCs w:val="20"/>
          <w:lang w:val="ru-RU"/>
        </w:rPr>
      </w:pPr>
      <w:r w:rsidRPr="00844B11">
        <w:rPr>
          <w:rFonts w:eastAsia="Times New Roman" w:cs="Arial"/>
          <w:b/>
          <w:bCs/>
          <w:color w:val="000000"/>
          <w:szCs w:val="20"/>
        </w:rPr>
        <w:t xml:space="preserve">20 </w:t>
      </w:r>
      <w:r w:rsidRPr="00844B11">
        <w:rPr>
          <w:rFonts w:eastAsia="Times New Roman" w:cs="Arial"/>
          <w:b/>
          <w:bCs/>
          <w:color w:val="000000"/>
          <w:szCs w:val="20"/>
          <w:lang w:val="en-US"/>
        </w:rPr>
        <w:t xml:space="preserve">mg: </w:t>
      </w:r>
      <w:r w:rsidRPr="00844B11">
        <w:rPr>
          <w:rFonts w:eastAsia="Times New Roman" w:cs="Arial"/>
          <w:color w:val="000000"/>
          <w:szCs w:val="20"/>
          <w:lang w:eastAsia="bg-BG"/>
        </w:rPr>
        <w:t xml:space="preserve">Всяка таблетка съдържа 20 </w:t>
      </w:r>
      <w:r w:rsidRPr="00844B11">
        <w:rPr>
          <w:rFonts w:eastAsia="Times New Roman" w:cs="Arial"/>
          <w:color w:val="000000"/>
          <w:szCs w:val="20"/>
          <w:lang w:val="en-US"/>
        </w:rPr>
        <w:t xml:space="preserve">mg </w:t>
      </w:r>
      <w:r w:rsidRPr="00844B11">
        <w:rPr>
          <w:rFonts w:eastAsia="Times New Roman" w:cs="Arial"/>
          <w:color w:val="000000"/>
          <w:szCs w:val="20"/>
          <w:lang w:eastAsia="bg-BG"/>
        </w:rPr>
        <w:t xml:space="preserve">розувастатин </w:t>
      </w:r>
      <w:r w:rsidRPr="00844B11">
        <w:rPr>
          <w:rFonts w:eastAsia="Times New Roman" w:cs="Arial"/>
          <w:i/>
          <w:iCs/>
          <w:color w:val="000000"/>
          <w:szCs w:val="20"/>
          <w:lang w:val="en-US"/>
        </w:rPr>
        <w:t>(</w:t>
      </w:r>
      <w:proofErr w:type="spellStart"/>
      <w:r w:rsidRPr="00844B11">
        <w:rPr>
          <w:rFonts w:eastAsia="Times New Roman" w:cs="Arial"/>
          <w:i/>
          <w:iCs/>
          <w:color w:val="000000"/>
          <w:szCs w:val="20"/>
          <w:lang w:val="en-US"/>
        </w:rPr>
        <w:t>rosuvastatin</w:t>
      </w:r>
      <w:proofErr w:type="spellEnd"/>
      <w:r w:rsidRPr="00844B11">
        <w:rPr>
          <w:rFonts w:eastAsia="Times New Roman" w:cs="Arial"/>
          <w:i/>
          <w:iCs/>
          <w:color w:val="000000"/>
          <w:szCs w:val="20"/>
          <w:lang w:val="en-US"/>
        </w:rPr>
        <w:t>)</w:t>
      </w:r>
      <w:r w:rsidRPr="00844B11">
        <w:rPr>
          <w:rFonts w:eastAsia="Times New Roman" w:cs="Arial"/>
          <w:color w:val="000000"/>
          <w:szCs w:val="20"/>
          <w:lang w:val="en-US"/>
        </w:rPr>
        <w:t xml:space="preserve"> </w:t>
      </w:r>
      <w:r w:rsidRPr="00844B11">
        <w:rPr>
          <w:rFonts w:eastAsia="Times New Roman" w:cs="Arial"/>
          <w:color w:val="000000"/>
          <w:szCs w:val="20"/>
          <w:lang w:eastAsia="bg-BG"/>
        </w:rPr>
        <w:t xml:space="preserve">като розувастатин калций. Помощно вещество с известно действие: Всяка таблетка съдържа 164,40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лактоза монохидрат.</w:t>
      </w:r>
    </w:p>
    <w:p w14:paraId="1B9F2778" w14:textId="77777777" w:rsidR="00844B11" w:rsidRPr="00844B11" w:rsidRDefault="00844B11" w:rsidP="00844B11">
      <w:pPr>
        <w:rPr>
          <w:lang w:val="ru-RU"/>
        </w:rPr>
      </w:pPr>
    </w:p>
    <w:p w14:paraId="614984C4" w14:textId="71A97836" w:rsidR="008A6AF2" w:rsidRDefault="00DD466D" w:rsidP="002C50EE">
      <w:pPr>
        <w:pStyle w:val="Heading1"/>
      </w:pPr>
      <w:r>
        <w:t>3. ЛЕКАРСТВЕНА ФОРМА</w:t>
      </w:r>
    </w:p>
    <w:p w14:paraId="0D75A6C2" w14:textId="758B0CC2" w:rsidR="00844B11" w:rsidRDefault="00844B11" w:rsidP="00844B11"/>
    <w:p w14:paraId="11515B2A" w14:textId="77777777" w:rsidR="00844B11" w:rsidRPr="00844B11" w:rsidRDefault="00844B11" w:rsidP="00844B11">
      <w:pPr>
        <w:rPr>
          <w:sz w:val="24"/>
          <w:szCs w:val="24"/>
        </w:rPr>
      </w:pPr>
      <w:r w:rsidRPr="00844B11">
        <w:rPr>
          <w:lang w:eastAsia="bg-BG"/>
        </w:rPr>
        <w:t>Филмирана таблетка.</w:t>
      </w:r>
    </w:p>
    <w:p w14:paraId="79231F30" w14:textId="77777777" w:rsidR="00844B11" w:rsidRPr="00844B11" w:rsidRDefault="00844B11" w:rsidP="00844B11">
      <w:pPr>
        <w:rPr>
          <w:sz w:val="24"/>
          <w:szCs w:val="24"/>
        </w:rPr>
      </w:pPr>
      <w:r w:rsidRPr="00844B11">
        <w:rPr>
          <w:lang w:eastAsia="bg-BG"/>
        </w:rPr>
        <w:t xml:space="preserve">Атеростад 5 </w:t>
      </w:r>
      <w:r w:rsidRPr="00844B11">
        <w:rPr>
          <w:lang w:val="en-US"/>
        </w:rPr>
        <w:t>mg</w:t>
      </w:r>
      <w:r w:rsidRPr="00844B11">
        <w:rPr>
          <w:lang w:val="ru-RU"/>
        </w:rPr>
        <w:t xml:space="preserve"> </w:t>
      </w:r>
      <w:r w:rsidRPr="00844B11">
        <w:rPr>
          <w:lang w:eastAsia="bg-BG"/>
        </w:rPr>
        <w:t xml:space="preserve">са бели, кръгли, двойноизпъкнали, филмирани таблетки с диаметър 5 </w:t>
      </w:r>
      <w:r w:rsidRPr="00844B11">
        <w:rPr>
          <w:lang w:val="en-US"/>
        </w:rPr>
        <w:t>mm</w:t>
      </w:r>
      <w:r w:rsidRPr="00844B11">
        <w:rPr>
          <w:lang w:val="ru-RU"/>
        </w:rPr>
        <w:t>.</w:t>
      </w:r>
    </w:p>
    <w:p w14:paraId="39033F63" w14:textId="77777777" w:rsidR="00844B11" w:rsidRDefault="00844B11" w:rsidP="00844B11">
      <w:pPr>
        <w:rPr>
          <w:lang w:val="ru-RU"/>
        </w:rPr>
      </w:pPr>
      <w:r w:rsidRPr="00844B11">
        <w:rPr>
          <w:lang w:eastAsia="bg-BG"/>
        </w:rPr>
        <w:t xml:space="preserve">Атеростад 10 </w:t>
      </w:r>
      <w:r w:rsidRPr="00844B11">
        <w:rPr>
          <w:lang w:val="en-US"/>
        </w:rPr>
        <w:t>mg</w:t>
      </w:r>
      <w:r w:rsidRPr="00844B11">
        <w:rPr>
          <w:lang w:val="ru-RU"/>
        </w:rPr>
        <w:t xml:space="preserve"> </w:t>
      </w:r>
      <w:r w:rsidRPr="00844B11">
        <w:rPr>
          <w:lang w:eastAsia="bg-BG"/>
        </w:rPr>
        <w:t xml:space="preserve">са бели, кръгли, двойноизпъкнали, филмирани таблетки с диаметър 7 </w:t>
      </w:r>
      <w:r w:rsidRPr="00844B11">
        <w:rPr>
          <w:lang w:val="en-US"/>
        </w:rPr>
        <w:t>mm</w:t>
      </w:r>
      <w:r w:rsidRPr="00844B11">
        <w:rPr>
          <w:lang w:val="ru-RU"/>
        </w:rPr>
        <w:t xml:space="preserve">. </w:t>
      </w:r>
    </w:p>
    <w:p w14:paraId="727555BA" w14:textId="1CD88216" w:rsidR="00844B11" w:rsidRPr="00844B11" w:rsidRDefault="00844B11" w:rsidP="00844B11">
      <w:pPr>
        <w:rPr>
          <w:lang w:val="ru-RU"/>
        </w:rPr>
      </w:pPr>
      <w:r w:rsidRPr="00844B11">
        <w:rPr>
          <w:lang w:eastAsia="bg-BG"/>
        </w:rPr>
        <w:t xml:space="preserve">Атеростад 20 </w:t>
      </w:r>
      <w:r w:rsidRPr="00844B11">
        <w:rPr>
          <w:lang w:val="en-US"/>
        </w:rPr>
        <w:t>mg</w:t>
      </w:r>
      <w:r w:rsidRPr="00844B11">
        <w:rPr>
          <w:lang w:val="ru-RU"/>
        </w:rPr>
        <w:t xml:space="preserve"> </w:t>
      </w:r>
      <w:r w:rsidRPr="00844B11">
        <w:rPr>
          <w:lang w:eastAsia="bg-BG"/>
        </w:rPr>
        <w:t xml:space="preserve">са бели, кръгли, двойноизпъкнали, филмирани таблетки с диаметър 9 </w:t>
      </w:r>
      <w:r w:rsidRPr="00844B11">
        <w:rPr>
          <w:lang w:val="en-US"/>
        </w:rPr>
        <w:t>mm</w:t>
      </w:r>
      <w:r w:rsidRPr="00844B11">
        <w:rPr>
          <w:lang w:val="ru-RU"/>
        </w:rPr>
        <w:t>.</w:t>
      </w:r>
    </w:p>
    <w:p w14:paraId="490FC2C4" w14:textId="32682B15" w:rsidR="002C50EE" w:rsidRDefault="002C50EE" w:rsidP="002C50EE">
      <w:pPr>
        <w:pStyle w:val="Heading1"/>
      </w:pPr>
      <w:r>
        <w:t>4. КЛИНИЧНИ ДАННИ</w:t>
      </w:r>
    </w:p>
    <w:p w14:paraId="0C8E6903" w14:textId="4CA3980C" w:rsidR="008134C8" w:rsidRDefault="002C50EE" w:rsidP="004A448E">
      <w:pPr>
        <w:pStyle w:val="Heading2"/>
      </w:pPr>
      <w:r>
        <w:t>4.1. Терапевтични показания</w:t>
      </w:r>
    </w:p>
    <w:p w14:paraId="3B0CF175" w14:textId="7A97DAF6" w:rsidR="00844B11" w:rsidRDefault="00844B11" w:rsidP="00844B11"/>
    <w:p w14:paraId="46E22F4B" w14:textId="77777777" w:rsidR="00844B11" w:rsidRPr="00844B11" w:rsidRDefault="00844B11" w:rsidP="00844B11">
      <w:pPr>
        <w:pStyle w:val="Heading3"/>
        <w:rPr>
          <w:rFonts w:eastAsia="Times New Roman"/>
          <w:b/>
          <w:sz w:val="28"/>
        </w:rPr>
      </w:pPr>
      <w:bookmarkStart w:id="1" w:name="bookmark0"/>
      <w:r w:rsidRPr="00844B11">
        <w:rPr>
          <w:rFonts w:eastAsia="Times New Roman"/>
          <w:b/>
          <w:lang w:eastAsia="bg-BG"/>
        </w:rPr>
        <w:t>Лечение на хиперхолестеролемня</w:t>
      </w:r>
      <w:bookmarkEnd w:id="1"/>
    </w:p>
    <w:p w14:paraId="6E3D1E18" w14:textId="77777777" w:rsidR="00844B11" w:rsidRPr="00844B11" w:rsidRDefault="00844B11" w:rsidP="00844B11">
      <w:pPr>
        <w:spacing w:line="240" w:lineRule="auto"/>
        <w:rPr>
          <w:rFonts w:eastAsia="Times New Roman" w:cs="Arial"/>
          <w:sz w:val="28"/>
          <w:szCs w:val="24"/>
        </w:rPr>
      </w:pPr>
      <w:r w:rsidRPr="00844B11">
        <w:rPr>
          <w:rFonts w:eastAsia="Times New Roman" w:cs="Arial"/>
          <w:color w:val="000000"/>
          <w:szCs w:val="20"/>
          <w:lang w:eastAsia="bg-BG"/>
        </w:rPr>
        <w:t xml:space="preserve">Възрастни, юноши и деца на или над 6-годишна възраст с първична хиперхолестеролемня (тип Па включително хетерозиготна фамилна хиперхолестеролемня) или смесена дислипидемия (тип </w:t>
      </w:r>
      <w:proofErr w:type="spellStart"/>
      <w:r w:rsidRPr="00844B11">
        <w:rPr>
          <w:rFonts w:eastAsia="Times New Roman" w:cs="Arial"/>
          <w:color w:val="000000"/>
          <w:szCs w:val="20"/>
          <w:lang w:val="en-US"/>
        </w:rPr>
        <w:t>IIb</w:t>
      </w:r>
      <w:proofErr w:type="spellEnd"/>
      <w:r w:rsidRPr="00844B11">
        <w:rPr>
          <w:rFonts w:eastAsia="Times New Roman" w:cs="Arial"/>
          <w:color w:val="000000"/>
          <w:szCs w:val="20"/>
          <w:lang w:eastAsia="bg-BG"/>
        </w:rPr>
        <w:t xml:space="preserve">) като добавка към диетата, </w:t>
      </w:r>
      <w:r w:rsidRPr="00844B11">
        <w:rPr>
          <w:rFonts w:eastAsia="Times New Roman" w:cs="Arial"/>
          <w:color w:val="000000"/>
          <w:szCs w:val="20"/>
          <w:lang w:eastAsia="bg-BG"/>
        </w:rPr>
        <w:lastRenderedPageBreak/>
        <w:t>когато резултатът от диетата и други нефармакологични мерки (напр. физически упражнения, намаляване на теглото) не е задоволителен.</w:t>
      </w:r>
    </w:p>
    <w:p w14:paraId="6EB5DD53" w14:textId="77777777" w:rsidR="00844B11" w:rsidRPr="00844B11" w:rsidRDefault="00844B11" w:rsidP="00844B11">
      <w:pPr>
        <w:spacing w:line="240" w:lineRule="auto"/>
        <w:rPr>
          <w:rFonts w:eastAsia="Times New Roman" w:cs="Arial"/>
          <w:color w:val="000000"/>
          <w:szCs w:val="20"/>
          <w:lang w:eastAsia="bg-BG"/>
        </w:rPr>
      </w:pPr>
    </w:p>
    <w:p w14:paraId="39B8745B" w14:textId="51F8BD8D" w:rsidR="00844B11" w:rsidRPr="00844B11" w:rsidRDefault="00844B11" w:rsidP="00844B11">
      <w:pPr>
        <w:spacing w:line="240" w:lineRule="auto"/>
        <w:rPr>
          <w:rFonts w:eastAsia="Times New Roman" w:cs="Arial"/>
          <w:color w:val="000000"/>
          <w:szCs w:val="20"/>
          <w:lang w:eastAsia="bg-BG"/>
        </w:rPr>
      </w:pPr>
      <w:r w:rsidRPr="00844B11">
        <w:rPr>
          <w:rFonts w:eastAsia="Times New Roman" w:cs="Arial"/>
          <w:color w:val="000000"/>
          <w:szCs w:val="20"/>
          <w:lang w:eastAsia="bg-BG"/>
        </w:rPr>
        <w:t>Възрастни, юноши и деца на или над 6-годишна възраст с хомозиготна фамилна хиперхолестеролемня като добавка към диетата, както и с друго липидопонижаващо</w:t>
      </w:r>
      <w:r w:rsidRPr="00844B11">
        <w:rPr>
          <w:rFonts w:eastAsia="Times New Roman" w:cs="Arial"/>
          <w:color w:val="000000"/>
          <w:szCs w:val="20"/>
          <w:lang w:val="ru-RU"/>
        </w:rPr>
        <w:t xml:space="preserve"> </w:t>
      </w:r>
      <w:r w:rsidRPr="00844B11">
        <w:rPr>
          <w:rFonts w:eastAsia="Times New Roman" w:cs="Arial"/>
          <w:color w:val="000000"/>
          <w:szCs w:val="20"/>
          <w:u w:val="single"/>
          <w:lang w:eastAsia="bg-BG"/>
        </w:rPr>
        <w:t>лечени</w:t>
      </w:r>
      <w:r w:rsidRPr="00844B11">
        <w:rPr>
          <w:rFonts w:eastAsia="Times New Roman" w:cs="Arial"/>
          <w:color w:val="000000"/>
          <w:szCs w:val="20"/>
          <w:lang w:eastAsia="bg-BG"/>
        </w:rPr>
        <w:t xml:space="preserve">е (напр. </w:t>
      </w:r>
      <w:r w:rsidRPr="00844B11">
        <w:rPr>
          <w:rFonts w:eastAsia="Times New Roman" w:cs="Arial"/>
          <w:color w:val="000000"/>
          <w:szCs w:val="20"/>
          <w:lang w:val="en-US"/>
        </w:rPr>
        <w:t>LDL</w:t>
      </w:r>
      <w:r w:rsidRPr="00844B11">
        <w:rPr>
          <w:rFonts w:eastAsia="Times New Roman" w:cs="Arial"/>
          <w:color w:val="000000"/>
          <w:szCs w:val="20"/>
          <w:lang w:val="ru-RU"/>
        </w:rPr>
        <w:t xml:space="preserve"> </w:t>
      </w:r>
      <w:r w:rsidRPr="00844B11">
        <w:rPr>
          <w:rFonts w:eastAsia="Times New Roman" w:cs="Arial"/>
          <w:color w:val="000000"/>
          <w:szCs w:val="20"/>
          <w:lang w:eastAsia="bg-BG"/>
        </w:rPr>
        <w:t>афереза) или когато това лечение не е подходящо.</w:t>
      </w:r>
    </w:p>
    <w:p w14:paraId="4E8CA290" w14:textId="04454E13" w:rsidR="00844B11" w:rsidRPr="00844B11" w:rsidRDefault="00844B11" w:rsidP="00844B11">
      <w:pPr>
        <w:spacing w:line="240" w:lineRule="auto"/>
        <w:rPr>
          <w:rFonts w:eastAsia="Times New Roman" w:cs="Arial"/>
          <w:color w:val="000000"/>
          <w:szCs w:val="20"/>
          <w:lang w:eastAsia="bg-BG"/>
        </w:rPr>
      </w:pPr>
    </w:p>
    <w:p w14:paraId="390D7A1C" w14:textId="77777777" w:rsidR="00844B11" w:rsidRPr="00844B11" w:rsidRDefault="00844B11" w:rsidP="00844B11">
      <w:pPr>
        <w:pStyle w:val="Heading3"/>
        <w:rPr>
          <w:rFonts w:eastAsia="Times New Roman"/>
          <w:b/>
          <w:sz w:val="28"/>
        </w:rPr>
      </w:pPr>
      <w:r w:rsidRPr="00844B11">
        <w:rPr>
          <w:rFonts w:eastAsia="Times New Roman"/>
          <w:b/>
          <w:lang w:eastAsia="bg-BG"/>
        </w:rPr>
        <w:t>Превенция на сърдечно-съдови събития</w:t>
      </w:r>
    </w:p>
    <w:p w14:paraId="71D0E79F" w14:textId="54010B37" w:rsidR="00844B11" w:rsidRPr="00844B11" w:rsidRDefault="00844B11" w:rsidP="00844B11">
      <w:pPr>
        <w:spacing w:line="240" w:lineRule="auto"/>
        <w:rPr>
          <w:rFonts w:ascii="Times New Roman" w:eastAsia="Times New Roman" w:hAnsi="Times New Roman" w:cs="Times New Roman"/>
          <w:sz w:val="24"/>
          <w:szCs w:val="24"/>
        </w:rPr>
      </w:pPr>
      <w:r w:rsidRPr="00844B11">
        <w:rPr>
          <w:rFonts w:eastAsia="Times New Roman" w:cs="Arial"/>
          <w:color w:val="000000"/>
          <w:szCs w:val="20"/>
          <w:lang w:eastAsia="bg-BG"/>
        </w:rPr>
        <w:t>Предотвратяване на големи сърдечно-съдови събития при пациенти, оценени с висок риск за първо сърдечно-съдово събитие (вж. точка 5.1), като допълнение към коригирането на други рискови фактори.</w:t>
      </w:r>
    </w:p>
    <w:p w14:paraId="2EB7F7D2" w14:textId="77777777" w:rsidR="00844B11" w:rsidRPr="00844B11" w:rsidRDefault="00844B11" w:rsidP="00844B11"/>
    <w:p w14:paraId="30BE2C7B" w14:textId="47181266" w:rsidR="008134C8" w:rsidRDefault="002C50EE" w:rsidP="004A448E">
      <w:pPr>
        <w:pStyle w:val="Heading2"/>
      </w:pPr>
      <w:r>
        <w:t>4.2. Дозировка и начин на приложение</w:t>
      </w:r>
    </w:p>
    <w:p w14:paraId="0186AF98" w14:textId="270B1A36" w:rsidR="00844B11" w:rsidRDefault="00844B11" w:rsidP="00844B11"/>
    <w:p w14:paraId="03EC4EBA"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Преди започване на терапията, пациентът трябва да бъде поставен на стандартна диета за понижаване нивото на холестерола, която да продължи и по време на лечението. Изборът на дозировка се определя от индивидуалните терапевтични цели, които се определят от препоръките на съвременните консенсусни ръководства за контрол на холестеролемията.</w:t>
      </w:r>
    </w:p>
    <w:p w14:paraId="3D7589CE" w14:textId="77777777" w:rsidR="00844B11" w:rsidRPr="00844B11" w:rsidRDefault="00844B11" w:rsidP="00844B11">
      <w:pPr>
        <w:spacing w:line="240" w:lineRule="auto"/>
        <w:rPr>
          <w:rFonts w:eastAsia="Times New Roman" w:cs="Arial"/>
          <w:color w:val="000000"/>
          <w:lang w:eastAsia="bg-BG"/>
        </w:rPr>
      </w:pPr>
    </w:p>
    <w:p w14:paraId="1B94F50A" w14:textId="1D5ABF9C" w:rsidR="00844B11" w:rsidRPr="00844B11" w:rsidRDefault="00844B11" w:rsidP="00844B11">
      <w:pPr>
        <w:spacing w:line="240" w:lineRule="auto"/>
        <w:rPr>
          <w:rFonts w:eastAsia="Times New Roman" w:cs="Arial"/>
        </w:rPr>
      </w:pPr>
      <w:r w:rsidRPr="00844B11">
        <w:rPr>
          <w:rFonts w:eastAsia="Times New Roman" w:cs="Arial"/>
          <w:color w:val="000000"/>
          <w:lang w:eastAsia="bg-BG"/>
        </w:rPr>
        <w:t>Атеростад може да се приема по всяко време на деня, със или без храна.</w:t>
      </w:r>
    </w:p>
    <w:p w14:paraId="1DD206C7" w14:textId="77777777" w:rsidR="00844B11" w:rsidRPr="00844B11" w:rsidRDefault="00844B11" w:rsidP="00844B11">
      <w:pPr>
        <w:spacing w:line="240" w:lineRule="auto"/>
        <w:rPr>
          <w:rFonts w:eastAsia="Times New Roman" w:cs="Arial"/>
          <w:b/>
          <w:bCs/>
          <w:color w:val="000000"/>
          <w:lang w:eastAsia="bg-BG"/>
        </w:rPr>
      </w:pPr>
    </w:p>
    <w:p w14:paraId="3C892E57" w14:textId="064B9CFB" w:rsidR="00844B11" w:rsidRPr="00844B11" w:rsidRDefault="00844B11" w:rsidP="00844B11">
      <w:pPr>
        <w:pStyle w:val="Heading3"/>
        <w:rPr>
          <w:rFonts w:eastAsia="Times New Roman"/>
          <w:b/>
        </w:rPr>
      </w:pPr>
      <w:r w:rsidRPr="00844B11">
        <w:rPr>
          <w:rFonts w:eastAsia="Times New Roman"/>
          <w:b/>
          <w:lang w:eastAsia="bg-BG"/>
        </w:rPr>
        <w:t>Лечение на хиперхолестеролемня</w:t>
      </w:r>
    </w:p>
    <w:p w14:paraId="75C391CD"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Препоръчителната начална доза е 5 или 10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веднъж дневно, както при пациенти, приемали статини, така и при преминаване от друг инхибитор на </w:t>
      </w:r>
      <w:r w:rsidRPr="00844B11">
        <w:rPr>
          <w:rFonts w:eastAsia="Times New Roman" w:cs="Arial"/>
          <w:color w:val="000000"/>
          <w:lang w:val="en-US"/>
        </w:rPr>
        <w:t>HMG</w:t>
      </w:r>
      <w:r w:rsidRPr="00844B11">
        <w:rPr>
          <w:rFonts w:eastAsia="Times New Roman" w:cs="Arial"/>
          <w:color w:val="000000"/>
          <w:lang w:val="ru-RU"/>
        </w:rPr>
        <w:t>-</w:t>
      </w:r>
      <w:r w:rsidRPr="00844B11">
        <w:rPr>
          <w:rFonts w:eastAsia="Times New Roman" w:cs="Arial"/>
          <w:color w:val="000000"/>
          <w:lang w:val="en-US"/>
        </w:rPr>
        <w:t>CoA</w:t>
      </w:r>
      <w:r w:rsidRPr="00844B11">
        <w:rPr>
          <w:rFonts w:eastAsia="Times New Roman" w:cs="Arial"/>
          <w:color w:val="000000"/>
          <w:lang w:val="ru-RU"/>
        </w:rPr>
        <w:t xml:space="preserve"> </w:t>
      </w:r>
      <w:r w:rsidRPr="00844B11">
        <w:rPr>
          <w:rFonts w:eastAsia="Times New Roman" w:cs="Arial"/>
          <w:color w:val="000000"/>
          <w:lang w:eastAsia="bg-BG"/>
        </w:rPr>
        <w:t xml:space="preserve">редуктазата. Изборът на началната доза от медикамента зависи от нивото на серумния холестерол и евентуален сърдечно-съдов риск или риск от поява на нежелани реакции към лечението (виж по-долу). При необходимост, дозата може да се коригира, като се премине на следващото дозово ниво след 4 седмици (вж. точка 5.1). В сравнение с по-ниските дози и предвид повишената честота на съобщаване на нежелани реакции при доза от 40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в сравнение с по-ниските дози (вж. точка 4.8), последно титриране до максималната доза от 40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трябва да се предприема само при пациенти с тежка хиперхолестеролемня с висок сърдечно-съдов риск (особено тези с фамилна хиперхолестеролемня), които не достигат желаното ниво на холестерол при лечение с 20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и при които ще се прави рутинно проследяване в хода на лечението (вж. точка 4.4). При започване на лечение с 40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се препоръчва постоянно наблюдение на пациента от специалист.</w:t>
      </w:r>
    </w:p>
    <w:p w14:paraId="35DD267C" w14:textId="77777777" w:rsidR="00844B11" w:rsidRPr="00844B11" w:rsidRDefault="00844B11" w:rsidP="00844B11">
      <w:pPr>
        <w:spacing w:line="240" w:lineRule="auto"/>
        <w:rPr>
          <w:rFonts w:eastAsia="Times New Roman" w:cs="Arial"/>
          <w:b/>
          <w:bCs/>
          <w:color w:val="000000"/>
          <w:lang w:eastAsia="bg-BG"/>
        </w:rPr>
      </w:pPr>
      <w:bookmarkStart w:id="2" w:name="bookmark2"/>
    </w:p>
    <w:p w14:paraId="6ABD4946" w14:textId="61347E46" w:rsidR="00844B11" w:rsidRPr="00844B11" w:rsidRDefault="00844B11" w:rsidP="00844B11">
      <w:pPr>
        <w:pStyle w:val="Heading3"/>
        <w:rPr>
          <w:rFonts w:eastAsia="Times New Roman"/>
          <w:b/>
        </w:rPr>
      </w:pPr>
      <w:r w:rsidRPr="00844B11">
        <w:rPr>
          <w:rFonts w:eastAsia="Times New Roman"/>
          <w:b/>
          <w:lang w:eastAsia="bg-BG"/>
        </w:rPr>
        <w:t>Превенция на сърдечно-сьдовн събития</w:t>
      </w:r>
      <w:bookmarkEnd w:id="2"/>
    </w:p>
    <w:p w14:paraId="7AB10088"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В проучването за понижаване на риска от сърдечно-съдови събития е използвана доза от 20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(вж. точка 5.1).</w:t>
      </w:r>
    </w:p>
    <w:p w14:paraId="0A5C599B" w14:textId="77777777" w:rsidR="00844B11" w:rsidRPr="00844B11" w:rsidRDefault="00844B11" w:rsidP="00844B11">
      <w:pPr>
        <w:spacing w:line="240" w:lineRule="auto"/>
        <w:rPr>
          <w:rFonts w:eastAsia="Times New Roman" w:cs="Arial"/>
          <w:b/>
          <w:bCs/>
          <w:color w:val="000000"/>
          <w:lang w:eastAsia="bg-BG"/>
        </w:rPr>
      </w:pPr>
      <w:bookmarkStart w:id="3" w:name="bookmark4"/>
    </w:p>
    <w:p w14:paraId="736E5624" w14:textId="001A41D6" w:rsidR="00844B11" w:rsidRPr="00844B11" w:rsidRDefault="00844B11" w:rsidP="00844B11">
      <w:pPr>
        <w:pStyle w:val="Heading3"/>
        <w:rPr>
          <w:rFonts w:eastAsia="Times New Roman"/>
          <w:b/>
        </w:rPr>
      </w:pPr>
      <w:r w:rsidRPr="00844B11">
        <w:rPr>
          <w:rFonts w:eastAsia="Times New Roman"/>
          <w:b/>
          <w:lang w:eastAsia="bg-BG"/>
        </w:rPr>
        <w:t>Педиатрична популация</w:t>
      </w:r>
      <w:bookmarkEnd w:id="3"/>
    </w:p>
    <w:p w14:paraId="6AEBA347"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Употребата при деца трябва да се провежда само от специалисти.</w:t>
      </w:r>
    </w:p>
    <w:p w14:paraId="03077FCC" w14:textId="77777777" w:rsidR="00844B11" w:rsidRPr="00844B11" w:rsidRDefault="00844B11" w:rsidP="00844B11">
      <w:pPr>
        <w:spacing w:line="240" w:lineRule="auto"/>
        <w:rPr>
          <w:rFonts w:eastAsia="Times New Roman" w:cs="Arial"/>
          <w:color w:val="000000"/>
          <w:u w:val="single"/>
          <w:lang w:eastAsia="bg-BG"/>
        </w:rPr>
      </w:pPr>
    </w:p>
    <w:p w14:paraId="6CE3D2E7" w14:textId="13E63EE4" w:rsidR="00844B11" w:rsidRPr="00844B11" w:rsidRDefault="00844B11" w:rsidP="00844B11">
      <w:pPr>
        <w:spacing w:line="240" w:lineRule="auto"/>
        <w:rPr>
          <w:rFonts w:eastAsia="Times New Roman" w:cs="Arial"/>
        </w:rPr>
      </w:pPr>
      <w:r w:rsidRPr="00844B11">
        <w:rPr>
          <w:rFonts w:eastAsia="Times New Roman" w:cs="Arial"/>
          <w:color w:val="000000"/>
          <w:u w:val="single"/>
          <w:lang w:eastAsia="bg-BG"/>
        </w:rPr>
        <w:t>Деца и юноши на възраст 6 до 17 години (стадий &lt;</w:t>
      </w:r>
      <w:r w:rsidRPr="00844B11">
        <w:rPr>
          <w:rFonts w:eastAsia="Times New Roman" w:cs="Arial"/>
          <w:color w:val="000000"/>
          <w:u w:val="single"/>
          <w:lang w:val="en-US"/>
        </w:rPr>
        <w:t>II</w:t>
      </w:r>
      <w:r w:rsidRPr="00844B11">
        <w:rPr>
          <w:rFonts w:eastAsia="Times New Roman" w:cs="Arial"/>
          <w:color w:val="000000"/>
          <w:u w:val="single"/>
          <w:lang w:eastAsia="bg-BG"/>
        </w:rPr>
        <w:t xml:space="preserve"> -V по Танер) </w:t>
      </w:r>
      <w:r w:rsidRPr="00844B11">
        <w:rPr>
          <w:rFonts w:eastAsia="Times New Roman" w:cs="Arial"/>
          <w:color w:val="000000"/>
          <w:lang w:eastAsia="bg-BG"/>
        </w:rPr>
        <w:t>Хетерозиготна фамилна хиперхолестеролемня</w:t>
      </w:r>
    </w:p>
    <w:p w14:paraId="7B1EC859"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При деца и юноши с хетерозиготна фамилна хиперхолестеролемня обичайната начална доза е 5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дневно.</w:t>
      </w:r>
    </w:p>
    <w:p w14:paraId="04FA324C" w14:textId="77777777" w:rsidR="00844B11" w:rsidRPr="00844B11" w:rsidRDefault="00844B11" w:rsidP="00844B11">
      <w:pPr>
        <w:pStyle w:val="ListParagraph"/>
        <w:numPr>
          <w:ilvl w:val="0"/>
          <w:numId w:val="37"/>
        </w:numPr>
        <w:spacing w:line="240" w:lineRule="auto"/>
        <w:rPr>
          <w:rFonts w:eastAsia="Times New Roman" w:cs="Arial"/>
        </w:rPr>
      </w:pPr>
      <w:r w:rsidRPr="00844B11">
        <w:rPr>
          <w:rFonts w:eastAsia="Times New Roman" w:cs="Arial"/>
          <w:color w:val="000000"/>
          <w:lang w:eastAsia="bg-BG"/>
        </w:rPr>
        <w:lastRenderedPageBreak/>
        <w:t xml:space="preserve">При деца на възраст 6 до 9 години с хетерозиготна фамилна хиперхолестеролемия обичайният дозов диапазон е 5-10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перорално веднъж дневно. Безопасността и ефикасността на дози по-високи от 10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не са проучвани при тази популация.</w:t>
      </w:r>
    </w:p>
    <w:p w14:paraId="77FC2E84" w14:textId="7F308F66" w:rsidR="00844B11" w:rsidRPr="00844B11" w:rsidRDefault="00844B11" w:rsidP="00844B11">
      <w:pPr>
        <w:pStyle w:val="ListParagraph"/>
        <w:numPr>
          <w:ilvl w:val="0"/>
          <w:numId w:val="37"/>
        </w:numPr>
        <w:spacing w:line="240" w:lineRule="auto"/>
        <w:rPr>
          <w:rFonts w:eastAsia="Times New Roman" w:cs="Arial"/>
        </w:rPr>
      </w:pPr>
      <w:r w:rsidRPr="00844B11">
        <w:rPr>
          <w:rFonts w:eastAsia="Times New Roman" w:cs="Arial"/>
          <w:color w:val="000000"/>
          <w:lang w:eastAsia="bg-BG"/>
        </w:rPr>
        <w:t xml:space="preserve">При деца на възраст 10 до 17 години с хетерозиготна фамилна хиперхолестеролемия обичайният дозов диапазон е 5-20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перорално веднъж дневно. Безопасността и ефикасността на дози по-високи от 20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не са проучвани при тази популация.</w:t>
      </w:r>
    </w:p>
    <w:p w14:paraId="717952F9" w14:textId="77777777" w:rsidR="00844B11" w:rsidRPr="00844B11" w:rsidRDefault="00844B11" w:rsidP="00844B11">
      <w:pPr>
        <w:spacing w:line="240" w:lineRule="auto"/>
        <w:rPr>
          <w:rFonts w:eastAsia="Times New Roman" w:cs="Arial"/>
          <w:color w:val="000000"/>
          <w:lang w:eastAsia="bg-BG"/>
        </w:rPr>
      </w:pPr>
    </w:p>
    <w:p w14:paraId="20916FFF" w14:textId="0D683301" w:rsidR="00844B11" w:rsidRPr="00844B11" w:rsidRDefault="00844B11" w:rsidP="00844B11">
      <w:pPr>
        <w:spacing w:line="240" w:lineRule="auto"/>
        <w:rPr>
          <w:rFonts w:eastAsia="Times New Roman" w:cs="Arial"/>
        </w:rPr>
      </w:pPr>
      <w:r w:rsidRPr="00844B11">
        <w:rPr>
          <w:rFonts w:eastAsia="Times New Roman" w:cs="Arial"/>
          <w:color w:val="000000"/>
          <w:lang w:eastAsia="bg-BG"/>
        </w:rPr>
        <w:t>Титрирането трябва да се провежда съгласно индивидуалния отговор и поносимост на педиатричните пациенти, както се препоръчва в препоръките за лечение на деца (вж. точка 4.4). Децата и юношите трябва да се подложат на стандартна холестероло-понижаваща диета преди да се започне лечение с розувастатин; диетата трябва да се продължи по време на лечението с розувастатин.</w:t>
      </w:r>
    </w:p>
    <w:p w14:paraId="4D26CAFC" w14:textId="77777777" w:rsidR="00844B11" w:rsidRPr="00844B11" w:rsidRDefault="00844B11" w:rsidP="00844B11">
      <w:pPr>
        <w:spacing w:line="240" w:lineRule="auto"/>
        <w:rPr>
          <w:rFonts w:eastAsia="Times New Roman" w:cs="Arial"/>
          <w:color w:val="000000"/>
          <w:lang w:eastAsia="bg-BG"/>
        </w:rPr>
      </w:pPr>
    </w:p>
    <w:p w14:paraId="06824ECD" w14:textId="567121B4" w:rsidR="00844B11" w:rsidRPr="00844B11" w:rsidRDefault="00844B11" w:rsidP="00844B11">
      <w:pPr>
        <w:spacing w:line="240" w:lineRule="auto"/>
        <w:rPr>
          <w:rFonts w:eastAsia="Times New Roman" w:cs="Arial"/>
        </w:rPr>
      </w:pPr>
      <w:r w:rsidRPr="00844B11">
        <w:rPr>
          <w:rFonts w:eastAsia="Times New Roman" w:cs="Arial"/>
          <w:color w:val="000000"/>
          <w:lang w:eastAsia="bg-BG"/>
        </w:rPr>
        <w:t>Хомозиготна фамилна хиперхолестеролемия</w:t>
      </w:r>
    </w:p>
    <w:p w14:paraId="6FF941BD" w14:textId="64460228" w:rsidR="00844B11" w:rsidRPr="00844B11" w:rsidRDefault="00844B11" w:rsidP="00844B11">
      <w:pPr>
        <w:rPr>
          <w:rFonts w:eastAsia="Times New Roman" w:cs="Arial"/>
          <w:color w:val="000000"/>
          <w:lang w:eastAsia="bg-BG"/>
        </w:rPr>
      </w:pPr>
      <w:r w:rsidRPr="00844B11">
        <w:rPr>
          <w:rFonts w:eastAsia="Times New Roman" w:cs="Arial"/>
          <w:color w:val="000000"/>
          <w:lang w:eastAsia="bg-BG"/>
        </w:rPr>
        <w:t xml:space="preserve">При деца на възраст 6 до 17 години с хомозиготна фамилна хиперхолестеролемия максималната препоръчителна доза е 20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веднъж дневно.</w:t>
      </w:r>
    </w:p>
    <w:p w14:paraId="6CCDA5D9" w14:textId="28607690" w:rsidR="00844B11" w:rsidRPr="00844B11" w:rsidRDefault="00844B11" w:rsidP="00844B11">
      <w:pPr>
        <w:rPr>
          <w:rFonts w:eastAsia="Times New Roman" w:cs="Arial"/>
          <w:color w:val="000000"/>
          <w:lang w:eastAsia="bg-BG"/>
        </w:rPr>
      </w:pPr>
    </w:p>
    <w:p w14:paraId="130801C8"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Препоръчва се начална доза от 5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до 10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веднъж дневно, в зависимост от възрастта, телесното тегло и предишен прием на статин. Постепенно повишаване на дозата до 20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веднъж дневно трябва да се провежда съгласно индивидуалния отговор и поносимост на педиатричните пациенти, както се препоръчва в препоръките за лечение на деца (вж. точка 4.4). Децата и юношите трябва да се подложат на стандартна холестероло-понижаваща диета преди да се започне лечение с розувастатин; диетата трябва да се продължи по време на лечението с розувастатин.</w:t>
      </w:r>
    </w:p>
    <w:p w14:paraId="52E22584" w14:textId="77777777" w:rsidR="00844B11" w:rsidRPr="00844B11" w:rsidRDefault="00844B11" w:rsidP="00844B11">
      <w:pPr>
        <w:spacing w:line="240" w:lineRule="auto"/>
        <w:rPr>
          <w:rFonts w:eastAsia="Times New Roman" w:cs="Arial"/>
          <w:color w:val="000000"/>
          <w:lang w:eastAsia="bg-BG"/>
        </w:rPr>
      </w:pPr>
    </w:p>
    <w:p w14:paraId="35392083" w14:textId="7F7BFE92"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Има ограничен опит с дози различни от 20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при тази популация.</w:t>
      </w:r>
    </w:p>
    <w:p w14:paraId="6BA106AC"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Таблетката от 40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не е подходяща за употреба при педиатрични пациенти.</w:t>
      </w:r>
    </w:p>
    <w:p w14:paraId="754C9F11" w14:textId="77777777" w:rsidR="00844B11" w:rsidRPr="00844B11" w:rsidRDefault="00844B11" w:rsidP="00844B11">
      <w:pPr>
        <w:spacing w:line="240" w:lineRule="auto"/>
        <w:rPr>
          <w:rFonts w:eastAsia="Times New Roman" w:cs="Arial"/>
          <w:color w:val="000000"/>
          <w:u w:val="single"/>
          <w:lang w:eastAsia="bg-BG"/>
        </w:rPr>
      </w:pPr>
    </w:p>
    <w:p w14:paraId="1B89E075" w14:textId="48C62A2B" w:rsidR="00844B11" w:rsidRPr="00844B11" w:rsidRDefault="00844B11" w:rsidP="00844B11">
      <w:pPr>
        <w:spacing w:line="240" w:lineRule="auto"/>
        <w:rPr>
          <w:rFonts w:eastAsia="Times New Roman" w:cs="Arial"/>
        </w:rPr>
      </w:pPr>
      <w:r w:rsidRPr="00844B11">
        <w:rPr>
          <w:rFonts w:eastAsia="Times New Roman" w:cs="Arial"/>
          <w:color w:val="000000"/>
          <w:u w:val="single"/>
          <w:lang w:eastAsia="bg-BG"/>
        </w:rPr>
        <w:t>Деца по-малки от 6 години</w:t>
      </w:r>
    </w:p>
    <w:p w14:paraId="1374B89B"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Безопасността и ефикасността на употребата при деца по-малки от 6 години не са проучвани. Следователно, Атеростад не се препоръчва за употреба при деца по-малки от 6 години.</w:t>
      </w:r>
    </w:p>
    <w:p w14:paraId="070CF0E8" w14:textId="77777777" w:rsidR="00844B11" w:rsidRPr="00844B11" w:rsidRDefault="00844B11" w:rsidP="00844B11">
      <w:pPr>
        <w:spacing w:line="240" w:lineRule="auto"/>
        <w:rPr>
          <w:rFonts w:eastAsia="Times New Roman" w:cs="Arial"/>
          <w:b/>
          <w:bCs/>
          <w:color w:val="000000"/>
          <w:lang w:eastAsia="bg-BG"/>
        </w:rPr>
      </w:pPr>
    </w:p>
    <w:p w14:paraId="7FDACC73" w14:textId="177F3B26" w:rsidR="00844B11" w:rsidRPr="00844B11" w:rsidRDefault="00844B11" w:rsidP="00844B11">
      <w:pPr>
        <w:pStyle w:val="Heading3"/>
        <w:rPr>
          <w:rFonts w:eastAsia="Times New Roman"/>
          <w:b/>
        </w:rPr>
      </w:pPr>
      <w:r w:rsidRPr="00844B11">
        <w:rPr>
          <w:rFonts w:eastAsia="Times New Roman"/>
          <w:b/>
          <w:lang w:eastAsia="bg-BG"/>
        </w:rPr>
        <w:t>Употреба при пациенти в старческа възраст</w:t>
      </w:r>
    </w:p>
    <w:p w14:paraId="07E2562F"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Препоръчваната първоначална доза при пациенти над 70-годишна възраст е 5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(вж. точка 4.4). Друго коригиране на дозировката в зависимост от възрастта не е необходимо.</w:t>
      </w:r>
    </w:p>
    <w:p w14:paraId="2E6A63A4" w14:textId="77777777" w:rsidR="00844B11" w:rsidRPr="00844B11" w:rsidRDefault="00844B11" w:rsidP="00844B11">
      <w:pPr>
        <w:spacing w:line="240" w:lineRule="auto"/>
        <w:rPr>
          <w:rFonts w:eastAsia="Times New Roman" w:cs="Arial"/>
          <w:b/>
          <w:bCs/>
          <w:color w:val="000000"/>
          <w:lang w:eastAsia="bg-BG"/>
        </w:rPr>
      </w:pPr>
    </w:p>
    <w:p w14:paraId="11110D0A" w14:textId="1682AE6E" w:rsidR="00844B11" w:rsidRPr="00844B11" w:rsidRDefault="00844B11" w:rsidP="00844B11">
      <w:pPr>
        <w:pStyle w:val="Heading3"/>
        <w:rPr>
          <w:rFonts w:eastAsia="Times New Roman"/>
          <w:b/>
        </w:rPr>
      </w:pPr>
      <w:r w:rsidRPr="00844B11">
        <w:rPr>
          <w:rFonts w:eastAsia="Times New Roman"/>
          <w:b/>
          <w:lang w:eastAsia="bg-BG"/>
        </w:rPr>
        <w:t>Дозиране при пациенти с бъбречна недостатъчност</w:t>
      </w:r>
    </w:p>
    <w:p w14:paraId="562DE271"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При пациенти с леко до умерено бъбречно увреждане се прилагат обичайните дози. При пациенти с умерено бъбречно увреждане препоръчваната първоначална доза е 5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(креатининов клирънс под 60 </w:t>
      </w:r>
      <w:r w:rsidRPr="00844B11">
        <w:rPr>
          <w:rFonts w:eastAsia="Times New Roman" w:cs="Arial"/>
          <w:color w:val="000000"/>
          <w:lang w:val="en-US"/>
        </w:rPr>
        <w:t>ml</w:t>
      </w:r>
      <w:r w:rsidRPr="00844B11">
        <w:rPr>
          <w:rFonts w:eastAsia="Times New Roman" w:cs="Arial"/>
          <w:color w:val="000000"/>
          <w:lang w:val="ru-RU"/>
        </w:rPr>
        <w:t>/</w:t>
      </w:r>
      <w:r w:rsidRPr="00844B11">
        <w:rPr>
          <w:rFonts w:eastAsia="Times New Roman" w:cs="Arial"/>
          <w:color w:val="000000"/>
          <w:lang w:val="en-US"/>
        </w:rPr>
        <w:t>min</w:t>
      </w:r>
      <w:r w:rsidRPr="00844B11">
        <w:rPr>
          <w:rFonts w:eastAsia="Times New Roman" w:cs="Arial"/>
          <w:color w:val="000000"/>
          <w:lang w:val="ru-RU"/>
        </w:rPr>
        <w:t xml:space="preserve">). </w:t>
      </w:r>
      <w:r w:rsidRPr="00844B11">
        <w:rPr>
          <w:rFonts w:eastAsia="Times New Roman" w:cs="Arial"/>
          <w:color w:val="000000"/>
          <w:lang w:eastAsia="bg-BG"/>
        </w:rPr>
        <w:t xml:space="preserve">Дозировката от 40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е противопоказана при пациенти с умерено бъбречно увреждане. При пациенти с тежко бъбречно увреждане употребата на Атеростад е противопоказана (вж. точка 4.3 и точка 5.2).</w:t>
      </w:r>
    </w:p>
    <w:p w14:paraId="5C37F46F" w14:textId="77777777" w:rsidR="00844B11" w:rsidRPr="00844B11" w:rsidRDefault="00844B11" w:rsidP="00844B11">
      <w:pPr>
        <w:spacing w:line="240" w:lineRule="auto"/>
        <w:rPr>
          <w:rFonts w:eastAsia="Times New Roman" w:cs="Arial"/>
          <w:b/>
          <w:bCs/>
          <w:color w:val="000000"/>
          <w:lang w:eastAsia="bg-BG"/>
        </w:rPr>
      </w:pPr>
    </w:p>
    <w:p w14:paraId="3954F087" w14:textId="427D4E77" w:rsidR="00844B11" w:rsidRPr="00844B11" w:rsidRDefault="00844B11" w:rsidP="00844B11">
      <w:pPr>
        <w:pStyle w:val="Heading3"/>
        <w:rPr>
          <w:rFonts w:eastAsia="Times New Roman"/>
          <w:b/>
        </w:rPr>
      </w:pPr>
      <w:r w:rsidRPr="00844B11">
        <w:rPr>
          <w:rFonts w:eastAsia="Times New Roman"/>
          <w:b/>
          <w:lang w:eastAsia="bg-BG"/>
        </w:rPr>
        <w:t>Дозиране при пациенти с чернодробно увреждане</w:t>
      </w:r>
    </w:p>
    <w:p w14:paraId="0A9C3EF7"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Не е наблюдавана повишена системна експозиция на розувастатин при пациенти с оценка по скалата на </w:t>
      </w:r>
      <w:r w:rsidRPr="00844B11">
        <w:rPr>
          <w:rFonts w:eastAsia="Times New Roman" w:cs="Arial"/>
          <w:color w:val="000000"/>
          <w:lang w:val="en-US"/>
        </w:rPr>
        <w:t>Child</w:t>
      </w:r>
      <w:r w:rsidRPr="00844B11">
        <w:rPr>
          <w:rFonts w:eastAsia="Times New Roman" w:cs="Arial"/>
          <w:color w:val="000000"/>
          <w:lang w:val="ru-RU"/>
        </w:rPr>
        <w:t>-</w:t>
      </w:r>
      <w:r w:rsidRPr="00844B11">
        <w:rPr>
          <w:rFonts w:eastAsia="Times New Roman" w:cs="Arial"/>
          <w:color w:val="000000"/>
          <w:lang w:val="en-US"/>
        </w:rPr>
        <w:t>Pugh</w:t>
      </w:r>
      <w:r w:rsidRPr="00844B11">
        <w:rPr>
          <w:rFonts w:eastAsia="Times New Roman" w:cs="Arial"/>
          <w:color w:val="000000"/>
          <w:lang w:val="ru-RU"/>
        </w:rPr>
        <w:t xml:space="preserve"> </w:t>
      </w:r>
      <w:r w:rsidRPr="00844B11">
        <w:rPr>
          <w:rFonts w:eastAsia="Times New Roman" w:cs="Arial"/>
          <w:color w:val="000000"/>
          <w:lang w:eastAsia="bg-BG"/>
        </w:rPr>
        <w:t xml:space="preserve">≤ 7 или по-нисък. Въпреки това, повишена системна </w:t>
      </w:r>
      <w:r w:rsidRPr="00844B11">
        <w:rPr>
          <w:rFonts w:eastAsia="Times New Roman" w:cs="Arial"/>
          <w:color w:val="000000"/>
          <w:lang w:eastAsia="bg-BG"/>
        </w:rPr>
        <w:lastRenderedPageBreak/>
        <w:t xml:space="preserve">експозиция е наблюдавана при пациенти с оценка по скалата на </w:t>
      </w:r>
      <w:r w:rsidRPr="00844B11">
        <w:rPr>
          <w:rFonts w:eastAsia="Times New Roman" w:cs="Arial"/>
          <w:color w:val="000000"/>
          <w:lang w:val="en-US"/>
        </w:rPr>
        <w:t>Child</w:t>
      </w:r>
      <w:r w:rsidRPr="00844B11">
        <w:rPr>
          <w:rFonts w:eastAsia="Times New Roman" w:cs="Arial"/>
          <w:color w:val="000000"/>
          <w:lang w:val="ru-RU"/>
        </w:rPr>
        <w:t>-</w:t>
      </w:r>
      <w:r w:rsidRPr="00844B11">
        <w:rPr>
          <w:rFonts w:eastAsia="Times New Roman" w:cs="Arial"/>
          <w:color w:val="000000"/>
          <w:lang w:val="en-US"/>
        </w:rPr>
        <w:t>Pugh</w:t>
      </w:r>
      <w:r w:rsidRPr="00844B11">
        <w:rPr>
          <w:rFonts w:eastAsia="Times New Roman" w:cs="Arial"/>
          <w:color w:val="000000"/>
          <w:lang w:val="ru-RU"/>
        </w:rPr>
        <w:t xml:space="preserve"> </w:t>
      </w:r>
      <w:r w:rsidRPr="00844B11">
        <w:rPr>
          <w:rFonts w:eastAsia="Times New Roman" w:cs="Arial"/>
          <w:color w:val="000000"/>
          <w:lang w:eastAsia="bg-BG"/>
        </w:rPr>
        <w:t xml:space="preserve">8 и 9 (вж. точка 5.2). При тези пациенти трябва да се предприеме оценка на бъбречната функция (вж. точка 4.4). Няма данни за пациенти с оценка по скалата на </w:t>
      </w:r>
      <w:r w:rsidRPr="00844B11">
        <w:rPr>
          <w:rFonts w:eastAsia="Times New Roman" w:cs="Arial"/>
          <w:color w:val="000000"/>
          <w:lang w:val="en-US"/>
        </w:rPr>
        <w:t>Child</w:t>
      </w:r>
      <w:r w:rsidRPr="00844B11">
        <w:rPr>
          <w:rFonts w:eastAsia="Times New Roman" w:cs="Arial"/>
          <w:color w:val="000000"/>
          <w:lang w:val="ru-RU"/>
        </w:rPr>
        <w:t>-</w:t>
      </w:r>
      <w:proofErr w:type="spellStart"/>
      <w:r w:rsidRPr="00844B11">
        <w:rPr>
          <w:rFonts w:eastAsia="Times New Roman" w:cs="Arial"/>
          <w:color w:val="000000"/>
          <w:lang w:val="en-US"/>
        </w:rPr>
        <w:t>Plugh</w:t>
      </w:r>
      <w:proofErr w:type="spellEnd"/>
      <w:r w:rsidRPr="00844B11">
        <w:rPr>
          <w:rFonts w:eastAsia="Times New Roman" w:cs="Arial"/>
          <w:color w:val="000000"/>
          <w:lang w:val="ru-RU"/>
        </w:rPr>
        <w:t xml:space="preserve"> </w:t>
      </w:r>
      <w:r w:rsidRPr="00844B11">
        <w:rPr>
          <w:rFonts w:eastAsia="Times New Roman" w:cs="Arial"/>
          <w:color w:val="000000"/>
          <w:lang w:eastAsia="bg-BG"/>
        </w:rPr>
        <w:t>над 9. Атеростад е противопоказан при пациенти с активно чернодробно увреждане (вж. точка 4.3).</w:t>
      </w:r>
    </w:p>
    <w:p w14:paraId="1AECFE48" w14:textId="77777777" w:rsidR="00844B11" w:rsidRPr="00844B11" w:rsidRDefault="00844B11" w:rsidP="00844B11">
      <w:pPr>
        <w:spacing w:line="240" w:lineRule="auto"/>
        <w:rPr>
          <w:rFonts w:eastAsia="Times New Roman" w:cs="Arial"/>
          <w:b/>
          <w:bCs/>
          <w:color w:val="000000"/>
          <w:lang w:eastAsia="bg-BG"/>
        </w:rPr>
      </w:pPr>
      <w:bookmarkStart w:id="4" w:name="bookmark6"/>
    </w:p>
    <w:p w14:paraId="27284DFE" w14:textId="69A931EB" w:rsidR="00844B11" w:rsidRPr="00844B11" w:rsidRDefault="00844B11" w:rsidP="00844B11">
      <w:pPr>
        <w:pStyle w:val="Heading3"/>
        <w:rPr>
          <w:rFonts w:eastAsia="Times New Roman"/>
          <w:b/>
        </w:rPr>
      </w:pPr>
      <w:r w:rsidRPr="00844B11">
        <w:rPr>
          <w:rFonts w:eastAsia="Times New Roman"/>
          <w:b/>
          <w:lang w:eastAsia="bg-BG"/>
        </w:rPr>
        <w:t>Раса</w:t>
      </w:r>
      <w:bookmarkEnd w:id="4"/>
    </w:p>
    <w:p w14:paraId="5044CEF5"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При пациенти от азиатската раса се наблюдава повишена системна експозиция на медикамента (вж. точка 4.3, точка 4.4 и точка 5.2). Препоръчваната първоначална доза при пациенти от азиатски произход е 5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При тези пациенти е противопоказано приложение на доза от 40 </w:t>
      </w:r>
      <w:r w:rsidRPr="00844B11">
        <w:rPr>
          <w:rFonts w:eastAsia="Times New Roman" w:cs="Arial"/>
          <w:color w:val="000000"/>
          <w:lang w:val="en-US"/>
        </w:rPr>
        <w:t>mg</w:t>
      </w:r>
      <w:r w:rsidRPr="00844B11">
        <w:rPr>
          <w:rFonts w:eastAsia="Times New Roman" w:cs="Arial"/>
          <w:color w:val="000000"/>
          <w:lang w:val="ru-RU"/>
        </w:rPr>
        <w:t>.</w:t>
      </w:r>
    </w:p>
    <w:p w14:paraId="0FDFEC7B" w14:textId="77777777" w:rsidR="00844B11" w:rsidRPr="00844B11" w:rsidRDefault="00844B11" w:rsidP="00844B11">
      <w:pPr>
        <w:spacing w:line="240" w:lineRule="auto"/>
        <w:rPr>
          <w:rFonts w:eastAsia="Times New Roman" w:cs="Arial"/>
          <w:b/>
          <w:bCs/>
          <w:color w:val="000000"/>
          <w:lang w:eastAsia="bg-BG"/>
        </w:rPr>
      </w:pPr>
      <w:bookmarkStart w:id="5" w:name="bookmark8"/>
    </w:p>
    <w:p w14:paraId="7AC463FE" w14:textId="10E3D7F1" w:rsidR="00844B11" w:rsidRPr="00844B11" w:rsidRDefault="00844B11" w:rsidP="00844B11">
      <w:pPr>
        <w:spacing w:line="240" w:lineRule="auto"/>
        <w:rPr>
          <w:rFonts w:eastAsia="Times New Roman" w:cs="Arial"/>
        </w:rPr>
      </w:pPr>
      <w:r w:rsidRPr="00844B11">
        <w:rPr>
          <w:rStyle w:val="Heading3Char"/>
          <w:b/>
          <w:lang w:eastAsia="bg-BG"/>
        </w:rPr>
        <w:t>Генетичен</w:t>
      </w:r>
      <w:r w:rsidRPr="00844B11">
        <w:rPr>
          <w:rFonts w:eastAsia="Times New Roman" w:cs="Arial"/>
          <w:b/>
          <w:bCs/>
          <w:color w:val="000000"/>
          <w:lang w:eastAsia="bg-BG"/>
        </w:rPr>
        <w:t xml:space="preserve"> </w:t>
      </w:r>
      <w:r w:rsidRPr="00844B11">
        <w:rPr>
          <w:rStyle w:val="Heading3Char"/>
          <w:b/>
          <w:lang w:eastAsia="bg-BG"/>
        </w:rPr>
        <w:t>полиморфизъм</w:t>
      </w:r>
      <w:bookmarkEnd w:id="5"/>
    </w:p>
    <w:p w14:paraId="5B3D030E"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Доказано е, че съществуват различни генетични полиморфизми, които са свързани е повишена експозиция на розувастатин (вижте точка 5.2). За пациентите, за които е известно, че имат такъв специфичен генотип, се препоръчва по-ниска еднократна дневна доза Атеростад.</w:t>
      </w:r>
    </w:p>
    <w:p w14:paraId="6FC584B6" w14:textId="77777777" w:rsidR="00844B11" w:rsidRPr="00844B11" w:rsidRDefault="00844B11" w:rsidP="00844B11">
      <w:pPr>
        <w:spacing w:line="240" w:lineRule="auto"/>
        <w:rPr>
          <w:rFonts w:eastAsia="Times New Roman" w:cs="Arial"/>
          <w:b/>
          <w:bCs/>
          <w:color w:val="000000"/>
          <w:lang w:eastAsia="bg-BG"/>
        </w:rPr>
      </w:pPr>
      <w:bookmarkStart w:id="6" w:name="bookmark10"/>
    </w:p>
    <w:p w14:paraId="4EAB0C9F" w14:textId="1C7FD971" w:rsidR="00844B11" w:rsidRPr="00844B11" w:rsidRDefault="00844B11" w:rsidP="00844B11">
      <w:pPr>
        <w:pStyle w:val="Heading3"/>
        <w:rPr>
          <w:rFonts w:eastAsia="Times New Roman"/>
          <w:b/>
        </w:rPr>
      </w:pPr>
      <w:r w:rsidRPr="00844B11">
        <w:rPr>
          <w:rFonts w:eastAsia="Times New Roman"/>
          <w:b/>
          <w:lang w:eastAsia="bg-BG"/>
        </w:rPr>
        <w:t>Дозиране при пациенти, предразположени към развитие на миопатия</w:t>
      </w:r>
      <w:bookmarkEnd w:id="6"/>
    </w:p>
    <w:p w14:paraId="1310161E"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При пациенти с предразполагащи фактори за развитите на миопатия препоръчваната начална доза е 5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(вж. точка 4.4).</w:t>
      </w:r>
    </w:p>
    <w:p w14:paraId="6B2D3504"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При някои от тези пациенти е противопоказано приложението на доза от 40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(вж. точка 4.3).</w:t>
      </w:r>
    </w:p>
    <w:p w14:paraId="023FDDC8" w14:textId="77777777" w:rsidR="00844B11" w:rsidRPr="00844B11" w:rsidRDefault="00844B11" w:rsidP="00844B11">
      <w:pPr>
        <w:spacing w:line="240" w:lineRule="auto"/>
        <w:rPr>
          <w:rFonts w:eastAsia="Times New Roman" w:cs="Arial"/>
          <w:b/>
          <w:bCs/>
          <w:color w:val="000000"/>
          <w:lang w:eastAsia="bg-BG"/>
        </w:rPr>
      </w:pPr>
    </w:p>
    <w:p w14:paraId="4057DC87" w14:textId="078130F5" w:rsidR="00844B11" w:rsidRPr="00844B11" w:rsidRDefault="00844B11" w:rsidP="00844B11">
      <w:pPr>
        <w:pStyle w:val="Heading3"/>
        <w:rPr>
          <w:rFonts w:eastAsia="Times New Roman"/>
          <w:b/>
        </w:rPr>
      </w:pPr>
      <w:r w:rsidRPr="00844B11">
        <w:rPr>
          <w:rFonts w:eastAsia="Times New Roman"/>
          <w:b/>
          <w:lang w:eastAsia="bg-BG"/>
        </w:rPr>
        <w:t>Съпътстваща терапия</w:t>
      </w:r>
    </w:p>
    <w:p w14:paraId="05B40D79"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Розувастатин е субстрат на различни транспортерни протеини (иапр. ОАТР1</w:t>
      </w:r>
      <w:r w:rsidRPr="00844B11">
        <w:rPr>
          <w:rFonts w:eastAsia="Times New Roman" w:cs="Arial"/>
          <w:color w:val="000000"/>
          <w:lang w:val="en-US"/>
        </w:rPr>
        <w:t>B</w:t>
      </w:r>
      <w:r w:rsidRPr="00844B11">
        <w:rPr>
          <w:rFonts w:eastAsia="Times New Roman" w:cs="Arial"/>
          <w:color w:val="000000"/>
          <w:lang w:val="ru-RU"/>
        </w:rPr>
        <w:t xml:space="preserve">1 </w:t>
      </w:r>
      <w:r w:rsidRPr="00844B11">
        <w:rPr>
          <w:rFonts w:eastAsia="Times New Roman" w:cs="Arial"/>
          <w:color w:val="000000"/>
          <w:lang w:eastAsia="bg-BG"/>
        </w:rPr>
        <w:t xml:space="preserve">и </w:t>
      </w:r>
      <w:r w:rsidRPr="00844B11">
        <w:rPr>
          <w:rFonts w:eastAsia="Times New Roman" w:cs="Arial"/>
          <w:color w:val="000000"/>
          <w:lang w:val="en-US"/>
        </w:rPr>
        <w:t>BCRP</w:t>
      </w:r>
      <w:r w:rsidRPr="00844B11">
        <w:rPr>
          <w:rFonts w:eastAsia="Times New Roman" w:cs="Arial"/>
          <w:color w:val="000000"/>
          <w:lang w:val="ru-RU"/>
        </w:rPr>
        <w:t>).</w:t>
      </w:r>
    </w:p>
    <w:p w14:paraId="17B12830" w14:textId="2973EB31" w:rsidR="00844B11" w:rsidRPr="00844B11" w:rsidRDefault="00844B11" w:rsidP="00844B11">
      <w:pPr>
        <w:rPr>
          <w:rFonts w:cs="Arial"/>
        </w:rPr>
      </w:pPr>
      <w:r w:rsidRPr="00844B11">
        <w:rPr>
          <w:rFonts w:eastAsia="Times New Roman" w:cs="Arial"/>
          <w:color w:val="000000"/>
          <w:lang w:eastAsia="bg-BG"/>
        </w:rPr>
        <w:t xml:space="preserve">Рискът от миопатия (включително рабдомиолиза) се повишава, когато Атеростад се прилага. едновременно с определени лекарствени продукти, които могат да повишат плазмената концентрация на розувастатин поради взаимодействие с тези транспортерни протеини (напр. </w:t>
      </w:r>
      <w:r w:rsidRPr="00844B11">
        <w:rPr>
          <w:rFonts w:cs="Arial"/>
        </w:rPr>
        <w:t>циклоспорин и някои протеазни инхибитори, включително комбинации на ритонавир с атазанавир, лопинавир и/или типранавир; вж. точки 4.4 и 4.5). Когато е възможно, трябва да се имат предвид алтернативни лекарства и, ако е необходимо, да се има предвид временно прекъсване на терапията с Атеростад. В ситуации, когато едновременното приложение на тези лекарствени продукти с Атеростад е неизбежно, ползата и риска от съпътстващата терапия и корекции на дозата на Атеростад трябва внимателно да се обмислят (вж. точка 4.5).</w:t>
      </w:r>
    </w:p>
    <w:p w14:paraId="7AE8D037" w14:textId="5088B622" w:rsidR="00844B11" w:rsidRPr="00844B11" w:rsidRDefault="00844B11" w:rsidP="00844B11"/>
    <w:p w14:paraId="28C984E8" w14:textId="3C4831F9" w:rsidR="008134C8" w:rsidRDefault="002C50EE" w:rsidP="004A448E">
      <w:pPr>
        <w:pStyle w:val="Heading2"/>
      </w:pPr>
      <w:r>
        <w:t>4.3. Противопоказания</w:t>
      </w:r>
    </w:p>
    <w:p w14:paraId="38B1FDE4" w14:textId="1F65E4E7" w:rsidR="00844B11" w:rsidRDefault="00844B11" w:rsidP="00844B11"/>
    <w:p w14:paraId="27391036" w14:textId="77777777" w:rsidR="00844B11" w:rsidRPr="00844B11" w:rsidRDefault="00844B11" w:rsidP="00844B11">
      <w:pPr>
        <w:spacing w:line="240" w:lineRule="auto"/>
        <w:rPr>
          <w:rFonts w:eastAsia="Times New Roman" w:cs="Arial"/>
          <w:sz w:val="28"/>
          <w:szCs w:val="24"/>
        </w:rPr>
      </w:pPr>
      <w:r w:rsidRPr="00844B11">
        <w:rPr>
          <w:rFonts w:eastAsia="Times New Roman" w:cs="Arial"/>
          <w:color w:val="000000"/>
          <w:szCs w:val="20"/>
          <w:lang w:eastAsia="bg-BG"/>
        </w:rPr>
        <w:t>Свръхчувствителност към розувастатин или към някое от помощните вещества, изброени в точка 6.1,</w:t>
      </w:r>
    </w:p>
    <w:p w14:paraId="532FA1FC" w14:textId="77777777" w:rsidR="00844B11" w:rsidRPr="00844B11" w:rsidRDefault="00844B11" w:rsidP="00844B11">
      <w:pPr>
        <w:spacing w:line="240" w:lineRule="auto"/>
        <w:rPr>
          <w:rFonts w:eastAsia="Times New Roman" w:cs="Arial"/>
          <w:sz w:val="28"/>
          <w:szCs w:val="24"/>
        </w:rPr>
      </w:pPr>
      <w:r w:rsidRPr="00844B11">
        <w:rPr>
          <w:rFonts w:eastAsia="Times New Roman" w:cs="Arial"/>
          <w:color w:val="000000"/>
          <w:szCs w:val="20"/>
          <w:lang w:eastAsia="bg-BG"/>
        </w:rPr>
        <w:t>Атеростад е противопоказан:</w:t>
      </w:r>
    </w:p>
    <w:p w14:paraId="22079D17" w14:textId="77777777" w:rsidR="00844B11" w:rsidRPr="00844B11" w:rsidRDefault="00844B11" w:rsidP="00844B11">
      <w:pPr>
        <w:pStyle w:val="ListParagraph"/>
        <w:numPr>
          <w:ilvl w:val="0"/>
          <w:numId w:val="38"/>
        </w:numPr>
        <w:spacing w:line="240" w:lineRule="auto"/>
        <w:rPr>
          <w:rFonts w:eastAsia="Times New Roman" w:cs="Arial"/>
          <w:sz w:val="28"/>
          <w:szCs w:val="24"/>
        </w:rPr>
      </w:pPr>
      <w:r w:rsidRPr="00844B11">
        <w:rPr>
          <w:rFonts w:eastAsia="Times New Roman" w:cs="Arial"/>
          <w:color w:val="000000"/>
          <w:szCs w:val="20"/>
          <w:lang w:eastAsia="bg-BG"/>
        </w:rPr>
        <w:t>При пациенти със свръхчувствителност към розувастатин или някое от помощните вещества;</w:t>
      </w:r>
    </w:p>
    <w:p w14:paraId="3E722796" w14:textId="77777777" w:rsidR="00844B11" w:rsidRPr="00844B11" w:rsidRDefault="00844B11" w:rsidP="00844B11">
      <w:pPr>
        <w:pStyle w:val="ListParagraph"/>
        <w:numPr>
          <w:ilvl w:val="0"/>
          <w:numId w:val="38"/>
        </w:numPr>
        <w:spacing w:line="240" w:lineRule="auto"/>
        <w:rPr>
          <w:rFonts w:eastAsia="Times New Roman" w:cs="Arial"/>
          <w:sz w:val="28"/>
          <w:szCs w:val="24"/>
        </w:rPr>
      </w:pPr>
      <w:r w:rsidRPr="00844B11">
        <w:rPr>
          <w:rFonts w:eastAsia="Times New Roman" w:cs="Arial"/>
          <w:color w:val="000000"/>
          <w:szCs w:val="20"/>
          <w:lang w:eastAsia="bg-BG"/>
        </w:rPr>
        <w:t>При пациенти с активно чернодробно заболяване, включително неуточнено, продължително покачване на серумните трансаминази и всяко покачване на серумните трансаминази три пъти над горната граница на нормата;</w:t>
      </w:r>
    </w:p>
    <w:p w14:paraId="0D78D769" w14:textId="77777777" w:rsidR="00844B11" w:rsidRPr="00844B11" w:rsidRDefault="00844B11" w:rsidP="00844B11">
      <w:pPr>
        <w:pStyle w:val="ListParagraph"/>
        <w:numPr>
          <w:ilvl w:val="0"/>
          <w:numId w:val="38"/>
        </w:numPr>
        <w:spacing w:line="240" w:lineRule="auto"/>
        <w:rPr>
          <w:rFonts w:eastAsia="Times New Roman" w:cs="Arial"/>
          <w:sz w:val="28"/>
          <w:szCs w:val="24"/>
        </w:rPr>
      </w:pPr>
      <w:r w:rsidRPr="00844B11">
        <w:rPr>
          <w:rFonts w:eastAsia="Times New Roman" w:cs="Arial"/>
          <w:color w:val="000000"/>
          <w:szCs w:val="20"/>
          <w:lang w:eastAsia="bg-BG"/>
        </w:rPr>
        <w:t xml:space="preserve">При пациенти с тежко бъбречно увреждане (креатининов клирънс &lt;30 </w:t>
      </w:r>
      <w:r w:rsidRPr="00844B11">
        <w:rPr>
          <w:rFonts w:eastAsia="Times New Roman" w:cs="Arial"/>
          <w:color w:val="000000"/>
          <w:szCs w:val="20"/>
          <w:lang w:val="en-US"/>
        </w:rPr>
        <w:t>ml</w:t>
      </w:r>
      <w:r w:rsidRPr="00844B11">
        <w:rPr>
          <w:rFonts w:eastAsia="Times New Roman" w:cs="Arial"/>
          <w:color w:val="000000"/>
          <w:szCs w:val="20"/>
          <w:lang w:val="ru-RU"/>
        </w:rPr>
        <w:t>/</w:t>
      </w:r>
      <w:r w:rsidRPr="00844B11">
        <w:rPr>
          <w:rFonts w:eastAsia="Times New Roman" w:cs="Arial"/>
          <w:color w:val="000000"/>
          <w:szCs w:val="20"/>
          <w:lang w:val="en-US"/>
        </w:rPr>
        <w:t>min</w:t>
      </w:r>
      <w:r w:rsidRPr="00844B11">
        <w:rPr>
          <w:rFonts w:eastAsia="Times New Roman" w:cs="Arial"/>
          <w:color w:val="000000"/>
          <w:szCs w:val="20"/>
          <w:lang w:val="ru-RU"/>
        </w:rPr>
        <w:t>);</w:t>
      </w:r>
    </w:p>
    <w:p w14:paraId="3F27655C" w14:textId="77777777" w:rsidR="00844B11" w:rsidRPr="00844B11" w:rsidRDefault="00844B11" w:rsidP="00844B11">
      <w:pPr>
        <w:pStyle w:val="ListParagraph"/>
        <w:numPr>
          <w:ilvl w:val="0"/>
          <w:numId w:val="38"/>
        </w:numPr>
        <w:spacing w:line="240" w:lineRule="auto"/>
        <w:rPr>
          <w:rFonts w:eastAsia="Times New Roman" w:cs="Arial"/>
          <w:sz w:val="28"/>
          <w:szCs w:val="24"/>
        </w:rPr>
      </w:pPr>
      <w:r w:rsidRPr="00844B11">
        <w:rPr>
          <w:rFonts w:eastAsia="Times New Roman" w:cs="Arial"/>
          <w:color w:val="000000"/>
          <w:szCs w:val="20"/>
          <w:lang w:eastAsia="bg-BG"/>
        </w:rPr>
        <w:lastRenderedPageBreak/>
        <w:t>При пациенти с миопатия;</w:t>
      </w:r>
    </w:p>
    <w:p w14:paraId="2584AF6E" w14:textId="77777777" w:rsidR="00844B11" w:rsidRPr="00844B11" w:rsidRDefault="00844B11" w:rsidP="00844B11">
      <w:pPr>
        <w:pStyle w:val="ListParagraph"/>
        <w:numPr>
          <w:ilvl w:val="0"/>
          <w:numId w:val="38"/>
        </w:numPr>
        <w:spacing w:line="240" w:lineRule="auto"/>
        <w:rPr>
          <w:rFonts w:eastAsia="Times New Roman" w:cs="Arial"/>
          <w:sz w:val="28"/>
          <w:szCs w:val="24"/>
        </w:rPr>
      </w:pPr>
      <w:r w:rsidRPr="00844B11">
        <w:rPr>
          <w:rFonts w:eastAsia="Times New Roman" w:cs="Arial"/>
          <w:color w:val="000000"/>
          <w:szCs w:val="20"/>
          <w:lang w:eastAsia="bg-BG"/>
        </w:rPr>
        <w:t>При пациенти, приемащи едновременно циклоспорин;</w:t>
      </w:r>
    </w:p>
    <w:p w14:paraId="6869BBCC" w14:textId="4030A708" w:rsidR="00844B11" w:rsidRPr="00844B11" w:rsidRDefault="00844B11" w:rsidP="00844B11">
      <w:pPr>
        <w:pStyle w:val="ListParagraph"/>
        <w:numPr>
          <w:ilvl w:val="0"/>
          <w:numId w:val="38"/>
        </w:numPr>
        <w:spacing w:line="240" w:lineRule="auto"/>
        <w:rPr>
          <w:rFonts w:eastAsia="Times New Roman" w:cs="Arial"/>
          <w:sz w:val="28"/>
          <w:szCs w:val="24"/>
        </w:rPr>
      </w:pPr>
      <w:r w:rsidRPr="00844B11">
        <w:rPr>
          <w:rFonts w:eastAsia="Times New Roman" w:cs="Arial"/>
          <w:color w:val="000000"/>
          <w:szCs w:val="20"/>
          <w:lang w:eastAsia="bg-BG"/>
        </w:rPr>
        <w:t>По време на бременност, кърмене и при жени в детеродна възраст, които не използват подходящи контрацептивни мерки.</w:t>
      </w:r>
    </w:p>
    <w:p w14:paraId="596900C6" w14:textId="77777777" w:rsidR="00844B11" w:rsidRPr="00844B11" w:rsidRDefault="00844B11" w:rsidP="00844B11">
      <w:pPr>
        <w:spacing w:line="240" w:lineRule="auto"/>
        <w:rPr>
          <w:rFonts w:eastAsia="Times New Roman" w:cs="Arial"/>
          <w:color w:val="000000"/>
          <w:szCs w:val="20"/>
          <w:lang w:eastAsia="bg-BG"/>
        </w:rPr>
      </w:pPr>
    </w:p>
    <w:p w14:paraId="3B56734D" w14:textId="7D26ED42" w:rsidR="00844B11" w:rsidRPr="00844B11" w:rsidRDefault="00844B11" w:rsidP="00844B11">
      <w:pPr>
        <w:spacing w:line="240" w:lineRule="auto"/>
        <w:rPr>
          <w:rFonts w:eastAsia="Times New Roman" w:cs="Arial"/>
          <w:sz w:val="28"/>
          <w:szCs w:val="24"/>
        </w:rPr>
      </w:pPr>
      <w:r w:rsidRPr="00844B11">
        <w:rPr>
          <w:rFonts w:eastAsia="Times New Roman" w:cs="Arial"/>
          <w:color w:val="000000"/>
          <w:szCs w:val="20"/>
          <w:lang w:eastAsia="bg-BG"/>
        </w:rPr>
        <w:t xml:space="preserve">Дозата от 40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е противопоказана при пациенти </w:t>
      </w:r>
      <w:r w:rsidRPr="00844B11">
        <w:rPr>
          <w:rFonts w:eastAsia="Times New Roman" w:cs="Arial"/>
          <w:b/>
          <w:bCs/>
          <w:i/>
          <w:iCs/>
          <w:color w:val="000000"/>
          <w:szCs w:val="20"/>
          <w:lang w:eastAsia="bg-BG"/>
        </w:rPr>
        <w:t>с</w:t>
      </w:r>
      <w:r w:rsidRPr="00844B11">
        <w:rPr>
          <w:rFonts w:eastAsia="Times New Roman" w:cs="Arial"/>
          <w:color w:val="000000"/>
          <w:szCs w:val="20"/>
          <w:lang w:eastAsia="bg-BG"/>
        </w:rPr>
        <w:t xml:space="preserve"> предразполагащи фактори за развитие на миопатия/рабдомиолиза. Такива фактори са:</w:t>
      </w:r>
    </w:p>
    <w:p w14:paraId="433AA429" w14:textId="77777777" w:rsidR="00844B11" w:rsidRPr="00844B11" w:rsidRDefault="00844B11" w:rsidP="00844B11">
      <w:pPr>
        <w:pStyle w:val="ListParagraph"/>
        <w:numPr>
          <w:ilvl w:val="0"/>
          <w:numId w:val="39"/>
        </w:numPr>
        <w:spacing w:line="240" w:lineRule="auto"/>
        <w:rPr>
          <w:rFonts w:eastAsia="Times New Roman" w:cs="Arial"/>
          <w:sz w:val="28"/>
          <w:szCs w:val="24"/>
        </w:rPr>
      </w:pPr>
      <w:r w:rsidRPr="00844B11">
        <w:rPr>
          <w:rFonts w:eastAsia="Times New Roman" w:cs="Arial"/>
          <w:color w:val="000000"/>
          <w:szCs w:val="20"/>
          <w:lang w:eastAsia="bg-BG"/>
        </w:rPr>
        <w:t xml:space="preserve">Умерено по степен бъбречно увреждане (креатининов клирънс под 60 </w:t>
      </w:r>
      <w:r w:rsidRPr="00844B11">
        <w:rPr>
          <w:rFonts w:eastAsia="Times New Roman" w:cs="Arial"/>
          <w:color w:val="000000"/>
          <w:szCs w:val="20"/>
          <w:lang w:val="en-US"/>
        </w:rPr>
        <w:t>ml</w:t>
      </w:r>
      <w:r w:rsidRPr="00844B11">
        <w:rPr>
          <w:rFonts w:eastAsia="Times New Roman" w:cs="Arial"/>
          <w:color w:val="000000"/>
          <w:szCs w:val="20"/>
          <w:lang w:val="ru-RU"/>
        </w:rPr>
        <w:t>/</w:t>
      </w:r>
      <w:r w:rsidRPr="00844B11">
        <w:rPr>
          <w:rFonts w:eastAsia="Times New Roman" w:cs="Arial"/>
          <w:color w:val="000000"/>
          <w:szCs w:val="20"/>
          <w:lang w:val="en-US"/>
        </w:rPr>
        <w:t>min</w:t>
      </w:r>
      <w:r w:rsidRPr="00844B11">
        <w:rPr>
          <w:rFonts w:eastAsia="Times New Roman" w:cs="Arial"/>
          <w:color w:val="000000"/>
          <w:szCs w:val="20"/>
          <w:lang w:val="ru-RU"/>
        </w:rPr>
        <w:t>);</w:t>
      </w:r>
    </w:p>
    <w:p w14:paraId="54B7BC3E" w14:textId="77777777" w:rsidR="00844B11" w:rsidRPr="00844B11" w:rsidRDefault="00844B11" w:rsidP="00844B11">
      <w:pPr>
        <w:pStyle w:val="ListParagraph"/>
        <w:numPr>
          <w:ilvl w:val="0"/>
          <w:numId w:val="39"/>
        </w:numPr>
        <w:spacing w:line="240" w:lineRule="auto"/>
        <w:rPr>
          <w:rFonts w:eastAsia="Times New Roman" w:cs="Arial"/>
          <w:sz w:val="28"/>
          <w:szCs w:val="24"/>
        </w:rPr>
      </w:pPr>
      <w:r w:rsidRPr="00844B11">
        <w:rPr>
          <w:rFonts w:eastAsia="Times New Roman" w:cs="Arial"/>
          <w:color w:val="000000"/>
          <w:szCs w:val="20"/>
          <w:lang w:eastAsia="bg-BG"/>
        </w:rPr>
        <w:t>Хипотиреоидизъм;</w:t>
      </w:r>
    </w:p>
    <w:p w14:paraId="78ADA375" w14:textId="77777777" w:rsidR="00844B11" w:rsidRPr="00844B11" w:rsidRDefault="00844B11" w:rsidP="00844B11">
      <w:pPr>
        <w:pStyle w:val="ListParagraph"/>
        <w:numPr>
          <w:ilvl w:val="0"/>
          <w:numId w:val="39"/>
        </w:numPr>
        <w:spacing w:line="240" w:lineRule="auto"/>
        <w:rPr>
          <w:rFonts w:eastAsia="Times New Roman" w:cs="Arial"/>
          <w:sz w:val="28"/>
          <w:szCs w:val="24"/>
        </w:rPr>
      </w:pPr>
      <w:r w:rsidRPr="00844B11">
        <w:rPr>
          <w:rFonts w:eastAsia="Times New Roman" w:cs="Arial"/>
          <w:color w:val="000000"/>
          <w:szCs w:val="20"/>
          <w:lang w:eastAsia="bg-BG"/>
        </w:rPr>
        <w:t>Лична или фамилна анамнеза за наследствени мускулни заболявания;</w:t>
      </w:r>
    </w:p>
    <w:p w14:paraId="2BB0643C" w14:textId="77777777" w:rsidR="00844B11" w:rsidRPr="00844B11" w:rsidRDefault="00844B11" w:rsidP="00844B11">
      <w:pPr>
        <w:pStyle w:val="ListParagraph"/>
        <w:numPr>
          <w:ilvl w:val="0"/>
          <w:numId w:val="39"/>
        </w:numPr>
        <w:spacing w:line="240" w:lineRule="auto"/>
        <w:rPr>
          <w:rFonts w:eastAsia="Times New Roman" w:cs="Arial"/>
          <w:sz w:val="28"/>
          <w:szCs w:val="24"/>
        </w:rPr>
      </w:pPr>
      <w:r w:rsidRPr="00844B11">
        <w:rPr>
          <w:rFonts w:eastAsia="Times New Roman" w:cs="Arial"/>
          <w:color w:val="000000"/>
          <w:szCs w:val="20"/>
          <w:lang w:eastAsia="bg-BG"/>
        </w:rPr>
        <w:t xml:space="preserve">Анамнеза за поява на мускулно увреждане по време </w:t>
      </w:r>
      <w:r w:rsidRPr="00844B11">
        <w:rPr>
          <w:rFonts w:eastAsia="Times New Roman" w:cs="Arial"/>
          <w:b/>
          <w:bCs/>
          <w:i/>
          <w:iCs/>
          <w:color w:val="000000"/>
          <w:szCs w:val="20"/>
          <w:lang w:eastAsia="bg-BG"/>
        </w:rPr>
        <w:t>на</w:t>
      </w:r>
      <w:r w:rsidRPr="00844B11">
        <w:rPr>
          <w:rFonts w:eastAsia="Times New Roman" w:cs="Arial"/>
          <w:color w:val="000000"/>
          <w:szCs w:val="20"/>
          <w:lang w:eastAsia="bg-BG"/>
        </w:rPr>
        <w:t xml:space="preserve"> лечение с друг медикамент от групата на инхибиторите на хидрокси-метил-глутарил-коензим А редуктазата;</w:t>
      </w:r>
    </w:p>
    <w:p w14:paraId="31EC8396" w14:textId="77777777" w:rsidR="00844B11" w:rsidRPr="00844B11" w:rsidRDefault="00844B11" w:rsidP="00844B11">
      <w:pPr>
        <w:pStyle w:val="ListParagraph"/>
        <w:numPr>
          <w:ilvl w:val="0"/>
          <w:numId w:val="39"/>
        </w:numPr>
        <w:spacing w:line="240" w:lineRule="auto"/>
        <w:rPr>
          <w:rFonts w:eastAsia="Times New Roman" w:cs="Arial"/>
          <w:sz w:val="28"/>
          <w:szCs w:val="24"/>
        </w:rPr>
      </w:pPr>
      <w:r w:rsidRPr="00844B11">
        <w:rPr>
          <w:rFonts w:eastAsia="Times New Roman" w:cs="Arial"/>
          <w:color w:val="000000"/>
          <w:szCs w:val="20"/>
          <w:lang w:eastAsia="bg-BG"/>
        </w:rPr>
        <w:t>Злоупотреба с алкохол;</w:t>
      </w:r>
    </w:p>
    <w:p w14:paraId="13B9ADF4" w14:textId="77777777" w:rsidR="00844B11" w:rsidRPr="00844B11" w:rsidRDefault="00844B11" w:rsidP="00844B11">
      <w:pPr>
        <w:pStyle w:val="ListParagraph"/>
        <w:numPr>
          <w:ilvl w:val="0"/>
          <w:numId w:val="39"/>
        </w:numPr>
        <w:spacing w:line="240" w:lineRule="auto"/>
        <w:rPr>
          <w:rFonts w:eastAsia="Times New Roman" w:cs="Arial"/>
          <w:sz w:val="28"/>
          <w:szCs w:val="24"/>
        </w:rPr>
      </w:pPr>
      <w:r w:rsidRPr="00844B11">
        <w:rPr>
          <w:rFonts w:eastAsia="Times New Roman" w:cs="Arial"/>
          <w:color w:val="000000"/>
          <w:szCs w:val="20"/>
          <w:lang w:eastAsia="bg-BG"/>
        </w:rPr>
        <w:t>Състояния, при които може да се повиши плазменото ниво на медикамента;</w:t>
      </w:r>
    </w:p>
    <w:p w14:paraId="5172A920" w14:textId="77777777" w:rsidR="00844B11" w:rsidRPr="00844B11" w:rsidRDefault="00844B11" w:rsidP="00844B11">
      <w:pPr>
        <w:pStyle w:val="ListParagraph"/>
        <w:numPr>
          <w:ilvl w:val="0"/>
          <w:numId w:val="39"/>
        </w:numPr>
        <w:spacing w:line="240" w:lineRule="auto"/>
        <w:rPr>
          <w:rFonts w:eastAsia="Times New Roman" w:cs="Arial"/>
          <w:sz w:val="28"/>
          <w:szCs w:val="24"/>
        </w:rPr>
      </w:pPr>
      <w:r w:rsidRPr="00844B11">
        <w:rPr>
          <w:rFonts w:eastAsia="Times New Roman" w:cs="Arial"/>
          <w:color w:val="000000"/>
          <w:szCs w:val="20"/>
          <w:lang w:eastAsia="bg-BG"/>
        </w:rPr>
        <w:t>Лица от азиатската раса;</w:t>
      </w:r>
    </w:p>
    <w:p w14:paraId="0C5D94ED" w14:textId="6DA0EB60" w:rsidR="00844B11" w:rsidRPr="00844B11" w:rsidRDefault="00844B11" w:rsidP="00844B11">
      <w:pPr>
        <w:pStyle w:val="ListParagraph"/>
        <w:numPr>
          <w:ilvl w:val="0"/>
          <w:numId w:val="39"/>
        </w:numPr>
        <w:spacing w:line="240" w:lineRule="auto"/>
        <w:rPr>
          <w:rFonts w:eastAsia="Times New Roman" w:cs="Arial"/>
          <w:sz w:val="28"/>
          <w:szCs w:val="24"/>
        </w:rPr>
      </w:pPr>
      <w:r w:rsidRPr="00844B11">
        <w:rPr>
          <w:rFonts w:eastAsia="Times New Roman" w:cs="Arial"/>
          <w:color w:val="000000"/>
          <w:szCs w:val="20"/>
          <w:lang w:eastAsia="bg-BG"/>
        </w:rPr>
        <w:t>Съпътстващо лечение с фибрати (вж. точка 4.4, точка 4.5 и точка 5.2).</w:t>
      </w:r>
    </w:p>
    <w:p w14:paraId="230B39ED" w14:textId="77777777" w:rsidR="00844B11" w:rsidRPr="00844B11" w:rsidRDefault="00844B11" w:rsidP="00844B11"/>
    <w:p w14:paraId="212F509C" w14:textId="68F4F869" w:rsidR="004F498A" w:rsidRDefault="002C50EE" w:rsidP="004A448E">
      <w:pPr>
        <w:pStyle w:val="Heading2"/>
      </w:pPr>
      <w:r>
        <w:t>4.4. Специални предупреждения и предпазни мерки при употреба</w:t>
      </w:r>
    </w:p>
    <w:p w14:paraId="18EACE94" w14:textId="0303D5F7" w:rsidR="00844B11" w:rsidRDefault="00844B11" w:rsidP="00844B11"/>
    <w:p w14:paraId="23288C28" w14:textId="77777777" w:rsidR="00844B11" w:rsidRPr="00844B11" w:rsidRDefault="00844B11" w:rsidP="00844B11">
      <w:pPr>
        <w:pStyle w:val="Heading3"/>
        <w:rPr>
          <w:b/>
        </w:rPr>
      </w:pPr>
      <w:r w:rsidRPr="00844B11">
        <w:rPr>
          <w:b/>
        </w:rPr>
        <w:t>Бъбреци</w:t>
      </w:r>
    </w:p>
    <w:p w14:paraId="6595AF33"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При пациенти, лекувани с по-високи дози Атеростад, по-конкретно 40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е наблюдавана протеинурия, която е установена при изследване с тест-ленти, с предимно тубулен произход и в повечето случаи с преходен или интермитентен характер. Не е доказано прстеинурията да предшества остро или прогресивно бъбречно заболяване (вж. точка 4.8). Докладваната честота на сериозни бъбречни увреди при постмаркетинговата употреба е по-висока при дозировка от 40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Оценка на бъбречната функция трябва да се направи по време на рутинно проследяване при пациенти, обичайно лекувани с 40 </w:t>
      </w:r>
      <w:r w:rsidRPr="00844B11">
        <w:rPr>
          <w:rFonts w:eastAsia="Times New Roman" w:cs="Arial"/>
          <w:color w:val="000000"/>
          <w:lang w:val="en-US"/>
        </w:rPr>
        <w:t>mg</w:t>
      </w:r>
      <w:r w:rsidRPr="00844B11">
        <w:rPr>
          <w:rFonts w:eastAsia="Times New Roman" w:cs="Arial"/>
          <w:color w:val="000000"/>
          <w:lang w:val="ru-RU"/>
        </w:rPr>
        <w:t>.</w:t>
      </w:r>
    </w:p>
    <w:p w14:paraId="0D6BAC6A" w14:textId="77777777" w:rsidR="00844B11" w:rsidRPr="00844B11" w:rsidRDefault="00844B11" w:rsidP="00844B11">
      <w:pPr>
        <w:spacing w:line="240" w:lineRule="auto"/>
        <w:rPr>
          <w:rFonts w:eastAsia="Times New Roman" w:cs="Arial"/>
          <w:b/>
          <w:bCs/>
          <w:i/>
          <w:iCs/>
          <w:color w:val="000000"/>
          <w:lang w:eastAsia="bg-BG"/>
        </w:rPr>
      </w:pPr>
    </w:p>
    <w:p w14:paraId="3A6F1B1C" w14:textId="2524BCCC" w:rsidR="00844B11" w:rsidRPr="00844B11" w:rsidRDefault="00844B11" w:rsidP="00844B11">
      <w:pPr>
        <w:pStyle w:val="Heading3"/>
        <w:rPr>
          <w:b/>
        </w:rPr>
      </w:pPr>
      <w:r w:rsidRPr="00844B11">
        <w:rPr>
          <w:b/>
        </w:rPr>
        <w:t>Скелетна мускулатура</w:t>
      </w:r>
    </w:p>
    <w:p w14:paraId="536FC402"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Ефекти върху скелетната мускулатура(миалгия, миопатия и по-рядко рабдомиолиза) са</w:t>
      </w:r>
    </w:p>
    <w:p w14:paraId="4534222C" w14:textId="109A26CE" w:rsidR="00844B11" w:rsidRPr="00844B11" w:rsidRDefault="00844B11" w:rsidP="00844B11">
      <w:pPr>
        <w:rPr>
          <w:rFonts w:eastAsia="Times New Roman" w:cs="Arial"/>
          <w:color w:val="000000"/>
          <w:lang w:eastAsia="bg-BG"/>
        </w:rPr>
      </w:pPr>
      <w:r w:rsidRPr="00844B11">
        <w:rPr>
          <w:rFonts w:eastAsia="Times New Roman" w:cs="Arial"/>
          <w:color w:val="000000"/>
          <w:lang w:eastAsia="bg-BG"/>
        </w:rPr>
        <w:t xml:space="preserve">съобщавани при приложение на всички дозови режими, особено при дози над 20 </w:t>
      </w:r>
      <w:r w:rsidRPr="00844B11">
        <w:rPr>
          <w:rFonts w:eastAsia="Times New Roman" w:cs="Arial"/>
          <w:color w:val="000000"/>
          <w:lang w:val="en-US"/>
        </w:rPr>
        <w:t>mg</w:t>
      </w:r>
      <w:r w:rsidRPr="00844B11">
        <w:rPr>
          <w:rFonts w:eastAsia="Times New Roman" w:cs="Arial"/>
          <w:color w:val="000000"/>
          <w:lang w:val="ru-RU"/>
        </w:rPr>
        <w:t>.</w:t>
      </w:r>
      <w:r w:rsidRPr="00844B11">
        <w:rPr>
          <w:rFonts w:eastAsia="Times New Roman" w:cs="Arial"/>
          <w:color w:val="000000"/>
          <w:lang w:eastAsia="bg-BG"/>
        </w:rPr>
        <w:t xml:space="preserve"> Много редки случаи на рабдомиолиза са докладвани при използването на езетимиб в комбинация с </w:t>
      </w:r>
      <w:r w:rsidRPr="00844B11">
        <w:rPr>
          <w:rFonts w:eastAsia="Times New Roman" w:cs="Arial"/>
          <w:color w:val="000000"/>
          <w:lang w:val="en-US"/>
        </w:rPr>
        <w:t>HMG</w:t>
      </w:r>
      <w:r w:rsidRPr="00844B11">
        <w:rPr>
          <w:rFonts w:eastAsia="Times New Roman" w:cs="Arial"/>
          <w:color w:val="000000"/>
          <w:lang w:val="ru-RU"/>
        </w:rPr>
        <w:t>-</w:t>
      </w:r>
      <w:r w:rsidRPr="00844B11">
        <w:rPr>
          <w:rFonts w:eastAsia="Times New Roman" w:cs="Arial"/>
          <w:color w:val="000000"/>
          <w:lang w:val="en-US"/>
        </w:rPr>
        <w:t>CoA</w:t>
      </w:r>
      <w:r w:rsidRPr="00844B11">
        <w:rPr>
          <w:rFonts w:eastAsia="Times New Roman" w:cs="Arial"/>
          <w:color w:val="000000"/>
          <w:lang w:val="ru-RU"/>
        </w:rPr>
        <w:t xml:space="preserve"> </w:t>
      </w:r>
      <w:r w:rsidRPr="00844B11">
        <w:rPr>
          <w:rFonts w:eastAsia="Times New Roman" w:cs="Arial"/>
          <w:color w:val="000000"/>
          <w:lang w:eastAsia="bg-BG"/>
        </w:rPr>
        <w:t>редуктазни инхибитори. Не може да бъде изключено фармакодинамично взаимодействие (вж. точка 4.5) и е необходимо внимание при комбинираното им използване.</w:t>
      </w:r>
    </w:p>
    <w:p w14:paraId="04CF68B5" w14:textId="23F0A040" w:rsidR="00844B11" w:rsidRPr="00844B11" w:rsidRDefault="00844B11" w:rsidP="00844B11">
      <w:pPr>
        <w:rPr>
          <w:rFonts w:eastAsia="Times New Roman" w:cs="Arial"/>
          <w:color w:val="000000"/>
          <w:lang w:eastAsia="bg-BG"/>
        </w:rPr>
      </w:pPr>
    </w:p>
    <w:p w14:paraId="0D59201E"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Както при другите </w:t>
      </w:r>
      <w:r w:rsidRPr="00844B11">
        <w:rPr>
          <w:rFonts w:eastAsia="Times New Roman" w:cs="Arial"/>
          <w:color w:val="000000"/>
          <w:lang w:val="en-US"/>
        </w:rPr>
        <w:t>HMG</w:t>
      </w:r>
      <w:r w:rsidRPr="00844B11">
        <w:rPr>
          <w:rFonts w:eastAsia="Times New Roman" w:cs="Arial"/>
          <w:color w:val="000000"/>
          <w:lang w:val="ru-RU"/>
        </w:rPr>
        <w:t>-</w:t>
      </w:r>
      <w:r w:rsidRPr="00844B11">
        <w:rPr>
          <w:rFonts w:eastAsia="Times New Roman" w:cs="Arial"/>
          <w:color w:val="000000"/>
          <w:lang w:val="en-US"/>
        </w:rPr>
        <w:t>CoA</w:t>
      </w:r>
      <w:r w:rsidRPr="00844B11">
        <w:rPr>
          <w:rFonts w:eastAsia="Times New Roman" w:cs="Arial"/>
          <w:color w:val="000000"/>
          <w:lang w:val="ru-RU"/>
        </w:rPr>
        <w:t xml:space="preserve"> </w:t>
      </w:r>
      <w:r w:rsidRPr="00844B11">
        <w:rPr>
          <w:rFonts w:eastAsia="Times New Roman" w:cs="Arial"/>
          <w:color w:val="000000"/>
          <w:lang w:eastAsia="bg-BG"/>
        </w:rPr>
        <w:t xml:space="preserve">редуктазни инхибитори, докладваната честота на рабдомиолиза, асоциирана с Атеростад при постмаркетинговата употреба, е по-висока при дозировка от 40 </w:t>
      </w:r>
      <w:r w:rsidRPr="00844B11">
        <w:rPr>
          <w:rFonts w:eastAsia="Times New Roman" w:cs="Arial"/>
          <w:color w:val="000000"/>
          <w:lang w:val="en-US"/>
        </w:rPr>
        <w:t>mg</w:t>
      </w:r>
      <w:r w:rsidRPr="00844B11">
        <w:rPr>
          <w:rFonts w:eastAsia="Times New Roman" w:cs="Arial"/>
          <w:color w:val="000000"/>
          <w:lang w:val="ru-RU"/>
        </w:rPr>
        <w:t>.</w:t>
      </w:r>
    </w:p>
    <w:p w14:paraId="133DA70E" w14:textId="77777777" w:rsidR="00844B11" w:rsidRPr="00844B11" w:rsidRDefault="00844B11" w:rsidP="00844B11">
      <w:pPr>
        <w:spacing w:line="240" w:lineRule="auto"/>
        <w:rPr>
          <w:rFonts w:eastAsia="Times New Roman" w:cs="Arial"/>
          <w:b/>
          <w:bCs/>
          <w:i/>
          <w:iCs/>
          <w:color w:val="000000"/>
          <w:lang w:eastAsia="bg-BG"/>
        </w:rPr>
      </w:pPr>
    </w:p>
    <w:p w14:paraId="2F31D9B8" w14:textId="1552596F" w:rsidR="00844B11" w:rsidRPr="00844B11" w:rsidRDefault="00844B11" w:rsidP="00844B11">
      <w:pPr>
        <w:pStyle w:val="Heading3"/>
        <w:rPr>
          <w:b/>
        </w:rPr>
      </w:pPr>
      <w:r w:rsidRPr="00844B11">
        <w:rPr>
          <w:b/>
        </w:rPr>
        <w:t>Измерване на креатинкиназата</w:t>
      </w:r>
    </w:p>
    <w:p w14:paraId="267A31E0"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Креатинкиназата (СК) не трябва да се измерва след усилени упражнения или при наличието на друг причинител на увеличение на СК, което може да затрудни тълкуването на резултата. Ако нивото на СК е значително повишено при изходно ниво (&gt;5 пъти </w:t>
      </w:r>
      <w:r w:rsidRPr="00844B11">
        <w:rPr>
          <w:rFonts w:eastAsia="Times New Roman" w:cs="Arial"/>
          <w:color w:val="000000"/>
          <w:lang w:eastAsia="bg-BG"/>
        </w:rPr>
        <w:lastRenderedPageBreak/>
        <w:t>горната допустима граница), тест за потвърждаване на резултата трябва да бъде направен в рамките на 5-7 дни. Ако повторното изследване потвърди изходно ниво на СК &gt;5 пъта горната допустима граница, не трябва да се започва лечение.</w:t>
      </w:r>
    </w:p>
    <w:p w14:paraId="5E8B524C" w14:textId="77777777" w:rsidR="00844B11" w:rsidRPr="00844B11" w:rsidRDefault="00844B11" w:rsidP="00844B11">
      <w:pPr>
        <w:spacing w:line="240" w:lineRule="auto"/>
        <w:rPr>
          <w:rFonts w:eastAsia="Times New Roman" w:cs="Arial"/>
          <w:b/>
          <w:bCs/>
          <w:i/>
          <w:iCs/>
          <w:color w:val="000000"/>
          <w:lang w:eastAsia="bg-BG"/>
        </w:rPr>
      </w:pPr>
    </w:p>
    <w:p w14:paraId="38D82389" w14:textId="3F3E929C" w:rsidR="00844B11" w:rsidRPr="00844B11" w:rsidRDefault="00844B11" w:rsidP="00844B11">
      <w:pPr>
        <w:pStyle w:val="Heading3"/>
        <w:rPr>
          <w:b/>
        </w:rPr>
      </w:pPr>
      <w:r w:rsidRPr="00844B11">
        <w:rPr>
          <w:b/>
        </w:rPr>
        <w:t>Преди лечението</w:t>
      </w:r>
    </w:p>
    <w:p w14:paraId="56D80B58"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Както и други инхибитори на </w:t>
      </w:r>
      <w:r w:rsidRPr="00844B11">
        <w:rPr>
          <w:rFonts w:eastAsia="Times New Roman" w:cs="Arial"/>
          <w:color w:val="000000"/>
          <w:lang w:val="en-US"/>
        </w:rPr>
        <w:t>HMG</w:t>
      </w:r>
      <w:r w:rsidRPr="00844B11">
        <w:rPr>
          <w:rFonts w:eastAsia="Times New Roman" w:cs="Arial"/>
          <w:color w:val="000000"/>
          <w:lang w:val="ru-RU"/>
        </w:rPr>
        <w:t>-</w:t>
      </w:r>
      <w:r w:rsidRPr="00844B11">
        <w:rPr>
          <w:rFonts w:eastAsia="Times New Roman" w:cs="Arial"/>
          <w:color w:val="000000"/>
          <w:lang w:val="en-US"/>
        </w:rPr>
        <w:t>CoA</w:t>
      </w:r>
      <w:r w:rsidRPr="00844B11">
        <w:rPr>
          <w:rFonts w:eastAsia="Times New Roman" w:cs="Arial"/>
          <w:color w:val="000000"/>
          <w:lang w:val="ru-RU"/>
        </w:rPr>
        <w:t xml:space="preserve"> </w:t>
      </w:r>
      <w:r w:rsidRPr="00844B11">
        <w:rPr>
          <w:rFonts w:eastAsia="Times New Roman" w:cs="Arial"/>
          <w:color w:val="000000"/>
          <w:lang w:eastAsia="bg-BG"/>
        </w:rPr>
        <w:t>редуктазата, Атеростад трябва да бъде предписван с особено внимание при пациенти, за които са налице фактори, предразполагащи развитие на миопатия/рабдомиолиза. Такива фактори са:</w:t>
      </w:r>
    </w:p>
    <w:p w14:paraId="5911B15A" w14:textId="77777777" w:rsidR="00844B11" w:rsidRPr="00844B11" w:rsidRDefault="00844B11" w:rsidP="00844B11">
      <w:pPr>
        <w:pStyle w:val="ListParagraph"/>
        <w:numPr>
          <w:ilvl w:val="0"/>
          <w:numId w:val="40"/>
        </w:numPr>
        <w:spacing w:line="240" w:lineRule="auto"/>
        <w:rPr>
          <w:rFonts w:eastAsia="Times New Roman" w:cs="Arial"/>
          <w:color w:val="000000"/>
          <w:lang w:eastAsia="bg-BG"/>
        </w:rPr>
      </w:pPr>
      <w:r w:rsidRPr="00844B11">
        <w:rPr>
          <w:rFonts w:eastAsia="Times New Roman" w:cs="Arial"/>
          <w:color w:val="000000"/>
          <w:lang w:eastAsia="bg-BG"/>
        </w:rPr>
        <w:t>Бъбречно увреждане;</w:t>
      </w:r>
    </w:p>
    <w:p w14:paraId="2955935D" w14:textId="77777777" w:rsidR="00844B11" w:rsidRPr="00844B11" w:rsidRDefault="00844B11" w:rsidP="00844B11">
      <w:pPr>
        <w:pStyle w:val="ListParagraph"/>
        <w:numPr>
          <w:ilvl w:val="0"/>
          <w:numId w:val="40"/>
        </w:numPr>
        <w:spacing w:line="240" w:lineRule="auto"/>
        <w:rPr>
          <w:rFonts w:eastAsia="Times New Roman" w:cs="Arial"/>
          <w:color w:val="000000"/>
          <w:lang w:eastAsia="bg-BG"/>
        </w:rPr>
      </w:pPr>
      <w:r w:rsidRPr="00844B11">
        <w:rPr>
          <w:rFonts w:eastAsia="Times New Roman" w:cs="Arial"/>
          <w:color w:val="000000"/>
          <w:lang w:eastAsia="bg-BG"/>
        </w:rPr>
        <w:t>Хипотиреоидизъм;</w:t>
      </w:r>
    </w:p>
    <w:p w14:paraId="2E24C301" w14:textId="77777777" w:rsidR="00844B11" w:rsidRPr="00844B11" w:rsidRDefault="00844B11" w:rsidP="00844B11">
      <w:pPr>
        <w:pStyle w:val="ListParagraph"/>
        <w:numPr>
          <w:ilvl w:val="0"/>
          <w:numId w:val="40"/>
        </w:numPr>
        <w:spacing w:line="240" w:lineRule="auto"/>
        <w:rPr>
          <w:rFonts w:eastAsia="Times New Roman" w:cs="Arial"/>
          <w:color w:val="000000"/>
          <w:lang w:eastAsia="bg-BG"/>
        </w:rPr>
      </w:pPr>
      <w:r w:rsidRPr="00844B11">
        <w:rPr>
          <w:rFonts w:eastAsia="Times New Roman" w:cs="Arial"/>
          <w:color w:val="000000"/>
          <w:lang w:eastAsia="bg-BG"/>
        </w:rPr>
        <w:t>Лична или фамилна анамнеза за наследствено мускулно заболяване;</w:t>
      </w:r>
    </w:p>
    <w:p w14:paraId="7CE4EAF4" w14:textId="77777777" w:rsidR="00844B11" w:rsidRPr="00844B11" w:rsidRDefault="00844B11" w:rsidP="00844B11">
      <w:pPr>
        <w:pStyle w:val="ListParagraph"/>
        <w:numPr>
          <w:ilvl w:val="0"/>
          <w:numId w:val="40"/>
        </w:numPr>
        <w:spacing w:line="240" w:lineRule="auto"/>
        <w:rPr>
          <w:rFonts w:eastAsia="Times New Roman" w:cs="Arial"/>
          <w:color w:val="000000"/>
          <w:lang w:eastAsia="bg-BG"/>
        </w:rPr>
      </w:pPr>
      <w:r w:rsidRPr="00844B11">
        <w:rPr>
          <w:rFonts w:eastAsia="Times New Roman" w:cs="Arial"/>
          <w:color w:val="000000"/>
          <w:lang w:eastAsia="bg-BG"/>
        </w:rPr>
        <w:t xml:space="preserve">Установена мускулна токсичност към други инхибитори иа </w:t>
      </w:r>
      <w:r w:rsidRPr="00844B11">
        <w:rPr>
          <w:rFonts w:eastAsia="Times New Roman" w:cs="Arial"/>
          <w:color w:val="000000"/>
          <w:lang w:val="en-US"/>
        </w:rPr>
        <w:t>HMG</w:t>
      </w:r>
      <w:r w:rsidRPr="00844B11">
        <w:rPr>
          <w:rFonts w:eastAsia="Times New Roman" w:cs="Arial"/>
          <w:color w:val="000000"/>
          <w:lang w:val="ru-RU"/>
        </w:rPr>
        <w:t>-</w:t>
      </w:r>
      <w:r w:rsidRPr="00844B11">
        <w:rPr>
          <w:rFonts w:eastAsia="Times New Roman" w:cs="Arial"/>
          <w:color w:val="000000"/>
          <w:lang w:val="en-US"/>
        </w:rPr>
        <w:t>CoA</w:t>
      </w:r>
      <w:r w:rsidRPr="00844B11">
        <w:rPr>
          <w:rFonts w:eastAsia="Times New Roman" w:cs="Arial"/>
          <w:color w:val="000000"/>
          <w:lang w:val="ru-RU"/>
        </w:rPr>
        <w:t xml:space="preserve"> </w:t>
      </w:r>
      <w:r w:rsidRPr="00844B11">
        <w:rPr>
          <w:rFonts w:eastAsia="Times New Roman" w:cs="Arial"/>
          <w:color w:val="000000"/>
          <w:lang w:eastAsia="bg-BG"/>
        </w:rPr>
        <w:t>редуктазата или фибрата;</w:t>
      </w:r>
    </w:p>
    <w:p w14:paraId="06F356C2" w14:textId="77777777" w:rsidR="00844B11" w:rsidRPr="00844B11" w:rsidRDefault="00844B11" w:rsidP="00844B11">
      <w:pPr>
        <w:pStyle w:val="ListParagraph"/>
        <w:numPr>
          <w:ilvl w:val="0"/>
          <w:numId w:val="40"/>
        </w:numPr>
        <w:spacing w:line="240" w:lineRule="auto"/>
        <w:rPr>
          <w:rFonts w:eastAsia="Times New Roman" w:cs="Arial"/>
          <w:color w:val="000000"/>
          <w:lang w:eastAsia="bg-BG"/>
        </w:rPr>
      </w:pPr>
      <w:r w:rsidRPr="00844B11">
        <w:rPr>
          <w:rFonts w:eastAsia="Times New Roman" w:cs="Arial"/>
          <w:color w:val="000000"/>
          <w:lang w:eastAsia="bg-BG"/>
        </w:rPr>
        <w:t>Злоупотреба с алкохол;</w:t>
      </w:r>
    </w:p>
    <w:p w14:paraId="4DF9C331" w14:textId="77777777" w:rsidR="00844B11" w:rsidRPr="00844B11" w:rsidRDefault="00844B11" w:rsidP="00844B11">
      <w:pPr>
        <w:pStyle w:val="ListParagraph"/>
        <w:numPr>
          <w:ilvl w:val="0"/>
          <w:numId w:val="40"/>
        </w:numPr>
        <w:spacing w:line="240" w:lineRule="auto"/>
        <w:rPr>
          <w:rFonts w:eastAsia="Times New Roman" w:cs="Arial"/>
          <w:color w:val="000000"/>
          <w:lang w:eastAsia="bg-BG"/>
        </w:rPr>
      </w:pPr>
      <w:r w:rsidRPr="00844B11">
        <w:rPr>
          <w:rFonts w:eastAsia="Times New Roman" w:cs="Arial"/>
          <w:color w:val="000000"/>
          <w:lang w:eastAsia="bg-BG"/>
        </w:rPr>
        <w:t>Пациенти на възраст над 70 години;</w:t>
      </w:r>
    </w:p>
    <w:p w14:paraId="497152E8" w14:textId="77777777" w:rsidR="00844B11" w:rsidRPr="00844B11" w:rsidRDefault="00844B11" w:rsidP="00844B11">
      <w:pPr>
        <w:pStyle w:val="ListParagraph"/>
        <w:numPr>
          <w:ilvl w:val="0"/>
          <w:numId w:val="40"/>
        </w:numPr>
        <w:spacing w:line="240" w:lineRule="auto"/>
        <w:rPr>
          <w:rFonts w:eastAsia="Times New Roman" w:cs="Arial"/>
          <w:color w:val="000000"/>
          <w:lang w:eastAsia="bg-BG"/>
        </w:rPr>
      </w:pPr>
      <w:r w:rsidRPr="00844B11">
        <w:rPr>
          <w:rFonts w:eastAsia="Times New Roman" w:cs="Arial"/>
          <w:color w:val="000000"/>
          <w:lang w:eastAsia="bg-BG"/>
        </w:rPr>
        <w:t>Състояния, при които може да се наблюдава покачване на плазмените нива (вж. точка 4.2, 4.5 и 5.2);</w:t>
      </w:r>
    </w:p>
    <w:p w14:paraId="7AB6FC51" w14:textId="7846A693" w:rsidR="00844B11" w:rsidRPr="00844B11" w:rsidRDefault="00844B11" w:rsidP="00844B11">
      <w:pPr>
        <w:pStyle w:val="ListParagraph"/>
        <w:numPr>
          <w:ilvl w:val="0"/>
          <w:numId w:val="40"/>
        </w:numPr>
        <w:spacing w:line="240" w:lineRule="auto"/>
        <w:rPr>
          <w:rFonts w:eastAsia="Times New Roman" w:cs="Arial"/>
          <w:color w:val="000000"/>
          <w:lang w:eastAsia="bg-BG"/>
        </w:rPr>
      </w:pPr>
      <w:r w:rsidRPr="00844B11">
        <w:rPr>
          <w:rFonts w:eastAsia="Times New Roman" w:cs="Arial"/>
          <w:color w:val="000000"/>
          <w:lang w:eastAsia="bg-BG"/>
        </w:rPr>
        <w:t>Едновременно приложение на фибрата;</w:t>
      </w:r>
    </w:p>
    <w:p w14:paraId="58FA98B3"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При подобни пациенти трябва да се предвиди отношението риск/полза и да бъдат поставени под клинично наблюдение. Ако изходното ниво на СК е значително повишено (&gt; 5 пъти горната граница на нормата), не трябва да се започва лечение.</w:t>
      </w:r>
    </w:p>
    <w:p w14:paraId="0FC52E62" w14:textId="77777777" w:rsidR="00844B11" w:rsidRPr="00844B11" w:rsidRDefault="00844B11" w:rsidP="00844B11">
      <w:pPr>
        <w:spacing w:line="240" w:lineRule="auto"/>
        <w:rPr>
          <w:rFonts w:eastAsia="Times New Roman" w:cs="Arial"/>
          <w:b/>
          <w:bCs/>
          <w:i/>
          <w:iCs/>
          <w:color w:val="000000"/>
          <w:lang w:eastAsia="bg-BG"/>
        </w:rPr>
      </w:pPr>
    </w:p>
    <w:p w14:paraId="20C0ECD0" w14:textId="1B8671B7" w:rsidR="00844B11" w:rsidRPr="00844B11" w:rsidRDefault="00844B11" w:rsidP="00844B11">
      <w:pPr>
        <w:pStyle w:val="Heading3"/>
        <w:rPr>
          <w:b/>
        </w:rPr>
      </w:pPr>
      <w:r w:rsidRPr="00844B11">
        <w:rPr>
          <w:b/>
        </w:rPr>
        <w:t>По време на лечението</w:t>
      </w:r>
    </w:p>
    <w:p w14:paraId="7F741427" w14:textId="77777777" w:rsidR="00844B11" w:rsidRPr="00844B11" w:rsidRDefault="00844B11" w:rsidP="00844B11">
      <w:pPr>
        <w:rPr>
          <w:rFonts w:eastAsia="Times New Roman" w:cs="Arial"/>
        </w:rPr>
      </w:pPr>
      <w:r w:rsidRPr="00844B11">
        <w:rPr>
          <w:rFonts w:eastAsia="Times New Roman" w:cs="Arial"/>
          <w:color w:val="000000"/>
          <w:lang w:eastAsia="bg-BG"/>
        </w:rPr>
        <w:t xml:space="preserve">Пациентите се задължават незабавно да докладват необясними мускулни болки, усещане за слабост или схващане, най-вече ако са свързани с неразположение или фебрилитет. При такива пациенти трябва да се измерят нивата на СК. Терапията трябва да се прекрати, ако нивото на СК е значително повишено (&gt; 5 пъти горната допустима граница) или ако мускулните симптоми са тежки и причиняват ежедневно неразположение (дори нивото на СК да е ≤5 пъти под горната допустима граница). Ако симптомите изчезнат и нивото на СК се нормализира, може да се помисли за повторно лечение с Атеростад или алтернативен инхибитор на </w:t>
      </w:r>
      <w:r w:rsidRPr="00844B11">
        <w:rPr>
          <w:rFonts w:eastAsia="Times New Roman" w:cs="Arial"/>
          <w:color w:val="000000"/>
          <w:lang w:val="en-US"/>
        </w:rPr>
        <w:t>HMG</w:t>
      </w:r>
      <w:r w:rsidRPr="00844B11">
        <w:rPr>
          <w:rFonts w:eastAsia="Times New Roman" w:cs="Arial"/>
          <w:color w:val="000000"/>
          <w:lang w:val="ru-RU"/>
        </w:rPr>
        <w:t xml:space="preserve">- </w:t>
      </w:r>
      <w:r w:rsidRPr="00844B11">
        <w:rPr>
          <w:rFonts w:eastAsia="Times New Roman" w:cs="Arial"/>
          <w:color w:val="000000"/>
          <w:lang w:val="en-US"/>
        </w:rPr>
        <w:t>CoA</w:t>
      </w:r>
      <w:r w:rsidRPr="00844B11">
        <w:rPr>
          <w:rFonts w:eastAsia="Times New Roman" w:cs="Arial"/>
          <w:color w:val="000000"/>
          <w:lang w:val="ru-RU"/>
        </w:rPr>
        <w:t xml:space="preserve"> </w:t>
      </w:r>
      <w:r w:rsidRPr="00844B11">
        <w:rPr>
          <w:rFonts w:eastAsia="Times New Roman" w:cs="Arial"/>
          <w:color w:val="000000"/>
          <w:lang w:eastAsia="bg-BG"/>
        </w:rPr>
        <w:t xml:space="preserve">редуктазата в най-ниска доза под наблюдение. Рутинно наблюдение на нивото на СК при пациенти без симптоми не е основателно. Има много редки доклади за имуномедиирана некротизираща миопатия, която клинично се характеризира с персистираща проксимална- мускулна слабост и повишена креатинкиназа по време на лечението или след спиране на статините, включително розувастатин. Може да е необходмо допълнително нервномускулно или серологично изследване. Може да се наложи лечение с имуносупресиращи лекарства. При клиничните изпитвания на Атеростад не са наблюдавани данни за повишени ефекти върху скелетната мускулатура в малката група пациенти, при които Атеростад е прилаган с друго съпътстващо лечение. Увеличение на честотата на миозит и миопатия е наблюдавано обаче при пациенти, получаващи други инхибитори на </w:t>
      </w:r>
      <w:r w:rsidRPr="00844B11">
        <w:rPr>
          <w:rFonts w:eastAsia="Times New Roman" w:cs="Arial"/>
          <w:color w:val="000000"/>
          <w:lang w:val="en-US"/>
        </w:rPr>
        <w:t>HMG</w:t>
      </w:r>
      <w:r w:rsidRPr="00844B11">
        <w:rPr>
          <w:rFonts w:eastAsia="Times New Roman" w:cs="Arial"/>
          <w:color w:val="000000"/>
          <w:lang w:val="ru-RU"/>
        </w:rPr>
        <w:t>-</w:t>
      </w:r>
      <w:r w:rsidRPr="00844B11">
        <w:rPr>
          <w:rFonts w:eastAsia="Times New Roman" w:cs="Arial"/>
          <w:color w:val="000000"/>
          <w:lang w:val="en-US"/>
        </w:rPr>
        <w:t>CoA</w:t>
      </w:r>
      <w:r w:rsidRPr="00844B11">
        <w:rPr>
          <w:rFonts w:eastAsia="Times New Roman" w:cs="Arial"/>
          <w:color w:val="000000"/>
          <w:lang w:val="ru-RU"/>
        </w:rPr>
        <w:t xml:space="preserve"> </w:t>
      </w:r>
      <w:r w:rsidRPr="00844B11">
        <w:rPr>
          <w:rFonts w:eastAsia="Times New Roman" w:cs="Arial"/>
          <w:color w:val="000000"/>
          <w:lang w:eastAsia="bg-BG"/>
        </w:rPr>
        <w:t xml:space="preserve">редуктазата заедно с циклоспорин, производни на фибриновата киселина, включително гемфиброзил, никотинова киселина, азолови антимикотици, протеазни инхибитори и макролидни антибиотици. Гемфибозил повишава риска от миопатия, ако се приема едновременно с някои инхибитори на </w:t>
      </w:r>
      <w:r w:rsidRPr="00844B11">
        <w:rPr>
          <w:rFonts w:eastAsia="Times New Roman" w:cs="Arial"/>
          <w:color w:val="000000"/>
          <w:lang w:val="en-US"/>
        </w:rPr>
        <w:t>HMG</w:t>
      </w:r>
      <w:r w:rsidRPr="00844B11">
        <w:rPr>
          <w:rFonts w:eastAsia="Times New Roman" w:cs="Arial"/>
          <w:color w:val="000000"/>
          <w:lang w:val="ru-RU"/>
        </w:rPr>
        <w:t>-</w:t>
      </w:r>
      <w:r w:rsidRPr="00844B11">
        <w:rPr>
          <w:rFonts w:eastAsia="Times New Roman" w:cs="Arial"/>
          <w:color w:val="000000"/>
          <w:lang w:val="en-US"/>
        </w:rPr>
        <w:t>CoA</w:t>
      </w:r>
      <w:r w:rsidRPr="00844B11">
        <w:rPr>
          <w:rFonts w:eastAsia="Times New Roman" w:cs="Arial"/>
          <w:color w:val="000000"/>
          <w:lang w:eastAsia="bg-BG"/>
        </w:rPr>
        <w:t xml:space="preserve"> редуктазата. Поради това, комбинацията между гемфиброзил и Атеростад не е препоръчителна. Ползата от допълнително снижаване в липидните нива в резултат от комбинираното приемане</w:t>
      </w:r>
      <w:r w:rsidRPr="00844B11">
        <w:rPr>
          <w:rFonts w:eastAsia="Times New Roman" w:cs="Arial"/>
        </w:rPr>
        <w:t xml:space="preserve"> </w:t>
      </w:r>
      <w:r w:rsidRPr="00844B11">
        <w:rPr>
          <w:rFonts w:eastAsia="Times New Roman" w:cs="Arial"/>
          <w:color w:val="000000"/>
          <w:lang w:eastAsia="bg-BG"/>
        </w:rPr>
        <w:t xml:space="preserve">на Атеростад и фибрата или ниацин трябва да бъде внимателно изчислена спрямо потенциалния риск от </w:t>
      </w:r>
      <w:r w:rsidRPr="00844B11">
        <w:rPr>
          <w:rFonts w:eastAsia="Times New Roman" w:cs="Arial"/>
          <w:color w:val="000000"/>
          <w:lang w:eastAsia="bg-BG"/>
        </w:rPr>
        <w:lastRenderedPageBreak/>
        <w:t xml:space="preserve">подобни комбинации. При едновременно приложение на фибрата, лечението с дози от 40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е противопоказано (вж. точка 4.5 и точка 4.8).</w:t>
      </w:r>
    </w:p>
    <w:p w14:paraId="6A67439F" w14:textId="77777777" w:rsidR="00844B11" w:rsidRPr="00844B11" w:rsidRDefault="00844B11" w:rsidP="00844B11">
      <w:pPr>
        <w:spacing w:line="240" w:lineRule="auto"/>
        <w:rPr>
          <w:rFonts w:eastAsia="Times New Roman" w:cs="Arial"/>
          <w:color w:val="000000"/>
          <w:lang w:eastAsia="bg-BG"/>
        </w:rPr>
      </w:pPr>
    </w:p>
    <w:p w14:paraId="23361CAC" w14:textId="51CAC152" w:rsidR="00844B11" w:rsidRPr="00844B11" w:rsidRDefault="00844B11" w:rsidP="00844B11">
      <w:pPr>
        <w:spacing w:line="240" w:lineRule="auto"/>
        <w:rPr>
          <w:rFonts w:eastAsia="Times New Roman" w:cs="Arial"/>
        </w:rPr>
      </w:pPr>
      <w:r w:rsidRPr="00844B11">
        <w:rPr>
          <w:rFonts w:eastAsia="Times New Roman" w:cs="Arial"/>
          <w:color w:val="000000"/>
          <w:lang w:eastAsia="bg-BG"/>
        </w:rPr>
        <w:t>Атеростад не трябва да се прилага едновременно с фузидова киселина за системно приложение или в рамките на 7 дни след спиране на лечението с фузидова киселина. При пациенти, при които използването на фузидова киселина за системно приложение е наложително, лечението със статини трябва да бъде преустановено през целия период на лечение с фузидова киселина. Има съобщения за рабдомиолиза (включително няколко с фатален изход) при пациенти, приемащи фузидова киселина и статини в комбинация (вж. точка 4.5). Пациентите трябва да бъдат посъветвани да потърсят незабавно медицинска помощ, ако изпитват симптоми на мускулна слабост, болка или болезненост.</w:t>
      </w:r>
    </w:p>
    <w:p w14:paraId="2017F2CF" w14:textId="77777777" w:rsidR="00844B11" w:rsidRPr="00844B11" w:rsidRDefault="00844B11" w:rsidP="00844B11">
      <w:pPr>
        <w:spacing w:line="240" w:lineRule="auto"/>
        <w:rPr>
          <w:rFonts w:eastAsia="Times New Roman" w:cs="Arial"/>
          <w:color w:val="000000"/>
          <w:lang w:eastAsia="bg-BG"/>
        </w:rPr>
      </w:pPr>
    </w:p>
    <w:p w14:paraId="6DF6B9BD" w14:textId="1520A2F3" w:rsidR="00844B11" w:rsidRPr="00844B11" w:rsidRDefault="00844B11" w:rsidP="00844B11">
      <w:pPr>
        <w:spacing w:line="240" w:lineRule="auto"/>
        <w:rPr>
          <w:rFonts w:eastAsia="Times New Roman" w:cs="Arial"/>
        </w:rPr>
      </w:pPr>
      <w:r w:rsidRPr="00844B11">
        <w:rPr>
          <w:rFonts w:eastAsia="Times New Roman" w:cs="Arial"/>
          <w:color w:val="000000"/>
          <w:lang w:eastAsia="bg-BG"/>
        </w:rPr>
        <w:t>Лечението със статини може да бъде подновено седем дни след последната доза на фузидова киселина.</w:t>
      </w:r>
    </w:p>
    <w:p w14:paraId="53523DFB" w14:textId="77777777" w:rsidR="00844B11" w:rsidRPr="00844B11" w:rsidRDefault="00844B11" w:rsidP="00844B11">
      <w:pPr>
        <w:spacing w:line="240" w:lineRule="auto"/>
        <w:rPr>
          <w:rFonts w:eastAsia="Times New Roman" w:cs="Arial"/>
          <w:color w:val="000000"/>
          <w:lang w:eastAsia="bg-BG"/>
        </w:rPr>
      </w:pPr>
    </w:p>
    <w:p w14:paraId="2D407DE6" w14:textId="45BF349D" w:rsidR="00844B11" w:rsidRPr="00844B11" w:rsidRDefault="00844B11" w:rsidP="00844B11">
      <w:pPr>
        <w:spacing w:line="240" w:lineRule="auto"/>
        <w:rPr>
          <w:rFonts w:eastAsia="Times New Roman" w:cs="Arial"/>
        </w:rPr>
      </w:pPr>
      <w:r w:rsidRPr="00844B11">
        <w:rPr>
          <w:rFonts w:eastAsia="Times New Roman" w:cs="Arial"/>
          <w:color w:val="000000"/>
          <w:lang w:eastAsia="bg-BG"/>
        </w:rPr>
        <w:t>При извънредни обстоятелства, когато е необходима продължителна употреба на фузидова киселина за системно приложение, например за лечение на тежки инфекции, необходимостта от едновременно приложение на Атеростад и фузидова киселина трябва да се прецени индивидуално, и под строг медицински контрол.</w:t>
      </w:r>
    </w:p>
    <w:p w14:paraId="605A401B" w14:textId="77777777" w:rsidR="00844B11" w:rsidRPr="00844B11" w:rsidRDefault="00844B11" w:rsidP="00844B11">
      <w:pPr>
        <w:spacing w:line="240" w:lineRule="auto"/>
        <w:rPr>
          <w:rFonts w:eastAsia="Times New Roman" w:cs="Arial"/>
          <w:color w:val="000000"/>
          <w:lang w:eastAsia="bg-BG"/>
        </w:rPr>
      </w:pPr>
    </w:p>
    <w:p w14:paraId="1E2AAC4F" w14:textId="3D54269E" w:rsidR="00844B11" w:rsidRPr="00844B11" w:rsidRDefault="00844B11" w:rsidP="00844B11">
      <w:pPr>
        <w:spacing w:line="240" w:lineRule="auto"/>
        <w:rPr>
          <w:rFonts w:eastAsia="Times New Roman" w:cs="Arial"/>
        </w:rPr>
      </w:pPr>
      <w:r w:rsidRPr="00844B11">
        <w:rPr>
          <w:rFonts w:eastAsia="Times New Roman" w:cs="Arial"/>
          <w:color w:val="000000"/>
          <w:lang w:eastAsia="bg-BG"/>
        </w:rPr>
        <w:t>Атеростад не трябва да се употребява при пациенти с остри сериозни състояния, предполагащи миопатия или предразполагащи към развитие на бъбречна недостатъчност, вследствие рабдомиолиза (напр. сепсис, хипотония, голяма операция, травма, тежки метаболитни, ендокринни и електролитни нарушения или неконтролирани гърчове).</w:t>
      </w:r>
    </w:p>
    <w:p w14:paraId="7DA1DD99" w14:textId="77777777" w:rsidR="00844B11" w:rsidRPr="00844B11" w:rsidRDefault="00844B11" w:rsidP="00844B11">
      <w:pPr>
        <w:spacing w:line="240" w:lineRule="auto"/>
        <w:rPr>
          <w:rFonts w:eastAsia="Times New Roman" w:cs="Arial"/>
          <w:color w:val="000000"/>
          <w:u w:val="single"/>
          <w:lang w:eastAsia="bg-BG"/>
        </w:rPr>
      </w:pPr>
    </w:p>
    <w:p w14:paraId="66211EAD" w14:textId="015A3B4E" w:rsidR="00844B11" w:rsidRPr="00844B11" w:rsidRDefault="00844B11" w:rsidP="00844B11">
      <w:pPr>
        <w:spacing w:line="240" w:lineRule="auto"/>
        <w:rPr>
          <w:rFonts w:eastAsia="Times New Roman" w:cs="Arial"/>
        </w:rPr>
      </w:pPr>
      <w:r w:rsidRPr="00844B11">
        <w:rPr>
          <w:rFonts w:eastAsia="Times New Roman" w:cs="Arial"/>
          <w:color w:val="000000"/>
          <w:u w:val="single"/>
          <w:lang w:eastAsia="bg-BG"/>
        </w:rPr>
        <w:t>Влияние върху черния дроб</w:t>
      </w:r>
    </w:p>
    <w:p w14:paraId="1FA2B3BB"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Както при други инхибитори на </w:t>
      </w:r>
      <w:r w:rsidRPr="00844B11">
        <w:rPr>
          <w:rFonts w:eastAsia="Times New Roman" w:cs="Arial"/>
          <w:color w:val="000000"/>
          <w:lang w:val="en-US"/>
        </w:rPr>
        <w:t>HMG</w:t>
      </w:r>
      <w:r w:rsidRPr="00844B11">
        <w:rPr>
          <w:rFonts w:eastAsia="Times New Roman" w:cs="Arial"/>
          <w:color w:val="000000"/>
          <w:lang w:val="ru-RU"/>
        </w:rPr>
        <w:t>-</w:t>
      </w:r>
      <w:r w:rsidRPr="00844B11">
        <w:rPr>
          <w:rFonts w:eastAsia="Times New Roman" w:cs="Arial"/>
          <w:color w:val="000000"/>
          <w:lang w:val="en-US"/>
        </w:rPr>
        <w:t>CoA</w:t>
      </w:r>
      <w:r w:rsidRPr="00844B11">
        <w:rPr>
          <w:rFonts w:eastAsia="Times New Roman" w:cs="Arial"/>
          <w:color w:val="000000"/>
          <w:lang w:val="ru-RU"/>
        </w:rPr>
        <w:t xml:space="preserve"> </w:t>
      </w:r>
      <w:r w:rsidRPr="00844B11">
        <w:rPr>
          <w:rFonts w:eastAsia="Times New Roman" w:cs="Arial"/>
          <w:color w:val="000000"/>
          <w:lang w:eastAsia="bg-BG"/>
        </w:rPr>
        <w:t xml:space="preserve">редуктазата, Атеростад трябва внимателно да се прилага при пациенти, които приемат голямо количество алкохол и/или са имали заболяване на черния дроб. Препоръчително е да се направят изследвания на черния </w:t>
      </w:r>
      <w:r w:rsidRPr="00844B11">
        <w:rPr>
          <w:rFonts w:eastAsia="Times New Roman" w:cs="Arial"/>
          <w:i/>
          <w:iCs/>
          <w:color w:val="000000"/>
          <w:lang w:eastAsia="bg-BG"/>
        </w:rPr>
        <w:t>дроб</w:t>
      </w:r>
      <w:r w:rsidRPr="00844B11">
        <w:rPr>
          <w:rFonts w:eastAsia="Times New Roman" w:cs="Arial"/>
          <w:color w:val="000000"/>
          <w:lang w:eastAsia="bg-BG"/>
        </w:rPr>
        <w:t xml:space="preserve"> преди и 3 месеца след започване на лечението.</w:t>
      </w:r>
    </w:p>
    <w:p w14:paraId="33BCB3E9" w14:textId="77777777" w:rsidR="00844B11" w:rsidRPr="00844B11" w:rsidRDefault="00844B11" w:rsidP="00844B11">
      <w:pPr>
        <w:spacing w:line="240" w:lineRule="auto"/>
        <w:rPr>
          <w:rFonts w:eastAsia="Times New Roman" w:cs="Arial"/>
          <w:color w:val="000000"/>
          <w:lang w:eastAsia="bg-BG"/>
        </w:rPr>
      </w:pPr>
    </w:p>
    <w:p w14:paraId="3FD5E174" w14:textId="169A2CFD"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Атеростад трябва да бъде преустановен или дозата трябва да се намали, ако нивото на серумните трансаминази надвишава три пъти горната граница на нормата. Докладваната честота за сериозни чернодробни увреди (заключващи се главно в увеличени чернодробни трансаминази) при постмаркетинговата употреба е по-висока при дозировка от 40 </w:t>
      </w:r>
      <w:r w:rsidRPr="00844B11">
        <w:rPr>
          <w:rFonts w:eastAsia="Times New Roman" w:cs="Arial"/>
          <w:color w:val="000000"/>
          <w:lang w:val="en-US"/>
        </w:rPr>
        <w:t>mg</w:t>
      </w:r>
      <w:r w:rsidRPr="00844B11">
        <w:rPr>
          <w:rFonts w:eastAsia="Times New Roman" w:cs="Arial"/>
          <w:color w:val="000000"/>
          <w:lang w:val="ru-RU"/>
        </w:rPr>
        <w:t>.</w:t>
      </w:r>
    </w:p>
    <w:p w14:paraId="0F627FE7" w14:textId="77777777" w:rsidR="00844B11" w:rsidRPr="00844B11" w:rsidRDefault="00844B11" w:rsidP="00844B11">
      <w:pPr>
        <w:spacing w:line="240" w:lineRule="auto"/>
        <w:rPr>
          <w:rFonts w:eastAsia="Times New Roman" w:cs="Arial"/>
          <w:color w:val="000000"/>
          <w:lang w:eastAsia="bg-BG"/>
        </w:rPr>
      </w:pPr>
    </w:p>
    <w:p w14:paraId="0B36F4CA" w14:textId="694ECEDA" w:rsidR="00844B11" w:rsidRPr="00844B11" w:rsidRDefault="00844B11" w:rsidP="00844B11">
      <w:pPr>
        <w:spacing w:line="240" w:lineRule="auto"/>
        <w:rPr>
          <w:rFonts w:eastAsia="Times New Roman" w:cs="Arial"/>
        </w:rPr>
      </w:pPr>
      <w:r w:rsidRPr="00844B11">
        <w:rPr>
          <w:rFonts w:eastAsia="Times New Roman" w:cs="Arial"/>
          <w:color w:val="000000"/>
          <w:lang w:eastAsia="bg-BG"/>
        </w:rPr>
        <w:t>При пациенти с вторична хиперхолестеролемия, причинена от хипотиреоидизъм или нефротичен синдром, основното заболяване трябва да се лекува преди започване на лечение с Атеростад.</w:t>
      </w:r>
    </w:p>
    <w:p w14:paraId="0F4E2E26" w14:textId="77777777" w:rsidR="00844B11" w:rsidRPr="00844B11" w:rsidRDefault="00844B11" w:rsidP="00844B11">
      <w:pPr>
        <w:spacing w:line="240" w:lineRule="auto"/>
        <w:rPr>
          <w:rFonts w:eastAsia="Times New Roman" w:cs="Arial"/>
          <w:color w:val="000000"/>
          <w:u w:val="single"/>
          <w:lang w:eastAsia="bg-BG"/>
        </w:rPr>
      </w:pPr>
    </w:p>
    <w:p w14:paraId="56598E19" w14:textId="50D17A50" w:rsidR="00844B11" w:rsidRPr="00844B11" w:rsidRDefault="00844B11" w:rsidP="00844B11">
      <w:pPr>
        <w:spacing w:line="240" w:lineRule="auto"/>
        <w:rPr>
          <w:rFonts w:eastAsia="Times New Roman" w:cs="Arial"/>
        </w:rPr>
      </w:pPr>
      <w:r w:rsidRPr="00844B11">
        <w:rPr>
          <w:rFonts w:eastAsia="Times New Roman" w:cs="Arial"/>
          <w:color w:val="000000"/>
          <w:u w:val="single"/>
          <w:lang w:eastAsia="bg-BG"/>
        </w:rPr>
        <w:t>Раса</w:t>
      </w:r>
    </w:p>
    <w:p w14:paraId="44AD2F12"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Фармакокинетичните проучвания показват, че при пациентите от азиатската раса е налице по- висока експозиция в сравнение с тези от кавказката (бялата) раса (вж. точка 4.2, точка 4.3 и точка 5.2).</w:t>
      </w:r>
    </w:p>
    <w:p w14:paraId="3CFF2998" w14:textId="77777777" w:rsidR="00844B11" w:rsidRPr="00844B11" w:rsidRDefault="00844B11" w:rsidP="00844B11">
      <w:pPr>
        <w:spacing w:line="240" w:lineRule="auto"/>
        <w:rPr>
          <w:rFonts w:eastAsia="Times New Roman" w:cs="Arial"/>
          <w:color w:val="000000"/>
          <w:u w:val="single"/>
          <w:lang w:eastAsia="bg-BG"/>
        </w:rPr>
      </w:pPr>
    </w:p>
    <w:p w14:paraId="42F3A526" w14:textId="454D2E89" w:rsidR="00844B11" w:rsidRPr="00844B11" w:rsidRDefault="00844B11" w:rsidP="00844B11">
      <w:pPr>
        <w:spacing w:line="240" w:lineRule="auto"/>
        <w:rPr>
          <w:rFonts w:eastAsia="Times New Roman" w:cs="Arial"/>
        </w:rPr>
      </w:pPr>
      <w:r w:rsidRPr="00844B11">
        <w:rPr>
          <w:rFonts w:eastAsia="Times New Roman" w:cs="Arial"/>
          <w:color w:val="000000"/>
          <w:u w:val="single"/>
          <w:lang w:eastAsia="bg-BG"/>
        </w:rPr>
        <w:t>Протеазни инхибитори</w:t>
      </w:r>
    </w:p>
    <w:p w14:paraId="2780EEAD" w14:textId="77777777" w:rsidR="00844B11" w:rsidRPr="00844B11" w:rsidRDefault="00844B11" w:rsidP="00844B11">
      <w:pPr>
        <w:rPr>
          <w:rFonts w:eastAsia="Times New Roman" w:cs="Arial"/>
        </w:rPr>
      </w:pPr>
      <w:r w:rsidRPr="00844B11">
        <w:rPr>
          <w:rFonts w:eastAsia="Times New Roman" w:cs="Arial"/>
          <w:color w:val="000000"/>
          <w:lang w:eastAsia="bg-BG"/>
        </w:rPr>
        <w:t>Повишена системна експозиция на розувастатин е наблюдавана при пациенти, приемащи</w:t>
      </w:r>
      <w:r w:rsidRPr="00844B11">
        <w:rPr>
          <w:rFonts w:eastAsia="Times New Roman" w:cs="Arial"/>
          <w:color w:val="000000"/>
          <w:u w:val="single"/>
          <w:lang w:eastAsia="bg-BG"/>
        </w:rPr>
        <w:t xml:space="preserve"> </w:t>
      </w:r>
      <w:r w:rsidRPr="00844B11">
        <w:rPr>
          <w:rFonts w:eastAsia="Times New Roman" w:cs="Arial"/>
          <w:color w:val="000000"/>
          <w:lang w:eastAsia="bg-BG"/>
        </w:rPr>
        <w:t xml:space="preserve">розувастатин едновременно с различни протеазни инхибитори в комбинация с ритонавир </w:t>
      </w:r>
      <w:r w:rsidRPr="00844B11">
        <w:rPr>
          <w:rFonts w:eastAsia="Times New Roman" w:cs="Arial"/>
          <w:color w:val="000000"/>
          <w:lang w:eastAsia="bg-BG"/>
        </w:rPr>
        <w:lastRenderedPageBreak/>
        <w:t xml:space="preserve">Трябва да се обмисли, както ползата от липидопонижаване чрез употреба на Атеростад при: пациенти с </w:t>
      </w:r>
      <w:r w:rsidRPr="00844B11">
        <w:rPr>
          <w:rFonts w:eastAsia="Times New Roman" w:cs="Arial"/>
          <w:color w:val="000000"/>
          <w:lang w:val="en-US"/>
        </w:rPr>
        <w:t>HIV</w:t>
      </w:r>
      <w:r w:rsidRPr="00844B11">
        <w:rPr>
          <w:rFonts w:eastAsia="Times New Roman" w:cs="Arial"/>
          <w:color w:val="000000"/>
          <w:lang w:val="ru-RU"/>
        </w:rPr>
        <w:t xml:space="preserve">, </w:t>
      </w:r>
      <w:r w:rsidRPr="00844B11">
        <w:rPr>
          <w:rFonts w:eastAsia="Times New Roman" w:cs="Arial"/>
          <w:color w:val="000000"/>
          <w:lang w:eastAsia="bg-BG"/>
        </w:rPr>
        <w:t>които приемат протеазни инхибитори, така и потенциала за повишена конценрация на розувастатин, когато се започва терапията и се повишава доза на розувастатин при пациенти, лекувани с протеазни инхибитори. Едновременното приложение с определени протеазни инхибитори не се препоръчва, освен ако дозата на Атеростад не се коригира (вижте точка 4.2 и 4.5).</w:t>
      </w:r>
    </w:p>
    <w:p w14:paraId="76C3F507" w14:textId="77777777" w:rsidR="00844B11" w:rsidRPr="00844B11" w:rsidRDefault="00844B11" w:rsidP="00844B11">
      <w:pPr>
        <w:spacing w:line="240" w:lineRule="auto"/>
        <w:rPr>
          <w:rFonts w:eastAsia="Times New Roman" w:cs="Arial"/>
          <w:color w:val="000000"/>
          <w:u w:val="single"/>
          <w:lang w:eastAsia="bg-BG"/>
        </w:rPr>
      </w:pPr>
    </w:p>
    <w:p w14:paraId="185118B9" w14:textId="58A616C2" w:rsidR="00844B11" w:rsidRPr="00844B11" w:rsidRDefault="00844B11" w:rsidP="00844B11">
      <w:pPr>
        <w:spacing w:line="240" w:lineRule="auto"/>
        <w:rPr>
          <w:rFonts w:eastAsia="Times New Roman" w:cs="Arial"/>
        </w:rPr>
      </w:pPr>
      <w:r w:rsidRPr="00844B11">
        <w:rPr>
          <w:rFonts w:eastAsia="Times New Roman" w:cs="Arial"/>
          <w:color w:val="000000"/>
          <w:u w:val="single"/>
          <w:lang w:eastAsia="bg-BG"/>
        </w:rPr>
        <w:t>Интерстициална белодробна болест</w:t>
      </w:r>
    </w:p>
    <w:p w14:paraId="7A2E3BAF"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Докладвани са изолирани случаи на интерстициална белодробна болест при приложение на някои статини, особено при продължителна терапия (вж. точка 4.8). Клиничните прояви могат да включват диспнея, непродуктивна кашлица и влошаване на общото състояние (умора, загуба на тегло и треска). Ако има подозрение, че пациентът е развил интерстициална белодробна болест, терапията със статин трябва да бъде преустановена.</w:t>
      </w:r>
    </w:p>
    <w:p w14:paraId="3A6979E9" w14:textId="77777777" w:rsidR="00844B11" w:rsidRPr="00844B11" w:rsidRDefault="00844B11" w:rsidP="00844B11">
      <w:pPr>
        <w:spacing w:line="240" w:lineRule="auto"/>
        <w:rPr>
          <w:rFonts w:eastAsia="Times New Roman" w:cs="Arial"/>
          <w:color w:val="000000"/>
          <w:u w:val="single"/>
          <w:lang w:eastAsia="bg-BG"/>
        </w:rPr>
      </w:pPr>
    </w:p>
    <w:p w14:paraId="5AB4978B" w14:textId="569C049A" w:rsidR="00844B11" w:rsidRPr="00844B11" w:rsidRDefault="00844B11" w:rsidP="00844B11">
      <w:pPr>
        <w:spacing w:line="240" w:lineRule="auto"/>
        <w:rPr>
          <w:rFonts w:eastAsia="Times New Roman" w:cs="Arial"/>
        </w:rPr>
      </w:pPr>
      <w:r w:rsidRPr="00844B11">
        <w:rPr>
          <w:rFonts w:eastAsia="Times New Roman" w:cs="Arial"/>
          <w:color w:val="000000"/>
          <w:u w:val="single"/>
          <w:lang w:eastAsia="bg-BG"/>
        </w:rPr>
        <w:t>Захарен диабет</w:t>
      </w:r>
    </w:p>
    <w:p w14:paraId="5D2689C9"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Някои доказателства предполагат, че стативите като клас повишават кръвната глюкоза и при някои пациенти, високорискови за развитие на диабет в бъдеще, могат да доведат до такова ниво на хипергликемия, при което е подходящо прилагането на редовната грижа, провеждана при диабет. Този риск, обаче се надделява от редукцията на васкуларния риск със статини и следователно не трябва да бъде причина за спиране на статиновата терапия. Рисковите пациенти (глюкоза на гладно 5,6 до 6,9 </w:t>
      </w:r>
      <w:proofErr w:type="spellStart"/>
      <w:r w:rsidRPr="00844B11">
        <w:rPr>
          <w:rFonts w:eastAsia="Times New Roman" w:cs="Arial"/>
          <w:color w:val="000000"/>
          <w:lang w:val="en-US"/>
        </w:rPr>
        <w:t>mmol</w:t>
      </w:r>
      <w:proofErr w:type="spellEnd"/>
      <w:r w:rsidRPr="00844B11">
        <w:rPr>
          <w:rFonts w:eastAsia="Times New Roman" w:cs="Arial"/>
          <w:color w:val="000000"/>
          <w:lang w:val="ru-RU"/>
        </w:rPr>
        <w:t xml:space="preserve">/1, </w:t>
      </w:r>
      <w:r w:rsidRPr="00844B11">
        <w:rPr>
          <w:rFonts w:eastAsia="Times New Roman" w:cs="Arial"/>
          <w:color w:val="000000"/>
          <w:lang w:eastAsia="bg-BG"/>
        </w:rPr>
        <w:t xml:space="preserve">индекс на телесна маса &gt;30 </w:t>
      </w:r>
      <w:r w:rsidRPr="00844B11">
        <w:rPr>
          <w:rFonts w:eastAsia="Times New Roman" w:cs="Arial"/>
          <w:color w:val="000000"/>
          <w:lang w:val="en-US"/>
        </w:rPr>
        <w:t>kg</w:t>
      </w:r>
      <w:r w:rsidRPr="00844B11">
        <w:rPr>
          <w:rFonts w:eastAsia="Times New Roman" w:cs="Arial"/>
          <w:color w:val="000000"/>
          <w:lang w:val="ru-RU"/>
        </w:rPr>
        <w:t>/</w:t>
      </w:r>
      <w:r w:rsidRPr="00844B11">
        <w:rPr>
          <w:rFonts w:eastAsia="Times New Roman" w:cs="Arial"/>
          <w:color w:val="000000"/>
          <w:lang w:val="en-US"/>
        </w:rPr>
        <w:t>m</w:t>
      </w:r>
      <w:r w:rsidRPr="00844B11">
        <w:rPr>
          <w:rFonts w:eastAsia="Times New Roman" w:cs="Arial"/>
          <w:color w:val="000000"/>
          <w:vertAlign w:val="superscript"/>
          <w:lang w:val="ru-RU"/>
        </w:rPr>
        <w:t>2</w:t>
      </w:r>
      <w:r w:rsidRPr="00844B11">
        <w:rPr>
          <w:rFonts w:eastAsia="Times New Roman" w:cs="Arial"/>
          <w:color w:val="000000"/>
          <w:lang w:val="ru-RU"/>
        </w:rPr>
        <w:t xml:space="preserve">, </w:t>
      </w:r>
      <w:r w:rsidRPr="00844B11">
        <w:rPr>
          <w:rFonts w:eastAsia="Times New Roman" w:cs="Arial"/>
          <w:color w:val="000000"/>
          <w:lang w:eastAsia="bg-BG"/>
        </w:rPr>
        <w:t>повишени стойности на триглицеридите, хипертония) трябва да се проследяват както клинично, така и биохимично, съгласно националните ръководства.</w:t>
      </w:r>
    </w:p>
    <w:p w14:paraId="02A6C77D" w14:textId="77777777" w:rsidR="00844B11" w:rsidRPr="00844B11" w:rsidRDefault="00844B11" w:rsidP="00844B11">
      <w:pPr>
        <w:spacing w:line="240" w:lineRule="auto"/>
        <w:rPr>
          <w:rFonts w:eastAsia="Times New Roman" w:cs="Arial"/>
          <w:color w:val="000000"/>
          <w:lang w:eastAsia="bg-BG"/>
        </w:rPr>
      </w:pPr>
    </w:p>
    <w:p w14:paraId="2A80B924" w14:textId="79490DE3"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В проучването </w:t>
      </w:r>
      <w:r w:rsidRPr="00844B11">
        <w:rPr>
          <w:rFonts w:eastAsia="Times New Roman" w:cs="Arial"/>
          <w:color w:val="000000"/>
          <w:lang w:val="en-US"/>
        </w:rPr>
        <w:t>JUPITER</w:t>
      </w:r>
      <w:r w:rsidRPr="00844B11">
        <w:rPr>
          <w:rFonts w:eastAsia="Times New Roman" w:cs="Arial"/>
          <w:color w:val="000000"/>
          <w:lang w:val="ru-RU"/>
        </w:rPr>
        <w:t xml:space="preserve">, </w:t>
      </w:r>
      <w:r w:rsidRPr="00844B11">
        <w:rPr>
          <w:rFonts w:eastAsia="Times New Roman" w:cs="Arial"/>
          <w:color w:val="000000"/>
          <w:lang w:eastAsia="bg-BG"/>
        </w:rPr>
        <w:t xml:space="preserve">съобщената обща честота на захарен диабет е 2,8% за розувастатин и 2,3% за плацебо, главно при пациенти с глюкоза на гладно 5,6 до 6,9 </w:t>
      </w:r>
      <w:proofErr w:type="spellStart"/>
      <w:r w:rsidRPr="00844B11">
        <w:rPr>
          <w:rFonts w:eastAsia="Times New Roman" w:cs="Arial"/>
          <w:color w:val="000000"/>
          <w:lang w:val="en-US"/>
        </w:rPr>
        <w:t>mmol</w:t>
      </w:r>
      <w:proofErr w:type="spellEnd"/>
      <w:r w:rsidRPr="00844B11">
        <w:rPr>
          <w:rFonts w:eastAsia="Times New Roman" w:cs="Arial"/>
          <w:color w:val="000000"/>
          <w:lang w:val="ru-RU"/>
        </w:rPr>
        <w:t>/1.</w:t>
      </w:r>
    </w:p>
    <w:p w14:paraId="164BE97D" w14:textId="77777777" w:rsidR="00844B11" w:rsidRPr="00844B11" w:rsidRDefault="00844B11" w:rsidP="00844B11">
      <w:pPr>
        <w:spacing w:line="240" w:lineRule="auto"/>
        <w:rPr>
          <w:rFonts w:eastAsia="Times New Roman" w:cs="Arial"/>
          <w:color w:val="000000"/>
          <w:u w:val="single"/>
          <w:lang w:eastAsia="bg-BG"/>
        </w:rPr>
      </w:pPr>
    </w:p>
    <w:p w14:paraId="274B5ABE" w14:textId="7B76C40C" w:rsidR="00844B11" w:rsidRPr="00844B11" w:rsidRDefault="00844B11" w:rsidP="00844B11">
      <w:pPr>
        <w:spacing w:line="240" w:lineRule="auto"/>
        <w:rPr>
          <w:rFonts w:eastAsia="Times New Roman" w:cs="Arial"/>
        </w:rPr>
      </w:pPr>
      <w:r w:rsidRPr="00844B11">
        <w:rPr>
          <w:rFonts w:eastAsia="Times New Roman" w:cs="Arial"/>
          <w:color w:val="000000"/>
          <w:u w:val="single"/>
          <w:lang w:eastAsia="bg-BG"/>
        </w:rPr>
        <w:t>Тежки кожни нежелани реакции</w:t>
      </w:r>
    </w:p>
    <w:p w14:paraId="10E4FB80"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При лечение с розувастатин се съобщава за тежки кожни нежелани реакции, включващи синдром на </w:t>
      </w:r>
      <w:r w:rsidRPr="00844B11">
        <w:rPr>
          <w:rFonts w:eastAsia="Times New Roman" w:cs="Arial"/>
          <w:color w:val="000000"/>
          <w:lang w:val="en-US"/>
        </w:rPr>
        <w:t>Stevens</w:t>
      </w:r>
      <w:r w:rsidRPr="00844B11">
        <w:rPr>
          <w:rFonts w:eastAsia="Times New Roman" w:cs="Arial"/>
          <w:color w:val="000000"/>
          <w:lang w:val="ru-RU"/>
        </w:rPr>
        <w:t xml:space="preserve"> </w:t>
      </w:r>
      <w:r w:rsidRPr="00844B11">
        <w:rPr>
          <w:rFonts w:eastAsia="Times New Roman" w:cs="Arial"/>
          <w:color w:val="000000"/>
          <w:lang w:val="en-US"/>
        </w:rPr>
        <w:t>Johnson</w:t>
      </w:r>
      <w:r w:rsidRPr="00844B11">
        <w:rPr>
          <w:rFonts w:eastAsia="Times New Roman" w:cs="Arial"/>
          <w:color w:val="000000"/>
          <w:lang w:val="ru-RU"/>
        </w:rPr>
        <w:t xml:space="preserve"> (</w:t>
      </w:r>
      <w:r w:rsidRPr="00844B11">
        <w:rPr>
          <w:rFonts w:eastAsia="Times New Roman" w:cs="Arial"/>
          <w:color w:val="000000"/>
          <w:lang w:val="en-US"/>
        </w:rPr>
        <w:t>SJS</w:t>
      </w:r>
      <w:r w:rsidRPr="00844B11">
        <w:rPr>
          <w:rFonts w:eastAsia="Times New Roman" w:cs="Arial"/>
          <w:color w:val="000000"/>
          <w:lang w:val="ru-RU"/>
        </w:rPr>
        <w:t xml:space="preserve">) </w:t>
      </w:r>
      <w:r w:rsidRPr="00844B11">
        <w:rPr>
          <w:rFonts w:eastAsia="Times New Roman" w:cs="Arial"/>
          <w:color w:val="000000"/>
          <w:lang w:eastAsia="bg-BG"/>
        </w:rPr>
        <w:t xml:space="preserve">и лекарствена реакция с еозинофилия и системни симптоми </w:t>
      </w:r>
      <w:r w:rsidRPr="00844B11">
        <w:rPr>
          <w:rFonts w:eastAsia="Times New Roman" w:cs="Arial"/>
          <w:color w:val="000000"/>
          <w:lang w:val="ru-RU"/>
        </w:rPr>
        <w:t>(</w:t>
      </w:r>
      <w:r w:rsidRPr="00844B11">
        <w:rPr>
          <w:rFonts w:eastAsia="Times New Roman" w:cs="Arial"/>
          <w:color w:val="000000"/>
          <w:lang w:val="en-US"/>
        </w:rPr>
        <w:t>DRESS</w:t>
      </w:r>
      <w:r w:rsidRPr="00844B11">
        <w:rPr>
          <w:rFonts w:eastAsia="Times New Roman" w:cs="Arial"/>
          <w:color w:val="000000"/>
          <w:lang w:val="ru-RU"/>
        </w:rPr>
        <w:t xml:space="preserve">), </w:t>
      </w:r>
      <w:r w:rsidRPr="00844B11">
        <w:rPr>
          <w:rFonts w:eastAsia="Times New Roman" w:cs="Arial"/>
          <w:color w:val="000000"/>
          <w:lang w:eastAsia="bg-BG"/>
        </w:rPr>
        <w:t>които може да са животозастрашаващи или с летален изход. При предписването на лекарствения продукт пациентите трябва да бъдат информирани за признаците и симптомите на тежки кожни реакции и да бъдат наблюдавани с повишено внимание. Ако се появят признаци и симптоми, показателни за тази реакция, приложението на лекарствения продукт трябва незабавно да се преустанови и да се обмисли алтернативно лечение.</w:t>
      </w:r>
    </w:p>
    <w:p w14:paraId="3B911420"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Ако пациентът е развил сериозна реакция, като например </w:t>
      </w:r>
      <w:r w:rsidRPr="00844B11">
        <w:rPr>
          <w:rFonts w:eastAsia="Times New Roman" w:cs="Arial"/>
          <w:color w:val="000000"/>
          <w:lang w:val="en-US"/>
        </w:rPr>
        <w:t>SJS</w:t>
      </w:r>
      <w:r w:rsidRPr="00844B11">
        <w:rPr>
          <w:rFonts w:eastAsia="Times New Roman" w:cs="Arial"/>
          <w:color w:val="000000"/>
          <w:lang w:val="ru-RU"/>
        </w:rPr>
        <w:t xml:space="preserve"> </w:t>
      </w:r>
      <w:r w:rsidRPr="00844B11">
        <w:rPr>
          <w:rFonts w:eastAsia="Times New Roman" w:cs="Arial"/>
          <w:color w:val="000000"/>
          <w:lang w:eastAsia="bg-BG"/>
        </w:rPr>
        <w:t xml:space="preserve">или </w:t>
      </w:r>
      <w:r w:rsidRPr="00844B11">
        <w:rPr>
          <w:rFonts w:eastAsia="Times New Roman" w:cs="Arial"/>
          <w:color w:val="000000"/>
          <w:lang w:val="en-US"/>
        </w:rPr>
        <w:t>DRESS</w:t>
      </w:r>
      <w:r w:rsidRPr="00844B11">
        <w:rPr>
          <w:rFonts w:eastAsia="Times New Roman" w:cs="Arial"/>
          <w:color w:val="000000"/>
          <w:lang w:val="ru-RU"/>
        </w:rPr>
        <w:t xml:space="preserve"> </w:t>
      </w:r>
      <w:r w:rsidRPr="00844B11">
        <w:rPr>
          <w:rFonts w:eastAsia="Times New Roman" w:cs="Arial"/>
          <w:color w:val="000000"/>
          <w:lang w:eastAsia="bg-BG"/>
        </w:rPr>
        <w:t>при употребата на лекарствения продукт, лечението с Атеростад не трябва никога да се подновява при този пациент.</w:t>
      </w:r>
    </w:p>
    <w:p w14:paraId="4C69A68E" w14:textId="77777777" w:rsidR="00844B11" w:rsidRPr="00844B11" w:rsidRDefault="00844B11" w:rsidP="00844B11">
      <w:pPr>
        <w:spacing w:line="240" w:lineRule="auto"/>
        <w:rPr>
          <w:rFonts w:eastAsia="Times New Roman" w:cs="Arial"/>
          <w:color w:val="000000"/>
          <w:u w:val="single"/>
          <w:lang w:eastAsia="bg-BG"/>
        </w:rPr>
      </w:pPr>
    </w:p>
    <w:p w14:paraId="47BDD30F" w14:textId="533FAA00" w:rsidR="00844B11" w:rsidRPr="00844B11" w:rsidRDefault="00844B11" w:rsidP="00844B11">
      <w:pPr>
        <w:spacing w:line="240" w:lineRule="auto"/>
        <w:rPr>
          <w:rFonts w:eastAsia="Times New Roman" w:cs="Arial"/>
        </w:rPr>
      </w:pPr>
      <w:r w:rsidRPr="00844B11">
        <w:rPr>
          <w:rFonts w:eastAsia="Times New Roman" w:cs="Arial"/>
          <w:color w:val="000000"/>
          <w:u w:val="single"/>
          <w:lang w:eastAsia="bg-BG"/>
        </w:rPr>
        <w:t>Педиатрична популация</w:t>
      </w:r>
    </w:p>
    <w:p w14:paraId="5856D292"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Оценяването на линейното израстване (височина), тегло, </w:t>
      </w:r>
      <w:r w:rsidRPr="00844B11">
        <w:rPr>
          <w:rFonts w:eastAsia="Times New Roman" w:cs="Arial"/>
          <w:color w:val="000000"/>
          <w:lang w:val="en-US"/>
        </w:rPr>
        <w:t>BMI</w:t>
      </w:r>
      <w:r w:rsidRPr="00844B11">
        <w:rPr>
          <w:rFonts w:eastAsia="Times New Roman" w:cs="Arial"/>
          <w:color w:val="000000"/>
          <w:lang w:val="ru-RU"/>
        </w:rPr>
        <w:t xml:space="preserve"> </w:t>
      </w:r>
      <w:r w:rsidRPr="00844B11">
        <w:rPr>
          <w:rFonts w:eastAsia="Times New Roman" w:cs="Arial"/>
          <w:color w:val="000000"/>
          <w:lang w:eastAsia="bg-BG"/>
        </w:rPr>
        <w:t xml:space="preserve">(индекс на телесната маса) и вторичните полови белези на половото съзряване по скалата на </w:t>
      </w:r>
      <w:r w:rsidRPr="00844B11">
        <w:rPr>
          <w:rFonts w:eastAsia="Times New Roman" w:cs="Arial"/>
          <w:color w:val="000000"/>
          <w:lang w:val="en-US"/>
        </w:rPr>
        <w:t>Tanner</w:t>
      </w:r>
      <w:r w:rsidRPr="00844B11">
        <w:rPr>
          <w:rFonts w:eastAsia="Times New Roman" w:cs="Arial"/>
          <w:color w:val="000000"/>
          <w:lang w:val="ru-RU"/>
        </w:rPr>
        <w:t xml:space="preserve"> </w:t>
      </w:r>
      <w:r w:rsidRPr="00844B11">
        <w:rPr>
          <w:rFonts w:eastAsia="Times New Roman" w:cs="Arial"/>
          <w:color w:val="000000"/>
          <w:lang w:eastAsia="bg-BG"/>
        </w:rPr>
        <w:t xml:space="preserve">при педиатрични пациенти на възраст 6 до 17 години, приемащи розувастатин, е ограничено до двугодишен период. След две години на третиране по време на проучването, не е забелязан никакъв ефект върху растежа, теглото, </w:t>
      </w:r>
      <w:r w:rsidRPr="00844B11">
        <w:rPr>
          <w:rFonts w:eastAsia="Times New Roman" w:cs="Arial"/>
          <w:color w:val="000000"/>
          <w:lang w:val="en-US"/>
        </w:rPr>
        <w:t>BMI</w:t>
      </w:r>
      <w:r w:rsidRPr="00844B11">
        <w:rPr>
          <w:rFonts w:eastAsia="Times New Roman" w:cs="Arial"/>
          <w:color w:val="000000"/>
          <w:lang w:val="ru-RU"/>
        </w:rPr>
        <w:t xml:space="preserve"> </w:t>
      </w:r>
      <w:r w:rsidRPr="00844B11">
        <w:rPr>
          <w:rFonts w:eastAsia="Times New Roman" w:cs="Arial"/>
          <w:color w:val="000000"/>
          <w:lang w:eastAsia="bg-BG"/>
        </w:rPr>
        <w:t>или половото съзряване (вж. точка 5.1).</w:t>
      </w:r>
    </w:p>
    <w:p w14:paraId="61FE4258" w14:textId="77777777" w:rsidR="00844B11" w:rsidRPr="00844B11" w:rsidRDefault="00844B11" w:rsidP="00844B11">
      <w:pPr>
        <w:spacing w:line="240" w:lineRule="auto"/>
        <w:rPr>
          <w:rFonts w:eastAsia="Times New Roman" w:cs="Arial"/>
          <w:color w:val="000000"/>
          <w:lang w:eastAsia="bg-BG"/>
        </w:rPr>
      </w:pPr>
    </w:p>
    <w:p w14:paraId="15D90901" w14:textId="0C277D4A" w:rsidR="00844B11" w:rsidRPr="00844B11" w:rsidRDefault="00844B11" w:rsidP="00844B11">
      <w:pPr>
        <w:spacing w:line="240" w:lineRule="auto"/>
        <w:rPr>
          <w:rFonts w:eastAsia="Times New Roman" w:cs="Arial"/>
        </w:rPr>
      </w:pPr>
      <w:r w:rsidRPr="00844B11">
        <w:rPr>
          <w:rFonts w:eastAsia="Times New Roman" w:cs="Arial"/>
          <w:color w:val="000000"/>
          <w:lang w:eastAsia="bg-BG"/>
        </w:rPr>
        <w:lastRenderedPageBreak/>
        <w:t xml:space="preserve">В клинично проучване на деца и юноши, приемащи розувастатин за 52 седмици, повишаване на СК &gt; 1 </w:t>
      </w:r>
      <w:proofErr w:type="spellStart"/>
      <w:r w:rsidRPr="00844B11">
        <w:rPr>
          <w:rFonts w:eastAsia="Times New Roman" w:cs="Arial"/>
          <w:color w:val="000000"/>
          <w:lang w:val="en-US"/>
        </w:rPr>
        <w:t>OxULN</w:t>
      </w:r>
      <w:proofErr w:type="spellEnd"/>
      <w:r w:rsidRPr="00844B11">
        <w:rPr>
          <w:rFonts w:eastAsia="Times New Roman" w:cs="Arial"/>
          <w:color w:val="000000"/>
          <w:lang w:val="ru-RU"/>
        </w:rPr>
        <w:t xml:space="preserve"> </w:t>
      </w:r>
      <w:r w:rsidRPr="00844B11">
        <w:rPr>
          <w:rFonts w:eastAsia="Times New Roman" w:cs="Arial"/>
          <w:color w:val="000000"/>
          <w:lang w:eastAsia="bg-BG"/>
        </w:rPr>
        <w:t>и мускулните симптоми след упражнение или повишена физическа активност са наблюдавани по-често в сравнение с наблюдения от клинични проучвания при възрастни (вж. точка 4.8).</w:t>
      </w:r>
    </w:p>
    <w:p w14:paraId="36FC863E" w14:textId="77777777" w:rsidR="00844B11" w:rsidRPr="00844B11" w:rsidRDefault="00844B11" w:rsidP="00844B11">
      <w:pPr>
        <w:spacing w:line="240" w:lineRule="auto"/>
        <w:rPr>
          <w:rFonts w:eastAsia="Times New Roman" w:cs="Arial"/>
          <w:color w:val="000000"/>
          <w:u w:val="single"/>
          <w:lang w:eastAsia="bg-BG"/>
        </w:rPr>
      </w:pPr>
    </w:p>
    <w:p w14:paraId="423B164C" w14:textId="7244083A" w:rsidR="00844B11" w:rsidRPr="00844B11" w:rsidRDefault="00844B11" w:rsidP="00844B11">
      <w:pPr>
        <w:spacing w:line="240" w:lineRule="auto"/>
        <w:rPr>
          <w:rFonts w:eastAsia="Times New Roman" w:cs="Arial"/>
        </w:rPr>
      </w:pPr>
      <w:r w:rsidRPr="00844B11">
        <w:rPr>
          <w:rFonts w:eastAsia="Times New Roman" w:cs="Arial"/>
          <w:color w:val="000000"/>
          <w:u w:val="single"/>
          <w:lang w:eastAsia="bg-BG"/>
        </w:rPr>
        <w:t>Помощни вещества</w:t>
      </w:r>
    </w:p>
    <w:p w14:paraId="6FD33E85"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Този лекарствен продукт съдържа лактоза.</w:t>
      </w:r>
    </w:p>
    <w:p w14:paraId="61408F70" w14:textId="10B6C507" w:rsidR="00844B11" w:rsidRPr="00844B11" w:rsidRDefault="00844B11" w:rsidP="00844B11">
      <w:pPr>
        <w:spacing w:line="240" w:lineRule="auto"/>
        <w:rPr>
          <w:rFonts w:eastAsia="Times New Roman" w:cs="Arial"/>
          <w:color w:val="000000"/>
          <w:lang w:eastAsia="bg-BG"/>
        </w:rPr>
      </w:pPr>
      <w:r w:rsidRPr="00844B11">
        <w:rPr>
          <w:rFonts w:eastAsia="Times New Roman" w:cs="Arial"/>
          <w:color w:val="000000"/>
          <w:lang w:eastAsia="bg-BG"/>
        </w:rPr>
        <w:t>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този лекарствен продукт.</w:t>
      </w:r>
    </w:p>
    <w:p w14:paraId="4EB1627A" w14:textId="77777777" w:rsidR="00844B11" w:rsidRPr="00844B11" w:rsidRDefault="00844B11" w:rsidP="00844B11">
      <w:pPr>
        <w:spacing w:line="240" w:lineRule="auto"/>
        <w:rPr>
          <w:rFonts w:ascii="Times New Roman" w:eastAsia="Times New Roman" w:hAnsi="Times New Roman" w:cs="Times New Roman"/>
          <w:sz w:val="24"/>
          <w:szCs w:val="24"/>
        </w:rPr>
      </w:pPr>
    </w:p>
    <w:p w14:paraId="619DED1E" w14:textId="5E45C56B"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B3883E" w14:textId="437E7B5B" w:rsidR="00844B11" w:rsidRDefault="00844B11" w:rsidP="00844B11"/>
    <w:p w14:paraId="12D44156" w14:textId="77777777" w:rsidR="00844B11" w:rsidRPr="00844B11" w:rsidRDefault="00844B11" w:rsidP="00844B11">
      <w:pPr>
        <w:spacing w:line="240" w:lineRule="auto"/>
        <w:rPr>
          <w:rFonts w:eastAsia="Times New Roman" w:cs="Arial"/>
          <w:sz w:val="28"/>
          <w:szCs w:val="24"/>
        </w:rPr>
      </w:pPr>
      <w:r w:rsidRPr="00844B11">
        <w:rPr>
          <w:rFonts w:eastAsia="Times New Roman" w:cs="Arial"/>
          <w:b/>
          <w:bCs/>
          <w:i/>
          <w:iCs/>
          <w:color w:val="000000"/>
          <w:szCs w:val="20"/>
          <w:lang w:eastAsia="bg-BG"/>
        </w:rPr>
        <w:t xml:space="preserve">Ефект на едновременно приложени лекарствени продукти върху розувастатин </w:t>
      </w:r>
      <w:r w:rsidRPr="00844B11">
        <w:rPr>
          <w:rFonts w:eastAsia="Times New Roman" w:cs="Arial"/>
          <w:b/>
          <w:bCs/>
          <w:color w:val="000000"/>
          <w:szCs w:val="20"/>
          <w:lang w:eastAsia="bg-BG"/>
        </w:rPr>
        <w:t xml:space="preserve">Инхибитори на транспортерните протеини: </w:t>
      </w:r>
      <w:r w:rsidRPr="00844B11">
        <w:rPr>
          <w:rFonts w:eastAsia="Times New Roman" w:cs="Arial"/>
          <w:color w:val="000000"/>
          <w:szCs w:val="20"/>
          <w:lang w:eastAsia="bg-BG"/>
        </w:rPr>
        <w:t xml:space="preserve">Розувастатин е субстрат на определени транспортерни протеини, включително чернодробния ъптейк транспортер ОАТР1В1 и ефлукс транспортера </w:t>
      </w:r>
      <w:r w:rsidRPr="00844B11">
        <w:rPr>
          <w:rFonts w:eastAsia="Times New Roman" w:cs="Arial"/>
          <w:color w:val="000000"/>
          <w:szCs w:val="20"/>
          <w:lang w:val="en-US"/>
        </w:rPr>
        <w:t>BCRP</w:t>
      </w:r>
      <w:r w:rsidRPr="00844B11">
        <w:rPr>
          <w:rFonts w:eastAsia="Times New Roman" w:cs="Arial"/>
          <w:color w:val="000000"/>
          <w:szCs w:val="20"/>
          <w:lang w:val="ru-RU"/>
        </w:rPr>
        <w:t xml:space="preserve">. </w:t>
      </w:r>
      <w:r w:rsidRPr="00844B11">
        <w:rPr>
          <w:rFonts w:eastAsia="Times New Roman" w:cs="Arial"/>
          <w:color w:val="000000"/>
          <w:szCs w:val="20"/>
          <w:lang w:eastAsia="bg-BG"/>
        </w:rPr>
        <w:t>Едновременното приложение на Розувастатин с лекарствени продукти, които са инхибитори на тези транспортерни протеини, може да доведе до повишаване на плазмената концентрация на розувастатин и повишен риск от миопатия (вж. таблица 1 и точки 4.2,4.4 и 4.5).</w:t>
      </w:r>
    </w:p>
    <w:p w14:paraId="4095672B" w14:textId="77777777" w:rsidR="00844B11" w:rsidRPr="00844B11" w:rsidRDefault="00844B11" w:rsidP="00844B11">
      <w:pPr>
        <w:spacing w:line="240" w:lineRule="auto"/>
        <w:rPr>
          <w:rFonts w:eastAsia="Times New Roman" w:cs="Arial"/>
          <w:b/>
          <w:bCs/>
          <w:color w:val="000000"/>
          <w:szCs w:val="20"/>
          <w:lang w:eastAsia="bg-BG"/>
        </w:rPr>
      </w:pPr>
    </w:p>
    <w:p w14:paraId="73DB44CC" w14:textId="7A022D6B" w:rsidR="00844B11" w:rsidRPr="00844B11" w:rsidRDefault="00844B11" w:rsidP="00844B11">
      <w:pPr>
        <w:spacing w:line="240" w:lineRule="auto"/>
        <w:rPr>
          <w:rFonts w:eastAsia="Times New Roman" w:cs="Arial"/>
          <w:sz w:val="28"/>
          <w:szCs w:val="24"/>
        </w:rPr>
      </w:pPr>
      <w:r w:rsidRPr="00844B11">
        <w:rPr>
          <w:rFonts w:eastAsia="Times New Roman" w:cs="Arial"/>
          <w:b/>
          <w:bCs/>
          <w:color w:val="000000"/>
          <w:szCs w:val="20"/>
          <w:lang w:eastAsia="bg-BG"/>
        </w:rPr>
        <w:t xml:space="preserve">Циклоспорин: </w:t>
      </w:r>
      <w:r w:rsidRPr="00844B11">
        <w:rPr>
          <w:rFonts w:eastAsia="Times New Roman" w:cs="Arial"/>
          <w:color w:val="000000"/>
          <w:szCs w:val="20"/>
          <w:lang w:eastAsia="bg-BG"/>
        </w:rPr>
        <w:t xml:space="preserve">При едновременното приложение на Розувастатин с циклоспорин, средните стойности на </w:t>
      </w:r>
      <w:r w:rsidRPr="00844B11">
        <w:rPr>
          <w:rFonts w:eastAsia="Times New Roman" w:cs="Arial"/>
          <w:color w:val="000000"/>
          <w:szCs w:val="20"/>
          <w:lang w:val="en-US"/>
        </w:rPr>
        <w:t>AUC</w:t>
      </w:r>
      <w:r w:rsidRPr="00844B11">
        <w:rPr>
          <w:rFonts w:eastAsia="Times New Roman" w:cs="Arial"/>
          <w:color w:val="000000"/>
          <w:szCs w:val="20"/>
          <w:lang w:val="ru-RU"/>
        </w:rPr>
        <w:t xml:space="preserve"> </w:t>
      </w:r>
      <w:r w:rsidRPr="00844B11">
        <w:rPr>
          <w:rFonts w:eastAsia="Times New Roman" w:cs="Arial"/>
          <w:color w:val="000000"/>
          <w:szCs w:val="20"/>
          <w:lang w:eastAsia="bg-BG"/>
        </w:rPr>
        <w:t>на розувастатин са били средно 7 пъти по-високи от тези, наблюдавани при здрави доброволци, на които е приложена същата доза (вж. таблица 1). Розувастатин е противопоказан при пациенти, които едновременно получават циклоспорин (вж. точка 4.3). Едновременното приложение не е повлияло плазмените концентрации на циклоспорин.</w:t>
      </w:r>
    </w:p>
    <w:p w14:paraId="2A6A953B" w14:textId="77777777" w:rsidR="00844B11" w:rsidRPr="00844B11" w:rsidRDefault="00844B11" w:rsidP="00844B11">
      <w:pPr>
        <w:spacing w:line="240" w:lineRule="auto"/>
        <w:rPr>
          <w:rFonts w:eastAsia="Times New Roman" w:cs="Arial"/>
          <w:b/>
          <w:bCs/>
          <w:color w:val="000000"/>
          <w:szCs w:val="20"/>
          <w:lang w:eastAsia="bg-BG"/>
        </w:rPr>
      </w:pPr>
    </w:p>
    <w:p w14:paraId="3DEB4E08" w14:textId="3EA3BBDB" w:rsidR="00844B11" w:rsidRPr="00844B11" w:rsidRDefault="00844B11" w:rsidP="00844B11">
      <w:pPr>
        <w:spacing w:line="240" w:lineRule="auto"/>
        <w:rPr>
          <w:rFonts w:eastAsia="Times New Roman" w:cs="Arial"/>
          <w:sz w:val="28"/>
          <w:szCs w:val="24"/>
        </w:rPr>
      </w:pPr>
      <w:r w:rsidRPr="00844B11">
        <w:rPr>
          <w:rFonts w:eastAsia="Times New Roman" w:cs="Arial"/>
          <w:b/>
          <w:bCs/>
          <w:color w:val="000000"/>
          <w:szCs w:val="20"/>
          <w:lang w:eastAsia="bg-BG"/>
        </w:rPr>
        <w:t xml:space="preserve">Протеазни инхибитори: </w:t>
      </w:r>
      <w:r w:rsidRPr="00844B11">
        <w:rPr>
          <w:rFonts w:eastAsia="Times New Roman" w:cs="Arial"/>
          <w:color w:val="000000"/>
          <w:szCs w:val="20"/>
          <w:lang w:eastAsia="bg-BG"/>
        </w:rPr>
        <w:t xml:space="preserve">Въпреки че точният механизъм на взаимодействие не е известен, едновременното приложение с протеазни инхибитори може рязко да повиши експозицията на розувастатин (вж. таблица 1). Например, едновременното приложение на 10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розувастатин и комбиниран продукт, състоящ се от два протеазни инхибитори (300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атазанавир/100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ритонавир) по време на едно фармакокинетично проучване при здрави доброволци, се асоциира с приблизително трикратно нарастване на </w:t>
      </w:r>
      <w:r w:rsidRPr="00844B11">
        <w:rPr>
          <w:rFonts w:eastAsia="Times New Roman" w:cs="Arial"/>
          <w:color w:val="000000"/>
          <w:szCs w:val="20"/>
          <w:lang w:val="en-US"/>
        </w:rPr>
        <w:t>AUC</w:t>
      </w:r>
      <w:r w:rsidRPr="00844B11">
        <w:rPr>
          <w:rFonts w:eastAsia="Times New Roman" w:cs="Arial"/>
          <w:color w:val="000000"/>
          <w:szCs w:val="20"/>
          <w:lang w:val="ru-RU"/>
        </w:rPr>
        <w:t xml:space="preserve"> </w:t>
      </w:r>
      <w:r w:rsidRPr="00844B11">
        <w:rPr>
          <w:rFonts w:eastAsia="Times New Roman" w:cs="Arial"/>
          <w:color w:val="000000"/>
          <w:szCs w:val="20"/>
          <w:lang w:eastAsia="bg-BG"/>
        </w:rPr>
        <w:t>на розувастатин. Едновременното приложение на Розувастатин и някои комбинации от протеазни инхибитори може да се има предвид след внимателно преценяване на корекциите на дозата на Розувастатин на база очакваното повишение на експозицията на розувастатин (таблица 1 и точки 4.2,4.4 и 4.5).</w:t>
      </w:r>
    </w:p>
    <w:p w14:paraId="4EA48A81" w14:textId="77777777" w:rsidR="00844B11" w:rsidRPr="00844B11" w:rsidRDefault="00844B11" w:rsidP="00844B11">
      <w:pPr>
        <w:spacing w:line="240" w:lineRule="auto"/>
        <w:rPr>
          <w:rFonts w:eastAsia="Times New Roman" w:cs="Arial"/>
          <w:b/>
          <w:bCs/>
          <w:color w:val="000000"/>
          <w:szCs w:val="20"/>
          <w:lang w:eastAsia="bg-BG"/>
        </w:rPr>
      </w:pPr>
    </w:p>
    <w:p w14:paraId="071D4F91" w14:textId="55EBB5A6" w:rsidR="00844B11" w:rsidRPr="00844B11" w:rsidRDefault="00844B11" w:rsidP="00844B11">
      <w:pPr>
        <w:spacing w:line="240" w:lineRule="auto"/>
        <w:rPr>
          <w:rFonts w:eastAsia="Times New Roman" w:cs="Arial"/>
          <w:sz w:val="28"/>
          <w:szCs w:val="24"/>
        </w:rPr>
      </w:pPr>
      <w:r w:rsidRPr="00844B11">
        <w:rPr>
          <w:rFonts w:eastAsia="Times New Roman" w:cs="Arial"/>
          <w:b/>
          <w:bCs/>
          <w:color w:val="000000"/>
          <w:szCs w:val="20"/>
          <w:lang w:eastAsia="bg-BG"/>
        </w:rPr>
        <w:t xml:space="preserve">Гемфиброзил и други липндопоиижаващи продукти: </w:t>
      </w:r>
      <w:r w:rsidRPr="00844B11">
        <w:rPr>
          <w:rFonts w:eastAsia="Times New Roman" w:cs="Arial"/>
          <w:color w:val="000000"/>
          <w:szCs w:val="20"/>
          <w:lang w:eastAsia="bg-BG"/>
        </w:rPr>
        <w:t xml:space="preserve">Едновременното приложение-на Розувастатин и гемфиброзил е довело до двукратно повишение на </w:t>
      </w:r>
      <w:proofErr w:type="spellStart"/>
      <w:r w:rsidRPr="00844B11">
        <w:rPr>
          <w:rFonts w:eastAsia="Times New Roman" w:cs="Arial"/>
          <w:color w:val="000000"/>
          <w:szCs w:val="20"/>
          <w:lang w:val="en-US"/>
        </w:rPr>
        <w:t>Cmax</w:t>
      </w:r>
      <w:proofErr w:type="spellEnd"/>
      <w:r w:rsidRPr="00844B11">
        <w:rPr>
          <w:rFonts w:eastAsia="Times New Roman" w:cs="Arial"/>
          <w:color w:val="000000"/>
          <w:szCs w:val="20"/>
          <w:lang w:eastAsia="bg-BG"/>
        </w:rPr>
        <w:t xml:space="preserve"> и </w:t>
      </w:r>
      <w:r w:rsidRPr="00844B11">
        <w:rPr>
          <w:rFonts w:eastAsia="Times New Roman" w:cs="Arial"/>
          <w:color w:val="000000"/>
          <w:szCs w:val="20"/>
          <w:lang w:val="en-US"/>
        </w:rPr>
        <w:t>AUC</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на розувастатин (вж.точка 4.4). Данните от фармакокинетичните проучвания, изследващи лекарствените взаимодействия, не показват взаимодействие с феиофибрат, но е възможна поява на фармакодинамични взаимодействия. Гемфиброзил, фенофибрат и останалите медикаменти от групата на фибратите и липидопонижаващите дози (в дози &gt;1 </w:t>
      </w:r>
      <w:r w:rsidRPr="00844B11">
        <w:rPr>
          <w:rFonts w:eastAsia="Times New Roman" w:cs="Arial"/>
          <w:color w:val="000000"/>
          <w:szCs w:val="20"/>
          <w:lang w:val="en-US"/>
        </w:rPr>
        <w:t>g</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на ден), ниацин (никотинова киселина), повишават риска от поява на миопатия при комбиниране с инхибитори на хидрокси- метил-глутарил-коензим А редуктазата, най-вероятно поради факта, че последните могат да предизвикат появата на това усложнение и при монотерапия. Дозата от 40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е противопоказана при едновременен прием на </w:t>
      </w:r>
      <w:r w:rsidRPr="00844B11">
        <w:rPr>
          <w:rFonts w:eastAsia="Times New Roman" w:cs="Arial"/>
          <w:color w:val="000000"/>
          <w:szCs w:val="20"/>
          <w:lang w:eastAsia="bg-BG"/>
        </w:rPr>
        <w:lastRenderedPageBreak/>
        <w:t xml:space="preserve">фибрата (вж. точка 4.3 и точка 4.4). При тези пациенти лечението също трябва да започне с 5 </w:t>
      </w:r>
      <w:r w:rsidRPr="00844B11">
        <w:rPr>
          <w:rFonts w:eastAsia="Times New Roman" w:cs="Arial"/>
          <w:color w:val="000000"/>
          <w:szCs w:val="20"/>
          <w:lang w:val="en-US"/>
        </w:rPr>
        <w:t>mg</w:t>
      </w:r>
      <w:r w:rsidRPr="00844B11">
        <w:rPr>
          <w:rFonts w:eastAsia="Times New Roman" w:cs="Arial"/>
          <w:color w:val="000000"/>
          <w:szCs w:val="20"/>
          <w:lang w:val="ru-RU"/>
        </w:rPr>
        <w:t>.</w:t>
      </w:r>
    </w:p>
    <w:p w14:paraId="6BE15982" w14:textId="77777777" w:rsidR="00844B11" w:rsidRPr="00844B11" w:rsidRDefault="00844B11" w:rsidP="00844B11">
      <w:pPr>
        <w:spacing w:line="240" w:lineRule="auto"/>
        <w:rPr>
          <w:rFonts w:eastAsia="Times New Roman" w:cs="Arial"/>
          <w:b/>
          <w:bCs/>
          <w:color w:val="000000"/>
          <w:szCs w:val="20"/>
          <w:lang w:eastAsia="bg-BG"/>
        </w:rPr>
      </w:pPr>
    </w:p>
    <w:p w14:paraId="0A822C2B" w14:textId="1962519B" w:rsidR="00844B11" w:rsidRPr="00844B11" w:rsidRDefault="00844B11" w:rsidP="00844B11">
      <w:pPr>
        <w:spacing w:line="240" w:lineRule="auto"/>
        <w:rPr>
          <w:rFonts w:eastAsia="Times New Roman" w:cs="Arial"/>
          <w:sz w:val="28"/>
          <w:szCs w:val="24"/>
        </w:rPr>
      </w:pPr>
      <w:r w:rsidRPr="00844B11">
        <w:rPr>
          <w:rFonts w:eastAsia="Times New Roman" w:cs="Arial"/>
          <w:b/>
          <w:bCs/>
          <w:color w:val="000000"/>
          <w:szCs w:val="20"/>
          <w:lang w:eastAsia="bg-BG"/>
        </w:rPr>
        <w:t xml:space="preserve">Езетимиб: </w:t>
      </w:r>
      <w:r w:rsidRPr="00844B11">
        <w:rPr>
          <w:rFonts w:eastAsia="Times New Roman" w:cs="Arial"/>
          <w:color w:val="000000"/>
          <w:szCs w:val="20"/>
          <w:lang w:eastAsia="bg-BG"/>
        </w:rPr>
        <w:t xml:space="preserve">Едновременното използване на 40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Розувастатин и 10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езетимиб не води до промени в </w:t>
      </w:r>
      <w:r w:rsidRPr="00844B11">
        <w:rPr>
          <w:rFonts w:eastAsia="Times New Roman" w:cs="Arial"/>
          <w:color w:val="000000"/>
          <w:szCs w:val="20"/>
          <w:lang w:val="en-US"/>
        </w:rPr>
        <w:t>AUC</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и на двата продукта, когато се прилагат при здрави доброволци. Има 1,2 пъти повишение на </w:t>
      </w:r>
      <w:r w:rsidRPr="00844B11">
        <w:rPr>
          <w:rFonts w:eastAsia="Times New Roman" w:cs="Arial"/>
          <w:color w:val="000000"/>
          <w:szCs w:val="20"/>
          <w:lang w:val="en-US"/>
        </w:rPr>
        <w:t>AUC</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на розувастатин, когато 10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Розувастатин и 10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езетимиб са приложени при пациенти с хиперхолестеролемия (таблица 1). Не може да се изключи фармакодинамично взаимодействие между тях, което да има за резултат нежелани реакции (вж. точка 4.4).</w:t>
      </w:r>
    </w:p>
    <w:p w14:paraId="401531A0" w14:textId="77777777" w:rsidR="00844B11" w:rsidRPr="00844B11" w:rsidRDefault="00844B11" w:rsidP="00844B11">
      <w:pPr>
        <w:spacing w:line="240" w:lineRule="auto"/>
        <w:rPr>
          <w:rFonts w:eastAsia="Times New Roman" w:cs="Arial"/>
          <w:b/>
          <w:bCs/>
          <w:color w:val="000000"/>
          <w:szCs w:val="20"/>
          <w:lang w:eastAsia="bg-BG"/>
        </w:rPr>
      </w:pPr>
    </w:p>
    <w:p w14:paraId="720E6869" w14:textId="77777777" w:rsidR="00844B11" w:rsidRPr="00844B11" w:rsidRDefault="00844B11" w:rsidP="00844B11">
      <w:pPr>
        <w:spacing w:line="240" w:lineRule="auto"/>
        <w:rPr>
          <w:rFonts w:eastAsia="Times New Roman" w:cs="Arial"/>
          <w:b/>
          <w:bCs/>
          <w:color w:val="000000"/>
          <w:szCs w:val="20"/>
          <w:lang w:eastAsia="bg-BG"/>
        </w:rPr>
      </w:pPr>
    </w:p>
    <w:p w14:paraId="3EE533D4" w14:textId="081D95F4" w:rsidR="00844B11" w:rsidRPr="00844B11" w:rsidRDefault="00844B11" w:rsidP="00844B11">
      <w:pPr>
        <w:spacing w:line="240" w:lineRule="auto"/>
        <w:rPr>
          <w:rFonts w:eastAsia="Times New Roman" w:cs="Arial"/>
          <w:sz w:val="28"/>
          <w:szCs w:val="24"/>
        </w:rPr>
      </w:pPr>
      <w:r w:rsidRPr="00844B11">
        <w:rPr>
          <w:rFonts w:eastAsia="Times New Roman" w:cs="Arial"/>
          <w:b/>
          <w:bCs/>
          <w:color w:val="000000"/>
          <w:szCs w:val="20"/>
          <w:lang w:eastAsia="bg-BG"/>
        </w:rPr>
        <w:t xml:space="preserve">Антиациди: </w:t>
      </w:r>
      <w:r w:rsidRPr="00844B11">
        <w:rPr>
          <w:rFonts w:eastAsia="Times New Roman" w:cs="Arial"/>
          <w:color w:val="000000"/>
          <w:szCs w:val="20"/>
          <w:lang w:eastAsia="bg-BG"/>
        </w:rPr>
        <w:t xml:space="preserve">Едновременното приложение на Розувастатин с антиацидна суспензия, съдържаща алуминиев и магнезиев хидроксид, е довело до намаляване на плазмената концентрация на розувастатин с приблизително </w:t>
      </w:r>
      <w:r w:rsidRPr="00844B11">
        <w:rPr>
          <w:rFonts w:eastAsia="Times New Roman" w:cs="Arial"/>
          <w:i/>
          <w:iCs/>
          <w:color w:val="000000"/>
          <w:szCs w:val="20"/>
          <w:lang w:eastAsia="bg-BG"/>
        </w:rPr>
        <w:t>50%.</w:t>
      </w:r>
      <w:r w:rsidRPr="00844B11">
        <w:rPr>
          <w:rFonts w:eastAsia="Times New Roman" w:cs="Arial"/>
          <w:color w:val="000000"/>
          <w:szCs w:val="20"/>
          <w:lang w:eastAsia="bg-BG"/>
        </w:rPr>
        <w:t xml:space="preserve"> Този ефект е бил отслабен, когато антиацидите са давани 2 часа след приема на Розувастатин. Клиничното значение на това взаимодействие не е изследвано.</w:t>
      </w:r>
    </w:p>
    <w:p w14:paraId="664F1AD0" w14:textId="2DC87BE2" w:rsidR="00844B11" w:rsidRPr="00844B11" w:rsidRDefault="00844B11" w:rsidP="00844B11">
      <w:pPr>
        <w:rPr>
          <w:rFonts w:cs="Arial"/>
          <w:sz w:val="24"/>
        </w:rPr>
      </w:pPr>
    </w:p>
    <w:p w14:paraId="60111D4D" w14:textId="77777777" w:rsidR="00844B11" w:rsidRPr="00844B11" w:rsidRDefault="00844B11" w:rsidP="00844B11">
      <w:pPr>
        <w:spacing w:line="240" w:lineRule="auto"/>
        <w:rPr>
          <w:rFonts w:eastAsia="Times New Roman" w:cs="Arial"/>
          <w:sz w:val="28"/>
          <w:szCs w:val="24"/>
        </w:rPr>
      </w:pPr>
      <w:r w:rsidRPr="00844B11">
        <w:rPr>
          <w:rFonts w:eastAsia="Times New Roman" w:cs="Arial"/>
          <w:b/>
          <w:bCs/>
          <w:color w:val="000000"/>
          <w:szCs w:val="20"/>
          <w:lang w:eastAsia="bg-BG"/>
        </w:rPr>
        <w:t xml:space="preserve">Еритромицин: </w:t>
      </w:r>
      <w:r w:rsidRPr="00844B11">
        <w:rPr>
          <w:rFonts w:eastAsia="Times New Roman" w:cs="Arial"/>
          <w:color w:val="000000"/>
          <w:szCs w:val="20"/>
          <w:lang w:eastAsia="bg-BG"/>
        </w:rPr>
        <w:t xml:space="preserve">Едновременният прием на Розувастатин и еритромицин е довел до 20% намаление на </w:t>
      </w:r>
      <w:r w:rsidRPr="00844B11">
        <w:rPr>
          <w:rFonts w:eastAsia="Times New Roman" w:cs="Arial"/>
          <w:color w:val="000000"/>
          <w:szCs w:val="20"/>
          <w:lang w:val="en-US"/>
        </w:rPr>
        <w:t>AUC</w:t>
      </w:r>
      <w:r w:rsidRPr="00844B11">
        <w:rPr>
          <w:rFonts w:eastAsia="Times New Roman" w:cs="Arial"/>
          <w:color w:val="000000"/>
          <w:szCs w:val="20"/>
          <w:lang w:val="ru-RU"/>
        </w:rPr>
        <w:t xml:space="preserve"> (0-</w:t>
      </w:r>
      <w:r w:rsidRPr="00844B11">
        <w:rPr>
          <w:rFonts w:eastAsia="Times New Roman" w:cs="Arial"/>
          <w:color w:val="000000"/>
          <w:szCs w:val="20"/>
          <w:lang w:val="en-US"/>
        </w:rPr>
        <w:t>t</w:t>
      </w:r>
      <w:r w:rsidRPr="00844B11">
        <w:rPr>
          <w:rFonts w:eastAsia="Times New Roman" w:cs="Arial"/>
          <w:color w:val="000000"/>
          <w:szCs w:val="20"/>
          <w:lang w:val="ru-RU"/>
        </w:rPr>
        <w:t xml:space="preserve">) </w:t>
      </w:r>
      <w:r w:rsidRPr="00844B11">
        <w:rPr>
          <w:rFonts w:eastAsia="Times New Roman" w:cs="Arial"/>
          <w:color w:val="000000"/>
          <w:szCs w:val="20"/>
          <w:lang w:eastAsia="bg-BG"/>
        </w:rPr>
        <w:t>и 30% намаление на С</w:t>
      </w:r>
      <w:r w:rsidRPr="00844B11">
        <w:rPr>
          <w:rFonts w:eastAsia="Times New Roman" w:cs="Arial"/>
          <w:color w:val="000000"/>
          <w:szCs w:val="20"/>
          <w:lang w:val="en-US"/>
        </w:rPr>
        <w:t>max</w:t>
      </w:r>
      <w:r w:rsidRPr="00844B11">
        <w:rPr>
          <w:rFonts w:eastAsia="Times New Roman" w:cs="Arial"/>
          <w:color w:val="000000"/>
          <w:szCs w:val="20"/>
          <w:lang w:eastAsia="bg-BG"/>
        </w:rPr>
        <w:t xml:space="preserve"> на розувастатин. Взаимодействието може да е предизвикано от повишения чревен мотилитет, вследствие на приема на еритромицин.</w:t>
      </w:r>
    </w:p>
    <w:p w14:paraId="59003C15" w14:textId="77777777" w:rsidR="00844B11" w:rsidRPr="00844B11" w:rsidRDefault="00844B11" w:rsidP="00844B11">
      <w:pPr>
        <w:spacing w:line="240" w:lineRule="auto"/>
        <w:rPr>
          <w:rFonts w:eastAsia="Times New Roman" w:cs="Arial"/>
          <w:b/>
          <w:bCs/>
          <w:color w:val="000000"/>
          <w:szCs w:val="20"/>
          <w:lang w:eastAsia="bg-BG"/>
        </w:rPr>
      </w:pPr>
    </w:p>
    <w:p w14:paraId="0B9DEBEB" w14:textId="3921993B" w:rsidR="00844B11" w:rsidRPr="00844B11" w:rsidRDefault="00844B11" w:rsidP="00844B11">
      <w:pPr>
        <w:spacing w:line="240" w:lineRule="auto"/>
        <w:rPr>
          <w:rFonts w:eastAsia="Times New Roman" w:cs="Arial"/>
          <w:sz w:val="28"/>
          <w:szCs w:val="24"/>
        </w:rPr>
      </w:pPr>
      <w:r w:rsidRPr="00844B11">
        <w:rPr>
          <w:rFonts w:eastAsia="Times New Roman" w:cs="Arial"/>
          <w:b/>
          <w:bCs/>
          <w:color w:val="000000"/>
          <w:szCs w:val="20"/>
          <w:lang w:eastAsia="bg-BG"/>
        </w:rPr>
        <w:t xml:space="preserve">Ензими от системата на цитохром Р450: </w:t>
      </w:r>
      <w:r w:rsidRPr="00844B11">
        <w:rPr>
          <w:rFonts w:eastAsia="Times New Roman" w:cs="Arial"/>
          <w:color w:val="000000"/>
          <w:szCs w:val="20"/>
          <w:lang w:eastAsia="bg-BG"/>
        </w:rPr>
        <w:t xml:space="preserve">Данните от </w:t>
      </w:r>
      <w:r w:rsidRPr="00844B11">
        <w:rPr>
          <w:rFonts w:eastAsia="Times New Roman" w:cs="Arial"/>
          <w:i/>
          <w:iCs/>
          <w:color w:val="000000"/>
          <w:szCs w:val="20"/>
          <w:lang w:val="en-US"/>
        </w:rPr>
        <w:t>in</w:t>
      </w:r>
      <w:r w:rsidRPr="00844B11">
        <w:rPr>
          <w:rFonts w:eastAsia="Times New Roman" w:cs="Arial"/>
          <w:i/>
          <w:iCs/>
          <w:color w:val="000000"/>
          <w:szCs w:val="20"/>
          <w:lang w:val="ru-RU"/>
        </w:rPr>
        <w:t xml:space="preserve"> </w:t>
      </w:r>
      <w:r w:rsidRPr="00844B11">
        <w:rPr>
          <w:rFonts w:eastAsia="Times New Roman" w:cs="Arial"/>
          <w:i/>
          <w:iCs/>
          <w:color w:val="000000"/>
          <w:szCs w:val="20"/>
          <w:lang w:val="en-US"/>
        </w:rPr>
        <w:t>vitro</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и </w:t>
      </w:r>
      <w:r w:rsidRPr="00844B11">
        <w:rPr>
          <w:rFonts w:eastAsia="Times New Roman" w:cs="Arial"/>
          <w:i/>
          <w:iCs/>
          <w:color w:val="000000"/>
          <w:szCs w:val="20"/>
          <w:lang w:val="en-US"/>
        </w:rPr>
        <w:t>in</w:t>
      </w:r>
      <w:r w:rsidRPr="00844B11">
        <w:rPr>
          <w:rFonts w:eastAsia="Times New Roman" w:cs="Arial"/>
          <w:i/>
          <w:iCs/>
          <w:color w:val="000000"/>
          <w:szCs w:val="20"/>
          <w:lang w:val="ru-RU"/>
        </w:rPr>
        <w:t xml:space="preserve"> </w:t>
      </w:r>
      <w:r w:rsidRPr="00844B11">
        <w:rPr>
          <w:rFonts w:eastAsia="Times New Roman" w:cs="Arial"/>
          <w:i/>
          <w:iCs/>
          <w:color w:val="000000"/>
          <w:szCs w:val="20"/>
          <w:lang w:val="en-US"/>
        </w:rPr>
        <w:t>vivo</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проучвания показват, че розувастатин не е нито инхибитор, нито индуктор на цитохром Р450 изоензимите. Розувастатин е слаб субстрат за тези изоензими. Следователно, лекарствени взаимодействия резултат от цитохром Р450-медиирания метаболизъм не се очакват. Не са наблюдавани клинично значими взаимодействия между розувастатин и флуконазол (инхибитор на </w:t>
      </w:r>
      <w:r w:rsidRPr="00844B11">
        <w:rPr>
          <w:rFonts w:eastAsia="Times New Roman" w:cs="Arial"/>
          <w:color w:val="000000"/>
          <w:szCs w:val="20"/>
          <w:lang w:val="en-US"/>
        </w:rPr>
        <w:t>CYP</w:t>
      </w:r>
      <w:r w:rsidRPr="00844B11">
        <w:rPr>
          <w:rFonts w:eastAsia="Times New Roman" w:cs="Arial"/>
          <w:color w:val="000000"/>
          <w:szCs w:val="20"/>
          <w:lang w:val="ru-RU"/>
        </w:rPr>
        <w:t>2</w:t>
      </w:r>
      <w:r w:rsidRPr="00844B11">
        <w:rPr>
          <w:rFonts w:eastAsia="Times New Roman" w:cs="Arial"/>
          <w:color w:val="000000"/>
          <w:szCs w:val="20"/>
          <w:lang w:val="en-US"/>
        </w:rPr>
        <w:t>C</w:t>
      </w:r>
      <w:r w:rsidRPr="00844B11">
        <w:rPr>
          <w:rFonts w:eastAsia="Times New Roman" w:cs="Arial"/>
          <w:color w:val="000000"/>
          <w:szCs w:val="20"/>
          <w:lang w:val="ru-RU"/>
        </w:rPr>
        <w:t xml:space="preserve">9 </w:t>
      </w:r>
      <w:r w:rsidRPr="00844B11">
        <w:rPr>
          <w:rFonts w:eastAsia="Times New Roman" w:cs="Arial"/>
          <w:color w:val="000000"/>
          <w:szCs w:val="20"/>
          <w:lang w:eastAsia="bg-BG"/>
        </w:rPr>
        <w:t xml:space="preserve">и </w:t>
      </w:r>
      <w:r w:rsidRPr="00844B11">
        <w:rPr>
          <w:rFonts w:eastAsia="Times New Roman" w:cs="Arial"/>
          <w:color w:val="000000"/>
          <w:szCs w:val="20"/>
          <w:lang w:val="en-US"/>
        </w:rPr>
        <w:t>CYP</w:t>
      </w:r>
      <w:r w:rsidRPr="00844B11">
        <w:rPr>
          <w:rFonts w:eastAsia="Times New Roman" w:cs="Arial"/>
          <w:color w:val="000000"/>
          <w:szCs w:val="20"/>
          <w:lang w:val="ru-RU"/>
        </w:rPr>
        <w:t>3</w:t>
      </w:r>
      <w:r w:rsidRPr="00844B11">
        <w:rPr>
          <w:rFonts w:eastAsia="Times New Roman" w:cs="Arial"/>
          <w:color w:val="000000"/>
          <w:szCs w:val="20"/>
          <w:lang w:val="en-US"/>
        </w:rPr>
        <w:t>A</w:t>
      </w:r>
      <w:r w:rsidRPr="00844B11">
        <w:rPr>
          <w:rFonts w:eastAsia="Times New Roman" w:cs="Arial"/>
          <w:color w:val="000000"/>
          <w:szCs w:val="20"/>
          <w:lang w:val="ru-RU"/>
        </w:rPr>
        <w:t xml:space="preserve">4) </w:t>
      </w:r>
      <w:r w:rsidRPr="00844B11">
        <w:rPr>
          <w:rFonts w:eastAsia="Times New Roman" w:cs="Arial"/>
          <w:color w:val="000000"/>
          <w:szCs w:val="20"/>
          <w:lang w:eastAsia="bg-BG"/>
        </w:rPr>
        <w:t xml:space="preserve">или кетоконазол (инхибитор на </w:t>
      </w:r>
      <w:r w:rsidRPr="00844B11">
        <w:rPr>
          <w:rFonts w:eastAsia="Times New Roman" w:cs="Arial"/>
          <w:color w:val="000000"/>
          <w:szCs w:val="20"/>
          <w:lang w:val="en-US"/>
        </w:rPr>
        <w:t>CYP</w:t>
      </w:r>
      <w:r w:rsidRPr="00844B11">
        <w:rPr>
          <w:rFonts w:eastAsia="Times New Roman" w:cs="Arial"/>
          <w:color w:val="000000"/>
          <w:szCs w:val="20"/>
          <w:lang w:val="ru-RU"/>
        </w:rPr>
        <w:t>2</w:t>
      </w:r>
      <w:r w:rsidRPr="00844B11">
        <w:rPr>
          <w:rFonts w:eastAsia="Times New Roman" w:cs="Arial"/>
          <w:color w:val="000000"/>
          <w:szCs w:val="20"/>
          <w:lang w:val="en-US"/>
        </w:rPr>
        <w:t>A</w:t>
      </w:r>
      <w:r w:rsidRPr="00844B11">
        <w:rPr>
          <w:rFonts w:eastAsia="Times New Roman" w:cs="Arial"/>
          <w:color w:val="000000"/>
          <w:szCs w:val="20"/>
          <w:lang w:val="ru-RU"/>
        </w:rPr>
        <w:t xml:space="preserve">6 </w:t>
      </w:r>
      <w:r w:rsidRPr="00844B11">
        <w:rPr>
          <w:rFonts w:eastAsia="Times New Roman" w:cs="Arial"/>
          <w:color w:val="000000"/>
          <w:szCs w:val="20"/>
          <w:lang w:eastAsia="bg-BG"/>
        </w:rPr>
        <w:t xml:space="preserve">и </w:t>
      </w:r>
      <w:r w:rsidRPr="00844B11">
        <w:rPr>
          <w:rFonts w:eastAsia="Times New Roman" w:cs="Arial"/>
          <w:color w:val="000000"/>
          <w:szCs w:val="20"/>
          <w:lang w:val="en-US"/>
        </w:rPr>
        <w:t>CYP</w:t>
      </w:r>
      <w:r w:rsidRPr="00844B11">
        <w:rPr>
          <w:rFonts w:eastAsia="Times New Roman" w:cs="Arial"/>
          <w:color w:val="000000"/>
          <w:szCs w:val="20"/>
          <w:lang w:val="ru-RU"/>
        </w:rPr>
        <w:t>3</w:t>
      </w:r>
      <w:r w:rsidRPr="00844B11">
        <w:rPr>
          <w:rFonts w:eastAsia="Times New Roman" w:cs="Arial"/>
          <w:color w:val="000000"/>
          <w:szCs w:val="20"/>
          <w:lang w:val="en-US"/>
        </w:rPr>
        <w:t>A</w:t>
      </w:r>
      <w:r w:rsidRPr="00844B11">
        <w:rPr>
          <w:rFonts w:eastAsia="Times New Roman" w:cs="Arial"/>
          <w:color w:val="000000"/>
          <w:szCs w:val="20"/>
          <w:lang w:val="ru-RU"/>
        </w:rPr>
        <w:t xml:space="preserve">4). </w:t>
      </w:r>
      <w:r w:rsidRPr="00844B11">
        <w:rPr>
          <w:rFonts w:eastAsia="Times New Roman" w:cs="Arial"/>
          <w:color w:val="000000"/>
          <w:szCs w:val="20"/>
          <w:lang w:eastAsia="bg-BG"/>
        </w:rPr>
        <w:t xml:space="preserve">Едновременният прием на итраконазол (инхибитор на </w:t>
      </w:r>
      <w:r w:rsidRPr="00844B11">
        <w:rPr>
          <w:rFonts w:eastAsia="Times New Roman" w:cs="Arial"/>
          <w:color w:val="000000"/>
          <w:szCs w:val="20"/>
          <w:lang w:val="en-US"/>
        </w:rPr>
        <w:t>CYP</w:t>
      </w:r>
      <w:r w:rsidRPr="00844B11">
        <w:rPr>
          <w:rFonts w:eastAsia="Times New Roman" w:cs="Arial"/>
          <w:color w:val="000000"/>
          <w:szCs w:val="20"/>
          <w:lang w:val="ru-RU"/>
        </w:rPr>
        <w:t>3</w:t>
      </w:r>
      <w:r w:rsidRPr="00844B11">
        <w:rPr>
          <w:rFonts w:eastAsia="Times New Roman" w:cs="Arial"/>
          <w:color w:val="000000"/>
          <w:szCs w:val="20"/>
          <w:lang w:val="en-US"/>
        </w:rPr>
        <w:t>A</w:t>
      </w:r>
      <w:r w:rsidRPr="00844B11">
        <w:rPr>
          <w:rFonts w:eastAsia="Times New Roman" w:cs="Arial"/>
          <w:color w:val="000000"/>
          <w:szCs w:val="20"/>
          <w:lang w:val="ru-RU"/>
        </w:rPr>
        <w:t xml:space="preserve">4) </w:t>
      </w:r>
      <w:r w:rsidRPr="00844B11">
        <w:rPr>
          <w:rFonts w:eastAsia="Times New Roman" w:cs="Arial"/>
          <w:color w:val="000000"/>
          <w:szCs w:val="20"/>
          <w:lang w:eastAsia="bg-BG"/>
        </w:rPr>
        <w:t xml:space="preserve">и розувастатин води до 28% увеличение на </w:t>
      </w:r>
      <w:r w:rsidRPr="00844B11">
        <w:rPr>
          <w:rFonts w:eastAsia="Times New Roman" w:cs="Arial"/>
          <w:color w:val="000000"/>
          <w:szCs w:val="20"/>
          <w:lang w:val="en-US"/>
        </w:rPr>
        <w:t>AUC</w:t>
      </w:r>
      <w:r w:rsidRPr="00844B11">
        <w:rPr>
          <w:rFonts w:eastAsia="Times New Roman" w:cs="Arial"/>
          <w:color w:val="000000"/>
          <w:szCs w:val="20"/>
          <w:lang w:val="ru-RU"/>
        </w:rPr>
        <w:t xml:space="preserve"> </w:t>
      </w:r>
      <w:r w:rsidRPr="00844B11">
        <w:rPr>
          <w:rFonts w:eastAsia="Times New Roman" w:cs="Arial"/>
          <w:color w:val="000000"/>
          <w:szCs w:val="20"/>
          <w:lang w:eastAsia="bg-BG"/>
        </w:rPr>
        <w:t>на розувастатин. Това малко увеличение не е клинично значимо. По тази причина лекарствени взаимодействия в следствие на метаболизъм, медииран от цитохром Р450, не се очакват.</w:t>
      </w:r>
    </w:p>
    <w:p w14:paraId="21BF26B5" w14:textId="77777777" w:rsidR="00844B11" w:rsidRPr="00844B11" w:rsidRDefault="00844B11" w:rsidP="00844B11">
      <w:pPr>
        <w:spacing w:line="240" w:lineRule="auto"/>
        <w:rPr>
          <w:rFonts w:eastAsia="Times New Roman" w:cs="Arial"/>
          <w:b/>
          <w:bCs/>
          <w:color w:val="000000"/>
          <w:szCs w:val="20"/>
          <w:lang w:eastAsia="bg-BG"/>
        </w:rPr>
      </w:pPr>
    </w:p>
    <w:p w14:paraId="44703AC9" w14:textId="790DCEB0" w:rsidR="00844B11" w:rsidRPr="00844B11" w:rsidRDefault="00844B11" w:rsidP="00844B11">
      <w:pPr>
        <w:spacing w:line="240" w:lineRule="auto"/>
        <w:rPr>
          <w:rFonts w:eastAsia="Times New Roman" w:cs="Arial"/>
          <w:sz w:val="28"/>
          <w:szCs w:val="24"/>
        </w:rPr>
      </w:pPr>
      <w:r w:rsidRPr="00844B11">
        <w:rPr>
          <w:rFonts w:eastAsia="Times New Roman" w:cs="Arial"/>
          <w:b/>
          <w:bCs/>
          <w:color w:val="000000"/>
          <w:szCs w:val="20"/>
          <w:lang w:eastAsia="bg-BG"/>
        </w:rPr>
        <w:t xml:space="preserve">Взаимодействия, конто изискват корекция на дозата на розувастатин (вж. също таблица 1): </w:t>
      </w:r>
      <w:r w:rsidRPr="00844B11">
        <w:rPr>
          <w:rFonts w:eastAsia="Times New Roman" w:cs="Arial"/>
          <w:color w:val="000000"/>
          <w:szCs w:val="20"/>
          <w:lang w:eastAsia="bg-BG"/>
        </w:rPr>
        <w:t xml:space="preserve">Когато е необходимо да се прилага Розувастатин едновременно с други лекарствени продукти, за които е известно, че повишават експозицията на розувастатин, дозите на Розувастатин трябва да се коригират. Започва се с доза на Розувастатин от 5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веднъж дневно, ако очакваното повишение на експозицията </w:t>
      </w:r>
      <w:r w:rsidRPr="00844B11">
        <w:rPr>
          <w:rFonts w:eastAsia="Times New Roman" w:cs="Arial"/>
          <w:color w:val="000000"/>
          <w:szCs w:val="20"/>
          <w:lang w:val="ru-RU"/>
        </w:rPr>
        <w:t>(</w:t>
      </w:r>
      <w:r w:rsidRPr="00844B11">
        <w:rPr>
          <w:rFonts w:eastAsia="Times New Roman" w:cs="Arial"/>
          <w:color w:val="000000"/>
          <w:szCs w:val="20"/>
          <w:lang w:val="en-US"/>
        </w:rPr>
        <w:t>AUC</w:t>
      </w:r>
      <w:r w:rsidRPr="00844B11">
        <w:rPr>
          <w:rFonts w:eastAsia="Times New Roman" w:cs="Arial"/>
          <w:color w:val="000000"/>
          <w:szCs w:val="20"/>
          <w:lang w:val="ru-RU"/>
        </w:rPr>
        <w:t xml:space="preserve">) </w:t>
      </w:r>
      <w:r w:rsidRPr="00844B11">
        <w:rPr>
          <w:rFonts w:eastAsia="Times New Roman" w:cs="Arial"/>
          <w:color w:val="000000"/>
          <w:szCs w:val="20"/>
          <w:lang w:eastAsia="bg-BG"/>
        </w:rPr>
        <w:t>е приблизително двукратно или по-голямо. Максималната дневна доза</w:t>
      </w:r>
      <w:r w:rsidRPr="00844B11">
        <w:rPr>
          <w:rFonts w:eastAsia="Times New Roman" w:cs="Arial"/>
          <w:color w:val="000000"/>
          <w:szCs w:val="20"/>
          <w:lang w:val="ru-RU"/>
        </w:rPr>
        <w:t xml:space="preserve"> </w:t>
      </w:r>
      <w:r w:rsidRPr="00844B11">
        <w:rPr>
          <w:rFonts w:eastAsia="Times New Roman" w:cs="Arial"/>
          <w:color w:val="000000"/>
          <w:szCs w:val="20"/>
          <w:lang w:eastAsia="bg-BG"/>
        </w:rPr>
        <w:t>на Розувастатин трябва да</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се коригира така, че очакваната експозиция на розувастатин няма вероятност да надвиши тази на 40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дневна доза Розувастатин, приет без взаимодействащи лекарствени продукти, напр. доза от 20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Розувастатин с гемфиброзил (1,9 пъти повишение) и доза от 10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Розувастатин с комбинация ритонавир/атазанавир (3,1 пъти повишение).</w:t>
      </w:r>
    </w:p>
    <w:p w14:paraId="5C244D88" w14:textId="77777777" w:rsidR="00844B11" w:rsidRPr="00844B11" w:rsidRDefault="00844B11" w:rsidP="00844B11">
      <w:pPr>
        <w:spacing w:line="240" w:lineRule="auto"/>
        <w:rPr>
          <w:rFonts w:eastAsia="Times New Roman" w:cs="Arial"/>
          <w:b/>
          <w:bCs/>
          <w:color w:val="000000"/>
          <w:szCs w:val="20"/>
          <w:lang w:eastAsia="bg-BG"/>
        </w:rPr>
      </w:pPr>
    </w:p>
    <w:p w14:paraId="208C1580" w14:textId="67593399" w:rsidR="00844B11" w:rsidRDefault="00844B11" w:rsidP="00844B11">
      <w:pPr>
        <w:spacing w:line="240" w:lineRule="auto"/>
        <w:rPr>
          <w:rFonts w:eastAsia="Times New Roman" w:cs="Arial"/>
          <w:b/>
          <w:bCs/>
          <w:color w:val="000000"/>
          <w:szCs w:val="20"/>
          <w:u w:val="single"/>
          <w:lang w:eastAsia="bg-BG"/>
        </w:rPr>
      </w:pPr>
      <w:r w:rsidRPr="00844B11">
        <w:rPr>
          <w:rFonts w:eastAsia="Times New Roman" w:cs="Arial"/>
          <w:b/>
          <w:bCs/>
          <w:color w:val="000000"/>
          <w:szCs w:val="20"/>
          <w:lang w:eastAsia="bg-BG"/>
        </w:rPr>
        <w:t xml:space="preserve">Таблица 1. Ефект на едновременно прилаган лекарствен продукт върху експозицията на </w:t>
      </w:r>
      <w:r w:rsidRPr="00844B11">
        <w:rPr>
          <w:rFonts w:eastAsia="Times New Roman" w:cs="Arial"/>
          <w:b/>
          <w:bCs/>
          <w:color w:val="000000"/>
          <w:szCs w:val="20"/>
          <w:u w:val="single"/>
          <w:lang w:eastAsia="bg-BG"/>
        </w:rPr>
        <w:t xml:space="preserve">розувастатин </w:t>
      </w:r>
      <w:r w:rsidRPr="00844B11">
        <w:rPr>
          <w:rFonts w:eastAsia="Times New Roman" w:cs="Arial"/>
          <w:b/>
          <w:bCs/>
          <w:color w:val="000000"/>
          <w:szCs w:val="20"/>
          <w:u w:val="single"/>
          <w:lang w:val="ru-RU"/>
        </w:rPr>
        <w:t>(</w:t>
      </w:r>
      <w:r w:rsidRPr="00844B11">
        <w:rPr>
          <w:rFonts w:eastAsia="Times New Roman" w:cs="Arial"/>
          <w:b/>
          <w:bCs/>
          <w:color w:val="000000"/>
          <w:szCs w:val="20"/>
          <w:u w:val="single"/>
          <w:lang w:val="en-US"/>
        </w:rPr>
        <w:t>AUC</w:t>
      </w:r>
      <w:r w:rsidRPr="00844B11">
        <w:rPr>
          <w:rFonts w:eastAsia="Times New Roman" w:cs="Arial"/>
          <w:b/>
          <w:bCs/>
          <w:color w:val="000000"/>
          <w:szCs w:val="20"/>
          <w:u w:val="single"/>
          <w:lang w:val="ru-RU"/>
        </w:rPr>
        <w:t xml:space="preserve">, </w:t>
      </w:r>
      <w:r w:rsidRPr="00844B11">
        <w:rPr>
          <w:rFonts w:eastAsia="Times New Roman" w:cs="Arial"/>
          <w:b/>
          <w:bCs/>
          <w:color w:val="000000"/>
          <w:szCs w:val="20"/>
          <w:u w:val="single"/>
          <w:lang w:eastAsia="bg-BG"/>
        </w:rPr>
        <w:t>в низходящ ред) от публикувани клинични проучвания</w:t>
      </w:r>
    </w:p>
    <w:tbl>
      <w:tblPr>
        <w:tblStyle w:val="TableGrid"/>
        <w:tblW w:w="0" w:type="auto"/>
        <w:tblLook w:val="04A0" w:firstRow="1" w:lastRow="0" w:firstColumn="1" w:lastColumn="0" w:noHBand="0" w:noVBand="1"/>
      </w:tblPr>
      <w:tblGrid>
        <w:gridCol w:w="3147"/>
        <w:gridCol w:w="3099"/>
        <w:gridCol w:w="3104"/>
      </w:tblGrid>
      <w:tr w:rsidR="00844B11" w14:paraId="5466FDB9" w14:textId="77777777" w:rsidTr="00844B11">
        <w:tc>
          <w:tcPr>
            <w:tcW w:w="3192" w:type="dxa"/>
          </w:tcPr>
          <w:p w14:paraId="73D702B0" w14:textId="44959DAE" w:rsidR="00844B11" w:rsidRPr="00844B11" w:rsidRDefault="00844B11" w:rsidP="00844B11">
            <w:pPr>
              <w:spacing w:line="240" w:lineRule="auto"/>
              <w:rPr>
                <w:rFonts w:ascii="Times New Roman" w:eastAsia="Times New Roman" w:hAnsi="Times New Roman" w:cs="Times New Roman"/>
                <w:szCs w:val="24"/>
              </w:rPr>
            </w:pPr>
            <w:r w:rsidRPr="00844B11">
              <w:rPr>
                <w:b/>
                <w:bCs/>
                <w:szCs w:val="20"/>
              </w:rPr>
              <w:t>Дозов режим на взаимодействащото лекарство</w:t>
            </w:r>
          </w:p>
        </w:tc>
        <w:tc>
          <w:tcPr>
            <w:tcW w:w="3192" w:type="dxa"/>
          </w:tcPr>
          <w:p w14:paraId="3ACEEE68" w14:textId="77777777" w:rsidR="00844B11" w:rsidRPr="00844B11" w:rsidRDefault="00844B11" w:rsidP="00844B11">
            <w:r w:rsidRPr="00844B11">
              <w:rPr>
                <w:b/>
                <w:bCs/>
                <w:szCs w:val="20"/>
              </w:rPr>
              <w:t>Дозов</w:t>
            </w:r>
            <w:r w:rsidRPr="00844B11">
              <w:rPr>
                <w:b/>
                <w:bCs/>
                <w:szCs w:val="20"/>
              </w:rPr>
              <w:tab/>
              <w:t>режим</w:t>
            </w:r>
            <w:r w:rsidRPr="00844B11">
              <w:rPr>
                <w:b/>
                <w:bCs/>
                <w:szCs w:val="20"/>
              </w:rPr>
              <w:tab/>
              <w:t>на</w:t>
            </w:r>
          </w:p>
          <w:p w14:paraId="1A8F12CD" w14:textId="2F9CEF96" w:rsidR="00844B11" w:rsidRPr="00844B11" w:rsidRDefault="00844B11" w:rsidP="00844B11">
            <w:pPr>
              <w:spacing w:line="240" w:lineRule="auto"/>
              <w:rPr>
                <w:rFonts w:ascii="Times New Roman" w:eastAsia="Times New Roman" w:hAnsi="Times New Roman" w:cs="Times New Roman"/>
                <w:szCs w:val="24"/>
              </w:rPr>
            </w:pPr>
            <w:r w:rsidRPr="00844B11">
              <w:rPr>
                <w:b/>
                <w:bCs/>
                <w:szCs w:val="20"/>
              </w:rPr>
              <w:t>розувастатин</w:t>
            </w:r>
          </w:p>
        </w:tc>
        <w:tc>
          <w:tcPr>
            <w:tcW w:w="3192" w:type="dxa"/>
          </w:tcPr>
          <w:p w14:paraId="7DD0F57F" w14:textId="32A0253C" w:rsidR="00844B11" w:rsidRPr="00844B11" w:rsidRDefault="00844B11" w:rsidP="00844B11">
            <w:pPr>
              <w:spacing w:line="240" w:lineRule="auto"/>
              <w:rPr>
                <w:rFonts w:ascii="Times New Roman" w:eastAsia="Times New Roman" w:hAnsi="Times New Roman" w:cs="Times New Roman"/>
                <w:szCs w:val="24"/>
              </w:rPr>
            </w:pPr>
            <w:r w:rsidRPr="00844B11">
              <w:rPr>
                <w:b/>
                <w:bCs/>
                <w:szCs w:val="20"/>
              </w:rPr>
              <w:t xml:space="preserve">промяна в </w:t>
            </w:r>
            <w:r w:rsidRPr="00844B11">
              <w:rPr>
                <w:b/>
                <w:bCs/>
                <w:szCs w:val="20"/>
                <w:lang w:val="en-US"/>
              </w:rPr>
              <w:t>AUC</w:t>
            </w:r>
            <w:r w:rsidRPr="00844B11">
              <w:rPr>
                <w:b/>
                <w:bCs/>
                <w:szCs w:val="20"/>
                <w:lang w:val="ru-RU"/>
              </w:rPr>
              <w:t xml:space="preserve"> </w:t>
            </w:r>
            <w:r w:rsidRPr="00844B11">
              <w:rPr>
                <w:b/>
                <w:bCs/>
                <w:szCs w:val="20"/>
              </w:rPr>
              <w:t>на розувастатин*</w:t>
            </w:r>
          </w:p>
        </w:tc>
      </w:tr>
      <w:tr w:rsidR="00844B11" w14:paraId="78328987" w14:textId="77777777" w:rsidTr="00844B11">
        <w:tc>
          <w:tcPr>
            <w:tcW w:w="3192" w:type="dxa"/>
          </w:tcPr>
          <w:p w14:paraId="0E209454" w14:textId="44C13D2C" w:rsidR="00844B11" w:rsidRPr="00844B11" w:rsidRDefault="00844B11" w:rsidP="00844B11">
            <w:pPr>
              <w:spacing w:line="240" w:lineRule="auto"/>
              <w:rPr>
                <w:rFonts w:ascii="Times New Roman" w:eastAsia="Times New Roman" w:hAnsi="Times New Roman" w:cs="Times New Roman"/>
                <w:szCs w:val="24"/>
              </w:rPr>
            </w:pPr>
            <w:r w:rsidRPr="00844B11">
              <w:rPr>
                <w:szCs w:val="20"/>
              </w:rPr>
              <w:lastRenderedPageBreak/>
              <w:t xml:space="preserve">Циклоспорин 75 </w:t>
            </w:r>
            <w:r w:rsidRPr="00844B11">
              <w:rPr>
                <w:szCs w:val="20"/>
                <w:lang w:val="en-US"/>
              </w:rPr>
              <w:t>mg</w:t>
            </w:r>
            <w:r w:rsidRPr="00844B11">
              <w:rPr>
                <w:szCs w:val="20"/>
                <w:lang w:val="ru-RU"/>
              </w:rPr>
              <w:t xml:space="preserve"> </w:t>
            </w:r>
            <w:r w:rsidRPr="00844B11">
              <w:rPr>
                <w:szCs w:val="20"/>
              </w:rPr>
              <w:t xml:space="preserve">два пъти на ден до 200 </w:t>
            </w:r>
            <w:r w:rsidRPr="00844B11">
              <w:rPr>
                <w:szCs w:val="20"/>
                <w:lang w:val="en-US"/>
              </w:rPr>
              <w:t>mg</w:t>
            </w:r>
            <w:r w:rsidRPr="00844B11">
              <w:rPr>
                <w:szCs w:val="20"/>
                <w:lang w:val="ru-RU"/>
              </w:rPr>
              <w:t xml:space="preserve"> </w:t>
            </w:r>
            <w:r w:rsidRPr="00844B11">
              <w:rPr>
                <w:szCs w:val="20"/>
              </w:rPr>
              <w:t>два пъти на ден, 6 месеца</w:t>
            </w:r>
          </w:p>
        </w:tc>
        <w:tc>
          <w:tcPr>
            <w:tcW w:w="3192" w:type="dxa"/>
          </w:tcPr>
          <w:p w14:paraId="12E70022" w14:textId="44549AAC"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10 </w:t>
            </w:r>
            <w:r w:rsidRPr="00844B11">
              <w:rPr>
                <w:szCs w:val="20"/>
                <w:lang w:val="en-US"/>
              </w:rPr>
              <w:t xml:space="preserve">mg </w:t>
            </w:r>
            <w:r w:rsidRPr="00844B11">
              <w:rPr>
                <w:szCs w:val="20"/>
              </w:rPr>
              <w:t>веднъж дневно, 10 дни</w:t>
            </w:r>
          </w:p>
        </w:tc>
        <w:tc>
          <w:tcPr>
            <w:tcW w:w="3192" w:type="dxa"/>
          </w:tcPr>
          <w:p w14:paraId="42FCD2DF" w14:textId="7CBEA294"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7,1 пъти </w:t>
            </w:r>
            <w:r w:rsidRPr="00844B11">
              <w:rPr>
                <w:szCs w:val="20"/>
                <w:lang w:val="en-US"/>
              </w:rPr>
              <w:t>↑</w:t>
            </w:r>
          </w:p>
        </w:tc>
      </w:tr>
      <w:tr w:rsidR="00844B11" w14:paraId="68FF535D" w14:textId="77777777" w:rsidTr="00844B11">
        <w:tc>
          <w:tcPr>
            <w:tcW w:w="3192" w:type="dxa"/>
          </w:tcPr>
          <w:p w14:paraId="45D2FC0D" w14:textId="38700FC3" w:rsidR="00844B11" w:rsidRPr="00844B11" w:rsidRDefault="00844B11" w:rsidP="00844B11">
            <w:pPr>
              <w:spacing w:line="240" w:lineRule="auto"/>
              <w:rPr>
                <w:rFonts w:ascii="Times New Roman" w:eastAsia="Times New Roman" w:hAnsi="Times New Roman" w:cs="Times New Roman"/>
                <w:szCs w:val="24"/>
              </w:rPr>
            </w:pPr>
            <w:r w:rsidRPr="00844B11">
              <w:rPr>
                <w:szCs w:val="20"/>
              </w:rPr>
              <w:t>Атазанавир 300</w:t>
            </w:r>
            <w:r w:rsidRPr="00844B11">
              <w:rPr>
                <w:szCs w:val="20"/>
                <w:lang w:val="ru-RU"/>
              </w:rPr>
              <w:t xml:space="preserve"> </w:t>
            </w:r>
            <w:r w:rsidRPr="00844B11">
              <w:rPr>
                <w:szCs w:val="20"/>
                <w:lang w:val="en-US"/>
              </w:rPr>
              <w:t>mg</w:t>
            </w:r>
            <w:r w:rsidRPr="00844B11">
              <w:rPr>
                <w:szCs w:val="20"/>
              </w:rPr>
              <w:t xml:space="preserve">/ритонавир 100 </w:t>
            </w:r>
            <w:r w:rsidRPr="00844B11">
              <w:rPr>
                <w:szCs w:val="20"/>
                <w:lang w:val="en-US"/>
              </w:rPr>
              <w:t>mg</w:t>
            </w:r>
            <w:r w:rsidRPr="00844B11">
              <w:rPr>
                <w:szCs w:val="20"/>
                <w:lang w:val="ru-RU"/>
              </w:rPr>
              <w:t xml:space="preserve"> </w:t>
            </w:r>
            <w:r w:rsidRPr="00844B11">
              <w:rPr>
                <w:szCs w:val="20"/>
              </w:rPr>
              <w:t>веднъж дневно, 8 дни</w:t>
            </w:r>
          </w:p>
        </w:tc>
        <w:tc>
          <w:tcPr>
            <w:tcW w:w="3192" w:type="dxa"/>
          </w:tcPr>
          <w:p w14:paraId="4A1C49E0" w14:textId="3E197964"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10 </w:t>
            </w:r>
            <w:r w:rsidRPr="00844B11">
              <w:rPr>
                <w:szCs w:val="20"/>
                <w:lang w:val="en-US"/>
              </w:rPr>
              <w:t xml:space="preserve">mg, </w:t>
            </w:r>
            <w:r w:rsidRPr="00844B11">
              <w:rPr>
                <w:szCs w:val="20"/>
              </w:rPr>
              <w:t>еднократна доза</w:t>
            </w:r>
          </w:p>
        </w:tc>
        <w:tc>
          <w:tcPr>
            <w:tcW w:w="3192" w:type="dxa"/>
          </w:tcPr>
          <w:p w14:paraId="3A4AF755" w14:textId="7252CB17"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3,1 пъти </w:t>
            </w:r>
            <w:r w:rsidRPr="00844B11">
              <w:rPr>
                <w:szCs w:val="20"/>
                <w:lang w:val="en-US"/>
              </w:rPr>
              <w:t>↑</w:t>
            </w:r>
          </w:p>
        </w:tc>
      </w:tr>
      <w:tr w:rsidR="00844B11" w14:paraId="77799008" w14:textId="77777777" w:rsidTr="00844B11">
        <w:tc>
          <w:tcPr>
            <w:tcW w:w="3192" w:type="dxa"/>
          </w:tcPr>
          <w:p w14:paraId="262E0EAC" w14:textId="6D46226B"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Симепревир 150 </w:t>
            </w:r>
            <w:r w:rsidRPr="00844B11">
              <w:rPr>
                <w:szCs w:val="20"/>
                <w:lang w:val="en-US"/>
              </w:rPr>
              <w:t>mg</w:t>
            </w:r>
            <w:r w:rsidRPr="00844B11">
              <w:rPr>
                <w:szCs w:val="20"/>
                <w:lang w:val="ru-RU"/>
              </w:rPr>
              <w:t xml:space="preserve"> </w:t>
            </w:r>
            <w:r w:rsidRPr="00844B11">
              <w:rPr>
                <w:szCs w:val="20"/>
              </w:rPr>
              <w:t>веднъж дневно, 7 дни</w:t>
            </w:r>
          </w:p>
        </w:tc>
        <w:tc>
          <w:tcPr>
            <w:tcW w:w="3192" w:type="dxa"/>
          </w:tcPr>
          <w:p w14:paraId="4FF5A7F0" w14:textId="36A366D2"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10 </w:t>
            </w:r>
            <w:r w:rsidRPr="00844B11">
              <w:rPr>
                <w:szCs w:val="20"/>
                <w:lang w:val="en-US"/>
              </w:rPr>
              <w:t xml:space="preserve">mg, </w:t>
            </w:r>
            <w:r w:rsidRPr="00844B11">
              <w:rPr>
                <w:szCs w:val="20"/>
              </w:rPr>
              <w:t>еднократна доза</w:t>
            </w:r>
          </w:p>
        </w:tc>
        <w:tc>
          <w:tcPr>
            <w:tcW w:w="3192" w:type="dxa"/>
          </w:tcPr>
          <w:p w14:paraId="1E3878A8" w14:textId="35AC5B2F" w:rsidR="00844B11" w:rsidRPr="00844B11" w:rsidRDefault="00844B11" w:rsidP="00844B11">
            <w:pPr>
              <w:spacing w:line="240" w:lineRule="auto"/>
              <w:rPr>
                <w:rFonts w:ascii="Times New Roman" w:eastAsia="Times New Roman" w:hAnsi="Times New Roman" w:cs="Times New Roman"/>
                <w:szCs w:val="24"/>
              </w:rPr>
            </w:pPr>
            <w:r w:rsidRPr="00844B11">
              <w:rPr>
                <w:szCs w:val="20"/>
              </w:rPr>
              <w:t>2,8 пъти</w:t>
            </w:r>
            <w:r w:rsidRPr="00844B11">
              <w:rPr>
                <w:szCs w:val="20"/>
                <w:lang w:val="en-US"/>
              </w:rPr>
              <w:t xml:space="preserve"> ↑</w:t>
            </w:r>
          </w:p>
        </w:tc>
      </w:tr>
      <w:tr w:rsidR="00844B11" w14:paraId="2C8428B2" w14:textId="77777777" w:rsidTr="00844B11">
        <w:tc>
          <w:tcPr>
            <w:tcW w:w="3192" w:type="dxa"/>
          </w:tcPr>
          <w:p w14:paraId="0D977C4B" w14:textId="3032EC32"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Лопинавир 400 </w:t>
            </w:r>
            <w:r w:rsidRPr="00844B11">
              <w:rPr>
                <w:szCs w:val="20"/>
                <w:lang w:val="en-US"/>
              </w:rPr>
              <w:t>mg</w:t>
            </w:r>
            <w:r w:rsidRPr="00844B11">
              <w:rPr>
                <w:szCs w:val="20"/>
              </w:rPr>
              <w:t xml:space="preserve">/ритонавир 100 </w:t>
            </w:r>
            <w:r w:rsidRPr="00844B11">
              <w:rPr>
                <w:szCs w:val="20"/>
                <w:lang w:val="en-US"/>
              </w:rPr>
              <w:t>mg</w:t>
            </w:r>
            <w:r w:rsidRPr="00844B11">
              <w:rPr>
                <w:szCs w:val="20"/>
                <w:lang w:val="ru-RU"/>
              </w:rPr>
              <w:t xml:space="preserve"> </w:t>
            </w:r>
            <w:r w:rsidRPr="00844B11">
              <w:rPr>
                <w:szCs w:val="20"/>
              </w:rPr>
              <w:t>два</w:t>
            </w:r>
            <w:r w:rsidRPr="00844B11">
              <w:rPr>
                <w:szCs w:val="20"/>
                <w:lang w:val="ru-RU"/>
              </w:rPr>
              <w:t xml:space="preserve"> </w:t>
            </w:r>
            <w:r w:rsidRPr="00844B11">
              <w:rPr>
                <w:szCs w:val="20"/>
              </w:rPr>
              <w:t>пъти</w:t>
            </w:r>
            <w:r w:rsidRPr="00844B11">
              <w:rPr>
                <w:szCs w:val="20"/>
                <w:lang w:val="ru-RU"/>
              </w:rPr>
              <w:t xml:space="preserve"> </w:t>
            </w:r>
            <w:r w:rsidRPr="00844B11">
              <w:rPr>
                <w:szCs w:val="20"/>
              </w:rPr>
              <w:t>на ден, 17 дни</w:t>
            </w:r>
          </w:p>
        </w:tc>
        <w:tc>
          <w:tcPr>
            <w:tcW w:w="3192" w:type="dxa"/>
          </w:tcPr>
          <w:p w14:paraId="0788069E" w14:textId="2C9C1700"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20 </w:t>
            </w:r>
            <w:r w:rsidRPr="00844B11">
              <w:rPr>
                <w:szCs w:val="20"/>
                <w:lang w:val="en-US"/>
              </w:rPr>
              <w:t xml:space="preserve">mg </w:t>
            </w:r>
            <w:r w:rsidRPr="00844B11">
              <w:rPr>
                <w:szCs w:val="20"/>
              </w:rPr>
              <w:t>веднъж дневно, 7 дни</w:t>
            </w:r>
          </w:p>
        </w:tc>
        <w:tc>
          <w:tcPr>
            <w:tcW w:w="3192" w:type="dxa"/>
          </w:tcPr>
          <w:p w14:paraId="087285D0" w14:textId="7B2B36DC"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2,1 пъти </w:t>
            </w:r>
            <w:r w:rsidRPr="00844B11">
              <w:rPr>
                <w:szCs w:val="20"/>
                <w:lang w:val="en-US"/>
              </w:rPr>
              <w:t>↑</w:t>
            </w:r>
          </w:p>
        </w:tc>
      </w:tr>
      <w:tr w:rsidR="00844B11" w14:paraId="14411AB4" w14:textId="77777777" w:rsidTr="00844B11">
        <w:tc>
          <w:tcPr>
            <w:tcW w:w="3192" w:type="dxa"/>
          </w:tcPr>
          <w:p w14:paraId="651A0DFA" w14:textId="43E48A49"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Клопидогрел 300 </w:t>
            </w:r>
            <w:r w:rsidRPr="00844B11">
              <w:rPr>
                <w:szCs w:val="20"/>
                <w:lang w:val="en-US"/>
              </w:rPr>
              <w:t>mg</w:t>
            </w:r>
            <w:r w:rsidRPr="00844B11">
              <w:rPr>
                <w:szCs w:val="20"/>
                <w:lang w:val="ru-RU"/>
              </w:rPr>
              <w:t xml:space="preserve"> </w:t>
            </w:r>
            <w:r w:rsidRPr="00844B11">
              <w:rPr>
                <w:szCs w:val="20"/>
              </w:rPr>
              <w:t xml:space="preserve">натоварваща доза, последвана от доза 75 </w:t>
            </w:r>
            <w:r w:rsidRPr="00844B11">
              <w:rPr>
                <w:szCs w:val="20"/>
                <w:lang w:val="en-US"/>
              </w:rPr>
              <w:t>mg</w:t>
            </w:r>
            <w:r w:rsidRPr="00844B11">
              <w:rPr>
                <w:szCs w:val="20"/>
                <w:lang w:val="ru-RU"/>
              </w:rPr>
              <w:t xml:space="preserve"> </w:t>
            </w:r>
            <w:r w:rsidRPr="00844B11">
              <w:rPr>
                <w:szCs w:val="20"/>
              </w:rPr>
              <w:t>на 24-ия час</w:t>
            </w:r>
          </w:p>
        </w:tc>
        <w:tc>
          <w:tcPr>
            <w:tcW w:w="3192" w:type="dxa"/>
          </w:tcPr>
          <w:p w14:paraId="33971D71" w14:textId="3199EFCE"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20 </w:t>
            </w:r>
            <w:r w:rsidRPr="00844B11">
              <w:rPr>
                <w:szCs w:val="20"/>
                <w:lang w:val="en-US"/>
              </w:rPr>
              <w:t xml:space="preserve">mg, </w:t>
            </w:r>
            <w:r w:rsidRPr="00844B11">
              <w:rPr>
                <w:szCs w:val="20"/>
              </w:rPr>
              <w:t>еднократна доза</w:t>
            </w:r>
          </w:p>
        </w:tc>
        <w:tc>
          <w:tcPr>
            <w:tcW w:w="3192" w:type="dxa"/>
          </w:tcPr>
          <w:p w14:paraId="475147ED" w14:textId="79919124"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2-пъти </w:t>
            </w:r>
            <w:r w:rsidRPr="00844B11">
              <w:rPr>
                <w:szCs w:val="20"/>
                <w:lang w:val="en-US"/>
              </w:rPr>
              <w:t>↑</w:t>
            </w:r>
          </w:p>
        </w:tc>
      </w:tr>
      <w:tr w:rsidR="00844B11" w14:paraId="0B9F7288" w14:textId="77777777" w:rsidTr="00844B11">
        <w:tc>
          <w:tcPr>
            <w:tcW w:w="3192" w:type="dxa"/>
          </w:tcPr>
          <w:p w14:paraId="20AA296F" w14:textId="607A1414"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Гемфиброзил 600 </w:t>
            </w:r>
            <w:r w:rsidRPr="00844B11">
              <w:rPr>
                <w:szCs w:val="20"/>
                <w:lang w:val="en-US"/>
              </w:rPr>
              <w:t>mg</w:t>
            </w:r>
            <w:r w:rsidRPr="00844B11">
              <w:rPr>
                <w:szCs w:val="20"/>
                <w:lang w:val="ru-RU"/>
              </w:rPr>
              <w:t xml:space="preserve"> </w:t>
            </w:r>
            <w:r w:rsidRPr="00844B11">
              <w:rPr>
                <w:szCs w:val="20"/>
              </w:rPr>
              <w:t>два пъти на ден, 7 дни</w:t>
            </w:r>
          </w:p>
        </w:tc>
        <w:tc>
          <w:tcPr>
            <w:tcW w:w="3192" w:type="dxa"/>
          </w:tcPr>
          <w:p w14:paraId="3B044A16" w14:textId="466122CD"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80 </w:t>
            </w:r>
            <w:r w:rsidRPr="00844B11">
              <w:rPr>
                <w:szCs w:val="20"/>
                <w:lang w:val="en-US"/>
              </w:rPr>
              <w:t xml:space="preserve">mg, </w:t>
            </w:r>
            <w:r w:rsidRPr="00844B11">
              <w:rPr>
                <w:szCs w:val="20"/>
              </w:rPr>
              <w:t>еднократна доза</w:t>
            </w:r>
          </w:p>
        </w:tc>
        <w:tc>
          <w:tcPr>
            <w:tcW w:w="3192" w:type="dxa"/>
          </w:tcPr>
          <w:p w14:paraId="2E9B01C3" w14:textId="1780DCA8"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1,9 пъти </w:t>
            </w:r>
            <w:r w:rsidRPr="00844B11">
              <w:rPr>
                <w:szCs w:val="20"/>
                <w:lang w:val="en-US"/>
              </w:rPr>
              <w:t>↑</w:t>
            </w:r>
          </w:p>
        </w:tc>
      </w:tr>
      <w:tr w:rsidR="00844B11" w14:paraId="5C1055A5" w14:textId="77777777" w:rsidTr="00844B11">
        <w:tc>
          <w:tcPr>
            <w:tcW w:w="3192" w:type="dxa"/>
          </w:tcPr>
          <w:p w14:paraId="7EF972F7" w14:textId="459DC5C3"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Елтромбопаг 75 </w:t>
            </w:r>
            <w:r w:rsidRPr="00844B11">
              <w:rPr>
                <w:szCs w:val="20"/>
                <w:lang w:val="en-US"/>
              </w:rPr>
              <w:t>mg</w:t>
            </w:r>
            <w:r w:rsidRPr="00844B11">
              <w:rPr>
                <w:szCs w:val="20"/>
                <w:lang w:val="ru-RU"/>
              </w:rPr>
              <w:t xml:space="preserve"> </w:t>
            </w:r>
            <w:r w:rsidRPr="00844B11">
              <w:rPr>
                <w:szCs w:val="20"/>
              </w:rPr>
              <w:t>веднъж дневно, 10 дни</w:t>
            </w:r>
          </w:p>
        </w:tc>
        <w:tc>
          <w:tcPr>
            <w:tcW w:w="3192" w:type="dxa"/>
          </w:tcPr>
          <w:p w14:paraId="42BC6A56" w14:textId="50B8B489"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10 </w:t>
            </w:r>
            <w:r w:rsidRPr="00844B11">
              <w:rPr>
                <w:szCs w:val="20"/>
                <w:lang w:val="en-US"/>
              </w:rPr>
              <w:t xml:space="preserve">mg, </w:t>
            </w:r>
            <w:r w:rsidRPr="00844B11">
              <w:rPr>
                <w:szCs w:val="20"/>
              </w:rPr>
              <w:t>еднократна доза</w:t>
            </w:r>
          </w:p>
        </w:tc>
        <w:tc>
          <w:tcPr>
            <w:tcW w:w="3192" w:type="dxa"/>
          </w:tcPr>
          <w:p w14:paraId="58F2DEC9" w14:textId="77777777" w:rsidR="00844B11" w:rsidRPr="00844B11" w:rsidRDefault="00844B11" w:rsidP="00844B11"/>
          <w:p w14:paraId="514841C7" w14:textId="785997E3" w:rsidR="00844B11" w:rsidRPr="00844B11" w:rsidRDefault="00844B11" w:rsidP="00844B11">
            <w:pPr>
              <w:spacing w:line="240" w:lineRule="auto"/>
              <w:rPr>
                <w:rFonts w:ascii="Times New Roman" w:eastAsia="Times New Roman" w:hAnsi="Times New Roman" w:cs="Times New Roman"/>
                <w:szCs w:val="24"/>
              </w:rPr>
            </w:pPr>
            <w:r w:rsidRPr="00844B11">
              <w:rPr>
                <w:szCs w:val="20"/>
              </w:rPr>
              <w:t>1,6</w:t>
            </w:r>
            <w:r w:rsidRPr="00844B11">
              <w:rPr>
                <w:szCs w:val="20"/>
                <w:lang w:val="en-US"/>
              </w:rPr>
              <w:t xml:space="preserve"> </w:t>
            </w:r>
            <w:r w:rsidRPr="00844B11">
              <w:rPr>
                <w:szCs w:val="20"/>
              </w:rPr>
              <w:t>пъти</w:t>
            </w:r>
            <w:r w:rsidRPr="00844B11">
              <w:rPr>
                <w:szCs w:val="20"/>
                <w:lang w:val="en-US"/>
              </w:rPr>
              <w:t xml:space="preserve"> ↑</w:t>
            </w:r>
          </w:p>
        </w:tc>
      </w:tr>
      <w:tr w:rsidR="00844B11" w14:paraId="0F393015" w14:textId="77777777" w:rsidTr="00844B11">
        <w:tc>
          <w:tcPr>
            <w:tcW w:w="3192" w:type="dxa"/>
            <w:vAlign w:val="center"/>
          </w:tcPr>
          <w:p w14:paraId="79B2796C" w14:textId="0D2858C6" w:rsidR="00844B11" w:rsidRPr="00844B11" w:rsidRDefault="00844B11" w:rsidP="00844B11">
            <w:pPr>
              <w:spacing w:line="240" w:lineRule="auto"/>
              <w:rPr>
                <w:rFonts w:ascii="Times New Roman" w:eastAsia="Times New Roman" w:hAnsi="Times New Roman" w:cs="Times New Roman"/>
              </w:rPr>
            </w:pPr>
            <w:r w:rsidRPr="00844B11">
              <w:t xml:space="preserve">Дарунавир 600 </w:t>
            </w:r>
            <w:r w:rsidRPr="00844B11">
              <w:rPr>
                <w:lang w:val="en-US"/>
              </w:rPr>
              <w:t>mg</w:t>
            </w:r>
            <w:r w:rsidRPr="00844B11">
              <w:t xml:space="preserve">/ритонавир 100 </w:t>
            </w:r>
            <w:r w:rsidRPr="00844B11">
              <w:rPr>
                <w:lang w:val="en-US"/>
              </w:rPr>
              <w:t>mg</w:t>
            </w:r>
            <w:r w:rsidRPr="00844B11">
              <w:rPr>
                <w:lang w:val="ru-RU"/>
              </w:rPr>
              <w:t xml:space="preserve"> </w:t>
            </w:r>
            <w:r w:rsidRPr="00844B11">
              <w:t>два пъта на ден, 7 дни</w:t>
            </w:r>
          </w:p>
        </w:tc>
        <w:tc>
          <w:tcPr>
            <w:tcW w:w="3192" w:type="dxa"/>
            <w:vAlign w:val="center"/>
          </w:tcPr>
          <w:p w14:paraId="4EE9264F" w14:textId="5FE24FD6" w:rsidR="00844B11" w:rsidRPr="00844B11" w:rsidRDefault="00844B11" w:rsidP="00844B11">
            <w:pPr>
              <w:spacing w:line="240" w:lineRule="auto"/>
              <w:rPr>
                <w:rFonts w:ascii="Times New Roman" w:eastAsia="Times New Roman" w:hAnsi="Times New Roman" w:cs="Times New Roman"/>
              </w:rPr>
            </w:pPr>
            <w:r w:rsidRPr="00844B11">
              <w:t xml:space="preserve">10 </w:t>
            </w:r>
            <w:r w:rsidRPr="00844B11">
              <w:rPr>
                <w:lang w:val="en-US"/>
              </w:rPr>
              <w:t xml:space="preserve">mg </w:t>
            </w:r>
            <w:r w:rsidRPr="00844B11">
              <w:t>веднъж дневно, 7 дни</w:t>
            </w:r>
          </w:p>
        </w:tc>
        <w:tc>
          <w:tcPr>
            <w:tcW w:w="3192" w:type="dxa"/>
            <w:vAlign w:val="center"/>
          </w:tcPr>
          <w:p w14:paraId="616F8B20" w14:textId="081DAF85" w:rsidR="00844B11" w:rsidRPr="00844B11" w:rsidRDefault="00844B11" w:rsidP="00844B11">
            <w:pPr>
              <w:spacing w:line="240" w:lineRule="auto"/>
              <w:rPr>
                <w:rFonts w:ascii="Times New Roman" w:eastAsia="Times New Roman" w:hAnsi="Times New Roman" w:cs="Times New Roman"/>
              </w:rPr>
            </w:pPr>
            <w:r w:rsidRPr="00844B11">
              <w:t xml:space="preserve">1,5 пъти </w:t>
            </w:r>
            <w:r w:rsidRPr="00844B11">
              <w:rPr>
                <w:lang w:val="en-US"/>
              </w:rPr>
              <w:t>↑</w:t>
            </w:r>
          </w:p>
        </w:tc>
      </w:tr>
      <w:tr w:rsidR="00844B11" w14:paraId="01695B0C" w14:textId="77777777" w:rsidTr="00844B11">
        <w:tc>
          <w:tcPr>
            <w:tcW w:w="3192" w:type="dxa"/>
          </w:tcPr>
          <w:p w14:paraId="75E32E92" w14:textId="77777777" w:rsidR="00844B11" w:rsidRPr="00844B11" w:rsidRDefault="00844B11" w:rsidP="00844B11">
            <w:r w:rsidRPr="00844B11">
              <w:t>Типранавир</w:t>
            </w:r>
            <w:r w:rsidRPr="00844B11">
              <w:tab/>
              <w:t>500</w:t>
            </w:r>
            <w:r w:rsidRPr="00844B11">
              <w:tab/>
            </w:r>
            <w:r w:rsidRPr="00844B11">
              <w:rPr>
                <w:lang w:val="en-US"/>
              </w:rPr>
              <w:t>mg</w:t>
            </w:r>
          </w:p>
          <w:p w14:paraId="1FF646DC" w14:textId="277E8C27" w:rsidR="00844B11" w:rsidRPr="00844B11" w:rsidRDefault="00844B11" w:rsidP="00844B11">
            <w:pPr>
              <w:spacing w:line="240" w:lineRule="auto"/>
              <w:rPr>
                <w:rFonts w:ascii="Times New Roman" w:eastAsia="Times New Roman" w:hAnsi="Times New Roman" w:cs="Times New Roman"/>
              </w:rPr>
            </w:pPr>
            <w:r w:rsidRPr="00844B11">
              <w:t xml:space="preserve">/ритонавир 200 </w:t>
            </w:r>
            <w:r w:rsidRPr="00844B11">
              <w:rPr>
                <w:lang w:val="en-US"/>
              </w:rPr>
              <w:t>mg</w:t>
            </w:r>
            <w:r w:rsidRPr="00844B11">
              <w:rPr>
                <w:lang w:val="ru-RU"/>
              </w:rPr>
              <w:t xml:space="preserve"> </w:t>
            </w:r>
            <w:r w:rsidRPr="00844B11">
              <w:t>два пъти на ден, 11 дни</w:t>
            </w:r>
          </w:p>
        </w:tc>
        <w:tc>
          <w:tcPr>
            <w:tcW w:w="3192" w:type="dxa"/>
          </w:tcPr>
          <w:p w14:paraId="4609265C" w14:textId="3CD38A69" w:rsidR="00844B11" w:rsidRPr="00844B11" w:rsidRDefault="00844B11" w:rsidP="00844B11">
            <w:pPr>
              <w:spacing w:line="240" w:lineRule="auto"/>
              <w:rPr>
                <w:rFonts w:ascii="Times New Roman" w:eastAsia="Times New Roman" w:hAnsi="Times New Roman" w:cs="Times New Roman"/>
              </w:rPr>
            </w:pPr>
            <w:r w:rsidRPr="00844B11">
              <w:t xml:space="preserve">10 </w:t>
            </w:r>
            <w:r w:rsidRPr="00844B11">
              <w:rPr>
                <w:lang w:val="en-US"/>
              </w:rPr>
              <w:t xml:space="preserve">mg, </w:t>
            </w:r>
            <w:r w:rsidRPr="00844B11">
              <w:t>еднократна доза</w:t>
            </w:r>
          </w:p>
        </w:tc>
        <w:tc>
          <w:tcPr>
            <w:tcW w:w="3192" w:type="dxa"/>
          </w:tcPr>
          <w:p w14:paraId="6811795A" w14:textId="1A71BA9C" w:rsidR="00844B11" w:rsidRPr="00844B11" w:rsidRDefault="00844B11" w:rsidP="00844B11">
            <w:pPr>
              <w:spacing w:line="240" w:lineRule="auto"/>
              <w:rPr>
                <w:rFonts w:ascii="Times New Roman" w:eastAsia="Times New Roman" w:hAnsi="Times New Roman" w:cs="Times New Roman"/>
              </w:rPr>
            </w:pPr>
            <w:r w:rsidRPr="00844B11">
              <w:t xml:space="preserve">1,4 пъти </w:t>
            </w:r>
            <w:r w:rsidRPr="00844B11">
              <w:rPr>
                <w:lang w:val="en-US"/>
              </w:rPr>
              <w:t>↑</w:t>
            </w:r>
          </w:p>
        </w:tc>
      </w:tr>
      <w:tr w:rsidR="00844B11" w14:paraId="10150A25" w14:textId="77777777" w:rsidTr="00844B11">
        <w:tc>
          <w:tcPr>
            <w:tcW w:w="3192" w:type="dxa"/>
            <w:vAlign w:val="center"/>
          </w:tcPr>
          <w:p w14:paraId="41D69DAC" w14:textId="1810ABB2" w:rsidR="00844B11" w:rsidRPr="00844B11" w:rsidRDefault="00844B11" w:rsidP="00844B11">
            <w:pPr>
              <w:spacing w:line="240" w:lineRule="auto"/>
              <w:rPr>
                <w:rFonts w:ascii="Times New Roman" w:eastAsia="Times New Roman" w:hAnsi="Times New Roman" w:cs="Times New Roman"/>
              </w:rPr>
            </w:pPr>
            <w:r w:rsidRPr="00844B11">
              <w:t xml:space="preserve">Дронедарон 400 </w:t>
            </w:r>
            <w:r w:rsidRPr="00844B11">
              <w:rPr>
                <w:lang w:val="en-US"/>
              </w:rPr>
              <w:t>mg</w:t>
            </w:r>
            <w:r w:rsidRPr="00844B11">
              <w:rPr>
                <w:lang w:val="ru-RU"/>
              </w:rPr>
              <w:t xml:space="preserve"> </w:t>
            </w:r>
            <w:r w:rsidRPr="00844B11">
              <w:t>два пъти на ден</w:t>
            </w:r>
          </w:p>
        </w:tc>
        <w:tc>
          <w:tcPr>
            <w:tcW w:w="3192" w:type="dxa"/>
            <w:vAlign w:val="center"/>
          </w:tcPr>
          <w:p w14:paraId="616B9FCF" w14:textId="529787E8" w:rsidR="00844B11" w:rsidRPr="00844B11" w:rsidRDefault="00844B11" w:rsidP="00844B11">
            <w:pPr>
              <w:spacing w:line="240" w:lineRule="auto"/>
              <w:rPr>
                <w:rFonts w:ascii="Times New Roman" w:eastAsia="Times New Roman" w:hAnsi="Times New Roman" w:cs="Times New Roman"/>
              </w:rPr>
            </w:pPr>
            <w:r w:rsidRPr="00844B11">
              <w:t>Не е налично</w:t>
            </w:r>
          </w:p>
        </w:tc>
        <w:tc>
          <w:tcPr>
            <w:tcW w:w="3192" w:type="dxa"/>
            <w:vAlign w:val="center"/>
          </w:tcPr>
          <w:p w14:paraId="78DEA2B6" w14:textId="1A45AA9F" w:rsidR="00844B11" w:rsidRPr="00844B11" w:rsidRDefault="00844B11" w:rsidP="00844B11">
            <w:pPr>
              <w:spacing w:line="240" w:lineRule="auto"/>
              <w:rPr>
                <w:rFonts w:ascii="Times New Roman" w:eastAsia="Times New Roman" w:hAnsi="Times New Roman" w:cs="Times New Roman"/>
              </w:rPr>
            </w:pPr>
            <w:r w:rsidRPr="00844B11">
              <w:t xml:space="preserve">1,4 пъти </w:t>
            </w:r>
            <w:r w:rsidRPr="00844B11">
              <w:rPr>
                <w:lang w:val="en-US"/>
              </w:rPr>
              <w:t>↑</w:t>
            </w:r>
          </w:p>
        </w:tc>
      </w:tr>
      <w:tr w:rsidR="00844B11" w14:paraId="7E27FA9F" w14:textId="77777777" w:rsidTr="00844B11">
        <w:tc>
          <w:tcPr>
            <w:tcW w:w="3192" w:type="dxa"/>
          </w:tcPr>
          <w:p w14:paraId="1232E1D2" w14:textId="7DAF5958" w:rsidR="00844B11" w:rsidRPr="00844B11" w:rsidRDefault="00844B11" w:rsidP="00844B11">
            <w:pPr>
              <w:spacing w:line="240" w:lineRule="auto"/>
              <w:rPr>
                <w:rFonts w:ascii="Times New Roman" w:eastAsia="Times New Roman" w:hAnsi="Times New Roman" w:cs="Times New Roman"/>
              </w:rPr>
            </w:pPr>
            <w:r w:rsidRPr="00844B11">
              <w:t xml:space="preserve">Итраконазол 200 </w:t>
            </w:r>
            <w:r w:rsidRPr="00844B11">
              <w:rPr>
                <w:lang w:val="en-US"/>
              </w:rPr>
              <w:t>mg</w:t>
            </w:r>
            <w:r w:rsidRPr="00844B11">
              <w:rPr>
                <w:lang w:val="ru-RU"/>
              </w:rPr>
              <w:t xml:space="preserve">, </w:t>
            </w:r>
            <w:r w:rsidRPr="00844B11">
              <w:t>веднъж дневно, 5 дни</w:t>
            </w:r>
          </w:p>
        </w:tc>
        <w:tc>
          <w:tcPr>
            <w:tcW w:w="3192" w:type="dxa"/>
          </w:tcPr>
          <w:p w14:paraId="450DE77E" w14:textId="4B037F07" w:rsidR="00844B11" w:rsidRPr="00844B11" w:rsidRDefault="00844B11" w:rsidP="00844B11">
            <w:pPr>
              <w:spacing w:line="240" w:lineRule="auto"/>
              <w:rPr>
                <w:rFonts w:ascii="Times New Roman" w:eastAsia="Times New Roman" w:hAnsi="Times New Roman" w:cs="Times New Roman"/>
              </w:rPr>
            </w:pPr>
            <w:r w:rsidRPr="00844B11">
              <w:t xml:space="preserve">10 </w:t>
            </w:r>
            <w:r w:rsidRPr="00844B11">
              <w:rPr>
                <w:lang w:val="en-US"/>
              </w:rPr>
              <w:t xml:space="preserve">mg, </w:t>
            </w:r>
            <w:r w:rsidRPr="00844B11">
              <w:t>еднократна доза</w:t>
            </w:r>
          </w:p>
        </w:tc>
        <w:tc>
          <w:tcPr>
            <w:tcW w:w="3192" w:type="dxa"/>
          </w:tcPr>
          <w:p w14:paraId="41769B13" w14:textId="602D0556" w:rsidR="00844B11" w:rsidRPr="00844B11" w:rsidRDefault="00844B11" w:rsidP="00844B11">
            <w:pPr>
              <w:spacing w:line="240" w:lineRule="auto"/>
              <w:rPr>
                <w:rFonts w:ascii="Times New Roman" w:eastAsia="Times New Roman" w:hAnsi="Times New Roman" w:cs="Times New Roman"/>
              </w:rPr>
            </w:pPr>
            <w:r w:rsidRPr="00844B11">
              <w:t xml:space="preserve">1,4 пъти </w:t>
            </w:r>
            <w:r w:rsidRPr="00844B11">
              <w:rPr>
                <w:lang w:val="en-US"/>
              </w:rPr>
              <w:t>↑</w:t>
            </w:r>
            <w:r w:rsidRPr="00844B11">
              <w:t>**</w:t>
            </w:r>
          </w:p>
        </w:tc>
      </w:tr>
      <w:tr w:rsidR="00844B11" w14:paraId="1707AAA8" w14:textId="77777777" w:rsidTr="00844B11">
        <w:tc>
          <w:tcPr>
            <w:tcW w:w="3192" w:type="dxa"/>
            <w:vAlign w:val="center"/>
          </w:tcPr>
          <w:p w14:paraId="5EC693FB" w14:textId="3A328D42" w:rsidR="00844B11" w:rsidRPr="00844B11" w:rsidRDefault="00844B11" w:rsidP="00844B11">
            <w:pPr>
              <w:spacing w:line="240" w:lineRule="auto"/>
              <w:rPr>
                <w:rFonts w:ascii="Times New Roman" w:eastAsia="Times New Roman" w:hAnsi="Times New Roman" w:cs="Times New Roman"/>
              </w:rPr>
            </w:pPr>
            <w:r w:rsidRPr="00844B11">
              <w:t xml:space="preserve">Езетимиб 10 </w:t>
            </w:r>
            <w:r w:rsidRPr="00844B11">
              <w:rPr>
                <w:lang w:val="en-US"/>
              </w:rPr>
              <w:t>mg</w:t>
            </w:r>
            <w:r w:rsidRPr="00844B11">
              <w:rPr>
                <w:lang w:val="ru-RU"/>
              </w:rPr>
              <w:t xml:space="preserve"> </w:t>
            </w:r>
            <w:r w:rsidRPr="00844B11">
              <w:t>веднъж дневно, 14 дни</w:t>
            </w:r>
          </w:p>
        </w:tc>
        <w:tc>
          <w:tcPr>
            <w:tcW w:w="3192" w:type="dxa"/>
            <w:vAlign w:val="center"/>
          </w:tcPr>
          <w:p w14:paraId="0327E585" w14:textId="4061EEB9" w:rsidR="00844B11" w:rsidRPr="00844B11" w:rsidRDefault="00844B11" w:rsidP="00844B11">
            <w:pPr>
              <w:spacing w:line="240" w:lineRule="auto"/>
              <w:rPr>
                <w:rFonts w:ascii="Times New Roman" w:eastAsia="Times New Roman" w:hAnsi="Times New Roman" w:cs="Times New Roman"/>
              </w:rPr>
            </w:pPr>
            <w:r w:rsidRPr="00844B11">
              <w:t xml:space="preserve">10 </w:t>
            </w:r>
            <w:r w:rsidRPr="00844B11">
              <w:rPr>
                <w:lang w:val="en-US"/>
              </w:rPr>
              <w:t xml:space="preserve">mg </w:t>
            </w:r>
            <w:r w:rsidRPr="00844B11">
              <w:t>веднъж дневно, 14 дни</w:t>
            </w:r>
          </w:p>
        </w:tc>
        <w:tc>
          <w:tcPr>
            <w:tcW w:w="3192" w:type="dxa"/>
            <w:vAlign w:val="center"/>
          </w:tcPr>
          <w:p w14:paraId="2C9CD0EC" w14:textId="08100F92" w:rsidR="00844B11" w:rsidRPr="00844B11" w:rsidRDefault="00844B11" w:rsidP="00844B11">
            <w:pPr>
              <w:spacing w:line="240" w:lineRule="auto"/>
              <w:rPr>
                <w:rFonts w:ascii="Times New Roman" w:eastAsia="Times New Roman" w:hAnsi="Times New Roman" w:cs="Times New Roman"/>
              </w:rPr>
            </w:pPr>
            <w:r w:rsidRPr="00844B11">
              <w:t xml:space="preserve">1,2 пъти </w:t>
            </w:r>
            <w:r w:rsidRPr="00844B11">
              <w:rPr>
                <w:lang w:val="en-US"/>
              </w:rPr>
              <w:t>↑**</w:t>
            </w:r>
          </w:p>
        </w:tc>
      </w:tr>
      <w:tr w:rsidR="00844B11" w14:paraId="08D9D488" w14:textId="77777777" w:rsidTr="00844B11">
        <w:tc>
          <w:tcPr>
            <w:tcW w:w="3192" w:type="dxa"/>
            <w:vAlign w:val="bottom"/>
          </w:tcPr>
          <w:p w14:paraId="6B31F7C7" w14:textId="77777777" w:rsidR="00844B11" w:rsidRPr="00844B11" w:rsidRDefault="00844B11" w:rsidP="00844B11">
            <w:r w:rsidRPr="00844B11">
              <w:t>Фозампренавир</w:t>
            </w:r>
            <w:r w:rsidRPr="00844B11">
              <w:tab/>
              <w:t>700</w:t>
            </w:r>
          </w:p>
          <w:p w14:paraId="1C2AAD00" w14:textId="76FB7FC8" w:rsidR="00844B11" w:rsidRPr="00844B11" w:rsidRDefault="00844B11" w:rsidP="00844B11">
            <w:pPr>
              <w:spacing w:line="240" w:lineRule="auto"/>
              <w:rPr>
                <w:rFonts w:ascii="Times New Roman" w:eastAsia="Times New Roman" w:hAnsi="Times New Roman" w:cs="Times New Roman"/>
              </w:rPr>
            </w:pPr>
            <w:r w:rsidRPr="00844B11">
              <w:rPr>
                <w:lang w:val="en-US"/>
              </w:rPr>
              <w:t>mg</w:t>
            </w:r>
            <w:r w:rsidRPr="00844B11">
              <w:t xml:space="preserve">/ритонавир 100 </w:t>
            </w:r>
            <w:r w:rsidRPr="00844B11">
              <w:rPr>
                <w:lang w:val="en-US"/>
              </w:rPr>
              <w:t>mg</w:t>
            </w:r>
            <w:r w:rsidRPr="00844B11">
              <w:rPr>
                <w:lang w:val="ru-RU"/>
              </w:rPr>
              <w:t xml:space="preserve"> </w:t>
            </w:r>
            <w:r w:rsidRPr="00844B11">
              <w:t>два пъти на ден, 8 дни</w:t>
            </w:r>
          </w:p>
        </w:tc>
        <w:tc>
          <w:tcPr>
            <w:tcW w:w="3192" w:type="dxa"/>
          </w:tcPr>
          <w:p w14:paraId="2C3B94CB" w14:textId="29620A7A" w:rsidR="00844B11" w:rsidRPr="00844B11" w:rsidRDefault="00844B11" w:rsidP="00844B11">
            <w:pPr>
              <w:spacing w:line="240" w:lineRule="auto"/>
              <w:rPr>
                <w:rFonts w:ascii="Times New Roman" w:eastAsia="Times New Roman" w:hAnsi="Times New Roman" w:cs="Times New Roman"/>
              </w:rPr>
            </w:pPr>
            <w:r w:rsidRPr="00844B11">
              <w:t xml:space="preserve">10 </w:t>
            </w:r>
            <w:r w:rsidRPr="00844B11">
              <w:rPr>
                <w:lang w:val="en-US"/>
              </w:rPr>
              <w:t xml:space="preserve">mg </w:t>
            </w:r>
            <w:r w:rsidRPr="00844B11">
              <w:t>веднъж дневно</w:t>
            </w:r>
          </w:p>
        </w:tc>
        <w:tc>
          <w:tcPr>
            <w:tcW w:w="3192" w:type="dxa"/>
          </w:tcPr>
          <w:p w14:paraId="04C807A4" w14:textId="3138B6AC" w:rsidR="00844B11" w:rsidRPr="00844B11" w:rsidRDefault="00844B11" w:rsidP="00844B11">
            <w:pPr>
              <w:spacing w:line="240" w:lineRule="auto"/>
              <w:rPr>
                <w:rFonts w:ascii="Times New Roman" w:eastAsia="Times New Roman" w:hAnsi="Times New Roman" w:cs="Times New Roman"/>
              </w:rPr>
            </w:pPr>
            <w:r w:rsidRPr="00844B11">
              <w:rPr>
                <w:lang w:val="en-US"/>
              </w:rPr>
              <w:t>↔</w:t>
            </w:r>
          </w:p>
        </w:tc>
      </w:tr>
      <w:tr w:rsidR="00844B11" w14:paraId="7128314D" w14:textId="77777777" w:rsidTr="00844B11">
        <w:tc>
          <w:tcPr>
            <w:tcW w:w="3192" w:type="dxa"/>
          </w:tcPr>
          <w:p w14:paraId="27BB107E" w14:textId="67C4C1D8" w:rsidR="00844B11" w:rsidRPr="00844B11" w:rsidRDefault="00844B11" w:rsidP="00844B11">
            <w:pPr>
              <w:spacing w:line="240" w:lineRule="auto"/>
              <w:rPr>
                <w:rFonts w:ascii="Times New Roman" w:eastAsia="Times New Roman" w:hAnsi="Times New Roman" w:cs="Times New Roman"/>
              </w:rPr>
            </w:pPr>
            <w:r w:rsidRPr="00844B11">
              <w:t xml:space="preserve">Алеглитазар 0,3 </w:t>
            </w:r>
            <w:r w:rsidRPr="00844B11">
              <w:rPr>
                <w:lang w:val="en-US"/>
              </w:rPr>
              <w:t xml:space="preserve">mg </w:t>
            </w:r>
            <w:r w:rsidRPr="00844B11">
              <w:t>7 дни</w:t>
            </w:r>
          </w:p>
        </w:tc>
        <w:tc>
          <w:tcPr>
            <w:tcW w:w="3192" w:type="dxa"/>
            <w:vAlign w:val="center"/>
          </w:tcPr>
          <w:p w14:paraId="4E747642" w14:textId="024D61C0" w:rsidR="00844B11" w:rsidRPr="00844B11" w:rsidRDefault="00844B11" w:rsidP="00844B11">
            <w:pPr>
              <w:spacing w:line="240" w:lineRule="auto"/>
              <w:rPr>
                <w:rFonts w:ascii="Times New Roman" w:eastAsia="Times New Roman" w:hAnsi="Times New Roman" w:cs="Times New Roman"/>
              </w:rPr>
            </w:pPr>
            <w:r w:rsidRPr="00844B11">
              <w:t xml:space="preserve">40 </w:t>
            </w:r>
            <w:r w:rsidRPr="00844B11">
              <w:rPr>
                <w:lang w:val="en-US"/>
              </w:rPr>
              <w:t xml:space="preserve">mg, </w:t>
            </w:r>
            <w:r w:rsidRPr="00844B11">
              <w:t>7 дни</w:t>
            </w:r>
          </w:p>
        </w:tc>
        <w:tc>
          <w:tcPr>
            <w:tcW w:w="3192" w:type="dxa"/>
          </w:tcPr>
          <w:p w14:paraId="64E99C90" w14:textId="6DABB3E7" w:rsidR="00844B11" w:rsidRPr="00844B11" w:rsidRDefault="00844B11" w:rsidP="00844B11">
            <w:pPr>
              <w:spacing w:line="240" w:lineRule="auto"/>
              <w:rPr>
                <w:rFonts w:ascii="Times New Roman" w:eastAsia="Times New Roman" w:hAnsi="Times New Roman" w:cs="Times New Roman"/>
              </w:rPr>
            </w:pPr>
            <w:r w:rsidRPr="00844B11">
              <w:rPr>
                <w:lang w:val="en-US"/>
              </w:rPr>
              <w:t>↔</w:t>
            </w:r>
          </w:p>
        </w:tc>
      </w:tr>
      <w:tr w:rsidR="00844B11" w14:paraId="1361B873" w14:textId="77777777" w:rsidTr="00844B11">
        <w:tc>
          <w:tcPr>
            <w:tcW w:w="3192" w:type="dxa"/>
          </w:tcPr>
          <w:p w14:paraId="2DF853E1" w14:textId="6F2184C0" w:rsidR="00844B11" w:rsidRPr="00844B11" w:rsidRDefault="00844B11" w:rsidP="00844B11">
            <w:pPr>
              <w:spacing w:line="240" w:lineRule="auto"/>
              <w:rPr>
                <w:rFonts w:ascii="Times New Roman" w:eastAsia="Times New Roman" w:hAnsi="Times New Roman" w:cs="Times New Roman"/>
              </w:rPr>
            </w:pPr>
            <w:r w:rsidRPr="00844B11">
              <w:t xml:space="preserve">Силимарин 140 </w:t>
            </w:r>
            <w:r w:rsidRPr="00844B11">
              <w:rPr>
                <w:lang w:val="en-US"/>
              </w:rPr>
              <w:t>mg</w:t>
            </w:r>
            <w:r w:rsidRPr="00844B11">
              <w:rPr>
                <w:lang w:val="ru-RU"/>
              </w:rPr>
              <w:t xml:space="preserve">, </w:t>
            </w:r>
            <w:r w:rsidRPr="00844B11">
              <w:t>три пъти дневно, 5 дни</w:t>
            </w:r>
          </w:p>
        </w:tc>
        <w:tc>
          <w:tcPr>
            <w:tcW w:w="3192" w:type="dxa"/>
            <w:vAlign w:val="center"/>
          </w:tcPr>
          <w:p w14:paraId="2AB6B0C9" w14:textId="73EEB6CD" w:rsidR="00844B11" w:rsidRPr="00844B11" w:rsidRDefault="00844B11" w:rsidP="00844B11">
            <w:pPr>
              <w:spacing w:line="240" w:lineRule="auto"/>
              <w:rPr>
                <w:rFonts w:ascii="Times New Roman" w:eastAsia="Times New Roman" w:hAnsi="Times New Roman" w:cs="Times New Roman"/>
              </w:rPr>
            </w:pPr>
            <w:r w:rsidRPr="00844B11">
              <w:t xml:space="preserve">10 </w:t>
            </w:r>
            <w:r w:rsidRPr="00844B11">
              <w:rPr>
                <w:lang w:val="en-US"/>
              </w:rPr>
              <w:t xml:space="preserve">mg </w:t>
            </w:r>
            <w:r w:rsidRPr="00844B11">
              <w:t>еднократна доза</w:t>
            </w:r>
          </w:p>
        </w:tc>
        <w:tc>
          <w:tcPr>
            <w:tcW w:w="3192" w:type="dxa"/>
            <w:vAlign w:val="center"/>
          </w:tcPr>
          <w:p w14:paraId="3DA8E4E3" w14:textId="27E7DCD2" w:rsidR="00844B11" w:rsidRPr="00844B11" w:rsidRDefault="00844B11" w:rsidP="00844B11">
            <w:pPr>
              <w:spacing w:line="240" w:lineRule="auto"/>
              <w:rPr>
                <w:rFonts w:ascii="Times New Roman" w:eastAsia="Times New Roman" w:hAnsi="Times New Roman" w:cs="Times New Roman"/>
              </w:rPr>
            </w:pPr>
            <w:r w:rsidRPr="00844B11">
              <w:rPr>
                <w:lang w:val="en-US"/>
              </w:rPr>
              <w:t>↔</w:t>
            </w:r>
          </w:p>
        </w:tc>
      </w:tr>
      <w:tr w:rsidR="00844B11" w14:paraId="22193EA3" w14:textId="77777777" w:rsidTr="00844B11">
        <w:tc>
          <w:tcPr>
            <w:tcW w:w="3192" w:type="dxa"/>
          </w:tcPr>
          <w:p w14:paraId="26EDE168" w14:textId="050F31FE" w:rsidR="00844B11" w:rsidRPr="00844B11" w:rsidRDefault="00844B11" w:rsidP="00844B11">
            <w:pPr>
              <w:spacing w:line="240" w:lineRule="auto"/>
              <w:rPr>
                <w:rFonts w:ascii="Times New Roman" w:eastAsia="Times New Roman" w:hAnsi="Times New Roman" w:cs="Times New Roman"/>
              </w:rPr>
            </w:pPr>
            <w:r w:rsidRPr="00844B11">
              <w:t xml:space="preserve">Фенофибрат 67 </w:t>
            </w:r>
            <w:r w:rsidRPr="00844B11">
              <w:rPr>
                <w:lang w:val="en-US"/>
              </w:rPr>
              <w:t>mg</w:t>
            </w:r>
            <w:r w:rsidRPr="00844B11">
              <w:rPr>
                <w:lang w:val="ru-RU"/>
              </w:rPr>
              <w:t xml:space="preserve"> </w:t>
            </w:r>
            <w:r w:rsidRPr="00844B11">
              <w:t>три пъти дневно, 7 дни</w:t>
            </w:r>
          </w:p>
        </w:tc>
        <w:tc>
          <w:tcPr>
            <w:tcW w:w="3192" w:type="dxa"/>
            <w:vAlign w:val="center"/>
          </w:tcPr>
          <w:p w14:paraId="0EED0D27" w14:textId="32FD9E9D" w:rsidR="00844B11" w:rsidRPr="00844B11" w:rsidRDefault="00844B11" w:rsidP="00844B11">
            <w:pPr>
              <w:spacing w:line="240" w:lineRule="auto"/>
              <w:rPr>
                <w:rFonts w:ascii="Times New Roman" w:eastAsia="Times New Roman" w:hAnsi="Times New Roman" w:cs="Times New Roman"/>
              </w:rPr>
            </w:pPr>
            <w:r w:rsidRPr="00844B11">
              <w:t xml:space="preserve">10 </w:t>
            </w:r>
            <w:r w:rsidRPr="00844B11">
              <w:rPr>
                <w:lang w:val="en-US"/>
              </w:rPr>
              <w:t xml:space="preserve">mg, </w:t>
            </w:r>
            <w:r w:rsidRPr="00844B11">
              <w:t>7 дни</w:t>
            </w:r>
          </w:p>
        </w:tc>
        <w:tc>
          <w:tcPr>
            <w:tcW w:w="3192" w:type="dxa"/>
          </w:tcPr>
          <w:p w14:paraId="371E57C0" w14:textId="46BAAF7F" w:rsidR="00844B11" w:rsidRPr="00844B11" w:rsidRDefault="00844B11" w:rsidP="00844B11">
            <w:pPr>
              <w:spacing w:line="240" w:lineRule="auto"/>
              <w:rPr>
                <w:rFonts w:ascii="Times New Roman" w:eastAsia="Times New Roman" w:hAnsi="Times New Roman" w:cs="Times New Roman"/>
              </w:rPr>
            </w:pPr>
            <w:r w:rsidRPr="00844B11">
              <w:rPr>
                <w:lang w:val="en-US"/>
              </w:rPr>
              <w:t>↔</w:t>
            </w:r>
          </w:p>
        </w:tc>
      </w:tr>
      <w:tr w:rsidR="00844B11" w14:paraId="49CD52E7" w14:textId="77777777" w:rsidTr="00844B11">
        <w:tc>
          <w:tcPr>
            <w:tcW w:w="3192" w:type="dxa"/>
          </w:tcPr>
          <w:p w14:paraId="3D84BD8B" w14:textId="02EB7967" w:rsidR="00844B11" w:rsidRPr="00844B11" w:rsidRDefault="00844B11" w:rsidP="00844B11">
            <w:pPr>
              <w:spacing w:line="240" w:lineRule="auto"/>
              <w:rPr>
                <w:rFonts w:ascii="Times New Roman" w:eastAsia="Times New Roman" w:hAnsi="Times New Roman" w:cs="Times New Roman"/>
              </w:rPr>
            </w:pPr>
            <w:r w:rsidRPr="00844B11">
              <w:t xml:space="preserve">Рифампин 450 </w:t>
            </w:r>
            <w:r w:rsidRPr="00844B11">
              <w:rPr>
                <w:lang w:val="en-US"/>
              </w:rPr>
              <w:t>mg</w:t>
            </w:r>
            <w:r w:rsidRPr="00844B11">
              <w:rPr>
                <w:lang w:val="ru-RU"/>
              </w:rPr>
              <w:t xml:space="preserve"> </w:t>
            </w:r>
            <w:r w:rsidRPr="00844B11">
              <w:t>веднъж дневно, 7 дни</w:t>
            </w:r>
          </w:p>
        </w:tc>
        <w:tc>
          <w:tcPr>
            <w:tcW w:w="3192" w:type="dxa"/>
            <w:vAlign w:val="center"/>
          </w:tcPr>
          <w:p w14:paraId="28685E88" w14:textId="1E9D04DD" w:rsidR="00844B11" w:rsidRPr="00844B11" w:rsidRDefault="00844B11" w:rsidP="00844B11">
            <w:pPr>
              <w:spacing w:line="240" w:lineRule="auto"/>
              <w:rPr>
                <w:rFonts w:ascii="Times New Roman" w:eastAsia="Times New Roman" w:hAnsi="Times New Roman" w:cs="Times New Roman"/>
              </w:rPr>
            </w:pPr>
            <w:r w:rsidRPr="00844B11">
              <w:t xml:space="preserve">20 </w:t>
            </w:r>
            <w:r w:rsidRPr="00844B11">
              <w:rPr>
                <w:lang w:val="en-US"/>
              </w:rPr>
              <w:t xml:space="preserve">mg, </w:t>
            </w:r>
            <w:r w:rsidRPr="00844B11">
              <w:t>еднократна доза</w:t>
            </w:r>
          </w:p>
        </w:tc>
        <w:tc>
          <w:tcPr>
            <w:tcW w:w="3192" w:type="dxa"/>
          </w:tcPr>
          <w:p w14:paraId="46FF4380" w14:textId="08D05EB8" w:rsidR="00844B11" w:rsidRPr="00844B11" w:rsidRDefault="00844B11" w:rsidP="00844B11">
            <w:pPr>
              <w:spacing w:line="240" w:lineRule="auto"/>
              <w:rPr>
                <w:rFonts w:ascii="Times New Roman" w:eastAsia="Times New Roman" w:hAnsi="Times New Roman" w:cs="Times New Roman"/>
              </w:rPr>
            </w:pPr>
            <w:r w:rsidRPr="00844B11">
              <w:rPr>
                <w:lang w:val="en-US"/>
              </w:rPr>
              <w:t>↔</w:t>
            </w:r>
          </w:p>
        </w:tc>
      </w:tr>
      <w:tr w:rsidR="00844B11" w14:paraId="746F7E78" w14:textId="77777777" w:rsidTr="00844B11">
        <w:tc>
          <w:tcPr>
            <w:tcW w:w="3192" w:type="dxa"/>
          </w:tcPr>
          <w:p w14:paraId="64F233BE" w14:textId="3CCE6773" w:rsidR="00844B11" w:rsidRPr="00844B11" w:rsidRDefault="00844B11" w:rsidP="00844B11">
            <w:pPr>
              <w:spacing w:line="240" w:lineRule="auto"/>
              <w:rPr>
                <w:rFonts w:ascii="Times New Roman" w:eastAsia="Times New Roman" w:hAnsi="Times New Roman" w:cs="Times New Roman"/>
              </w:rPr>
            </w:pPr>
            <w:r w:rsidRPr="00844B11">
              <w:t xml:space="preserve">Кетоконазол 200 </w:t>
            </w:r>
            <w:r w:rsidRPr="00844B11">
              <w:rPr>
                <w:lang w:val="en-US"/>
              </w:rPr>
              <w:t>mg</w:t>
            </w:r>
            <w:r w:rsidRPr="00844B11">
              <w:rPr>
                <w:lang w:val="ru-RU"/>
              </w:rPr>
              <w:t xml:space="preserve"> </w:t>
            </w:r>
            <w:r w:rsidRPr="00844B11">
              <w:t>два пъти дневно, 7 дни</w:t>
            </w:r>
          </w:p>
        </w:tc>
        <w:tc>
          <w:tcPr>
            <w:tcW w:w="3192" w:type="dxa"/>
            <w:vAlign w:val="center"/>
          </w:tcPr>
          <w:p w14:paraId="3AB7F955" w14:textId="55637FDE" w:rsidR="00844B11" w:rsidRPr="00844B11" w:rsidRDefault="00844B11" w:rsidP="00844B11">
            <w:pPr>
              <w:spacing w:line="240" w:lineRule="auto"/>
              <w:rPr>
                <w:rFonts w:ascii="Times New Roman" w:eastAsia="Times New Roman" w:hAnsi="Times New Roman" w:cs="Times New Roman"/>
              </w:rPr>
            </w:pPr>
            <w:r w:rsidRPr="00844B11">
              <w:t xml:space="preserve">80 </w:t>
            </w:r>
            <w:r w:rsidRPr="00844B11">
              <w:rPr>
                <w:lang w:val="en-US"/>
              </w:rPr>
              <w:t xml:space="preserve">mg </w:t>
            </w:r>
            <w:r w:rsidRPr="00844B11">
              <w:t>еднократна доза</w:t>
            </w:r>
          </w:p>
        </w:tc>
        <w:tc>
          <w:tcPr>
            <w:tcW w:w="3192" w:type="dxa"/>
            <w:vAlign w:val="center"/>
          </w:tcPr>
          <w:p w14:paraId="3EE50EA4" w14:textId="652D405D" w:rsidR="00844B11" w:rsidRPr="00844B11" w:rsidRDefault="00844B11" w:rsidP="00844B11">
            <w:pPr>
              <w:spacing w:line="240" w:lineRule="auto"/>
              <w:rPr>
                <w:rFonts w:ascii="Times New Roman" w:eastAsia="Times New Roman" w:hAnsi="Times New Roman" w:cs="Times New Roman"/>
              </w:rPr>
            </w:pPr>
            <w:r w:rsidRPr="00844B11">
              <w:rPr>
                <w:b/>
                <w:bCs/>
                <w:lang w:val="en-US"/>
              </w:rPr>
              <w:t>↔</w:t>
            </w:r>
          </w:p>
        </w:tc>
      </w:tr>
      <w:tr w:rsidR="00844B11" w14:paraId="02A9FF93" w14:textId="77777777" w:rsidTr="00844B11">
        <w:tc>
          <w:tcPr>
            <w:tcW w:w="3192" w:type="dxa"/>
          </w:tcPr>
          <w:p w14:paraId="7453BA13" w14:textId="140B0C06" w:rsidR="00844B11" w:rsidRPr="00844B11" w:rsidRDefault="00844B11" w:rsidP="00844B11">
            <w:pPr>
              <w:spacing w:line="240" w:lineRule="auto"/>
              <w:rPr>
                <w:rFonts w:ascii="Times New Roman" w:eastAsia="Times New Roman" w:hAnsi="Times New Roman" w:cs="Times New Roman"/>
              </w:rPr>
            </w:pPr>
            <w:r w:rsidRPr="00844B11">
              <w:t xml:space="preserve">Флуконазол 200 </w:t>
            </w:r>
            <w:r w:rsidRPr="00844B11">
              <w:rPr>
                <w:lang w:val="en-US"/>
              </w:rPr>
              <w:t>mg</w:t>
            </w:r>
            <w:r w:rsidRPr="00844B11">
              <w:rPr>
                <w:lang w:val="ru-RU"/>
              </w:rPr>
              <w:t xml:space="preserve"> </w:t>
            </w:r>
            <w:r w:rsidRPr="00844B11">
              <w:t>веднъж дневно, 11 дни</w:t>
            </w:r>
          </w:p>
        </w:tc>
        <w:tc>
          <w:tcPr>
            <w:tcW w:w="3192" w:type="dxa"/>
            <w:vAlign w:val="center"/>
          </w:tcPr>
          <w:p w14:paraId="4B166E1A" w14:textId="06D90CAA" w:rsidR="00844B11" w:rsidRPr="00844B11" w:rsidRDefault="00844B11" w:rsidP="00844B11">
            <w:pPr>
              <w:spacing w:line="240" w:lineRule="auto"/>
              <w:rPr>
                <w:rFonts w:ascii="Times New Roman" w:eastAsia="Times New Roman" w:hAnsi="Times New Roman" w:cs="Times New Roman"/>
              </w:rPr>
            </w:pPr>
            <w:r w:rsidRPr="00844B11">
              <w:t xml:space="preserve">80 </w:t>
            </w:r>
            <w:r w:rsidRPr="00844B11">
              <w:rPr>
                <w:lang w:val="en-US"/>
              </w:rPr>
              <w:t xml:space="preserve">mg </w:t>
            </w:r>
            <w:r w:rsidRPr="00844B11">
              <w:t>еднократна доза</w:t>
            </w:r>
          </w:p>
        </w:tc>
        <w:tc>
          <w:tcPr>
            <w:tcW w:w="3192" w:type="dxa"/>
            <w:vAlign w:val="center"/>
          </w:tcPr>
          <w:p w14:paraId="368AB762" w14:textId="4FC77800" w:rsidR="00844B11" w:rsidRPr="00844B11" w:rsidRDefault="00844B11" w:rsidP="00844B11">
            <w:pPr>
              <w:spacing w:line="240" w:lineRule="auto"/>
              <w:rPr>
                <w:rFonts w:ascii="Times New Roman" w:eastAsia="Times New Roman" w:hAnsi="Times New Roman" w:cs="Times New Roman"/>
              </w:rPr>
            </w:pPr>
            <w:r w:rsidRPr="00844B11">
              <w:t>«-&gt;</w:t>
            </w:r>
          </w:p>
        </w:tc>
      </w:tr>
      <w:tr w:rsidR="00844B11" w14:paraId="68272F69" w14:textId="77777777" w:rsidTr="00844B11">
        <w:tc>
          <w:tcPr>
            <w:tcW w:w="3192" w:type="dxa"/>
            <w:vAlign w:val="center"/>
          </w:tcPr>
          <w:p w14:paraId="4EBE5D21" w14:textId="32537237" w:rsidR="00844B11" w:rsidRPr="00844B11" w:rsidRDefault="00844B11" w:rsidP="00844B11">
            <w:pPr>
              <w:spacing w:line="240" w:lineRule="auto"/>
              <w:rPr>
                <w:rFonts w:ascii="Times New Roman" w:eastAsia="Times New Roman" w:hAnsi="Times New Roman" w:cs="Times New Roman"/>
              </w:rPr>
            </w:pPr>
            <w:r w:rsidRPr="00844B11">
              <w:t xml:space="preserve">Еритромицин 500 </w:t>
            </w:r>
            <w:r w:rsidRPr="00844B11">
              <w:rPr>
                <w:lang w:val="en-US"/>
              </w:rPr>
              <w:t>mg</w:t>
            </w:r>
            <w:r w:rsidRPr="00844B11">
              <w:rPr>
                <w:lang w:val="ru-RU"/>
              </w:rPr>
              <w:t xml:space="preserve"> </w:t>
            </w:r>
            <w:r w:rsidRPr="00844B11">
              <w:t>четири пъти на ден, 7 дни</w:t>
            </w:r>
          </w:p>
        </w:tc>
        <w:tc>
          <w:tcPr>
            <w:tcW w:w="3192" w:type="dxa"/>
            <w:vAlign w:val="center"/>
          </w:tcPr>
          <w:p w14:paraId="780793B4" w14:textId="46517621" w:rsidR="00844B11" w:rsidRPr="00844B11" w:rsidRDefault="00844B11" w:rsidP="00844B11">
            <w:pPr>
              <w:spacing w:line="240" w:lineRule="auto"/>
              <w:rPr>
                <w:rFonts w:ascii="Times New Roman" w:eastAsia="Times New Roman" w:hAnsi="Times New Roman" w:cs="Times New Roman"/>
              </w:rPr>
            </w:pPr>
            <w:r w:rsidRPr="00844B11">
              <w:t xml:space="preserve">80 </w:t>
            </w:r>
            <w:r w:rsidRPr="00844B11">
              <w:rPr>
                <w:lang w:val="en-US"/>
              </w:rPr>
              <w:t xml:space="preserve">mg </w:t>
            </w:r>
            <w:r w:rsidRPr="00844B11">
              <w:t>еднократна доза</w:t>
            </w:r>
          </w:p>
        </w:tc>
        <w:tc>
          <w:tcPr>
            <w:tcW w:w="3192" w:type="dxa"/>
            <w:vAlign w:val="center"/>
          </w:tcPr>
          <w:p w14:paraId="55BA53A1" w14:textId="3E2DBB23" w:rsidR="00844B11" w:rsidRPr="00844B11" w:rsidRDefault="00844B11" w:rsidP="00844B11">
            <w:pPr>
              <w:spacing w:line="240" w:lineRule="auto"/>
              <w:rPr>
                <w:rFonts w:ascii="Times New Roman" w:eastAsia="Times New Roman" w:hAnsi="Times New Roman" w:cs="Times New Roman"/>
              </w:rPr>
            </w:pPr>
            <w:r w:rsidRPr="00844B11">
              <w:t>28%</w:t>
            </w:r>
            <w:r w:rsidRPr="00844B11">
              <w:rPr>
                <w:lang w:val="en-US"/>
              </w:rPr>
              <w:t>↓</w:t>
            </w:r>
          </w:p>
        </w:tc>
      </w:tr>
      <w:tr w:rsidR="00844B11" w14:paraId="794D79A5" w14:textId="77777777" w:rsidTr="00844B11">
        <w:tc>
          <w:tcPr>
            <w:tcW w:w="3192" w:type="dxa"/>
          </w:tcPr>
          <w:p w14:paraId="4252CCE0" w14:textId="7B70FDCF" w:rsidR="00844B11" w:rsidRPr="00844B11" w:rsidRDefault="00844B11" w:rsidP="00844B11">
            <w:pPr>
              <w:spacing w:line="240" w:lineRule="auto"/>
              <w:rPr>
                <w:rFonts w:ascii="Times New Roman" w:eastAsia="Times New Roman" w:hAnsi="Times New Roman" w:cs="Times New Roman"/>
              </w:rPr>
            </w:pPr>
            <w:r w:rsidRPr="00844B11">
              <w:t xml:space="preserve">Баикалин 50 </w:t>
            </w:r>
            <w:r w:rsidRPr="00844B11">
              <w:rPr>
                <w:lang w:val="en-US"/>
              </w:rPr>
              <w:t>mg</w:t>
            </w:r>
            <w:r w:rsidRPr="00844B11">
              <w:rPr>
                <w:lang w:val="ru-RU"/>
              </w:rPr>
              <w:t xml:space="preserve">, </w:t>
            </w:r>
            <w:r w:rsidRPr="00844B11">
              <w:t>три пъти дневно</w:t>
            </w:r>
          </w:p>
        </w:tc>
        <w:tc>
          <w:tcPr>
            <w:tcW w:w="3192" w:type="dxa"/>
            <w:vAlign w:val="center"/>
          </w:tcPr>
          <w:p w14:paraId="7D8A7F45" w14:textId="38C5F512" w:rsidR="00844B11" w:rsidRPr="00844B11" w:rsidRDefault="00844B11" w:rsidP="00844B11">
            <w:pPr>
              <w:spacing w:line="240" w:lineRule="auto"/>
              <w:rPr>
                <w:rFonts w:ascii="Times New Roman" w:eastAsia="Times New Roman" w:hAnsi="Times New Roman" w:cs="Times New Roman"/>
              </w:rPr>
            </w:pPr>
            <w:r w:rsidRPr="00844B11">
              <w:t xml:space="preserve">20 </w:t>
            </w:r>
            <w:r w:rsidRPr="00844B11">
              <w:rPr>
                <w:lang w:val="en-US"/>
              </w:rPr>
              <w:t xml:space="preserve">mg </w:t>
            </w:r>
            <w:r w:rsidRPr="00844B11">
              <w:t>еднократна доза</w:t>
            </w:r>
          </w:p>
        </w:tc>
        <w:tc>
          <w:tcPr>
            <w:tcW w:w="3192" w:type="dxa"/>
            <w:vAlign w:val="center"/>
          </w:tcPr>
          <w:p w14:paraId="4541685C" w14:textId="1D578B95" w:rsidR="00844B11" w:rsidRPr="00844B11" w:rsidRDefault="00844B11" w:rsidP="00844B11">
            <w:pPr>
              <w:spacing w:line="240" w:lineRule="auto"/>
              <w:rPr>
                <w:rFonts w:ascii="Times New Roman" w:eastAsia="Times New Roman" w:hAnsi="Times New Roman" w:cs="Times New Roman"/>
              </w:rPr>
            </w:pPr>
            <w:r w:rsidRPr="00844B11">
              <w:t>47%</w:t>
            </w:r>
            <w:r w:rsidRPr="00844B11">
              <w:rPr>
                <w:lang w:val="en-US"/>
              </w:rPr>
              <w:t>↓</w:t>
            </w:r>
          </w:p>
        </w:tc>
      </w:tr>
      <w:tr w:rsidR="00844B11" w14:paraId="75BF3006" w14:textId="77777777" w:rsidTr="00844B11">
        <w:tc>
          <w:tcPr>
            <w:tcW w:w="3192" w:type="dxa"/>
          </w:tcPr>
          <w:p w14:paraId="2C40A22F" w14:textId="42929704" w:rsidR="00844B11" w:rsidRPr="00844B11" w:rsidRDefault="00844B11" w:rsidP="00844B11">
            <w:pPr>
              <w:spacing w:line="240" w:lineRule="auto"/>
              <w:rPr>
                <w:rFonts w:ascii="Times New Roman" w:eastAsia="Times New Roman" w:hAnsi="Times New Roman" w:cs="Times New Roman"/>
              </w:rPr>
            </w:pPr>
            <w:r w:rsidRPr="00844B11">
              <w:lastRenderedPageBreak/>
              <w:t xml:space="preserve">Регорафениб 160 </w:t>
            </w:r>
            <w:r w:rsidRPr="00844B11">
              <w:rPr>
                <w:lang w:val="en-US"/>
              </w:rPr>
              <w:t>mg</w:t>
            </w:r>
            <w:r w:rsidRPr="00844B11">
              <w:rPr>
                <w:lang w:val="ru-RU"/>
              </w:rPr>
              <w:t xml:space="preserve">, </w:t>
            </w:r>
            <w:r w:rsidRPr="00844B11">
              <w:t>веднъж дневно, 14 дни</w:t>
            </w:r>
          </w:p>
        </w:tc>
        <w:tc>
          <w:tcPr>
            <w:tcW w:w="3192" w:type="dxa"/>
            <w:vAlign w:val="center"/>
          </w:tcPr>
          <w:p w14:paraId="469AA6A3" w14:textId="0CB83DA9" w:rsidR="00844B11" w:rsidRPr="00844B11" w:rsidRDefault="00844B11" w:rsidP="00844B11">
            <w:pPr>
              <w:spacing w:line="240" w:lineRule="auto"/>
              <w:rPr>
                <w:rFonts w:ascii="Times New Roman" w:eastAsia="Times New Roman" w:hAnsi="Times New Roman" w:cs="Times New Roman"/>
              </w:rPr>
            </w:pPr>
            <w:r w:rsidRPr="00844B11">
              <w:t xml:space="preserve">5 </w:t>
            </w:r>
            <w:r w:rsidRPr="00844B11">
              <w:rPr>
                <w:lang w:val="en-US"/>
              </w:rPr>
              <w:t xml:space="preserve">mg, </w:t>
            </w:r>
            <w:r w:rsidRPr="00844B11">
              <w:t>единична доза</w:t>
            </w:r>
          </w:p>
        </w:tc>
        <w:tc>
          <w:tcPr>
            <w:tcW w:w="3192" w:type="dxa"/>
            <w:vAlign w:val="center"/>
          </w:tcPr>
          <w:p w14:paraId="35F79295" w14:textId="132241A2" w:rsidR="00844B11" w:rsidRPr="00844B11" w:rsidRDefault="00844B11" w:rsidP="00844B11">
            <w:pPr>
              <w:spacing w:line="240" w:lineRule="auto"/>
              <w:rPr>
                <w:rFonts w:ascii="Times New Roman" w:eastAsia="Times New Roman" w:hAnsi="Times New Roman" w:cs="Times New Roman"/>
              </w:rPr>
            </w:pPr>
            <w:r w:rsidRPr="00844B11">
              <w:t xml:space="preserve">3,8 пъти </w:t>
            </w:r>
            <w:r w:rsidRPr="00844B11">
              <w:rPr>
                <w:lang w:val="en-US"/>
              </w:rPr>
              <w:t>↑</w:t>
            </w:r>
          </w:p>
        </w:tc>
      </w:tr>
      <w:tr w:rsidR="00844B11" w14:paraId="2D5C9B0E" w14:textId="77777777" w:rsidTr="00844B11">
        <w:tc>
          <w:tcPr>
            <w:tcW w:w="3192" w:type="dxa"/>
          </w:tcPr>
          <w:p w14:paraId="42A24479" w14:textId="243C9109" w:rsidR="00844B11" w:rsidRPr="00844B11" w:rsidRDefault="00844B11" w:rsidP="00844B11">
            <w:pPr>
              <w:spacing w:line="240" w:lineRule="auto"/>
              <w:rPr>
                <w:rFonts w:ascii="Times New Roman" w:eastAsia="Times New Roman" w:hAnsi="Times New Roman" w:cs="Times New Roman"/>
              </w:rPr>
            </w:pPr>
            <w:r w:rsidRPr="00844B11">
              <w:t xml:space="preserve">Велпатасвир 100 </w:t>
            </w:r>
            <w:r w:rsidRPr="00844B11">
              <w:rPr>
                <w:lang w:val="en-US"/>
              </w:rPr>
              <w:t xml:space="preserve">mg </w:t>
            </w:r>
            <w:r w:rsidRPr="00844B11">
              <w:t>веднъж дневно</w:t>
            </w:r>
          </w:p>
        </w:tc>
        <w:tc>
          <w:tcPr>
            <w:tcW w:w="3192" w:type="dxa"/>
            <w:vAlign w:val="center"/>
          </w:tcPr>
          <w:p w14:paraId="6629BE2E" w14:textId="4294CE0D" w:rsidR="00844B11" w:rsidRPr="00844B11" w:rsidRDefault="00844B11" w:rsidP="00844B11">
            <w:pPr>
              <w:spacing w:line="240" w:lineRule="auto"/>
              <w:rPr>
                <w:rFonts w:ascii="Times New Roman" w:eastAsia="Times New Roman" w:hAnsi="Times New Roman" w:cs="Times New Roman"/>
              </w:rPr>
            </w:pPr>
            <w:r w:rsidRPr="00844B11">
              <w:t xml:space="preserve">10 </w:t>
            </w:r>
            <w:r w:rsidRPr="00844B11">
              <w:rPr>
                <w:lang w:val="en-US"/>
              </w:rPr>
              <w:t xml:space="preserve">mg, </w:t>
            </w:r>
            <w:r w:rsidRPr="00844B11">
              <w:t>единична доза</w:t>
            </w:r>
          </w:p>
        </w:tc>
        <w:tc>
          <w:tcPr>
            <w:tcW w:w="3192" w:type="dxa"/>
            <w:vAlign w:val="bottom"/>
          </w:tcPr>
          <w:p w14:paraId="6A71DDF3" w14:textId="61B1A302" w:rsidR="00844B11" w:rsidRPr="00844B11" w:rsidRDefault="00844B11" w:rsidP="00844B11">
            <w:pPr>
              <w:spacing w:line="240" w:lineRule="auto"/>
              <w:rPr>
                <w:rFonts w:ascii="Times New Roman" w:eastAsia="Times New Roman" w:hAnsi="Times New Roman" w:cs="Times New Roman"/>
              </w:rPr>
            </w:pPr>
            <w:r w:rsidRPr="00844B11">
              <w:t xml:space="preserve">2,7 пъти </w:t>
            </w:r>
            <w:r w:rsidRPr="00844B11">
              <w:rPr>
                <w:lang w:val="en-US"/>
              </w:rPr>
              <w:t>↑</w:t>
            </w:r>
          </w:p>
        </w:tc>
      </w:tr>
      <w:tr w:rsidR="00844B11" w14:paraId="394710D3" w14:textId="77777777" w:rsidTr="00844B11">
        <w:tc>
          <w:tcPr>
            <w:tcW w:w="3192" w:type="dxa"/>
          </w:tcPr>
          <w:p w14:paraId="54B53184" w14:textId="2CC6131A" w:rsidR="00844B11" w:rsidRPr="00844B11" w:rsidRDefault="00844B11" w:rsidP="00844B11">
            <w:r>
              <w:rPr>
                <w:szCs w:val="20"/>
              </w:rPr>
              <w:t xml:space="preserve">Омбитасвир </w:t>
            </w:r>
            <w:r w:rsidRPr="00844B11">
              <w:rPr>
                <w:szCs w:val="20"/>
              </w:rPr>
              <w:t>25</w:t>
            </w:r>
            <w:r>
              <w:t xml:space="preserve"> </w:t>
            </w:r>
            <w:r w:rsidRPr="00844B11">
              <w:rPr>
                <w:szCs w:val="20"/>
                <w:lang w:val="en-US"/>
              </w:rPr>
              <w:t>mg</w:t>
            </w:r>
            <w:r w:rsidRPr="00844B11">
              <w:rPr>
                <w:szCs w:val="20"/>
              </w:rPr>
              <w:t xml:space="preserve">/паритапревир 150 </w:t>
            </w:r>
            <w:r w:rsidRPr="00844B11">
              <w:rPr>
                <w:szCs w:val="20"/>
                <w:lang w:val="en-US"/>
              </w:rPr>
              <w:t>mg</w:t>
            </w:r>
            <w:r w:rsidRPr="00844B11">
              <w:rPr>
                <w:szCs w:val="20"/>
              </w:rPr>
              <w:t xml:space="preserve">/ ритонавир 100 </w:t>
            </w:r>
            <w:r w:rsidRPr="00844B11">
              <w:rPr>
                <w:szCs w:val="20"/>
                <w:lang w:val="en-US"/>
              </w:rPr>
              <w:t>mg</w:t>
            </w:r>
            <w:r w:rsidRPr="00844B11">
              <w:rPr>
                <w:szCs w:val="20"/>
              </w:rPr>
              <w:t xml:space="preserve"> веднъж дневно / дазабувир 400 </w:t>
            </w:r>
            <w:r w:rsidRPr="00844B11">
              <w:rPr>
                <w:szCs w:val="20"/>
                <w:lang w:val="en-US"/>
              </w:rPr>
              <w:t>mg</w:t>
            </w:r>
            <w:r w:rsidRPr="00844B11">
              <w:rPr>
                <w:szCs w:val="20"/>
              </w:rPr>
              <w:t xml:space="preserve"> 2 пъти дневно, 14 дни</w:t>
            </w:r>
          </w:p>
        </w:tc>
        <w:tc>
          <w:tcPr>
            <w:tcW w:w="3192" w:type="dxa"/>
          </w:tcPr>
          <w:p w14:paraId="46396F18" w14:textId="0B1F892F"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5 </w:t>
            </w:r>
            <w:r w:rsidRPr="00844B11">
              <w:rPr>
                <w:szCs w:val="20"/>
                <w:lang w:val="en-US"/>
              </w:rPr>
              <w:t xml:space="preserve">mg, </w:t>
            </w:r>
            <w:r w:rsidRPr="00844B11">
              <w:rPr>
                <w:szCs w:val="20"/>
              </w:rPr>
              <w:t>единична доза</w:t>
            </w:r>
          </w:p>
        </w:tc>
        <w:tc>
          <w:tcPr>
            <w:tcW w:w="3192" w:type="dxa"/>
          </w:tcPr>
          <w:p w14:paraId="2467B2E7" w14:textId="53DE7A55"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2,6 пъта </w:t>
            </w:r>
            <w:r w:rsidRPr="00844B11">
              <w:rPr>
                <w:szCs w:val="20"/>
                <w:lang w:val="en-US"/>
              </w:rPr>
              <w:t>↑</w:t>
            </w:r>
          </w:p>
        </w:tc>
      </w:tr>
      <w:tr w:rsidR="00844B11" w14:paraId="7140AAA1" w14:textId="77777777" w:rsidTr="00844B11">
        <w:tc>
          <w:tcPr>
            <w:tcW w:w="3192" w:type="dxa"/>
          </w:tcPr>
          <w:p w14:paraId="765D3E60" w14:textId="1907F9CE"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Гразопревир 200 </w:t>
            </w:r>
            <w:r w:rsidRPr="00844B11">
              <w:rPr>
                <w:szCs w:val="20"/>
                <w:lang w:val="en-US"/>
              </w:rPr>
              <w:t>mg</w:t>
            </w:r>
            <w:r w:rsidRPr="00844B11">
              <w:rPr>
                <w:szCs w:val="20"/>
              </w:rPr>
              <w:t xml:space="preserve">/елбасвир 50 </w:t>
            </w:r>
            <w:r w:rsidRPr="00844B11">
              <w:rPr>
                <w:szCs w:val="20"/>
                <w:lang w:val="en-US"/>
              </w:rPr>
              <w:t>mg</w:t>
            </w:r>
            <w:r w:rsidRPr="00844B11">
              <w:rPr>
                <w:szCs w:val="20"/>
                <w:lang w:val="ru-RU"/>
              </w:rPr>
              <w:t xml:space="preserve"> </w:t>
            </w:r>
            <w:r w:rsidRPr="00844B11">
              <w:rPr>
                <w:szCs w:val="20"/>
              </w:rPr>
              <w:t>веднъж дневно, 11 дни</w:t>
            </w:r>
          </w:p>
        </w:tc>
        <w:tc>
          <w:tcPr>
            <w:tcW w:w="3192" w:type="dxa"/>
          </w:tcPr>
          <w:p w14:paraId="722ECCE7" w14:textId="62070F07"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10 </w:t>
            </w:r>
            <w:r w:rsidRPr="00844B11">
              <w:rPr>
                <w:szCs w:val="20"/>
                <w:lang w:val="en-US"/>
              </w:rPr>
              <w:t xml:space="preserve">mg, </w:t>
            </w:r>
            <w:r w:rsidRPr="00844B11">
              <w:rPr>
                <w:szCs w:val="20"/>
              </w:rPr>
              <w:t>единична доза</w:t>
            </w:r>
          </w:p>
        </w:tc>
        <w:tc>
          <w:tcPr>
            <w:tcW w:w="3192" w:type="dxa"/>
          </w:tcPr>
          <w:p w14:paraId="0877A6A5" w14:textId="43D86C6A"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2,3 пъти </w:t>
            </w:r>
            <w:r w:rsidRPr="00844B11">
              <w:rPr>
                <w:szCs w:val="20"/>
                <w:lang w:val="en-US"/>
              </w:rPr>
              <w:t>↑</w:t>
            </w:r>
          </w:p>
        </w:tc>
      </w:tr>
      <w:tr w:rsidR="00844B11" w14:paraId="5C45BF54" w14:textId="77777777" w:rsidTr="00844B11">
        <w:tc>
          <w:tcPr>
            <w:tcW w:w="3192" w:type="dxa"/>
          </w:tcPr>
          <w:p w14:paraId="60C3F56C" w14:textId="77777777" w:rsidR="00844B11" w:rsidRPr="00844B11" w:rsidRDefault="00844B11" w:rsidP="00844B11">
            <w:r w:rsidRPr="00844B11">
              <w:rPr>
                <w:szCs w:val="20"/>
              </w:rPr>
              <w:t>Глекапревир</w:t>
            </w:r>
            <w:r w:rsidRPr="00844B11">
              <w:rPr>
                <w:szCs w:val="20"/>
              </w:rPr>
              <w:tab/>
              <w:t>400</w:t>
            </w:r>
          </w:p>
          <w:p w14:paraId="58AB250C" w14:textId="77777777" w:rsidR="00844B11" w:rsidRPr="00844B11" w:rsidRDefault="00844B11" w:rsidP="00844B11">
            <w:r w:rsidRPr="00844B11">
              <w:rPr>
                <w:szCs w:val="20"/>
                <w:lang w:val="en-US"/>
              </w:rPr>
              <w:t>mg</w:t>
            </w:r>
            <w:r w:rsidRPr="00844B11">
              <w:rPr>
                <w:szCs w:val="20"/>
              </w:rPr>
              <w:t xml:space="preserve">/пибрентасвир 120 </w:t>
            </w:r>
            <w:r w:rsidRPr="00844B11">
              <w:rPr>
                <w:szCs w:val="20"/>
                <w:lang w:val="en-US"/>
              </w:rPr>
              <w:t>mg</w:t>
            </w:r>
          </w:p>
          <w:p w14:paraId="58DEE683" w14:textId="38B91E05" w:rsidR="00844B11" w:rsidRPr="00844B11" w:rsidRDefault="00844B11" w:rsidP="00844B11">
            <w:pPr>
              <w:spacing w:line="240" w:lineRule="auto"/>
              <w:rPr>
                <w:rFonts w:ascii="Times New Roman" w:eastAsia="Times New Roman" w:hAnsi="Times New Roman" w:cs="Times New Roman"/>
                <w:szCs w:val="24"/>
              </w:rPr>
            </w:pPr>
            <w:r w:rsidRPr="00844B11">
              <w:rPr>
                <w:szCs w:val="20"/>
              </w:rPr>
              <w:t>веднъж дневно, 7 дни</w:t>
            </w:r>
          </w:p>
        </w:tc>
        <w:tc>
          <w:tcPr>
            <w:tcW w:w="3192" w:type="dxa"/>
          </w:tcPr>
          <w:p w14:paraId="7A3E0B86" w14:textId="30C1656F"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5 </w:t>
            </w:r>
            <w:r w:rsidRPr="00844B11">
              <w:rPr>
                <w:szCs w:val="20"/>
                <w:lang w:val="en-US"/>
              </w:rPr>
              <w:t xml:space="preserve">mg </w:t>
            </w:r>
            <w:r w:rsidRPr="00844B11">
              <w:rPr>
                <w:szCs w:val="20"/>
              </w:rPr>
              <w:t>веднъж дневно, 7 дни</w:t>
            </w:r>
          </w:p>
        </w:tc>
        <w:tc>
          <w:tcPr>
            <w:tcW w:w="3192" w:type="dxa"/>
          </w:tcPr>
          <w:p w14:paraId="394D0F03" w14:textId="065D0EF9"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2,3 пъта </w:t>
            </w:r>
            <w:r w:rsidRPr="00844B11">
              <w:rPr>
                <w:szCs w:val="20"/>
                <w:lang w:val="en-US"/>
              </w:rPr>
              <w:t>↑</w:t>
            </w:r>
          </w:p>
        </w:tc>
      </w:tr>
    </w:tbl>
    <w:p w14:paraId="4A35A297" w14:textId="4C0BB56B" w:rsidR="00844B11" w:rsidRDefault="00844B11" w:rsidP="00844B11">
      <w:pPr>
        <w:spacing w:line="240" w:lineRule="auto"/>
        <w:rPr>
          <w:rFonts w:eastAsia="Times New Roman" w:cs="Arial"/>
          <w:sz w:val="28"/>
          <w:szCs w:val="24"/>
        </w:rPr>
      </w:pPr>
      <w:r w:rsidRPr="00844B11">
        <w:rPr>
          <w:rFonts w:eastAsia="Times New Roman" w:cs="Arial"/>
          <w:color w:val="000000"/>
          <w:szCs w:val="20"/>
          <w:lang w:eastAsia="bg-BG"/>
        </w:rPr>
        <w:t>*Данните се представят в кратно повишаване или намаляване, в съотношението когато розувастатин се приема самостоятелно или в комбинация с други продукти. Данните дадени като % отразяват разликата относима към прием на розувастатин като монотерапия Повишенията се представят с</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 без промяна </w:t>
      </w:r>
      <w:r w:rsidRPr="00844B11">
        <w:rPr>
          <w:rFonts w:eastAsia="Times New Roman" w:cs="Arial"/>
          <w:color w:val="000000"/>
          <w:szCs w:val="20"/>
          <w:lang w:val="ru-RU"/>
        </w:rPr>
        <w:t>↔</w:t>
      </w:r>
      <w:r>
        <w:rPr>
          <w:rFonts w:eastAsia="Times New Roman" w:cs="Arial"/>
          <w:color w:val="000000"/>
          <w:szCs w:val="20"/>
          <w:lang w:eastAsia="bg-BG"/>
        </w:rPr>
        <w:t xml:space="preserve">, понижение се представя с </w:t>
      </w:r>
      <w:r w:rsidRPr="00844B11">
        <w:rPr>
          <w:rFonts w:eastAsia="Times New Roman" w:cs="Arial"/>
          <w:color w:val="000000"/>
          <w:szCs w:val="20"/>
          <w:lang w:val="ru-RU"/>
        </w:rPr>
        <w:t>↓</w:t>
      </w:r>
      <w:r w:rsidRPr="00844B11">
        <w:rPr>
          <w:rFonts w:eastAsia="Times New Roman" w:cs="Arial"/>
          <w:color w:val="000000"/>
          <w:szCs w:val="20"/>
          <w:lang w:eastAsia="bg-BG"/>
        </w:rPr>
        <w:t>.</w:t>
      </w:r>
    </w:p>
    <w:p w14:paraId="7B4358DF" w14:textId="26BA0A9B" w:rsidR="00844B11" w:rsidRPr="00844B11" w:rsidRDefault="00844B11" w:rsidP="00844B11">
      <w:pPr>
        <w:spacing w:line="240" w:lineRule="auto"/>
        <w:rPr>
          <w:rFonts w:eastAsia="Times New Roman" w:cs="Arial"/>
          <w:sz w:val="28"/>
          <w:szCs w:val="24"/>
        </w:rPr>
      </w:pPr>
      <w:r w:rsidRPr="00844B11">
        <w:rPr>
          <w:rFonts w:eastAsia="Times New Roman" w:cs="Arial"/>
          <w:color w:val="000000"/>
          <w:szCs w:val="20"/>
          <w:lang w:eastAsia="bg-BG"/>
        </w:rPr>
        <w:t>**Няколко проучвания за взаимодействия са представени при различни дозови режими на розувастатин,таблицата показва най-значимото съотношение</w:t>
      </w:r>
    </w:p>
    <w:p w14:paraId="160006EF" w14:textId="77777777" w:rsidR="00844B11" w:rsidRPr="00844B11" w:rsidRDefault="00844B11" w:rsidP="00844B11">
      <w:pPr>
        <w:spacing w:line="240" w:lineRule="auto"/>
        <w:rPr>
          <w:rFonts w:eastAsia="Times New Roman" w:cs="Arial"/>
          <w:b/>
          <w:bCs/>
          <w:i/>
          <w:iCs/>
          <w:color w:val="000000"/>
          <w:szCs w:val="20"/>
          <w:lang w:eastAsia="bg-BG"/>
        </w:rPr>
      </w:pPr>
    </w:p>
    <w:p w14:paraId="61B56AEE" w14:textId="6F68793D" w:rsidR="00844B11" w:rsidRPr="00844B11" w:rsidRDefault="00844B11" w:rsidP="00844B11">
      <w:pPr>
        <w:spacing w:line="240" w:lineRule="auto"/>
        <w:rPr>
          <w:rFonts w:eastAsia="Times New Roman" w:cs="Arial"/>
          <w:sz w:val="28"/>
          <w:szCs w:val="24"/>
        </w:rPr>
      </w:pPr>
      <w:r w:rsidRPr="00844B11">
        <w:rPr>
          <w:rFonts w:eastAsia="Times New Roman" w:cs="Arial"/>
          <w:b/>
          <w:bCs/>
          <w:i/>
          <w:iCs/>
          <w:color w:val="000000"/>
          <w:szCs w:val="20"/>
          <w:lang w:eastAsia="bg-BG"/>
        </w:rPr>
        <w:t xml:space="preserve">Ефект на розувастатин върху едновременно приемани лекарствени продукти </w:t>
      </w:r>
      <w:r w:rsidRPr="00844B11">
        <w:rPr>
          <w:rFonts w:eastAsia="Times New Roman" w:cs="Arial"/>
          <w:b/>
          <w:bCs/>
          <w:color w:val="000000"/>
          <w:szCs w:val="20"/>
          <w:lang w:eastAsia="bg-BG"/>
        </w:rPr>
        <w:t xml:space="preserve">Антагонисти на витамин К: </w:t>
      </w:r>
      <w:r w:rsidRPr="00844B11">
        <w:rPr>
          <w:rFonts w:eastAsia="Times New Roman" w:cs="Arial"/>
          <w:color w:val="000000"/>
          <w:szCs w:val="20"/>
          <w:lang w:eastAsia="bg-BG"/>
        </w:rPr>
        <w:t xml:space="preserve">Подобно на други инхибитори на </w:t>
      </w:r>
      <w:r w:rsidRPr="00844B11">
        <w:rPr>
          <w:rFonts w:eastAsia="Times New Roman" w:cs="Arial"/>
          <w:color w:val="000000"/>
          <w:szCs w:val="20"/>
          <w:lang w:val="en-US"/>
        </w:rPr>
        <w:t>HMG</w:t>
      </w:r>
      <w:r w:rsidRPr="00844B11">
        <w:rPr>
          <w:rFonts w:eastAsia="Times New Roman" w:cs="Arial"/>
          <w:color w:val="000000"/>
          <w:szCs w:val="20"/>
          <w:lang w:val="ru-RU"/>
        </w:rPr>
        <w:t>-</w:t>
      </w:r>
      <w:r w:rsidRPr="00844B11">
        <w:rPr>
          <w:rFonts w:eastAsia="Times New Roman" w:cs="Arial"/>
          <w:color w:val="000000"/>
          <w:szCs w:val="20"/>
          <w:lang w:val="en-US"/>
        </w:rPr>
        <w:t>CoA</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редуктазата, започването на лечение с Розувастатин или титрирането на дозата му при пациенти, приемащи антагонисти на витамин К (като варфарин или други кумаринови антикоагуланти), може да доведе до повишение на </w:t>
      </w:r>
      <w:r w:rsidRPr="00844B11">
        <w:rPr>
          <w:rFonts w:eastAsia="Times New Roman" w:cs="Arial"/>
          <w:color w:val="000000"/>
          <w:szCs w:val="20"/>
          <w:lang w:val="en-US"/>
        </w:rPr>
        <w:t>International</w:t>
      </w:r>
      <w:r w:rsidRPr="00844B11">
        <w:rPr>
          <w:rFonts w:eastAsia="Times New Roman" w:cs="Arial"/>
          <w:color w:val="000000"/>
          <w:szCs w:val="20"/>
          <w:lang w:val="ru-RU"/>
        </w:rPr>
        <w:t xml:space="preserve"> </w:t>
      </w:r>
      <w:proofErr w:type="spellStart"/>
      <w:r w:rsidRPr="00844B11">
        <w:rPr>
          <w:rFonts w:eastAsia="Times New Roman" w:cs="Arial"/>
          <w:color w:val="000000"/>
          <w:szCs w:val="20"/>
          <w:lang w:val="en-US"/>
        </w:rPr>
        <w:t>Normalised</w:t>
      </w:r>
      <w:proofErr w:type="spellEnd"/>
      <w:r w:rsidRPr="00844B11">
        <w:rPr>
          <w:rFonts w:eastAsia="Times New Roman" w:cs="Arial"/>
          <w:color w:val="000000"/>
          <w:szCs w:val="20"/>
          <w:lang w:val="ru-RU"/>
        </w:rPr>
        <w:t xml:space="preserve"> </w:t>
      </w:r>
      <w:r w:rsidRPr="00844B11">
        <w:rPr>
          <w:rFonts w:eastAsia="Times New Roman" w:cs="Arial"/>
          <w:color w:val="000000"/>
          <w:szCs w:val="20"/>
          <w:lang w:val="en-US"/>
        </w:rPr>
        <w:t>Ratio</w:t>
      </w:r>
      <w:r w:rsidRPr="00844B11">
        <w:rPr>
          <w:rFonts w:eastAsia="Times New Roman" w:cs="Arial"/>
          <w:color w:val="000000"/>
          <w:szCs w:val="20"/>
          <w:lang w:val="ru-RU"/>
        </w:rPr>
        <w:t xml:space="preserve"> (</w:t>
      </w:r>
      <w:r w:rsidRPr="00844B11">
        <w:rPr>
          <w:rFonts w:eastAsia="Times New Roman" w:cs="Arial"/>
          <w:color w:val="000000"/>
          <w:szCs w:val="20"/>
          <w:lang w:val="en-US"/>
        </w:rPr>
        <w:t>INR</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Прекъсването на лечението или намаляване на дозата на титриране с Розувастатин може да доведе до намаление на </w:t>
      </w:r>
      <w:r w:rsidRPr="00844B11">
        <w:rPr>
          <w:rFonts w:eastAsia="Times New Roman" w:cs="Arial"/>
          <w:color w:val="000000"/>
          <w:szCs w:val="20"/>
          <w:lang w:val="en-US"/>
        </w:rPr>
        <w:t>INR</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При подобни ситуации се препоръчва мониториране на </w:t>
      </w:r>
      <w:r w:rsidRPr="00844B11">
        <w:rPr>
          <w:rFonts w:eastAsia="Times New Roman" w:cs="Arial"/>
          <w:color w:val="000000"/>
          <w:szCs w:val="20"/>
          <w:lang w:val="en-US"/>
        </w:rPr>
        <w:t>INR</w:t>
      </w:r>
      <w:r w:rsidRPr="00844B11">
        <w:rPr>
          <w:rFonts w:eastAsia="Times New Roman" w:cs="Arial"/>
          <w:color w:val="000000"/>
          <w:szCs w:val="20"/>
          <w:lang w:val="ru-RU"/>
        </w:rPr>
        <w:t>.</w:t>
      </w:r>
    </w:p>
    <w:p w14:paraId="7618EABE" w14:textId="77777777" w:rsidR="00844B11" w:rsidRPr="00844B11" w:rsidRDefault="00844B11" w:rsidP="00844B11">
      <w:pPr>
        <w:spacing w:line="240" w:lineRule="auto"/>
        <w:rPr>
          <w:rFonts w:eastAsia="Times New Roman" w:cs="Arial"/>
          <w:b/>
          <w:bCs/>
          <w:color w:val="000000"/>
          <w:szCs w:val="20"/>
          <w:lang w:eastAsia="bg-BG"/>
        </w:rPr>
      </w:pPr>
    </w:p>
    <w:p w14:paraId="07D4197C" w14:textId="1A16C1E3" w:rsidR="00844B11" w:rsidRPr="00844B11" w:rsidRDefault="00844B11" w:rsidP="00844B11">
      <w:pPr>
        <w:spacing w:line="240" w:lineRule="auto"/>
        <w:rPr>
          <w:rFonts w:eastAsia="Times New Roman" w:cs="Arial"/>
          <w:sz w:val="28"/>
          <w:szCs w:val="24"/>
        </w:rPr>
      </w:pPr>
      <w:r w:rsidRPr="00844B11">
        <w:rPr>
          <w:rFonts w:eastAsia="Times New Roman" w:cs="Arial"/>
          <w:b/>
          <w:bCs/>
          <w:color w:val="000000"/>
          <w:szCs w:val="20"/>
          <w:lang w:eastAsia="bg-BG"/>
        </w:rPr>
        <w:t xml:space="preserve">Перорални контрацептиви/хормонозаместваща терапия: </w:t>
      </w:r>
      <w:r w:rsidRPr="00844B11">
        <w:rPr>
          <w:rFonts w:eastAsia="Times New Roman" w:cs="Arial"/>
          <w:color w:val="000000"/>
          <w:szCs w:val="20"/>
          <w:lang w:eastAsia="bg-BG"/>
        </w:rPr>
        <w:t xml:space="preserve">Едновременният прием на розувастатин и перорални контрацептиви е довел до повишаване на </w:t>
      </w:r>
      <w:r w:rsidRPr="00844B11">
        <w:rPr>
          <w:rFonts w:eastAsia="Times New Roman" w:cs="Arial"/>
          <w:color w:val="000000"/>
          <w:szCs w:val="20"/>
          <w:lang w:val="en-US"/>
        </w:rPr>
        <w:t>AUC</w:t>
      </w:r>
      <w:r w:rsidRPr="00844B11">
        <w:rPr>
          <w:rFonts w:eastAsia="Times New Roman" w:cs="Arial"/>
          <w:color w:val="000000"/>
          <w:szCs w:val="20"/>
          <w:lang w:val="ru-RU"/>
        </w:rPr>
        <w:t xml:space="preserve"> </w:t>
      </w:r>
      <w:r w:rsidRPr="00844B11">
        <w:rPr>
          <w:rFonts w:eastAsia="Times New Roman" w:cs="Arial"/>
          <w:color w:val="000000"/>
          <w:szCs w:val="20"/>
          <w:lang w:eastAsia="bg-BG"/>
        </w:rPr>
        <w:t>на етинил естрадиол и норгестрел, съответно с 26% и 34%. Тези повишени плазмени концентрации трябва да се вземат под внимание, когато се определя дозировката на пероралните контрацептиви. Няма фармакокинетични данни за пациенти, които приемат едновременно Розувастатин и хормоно- заместваща терапия. Ето защо, взаимодействието описано по-горе не трябва да бъде изключено като вероятно. Въпреки това, тази комбинация е била широко прилагана от жени в клинични изпитвания и е била толерирана добре.</w:t>
      </w:r>
    </w:p>
    <w:p w14:paraId="5363095B" w14:textId="77777777" w:rsidR="00844B11" w:rsidRPr="00844B11" w:rsidRDefault="00844B11" w:rsidP="00844B11">
      <w:pPr>
        <w:spacing w:line="240" w:lineRule="auto"/>
        <w:rPr>
          <w:rFonts w:eastAsia="Times New Roman" w:cs="Arial"/>
          <w:b/>
          <w:bCs/>
          <w:color w:val="000000"/>
          <w:szCs w:val="20"/>
          <w:lang w:eastAsia="bg-BG"/>
        </w:rPr>
      </w:pPr>
    </w:p>
    <w:p w14:paraId="6EE26889" w14:textId="34F26D97" w:rsidR="00844B11" w:rsidRPr="00844B11" w:rsidRDefault="00844B11" w:rsidP="00844B11">
      <w:pPr>
        <w:spacing w:line="240" w:lineRule="auto"/>
        <w:rPr>
          <w:rFonts w:eastAsia="Times New Roman" w:cs="Arial"/>
          <w:sz w:val="28"/>
          <w:szCs w:val="24"/>
        </w:rPr>
      </w:pPr>
      <w:r w:rsidRPr="00844B11">
        <w:rPr>
          <w:rFonts w:eastAsia="Times New Roman" w:cs="Arial"/>
          <w:b/>
          <w:bCs/>
          <w:color w:val="000000"/>
          <w:szCs w:val="20"/>
          <w:lang w:eastAsia="bg-BG"/>
        </w:rPr>
        <w:t>Други лекарствени продукти:</w:t>
      </w:r>
    </w:p>
    <w:p w14:paraId="7ED13C56" w14:textId="77777777" w:rsidR="00844B11" w:rsidRPr="00844B11" w:rsidRDefault="00844B11" w:rsidP="00844B11">
      <w:pPr>
        <w:spacing w:line="240" w:lineRule="auto"/>
        <w:rPr>
          <w:rFonts w:eastAsia="Times New Roman" w:cs="Arial"/>
          <w:sz w:val="28"/>
          <w:szCs w:val="24"/>
        </w:rPr>
      </w:pPr>
      <w:r w:rsidRPr="00844B11">
        <w:rPr>
          <w:rFonts w:eastAsia="Times New Roman" w:cs="Arial"/>
          <w:b/>
          <w:bCs/>
          <w:color w:val="000000"/>
          <w:szCs w:val="20"/>
          <w:lang w:eastAsia="bg-BG"/>
        </w:rPr>
        <w:t xml:space="preserve">Дигоксин: </w:t>
      </w:r>
      <w:r w:rsidRPr="00844B11">
        <w:rPr>
          <w:rFonts w:eastAsia="Times New Roman" w:cs="Arial"/>
          <w:color w:val="000000"/>
          <w:szCs w:val="20"/>
          <w:lang w:eastAsia="bg-BG"/>
        </w:rPr>
        <w:t>Въз основа на данните от специфични проучвания за изследване на лекарствени взаимодействия, не се очаква клинично значимо взаимодействие с дигоксин.</w:t>
      </w:r>
    </w:p>
    <w:p w14:paraId="2E0258B9" w14:textId="77777777" w:rsidR="00844B11" w:rsidRPr="00844B11" w:rsidRDefault="00844B11" w:rsidP="00844B11">
      <w:pPr>
        <w:spacing w:line="240" w:lineRule="auto"/>
        <w:rPr>
          <w:rFonts w:eastAsia="Times New Roman" w:cs="Arial"/>
          <w:b/>
          <w:bCs/>
          <w:color w:val="000000"/>
          <w:szCs w:val="20"/>
          <w:lang w:eastAsia="bg-BG"/>
        </w:rPr>
      </w:pPr>
    </w:p>
    <w:p w14:paraId="3C04B716" w14:textId="196AB730" w:rsidR="00844B11" w:rsidRPr="00844B11" w:rsidRDefault="00844B11" w:rsidP="00844B11">
      <w:pPr>
        <w:spacing w:line="240" w:lineRule="auto"/>
        <w:rPr>
          <w:rFonts w:eastAsia="Times New Roman" w:cs="Arial"/>
          <w:sz w:val="28"/>
          <w:szCs w:val="24"/>
        </w:rPr>
      </w:pPr>
      <w:r w:rsidRPr="00844B11">
        <w:rPr>
          <w:rFonts w:eastAsia="Times New Roman" w:cs="Arial"/>
          <w:b/>
          <w:bCs/>
          <w:color w:val="000000"/>
          <w:szCs w:val="20"/>
          <w:lang w:eastAsia="bg-BG"/>
        </w:rPr>
        <w:t>Фузидова киселина</w:t>
      </w:r>
    </w:p>
    <w:p w14:paraId="1BF0ACF9" w14:textId="77777777" w:rsidR="00844B11" w:rsidRPr="00844B11" w:rsidRDefault="00844B11" w:rsidP="00844B11">
      <w:pPr>
        <w:spacing w:line="240" w:lineRule="auto"/>
        <w:rPr>
          <w:rFonts w:eastAsia="Times New Roman" w:cs="Arial"/>
          <w:sz w:val="28"/>
          <w:szCs w:val="24"/>
        </w:rPr>
      </w:pPr>
      <w:r w:rsidRPr="00844B11">
        <w:rPr>
          <w:rFonts w:eastAsia="Times New Roman" w:cs="Arial"/>
          <w:color w:val="000000"/>
          <w:szCs w:val="20"/>
          <w:lang w:eastAsia="bg-BG"/>
        </w:rPr>
        <w:t xml:space="preserve">Не са провеждани проучвания за изследване на взаимодействия с розувастатин и фузидова киселина. Рискът от миопатия, включително рабдомиолиза, може да се увеличи при едновременна употреба на фузидова киселина за системно приложение и статини. </w:t>
      </w:r>
      <w:r w:rsidRPr="00844B11">
        <w:rPr>
          <w:rFonts w:eastAsia="Times New Roman" w:cs="Arial"/>
          <w:color w:val="000000"/>
          <w:szCs w:val="20"/>
          <w:lang w:eastAsia="bg-BG"/>
        </w:rPr>
        <w:lastRenderedPageBreak/>
        <w:t>Механизмът на това взаимодействие (фармакодинамично или фармакокинетично, или и двете) е все още неизвестен. Има съобщения за рабдомиолиза (включително няколко с фатален изход) при пациенти, приемащи тази комбинация.</w:t>
      </w:r>
    </w:p>
    <w:p w14:paraId="0ACAFF51" w14:textId="77777777" w:rsidR="00844B11" w:rsidRPr="00844B11" w:rsidRDefault="00844B11" w:rsidP="00844B11">
      <w:pPr>
        <w:spacing w:line="240" w:lineRule="auto"/>
        <w:rPr>
          <w:rFonts w:eastAsia="Times New Roman" w:cs="Arial"/>
          <w:color w:val="000000"/>
          <w:szCs w:val="20"/>
          <w:lang w:eastAsia="bg-BG"/>
        </w:rPr>
      </w:pPr>
    </w:p>
    <w:p w14:paraId="7B288819" w14:textId="6067D7B4" w:rsidR="00844B11" w:rsidRPr="00844B11" w:rsidRDefault="00844B11" w:rsidP="00844B11">
      <w:pPr>
        <w:spacing w:line="240" w:lineRule="auto"/>
        <w:rPr>
          <w:rFonts w:eastAsia="Times New Roman" w:cs="Arial"/>
          <w:sz w:val="28"/>
          <w:szCs w:val="24"/>
        </w:rPr>
      </w:pPr>
      <w:r w:rsidRPr="00844B11">
        <w:rPr>
          <w:rFonts w:eastAsia="Times New Roman" w:cs="Arial"/>
          <w:color w:val="000000"/>
          <w:szCs w:val="20"/>
          <w:lang w:eastAsia="bg-BG"/>
        </w:rPr>
        <w:t>Ако терапията с фузидова киселина за системно приложение е наложителна, ле</w:t>
      </w:r>
      <w:r w:rsidRPr="00844B11">
        <w:rPr>
          <w:rFonts w:eastAsia="Times New Roman" w:cs="Arial"/>
          <w:color w:val="000000"/>
          <w:szCs w:val="20"/>
          <w:u w:val="single"/>
          <w:lang w:eastAsia="bg-BG"/>
        </w:rPr>
        <w:t>чениет</w:t>
      </w:r>
      <w:r w:rsidRPr="00844B11">
        <w:rPr>
          <w:rFonts w:eastAsia="Times New Roman" w:cs="Arial"/>
          <w:color w:val="000000"/>
          <w:szCs w:val="20"/>
          <w:lang w:eastAsia="bg-BG"/>
        </w:rPr>
        <w:t>о с Атеростад трябва да бъде прекъснато по време на периода на лечение с фузидова</w:t>
      </w:r>
      <w:r w:rsidRPr="00844B11">
        <w:rPr>
          <w:rFonts w:eastAsia="Times New Roman" w:cs="Arial"/>
          <w:color w:val="000000"/>
          <w:szCs w:val="20"/>
          <w:lang w:val="ru-RU"/>
        </w:rPr>
        <w:t xml:space="preserve"> </w:t>
      </w:r>
      <w:r w:rsidRPr="00844B11">
        <w:rPr>
          <w:rFonts w:eastAsia="Times New Roman" w:cs="Arial"/>
          <w:color w:val="000000"/>
          <w:szCs w:val="20"/>
          <w:lang w:eastAsia="bg-BG"/>
        </w:rPr>
        <w:t>киселина</w:t>
      </w:r>
    </w:p>
    <w:p w14:paraId="7DAFE818" w14:textId="77777777" w:rsidR="00844B11" w:rsidRPr="00844B11" w:rsidRDefault="00844B11" w:rsidP="00844B11">
      <w:pPr>
        <w:spacing w:line="240" w:lineRule="auto"/>
        <w:rPr>
          <w:rFonts w:eastAsia="Times New Roman" w:cs="Arial"/>
          <w:b/>
          <w:bCs/>
          <w:color w:val="000000"/>
          <w:szCs w:val="20"/>
          <w:lang w:eastAsia="bg-BG"/>
        </w:rPr>
      </w:pPr>
    </w:p>
    <w:p w14:paraId="5CFA1766" w14:textId="2B127219" w:rsidR="00844B11" w:rsidRPr="00844B11" w:rsidRDefault="00844B11" w:rsidP="00844B11">
      <w:pPr>
        <w:spacing w:line="240" w:lineRule="auto"/>
        <w:rPr>
          <w:rFonts w:eastAsia="Times New Roman" w:cs="Arial"/>
          <w:sz w:val="28"/>
          <w:szCs w:val="24"/>
        </w:rPr>
      </w:pPr>
      <w:r w:rsidRPr="00844B11">
        <w:rPr>
          <w:rFonts w:eastAsia="Times New Roman" w:cs="Arial"/>
          <w:b/>
          <w:bCs/>
          <w:color w:val="000000"/>
          <w:szCs w:val="20"/>
          <w:lang w:eastAsia="bg-BG"/>
        </w:rPr>
        <w:t>Тикагрелор</w:t>
      </w:r>
    </w:p>
    <w:p w14:paraId="3E7D648C" w14:textId="77777777" w:rsidR="00844B11" w:rsidRPr="00844B11" w:rsidRDefault="00844B11" w:rsidP="00844B11">
      <w:pPr>
        <w:rPr>
          <w:rFonts w:eastAsia="Times New Roman" w:cs="Arial"/>
          <w:sz w:val="28"/>
          <w:szCs w:val="24"/>
        </w:rPr>
      </w:pPr>
      <w:r w:rsidRPr="00844B11">
        <w:rPr>
          <w:rFonts w:eastAsia="Times New Roman" w:cs="Arial"/>
          <w:color w:val="000000"/>
          <w:szCs w:val="20"/>
          <w:lang w:eastAsia="bg-BG"/>
        </w:rPr>
        <w:t>Тикагрелор може да причини бъбречна недостатъчност и може да повлияе бъбречната екскреция на розувастатин, увеличавайки риска от кумулиране на розувастатин. В някои случаи едновременното приложение на тикагрелор и розувастатин води до намаляване на бъбречната функция, повишено ниво на СРК и рабдомиолиза. Препоръчва се контрол на бъбречна функция и СРК при съпътстваща употреба на тикагрелор и розувастатин.</w:t>
      </w:r>
    </w:p>
    <w:p w14:paraId="198CA99B" w14:textId="77777777" w:rsidR="00844B11" w:rsidRPr="00844B11" w:rsidRDefault="00844B11" w:rsidP="00844B11">
      <w:pPr>
        <w:spacing w:line="240" w:lineRule="auto"/>
        <w:rPr>
          <w:rFonts w:eastAsia="Times New Roman" w:cs="Arial"/>
          <w:color w:val="000000"/>
          <w:szCs w:val="20"/>
          <w:lang w:eastAsia="bg-BG"/>
        </w:rPr>
      </w:pPr>
    </w:p>
    <w:p w14:paraId="6B8720C1" w14:textId="3F64D002" w:rsidR="00844B11" w:rsidRPr="00844B11" w:rsidRDefault="00844B11" w:rsidP="00844B11">
      <w:pPr>
        <w:spacing w:line="240" w:lineRule="auto"/>
        <w:rPr>
          <w:rFonts w:eastAsia="Times New Roman" w:cs="Arial"/>
          <w:sz w:val="28"/>
          <w:szCs w:val="24"/>
        </w:rPr>
      </w:pPr>
      <w:r w:rsidRPr="00844B11">
        <w:rPr>
          <w:rFonts w:eastAsia="Times New Roman" w:cs="Arial"/>
          <w:color w:val="000000"/>
          <w:szCs w:val="20"/>
          <w:lang w:eastAsia="bg-BG"/>
        </w:rPr>
        <w:t>Вижте също точка 4.4. Педиатрична популация.</w:t>
      </w:r>
    </w:p>
    <w:p w14:paraId="016088B0" w14:textId="3A007A69" w:rsidR="00844B11" w:rsidRPr="00844B11" w:rsidRDefault="00844B11" w:rsidP="00844B11">
      <w:pPr>
        <w:spacing w:line="240" w:lineRule="auto"/>
        <w:rPr>
          <w:rFonts w:eastAsia="Times New Roman" w:cs="Arial"/>
          <w:sz w:val="28"/>
          <w:szCs w:val="24"/>
        </w:rPr>
      </w:pPr>
      <w:r w:rsidRPr="00844B11">
        <w:rPr>
          <w:rFonts w:eastAsia="Times New Roman" w:cs="Arial"/>
          <w:color w:val="000000"/>
          <w:szCs w:val="20"/>
          <w:lang w:eastAsia="bg-BG"/>
        </w:rPr>
        <w:t>Проучвания за взаимодействия са провеждани само при възрастни. Степента на взаимодействията в педиатричната популация не е известна.</w:t>
      </w:r>
    </w:p>
    <w:p w14:paraId="7F454AC4" w14:textId="783BBA7C" w:rsidR="00844B11" w:rsidRPr="00844B11" w:rsidRDefault="00844B11" w:rsidP="00844B11"/>
    <w:p w14:paraId="394A7584" w14:textId="266E277A" w:rsidR="004F498A" w:rsidRDefault="002C50EE" w:rsidP="004A448E">
      <w:pPr>
        <w:pStyle w:val="Heading2"/>
      </w:pPr>
      <w:r>
        <w:t>4.6. Фертилитет, бременност и кърмене</w:t>
      </w:r>
    </w:p>
    <w:p w14:paraId="6AED33AE" w14:textId="28E49B8A" w:rsidR="00844B11" w:rsidRDefault="00844B11" w:rsidP="00844B11"/>
    <w:p w14:paraId="15039BFF" w14:textId="77777777" w:rsidR="00844B11" w:rsidRPr="00844B11" w:rsidRDefault="00844B11" w:rsidP="00844B11">
      <w:pPr>
        <w:rPr>
          <w:sz w:val="24"/>
          <w:szCs w:val="24"/>
        </w:rPr>
      </w:pPr>
      <w:r w:rsidRPr="00844B11">
        <w:rPr>
          <w:lang w:eastAsia="bg-BG"/>
        </w:rPr>
        <w:t>Розувастатин е противопоказан по време на бременност и кърмене.</w:t>
      </w:r>
    </w:p>
    <w:p w14:paraId="468443C1" w14:textId="77777777" w:rsidR="00844B11" w:rsidRPr="00844B11" w:rsidRDefault="00844B11" w:rsidP="00844B11">
      <w:pPr>
        <w:rPr>
          <w:sz w:val="24"/>
          <w:szCs w:val="24"/>
        </w:rPr>
      </w:pPr>
      <w:r w:rsidRPr="00844B11">
        <w:rPr>
          <w:lang w:eastAsia="bg-BG"/>
        </w:rPr>
        <w:t>Жени в детеродна възраст трябва да прилагат подходящи контрацептивни мерки.</w:t>
      </w:r>
    </w:p>
    <w:p w14:paraId="050D7A66" w14:textId="77777777" w:rsidR="00844B11" w:rsidRDefault="00844B11" w:rsidP="00844B11">
      <w:pPr>
        <w:rPr>
          <w:lang w:eastAsia="bg-BG"/>
        </w:rPr>
      </w:pPr>
    </w:p>
    <w:p w14:paraId="5B2823D8" w14:textId="2DF4026A" w:rsidR="00844B11" w:rsidRPr="00844B11" w:rsidRDefault="00844B11" w:rsidP="00844B11">
      <w:pPr>
        <w:rPr>
          <w:sz w:val="24"/>
          <w:szCs w:val="24"/>
        </w:rPr>
      </w:pPr>
      <w:r w:rsidRPr="00844B11">
        <w:rPr>
          <w:lang w:eastAsia="bg-BG"/>
        </w:rPr>
        <w:t xml:space="preserve">Холестеролът и други продукти на холестероловия биосинтез са важни за развитието на плода, ето защо потенциалният риск от инхибиране на </w:t>
      </w:r>
      <w:r w:rsidRPr="00844B11">
        <w:rPr>
          <w:lang w:val="en-US"/>
        </w:rPr>
        <w:t>HMG</w:t>
      </w:r>
      <w:r w:rsidRPr="00844B11">
        <w:rPr>
          <w:lang w:val="ru-RU"/>
        </w:rPr>
        <w:t>-</w:t>
      </w:r>
      <w:r w:rsidRPr="00844B11">
        <w:rPr>
          <w:lang w:val="en-US"/>
        </w:rPr>
        <w:t>CoA</w:t>
      </w:r>
      <w:r w:rsidRPr="00844B11">
        <w:rPr>
          <w:lang w:val="ru-RU"/>
        </w:rPr>
        <w:t xml:space="preserve"> </w:t>
      </w:r>
      <w:r w:rsidRPr="00844B11">
        <w:rPr>
          <w:lang w:eastAsia="bg-BG"/>
        </w:rPr>
        <w:t>редуктазата е по-голям в сравнение с ползата от лечението по време на бременност. Изследванията върху животни осигуряват ограничени данни за репродуктивна токсичност (вж. точка 5.3). Ако пациентка забременее по време на лечение с това лекарство, приемът трябва да бъде незабавно преустановен. Розувастатин се отделя в млякото на плъхове. Няма установени данни за отделяне в млякото при хората (вж. точка 4.3).</w:t>
      </w:r>
    </w:p>
    <w:p w14:paraId="652FC463" w14:textId="77777777" w:rsidR="00844B11" w:rsidRPr="00844B11" w:rsidRDefault="00844B11" w:rsidP="00844B11"/>
    <w:p w14:paraId="064DF1DE" w14:textId="711D3F05" w:rsidR="00CF77F7" w:rsidRDefault="002C50EE" w:rsidP="004A448E">
      <w:pPr>
        <w:pStyle w:val="Heading2"/>
      </w:pPr>
      <w:r>
        <w:t>4.7. Ефекти върху способността за шофиране и работа с машини</w:t>
      </w:r>
    </w:p>
    <w:p w14:paraId="0A0783DA" w14:textId="5D59FE5C" w:rsidR="00844B11" w:rsidRDefault="00844B11" w:rsidP="00844B11"/>
    <w:p w14:paraId="60800A27" w14:textId="0AA59F7D" w:rsidR="00844B11" w:rsidRDefault="00844B11" w:rsidP="00844B11">
      <w:r>
        <w:t>Не са провеждани проучвания за установяване на влиянието на Розувастатин върху способността за шофиране и работа с машини. Въз основа на фармакодинамичните свойства, не се очаква Розувастатин да повлияе неблагоприятно тези способности. При шофиране или работа с машини трябва да се има предвид, че приемането на лекарството може да предизвика световъртеж.</w:t>
      </w:r>
    </w:p>
    <w:p w14:paraId="0EE42800" w14:textId="77777777" w:rsidR="00844B11" w:rsidRPr="00844B11" w:rsidRDefault="00844B11" w:rsidP="00844B11"/>
    <w:p w14:paraId="37A3FD9F" w14:textId="0CC3515C" w:rsidR="00CF77F7" w:rsidRDefault="002C50EE" w:rsidP="004A448E">
      <w:pPr>
        <w:pStyle w:val="Heading2"/>
      </w:pPr>
      <w:r>
        <w:t>4.8. Нежелани лекарствени реакции</w:t>
      </w:r>
    </w:p>
    <w:p w14:paraId="3C14F271" w14:textId="61DF3435" w:rsidR="00844B11" w:rsidRDefault="00844B11" w:rsidP="00844B11"/>
    <w:p w14:paraId="652D2AFA" w14:textId="77777777" w:rsidR="00844B11" w:rsidRPr="00844B11" w:rsidRDefault="00844B11" w:rsidP="00844B11">
      <w:pPr>
        <w:spacing w:line="240" w:lineRule="auto"/>
        <w:rPr>
          <w:rFonts w:eastAsia="Times New Roman" w:cs="Arial"/>
          <w:sz w:val="28"/>
          <w:szCs w:val="24"/>
        </w:rPr>
      </w:pPr>
      <w:r w:rsidRPr="00844B11">
        <w:rPr>
          <w:rFonts w:eastAsia="Times New Roman" w:cs="Arial"/>
          <w:color w:val="000000"/>
          <w:szCs w:val="20"/>
          <w:lang w:eastAsia="bg-BG"/>
        </w:rPr>
        <w:t>Нежеланите лекарствени реакции, наблюдавани при употребата на Розувастатин, обикновено са леки и преходни. При контролираните клинични изпитвания под 4% от пациентите, лекувани с Розувастатин, са прекъснали лечението поради нежелани реакции.</w:t>
      </w:r>
    </w:p>
    <w:p w14:paraId="4365B869" w14:textId="77777777" w:rsidR="00844B11" w:rsidRPr="00844B11" w:rsidRDefault="00844B11" w:rsidP="00844B11">
      <w:pPr>
        <w:spacing w:line="240" w:lineRule="auto"/>
        <w:rPr>
          <w:rFonts w:eastAsia="Times New Roman" w:cs="Arial"/>
          <w:color w:val="000000"/>
          <w:szCs w:val="20"/>
          <w:lang w:eastAsia="bg-BG"/>
        </w:rPr>
      </w:pPr>
    </w:p>
    <w:p w14:paraId="10D692D0" w14:textId="20D5C14F" w:rsidR="00844B11" w:rsidRPr="00844B11" w:rsidRDefault="00844B11" w:rsidP="00844B11">
      <w:pPr>
        <w:spacing w:line="240" w:lineRule="auto"/>
        <w:rPr>
          <w:rFonts w:eastAsia="Times New Roman" w:cs="Arial"/>
          <w:sz w:val="28"/>
          <w:szCs w:val="24"/>
        </w:rPr>
      </w:pPr>
      <w:r w:rsidRPr="00844B11">
        <w:rPr>
          <w:rFonts w:eastAsia="Times New Roman" w:cs="Arial"/>
          <w:color w:val="000000"/>
          <w:szCs w:val="20"/>
          <w:lang w:eastAsia="bg-BG"/>
        </w:rPr>
        <w:lastRenderedPageBreak/>
        <w:t>Базирана на данни от клинични проучвания и обширен постмаркетингов опит, следната таблица представя профилът на розувастатин по отношение на нежелани лекарствени реакции. Нежеланите реакции, изброени по-долу са класифицирани по честота и системо-органен клас (СОК).</w:t>
      </w:r>
    </w:p>
    <w:p w14:paraId="12CAEED0" w14:textId="77777777" w:rsidR="00844B11" w:rsidRPr="00844B11" w:rsidRDefault="00844B11" w:rsidP="00844B11">
      <w:pPr>
        <w:spacing w:line="240" w:lineRule="auto"/>
        <w:rPr>
          <w:rFonts w:eastAsia="Times New Roman" w:cs="Arial"/>
          <w:sz w:val="28"/>
          <w:szCs w:val="24"/>
        </w:rPr>
      </w:pPr>
      <w:r w:rsidRPr="00844B11">
        <w:rPr>
          <w:rFonts w:eastAsia="Times New Roman" w:cs="Arial"/>
          <w:color w:val="000000"/>
          <w:szCs w:val="20"/>
          <w:lang w:eastAsia="bg-BG"/>
        </w:rPr>
        <w:t>Честотата на нежеланите реакции е съобразена със следната конвенция: чести (&gt; 1/100 до 1/10); нечести (&gt; 1/1 000 до 1/100); редки (&gt; 1/10 000 до 1/1 000); много редки (&lt; 1/10 000), неизвестна честота (не може да бъде оценена от наличните данни).</w:t>
      </w:r>
    </w:p>
    <w:p w14:paraId="7BE72B0E" w14:textId="77777777" w:rsidR="00844B11" w:rsidRPr="00844B11" w:rsidRDefault="00844B11" w:rsidP="00844B11">
      <w:pPr>
        <w:spacing w:line="240" w:lineRule="auto"/>
        <w:rPr>
          <w:rFonts w:eastAsia="Times New Roman" w:cs="Arial"/>
          <w:b/>
          <w:bCs/>
          <w:color w:val="000000"/>
          <w:szCs w:val="20"/>
          <w:lang w:eastAsia="bg-BG"/>
        </w:rPr>
      </w:pPr>
    </w:p>
    <w:p w14:paraId="0E384C5A" w14:textId="6E6BB61D" w:rsidR="00844B11" w:rsidRDefault="00844B11" w:rsidP="00844B11">
      <w:pPr>
        <w:spacing w:line="240" w:lineRule="auto"/>
        <w:jc w:val="center"/>
        <w:rPr>
          <w:rFonts w:ascii="Times New Roman" w:eastAsia="Times New Roman" w:hAnsi="Times New Roman" w:cs="Times New Roman"/>
          <w:b/>
          <w:bCs/>
          <w:color w:val="000000"/>
          <w:sz w:val="20"/>
          <w:szCs w:val="20"/>
          <w:lang w:eastAsia="bg-BG"/>
        </w:rPr>
      </w:pPr>
      <w:r w:rsidRPr="00844B11">
        <w:rPr>
          <w:rFonts w:eastAsia="Times New Roman" w:cs="Arial"/>
          <w:b/>
          <w:bCs/>
          <w:color w:val="000000"/>
          <w:szCs w:val="20"/>
          <w:lang w:eastAsia="bg-BG"/>
        </w:rPr>
        <w:t>Табличен списък на нежеланите реакции</w:t>
      </w:r>
    </w:p>
    <w:tbl>
      <w:tblPr>
        <w:tblStyle w:val="TableGrid"/>
        <w:tblW w:w="0" w:type="auto"/>
        <w:tblLook w:val="04A0" w:firstRow="1" w:lastRow="0" w:firstColumn="1" w:lastColumn="0" w:noHBand="0" w:noVBand="1"/>
      </w:tblPr>
      <w:tblGrid>
        <w:gridCol w:w="1961"/>
        <w:gridCol w:w="1368"/>
        <w:gridCol w:w="1021"/>
        <w:gridCol w:w="1963"/>
        <w:gridCol w:w="1597"/>
        <w:gridCol w:w="1440"/>
      </w:tblGrid>
      <w:tr w:rsidR="00844B11" w14:paraId="04383FAC" w14:textId="77777777" w:rsidTr="00844B11">
        <w:tc>
          <w:tcPr>
            <w:tcW w:w="2009" w:type="dxa"/>
          </w:tcPr>
          <w:p w14:paraId="021D0819" w14:textId="565F7AAC" w:rsidR="00844B11" w:rsidRPr="00844B11" w:rsidRDefault="00844B11" w:rsidP="00844B11">
            <w:pPr>
              <w:spacing w:line="240" w:lineRule="auto"/>
              <w:rPr>
                <w:rFonts w:ascii="Times New Roman" w:eastAsia="Times New Roman" w:hAnsi="Times New Roman" w:cs="Times New Roman"/>
                <w:szCs w:val="24"/>
              </w:rPr>
            </w:pPr>
            <w:r w:rsidRPr="00844B11">
              <w:rPr>
                <w:szCs w:val="20"/>
              </w:rPr>
              <w:t>Системо-органен клас</w:t>
            </w:r>
          </w:p>
        </w:tc>
        <w:tc>
          <w:tcPr>
            <w:tcW w:w="1401" w:type="dxa"/>
          </w:tcPr>
          <w:p w14:paraId="2ECC674C" w14:textId="27F20D86" w:rsidR="00844B11" w:rsidRPr="00844B11" w:rsidRDefault="00844B11" w:rsidP="00844B11">
            <w:pPr>
              <w:spacing w:line="240" w:lineRule="auto"/>
              <w:rPr>
                <w:rFonts w:ascii="Times New Roman" w:eastAsia="Times New Roman" w:hAnsi="Times New Roman" w:cs="Times New Roman"/>
                <w:szCs w:val="24"/>
              </w:rPr>
            </w:pPr>
            <w:r w:rsidRPr="00844B11">
              <w:rPr>
                <w:szCs w:val="20"/>
              </w:rPr>
              <w:t>Чести</w:t>
            </w:r>
          </w:p>
        </w:tc>
        <w:tc>
          <w:tcPr>
            <w:tcW w:w="1043" w:type="dxa"/>
          </w:tcPr>
          <w:p w14:paraId="72A39BA3" w14:textId="0BFD9CE2" w:rsidR="00844B11" w:rsidRPr="00844B11" w:rsidRDefault="00844B11" w:rsidP="00844B11">
            <w:pPr>
              <w:spacing w:line="240" w:lineRule="auto"/>
              <w:rPr>
                <w:rFonts w:ascii="Times New Roman" w:eastAsia="Times New Roman" w:hAnsi="Times New Roman" w:cs="Times New Roman"/>
                <w:szCs w:val="24"/>
              </w:rPr>
            </w:pPr>
            <w:r w:rsidRPr="00844B11">
              <w:rPr>
                <w:szCs w:val="20"/>
              </w:rPr>
              <w:t>Нечести</w:t>
            </w:r>
          </w:p>
        </w:tc>
        <w:tc>
          <w:tcPr>
            <w:tcW w:w="2012" w:type="dxa"/>
          </w:tcPr>
          <w:p w14:paraId="0996A292" w14:textId="1B783D5B" w:rsidR="00844B11" w:rsidRPr="00844B11" w:rsidRDefault="00844B11" w:rsidP="00844B11">
            <w:pPr>
              <w:spacing w:line="240" w:lineRule="auto"/>
              <w:rPr>
                <w:rFonts w:ascii="Times New Roman" w:eastAsia="Times New Roman" w:hAnsi="Times New Roman" w:cs="Times New Roman"/>
                <w:szCs w:val="24"/>
              </w:rPr>
            </w:pPr>
            <w:r w:rsidRPr="00844B11">
              <w:rPr>
                <w:szCs w:val="20"/>
              </w:rPr>
              <w:t>Редки</w:t>
            </w:r>
          </w:p>
        </w:tc>
        <w:tc>
          <w:tcPr>
            <w:tcW w:w="1636" w:type="dxa"/>
          </w:tcPr>
          <w:p w14:paraId="72E7734F" w14:textId="6ED688D3" w:rsidR="00844B11" w:rsidRPr="00844B11" w:rsidRDefault="00844B11" w:rsidP="00844B11">
            <w:pPr>
              <w:spacing w:line="240" w:lineRule="auto"/>
              <w:rPr>
                <w:rFonts w:ascii="Times New Roman" w:eastAsia="Times New Roman" w:hAnsi="Times New Roman" w:cs="Times New Roman"/>
                <w:szCs w:val="24"/>
              </w:rPr>
            </w:pPr>
            <w:r w:rsidRPr="00844B11">
              <w:rPr>
                <w:szCs w:val="20"/>
              </w:rPr>
              <w:t>Много редки</w:t>
            </w:r>
          </w:p>
        </w:tc>
        <w:tc>
          <w:tcPr>
            <w:tcW w:w="1475" w:type="dxa"/>
          </w:tcPr>
          <w:p w14:paraId="343F8759" w14:textId="374BEC68" w:rsidR="00844B11" w:rsidRPr="00844B11" w:rsidRDefault="00844B11" w:rsidP="00844B11">
            <w:pPr>
              <w:spacing w:line="240" w:lineRule="auto"/>
              <w:rPr>
                <w:rFonts w:ascii="Times New Roman" w:eastAsia="Times New Roman" w:hAnsi="Times New Roman" w:cs="Times New Roman"/>
                <w:szCs w:val="24"/>
              </w:rPr>
            </w:pPr>
            <w:r w:rsidRPr="00844B11">
              <w:rPr>
                <w:szCs w:val="20"/>
              </w:rPr>
              <w:t>С неизвестна честота</w:t>
            </w:r>
          </w:p>
        </w:tc>
      </w:tr>
      <w:tr w:rsidR="00844B11" w14:paraId="4D1CFAC5" w14:textId="77777777" w:rsidTr="00844B11">
        <w:tc>
          <w:tcPr>
            <w:tcW w:w="2009" w:type="dxa"/>
          </w:tcPr>
          <w:p w14:paraId="7CEF50E5" w14:textId="76B91F08" w:rsidR="00844B11" w:rsidRPr="00844B11" w:rsidRDefault="00844B11" w:rsidP="00844B11">
            <w:pPr>
              <w:spacing w:line="240" w:lineRule="auto"/>
              <w:rPr>
                <w:rFonts w:ascii="Times New Roman" w:eastAsia="Times New Roman" w:hAnsi="Times New Roman" w:cs="Times New Roman"/>
                <w:szCs w:val="24"/>
              </w:rPr>
            </w:pPr>
            <w:r w:rsidRPr="00844B11">
              <w:rPr>
                <w:szCs w:val="20"/>
              </w:rPr>
              <w:t>Нарушения на кръвта и лимфната система</w:t>
            </w:r>
          </w:p>
        </w:tc>
        <w:tc>
          <w:tcPr>
            <w:tcW w:w="1401" w:type="dxa"/>
          </w:tcPr>
          <w:p w14:paraId="03FF4FDD" w14:textId="77777777" w:rsidR="00844B11" w:rsidRPr="00844B11" w:rsidRDefault="00844B11" w:rsidP="00844B11">
            <w:pPr>
              <w:spacing w:line="240" w:lineRule="auto"/>
              <w:rPr>
                <w:rFonts w:ascii="Times New Roman" w:eastAsia="Times New Roman" w:hAnsi="Times New Roman" w:cs="Times New Roman"/>
                <w:szCs w:val="24"/>
              </w:rPr>
            </w:pPr>
          </w:p>
        </w:tc>
        <w:tc>
          <w:tcPr>
            <w:tcW w:w="1043" w:type="dxa"/>
          </w:tcPr>
          <w:p w14:paraId="74A78FB3" w14:textId="77777777" w:rsidR="00844B11" w:rsidRPr="00844B11" w:rsidRDefault="00844B11" w:rsidP="00844B11">
            <w:pPr>
              <w:spacing w:line="240" w:lineRule="auto"/>
              <w:rPr>
                <w:rFonts w:ascii="Times New Roman" w:eastAsia="Times New Roman" w:hAnsi="Times New Roman" w:cs="Times New Roman"/>
                <w:szCs w:val="24"/>
              </w:rPr>
            </w:pPr>
          </w:p>
        </w:tc>
        <w:tc>
          <w:tcPr>
            <w:tcW w:w="2012" w:type="dxa"/>
          </w:tcPr>
          <w:p w14:paraId="5B40ABA1" w14:textId="36E85A29" w:rsidR="00844B11" w:rsidRPr="00844B11" w:rsidRDefault="00844B11" w:rsidP="00844B11">
            <w:pPr>
              <w:spacing w:line="240" w:lineRule="auto"/>
              <w:rPr>
                <w:rFonts w:ascii="Times New Roman" w:eastAsia="Times New Roman" w:hAnsi="Times New Roman" w:cs="Times New Roman"/>
                <w:szCs w:val="24"/>
              </w:rPr>
            </w:pPr>
            <w:r w:rsidRPr="00844B11">
              <w:rPr>
                <w:szCs w:val="20"/>
              </w:rPr>
              <w:t>тромбоцитопения</w:t>
            </w:r>
          </w:p>
        </w:tc>
        <w:tc>
          <w:tcPr>
            <w:tcW w:w="1636" w:type="dxa"/>
          </w:tcPr>
          <w:p w14:paraId="5B052504" w14:textId="77777777" w:rsidR="00844B11" w:rsidRPr="00844B11" w:rsidRDefault="00844B11" w:rsidP="00844B11">
            <w:pPr>
              <w:spacing w:line="240" w:lineRule="auto"/>
              <w:rPr>
                <w:rFonts w:ascii="Times New Roman" w:eastAsia="Times New Roman" w:hAnsi="Times New Roman" w:cs="Times New Roman"/>
                <w:szCs w:val="24"/>
              </w:rPr>
            </w:pPr>
          </w:p>
        </w:tc>
        <w:tc>
          <w:tcPr>
            <w:tcW w:w="1475" w:type="dxa"/>
          </w:tcPr>
          <w:p w14:paraId="6F69E903" w14:textId="77777777" w:rsidR="00844B11" w:rsidRPr="00844B11" w:rsidRDefault="00844B11" w:rsidP="00844B11">
            <w:pPr>
              <w:spacing w:line="240" w:lineRule="auto"/>
              <w:rPr>
                <w:rFonts w:ascii="Times New Roman" w:eastAsia="Times New Roman" w:hAnsi="Times New Roman" w:cs="Times New Roman"/>
                <w:szCs w:val="24"/>
              </w:rPr>
            </w:pPr>
          </w:p>
        </w:tc>
      </w:tr>
      <w:tr w:rsidR="00844B11" w14:paraId="21D3C0CB" w14:textId="77777777" w:rsidTr="00844B11">
        <w:tc>
          <w:tcPr>
            <w:tcW w:w="2009" w:type="dxa"/>
          </w:tcPr>
          <w:p w14:paraId="6BCD39F2" w14:textId="0AD7B23C" w:rsidR="00844B11" w:rsidRPr="00844B11" w:rsidRDefault="00844B11" w:rsidP="00844B11">
            <w:pPr>
              <w:spacing w:line="240" w:lineRule="auto"/>
              <w:rPr>
                <w:rFonts w:ascii="Times New Roman" w:eastAsia="Times New Roman" w:hAnsi="Times New Roman" w:cs="Times New Roman"/>
                <w:szCs w:val="24"/>
              </w:rPr>
            </w:pPr>
            <w:r w:rsidRPr="00844B11">
              <w:rPr>
                <w:szCs w:val="20"/>
              </w:rPr>
              <w:t>Нарушения на имунната система</w:t>
            </w:r>
          </w:p>
        </w:tc>
        <w:tc>
          <w:tcPr>
            <w:tcW w:w="1401" w:type="dxa"/>
          </w:tcPr>
          <w:p w14:paraId="3B34E5B6" w14:textId="77777777" w:rsidR="00844B11" w:rsidRPr="00844B11" w:rsidRDefault="00844B11" w:rsidP="00844B11">
            <w:pPr>
              <w:spacing w:line="240" w:lineRule="auto"/>
              <w:rPr>
                <w:rFonts w:ascii="Times New Roman" w:eastAsia="Times New Roman" w:hAnsi="Times New Roman" w:cs="Times New Roman"/>
                <w:szCs w:val="24"/>
              </w:rPr>
            </w:pPr>
          </w:p>
        </w:tc>
        <w:tc>
          <w:tcPr>
            <w:tcW w:w="1043" w:type="dxa"/>
          </w:tcPr>
          <w:p w14:paraId="775D4710" w14:textId="77777777" w:rsidR="00844B11" w:rsidRPr="00844B11" w:rsidRDefault="00844B11" w:rsidP="00844B11">
            <w:pPr>
              <w:spacing w:line="240" w:lineRule="auto"/>
              <w:rPr>
                <w:rFonts w:ascii="Times New Roman" w:eastAsia="Times New Roman" w:hAnsi="Times New Roman" w:cs="Times New Roman"/>
                <w:szCs w:val="24"/>
              </w:rPr>
            </w:pPr>
          </w:p>
        </w:tc>
        <w:tc>
          <w:tcPr>
            <w:tcW w:w="2012" w:type="dxa"/>
          </w:tcPr>
          <w:p w14:paraId="507C29BF" w14:textId="0FDD6B63" w:rsidR="00844B11" w:rsidRPr="00844B11" w:rsidRDefault="00844B11" w:rsidP="00844B11">
            <w:pPr>
              <w:spacing w:line="240" w:lineRule="auto"/>
              <w:rPr>
                <w:rFonts w:ascii="Times New Roman" w:eastAsia="Times New Roman" w:hAnsi="Times New Roman" w:cs="Times New Roman"/>
                <w:szCs w:val="24"/>
              </w:rPr>
            </w:pPr>
            <w:r w:rsidRPr="00844B11">
              <w:rPr>
                <w:szCs w:val="20"/>
              </w:rPr>
              <w:t>Реакции на свръхчувствителност, включително ангиоедем</w:t>
            </w:r>
          </w:p>
        </w:tc>
        <w:tc>
          <w:tcPr>
            <w:tcW w:w="1636" w:type="dxa"/>
          </w:tcPr>
          <w:p w14:paraId="465A64D2" w14:textId="77777777" w:rsidR="00844B11" w:rsidRPr="00844B11" w:rsidRDefault="00844B11" w:rsidP="00844B11">
            <w:pPr>
              <w:spacing w:line="240" w:lineRule="auto"/>
              <w:rPr>
                <w:rFonts w:ascii="Times New Roman" w:eastAsia="Times New Roman" w:hAnsi="Times New Roman" w:cs="Times New Roman"/>
                <w:szCs w:val="24"/>
              </w:rPr>
            </w:pPr>
          </w:p>
        </w:tc>
        <w:tc>
          <w:tcPr>
            <w:tcW w:w="1475" w:type="dxa"/>
          </w:tcPr>
          <w:p w14:paraId="14DA9D5D" w14:textId="77777777" w:rsidR="00844B11" w:rsidRPr="00844B11" w:rsidRDefault="00844B11" w:rsidP="00844B11">
            <w:pPr>
              <w:spacing w:line="240" w:lineRule="auto"/>
              <w:rPr>
                <w:rFonts w:ascii="Times New Roman" w:eastAsia="Times New Roman" w:hAnsi="Times New Roman" w:cs="Times New Roman"/>
                <w:szCs w:val="24"/>
              </w:rPr>
            </w:pPr>
          </w:p>
        </w:tc>
      </w:tr>
      <w:tr w:rsidR="00844B11" w14:paraId="25BD10D6" w14:textId="77777777" w:rsidTr="00844B11">
        <w:tc>
          <w:tcPr>
            <w:tcW w:w="2009" w:type="dxa"/>
          </w:tcPr>
          <w:p w14:paraId="5397F493" w14:textId="3C6D624C" w:rsidR="00844B11" w:rsidRPr="00844B11" w:rsidRDefault="00844B11" w:rsidP="00844B11">
            <w:pPr>
              <w:spacing w:line="240" w:lineRule="auto"/>
              <w:rPr>
                <w:rFonts w:ascii="Times New Roman" w:eastAsia="Times New Roman" w:hAnsi="Times New Roman" w:cs="Times New Roman"/>
                <w:szCs w:val="24"/>
              </w:rPr>
            </w:pPr>
            <w:r w:rsidRPr="00844B11">
              <w:rPr>
                <w:szCs w:val="20"/>
              </w:rPr>
              <w:t>Нарушения на ендокринната система</w:t>
            </w:r>
          </w:p>
        </w:tc>
        <w:tc>
          <w:tcPr>
            <w:tcW w:w="1401" w:type="dxa"/>
          </w:tcPr>
          <w:p w14:paraId="078E9A86" w14:textId="4B60D354" w:rsidR="00844B11" w:rsidRPr="00844B11" w:rsidRDefault="00844B11" w:rsidP="00844B11">
            <w:pPr>
              <w:spacing w:line="240" w:lineRule="auto"/>
              <w:rPr>
                <w:rFonts w:ascii="Times New Roman" w:eastAsia="Times New Roman" w:hAnsi="Times New Roman" w:cs="Times New Roman"/>
                <w:szCs w:val="24"/>
              </w:rPr>
            </w:pPr>
            <w:r w:rsidRPr="00844B11">
              <w:rPr>
                <w:szCs w:val="20"/>
              </w:rPr>
              <w:t>Захарен диабет</w:t>
            </w:r>
            <w:r w:rsidRPr="00844B11">
              <w:rPr>
                <w:szCs w:val="20"/>
                <w:vertAlign w:val="superscript"/>
              </w:rPr>
              <w:t>1</w:t>
            </w:r>
          </w:p>
        </w:tc>
        <w:tc>
          <w:tcPr>
            <w:tcW w:w="1043" w:type="dxa"/>
          </w:tcPr>
          <w:p w14:paraId="04CAC878" w14:textId="77777777" w:rsidR="00844B11" w:rsidRPr="00844B11" w:rsidRDefault="00844B11" w:rsidP="00844B11">
            <w:pPr>
              <w:spacing w:line="240" w:lineRule="auto"/>
              <w:rPr>
                <w:rFonts w:ascii="Times New Roman" w:eastAsia="Times New Roman" w:hAnsi="Times New Roman" w:cs="Times New Roman"/>
                <w:szCs w:val="24"/>
              </w:rPr>
            </w:pPr>
          </w:p>
        </w:tc>
        <w:tc>
          <w:tcPr>
            <w:tcW w:w="2012" w:type="dxa"/>
          </w:tcPr>
          <w:p w14:paraId="72796980" w14:textId="77777777" w:rsidR="00844B11" w:rsidRPr="00844B11" w:rsidRDefault="00844B11" w:rsidP="00844B11">
            <w:pPr>
              <w:spacing w:line="240" w:lineRule="auto"/>
              <w:rPr>
                <w:rFonts w:ascii="Times New Roman" w:eastAsia="Times New Roman" w:hAnsi="Times New Roman" w:cs="Times New Roman"/>
                <w:szCs w:val="24"/>
              </w:rPr>
            </w:pPr>
          </w:p>
        </w:tc>
        <w:tc>
          <w:tcPr>
            <w:tcW w:w="1636" w:type="dxa"/>
          </w:tcPr>
          <w:p w14:paraId="36D13F66" w14:textId="77777777" w:rsidR="00844B11" w:rsidRPr="00844B11" w:rsidRDefault="00844B11" w:rsidP="00844B11">
            <w:pPr>
              <w:spacing w:line="240" w:lineRule="auto"/>
              <w:rPr>
                <w:rFonts w:ascii="Times New Roman" w:eastAsia="Times New Roman" w:hAnsi="Times New Roman" w:cs="Times New Roman"/>
                <w:szCs w:val="24"/>
              </w:rPr>
            </w:pPr>
          </w:p>
        </w:tc>
        <w:tc>
          <w:tcPr>
            <w:tcW w:w="1475" w:type="dxa"/>
          </w:tcPr>
          <w:p w14:paraId="1479F51D" w14:textId="77777777" w:rsidR="00844B11" w:rsidRPr="00844B11" w:rsidRDefault="00844B11" w:rsidP="00844B11">
            <w:pPr>
              <w:spacing w:line="240" w:lineRule="auto"/>
              <w:rPr>
                <w:rFonts w:ascii="Times New Roman" w:eastAsia="Times New Roman" w:hAnsi="Times New Roman" w:cs="Times New Roman"/>
                <w:szCs w:val="24"/>
              </w:rPr>
            </w:pPr>
          </w:p>
        </w:tc>
      </w:tr>
      <w:tr w:rsidR="00844B11" w14:paraId="3A159EBB" w14:textId="77777777" w:rsidTr="00844B11">
        <w:tc>
          <w:tcPr>
            <w:tcW w:w="2009" w:type="dxa"/>
          </w:tcPr>
          <w:p w14:paraId="613B972A" w14:textId="5C980F90" w:rsidR="00844B11" w:rsidRPr="00844B11" w:rsidRDefault="00844B11" w:rsidP="00844B11">
            <w:pPr>
              <w:spacing w:line="240" w:lineRule="auto"/>
              <w:rPr>
                <w:rFonts w:ascii="Times New Roman" w:eastAsia="Times New Roman" w:hAnsi="Times New Roman" w:cs="Times New Roman"/>
                <w:szCs w:val="24"/>
              </w:rPr>
            </w:pPr>
            <w:r w:rsidRPr="00844B11">
              <w:rPr>
                <w:szCs w:val="20"/>
              </w:rPr>
              <w:t>Психични нарушения</w:t>
            </w:r>
          </w:p>
        </w:tc>
        <w:tc>
          <w:tcPr>
            <w:tcW w:w="1401" w:type="dxa"/>
          </w:tcPr>
          <w:p w14:paraId="462313A7" w14:textId="77777777" w:rsidR="00844B11" w:rsidRPr="00844B11" w:rsidRDefault="00844B11" w:rsidP="00844B11">
            <w:pPr>
              <w:spacing w:line="240" w:lineRule="auto"/>
              <w:rPr>
                <w:rFonts w:ascii="Times New Roman" w:eastAsia="Times New Roman" w:hAnsi="Times New Roman" w:cs="Times New Roman"/>
                <w:szCs w:val="24"/>
              </w:rPr>
            </w:pPr>
          </w:p>
        </w:tc>
        <w:tc>
          <w:tcPr>
            <w:tcW w:w="1043" w:type="dxa"/>
          </w:tcPr>
          <w:p w14:paraId="4AB5CF00" w14:textId="77777777" w:rsidR="00844B11" w:rsidRPr="00844B11" w:rsidRDefault="00844B11" w:rsidP="00844B11">
            <w:pPr>
              <w:spacing w:line="240" w:lineRule="auto"/>
              <w:rPr>
                <w:rFonts w:ascii="Times New Roman" w:eastAsia="Times New Roman" w:hAnsi="Times New Roman" w:cs="Times New Roman"/>
                <w:szCs w:val="24"/>
              </w:rPr>
            </w:pPr>
          </w:p>
        </w:tc>
        <w:tc>
          <w:tcPr>
            <w:tcW w:w="2012" w:type="dxa"/>
          </w:tcPr>
          <w:p w14:paraId="3BD30AF7" w14:textId="77777777" w:rsidR="00844B11" w:rsidRPr="00844B11" w:rsidRDefault="00844B11" w:rsidP="00844B11">
            <w:pPr>
              <w:spacing w:line="240" w:lineRule="auto"/>
              <w:rPr>
                <w:rFonts w:ascii="Times New Roman" w:eastAsia="Times New Roman" w:hAnsi="Times New Roman" w:cs="Times New Roman"/>
                <w:szCs w:val="24"/>
              </w:rPr>
            </w:pPr>
          </w:p>
        </w:tc>
        <w:tc>
          <w:tcPr>
            <w:tcW w:w="1636" w:type="dxa"/>
          </w:tcPr>
          <w:p w14:paraId="2A588903" w14:textId="77777777" w:rsidR="00844B11" w:rsidRPr="00844B11" w:rsidRDefault="00844B11" w:rsidP="00844B11">
            <w:pPr>
              <w:spacing w:line="240" w:lineRule="auto"/>
              <w:rPr>
                <w:rFonts w:ascii="Times New Roman" w:eastAsia="Times New Roman" w:hAnsi="Times New Roman" w:cs="Times New Roman"/>
                <w:szCs w:val="24"/>
              </w:rPr>
            </w:pPr>
          </w:p>
        </w:tc>
        <w:tc>
          <w:tcPr>
            <w:tcW w:w="1475" w:type="dxa"/>
          </w:tcPr>
          <w:p w14:paraId="218D056B" w14:textId="5099DD2E" w:rsidR="00844B11" w:rsidRPr="00844B11" w:rsidRDefault="00844B11" w:rsidP="00844B11">
            <w:pPr>
              <w:spacing w:line="240" w:lineRule="auto"/>
              <w:rPr>
                <w:rFonts w:ascii="Times New Roman" w:eastAsia="Times New Roman" w:hAnsi="Times New Roman" w:cs="Times New Roman"/>
                <w:szCs w:val="24"/>
              </w:rPr>
            </w:pPr>
            <w:r w:rsidRPr="00844B11">
              <w:rPr>
                <w:szCs w:val="20"/>
              </w:rPr>
              <w:t>Депресия</w:t>
            </w:r>
          </w:p>
        </w:tc>
      </w:tr>
      <w:tr w:rsidR="00844B11" w14:paraId="264E5CC2" w14:textId="77777777" w:rsidTr="00844B11">
        <w:tc>
          <w:tcPr>
            <w:tcW w:w="2009" w:type="dxa"/>
          </w:tcPr>
          <w:p w14:paraId="6A7742FF" w14:textId="7E8FFB2B" w:rsidR="00844B11" w:rsidRPr="00844B11" w:rsidRDefault="00844B11" w:rsidP="00844B11">
            <w:pPr>
              <w:spacing w:line="240" w:lineRule="auto"/>
              <w:rPr>
                <w:rFonts w:ascii="Times New Roman" w:eastAsia="Times New Roman" w:hAnsi="Times New Roman" w:cs="Times New Roman"/>
                <w:szCs w:val="24"/>
              </w:rPr>
            </w:pPr>
            <w:r w:rsidRPr="00844B11">
              <w:rPr>
                <w:szCs w:val="20"/>
              </w:rPr>
              <w:t>Нарушения на нервната система</w:t>
            </w:r>
          </w:p>
        </w:tc>
        <w:tc>
          <w:tcPr>
            <w:tcW w:w="1401" w:type="dxa"/>
          </w:tcPr>
          <w:p w14:paraId="7C523362" w14:textId="74A3AC6F" w:rsidR="00844B11" w:rsidRPr="00844B11" w:rsidRDefault="00844B11" w:rsidP="00844B11">
            <w:pPr>
              <w:spacing w:line="240" w:lineRule="auto"/>
              <w:rPr>
                <w:rFonts w:ascii="Times New Roman" w:eastAsia="Times New Roman" w:hAnsi="Times New Roman" w:cs="Times New Roman"/>
                <w:szCs w:val="24"/>
              </w:rPr>
            </w:pPr>
            <w:r w:rsidRPr="00844B11">
              <w:rPr>
                <w:szCs w:val="20"/>
              </w:rPr>
              <w:t>Главоболие, замайване</w:t>
            </w:r>
          </w:p>
        </w:tc>
        <w:tc>
          <w:tcPr>
            <w:tcW w:w="1043" w:type="dxa"/>
          </w:tcPr>
          <w:p w14:paraId="788A3561" w14:textId="77777777" w:rsidR="00844B11" w:rsidRPr="00844B11" w:rsidRDefault="00844B11" w:rsidP="00844B11">
            <w:pPr>
              <w:spacing w:line="240" w:lineRule="auto"/>
              <w:rPr>
                <w:rFonts w:ascii="Times New Roman" w:eastAsia="Times New Roman" w:hAnsi="Times New Roman" w:cs="Times New Roman"/>
                <w:szCs w:val="24"/>
              </w:rPr>
            </w:pPr>
          </w:p>
        </w:tc>
        <w:tc>
          <w:tcPr>
            <w:tcW w:w="2012" w:type="dxa"/>
          </w:tcPr>
          <w:p w14:paraId="692EB0F6" w14:textId="77777777" w:rsidR="00844B11" w:rsidRPr="00844B11" w:rsidRDefault="00844B11" w:rsidP="00844B11">
            <w:pPr>
              <w:spacing w:line="240" w:lineRule="auto"/>
              <w:rPr>
                <w:rFonts w:ascii="Times New Roman" w:eastAsia="Times New Roman" w:hAnsi="Times New Roman" w:cs="Times New Roman"/>
                <w:szCs w:val="24"/>
              </w:rPr>
            </w:pPr>
          </w:p>
        </w:tc>
        <w:tc>
          <w:tcPr>
            <w:tcW w:w="1636" w:type="dxa"/>
          </w:tcPr>
          <w:p w14:paraId="3F47CEC5" w14:textId="461B1C6E" w:rsidR="00844B11" w:rsidRPr="00844B11" w:rsidRDefault="00844B11" w:rsidP="00844B11">
            <w:pPr>
              <w:spacing w:line="240" w:lineRule="auto"/>
              <w:rPr>
                <w:rFonts w:ascii="Times New Roman" w:eastAsia="Times New Roman" w:hAnsi="Times New Roman" w:cs="Times New Roman"/>
                <w:szCs w:val="24"/>
              </w:rPr>
            </w:pPr>
            <w:r w:rsidRPr="00844B11">
              <w:rPr>
                <w:szCs w:val="20"/>
              </w:rPr>
              <w:t>Полиневропатия, загуба на паметта</w:t>
            </w:r>
          </w:p>
        </w:tc>
        <w:tc>
          <w:tcPr>
            <w:tcW w:w="1475" w:type="dxa"/>
            <w:vAlign w:val="bottom"/>
          </w:tcPr>
          <w:p w14:paraId="40D429A4" w14:textId="191E766A" w:rsidR="00844B11" w:rsidRPr="00844B11" w:rsidRDefault="00844B11" w:rsidP="00844B11">
            <w:pPr>
              <w:spacing w:line="240" w:lineRule="auto"/>
              <w:rPr>
                <w:rFonts w:ascii="Times New Roman" w:eastAsia="Times New Roman" w:hAnsi="Times New Roman" w:cs="Times New Roman"/>
                <w:szCs w:val="24"/>
              </w:rPr>
            </w:pPr>
            <w:r w:rsidRPr="00844B11">
              <w:rPr>
                <w:szCs w:val="20"/>
              </w:rPr>
              <w:t>Периферна невропатия нарушение на съня (включително безсъние и кошмари)</w:t>
            </w:r>
          </w:p>
        </w:tc>
      </w:tr>
      <w:tr w:rsidR="00844B11" w14:paraId="67059676" w14:textId="77777777" w:rsidTr="00844B11">
        <w:tc>
          <w:tcPr>
            <w:tcW w:w="2009" w:type="dxa"/>
            <w:vAlign w:val="bottom"/>
          </w:tcPr>
          <w:p w14:paraId="274952B3" w14:textId="40B17ACD" w:rsidR="00844B11" w:rsidRPr="00844B11" w:rsidRDefault="00844B11" w:rsidP="00844B11">
            <w:pPr>
              <w:spacing w:line="240" w:lineRule="auto"/>
              <w:rPr>
                <w:rFonts w:ascii="Times New Roman" w:eastAsia="Times New Roman" w:hAnsi="Times New Roman" w:cs="Times New Roman"/>
                <w:szCs w:val="24"/>
              </w:rPr>
            </w:pPr>
            <w:r w:rsidRPr="00844B11">
              <w:rPr>
                <w:szCs w:val="20"/>
              </w:rPr>
              <w:t>Респираторни, гръдни и медиастинални нарушения</w:t>
            </w:r>
          </w:p>
        </w:tc>
        <w:tc>
          <w:tcPr>
            <w:tcW w:w="1401" w:type="dxa"/>
          </w:tcPr>
          <w:p w14:paraId="42F656CC" w14:textId="77777777" w:rsidR="00844B11" w:rsidRPr="00844B11" w:rsidRDefault="00844B11" w:rsidP="00844B11">
            <w:pPr>
              <w:spacing w:line="240" w:lineRule="auto"/>
              <w:rPr>
                <w:rFonts w:ascii="Times New Roman" w:eastAsia="Times New Roman" w:hAnsi="Times New Roman" w:cs="Times New Roman"/>
                <w:szCs w:val="24"/>
              </w:rPr>
            </w:pPr>
          </w:p>
        </w:tc>
        <w:tc>
          <w:tcPr>
            <w:tcW w:w="1043" w:type="dxa"/>
          </w:tcPr>
          <w:p w14:paraId="7F6CABAB" w14:textId="77777777" w:rsidR="00844B11" w:rsidRPr="00844B11" w:rsidRDefault="00844B11" w:rsidP="00844B11">
            <w:pPr>
              <w:spacing w:line="240" w:lineRule="auto"/>
              <w:rPr>
                <w:rFonts w:ascii="Times New Roman" w:eastAsia="Times New Roman" w:hAnsi="Times New Roman" w:cs="Times New Roman"/>
                <w:szCs w:val="24"/>
              </w:rPr>
            </w:pPr>
          </w:p>
        </w:tc>
        <w:tc>
          <w:tcPr>
            <w:tcW w:w="2012" w:type="dxa"/>
          </w:tcPr>
          <w:p w14:paraId="0702BDFA" w14:textId="77777777" w:rsidR="00844B11" w:rsidRPr="00844B11" w:rsidRDefault="00844B11" w:rsidP="00844B11">
            <w:pPr>
              <w:spacing w:line="240" w:lineRule="auto"/>
              <w:rPr>
                <w:rFonts w:ascii="Times New Roman" w:eastAsia="Times New Roman" w:hAnsi="Times New Roman" w:cs="Times New Roman"/>
                <w:szCs w:val="24"/>
              </w:rPr>
            </w:pPr>
          </w:p>
        </w:tc>
        <w:tc>
          <w:tcPr>
            <w:tcW w:w="1636" w:type="dxa"/>
          </w:tcPr>
          <w:p w14:paraId="0F3EE73B" w14:textId="77777777" w:rsidR="00844B11" w:rsidRPr="00844B11" w:rsidRDefault="00844B11" w:rsidP="00844B11">
            <w:pPr>
              <w:spacing w:line="240" w:lineRule="auto"/>
              <w:rPr>
                <w:rFonts w:ascii="Times New Roman" w:eastAsia="Times New Roman" w:hAnsi="Times New Roman" w:cs="Times New Roman"/>
                <w:szCs w:val="24"/>
              </w:rPr>
            </w:pPr>
          </w:p>
        </w:tc>
        <w:tc>
          <w:tcPr>
            <w:tcW w:w="1475" w:type="dxa"/>
          </w:tcPr>
          <w:p w14:paraId="7B3979E1" w14:textId="73C0F072" w:rsidR="00844B11" w:rsidRPr="00844B11" w:rsidRDefault="00844B11" w:rsidP="00844B11">
            <w:pPr>
              <w:spacing w:line="240" w:lineRule="auto"/>
              <w:rPr>
                <w:rFonts w:ascii="Times New Roman" w:eastAsia="Times New Roman" w:hAnsi="Times New Roman" w:cs="Times New Roman"/>
                <w:szCs w:val="24"/>
              </w:rPr>
            </w:pPr>
            <w:r w:rsidRPr="00844B11">
              <w:rPr>
                <w:szCs w:val="20"/>
              </w:rPr>
              <w:t>Кашлица, диспнея</w:t>
            </w:r>
          </w:p>
        </w:tc>
      </w:tr>
      <w:tr w:rsidR="00844B11" w14:paraId="2748279A" w14:textId="77777777" w:rsidTr="00844B11">
        <w:tc>
          <w:tcPr>
            <w:tcW w:w="2009" w:type="dxa"/>
          </w:tcPr>
          <w:p w14:paraId="5C6A1218" w14:textId="4BD54DC8" w:rsidR="00844B11" w:rsidRPr="00844B11" w:rsidRDefault="00844B11" w:rsidP="00844B11">
            <w:pPr>
              <w:spacing w:line="240" w:lineRule="auto"/>
              <w:rPr>
                <w:rFonts w:ascii="Times New Roman" w:eastAsia="Times New Roman" w:hAnsi="Times New Roman" w:cs="Times New Roman"/>
                <w:szCs w:val="24"/>
              </w:rPr>
            </w:pPr>
            <w:r w:rsidRPr="00844B11">
              <w:rPr>
                <w:szCs w:val="20"/>
              </w:rPr>
              <w:t>Стомашно-чревни нарушения</w:t>
            </w:r>
          </w:p>
        </w:tc>
        <w:tc>
          <w:tcPr>
            <w:tcW w:w="1401" w:type="dxa"/>
            <w:vAlign w:val="bottom"/>
          </w:tcPr>
          <w:p w14:paraId="6C450BC4" w14:textId="5115E1F9" w:rsidR="00844B11" w:rsidRPr="00844B11" w:rsidRDefault="00844B11" w:rsidP="00844B11">
            <w:pPr>
              <w:spacing w:line="240" w:lineRule="auto"/>
              <w:rPr>
                <w:rFonts w:ascii="Times New Roman" w:eastAsia="Times New Roman" w:hAnsi="Times New Roman" w:cs="Times New Roman"/>
                <w:szCs w:val="24"/>
              </w:rPr>
            </w:pPr>
            <w:r w:rsidRPr="00844B11">
              <w:rPr>
                <w:szCs w:val="20"/>
              </w:rPr>
              <w:t>Констипация, прилошаваме, коремна болка</w:t>
            </w:r>
          </w:p>
        </w:tc>
        <w:tc>
          <w:tcPr>
            <w:tcW w:w="1043" w:type="dxa"/>
          </w:tcPr>
          <w:p w14:paraId="2FE1515F" w14:textId="77777777" w:rsidR="00844B11" w:rsidRPr="00844B11" w:rsidRDefault="00844B11" w:rsidP="00844B11">
            <w:pPr>
              <w:spacing w:line="240" w:lineRule="auto"/>
              <w:rPr>
                <w:rFonts w:ascii="Times New Roman" w:eastAsia="Times New Roman" w:hAnsi="Times New Roman" w:cs="Times New Roman"/>
                <w:szCs w:val="24"/>
              </w:rPr>
            </w:pPr>
          </w:p>
        </w:tc>
        <w:tc>
          <w:tcPr>
            <w:tcW w:w="2012" w:type="dxa"/>
          </w:tcPr>
          <w:p w14:paraId="71FB6407" w14:textId="4F8AF203" w:rsidR="00844B11" w:rsidRPr="00844B11" w:rsidRDefault="00844B11" w:rsidP="00844B11">
            <w:pPr>
              <w:spacing w:line="240" w:lineRule="auto"/>
              <w:rPr>
                <w:rFonts w:ascii="Times New Roman" w:eastAsia="Times New Roman" w:hAnsi="Times New Roman" w:cs="Times New Roman"/>
                <w:szCs w:val="24"/>
              </w:rPr>
            </w:pPr>
            <w:r w:rsidRPr="00844B11">
              <w:rPr>
                <w:szCs w:val="20"/>
              </w:rPr>
              <w:t>Панкреатит</w:t>
            </w:r>
          </w:p>
        </w:tc>
        <w:tc>
          <w:tcPr>
            <w:tcW w:w="1636" w:type="dxa"/>
          </w:tcPr>
          <w:p w14:paraId="54395B6D" w14:textId="77777777" w:rsidR="00844B11" w:rsidRPr="00844B11" w:rsidRDefault="00844B11" w:rsidP="00844B11">
            <w:pPr>
              <w:spacing w:line="240" w:lineRule="auto"/>
              <w:rPr>
                <w:rFonts w:ascii="Times New Roman" w:eastAsia="Times New Roman" w:hAnsi="Times New Roman" w:cs="Times New Roman"/>
                <w:szCs w:val="24"/>
              </w:rPr>
            </w:pPr>
          </w:p>
        </w:tc>
        <w:tc>
          <w:tcPr>
            <w:tcW w:w="1475" w:type="dxa"/>
          </w:tcPr>
          <w:p w14:paraId="37753A3E" w14:textId="20732DCA" w:rsidR="00844B11" w:rsidRPr="00844B11" w:rsidRDefault="00844B11" w:rsidP="00844B11">
            <w:pPr>
              <w:spacing w:line="240" w:lineRule="auto"/>
              <w:rPr>
                <w:rFonts w:ascii="Times New Roman" w:eastAsia="Times New Roman" w:hAnsi="Times New Roman" w:cs="Times New Roman"/>
                <w:szCs w:val="24"/>
              </w:rPr>
            </w:pPr>
            <w:r w:rsidRPr="00844B11">
              <w:rPr>
                <w:szCs w:val="20"/>
              </w:rPr>
              <w:t>диария</w:t>
            </w:r>
          </w:p>
        </w:tc>
      </w:tr>
      <w:tr w:rsidR="00844B11" w14:paraId="6A84409D" w14:textId="77777777" w:rsidTr="00844B11">
        <w:tc>
          <w:tcPr>
            <w:tcW w:w="2009" w:type="dxa"/>
          </w:tcPr>
          <w:p w14:paraId="162418F0" w14:textId="7DB069E8" w:rsidR="00844B11" w:rsidRPr="00844B11" w:rsidRDefault="00844B11" w:rsidP="00844B11">
            <w:pPr>
              <w:spacing w:line="240" w:lineRule="auto"/>
              <w:rPr>
                <w:rFonts w:ascii="Times New Roman" w:eastAsia="Times New Roman" w:hAnsi="Times New Roman" w:cs="Times New Roman"/>
                <w:szCs w:val="24"/>
              </w:rPr>
            </w:pPr>
            <w:r w:rsidRPr="00844B11">
              <w:rPr>
                <w:szCs w:val="20"/>
              </w:rPr>
              <w:t>Хепатобилиарни нарушения</w:t>
            </w:r>
          </w:p>
        </w:tc>
        <w:tc>
          <w:tcPr>
            <w:tcW w:w="1401" w:type="dxa"/>
          </w:tcPr>
          <w:p w14:paraId="01DD6870" w14:textId="77777777" w:rsidR="00844B11" w:rsidRPr="00844B11" w:rsidRDefault="00844B11" w:rsidP="00844B11">
            <w:pPr>
              <w:spacing w:line="240" w:lineRule="auto"/>
              <w:rPr>
                <w:rFonts w:ascii="Times New Roman" w:eastAsia="Times New Roman" w:hAnsi="Times New Roman" w:cs="Times New Roman"/>
                <w:szCs w:val="24"/>
              </w:rPr>
            </w:pPr>
          </w:p>
        </w:tc>
        <w:tc>
          <w:tcPr>
            <w:tcW w:w="1043" w:type="dxa"/>
          </w:tcPr>
          <w:p w14:paraId="25FC3B79" w14:textId="77777777" w:rsidR="00844B11" w:rsidRPr="00844B11" w:rsidRDefault="00844B11" w:rsidP="00844B11">
            <w:pPr>
              <w:spacing w:line="240" w:lineRule="auto"/>
              <w:rPr>
                <w:rFonts w:ascii="Times New Roman" w:eastAsia="Times New Roman" w:hAnsi="Times New Roman" w:cs="Times New Roman"/>
                <w:szCs w:val="24"/>
              </w:rPr>
            </w:pPr>
          </w:p>
        </w:tc>
        <w:tc>
          <w:tcPr>
            <w:tcW w:w="2012" w:type="dxa"/>
            <w:vAlign w:val="bottom"/>
          </w:tcPr>
          <w:p w14:paraId="58825FEF" w14:textId="73DBED14" w:rsidR="00844B11" w:rsidRPr="00844B11" w:rsidRDefault="00844B11" w:rsidP="00844B11">
            <w:pPr>
              <w:spacing w:line="240" w:lineRule="auto"/>
              <w:rPr>
                <w:rFonts w:ascii="Times New Roman" w:eastAsia="Times New Roman" w:hAnsi="Times New Roman" w:cs="Times New Roman"/>
                <w:szCs w:val="24"/>
              </w:rPr>
            </w:pPr>
            <w:r w:rsidRPr="00844B11">
              <w:rPr>
                <w:szCs w:val="20"/>
              </w:rPr>
              <w:t>Повишени чернодробни трансаминази</w:t>
            </w:r>
          </w:p>
        </w:tc>
        <w:tc>
          <w:tcPr>
            <w:tcW w:w="1636" w:type="dxa"/>
          </w:tcPr>
          <w:p w14:paraId="1CA72F8A" w14:textId="57230596" w:rsidR="00844B11" w:rsidRPr="00844B11" w:rsidRDefault="00844B11" w:rsidP="00844B11">
            <w:pPr>
              <w:spacing w:line="240" w:lineRule="auto"/>
              <w:rPr>
                <w:rFonts w:ascii="Times New Roman" w:eastAsia="Times New Roman" w:hAnsi="Times New Roman" w:cs="Times New Roman"/>
                <w:szCs w:val="24"/>
              </w:rPr>
            </w:pPr>
            <w:r w:rsidRPr="00844B11">
              <w:rPr>
                <w:szCs w:val="20"/>
              </w:rPr>
              <w:t>жълтеница хепатит</w:t>
            </w:r>
          </w:p>
        </w:tc>
        <w:tc>
          <w:tcPr>
            <w:tcW w:w="1475" w:type="dxa"/>
          </w:tcPr>
          <w:p w14:paraId="54D78132" w14:textId="77777777" w:rsidR="00844B11" w:rsidRPr="00844B11" w:rsidRDefault="00844B11" w:rsidP="00844B11">
            <w:pPr>
              <w:spacing w:line="240" w:lineRule="auto"/>
              <w:rPr>
                <w:rFonts w:ascii="Times New Roman" w:eastAsia="Times New Roman" w:hAnsi="Times New Roman" w:cs="Times New Roman"/>
                <w:szCs w:val="24"/>
              </w:rPr>
            </w:pPr>
          </w:p>
        </w:tc>
      </w:tr>
      <w:tr w:rsidR="00844B11" w14:paraId="5BAE5C59" w14:textId="77777777" w:rsidTr="00844B11">
        <w:tc>
          <w:tcPr>
            <w:tcW w:w="2009" w:type="dxa"/>
          </w:tcPr>
          <w:p w14:paraId="6EAFC4FD" w14:textId="759A25ED"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Нарушения на кожата и </w:t>
            </w:r>
            <w:r w:rsidRPr="00844B11">
              <w:rPr>
                <w:szCs w:val="20"/>
              </w:rPr>
              <w:lastRenderedPageBreak/>
              <w:t>подкожната тъкан</w:t>
            </w:r>
          </w:p>
        </w:tc>
        <w:tc>
          <w:tcPr>
            <w:tcW w:w="1401" w:type="dxa"/>
          </w:tcPr>
          <w:p w14:paraId="682504B6" w14:textId="77777777" w:rsidR="00844B11" w:rsidRPr="00844B11" w:rsidRDefault="00844B11" w:rsidP="00844B11">
            <w:pPr>
              <w:spacing w:line="240" w:lineRule="auto"/>
              <w:rPr>
                <w:rFonts w:ascii="Times New Roman" w:eastAsia="Times New Roman" w:hAnsi="Times New Roman" w:cs="Times New Roman"/>
                <w:szCs w:val="24"/>
              </w:rPr>
            </w:pPr>
          </w:p>
        </w:tc>
        <w:tc>
          <w:tcPr>
            <w:tcW w:w="1043" w:type="dxa"/>
          </w:tcPr>
          <w:p w14:paraId="6F329C0C" w14:textId="35ADFE84"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Сърбеж, обрив, </w:t>
            </w:r>
            <w:r w:rsidRPr="00844B11">
              <w:rPr>
                <w:szCs w:val="20"/>
              </w:rPr>
              <w:lastRenderedPageBreak/>
              <w:t>уртикария</w:t>
            </w:r>
          </w:p>
        </w:tc>
        <w:tc>
          <w:tcPr>
            <w:tcW w:w="2012" w:type="dxa"/>
          </w:tcPr>
          <w:p w14:paraId="039961B6" w14:textId="77777777" w:rsidR="00844B11" w:rsidRPr="00844B11" w:rsidRDefault="00844B11" w:rsidP="00844B11">
            <w:pPr>
              <w:spacing w:line="240" w:lineRule="auto"/>
              <w:rPr>
                <w:rFonts w:ascii="Times New Roman" w:eastAsia="Times New Roman" w:hAnsi="Times New Roman" w:cs="Times New Roman"/>
                <w:szCs w:val="24"/>
              </w:rPr>
            </w:pPr>
          </w:p>
        </w:tc>
        <w:tc>
          <w:tcPr>
            <w:tcW w:w="1636" w:type="dxa"/>
          </w:tcPr>
          <w:p w14:paraId="2E464594" w14:textId="77777777" w:rsidR="00844B11" w:rsidRPr="00844B11" w:rsidRDefault="00844B11" w:rsidP="00844B11">
            <w:pPr>
              <w:spacing w:line="240" w:lineRule="auto"/>
              <w:rPr>
                <w:rFonts w:ascii="Times New Roman" w:eastAsia="Times New Roman" w:hAnsi="Times New Roman" w:cs="Times New Roman"/>
                <w:szCs w:val="24"/>
              </w:rPr>
            </w:pPr>
          </w:p>
        </w:tc>
        <w:tc>
          <w:tcPr>
            <w:tcW w:w="1475" w:type="dxa"/>
            <w:vAlign w:val="bottom"/>
          </w:tcPr>
          <w:p w14:paraId="58E81D06" w14:textId="6F09ECE2"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Синдром на Стивънс- </w:t>
            </w:r>
            <w:r w:rsidRPr="00844B11">
              <w:rPr>
                <w:szCs w:val="20"/>
              </w:rPr>
              <w:lastRenderedPageBreak/>
              <w:t xml:space="preserve">Джонсън Лекарствена реакция с еозинофилия и системни симптоми </w:t>
            </w:r>
            <w:r w:rsidRPr="00844B11">
              <w:rPr>
                <w:szCs w:val="20"/>
                <w:lang w:val="ru-RU"/>
              </w:rPr>
              <w:t>(</w:t>
            </w:r>
            <w:r w:rsidRPr="00844B11">
              <w:rPr>
                <w:szCs w:val="20"/>
                <w:lang w:val="en-US"/>
              </w:rPr>
              <w:t>DRESS</w:t>
            </w:r>
            <w:r w:rsidRPr="00844B11">
              <w:rPr>
                <w:szCs w:val="20"/>
                <w:lang w:val="ru-RU"/>
              </w:rPr>
              <w:t>)</w:t>
            </w:r>
          </w:p>
        </w:tc>
      </w:tr>
      <w:tr w:rsidR="00844B11" w14:paraId="1D10FBFB" w14:textId="77777777" w:rsidTr="00844B11">
        <w:tc>
          <w:tcPr>
            <w:tcW w:w="2009" w:type="dxa"/>
          </w:tcPr>
          <w:p w14:paraId="4B19B51F" w14:textId="37BD460B" w:rsidR="00844B11" w:rsidRPr="00844B11" w:rsidRDefault="00844B11" w:rsidP="00844B11">
            <w:pPr>
              <w:spacing w:line="240" w:lineRule="auto"/>
              <w:rPr>
                <w:rFonts w:ascii="Times New Roman" w:eastAsia="Times New Roman" w:hAnsi="Times New Roman" w:cs="Times New Roman"/>
                <w:szCs w:val="24"/>
              </w:rPr>
            </w:pPr>
            <w:r w:rsidRPr="00844B11">
              <w:rPr>
                <w:szCs w:val="20"/>
              </w:rPr>
              <w:lastRenderedPageBreak/>
              <w:t>Нарушение на мускулно-скелетната система и съединителната тъкан</w:t>
            </w:r>
          </w:p>
        </w:tc>
        <w:tc>
          <w:tcPr>
            <w:tcW w:w="1401" w:type="dxa"/>
          </w:tcPr>
          <w:p w14:paraId="34464A97" w14:textId="7334D27C" w:rsidR="00844B11" w:rsidRPr="00844B11" w:rsidRDefault="00844B11" w:rsidP="00844B11">
            <w:pPr>
              <w:spacing w:line="240" w:lineRule="auto"/>
              <w:rPr>
                <w:rFonts w:ascii="Times New Roman" w:eastAsia="Times New Roman" w:hAnsi="Times New Roman" w:cs="Times New Roman"/>
                <w:szCs w:val="24"/>
              </w:rPr>
            </w:pPr>
            <w:r w:rsidRPr="00844B11">
              <w:rPr>
                <w:szCs w:val="20"/>
              </w:rPr>
              <w:t>миалгия</w:t>
            </w:r>
          </w:p>
        </w:tc>
        <w:tc>
          <w:tcPr>
            <w:tcW w:w="1043" w:type="dxa"/>
          </w:tcPr>
          <w:p w14:paraId="07A86504" w14:textId="77777777" w:rsidR="00844B11" w:rsidRPr="00844B11" w:rsidRDefault="00844B11" w:rsidP="00844B11">
            <w:pPr>
              <w:spacing w:line="240" w:lineRule="auto"/>
              <w:rPr>
                <w:rFonts w:ascii="Times New Roman" w:eastAsia="Times New Roman" w:hAnsi="Times New Roman" w:cs="Times New Roman"/>
                <w:szCs w:val="24"/>
              </w:rPr>
            </w:pPr>
          </w:p>
        </w:tc>
        <w:tc>
          <w:tcPr>
            <w:tcW w:w="2012" w:type="dxa"/>
          </w:tcPr>
          <w:p w14:paraId="6237FBFB" w14:textId="4C7BCB9E" w:rsidR="00844B11" w:rsidRPr="00844B11" w:rsidRDefault="00844B11" w:rsidP="00844B11">
            <w:pPr>
              <w:spacing w:line="240" w:lineRule="auto"/>
              <w:rPr>
                <w:rFonts w:ascii="Times New Roman" w:eastAsia="Times New Roman" w:hAnsi="Times New Roman" w:cs="Times New Roman"/>
                <w:szCs w:val="24"/>
              </w:rPr>
            </w:pPr>
            <w:r w:rsidRPr="00844B11">
              <w:rPr>
                <w:szCs w:val="20"/>
              </w:rPr>
              <w:t>Миопатия (включително миозит) рабдомиолиза</w:t>
            </w:r>
          </w:p>
        </w:tc>
        <w:tc>
          <w:tcPr>
            <w:tcW w:w="1636" w:type="dxa"/>
          </w:tcPr>
          <w:p w14:paraId="18CAA87F" w14:textId="443F4DE1" w:rsidR="00844B11" w:rsidRPr="00844B11" w:rsidRDefault="00844B11" w:rsidP="00844B11">
            <w:pPr>
              <w:spacing w:line="240" w:lineRule="auto"/>
              <w:rPr>
                <w:rFonts w:ascii="Times New Roman" w:eastAsia="Times New Roman" w:hAnsi="Times New Roman" w:cs="Times New Roman"/>
                <w:szCs w:val="24"/>
              </w:rPr>
            </w:pPr>
            <w:r w:rsidRPr="00844B11">
              <w:rPr>
                <w:szCs w:val="20"/>
              </w:rPr>
              <w:t>артралгия</w:t>
            </w:r>
          </w:p>
        </w:tc>
        <w:tc>
          <w:tcPr>
            <w:tcW w:w="1475" w:type="dxa"/>
            <w:vAlign w:val="bottom"/>
          </w:tcPr>
          <w:p w14:paraId="31AEE196" w14:textId="4B9B96A4" w:rsidR="00844B11" w:rsidRPr="00844B11" w:rsidRDefault="00844B11" w:rsidP="00844B11">
            <w:pPr>
              <w:spacing w:line="240" w:lineRule="auto"/>
              <w:rPr>
                <w:rFonts w:ascii="Times New Roman" w:eastAsia="Times New Roman" w:hAnsi="Times New Roman" w:cs="Times New Roman"/>
                <w:szCs w:val="24"/>
              </w:rPr>
            </w:pPr>
            <w:r w:rsidRPr="00844B11">
              <w:rPr>
                <w:szCs w:val="20"/>
              </w:rPr>
              <w:t>Нарушение на сухожилията, понякога придружено с руптура Имуно медиирана некротизираща миопатия</w:t>
            </w:r>
          </w:p>
        </w:tc>
      </w:tr>
      <w:tr w:rsidR="00844B11" w14:paraId="37BC514B" w14:textId="77777777" w:rsidTr="00844B11">
        <w:tc>
          <w:tcPr>
            <w:tcW w:w="2009" w:type="dxa"/>
            <w:vAlign w:val="bottom"/>
          </w:tcPr>
          <w:p w14:paraId="2F9F8069" w14:textId="2AEEEC9E" w:rsidR="00844B11" w:rsidRPr="00844B11" w:rsidRDefault="00844B11" w:rsidP="00844B11">
            <w:pPr>
              <w:spacing w:line="240" w:lineRule="auto"/>
              <w:rPr>
                <w:rFonts w:ascii="Times New Roman" w:eastAsia="Times New Roman" w:hAnsi="Times New Roman" w:cs="Times New Roman"/>
                <w:szCs w:val="24"/>
              </w:rPr>
            </w:pPr>
            <w:r w:rsidRPr="00844B11">
              <w:rPr>
                <w:szCs w:val="20"/>
              </w:rPr>
              <w:t>Нарушения на бъбреците и пикочните пътища</w:t>
            </w:r>
          </w:p>
        </w:tc>
        <w:tc>
          <w:tcPr>
            <w:tcW w:w="1401" w:type="dxa"/>
          </w:tcPr>
          <w:p w14:paraId="150E06C7" w14:textId="77777777" w:rsidR="00844B11" w:rsidRPr="00844B11" w:rsidRDefault="00844B11" w:rsidP="00844B11">
            <w:pPr>
              <w:spacing w:line="240" w:lineRule="auto"/>
              <w:rPr>
                <w:rFonts w:ascii="Times New Roman" w:eastAsia="Times New Roman" w:hAnsi="Times New Roman" w:cs="Times New Roman"/>
                <w:szCs w:val="24"/>
              </w:rPr>
            </w:pPr>
          </w:p>
        </w:tc>
        <w:tc>
          <w:tcPr>
            <w:tcW w:w="1043" w:type="dxa"/>
          </w:tcPr>
          <w:p w14:paraId="5626B079" w14:textId="77777777" w:rsidR="00844B11" w:rsidRPr="00844B11" w:rsidRDefault="00844B11" w:rsidP="00844B11">
            <w:pPr>
              <w:spacing w:line="240" w:lineRule="auto"/>
              <w:rPr>
                <w:rFonts w:ascii="Times New Roman" w:eastAsia="Times New Roman" w:hAnsi="Times New Roman" w:cs="Times New Roman"/>
                <w:szCs w:val="24"/>
              </w:rPr>
            </w:pPr>
          </w:p>
        </w:tc>
        <w:tc>
          <w:tcPr>
            <w:tcW w:w="2012" w:type="dxa"/>
          </w:tcPr>
          <w:p w14:paraId="254CE3EE" w14:textId="77777777" w:rsidR="00844B11" w:rsidRPr="00844B11" w:rsidRDefault="00844B11" w:rsidP="00844B11">
            <w:pPr>
              <w:spacing w:line="240" w:lineRule="auto"/>
              <w:rPr>
                <w:rFonts w:ascii="Times New Roman" w:eastAsia="Times New Roman" w:hAnsi="Times New Roman" w:cs="Times New Roman"/>
                <w:szCs w:val="24"/>
              </w:rPr>
            </w:pPr>
          </w:p>
        </w:tc>
        <w:tc>
          <w:tcPr>
            <w:tcW w:w="1636" w:type="dxa"/>
          </w:tcPr>
          <w:p w14:paraId="11D0F05D" w14:textId="2AF8377A" w:rsidR="00844B11" w:rsidRPr="00844B11" w:rsidRDefault="00844B11" w:rsidP="00844B11">
            <w:pPr>
              <w:spacing w:line="240" w:lineRule="auto"/>
              <w:rPr>
                <w:rFonts w:ascii="Times New Roman" w:eastAsia="Times New Roman" w:hAnsi="Times New Roman" w:cs="Times New Roman"/>
                <w:szCs w:val="24"/>
              </w:rPr>
            </w:pPr>
            <w:r w:rsidRPr="00844B11">
              <w:rPr>
                <w:szCs w:val="20"/>
              </w:rPr>
              <w:t>хематурия</w:t>
            </w:r>
          </w:p>
        </w:tc>
        <w:tc>
          <w:tcPr>
            <w:tcW w:w="1475" w:type="dxa"/>
          </w:tcPr>
          <w:p w14:paraId="17A1DD87" w14:textId="77777777" w:rsidR="00844B11" w:rsidRPr="00844B11" w:rsidRDefault="00844B11" w:rsidP="00844B11">
            <w:pPr>
              <w:spacing w:line="240" w:lineRule="auto"/>
              <w:rPr>
                <w:rFonts w:ascii="Times New Roman" w:eastAsia="Times New Roman" w:hAnsi="Times New Roman" w:cs="Times New Roman"/>
                <w:szCs w:val="24"/>
              </w:rPr>
            </w:pPr>
          </w:p>
        </w:tc>
      </w:tr>
      <w:tr w:rsidR="00844B11" w14:paraId="6E18E3AD" w14:textId="77777777" w:rsidTr="00844B11">
        <w:tc>
          <w:tcPr>
            <w:tcW w:w="2009" w:type="dxa"/>
            <w:vAlign w:val="bottom"/>
          </w:tcPr>
          <w:p w14:paraId="4E878E80" w14:textId="0F750124" w:rsidR="00844B11" w:rsidRPr="00844B11" w:rsidRDefault="00844B11" w:rsidP="00844B11">
            <w:pPr>
              <w:spacing w:line="240" w:lineRule="auto"/>
              <w:rPr>
                <w:rFonts w:ascii="Times New Roman" w:eastAsia="Times New Roman" w:hAnsi="Times New Roman" w:cs="Times New Roman"/>
                <w:szCs w:val="24"/>
              </w:rPr>
            </w:pPr>
            <w:r w:rsidRPr="00844B11">
              <w:rPr>
                <w:szCs w:val="20"/>
              </w:rPr>
              <w:t>Нарушения на възпроизводителната система и гърдата</w:t>
            </w:r>
          </w:p>
        </w:tc>
        <w:tc>
          <w:tcPr>
            <w:tcW w:w="1401" w:type="dxa"/>
          </w:tcPr>
          <w:p w14:paraId="41729FB0" w14:textId="77777777" w:rsidR="00844B11" w:rsidRPr="00844B11" w:rsidRDefault="00844B11" w:rsidP="00844B11">
            <w:pPr>
              <w:spacing w:line="240" w:lineRule="auto"/>
              <w:rPr>
                <w:rFonts w:ascii="Times New Roman" w:eastAsia="Times New Roman" w:hAnsi="Times New Roman" w:cs="Times New Roman"/>
                <w:szCs w:val="24"/>
              </w:rPr>
            </w:pPr>
          </w:p>
        </w:tc>
        <w:tc>
          <w:tcPr>
            <w:tcW w:w="1043" w:type="dxa"/>
          </w:tcPr>
          <w:p w14:paraId="6564FEF3" w14:textId="77777777" w:rsidR="00844B11" w:rsidRPr="00844B11" w:rsidRDefault="00844B11" w:rsidP="00844B11">
            <w:pPr>
              <w:spacing w:line="240" w:lineRule="auto"/>
              <w:rPr>
                <w:rFonts w:ascii="Times New Roman" w:eastAsia="Times New Roman" w:hAnsi="Times New Roman" w:cs="Times New Roman"/>
                <w:szCs w:val="24"/>
              </w:rPr>
            </w:pPr>
          </w:p>
        </w:tc>
        <w:tc>
          <w:tcPr>
            <w:tcW w:w="2012" w:type="dxa"/>
          </w:tcPr>
          <w:p w14:paraId="6E958C36" w14:textId="77777777" w:rsidR="00844B11" w:rsidRPr="00844B11" w:rsidRDefault="00844B11" w:rsidP="00844B11">
            <w:pPr>
              <w:spacing w:line="240" w:lineRule="auto"/>
              <w:rPr>
                <w:rFonts w:ascii="Times New Roman" w:eastAsia="Times New Roman" w:hAnsi="Times New Roman" w:cs="Times New Roman"/>
                <w:szCs w:val="24"/>
              </w:rPr>
            </w:pPr>
          </w:p>
        </w:tc>
        <w:tc>
          <w:tcPr>
            <w:tcW w:w="1636" w:type="dxa"/>
          </w:tcPr>
          <w:p w14:paraId="7A30EEF2" w14:textId="16B96FF0" w:rsidR="00844B11" w:rsidRPr="00844B11" w:rsidRDefault="00844B11" w:rsidP="00844B11">
            <w:pPr>
              <w:spacing w:line="240" w:lineRule="auto"/>
              <w:rPr>
                <w:rFonts w:ascii="Times New Roman" w:eastAsia="Times New Roman" w:hAnsi="Times New Roman" w:cs="Times New Roman"/>
                <w:szCs w:val="24"/>
              </w:rPr>
            </w:pPr>
            <w:r w:rsidRPr="00844B11">
              <w:rPr>
                <w:szCs w:val="20"/>
              </w:rPr>
              <w:t>гинекомастия</w:t>
            </w:r>
          </w:p>
        </w:tc>
        <w:tc>
          <w:tcPr>
            <w:tcW w:w="1475" w:type="dxa"/>
          </w:tcPr>
          <w:p w14:paraId="424BB984" w14:textId="77777777" w:rsidR="00844B11" w:rsidRPr="00844B11" w:rsidRDefault="00844B11" w:rsidP="00844B11">
            <w:pPr>
              <w:spacing w:line="240" w:lineRule="auto"/>
              <w:rPr>
                <w:rFonts w:ascii="Times New Roman" w:eastAsia="Times New Roman" w:hAnsi="Times New Roman" w:cs="Times New Roman"/>
                <w:szCs w:val="24"/>
              </w:rPr>
            </w:pPr>
          </w:p>
        </w:tc>
      </w:tr>
      <w:tr w:rsidR="00844B11" w14:paraId="7AAFC60C" w14:textId="77777777" w:rsidTr="00844B11">
        <w:tc>
          <w:tcPr>
            <w:tcW w:w="2009" w:type="dxa"/>
            <w:vAlign w:val="bottom"/>
          </w:tcPr>
          <w:p w14:paraId="4BE3652C" w14:textId="630803F5" w:rsidR="00844B11" w:rsidRPr="00844B11" w:rsidRDefault="00844B11" w:rsidP="00844B11">
            <w:pPr>
              <w:spacing w:line="240" w:lineRule="auto"/>
              <w:rPr>
                <w:rFonts w:ascii="Times New Roman" w:eastAsia="Times New Roman" w:hAnsi="Times New Roman" w:cs="Times New Roman"/>
                <w:szCs w:val="24"/>
              </w:rPr>
            </w:pPr>
            <w:r w:rsidRPr="00844B11">
              <w:rPr>
                <w:szCs w:val="20"/>
              </w:rPr>
              <w:t>Общи нарушения и ефекти на мястото на приложение</w:t>
            </w:r>
          </w:p>
        </w:tc>
        <w:tc>
          <w:tcPr>
            <w:tcW w:w="1401" w:type="dxa"/>
          </w:tcPr>
          <w:p w14:paraId="6DAD369A" w14:textId="458CA991" w:rsidR="00844B11" w:rsidRPr="00844B11" w:rsidRDefault="00844B11" w:rsidP="00844B11">
            <w:pPr>
              <w:spacing w:line="240" w:lineRule="auto"/>
              <w:rPr>
                <w:rFonts w:ascii="Times New Roman" w:eastAsia="Times New Roman" w:hAnsi="Times New Roman" w:cs="Times New Roman"/>
                <w:szCs w:val="24"/>
              </w:rPr>
            </w:pPr>
            <w:r w:rsidRPr="00844B11">
              <w:rPr>
                <w:szCs w:val="20"/>
              </w:rPr>
              <w:t>астения</w:t>
            </w:r>
          </w:p>
        </w:tc>
        <w:tc>
          <w:tcPr>
            <w:tcW w:w="1043" w:type="dxa"/>
          </w:tcPr>
          <w:p w14:paraId="2914A82F" w14:textId="77777777" w:rsidR="00844B11" w:rsidRPr="00844B11" w:rsidRDefault="00844B11" w:rsidP="00844B11">
            <w:pPr>
              <w:spacing w:line="240" w:lineRule="auto"/>
              <w:rPr>
                <w:rFonts w:ascii="Times New Roman" w:eastAsia="Times New Roman" w:hAnsi="Times New Roman" w:cs="Times New Roman"/>
                <w:szCs w:val="24"/>
              </w:rPr>
            </w:pPr>
          </w:p>
        </w:tc>
        <w:tc>
          <w:tcPr>
            <w:tcW w:w="2012" w:type="dxa"/>
          </w:tcPr>
          <w:p w14:paraId="1884DED4" w14:textId="77777777" w:rsidR="00844B11" w:rsidRPr="00844B11" w:rsidRDefault="00844B11" w:rsidP="00844B11">
            <w:pPr>
              <w:spacing w:line="240" w:lineRule="auto"/>
              <w:rPr>
                <w:rFonts w:ascii="Times New Roman" w:eastAsia="Times New Roman" w:hAnsi="Times New Roman" w:cs="Times New Roman"/>
                <w:szCs w:val="24"/>
              </w:rPr>
            </w:pPr>
          </w:p>
        </w:tc>
        <w:tc>
          <w:tcPr>
            <w:tcW w:w="1636" w:type="dxa"/>
          </w:tcPr>
          <w:p w14:paraId="3C6536FE" w14:textId="77777777" w:rsidR="00844B11" w:rsidRPr="00844B11" w:rsidRDefault="00844B11" w:rsidP="00844B11">
            <w:pPr>
              <w:spacing w:line="240" w:lineRule="auto"/>
              <w:rPr>
                <w:rFonts w:ascii="Times New Roman" w:eastAsia="Times New Roman" w:hAnsi="Times New Roman" w:cs="Times New Roman"/>
                <w:szCs w:val="24"/>
              </w:rPr>
            </w:pPr>
          </w:p>
        </w:tc>
        <w:tc>
          <w:tcPr>
            <w:tcW w:w="1475" w:type="dxa"/>
          </w:tcPr>
          <w:p w14:paraId="11FB8F29" w14:textId="4051F82B" w:rsidR="00844B11" w:rsidRPr="00844B11" w:rsidRDefault="00844B11" w:rsidP="00844B11">
            <w:pPr>
              <w:spacing w:line="240" w:lineRule="auto"/>
              <w:rPr>
                <w:rFonts w:ascii="Times New Roman" w:eastAsia="Times New Roman" w:hAnsi="Times New Roman" w:cs="Times New Roman"/>
                <w:szCs w:val="24"/>
              </w:rPr>
            </w:pPr>
            <w:r w:rsidRPr="00844B11">
              <w:rPr>
                <w:szCs w:val="20"/>
              </w:rPr>
              <w:t>едем</w:t>
            </w:r>
          </w:p>
        </w:tc>
      </w:tr>
      <w:tr w:rsidR="00844B11" w14:paraId="0E441AF9" w14:textId="77777777" w:rsidTr="00844B11">
        <w:tc>
          <w:tcPr>
            <w:tcW w:w="9576" w:type="dxa"/>
            <w:gridSpan w:val="6"/>
          </w:tcPr>
          <w:p w14:paraId="190274B6" w14:textId="5AD88AD4" w:rsidR="00844B11" w:rsidRDefault="00844B11" w:rsidP="00844B11">
            <w:pPr>
              <w:rPr>
                <w:sz w:val="24"/>
                <w:szCs w:val="24"/>
              </w:rPr>
            </w:pPr>
            <w:r w:rsidRPr="00844B11">
              <w:rPr>
                <w:vertAlign w:val="superscript"/>
                <w:lang w:eastAsia="bg-BG"/>
              </w:rPr>
              <w:t>1</w:t>
            </w:r>
            <w:r w:rsidRPr="00844B11">
              <w:rPr>
                <w:lang w:eastAsia="bg-BG"/>
              </w:rPr>
              <w:t xml:space="preserve">Честотата ще зависи от наличието или отсъствието на рискови фактори (глюкоза на гладно ≥5,6 </w:t>
            </w:r>
            <w:proofErr w:type="spellStart"/>
            <w:r w:rsidRPr="00844B11">
              <w:rPr>
                <w:lang w:val="en-US"/>
              </w:rPr>
              <w:t>mrnol</w:t>
            </w:r>
            <w:proofErr w:type="spellEnd"/>
            <w:r w:rsidRPr="00844B11">
              <w:rPr>
                <w:lang w:val="ru-RU"/>
              </w:rPr>
              <w:t xml:space="preserve">/1, </w:t>
            </w:r>
            <w:r w:rsidRPr="00844B11">
              <w:rPr>
                <w:lang w:eastAsia="bg-BG"/>
              </w:rPr>
              <w:t xml:space="preserve">индекс на телесна маса &gt; 30 </w:t>
            </w:r>
            <w:r w:rsidRPr="00844B11">
              <w:rPr>
                <w:lang w:val="en-US"/>
              </w:rPr>
              <w:t>kg</w:t>
            </w:r>
            <w:r w:rsidRPr="00844B11">
              <w:rPr>
                <w:lang w:val="ru-RU"/>
              </w:rPr>
              <w:t xml:space="preserve"> </w:t>
            </w:r>
            <w:r w:rsidRPr="00844B11">
              <w:rPr>
                <w:lang w:eastAsia="bg-BG"/>
              </w:rPr>
              <w:t>/</w:t>
            </w:r>
            <w:r w:rsidRPr="00844B11">
              <w:rPr>
                <w:lang w:val="en-US"/>
              </w:rPr>
              <w:t>m</w:t>
            </w:r>
            <w:r w:rsidRPr="00844B11">
              <w:rPr>
                <w:vertAlign w:val="superscript"/>
                <w:lang w:eastAsia="bg-BG"/>
              </w:rPr>
              <w:t>2</w:t>
            </w:r>
            <w:r w:rsidRPr="00844B11">
              <w:rPr>
                <w:lang w:eastAsia="bg-BG"/>
              </w:rPr>
              <w:t>, повишени стойности на триглицеридите, анамнеза за хипертония)</w:t>
            </w:r>
          </w:p>
        </w:tc>
      </w:tr>
    </w:tbl>
    <w:p w14:paraId="35366475" w14:textId="77777777" w:rsidR="00844B11" w:rsidRPr="00844B11" w:rsidRDefault="00844B11" w:rsidP="00844B11">
      <w:pPr>
        <w:spacing w:line="240" w:lineRule="auto"/>
        <w:rPr>
          <w:rFonts w:ascii="Times New Roman" w:eastAsia="Times New Roman" w:hAnsi="Times New Roman" w:cs="Times New Roman"/>
          <w:sz w:val="24"/>
          <w:szCs w:val="24"/>
        </w:rPr>
      </w:pPr>
    </w:p>
    <w:p w14:paraId="4AE2B589" w14:textId="2D5C2D38" w:rsidR="00844B11" w:rsidRDefault="00844B11" w:rsidP="00844B11">
      <w:r>
        <w:t xml:space="preserve">Както при други инхибигори на </w:t>
      </w:r>
      <w:r>
        <w:rPr>
          <w:lang w:val="en-US"/>
        </w:rPr>
        <w:t>HMG</w:t>
      </w:r>
      <w:r w:rsidRPr="00844B11">
        <w:rPr>
          <w:lang w:val="ru-RU"/>
        </w:rPr>
        <w:t>-</w:t>
      </w:r>
      <w:r>
        <w:rPr>
          <w:lang w:val="en-US"/>
        </w:rPr>
        <w:t>CoA</w:t>
      </w:r>
      <w:r w:rsidRPr="00844B11">
        <w:rPr>
          <w:lang w:val="ru-RU"/>
        </w:rPr>
        <w:t xml:space="preserve"> </w:t>
      </w:r>
      <w:r>
        <w:t>редуктазата, честотата на нежеланите лекарствени реакции зависи от дозата на лекарството.</w:t>
      </w:r>
    </w:p>
    <w:p w14:paraId="443F76A0" w14:textId="5C51E65E" w:rsidR="00844B11" w:rsidRDefault="00844B11" w:rsidP="00844B11"/>
    <w:p w14:paraId="6B5F87F0" w14:textId="77777777" w:rsidR="00844B11" w:rsidRPr="00844B11" w:rsidRDefault="00844B11" w:rsidP="00844B11">
      <w:pPr>
        <w:spacing w:line="240" w:lineRule="auto"/>
        <w:rPr>
          <w:rFonts w:eastAsia="Times New Roman" w:cs="Arial"/>
        </w:rPr>
      </w:pPr>
      <w:r w:rsidRPr="00844B11">
        <w:rPr>
          <w:rFonts w:eastAsia="Times New Roman" w:cs="Arial"/>
          <w:b/>
          <w:bCs/>
          <w:color w:val="000000"/>
          <w:lang w:eastAsia="bg-BG"/>
        </w:rPr>
        <w:t xml:space="preserve">Ефекти върху бъбреците: </w:t>
      </w:r>
      <w:r w:rsidRPr="00844B11">
        <w:rPr>
          <w:rFonts w:eastAsia="Times New Roman" w:cs="Arial"/>
          <w:color w:val="000000"/>
          <w:lang w:eastAsia="bg-BG"/>
        </w:rPr>
        <w:t>При пациенти, лекувани с Розувастатин, е наблюдавана протеинурия, установена при изследване с тест-лентички и която е с предимно тубулен произход.</w:t>
      </w:r>
    </w:p>
    <w:p w14:paraId="4AEEEA56"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В определени моменти от лечението при &lt;1% от пациентите на 10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и 20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и при приблизително 3% от пациентите, лекувани с 40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са наблюдавани промени в изследванията за протеин в урината от отрицателен резултат или следи до ++. Незначително отклонение в посока от отрицателен резултат или следи към + е наблюдавано при доза 20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В повечето случаи протеинурията намалява или изчезва спонтанно в процеса на лечението и не е доказано да предшества остро и прогресивно бъбречно заболяване. От прегледа на данните при клиничните опити и </w:t>
      </w:r>
      <w:r w:rsidRPr="00844B11">
        <w:rPr>
          <w:rFonts w:eastAsia="Times New Roman" w:cs="Arial"/>
          <w:color w:val="000000"/>
          <w:lang w:eastAsia="bg-BG"/>
        </w:rPr>
        <w:lastRenderedPageBreak/>
        <w:t>постмаркетинговите проучвания, до сега не е установена причинна връзка между протеинурията и остро или прогресивно бъбречно заболяване.</w:t>
      </w:r>
    </w:p>
    <w:p w14:paraId="18789044" w14:textId="77777777" w:rsidR="00844B11" w:rsidRPr="00844B11" w:rsidRDefault="00844B11" w:rsidP="00844B11">
      <w:pPr>
        <w:spacing w:line="240" w:lineRule="auto"/>
        <w:rPr>
          <w:rFonts w:eastAsia="Times New Roman" w:cs="Arial"/>
          <w:color w:val="000000"/>
          <w:lang w:eastAsia="bg-BG"/>
        </w:rPr>
      </w:pPr>
    </w:p>
    <w:p w14:paraId="4AA0D1AA" w14:textId="17119472" w:rsidR="00844B11" w:rsidRPr="00844B11" w:rsidRDefault="00844B11" w:rsidP="00844B11">
      <w:pPr>
        <w:spacing w:line="240" w:lineRule="auto"/>
        <w:rPr>
          <w:rFonts w:eastAsia="Times New Roman" w:cs="Arial"/>
        </w:rPr>
      </w:pPr>
      <w:r w:rsidRPr="00844B11">
        <w:rPr>
          <w:rFonts w:eastAsia="Times New Roman" w:cs="Arial"/>
          <w:color w:val="000000"/>
          <w:lang w:eastAsia="bg-BG"/>
        </w:rPr>
        <w:t>При пациенти, лекувани с Розувастатин, е наблюдавана хематурия, но клиничните данни сочат, че честотата й е ниска.</w:t>
      </w:r>
    </w:p>
    <w:p w14:paraId="00FC1CF9" w14:textId="77777777" w:rsidR="00844B11" w:rsidRPr="00844B11" w:rsidRDefault="00844B11" w:rsidP="00844B11">
      <w:pPr>
        <w:spacing w:line="240" w:lineRule="auto"/>
        <w:rPr>
          <w:rFonts w:eastAsia="Times New Roman" w:cs="Arial"/>
          <w:b/>
          <w:bCs/>
          <w:color w:val="000000"/>
          <w:lang w:eastAsia="bg-BG"/>
        </w:rPr>
      </w:pPr>
    </w:p>
    <w:p w14:paraId="16983A3B" w14:textId="644332AE" w:rsidR="00844B11" w:rsidRPr="00844B11" w:rsidRDefault="00844B11" w:rsidP="00844B11">
      <w:pPr>
        <w:spacing w:line="240" w:lineRule="auto"/>
        <w:rPr>
          <w:rFonts w:eastAsia="Times New Roman" w:cs="Arial"/>
        </w:rPr>
      </w:pPr>
      <w:r w:rsidRPr="00844B11">
        <w:rPr>
          <w:rFonts w:eastAsia="Times New Roman" w:cs="Arial"/>
          <w:b/>
          <w:bCs/>
          <w:color w:val="000000"/>
          <w:lang w:eastAsia="bg-BG"/>
        </w:rPr>
        <w:t xml:space="preserve">Ефекти върху скелетната мускулатура: </w:t>
      </w:r>
      <w:r w:rsidRPr="00844B11">
        <w:rPr>
          <w:rFonts w:eastAsia="Times New Roman" w:cs="Arial"/>
          <w:color w:val="000000"/>
          <w:lang w:eastAsia="bg-BG"/>
        </w:rPr>
        <w:t xml:space="preserve">Както при други инхибитори на </w:t>
      </w:r>
      <w:r w:rsidRPr="00844B11">
        <w:rPr>
          <w:rFonts w:eastAsia="Times New Roman" w:cs="Arial"/>
          <w:color w:val="000000"/>
          <w:lang w:val="en-US"/>
        </w:rPr>
        <w:t>HMG</w:t>
      </w:r>
      <w:r w:rsidRPr="00844B11">
        <w:rPr>
          <w:rFonts w:eastAsia="Times New Roman" w:cs="Arial"/>
          <w:color w:val="000000"/>
          <w:lang w:val="ru-RU"/>
        </w:rPr>
        <w:t>-</w:t>
      </w:r>
      <w:r w:rsidRPr="00844B11">
        <w:rPr>
          <w:rFonts w:eastAsia="Times New Roman" w:cs="Arial"/>
          <w:color w:val="000000"/>
          <w:lang w:val="en-US"/>
        </w:rPr>
        <w:t>CoA</w:t>
      </w:r>
      <w:r w:rsidRPr="00844B11">
        <w:rPr>
          <w:rFonts w:eastAsia="Times New Roman" w:cs="Arial"/>
          <w:color w:val="000000"/>
          <w:lang w:val="ru-RU"/>
        </w:rPr>
        <w:t xml:space="preserve"> </w:t>
      </w:r>
      <w:r w:rsidRPr="00844B11">
        <w:rPr>
          <w:rFonts w:eastAsia="Times New Roman" w:cs="Arial"/>
          <w:color w:val="000000"/>
          <w:lang w:eastAsia="bg-BG"/>
        </w:rPr>
        <w:t xml:space="preserve">редуктазата, въздействия върху скелетната мускулатура като неусложнена миалгия, миопатия (включително миозиг) и рабдомиолиза, са установени при пациенти лекувани с Розувастатин във всички терапевтични дози, особено в дози над 20 </w:t>
      </w:r>
      <w:r w:rsidRPr="00844B11">
        <w:rPr>
          <w:rFonts w:eastAsia="Times New Roman" w:cs="Arial"/>
          <w:color w:val="000000"/>
          <w:lang w:val="en-US"/>
        </w:rPr>
        <w:t>mg</w:t>
      </w:r>
      <w:r w:rsidRPr="00844B11">
        <w:rPr>
          <w:rFonts w:eastAsia="Times New Roman" w:cs="Arial"/>
          <w:color w:val="000000"/>
          <w:lang w:val="ru-RU"/>
        </w:rPr>
        <w:t>.</w:t>
      </w:r>
    </w:p>
    <w:p w14:paraId="3434EC72" w14:textId="77777777" w:rsidR="00844B11" w:rsidRPr="00844B11" w:rsidRDefault="00844B11" w:rsidP="00844B11">
      <w:pPr>
        <w:spacing w:line="240" w:lineRule="auto"/>
        <w:rPr>
          <w:rFonts w:eastAsia="Times New Roman" w:cs="Arial"/>
          <w:color w:val="000000"/>
          <w:lang w:eastAsia="bg-BG"/>
        </w:rPr>
      </w:pPr>
    </w:p>
    <w:p w14:paraId="68FEAA3F" w14:textId="62F0352D"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Увеличение на нивото на </w:t>
      </w:r>
      <w:r w:rsidRPr="00844B11">
        <w:rPr>
          <w:rFonts w:eastAsia="Times New Roman" w:cs="Arial"/>
          <w:i/>
          <w:iCs/>
          <w:color w:val="000000"/>
          <w:lang w:eastAsia="bg-BG"/>
        </w:rPr>
        <w:t>СК</w:t>
      </w:r>
      <w:r w:rsidRPr="00844B11">
        <w:rPr>
          <w:rFonts w:eastAsia="Times New Roman" w:cs="Arial"/>
          <w:color w:val="000000"/>
          <w:lang w:eastAsia="bg-BG"/>
        </w:rPr>
        <w:t xml:space="preserve"> вследствие на увеличение на дозата е наблюдавано при малък брой пациенти на розувастатин; множеството от случаите са леки, преходни и асимптоматични. Ако нивото на СК се повиши (&gt; 5 пъти горната граница на нормата), лечението трябва временно да се преустанови (вж. точка 4.4).</w:t>
      </w:r>
    </w:p>
    <w:p w14:paraId="08E39DAE" w14:textId="77777777" w:rsidR="00844B11" w:rsidRPr="00844B11" w:rsidRDefault="00844B11" w:rsidP="00844B11">
      <w:pPr>
        <w:spacing w:line="240" w:lineRule="auto"/>
        <w:rPr>
          <w:rFonts w:eastAsia="Times New Roman" w:cs="Arial"/>
          <w:b/>
          <w:bCs/>
          <w:color w:val="000000"/>
          <w:lang w:eastAsia="bg-BG"/>
        </w:rPr>
      </w:pPr>
    </w:p>
    <w:p w14:paraId="0CD6114D" w14:textId="6D5FA256" w:rsidR="00844B11" w:rsidRPr="00844B11" w:rsidRDefault="00844B11" w:rsidP="00844B11">
      <w:pPr>
        <w:spacing w:line="240" w:lineRule="auto"/>
        <w:rPr>
          <w:rFonts w:eastAsia="Times New Roman" w:cs="Arial"/>
        </w:rPr>
      </w:pPr>
      <w:r w:rsidRPr="00844B11">
        <w:rPr>
          <w:rFonts w:eastAsia="Times New Roman" w:cs="Arial"/>
          <w:b/>
          <w:bCs/>
          <w:color w:val="000000"/>
          <w:lang w:eastAsia="bg-BG"/>
        </w:rPr>
        <w:t xml:space="preserve">Ефекти върху черния дроб: </w:t>
      </w:r>
      <w:r w:rsidRPr="00844B11">
        <w:rPr>
          <w:rFonts w:eastAsia="Times New Roman" w:cs="Arial"/>
          <w:color w:val="000000"/>
          <w:lang w:eastAsia="bg-BG"/>
        </w:rPr>
        <w:t xml:space="preserve">Както при други инхибитори на </w:t>
      </w:r>
      <w:r w:rsidRPr="00844B11">
        <w:rPr>
          <w:rFonts w:eastAsia="Times New Roman" w:cs="Arial"/>
          <w:color w:val="000000"/>
          <w:lang w:val="en-US"/>
        </w:rPr>
        <w:t>HMG</w:t>
      </w:r>
      <w:r w:rsidRPr="00844B11">
        <w:rPr>
          <w:rFonts w:eastAsia="Times New Roman" w:cs="Arial"/>
          <w:color w:val="000000"/>
          <w:lang w:val="ru-RU"/>
        </w:rPr>
        <w:t>-</w:t>
      </w:r>
      <w:r w:rsidRPr="00844B11">
        <w:rPr>
          <w:rFonts w:eastAsia="Times New Roman" w:cs="Arial"/>
          <w:color w:val="000000"/>
          <w:lang w:val="en-US"/>
        </w:rPr>
        <w:t>CoA</w:t>
      </w:r>
      <w:r w:rsidRPr="00844B11">
        <w:rPr>
          <w:rFonts w:eastAsia="Times New Roman" w:cs="Arial"/>
          <w:color w:val="000000"/>
          <w:lang w:val="ru-RU"/>
        </w:rPr>
        <w:t xml:space="preserve"> </w:t>
      </w:r>
      <w:r w:rsidRPr="00844B11">
        <w:rPr>
          <w:rFonts w:eastAsia="Times New Roman" w:cs="Arial"/>
          <w:color w:val="000000"/>
          <w:lang w:eastAsia="bg-BG"/>
        </w:rPr>
        <w:t>редуктазата, увеличение на трансаминазите свързано с дозировката е наблюдавано при малък брой пациенти на розувастатин; по-голяма част от случаите са леки, асимптоматични и преходни.</w:t>
      </w:r>
    </w:p>
    <w:p w14:paraId="60F2F39C" w14:textId="77777777" w:rsidR="00844B11" w:rsidRPr="00844B11" w:rsidRDefault="00844B11" w:rsidP="00844B11">
      <w:pPr>
        <w:spacing w:line="240" w:lineRule="auto"/>
        <w:rPr>
          <w:rFonts w:eastAsia="Times New Roman" w:cs="Arial"/>
          <w:b/>
          <w:bCs/>
          <w:color w:val="000000"/>
          <w:lang w:eastAsia="bg-BG"/>
        </w:rPr>
      </w:pPr>
    </w:p>
    <w:p w14:paraId="463F29CC" w14:textId="77777777" w:rsidR="00844B11" w:rsidRPr="00844B11" w:rsidRDefault="00844B11" w:rsidP="00844B11">
      <w:pPr>
        <w:spacing w:line="240" w:lineRule="auto"/>
        <w:rPr>
          <w:rFonts w:eastAsia="Times New Roman" w:cs="Arial"/>
        </w:rPr>
      </w:pPr>
      <w:r w:rsidRPr="00844B11">
        <w:rPr>
          <w:rFonts w:eastAsia="Times New Roman" w:cs="Arial"/>
          <w:b/>
          <w:bCs/>
          <w:color w:val="000000"/>
          <w:lang w:eastAsia="bg-BG"/>
        </w:rPr>
        <w:t>Следните нежелани реакции са докладвани при някои статини:</w:t>
      </w:r>
    </w:p>
    <w:p w14:paraId="5BDDEEF4" w14:textId="77777777" w:rsidR="00844B11" w:rsidRPr="00844B11" w:rsidRDefault="00844B11" w:rsidP="00844B11">
      <w:pPr>
        <w:pStyle w:val="ListParagraph"/>
        <w:numPr>
          <w:ilvl w:val="0"/>
          <w:numId w:val="41"/>
        </w:numPr>
        <w:spacing w:line="240" w:lineRule="auto"/>
        <w:rPr>
          <w:rFonts w:eastAsia="Times New Roman" w:cs="Arial"/>
        </w:rPr>
      </w:pPr>
      <w:r w:rsidRPr="00844B11">
        <w:rPr>
          <w:rFonts w:eastAsia="Times New Roman" w:cs="Arial"/>
          <w:color w:val="000000"/>
          <w:lang w:eastAsia="bg-BG"/>
        </w:rPr>
        <w:t>Сексуална дисфункция;</w:t>
      </w:r>
    </w:p>
    <w:p w14:paraId="4EC9E79A" w14:textId="130C59CE" w:rsidR="00844B11" w:rsidRPr="00844B11" w:rsidRDefault="00844B11" w:rsidP="00844B11">
      <w:pPr>
        <w:pStyle w:val="ListParagraph"/>
        <w:numPr>
          <w:ilvl w:val="0"/>
          <w:numId w:val="41"/>
        </w:numPr>
        <w:spacing w:line="240" w:lineRule="auto"/>
        <w:rPr>
          <w:rFonts w:eastAsia="Times New Roman" w:cs="Arial"/>
        </w:rPr>
      </w:pPr>
      <w:r w:rsidRPr="00844B11">
        <w:rPr>
          <w:rFonts w:eastAsia="Times New Roman" w:cs="Arial"/>
          <w:color w:val="000000"/>
          <w:lang w:eastAsia="bg-BG"/>
        </w:rPr>
        <w:t>Изолирани случаи на интерстициална белодробна болест, особено при продължителна терапия (вж. точка 4.4);</w:t>
      </w:r>
    </w:p>
    <w:p w14:paraId="32C6DA0F"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Докладваната честота на рабдомиолиза, сериозни чернодробни увреди (основно - увеличени чернодробни трансаминази) е по-висока при дозировка от 40 </w:t>
      </w:r>
      <w:r w:rsidRPr="00844B11">
        <w:rPr>
          <w:rFonts w:eastAsia="Times New Roman" w:cs="Arial"/>
          <w:color w:val="000000"/>
          <w:lang w:val="en-US"/>
        </w:rPr>
        <w:t>mg</w:t>
      </w:r>
      <w:r w:rsidRPr="00844B11">
        <w:rPr>
          <w:rFonts w:eastAsia="Times New Roman" w:cs="Arial"/>
          <w:color w:val="000000"/>
          <w:lang w:val="ru-RU"/>
        </w:rPr>
        <w:t>.</w:t>
      </w:r>
    </w:p>
    <w:p w14:paraId="5F936B88" w14:textId="77777777" w:rsidR="00844B11" w:rsidRPr="00844B11" w:rsidRDefault="00844B11" w:rsidP="00844B11">
      <w:pPr>
        <w:spacing w:line="240" w:lineRule="auto"/>
        <w:rPr>
          <w:rFonts w:eastAsia="Times New Roman" w:cs="Arial"/>
          <w:b/>
          <w:bCs/>
          <w:color w:val="000000"/>
          <w:lang w:eastAsia="bg-BG"/>
        </w:rPr>
      </w:pPr>
    </w:p>
    <w:p w14:paraId="11A8467F" w14:textId="6C24EC8A" w:rsidR="00844B11" w:rsidRPr="00844B11" w:rsidRDefault="00844B11" w:rsidP="00844B11">
      <w:pPr>
        <w:spacing w:line="240" w:lineRule="auto"/>
        <w:rPr>
          <w:rFonts w:eastAsia="Times New Roman" w:cs="Arial"/>
        </w:rPr>
      </w:pPr>
      <w:r w:rsidRPr="00844B11">
        <w:rPr>
          <w:rFonts w:eastAsia="Times New Roman" w:cs="Arial"/>
          <w:b/>
          <w:bCs/>
          <w:color w:val="000000"/>
          <w:lang w:eastAsia="bg-BG"/>
        </w:rPr>
        <w:t xml:space="preserve">Педиатрична популация: </w:t>
      </w:r>
      <w:r w:rsidRPr="00844B11">
        <w:rPr>
          <w:rFonts w:eastAsia="Times New Roman" w:cs="Arial"/>
          <w:color w:val="000000"/>
          <w:lang w:eastAsia="bg-BG"/>
        </w:rPr>
        <w:t xml:space="preserve">Повишаване на креатинкиназата </w:t>
      </w:r>
      <w:r w:rsidRPr="00844B11">
        <w:rPr>
          <w:rFonts w:eastAsia="Times New Roman" w:cs="Arial"/>
          <w:color w:val="000000"/>
          <w:lang w:val="ru-RU"/>
        </w:rPr>
        <w:t>&gt;10</w:t>
      </w:r>
      <w:proofErr w:type="spellStart"/>
      <w:r w:rsidRPr="00844B11">
        <w:rPr>
          <w:rFonts w:eastAsia="Times New Roman" w:cs="Arial"/>
          <w:color w:val="000000"/>
          <w:lang w:val="en-US"/>
        </w:rPr>
        <w:t>xULN</w:t>
      </w:r>
      <w:proofErr w:type="spellEnd"/>
      <w:r w:rsidRPr="00844B11">
        <w:rPr>
          <w:rFonts w:eastAsia="Times New Roman" w:cs="Arial"/>
          <w:color w:val="000000"/>
          <w:lang w:val="ru-RU"/>
        </w:rPr>
        <w:t xml:space="preserve"> </w:t>
      </w:r>
      <w:r w:rsidRPr="00844B11">
        <w:rPr>
          <w:rFonts w:eastAsia="Times New Roman" w:cs="Arial"/>
          <w:color w:val="000000"/>
          <w:lang w:eastAsia="bg-BG"/>
        </w:rPr>
        <w:t>и мускулни симптоми след упражнения или повишена физическа активност са наблюдавани по-често в едно 52- седмично клинично проучване на деца и юноши в сравнение с възрастните (вж. точка 4.4). В друг аспект, профилът на безопасност на розувастатин е сходен при деца и юноши в сравнение с възрастните.</w:t>
      </w:r>
    </w:p>
    <w:p w14:paraId="1EA80685" w14:textId="77777777" w:rsidR="00844B11" w:rsidRPr="00844B11" w:rsidRDefault="00844B11" w:rsidP="00844B11">
      <w:pPr>
        <w:spacing w:line="240" w:lineRule="auto"/>
        <w:rPr>
          <w:rFonts w:eastAsia="Times New Roman" w:cs="Arial"/>
          <w:b/>
          <w:bCs/>
          <w:color w:val="000000"/>
          <w:u w:val="single"/>
          <w:lang w:eastAsia="bg-BG"/>
        </w:rPr>
      </w:pPr>
    </w:p>
    <w:p w14:paraId="7FA52FD4" w14:textId="359134EC" w:rsidR="00844B11" w:rsidRPr="00844B11" w:rsidRDefault="00844B11" w:rsidP="00844B11">
      <w:pPr>
        <w:spacing w:line="240" w:lineRule="auto"/>
        <w:rPr>
          <w:rFonts w:eastAsia="Times New Roman" w:cs="Arial"/>
        </w:rPr>
      </w:pPr>
      <w:r w:rsidRPr="00844B11">
        <w:rPr>
          <w:rFonts w:eastAsia="Times New Roman" w:cs="Arial"/>
          <w:b/>
          <w:bCs/>
          <w:color w:val="000000"/>
          <w:u w:val="single"/>
          <w:lang w:eastAsia="bg-BG"/>
        </w:rPr>
        <w:t>Съобщаване иа подозирани нежелани реакции</w:t>
      </w:r>
    </w:p>
    <w:p w14:paraId="7F28D2F8"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лекарствения продукт. От медицинските специалисти се изисква да съобщават всяка подозирана нежелана реакция чрез:</w:t>
      </w:r>
    </w:p>
    <w:p w14:paraId="50569155" w14:textId="77777777" w:rsidR="00844B11" w:rsidRPr="00844B11" w:rsidRDefault="00844B11" w:rsidP="00844B11">
      <w:pPr>
        <w:rPr>
          <w:rFonts w:eastAsia="Times New Roman" w:cs="Arial"/>
        </w:rPr>
      </w:pPr>
      <w:r w:rsidRPr="00844B11">
        <w:rPr>
          <w:rFonts w:eastAsia="Times New Roman" w:cs="Arial"/>
          <w:color w:val="000000"/>
          <w:lang w:eastAsia="bg-BG"/>
        </w:rPr>
        <w:t>Изпълнителна агенция по лекарствата ул., Дамян Груев" № 8</w:t>
      </w:r>
    </w:p>
    <w:p w14:paraId="241240A6"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1303 София</w:t>
      </w:r>
    </w:p>
    <w:p w14:paraId="6B46E0D1"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тел.:+359 2 8903417</w:t>
      </w:r>
    </w:p>
    <w:p w14:paraId="4CFF9870" w14:textId="38DF75E2" w:rsidR="00844B11" w:rsidRPr="00844B11" w:rsidRDefault="00844B11" w:rsidP="00844B11">
      <w:pPr>
        <w:rPr>
          <w:rFonts w:eastAsia="Times New Roman" w:cs="Arial"/>
        </w:rPr>
      </w:pPr>
      <w:r w:rsidRPr="00844B11">
        <w:rPr>
          <w:rFonts w:eastAsia="Times New Roman" w:cs="Arial"/>
          <w:color w:val="000000"/>
          <w:lang w:eastAsia="bg-BG"/>
        </w:rPr>
        <w:t xml:space="preserve">уебсайт: </w:t>
      </w:r>
      <w:hyperlink r:id="rId5" w:history="1">
        <w:r w:rsidRPr="00844B11">
          <w:rPr>
            <w:rFonts w:eastAsia="Times New Roman" w:cs="Arial"/>
            <w:color w:val="000000"/>
            <w:lang w:val="en-US"/>
          </w:rPr>
          <w:t>www.bda.bg</w:t>
        </w:r>
      </w:hyperlink>
    </w:p>
    <w:p w14:paraId="6FBA21C9" w14:textId="77777777" w:rsidR="00844B11" w:rsidRPr="00844B11" w:rsidRDefault="00844B11" w:rsidP="00844B11"/>
    <w:p w14:paraId="0A023CE0" w14:textId="5AF196E3" w:rsidR="00CF77F7" w:rsidRDefault="002C50EE" w:rsidP="004A448E">
      <w:pPr>
        <w:pStyle w:val="Heading2"/>
      </w:pPr>
      <w:r>
        <w:t>4.9. Предозиране</w:t>
      </w:r>
    </w:p>
    <w:p w14:paraId="53E1B328" w14:textId="77777777" w:rsidR="003F7B0F" w:rsidRDefault="003F7B0F" w:rsidP="00844B11">
      <w:pPr>
        <w:rPr>
          <w:sz w:val="20"/>
          <w:szCs w:val="20"/>
        </w:rPr>
      </w:pPr>
    </w:p>
    <w:p w14:paraId="01367722" w14:textId="558113CE" w:rsidR="00844B11" w:rsidRDefault="003F7B0F" w:rsidP="003F7B0F">
      <w:r>
        <w:t>Няма специфично лечение в случай на предозиране. При предозиране пациентът трябва да се лекува симптоматично и да се започнат поддържащи мерки според нуждата. Чернодробната функция и нивата на СК трябва да се следят. Малко е вероятно хемодиализата да бъде от полза.</w:t>
      </w:r>
    </w:p>
    <w:p w14:paraId="6AEE3A3E" w14:textId="503D577B" w:rsidR="00844B11" w:rsidRPr="00844B11" w:rsidRDefault="00844B11" w:rsidP="00844B11"/>
    <w:p w14:paraId="02081B24" w14:textId="1F46E296" w:rsidR="00395555" w:rsidRPr="00395555" w:rsidRDefault="002C50EE" w:rsidP="008A6AF2">
      <w:pPr>
        <w:pStyle w:val="Heading1"/>
      </w:pPr>
      <w:r>
        <w:t>5. ФАРМАКОЛОГИЧНИ СВОЙСТВА</w:t>
      </w:r>
    </w:p>
    <w:p w14:paraId="32B6DE66" w14:textId="14A2DFE6" w:rsidR="00CF77F7" w:rsidRDefault="002C50EE" w:rsidP="004A448E">
      <w:pPr>
        <w:pStyle w:val="Heading2"/>
      </w:pPr>
      <w:r>
        <w:t>5.1. Фармакодинамични свойства</w:t>
      </w:r>
    </w:p>
    <w:p w14:paraId="47743047" w14:textId="4F6CF6B3" w:rsidR="003F7B0F" w:rsidRDefault="003F7B0F" w:rsidP="003F7B0F"/>
    <w:p w14:paraId="376F31AC" w14:textId="77777777" w:rsidR="003F7B0F" w:rsidRPr="003F7B0F" w:rsidRDefault="003F7B0F" w:rsidP="003F7B0F">
      <w:pPr>
        <w:spacing w:line="240" w:lineRule="auto"/>
        <w:rPr>
          <w:rFonts w:eastAsia="Times New Roman" w:cs="Arial"/>
          <w:sz w:val="28"/>
          <w:szCs w:val="24"/>
        </w:rPr>
      </w:pPr>
      <w:r w:rsidRPr="003F7B0F">
        <w:rPr>
          <w:rFonts w:eastAsia="Times New Roman" w:cs="Arial"/>
          <w:b/>
          <w:bCs/>
          <w:color w:val="000000"/>
          <w:szCs w:val="20"/>
          <w:lang w:eastAsia="bg-BG"/>
        </w:rPr>
        <w:t xml:space="preserve">Фармакотерапевтична група: </w:t>
      </w:r>
      <w:r w:rsidRPr="003F7B0F">
        <w:rPr>
          <w:rFonts w:eastAsia="Times New Roman" w:cs="Arial"/>
          <w:color w:val="000000"/>
          <w:szCs w:val="20"/>
          <w:lang w:eastAsia="bg-BG"/>
        </w:rPr>
        <w:t xml:space="preserve">инхибитори на </w:t>
      </w:r>
      <w:r w:rsidRPr="003F7B0F">
        <w:rPr>
          <w:rFonts w:eastAsia="Times New Roman" w:cs="Arial"/>
          <w:color w:val="000000"/>
          <w:szCs w:val="20"/>
          <w:lang w:val="en-US"/>
        </w:rPr>
        <w:t>HMG</w:t>
      </w:r>
      <w:r w:rsidRPr="003F7B0F">
        <w:rPr>
          <w:rFonts w:eastAsia="Times New Roman" w:cs="Arial"/>
          <w:color w:val="000000"/>
          <w:szCs w:val="20"/>
          <w:lang w:val="ru-RU"/>
        </w:rPr>
        <w:t>-</w:t>
      </w:r>
      <w:r w:rsidRPr="003F7B0F">
        <w:rPr>
          <w:rFonts w:eastAsia="Times New Roman" w:cs="Arial"/>
          <w:color w:val="000000"/>
          <w:szCs w:val="20"/>
          <w:lang w:val="en-US"/>
        </w:rPr>
        <w:t>CoA</w:t>
      </w:r>
      <w:r w:rsidRPr="003F7B0F">
        <w:rPr>
          <w:rFonts w:eastAsia="Times New Roman" w:cs="Arial"/>
          <w:color w:val="000000"/>
          <w:szCs w:val="20"/>
          <w:lang w:val="ru-RU"/>
        </w:rPr>
        <w:t xml:space="preserve"> </w:t>
      </w:r>
      <w:r w:rsidRPr="003F7B0F">
        <w:rPr>
          <w:rFonts w:eastAsia="Times New Roman" w:cs="Arial"/>
          <w:color w:val="000000"/>
          <w:szCs w:val="20"/>
          <w:lang w:eastAsia="bg-BG"/>
        </w:rPr>
        <w:t>редуктазата, АТС код: С10АА07</w:t>
      </w:r>
    </w:p>
    <w:p w14:paraId="3FD15B7E" w14:textId="77777777" w:rsidR="003F7B0F" w:rsidRPr="003F7B0F" w:rsidRDefault="003F7B0F" w:rsidP="003F7B0F">
      <w:pPr>
        <w:spacing w:line="240" w:lineRule="auto"/>
        <w:rPr>
          <w:rFonts w:eastAsia="Times New Roman" w:cs="Arial"/>
          <w:sz w:val="28"/>
          <w:szCs w:val="24"/>
        </w:rPr>
      </w:pPr>
      <w:r w:rsidRPr="003F7B0F">
        <w:rPr>
          <w:rFonts w:eastAsia="Times New Roman" w:cs="Arial"/>
          <w:b/>
          <w:bCs/>
          <w:color w:val="000000"/>
          <w:szCs w:val="20"/>
          <w:lang w:eastAsia="bg-BG"/>
        </w:rPr>
        <w:t>Механизъм на действие:</w:t>
      </w:r>
    </w:p>
    <w:p w14:paraId="5DAFB99A" w14:textId="77777777"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 xml:space="preserve">Розувастатин е селективен и конкурентен инхибитор на </w:t>
      </w:r>
      <w:r w:rsidRPr="003F7B0F">
        <w:rPr>
          <w:rFonts w:eastAsia="Times New Roman" w:cs="Arial"/>
          <w:color w:val="000000"/>
          <w:szCs w:val="20"/>
          <w:lang w:val="en-US"/>
        </w:rPr>
        <w:t>HMG</w:t>
      </w:r>
      <w:r w:rsidRPr="003F7B0F">
        <w:rPr>
          <w:rFonts w:eastAsia="Times New Roman" w:cs="Arial"/>
          <w:color w:val="000000"/>
          <w:szCs w:val="20"/>
          <w:lang w:val="ru-RU"/>
        </w:rPr>
        <w:t>-</w:t>
      </w:r>
      <w:r w:rsidRPr="003F7B0F">
        <w:rPr>
          <w:rFonts w:eastAsia="Times New Roman" w:cs="Arial"/>
          <w:color w:val="000000"/>
          <w:szCs w:val="20"/>
          <w:lang w:val="en-US"/>
        </w:rPr>
        <w:t>CoA</w:t>
      </w:r>
      <w:r w:rsidRPr="003F7B0F">
        <w:rPr>
          <w:rFonts w:eastAsia="Times New Roman" w:cs="Arial"/>
          <w:color w:val="000000"/>
          <w:szCs w:val="20"/>
          <w:lang w:val="ru-RU"/>
        </w:rPr>
        <w:t xml:space="preserve"> </w:t>
      </w:r>
      <w:r w:rsidRPr="003F7B0F">
        <w:rPr>
          <w:rFonts w:eastAsia="Times New Roman" w:cs="Arial"/>
          <w:color w:val="000000"/>
          <w:szCs w:val="20"/>
          <w:lang w:eastAsia="bg-BG"/>
        </w:rPr>
        <w:t>редуктазата, скоростограничаващият ензим, който превръща З-хидрокси-З-метилглутарил коензим А в мевалонат, прекурсор на холестерола. Основно въздействие розувастатин оказва върху черния дроб, органът, в който се извършва намаляване нивото на холестерол.</w:t>
      </w:r>
    </w:p>
    <w:p w14:paraId="62C7FE84" w14:textId="77777777" w:rsidR="003F7B0F" w:rsidRPr="003F7B0F" w:rsidRDefault="003F7B0F" w:rsidP="003F7B0F">
      <w:pPr>
        <w:spacing w:line="240" w:lineRule="auto"/>
        <w:rPr>
          <w:rFonts w:eastAsia="Times New Roman" w:cs="Arial"/>
          <w:color w:val="000000"/>
          <w:szCs w:val="20"/>
          <w:lang w:eastAsia="bg-BG"/>
        </w:rPr>
      </w:pPr>
    </w:p>
    <w:p w14:paraId="39703811" w14:textId="12EE8098"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 xml:space="preserve">Розувастатин увеличава броя на чернодробните </w:t>
      </w:r>
      <w:r w:rsidRPr="003F7B0F">
        <w:rPr>
          <w:rFonts w:eastAsia="Times New Roman" w:cs="Arial"/>
          <w:color w:val="000000"/>
          <w:szCs w:val="20"/>
          <w:lang w:val="en-US"/>
        </w:rPr>
        <w:t>LDL</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рецептори върху клетъчната повърхност, като засилва поемането и катаболизма на </w:t>
      </w:r>
      <w:r w:rsidRPr="003F7B0F">
        <w:rPr>
          <w:rFonts w:eastAsia="Times New Roman" w:cs="Arial"/>
          <w:color w:val="000000"/>
          <w:szCs w:val="20"/>
          <w:lang w:val="en-US"/>
        </w:rPr>
        <w:t>LDL</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и инхибира чернодробната синтеза на </w:t>
      </w:r>
      <w:r w:rsidRPr="003F7B0F">
        <w:rPr>
          <w:rFonts w:eastAsia="Times New Roman" w:cs="Arial"/>
          <w:color w:val="000000"/>
          <w:szCs w:val="20"/>
          <w:lang w:val="en-US"/>
        </w:rPr>
        <w:t>VLDL</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По този начин розувастатин намалява общия брой на </w:t>
      </w:r>
      <w:r w:rsidRPr="003F7B0F">
        <w:rPr>
          <w:rFonts w:eastAsia="Times New Roman" w:cs="Arial"/>
          <w:color w:val="000000"/>
          <w:szCs w:val="20"/>
          <w:lang w:val="en-US"/>
        </w:rPr>
        <w:t>VLDL</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и </w:t>
      </w:r>
      <w:r w:rsidRPr="003F7B0F">
        <w:rPr>
          <w:rFonts w:eastAsia="Times New Roman" w:cs="Arial"/>
          <w:color w:val="000000"/>
          <w:szCs w:val="20"/>
          <w:lang w:val="en-US"/>
        </w:rPr>
        <w:t>LDL</w:t>
      </w:r>
      <w:r w:rsidRPr="003F7B0F">
        <w:rPr>
          <w:rFonts w:eastAsia="Times New Roman" w:cs="Arial"/>
          <w:color w:val="000000"/>
          <w:szCs w:val="20"/>
          <w:lang w:val="ru-RU"/>
        </w:rPr>
        <w:t xml:space="preserve"> </w:t>
      </w:r>
      <w:r w:rsidRPr="003F7B0F">
        <w:rPr>
          <w:rFonts w:eastAsia="Times New Roman" w:cs="Arial"/>
          <w:color w:val="000000"/>
          <w:szCs w:val="20"/>
          <w:lang w:eastAsia="bg-BG"/>
        </w:rPr>
        <w:t>частици.</w:t>
      </w:r>
    </w:p>
    <w:p w14:paraId="05C2E50F" w14:textId="77777777" w:rsidR="003F7B0F" w:rsidRPr="003F7B0F" w:rsidRDefault="003F7B0F" w:rsidP="003F7B0F">
      <w:pPr>
        <w:spacing w:line="240" w:lineRule="auto"/>
        <w:rPr>
          <w:rFonts w:eastAsia="Times New Roman" w:cs="Arial"/>
          <w:b/>
          <w:bCs/>
          <w:color w:val="000000"/>
          <w:szCs w:val="20"/>
          <w:lang w:eastAsia="bg-BG"/>
        </w:rPr>
      </w:pPr>
    </w:p>
    <w:p w14:paraId="2123A5F7" w14:textId="2D7BE9BE" w:rsidR="003F7B0F" w:rsidRPr="003F7B0F" w:rsidRDefault="003F7B0F" w:rsidP="003F7B0F">
      <w:pPr>
        <w:spacing w:line="240" w:lineRule="auto"/>
        <w:rPr>
          <w:rFonts w:eastAsia="Times New Roman" w:cs="Arial"/>
          <w:sz w:val="28"/>
          <w:szCs w:val="24"/>
        </w:rPr>
      </w:pPr>
      <w:r w:rsidRPr="003F7B0F">
        <w:rPr>
          <w:rFonts w:eastAsia="Times New Roman" w:cs="Arial"/>
          <w:b/>
          <w:bCs/>
          <w:color w:val="000000"/>
          <w:szCs w:val="20"/>
          <w:lang w:eastAsia="bg-BG"/>
        </w:rPr>
        <w:t>Фармакодинамични ефекти:</w:t>
      </w:r>
    </w:p>
    <w:p w14:paraId="6FA2BAA3" w14:textId="77777777"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 xml:space="preserve">Розувастатин намалява повишения </w:t>
      </w:r>
      <w:r w:rsidRPr="003F7B0F">
        <w:rPr>
          <w:rFonts w:eastAsia="Times New Roman" w:cs="Arial"/>
          <w:color w:val="000000"/>
          <w:szCs w:val="20"/>
          <w:lang w:val="en-US"/>
        </w:rPr>
        <w:t>LDL</w:t>
      </w:r>
      <w:r w:rsidRPr="003F7B0F">
        <w:rPr>
          <w:rFonts w:eastAsia="Times New Roman" w:cs="Arial"/>
          <w:color w:val="000000"/>
          <w:szCs w:val="20"/>
          <w:lang w:eastAsia="bg-BG"/>
        </w:rPr>
        <w:t xml:space="preserve">-холестерол, общия холестерол и триглицеридите и повишава </w:t>
      </w:r>
      <w:r w:rsidRPr="003F7B0F">
        <w:rPr>
          <w:rFonts w:eastAsia="Times New Roman" w:cs="Arial"/>
          <w:color w:val="000000"/>
          <w:szCs w:val="20"/>
          <w:lang w:val="en-US"/>
        </w:rPr>
        <w:t>HDL</w:t>
      </w:r>
      <w:r w:rsidRPr="003F7B0F">
        <w:rPr>
          <w:rFonts w:eastAsia="Times New Roman" w:cs="Arial"/>
          <w:color w:val="000000"/>
          <w:szCs w:val="20"/>
          <w:lang w:eastAsia="bg-BG"/>
        </w:rPr>
        <w:t xml:space="preserve">-холестерола. Той също понижава АроВ, </w:t>
      </w:r>
      <w:r w:rsidRPr="003F7B0F">
        <w:rPr>
          <w:rFonts w:eastAsia="Times New Roman" w:cs="Arial"/>
          <w:color w:val="000000"/>
          <w:szCs w:val="20"/>
          <w:lang w:val="en-US"/>
        </w:rPr>
        <w:t>non</w:t>
      </w:r>
      <w:r w:rsidRPr="003F7B0F">
        <w:rPr>
          <w:rFonts w:eastAsia="Times New Roman" w:cs="Arial"/>
          <w:color w:val="000000"/>
          <w:szCs w:val="20"/>
          <w:lang w:val="ru-RU"/>
        </w:rPr>
        <w:t>-</w:t>
      </w:r>
      <w:r w:rsidRPr="003F7B0F">
        <w:rPr>
          <w:rFonts w:eastAsia="Times New Roman" w:cs="Arial"/>
          <w:color w:val="000000"/>
          <w:szCs w:val="20"/>
          <w:lang w:val="en-US"/>
        </w:rPr>
        <w:t>HDL</w:t>
      </w:r>
      <w:r w:rsidRPr="003F7B0F">
        <w:rPr>
          <w:rFonts w:eastAsia="Times New Roman" w:cs="Arial"/>
          <w:color w:val="000000"/>
          <w:szCs w:val="20"/>
          <w:lang w:val="ru-RU"/>
        </w:rPr>
        <w:t>-</w:t>
      </w:r>
      <w:r w:rsidRPr="003F7B0F">
        <w:rPr>
          <w:rFonts w:eastAsia="Times New Roman" w:cs="Arial"/>
          <w:color w:val="000000"/>
          <w:szCs w:val="20"/>
          <w:lang w:val="en-US"/>
        </w:rPr>
        <w:t>C</w:t>
      </w:r>
      <w:r w:rsidRPr="003F7B0F">
        <w:rPr>
          <w:rFonts w:eastAsia="Times New Roman" w:cs="Arial"/>
          <w:color w:val="000000"/>
          <w:szCs w:val="20"/>
          <w:lang w:val="ru-RU"/>
        </w:rPr>
        <w:t xml:space="preserve">, </w:t>
      </w:r>
      <w:r w:rsidRPr="003F7B0F">
        <w:rPr>
          <w:rFonts w:eastAsia="Times New Roman" w:cs="Arial"/>
          <w:color w:val="000000"/>
          <w:szCs w:val="20"/>
          <w:lang w:val="en-US"/>
        </w:rPr>
        <w:t>VLDL</w:t>
      </w:r>
      <w:r w:rsidRPr="003F7B0F">
        <w:rPr>
          <w:rFonts w:eastAsia="Times New Roman" w:cs="Arial"/>
          <w:color w:val="000000"/>
          <w:szCs w:val="20"/>
          <w:lang w:val="ru-RU"/>
        </w:rPr>
        <w:t>-</w:t>
      </w:r>
      <w:r w:rsidRPr="003F7B0F">
        <w:rPr>
          <w:rFonts w:eastAsia="Times New Roman" w:cs="Arial"/>
          <w:color w:val="000000"/>
          <w:szCs w:val="20"/>
          <w:lang w:val="en-US"/>
        </w:rPr>
        <w:t>C</w:t>
      </w:r>
      <w:r w:rsidRPr="003F7B0F">
        <w:rPr>
          <w:rFonts w:eastAsia="Times New Roman" w:cs="Arial"/>
          <w:color w:val="000000"/>
          <w:szCs w:val="20"/>
          <w:lang w:val="ru-RU"/>
        </w:rPr>
        <w:t xml:space="preserve">, </w:t>
      </w:r>
      <w:r w:rsidRPr="003F7B0F">
        <w:rPr>
          <w:rFonts w:eastAsia="Times New Roman" w:cs="Arial"/>
          <w:color w:val="000000"/>
          <w:szCs w:val="20"/>
          <w:lang w:val="en-US"/>
        </w:rPr>
        <w:t>VLDL</w:t>
      </w:r>
      <w:r w:rsidRPr="003F7B0F">
        <w:rPr>
          <w:rFonts w:eastAsia="Times New Roman" w:cs="Arial"/>
          <w:color w:val="000000"/>
          <w:szCs w:val="20"/>
          <w:lang w:val="ru-RU"/>
        </w:rPr>
        <w:t>-</w:t>
      </w:r>
      <w:r w:rsidRPr="003F7B0F">
        <w:rPr>
          <w:rFonts w:eastAsia="Times New Roman" w:cs="Arial"/>
          <w:color w:val="000000"/>
          <w:szCs w:val="20"/>
          <w:lang w:val="en-US"/>
        </w:rPr>
        <w:t>TG</w:t>
      </w:r>
      <w:r w:rsidRPr="003F7B0F">
        <w:rPr>
          <w:rFonts w:eastAsia="Times New Roman" w:cs="Arial"/>
          <w:color w:val="000000"/>
          <w:szCs w:val="20"/>
          <w:lang w:val="ru-RU"/>
        </w:rPr>
        <w:t xml:space="preserve"> </w:t>
      </w:r>
      <w:r w:rsidRPr="003F7B0F">
        <w:rPr>
          <w:rFonts w:eastAsia="Times New Roman" w:cs="Arial"/>
          <w:color w:val="000000"/>
          <w:szCs w:val="20"/>
          <w:lang w:eastAsia="bg-BG"/>
        </w:rPr>
        <w:t>и увеличава АроА</w:t>
      </w:r>
      <w:r w:rsidRPr="003F7B0F">
        <w:rPr>
          <w:rFonts w:eastAsia="Times New Roman" w:cs="Arial"/>
          <w:color w:val="000000"/>
          <w:szCs w:val="20"/>
          <w:lang w:val="ru-RU"/>
        </w:rPr>
        <w:t>-</w:t>
      </w:r>
      <w:r w:rsidRPr="003F7B0F">
        <w:rPr>
          <w:rFonts w:eastAsia="Times New Roman" w:cs="Arial"/>
          <w:color w:val="000000"/>
          <w:szCs w:val="20"/>
          <w:lang w:val="en-US"/>
        </w:rPr>
        <w:t>I</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(вж. Таблица 3). Розувастатин понижава и съотношенията </w:t>
      </w:r>
      <w:r w:rsidRPr="003F7B0F">
        <w:rPr>
          <w:rFonts w:eastAsia="Times New Roman" w:cs="Arial"/>
          <w:color w:val="000000"/>
          <w:szCs w:val="20"/>
          <w:lang w:val="en-US"/>
        </w:rPr>
        <w:t>LDL</w:t>
      </w:r>
      <w:r w:rsidRPr="003F7B0F">
        <w:rPr>
          <w:rFonts w:eastAsia="Times New Roman" w:cs="Arial"/>
          <w:color w:val="000000"/>
          <w:szCs w:val="20"/>
          <w:lang w:val="ru-RU"/>
        </w:rPr>
        <w:t>-</w:t>
      </w:r>
      <w:r w:rsidRPr="003F7B0F">
        <w:rPr>
          <w:rFonts w:eastAsia="Times New Roman" w:cs="Arial"/>
          <w:color w:val="000000"/>
          <w:szCs w:val="20"/>
          <w:lang w:val="en-US"/>
        </w:rPr>
        <w:t>C</w:t>
      </w:r>
      <w:r w:rsidRPr="003F7B0F">
        <w:rPr>
          <w:rFonts w:eastAsia="Times New Roman" w:cs="Arial"/>
          <w:color w:val="000000"/>
          <w:szCs w:val="20"/>
          <w:lang w:val="ru-RU"/>
        </w:rPr>
        <w:t>/</w:t>
      </w:r>
      <w:r w:rsidRPr="003F7B0F">
        <w:rPr>
          <w:rFonts w:eastAsia="Times New Roman" w:cs="Arial"/>
          <w:color w:val="000000"/>
          <w:szCs w:val="20"/>
          <w:lang w:val="en-US"/>
        </w:rPr>
        <w:t>HDL</w:t>
      </w:r>
      <w:r w:rsidRPr="003F7B0F">
        <w:rPr>
          <w:rFonts w:eastAsia="Times New Roman" w:cs="Arial"/>
          <w:color w:val="000000"/>
          <w:szCs w:val="20"/>
          <w:lang w:val="ru-RU"/>
        </w:rPr>
        <w:t>-</w:t>
      </w:r>
      <w:r w:rsidRPr="003F7B0F">
        <w:rPr>
          <w:rFonts w:eastAsia="Times New Roman" w:cs="Arial"/>
          <w:color w:val="000000"/>
          <w:szCs w:val="20"/>
          <w:lang w:val="en-US"/>
        </w:rPr>
        <w:t>C</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общ </w:t>
      </w:r>
      <w:r w:rsidRPr="003F7B0F">
        <w:rPr>
          <w:rFonts w:eastAsia="Times New Roman" w:cs="Arial"/>
          <w:color w:val="000000"/>
          <w:szCs w:val="20"/>
          <w:lang w:val="en-US"/>
        </w:rPr>
        <w:t>C</w:t>
      </w:r>
      <w:r w:rsidRPr="003F7B0F">
        <w:rPr>
          <w:rFonts w:eastAsia="Times New Roman" w:cs="Arial"/>
          <w:color w:val="000000"/>
          <w:szCs w:val="20"/>
          <w:lang w:val="ru-RU"/>
        </w:rPr>
        <w:t>/</w:t>
      </w:r>
      <w:r w:rsidRPr="003F7B0F">
        <w:rPr>
          <w:rFonts w:eastAsia="Times New Roman" w:cs="Arial"/>
          <w:color w:val="000000"/>
          <w:szCs w:val="20"/>
          <w:lang w:val="en-US"/>
        </w:rPr>
        <w:t>HDL</w:t>
      </w:r>
      <w:r w:rsidRPr="003F7B0F">
        <w:rPr>
          <w:rFonts w:eastAsia="Times New Roman" w:cs="Arial"/>
          <w:color w:val="000000"/>
          <w:szCs w:val="20"/>
          <w:lang w:val="ru-RU"/>
        </w:rPr>
        <w:t>-</w:t>
      </w:r>
      <w:r w:rsidRPr="003F7B0F">
        <w:rPr>
          <w:rFonts w:eastAsia="Times New Roman" w:cs="Arial"/>
          <w:color w:val="000000"/>
          <w:szCs w:val="20"/>
          <w:lang w:val="en-US"/>
        </w:rPr>
        <w:t>C</w:t>
      </w:r>
      <w:r w:rsidRPr="003F7B0F">
        <w:rPr>
          <w:rFonts w:eastAsia="Times New Roman" w:cs="Arial"/>
          <w:color w:val="000000"/>
          <w:szCs w:val="20"/>
          <w:lang w:val="ru-RU"/>
        </w:rPr>
        <w:t xml:space="preserve">, </w:t>
      </w:r>
      <w:r w:rsidRPr="003F7B0F">
        <w:rPr>
          <w:rFonts w:eastAsia="Times New Roman" w:cs="Arial"/>
          <w:color w:val="000000"/>
          <w:szCs w:val="20"/>
          <w:lang w:val="en-US"/>
        </w:rPr>
        <w:t>non</w:t>
      </w:r>
      <w:r w:rsidRPr="003F7B0F">
        <w:rPr>
          <w:rFonts w:eastAsia="Times New Roman" w:cs="Arial"/>
          <w:color w:val="000000"/>
          <w:szCs w:val="20"/>
          <w:lang w:val="ru-RU"/>
        </w:rPr>
        <w:t xml:space="preserve"> </w:t>
      </w:r>
      <w:r w:rsidRPr="003F7B0F">
        <w:rPr>
          <w:rFonts w:eastAsia="Times New Roman" w:cs="Arial"/>
          <w:color w:val="000000"/>
          <w:szCs w:val="20"/>
          <w:lang w:val="en-US"/>
        </w:rPr>
        <w:t>HDL</w:t>
      </w:r>
      <w:r w:rsidRPr="003F7B0F">
        <w:rPr>
          <w:rFonts w:eastAsia="Times New Roman" w:cs="Arial"/>
          <w:color w:val="000000"/>
          <w:szCs w:val="20"/>
          <w:lang w:val="ru-RU"/>
        </w:rPr>
        <w:t>-</w:t>
      </w:r>
      <w:r w:rsidRPr="003F7B0F">
        <w:rPr>
          <w:rFonts w:eastAsia="Times New Roman" w:cs="Arial"/>
          <w:color w:val="000000"/>
          <w:szCs w:val="20"/>
          <w:lang w:val="en-US"/>
        </w:rPr>
        <w:t>C</w:t>
      </w:r>
      <w:r w:rsidRPr="003F7B0F">
        <w:rPr>
          <w:rFonts w:eastAsia="Times New Roman" w:cs="Arial"/>
          <w:color w:val="000000"/>
          <w:szCs w:val="20"/>
          <w:lang w:val="ru-RU"/>
        </w:rPr>
        <w:t>/</w:t>
      </w:r>
      <w:r w:rsidRPr="003F7B0F">
        <w:rPr>
          <w:rFonts w:eastAsia="Times New Roman" w:cs="Arial"/>
          <w:color w:val="000000"/>
          <w:szCs w:val="20"/>
          <w:lang w:val="en-US"/>
        </w:rPr>
        <w:t>HDL</w:t>
      </w:r>
      <w:r w:rsidRPr="003F7B0F">
        <w:rPr>
          <w:rFonts w:eastAsia="Times New Roman" w:cs="Arial"/>
          <w:color w:val="000000"/>
          <w:szCs w:val="20"/>
          <w:lang w:val="ru-RU"/>
        </w:rPr>
        <w:t>-</w:t>
      </w:r>
      <w:r w:rsidRPr="003F7B0F">
        <w:rPr>
          <w:rFonts w:eastAsia="Times New Roman" w:cs="Arial"/>
          <w:color w:val="000000"/>
          <w:szCs w:val="20"/>
          <w:lang w:val="en-US"/>
        </w:rPr>
        <w:t>C</w:t>
      </w:r>
      <w:r w:rsidRPr="003F7B0F">
        <w:rPr>
          <w:rFonts w:eastAsia="Times New Roman" w:cs="Arial"/>
          <w:color w:val="000000"/>
          <w:szCs w:val="20"/>
          <w:lang w:val="ru-RU"/>
        </w:rPr>
        <w:t xml:space="preserve"> </w:t>
      </w:r>
      <w:r w:rsidRPr="003F7B0F">
        <w:rPr>
          <w:rFonts w:eastAsia="Times New Roman" w:cs="Arial"/>
          <w:color w:val="000000"/>
          <w:szCs w:val="20"/>
          <w:lang w:eastAsia="bg-BG"/>
        </w:rPr>
        <w:t>и АроВ/АроА-</w:t>
      </w:r>
      <w:r w:rsidRPr="003F7B0F">
        <w:rPr>
          <w:rFonts w:eastAsia="Times New Roman" w:cs="Arial"/>
          <w:color w:val="000000"/>
          <w:szCs w:val="20"/>
          <w:lang w:val="en-US"/>
        </w:rPr>
        <w:t>I</w:t>
      </w:r>
      <w:r w:rsidRPr="003F7B0F">
        <w:rPr>
          <w:rFonts w:eastAsia="Times New Roman" w:cs="Arial"/>
          <w:color w:val="000000"/>
          <w:szCs w:val="20"/>
          <w:lang w:eastAsia="bg-BG"/>
        </w:rPr>
        <w:t>.</w:t>
      </w:r>
    </w:p>
    <w:p w14:paraId="6CC07FD6" w14:textId="77777777" w:rsidR="003F7B0F" w:rsidRPr="003F7B0F" w:rsidRDefault="003F7B0F" w:rsidP="003F7B0F">
      <w:pPr>
        <w:rPr>
          <w:rFonts w:eastAsia="Times New Roman" w:cs="Arial"/>
          <w:b/>
          <w:bCs/>
          <w:color w:val="000000"/>
          <w:szCs w:val="20"/>
          <w:lang w:eastAsia="bg-BG"/>
        </w:rPr>
      </w:pPr>
    </w:p>
    <w:p w14:paraId="224101E1" w14:textId="3BD97A1D" w:rsidR="003F7B0F" w:rsidRDefault="003F7B0F" w:rsidP="003F7B0F">
      <w:pPr>
        <w:rPr>
          <w:rFonts w:eastAsia="Times New Roman" w:cs="Arial"/>
          <w:b/>
          <w:bCs/>
          <w:color w:val="000000"/>
          <w:szCs w:val="20"/>
          <w:lang w:eastAsia="bg-BG"/>
        </w:rPr>
      </w:pPr>
      <w:r w:rsidRPr="003F7B0F">
        <w:rPr>
          <w:rFonts w:eastAsia="Times New Roman" w:cs="Arial"/>
          <w:b/>
          <w:bCs/>
          <w:color w:val="000000"/>
          <w:szCs w:val="20"/>
          <w:lang w:eastAsia="bg-BG"/>
        </w:rPr>
        <w:t xml:space="preserve">Таблица 3. Отговор на дозата при пациенти с първична хиперхолестеролемия (тип </w:t>
      </w:r>
      <w:r w:rsidRPr="003F7B0F">
        <w:rPr>
          <w:rFonts w:eastAsia="Times New Roman" w:cs="Arial"/>
          <w:b/>
          <w:bCs/>
          <w:color w:val="000000"/>
          <w:szCs w:val="20"/>
          <w:lang w:val="en-US"/>
        </w:rPr>
        <w:t>II</w:t>
      </w:r>
      <w:r w:rsidRPr="003F7B0F">
        <w:rPr>
          <w:rFonts w:eastAsia="Times New Roman" w:cs="Arial"/>
          <w:b/>
          <w:bCs/>
          <w:color w:val="000000"/>
          <w:szCs w:val="20"/>
          <w:lang w:eastAsia="bg-BG"/>
        </w:rPr>
        <w:t xml:space="preserve">а и </w:t>
      </w:r>
      <w:proofErr w:type="spellStart"/>
      <w:r w:rsidRPr="003F7B0F">
        <w:rPr>
          <w:rFonts w:eastAsia="Times New Roman" w:cs="Arial"/>
          <w:b/>
          <w:bCs/>
          <w:color w:val="000000"/>
          <w:szCs w:val="20"/>
          <w:lang w:val="en-US"/>
        </w:rPr>
        <w:t>IIb</w:t>
      </w:r>
      <w:proofErr w:type="spellEnd"/>
      <w:r w:rsidRPr="003F7B0F">
        <w:rPr>
          <w:rFonts w:eastAsia="Times New Roman" w:cs="Arial"/>
          <w:b/>
          <w:bCs/>
          <w:color w:val="000000"/>
          <w:szCs w:val="20"/>
          <w:lang w:eastAsia="bg-BG"/>
        </w:rPr>
        <w:t>) (коригиран среден процент на промяна от изходното ниво)</w:t>
      </w:r>
    </w:p>
    <w:tbl>
      <w:tblPr>
        <w:tblStyle w:val="TableGrid"/>
        <w:tblW w:w="0" w:type="auto"/>
        <w:tblLook w:val="04A0" w:firstRow="1" w:lastRow="0" w:firstColumn="1" w:lastColumn="0" w:noHBand="0" w:noVBand="1"/>
      </w:tblPr>
      <w:tblGrid>
        <w:gridCol w:w="1166"/>
        <w:gridCol w:w="897"/>
        <w:gridCol w:w="876"/>
        <w:gridCol w:w="1496"/>
        <w:gridCol w:w="890"/>
        <w:gridCol w:w="1316"/>
        <w:gridCol w:w="876"/>
        <w:gridCol w:w="876"/>
        <w:gridCol w:w="957"/>
      </w:tblGrid>
      <w:tr w:rsidR="003F7B0F" w14:paraId="2BE3B7B8" w14:textId="77777777" w:rsidTr="003F7B0F">
        <w:tc>
          <w:tcPr>
            <w:tcW w:w="1165" w:type="dxa"/>
          </w:tcPr>
          <w:p w14:paraId="0FDA0EBD" w14:textId="647D8588" w:rsidR="003F7B0F" w:rsidRPr="003F7B0F" w:rsidRDefault="003F7B0F" w:rsidP="003F7B0F">
            <w:pPr>
              <w:rPr>
                <w:rFonts w:cs="Arial"/>
              </w:rPr>
            </w:pPr>
            <w:r w:rsidRPr="003F7B0F">
              <w:rPr>
                <w:rFonts w:cs="Arial"/>
                <w:b/>
                <w:bCs/>
              </w:rPr>
              <w:t>Доза</w:t>
            </w:r>
          </w:p>
        </w:tc>
        <w:tc>
          <w:tcPr>
            <w:tcW w:w="934" w:type="dxa"/>
          </w:tcPr>
          <w:p w14:paraId="3B741518" w14:textId="3E789649" w:rsidR="003F7B0F" w:rsidRPr="003F7B0F" w:rsidRDefault="003F7B0F" w:rsidP="003F7B0F">
            <w:pPr>
              <w:rPr>
                <w:rFonts w:cs="Arial"/>
              </w:rPr>
            </w:pPr>
            <w:r w:rsidRPr="003F7B0F">
              <w:rPr>
                <w:rFonts w:cs="Arial"/>
                <w:b/>
                <w:bCs/>
              </w:rPr>
              <w:t>брой</w:t>
            </w:r>
          </w:p>
        </w:tc>
        <w:tc>
          <w:tcPr>
            <w:tcW w:w="919" w:type="dxa"/>
          </w:tcPr>
          <w:p w14:paraId="6F5A088A" w14:textId="332A4D3B" w:rsidR="003F7B0F" w:rsidRPr="003F7B0F" w:rsidRDefault="003F7B0F" w:rsidP="003F7B0F">
            <w:pPr>
              <w:rPr>
                <w:rFonts w:cs="Arial"/>
              </w:rPr>
            </w:pPr>
            <w:r w:rsidRPr="003F7B0F">
              <w:rPr>
                <w:rFonts w:cs="Arial"/>
                <w:b/>
                <w:bCs/>
                <w:lang w:val="en-US"/>
              </w:rPr>
              <w:t>LDL-C</w:t>
            </w:r>
          </w:p>
        </w:tc>
        <w:tc>
          <w:tcPr>
            <w:tcW w:w="1496" w:type="dxa"/>
          </w:tcPr>
          <w:p w14:paraId="6C0699A1" w14:textId="78E19AAF" w:rsidR="003F7B0F" w:rsidRPr="003F7B0F" w:rsidRDefault="003F7B0F" w:rsidP="003F7B0F">
            <w:pPr>
              <w:rPr>
                <w:rFonts w:cs="Arial"/>
              </w:rPr>
            </w:pPr>
            <w:r w:rsidRPr="003F7B0F">
              <w:rPr>
                <w:rFonts w:cs="Arial"/>
                <w:b/>
                <w:bCs/>
              </w:rPr>
              <w:t>Общ холестерол</w:t>
            </w:r>
          </w:p>
        </w:tc>
        <w:tc>
          <w:tcPr>
            <w:tcW w:w="929" w:type="dxa"/>
          </w:tcPr>
          <w:p w14:paraId="5440AD4C" w14:textId="01F82C01" w:rsidR="003F7B0F" w:rsidRPr="003F7B0F" w:rsidRDefault="003F7B0F" w:rsidP="003F7B0F">
            <w:pPr>
              <w:rPr>
                <w:rFonts w:cs="Arial"/>
              </w:rPr>
            </w:pPr>
            <w:r w:rsidRPr="003F7B0F">
              <w:rPr>
                <w:rFonts w:cs="Arial"/>
                <w:b/>
                <w:bCs/>
                <w:lang w:val="en-US"/>
              </w:rPr>
              <w:t xml:space="preserve">HDL- </w:t>
            </w:r>
            <w:r w:rsidRPr="003F7B0F">
              <w:rPr>
                <w:rFonts w:cs="Arial"/>
                <w:b/>
                <w:bCs/>
              </w:rPr>
              <w:t>С</w:t>
            </w:r>
          </w:p>
        </w:tc>
        <w:tc>
          <w:tcPr>
            <w:tcW w:w="1316" w:type="dxa"/>
          </w:tcPr>
          <w:p w14:paraId="50452788" w14:textId="28BCE2BA" w:rsidR="003F7B0F" w:rsidRPr="003F7B0F" w:rsidRDefault="003F7B0F" w:rsidP="003F7B0F">
            <w:pPr>
              <w:rPr>
                <w:rFonts w:cs="Arial"/>
              </w:rPr>
            </w:pPr>
            <w:r w:rsidRPr="003F7B0F">
              <w:rPr>
                <w:rFonts w:cs="Arial"/>
                <w:b/>
                <w:bCs/>
              </w:rPr>
              <w:t>Трнглице- рнди</w:t>
            </w:r>
          </w:p>
        </w:tc>
        <w:tc>
          <w:tcPr>
            <w:tcW w:w="919" w:type="dxa"/>
          </w:tcPr>
          <w:p w14:paraId="080A6DF7" w14:textId="7152D488" w:rsidR="003F7B0F" w:rsidRPr="003F7B0F" w:rsidRDefault="003F7B0F" w:rsidP="003F7B0F">
            <w:pPr>
              <w:rPr>
                <w:rFonts w:cs="Arial"/>
              </w:rPr>
            </w:pPr>
            <w:r w:rsidRPr="003F7B0F">
              <w:rPr>
                <w:rFonts w:cs="Arial"/>
                <w:b/>
                <w:bCs/>
                <w:lang w:val="en-US"/>
              </w:rPr>
              <w:t xml:space="preserve">Non- HDL </w:t>
            </w:r>
            <w:r w:rsidRPr="003F7B0F">
              <w:rPr>
                <w:rFonts w:cs="Arial"/>
                <w:b/>
                <w:bCs/>
              </w:rPr>
              <w:t>С</w:t>
            </w:r>
          </w:p>
        </w:tc>
        <w:tc>
          <w:tcPr>
            <w:tcW w:w="919" w:type="dxa"/>
          </w:tcPr>
          <w:p w14:paraId="1329633E" w14:textId="11B069E2" w:rsidR="003F7B0F" w:rsidRPr="003F7B0F" w:rsidRDefault="003F7B0F" w:rsidP="003F7B0F">
            <w:pPr>
              <w:rPr>
                <w:rFonts w:cs="Arial"/>
              </w:rPr>
            </w:pPr>
            <w:r w:rsidRPr="003F7B0F">
              <w:rPr>
                <w:rFonts w:cs="Arial"/>
                <w:b/>
                <w:bCs/>
              </w:rPr>
              <w:t>Аро-В</w:t>
            </w:r>
          </w:p>
        </w:tc>
        <w:tc>
          <w:tcPr>
            <w:tcW w:w="979" w:type="dxa"/>
          </w:tcPr>
          <w:p w14:paraId="35D0F214" w14:textId="37DABBF9" w:rsidR="003F7B0F" w:rsidRPr="003F7B0F" w:rsidRDefault="003F7B0F" w:rsidP="003F7B0F">
            <w:pPr>
              <w:rPr>
                <w:rFonts w:cs="Arial"/>
              </w:rPr>
            </w:pPr>
            <w:r w:rsidRPr="003F7B0F">
              <w:rPr>
                <w:rFonts w:cs="Arial"/>
                <w:b/>
                <w:bCs/>
              </w:rPr>
              <w:t>АроА-</w:t>
            </w:r>
            <w:r w:rsidRPr="003F7B0F">
              <w:rPr>
                <w:rFonts w:cs="Arial"/>
                <w:b/>
                <w:bCs/>
                <w:lang w:val="en-US"/>
              </w:rPr>
              <w:t>I</w:t>
            </w:r>
          </w:p>
        </w:tc>
      </w:tr>
      <w:tr w:rsidR="003F7B0F" w14:paraId="6DCC18FA" w14:textId="77777777" w:rsidTr="003F7B0F">
        <w:tc>
          <w:tcPr>
            <w:tcW w:w="1165" w:type="dxa"/>
          </w:tcPr>
          <w:p w14:paraId="5A0BC823" w14:textId="5D6A1420" w:rsidR="003F7B0F" w:rsidRPr="003F7B0F" w:rsidRDefault="003F7B0F" w:rsidP="003F7B0F">
            <w:pPr>
              <w:rPr>
                <w:rFonts w:cs="Arial"/>
              </w:rPr>
            </w:pPr>
            <w:r w:rsidRPr="003F7B0F">
              <w:rPr>
                <w:rFonts w:cs="Arial"/>
                <w:b/>
                <w:bCs/>
              </w:rPr>
              <w:t>Плацебо</w:t>
            </w:r>
          </w:p>
        </w:tc>
        <w:tc>
          <w:tcPr>
            <w:tcW w:w="934" w:type="dxa"/>
          </w:tcPr>
          <w:p w14:paraId="1109CCB2" w14:textId="4992F334" w:rsidR="003F7B0F" w:rsidRPr="003F7B0F" w:rsidRDefault="003F7B0F" w:rsidP="003F7B0F">
            <w:pPr>
              <w:rPr>
                <w:rFonts w:cs="Arial"/>
              </w:rPr>
            </w:pPr>
            <w:r w:rsidRPr="003F7B0F">
              <w:rPr>
                <w:rFonts w:cs="Arial"/>
                <w:b/>
                <w:bCs/>
              </w:rPr>
              <w:t>13</w:t>
            </w:r>
          </w:p>
        </w:tc>
        <w:tc>
          <w:tcPr>
            <w:tcW w:w="919" w:type="dxa"/>
          </w:tcPr>
          <w:p w14:paraId="3FFE844F" w14:textId="2588FB18" w:rsidR="003F7B0F" w:rsidRPr="003F7B0F" w:rsidRDefault="003F7B0F" w:rsidP="003F7B0F">
            <w:pPr>
              <w:rPr>
                <w:rFonts w:cs="Arial"/>
              </w:rPr>
            </w:pPr>
            <w:r w:rsidRPr="003F7B0F">
              <w:rPr>
                <w:rFonts w:cs="Arial"/>
                <w:b/>
                <w:bCs/>
              </w:rPr>
              <w:t>-7</w:t>
            </w:r>
          </w:p>
        </w:tc>
        <w:tc>
          <w:tcPr>
            <w:tcW w:w="1496" w:type="dxa"/>
          </w:tcPr>
          <w:p w14:paraId="222694A8" w14:textId="13157C19" w:rsidR="003F7B0F" w:rsidRPr="003F7B0F" w:rsidRDefault="003F7B0F" w:rsidP="003F7B0F">
            <w:pPr>
              <w:rPr>
                <w:rFonts w:cs="Arial"/>
              </w:rPr>
            </w:pPr>
            <w:r w:rsidRPr="003F7B0F">
              <w:rPr>
                <w:rFonts w:cs="Arial"/>
                <w:b/>
                <w:bCs/>
              </w:rPr>
              <w:t>-5</w:t>
            </w:r>
          </w:p>
        </w:tc>
        <w:tc>
          <w:tcPr>
            <w:tcW w:w="929" w:type="dxa"/>
          </w:tcPr>
          <w:p w14:paraId="3D21AF39" w14:textId="3A467D49" w:rsidR="003F7B0F" w:rsidRPr="003F7B0F" w:rsidRDefault="003F7B0F" w:rsidP="003F7B0F">
            <w:pPr>
              <w:rPr>
                <w:rFonts w:cs="Arial"/>
              </w:rPr>
            </w:pPr>
            <w:r w:rsidRPr="003F7B0F">
              <w:rPr>
                <w:rFonts w:cs="Arial"/>
                <w:b/>
                <w:bCs/>
              </w:rPr>
              <w:t>3</w:t>
            </w:r>
          </w:p>
        </w:tc>
        <w:tc>
          <w:tcPr>
            <w:tcW w:w="1316" w:type="dxa"/>
          </w:tcPr>
          <w:p w14:paraId="504BEE67" w14:textId="3D4127D2" w:rsidR="003F7B0F" w:rsidRPr="003F7B0F" w:rsidRDefault="003F7B0F" w:rsidP="003F7B0F">
            <w:pPr>
              <w:rPr>
                <w:rFonts w:cs="Arial"/>
              </w:rPr>
            </w:pPr>
            <w:r w:rsidRPr="003F7B0F">
              <w:rPr>
                <w:rFonts w:cs="Arial"/>
                <w:b/>
                <w:bCs/>
              </w:rPr>
              <w:t>-3</w:t>
            </w:r>
          </w:p>
        </w:tc>
        <w:tc>
          <w:tcPr>
            <w:tcW w:w="919" w:type="dxa"/>
          </w:tcPr>
          <w:p w14:paraId="0C05D750" w14:textId="07A17603" w:rsidR="003F7B0F" w:rsidRPr="003F7B0F" w:rsidRDefault="003F7B0F" w:rsidP="003F7B0F">
            <w:pPr>
              <w:rPr>
                <w:rFonts w:cs="Arial"/>
              </w:rPr>
            </w:pPr>
            <w:r w:rsidRPr="003F7B0F">
              <w:rPr>
                <w:rFonts w:cs="Arial"/>
                <w:b/>
                <w:bCs/>
              </w:rPr>
              <w:t>-7</w:t>
            </w:r>
          </w:p>
        </w:tc>
        <w:tc>
          <w:tcPr>
            <w:tcW w:w="919" w:type="dxa"/>
          </w:tcPr>
          <w:p w14:paraId="5721CF22" w14:textId="583918F2" w:rsidR="003F7B0F" w:rsidRPr="003F7B0F" w:rsidRDefault="003F7B0F" w:rsidP="003F7B0F">
            <w:pPr>
              <w:rPr>
                <w:rFonts w:cs="Arial"/>
              </w:rPr>
            </w:pPr>
            <w:r w:rsidRPr="003F7B0F">
              <w:rPr>
                <w:rFonts w:cs="Arial"/>
                <w:b/>
                <w:bCs/>
              </w:rPr>
              <w:t>-3</w:t>
            </w:r>
          </w:p>
        </w:tc>
        <w:tc>
          <w:tcPr>
            <w:tcW w:w="979" w:type="dxa"/>
          </w:tcPr>
          <w:p w14:paraId="47143899" w14:textId="217EDD2C" w:rsidR="003F7B0F" w:rsidRPr="003F7B0F" w:rsidRDefault="003F7B0F" w:rsidP="003F7B0F">
            <w:pPr>
              <w:rPr>
                <w:rFonts w:cs="Arial"/>
              </w:rPr>
            </w:pPr>
            <w:r w:rsidRPr="003F7B0F">
              <w:rPr>
                <w:rFonts w:cs="Arial"/>
                <w:b/>
                <w:bCs/>
              </w:rPr>
              <w:t>0</w:t>
            </w:r>
          </w:p>
        </w:tc>
      </w:tr>
      <w:tr w:rsidR="003F7B0F" w14:paraId="580FCB9B" w14:textId="77777777" w:rsidTr="003F7B0F">
        <w:tc>
          <w:tcPr>
            <w:tcW w:w="1165" w:type="dxa"/>
          </w:tcPr>
          <w:p w14:paraId="49E70F07" w14:textId="1AF7B1FC" w:rsidR="003F7B0F" w:rsidRPr="003F7B0F" w:rsidRDefault="003F7B0F" w:rsidP="003F7B0F">
            <w:pPr>
              <w:rPr>
                <w:rFonts w:cs="Arial"/>
              </w:rPr>
            </w:pPr>
            <w:r w:rsidRPr="003F7B0F">
              <w:rPr>
                <w:rFonts w:cs="Arial"/>
                <w:b/>
                <w:bCs/>
              </w:rPr>
              <w:t>5</w:t>
            </w:r>
          </w:p>
        </w:tc>
        <w:tc>
          <w:tcPr>
            <w:tcW w:w="934" w:type="dxa"/>
          </w:tcPr>
          <w:p w14:paraId="40386213" w14:textId="2B73D196" w:rsidR="003F7B0F" w:rsidRPr="003F7B0F" w:rsidRDefault="003F7B0F" w:rsidP="003F7B0F">
            <w:pPr>
              <w:rPr>
                <w:rFonts w:cs="Arial"/>
              </w:rPr>
            </w:pPr>
            <w:r w:rsidRPr="003F7B0F">
              <w:rPr>
                <w:rFonts w:cs="Arial"/>
                <w:b/>
                <w:bCs/>
              </w:rPr>
              <w:t>17</w:t>
            </w:r>
          </w:p>
        </w:tc>
        <w:tc>
          <w:tcPr>
            <w:tcW w:w="919" w:type="dxa"/>
          </w:tcPr>
          <w:p w14:paraId="4E174745" w14:textId="153C3472" w:rsidR="003F7B0F" w:rsidRPr="003F7B0F" w:rsidRDefault="003F7B0F" w:rsidP="003F7B0F">
            <w:pPr>
              <w:rPr>
                <w:rFonts w:cs="Arial"/>
              </w:rPr>
            </w:pPr>
            <w:r w:rsidRPr="003F7B0F">
              <w:rPr>
                <w:rFonts w:cs="Arial"/>
                <w:b/>
                <w:bCs/>
              </w:rPr>
              <w:t>-45</w:t>
            </w:r>
          </w:p>
        </w:tc>
        <w:tc>
          <w:tcPr>
            <w:tcW w:w="1496" w:type="dxa"/>
          </w:tcPr>
          <w:p w14:paraId="6E161022" w14:textId="41B4C1CC" w:rsidR="003F7B0F" w:rsidRPr="003F7B0F" w:rsidRDefault="003F7B0F" w:rsidP="003F7B0F">
            <w:pPr>
              <w:rPr>
                <w:rFonts w:cs="Arial"/>
              </w:rPr>
            </w:pPr>
            <w:r w:rsidRPr="003F7B0F">
              <w:rPr>
                <w:rFonts w:cs="Arial"/>
                <w:b/>
                <w:bCs/>
              </w:rPr>
              <w:t>-33</w:t>
            </w:r>
          </w:p>
        </w:tc>
        <w:tc>
          <w:tcPr>
            <w:tcW w:w="929" w:type="dxa"/>
          </w:tcPr>
          <w:p w14:paraId="5F75E209" w14:textId="4E7B746B" w:rsidR="003F7B0F" w:rsidRPr="003F7B0F" w:rsidRDefault="003F7B0F" w:rsidP="003F7B0F">
            <w:pPr>
              <w:rPr>
                <w:rFonts w:cs="Arial"/>
              </w:rPr>
            </w:pPr>
            <w:r w:rsidRPr="003F7B0F">
              <w:rPr>
                <w:rFonts w:cs="Arial"/>
                <w:b/>
                <w:bCs/>
              </w:rPr>
              <w:t>13</w:t>
            </w:r>
          </w:p>
        </w:tc>
        <w:tc>
          <w:tcPr>
            <w:tcW w:w="1316" w:type="dxa"/>
          </w:tcPr>
          <w:p w14:paraId="486D4C82" w14:textId="712E0762" w:rsidR="003F7B0F" w:rsidRPr="003F7B0F" w:rsidRDefault="003F7B0F" w:rsidP="003F7B0F">
            <w:pPr>
              <w:rPr>
                <w:rFonts w:cs="Arial"/>
              </w:rPr>
            </w:pPr>
            <w:r w:rsidRPr="003F7B0F">
              <w:rPr>
                <w:rFonts w:cs="Arial"/>
                <w:b/>
                <w:bCs/>
              </w:rPr>
              <w:t>-35</w:t>
            </w:r>
          </w:p>
        </w:tc>
        <w:tc>
          <w:tcPr>
            <w:tcW w:w="919" w:type="dxa"/>
          </w:tcPr>
          <w:p w14:paraId="241CFDE1" w14:textId="0DDE24A1" w:rsidR="003F7B0F" w:rsidRPr="003F7B0F" w:rsidRDefault="003F7B0F" w:rsidP="003F7B0F">
            <w:pPr>
              <w:rPr>
                <w:rFonts w:cs="Arial"/>
              </w:rPr>
            </w:pPr>
            <w:r w:rsidRPr="003F7B0F">
              <w:rPr>
                <w:rFonts w:cs="Arial"/>
                <w:b/>
                <w:bCs/>
              </w:rPr>
              <w:t>-44</w:t>
            </w:r>
          </w:p>
        </w:tc>
        <w:tc>
          <w:tcPr>
            <w:tcW w:w="919" w:type="dxa"/>
          </w:tcPr>
          <w:p w14:paraId="074474BD" w14:textId="1E2FE8DE" w:rsidR="003F7B0F" w:rsidRPr="003F7B0F" w:rsidRDefault="003F7B0F" w:rsidP="003F7B0F">
            <w:pPr>
              <w:rPr>
                <w:rFonts w:cs="Arial"/>
              </w:rPr>
            </w:pPr>
            <w:r w:rsidRPr="003F7B0F">
              <w:rPr>
                <w:rFonts w:cs="Arial"/>
                <w:b/>
                <w:bCs/>
              </w:rPr>
              <w:t>-38</w:t>
            </w:r>
          </w:p>
        </w:tc>
        <w:tc>
          <w:tcPr>
            <w:tcW w:w="979" w:type="dxa"/>
          </w:tcPr>
          <w:p w14:paraId="683F1B86" w14:textId="2F053EDA" w:rsidR="003F7B0F" w:rsidRPr="003F7B0F" w:rsidRDefault="003F7B0F" w:rsidP="003F7B0F">
            <w:pPr>
              <w:rPr>
                <w:rFonts w:cs="Arial"/>
              </w:rPr>
            </w:pPr>
            <w:r w:rsidRPr="003F7B0F">
              <w:rPr>
                <w:rFonts w:cs="Arial"/>
                <w:b/>
                <w:bCs/>
              </w:rPr>
              <w:t>4</w:t>
            </w:r>
          </w:p>
        </w:tc>
      </w:tr>
      <w:tr w:rsidR="003F7B0F" w14:paraId="1ABA4F78" w14:textId="77777777" w:rsidTr="003F7B0F">
        <w:tc>
          <w:tcPr>
            <w:tcW w:w="1165" w:type="dxa"/>
          </w:tcPr>
          <w:p w14:paraId="7102D0AC" w14:textId="7748FF7E" w:rsidR="003F7B0F" w:rsidRPr="003F7B0F" w:rsidRDefault="003F7B0F" w:rsidP="003F7B0F">
            <w:pPr>
              <w:rPr>
                <w:rFonts w:cs="Arial"/>
              </w:rPr>
            </w:pPr>
            <w:r w:rsidRPr="003F7B0F">
              <w:rPr>
                <w:rFonts w:cs="Arial"/>
                <w:b/>
                <w:bCs/>
              </w:rPr>
              <w:t>10</w:t>
            </w:r>
          </w:p>
        </w:tc>
        <w:tc>
          <w:tcPr>
            <w:tcW w:w="934" w:type="dxa"/>
          </w:tcPr>
          <w:p w14:paraId="140C4EBF" w14:textId="467E7DDC" w:rsidR="003F7B0F" w:rsidRPr="003F7B0F" w:rsidRDefault="003F7B0F" w:rsidP="003F7B0F">
            <w:pPr>
              <w:rPr>
                <w:rFonts w:cs="Arial"/>
              </w:rPr>
            </w:pPr>
            <w:r w:rsidRPr="003F7B0F">
              <w:rPr>
                <w:rFonts w:cs="Arial"/>
                <w:b/>
                <w:bCs/>
              </w:rPr>
              <w:t>17</w:t>
            </w:r>
          </w:p>
        </w:tc>
        <w:tc>
          <w:tcPr>
            <w:tcW w:w="919" w:type="dxa"/>
          </w:tcPr>
          <w:p w14:paraId="3735BD65" w14:textId="7DAF28C6" w:rsidR="003F7B0F" w:rsidRPr="003F7B0F" w:rsidRDefault="003F7B0F" w:rsidP="003F7B0F">
            <w:pPr>
              <w:rPr>
                <w:rFonts w:cs="Arial"/>
              </w:rPr>
            </w:pPr>
            <w:r w:rsidRPr="003F7B0F">
              <w:rPr>
                <w:rFonts w:cs="Arial"/>
                <w:b/>
                <w:bCs/>
              </w:rPr>
              <w:t>-52</w:t>
            </w:r>
          </w:p>
        </w:tc>
        <w:tc>
          <w:tcPr>
            <w:tcW w:w="1496" w:type="dxa"/>
          </w:tcPr>
          <w:p w14:paraId="23AF9486" w14:textId="43BC3B8D" w:rsidR="003F7B0F" w:rsidRPr="003F7B0F" w:rsidRDefault="003F7B0F" w:rsidP="003F7B0F">
            <w:pPr>
              <w:rPr>
                <w:rFonts w:cs="Arial"/>
              </w:rPr>
            </w:pPr>
            <w:r w:rsidRPr="003F7B0F">
              <w:rPr>
                <w:rFonts w:cs="Arial"/>
                <w:b/>
                <w:bCs/>
              </w:rPr>
              <w:t>-36</w:t>
            </w:r>
          </w:p>
        </w:tc>
        <w:tc>
          <w:tcPr>
            <w:tcW w:w="929" w:type="dxa"/>
          </w:tcPr>
          <w:p w14:paraId="21E1A170" w14:textId="2745615F" w:rsidR="003F7B0F" w:rsidRPr="003F7B0F" w:rsidRDefault="003F7B0F" w:rsidP="003F7B0F">
            <w:pPr>
              <w:rPr>
                <w:rFonts w:cs="Arial"/>
              </w:rPr>
            </w:pPr>
            <w:r w:rsidRPr="003F7B0F">
              <w:rPr>
                <w:rFonts w:cs="Arial"/>
                <w:b/>
                <w:bCs/>
              </w:rPr>
              <w:t>14</w:t>
            </w:r>
          </w:p>
        </w:tc>
        <w:tc>
          <w:tcPr>
            <w:tcW w:w="1316" w:type="dxa"/>
          </w:tcPr>
          <w:p w14:paraId="67FB0779" w14:textId="2BB5487D" w:rsidR="003F7B0F" w:rsidRPr="003F7B0F" w:rsidRDefault="003F7B0F" w:rsidP="003F7B0F">
            <w:pPr>
              <w:rPr>
                <w:rFonts w:cs="Arial"/>
              </w:rPr>
            </w:pPr>
            <w:r w:rsidRPr="003F7B0F">
              <w:rPr>
                <w:rFonts w:cs="Arial"/>
                <w:b/>
                <w:bCs/>
              </w:rPr>
              <w:t>-10</w:t>
            </w:r>
          </w:p>
        </w:tc>
        <w:tc>
          <w:tcPr>
            <w:tcW w:w="919" w:type="dxa"/>
          </w:tcPr>
          <w:p w14:paraId="245A993B" w14:textId="64AAA81E" w:rsidR="003F7B0F" w:rsidRPr="003F7B0F" w:rsidRDefault="003F7B0F" w:rsidP="003F7B0F">
            <w:pPr>
              <w:rPr>
                <w:rFonts w:cs="Arial"/>
              </w:rPr>
            </w:pPr>
            <w:r w:rsidRPr="003F7B0F">
              <w:rPr>
                <w:rFonts w:cs="Arial"/>
                <w:b/>
                <w:bCs/>
              </w:rPr>
              <w:t>-48</w:t>
            </w:r>
          </w:p>
        </w:tc>
        <w:tc>
          <w:tcPr>
            <w:tcW w:w="919" w:type="dxa"/>
          </w:tcPr>
          <w:p w14:paraId="42B531F8" w14:textId="02007665" w:rsidR="003F7B0F" w:rsidRPr="003F7B0F" w:rsidRDefault="003F7B0F" w:rsidP="003F7B0F">
            <w:pPr>
              <w:rPr>
                <w:rFonts w:cs="Arial"/>
              </w:rPr>
            </w:pPr>
            <w:r w:rsidRPr="003F7B0F">
              <w:rPr>
                <w:rFonts w:cs="Arial"/>
                <w:b/>
                <w:bCs/>
              </w:rPr>
              <w:t>-42</w:t>
            </w:r>
          </w:p>
        </w:tc>
        <w:tc>
          <w:tcPr>
            <w:tcW w:w="979" w:type="dxa"/>
          </w:tcPr>
          <w:p w14:paraId="3C4AC026" w14:textId="66CABEF4" w:rsidR="003F7B0F" w:rsidRPr="003F7B0F" w:rsidRDefault="003F7B0F" w:rsidP="003F7B0F">
            <w:pPr>
              <w:rPr>
                <w:rFonts w:cs="Arial"/>
              </w:rPr>
            </w:pPr>
            <w:r w:rsidRPr="003F7B0F">
              <w:rPr>
                <w:rFonts w:cs="Arial"/>
                <w:b/>
                <w:bCs/>
              </w:rPr>
              <w:t>4</w:t>
            </w:r>
          </w:p>
        </w:tc>
      </w:tr>
      <w:tr w:rsidR="003F7B0F" w14:paraId="5D631AB7" w14:textId="77777777" w:rsidTr="003F7B0F">
        <w:tc>
          <w:tcPr>
            <w:tcW w:w="1165" w:type="dxa"/>
          </w:tcPr>
          <w:p w14:paraId="78876404" w14:textId="0B0C94AD" w:rsidR="003F7B0F" w:rsidRPr="003F7B0F" w:rsidRDefault="003F7B0F" w:rsidP="003F7B0F">
            <w:pPr>
              <w:rPr>
                <w:rFonts w:cs="Arial"/>
              </w:rPr>
            </w:pPr>
            <w:r w:rsidRPr="003F7B0F">
              <w:rPr>
                <w:rFonts w:cs="Arial"/>
                <w:b/>
                <w:bCs/>
              </w:rPr>
              <w:t>20</w:t>
            </w:r>
          </w:p>
        </w:tc>
        <w:tc>
          <w:tcPr>
            <w:tcW w:w="934" w:type="dxa"/>
          </w:tcPr>
          <w:p w14:paraId="7D14DAD8" w14:textId="7CB068E4" w:rsidR="003F7B0F" w:rsidRPr="003F7B0F" w:rsidRDefault="003F7B0F" w:rsidP="003F7B0F">
            <w:pPr>
              <w:rPr>
                <w:rFonts w:cs="Arial"/>
              </w:rPr>
            </w:pPr>
            <w:r w:rsidRPr="003F7B0F">
              <w:rPr>
                <w:rFonts w:cs="Arial"/>
                <w:b/>
                <w:bCs/>
              </w:rPr>
              <w:t>17</w:t>
            </w:r>
          </w:p>
        </w:tc>
        <w:tc>
          <w:tcPr>
            <w:tcW w:w="919" w:type="dxa"/>
          </w:tcPr>
          <w:p w14:paraId="241C982A" w14:textId="16B4EDF0" w:rsidR="003F7B0F" w:rsidRPr="003F7B0F" w:rsidRDefault="003F7B0F" w:rsidP="003F7B0F">
            <w:pPr>
              <w:rPr>
                <w:rFonts w:cs="Arial"/>
              </w:rPr>
            </w:pPr>
            <w:r w:rsidRPr="003F7B0F">
              <w:rPr>
                <w:rFonts w:cs="Arial"/>
                <w:b/>
                <w:bCs/>
              </w:rPr>
              <w:t>-55</w:t>
            </w:r>
          </w:p>
        </w:tc>
        <w:tc>
          <w:tcPr>
            <w:tcW w:w="1496" w:type="dxa"/>
          </w:tcPr>
          <w:p w14:paraId="78065B4C" w14:textId="3618D473" w:rsidR="003F7B0F" w:rsidRPr="003F7B0F" w:rsidRDefault="003F7B0F" w:rsidP="003F7B0F">
            <w:pPr>
              <w:rPr>
                <w:rFonts w:cs="Arial"/>
              </w:rPr>
            </w:pPr>
            <w:r w:rsidRPr="003F7B0F">
              <w:rPr>
                <w:rFonts w:cs="Arial"/>
                <w:b/>
                <w:bCs/>
              </w:rPr>
              <w:t>-40</w:t>
            </w:r>
          </w:p>
        </w:tc>
        <w:tc>
          <w:tcPr>
            <w:tcW w:w="929" w:type="dxa"/>
          </w:tcPr>
          <w:p w14:paraId="26E95CDC" w14:textId="719B0575" w:rsidR="003F7B0F" w:rsidRPr="003F7B0F" w:rsidRDefault="003F7B0F" w:rsidP="003F7B0F">
            <w:pPr>
              <w:rPr>
                <w:rFonts w:cs="Arial"/>
              </w:rPr>
            </w:pPr>
            <w:r w:rsidRPr="003F7B0F">
              <w:rPr>
                <w:rFonts w:cs="Arial"/>
                <w:b/>
                <w:bCs/>
              </w:rPr>
              <w:t>8</w:t>
            </w:r>
          </w:p>
        </w:tc>
        <w:tc>
          <w:tcPr>
            <w:tcW w:w="1316" w:type="dxa"/>
          </w:tcPr>
          <w:p w14:paraId="619C2D46" w14:textId="632D56DB" w:rsidR="003F7B0F" w:rsidRPr="003F7B0F" w:rsidRDefault="003F7B0F" w:rsidP="003F7B0F">
            <w:pPr>
              <w:rPr>
                <w:rFonts w:cs="Arial"/>
              </w:rPr>
            </w:pPr>
            <w:r w:rsidRPr="003F7B0F">
              <w:rPr>
                <w:rFonts w:cs="Arial"/>
                <w:b/>
                <w:bCs/>
              </w:rPr>
              <w:t>-23</w:t>
            </w:r>
          </w:p>
        </w:tc>
        <w:tc>
          <w:tcPr>
            <w:tcW w:w="919" w:type="dxa"/>
          </w:tcPr>
          <w:p w14:paraId="3F81CFF7" w14:textId="5D6A0B6A" w:rsidR="003F7B0F" w:rsidRPr="003F7B0F" w:rsidRDefault="003F7B0F" w:rsidP="003F7B0F">
            <w:pPr>
              <w:rPr>
                <w:rFonts w:cs="Arial"/>
              </w:rPr>
            </w:pPr>
            <w:r w:rsidRPr="003F7B0F">
              <w:rPr>
                <w:rFonts w:cs="Arial"/>
                <w:b/>
                <w:bCs/>
              </w:rPr>
              <w:t>-51</w:t>
            </w:r>
          </w:p>
        </w:tc>
        <w:tc>
          <w:tcPr>
            <w:tcW w:w="919" w:type="dxa"/>
          </w:tcPr>
          <w:p w14:paraId="72140208" w14:textId="4844C503" w:rsidR="003F7B0F" w:rsidRPr="003F7B0F" w:rsidRDefault="003F7B0F" w:rsidP="003F7B0F">
            <w:pPr>
              <w:rPr>
                <w:rFonts w:cs="Arial"/>
              </w:rPr>
            </w:pPr>
            <w:r w:rsidRPr="003F7B0F">
              <w:rPr>
                <w:rFonts w:cs="Arial"/>
                <w:b/>
                <w:bCs/>
              </w:rPr>
              <w:t>-46</w:t>
            </w:r>
          </w:p>
        </w:tc>
        <w:tc>
          <w:tcPr>
            <w:tcW w:w="979" w:type="dxa"/>
          </w:tcPr>
          <w:p w14:paraId="049EDBCE" w14:textId="1146E653" w:rsidR="003F7B0F" w:rsidRPr="003F7B0F" w:rsidRDefault="003F7B0F" w:rsidP="003F7B0F">
            <w:pPr>
              <w:rPr>
                <w:rFonts w:cs="Arial"/>
              </w:rPr>
            </w:pPr>
            <w:r w:rsidRPr="003F7B0F">
              <w:rPr>
                <w:rFonts w:cs="Arial"/>
                <w:b/>
                <w:bCs/>
              </w:rPr>
              <w:t>5</w:t>
            </w:r>
          </w:p>
        </w:tc>
      </w:tr>
      <w:tr w:rsidR="003F7B0F" w14:paraId="40C44C1C" w14:textId="77777777" w:rsidTr="003F7B0F">
        <w:tc>
          <w:tcPr>
            <w:tcW w:w="1165" w:type="dxa"/>
          </w:tcPr>
          <w:p w14:paraId="3E04D71E" w14:textId="67FEB6A5" w:rsidR="003F7B0F" w:rsidRPr="003F7B0F" w:rsidRDefault="003F7B0F" w:rsidP="003F7B0F">
            <w:pPr>
              <w:rPr>
                <w:rFonts w:cs="Arial"/>
              </w:rPr>
            </w:pPr>
            <w:r w:rsidRPr="003F7B0F">
              <w:rPr>
                <w:rFonts w:cs="Arial"/>
                <w:b/>
                <w:bCs/>
              </w:rPr>
              <w:t>40</w:t>
            </w:r>
          </w:p>
        </w:tc>
        <w:tc>
          <w:tcPr>
            <w:tcW w:w="934" w:type="dxa"/>
          </w:tcPr>
          <w:p w14:paraId="5ABD5E4F" w14:textId="31B1D67F" w:rsidR="003F7B0F" w:rsidRPr="003F7B0F" w:rsidRDefault="003F7B0F" w:rsidP="003F7B0F">
            <w:pPr>
              <w:rPr>
                <w:rFonts w:cs="Arial"/>
              </w:rPr>
            </w:pPr>
            <w:r w:rsidRPr="003F7B0F">
              <w:rPr>
                <w:rFonts w:cs="Arial"/>
                <w:b/>
                <w:bCs/>
              </w:rPr>
              <w:t>18</w:t>
            </w:r>
          </w:p>
        </w:tc>
        <w:tc>
          <w:tcPr>
            <w:tcW w:w="919" w:type="dxa"/>
          </w:tcPr>
          <w:p w14:paraId="2DD7D052" w14:textId="0E7E97F6" w:rsidR="003F7B0F" w:rsidRPr="003F7B0F" w:rsidRDefault="003F7B0F" w:rsidP="003F7B0F">
            <w:pPr>
              <w:rPr>
                <w:rFonts w:cs="Arial"/>
              </w:rPr>
            </w:pPr>
            <w:r w:rsidRPr="003F7B0F">
              <w:rPr>
                <w:rFonts w:cs="Arial"/>
                <w:b/>
                <w:bCs/>
              </w:rPr>
              <w:t>-63</w:t>
            </w:r>
          </w:p>
        </w:tc>
        <w:tc>
          <w:tcPr>
            <w:tcW w:w="1496" w:type="dxa"/>
          </w:tcPr>
          <w:p w14:paraId="4B5FA88A" w14:textId="29987955" w:rsidR="003F7B0F" w:rsidRPr="003F7B0F" w:rsidRDefault="003F7B0F" w:rsidP="003F7B0F">
            <w:pPr>
              <w:rPr>
                <w:rFonts w:cs="Arial"/>
              </w:rPr>
            </w:pPr>
            <w:r w:rsidRPr="003F7B0F">
              <w:rPr>
                <w:rFonts w:cs="Arial"/>
                <w:b/>
                <w:bCs/>
              </w:rPr>
              <w:t>-46</w:t>
            </w:r>
          </w:p>
        </w:tc>
        <w:tc>
          <w:tcPr>
            <w:tcW w:w="929" w:type="dxa"/>
          </w:tcPr>
          <w:p w14:paraId="2FD18C4D" w14:textId="597377DC" w:rsidR="003F7B0F" w:rsidRPr="003F7B0F" w:rsidRDefault="003F7B0F" w:rsidP="003F7B0F">
            <w:pPr>
              <w:rPr>
                <w:rFonts w:cs="Arial"/>
              </w:rPr>
            </w:pPr>
            <w:r w:rsidRPr="003F7B0F">
              <w:rPr>
                <w:rFonts w:cs="Arial"/>
                <w:b/>
                <w:bCs/>
              </w:rPr>
              <w:t>10</w:t>
            </w:r>
          </w:p>
        </w:tc>
        <w:tc>
          <w:tcPr>
            <w:tcW w:w="1316" w:type="dxa"/>
          </w:tcPr>
          <w:p w14:paraId="15003B78" w14:textId="3DCA25CA" w:rsidR="003F7B0F" w:rsidRPr="003F7B0F" w:rsidRDefault="003F7B0F" w:rsidP="003F7B0F">
            <w:pPr>
              <w:rPr>
                <w:rFonts w:cs="Arial"/>
              </w:rPr>
            </w:pPr>
            <w:r w:rsidRPr="003F7B0F">
              <w:rPr>
                <w:rFonts w:cs="Arial"/>
                <w:b/>
                <w:bCs/>
              </w:rPr>
              <w:t>-28</w:t>
            </w:r>
          </w:p>
        </w:tc>
        <w:tc>
          <w:tcPr>
            <w:tcW w:w="919" w:type="dxa"/>
          </w:tcPr>
          <w:p w14:paraId="44F627BC" w14:textId="0F187B52" w:rsidR="003F7B0F" w:rsidRPr="003F7B0F" w:rsidRDefault="003F7B0F" w:rsidP="003F7B0F">
            <w:pPr>
              <w:rPr>
                <w:rFonts w:cs="Arial"/>
              </w:rPr>
            </w:pPr>
            <w:r w:rsidRPr="003F7B0F">
              <w:rPr>
                <w:rFonts w:cs="Arial"/>
                <w:b/>
                <w:bCs/>
              </w:rPr>
              <w:t>-60</w:t>
            </w:r>
          </w:p>
        </w:tc>
        <w:tc>
          <w:tcPr>
            <w:tcW w:w="919" w:type="dxa"/>
          </w:tcPr>
          <w:p w14:paraId="325F3987" w14:textId="393FB076" w:rsidR="003F7B0F" w:rsidRPr="003F7B0F" w:rsidRDefault="003F7B0F" w:rsidP="003F7B0F">
            <w:pPr>
              <w:rPr>
                <w:rFonts w:cs="Arial"/>
              </w:rPr>
            </w:pPr>
            <w:r w:rsidRPr="003F7B0F">
              <w:rPr>
                <w:rFonts w:cs="Arial"/>
                <w:b/>
                <w:bCs/>
              </w:rPr>
              <w:t>-54</w:t>
            </w:r>
          </w:p>
        </w:tc>
        <w:tc>
          <w:tcPr>
            <w:tcW w:w="979" w:type="dxa"/>
          </w:tcPr>
          <w:p w14:paraId="0A2ECEE8" w14:textId="5B617722" w:rsidR="003F7B0F" w:rsidRPr="003F7B0F" w:rsidRDefault="003F7B0F" w:rsidP="003F7B0F">
            <w:pPr>
              <w:rPr>
                <w:rFonts w:cs="Arial"/>
              </w:rPr>
            </w:pPr>
            <w:r w:rsidRPr="003F7B0F">
              <w:rPr>
                <w:rFonts w:cs="Arial"/>
                <w:b/>
                <w:bCs/>
              </w:rPr>
              <w:t>0</w:t>
            </w:r>
          </w:p>
        </w:tc>
      </w:tr>
    </w:tbl>
    <w:p w14:paraId="5A513E4F" w14:textId="77777777" w:rsidR="003F7B0F" w:rsidRDefault="003F7B0F" w:rsidP="003F7B0F">
      <w:pPr>
        <w:spacing w:line="240" w:lineRule="auto"/>
        <w:rPr>
          <w:rFonts w:ascii="Times New Roman" w:eastAsia="Times New Roman" w:hAnsi="Times New Roman" w:cs="Times New Roman"/>
          <w:color w:val="000000"/>
          <w:sz w:val="20"/>
          <w:szCs w:val="20"/>
          <w:lang w:eastAsia="bg-BG"/>
        </w:rPr>
      </w:pPr>
    </w:p>
    <w:p w14:paraId="1BF69E97" w14:textId="72419DD7"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Терапевтичният отговор към лечението с Розувастатин се забелязва до 1 седмица от началото на терапията и 90% от максималния отговор се постига до 2 седмици. Максималният отговор обикновено се постига към 4-та седмица и се поддържа след това.</w:t>
      </w:r>
    </w:p>
    <w:p w14:paraId="71B9716F" w14:textId="77777777" w:rsidR="003F7B0F" w:rsidRPr="003F7B0F" w:rsidRDefault="003F7B0F" w:rsidP="003F7B0F">
      <w:pPr>
        <w:spacing w:line="240" w:lineRule="auto"/>
        <w:rPr>
          <w:rFonts w:eastAsia="Times New Roman" w:cs="Arial"/>
          <w:b/>
          <w:bCs/>
          <w:color w:val="000000"/>
          <w:szCs w:val="20"/>
          <w:lang w:eastAsia="bg-BG"/>
        </w:rPr>
      </w:pPr>
    </w:p>
    <w:p w14:paraId="5F2EC9EA" w14:textId="58B6A3DE" w:rsidR="003F7B0F" w:rsidRPr="003F7B0F" w:rsidRDefault="003F7B0F" w:rsidP="003F7B0F">
      <w:pPr>
        <w:spacing w:line="240" w:lineRule="auto"/>
        <w:rPr>
          <w:rFonts w:eastAsia="Times New Roman" w:cs="Arial"/>
          <w:sz w:val="28"/>
          <w:szCs w:val="24"/>
        </w:rPr>
      </w:pPr>
      <w:r w:rsidRPr="003F7B0F">
        <w:rPr>
          <w:rFonts w:eastAsia="Times New Roman" w:cs="Arial"/>
          <w:b/>
          <w:bCs/>
          <w:color w:val="000000"/>
          <w:szCs w:val="20"/>
          <w:lang w:eastAsia="bg-BG"/>
        </w:rPr>
        <w:t>Клинична ефикасност и безопасност</w:t>
      </w:r>
    </w:p>
    <w:p w14:paraId="212E8666" w14:textId="79D04A9E" w:rsidR="003F7B0F" w:rsidRPr="003F7B0F" w:rsidRDefault="003F7B0F" w:rsidP="003F7B0F">
      <w:pPr>
        <w:rPr>
          <w:rFonts w:eastAsia="Times New Roman" w:cs="Arial"/>
          <w:color w:val="000000"/>
          <w:szCs w:val="20"/>
          <w:lang w:eastAsia="bg-BG"/>
        </w:rPr>
      </w:pPr>
      <w:r w:rsidRPr="003F7B0F">
        <w:rPr>
          <w:rFonts w:eastAsia="Times New Roman" w:cs="Arial"/>
          <w:color w:val="000000"/>
          <w:szCs w:val="20"/>
          <w:lang w:eastAsia="bg-BG"/>
        </w:rPr>
        <w:t>Розувастатин е ефективен при възрастни хора, страдащи от хиперхолестеролемия, със или без хипертриглицеридемия, независимо от расова принадлежност, пол или възраст, и при специални групи като диабетици или пациенти с фамилна хиперхолестеролемия.</w:t>
      </w:r>
    </w:p>
    <w:p w14:paraId="46CB7B25" w14:textId="07401C14" w:rsidR="003F7B0F" w:rsidRPr="003F7B0F" w:rsidRDefault="003F7B0F" w:rsidP="003F7B0F">
      <w:pPr>
        <w:rPr>
          <w:rFonts w:eastAsia="Times New Roman" w:cs="Arial"/>
          <w:color w:val="000000"/>
          <w:szCs w:val="20"/>
          <w:lang w:eastAsia="bg-BG"/>
        </w:rPr>
      </w:pPr>
    </w:p>
    <w:p w14:paraId="6E71B632" w14:textId="77777777"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 xml:space="preserve">Обобщените данни от III фаза на клиничните проучвания показват, че Розувастатин е ефективен при лечение на голяма част от пациентите с тип </w:t>
      </w:r>
      <w:r w:rsidRPr="003F7B0F">
        <w:rPr>
          <w:rFonts w:eastAsia="Times New Roman" w:cs="Arial"/>
          <w:color w:val="000000"/>
          <w:szCs w:val="20"/>
          <w:lang w:val="en-US"/>
        </w:rPr>
        <w:t>II</w:t>
      </w:r>
      <w:r w:rsidRPr="003F7B0F">
        <w:rPr>
          <w:rFonts w:eastAsia="Times New Roman" w:cs="Arial"/>
          <w:color w:val="000000"/>
          <w:szCs w:val="20"/>
          <w:lang w:eastAsia="bg-BG"/>
        </w:rPr>
        <w:t xml:space="preserve">а и </w:t>
      </w:r>
      <w:r w:rsidRPr="003F7B0F">
        <w:rPr>
          <w:rFonts w:eastAsia="Times New Roman" w:cs="Arial"/>
          <w:color w:val="000000"/>
          <w:szCs w:val="20"/>
          <w:lang w:val="en-US"/>
        </w:rPr>
        <w:t>II</w:t>
      </w:r>
      <w:r w:rsidRPr="003F7B0F">
        <w:rPr>
          <w:rFonts w:eastAsia="Times New Roman" w:cs="Arial"/>
          <w:color w:val="000000"/>
          <w:szCs w:val="20"/>
          <w:lang w:eastAsia="bg-BG"/>
        </w:rPr>
        <w:t xml:space="preserve">Ь хиперхолестеролемия (средна изходна стойност на </w:t>
      </w:r>
      <w:r w:rsidRPr="003F7B0F">
        <w:rPr>
          <w:rFonts w:eastAsia="Times New Roman" w:cs="Arial"/>
          <w:color w:val="000000"/>
          <w:szCs w:val="20"/>
          <w:lang w:val="en-US"/>
        </w:rPr>
        <w:t>LDL</w:t>
      </w:r>
      <w:r w:rsidRPr="003F7B0F">
        <w:rPr>
          <w:rFonts w:eastAsia="Times New Roman" w:cs="Arial"/>
          <w:color w:val="000000"/>
          <w:szCs w:val="20"/>
          <w:lang w:val="ru-RU"/>
        </w:rPr>
        <w:t>-</w:t>
      </w:r>
      <w:r w:rsidRPr="003F7B0F">
        <w:rPr>
          <w:rFonts w:eastAsia="Times New Roman" w:cs="Arial"/>
          <w:color w:val="000000"/>
          <w:szCs w:val="20"/>
          <w:lang w:val="en-US"/>
        </w:rPr>
        <w:t>C</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около 4,8 </w:t>
      </w:r>
      <w:proofErr w:type="spellStart"/>
      <w:r w:rsidRPr="003F7B0F">
        <w:rPr>
          <w:rFonts w:eastAsia="Times New Roman" w:cs="Arial"/>
          <w:color w:val="000000"/>
          <w:szCs w:val="20"/>
          <w:lang w:val="en-US"/>
        </w:rPr>
        <w:t>mmol</w:t>
      </w:r>
      <w:proofErr w:type="spellEnd"/>
      <w:r w:rsidRPr="003F7B0F">
        <w:rPr>
          <w:rFonts w:eastAsia="Times New Roman" w:cs="Arial"/>
          <w:color w:val="000000"/>
          <w:szCs w:val="20"/>
          <w:lang w:val="ru-RU"/>
        </w:rPr>
        <w:t xml:space="preserve">/1), </w:t>
      </w:r>
      <w:r w:rsidRPr="003F7B0F">
        <w:rPr>
          <w:rFonts w:eastAsia="Times New Roman" w:cs="Arial"/>
          <w:color w:val="000000"/>
          <w:szCs w:val="20"/>
          <w:lang w:eastAsia="bg-BG"/>
        </w:rPr>
        <w:t xml:space="preserve">според определените от Европейската общност по атеросклероза прицелни стойности </w:t>
      </w:r>
      <w:r w:rsidRPr="003F7B0F">
        <w:rPr>
          <w:rFonts w:eastAsia="Times New Roman" w:cs="Arial"/>
          <w:color w:val="000000"/>
          <w:szCs w:val="20"/>
          <w:lang w:val="ru-RU"/>
        </w:rPr>
        <w:t>(</w:t>
      </w:r>
      <w:r w:rsidRPr="003F7B0F">
        <w:rPr>
          <w:rFonts w:eastAsia="Times New Roman" w:cs="Arial"/>
          <w:color w:val="000000"/>
          <w:szCs w:val="20"/>
          <w:lang w:val="en-US"/>
        </w:rPr>
        <w:t>EAS</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1998). Около 80% от </w:t>
      </w:r>
      <w:r w:rsidRPr="003F7B0F">
        <w:rPr>
          <w:rFonts w:eastAsia="Times New Roman" w:cs="Arial"/>
          <w:color w:val="000000"/>
          <w:szCs w:val="20"/>
          <w:lang w:eastAsia="bg-BG"/>
        </w:rPr>
        <w:lastRenderedPageBreak/>
        <w:t xml:space="preserve">пациентите на 10 </w:t>
      </w:r>
      <w:r w:rsidRPr="003F7B0F">
        <w:rPr>
          <w:rFonts w:eastAsia="Times New Roman" w:cs="Arial"/>
          <w:color w:val="000000"/>
          <w:szCs w:val="20"/>
          <w:lang w:val="en-US"/>
        </w:rPr>
        <w:t>mg</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са достигнали желаните стойности на </w:t>
      </w:r>
      <w:r w:rsidRPr="003F7B0F">
        <w:rPr>
          <w:rFonts w:eastAsia="Times New Roman" w:cs="Arial"/>
          <w:color w:val="000000"/>
          <w:szCs w:val="20"/>
          <w:lang w:val="en-US"/>
        </w:rPr>
        <w:t>LDL</w:t>
      </w:r>
      <w:r w:rsidRPr="003F7B0F">
        <w:rPr>
          <w:rFonts w:eastAsia="Times New Roman" w:cs="Arial"/>
          <w:color w:val="000000"/>
          <w:szCs w:val="20"/>
          <w:lang w:val="ru-RU"/>
        </w:rPr>
        <w:t>-</w:t>
      </w:r>
      <w:r w:rsidRPr="003F7B0F">
        <w:rPr>
          <w:rFonts w:eastAsia="Times New Roman" w:cs="Arial"/>
          <w:color w:val="000000"/>
          <w:szCs w:val="20"/>
          <w:lang w:val="en-US"/>
        </w:rPr>
        <w:t>C</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(&lt;3 </w:t>
      </w:r>
      <w:proofErr w:type="spellStart"/>
      <w:r w:rsidRPr="003F7B0F">
        <w:rPr>
          <w:rFonts w:eastAsia="Times New Roman" w:cs="Arial"/>
          <w:color w:val="000000"/>
          <w:szCs w:val="20"/>
          <w:lang w:val="en-US"/>
        </w:rPr>
        <w:t>mmol</w:t>
      </w:r>
      <w:proofErr w:type="spellEnd"/>
      <w:r w:rsidRPr="003F7B0F">
        <w:rPr>
          <w:rFonts w:eastAsia="Times New Roman" w:cs="Arial"/>
          <w:color w:val="000000"/>
          <w:szCs w:val="20"/>
          <w:lang w:val="ru-RU"/>
        </w:rPr>
        <w:t xml:space="preserve">/1) </w:t>
      </w:r>
      <w:r w:rsidRPr="003F7B0F">
        <w:rPr>
          <w:rFonts w:eastAsia="Times New Roman" w:cs="Arial"/>
          <w:color w:val="000000"/>
          <w:szCs w:val="20"/>
          <w:lang w:eastAsia="bg-BG"/>
        </w:rPr>
        <w:t xml:space="preserve">според </w:t>
      </w:r>
      <w:r w:rsidRPr="003F7B0F">
        <w:rPr>
          <w:rFonts w:eastAsia="Times New Roman" w:cs="Arial"/>
          <w:color w:val="000000"/>
          <w:szCs w:val="20"/>
          <w:lang w:val="en-US"/>
        </w:rPr>
        <w:t>EAS</w:t>
      </w:r>
      <w:r w:rsidRPr="003F7B0F">
        <w:rPr>
          <w:rFonts w:eastAsia="Times New Roman" w:cs="Arial"/>
          <w:color w:val="000000"/>
          <w:szCs w:val="20"/>
          <w:lang w:val="ru-RU"/>
        </w:rPr>
        <w:t>.</w:t>
      </w:r>
    </w:p>
    <w:p w14:paraId="73A29E43" w14:textId="77777777" w:rsidR="003F7B0F" w:rsidRPr="003F7B0F" w:rsidRDefault="003F7B0F" w:rsidP="003F7B0F">
      <w:pPr>
        <w:spacing w:line="240" w:lineRule="auto"/>
        <w:rPr>
          <w:rFonts w:eastAsia="Times New Roman" w:cs="Arial"/>
          <w:color w:val="000000"/>
          <w:szCs w:val="20"/>
          <w:lang w:eastAsia="bg-BG"/>
        </w:rPr>
      </w:pPr>
    </w:p>
    <w:p w14:paraId="1B67831E" w14:textId="6972C955"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 xml:space="preserve">В едно мащабно проучване с форсирано титриране на дозата, 435 пациенти с хетерозиготна фамилна хиперхолестеролемия са лекувани с 20 </w:t>
      </w:r>
      <w:r w:rsidRPr="003F7B0F">
        <w:rPr>
          <w:rFonts w:eastAsia="Times New Roman" w:cs="Arial"/>
          <w:color w:val="000000"/>
          <w:szCs w:val="20"/>
          <w:lang w:val="en-US"/>
        </w:rPr>
        <w:t>mg</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до 80 </w:t>
      </w:r>
      <w:r w:rsidRPr="003F7B0F">
        <w:rPr>
          <w:rFonts w:eastAsia="Times New Roman" w:cs="Arial"/>
          <w:color w:val="000000"/>
          <w:szCs w:val="20"/>
          <w:lang w:val="en-US"/>
        </w:rPr>
        <w:t>mg</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Всички дозировки показват положителен резултат върху липидните показатели. След достигане на дневна доза от 40 </w:t>
      </w:r>
      <w:r w:rsidRPr="003F7B0F">
        <w:rPr>
          <w:rFonts w:eastAsia="Times New Roman" w:cs="Arial"/>
          <w:color w:val="000000"/>
          <w:szCs w:val="20"/>
          <w:lang w:val="en-US"/>
        </w:rPr>
        <w:t>mg</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(12-седмично лечение), </w:t>
      </w:r>
      <w:r w:rsidRPr="003F7B0F">
        <w:rPr>
          <w:rFonts w:eastAsia="Times New Roman" w:cs="Arial"/>
          <w:color w:val="000000"/>
          <w:szCs w:val="20"/>
          <w:lang w:val="en-US"/>
        </w:rPr>
        <w:t>LDL</w:t>
      </w:r>
      <w:r w:rsidRPr="003F7B0F">
        <w:rPr>
          <w:rFonts w:eastAsia="Times New Roman" w:cs="Arial"/>
          <w:color w:val="000000"/>
          <w:szCs w:val="20"/>
          <w:lang w:val="ru-RU"/>
        </w:rPr>
        <w:t>-</w:t>
      </w:r>
      <w:r w:rsidRPr="003F7B0F">
        <w:rPr>
          <w:rFonts w:eastAsia="Times New Roman" w:cs="Arial"/>
          <w:color w:val="000000"/>
          <w:szCs w:val="20"/>
          <w:lang w:val="en-US"/>
        </w:rPr>
        <w:t>C</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намалява с 53%. 33% от пациентите достигат стойностите на </w:t>
      </w:r>
      <w:r w:rsidRPr="003F7B0F">
        <w:rPr>
          <w:rFonts w:eastAsia="Times New Roman" w:cs="Arial"/>
          <w:color w:val="000000"/>
          <w:szCs w:val="20"/>
          <w:lang w:val="en-US"/>
        </w:rPr>
        <w:t>LDL</w:t>
      </w:r>
      <w:r w:rsidRPr="003F7B0F">
        <w:rPr>
          <w:rFonts w:eastAsia="Times New Roman" w:cs="Arial"/>
          <w:color w:val="000000"/>
          <w:szCs w:val="20"/>
          <w:lang w:val="ru-RU"/>
        </w:rPr>
        <w:t>-</w:t>
      </w:r>
      <w:r w:rsidRPr="003F7B0F">
        <w:rPr>
          <w:rFonts w:eastAsia="Times New Roman" w:cs="Arial"/>
          <w:color w:val="000000"/>
          <w:szCs w:val="20"/>
          <w:lang w:val="en-US"/>
        </w:rPr>
        <w:t>C</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според </w:t>
      </w:r>
      <w:r w:rsidRPr="003F7B0F">
        <w:rPr>
          <w:rFonts w:eastAsia="Times New Roman" w:cs="Arial"/>
          <w:color w:val="000000"/>
          <w:szCs w:val="20"/>
          <w:lang w:val="en-US"/>
        </w:rPr>
        <w:t>EAS</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(&lt;3 </w:t>
      </w:r>
      <w:proofErr w:type="spellStart"/>
      <w:r w:rsidRPr="003F7B0F">
        <w:rPr>
          <w:rFonts w:eastAsia="Times New Roman" w:cs="Arial"/>
          <w:color w:val="000000"/>
          <w:szCs w:val="20"/>
          <w:lang w:val="en-US"/>
        </w:rPr>
        <w:t>mmol</w:t>
      </w:r>
      <w:proofErr w:type="spellEnd"/>
      <w:r w:rsidRPr="003F7B0F">
        <w:rPr>
          <w:rFonts w:eastAsia="Times New Roman" w:cs="Arial"/>
          <w:color w:val="000000"/>
          <w:szCs w:val="20"/>
          <w:lang w:val="ru-RU"/>
        </w:rPr>
        <w:t>/1).</w:t>
      </w:r>
    </w:p>
    <w:p w14:paraId="6D1DDF8D" w14:textId="77777777"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 xml:space="preserve">В едно отворено проучване с форсирано титриране на дозата при 42 пациенти с хомозиготна фамилна хиперхолестеролемия са отчетени резултатите от приемане на 20-40 </w:t>
      </w:r>
      <w:r w:rsidRPr="003F7B0F">
        <w:rPr>
          <w:rFonts w:eastAsia="Times New Roman" w:cs="Arial"/>
          <w:color w:val="000000"/>
          <w:szCs w:val="20"/>
          <w:lang w:val="en-US"/>
        </w:rPr>
        <w:t>mg</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Розувастатин. В общата популация средното понижение на </w:t>
      </w:r>
      <w:r w:rsidRPr="003F7B0F">
        <w:rPr>
          <w:rFonts w:eastAsia="Times New Roman" w:cs="Arial"/>
          <w:color w:val="000000"/>
          <w:szCs w:val="20"/>
          <w:lang w:val="en-US"/>
        </w:rPr>
        <w:t>LDL</w:t>
      </w:r>
      <w:r w:rsidRPr="003F7B0F">
        <w:rPr>
          <w:rFonts w:eastAsia="Times New Roman" w:cs="Arial"/>
          <w:color w:val="000000"/>
          <w:szCs w:val="20"/>
          <w:lang w:val="ru-RU"/>
        </w:rPr>
        <w:t>-</w:t>
      </w:r>
      <w:r w:rsidRPr="003F7B0F">
        <w:rPr>
          <w:rFonts w:eastAsia="Times New Roman" w:cs="Arial"/>
          <w:color w:val="000000"/>
          <w:szCs w:val="20"/>
          <w:lang w:val="en-US"/>
        </w:rPr>
        <w:t>C</w:t>
      </w:r>
      <w:r w:rsidRPr="003F7B0F">
        <w:rPr>
          <w:rFonts w:eastAsia="Times New Roman" w:cs="Arial"/>
          <w:color w:val="000000"/>
          <w:szCs w:val="20"/>
          <w:lang w:val="ru-RU"/>
        </w:rPr>
        <w:t xml:space="preserve"> </w:t>
      </w:r>
      <w:r w:rsidRPr="003F7B0F">
        <w:rPr>
          <w:rFonts w:eastAsia="Times New Roman" w:cs="Arial"/>
          <w:color w:val="000000"/>
          <w:szCs w:val="20"/>
          <w:lang w:eastAsia="bg-BG"/>
        </w:rPr>
        <w:t>е 22%.</w:t>
      </w:r>
    </w:p>
    <w:p w14:paraId="1919B8A1" w14:textId="77777777" w:rsidR="003F7B0F" w:rsidRPr="003F7B0F" w:rsidRDefault="003F7B0F" w:rsidP="003F7B0F">
      <w:pPr>
        <w:spacing w:line="240" w:lineRule="auto"/>
        <w:rPr>
          <w:rFonts w:eastAsia="Times New Roman" w:cs="Arial"/>
          <w:color w:val="000000"/>
          <w:szCs w:val="20"/>
          <w:lang w:eastAsia="bg-BG"/>
        </w:rPr>
      </w:pPr>
    </w:p>
    <w:p w14:paraId="2E161345" w14:textId="409E6F1E"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 xml:space="preserve">При клинични изпитвания с ограничен брой пациенти, Розувастатин показва адитивна ефективност при намаляване на триглицеридите, когато е приеман в комбинация с фенофибрат и увеличение на нивото на </w:t>
      </w:r>
      <w:r w:rsidRPr="003F7B0F">
        <w:rPr>
          <w:rFonts w:eastAsia="Times New Roman" w:cs="Arial"/>
          <w:color w:val="000000"/>
          <w:szCs w:val="20"/>
          <w:lang w:val="en-US"/>
        </w:rPr>
        <w:t>HDL</w:t>
      </w:r>
      <w:r w:rsidRPr="003F7B0F">
        <w:rPr>
          <w:rFonts w:eastAsia="Times New Roman" w:cs="Arial"/>
          <w:color w:val="000000"/>
          <w:szCs w:val="20"/>
          <w:lang w:val="ru-RU"/>
        </w:rPr>
        <w:t>-</w:t>
      </w:r>
      <w:r w:rsidRPr="003F7B0F">
        <w:rPr>
          <w:rFonts w:eastAsia="Times New Roman" w:cs="Arial"/>
          <w:color w:val="000000"/>
          <w:szCs w:val="20"/>
          <w:lang w:val="en-US"/>
        </w:rPr>
        <w:t>C</w:t>
      </w:r>
      <w:r w:rsidRPr="003F7B0F">
        <w:rPr>
          <w:rFonts w:eastAsia="Times New Roman" w:cs="Arial"/>
          <w:color w:val="000000"/>
          <w:szCs w:val="20"/>
          <w:lang w:val="ru-RU"/>
        </w:rPr>
        <w:t xml:space="preserve"> </w:t>
      </w:r>
      <w:r w:rsidRPr="003F7B0F">
        <w:rPr>
          <w:rFonts w:eastAsia="Times New Roman" w:cs="Arial"/>
          <w:color w:val="000000"/>
          <w:szCs w:val="20"/>
          <w:lang w:eastAsia="bg-BG"/>
        </w:rPr>
        <w:t>в комбинация с ниацин (вж. точка 4.4).</w:t>
      </w:r>
    </w:p>
    <w:p w14:paraId="69191276" w14:textId="77777777" w:rsidR="003F7B0F" w:rsidRPr="003F7B0F" w:rsidRDefault="003F7B0F" w:rsidP="003F7B0F">
      <w:pPr>
        <w:spacing w:line="240" w:lineRule="auto"/>
        <w:rPr>
          <w:rFonts w:eastAsia="Times New Roman" w:cs="Arial"/>
          <w:color w:val="000000"/>
          <w:szCs w:val="20"/>
          <w:lang w:eastAsia="bg-BG"/>
        </w:rPr>
      </w:pPr>
    </w:p>
    <w:p w14:paraId="1FEDF90A" w14:textId="0ACCAD17"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 xml:space="preserve">В едно мултицентрово, двойно сляпо, плацебо-контролирано клинично проучване </w:t>
      </w:r>
      <w:r w:rsidRPr="003F7B0F">
        <w:rPr>
          <w:rFonts w:eastAsia="Times New Roman" w:cs="Arial"/>
          <w:color w:val="000000"/>
          <w:szCs w:val="20"/>
        </w:rPr>
        <w:t>(</w:t>
      </w:r>
      <w:r w:rsidRPr="003F7B0F">
        <w:rPr>
          <w:rFonts w:eastAsia="Times New Roman" w:cs="Arial"/>
          <w:color w:val="000000"/>
          <w:szCs w:val="20"/>
          <w:lang w:val="en-US"/>
        </w:rPr>
        <w:t>METEOR</w:t>
      </w:r>
      <w:r w:rsidRPr="003F7B0F">
        <w:rPr>
          <w:rFonts w:eastAsia="Times New Roman" w:cs="Arial"/>
          <w:color w:val="000000"/>
          <w:szCs w:val="20"/>
        </w:rPr>
        <w:t xml:space="preserve">), </w:t>
      </w:r>
      <w:r w:rsidRPr="003F7B0F">
        <w:rPr>
          <w:rFonts w:eastAsia="Times New Roman" w:cs="Arial"/>
          <w:color w:val="000000"/>
          <w:szCs w:val="20"/>
          <w:lang w:eastAsia="bg-BG"/>
        </w:rPr>
        <w:t xml:space="preserve">984 пациенти между 45 и 70 години с нисък риск за исхемична болест на сърцето (дефинирано като </w:t>
      </w:r>
      <w:r w:rsidRPr="003F7B0F">
        <w:rPr>
          <w:rFonts w:eastAsia="Times New Roman" w:cs="Arial"/>
          <w:color w:val="000000"/>
          <w:szCs w:val="20"/>
          <w:lang w:val="en-US"/>
        </w:rPr>
        <w:t>Framingham</w:t>
      </w:r>
      <w:r w:rsidRPr="003F7B0F">
        <w:rPr>
          <w:rFonts w:eastAsia="Times New Roman" w:cs="Arial"/>
          <w:color w:val="000000"/>
          <w:szCs w:val="20"/>
        </w:rPr>
        <w:t xml:space="preserve"> </w:t>
      </w:r>
      <w:r w:rsidRPr="003F7B0F">
        <w:rPr>
          <w:rFonts w:eastAsia="Times New Roman" w:cs="Arial"/>
          <w:color w:val="000000"/>
          <w:szCs w:val="20"/>
          <w:lang w:eastAsia="bg-BG"/>
        </w:rPr>
        <w:t xml:space="preserve">риск &lt;10% за 10 г.) и със среден </w:t>
      </w:r>
      <w:r w:rsidRPr="003F7B0F">
        <w:rPr>
          <w:rFonts w:eastAsia="Times New Roman" w:cs="Arial"/>
          <w:color w:val="000000"/>
          <w:szCs w:val="20"/>
          <w:lang w:val="en-US"/>
        </w:rPr>
        <w:t>LDL</w:t>
      </w:r>
      <w:r w:rsidRPr="003F7B0F">
        <w:rPr>
          <w:rFonts w:eastAsia="Times New Roman" w:cs="Arial"/>
          <w:color w:val="000000"/>
          <w:szCs w:val="20"/>
        </w:rPr>
        <w:t>-</w:t>
      </w:r>
      <w:r w:rsidRPr="003F7B0F">
        <w:rPr>
          <w:rFonts w:eastAsia="Times New Roman" w:cs="Arial"/>
          <w:color w:val="000000"/>
          <w:szCs w:val="20"/>
          <w:lang w:val="en-US"/>
        </w:rPr>
        <w:t>C</w:t>
      </w:r>
      <w:r w:rsidRPr="003F7B0F">
        <w:rPr>
          <w:rFonts w:eastAsia="Times New Roman" w:cs="Arial"/>
          <w:color w:val="000000"/>
          <w:szCs w:val="20"/>
        </w:rPr>
        <w:t xml:space="preserve"> </w:t>
      </w:r>
      <w:r w:rsidRPr="003F7B0F">
        <w:rPr>
          <w:rFonts w:eastAsia="Times New Roman" w:cs="Arial"/>
          <w:color w:val="000000"/>
          <w:szCs w:val="20"/>
          <w:lang w:eastAsia="bg-BG"/>
        </w:rPr>
        <w:t xml:space="preserve">4,0 </w:t>
      </w:r>
      <w:proofErr w:type="spellStart"/>
      <w:r w:rsidRPr="003F7B0F">
        <w:rPr>
          <w:rFonts w:eastAsia="Times New Roman" w:cs="Arial"/>
          <w:color w:val="000000"/>
          <w:szCs w:val="20"/>
          <w:lang w:val="en-US"/>
        </w:rPr>
        <w:t>mmol</w:t>
      </w:r>
      <w:proofErr w:type="spellEnd"/>
      <w:r w:rsidRPr="003F7B0F">
        <w:rPr>
          <w:rFonts w:eastAsia="Times New Roman" w:cs="Arial"/>
          <w:color w:val="000000"/>
          <w:szCs w:val="20"/>
        </w:rPr>
        <w:t xml:space="preserve">/1 </w:t>
      </w:r>
      <w:r w:rsidRPr="003F7B0F">
        <w:rPr>
          <w:rFonts w:eastAsia="Times New Roman" w:cs="Arial"/>
          <w:color w:val="000000"/>
          <w:szCs w:val="20"/>
          <w:lang w:eastAsia="bg-BG"/>
        </w:rPr>
        <w:t xml:space="preserve">(154,5 </w:t>
      </w:r>
      <w:r w:rsidRPr="003F7B0F">
        <w:rPr>
          <w:rFonts w:eastAsia="Times New Roman" w:cs="Arial"/>
          <w:color w:val="000000"/>
          <w:szCs w:val="20"/>
          <w:lang w:val="en-US"/>
        </w:rPr>
        <w:t>mg</w:t>
      </w:r>
      <w:r w:rsidRPr="003F7B0F">
        <w:rPr>
          <w:rFonts w:eastAsia="Times New Roman" w:cs="Arial"/>
          <w:color w:val="000000"/>
          <w:szCs w:val="20"/>
        </w:rPr>
        <w:t>/</w:t>
      </w:r>
      <w:r w:rsidRPr="003F7B0F">
        <w:rPr>
          <w:rFonts w:eastAsia="Times New Roman" w:cs="Arial"/>
          <w:color w:val="000000"/>
          <w:szCs w:val="20"/>
          <w:lang w:val="en-US"/>
        </w:rPr>
        <w:t>dl</w:t>
      </w:r>
      <w:r w:rsidRPr="003F7B0F">
        <w:rPr>
          <w:rFonts w:eastAsia="Times New Roman" w:cs="Arial"/>
          <w:color w:val="000000"/>
          <w:szCs w:val="20"/>
        </w:rPr>
        <w:t xml:space="preserve">), </w:t>
      </w:r>
      <w:r w:rsidRPr="003F7B0F">
        <w:rPr>
          <w:rFonts w:eastAsia="Times New Roman" w:cs="Arial"/>
          <w:color w:val="000000"/>
          <w:szCs w:val="20"/>
          <w:lang w:eastAsia="bg-BG"/>
        </w:rPr>
        <w:t xml:space="preserve">но със субклинична атеросклероза, установена чрез измерване на </w:t>
      </w:r>
      <w:r w:rsidRPr="003F7B0F">
        <w:rPr>
          <w:rFonts w:eastAsia="Times New Roman" w:cs="Arial"/>
          <w:color w:val="000000"/>
          <w:szCs w:val="20"/>
          <w:lang w:val="en-US"/>
        </w:rPr>
        <w:t>CIMT</w:t>
      </w:r>
      <w:r w:rsidRPr="003F7B0F">
        <w:rPr>
          <w:rFonts w:eastAsia="Times New Roman" w:cs="Arial"/>
          <w:color w:val="000000"/>
          <w:szCs w:val="20"/>
        </w:rPr>
        <w:t xml:space="preserve"> (</w:t>
      </w:r>
      <w:r w:rsidRPr="003F7B0F">
        <w:rPr>
          <w:rFonts w:eastAsia="Times New Roman" w:cs="Arial"/>
          <w:color w:val="000000"/>
          <w:szCs w:val="20"/>
          <w:lang w:val="en-US"/>
        </w:rPr>
        <w:t>Carotid</w:t>
      </w:r>
      <w:r w:rsidRPr="003F7B0F">
        <w:rPr>
          <w:rFonts w:eastAsia="Times New Roman" w:cs="Arial"/>
          <w:color w:val="000000"/>
          <w:szCs w:val="20"/>
        </w:rPr>
        <w:t xml:space="preserve"> </w:t>
      </w:r>
      <w:r w:rsidRPr="003F7B0F">
        <w:rPr>
          <w:rFonts w:eastAsia="Times New Roman" w:cs="Arial"/>
          <w:color w:val="000000"/>
          <w:szCs w:val="20"/>
          <w:lang w:val="en-US"/>
        </w:rPr>
        <w:t>Intima</w:t>
      </w:r>
      <w:r w:rsidRPr="003F7B0F">
        <w:rPr>
          <w:rFonts w:eastAsia="Times New Roman" w:cs="Arial"/>
          <w:color w:val="000000"/>
          <w:szCs w:val="20"/>
        </w:rPr>
        <w:t xml:space="preserve"> </w:t>
      </w:r>
      <w:r w:rsidRPr="003F7B0F">
        <w:rPr>
          <w:rFonts w:eastAsia="Times New Roman" w:cs="Arial"/>
          <w:color w:val="000000"/>
          <w:szCs w:val="20"/>
          <w:lang w:val="en-US"/>
        </w:rPr>
        <w:t>Media</w:t>
      </w:r>
      <w:r w:rsidRPr="003F7B0F">
        <w:rPr>
          <w:rFonts w:eastAsia="Times New Roman" w:cs="Arial"/>
          <w:color w:val="000000"/>
          <w:szCs w:val="20"/>
        </w:rPr>
        <w:t xml:space="preserve"> </w:t>
      </w:r>
      <w:r w:rsidRPr="003F7B0F">
        <w:rPr>
          <w:rFonts w:eastAsia="Times New Roman" w:cs="Arial"/>
          <w:color w:val="000000"/>
          <w:szCs w:val="20"/>
          <w:lang w:val="en-US"/>
        </w:rPr>
        <w:t>Thickness</w:t>
      </w:r>
      <w:r w:rsidRPr="003F7B0F">
        <w:rPr>
          <w:rFonts w:eastAsia="Times New Roman" w:cs="Arial"/>
          <w:color w:val="000000"/>
          <w:szCs w:val="20"/>
        </w:rPr>
        <w:t xml:space="preserve">), </w:t>
      </w:r>
      <w:r w:rsidRPr="003F7B0F">
        <w:rPr>
          <w:rFonts w:eastAsia="Times New Roman" w:cs="Arial"/>
          <w:color w:val="000000"/>
          <w:szCs w:val="20"/>
          <w:lang w:eastAsia="bg-BG"/>
        </w:rPr>
        <w:t xml:space="preserve">бяха рандомизирани на 40 </w:t>
      </w:r>
      <w:r w:rsidRPr="003F7B0F">
        <w:rPr>
          <w:rFonts w:eastAsia="Times New Roman" w:cs="Arial"/>
          <w:color w:val="000000"/>
          <w:szCs w:val="20"/>
          <w:lang w:val="en-US"/>
        </w:rPr>
        <w:t>mg</w:t>
      </w:r>
      <w:r w:rsidRPr="003F7B0F">
        <w:rPr>
          <w:rFonts w:eastAsia="Times New Roman" w:cs="Arial"/>
          <w:color w:val="000000"/>
          <w:szCs w:val="20"/>
        </w:rPr>
        <w:t xml:space="preserve"> </w:t>
      </w:r>
      <w:r w:rsidRPr="003F7B0F">
        <w:rPr>
          <w:rFonts w:eastAsia="Times New Roman" w:cs="Arial"/>
          <w:color w:val="000000"/>
          <w:szCs w:val="20"/>
          <w:lang w:eastAsia="bg-BG"/>
        </w:rPr>
        <w:t xml:space="preserve">розувастатин веднъж дневно или плацебо за 2 години. Розувастатин значително забави прогресията на максималното </w:t>
      </w:r>
      <w:r w:rsidRPr="003F7B0F">
        <w:rPr>
          <w:rFonts w:eastAsia="Times New Roman" w:cs="Arial"/>
          <w:color w:val="000000"/>
          <w:szCs w:val="20"/>
          <w:lang w:val="en-US"/>
        </w:rPr>
        <w:t>CIMT</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на всички (12 места на каротидните артерии в сравнение с плацебо -0,0145 </w:t>
      </w:r>
      <w:r w:rsidRPr="003F7B0F">
        <w:rPr>
          <w:rFonts w:eastAsia="Times New Roman" w:cs="Arial"/>
          <w:color w:val="000000"/>
          <w:szCs w:val="20"/>
          <w:lang w:val="en-US"/>
        </w:rPr>
        <w:t>mm</w:t>
      </w:r>
      <w:r w:rsidRPr="003F7B0F">
        <w:rPr>
          <w:rFonts w:eastAsia="Times New Roman" w:cs="Arial"/>
          <w:color w:val="000000"/>
          <w:szCs w:val="20"/>
          <w:lang w:eastAsia="bg-BG"/>
        </w:rPr>
        <w:t xml:space="preserve">/година (95% </w:t>
      </w:r>
      <w:r w:rsidRPr="003F7B0F">
        <w:rPr>
          <w:rFonts w:eastAsia="Times New Roman" w:cs="Arial"/>
          <w:color w:val="000000"/>
          <w:szCs w:val="20"/>
          <w:lang w:val="en-US"/>
        </w:rPr>
        <w:t>CI</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-0,0196; 0,0093; р&lt;0,0001). Промяната спрямо изходните стойности за групата на розувастатин е - 0,0014гшп/година (-12%/година (несигнификантно)), в сравнение с плацебо групата с прогресия от +0,0131 </w:t>
      </w:r>
      <w:r w:rsidRPr="003F7B0F">
        <w:rPr>
          <w:rFonts w:eastAsia="Times New Roman" w:cs="Arial"/>
          <w:color w:val="000000"/>
          <w:szCs w:val="20"/>
          <w:lang w:val="en-US"/>
        </w:rPr>
        <w:t>mm</w:t>
      </w:r>
      <w:r w:rsidRPr="003F7B0F">
        <w:rPr>
          <w:rFonts w:eastAsia="Times New Roman" w:cs="Arial"/>
          <w:color w:val="000000"/>
          <w:szCs w:val="20"/>
          <w:lang w:eastAsia="bg-BG"/>
        </w:rPr>
        <w:t xml:space="preserve">/година (1,12/година (р&lt;0,0001)). Не е демонстрирана директна взаимовръзка между понижението на нивата на С1МТ и понижения риск от сърдечно-съдови събития. Популацията в проучването </w:t>
      </w:r>
      <w:r w:rsidRPr="003F7B0F">
        <w:rPr>
          <w:rFonts w:eastAsia="Times New Roman" w:cs="Arial"/>
          <w:color w:val="000000"/>
          <w:szCs w:val="20"/>
          <w:lang w:val="en-US"/>
        </w:rPr>
        <w:t>METEOR</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е с нисък риск от исхемична болест на сърцето и не е представителна за таргетната популация на Розувастатин 40 </w:t>
      </w:r>
      <w:r w:rsidRPr="003F7B0F">
        <w:rPr>
          <w:rFonts w:eastAsia="Times New Roman" w:cs="Arial"/>
          <w:color w:val="000000"/>
          <w:szCs w:val="20"/>
          <w:lang w:val="en-US"/>
        </w:rPr>
        <w:t>mg</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Дозировката от 40 </w:t>
      </w:r>
      <w:r w:rsidRPr="003F7B0F">
        <w:rPr>
          <w:rFonts w:eastAsia="Times New Roman" w:cs="Arial"/>
          <w:color w:val="000000"/>
          <w:szCs w:val="20"/>
          <w:lang w:val="en-US"/>
        </w:rPr>
        <w:t>mg</w:t>
      </w:r>
      <w:r w:rsidRPr="003F7B0F">
        <w:rPr>
          <w:rFonts w:eastAsia="Times New Roman" w:cs="Arial"/>
          <w:color w:val="000000"/>
          <w:szCs w:val="20"/>
          <w:lang w:val="ru-RU"/>
        </w:rPr>
        <w:t xml:space="preserve"> </w:t>
      </w:r>
      <w:r w:rsidRPr="003F7B0F">
        <w:rPr>
          <w:rFonts w:eastAsia="Times New Roman" w:cs="Arial"/>
          <w:color w:val="000000"/>
          <w:szCs w:val="20"/>
          <w:lang w:eastAsia="bg-BG"/>
        </w:rPr>
        <w:t>трябва да се предписва само при пациенти с тежка хиперхолестеролемия с висок сърдечносъдов риск (вж. точка 4.2).</w:t>
      </w:r>
    </w:p>
    <w:p w14:paraId="74934277" w14:textId="77777777" w:rsidR="003F7B0F" w:rsidRPr="003F7B0F" w:rsidRDefault="003F7B0F" w:rsidP="003F7B0F">
      <w:pPr>
        <w:spacing w:line="240" w:lineRule="auto"/>
        <w:rPr>
          <w:rFonts w:eastAsia="Times New Roman" w:cs="Arial"/>
          <w:color w:val="000000"/>
          <w:szCs w:val="20"/>
          <w:lang w:eastAsia="bg-BG"/>
        </w:rPr>
      </w:pPr>
    </w:p>
    <w:p w14:paraId="0777A63D" w14:textId="01E6212C"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 xml:space="preserve">Проучването </w:t>
      </w:r>
      <w:r w:rsidRPr="003F7B0F">
        <w:rPr>
          <w:rFonts w:eastAsia="Times New Roman" w:cs="Arial"/>
          <w:color w:val="000000"/>
          <w:szCs w:val="20"/>
          <w:lang w:val="en-US"/>
        </w:rPr>
        <w:t>JUPITER</w:t>
      </w:r>
      <w:r w:rsidRPr="003F7B0F">
        <w:rPr>
          <w:rFonts w:eastAsia="Times New Roman" w:cs="Arial"/>
          <w:color w:val="000000"/>
          <w:szCs w:val="20"/>
        </w:rPr>
        <w:t xml:space="preserve"> (</w:t>
      </w:r>
      <w:r w:rsidRPr="003F7B0F">
        <w:rPr>
          <w:rFonts w:eastAsia="Times New Roman" w:cs="Arial"/>
          <w:color w:val="000000"/>
          <w:szCs w:val="20"/>
          <w:lang w:val="en-US"/>
        </w:rPr>
        <w:t>the</w:t>
      </w:r>
      <w:r w:rsidRPr="003F7B0F">
        <w:rPr>
          <w:rFonts w:eastAsia="Times New Roman" w:cs="Arial"/>
          <w:color w:val="000000"/>
          <w:szCs w:val="20"/>
        </w:rPr>
        <w:t xml:space="preserve"> </w:t>
      </w:r>
      <w:r w:rsidRPr="003F7B0F">
        <w:rPr>
          <w:rFonts w:eastAsia="Times New Roman" w:cs="Arial"/>
          <w:color w:val="000000"/>
          <w:szCs w:val="20"/>
          <w:lang w:val="en-US"/>
        </w:rPr>
        <w:t>Justification</w:t>
      </w:r>
      <w:r w:rsidRPr="003F7B0F">
        <w:rPr>
          <w:rFonts w:eastAsia="Times New Roman" w:cs="Arial"/>
          <w:color w:val="000000"/>
          <w:szCs w:val="20"/>
        </w:rPr>
        <w:t xml:space="preserve"> </w:t>
      </w:r>
      <w:r w:rsidRPr="003F7B0F">
        <w:rPr>
          <w:rFonts w:eastAsia="Times New Roman" w:cs="Arial"/>
          <w:color w:val="000000"/>
          <w:szCs w:val="20"/>
          <w:lang w:val="en-US"/>
        </w:rPr>
        <w:t>for</w:t>
      </w:r>
      <w:r w:rsidRPr="003F7B0F">
        <w:rPr>
          <w:rFonts w:eastAsia="Times New Roman" w:cs="Arial"/>
          <w:color w:val="000000"/>
          <w:szCs w:val="20"/>
        </w:rPr>
        <w:t xml:space="preserve"> </w:t>
      </w:r>
      <w:r w:rsidRPr="003F7B0F">
        <w:rPr>
          <w:rFonts w:eastAsia="Times New Roman" w:cs="Arial"/>
          <w:color w:val="000000"/>
          <w:szCs w:val="20"/>
          <w:lang w:val="en-US"/>
        </w:rPr>
        <w:t>the</w:t>
      </w:r>
      <w:r w:rsidRPr="003F7B0F">
        <w:rPr>
          <w:rFonts w:eastAsia="Times New Roman" w:cs="Arial"/>
          <w:color w:val="000000"/>
          <w:szCs w:val="20"/>
        </w:rPr>
        <w:t xml:space="preserve"> </w:t>
      </w:r>
      <w:r w:rsidRPr="003F7B0F">
        <w:rPr>
          <w:rFonts w:eastAsia="Times New Roman" w:cs="Arial"/>
          <w:color w:val="000000"/>
          <w:szCs w:val="20"/>
          <w:lang w:val="en-US"/>
        </w:rPr>
        <w:t>Use</w:t>
      </w:r>
      <w:r w:rsidRPr="003F7B0F">
        <w:rPr>
          <w:rFonts w:eastAsia="Times New Roman" w:cs="Arial"/>
          <w:color w:val="000000"/>
          <w:szCs w:val="20"/>
        </w:rPr>
        <w:t xml:space="preserve"> </w:t>
      </w:r>
      <w:r w:rsidRPr="003F7B0F">
        <w:rPr>
          <w:rFonts w:eastAsia="Times New Roman" w:cs="Arial"/>
          <w:color w:val="000000"/>
          <w:szCs w:val="20"/>
          <w:lang w:val="en-US"/>
        </w:rPr>
        <w:t>of</w:t>
      </w:r>
      <w:r w:rsidRPr="003F7B0F">
        <w:rPr>
          <w:rFonts w:eastAsia="Times New Roman" w:cs="Arial"/>
          <w:color w:val="000000"/>
          <w:szCs w:val="20"/>
        </w:rPr>
        <w:t xml:space="preserve"> </w:t>
      </w:r>
      <w:r w:rsidRPr="003F7B0F">
        <w:rPr>
          <w:rFonts w:eastAsia="Times New Roman" w:cs="Arial"/>
          <w:color w:val="000000"/>
          <w:szCs w:val="20"/>
          <w:lang w:val="en-US"/>
        </w:rPr>
        <w:t>Statins</w:t>
      </w:r>
      <w:r w:rsidRPr="003F7B0F">
        <w:rPr>
          <w:rFonts w:eastAsia="Times New Roman" w:cs="Arial"/>
          <w:color w:val="000000"/>
          <w:szCs w:val="20"/>
        </w:rPr>
        <w:t xml:space="preserve"> </w:t>
      </w:r>
      <w:r w:rsidRPr="003F7B0F">
        <w:rPr>
          <w:rFonts w:eastAsia="Times New Roman" w:cs="Arial"/>
          <w:color w:val="000000"/>
          <w:szCs w:val="20"/>
          <w:lang w:val="en-US"/>
        </w:rPr>
        <w:t>in</w:t>
      </w:r>
      <w:r w:rsidRPr="003F7B0F">
        <w:rPr>
          <w:rFonts w:eastAsia="Times New Roman" w:cs="Arial"/>
          <w:color w:val="000000"/>
          <w:szCs w:val="20"/>
        </w:rPr>
        <w:t xml:space="preserve"> </w:t>
      </w:r>
      <w:r w:rsidRPr="003F7B0F">
        <w:rPr>
          <w:rFonts w:eastAsia="Times New Roman" w:cs="Arial"/>
          <w:color w:val="000000"/>
          <w:szCs w:val="20"/>
          <w:lang w:val="en-US"/>
        </w:rPr>
        <w:t>Primary</w:t>
      </w:r>
      <w:r w:rsidRPr="003F7B0F">
        <w:rPr>
          <w:rFonts w:eastAsia="Times New Roman" w:cs="Arial"/>
          <w:color w:val="000000"/>
          <w:szCs w:val="20"/>
        </w:rPr>
        <w:t xml:space="preserve"> </w:t>
      </w:r>
      <w:r w:rsidRPr="003F7B0F">
        <w:rPr>
          <w:rFonts w:eastAsia="Times New Roman" w:cs="Arial"/>
          <w:color w:val="000000"/>
          <w:szCs w:val="20"/>
          <w:lang w:val="en-US"/>
        </w:rPr>
        <w:t>Prevention</w:t>
      </w:r>
      <w:r w:rsidRPr="003F7B0F">
        <w:rPr>
          <w:rFonts w:eastAsia="Times New Roman" w:cs="Arial"/>
          <w:color w:val="000000"/>
          <w:szCs w:val="20"/>
        </w:rPr>
        <w:t xml:space="preserve">: </w:t>
      </w:r>
      <w:r w:rsidRPr="003F7B0F">
        <w:rPr>
          <w:rFonts w:eastAsia="Times New Roman" w:cs="Arial"/>
          <w:color w:val="000000"/>
          <w:szCs w:val="20"/>
          <w:lang w:val="en-US"/>
        </w:rPr>
        <w:t>An</w:t>
      </w:r>
      <w:r w:rsidRPr="003F7B0F">
        <w:rPr>
          <w:rFonts w:eastAsia="Times New Roman" w:cs="Arial"/>
          <w:color w:val="000000"/>
          <w:szCs w:val="20"/>
        </w:rPr>
        <w:t xml:space="preserve"> </w:t>
      </w:r>
      <w:r w:rsidRPr="003F7B0F">
        <w:rPr>
          <w:rFonts w:eastAsia="Times New Roman" w:cs="Arial"/>
          <w:color w:val="000000"/>
          <w:szCs w:val="20"/>
          <w:lang w:val="en-US"/>
        </w:rPr>
        <w:t>Intervention</w:t>
      </w:r>
      <w:r w:rsidRPr="003F7B0F">
        <w:rPr>
          <w:rFonts w:eastAsia="Times New Roman" w:cs="Arial"/>
          <w:color w:val="000000"/>
          <w:szCs w:val="20"/>
        </w:rPr>
        <w:t xml:space="preserve"> </w:t>
      </w:r>
      <w:r w:rsidRPr="003F7B0F">
        <w:rPr>
          <w:rFonts w:eastAsia="Times New Roman" w:cs="Arial"/>
          <w:color w:val="000000"/>
          <w:szCs w:val="20"/>
          <w:lang w:val="en-US"/>
        </w:rPr>
        <w:t>Trial</w:t>
      </w:r>
      <w:r w:rsidRPr="003F7B0F">
        <w:rPr>
          <w:rFonts w:eastAsia="Times New Roman" w:cs="Arial"/>
          <w:color w:val="000000"/>
          <w:szCs w:val="20"/>
        </w:rPr>
        <w:t xml:space="preserve"> </w:t>
      </w:r>
      <w:r w:rsidRPr="003F7B0F">
        <w:rPr>
          <w:rFonts w:eastAsia="Times New Roman" w:cs="Arial"/>
          <w:color w:val="000000"/>
          <w:szCs w:val="20"/>
          <w:lang w:val="en-US"/>
        </w:rPr>
        <w:t>Evaluating</w:t>
      </w:r>
      <w:r w:rsidRPr="003F7B0F">
        <w:rPr>
          <w:rFonts w:eastAsia="Times New Roman" w:cs="Arial"/>
          <w:color w:val="000000"/>
          <w:szCs w:val="20"/>
        </w:rPr>
        <w:t xml:space="preserve"> </w:t>
      </w:r>
      <w:proofErr w:type="spellStart"/>
      <w:r w:rsidRPr="003F7B0F">
        <w:rPr>
          <w:rFonts w:eastAsia="Times New Roman" w:cs="Arial"/>
          <w:color w:val="000000"/>
          <w:szCs w:val="20"/>
          <w:lang w:val="en-US"/>
        </w:rPr>
        <w:t>Rosuvastatin</w:t>
      </w:r>
      <w:proofErr w:type="spellEnd"/>
      <w:r w:rsidRPr="003F7B0F">
        <w:rPr>
          <w:rFonts w:eastAsia="Times New Roman" w:cs="Arial"/>
          <w:color w:val="000000"/>
          <w:szCs w:val="20"/>
        </w:rPr>
        <w:t xml:space="preserve">) </w:t>
      </w:r>
      <w:r w:rsidRPr="003F7B0F">
        <w:rPr>
          <w:rFonts w:eastAsia="Times New Roman" w:cs="Arial"/>
          <w:color w:val="000000"/>
          <w:szCs w:val="20"/>
          <w:lang w:eastAsia="bg-BG"/>
        </w:rPr>
        <w:t>изследва ефекта на Розувастатин (розувастатин калций) върху появата на големи атеросклеротични сърдечно-съдови събития при 17 802 мъже (&gt;50 години) и жени (&gt; 60 години).</w:t>
      </w:r>
    </w:p>
    <w:p w14:paraId="14312F14" w14:textId="77777777"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Участниците в проучването са рандомизирани на плацебо (</w:t>
      </w:r>
      <w:r w:rsidRPr="003F7B0F">
        <w:rPr>
          <w:rFonts w:eastAsia="Times New Roman" w:cs="Arial"/>
          <w:color w:val="000000"/>
          <w:szCs w:val="20"/>
          <w:lang w:val="en-US"/>
        </w:rPr>
        <w:t>n</w:t>
      </w:r>
      <w:r w:rsidRPr="003F7B0F">
        <w:rPr>
          <w:rFonts w:eastAsia="Times New Roman" w:cs="Arial"/>
          <w:color w:val="000000"/>
          <w:szCs w:val="20"/>
          <w:lang w:val="ru-RU"/>
        </w:rPr>
        <w:t>=</w:t>
      </w:r>
      <w:r w:rsidRPr="003F7B0F">
        <w:rPr>
          <w:rFonts w:eastAsia="Times New Roman" w:cs="Arial"/>
          <w:color w:val="000000"/>
          <w:szCs w:val="20"/>
          <w:lang w:eastAsia="bg-BG"/>
        </w:rPr>
        <w:t xml:space="preserve">8901) или розувастатин 20 </w:t>
      </w:r>
      <w:r w:rsidRPr="003F7B0F">
        <w:rPr>
          <w:rFonts w:eastAsia="Times New Roman" w:cs="Arial"/>
          <w:color w:val="000000"/>
          <w:szCs w:val="20"/>
          <w:lang w:val="en-US"/>
        </w:rPr>
        <w:t>mg</w:t>
      </w:r>
      <w:r w:rsidRPr="003F7B0F">
        <w:rPr>
          <w:rFonts w:eastAsia="Times New Roman" w:cs="Arial"/>
          <w:color w:val="000000"/>
          <w:szCs w:val="20"/>
          <w:lang w:val="ru-RU"/>
        </w:rPr>
        <w:t xml:space="preserve"> </w:t>
      </w:r>
      <w:r w:rsidRPr="003F7B0F">
        <w:rPr>
          <w:rFonts w:eastAsia="Times New Roman" w:cs="Arial"/>
          <w:color w:val="000000"/>
          <w:szCs w:val="20"/>
          <w:lang w:eastAsia="bg-BG"/>
        </w:rPr>
        <w:t>веднъж дневно (</w:t>
      </w:r>
      <w:r w:rsidRPr="003F7B0F">
        <w:rPr>
          <w:rFonts w:eastAsia="Times New Roman" w:cs="Arial"/>
          <w:color w:val="000000"/>
          <w:szCs w:val="20"/>
          <w:lang w:val="en-US"/>
        </w:rPr>
        <w:t>n</w:t>
      </w:r>
      <w:r w:rsidRPr="003F7B0F">
        <w:rPr>
          <w:rFonts w:eastAsia="Times New Roman" w:cs="Arial"/>
          <w:color w:val="000000"/>
          <w:szCs w:val="20"/>
          <w:lang w:eastAsia="bg-BG"/>
        </w:rPr>
        <w:t>=8901) и са проследени за среден период от 2 години.</w:t>
      </w:r>
    </w:p>
    <w:p w14:paraId="02008F5A" w14:textId="77777777" w:rsidR="003F7B0F" w:rsidRPr="003F7B0F" w:rsidRDefault="003F7B0F" w:rsidP="003F7B0F">
      <w:pPr>
        <w:spacing w:line="240" w:lineRule="auto"/>
        <w:rPr>
          <w:rFonts w:eastAsia="Times New Roman" w:cs="Arial"/>
          <w:color w:val="000000"/>
          <w:szCs w:val="20"/>
          <w:lang w:eastAsia="bg-BG"/>
        </w:rPr>
      </w:pPr>
    </w:p>
    <w:p w14:paraId="3DE7DF98" w14:textId="5069B2E3"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 xml:space="preserve">Конценрациите на </w:t>
      </w:r>
      <w:r w:rsidRPr="003F7B0F">
        <w:rPr>
          <w:rFonts w:eastAsia="Times New Roman" w:cs="Arial"/>
          <w:color w:val="000000"/>
          <w:szCs w:val="20"/>
          <w:lang w:val="en-US"/>
        </w:rPr>
        <w:t>LDL</w:t>
      </w:r>
      <w:r w:rsidRPr="003F7B0F">
        <w:rPr>
          <w:rFonts w:eastAsia="Times New Roman" w:cs="Arial"/>
          <w:color w:val="000000"/>
          <w:szCs w:val="20"/>
          <w:lang w:eastAsia="bg-BG"/>
        </w:rPr>
        <w:t>-холестрола бяха понижени с 45% (р&lt;0,001) в групата на розувастатин в сравнение с плацебо групата.</w:t>
      </w:r>
    </w:p>
    <w:p w14:paraId="02EE09D8" w14:textId="77777777" w:rsidR="003F7B0F" w:rsidRPr="003F7B0F" w:rsidRDefault="003F7B0F" w:rsidP="003F7B0F">
      <w:pPr>
        <w:rPr>
          <w:rFonts w:eastAsia="Times New Roman" w:cs="Arial"/>
          <w:color w:val="000000"/>
          <w:szCs w:val="20"/>
          <w:lang w:eastAsia="bg-BG"/>
        </w:rPr>
      </w:pPr>
    </w:p>
    <w:p w14:paraId="258983A7" w14:textId="77777777" w:rsidR="003F7B0F" w:rsidRPr="003F7B0F" w:rsidRDefault="003F7B0F" w:rsidP="003F7B0F">
      <w:pPr>
        <w:rPr>
          <w:rFonts w:eastAsia="Times New Roman" w:cs="Arial"/>
          <w:sz w:val="28"/>
          <w:szCs w:val="24"/>
        </w:rPr>
      </w:pPr>
      <w:r w:rsidRPr="003F7B0F">
        <w:rPr>
          <w:rFonts w:eastAsia="Times New Roman" w:cs="Arial"/>
          <w:color w:val="000000"/>
          <w:szCs w:val="20"/>
          <w:lang w:eastAsia="bg-BG"/>
        </w:rPr>
        <w:t xml:space="preserve">При </w:t>
      </w:r>
      <w:r w:rsidRPr="003F7B0F">
        <w:rPr>
          <w:rFonts w:eastAsia="Times New Roman" w:cs="Arial"/>
          <w:color w:val="000000"/>
          <w:szCs w:val="20"/>
          <w:lang w:val="en-US"/>
        </w:rPr>
        <w:t>post</w:t>
      </w:r>
      <w:r w:rsidRPr="003F7B0F">
        <w:rPr>
          <w:rFonts w:eastAsia="Times New Roman" w:cs="Arial"/>
          <w:color w:val="000000"/>
          <w:szCs w:val="20"/>
          <w:lang w:val="ru-RU"/>
        </w:rPr>
        <w:t>-</w:t>
      </w:r>
      <w:r w:rsidRPr="003F7B0F">
        <w:rPr>
          <w:rFonts w:eastAsia="Times New Roman" w:cs="Arial"/>
          <w:color w:val="000000"/>
          <w:szCs w:val="20"/>
          <w:lang w:val="en-US"/>
        </w:rPr>
        <w:t>hoc</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анализ на високо-рискова група от лица с базичен риск по </w:t>
      </w:r>
      <w:r w:rsidRPr="003F7B0F">
        <w:rPr>
          <w:rFonts w:eastAsia="Times New Roman" w:cs="Arial"/>
          <w:color w:val="000000"/>
          <w:szCs w:val="20"/>
          <w:lang w:val="en-US"/>
        </w:rPr>
        <w:t>Framingham</w:t>
      </w:r>
      <w:r w:rsidRPr="003F7B0F">
        <w:rPr>
          <w:rFonts w:eastAsia="Times New Roman" w:cs="Arial"/>
          <w:color w:val="000000"/>
          <w:szCs w:val="20"/>
          <w:lang w:val="ru-RU"/>
        </w:rPr>
        <w:t xml:space="preserve"> &gt;20% (1558 </w:t>
      </w:r>
      <w:r w:rsidRPr="003F7B0F">
        <w:rPr>
          <w:rFonts w:eastAsia="Times New Roman" w:cs="Arial"/>
          <w:color w:val="000000"/>
          <w:szCs w:val="20"/>
          <w:lang w:eastAsia="bg-BG"/>
        </w:rPr>
        <w:t xml:space="preserve">лица) имаше значителна редукция в комбинираната крайна точка от сърдечно-съдова смърт инсулт и миокарден инфаркт (р=0,028) при лечение с розувастатин спрямо плацебо. Абсолютната редукция на риска в нивото на събитията за 1000 пациенто-години беше 8,8. Тоталната смъртност беше непроменена в тази високорискова група (р=0,193). При </w:t>
      </w:r>
      <w:r w:rsidRPr="003F7B0F">
        <w:rPr>
          <w:rFonts w:eastAsia="Times New Roman" w:cs="Arial"/>
          <w:color w:val="000000"/>
          <w:szCs w:val="20"/>
          <w:lang w:val="en-US"/>
        </w:rPr>
        <w:t>post</w:t>
      </w:r>
      <w:r w:rsidRPr="003F7B0F">
        <w:rPr>
          <w:rFonts w:eastAsia="Times New Roman" w:cs="Arial"/>
          <w:color w:val="000000"/>
          <w:szCs w:val="20"/>
          <w:lang w:val="ru-RU"/>
        </w:rPr>
        <w:t>-</w:t>
      </w:r>
      <w:r w:rsidRPr="003F7B0F">
        <w:rPr>
          <w:rFonts w:eastAsia="Times New Roman" w:cs="Arial"/>
          <w:color w:val="000000"/>
          <w:szCs w:val="20"/>
          <w:lang w:val="en-US"/>
        </w:rPr>
        <w:t>hoc</w:t>
      </w:r>
      <w:r w:rsidRPr="003F7B0F">
        <w:rPr>
          <w:rFonts w:eastAsia="Times New Roman" w:cs="Arial"/>
          <w:color w:val="000000"/>
          <w:szCs w:val="20"/>
          <w:lang w:eastAsia="bg-BG"/>
        </w:rPr>
        <w:t xml:space="preserve"> анализ на високорискова подгрупа от лица (9302 лица общо) с изходна оценк</w:t>
      </w:r>
      <w:r w:rsidRPr="003F7B0F">
        <w:rPr>
          <w:rFonts w:eastAsia="Times New Roman" w:cs="Arial"/>
          <w:color w:val="000000"/>
          <w:szCs w:val="20"/>
          <w:lang w:val="en-US"/>
        </w:rPr>
        <w:t>a</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на риска &gt;5% (екстраполиран да включи лица над 65 години) имаше значителна </w:t>
      </w:r>
      <w:r w:rsidRPr="003F7B0F">
        <w:rPr>
          <w:rFonts w:eastAsia="Times New Roman" w:cs="Arial"/>
          <w:color w:val="000000"/>
          <w:szCs w:val="20"/>
          <w:lang w:eastAsia="bg-BG"/>
        </w:rPr>
        <w:lastRenderedPageBreak/>
        <w:t>редукция в комбинираната крайна точка от сърдечно-съдова смърт, инсулт и миокарден инфаркт (р=0,0003) при лечението с розувастатин спрямо плацебо. Абсолютната редукция на риска в нивото на събитията беше 5,1 за 1000 пациенто-години. Тоталната смъртност беше непроменена в тази високо-рискова група (р=0,076).</w:t>
      </w:r>
    </w:p>
    <w:p w14:paraId="43C3F071" w14:textId="77777777" w:rsidR="003F7B0F" w:rsidRPr="003F7B0F" w:rsidRDefault="003F7B0F" w:rsidP="003F7B0F">
      <w:pPr>
        <w:spacing w:line="240" w:lineRule="auto"/>
        <w:rPr>
          <w:rFonts w:eastAsia="Times New Roman" w:cs="Arial"/>
          <w:color w:val="000000"/>
          <w:szCs w:val="20"/>
          <w:lang w:eastAsia="bg-BG"/>
        </w:rPr>
      </w:pPr>
    </w:p>
    <w:p w14:paraId="278C56FD" w14:textId="2F0090E8"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 xml:space="preserve">В проучването </w:t>
      </w:r>
      <w:r w:rsidRPr="003F7B0F">
        <w:rPr>
          <w:rFonts w:eastAsia="Times New Roman" w:cs="Arial"/>
          <w:color w:val="000000"/>
          <w:szCs w:val="20"/>
          <w:lang w:val="en-US"/>
        </w:rPr>
        <w:t>JUPITER</w:t>
      </w:r>
      <w:r w:rsidRPr="003F7B0F">
        <w:rPr>
          <w:rFonts w:eastAsia="Times New Roman" w:cs="Arial"/>
          <w:color w:val="000000"/>
          <w:szCs w:val="20"/>
          <w:lang w:val="ru-RU"/>
        </w:rPr>
        <w:t xml:space="preserve"> </w:t>
      </w:r>
      <w:r w:rsidRPr="003F7B0F">
        <w:rPr>
          <w:rFonts w:eastAsia="Times New Roman" w:cs="Arial"/>
          <w:color w:val="000000"/>
          <w:szCs w:val="20"/>
          <w:lang w:eastAsia="bg-BG"/>
        </w:rPr>
        <w:t>6,6% от лицата с розувастатин и 6,2% от лицата с плацебо прекратиха приема на изследваното лекарство поради нежелано събитие. Най-честите нежелани събития, които доведоха до прекратяване на лечението бяха: миалгия (0,3% розувастатин, 0,2% плацебо), коремна болка (0,03% розувастатин, 0,02% плацебо) и обрив (0,02% розувастатин, 0,03% плацебо). Най-честите нежелани събития с ниво по-голямо и равно на плацебо бяха инфекции на пикочните пътища (8,7% розувастатин, 8,6% плацебо), назофарингит (7,6% розувастатин, 7,2% плацебо), болка в гърба (7,6% розувастатин, 6,9% плацебо) и миалгия (7,6% розувастатин, 6,6% плацебо).</w:t>
      </w:r>
    </w:p>
    <w:p w14:paraId="501F38D3" w14:textId="77777777" w:rsidR="003F7B0F" w:rsidRPr="003F7B0F" w:rsidRDefault="003F7B0F" w:rsidP="003F7B0F">
      <w:pPr>
        <w:spacing w:line="240" w:lineRule="auto"/>
        <w:rPr>
          <w:rFonts w:eastAsia="Times New Roman" w:cs="Arial"/>
          <w:color w:val="000000"/>
          <w:szCs w:val="20"/>
          <w:u w:val="single"/>
          <w:lang w:eastAsia="bg-BG"/>
        </w:rPr>
      </w:pPr>
    </w:p>
    <w:p w14:paraId="4DF20006" w14:textId="4EEC08ED"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u w:val="single"/>
          <w:lang w:eastAsia="bg-BG"/>
        </w:rPr>
        <w:t>Педиатрична популация</w:t>
      </w:r>
    </w:p>
    <w:p w14:paraId="57F7D765" w14:textId="77777777"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В едно двойносляпо, рандомизирано, мултицентрово, плацебо-контролирано, 12-седмично проучване (</w:t>
      </w:r>
      <w:r w:rsidRPr="003F7B0F">
        <w:rPr>
          <w:rFonts w:eastAsia="Times New Roman" w:cs="Arial"/>
          <w:color w:val="000000"/>
          <w:szCs w:val="20"/>
          <w:lang w:val="en-US"/>
        </w:rPr>
        <w:t>n</w:t>
      </w:r>
      <w:r w:rsidRPr="003F7B0F">
        <w:rPr>
          <w:rFonts w:eastAsia="Times New Roman" w:cs="Arial"/>
          <w:color w:val="000000"/>
          <w:szCs w:val="20"/>
          <w:lang w:eastAsia="bg-BG"/>
        </w:rPr>
        <w:t>=176,97 от мъжки пол и 79 от женски пол), последвано от 40-седмична, открита фаза с титриране на дозата на розувастатин (</w:t>
      </w:r>
      <w:r w:rsidRPr="003F7B0F">
        <w:rPr>
          <w:rFonts w:eastAsia="Times New Roman" w:cs="Arial"/>
          <w:color w:val="000000"/>
          <w:szCs w:val="20"/>
          <w:lang w:val="en-US"/>
        </w:rPr>
        <w:t>n</w:t>
      </w:r>
      <w:r w:rsidRPr="003F7B0F">
        <w:rPr>
          <w:rFonts w:eastAsia="Times New Roman" w:cs="Arial"/>
          <w:color w:val="000000"/>
          <w:szCs w:val="20"/>
          <w:lang w:eastAsia="bg-BG"/>
        </w:rPr>
        <w:t xml:space="preserve">=173,96 от мъжки пол и 77 от женски пол), пациенти на възраст 10-17 години (стадий </w:t>
      </w:r>
      <w:r w:rsidRPr="003F7B0F">
        <w:rPr>
          <w:rFonts w:eastAsia="Times New Roman" w:cs="Arial"/>
          <w:color w:val="000000"/>
          <w:szCs w:val="20"/>
          <w:lang w:val="en-US"/>
        </w:rPr>
        <w:t>II</w:t>
      </w:r>
      <w:r w:rsidRPr="003F7B0F">
        <w:rPr>
          <w:rFonts w:eastAsia="Times New Roman" w:cs="Arial"/>
          <w:color w:val="000000"/>
          <w:szCs w:val="20"/>
          <w:lang w:val="ru-RU"/>
        </w:rPr>
        <w:t>-</w:t>
      </w:r>
      <w:r w:rsidRPr="003F7B0F">
        <w:rPr>
          <w:rFonts w:eastAsia="Times New Roman" w:cs="Arial"/>
          <w:color w:val="000000"/>
          <w:szCs w:val="20"/>
          <w:lang w:val="en-US"/>
        </w:rPr>
        <w:t>V</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по Танер, момичета поне 1 година след началото на менструацията) с хетерозиготна фамилна хиперхолестеролемия получаваха розувастатин 5 </w:t>
      </w:r>
      <w:r w:rsidRPr="003F7B0F">
        <w:rPr>
          <w:rFonts w:eastAsia="Times New Roman" w:cs="Arial"/>
          <w:color w:val="000000"/>
          <w:szCs w:val="20"/>
          <w:lang w:val="en-US"/>
        </w:rPr>
        <w:t>mg</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10 </w:t>
      </w:r>
      <w:r w:rsidRPr="003F7B0F">
        <w:rPr>
          <w:rFonts w:eastAsia="Times New Roman" w:cs="Arial"/>
          <w:color w:val="000000"/>
          <w:szCs w:val="20"/>
          <w:lang w:val="en-US"/>
        </w:rPr>
        <w:t>mg</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или 20 </w:t>
      </w:r>
      <w:r w:rsidRPr="003F7B0F">
        <w:rPr>
          <w:rFonts w:eastAsia="Times New Roman" w:cs="Arial"/>
          <w:color w:val="000000"/>
          <w:szCs w:val="20"/>
          <w:lang w:val="en-US"/>
        </w:rPr>
        <w:t>mg</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или плацебо дневно за 12 седмици, а след това всички получаваха розувастатин дневно за 40 седмици. В началото на проучването приблизително 30% от пациентите бяха 10-13 годишни и приблизително 17%, 18%, 40% и 25% бяха съответно в стадий </w:t>
      </w:r>
      <w:r w:rsidRPr="003F7B0F">
        <w:rPr>
          <w:rFonts w:eastAsia="Times New Roman" w:cs="Arial"/>
          <w:color w:val="000000"/>
          <w:szCs w:val="20"/>
          <w:lang w:val="en-US"/>
        </w:rPr>
        <w:t>II</w:t>
      </w:r>
      <w:r w:rsidRPr="003F7B0F">
        <w:rPr>
          <w:rFonts w:eastAsia="Times New Roman" w:cs="Arial"/>
          <w:color w:val="000000"/>
          <w:szCs w:val="20"/>
          <w:lang w:eastAsia="bg-BG"/>
        </w:rPr>
        <w:t>,</w:t>
      </w:r>
      <w:r w:rsidRPr="003F7B0F">
        <w:rPr>
          <w:rFonts w:eastAsia="Times New Roman" w:cs="Arial"/>
          <w:color w:val="000000"/>
          <w:szCs w:val="20"/>
          <w:lang w:val="ru-RU"/>
        </w:rPr>
        <w:t xml:space="preserve"> </w:t>
      </w:r>
      <w:r w:rsidRPr="003F7B0F">
        <w:rPr>
          <w:rFonts w:eastAsia="Times New Roman" w:cs="Arial"/>
          <w:color w:val="000000"/>
          <w:szCs w:val="20"/>
          <w:lang w:val="en-US"/>
        </w:rPr>
        <w:t>III</w:t>
      </w:r>
      <w:r w:rsidRPr="003F7B0F">
        <w:rPr>
          <w:rFonts w:eastAsia="Times New Roman" w:cs="Arial"/>
          <w:color w:val="000000"/>
          <w:szCs w:val="20"/>
          <w:lang w:eastAsia="bg-BG"/>
        </w:rPr>
        <w:t>, IV и V по Танер.</w:t>
      </w:r>
    </w:p>
    <w:p w14:paraId="50F24372" w14:textId="77777777" w:rsidR="003F7B0F" w:rsidRPr="003F7B0F" w:rsidRDefault="003F7B0F" w:rsidP="003F7B0F">
      <w:pPr>
        <w:spacing w:line="240" w:lineRule="auto"/>
        <w:rPr>
          <w:rFonts w:eastAsia="Times New Roman" w:cs="Arial"/>
          <w:color w:val="000000"/>
          <w:szCs w:val="20"/>
          <w:lang w:val="en-US"/>
        </w:rPr>
      </w:pPr>
    </w:p>
    <w:p w14:paraId="5A0F2923" w14:textId="58D3D07D"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val="en-US"/>
        </w:rPr>
        <w:t>LDL</w:t>
      </w:r>
      <w:r w:rsidRPr="003F7B0F">
        <w:rPr>
          <w:rFonts w:eastAsia="Times New Roman" w:cs="Arial"/>
          <w:color w:val="000000"/>
          <w:szCs w:val="20"/>
          <w:lang w:eastAsia="bg-BG"/>
        </w:rPr>
        <w:t xml:space="preserve">-холестеролът беше понижен 38,3%, 44,6% и 50,0% от розувастатин 5 </w:t>
      </w:r>
      <w:r w:rsidRPr="003F7B0F">
        <w:rPr>
          <w:rFonts w:eastAsia="Times New Roman" w:cs="Arial"/>
          <w:color w:val="000000"/>
          <w:szCs w:val="20"/>
          <w:lang w:val="en-US"/>
        </w:rPr>
        <w:t>mg</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10 </w:t>
      </w:r>
      <w:r w:rsidRPr="003F7B0F">
        <w:rPr>
          <w:rFonts w:eastAsia="Times New Roman" w:cs="Arial"/>
          <w:color w:val="000000"/>
          <w:szCs w:val="20"/>
          <w:lang w:val="en-US"/>
        </w:rPr>
        <w:t>mg</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,20 </w:t>
      </w:r>
      <w:r w:rsidRPr="003F7B0F">
        <w:rPr>
          <w:rFonts w:eastAsia="Times New Roman" w:cs="Arial"/>
          <w:color w:val="000000"/>
          <w:szCs w:val="20"/>
          <w:lang w:val="en-US"/>
        </w:rPr>
        <w:t>mg</w:t>
      </w:r>
      <w:r w:rsidRPr="003F7B0F">
        <w:rPr>
          <w:rFonts w:eastAsia="Times New Roman" w:cs="Arial"/>
          <w:color w:val="000000"/>
          <w:szCs w:val="20"/>
          <w:lang w:val="ru-RU"/>
        </w:rPr>
        <w:t xml:space="preserve">, </w:t>
      </w:r>
      <w:r w:rsidRPr="003F7B0F">
        <w:rPr>
          <w:rFonts w:eastAsia="Times New Roman" w:cs="Arial"/>
          <w:color w:val="000000"/>
          <w:szCs w:val="20"/>
          <w:lang w:eastAsia="bg-BG"/>
        </w:rPr>
        <w:t>съответно, в сравнение с 0,7% за плацебо.</w:t>
      </w:r>
    </w:p>
    <w:p w14:paraId="4D0CBE10" w14:textId="77777777" w:rsidR="003F7B0F" w:rsidRPr="003F7B0F" w:rsidRDefault="003F7B0F" w:rsidP="003F7B0F">
      <w:pPr>
        <w:spacing w:line="240" w:lineRule="auto"/>
        <w:rPr>
          <w:rFonts w:eastAsia="Times New Roman" w:cs="Arial"/>
          <w:color w:val="000000"/>
          <w:szCs w:val="20"/>
          <w:lang w:eastAsia="bg-BG"/>
        </w:rPr>
      </w:pPr>
    </w:p>
    <w:p w14:paraId="12AA0FB1" w14:textId="791245CD"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В</w:t>
      </w:r>
      <w:r w:rsidRPr="003F7B0F">
        <w:rPr>
          <w:rFonts w:eastAsia="Times New Roman" w:cs="Arial"/>
          <w:color w:val="000000"/>
          <w:szCs w:val="20"/>
          <w:lang w:val="ru-RU"/>
        </w:rPr>
        <w:t xml:space="preserve"> </w:t>
      </w:r>
      <w:r w:rsidRPr="003F7B0F">
        <w:rPr>
          <w:rFonts w:eastAsia="Times New Roman" w:cs="Arial"/>
          <w:color w:val="000000"/>
          <w:szCs w:val="20"/>
          <w:lang w:eastAsia="bg-BG"/>
        </w:rPr>
        <w:t>края</w:t>
      </w:r>
      <w:r w:rsidRPr="003F7B0F">
        <w:rPr>
          <w:rFonts w:eastAsia="Times New Roman" w:cs="Arial"/>
          <w:color w:val="000000"/>
          <w:szCs w:val="20"/>
          <w:lang w:val="ru-RU"/>
        </w:rPr>
        <w:t xml:space="preserve"> </w:t>
      </w:r>
      <w:r w:rsidRPr="003F7B0F">
        <w:rPr>
          <w:rFonts w:eastAsia="Times New Roman" w:cs="Arial"/>
          <w:color w:val="000000"/>
          <w:szCs w:val="20"/>
          <w:lang w:eastAsia="bg-BG"/>
        </w:rPr>
        <w:t>на</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40-седмичната открита фаза с титриране до прицелна стойност, с дозиране до максимум 20 </w:t>
      </w:r>
      <w:r w:rsidRPr="003F7B0F">
        <w:rPr>
          <w:rFonts w:eastAsia="Times New Roman" w:cs="Arial"/>
          <w:color w:val="000000"/>
          <w:szCs w:val="20"/>
          <w:lang w:val="en-US"/>
        </w:rPr>
        <w:t>mg</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веднъж дневно, 70 от 173 пациенти (40,5%) са постигнали прицелната стойност за </w:t>
      </w:r>
      <w:r w:rsidRPr="003F7B0F">
        <w:rPr>
          <w:rFonts w:eastAsia="Times New Roman" w:cs="Arial"/>
          <w:color w:val="000000"/>
          <w:szCs w:val="20"/>
          <w:lang w:val="en-US"/>
        </w:rPr>
        <w:t>LDL</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холестерол от по-малко от 2,8 </w:t>
      </w:r>
      <w:r w:rsidRPr="003F7B0F">
        <w:rPr>
          <w:rFonts w:eastAsia="Times New Roman" w:cs="Arial"/>
          <w:color w:val="000000"/>
          <w:szCs w:val="20"/>
          <w:lang w:val="en-US"/>
        </w:rPr>
        <w:t>mm</w:t>
      </w:r>
      <w:r w:rsidRPr="003F7B0F">
        <w:rPr>
          <w:rFonts w:eastAsia="Times New Roman" w:cs="Arial"/>
          <w:color w:val="000000"/>
          <w:szCs w:val="20"/>
          <w:lang w:eastAsia="bg-BG"/>
        </w:rPr>
        <w:t>о 1/1.</w:t>
      </w:r>
    </w:p>
    <w:p w14:paraId="5A3481A7" w14:textId="77777777" w:rsidR="003F7B0F" w:rsidRPr="003F7B0F" w:rsidRDefault="003F7B0F" w:rsidP="003F7B0F">
      <w:pPr>
        <w:spacing w:line="240" w:lineRule="auto"/>
        <w:rPr>
          <w:rFonts w:eastAsia="Times New Roman" w:cs="Arial"/>
          <w:color w:val="000000"/>
          <w:szCs w:val="20"/>
          <w:lang w:eastAsia="bg-BG"/>
        </w:rPr>
      </w:pPr>
    </w:p>
    <w:p w14:paraId="2128A2F7" w14:textId="7CE43790"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 xml:space="preserve">След 52 седмици на изследваното лечение не беше установен никакъв ефект върху растежа, теглото, </w:t>
      </w:r>
      <w:r w:rsidRPr="003F7B0F">
        <w:rPr>
          <w:rFonts w:eastAsia="Times New Roman" w:cs="Arial"/>
          <w:color w:val="000000"/>
          <w:szCs w:val="20"/>
          <w:lang w:val="en-US"/>
        </w:rPr>
        <w:t>BMI</w:t>
      </w:r>
      <w:r w:rsidRPr="003F7B0F">
        <w:rPr>
          <w:rFonts w:eastAsia="Times New Roman" w:cs="Arial"/>
          <w:color w:val="000000"/>
          <w:szCs w:val="20"/>
          <w:lang w:val="ru-RU"/>
        </w:rPr>
        <w:t xml:space="preserve"> </w:t>
      </w:r>
      <w:r w:rsidRPr="003F7B0F">
        <w:rPr>
          <w:rFonts w:eastAsia="Times New Roman" w:cs="Arial"/>
          <w:color w:val="000000"/>
          <w:szCs w:val="20"/>
          <w:lang w:eastAsia="bg-BG"/>
        </w:rPr>
        <w:t>или половото съзряване (вж. точка 4.4). Това проучване (</w:t>
      </w:r>
      <w:r w:rsidRPr="003F7B0F">
        <w:rPr>
          <w:rFonts w:eastAsia="Times New Roman" w:cs="Arial"/>
          <w:color w:val="000000"/>
          <w:szCs w:val="20"/>
          <w:lang w:val="en-US"/>
        </w:rPr>
        <w:t>n</w:t>
      </w:r>
      <w:r w:rsidRPr="003F7B0F">
        <w:rPr>
          <w:rFonts w:eastAsia="Times New Roman" w:cs="Arial"/>
          <w:color w:val="000000"/>
          <w:szCs w:val="20"/>
          <w:lang w:eastAsia="bg-BG"/>
        </w:rPr>
        <w:t>=176) не беше предназначено за сравняване на редки нежелани лекарствени реакции.</w:t>
      </w:r>
    </w:p>
    <w:p w14:paraId="4181D261" w14:textId="00FC5F31" w:rsidR="003F7B0F" w:rsidRPr="003F7B0F" w:rsidRDefault="003F7B0F" w:rsidP="003F7B0F">
      <w:pPr>
        <w:rPr>
          <w:rFonts w:cs="Arial"/>
          <w:sz w:val="24"/>
        </w:rPr>
      </w:pPr>
    </w:p>
    <w:p w14:paraId="35F84B81" w14:textId="1D860773" w:rsidR="00CF77F7" w:rsidRDefault="002C50EE" w:rsidP="004A448E">
      <w:pPr>
        <w:pStyle w:val="Heading2"/>
      </w:pPr>
      <w:r>
        <w:t>5.2. Фармакокинетични свойства</w:t>
      </w:r>
    </w:p>
    <w:p w14:paraId="39D892AE" w14:textId="447FF720" w:rsidR="003F7B0F" w:rsidRDefault="003F7B0F" w:rsidP="003F7B0F"/>
    <w:p w14:paraId="52591A1F" w14:textId="77777777" w:rsidR="003F7B0F" w:rsidRPr="003F7B0F" w:rsidRDefault="003F7B0F" w:rsidP="003F7B0F">
      <w:pPr>
        <w:pStyle w:val="Heading3"/>
        <w:rPr>
          <w:rFonts w:eastAsia="Times New Roman"/>
          <w:i/>
          <w:sz w:val="28"/>
        </w:rPr>
      </w:pPr>
      <w:r w:rsidRPr="003F7B0F">
        <w:rPr>
          <w:rFonts w:eastAsia="Times New Roman"/>
          <w:i/>
          <w:lang w:eastAsia="bg-BG"/>
        </w:rPr>
        <w:t>Абсорбция</w:t>
      </w:r>
    </w:p>
    <w:p w14:paraId="3F4C08C7" w14:textId="77777777"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Максимални плазмени нива се достигат 5 часа след перорално приемане. Абсолютната бионаличност е приблизително 20%.</w:t>
      </w:r>
    </w:p>
    <w:p w14:paraId="7641E497" w14:textId="77777777" w:rsidR="003F7B0F" w:rsidRPr="003F7B0F" w:rsidRDefault="003F7B0F" w:rsidP="003F7B0F">
      <w:pPr>
        <w:spacing w:line="240" w:lineRule="auto"/>
        <w:rPr>
          <w:rFonts w:eastAsia="Times New Roman" w:cs="Arial"/>
          <w:color w:val="000000"/>
          <w:szCs w:val="20"/>
          <w:u w:val="single"/>
          <w:lang w:eastAsia="bg-BG"/>
        </w:rPr>
      </w:pPr>
    </w:p>
    <w:p w14:paraId="62F99B40" w14:textId="139FD883" w:rsidR="003F7B0F" w:rsidRPr="003F7B0F" w:rsidRDefault="003F7B0F" w:rsidP="003F7B0F">
      <w:pPr>
        <w:spacing w:line="240" w:lineRule="auto"/>
        <w:rPr>
          <w:rFonts w:eastAsia="Times New Roman" w:cs="Arial"/>
          <w:sz w:val="28"/>
          <w:szCs w:val="24"/>
        </w:rPr>
      </w:pPr>
      <w:r w:rsidRPr="003F7B0F">
        <w:rPr>
          <w:rStyle w:val="Heading3Char"/>
          <w:i/>
          <w:lang w:eastAsia="bg-BG"/>
        </w:rPr>
        <w:t xml:space="preserve">Разпределение: </w:t>
      </w:r>
      <w:r w:rsidRPr="003F7B0F">
        <w:rPr>
          <w:rFonts w:eastAsia="Times New Roman" w:cs="Arial"/>
          <w:color w:val="000000"/>
          <w:szCs w:val="20"/>
          <w:lang w:eastAsia="bg-BG"/>
        </w:rPr>
        <w:t xml:space="preserve">Розувастатин се поема основно от черния дроб, който е основното място на синтезиране на холестерола и отделяне на </w:t>
      </w:r>
      <w:r w:rsidRPr="003F7B0F">
        <w:rPr>
          <w:rFonts w:eastAsia="Times New Roman" w:cs="Arial"/>
          <w:color w:val="000000"/>
          <w:szCs w:val="20"/>
          <w:lang w:val="en-US"/>
        </w:rPr>
        <w:t>LDL</w:t>
      </w:r>
      <w:r w:rsidRPr="003F7B0F">
        <w:rPr>
          <w:rFonts w:eastAsia="Times New Roman" w:cs="Arial"/>
          <w:color w:val="000000"/>
          <w:szCs w:val="20"/>
          <w:lang w:val="ru-RU"/>
        </w:rPr>
        <w:t>-</w:t>
      </w:r>
      <w:r w:rsidRPr="003F7B0F">
        <w:rPr>
          <w:rFonts w:eastAsia="Times New Roman" w:cs="Arial"/>
          <w:color w:val="000000"/>
          <w:szCs w:val="20"/>
          <w:lang w:val="en-US"/>
        </w:rPr>
        <w:t>C</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Обемът на разпределение на розувастатин е приблизително 134 </w:t>
      </w:r>
      <w:r w:rsidRPr="003F7B0F">
        <w:rPr>
          <w:rFonts w:eastAsia="Times New Roman" w:cs="Arial"/>
          <w:color w:val="000000"/>
          <w:szCs w:val="20"/>
          <w:lang w:val="en-US"/>
        </w:rPr>
        <w:t>L</w:t>
      </w:r>
      <w:r w:rsidRPr="003F7B0F">
        <w:rPr>
          <w:rFonts w:eastAsia="Times New Roman" w:cs="Arial"/>
          <w:color w:val="000000"/>
          <w:szCs w:val="20"/>
          <w:lang w:val="ru-RU"/>
        </w:rPr>
        <w:t xml:space="preserve">. </w:t>
      </w:r>
      <w:r w:rsidRPr="003F7B0F">
        <w:rPr>
          <w:rFonts w:eastAsia="Times New Roman" w:cs="Arial"/>
          <w:color w:val="000000"/>
          <w:szCs w:val="20"/>
          <w:lang w:eastAsia="bg-BG"/>
        </w:rPr>
        <w:t>Розувастатин е свързан с плазмените протеини, предимно албумина, приблизително в 90%.</w:t>
      </w:r>
    </w:p>
    <w:p w14:paraId="2A1F7387" w14:textId="77777777" w:rsidR="003F7B0F" w:rsidRPr="003F7B0F" w:rsidRDefault="003F7B0F" w:rsidP="003F7B0F">
      <w:pPr>
        <w:spacing w:line="240" w:lineRule="auto"/>
        <w:rPr>
          <w:rFonts w:eastAsia="Times New Roman" w:cs="Arial"/>
          <w:color w:val="000000"/>
          <w:szCs w:val="20"/>
          <w:u w:val="single"/>
          <w:lang w:eastAsia="bg-BG"/>
        </w:rPr>
      </w:pPr>
    </w:p>
    <w:p w14:paraId="5CAF1434" w14:textId="77777777" w:rsidR="003F7B0F" w:rsidRPr="003F7B0F" w:rsidRDefault="003F7B0F" w:rsidP="003F7B0F">
      <w:pPr>
        <w:rPr>
          <w:rFonts w:eastAsia="Times New Roman" w:cs="Arial"/>
          <w:sz w:val="28"/>
          <w:szCs w:val="24"/>
        </w:rPr>
      </w:pPr>
      <w:r w:rsidRPr="003F7B0F">
        <w:rPr>
          <w:rStyle w:val="Heading3Char"/>
          <w:i/>
          <w:lang w:eastAsia="bg-BG"/>
        </w:rPr>
        <w:lastRenderedPageBreak/>
        <w:t>Биотрансформация:</w:t>
      </w:r>
      <w:r w:rsidRPr="003F7B0F">
        <w:rPr>
          <w:rFonts w:eastAsia="Times New Roman" w:cs="Arial"/>
          <w:color w:val="000000"/>
          <w:szCs w:val="20"/>
          <w:lang w:eastAsia="bg-BG"/>
        </w:rPr>
        <w:t xml:space="preserve"> Метаболизмът на розувастатин е ограничен (около 10%). </w:t>
      </w:r>
      <w:r w:rsidRPr="003F7B0F">
        <w:rPr>
          <w:rFonts w:eastAsia="Times New Roman" w:cs="Arial"/>
          <w:i/>
          <w:iCs/>
          <w:color w:val="000000"/>
          <w:szCs w:val="20"/>
          <w:lang w:val="en-US"/>
        </w:rPr>
        <w:t>In</w:t>
      </w:r>
      <w:r w:rsidRPr="003F7B0F">
        <w:rPr>
          <w:rFonts w:eastAsia="Times New Roman" w:cs="Arial"/>
          <w:i/>
          <w:iCs/>
          <w:color w:val="000000"/>
          <w:szCs w:val="20"/>
          <w:lang w:val="ru-RU"/>
        </w:rPr>
        <w:t xml:space="preserve"> </w:t>
      </w:r>
      <w:r w:rsidRPr="003F7B0F">
        <w:rPr>
          <w:rFonts w:eastAsia="Times New Roman" w:cs="Arial"/>
          <w:i/>
          <w:iCs/>
          <w:color w:val="000000"/>
          <w:szCs w:val="20"/>
          <w:lang w:val="en-US"/>
        </w:rPr>
        <w:t>vitro</w:t>
      </w:r>
      <w:r w:rsidRPr="003F7B0F">
        <w:rPr>
          <w:rFonts w:eastAsia="Times New Roman" w:cs="Arial"/>
          <w:i/>
          <w:iCs/>
          <w:color w:val="000000"/>
          <w:szCs w:val="20"/>
          <w:lang w:val="ru-RU"/>
        </w:rPr>
        <w:t xml:space="preserve"> </w:t>
      </w:r>
      <w:r w:rsidRPr="003F7B0F">
        <w:rPr>
          <w:rFonts w:eastAsia="Times New Roman" w:cs="Arial"/>
          <w:color w:val="000000"/>
          <w:szCs w:val="20"/>
          <w:lang w:eastAsia="bg-BG"/>
        </w:rPr>
        <w:t xml:space="preserve">проучвания на метаболизма с използване на човешкихепатоцити показват, че розувастатин е слаб субстрат за цитохром Р450 обусловения метаболизъм. </w:t>
      </w:r>
      <w:r w:rsidRPr="003F7B0F">
        <w:rPr>
          <w:rFonts w:eastAsia="Times New Roman" w:cs="Arial"/>
          <w:color w:val="000000"/>
          <w:szCs w:val="20"/>
          <w:lang w:val="en-US"/>
        </w:rPr>
        <w:t>CYP</w:t>
      </w:r>
      <w:r w:rsidRPr="003F7B0F">
        <w:rPr>
          <w:rFonts w:eastAsia="Times New Roman" w:cs="Arial"/>
          <w:color w:val="000000"/>
          <w:szCs w:val="20"/>
          <w:lang w:val="ru-RU"/>
        </w:rPr>
        <w:t>2</w:t>
      </w:r>
      <w:r w:rsidRPr="003F7B0F">
        <w:rPr>
          <w:rFonts w:eastAsia="Times New Roman" w:cs="Arial"/>
          <w:color w:val="000000"/>
          <w:szCs w:val="20"/>
          <w:lang w:val="en-US"/>
        </w:rPr>
        <w:t>C</w:t>
      </w:r>
      <w:r w:rsidRPr="003F7B0F">
        <w:rPr>
          <w:rFonts w:eastAsia="Times New Roman" w:cs="Arial"/>
          <w:color w:val="000000"/>
          <w:szCs w:val="20"/>
          <w:lang w:val="ru-RU"/>
        </w:rPr>
        <w:t xml:space="preserve">9 </w:t>
      </w:r>
      <w:r w:rsidRPr="003F7B0F">
        <w:rPr>
          <w:rFonts w:eastAsia="Times New Roman" w:cs="Arial"/>
          <w:color w:val="000000"/>
          <w:szCs w:val="20"/>
          <w:lang w:eastAsia="bg-BG"/>
        </w:rPr>
        <w:t xml:space="preserve">е основният изоензим, който участва в метаболизма на розувастатин, </w:t>
      </w:r>
      <w:r w:rsidRPr="003F7B0F">
        <w:rPr>
          <w:rFonts w:eastAsia="Times New Roman" w:cs="Arial"/>
          <w:color w:val="000000"/>
          <w:szCs w:val="20"/>
          <w:lang w:val="en-US"/>
        </w:rPr>
        <w:t>a</w:t>
      </w:r>
      <w:r w:rsidRPr="003F7B0F">
        <w:rPr>
          <w:rFonts w:eastAsia="Times New Roman" w:cs="Arial"/>
          <w:color w:val="000000"/>
          <w:szCs w:val="20"/>
          <w:lang w:val="ru-RU"/>
        </w:rPr>
        <w:t xml:space="preserve"> </w:t>
      </w:r>
      <w:r w:rsidRPr="003F7B0F">
        <w:rPr>
          <w:rFonts w:eastAsia="Times New Roman" w:cs="Arial"/>
          <w:color w:val="000000"/>
          <w:szCs w:val="20"/>
          <w:lang w:eastAsia="bg-BG"/>
        </w:rPr>
        <w:t>2С19, ЗА4 и 2</w:t>
      </w:r>
      <w:r w:rsidRPr="003F7B0F">
        <w:rPr>
          <w:rFonts w:eastAsia="Times New Roman" w:cs="Arial"/>
          <w:color w:val="000000"/>
          <w:szCs w:val="20"/>
          <w:lang w:val="en-US"/>
        </w:rPr>
        <w:t>D</w:t>
      </w:r>
      <w:r w:rsidRPr="003F7B0F">
        <w:rPr>
          <w:rFonts w:eastAsia="Times New Roman" w:cs="Arial"/>
          <w:color w:val="000000"/>
          <w:szCs w:val="20"/>
          <w:lang w:eastAsia="bg-BG"/>
        </w:rPr>
        <w:t xml:space="preserve">6 участват в по-малка степен. Основните метаболити са </w:t>
      </w:r>
      <w:r w:rsidRPr="003F7B0F">
        <w:rPr>
          <w:rFonts w:eastAsia="Times New Roman" w:cs="Arial"/>
          <w:color w:val="000000"/>
          <w:szCs w:val="20"/>
          <w:lang w:val="en-US"/>
        </w:rPr>
        <w:t>N</w:t>
      </w:r>
      <w:r w:rsidRPr="003F7B0F">
        <w:rPr>
          <w:rFonts w:eastAsia="Times New Roman" w:cs="Arial"/>
          <w:color w:val="000000"/>
          <w:szCs w:val="20"/>
          <w:lang w:eastAsia="bg-BG"/>
        </w:rPr>
        <w:t xml:space="preserve">-десметил и лактон. </w:t>
      </w:r>
      <w:r w:rsidRPr="003F7B0F">
        <w:rPr>
          <w:rFonts w:eastAsia="Times New Roman" w:cs="Arial"/>
          <w:color w:val="000000"/>
          <w:szCs w:val="20"/>
          <w:lang w:val="en-US"/>
        </w:rPr>
        <w:t>N</w:t>
      </w:r>
      <w:r w:rsidRPr="003F7B0F">
        <w:rPr>
          <w:rFonts w:eastAsia="Times New Roman" w:cs="Arial"/>
          <w:color w:val="000000"/>
          <w:szCs w:val="20"/>
          <w:lang w:eastAsia="bg-BG"/>
        </w:rPr>
        <w:t xml:space="preserve">-десметил е около 50% по-малко активен в сравнение с розувастатин, докато лактон се счита за клинично неактивен. Розувастатин определя повече от 90% от активността на циркулиращия </w:t>
      </w:r>
      <w:r w:rsidRPr="003F7B0F">
        <w:rPr>
          <w:rFonts w:eastAsia="Times New Roman" w:cs="Arial"/>
          <w:color w:val="000000"/>
          <w:szCs w:val="20"/>
          <w:lang w:val="en-US"/>
        </w:rPr>
        <w:t>HMG</w:t>
      </w:r>
      <w:r w:rsidRPr="003F7B0F">
        <w:rPr>
          <w:rFonts w:eastAsia="Times New Roman" w:cs="Arial"/>
          <w:color w:val="000000"/>
          <w:szCs w:val="20"/>
          <w:lang w:val="ru-RU"/>
        </w:rPr>
        <w:t>-</w:t>
      </w:r>
      <w:r w:rsidRPr="003F7B0F">
        <w:rPr>
          <w:rFonts w:eastAsia="Times New Roman" w:cs="Arial"/>
          <w:color w:val="000000"/>
          <w:szCs w:val="20"/>
          <w:lang w:val="en-US"/>
        </w:rPr>
        <w:t>CoA</w:t>
      </w:r>
      <w:r w:rsidRPr="003F7B0F">
        <w:rPr>
          <w:rFonts w:eastAsia="Times New Roman" w:cs="Arial"/>
          <w:color w:val="000000"/>
          <w:szCs w:val="20"/>
          <w:lang w:val="ru-RU"/>
        </w:rPr>
        <w:t xml:space="preserve"> </w:t>
      </w:r>
      <w:r w:rsidRPr="003F7B0F">
        <w:rPr>
          <w:rFonts w:eastAsia="Times New Roman" w:cs="Arial"/>
          <w:color w:val="000000"/>
          <w:szCs w:val="20"/>
          <w:lang w:eastAsia="bg-BG"/>
        </w:rPr>
        <w:t>инхибитор на редуктазата.</w:t>
      </w:r>
    </w:p>
    <w:p w14:paraId="0FE15FEE" w14:textId="77777777" w:rsidR="003F7B0F" w:rsidRPr="003F7B0F" w:rsidRDefault="003F7B0F" w:rsidP="003F7B0F">
      <w:pPr>
        <w:spacing w:line="240" w:lineRule="auto"/>
        <w:rPr>
          <w:rFonts w:eastAsia="Times New Roman" w:cs="Arial"/>
          <w:color w:val="000000"/>
          <w:szCs w:val="20"/>
          <w:u w:val="single"/>
          <w:lang w:eastAsia="bg-BG"/>
        </w:rPr>
      </w:pPr>
    </w:p>
    <w:p w14:paraId="43A705A7" w14:textId="4F2314CA" w:rsidR="003F7B0F" w:rsidRPr="003F7B0F" w:rsidRDefault="003F7B0F" w:rsidP="003F7B0F">
      <w:pPr>
        <w:spacing w:line="240" w:lineRule="auto"/>
        <w:rPr>
          <w:rFonts w:eastAsia="Times New Roman" w:cs="Arial"/>
          <w:sz w:val="28"/>
          <w:szCs w:val="24"/>
        </w:rPr>
      </w:pPr>
      <w:r w:rsidRPr="003F7B0F">
        <w:rPr>
          <w:rStyle w:val="Heading3Char"/>
          <w:i/>
          <w:lang w:eastAsia="bg-BG"/>
        </w:rPr>
        <w:t>Елиминиране</w:t>
      </w:r>
      <w:r w:rsidRPr="003F7B0F">
        <w:rPr>
          <w:rFonts w:eastAsia="Times New Roman" w:cs="Arial"/>
          <w:color w:val="000000"/>
          <w:szCs w:val="20"/>
          <w:u w:val="single"/>
          <w:lang w:eastAsia="bg-BG"/>
        </w:rPr>
        <w:t>:</w:t>
      </w:r>
      <w:r w:rsidRPr="003F7B0F">
        <w:rPr>
          <w:rFonts w:eastAsia="Times New Roman" w:cs="Arial"/>
          <w:color w:val="000000"/>
          <w:szCs w:val="20"/>
          <w:lang w:eastAsia="bg-BG"/>
        </w:rPr>
        <w:t xml:space="preserve"> Приблизително 90% от розувастатин се елиминират като непроменено лекарство с фекалиите (абсорбирано и неабсорбирано лекарствено вещество), като останалата част се екскретира с урината. Около 5% се екскретира непроменен в урината. Плазменият полуживот е около 19 часа. Плазменият полуживот не се увеличава с увеличаване на дозата. Средният плазмен клирънс е приблизително 50 литра на час (коефициент на вариабилност 21,7%). Както при други инхибитори на редуктазата чернодробното поемане на розувастатин включва мембранния преносител ОАТР-С. Този преносител е важен за чернодробното елиминиране на розувастатин.</w:t>
      </w:r>
    </w:p>
    <w:p w14:paraId="64795670" w14:textId="77777777" w:rsidR="003F7B0F" w:rsidRPr="003F7B0F" w:rsidRDefault="003F7B0F" w:rsidP="003F7B0F">
      <w:pPr>
        <w:spacing w:line="240" w:lineRule="auto"/>
        <w:rPr>
          <w:rFonts w:eastAsia="Times New Roman" w:cs="Arial"/>
          <w:color w:val="000000"/>
          <w:szCs w:val="20"/>
          <w:u w:val="single"/>
          <w:lang w:eastAsia="bg-BG"/>
        </w:rPr>
      </w:pPr>
    </w:p>
    <w:p w14:paraId="7990ADAF" w14:textId="5429D911" w:rsidR="003F7B0F" w:rsidRPr="003F7B0F" w:rsidRDefault="003F7B0F" w:rsidP="003F7B0F">
      <w:pPr>
        <w:spacing w:line="240" w:lineRule="auto"/>
        <w:rPr>
          <w:rFonts w:eastAsia="Times New Roman" w:cs="Arial"/>
          <w:sz w:val="28"/>
          <w:szCs w:val="24"/>
        </w:rPr>
      </w:pPr>
      <w:r w:rsidRPr="003F7B0F">
        <w:rPr>
          <w:rStyle w:val="Heading3Char"/>
          <w:i/>
          <w:lang w:eastAsia="bg-BG"/>
        </w:rPr>
        <w:t xml:space="preserve">Линейност/нелинейност: </w:t>
      </w:r>
      <w:r w:rsidRPr="003F7B0F">
        <w:rPr>
          <w:rFonts w:eastAsia="Times New Roman" w:cs="Arial"/>
          <w:color w:val="000000"/>
          <w:szCs w:val="20"/>
          <w:lang w:eastAsia="bg-BG"/>
        </w:rPr>
        <w:t>Системната експозиция на розувастатин се увеличава пропорционално на приеманата доза. Няма промяна във фармакокинетичните параметри при многократно дозиране.</w:t>
      </w:r>
    </w:p>
    <w:p w14:paraId="7E3D3AFE" w14:textId="77777777" w:rsidR="003F7B0F" w:rsidRPr="003F7B0F" w:rsidRDefault="003F7B0F" w:rsidP="003F7B0F">
      <w:pPr>
        <w:spacing w:line="240" w:lineRule="auto"/>
        <w:rPr>
          <w:rFonts w:eastAsia="Times New Roman" w:cs="Arial"/>
          <w:b/>
          <w:bCs/>
          <w:i/>
          <w:iCs/>
          <w:color w:val="000000"/>
          <w:szCs w:val="20"/>
          <w:lang w:eastAsia="bg-BG"/>
        </w:rPr>
      </w:pPr>
    </w:p>
    <w:p w14:paraId="3E64007F" w14:textId="1DF5EACB" w:rsidR="003F7B0F" w:rsidRPr="003F7B0F" w:rsidRDefault="003F7B0F" w:rsidP="003F7B0F">
      <w:pPr>
        <w:spacing w:line="240" w:lineRule="auto"/>
        <w:rPr>
          <w:rFonts w:eastAsia="Times New Roman" w:cs="Arial"/>
          <w:sz w:val="28"/>
          <w:szCs w:val="24"/>
        </w:rPr>
      </w:pPr>
      <w:r w:rsidRPr="003F7B0F">
        <w:rPr>
          <w:rFonts w:eastAsia="Times New Roman" w:cs="Arial"/>
          <w:b/>
          <w:bCs/>
          <w:i/>
          <w:iCs/>
          <w:color w:val="000000"/>
          <w:szCs w:val="20"/>
          <w:lang w:eastAsia="bg-BG"/>
        </w:rPr>
        <w:t>Специфични популации</w:t>
      </w:r>
    </w:p>
    <w:p w14:paraId="2A80022B" w14:textId="77777777" w:rsidR="003F7B0F" w:rsidRPr="003F7B0F" w:rsidRDefault="003F7B0F" w:rsidP="003F7B0F">
      <w:pPr>
        <w:spacing w:line="240" w:lineRule="auto"/>
        <w:rPr>
          <w:rFonts w:eastAsia="Times New Roman" w:cs="Arial"/>
          <w:b/>
          <w:bCs/>
          <w:color w:val="000000"/>
          <w:szCs w:val="20"/>
          <w:lang w:eastAsia="bg-BG"/>
        </w:rPr>
      </w:pPr>
    </w:p>
    <w:p w14:paraId="1D73CD99" w14:textId="0E0D2CE5" w:rsidR="003F7B0F" w:rsidRPr="003F7B0F" w:rsidRDefault="003F7B0F" w:rsidP="003F7B0F">
      <w:pPr>
        <w:spacing w:line="240" w:lineRule="auto"/>
        <w:rPr>
          <w:rFonts w:eastAsia="Times New Roman" w:cs="Arial"/>
          <w:sz w:val="28"/>
          <w:szCs w:val="24"/>
        </w:rPr>
      </w:pPr>
      <w:r w:rsidRPr="003F7B0F">
        <w:rPr>
          <w:rFonts w:eastAsia="Times New Roman" w:cs="Arial"/>
          <w:b/>
          <w:bCs/>
          <w:color w:val="000000"/>
          <w:szCs w:val="20"/>
          <w:lang w:eastAsia="bg-BG"/>
        </w:rPr>
        <w:t xml:space="preserve">Възраст и </w:t>
      </w:r>
      <w:r w:rsidRPr="003F7B0F">
        <w:rPr>
          <w:rFonts w:eastAsia="Times New Roman" w:cs="Arial"/>
          <w:color w:val="000000"/>
          <w:szCs w:val="20"/>
          <w:lang w:eastAsia="bg-BG"/>
        </w:rPr>
        <w:t>пол: Възрастта или полът нямат клинично значим ефект върху фармакокинетиката на розувастатин при възрастни. Фармакокинетиката на розувастатин при възрастни и деца с хетерозиготна фамилна хиперхолестеролемия е сходна с тази на възрастните доброволци (вж. „Педиатрична популация" по-долу).</w:t>
      </w:r>
    </w:p>
    <w:p w14:paraId="28E897F3" w14:textId="77777777" w:rsidR="003F7B0F" w:rsidRPr="003F7B0F" w:rsidRDefault="003F7B0F" w:rsidP="003F7B0F">
      <w:pPr>
        <w:spacing w:line="240" w:lineRule="auto"/>
        <w:rPr>
          <w:rFonts w:eastAsia="Times New Roman" w:cs="Arial"/>
          <w:b/>
          <w:bCs/>
          <w:color w:val="000000"/>
          <w:szCs w:val="20"/>
          <w:lang w:eastAsia="bg-BG"/>
        </w:rPr>
      </w:pPr>
    </w:p>
    <w:p w14:paraId="7EA328AA" w14:textId="0BDFEF36" w:rsidR="003F7B0F" w:rsidRPr="003F7B0F" w:rsidRDefault="003F7B0F" w:rsidP="003F7B0F">
      <w:pPr>
        <w:spacing w:line="240" w:lineRule="auto"/>
        <w:rPr>
          <w:rFonts w:eastAsia="Times New Roman" w:cs="Arial"/>
          <w:sz w:val="28"/>
          <w:szCs w:val="24"/>
        </w:rPr>
      </w:pPr>
      <w:r w:rsidRPr="003F7B0F">
        <w:rPr>
          <w:rFonts w:eastAsia="Times New Roman" w:cs="Arial"/>
          <w:b/>
          <w:bCs/>
          <w:color w:val="000000"/>
          <w:szCs w:val="20"/>
          <w:lang w:eastAsia="bg-BG"/>
        </w:rPr>
        <w:t xml:space="preserve">Раса: </w:t>
      </w:r>
      <w:r w:rsidRPr="003F7B0F">
        <w:rPr>
          <w:rFonts w:eastAsia="Times New Roman" w:cs="Arial"/>
          <w:color w:val="000000"/>
          <w:szCs w:val="20"/>
          <w:lang w:eastAsia="bg-BG"/>
        </w:rPr>
        <w:t xml:space="preserve">Фармакокинетичните проучвания показват, че при индивиди от азиатската раса (японци, китайци, филипинци, виетнамци и корейци) се наблюдава двукратно повишаване в средната </w:t>
      </w:r>
      <w:r w:rsidRPr="003F7B0F">
        <w:rPr>
          <w:rFonts w:eastAsia="Times New Roman" w:cs="Arial"/>
          <w:color w:val="000000"/>
          <w:szCs w:val="20"/>
          <w:lang w:val="en-US"/>
        </w:rPr>
        <w:t>AUC</w:t>
      </w:r>
      <w:r w:rsidRPr="003F7B0F">
        <w:rPr>
          <w:rFonts w:eastAsia="Times New Roman" w:cs="Arial"/>
          <w:color w:val="000000"/>
          <w:szCs w:val="20"/>
          <w:lang w:val="ru-RU"/>
        </w:rPr>
        <w:t xml:space="preserve"> </w:t>
      </w:r>
      <w:r w:rsidRPr="003F7B0F">
        <w:rPr>
          <w:rFonts w:eastAsia="Times New Roman" w:cs="Arial"/>
          <w:color w:val="000000"/>
          <w:szCs w:val="20"/>
          <w:lang w:eastAsia="bg-BG"/>
        </w:rPr>
        <w:t>и С</w:t>
      </w:r>
      <w:r w:rsidRPr="003F7B0F">
        <w:rPr>
          <w:rFonts w:eastAsia="Times New Roman" w:cs="Arial"/>
          <w:color w:val="000000"/>
          <w:szCs w:val="20"/>
          <w:vertAlign w:val="subscript"/>
          <w:lang w:val="en-US"/>
        </w:rPr>
        <w:t>max</w:t>
      </w:r>
      <w:r w:rsidRPr="003F7B0F">
        <w:rPr>
          <w:rFonts w:eastAsia="Times New Roman" w:cs="Arial"/>
          <w:color w:val="000000"/>
          <w:szCs w:val="20"/>
          <w:lang w:val="ru-RU"/>
        </w:rPr>
        <w:t>,</w:t>
      </w:r>
      <w:r w:rsidRPr="003F7B0F">
        <w:rPr>
          <w:rFonts w:eastAsia="Times New Roman" w:cs="Arial"/>
          <w:color w:val="000000"/>
          <w:szCs w:val="20"/>
          <w:lang w:eastAsia="bg-BG"/>
        </w:rPr>
        <w:t xml:space="preserve"> откол кото при индивиди от кавказката раса. При индийци е налице повишаване на </w:t>
      </w:r>
      <w:r w:rsidRPr="003F7B0F">
        <w:rPr>
          <w:rFonts w:eastAsia="Times New Roman" w:cs="Arial"/>
          <w:color w:val="000000"/>
          <w:szCs w:val="20"/>
          <w:lang w:val="en-US"/>
        </w:rPr>
        <w:t>AUC</w:t>
      </w:r>
      <w:r w:rsidRPr="003F7B0F">
        <w:rPr>
          <w:rFonts w:eastAsia="Times New Roman" w:cs="Arial"/>
          <w:color w:val="000000"/>
          <w:szCs w:val="20"/>
          <w:lang w:val="ru-RU"/>
        </w:rPr>
        <w:t xml:space="preserve"> </w:t>
      </w:r>
      <w:r w:rsidRPr="003F7B0F">
        <w:rPr>
          <w:rFonts w:eastAsia="Times New Roman" w:cs="Arial"/>
          <w:color w:val="000000"/>
          <w:szCs w:val="20"/>
          <w:lang w:eastAsia="bg-BG"/>
        </w:rPr>
        <w:t>и С</w:t>
      </w:r>
      <w:r w:rsidRPr="003F7B0F">
        <w:rPr>
          <w:rFonts w:eastAsia="Times New Roman" w:cs="Arial"/>
          <w:color w:val="000000"/>
          <w:szCs w:val="20"/>
          <w:vertAlign w:val="subscript"/>
          <w:lang w:val="en-US"/>
        </w:rPr>
        <w:t>max</w:t>
      </w:r>
      <w:r w:rsidRPr="003F7B0F">
        <w:rPr>
          <w:rFonts w:eastAsia="Times New Roman" w:cs="Arial"/>
          <w:color w:val="000000"/>
          <w:szCs w:val="20"/>
          <w:lang w:eastAsia="bg-BG"/>
        </w:rPr>
        <w:t xml:space="preserve"> 1,3 пъти. Не е известно какво е значението на факторите на околната среда и на генетичните фактори за появата на тези разлики. Един популационен фармакокинетичен анализ показва, че между индивидите от кавказката и от черната раса няма клинично значими различия.</w:t>
      </w:r>
    </w:p>
    <w:p w14:paraId="4A8A7AAF" w14:textId="77777777" w:rsidR="003F7B0F" w:rsidRPr="003F7B0F" w:rsidRDefault="003F7B0F" w:rsidP="003F7B0F">
      <w:pPr>
        <w:spacing w:line="240" w:lineRule="auto"/>
        <w:rPr>
          <w:rFonts w:eastAsia="Times New Roman" w:cs="Arial"/>
          <w:b/>
          <w:bCs/>
          <w:color w:val="000000"/>
          <w:szCs w:val="20"/>
          <w:lang w:eastAsia="bg-BG"/>
        </w:rPr>
      </w:pPr>
    </w:p>
    <w:p w14:paraId="545C09E7" w14:textId="7E1A1AFE" w:rsidR="003F7B0F" w:rsidRPr="003F7B0F" w:rsidRDefault="003F7B0F" w:rsidP="003F7B0F">
      <w:pPr>
        <w:spacing w:line="240" w:lineRule="auto"/>
        <w:rPr>
          <w:rFonts w:eastAsia="Times New Roman" w:cs="Arial"/>
          <w:sz w:val="28"/>
          <w:szCs w:val="24"/>
        </w:rPr>
      </w:pPr>
      <w:r w:rsidRPr="003F7B0F">
        <w:rPr>
          <w:rFonts w:eastAsia="Times New Roman" w:cs="Arial"/>
          <w:b/>
          <w:bCs/>
          <w:color w:val="000000"/>
          <w:szCs w:val="20"/>
          <w:lang w:eastAsia="bg-BG"/>
        </w:rPr>
        <w:t xml:space="preserve">Бъбречна недостатъчност: </w:t>
      </w:r>
      <w:r w:rsidRPr="003F7B0F">
        <w:rPr>
          <w:rFonts w:eastAsia="Times New Roman" w:cs="Arial"/>
          <w:color w:val="000000"/>
          <w:szCs w:val="20"/>
          <w:lang w:eastAsia="bg-BG"/>
        </w:rPr>
        <w:t xml:space="preserve">В едно проучване на лица с различна степен на бъбречно увреждане лекото до умерено бъбречно заболяване не е повлияло плазмените концентрации на розувастатин или на неговия </w:t>
      </w:r>
      <w:r w:rsidRPr="003F7B0F">
        <w:rPr>
          <w:rFonts w:eastAsia="Times New Roman" w:cs="Arial"/>
          <w:color w:val="000000"/>
          <w:szCs w:val="20"/>
          <w:lang w:val="en-US"/>
        </w:rPr>
        <w:t>N</w:t>
      </w:r>
      <w:r w:rsidRPr="003F7B0F">
        <w:rPr>
          <w:rFonts w:eastAsia="Times New Roman" w:cs="Arial"/>
          <w:color w:val="000000"/>
          <w:szCs w:val="20"/>
          <w:lang w:eastAsia="bg-BG"/>
        </w:rPr>
        <w:t xml:space="preserve">-десметил метаболит. Лица с тежко увреждане, обаче (креатининов клирънс &lt;30 </w:t>
      </w:r>
      <w:r w:rsidRPr="003F7B0F">
        <w:rPr>
          <w:rFonts w:eastAsia="Times New Roman" w:cs="Arial"/>
          <w:color w:val="000000"/>
          <w:szCs w:val="20"/>
          <w:lang w:val="en-US"/>
        </w:rPr>
        <w:t>ml</w:t>
      </w:r>
      <w:r w:rsidRPr="003F7B0F">
        <w:rPr>
          <w:rFonts w:eastAsia="Times New Roman" w:cs="Arial"/>
          <w:color w:val="000000"/>
          <w:szCs w:val="20"/>
          <w:lang w:val="ru-RU"/>
        </w:rPr>
        <w:t>/</w:t>
      </w:r>
      <w:r w:rsidRPr="003F7B0F">
        <w:rPr>
          <w:rFonts w:eastAsia="Times New Roman" w:cs="Arial"/>
          <w:color w:val="000000"/>
          <w:szCs w:val="20"/>
          <w:lang w:val="en-US"/>
        </w:rPr>
        <w:t>min</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са имали трикратно увеличение на плазмената концентрация в сравнение със здрави доброволци и девет пъти по-висока концентрация на </w:t>
      </w:r>
      <w:r w:rsidRPr="003F7B0F">
        <w:rPr>
          <w:rFonts w:eastAsia="Times New Roman" w:cs="Arial"/>
          <w:color w:val="000000"/>
          <w:szCs w:val="20"/>
          <w:lang w:val="en-US"/>
        </w:rPr>
        <w:t>N</w:t>
      </w:r>
      <w:r w:rsidRPr="003F7B0F">
        <w:rPr>
          <w:rFonts w:eastAsia="Times New Roman" w:cs="Arial"/>
          <w:color w:val="000000"/>
          <w:szCs w:val="20"/>
          <w:lang w:eastAsia="bg-BG"/>
        </w:rPr>
        <w:t>-десметил метаболита. Равновесните плазмени концентрации на розувастатин при пациенти на хемодиализа са приблизително 50% по-високи в сравнение със здрави доброволци.</w:t>
      </w:r>
    </w:p>
    <w:p w14:paraId="0D56EBE8" w14:textId="77777777" w:rsidR="003F7B0F" w:rsidRPr="003F7B0F" w:rsidRDefault="003F7B0F" w:rsidP="003F7B0F">
      <w:pPr>
        <w:spacing w:line="240" w:lineRule="auto"/>
        <w:rPr>
          <w:rFonts w:eastAsia="Times New Roman" w:cs="Arial"/>
          <w:b/>
          <w:bCs/>
          <w:color w:val="000000"/>
          <w:szCs w:val="20"/>
          <w:lang w:eastAsia="bg-BG"/>
        </w:rPr>
      </w:pPr>
    </w:p>
    <w:p w14:paraId="69F4BE67" w14:textId="3D916184" w:rsidR="003F7B0F" w:rsidRPr="003F7B0F" w:rsidRDefault="003F7B0F" w:rsidP="003F7B0F">
      <w:pPr>
        <w:spacing w:line="240" w:lineRule="auto"/>
        <w:rPr>
          <w:rFonts w:eastAsia="Times New Roman" w:cs="Arial"/>
          <w:sz w:val="28"/>
          <w:szCs w:val="24"/>
        </w:rPr>
      </w:pPr>
      <w:r w:rsidRPr="003F7B0F">
        <w:rPr>
          <w:rFonts w:eastAsia="Times New Roman" w:cs="Arial"/>
          <w:b/>
          <w:bCs/>
          <w:color w:val="000000"/>
          <w:szCs w:val="20"/>
          <w:lang w:eastAsia="bg-BG"/>
        </w:rPr>
        <w:t xml:space="preserve">Чернодробна недостатъчност: </w:t>
      </w:r>
      <w:r w:rsidRPr="003F7B0F">
        <w:rPr>
          <w:rFonts w:eastAsia="Times New Roman" w:cs="Arial"/>
          <w:color w:val="000000"/>
          <w:szCs w:val="20"/>
          <w:lang w:eastAsia="bg-BG"/>
        </w:rPr>
        <w:t xml:space="preserve">В едно проучване на лица с различна степен на чернодробно увреждане не са получени данни за повишена експозиция на розувастатин при пациенти с резултат по </w:t>
      </w:r>
      <w:r w:rsidRPr="003F7B0F">
        <w:rPr>
          <w:rFonts w:eastAsia="Times New Roman" w:cs="Arial"/>
          <w:color w:val="000000"/>
          <w:szCs w:val="20"/>
          <w:lang w:val="en-US"/>
        </w:rPr>
        <w:t>Child</w:t>
      </w:r>
      <w:r w:rsidRPr="003F7B0F">
        <w:rPr>
          <w:rFonts w:eastAsia="Times New Roman" w:cs="Arial"/>
          <w:color w:val="000000"/>
          <w:szCs w:val="20"/>
          <w:lang w:val="ru-RU"/>
        </w:rPr>
        <w:t>-</w:t>
      </w:r>
      <w:r w:rsidRPr="003F7B0F">
        <w:rPr>
          <w:rFonts w:eastAsia="Times New Roman" w:cs="Arial"/>
          <w:color w:val="000000"/>
          <w:szCs w:val="20"/>
          <w:lang w:val="en-US"/>
        </w:rPr>
        <w:t>Pugh</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7 или по-нисък. При двама пациенти с тежко чернодробно увреждане (резултат по </w:t>
      </w:r>
      <w:r w:rsidRPr="003F7B0F">
        <w:rPr>
          <w:rFonts w:eastAsia="Times New Roman" w:cs="Arial"/>
          <w:color w:val="000000"/>
          <w:szCs w:val="20"/>
          <w:lang w:val="en-US"/>
        </w:rPr>
        <w:t>Child</w:t>
      </w:r>
      <w:r w:rsidRPr="003F7B0F">
        <w:rPr>
          <w:rFonts w:eastAsia="Times New Roman" w:cs="Arial"/>
          <w:color w:val="000000"/>
          <w:szCs w:val="20"/>
          <w:lang w:val="ru-RU"/>
        </w:rPr>
        <w:t>-</w:t>
      </w:r>
      <w:r w:rsidRPr="003F7B0F">
        <w:rPr>
          <w:rFonts w:eastAsia="Times New Roman" w:cs="Arial"/>
          <w:color w:val="000000"/>
          <w:szCs w:val="20"/>
          <w:lang w:val="en-US"/>
        </w:rPr>
        <w:t>Pugh</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8 и 9) системната експозиция е била </w:t>
      </w:r>
      <w:r w:rsidRPr="003F7B0F">
        <w:rPr>
          <w:rFonts w:eastAsia="Times New Roman" w:cs="Arial"/>
          <w:color w:val="000000"/>
          <w:szCs w:val="20"/>
          <w:lang w:eastAsia="bg-BG"/>
        </w:rPr>
        <w:lastRenderedPageBreak/>
        <w:t xml:space="preserve">увеличена най-малко два пъти в сравнение с лица с по-нисък резултат по </w:t>
      </w:r>
      <w:r w:rsidRPr="003F7B0F">
        <w:rPr>
          <w:rFonts w:eastAsia="Times New Roman" w:cs="Arial"/>
          <w:color w:val="000000"/>
          <w:szCs w:val="20"/>
          <w:lang w:val="en-US"/>
        </w:rPr>
        <w:t>Child</w:t>
      </w:r>
      <w:r w:rsidRPr="003F7B0F">
        <w:rPr>
          <w:rFonts w:eastAsia="Times New Roman" w:cs="Arial"/>
          <w:color w:val="000000"/>
          <w:szCs w:val="20"/>
          <w:lang w:val="ru-RU"/>
        </w:rPr>
        <w:t>-</w:t>
      </w:r>
      <w:r w:rsidRPr="003F7B0F">
        <w:rPr>
          <w:rFonts w:eastAsia="Times New Roman" w:cs="Arial"/>
          <w:color w:val="000000"/>
          <w:szCs w:val="20"/>
          <w:lang w:val="en-US"/>
        </w:rPr>
        <w:t>Pugh</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Няма данни за пациенти с резултат по </w:t>
      </w:r>
      <w:r w:rsidRPr="003F7B0F">
        <w:rPr>
          <w:rFonts w:eastAsia="Times New Roman" w:cs="Arial"/>
          <w:color w:val="000000"/>
          <w:szCs w:val="20"/>
          <w:lang w:val="en-US"/>
        </w:rPr>
        <w:t>Child</w:t>
      </w:r>
      <w:r w:rsidRPr="003F7B0F">
        <w:rPr>
          <w:rFonts w:eastAsia="Times New Roman" w:cs="Arial"/>
          <w:color w:val="000000"/>
          <w:szCs w:val="20"/>
          <w:lang w:val="ru-RU"/>
        </w:rPr>
        <w:t>-</w:t>
      </w:r>
      <w:r w:rsidRPr="003F7B0F">
        <w:rPr>
          <w:rFonts w:eastAsia="Times New Roman" w:cs="Arial"/>
          <w:color w:val="000000"/>
          <w:szCs w:val="20"/>
          <w:lang w:val="en-US"/>
        </w:rPr>
        <w:t>Pugh</w:t>
      </w:r>
      <w:r w:rsidRPr="003F7B0F">
        <w:rPr>
          <w:rFonts w:eastAsia="Times New Roman" w:cs="Arial"/>
          <w:color w:val="000000"/>
          <w:szCs w:val="20"/>
          <w:lang w:val="ru-RU"/>
        </w:rPr>
        <w:t xml:space="preserve"> </w:t>
      </w:r>
      <w:r w:rsidRPr="003F7B0F">
        <w:rPr>
          <w:rFonts w:eastAsia="Times New Roman" w:cs="Arial"/>
          <w:color w:val="000000"/>
          <w:szCs w:val="20"/>
          <w:lang w:eastAsia="bg-BG"/>
        </w:rPr>
        <w:t>над 9.</w:t>
      </w:r>
    </w:p>
    <w:p w14:paraId="041CBC21" w14:textId="77777777" w:rsidR="003F7B0F" w:rsidRPr="003F7B0F" w:rsidRDefault="003F7B0F" w:rsidP="003F7B0F">
      <w:pPr>
        <w:spacing w:line="240" w:lineRule="auto"/>
        <w:rPr>
          <w:rFonts w:eastAsia="Times New Roman" w:cs="Arial"/>
          <w:b/>
          <w:bCs/>
          <w:color w:val="000000"/>
          <w:szCs w:val="20"/>
          <w:lang w:eastAsia="bg-BG"/>
        </w:rPr>
      </w:pPr>
    </w:p>
    <w:p w14:paraId="1CC5C1BD" w14:textId="5D6A010C" w:rsidR="003F7B0F" w:rsidRPr="003F7B0F" w:rsidRDefault="003F7B0F" w:rsidP="003F7B0F">
      <w:pPr>
        <w:spacing w:line="240" w:lineRule="auto"/>
        <w:rPr>
          <w:rFonts w:eastAsia="Times New Roman" w:cs="Arial"/>
          <w:color w:val="000000"/>
          <w:szCs w:val="20"/>
          <w:lang w:eastAsia="bg-BG"/>
        </w:rPr>
      </w:pPr>
      <w:r w:rsidRPr="003F7B0F">
        <w:rPr>
          <w:rFonts w:eastAsia="Times New Roman" w:cs="Arial"/>
          <w:b/>
          <w:bCs/>
          <w:color w:val="000000"/>
          <w:szCs w:val="20"/>
          <w:lang w:eastAsia="bg-BG"/>
        </w:rPr>
        <w:t xml:space="preserve">Генетичен полиморфизъм: </w:t>
      </w:r>
      <w:r w:rsidRPr="003F7B0F">
        <w:rPr>
          <w:rFonts w:eastAsia="Times New Roman" w:cs="Arial"/>
          <w:color w:val="000000"/>
          <w:szCs w:val="20"/>
          <w:lang w:eastAsia="bg-BG"/>
        </w:rPr>
        <w:t xml:space="preserve">Диспозицията на </w:t>
      </w:r>
      <w:r w:rsidRPr="003F7B0F">
        <w:rPr>
          <w:rFonts w:eastAsia="Times New Roman" w:cs="Arial"/>
          <w:color w:val="000000"/>
          <w:szCs w:val="20"/>
          <w:lang w:val="en-US"/>
        </w:rPr>
        <w:t>HMG</w:t>
      </w:r>
      <w:r w:rsidRPr="003F7B0F">
        <w:rPr>
          <w:rFonts w:eastAsia="Times New Roman" w:cs="Arial"/>
          <w:color w:val="000000"/>
          <w:szCs w:val="20"/>
          <w:lang w:val="ru-RU"/>
        </w:rPr>
        <w:t>-</w:t>
      </w:r>
      <w:r w:rsidRPr="003F7B0F">
        <w:rPr>
          <w:rFonts w:eastAsia="Times New Roman" w:cs="Arial"/>
          <w:color w:val="000000"/>
          <w:szCs w:val="20"/>
          <w:lang w:val="en-US"/>
        </w:rPr>
        <w:t>CoA</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редуктазните инхибитори, включително розувастатин, е свързана с транспортерните протеини ОАТР1В1 и </w:t>
      </w:r>
      <w:r w:rsidRPr="003F7B0F">
        <w:rPr>
          <w:rFonts w:eastAsia="Times New Roman" w:cs="Arial"/>
          <w:color w:val="000000"/>
          <w:szCs w:val="20"/>
          <w:lang w:val="en-US"/>
        </w:rPr>
        <w:t>BCRP</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При пациенти с генетичен полиморфизъм на </w:t>
      </w:r>
      <w:r w:rsidRPr="003F7B0F">
        <w:rPr>
          <w:rFonts w:eastAsia="Times New Roman" w:cs="Arial"/>
          <w:color w:val="000000"/>
          <w:szCs w:val="20"/>
          <w:lang w:val="en-US"/>
        </w:rPr>
        <w:t>SLCOIBI</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(ОАТР1В1) и/или </w:t>
      </w:r>
      <w:r w:rsidRPr="003F7B0F">
        <w:rPr>
          <w:rFonts w:eastAsia="Times New Roman" w:cs="Arial"/>
          <w:color w:val="000000"/>
          <w:szCs w:val="20"/>
          <w:lang w:val="en-US"/>
        </w:rPr>
        <w:t>ABCG</w:t>
      </w:r>
      <w:r w:rsidRPr="003F7B0F">
        <w:rPr>
          <w:rFonts w:eastAsia="Times New Roman" w:cs="Arial"/>
          <w:color w:val="000000"/>
          <w:szCs w:val="20"/>
          <w:lang w:val="ru-RU"/>
        </w:rPr>
        <w:t>2 (</w:t>
      </w:r>
      <w:r w:rsidRPr="003F7B0F">
        <w:rPr>
          <w:rFonts w:eastAsia="Times New Roman" w:cs="Arial"/>
          <w:color w:val="000000"/>
          <w:szCs w:val="20"/>
          <w:lang w:val="en-US"/>
        </w:rPr>
        <w:t>BCRP</w:t>
      </w:r>
      <w:r w:rsidRPr="003F7B0F">
        <w:rPr>
          <w:rFonts w:eastAsia="Times New Roman" w:cs="Arial"/>
          <w:color w:val="000000"/>
          <w:szCs w:val="20"/>
          <w:lang w:val="ru-RU"/>
        </w:rPr>
        <w:t xml:space="preserve">) </w:t>
      </w:r>
      <w:r w:rsidRPr="003F7B0F">
        <w:rPr>
          <w:rFonts w:eastAsia="Times New Roman" w:cs="Arial"/>
          <w:color w:val="000000"/>
          <w:szCs w:val="20"/>
          <w:lang w:eastAsia="bg-BG"/>
        </w:rPr>
        <w:t>има риск</w:t>
      </w:r>
      <w:r w:rsidRPr="003F7B0F">
        <w:rPr>
          <w:rFonts w:eastAsia="Times New Roman" w:cs="Arial"/>
          <w:color w:val="000000"/>
          <w:szCs w:val="20"/>
          <w:u w:val="single"/>
          <w:lang w:eastAsia="bg-BG"/>
        </w:rPr>
        <w:t xml:space="preserve"> </w:t>
      </w:r>
      <w:r w:rsidRPr="003F7B0F">
        <w:rPr>
          <w:rFonts w:eastAsia="Times New Roman" w:cs="Arial"/>
          <w:color w:val="000000"/>
          <w:szCs w:val="20"/>
          <w:lang w:eastAsia="bg-BG"/>
        </w:rPr>
        <w:t xml:space="preserve">от повишаване на експозицията на розувастатин. Индивидуален полиморфизъм на </w:t>
      </w:r>
      <w:r w:rsidRPr="003F7B0F">
        <w:rPr>
          <w:rFonts w:eastAsia="Times New Roman" w:cs="Arial"/>
          <w:color w:val="000000"/>
          <w:szCs w:val="20"/>
          <w:lang w:val="en-US"/>
        </w:rPr>
        <w:t>SLC</w:t>
      </w:r>
      <w:r w:rsidRPr="003F7B0F">
        <w:rPr>
          <w:rFonts w:eastAsia="Times New Roman" w:cs="Arial"/>
          <w:color w:val="000000"/>
          <w:szCs w:val="20"/>
          <w:lang w:val="ru-RU"/>
        </w:rPr>
        <w:t>01</w:t>
      </w:r>
      <w:r w:rsidRPr="003F7B0F">
        <w:rPr>
          <w:rFonts w:eastAsia="Times New Roman" w:cs="Arial"/>
          <w:color w:val="000000"/>
          <w:szCs w:val="20"/>
          <w:lang w:val="en-US"/>
        </w:rPr>
        <w:t>B</w:t>
      </w:r>
      <w:r w:rsidRPr="003F7B0F">
        <w:rPr>
          <w:rFonts w:eastAsia="Times New Roman" w:cs="Arial"/>
          <w:color w:val="000000"/>
          <w:szCs w:val="20"/>
          <w:lang w:val="ru-RU"/>
        </w:rPr>
        <w:t>1</w:t>
      </w:r>
      <w:r w:rsidRPr="003F7B0F">
        <w:rPr>
          <w:rFonts w:eastAsia="Times New Roman" w:cs="Arial"/>
          <w:color w:val="000000"/>
          <w:szCs w:val="20"/>
          <w:lang w:eastAsia="bg-BG"/>
        </w:rPr>
        <w:t xml:space="preserve"> С.521</w:t>
      </w:r>
      <w:r w:rsidRPr="003F7B0F">
        <w:rPr>
          <w:rFonts w:eastAsia="Times New Roman" w:cs="Arial"/>
          <w:b/>
          <w:bCs/>
          <w:i/>
          <w:iCs/>
          <w:color w:val="000000"/>
          <w:szCs w:val="20"/>
          <w:lang w:val="en-US"/>
        </w:rPr>
        <w:t>CC</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и </w:t>
      </w:r>
      <w:r w:rsidRPr="003F7B0F">
        <w:rPr>
          <w:rFonts w:eastAsia="Times New Roman" w:cs="Arial"/>
          <w:color w:val="000000"/>
          <w:szCs w:val="20"/>
          <w:lang w:val="en-US"/>
        </w:rPr>
        <w:t>ABCG</w:t>
      </w:r>
      <w:r w:rsidRPr="003F7B0F">
        <w:rPr>
          <w:rFonts w:eastAsia="Times New Roman" w:cs="Arial"/>
          <w:color w:val="000000"/>
          <w:szCs w:val="20"/>
          <w:lang w:val="ru-RU"/>
        </w:rPr>
        <w:t xml:space="preserve">2 </w:t>
      </w:r>
      <w:r w:rsidRPr="003F7B0F">
        <w:rPr>
          <w:rFonts w:eastAsia="Times New Roman" w:cs="Arial"/>
          <w:color w:val="000000"/>
          <w:szCs w:val="20"/>
          <w:lang w:eastAsia="bg-BG"/>
        </w:rPr>
        <w:t>С.421АА е свързан с приблизително 1,7 пъти по-висока експозиция (</w:t>
      </w:r>
      <w:r w:rsidRPr="003F7B0F">
        <w:rPr>
          <w:rFonts w:eastAsia="Times New Roman" w:cs="Arial"/>
          <w:color w:val="000000"/>
          <w:szCs w:val="20"/>
          <w:lang w:val="en-US"/>
        </w:rPr>
        <w:t>AUC</w:t>
      </w:r>
      <w:r w:rsidRPr="003F7B0F">
        <w:rPr>
          <w:rFonts w:eastAsia="Times New Roman" w:cs="Arial"/>
          <w:color w:val="000000"/>
          <w:szCs w:val="20"/>
          <w:lang w:val="ru-RU"/>
        </w:rPr>
        <w:t>)</w:t>
      </w:r>
      <w:r w:rsidRPr="003F7B0F">
        <w:rPr>
          <w:rFonts w:eastAsia="Times New Roman" w:cs="Arial"/>
          <w:color w:val="000000"/>
          <w:szCs w:val="20"/>
          <w:lang w:eastAsia="bg-BG"/>
        </w:rPr>
        <w:t xml:space="preserve"> на розувастатин или 2,4 пъти по-висока експозиция, съответно, в сравнение с</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генотиповете </w:t>
      </w:r>
      <w:r w:rsidRPr="003F7B0F">
        <w:rPr>
          <w:rFonts w:eastAsia="Times New Roman" w:cs="Arial"/>
          <w:color w:val="000000"/>
          <w:szCs w:val="20"/>
          <w:lang w:val="en-US"/>
        </w:rPr>
        <w:t>SLCOIBI</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С.521ТТ или </w:t>
      </w:r>
      <w:r w:rsidRPr="003F7B0F">
        <w:rPr>
          <w:rFonts w:eastAsia="Times New Roman" w:cs="Arial"/>
          <w:color w:val="000000"/>
          <w:szCs w:val="20"/>
          <w:lang w:val="en-US"/>
        </w:rPr>
        <w:t>ABCG</w:t>
      </w:r>
      <w:r w:rsidRPr="003F7B0F">
        <w:rPr>
          <w:rFonts w:eastAsia="Times New Roman" w:cs="Arial"/>
          <w:color w:val="000000"/>
          <w:szCs w:val="20"/>
          <w:lang w:val="ru-RU"/>
        </w:rPr>
        <w:t xml:space="preserve">2 </w:t>
      </w:r>
      <w:r w:rsidRPr="003F7B0F">
        <w:rPr>
          <w:rFonts w:eastAsia="Times New Roman" w:cs="Arial"/>
          <w:color w:val="000000"/>
          <w:szCs w:val="20"/>
          <w:lang w:eastAsia="bg-BG"/>
        </w:rPr>
        <w:t>с.421СС.</w:t>
      </w:r>
    </w:p>
    <w:p w14:paraId="46B71901" w14:textId="79470790" w:rsidR="003F7B0F" w:rsidRPr="003F7B0F" w:rsidRDefault="003F7B0F" w:rsidP="003F7B0F">
      <w:pPr>
        <w:spacing w:line="240" w:lineRule="auto"/>
        <w:rPr>
          <w:rFonts w:eastAsia="Times New Roman" w:cs="Arial"/>
          <w:color w:val="000000"/>
          <w:szCs w:val="20"/>
          <w:lang w:eastAsia="bg-BG"/>
        </w:rPr>
      </w:pPr>
    </w:p>
    <w:p w14:paraId="08E9758C" w14:textId="77777777" w:rsidR="003F7B0F" w:rsidRPr="003F7B0F" w:rsidRDefault="003F7B0F" w:rsidP="003F7B0F">
      <w:pPr>
        <w:spacing w:line="240" w:lineRule="auto"/>
        <w:rPr>
          <w:rFonts w:eastAsia="Times New Roman" w:cs="Arial"/>
          <w:sz w:val="28"/>
          <w:szCs w:val="24"/>
        </w:rPr>
      </w:pPr>
      <w:r w:rsidRPr="003F7B0F">
        <w:rPr>
          <w:rFonts w:eastAsia="Times New Roman" w:cs="Arial"/>
          <w:b/>
          <w:bCs/>
          <w:color w:val="000000"/>
          <w:szCs w:val="20"/>
          <w:lang w:eastAsia="bg-BG"/>
        </w:rPr>
        <w:t xml:space="preserve">Педиатрична популация: </w:t>
      </w:r>
      <w:r w:rsidRPr="003F7B0F">
        <w:rPr>
          <w:rFonts w:eastAsia="Times New Roman" w:cs="Arial"/>
          <w:color w:val="000000"/>
          <w:szCs w:val="20"/>
          <w:lang w:eastAsia="bg-BG"/>
        </w:rPr>
        <w:t>две фармакокинетични проучвания с розувастатин (прилаган под формата на таблетки) при педиатрични пациенти с хетерозиготна фамилна хиперхолестеролемия на възраст 10-17 или 6-17 години (общо 214 пациенти) показват, че експозицията при педиатричните пациенти изглежда сравнима или по-ниска от тази при възрастните пациенти. Експозицията на розувастатин е била предвидима по отношение на дозата и времето в продължение на 2-годишен период.</w:t>
      </w:r>
    </w:p>
    <w:p w14:paraId="7C385F43" w14:textId="6CF3B8E7" w:rsidR="003F7B0F" w:rsidRPr="003F7B0F" w:rsidRDefault="003F7B0F" w:rsidP="003F7B0F"/>
    <w:p w14:paraId="648E39DA" w14:textId="5D09596C" w:rsidR="00CF77F7" w:rsidRDefault="002C50EE" w:rsidP="004A448E">
      <w:pPr>
        <w:pStyle w:val="Heading2"/>
      </w:pPr>
      <w:r>
        <w:t>5.3. Предклинични данни за безопасност</w:t>
      </w:r>
    </w:p>
    <w:p w14:paraId="4AB86677" w14:textId="1F3FC218" w:rsidR="003F7B0F" w:rsidRDefault="003F7B0F" w:rsidP="003F7B0F"/>
    <w:p w14:paraId="0E8C6CA5" w14:textId="77777777" w:rsidR="003F7B0F" w:rsidRPr="003F7B0F" w:rsidRDefault="003F7B0F" w:rsidP="003F7B0F">
      <w:pPr>
        <w:rPr>
          <w:sz w:val="24"/>
          <w:szCs w:val="24"/>
        </w:rPr>
      </w:pPr>
      <w:r w:rsidRPr="003F7B0F">
        <w:rPr>
          <w:lang w:eastAsia="bg-BG"/>
        </w:rPr>
        <w:t xml:space="preserve">Предклиничните данни не са показали специален риск при хора въз основа на стандартните проучвания за безопасност върху основните системи, генотоксичност, канцерогенен потенциал. Не са провеждани специфични изследвания, оценяващи ефектите върху </w:t>
      </w:r>
      <w:proofErr w:type="spellStart"/>
      <w:r w:rsidRPr="003F7B0F">
        <w:rPr>
          <w:lang w:val="en-US"/>
        </w:rPr>
        <w:t>hERG</w:t>
      </w:r>
      <w:proofErr w:type="spellEnd"/>
      <w:r w:rsidRPr="003F7B0F">
        <w:rPr>
          <w:lang w:val="ru-RU"/>
        </w:rPr>
        <w:t xml:space="preserve">. </w:t>
      </w:r>
      <w:r w:rsidRPr="003F7B0F">
        <w:rPr>
          <w:lang w:eastAsia="bg-BG"/>
        </w:rPr>
        <w:t>Нежеланите реакции, които не са наблюдавани в клинични проучвания, но са наблюдавани при животни при нива на експозиция близки до клиничните са следните; в изпитвания за токсичност след многократно приложение се наблюдават хистопатологични чернодробни изменения, вследствие на фармакологичното действие на розувастатин при мишки, плъхове и в по-ниска степен в жлъчния мехур при кучета, но не и при маймуни. В допълнение се наблюдава токсичност по отношение на тестисите при маймуни и кучета при по-високи дози. Репродуктивна токсичност при плъхове, за която се съди по намалените големина, тегло и преживяемост на малките, се наблюдава при матернотоксични дози на системна експозиция няколко пъти над нивото на терапевтична експозиция.</w:t>
      </w:r>
    </w:p>
    <w:p w14:paraId="6C05C48B" w14:textId="77777777" w:rsidR="003F7B0F" w:rsidRPr="003F7B0F" w:rsidRDefault="003F7B0F" w:rsidP="003F7B0F"/>
    <w:p w14:paraId="6A7820AB" w14:textId="3C30AC6A" w:rsidR="008A6AF2" w:rsidRDefault="002C50EE" w:rsidP="00395555">
      <w:pPr>
        <w:pStyle w:val="Heading1"/>
      </w:pPr>
      <w:r>
        <w:t>7. ПРИТЕЖАТЕЛ НА РАЗРЕШЕНИЕТО ЗА УПОТРЕБА</w:t>
      </w:r>
    </w:p>
    <w:p w14:paraId="32533A5F" w14:textId="3DF31C83" w:rsidR="003F7B0F" w:rsidRDefault="003F7B0F" w:rsidP="003F7B0F"/>
    <w:p w14:paraId="135B8963" w14:textId="77777777" w:rsidR="003F7B0F" w:rsidRPr="003F7B0F" w:rsidRDefault="003F7B0F" w:rsidP="003F7B0F">
      <w:pPr>
        <w:rPr>
          <w:sz w:val="24"/>
          <w:szCs w:val="24"/>
          <w:lang w:val="en-US"/>
        </w:rPr>
      </w:pPr>
      <w:r w:rsidRPr="003F7B0F">
        <w:rPr>
          <w:lang w:val="en-US"/>
        </w:rPr>
        <w:t xml:space="preserve">STADA </w:t>
      </w:r>
      <w:proofErr w:type="spellStart"/>
      <w:r w:rsidRPr="003F7B0F">
        <w:rPr>
          <w:lang w:val="en-US"/>
        </w:rPr>
        <w:t>Arzneimittel</w:t>
      </w:r>
      <w:proofErr w:type="spellEnd"/>
      <w:r w:rsidRPr="003F7B0F">
        <w:rPr>
          <w:lang w:val="en-US"/>
        </w:rPr>
        <w:t xml:space="preserve"> AG</w:t>
      </w:r>
    </w:p>
    <w:p w14:paraId="39B2648C" w14:textId="77777777" w:rsidR="003F7B0F" w:rsidRPr="003F7B0F" w:rsidRDefault="003F7B0F" w:rsidP="003F7B0F">
      <w:pPr>
        <w:rPr>
          <w:sz w:val="24"/>
          <w:szCs w:val="24"/>
          <w:lang w:val="en-US"/>
        </w:rPr>
      </w:pPr>
      <w:proofErr w:type="spellStart"/>
      <w:r w:rsidRPr="003F7B0F">
        <w:rPr>
          <w:lang w:val="en-US"/>
        </w:rPr>
        <w:t>Stadastrasse</w:t>
      </w:r>
      <w:proofErr w:type="spellEnd"/>
      <w:r w:rsidRPr="003F7B0F">
        <w:rPr>
          <w:lang w:val="en-US"/>
        </w:rPr>
        <w:t xml:space="preserve"> </w:t>
      </w:r>
      <w:r w:rsidRPr="003F7B0F">
        <w:rPr>
          <w:lang w:eastAsia="bg-BG"/>
        </w:rPr>
        <w:t>2-18</w:t>
      </w:r>
    </w:p>
    <w:p w14:paraId="0BC81093" w14:textId="77777777" w:rsidR="003F7B0F" w:rsidRPr="003F7B0F" w:rsidRDefault="003F7B0F" w:rsidP="003F7B0F">
      <w:pPr>
        <w:rPr>
          <w:sz w:val="24"/>
          <w:szCs w:val="24"/>
          <w:lang w:val="en-US"/>
        </w:rPr>
      </w:pPr>
      <w:r w:rsidRPr="003F7B0F">
        <w:rPr>
          <w:i/>
          <w:iCs/>
          <w:lang w:eastAsia="bg-BG"/>
        </w:rPr>
        <w:t xml:space="preserve">61118 </w:t>
      </w:r>
      <w:r w:rsidRPr="003F7B0F">
        <w:rPr>
          <w:i/>
          <w:iCs/>
          <w:lang w:val="en-US"/>
        </w:rPr>
        <w:t xml:space="preserve">Bad </w:t>
      </w:r>
      <w:proofErr w:type="spellStart"/>
      <w:r w:rsidRPr="003F7B0F">
        <w:rPr>
          <w:i/>
          <w:iCs/>
          <w:lang w:val="en-US"/>
        </w:rPr>
        <w:t>Vilbel</w:t>
      </w:r>
      <w:proofErr w:type="spellEnd"/>
    </w:p>
    <w:p w14:paraId="15309658" w14:textId="77777777" w:rsidR="003F7B0F" w:rsidRPr="003F7B0F" w:rsidRDefault="003F7B0F" w:rsidP="003F7B0F">
      <w:pPr>
        <w:rPr>
          <w:sz w:val="24"/>
          <w:szCs w:val="24"/>
          <w:lang w:val="ru-RU"/>
        </w:rPr>
      </w:pPr>
      <w:r w:rsidRPr="003F7B0F">
        <w:rPr>
          <w:lang w:eastAsia="bg-BG"/>
        </w:rPr>
        <w:t>Германия</w:t>
      </w:r>
    </w:p>
    <w:p w14:paraId="3299AACD" w14:textId="77777777" w:rsidR="003F7B0F" w:rsidRPr="003F7B0F" w:rsidRDefault="003F7B0F" w:rsidP="003F7B0F">
      <w:pPr>
        <w:rPr>
          <w:lang w:val="ru-RU"/>
        </w:rPr>
      </w:pPr>
    </w:p>
    <w:p w14:paraId="7BA1BA64" w14:textId="040477A1" w:rsidR="00CF77F7" w:rsidRDefault="002C50EE" w:rsidP="004A448E">
      <w:pPr>
        <w:pStyle w:val="Heading1"/>
      </w:pPr>
      <w:r>
        <w:t>8. НОМЕР НА РАЗРЕШЕНИЕТО ЗА УПОТРЕБА</w:t>
      </w:r>
    </w:p>
    <w:p w14:paraId="3A6DFDCE" w14:textId="28AEA905" w:rsidR="003F7B0F" w:rsidRDefault="003F7B0F" w:rsidP="003F7B0F"/>
    <w:p w14:paraId="0C5D70AE" w14:textId="77777777" w:rsidR="003F7B0F" w:rsidRPr="003F7B0F" w:rsidRDefault="003F7B0F" w:rsidP="003F7B0F">
      <w:pPr>
        <w:rPr>
          <w:sz w:val="24"/>
          <w:szCs w:val="24"/>
        </w:rPr>
      </w:pPr>
      <w:r w:rsidRPr="003F7B0F">
        <w:rPr>
          <w:lang w:eastAsia="bg-BG"/>
        </w:rPr>
        <w:t>Атеростад 5</w:t>
      </w:r>
      <w:r w:rsidRPr="003F7B0F">
        <w:rPr>
          <w:lang w:val="en-US"/>
        </w:rPr>
        <w:t>mg</w:t>
      </w:r>
      <w:r w:rsidRPr="003F7B0F">
        <w:t xml:space="preserve"> -</w:t>
      </w:r>
      <w:r w:rsidRPr="003F7B0F">
        <w:rPr>
          <w:lang w:val="en-US"/>
        </w:rPr>
        <w:t>Per</w:t>
      </w:r>
      <w:r w:rsidRPr="003F7B0F">
        <w:t>.</w:t>
      </w:r>
      <w:r w:rsidRPr="003F7B0F">
        <w:rPr>
          <w:lang w:eastAsia="bg-BG"/>
        </w:rPr>
        <w:t xml:space="preserve">№ </w:t>
      </w:r>
      <w:r w:rsidRPr="003F7B0F">
        <w:t>20160198</w:t>
      </w:r>
    </w:p>
    <w:p w14:paraId="77B88838" w14:textId="77777777" w:rsidR="003F7B0F" w:rsidRPr="003F7B0F" w:rsidRDefault="003F7B0F" w:rsidP="003F7B0F">
      <w:pPr>
        <w:rPr>
          <w:sz w:val="24"/>
          <w:szCs w:val="24"/>
          <w:lang w:val="ru-RU"/>
        </w:rPr>
      </w:pPr>
      <w:r w:rsidRPr="003F7B0F">
        <w:rPr>
          <w:lang w:eastAsia="bg-BG"/>
        </w:rPr>
        <w:t xml:space="preserve">Атеростад </w:t>
      </w:r>
      <w:r w:rsidRPr="003F7B0F">
        <w:t xml:space="preserve">10 </w:t>
      </w:r>
      <w:r w:rsidRPr="003F7B0F">
        <w:rPr>
          <w:lang w:val="en-US"/>
        </w:rPr>
        <w:t>mg</w:t>
      </w:r>
      <w:r w:rsidRPr="003F7B0F">
        <w:t xml:space="preserve"> - </w:t>
      </w:r>
      <w:r w:rsidRPr="003F7B0F">
        <w:rPr>
          <w:lang w:val="en-US"/>
        </w:rPr>
        <w:t>Per</w:t>
      </w:r>
      <w:r w:rsidRPr="003F7B0F">
        <w:t xml:space="preserve">. </w:t>
      </w:r>
      <w:r w:rsidRPr="003F7B0F">
        <w:rPr>
          <w:lang w:val="ru-RU"/>
        </w:rPr>
        <w:t>№ 20160199</w:t>
      </w:r>
    </w:p>
    <w:p w14:paraId="4F96EED8" w14:textId="7D4EB158" w:rsidR="003F7B0F" w:rsidRPr="003F7B0F" w:rsidRDefault="003F7B0F" w:rsidP="003F7B0F">
      <w:pPr>
        <w:rPr>
          <w:lang w:val="ru-RU"/>
        </w:rPr>
      </w:pPr>
      <w:r w:rsidRPr="003F7B0F">
        <w:rPr>
          <w:lang w:eastAsia="bg-BG"/>
        </w:rPr>
        <w:t xml:space="preserve">Атеростад </w:t>
      </w:r>
      <w:r w:rsidRPr="003F7B0F">
        <w:rPr>
          <w:lang w:val="ru-RU"/>
        </w:rPr>
        <w:t xml:space="preserve">20 </w:t>
      </w:r>
      <w:r w:rsidRPr="003F7B0F">
        <w:rPr>
          <w:lang w:val="en-US"/>
        </w:rPr>
        <w:t>mg</w:t>
      </w:r>
      <w:r w:rsidRPr="003F7B0F">
        <w:rPr>
          <w:lang w:val="ru-RU"/>
        </w:rPr>
        <w:t xml:space="preserve"> - </w:t>
      </w:r>
      <w:r w:rsidRPr="003F7B0F">
        <w:rPr>
          <w:lang w:val="en-US"/>
        </w:rPr>
        <w:t>Per</w:t>
      </w:r>
      <w:r w:rsidRPr="003F7B0F">
        <w:rPr>
          <w:lang w:val="ru-RU"/>
        </w:rPr>
        <w:t>. № 20160200</w:t>
      </w:r>
    </w:p>
    <w:p w14:paraId="2CCB5832" w14:textId="4EF6777A" w:rsidR="007C605B" w:rsidRDefault="002C50EE" w:rsidP="007C605B">
      <w:pPr>
        <w:pStyle w:val="Heading1"/>
      </w:pPr>
      <w:r>
        <w:lastRenderedPageBreak/>
        <w:t>9. ДАТА НА ПЪРВО РАЗРЕШАВАНЕ/ПОДНОВЯВАНЕ НА РАЗРЕШЕНИЕТО ЗА УПОТРЕБА</w:t>
      </w:r>
    </w:p>
    <w:p w14:paraId="60525C8F" w14:textId="52B5C09A" w:rsidR="003F7B0F" w:rsidRDefault="003F7B0F" w:rsidP="003F7B0F"/>
    <w:p w14:paraId="1332A08B" w14:textId="77777777" w:rsidR="003F7B0F" w:rsidRPr="003F7B0F" w:rsidRDefault="003F7B0F" w:rsidP="003F7B0F">
      <w:pPr>
        <w:rPr>
          <w:sz w:val="24"/>
          <w:szCs w:val="24"/>
        </w:rPr>
      </w:pPr>
      <w:r w:rsidRPr="003F7B0F">
        <w:rPr>
          <w:lang w:eastAsia="bg-BG"/>
        </w:rPr>
        <w:t>Дата на първо разрешаване: 22.06.2016</w:t>
      </w:r>
    </w:p>
    <w:p w14:paraId="1845C259" w14:textId="77777777" w:rsidR="003F7B0F" w:rsidRPr="003F7B0F" w:rsidRDefault="003F7B0F" w:rsidP="003F7B0F">
      <w:pPr>
        <w:rPr>
          <w:sz w:val="24"/>
          <w:szCs w:val="24"/>
        </w:rPr>
      </w:pPr>
      <w:r w:rsidRPr="003F7B0F">
        <w:rPr>
          <w:lang w:eastAsia="bg-BG"/>
        </w:rPr>
        <w:t>Дата на последно подновяване:</w:t>
      </w:r>
    </w:p>
    <w:p w14:paraId="21AAA7F1" w14:textId="77777777" w:rsidR="003F7B0F" w:rsidRPr="003F7B0F" w:rsidRDefault="003F7B0F" w:rsidP="003F7B0F"/>
    <w:p w14:paraId="0E9D0119" w14:textId="0245C6D7" w:rsidR="002C50EE" w:rsidRDefault="002C50EE" w:rsidP="002C50EE">
      <w:pPr>
        <w:pStyle w:val="Heading1"/>
      </w:pPr>
      <w:r>
        <w:t>10. ДАТА НА АКТУАЛИЗИРАНЕ НА ТЕКСТА</w:t>
      </w:r>
    </w:p>
    <w:bookmarkEnd w:id="0"/>
    <w:p w14:paraId="43FB38A2" w14:textId="5C708451" w:rsidR="007C605B" w:rsidRPr="003E3126" w:rsidRDefault="003F7B0F" w:rsidP="003F7B0F">
      <w:r>
        <w:t>Август 2021</w:t>
      </w:r>
      <w:bookmarkStart w:id="7" w:name="_GoBack"/>
      <w:bookmarkEnd w:id="7"/>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20"/>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20"/>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20"/>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20"/>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20"/>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20"/>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20"/>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20"/>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20"/>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3" w15:restartNumberingAfterBreak="0">
    <w:nsid w:val="003348F1"/>
    <w:multiLevelType w:val="hybridMultilevel"/>
    <w:tmpl w:val="1B0A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7131D8F"/>
    <w:multiLevelType w:val="hybridMultilevel"/>
    <w:tmpl w:val="79B6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446B31"/>
    <w:multiLevelType w:val="hybridMultilevel"/>
    <w:tmpl w:val="FBCE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1"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0521A"/>
    <w:multiLevelType w:val="hybridMultilevel"/>
    <w:tmpl w:val="EE7A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5"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B1C1A8D"/>
    <w:multiLevelType w:val="hybridMultilevel"/>
    <w:tmpl w:val="83F0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79613C"/>
    <w:multiLevelType w:val="hybridMultilevel"/>
    <w:tmpl w:val="50066168"/>
    <w:lvl w:ilvl="0" w:tplc="D38C444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7"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3"/>
  </w:num>
  <w:num w:numId="2">
    <w:abstractNumId w:val="0"/>
  </w:num>
  <w:num w:numId="3">
    <w:abstractNumId w:val="18"/>
  </w:num>
  <w:num w:numId="4">
    <w:abstractNumId w:val="5"/>
  </w:num>
  <w:num w:numId="5">
    <w:abstractNumId w:val="1"/>
  </w:num>
  <w:num w:numId="6">
    <w:abstractNumId w:val="22"/>
  </w:num>
  <w:num w:numId="7">
    <w:abstractNumId w:val="15"/>
  </w:num>
  <w:num w:numId="8">
    <w:abstractNumId w:val="21"/>
  </w:num>
  <w:num w:numId="9">
    <w:abstractNumId w:val="4"/>
  </w:num>
  <w:num w:numId="10">
    <w:abstractNumId w:val="6"/>
  </w:num>
  <w:num w:numId="11">
    <w:abstractNumId w:val="36"/>
  </w:num>
  <w:num w:numId="12">
    <w:abstractNumId w:val="20"/>
  </w:num>
  <w:num w:numId="13">
    <w:abstractNumId w:val="25"/>
  </w:num>
  <w:num w:numId="14">
    <w:abstractNumId w:val="17"/>
  </w:num>
  <w:num w:numId="15">
    <w:abstractNumId w:val="35"/>
  </w:num>
  <w:num w:numId="16">
    <w:abstractNumId w:val="14"/>
  </w:num>
  <w:num w:numId="17">
    <w:abstractNumId w:val="30"/>
  </w:num>
  <w:num w:numId="18">
    <w:abstractNumId w:val="11"/>
  </w:num>
  <w:num w:numId="19">
    <w:abstractNumId w:val="32"/>
  </w:num>
  <w:num w:numId="20">
    <w:abstractNumId w:val="29"/>
  </w:num>
  <w:num w:numId="21">
    <w:abstractNumId w:val="23"/>
  </w:num>
  <w:num w:numId="22">
    <w:abstractNumId w:val="31"/>
  </w:num>
  <w:num w:numId="23">
    <w:abstractNumId w:val="24"/>
  </w:num>
  <w:num w:numId="24">
    <w:abstractNumId w:val="12"/>
  </w:num>
  <w:num w:numId="25">
    <w:abstractNumId w:val="28"/>
  </w:num>
  <w:num w:numId="26">
    <w:abstractNumId w:val="27"/>
  </w:num>
  <w:num w:numId="27">
    <w:abstractNumId w:val="37"/>
  </w:num>
  <w:num w:numId="28">
    <w:abstractNumId w:val="10"/>
  </w:num>
  <w:num w:numId="29">
    <w:abstractNumId w:val="26"/>
  </w:num>
  <w:num w:numId="30">
    <w:abstractNumId w:val="40"/>
  </w:num>
  <w:num w:numId="31">
    <w:abstractNumId w:val="9"/>
  </w:num>
  <w:num w:numId="32">
    <w:abstractNumId w:val="39"/>
  </w:num>
  <w:num w:numId="33">
    <w:abstractNumId w:val="34"/>
  </w:num>
  <w:num w:numId="34">
    <w:abstractNumId w:val="38"/>
  </w:num>
  <w:num w:numId="35">
    <w:abstractNumId w:val="2"/>
  </w:num>
  <w:num w:numId="36">
    <w:abstractNumId w:val="19"/>
  </w:num>
  <w:num w:numId="37">
    <w:abstractNumId w:val="7"/>
  </w:num>
  <w:num w:numId="38">
    <w:abstractNumId w:val="16"/>
  </w:num>
  <w:num w:numId="39">
    <w:abstractNumId w:val="8"/>
  </w:num>
  <w:num w:numId="40">
    <w:abstractNumId w:val="1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B5C04"/>
    <w:rsid w:val="001D1B23"/>
    <w:rsid w:val="0021225E"/>
    <w:rsid w:val="002B3C38"/>
    <w:rsid w:val="002B4DBB"/>
    <w:rsid w:val="002C50EE"/>
    <w:rsid w:val="00340A0A"/>
    <w:rsid w:val="003765DC"/>
    <w:rsid w:val="00395555"/>
    <w:rsid w:val="003E3126"/>
    <w:rsid w:val="003F7B0F"/>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44B11"/>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7871</Words>
  <Characters>44865</Characters>
  <Application>Microsoft Office Word</Application>
  <DocSecurity>0</DocSecurity>
  <Lines>373</Lines>
  <Paragraphs>105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2022-06-09T11:17:00Z</dcterms:created>
  <dcterms:modified xsi:type="dcterms:W3CDTF">2022-06-09T11:17:00Z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