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89F10B5" w:rsidR="00C40420" w:rsidRDefault="00DD466D" w:rsidP="004A448E">
      <w:pPr>
        <w:pStyle w:val="Heading1"/>
      </w:pPr>
      <w:r>
        <w:t>1.ИМЕ НА ЛЕКАРСТВЕНИЯ ПРОДУКТ</w:t>
      </w:r>
    </w:p>
    <w:p w14:paraId="3950DA9A" w14:textId="6DDF2088" w:rsidR="007F0078" w:rsidRDefault="007F0078" w:rsidP="007F0078"/>
    <w:p w14:paraId="477FF5D5" w14:textId="67001E1B" w:rsidR="007F0078" w:rsidRPr="000B227D" w:rsidRDefault="000B227D" w:rsidP="007F0078">
      <w:pPr>
        <w:spacing w:line="240" w:lineRule="auto"/>
        <w:rPr>
          <w:rFonts w:eastAsia="Times New Roman" w:cs="Arial"/>
          <w:sz w:val="28"/>
          <w:szCs w:val="24"/>
          <w:lang w:val="en-US" w:eastAsia="bg-BG"/>
        </w:rPr>
      </w:pPr>
      <w:r>
        <w:rPr>
          <w:rFonts w:eastAsia="Times New Roman" w:cs="Arial"/>
          <w:color w:val="000000"/>
          <w:szCs w:val="20"/>
          <w:lang w:eastAsia="bg-BG"/>
        </w:rPr>
        <w:t>Аторис 4</w:t>
      </w:r>
      <w:r w:rsidR="007F0078" w:rsidRPr="007F0078">
        <w:rPr>
          <w:rFonts w:eastAsia="Times New Roman" w:cs="Arial"/>
          <w:color w:val="000000"/>
          <w:szCs w:val="20"/>
          <w:lang w:eastAsia="bg-BG"/>
        </w:rPr>
        <w:t xml:space="preserve">0 </w:t>
      </w:r>
      <w:r w:rsidR="007F0078" w:rsidRPr="007F0078">
        <w:rPr>
          <w:rFonts w:eastAsia="Times New Roman" w:cs="Arial"/>
          <w:color w:val="000000"/>
          <w:szCs w:val="20"/>
          <w:lang w:val="en-US"/>
        </w:rPr>
        <w:t xml:space="preserve">mg </w:t>
      </w:r>
      <w:r w:rsidR="007F0078" w:rsidRPr="007F0078">
        <w:rPr>
          <w:rFonts w:eastAsia="Times New Roman" w:cs="Arial"/>
          <w:color w:val="000000"/>
          <w:szCs w:val="20"/>
          <w:lang w:eastAsia="bg-BG"/>
        </w:rPr>
        <w:t>филмирани таблетки</w:t>
      </w:r>
    </w:p>
    <w:p w14:paraId="23EFF266" w14:textId="5AB40BC1" w:rsidR="007F0078" w:rsidRPr="000B227D" w:rsidRDefault="007F0078" w:rsidP="000B227D">
      <w:pPr>
        <w:spacing w:line="240" w:lineRule="auto"/>
        <w:rPr>
          <w:rFonts w:eastAsia="Times New Roman" w:cs="Arial"/>
          <w:sz w:val="28"/>
          <w:szCs w:val="24"/>
          <w:lang w:val="en-US" w:eastAsia="bg-BG"/>
        </w:rPr>
      </w:pPr>
      <w:proofErr w:type="spellStart"/>
      <w:r w:rsidRPr="007F0078">
        <w:rPr>
          <w:rFonts w:eastAsia="Times New Roman" w:cs="Arial"/>
          <w:color w:val="000000"/>
          <w:szCs w:val="20"/>
          <w:lang w:val="en-US"/>
        </w:rPr>
        <w:t>Atoris</w:t>
      </w:r>
      <w:proofErr w:type="spellEnd"/>
      <w:r w:rsidRPr="007F0078">
        <w:rPr>
          <w:rFonts w:eastAsia="Times New Roman" w:cs="Arial"/>
          <w:color w:val="000000"/>
          <w:szCs w:val="20"/>
          <w:lang w:val="en-US"/>
        </w:rPr>
        <w:t xml:space="preserve"> </w:t>
      </w:r>
      <w:r w:rsidR="000B227D">
        <w:rPr>
          <w:rFonts w:eastAsia="Times New Roman" w:cs="Arial"/>
          <w:color w:val="000000"/>
          <w:szCs w:val="20"/>
          <w:lang w:eastAsia="bg-BG"/>
        </w:rPr>
        <w:t>4</w:t>
      </w:r>
      <w:r w:rsidRPr="007F0078">
        <w:rPr>
          <w:rFonts w:eastAsia="Times New Roman" w:cs="Arial"/>
          <w:color w:val="000000"/>
          <w:szCs w:val="20"/>
          <w:lang w:eastAsia="bg-BG"/>
        </w:rPr>
        <w:t xml:space="preserve">0 </w:t>
      </w:r>
      <w:r w:rsidRPr="007F0078">
        <w:rPr>
          <w:rFonts w:eastAsia="Times New Roman" w:cs="Arial"/>
          <w:color w:val="000000"/>
          <w:szCs w:val="20"/>
          <w:lang w:val="en-US"/>
        </w:rPr>
        <w:t>mg film-coated tablets</w:t>
      </w:r>
    </w:p>
    <w:p w14:paraId="6920A680" w14:textId="4651892F" w:rsidR="00C40420" w:rsidRDefault="00DD466D" w:rsidP="004A448E">
      <w:pPr>
        <w:pStyle w:val="Heading1"/>
      </w:pPr>
      <w:r>
        <w:t>2. КАЧЕСТВЕН И КОЛИЧЕСТВЕН СЪСТАВ</w:t>
      </w:r>
    </w:p>
    <w:p w14:paraId="4108AEEF" w14:textId="052BDF05" w:rsidR="007F0078" w:rsidRDefault="007F0078" w:rsidP="007F0078"/>
    <w:p w14:paraId="0649939D" w14:textId="59B71610"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Всяка филмирана таблетка </w:t>
      </w:r>
      <w:r w:rsidR="000B227D">
        <w:rPr>
          <w:rFonts w:eastAsia="Times New Roman" w:cs="Arial"/>
          <w:color w:val="000000"/>
          <w:szCs w:val="20"/>
          <w:lang w:eastAsia="bg-BG"/>
        </w:rPr>
        <w:t>съдържа 40</w:t>
      </w:r>
      <w:r w:rsidRPr="007F0078">
        <w:rPr>
          <w:rFonts w:eastAsia="Times New Roman" w:cs="Arial"/>
          <w:color w:val="000000"/>
          <w:szCs w:val="20"/>
          <w:lang w:eastAsia="bg-BG"/>
        </w:rPr>
        <w:t xml:space="preserve"> </w:t>
      </w:r>
      <w:r w:rsidR="000B227D">
        <w:rPr>
          <w:rFonts w:eastAsia="Times New Roman" w:cs="Arial"/>
          <w:color w:val="000000"/>
          <w:szCs w:val="20"/>
          <w:lang w:val="en-US"/>
        </w:rPr>
        <w:t xml:space="preserve">mg </w:t>
      </w:r>
      <w:r w:rsidRPr="007F0078">
        <w:rPr>
          <w:rFonts w:eastAsia="Times New Roman" w:cs="Arial"/>
          <w:color w:val="000000"/>
          <w:szCs w:val="20"/>
          <w:lang w:eastAsia="bg-BG"/>
        </w:rPr>
        <w:t xml:space="preserve">аторвастатин </w:t>
      </w:r>
      <w:r w:rsidRPr="007F0078">
        <w:rPr>
          <w:rFonts w:eastAsia="Times New Roman" w:cs="Arial"/>
          <w:i/>
          <w:iCs/>
          <w:color w:val="000000"/>
          <w:szCs w:val="20"/>
          <w:lang w:val="en-US"/>
        </w:rPr>
        <w:t>(atorvastatin)</w:t>
      </w:r>
      <w:r w:rsidRPr="007F0078">
        <w:rPr>
          <w:rFonts w:eastAsia="Times New Roman" w:cs="Arial"/>
          <w:color w:val="000000"/>
          <w:szCs w:val="20"/>
          <w:lang w:val="en-US"/>
        </w:rPr>
        <w:t xml:space="preserve"> </w:t>
      </w:r>
      <w:r w:rsidRPr="007F0078">
        <w:rPr>
          <w:rFonts w:eastAsia="Times New Roman" w:cs="Arial"/>
          <w:color w:val="000000"/>
          <w:szCs w:val="20"/>
          <w:lang w:eastAsia="bg-BG"/>
        </w:rPr>
        <w:t xml:space="preserve">като аторвастатин калций </w:t>
      </w:r>
      <w:r w:rsidRPr="007F0078">
        <w:rPr>
          <w:rFonts w:eastAsia="Times New Roman" w:cs="Arial"/>
          <w:i/>
          <w:iCs/>
          <w:color w:val="000000"/>
          <w:szCs w:val="20"/>
          <w:lang w:val="en-US"/>
        </w:rPr>
        <w:t>(atorvastatin calcium).</w:t>
      </w:r>
    </w:p>
    <w:p w14:paraId="12341B71" w14:textId="77777777" w:rsidR="007F0078" w:rsidRPr="007F0078" w:rsidRDefault="007F0078" w:rsidP="007F0078">
      <w:pPr>
        <w:spacing w:line="240" w:lineRule="auto"/>
        <w:rPr>
          <w:rFonts w:eastAsia="Times New Roman" w:cs="Arial"/>
          <w:color w:val="000000"/>
          <w:szCs w:val="20"/>
          <w:lang w:eastAsia="bg-BG"/>
        </w:rPr>
      </w:pPr>
    </w:p>
    <w:p w14:paraId="4FB090BA" w14:textId="0B0D243E"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Помощни вещества с известно действие:</w:t>
      </w:r>
    </w:p>
    <w:p w14:paraId="43AD0D3B"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лактоза монохидрат и др.</w:t>
      </w:r>
    </w:p>
    <w:p w14:paraId="2DA76CFE" w14:textId="77777777" w:rsidR="007F0078" w:rsidRPr="007F0078" w:rsidRDefault="007F0078" w:rsidP="007F0078">
      <w:pPr>
        <w:rPr>
          <w:rFonts w:eastAsia="Times New Roman" w:cs="Arial"/>
          <w:color w:val="000000"/>
          <w:szCs w:val="20"/>
          <w:lang w:eastAsia="bg-BG"/>
        </w:rPr>
      </w:pPr>
    </w:p>
    <w:p w14:paraId="7F176E45" w14:textId="43018DBD" w:rsidR="007F0078" w:rsidRPr="007F0078" w:rsidRDefault="007F0078" w:rsidP="007F0078">
      <w:pPr>
        <w:rPr>
          <w:rFonts w:cs="Arial"/>
          <w:sz w:val="24"/>
        </w:rPr>
      </w:pPr>
      <w:r w:rsidRPr="007F0078">
        <w:rPr>
          <w:rFonts w:eastAsia="Times New Roman" w:cs="Arial"/>
          <w:color w:val="000000"/>
          <w:szCs w:val="20"/>
          <w:lang w:eastAsia="bg-BG"/>
        </w:rPr>
        <w:t>За пълния списък на помощните вещества, вижте точка 6.1.</w:t>
      </w:r>
    </w:p>
    <w:p w14:paraId="614984C4" w14:textId="740D8B60" w:rsidR="008A6AF2" w:rsidRDefault="00DD466D" w:rsidP="002C50EE">
      <w:pPr>
        <w:pStyle w:val="Heading1"/>
      </w:pPr>
      <w:r>
        <w:t>3. ЛЕКАРСТВЕНА ФОРМА</w:t>
      </w:r>
    </w:p>
    <w:p w14:paraId="46A8CD19" w14:textId="54D10F39" w:rsidR="007F0078" w:rsidRDefault="007F0078" w:rsidP="007F0078"/>
    <w:p w14:paraId="2BC5106D"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Филмирана таблетка.</w:t>
      </w:r>
    </w:p>
    <w:p w14:paraId="699FE160" w14:textId="77777777" w:rsidR="007F0078" w:rsidRPr="007F0078" w:rsidRDefault="007F0078" w:rsidP="007F0078">
      <w:pPr>
        <w:rPr>
          <w:rFonts w:eastAsia="Times New Roman" w:cs="Arial"/>
          <w:color w:val="000000"/>
          <w:szCs w:val="20"/>
          <w:lang w:eastAsia="bg-BG"/>
        </w:rPr>
      </w:pPr>
    </w:p>
    <w:p w14:paraId="27342669" w14:textId="37EF98A5" w:rsidR="000B227D" w:rsidRDefault="000B227D" w:rsidP="007F0078">
      <w:pPr>
        <w:rPr>
          <w:rFonts w:eastAsia="Times New Roman" w:cs="Arial"/>
          <w:color w:val="000000"/>
          <w:szCs w:val="20"/>
          <w:lang w:eastAsia="bg-BG"/>
        </w:rPr>
      </w:pPr>
      <w:r>
        <w:rPr>
          <w:rFonts w:eastAsia="Times New Roman" w:cs="Arial"/>
          <w:color w:val="000000"/>
          <w:szCs w:val="20"/>
          <w:lang w:eastAsia="bg-BG"/>
        </w:rPr>
        <w:t>Аторис 4</w:t>
      </w:r>
      <w:r w:rsidR="007F0078" w:rsidRPr="007F0078">
        <w:rPr>
          <w:rFonts w:eastAsia="Times New Roman" w:cs="Arial"/>
          <w:color w:val="000000"/>
          <w:szCs w:val="20"/>
          <w:lang w:eastAsia="bg-BG"/>
        </w:rPr>
        <w:t xml:space="preserve">0 </w:t>
      </w:r>
      <w:r>
        <w:rPr>
          <w:rFonts w:eastAsia="Times New Roman" w:cs="Arial"/>
          <w:color w:val="000000"/>
          <w:szCs w:val="20"/>
          <w:lang w:val="en-US"/>
        </w:rPr>
        <w:t>mg</w:t>
      </w:r>
      <w:r>
        <w:rPr>
          <w:rFonts w:eastAsia="Times New Roman" w:cs="Arial"/>
          <w:color w:val="000000"/>
          <w:szCs w:val="20"/>
        </w:rPr>
        <w:t xml:space="preserve"> филмирани таблетки</w:t>
      </w:r>
      <w:r>
        <w:rPr>
          <w:rFonts w:eastAsia="Times New Roman" w:cs="Arial"/>
          <w:color w:val="000000"/>
          <w:szCs w:val="20"/>
          <w:lang w:val="en-US"/>
        </w:rPr>
        <w:t xml:space="preserve"> </w:t>
      </w:r>
      <w:r w:rsidR="007F0078" w:rsidRPr="007F0078">
        <w:rPr>
          <w:rFonts w:eastAsia="Times New Roman" w:cs="Arial"/>
          <w:color w:val="000000"/>
          <w:szCs w:val="20"/>
          <w:lang w:eastAsia="bg-BG"/>
        </w:rPr>
        <w:t>са бели, кръгли и леко двойноизпъкнали.</w:t>
      </w:r>
    </w:p>
    <w:p w14:paraId="7DBFC27C" w14:textId="77777777" w:rsidR="000B227D" w:rsidRPr="000B227D" w:rsidRDefault="000B227D" w:rsidP="007F0078">
      <w:pPr>
        <w:rPr>
          <w:rFonts w:eastAsia="Times New Roman" w:cs="Arial"/>
          <w:color w:val="000000"/>
          <w:szCs w:val="20"/>
          <w:lang w:eastAsia="bg-BG"/>
        </w:rPr>
      </w:pPr>
    </w:p>
    <w:p w14:paraId="490FC2C4" w14:textId="685345FA" w:rsidR="002C50EE" w:rsidRDefault="002C50EE" w:rsidP="002C50EE">
      <w:pPr>
        <w:pStyle w:val="Heading1"/>
      </w:pPr>
      <w:r>
        <w:t>4. КЛИНИЧНИ ДАННИ</w:t>
      </w:r>
    </w:p>
    <w:p w14:paraId="5DB06EC5" w14:textId="77777777" w:rsidR="007F0078" w:rsidRPr="007F0078" w:rsidRDefault="007F0078" w:rsidP="007F0078"/>
    <w:p w14:paraId="0C8E6903" w14:textId="54966B6F" w:rsidR="008134C8" w:rsidRDefault="002C50EE" w:rsidP="004A448E">
      <w:pPr>
        <w:pStyle w:val="Heading2"/>
      </w:pPr>
      <w:r>
        <w:t>4.1. Терапевтични показания</w:t>
      </w:r>
    </w:p>
    <w:p w14:paraId="29A4626F" w14:textId="2260FF63" w:rsidR="007F0078" w:rsidRDefault="007F0078" w:rsidP="007F0078"/>
    <w:p w14:paraId="01E9833F"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u w:val="single"/>
          <w:lang w:eastAsia="bg-BG"/>
        </w:rPr>
        <w:t>Хиперхолестеролемия</w:t>
      </w:r>
    </w:p>
    <w:p w14:paraId="426A7A4F" w14:textId="77777777" w:rsidR="007F0078" w:rsidRPr="007F0078" w:rsidRDefault="007F0078" w:rsidP="007F0078">
      <w:pPr>
        <w:spacing w:line="240" w:lineRule="auto"/>
        <w:rPr>
          <w:rFonts w:eastAsia="Times New Roman" w:cs="Arial"/>
          <w:color w:val="000000"/>
          <w:szCs w:val="20"/>
          <w:lang w:eastAsia="bg-BG"/>
        </w:rPr>
      </w:pPr>
    </w:p>
    <w:p w14:paraId="765CBD28" w14:textId="2F5747CE"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Аторис е показан като допълнение към диетата за намаляване на повишените общ холестерол, (общ -С), </w:t>
      </w:r>
      <w:r w:rsidRPr="007F0078">
        <w:rPr>
          <w:rFonts w:eastAsia="Times New Roman" w:cs="Arial"/>
          <w:color w:val="000000"/>
          <w:szCs w:val="20"/>
          <w:lang w:val="en-US"/>
        </w:rPr>
        <w:t>LDL</w:t>
      </w:r>
      <w:r w:rsidRPr="007F0078">
        <w:rPr>
          <w:rFonts w:eastAsia="Times New Roman" w:cs="Arial"/>
          <w:color w:val="000000"/>
          <w:szCs w:val="20"/>
          <w:lang w:eastAsia="bg-BG"/>
        </w:rPr>
        <w:t xml:space="preserve">-холестерол </w:t>
      </w:r>
      <w:r w:rsidRPr="007F0078">
        <w:rPr>
          <w:rFonts w:eastAsia="Times New Roman" w:cs="Arial"/>
          <w:color w:val="000000"/>
          <w:szCs w:val="20"/>
          <w:lang w:val="en-US"/>
        </w:rPr>
        <w:t xml:space="preserve">(LDL-C), </w:t>
      </w:r>
      <w:r w:rsidRPr="007F0078">
        <w:rPr>
          <w:rFonts w:eastAsia="Times New Roman" w:cs="Arial"/>
          <w:color w:val="000000"/>
          <w:szCs w:val="20"/>
          <w:lang w:eastAsia="bg-BG"/>
        </w:rPr>
        <w:t xml:space="preserve">аполипопротеин В и триглицерцди при възрастни, юноши и деца над 10-годишна възраст с първична хиперхолестеролемия, включително фамилна хиперхолестеролемия (хетерозиготен вариант), или комбинирана (смесена) хиперлипидемия (отговаряща на тип II а и II </w:t>
      </w:r>
      <w:r w:rsidRPr="007F0078">
        <w:rPr>
          <w:rFonts w:eastAsia="Times New Roman" w:cs="Arial"/>
          <w:color w:val="000000"/>
          <w:szCs w:val="20"/>
          <w:lang w:val="en-US"/>
        </w:rPr>
        <w:t xml:space="preserve">b </w:t>
      </w:r>
      <w:r w:rsidRPr="007F0078">
        <w:rPr>
          <w:rFonts w:eastAsia="Times New Roman" w:cs="Arial"/>
          <w:color w:val="000000"/>
          <w:szCs w:val="20"/>
          <w:lang w:eastAsia="bg-BG"/>
        </w:rPr>
        <w:t xml:space="preserve">от класификацията на </w:t>
      </w:r>
      <w:r w:rsidRPr="007F0078">
        <w:rPr>
          <w:rFonts w:eastAsia="Times New Roman" w:cs="Arial"/>
          <w:color w:val="000000"/>
          <w:szCs w:val="20"/>
          <w:lang w:val="en-US"/>
        </w:rPr>
        <w:t xml:space="preserve">Fredrickson), </w:t>
      </w:r>
      <w:r w:rsidRPr="007F0078">
        <w:rPr>
          <w:rFonts w:eastAsia="Times New Roman" w:cs="Arial"/>
          <w:color w:val="000000"/>
          <w:szCs w:val="20"/>
          <w:lang w:eastAsia="bg-BG"/>
        </w:rPr>
        <w:t>когато ефектът на диетата и другите нефармакологични средства е недостатъчен.</w:t>
      </w:r>
    </w:p>
    <w:p w14:paraId="655DF45F" w14:textId="77777777" w:rsidR="007F0078" w:rsidRPr="007F0078" w:rsidRDefault="007F0078" w:rsidP="007F0078">
      <w:pPr>
        <w:spacing w:line="240" w:lineRule="auto"/>
        <w:rPr>
          <w:rFonts w:eastAsia="Times New Roman" w:cs="Arial"/>
          <w:color w:val="000000"/>
          <w:szCs w:val="20"/>
          <w:lang w:eastAsia="bg-BG"/>
        </w:rPr>
      </w:pPr>
    </w:p>
    <w:p w14:paraId="5ED1AD5B" w14:textId="09E305B0"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Аторис е показан също и за понижаване на общия холестерол и </w:t>
      </w:r>
      <w:r w:rsidRPr="007F0078">
        <w:rPr>
          <w:rFonts w:eastAsia="Times New Roman" w:cs="Arial"/>
          <w:color w:val="000000"/>
          <w:szCs w:val="20"/>
          <w:lang w:val="en-US"/>
        </w:rPr>
        <w:t xml:space="preserve">LDL-C </w:t>
      </w:r>
      <w:r w:rsidRPr="007F0078">
        <w:rPr>
          <w:rFonts w:eastAsia="Times New Roman" w:cs="Arial"/>
          <w:color w:val="000000"/>
          <w:szCs w:val="20"/>
          <w:lang w:eastAsia="bg-BG"/>
        </w:rPr>
        <w:t xml:space="preserve">при възрастни с хомозиготна фамилна хиперхолестеролемия като допълнение към другите методи за понижаване на липидите (например афереза на </w:t>
      </w:r>
      <w:r w:rsidRPr="007F0078">
        <w:rPr>
          <w:rFonts w:eastAsia="Times New Roman" w:cs="Arial"/>
          <w:color w:val="000000"/>
          <w:szCs w:val="20"/>
          <w:lang w:val="en-US"/>
        </w:rPr>
        <w:t xml:space="preserve">LDL) </w:t>
      </w:r>
      <w:r w:rsidRPr="007F0078">
        <w:rPr>
          <w:rFonts w:eastAsia="Times New Roman" w:cs="Arial"/>
          <w:color w:val="000000"/>
          <w:szCs w:val="20"/>
          <w:lang w:eastAsia="bg-BG"/>
        </w:rPr>
        <w:t>или в случаите, когато тези методи са недостъпни.</w:t>
      </w:r>
    </w:p>
    <w:p w14:paraId="7BDB40CF" w14:textId="77777777" w:rsidR="007F0078" w:rsidRPr="007F0078" w:rsidRDefault="007F0078" w:rsidP="007F0078">
      <w:pPr>
        <w:spacing w:line="240" w:lineRule="auto"/>
        <w:rPr>
          <w:rFonts w:eastAsia="Times New Roman" w:cs="Arial"/>
          <w:color w:val="000000"/>
          <w:szCs w:val="20"/>
          <w:u w:val="single"/>
          <w:lang w:eastAsia="bg-BG"/>
        </w:rPr>
      </w:pPr>
    </w:p>
    <w:p w14:paraId="2CF45659" w14:textId="6074CCA2"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u w:val="single"/>
          <w:lang w:eastAsia="bg-BG"/>
        </w:rPr>
        <w:t>Профилактика на сърдечносъдово заболяване</w:t>
      </w:r>
    </w:p>
    <w:p w14:paraId="5EF5A0E8" w14:textId="77777777" w:rsidR="007F0078" w:rsidRPr="007F0078" w:rsidRDefault="007F0078" w:rsidP="007F0078">
      <w:pPr>
        <w:rPr>
          <w:rFonts w:eastAsia="Times New Roman" w:cs="Arial"/>
          <w:color w:val="000000"/>
          <w:szCs w:val="20"/>
          <w:lang w:eastAsia="bg-BG"/>
        </w:rPr>
      </w:pPr>
    </w:p>
    <w:p w14:paraId="7E32423E" w14:textId="4A77D0ED" w:rsidR="007F0078" w:rsidRDefault="007F0078" w:rsidP="007F0078">
      <w:pPr>
        <w:rPr>
          <w:rFonts w:eastAsia="Times New Roman" w:cs="Arial"/>
          <w:color w:val="000000"/>
          <w:szCs w:val="20"/>
          <w:lang w:eastAsia="bg-BG"/>
        </w:rPr>
      </w:pPr>
      <w:r w:rsidRPr="007F0078">
        <w:rPr>
          <w:rFonts w:eastAsia="Times New Roman" w:cs="Arial"/>
          <w:color w:val="000000"/>
          <w:szCs w:val="20"/>
          <w:lang w:eastAsia="bg-BG"/>
        </w:rPr>
        <w:lastRenderedPageBreak/>
        <w:t>Профилактика на сърдечносъдови събития при възрастни пациенти, при които е оценено, че имат висок риск за първо сърдечносъдово събитие (вж. точка 5.1) като допълнение към корекцията на други рискови фактори.</w:t>
      </w:r>
    </w:p>
    <w:p w14:paraId="7196E564" w14:textId="77777777" w:rsidR="007F0078" w:rsidRPr="007F0078" w:rsidRDefault="007F0078" w:rsidP="007F0078">
      <w:pPr>
        <w:rPr>
          <w:rFonts w:cs="Arial"/>
          <w:sz w:val="24"/>
        </w:rPr>
      </w:pPr>
    </w:p>
    <w:p w14:paraId="30BE2C7B" w14:textId="44EB309A" w:rsidR="008134C8" w:rsidRDefault="002C50EE" w:rsidP="004A448E">
      <w:pPr>
        <w:pStyle w:val="Heading2"/>
      </w:pPr>
      <w:r>
        <w:t>4.2. Дозировка и начин на приложение</w:t>
      </w:r>
    </w:p>
    <w:p w14:paraId="0DB466C7" w14:textId="5CD7AA2C" w:rsidR="007F0078" w:rsidRDefault="007F0078" w:rsidP="007F0078"/>
    <w:p w14:paraId="6DEC6D2A" w14:textId="77777777" w:rsidR="007F0078" w:rsidRPr="00C77F9C" w:rsidRDefault="007F0078" w:rsidP="00C77F9C">
      <w:pPr>
        <w:pStyle w:val="Heading3"/>
        <w:rPr>
          <w:rFonts w:eastAsia="Times New Roman"/>
          <w:sz w:val="28"/>
          <w:u w:val="single"/>
          <w:lang w:eastAsia="bg-BG"/>
        </w:rPr>
      </w:pPr>
      <w:r w:rsidRPr="00C77F9C">
        <w:rPr>
          <w:rFonts w:eastAsia="Times New Roman"/>
          <w:u w:val="single"/>
          <w:lang w:eastAsia="bg-BG"/>
        </w:rPr>
        <w:t>Дозировка</w:t>
      </w:r>
    </w:p>
    <w:p w14:paraId="2828EE80" w14:textId="77777777" w:rsidR="007F0078" w:rsidRPr="007F0078" w:rsidRDefault="007F0078" w:rsidP="007F0078">
      <w:pPr>
        <w:rPr>
          <w:rFonts w:eastAsia="Times New Roman" w:cs="Arial"/>
          <w:color w:val="000000"/>
          <w:szCs w:val="20"/>
          <w:lang w:eastAsia="bg-BG"/>
        </w:rPr>
      </w:pPr>
    </w:p>
    <w:p w14:paraId="58A83792" w14:textId="1051AB65" w:rsidR="007F0078" w:rsidRPr="007F0078" w:rsidRDefault="007F0078" w:rsidP="007F0078">
      <w:pPr>
        <w:rPr>
          <w:rFonts w:eastAsia="Times New Roman" w:cs="Arial"/>
          <w:color w:val="000000"/>
          <w:szCs w:val="20"/>
          <w:lang w:eastAsia="bg-BG"/>
        </w:rPr>
      </w:pPr>
      <w:r w:rsidRPr="007F0078">
        <w:rPr>
          <w:rFonts w:eastAsia="Times New Roman" w:cs="Arial"/>
          <w:color w:val="000000"/>
          <w:szCs w:val="20"/>
          <w:lang w:eastAsia="bg-BG"/>
        </w:rPr>
        <w:t>Преди да получи Аторис пациентът трябва да бъде поставен на стандартна понижаваща</w:t>
      </w:r>
    </w:p>
    <w:p w14:paraId="4262B3C7"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холестерола диета и трябва да продължи да спазва тази диета по време на лечението със Аторис.</w:t>
      </w:r>
    </w:p>
    <w:p w14:paraId="2EF193CF" w14:textId="77777777" w:rsidR="007F0078" w:rsidRPr="007F0078" w:rsidRDefault="007F0078" w:rsidP="007F0078">
      <w:pPr>
        <w:spacing w:line="240" w:lineRule="auto"/>
        <w:rPr>
          <w:rFonts w:eastAsia="Times New Roman" w:cs="Arial"/>
          <w:color w:val="000000"/>
          <w:szCs w:val="20"/>
          <w:lang w:eastAsia="bg-BG"/>
        </w:rPr>
      </w:pPr>
    </w:p>
    <w:p w14:paraId="5F979E27" w14:textId="256F03CD"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Дозата трябва да бъде индивидуализирана в зависимост от изходните нива на </w:t>
      </w:r>
      <w:r w:rsidRPr="007F0078">
        <w:rPr>
          <w:rFonts w:eastAsia="Times New Roman" w:cs="Arial"/>
          <w:color w:val="000000"/>
          <w:szCs w:val="20"/>
          <w:lang w:val="en-US"/>
        </w:rPr>
        <w:t xml:space="preserve">LDL-C, </w:t>
      </w:r>
      <w:r w:rsidRPr="007F0078">
        <w:rPr>
          <w:rFonts w:eastAsia="Times New Roman" w:cs="Arial"/>
          <w:color w:val="000000"/>
          <w:szCs w:val="20"/>
          <w:lang w:eastAsia="bg-BG"/>
        </w:rPr>
        <w:t>целта на лечението и реакцията на пациента.</w:t>
      </w:r>
    </w:p>
    <w:p w14:paraId="5D51D611" w14:textId="77777777" w:rsidR="007F0078" w:rsidRPr="007F0078" w:rsidRDefault="007F0078" w:rsidP="007F0078">
      <w:pPr>
        <w:spacing w:line="240" w:lineRule="auto"/>
        <w:rPr>
          <w:rFonts w:eastAsia="Times New Roman" w:cs="Arial"/>
          <w:color w:val="000000"/>
          <w:szCs w:val="20"/>
          <w:lang w:eastAsia="bg-BG"/>
        </w:rPr>
      </w:pPr>
    </w:p>
    <w:p w14:paraId="569B153C" w14:textId="04C038DB"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Обичайната начална доза е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веднъж дневно. Корекция на дозата се извършва през интервали от 4 или повече седмици. Максималната доза е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веднъж дневно,</w:t>
      </w:r>
    </w:p>
    <w:p w14:paraId="126D461D" w14:textId="77777777" w:rsidR="007F0078" w:rsidRPr="007F0078" w:rsidRDefault="007F0078" w:rsidP="007F0078">
      <w:pPr>
        <w:spacing w:line="240" w:lineRule="auto"/>
        <w:rPr>
          <w:rFonts w:eastAsia="Times New Roman" w:cs="Arial"/>
          <w:i/>
          <w:iCs/>
          <w:color w:val="000000"/>
          <w:szCs w:val="20"/>
          <w:u w:val="single"/>
          <w:lang w:eastAsia="bg-BG"/>
        </w:rPr>
      </w:pPr>
    </w:p>
    <w:p w14:paraId="168A7B30" w14:textId="278E1FF8"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Първична хиперхолестеролемия и комбинирана (смесена) хиперлипидемия</w:t>
      </w:r>
    </w:p>
    <w:p w14:paraId="554A24BA" w14:textId="77777777" w:rsidR="007F0078" w:rsidRPr="007F0078" w:rsidRDefault="007F0078" w:rsidP="007F0078">
      <w:pPr>
        <w:spacing w:line="240" w:lineRule="auto"/>
        <w:rPr>
          <w:rFonts w:eastAsia="Times New Roman" w:cs="Arial"/>
          <w:color w:val="000000"/>
          <w:szCs w:val="20"/>
          <w:lang w:eastAsia="bg-BG"/>
        </w:rPr>
      </w:pPr>
    </w:p>
    <w:p w14:paraId="59A4927D" w14:textId="052771EC"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Повечето пациенти се повлияват успешно с Аторис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веднъж дневно. Терапевтичен ефект се достига до две седмици, а максимален терапевтичен ефект се постига обикновено за 4 седмици. Ефектът се запазва по време на хроничното лечение,</w:t>
      </w:r>
    </w:p>
    <w:p w14:paraId="178C1FC3" w14:textId="77777777" w:rsidR="007F0078" w:rsidRPr="007F0078" w:rsidRDefault="007F0078" w:rsidP="007F0078">
      <w:pPr>
        <w:spacing w:line="240" w:lineRule="auto"/>
        <w:rPr>
          <w:rFonts w:eastAsia="Times New Roman" w:cs="Arial"/>
          <w:i/>
          <w:iCs/>
          <w:color w:val="000000"/>
          <w:szCs w:val="20"/>
          <w:u w:val="single"/>
          <w:lang w:eastAsia="bg-BG"/>
        </w:rPr>
      </w:pPr>
    </w:p>
    <w:p w14:paraId="1994AC24" w14:textId="186FE40A"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Хетерозиготна фамилна хиперхолестеролемия</w:t>
      </w:r>
    </w:p>
    <w:p w14:paraId="4667E3E3" w14:textId="77777777" w:rsidR="007F0078" w:rsidRPr="007F0078" w:rsidRDefault="007F0078" w:rsidP="007F0078">
      <w:pPr>
        <w:spacing w:line="240" w:lineRule="auto"/>
        <w:rPr>
          <w:rFonts w:eastAsia="Times New Roman" w:cs="Arial"/>
          <w:color w:val="000000"/>
          <w:szCs w:val="20"/>
          <w:lang w:eastAsia="bg-BG"/>
        </w:rPr>
      </w:pPr>
    </w:p>
    <w:p w14:paraId="779C95AD" w14:textId="75AB444B"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Лечението на пациента трябва да започне с Аторис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Дозите се индивидуализират и коригират на всеки 4 седмици до 40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След това дозата може да бъде увеличена до максимум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или 40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аторвастатин еднократно дневно и да се комбинират със секвестрант на жлъчните киселини,</w:t>
      </w:r>
    </w:p>
    <w:p w14:paraId="46BCE8B3" w14:textId="77777777" w:rsidR="007F0078" w:rsidRPr="007F0078" w:rsidRDefault="007F0078" w:rsidP="007F0078">
      <w:pPr>
        <w:spacing w:line="240" w:lineRule="auto"/>
        <w:rPr>
          <w:rFonts w:eastAsia="Times New Roman" w:cs="Arial"/>
          <w:i/>
          <w:iCs/>
          <w:color w:val="000000"/>
          <w:szCs w:val="20"/>
          <w:u w:val="single"/>
          <w:lang w:eastAsia="bg-BG"/>
        </w:rPr>
      </w:pPr>
    </w:p>
    <w:p w14:paraId="4D26FB51" w14:textId="1A9E5202"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Хомозиготна фамилна хиперхолестеролемия</w:t>
      </w:r>
    </w:p>
    <w:p w14:paraId="74160D33" w14:textId="77777777" w:rsidR="007F0078" w:rsidRPr="007F0078" w:rsidRDefault="007F0078" w:rsidP="007F0078">
      <w:pPr>
        <w:spacing w:line="240" w:lineRule="auto"/>
        <w:rPr>
          <w:rFonts w:eastAsia="Times New Roman" w:cs="Arial"/>
          <w:color w:val="000000"/>
          <w:szCs w:val="20"/>
          <w:lang w:eastAsia="bg-BG"/>
        </w:rPr>
      </w:pPr>
    </w:p>
    <w:p w14:paraId="6B843ACC" w14:textId="5837E9ED"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Налични са ограничен брой данни (вж. точка 5.1).</w:t>
      </w:r>
    </w:p>
    <w:p w14:paraId="2006B669" w14:textId="77777777" w:rsidR="007F0078" w:rsidRPr="007F0078" w:rsidRDefault="007F0078" w:rsidP="007F0078">
      <w:pPr>
        <w:spacing w:line="240" w:lineRule="auto"/>
        <w:rPr>
          <w:rFonts w:eastAsia="Times New Roman" w:cs="Arial"/>
          <w:color w:val="000000"/>
          <w:szCs w:val="20"/>
          <w:lang w:eastAsia="bg-BG"/>
        </w:rPr>
      </w:pPr>
    </w:p>
    <w:p w14:paraId="4AD0A549" w14:textId="0D055125"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Дозата на аторвастатин при пациенти с хомозиготна фамилна хиперхолестеролемия е от 10 до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(вж. точка 5.1). Аторвастатин трябва да бъде използван като допълнение към други липидо-понижаващи терапевтични средства (напр. </w:t>
      </w:r>
      <w:r w:rsidRPr="007F0078">
        <w:rPr>
          <w:rFonts w:eastAsia="Times New Roman" w:cs="Arial"/>
          <w:color w:val="000000"/>
          <w:szCs w:val="20"/>
          <w:lang w:val="en-US"/>
        </w:rPr>
        <w:t>LDL</w:t>
      </w:r>
      <w:r w:rsidRPr="007F0078">
        <w:rPr>
          <w:rFonts w:eastAsia="Times New Roman" w:cs="Arial"/>
          <w:color w:val="000000"/>
          <w:szCs w:val="20"/>
          <w:lang w:eastAsia="bg-BG"/>
        </w:rPr>
        <w:t>-афереза) при тези пациенти или при невъзможност за използване на такива средства.</w:t>
      </w:r>
    </w:p>
    <w:p w14:paraId="11D4F015" w14:textId="77777777" w:rsidR="007F0078" w:rsidRPr="007F0078" w:rsidRDefault="007F0078" w:rsidP="007F0078">
      <w:pPr>
        <w:spacing w:line="240" w:lineRule="auto"/>
        <w:rPr>
          <w:rFonts w:eastAsia="Times New Roman" w:cs="Arial"/>
          <w:i/>
          <w:iCs/>
          <w:color w:val="000000"/>
          <w:szCs w:val="20"/>
          <w:u w:val="single"/>
          <w:lang w:eastAsia="bg-BG"/>
        </w:rPr>
      </w:pPr>
    </w:p>
    <w:p w14:paraId="4161C10E" w14:textId="3C9095F0"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Профилактика на сърдечносъдово заболяване</w:t>
      </w:r>
    </w:p>
    <w:p w14:paraId="0FC7FE37" w14:textId="77777777" w:rsidR="007F0078" w:rsidRPr="007F0078" w:rsidRDefault="007F0078" w:rsidP="007F0078">
      <w:pPr>
        <w:rPr>
          <w:rFonts w:eastAsia="Times New Roman" w:cs="Arial"/>
          <w:color w:val="000000"/>
          <w:szCs w:val="20"/>
          <w:lang w:eastAsia="bg-BG"/>
        </w:rPr>
      </w:pPr>
    </w:p>
    <w:p w14:paraId="46F7179D" w14:textId="2E9C5DEB" w:rsidR="007F0078" w:rsidRDefault="007F0078" w:rsidP="007F0078">
      <w:pPr>
        <w:rPr>
          <w:rFonts w:eastAsia="Times New Roman" w:cs="Arial"/>
          <w:color w:val="000000"/>
          <w:szCs w:val="20"/>
          <w:lang w:eastAsia="bg-BG"/>
        </w:rPr>
      </w:pPr>
      <w:r w:rsidRPr="007F0078">
        <w:rPr>
          <w:rFonts w:eastAsia="Times New Roman" w:cs="Arial"/>
          <w:color w:val="000000"/>
          <w:szCs w:val="20"/>
          <w:lang w:eastAsia="bg-BG"/>
        </w:rPr>
        <w:t xml:space="preserve">При проучванията за първична профилактика дозата е била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Може да са необходими по-високи дози, за да се поддържат нива на </w:t>
      </w:r>
      <w:r w:rsidRPr="007F0078">
        <w:rPr>
          <w:rFonts w:eastAsia="Times New Roman" w:cs="Arial"/>
          <w:color w:val="000000"/>
          <w:szCs w:val="20"/>
          <w:lang w:val="en-US"/>
        </w:rPr>
        <w:t xml:space="preserve">LDL- </w:t>
      </w:r>
      <w:r w:rsidRPr="007F0078">
        <w:rPr>
          <w:rFonts w:eastAsia="Times New Roman" w:cs="Arial"/>
          <w:color w:val="000000"/>
          <w:szCs w:val="20"/>
          <w:lang w:eastAsia="bg-BG"/>
        </w:rPr>
        <w:t>холестерола според настоящите ръководства.</w:t>
      </w:r>
    </w:p>
    <w:p w14:paraId="3FCBD6EA" w14:textId="0A00A0FC" w:rsidR="007F0078" w:rsidRDefault="007F0078" w:rsidP="007F0078">
      <w:pPr>
        <w:rPr>
          <w:rFonts w:eastAsia="Times New Roman" w:cs="Arial"/>
          <w:color w:val="000000"/>
          <w:szCs w:val="20"/>
          <w:lang w:eastAsia="bg-BG"/>
        </w:rPr>
      </w:pPr>
    </w:p>
    <w:p w14:paraId="38F3AFF9"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Бъбречно увреждане</w:t>
      </w:r>
    </w:p>
    <w:p w14:paraId="1E9F3F21" w14:textId="77777777" w:rsidR="007F0078" w:rsidRPr="007F0078" w:rsidRDefault="007F0078" w:rsidP="007F0078">
      <w:pPr>
        <w:spacing w:line="240" w:lineRule="auto"/>
        <w:rPr>
          <w:rFonts w:eastAsia="Times New Roman" w:cs="Arial"/>
          <w:color w:val="000000"/>
          <w:szCs w:val="20"/>
          <w:lang w:eastAsia="bg-BG"/>
        </w:rPr>
      </w:pPr>
    </w:p>
    <w:p w14:paraId="77B2A504" w14:textId="2AE497C6"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Не се налага промяна на дозата (вж. точка 4.4).</w:t>
      </w:r>
    </w:p>
    <w:p w14:paraId="2DE43FA5" w14:textId="77777777" w:rsidR="007F0078" w:rsidRPr="007F0078" w:rsidRDefault="007F0078" w:rsidP="007F0078">
      <w:pPr>
        <w:spacing w:line="240" w:lineRule="auto"/>
        <w:rPr>
          <w:rFonts w:eastAsia="Times New Roman" w:cs="Arial"/>
          <w:i/>
          <w:iCs/>
          <w:color w:val="000000"/>
          <w:szCs w:val="20"/>
          <w:u w:val="single"/>
          <w:lang w:eastAsia="bg-BG"/>
        </w:rPr>
      </w:pPr>
    </w:p>
    <w:p w14:paraId="1B71882F" w14:textId="5E45914E"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Чернодробна недостатъчност</w:t>
      </w:r>
    </w:p>
    <w:p w14:paraId="1367D5DB" w14:textId="77777777" w:rsidR="007F0078" w:rsidRPr="007F0078" w:rsidRDefault="007F0078" w:rsidP="007F0078">
      <w:pPr>
        <w:spacing w:line="240" w:lineRule="auto"/>
        <w:rPr>
          <w:rFonts w:eastAsia="Times New Roman" w:cs="Arial"/>
          <w:color w:val="000000"/>
          <w:szCs w:val="20"/>
          <w:lang w:eastAsia="bg-BG"/>
        </w:rPr>
      </w:pPr>
    </w:p>
    <w:p w14:paraId="6D82451E" w14:textId="781AEB68"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Аторис трябва да се използва предпазливо при пациенти с чернодробно увреждане (вж. точки 4.4 и 5.2). Аторис е противопоказан при пациенти с активно чернодробно заболяване (вж. точка 4.3).</w:t>
      </w:r>
    </w:p>
    <w:p w14:paraId="0AF78623" w14:textId="77777777" w:rsidR="007F0078" w:rsidRPr="007F0078" w:rsidRDefault="007F0078" w:rsidP="007F0078">
      <w:pPr>
        <w:spacing w:line="240" w:lineRule="auto"/>
        <w:rPr>
          <w:rFonts w:eastAsia="Times New Roman" w:cs="Arial"/>
          <w:i/>
          <w:iCs/>
          <w:color w:val="000000"/>
          <w:szCs w:val="20"/>
          <w:u w:val="single"/>
          <w:lang w:eastAsia="bg-BG"/>
        </w:rPr>
      </w:pPr>
    </w:p>
    <w:p w14:paraId="39A28C21" w14:textId="1183DE65"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Старческа възраст</w:t>
      </w:r>
    </w:p>
    <w:p w14:paraId="2BE6AE1F"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Ефикасността и безопасността при пациенти над 70 години, приемащи препоръчваните дози, са сходни с тези при общата популация.</w:t>
      </w:r>
      <w:bookmarkStart w:id="1" w:name="bookmark0"/>
      <w:bookmarkEnd w:id="1"/>
    </w:p>
    <w:p w14:paraId="4BB2B6D3" w14:textId="77777777" w:rsidR="007F0078" w:rsidRPr="007F0078" w:rsidRDefault="007F0078" w:rsidP="007F0078">
      <w:pPr>
        <w:spacing w:line="240" w:lineRule="auto"/>
        <w:rPr>
          <w:rFonts w:eastAsia="Times New Roman" w:cs="Arial"/>
          <w:sz w:val="28"/>
          <w:szCs w:val="24"/>
          <w:lang w:eastAsia="bg-BG"/>
        </w:rPr>
      </w:pPr>
    </w:p>
    <w:p w14:paraId="221C9525"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Педиатрична популация</w:t>
      </w:r>
    </w:p>
    <w:p w14:paraId="3D9273C6" w14:textId="77777777" w:rsidR="007F0078" w:rsidRPr="007F0078" w:rsidRDefault="007F0078" w:rsidP="007F0078">
      <w:pPr>
        <w:spacing w:line="240" w:lineRule="auto"/>
        <w:rPr>
          <w:rFonts w:eastAsia="Times New Roman" w:cs="Arial"/>
          <w:sz w:val="28"/>
          <w:szCs w:val="24"/>
          <w:lang w:eastAsia="bg-BG"/>
        </w:rPr>
      </w:pPr>
    </w:p>
    <w:p w14:paraId="367049C6" w14:textId="77777777" w:rsidR="007F0078" w:rsidRPr="007F0078" w:rsidRDefault="007F0078" w:rsidP="007F0078">
      <w:pPr>
        <w:spacing w:line="240" w:lineRule="auto"/>
        <w:rPr>
          <w:rFonts w:eastAsia="Times New Roman" w:cs="Arial"/>
          <w:sz w:val="28"/>
          <w:szCs w:val="24"/>
          <w:lang w:eastAsia="bg-BG"/>
        </w:rPr>
      </w:pPr>
    </w:p>
    <w:p w14:paraId="0CCAF86A"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lang w:eastAsia="bg-BG"/>
        </w:rPr>
        <w:t>Хиперхолестеролемия:</w:t>
      </w:r>
    </w:p>
    <w:p w14:paraId="61A8B8EC" w14:textId="77777777" w:rsidR="007F0078" w:rsidRPr="007F0078" w:rsidRDefault="007F0078" w:rsidP="007F0078">
      <w:pPr>
        <w:spacing w:line="240" w:lineRule="auto"/>
        <w:rPr>
          <w:rFonts w:eastAsia="Times New Roman" w:cs="Arial"/>
          <w:sz w:val="28"/>
          <w:szCs w:val="24"/>
          <w:lang w:eastAsia="bg-BG"/>
        </w:rPr>
      </w:pPr>
    </w:p>
    <w:p w14:paraId="174BD49C" w14:textId="77777777" w:rsidR="007F0078" w:rsidRPr="007F0078" w:rsidRDefault="007F0078" w:rsidP="007F0078">
      <w:pPr>
        <w:rPr>
          <w:rFonts w:eastAsia="Times New Roman" w:cs="Arial"/>
          <w:sz w:val="28"/>
          <w:szCs w:val="24"/>
          <w:lang w:eastAsia="bg-BG"/>
        </w:rPr>
      </w:pPr>
      <w:r w:rsidRPr="007F0078">
        <w:rPr>
          <w:rFonts w:eastAsia="Times New Roman" w:cs="Arial"/>
          <w:color w:val="000000"/>
          <w:szCs w:val="20"/>
          <w:lang w:eastAsia="bg-BG"/>
        </w:rPr>
        <w:t>Прилагането на лекарството в педиатрията трябва да се извършва само от специалист с опит в</w:t>
      </w:r>
      <w:r>
        <w:rPr>
          <w:rFonts w:eastAsia="Times New Roman" w:cs="Arial"/>
          <w:color w:val="000000"/>
          <w:szCs w:val="20"/>
          <w:lang w:val="en-US" w:eastAsia="bg-BG"/>
        </w:rPr>
        <w:t xml:space="preserve"> </w:t>
      </w:r>
      <w:r w:rsidRPr="007F0078">
        <w:rPr>
          <w:rFonts w:eastAsia="Times New Roman" w:cs="Arial"/>
          <w:color w:val="000000"/>
          <w:szCs w:val="20"/>
          <w:lang w:eastAsia="bg-BG"/>
        </w:rPr>
        <w:t>лечението на детската хиперлипидемия, като пациентите трябва да бъдат преценявани редовно по отношение на напредъка на лечението.</w:t>
      </w:r>
    </w:p>
    <w:p w14:paraId="7D7258C1" w14:textId="77777777" w:rsidR="007F0078" w:rsidRPr="007F0078" w:rsidRDefault="007F0078" w:rsidP="007F0078">
      <w:pPr>
        <w:spacing w:line="240" w:lineRule="auto"/>
        <w:rPr>
          <w:rFonts w:eastAsia="Times New Roman" w:cs="Arial"/>
          <w:color w:val="000000"/>
          <w:szCs w:val="20"/>
          <w:lang w:eastAsia="bg-BG"/>
        </w:rPr>
      </w:pPr>
    </w:p>
    <w:p w14:paraId="53281DFE" w14:textId="01BAFC6B"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При пациенти с Хетерозиготна фамилна хиперхолестеролемия на 10 и повече години препоръчваната стартова доза аторвастатин е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(вж. точка 5.1). Дозата може да се увеличи до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съгласно отговора и поносимостта. Дозите трябва да бъдат индивидуализирани съгласно препоръчителната цел на терапията. Корекциите трябва да се направят на интервали от 4 седмици или повече. Титрирането на дозата до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дневно се подкрепя от данни от проучвания при възрастни и от ограничени клинични данни от проучвания при деца с хетерозиготна фамилна хиперхолестеролемия (вж. точка 4.8 и 5.1). Има ограничени данни за безопасност и ефикасност при деца с хетерозиготна фамилна хиперхолестеролемия между 6-и 10- годишна възраст, получени от отворени проучвания. Аторвастатин не се препоръчва за лечение на пациенти под 10-годишна възраст. Наличните данни са описани в точки 4.8, 5.1 и 5.2, но не може да се направи препоръка за дозировка.</w:t>
      </w:r>
    </w:p>
    <w:p w14:paraId="419CBCD0" w14:textId="77777777" w:rsidR="007F0078" w:rsidRPr="007F0078" w:rsidRDefault="007F0078" w:rsidP="007F0078">
      <w:pPr>
        <w:spacing w:line="240" w:lineRule="auto"/>
        <w:rPr>
          <w:rFonts w:eastAsia="Times New Roman" w:cs="Arial"/>
          <w:color w:val="000000"/>
          <w:szCs w:val="20"/>
          <w:lang w:eastAsia="bg-BG"/>
        </w:rPr>
      </w:pPr>
    </w:p>
    <w:p w14:paraId="45137164" w14:textId="26C3D3B0"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Други фармацевтични форми/концентрации може да са по-подходящи за тази популация.</w:t>
      </w:r>
    </w:p>
    <w:p w14:paraId="7F666899" w14:textId="77777777" w:rsidR="007F0078" w:rsidRPr="007F0078" w:rsidRDefault="007F0078" w:rsidP="007F0078">
      <w:pPr>
        <w:spacing w:line="240" w:lineRule="auto"/>
        <w:rPr>
          <w:rFonts w:eastAsia="Times New Roman" w:cs="Arial"/>
          <w:i/>
          <w:iCs/>
          <w:color w:val="000000"/>
          <w:szCs w:val="20"/>
          <w:lang w:eastAsia="bg-BG"/>
        </w:rPr>
      </w:pPr>
    </w:p>
    <w:p w14:paraId="15F1D42F" w14:textId="3504420B"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lang w:eastAsia="bg-BG"/>
        </w:rPr>
        <w:t>Едновременна употреба с други лекарствени продукти</w:t>
      </w:r>
    </w:p>
    <w:p w14:paraId="06A4110C" w14:textId="77777777" w:rsidR="007F0078" w:rsidRPr="007F0078" w:rsidRDefault="007F0078" w:rsidP="007F0078">
      <w:pPr>
        <w:spacing w:line="240" w:lineRule="auto"/>
        <w:rPr>
          <w:rFonts w:eastAsia="Times New Roman" w:cs="Arial"/>
          <w:color w:val="000000"/>
          <w:szCs w:val="20"/>
          <w:lang w:eastAsia="bg-BG"/>
        </w:rPr>
      </w:pPr>
    </w:p>
    <w:p w14:paraId="7965D428" w14:textId="16C7B629"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При пациенти, приемащи антивирусните средства за лечение на хепатит С, като елбасвир/гразопревир или летермовир за профилактика на цитомегаловирусна инфекция, съпътстващо с аторвастатин, дозата на аторвастатин не трябва да превишава 20 </w:t>
      </w:r>
      <w:r w:rsidRPr="007F0078">
        <w:rPr>
          <w:rFonts w:eastAsia="Times New Roman" w:cs="Arial"/>
          <w:color w:val="000000"/>
          <w:szCs w:val="20"/>
          <w:lang w:val="en-US"/>
        </w:rPr>
        <w:t>mg</w:t>
      </w:r>
      <w:r w:rsidRPr="007F0078">
        <w:rPr>
          <w:rFonts w:eastAsia="Times New Roman" w:cs="Arial"/>
          <w:color w:val="000000"/>
          <w:szCs w:val="20"/>
          <w:lang w:eastAsia="bg-BG"/>
        </w:rPr>
        <w:t>/ден (вж. точки 4.4 и 4.5).</w:t>
      </w:r>
    </w:p>
    <w:p w14:paraId="1F41618B" w14:textId="77777777" w:rsidR="007F0078" w:rsidRPr="007F0078" w:rsidRDefault="007F0078" w:rsidP="007F0078">
      <w:pPr>
        <w:spacing w:line="240" w:lineRule="auto"/>
        <w:rPr>
          <w:rFonts w:eastAsia="Times New Roman" w:cs="Arial"/>
          <w:color w:val="000000"/>
          <w:szCs w:val="20"/>
          <w:lang w:eastAsia="bg-BG"/>
        </w:rPr>
      </w:pPr>
    </w:p>
    <w:p w14:paraId="5288EE81" w14:textId="5F2EBE24"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Не се препоръчва употребата на аторвастатин при пациенти, приемащи летермовир едновременно със циклоспорин (вж. точки 4.4 и 4.5).</w:t>
      </w:r>
    </w:p>
    <w:p w14:paraId="1F5C2A9F" w14:textId="77777777" w:rsidR="007F0078" w:rsidRPr="007F0078" w:rsidRDefault="007F0078" w:rsidP="007F0078">
      <w:pPr>
        <w:spacing w:line="240" w:lineRule="auto"/>
        <w:rPr>
          <w:rFonts w:eastAsia="Times New Roman" w:cs="Arial"/>
          <w:color w:val="000000"/>
          <w:szCs w:val="20"/>
          <w:u w:val="single"/>
          <w:lang w:eastAsia="bg-BG"/>
        </w:rPr>
      </w:pPr>
    </w:p>
    <w:p w14:paraId="6A329AF6" w14:textId="2A47CBA4" w:rsidR="007F0078" w:rsidRPr="00C77F9C" w:rsidRDefault="007F0078" w:rsidP="00C77F9C">
      <w:pPr>
        <w:pStyle w:val="Heading3"/>
        <w:rPr>
          <w:rFonts w:eastAsia="Times New Roman"/>
          <w:sz w:val="28"/>
          <w:u w:val="single"/>
          <w:lang w:eastAsia="bg-BG"/>
        </w:rPr>
      </w:pPr>
      <w:r w:rsidRPr="00C77F9C">
        <w:rPr>
          <w:rFonts w:eastAsia="Times New Roman"/>
          <w:u w:val="single"/>
          <w:lang w:eastAsia="bg-BG"/>
        </w:rPr>
        <w:t>Начин на приложение</w:t>
      </w:r>
    </w:p>
    <w:p w14:paraId="66397E82" w14:textId="77777777" w:rsidR="007F0078" w:rsidRPr="007F0078" w:rsidRDefault="007F0078" w:rsidP="007F0078">
      <w:pPr>
        <w:rPr>
          <w:rFonts w:eastAsia="Times New Roman" w:cs="Arial"/>
          <w:color w:val="000000"/>
          <w:szCs w:val="20"/>
          <w:lang w:eastAsia="bg-BG"/>
        </w:rPr>
      </w:pPr>
    </w:p>
    <w:p w14:paraId="552C8C15" w14:textId="2DDBD9A6" w:rsidR="007F0078" w:rsidRPr="007F0078" w:rsidRDefault="007F0078" w:rsidP="007F0078">
      <w:pPr>
        <w:rPr>
          <w:rFonts w:eastAsia="Times New Roman" w:cs="Arial"/>
          <w:color w:val="000000"/>
          <w:sz w:val="24"/>
          <w:szCs w:val="20"/>
          <w:lang w:val="en-US" w:eastAsia="bg-BG"/>
        </w:rPr>
      </w:pPr>
      <w:r w:rsidRPr="007F0078">
        <w:rPr>
          <w:rFonts w:eastAsia="Times New Roman" w:cs="Arial"/>
          <w:color w:val="000000"/>
          <w:szCs w:val="20"/>
          <w:lang w:eastAsia="bg-BG"/>
        </w:rPr>
        <w:t>Аторис е за перорално приложение.Всяка дневна доза аторвастатин се дава еднократно дневно по което и да време от деня, със или без храна.</w:t>
      </w:r>
    </w:p>
    <w:p w14:paraId="31071F51" w14:textId="77777777" w:rsidR="007F0078" w:rsidRPr="007F0078" w:rsidRDefault="007F0078" w:rsidP="007F0078">
      <w:pPr>
        <w:rPr>
          <w:rFonts w:cs="Arial"/>
          <w:sz w:val="24"/>
        </w:rPr>
      </w:pPr>
    </w:p>
    <w:p w14:paraId="28C984E8" w14:textId="2D4260C6" w:rsidR="008134C8" w:rsidRDefault="002C50EE" w:rsidP="004A448E">
      <w:pPr>
        <w:pStyle w:val="Heading2"/>
      </w:pPr>
      <w:r>
        <w:t>4.3. Противопоказания</w:t>
      </w:r>
    </w:p>
    <w:p w14:paraId="66874480" w14:textId="6E5BC1A8" w:rsidR="007F0078" w:rsidRDefault="007F0078" w:rsidP="007F0078"/>
    <w:p w14:paraId="5FF5B7DF"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Аторис е противопоказан при пациенти:</w:t>
      </w:r>
    </w:p>
    <w:p w14:paraId="709BC5C4" w14:textId="77777777" w:rsidR="007F0078" w:rsidRPr="007F0078" w:rsidRDefault="007F0078" w:rsidP="007F0078">
      <w:pPr>
        <w:pStyle w:val="ListParagraph"/>
        <w:numPr>
          <w:ilvl w:val="0"/>
          <w:numId w:val="35"/>
        </w:numPr>
        <w:spacing w:line="240" w:lineRule="auto"/>
        <w:rPr>
          <w:rFonts w:eastAsia="Times New Roman" w:cs="Arial"/>
          <w:sz w:val="28"/>
          <w:szCs w:val="24"/>
          <w:lang w:eastAsia="bg-BG"/>
        </w:rPr>
      </w:pPr>
      <w:r w:rsidRPr="007F0078">
        <w:rPr>
          <w:rFonts w:eastAsia="Times New Roman" w:cs="Arial"/>
          <w:color w:val="000000"/>
          <w:szCs w:val="20"/>
          <w:lang w:eastAsia="bg-BG"/>
        </w:rPr>
        <w:t>Със свръхчувствителност към активното вещество или към някое от помощните вещества на този лекарствен продукт, изброени в точка 6.1.</w:t>
      </w:r>
    </w:p>
    <w:p w14:paraId="22FEF5A7" w14:textId="77777777" w:rsidR="007F0078" w:rsidRPr="007F0078" w:rsidRDefault="007F0078" w:rsidP="007F0078">
      <w:pPr>
        <w:pStyle w:val="ListParagraph"/>
        <w:numPr>
          <w:ilvl w:val="0"/>
          <w:numId w:val="35"/>
        </w:numPr>
        <w:spacing w:line="240" w:lineRule="auto"/>
        <w:rPr>
          <w:rFonts w:eastAsia="Times New Roman" w:cs="Arial"/>
          <w:sz w:val="28"/>
          <w:szCs w:val="24"/>
          <w:lang w:eastAsia="bg-BG"/>
        </w:rPr>
      </w:pPr>
      <w:r w:rsidRPr="007F0078">
        <w:rPr>
          <w:rFonts w:eastAsia="Times New Roman" w:cs="Arial"/>
          <w:color w:val="000000"/>
          <w:szCs w:val="20"/>
          <w:lang w:eastAsia="bg-BG"/>
        </w:rPr>
        <w:t>С активно чернодробно заболяване или неизяснено персистиращо повишение на серумните трансаминази, надхвърлящо 3 пъти горната граница на нормата;</w:t>
      </w:r>
    </w:p>
    <w:p w14:paraId="2A22CE7A" w14:textId="2C0E2D8C" w:rsidR="007F0078" w:rsidRPr="007F0078" w:rsidRDefault="007F0078" w:rsidP="007F0078">
      <w:pPr>
        <w:pStyle w:val="ListParagraph"/>
        <w:numPr>
          <w:ilvl w:val="0"/>
          <w:numId w:val="35"/>
        </w:numPr>
        <w:spacing w:line="240" w:lineRule="auto"/>
        <w:rPr>
          <w:rFonts w:eastAsia="Times New Roman" w:cs="Arial"/>
          <w:sz w:val="28"/>
          <w:szCs w:val="24"/>
          <w:lang w:eastAsia="bg-BG"/>
        </w:rPr>
      </w:pPr>
      <w:r w:rsidRPr="007F0078">
        <w:rPr>
          <w:rFonts w:eastAsia="Times New Roman" w:cs="Arial"/>
          <w:color w:val="000000"/>
          <w:szCs w:val="20"/>
          <w:lang w:eastAsia="bg-BG"/>
        </w:rPr>
        <w:t>По време на бременност; по време на кърмене и при жени в детеродна възраст, неприлагащи сигурни контрацептивни средства (вж. точка 4.6);</w:t>
      </w:r>
    </w:p>
    <w:p w14:paraId="51213E18" w14:textId="0BD585B8" w:rsidR="007F0078" w:rsidRPr="007F0078" w:rsidRDefault="007F0078" w:rsidP="007F0078">
      <w:pPr>
        <w:pStyle w:val="ListParagraph"/>
        <w:numPr>
          <w:ilvl w:val="0"/>
          <w:numId w:val="35"/>
        </w:numPr>
        <w:rPr>
          <w:rFonts w:eastAsia="Times New Roman" w:cs="Arial"/>
          <w:color w:val="000000"/>
          <w:szCs w:val="20"/>
          <w:lang w:eastAsia="bg-BG"/>
        </w:rPr>
      </w:pPr>
      <w:r w:rsidRPr="007F0078">
        <w:rPr>
          <w:rFonts w:eastAsia="Times New Roman" w:cs="Arial"/>
          <w:color w:val="000000"/>
          <w:szCs w:val="20"/>
          <w:lang w:eastAsia="bg-BG"/>
        </w:rPr>
        <w:t>Лекувани с антивирусните средства за лечение на хепатит С глекапревир/пибрентасвир.</w:t>
      </w:r>
    </w:p>
    <w:p w14:paraId="19779FA4" w14:textId="77777777" w:rsidR="007F0078" w:rsidRPr="007F0078" w:rsidRDefault="007F0078" w:rsidP="007F0078"/>
    <w:p w14:paraId="212F509C" w14:textId="4583A713" w:rsidR="004F498A" w:rsidRDefault="002C50EE" w:rsidP="004A448E">
      <w:pPr>
        <w:pStyle w:val="Heading2"/>
      </w:pPr>
      <w:r>
        <w:t>4.4. Специални предупреждения и предпазни мерки при употреба</w:t>
      </w:r>
    </w:p>
    <w:p w14:paraId="66AD4C0E" w14:textId="214BB238" w:rsidR="007F0078" w:rsidRDefault="007F0078" w:rsidP="007F0078"/>
    <w:p w14:paraId="49192A74" w14:textId="77777777" w:rsidR="007F0078" w:rsidRPr="007F0078" w:rsidRDefault="007F0078" w:rsidP="007F0078">
      <w:pPr>
        <w:rPr>
          <w:sz w:val="24"/>
        </w:rPr>
      </w:pPr>
      <w:r w:rsidRPr="007F0078">
        <w:rPr>
          <w:szCs w:val="20"/>
          <w:u w:val="single"/>
        </w:rPr>
        <w:t>Чернодробно увреждане</w:t>
      </w:r>
    </w:p>
    <w:p w14:paraId="6C942B95" w14:textId="77777777" w:rsidR="007F0078" w:rsidRPr="007F0078" w:rsidRDefault="007F0078" w:rsidP="007F0078">
      <w:pPr>
        <w:rPr>
          <w:szCs w:val="20"/>
        </w:rPr>
      </w:pPr>
    </w:p>
    <w:p w14:paraId="6E3F786A" w14:textId="77777777" w:rsidR="007F0078" w:rsidRPr="007F0078" w:rsidRDefault="007F0078" w:rsidP="007F0078">
      <w:pPr>
        <w:rPr>
          <w:szCs w:val="20"/>
        </w:rPr>
      </w:pPr>
      <w:r w:rsidRPr="007F0078">
        <w:rPr>
          <w:szCs w:val="20"/>
        </w:rPr>
        <w:t xml:space="preserve">Трябва да се направят функционални чернодробни изследвания преди започване на лечението и периодично след това. При пациенти, при които се появят белези и симптоми, предполагащи чернодробно увреждане, тези тестове са задължителни. Пациенти, при които се повишат нивата на трансаминазите, трябва да бъдат контролирани до изчезване на аномалията (аномалиите). Ако повишението на трансаминазите, надхвърлящо повече от 3 пъти горната граница на нормата </w:t>
      </w:r>
      <w:r w:rsidRPr="007F0078">
        <w:rPr>
          <w:szCs w:val="20"/>
          <w:lang w:val="en-US"/>
        </w:rPr>
        <w:t xml:space="preserve">(ULN), </w:t>
      </w:r>
      <w:r w:rsidRPr="007F0078">
        <w:rPr>
          <w:szCs w:val="20"/>
        </w:rPr>
        <w:t xml:space="preserve">персистира, се препоръчва намаляване на дозата или преустановяване на приема на </w:t>
      </w:r>
    </w:p>
    <w:p w14:paraId="657E907C" w14:textId="0B58F1C3" w:rsidR="007F0078" w:rsidRPr="007F0078" w:rsidRDefault="007F0078" w:rsidP="007F0078">
      <w:pPr>
        <w:rPr>
          <w:sz w:val="24"/>
        </w:rPr>
      </w:pPr>
      <w:r w:rsidRPr="007F0078">
        <w:rPr>
          <w:szCs w:val="20"/>
        </w:rPr>
        <w:t>Аторис (вж. точка 4.8).</w:t>
      </w:r>
      <w:r w:rsidRPr="007F0078">
        <w:rPr>
          <w:szCs w:val="20"/>
        </w:rPr>
        <w:tab/>
      </w:r>
    </w:p>
    <w:p w14:paraId="2F5DA3EF" w14:textId="77777777" w:rsidR="007F0078" w:rsidRPr="007F0078" w:rsidRDefault="007F0078" w:rsidP="007F0078">
      <w:pPr>
        <w:rPr>
          <w:szCs w:val="20"/>
        </w:rPr>
      </w:pPr>
    </w:p>
    <w:p w14:paraId="490B317F" w14:textId="093E2B65" w:rsidR="007F0078" w:rsidRPr="007A3158" w:rsidRDefault="007F0078" w:rsidP="007F0078">
      <w:pPr>
        <w:rPr>
          <w:rFonts w:eastAsia="Times New Roman" w:cs="Arial"/>
          <w:sz w:val="28"/>
          <w:szCs w:val="24"/>
          <w:lang w:eastAsia="bg-BG"/>
        </w:rPr>
      </w:pPr>
      <w:r w:rsidRPr="007F0078">
        <w:rPr>
          <w:szCs w:val="20"/>
        </w:rPr>
        <w:t>Аторис трябва да се прилага предпазливо при пациенти, които консумират значителни</w:t>
      </w:r>
      <w:r w:rsidR="007A3158">
        <w:rPr>
          <w:szCs w:val="20"/>
          <w:lang w:val="en-US"/>
        </w:rPr>
        <w:t xml:space="preserve"> </w:t>
      </w:r>
      <w:r w:rsidRPr="007A3158">
        <w:rPr>
          <w:rFonts w:eastAsia="Times New Roman" w:cs="Arial"/>
          <w:color w:val="000000"/>
          <w:szCs w:val="20"/>
          <w:lang w:eastAsia="bg-BG"/>
        </w:rPr>
        <w:t>количества алкохол и/или имат анамнеза за чернодробно заболяване.</w:t>
      </w:r>
    </w:p>
    <w:p w14:paraId="60ED6631" w14:textId="77777777" w:rsidR="007F0078" w:rsidRPr="007A3158" w:rsidRDefault="007F0078" w:rsidP="007F0078">
      <w:pPr>
        <w:spacing w:line="240" w:lineRule="auto"/>
        <w:rPr>
          <w:rFonts w:eastAsia="Times New Roman" w:cs="Arial"/>
          <w:color w:val="000000"/>
          <w:szCs w:val="20"/>
          <w:u w:val="single"/>
          <w:lang w:eastAsia="bg-BG"/>
        </w:rPr>
      </w:pPr>
    </w:p>
    <w:p w14:paraId="4D76C142" w14:textId="5C771F02"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u w:val="single"/>
          <w:lang w:eastAsia="bg-BG"/>
        </w:rPr>
        <w:t xml:space="preserve">Предотвратяване на инсулт чрез агресивно намаляване на нивата на холестерола </w:t>
      </w:r>
      <w:r w:rsidRPr="007F0078">
        <w:rPr>
          <w:rFonts w:eastAsia="Times New Roman" w:cs="Arial"/>
          <w:color w:val="000000"/>
          <w:szCs w:val="20"/>
          <w:u w:val="single"/>
          <w:lang w:val="en-US"/>
        </w:rPr>
        <w:t>((Stroke Prevention by Aggressive Reduction in Cholesterol Levels (SPARCL))</w:t>
      </w:r>
    </w:p>
    <w:p w14:paraId="6CFADFA4" w14:textId="77777777" w:rsidR="007F0078" w:rsidRPr="007A3158" w:rsidRDefault="007F0078" w:rsidP="007F0078">
      <w:pPr>
        <w:spacing w:line="240" w:lineRule="auto"/>
        <w:rPr>
          <w:rFonts w:eastAsia="Times New Roman" w:cs="Arial"/>
          <w:color w:val="000000"/>
          <w:szCs w:val="20"/>
          <w:lang w:val="en-US"/>
        </w:rPr>
      </w:pPr>
    </w:p>
    <w:p w14:paraId="5FE0DEEF" w14:textId="0E76572C"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val="en-US"/>
        </w:rPr>
        <w:t xml:space="preserve">Post-hoc </w:t>
      </w:r>
      <w:r w:rsidRPr="007F0078">
        <w:rPr>
          <w:rFonts w:eastAsia="Times New Roman" w:cs="Arial"/>
          <w:color w:val="000000"/>
          <w:szCs w:val="20"/>
          <w:lang w:eastAsia="bg-BG"/>
        </w:rPr>
        <w:t xml:space="preserve">анализ на субтиповете инсулти при пациенти без исхемична болест на сърцето (ИБС), които са били с наскоро прекаран инсулт или транзиторна исхемична атака </w:t>
      </w:r>
      <w:r w:rsidRPr="007F0078">
        <w:rPr>
          <w:rFonts w:eastAsia="Times New Roman" w:cs="Arial"/>
          <w:color w:val="000000"/>
          <w:szCs w:val="20"/>
          <w:lang w:val="en-US"/>
        </w:rPr>
        <w:t xml:space="preserve">(TIA), </w:t>
      </w:r>
      <w:r w:rsidRPr="007F0078">
        <w:rPr>
          <w:rFonts w:eastAsia="Times New Roman" w:cs="Arial"/>
          <w:color w:val="000000"/>
          <w:szCs w:val="20"/>
          <w:lang w:eastAsia="bg-BG"/>
        </w:rPr>
        <w:t xml:space="preserve">е показал по- висока честота на хеморагичен инсулт при пациентите, включени на терапия с аторвастатин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спрямо плацебо. Повишен риск е отбелязан предимно при пациентите с предходен хеморагичен инсулт или лакунарен инфаркт при включване в проучването. За пациентите с предходен хеморагичен инсулт или лакунарен инфаркт, балансът между рисковете и ползите от аторвастин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е несигурен и потенциалният риск от хеморагичен инсулт трябва да бъде внимателно преценен преди започване на терапията (вж. точка 5.1).</w:t>
      </w:r>
    </w:p>
    <w:p w14:paraId="2FFAF98C" w14:textId="77777777" w:rsidR="007F0078" w:rsidRPr="007A3158" w:rsidRDefault="007F0078" w:rsidP="007F0078">
      <w:pPr>
        <w:spacing w:line="240" w:lineRule="auto"/>
        <w:rPr>
          <w:rFonts w:eastAsia="Times New Roman" w:cs="Arial"/>
          <w:color w:val="000000"/>
          <w:szCs w:val="20"/>
          <w:u w:val="single"/>
          <w:lang w:eastAsia="bg-BG"/>
        </w:rPr>
      </w:pPr>
    </w:p>
    <w:p w14:paraId="50D56E7C" w14:textId="6F627A4E"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u w:val="single"/>
          <w:lang w:eastAsia="bg-BG"/>
        </w:rPr>
        <w:t>Прояви от страна на скелетната мускулатура</w:t>
      </w:r>
    </w:p>
    <w:p w14:paraId="38C0AA38" w14:textId="77777777" w:rsidR="007F0078" w:rsidRPr="007A3158" w:rsidRDefault="007F0078" w:rsidP="007F0078">
      <w:pPr>
        <w:spacing w:line="240" w:lineRule="auto"/>
        <w:rPr>
          <w:rFonts w:eastAsia="Times New Roman" w:cs="Arial"/>
          <w:color w:val="000000"/>
          <w:szCs w:val="20"/>
          <w:lang w:eastAsia="bg-BG"/>
        </w:rPr>
      </w:pPr>
    </w:p>
    <w:p w14:paraId="2DC49818" w14:textId="77777777" w:rsidR="007F0078" w:rsidRPr="007A315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Аторвастатин, както и другите </w:t>
      </w:r>
      <w:r w:rsidRPr="007F0078">
        <w:rPr>
          <w:rFonts w:eastAsia="Times New Roman" w:cs="Arial"/>
          <w:color w:val="000000"/>
          <w:szCs w:val="20"/>
          <w:lang w:val="en-US"/>
        </w:rPr>
        <w:t>HMG</w:t>
      </w:r>
      <w:r w:rsidRPr="007F0078">
        <w:rPr>
          <w:rFonts w:eastAsia="Times New Roman" w:cs="Arial"/>
          <w:color w:val="000000"/>
          <w:szCs w:val="20"/>
          <w:lang w:eastAsia="bg-BG"/>
        </w:rPr>
        <w:t xml:space="preserve">-СоА-редуктазни инхибитори, в редки случаи може да окаже неблагоприятно въздействие върху скелетната мускулатура и да причини миалгия, миозит и миопатия, които могат да прогресират до рабдомиолиза, потенциално животозастрашаващо състояние, характеризиращо се със значително повишение на </w:t>
      </w:r>
      <w:r w:rsidRPr="007F0078">
        <w:rPr>
          <w:rFonts w:eastAsia="Times New Roman" w:cs="Arial"/>
          <w:color w:val="000000"/>
          <w:szCs w:val="20"/>
          <w:lang w:eastAsia="bg-BG"/>
        </w:rPr>
        <w:lastRenderedPageBreak/>
        <w:t xml:space="preserve">нивата на креатинин киназа </w:t>
      </w:r>
      <w:r w:rsidRPr="007F0078">
        <w:rPr>
          <w:rFonts w:eastAsia="Times New Roman" w:cs="Arial"/>
          <w:i/>
          <w:iCs/>
          <w:color w:val="000000"/>
          <w:szCs w:val="20"/>
          <w:lang w:eastAsia="bg-BG"/>
        </w:rPr>
        <w:t>(СК) (&gt; 10</w:t>
      </w:r>
      <w:r w:rsidRPr="007F0078">
        <w:rPr>
          <w:rFonts w:eastAsia="Times New Roman" w:cs="Arial"/>
          <w:color w:val="000000"/>
          <w:szCs w:val="20"/>
          <w:lang w:eastAsia="bg-BG"/>
        </w:rPr>
        <w:t xml:space="preserve"> пъти над нормата), миоглобинемия и миоглобинурия, които могат до доведат до бъбречна недостатъчност.</w:t>
      </w:r>
    </w:p>
    <w:p w14:paraId="5C8F8223" w14:textId="77777777" w:rsidR="007F0078" w:rsidRPr="007A3158" w:rsidRDefault="007F0078" w:rsidP="007F0078">
      <w:pPr>
        <w:spacing w:line="240" w:lineRule="auto"/>
        <w:rPr>
          <w:rFonts w:eastAsia="Times New Roman" w:cs="Arial"/>
          <w:sz w:val="28"/>
          <w:szCs w:val="24"/>
          <w:lang w:eastAsia="bg-BG"/>
        </w:rPr>
      </w:pPr>
    </w:p>
    <w:p w14:paraId="3C2D04D6" w14:textId="6A0BAA41"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Преди лечението</w:t>
      </w:r>
    </w:p>
    <w:p w14:paraId="40530795" w14:textId="77777777" w:rsidR="007F0078" w:rsidRPr="007A3158" w:rsidRDefault="007F0078" w:rsidP="007F0078">
      <w:pPr>
        <w:spacing w:line="240" w:lineRule="auto"/>
        <w:rPr>
          <w:rFonts w:eastAsia="Times New Roman" w:cs="Arial"/>
          <w:color w:val="000000"/>
          <w:szCs w:val="20"/>
          <w:lang w:eastAsia="bg-BG"/>
        </w:rPr>
      </w:pPr>
    </w:p>
    <w:p w14:paraId="261F4FA0" w14:textId="08806298"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Аторвастатин трябва да се използва внимателно при пациенти с предразполагащи фактори за рабдомиолиза. Нивата на СК трябва да се изследват преди започване на лечение със статии в следните случаи:</w:t>
      </w:r>
    </w:p>
    <w:p w14:paraId="1A3E645A" w14:textId="77777777"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Бъбречно увреждане;</w:t>
      </w:r>
    </w:p>
    <w:p w14:paraId="669C7F26" w14:textId="77777777"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Хипотиреоидизъм;</w:t>
      </w:r>
    </w:p>
    <w:p w14:paraId="1CC6C653" w14:textId="77777777"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Анамнеза, вкл. и семейна, за наследствени заболявалия на мускулите;</w:t>
      </w:r>
    </w:p>
    <w:p w14:paraId="10B318C0" w14:textId="77777777"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Анамнеза за мускулна токсичност от статии или фибрат;</w:t>
      </w:r>
    </w:p>
    <w:p w14:paraId="0E2CD001" w14:textId="77777777" w:rsidR="007A315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 xml:space="preserve">Анамнеза за чернодробно заболяване и/или употреба на значителни количества алкохол; </w:t>
      </w:r>
    </w:p>
    <w:p w14:paraId="41C932E0" w14:textId="3FE9FA1C"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При пациенти в старческа възраст (&gt; 70 г.) трябва да се има предвид необходимостта от това изследване в зависимост от наличието на други фактори, предразполагащи към рабдомиолиза,</w:t>
      </w:r>
    </w:p>
    <w:p w14:paraId="7000CEDB" w14:textId="3113758B" w:rsidR="007F0078" w:rsidRDefault="007F0078" w:rsidP="007A3158">
      <w:pPr>
        <w:pStyle w:val="ListParagraph"/>
        <w:numPr>
          <w:ilvl w:val="0"/>
          <w:numId w:val="36"/>
        </w:numPr>
        <w:rPr>
          <w:rFonts w:eastAsia="Times New Roman" w:cs="Arial"/>
          <w:color w:val="000000"/>
          <w:szCs w:val="20"/>
          <w:lang w:eastAsia="bg-BG"/>
        </w:rPr>
      </w:pPr>
      <w:r w:rsidRPr="007A3158">
        <w:rPr>
          <w:rFonts w:eastAsia="Times New Roman" w:cs="Arial"/>
          <w:color w:val="000000"/>
          <w:szCs w:val="20"/>
          <w:lang w:eastAsia="bg-BG"/>
        </w:rPr>
        <w:t>Когато е възможно повишаване на плазмените нива, напр.при взаимодействия (вж. точка 4.5) и специални популации, вкл. генетични субпопулации (вж. точка 5.2).</w:t>
      </w:r>
    </w:p>
    <w:p w14:paraId="2606AE75" w14:textId="695F78A5" w:rsidR="007A3158" w:rsidRPr="007A3158" w:rsidRDefault="007A3158" w:rsidP="007A3158">
      <w:pPr>
        <w:pStyle w:val="ListParagraph"/>
        <w:rPr>
          <w:rFonts w:eastAsia="Times New Roman" w:cs="Arial"/>
          <w:color w:val="000000"/>
          <w:szCs w:val="20"/>
          <w:lang w:eastAsia="bg-BG"/>
        </w:rPr>
      </w:pPr>
    </w:p>
    <w:p w14:paraId="75DE3F08"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В такива ситуации трябва да се прецени рискът от лечението спрямо възможните ползи и се препоръчва клинично мониториране.</w:t>
      </w:r>
    </w:p>
    <w:p w14:paraId="77C2A314" w14:textId="77777777" w:rsidR="007A3158" w:rsidRPr="007A3158" w:rsidRDefault="007A3158" w:rsidP="007A3158">
      <w:pPr>
        <w:spacing w:line="240" w:lineRule="auto"/>
        <w:rPr>
          <w:rFonts w:eastAsia="Times New Roman" w:cs="Arial"/>
          <w:color w:val="000000"/>
          <w:szCs w:val="20"/>
          <w:lang w:eastAsia="bg-BG"/>
        </w:rPr>
      </w:pPr>
    </w:p>
    <w:p w14:paraId="6A250745" w14:textId="0E4E954F"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Не трябва да се започва лечение, ако изходните нива на СК са значително повишени (&gt; 5 пъти над нормата).</w:t>
      </w:r>
    </w:p>
    <w:p w14:paraId="27EB802A" w14:textId="77777777" w:rsidR="007A3158" w:rsidRPr="007A3158" w:rsidRDefault="007A3158" w:rsidP="007A3158">
      <w:pPr>
        <w:spacing w:line="240" w:lineRule="auto"/>
        <w:rPr>
          <w:rFonts w:eastAsia="Times New Roman" w:cs="Arial"/>
          <w:i/>
          <w:iCs/>
          <w:color w:val="000000"/>
          <w:szCs w:val="20"/>
          <w:u w:val="single"/>
          <w:lang w:eastAsia="bg-BG"/>
        </w:rPr>
      </w:pPr>
    </w:p>
    <w:p w14:paraId="2994DB87" w14:textId="00F73CFE"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Измерване на креатинин киназата</w:t>
      </w:r>
    </w:p>
    <w:p w14:paraId="7DF32CDD" w14:textId="77777777" w:rsidR="007A3158" w:rsidRPr="007A3158" w:rsidRDefault="007A3158" w:rsidP="007A3158">
      <w:pPr>
        <w:spacing w:line="240" w:lineRule="auto"/>
        <w:rPr>
          <w:rFonts w:eastAsia="Times New Roman" w:cs="Arial"/>
          <w:color w:val="000000"/>
          <w:szCs w:val="20"/>
          <w:lang w:eastAsia="bg-BG"/>
        </w:rPr>
      </w:pPr>
    </w:p>
    <w:p w14:paraId="4EB68E61" w14:textId="10A0A553"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Креатинин киназата (СК) не трябва да се изследва след физическо натоварване или при наличието на вероятна алтернативна причина за нейното увеличение, тъй като интерпретацията на резултатите в такива случаи е затруднена. Ако изходните стойности на СК са значително повишени (&gt; 5 пъти над нормата), нивата трябва да се изследват повторно в рамките на 5 до 7 дни, за да се потвърдят резултатите.</w:t>
      </w:r>
    </w:p>
    <w:p w14:paraId="13046BF4" w14:textId="77777777" w:rsidR="007A3158" w:rsidRPr="007A3158" w:rsidRDefault="007A3158" w:rsidP="007A3158">
      <w:pPr>
        <w:spacing w:line="240" w:lineRule="auto"/>
        <w:rPr>
          <w:rFonts w:eastAsia="Times New Roman" w:cs="Arial"/>
          <w:i/>
          <w:iCs/>
          <w:color w:val="000000"/>
          <w:szCs w:val="20"/>
          <w:u w:val="single"/>
          <w:lang w:eastAsia="bg-BG"/>
        </w:rPr>
      </w:pPr>
    </w:p>
    <w:p w14:paraId="4C80EBE4" w14:textId="750D1C52"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По време на лечението</w:t>
      </w:r>
    </w:p>
    <w:p w14:paraId="08E65CB4" w14:textId="77777777" w:rsidR="007A3158" w:rsidRPr="007A3158" w:rsidRDefault="007A3158" w:rsidP="007A3158">
      <w:pPr>
        <w:spacing w:line="240" w:lineRule="auto"/>
        <w:rPr>
          <w:rFonts w:eastAsia="Times New Roman" w:cs="Arial"/>
          <w:sz w:val="28"/>
          <w:szCs w:val="24"/>
          <w:lang w:eastAsia="bg-BG"/>
        </w:rPr>
      </w:pPr>
    </w:p>
    <w:p w14:paraId="6D0F6D7E" w14:textId="77777777" w:rsidR="007A3158" w:rsidRPr="007A3158" w:rsidRDefault="007A3158" w:rsidP="007A3158">
      <w:pPr>
        <w:rPr>
          <w:rFonts w:eastAsia="Times New Roman" w:cs="Arial"/>
          <w:sz w:val="28"/>
          <w:szCs w:val="24"/>
          <w:lang w:eastAsia="bg-BG"/>
        </w:rPr>
      </w:pPr>
      <w:r w:rsidRPr="007A3158">
        <w:rPr>
          <w:rFonts w:eastAsia="Times New Roman" w:cs="Arial"/>
          <w:color w:val="000000"/>
          <w:szCs w:val="20"/>
          <w:lang w:eastAsia="bg-BG"/>
        </w:rPr>
        <w:t>Пациентите трябва да бъдат предупредени веднага да съобщават за поява на мускулни</w:t>
      </w:r>
      <w:r>
        <w:rPr>
          <w:rFonts w:eastAsia="Times New Roman" w:cs="Arial"/>
          <w:color w:val="000000"/>
          <w:szCs w:val="20"/>
          <w:lang w:val="en-US" w:eastAsia="bg-BG"/>
        </w:rPr>
        <w:t xml:space="preserve"> </w:t>
      </w:r>
      <w:r w:rsidRPr="007A3158">
        <w:rPr>
          <w:rFonts w:eastAsia="Times New Roman" w:cs="Arial"/>
          <w:color w:val="000000"/>
          <w:szCs w:val="20"/>
          <w:lang w:eastAsia="bg-BG"/>
        </w:rPr>
        <w:t>болки, крампи или слабост, особено когато това е придружено с неразположение или повишение на температурата.</w:t>
      </w:r>
    </w:p>
    <w:p w14:paraId="03E86314" w14:textId="77777777" w:rsidR="007A3158" w:rsidRPr="007A3158" w:rsidRDefault="007A3158" w:rsidP="007A3158">
      <w:pPr>
        <w:pStyle w:val="ListParagraph"/>
        <w:numPr>
          <w:ilvl w:val="0"/>
          <w:numId w:val="38"/>
        </w:numPr>
        <w:spacing w:line="240" w:lineRule="auto"/>
        <w:rPr>
          <w:rFonts w:eastAsia="Times New Roman" w:cs="Arial"/>
          <w:sz w:val="28"/>
          <w:szCs w:val="24"/>
          <w:lang w:eastAsia="bg-BG"/>
        </w:rPr>
      </w:pPr>
      <w:r w:rsidRPr="007A3158">
        <w:rPr>
          <w:rFonts w:eastAsia="Times New Roman" w:cs="Arial"/>
          <w:color w:val="000000"/>
          <w:szCs w:val="20"/>
          <w:lang w:eastAsia="bg-BG"/>
        </w:rPr>
        <w:t>Трябва да се изследват нивата на СК, ако се появят такива симптоми по време на терапията с аторвастатин. Необходимо е прекратяване на терапията, ако се установи, че тези нива са значително повишени (&gt; 5 пъти над нормата).</w:t>
      </w:r>
    </w:p>
    <w:p w14:paraId="052DA3C0" w14:textId="77777777" w:rsidR="007A3158" w:rsidRPr="007A3158" w:rsidRDefault="007A3158" w:rsidP="007A3158">
      <w:pPr>
        <w:pStyle w:val="ListParagraph"/>
        <w:numPr>
          <w:ilvl w:val="0"/>
          <w:numId w:val="38"/>
        </w:numPr>
        <w:spacing w:line="240" w:lineRule="auto"/>
        <w:rPr>
          <w:rFonts w:eastAsia="Times New Roman" w:cs="Arial"/>
          <w:sz w:val="28"/>
          <w:szCs w:val="24"/>
          <w:lang w:eastAsia="bg-BG"/>
        </w:rPr>
      </w:pPr>
      <w:r w:rsidRPr="007A3158">
        <w:rPr>
          <w:rFonts w:eastAsia="Times New Roman" w:cs="Arial"/>
          <w:color w:val="000000"/>
          <w:szCs w:val="20"/>
          <w:lang w:eastAsia="bg-BG"/>
        </w:rPr>
        <w:t>Трябва да се обмисли прекратяване на лечението, ако мускулните симптоми са тежки и предизвикват постоянен дискомфорт, дори и в случаите, когато СК са повишени до &lt; 5 пъти над нормата.</w:t>
      </w:r>
    </w:p>
    <w:p w14:paraId="42EFBA0B" w14:textId="77777777" w:rsidR="007A3158" w:rsidRPr="007A3158" w:rsidRDefault="007A3158" w:rsidP="007A3158">
      <w:pPr>
        <w:pStyle w:val="ListParagraph"/>
        <w:numPr>
          <w:ilvl w:val="0"/>
          <w:numId w:val="38"/>
        </w:numPr>
        <w:spacing w:line="240" w:lineRule="auto"/>
        <w:rPr>
          <w:rFonts w:eastAsia="Times New Roman" w:cs="Arial"/>
          <w:sz w:val="28"/>
          <w:szCs w:val="24"/>
          <w:lang w:eastAsia="bg-BG"/>
        </w:rPr>
      </w:pPr>
      <w:r w:rsidRPr="007A3158">
        <w:rPr>
          <w:rFonts w:eastAsia="Times New Roman" w:cs="Arial"/>
          <w:color w:val="000000"/>
          <w:szCs w:val="20"/>
          <w:lang w:eastAsia="bg-BG"/>
        </w:rPr>
        <w:lastRenderedPageBreak/>
        <w:t>Ако симптомите отшумят и нивата на СК се нормализират, може да се обмисли повторно включване на аторвастатин или започване на терапия с алтернативен статии при използване на най-ниската доза и стриктно мониториране.</w:t>
      </w:r>
    </w:p>
    <w:p w14:paraId="3602D3C4" w14:textId="646EEC16" w:rsidR="007F0078" w:rsidRPr="007A3158" w:rsidRDefault="007A3158" w:rsidP="007A3158">
      <w:pPr>
        <w:pStyle w:val="ListParagraph"/>
        <w:numPr>
          <w:ilvl w:val="0"/>
          <w:numId w:val="37"/>
        </w:numPr>
        <w:rPr>
          <w:rFonts w:cs="Arial"/>
          <w:sz w:val="32"/>
          <w:lang w:val="en-US"/>
        </w:rPr>
      </w:pPr>
      <w:r w:rsidRPr="007A3158">
        <w:rPr>
          <w:rFonts w:eastAsia="Times New Roman" w:cs="Arial"/>
          <w:color w:val="000000"/>
          <w:szCs w:val="20"/>
          <w:lang w:eastAsia="bg-BG"/>
        </w:rPr>
        <w:t>Приемът на аторвастатин трябва да бъде преустановен, ако са налице повишени нива на СК (&gt;10 пъти над нормата) или ако се диагностицира или подозира рабдомиолиза.</w:t>
      </w:r>
    </w:p>
    <w:p w14:paraId="7FD451D7" w14:textId="3EC3A919" w:rsidR="007A3158" w:rsidRPr="007A3158" w:rsidRDefault="007A3158" w:rsidP="007A3158">
      <w:pPr>
        <w:pStyle w:val="ListParagraph"/>
        <w:rPr>
          <w:rFonts w:cs="Arial"/>
          <w:lang w:val="en-US"/>
        </w:rPr>
      </w:pPr>
    </w:p>
    <w:p w14:paraId="3B7DF3EE"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Едновременен прием с други лекарствени продукти</w:t>
      </w:r>
    </w:p>
    <w:p w14:paraId="79345880" w14:textId="77777777" w:rsidR="007A3158" w:rsidRPr="007A3158" w:rsidRDefault="007A3158" w:rsidP="007A3158">
      <w:pPr>
        <w:spacing w:line="240" w:lineRule="auto"/>
        <w:rPr>
          <w:rFonts w:eastAsia="Times New Roman" w:cs="Arial"/>
          <w:color w:val="000000"/>
          <w:szCs w:val="20"/>
          <w:lang w:eastAsia="bg-BG"/>
        </w:rPr>
      </w:pPr>
    </w:p>
    <w:p w14:paraId="6A03B665" w14:textId="417D2655"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Рискът от рабдомиолиза се повишава при едновременен прием на аторвастатин с определени лекарствени продукти, които могат да повишат плазмената концентрация на аторвастатин, като мощните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или транспортните протеини (напр.циклоспорин, телитромицин, кларитромицин, делавирдин, стирипентол, кетоконазол, вориконазол, итраконазол, позаконазол, летермовир или </w:t>
      </w:r>
      <w:r w:rsidRPr="007A3158">
        <w:rPr>
          <w:rFonts w:eastAsia="Times New Roman" w:cs="Arial"/>
          <w:color w:val="000000"/>
          <w:szCs w:val="20"/>
          <w:lang w:val="en-US"/>
        </w:rPr>
        <w:t>HIV</w:t>
      </w:r>
      <w:r w:rsidRPr="007A3158">
        <w:rPr>
          <w:rFonts w:eastAsia="Times New Roman" w:cs="Arial"/>
          <w:color w:val="000000"/>
          <w:szCs w:val="20"/>
          <w:lang w:eastAsia="bg-BG"/>
        </w:rPr>
        <w:t xml:space="preserve">-протеазни инхибитори включително ритонавир, лопинавир, атазанавир, индиравир, дарунавир, трипранавир/ритонавир и др.). Рискът от миопатия може също да бъде повишен при едновременното приложение с гемфиброзил и други фибрати, антивирусни средства за лечение на хепатит С </w:t>
      </w:r>
      <w:r w:rsidRPr="007A3158">
        <w:rPr>
          <w:rFonts w:eastAsia="Times New Roman" w:cs="Arial"/>
          <w:color w:val="000000"/>
          <w:szCs w:val="20"/>
          <w:lang w:val="en-US"/>
        </w:rPr>
        <w:t xml:space="preserve">(HCV) </w:t>
      </w:r>
      <w:r w:rsidRPr="007A3158">
        <w:rPr>
          <w:rFonts w:eastAsia="Times New Roman" w:cs="Arial"/>
          <w:color w:val="000000"/>
          <w:szCs w:val="20"/>
          <w:lang w:eastAsia="bg-BG"/>
        </w:rPr>
        <w:t>(боцепревир, телапревир, елбасвир/гразопревир, ледипасвир/софосбувир), еритромицин, ниацин или езетимиб. Ако е възможно, вместо тези лекарствени продукти трябва да се обмисли алтернативно (невзаимодействащо лечение).</w:t>
      </w:r>
    </w:p>
    <w:p w14:paraId="34C60D3E" w14:textId="77777777" w:rsidR="007A3158" w:rsidRPr="007A3158" w:rsidRDefault="007A3158" w:rsidP="007A3158">
      <w:pPr>
        <w:spacing w:line="240" w:lineRule="auto"/>
        <w:rPr>
          <w:rFonts w:eastAsia="Times New Roman" w:cs="Arial"/>
          <w:color w:val="000000"/>
          <w:szCs w:val="20"/>
          <w:lang w:eastAsia="bg-BG"/>
        </w:rPr>
      </w:pPr>
    </w:p>
    <w:p w14:paraId="2B791EBA" w14:textId="68342D98"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По време или след лечение с някои статини е имало много редки съобщения за имуномедиирана некротизаираща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w:t>
      </w:r>
    </w:p>
    <w:p w14:paraId="117DD9AA" w14:textId="77777777" w:rsidR="007A3158" w:rsidRPr="007A3158" w:rsidRDefault="007A3158" w:rsidP="007A3158">
      <w:pPr>
        <w:spacing w:line="240" w:lineRule="auto"/>
        <w:rPr>
          <w:rFonts w:eastAsia="Times New Roman" w:cs="Arial"/>
          <w:color w:val="000000"/>
          <w:szCs w:val="20"/>
          <w:lang w:eastAsia="bg-BG"/>
        </w:rPr>
      </w:pPr>
    </w:p>
    <w:p w14:paraId="609C9DD6" w14:textId="2CF6C204"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В случаи, когато е необходимо едновременното приложение на тези лекарствени продукти с аторвастатин, ползата и рискът от съпътстващото лечение трябва да бъдат обмислени внимателно. Когато пациентите получават лекарствени продукти, повишаващи плазмената концентрация на аторвастатин, се препоръчва по-ниска максимална доза на аторвастатин. В случаите с едновременно прилагане с мощни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трябва да се обсъди по- ниска начална доза на аторвастатин и се препоръчва съответно клинично мониториране на тези пациенти (вж. точка 4.5).</w:t>
      </w:r>
    </w:p>
    <w:p w14:paraId="2FC8DC68" w14:textId="77777777" w:rsidR="007A3158" w:rsidRPr="007A3158" w:rsidRDefault="007A3158" w:rsidP="007A3158">
      <w:pPr>
        <w:spacing w:line="240" w:lineRule="auto"/>
        <w:rPr>
          <w:rFonts w:eastAsia="Times New Roman" w:cs="Arial"/>
          <w:color w:val="000000"/>
          <w:szCs w:val="20"/>
          <w:lang w:eastAsia="bg-BG"/>
        </w:rPr>
      </w:pPr>
    </w:p>
    <w:p w14:paraId="735FF388" w14:textId="241409CE"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Аторис не трябва да се прилага едновременно с фузидова киселина за системно приложение или в рамките на 7 дни след спиране на лечението с фузидова киселина. При пациенти, при които употребата на фузидова киселина за системно приложение е от съществено значение, лечението със статини трябва да се спре за целия курс на лечение с фузидова киселина. Съобщени са случаи на рабдомиолиза (някои от които фатални) при пациенти, получавали комбинация от фузидова киселина със статини (вж. точка 4.5).</w:t>
      </w:r>
    </w:p>
    <w:p w14:paraId="430E8B9D"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Пациентите трябва да бъдат посъветвани да потърсят незабавно лекарска помощ, ако при тях се появят симптоми на мускулна слабост, болка или чувствителност.</w:t>
      </w:r>
    </w:p>
    <w:p w14:paraId="20DFCB41" w14:textId="77777777" w:rsidR="007A3158" w:rsidRPr="007A3158" w:rsidRDefault="007A3158" w:rsidP="007A3158">
      <w:pPr>
        <w:spacing w:line="240" w:lineRule="auto"/>
        <w:rPr>
          <w:rFonts w:eastAsia="Times New Roman" w:cs="Arial"/>
          <w:color w:val="000000"/>
          <w:szCs w:val="20"/>
          <w:lang w:eastAsia="bg-BG"/>
        </w:rPr>
      </w:pPr>
    </w:p>
    <w:p w14:paraId="200ECC65" w14:textId="47BC60F1"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Лечението със статини може да бъде започнато отново седем дни след последната</w:t>
      </w:r>
      <w:r w:rsidRPr="007A3158">
        <w:rPr>
          <w:rFonts w:eastAsia="Times New Roman" w:cs="Arial"/>
          <w:color w:val="000000"/>
          <w:szCs w:val="20"/>
          <w:lang w:val="en-US"/>
        </w:rPr>
        <w:t xml:space="preserve"> </w:t>
      </w:r>
      <w:r w:rsidRPr="007A3158">
        <w:rPr>
          <w:rFonts w:eastAsia="Times New Roman" w:cs="Arial"/>
          <w:color w:val="000000"/>
          <w:szCs w:val="20"/>
          <w:lang w:eastAsia="bg-BG"/>
        </w:rPr>
        <w:t>доза фузидова киселина.</w:t>
      </w:r>
      <w:r w:rsidRPr="007A3158">
        <w:rPr>
          <w:rFonts w:eastAsia="Times New Roman" w:cs="Arial"/>
          <w:color w:val="000000"/>
          <w:szCs w:val="20"/>
          <w:lang w:eastAsia="bg-BG"/>
        </w:rPr>
        <w:tab/>
      </w:r>
    </w:p>
    <w:p w14:paraId="46A67C1A" w14:textId="77777777" w:rsidR="007A3158" w:rsidRPr="007A3158" w:rsidRDefault="007A3158" w:rsidP="007A3158">
      <w:pPr>
        <w:spacing w:line="240" w:lineRule="auto"/>
        <w:rPr>
          <w:rFonts w:eastAsia="Times New Roman" w:cs="Arial"/>
          <w:color w:val="000000"/>
          <w:szCs w:val="20"/>
          <w:lang w:eastAsia="bg-BG"/>
        </w:rPr>
      </w:pPr>
    </w:p>
    <w:p w14:paraId="4A2A1A47" w14:textId="77777777" w:rsidR="007A3158" w:rsidRPr="007A3158" w:rsidRDefault="007A3158" w:rsidP="007A3158">
      <w:pPr>
        <w:rPr>
          <w:rFonts w:eastAsia="Times New Roman" w:cs="Arial"/>
          <w:sz w:val="28"/>
          <w:szCs w:val="24"/>
          <w:lang w:eastAsia="bg-BG"/>
        </w:rPr>
      </w:pPr>
      <w:r w:rsidRPr="007A3158">
        <w:rPr>
          <w:rFonts w:eastAsia="Times New Roman" w:cs="Arial"/>
          <w:color w:val="000000"/>
          <w:szCs w:val="20"/>
          <w:lang w:eastAsia="bg-BG"/>
        </w:rPr>
        <w:t>В отделни случаи, когато е необходимо продължително лечение с фузидова киселина за  системно приложение, напр. при лечение на тежки инфекции, нуждата от едновременно</w:t>
      </w:r>
      <w:r w:rsidRPr="007A3158">
        <w:rPr>
          <w:rFonts w:eastAsia="Times New Roman" w:cs="Arial"/>
          <w:sz w:val="28"/>
          <w:szCs w:val="24"/>
          <w:lang w:val="en-US" w:eastAsia="bg-BG"/>
        </w:rPr>
        <w:t xml:space="preserve"> </w:t>
      </w:r>
      <w:r w:rsidRPr="007A3158">
        <w:rPr>
          <w:rFonts w:eastAsia="Times New Roman" w:cs="Arial"/>
          <w:color w:val="000000"/>
          <w:szCs w:val="20"/>
          <w:lang w:eastAsia="bg-BG"/>
        </w:rPr>
        <w:lastRenderedPageBreak/>
        <w:t>приложение на Аторис и фузидова киселина трябва да се прецени за всеки отделен пациент и</w:t>
      </w:r>
      <w:r>
        <w:rPr>
          <w:rFonts w:eastAsia="Times New Roman" w:cs="Arial"/>
          <w:color w:val="000000"/>
          <w:szCs w:val="20"/>
          <w:lang w:val="en-US" w:eastAsia="bg-BG"/>
        </w:rPr>
        <w:t xml:space="preserve"> </w:t>
      </w:r>
      <w:r w:rsidRPr="007A3158">
        <w:rPr>
          <w:rFonts w:eastAsia="Times New Roman" w:cs="Arial"/>
          <w:color w:val="000000"/>
          <w:szCs w:val="20"/>
          <w:lang w:eastAsia="bg-BG"/>
        </w:rPr>
        <w:t>под пряко лекарско наблюдение.</w:t>
      </w:r>
    </w:p>
    <w:p w14:paraId="1AD47742" w14:textId="77777777" w:rsidR="007A3158" w:rsidRPr="007A3158" w:rsidRDefault="007A3158" w:rsidP="007A3158">
      <w:pPr>
        <w:spacing w:line="240" w:lineRule="auto"/>
        <w:rPr>
          <w:rFonts w:eastAsia="Times New Roman" w:cs="Arial"/>
          <w:color w:val="000000"/>
          <w:szCs w:val="20"/>
          <w:u w:val="single"/>
          <w:lang w:eastAsia="bg-BG"/>
        </w:rPr>
      </w:pPr>
    </w:p>
    <w:p w14:paraId="4C3EE4B1" w14:textId="6B3CE971"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Педиатрична популация</w:t>
      </w:r>
    </w:p>
    <w:p w14:paraId="053DDD3A" w14:textId="77777777" w:rsidR="007A3158" w:rsidRPr="007A3158" w:rsidRDefault="007A3158" w:rsidP="007A3158">
      <w:pPr>
        <w:spacing w:line="240" w:lineRule="auto"/>
        <w:rPr>
          <w:rFonts w:eastAsia="Times New Roman" w:cs="Arial"/>
          <w:color w:val="000000"/>
          <w:szCs w:val="20"/>
          <w:lang w:eastAsia="bg-BG"/>
        </w:rPr>
      </w:pPr>
    </w:p>
    <w:p w14:paraId="23D83E68" w14:textId="63EFE555"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В 3-годишно проучване, основано на оценка на цялостното съзряване и развитие, оценка по стадий на </w:t>
      </w:r>
      <w:r w:rsidRPr="007A3158">
        <w:rPr>
          <w:rFonts w:eastAsia="Times New Roman" w:cs="Arial"/>
          <w:color w:val="000000"/>
          <w:szCs w:val="20"/>
          <w:lang w:val="en-US"/>
        </w:rPr>
        <w:t xml:space="preserve">Tanner </w:t>
      </w:r>
      <w:r w:rsidRPr="007A3158">
        <w:rPr>
          <w:rFonts w:eastAsia="Times New Roman" w:cs="Arial"/>
          <w:color w:val="000000"/>
          <w:szCs w:val="20"/>
          <w:lang w:eastAsia="bg-BG"/>
        </w:rPr>
        <w:t>и измерване на височината и теглото, не се наблюдава клинично значим ефект върху развитието и половата зрялост.</w:t>
      </w:r>
    </w:p>
    <w:p w14:paraId="4B01EAF6" w14:textId="77777777" w:rsidR="007A3158" w:rsidRPr="007A3158" w:rsidRDefault="007A3158" w:rsidP="007A3158">
      <w:pPr>
        <w:spacing w:line="240" w:lineRule="auto"/>
        <w:rPr>
          <w:rFonts w:eastAsia="Times New Roman" w:cs="Arial"/>
          <w:color w:val="000000"/>
          <w:szCs w:val="20"/>
          <w:u w:val="single"/>
          <w:lang w:eastAsia="bg-BG"/>
        </w:rPr>
      </w:pPr>
    </w:p>
    <w:p w14:paraId="39DEE908" w14:textId="315CAA66"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Интерстициална белодробна болест</w:t>
      </w:r>
    </w:p>
    <w:p w14:paraId="4470D6D2" w14:textId="77777777" w:rsidR="007A3158" w:rsidRPr="007A3158" w:rsidRDefault="007A3158" w:rsidP="007A3158">
      <w:pPr>
        <w:spacing w:line="240" w:lineRule="auto"/>
        <w:rPr>
          <w:rFonts w:eastAsia="Times New Roman" w:cs="Arial"/>
          <w:color w:val="000000"/>
          <w:szCs w:val="20"/>
          <w:lang w:eastAsia="bg-BG"/>
        </w:rPr>
      </w:pPr>
    </w:p>
    <w:p w14:paraId="379EBC29" w14:textId="239FCC64"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При прием на статини са съобщавани отделни случаи на интерстициална белодробна болест, особено при продължителна терапия (вж. точка 4.8). Проявите могат да включват диспнея, непродуктивна кашлица и общо влошаване на здравето (умора, загуба на тегло и треска). Терапията със статини трябва да се преустанови, ако се подозира, че пациента е развил интерстициална белодробна болест.</w:t>
      </w:r>
    </w:p>
    <w:p w14:paraId="3FFC758B" w14:textId="77777777" w:rsidR="007A3158" w:rsidRPr="007A3158" w:rsidRDefault="007A3158" w:rsidP="007A3158">
      <w:pPr>
        <w:spacing w:line="240" w:lineRule="auto"/>
        <w:rPr>
          <w:rFonts w:eastAsia="Times New Roman" w:cs="Arial"/>
          <w:color w:val="000000"/>
          <w:szCs w:val="20"/>
          <w:u w:val="single"/>
          <w:lang w:eastAsia="bg-BG"/>
        </w:rPr>
      </w:pPr>
    </w:p>
    <w:p w14:paraId="5FA54C15" w14:textId="37EDFC7F"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Захарен диабет</w:t>
      </w:r>
    </w:p>
    <w:p w14:paraId="61863F1E" w14:textId="77777777" w:rsidR="007A3158" w:rsidRPr="007A3158" w:rsidRDefault="007A3158" w:rsidP="007A3158">
      <w:pPr>
        <w:spacing w:line="240" w:lineRule="auto"/>
        <w:rPr>
          <w:rFonts w:eastAsia="Times New Roman" w:cs="Arial"/>
          <w:color w:val="000000"/>
          <w:szCs w:val="20"/>
          <w:lang w:eastAsia="bg-BG"/>
        </w:rPr>
      </w:pPr>
    </w:p>
    <w:p w14:paraId="63649DA4" w14:textId="5336346E"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Някои данни показват, че статините са клас лекарства, който повишава кръвната захар и при някои пациенти, изложени на висок риск от развитие на диабет, може да доведат до състояние на хипергликемия, при което се изисква провеждането на подходящи мерки както при диабет. Този риск, обаче, се компенсира от намаляване на съдовия риск при лечението със статини и затова не трябва да бъде причина за спиране на лечението. На пациентите, изложени на риск (глюкоза на гладно 5.6-6.9 </w:t>
      </w:r>
      <w:proofErr w:type="spellStart"/>
      <w:r w:rsidRPr="007A3158">
        <w:rPr>
          <w:rFonts w:eastAsia="Times New Roman" w:cs="Arial"/>
          <w:color w:val="000000"/>
          <w:szCs w:val="20"/>
          <w:lang w:val="en-US"/>
        </w:rPr>
        <w:t>mmol</w:t>
      </w:r>
      <w:proofErr w:type="spellEnd"/>
      <w:r w:rsidRPr="007A3158">
        <w:rPr>
          <w:rFonts w:eastAsia="Times New Roman" w:cs="Arial"/>
          <w:color w:val="000000"/>
          <w:szCs w:val="20"/>
          <w:lang w:val="en-US"/>
        </w:rPr>
        <w:t xml:space="preserve">/L, </w:t>
      </w:r>
      <w:r w:rsidRPr="007A3158">
        <w:rPr>
          <w:rFonts w:eastAsia="Times New Roman" w:cs="Arial"/>
          <w:color w:val="000000"/>
          <w:szCs w:val="20"/>
          <w:lang w:eastAsia="bg-BG"/>
        </w:rPr>
        <w:t xml:space="preserve">ИТМ&gt; </w:t>
      </w:r>
      <w:r w:rsidRPr="007A3158">
        <w:rPr>
          <w:rFonts w:eastAsia="Times New Roman" w:cs="Arial"/>
          <w:color w:val="000000"/>
          <w:szCs w:val="20"/>
          <w:lang w:val="en-US"/>
        </w:rPr>
        <w:t>30kg/ m</w:t>
      </w:r>
      <w:r w:rsidRPr="007A3158">
        <w:rPr>
          <w:rFonts w:eastAsia="Times New Roman" w:cs="Arial"/>
          <w:color w:val="000000"/>
          <w:szCs w:val="20"/>
          <w:vertAlign w:val="superscript"/>
          <w:lang w:val="en-US"/>
        </w:rPr>
        <w:t>2</w:t>
      </w:r>
      <w:r w:rsidRPr="007A3158">
        <w:rPr>
          <w:rFonts w:eastAsia="Times New Roman" w:cs="Arial"/>
          <w:color w:val="000000"/>
          <w:szCs w:val="20"/>
          <w:lang w:val="en-US"/>
        </w:rPr>
        <w:t xml:space="preserve">, </w:t>
      </w:r>
      <w:r w:rsidRPr="007A3158">
        <w:rPr>
          <w:rFonts w:eastAsia="Times New Roman" w:cs="Arial"/>
          <w:color w:val="000000"/>
          <w:szCs w:val="20"/>
          <w:lang w:eastAsia="bg-BG"/>
        </w:rPr>
        <w:t>повишени триглицериди, хипертония), следва да назначи провеждане на клинични и биохимични изследвания в съответствие с националните ръководства.</w:t>
      </w:r>
    </w:p>
    <w:p w14:paraId="375EA612" w14:textId="77777777" w:rsidR="007A3158" w:rsidRPr="007A3158" w:rsidRDefault="007A3158" w:rsidP="007A3158">
      <w:pPr>
        <w:spacing w:line="240" w:lineRule="auto"/>
        <w:rPr>
          <w:rFonts w:eastAsia="Times New Roman" w:cs="Arial"/>
          <w:color w:val="000000"/>
          <w:szCs w:val="20"/>
          <w:u w:val="single"/>
          <w:lang w:eastAsia="bg-BG"/>
        </w:rPr>
      </w:pPr>
    </w:p>
    <w:p w14:paraId="26007884" w14:textId="763055F6"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Помощни вещества</w:t>
      </w:r>
    </w:p>
    <w:p w14:paraId="6EE6B542" w14:textId="77777777" w:rsidR="007A3158" w:rsidRPr="007A3158" w:rsidRDefault="007A3158" w:rsidP="007A3158">
      <w:pPr>
        <w:spacing w:line="240" w:lineRule="auto"/>
        <w:rPr>
          <w:rFonts w:eastAsia="Times New Roman" w:cs="Arial"/>
          <w:color w:val="000000"/>
          <w:szCs w:val="20"/>
          <w:lang w:eastAsia="bg-BG"/>
        </w:rPr>
      </w:pPr>
    </w:p>
    <w:p w14:paraId="7B1C34EB" w14:textId="4515C300"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Аторис съдържа лактоза. Пациенти с редки наследствени проблеми на непоносимост към галактоза, пълен лактазен дефицит или глюкозно-галактозна малабсорбция не трябва да приемат това лекарство.</w:t>
      </w:r>
    </w:p>
    <w:p w14:paraId="733AF2C1" w14:textId="04271AD4" w:rsidR="007A3158" w:rsidRPr="007A3158" w:rsidRDefault="007A3158" w:rsidP="007A3158">
      <w:pPr>
        <w:spacing w:line="240" w:lineRule="auto"/>
        <w:rPr>
          <w:rFonts w:eastAsia="Times New Roman" w:cs="Arial"/>
          <w:color w:val="000000"/>
          <w:sz w:val="24"/>
          <w:szCs w:val="20"/>
          <w:lang w:val="en-US" w:eastAsia="bg-BG"/>
        </w:rPr>
      </w:pPr>
      <w:r w:rsidRPr="007A3158">
        <w:rPr>
          <w:rFonts w:eastAsia="Times New Roman" w:cs="Arial"/>
          <w:color w:val="000000"/>
          <w:szCs w:val="20"/>
          <w:lang w:eastAsia="bg-BG"/>
        </w:rPr>
        <w:t xml:space="preserve">Това лекарство съдържа по-малко от 1 </w:t>
      </w:r>
      <w:proofErr w:type="spellStart"/>
      <w:r w:rsidRPr="007A3158">
        <w:rPr>
          <w:rFonts w:eastAsia="Times New Roman" w:cs="Arial"/>
          <w:color w:val="000000"/>
          <w:szCs w:val="20"/>
          <w:lang w:val="en-US"/>
        </w:rPr>
        <w:t>mmol</w:t>
      </w:r>
      <w:proofErr w:type="spellEnd"/>
      <w:r w:rsidRPr="007A3158">
        <w:rPr>
          <w:rFonts w:eastAsia="Times New Roman" w:cs="Arial"/>
          <w:color w:val="000000"/>
          <w:szCs w:val="20"/>
          <w:lang w:val="en-US"/>
        </w:rPr>
        <w:t xml:space="preserve"> </w:t>
      </w:r>
      <w:r w:rsidRPr="007A3158">
        <w:rPr>
          <w:rFonts w:eastAsia="Times New Roman" w:cs="Arial"/>
          <w:color w:val="000000"/>
          <w:szCs w:val="20"/>
          <w:lang w:eastAsia="bg-BG"/>
        </w:rPr>
        <w:t xml:space="preserve">натрий (23 </w:t>
      </w:r>
      <w:r w:rsidRPr="007A3158">
        <w:rPr>
          <w:rFonts w:eastAsia="Times New Roman" w:cs="Arial"/>
          <w:color w:val="000000"/>
          <w:szCs w:val="20"/>
          <w:lang w:val="en-US"/>
        </w:rPr>
        <w:t xml:space="preserve">mg) </w:t>
      </w:r>
      <w:r w:rsidRPr="007A3158">
        <w:rPr>
          <w:rFonts w:eastAsia="Times New Roman" w:cs="Arial"/>
          <w:color w:val="000000"/>
          <w:szCs w:val="20"/>
          <w:lang w:eastAsia="bg-BG"/>
        </w:rPr>
        <w:t>на таблетка, т.е. може да се каже, че практически не съдържа натрий.</w:t>
      </w:r>
    </w:p>
    <w:p w14:paraId="39DC1A67" w14:textId="77777777" w:rsidR="007A3158" w:rsidRPr="007A3158" w:rsidRDefault="007A3158" w:rsidP="007A3158">
      <w:pPr>
        <w:spacing w:line="240" w:lineRule="auto"/>
        <w:rPr>
          <w:rFonts w:eastAsia="Times New Roman" w:cs="Arial"/>
          <w:sz w:val="28"/>
          <w:szCs w:val="24"/>
          <w:lang w:eastAsia="bg-BG"/>
        </w:rPr>
      </w:pPr>
    </w:p>
    <w:p w14:paraId="619DED1E" w14:textId="6ECB4BBA"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8251DBA" w14:textId="12F2257D" w:rsidR="007A3158" w:rsidRDefault="007A3158" w:rsidP="007A3158"/>
    <w:p w14:paraId="58FC4FD2"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Ефекти на едновременно приложени лекарствени продукти върху аторвастатин</w:t>
      </w:r>
    </w:p>
    <w:p w14:paraId="06598854" w14:textId="77777777" w:rsidR="007A3158" w:rsidRPr="007A3158" w:rsidRDefault="007A3158" w:rsidP="007A3158">
      <w:pPr>
        <w:spacing w:line="240" w:lineRule="auto"/>
        <w:rPr>
          <w:rFonts w:eastAsia="Times New Roman" w:cs="Arial"/>
          <w:color w:val="000000"/>
          <w:szCs w:val="20"/>
          <w:lang w:eastAsia="bg-BG"/>
        </w:rPr>
      </w:pPr>
    </w:p>
    <w:p w14:paraId="628EFE28" w14:textId="1273FA64"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Аторвастатин се метаболизира от цитохром Р450 ЗА4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и е субстрат на чернодробните транспортери, органичния анион-транспортен полипептид 1В1 (ОАТР1В1) и 1ВЗ (ОАТР1ВЗ) транспортер. Метаболитите на аторвастатин са субстрати на ОАТР1В1. Установено е също така, че аторвастатин е субстрат на протеина, свързан с множествена лекарствена резистентност 1 </w:t>
      </w:r>
      <w:r w:rsidRPr="007A3158">
        <w:rPr>
          <w:rFonts w:eastAsia="Times New Roman" w:cs="Arial"/>
          <w:color w:val="000000"/>
          <w:szCs w:val="20"/>
          <w:lang w:val="en-US"/>
        </w:rPr>
        <w:t xml:space="preserve">(Multi-drug resistant protein </w:t>
      </w:r>
      <w:r w:rsidRPr="007A3158">
        <w:rPr>
          <w:rFonts w:eastAsia="Times New Roman" w:cs="Arial"/>
          <w:color w:val="000000"/>
          <w:szCs w:val="20"/>
          <w:lang w:eastAsia="bg-BG"/>
        </w:rPr>
        <w:t xml:space="preserve">1, </w:t>
      </w:r>
      <w:r w:rsidRPr="007A3158">
        <w:rPr>
          <w:rFonts w:eastAsia="Times New Roman" w:cs="Arial"/>
          <w:color w:val="000000"/>
          <w:szCs w:val="20"/>
          <w:lang w:val="en-US"/>
        </w:rPr>
        <w:t xml:space="preserve">MDR1) </w:t>
      </w:r>
      <w:r w:rsidRPr="007A3158">
        <w:rPr>
          <w:rFonts w:eastAsia="Times New Roman" w:cs="Arial"/>
          <w:color w:val="000000"/>
          <w:szCs w:val="20"/>
          <w:lang w:eastAsia="bg-BG"/>
        </w:rPr>
        <w:t xml:space="preserve">и на протеина на резистентност на рака на гърдата </w:t>
      </w:r>
      <w:r w:rsidRPr="007A3158">
        <w:rPr>
          <w:rFonts w:eastAsia="Times New Roman" w:cs="Arial"/>
          <w:color w:val="000000"/>
          <w:szCs w:val="20"/>
          <w:lang w:val="en-US"/>
        </w:rPr>
        <w:t xml:space="preserve">(Breast cancer resistant protein, BCRP), </w:t>
      </w:r>
      <w:r w:rsidRPr="007A3158">
        <w:rPr>
          <w:rFonts w:eastAsia="Times New Roman" w:cs="Arial"/>
          <w:color w:val="000000"/>
          <w:szCs w:val="20"/>
          <w:lang w:eastAsia="bg-BG"/>
        </w:rPr>
        <w:t xml:space="preserve">които може да ограничат чревната абсорбция и жлъчния клирънс на аторвастатин (вж. точка 5.2). Едновременният прием на лекарствени продукти, които са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или на транспортните протеини може да доведе до повишаване на плазмените концентрации на </w:t>
      </w:r>
      <w:r w:rsidRPr="007A3158">
        <w:rPr>
          <w:rFonts w:eastAsia="Times New Roman" w:cs="Arial"/>
          <w:color w:val="000000"/>
          <w:szCs w:val="20"/>
          <w:lang w:eastAsia="bg-BG"/>
        </w:rPr>
        <w:lastRenderedPageBreak/>
        <w:t>аторвастатин и повишен риск от миопатия. Рискът може да се повиши също при едновременно прилагане на аторвастатин с други лекарствени продукти, притежаващи потенциал да индуцират миопатия като фибрата и езетимиб (вж. точка 4.4)</w:t>
      </w:r>
    </w:p>
    <w:p w14:paraId="3F908A1B" w14:textId="77777777" w:rsidR="007A3158" w:rsidRPr="007A3158" w:rsidRDefault="007A3158" w:rsidP="007A3158">
      <w:pPr>
        <w:spacing w:line="240" w:lineRule="auto"/>
        <w:rPr>
          <w:rFonts w:eastAsia="Times New Roman" w:cs="Arial"/>
          <w:i/>
          <w:iCs/>
          <w:color w:val="000000"/>
          <w:szCs w:val="20"/>
          <w:u w:val="single"/>
          <w:lang w:val="en-US"/>
        </w:rPr>
      </w:pPr>
    </w:p>
    <w:p w14:paraId="22B940B1" w14:textId="33CFA242"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val="en-US"/>
        </w:rPr>
        <w:t xml:space="preserve">CYP3A4 </w:t>
      </w:r>
      <w:r w:rsidRPr="007A3158">
        <w:rPr>
          <w:rFonts w:eastAsia="Times New Roman" w:cs="Arial"/>
          <w:i/>
          <w:iCs/>
          <w:color w:val="000000"/>
          <w:szCs w:val="20"/>
          <w:u w:val="single"/>
          <w:lang w:eastAsia="bg-BG"/>
        </w:rPr>
        <w:t>инхибитори</w:t>
      </w:r>
    </w:p>
    <w:p w14:paraId="040A5AFC" w14:textId="77777777" w:rsidR="007A3158" w:rsidRPr="007A3158" w:rsidRDefault="007A3158" w:rsidP="007A3158">
      <w:pPr>
        <w:rPr>
          <w:rFonts w:eastAsia="Times New Roman" w:cs="Arial"/>
          <w:color w:val="000000"/>
          <w:szCs w:val="20"/>
          <w:lang w:eastAsia="bg-BG"/>
        </w:rPr>
      </w:pPr>
    </w:p>
    <w:p w14:paraId="267693EA" w14:textId="77777777" w:rsidR="007A3158" w:rsidRPr="007A3158" w:rsidRDefault="007A3158" w:rsidP="007A3158">
      <w:pPr>
        <w:rPr>
          <w:rFonts w:eastAsia="Times New Roman" w:cs="Arial"/>
          <w:sz w:val="28"/>
          <w:szCs w:val="24"/>
          <w:lang w:eastAsia="bg-BG"/>
        </w:rPr>
      </w:pPr>
      <w:r w:rsidRPr="007A3158">
        <w:rPr>
          <w:rFonts w:eastAsia="Times New Roman" w:cs="Arial"/>
          <w:color w:val="000000"/>
          <w:szCs w:val="20"/>
          <w:lang w:eastAsia="bg-BG"/>
        </w:rPr>
        <w:t xml:space="preserve">Мощните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инхибитори са показали, че водят до чувствително по-висока концентрация</w:t>
      </w:r>
      <w:r>
        <w:rPr>
          <w:rFonts w:eastAsia="Times New Roman" w:cs="Arial"/>
          <w:color w:val="000000"/>
          <w:szCs w:val="20"/>
          <w:lang w:val="en-US" w:eastAsia="bg-BG"/>
        </w:rPr>
        <w:t xml:space="preserve"> </w:t>
      </w:r>
      <w:r w:rsidRPr="007A3158">
        <w:rPr>
          <w:rFonts w:eastAsia="Times New Roman" w:cs="Arial"/>
          <w:color w:val="000000"/>
          <w:szCs w:val="20"/>
          <w:lang w:eastAsia="bg-BG"/>
        </w:rPr>
        <w:t xml:space="preserve">на аторвастатин </w:t>
      </w:r>
      <w:r w:rsidRPr="007A3158">
        <w:rPr>
          <w:rFonts w:eastAsia="Times New Roman" w:cs="Arial"/>
          <w:i/>
          <w:iCs/>
          <w:color w:val="000000"/>
          <w:szCs w:val="20"/>
          <w:lang w:eastAsia="bg-BG"/>
        </w:rPr>
        <w:t>(виж</w:t>
      </w:r>
      <w:r w:rsidRPr="007A3158">
        <w:rPr>
          <w:rFonts w:eastAsia="Times New Roman" w:cs="Arial"/>
          <w:color w:val="000000"/>
          <w:szCs w:val="20"/>
          <w:lang w:eastAsia="bg-BG"/>
        </w:rPr>
        <w:t xml:space="preserve"> таблица 1 и специфичната информация по-долу). Едновременното прилагане на мощни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(напр. циклоспорин, телитромицин, кларитромицин, делавирдин, стирипентол, кетоконазол, вориконазол, итраконазол, позаконазол, някои антивирусни средства, използвани при лечението на </w:t>
      </w:r>
      <w:r w:rsidRPr="007A3158">
        <w:rPr>
          <w:rFonts w:eastAsia="Times New Roman" w:cs="Arial"/>
          <w:color w:val="000000"/>
          <w:szCs w:val="20"/>
          <w:lang w:val="en-US"/>
        </w:rPr>
        <w:t xml:space="preserve">HCV </w:t>
      </w:r>
      <w:r w:rsidRPr="007A3158">
        <w:rPr>
          <w:rFonts w:eastAsia="Times New Roman" w:cs="Arial"/>
          <w:color w:val="000000"/>
          <w:szCs w:val="20"/>
          <w:lang w:eastAsia="bg-BG"/>
        </w:rPr>
        <w:t xml:space="preserve">(например елбасвир/гразопревир) и </w:t>
      </w:r>
      <w:r w:rsidRPr="007A3158">
        <w:rPr>
          <w:rFonts w:eastAsia="Times New Roman" w:cs="Arial"/>
          <w:color w:val="000000"/>
          <w:szCs w:val="20"/>
          <w:lang w:val="en-US"/>
        </w:rPr>
        <w:t>HIV</w:t>
      </w:r>
      <w:r w:rsidRPr="007A3158">
        <w:rPr>
          <w:rFonts w:eastAsia="Times New Roman" w:cs="Arial"/>
          <w:color w:val="000000"/>
          <w:szCs w:val="20"/>
          <w:lang w:eastAsia="bg-BG"/>
        </w:rPr>
        <w:t>-протеазни инхибитори, включително ритонавир, лопинавир, атазанавир, индинавир, дарунавир и др.) по възможност трябва да се избягва. В случаи, когато не може да се избегне едновременното прилагане на тези лекарствени продукти с аторвастатин, трябва да се обмислят по-ниски начална и максимална дози на аторвастатин, и се препоръчва подходящо клинично проследяване на пациента (вж. Таблица 1).</w:t>
      </w:r>
    </w:p>
    <w:p w14:paraId="744D8F8D" w14:textId="77777777" w:rsidR="007A3158" w:rsidRPr="007A3158" w:rsidRDefault="007A3158" w:rsidP="007A3158">
      <w:pPr>
        <w:spacing w:line="240" w:lineRule="auto"/>
        <w:rPr>
          <w:rFonts w:eastAsia="Times New Roman" w:cs="Arial"/>
          <w:color w:val="000000"/>
          <w:szCs w:val="20"/>
          <w:lang w:eastAsia="bg-BG"/>
        </w:rPr>
      </w:pPr>
    </w:p>
    <w:p w14:paraId="2E153B12" w14:textId="1BC51F46"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Умерените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(напр. еритромицин, дилтиазем, верапамил и флуконазол) могат да повишат плазмените концентрации на аторвастатин (вж. Таблица 1). Наблюдаван е повишен риск от миопатия при употреба на еритромицин в комбинация със статини. Не са провеждани проучвания на взаимодействията, които да оценят ефектите на амиодарон или верапамил върху аторвастатин. Известно е, че амиодарон и верапамил инхибират активността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и едновременното прилагане с аторвастатин може да доведе до повишена експозиция на аторвастатин. Ето защо при едновременна употреба с умерени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трябва да се обсъди по-ниска максимална доза на аторвастатин и да се проведе подходящо клинично проследяване на пациента. Клинично проследяване се препоръчва както при започване на терапията, така и при последваща промяна на дозировката на инхибитора.</w:t>
      </w:r>
    </w:p>
    <w:p w14:paraId="4ACD77C2" w14:textId="77777777" w:rsidR="007A3158" w:rsidRPr="007A3158" w:rsidRDefault="007A3158" w:rsidP="007A3158">
      <w:pPr>
        <w:spacing w:line="240" w:lineRule="auto"/>
        <w:rPr>
          <w:rFonts w:eastAsia="Times New Roman" w:cs="Arial"/>
          <w:i/>
          <w:iCs/>
          <w:color w:val="000000"/>
          <w:szCs w:val="20"/>
          <w:u w:val="single"/>
          <w:lang w:eastAsia="bg-BG"/>
        </w:rPr>
      </w:pPr>
    </w:p>
    <w:p w14:paraId="7F87EAD1" w14:textId="5E890D3B"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 xml:space="preserve">Индуктори на </w:t>
      </w:r>
      <w:r w:rsidRPr="007A3158">
        <w:rPr>
          <w:rFonts w:eastAsia="Times New Roman" w:cs="Arial"/>
          <w:i/>
          <w:iCs/>
          <w:color w:val="000000"/>
          <w:szCs w:val="20"/>
          <w:u w:val="single"/>
          <w:lang w:val="en-US"/>
        </w:rPr>
        <w:t>CYP3A4</w:t>
      </w:r>
    </w:p>
    <w:p w14:paraId="6A4F2027" w14:textId="77777777" w:rsidR="007A3158" w:rsidRPr="007A3158" w:rsidRDefault="007A3158" w:rsidP="007A3158">
      <w:pPr>
        <w:rPr>
          <w:rFonts w:eastAsia="Times New Roman" w:cs="Arial"/>
          <w:color w:val="000000"/>
          <w:szCs w:val="20"/>
          <w:lang w:eastAsia="bg-BG"/>
        </w:rPr>
      </w:pPr>
    </w:p>
    <w:p w14:paraId="6E94F9BC" w14:textId="6EE45F11" w:rsidR="007A3158" w:rsidRDefault="007A3158" w:rsidP="007A3158">
      <w:pPr>
        <w:rPr>
          <w:rFonts w:eastAsia="Times New Roman" w:cs="Arial"/>
          <w:color w:val="000000"/>
          <w:szCs w:val="20"/>
          <w:lang w:eastAsia="bg-BG"/>
        </w:rPr>
      </w:pPr>
      <w:r w:rsidRPr="007A3158">
        <w:rPr>
          <w:rFonts w:eastAsia="Times New Roman" w:cs="Arial"/>
          <w:color w:val="000000"/>
          <w:szCs w:val="20"/>
          <w:lang w:eastAsia="bg-BG"/>
        </w:rPr>
        <w:t xml:space="preserve">Едновременното приложение на аторвастатин с индуктори на цитохром Р 450 ЗА4 (напр. ефавиренц, рифампин, жълт кантарион) може да доведе до променливо понижение на плазмените концентрации на аторвастатин. Поради двойния механизъм на взаимодействие на рифампин (индукция на цитохром </w:t>
      </w:r>
      <w:r w:rsidRPr="007A3158">
        <w:rPr>
          <w:rFonts w:eastAsia="Times New Roman" w:cs="Arial"/>
          <w:color w:val="000000"/>
          <w:szCs w:val="20"/>
          <w:lang w:val="en-US"/>
        </w:rPr>
        <w:t xml:space="preserve">P-450 </w:t>
      </w:r>
      <w:r w:rsidRPr="007A3158">
        <w:rPr>
          <w:rFonts w:eastAsia="Times New Roman" w:cs="Arial"/>
          <w:color w:val="000000"/>
          <w:szCs w:val="20"/>
          <w:lang w:eastAsia="bg-BG"/>
        </w:rPr>
        <w:t>ЗА4 и инхибиране на транспортера на хепатоцитното захващане ОАТР1В1) се препоръчва едновременно прилагане на аторвастатин с рифампин, тъй като по-късното приложение на аторвастатин след прием на рифампин се свързва със значимо намаляване на плазмените концентрации на аторвастатин. Влиянието на рифампин върху концентрациите на аторвастатин в хепатоцитите е неизвестно и, ако едновременното прилагане не може да се избегне, пациентите трябва да се проследяват внимателно за оценка на терапевтичните ефекти.</w:t>
      </w:r>
    </w:p>
    <w:p w14:paraId="4A1FF826" w14:textId="477FB613" w:rsidR="007A3158" w:rsidRDefault="007A3158" w:rsidP="007A3158">
      <w:pPr>
        <w:rPr>
          <w:rFonts w:eastAsia="Times New Roman" w:cs="Arial"/>
          <w:color w:val="000000"/>
          <w:szCs w:val="20"/>
          <w:lang w:eastAsia="bg-BG"/>
        </w:rPr>
      </w:pPr>
    </w:p>
    <w:p w14:paraId="6EAEF385"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Транспортни инхибитори</w:t>
      </w:r>
    </w:p>
    <w:p w14:paraId="33F04684" w14:textId="77777777" w:rsidR="007A3158" w:rsidRPr="007A3158" w:rsidRDefault="007A3158" w:rsidP="007A3158">
      <w:pPr>
        <w:spacing w:line="240" w:lineRule="auto"/>
        <w:rPr>
          <w:rFonts w:eastAsia="Times New Roman" w:cs="Arial"/>
          <w:sz w:val="28"/>
          <w:szCs w:val="24"/>
          <w:lang w:eastAsia="bg-BG"/>
        </w:rPr>
      </w:pPr>
    </w:p>
    <w:p w14:paraId="02EAD4EF" w14:textId="48C11FDD"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Инхибиторите на транспортните протеини може да повишат системната наличност на аторвастатин. Циклоспорин и летермовир са инхибитори на транспортерите, включени в елиминирането на аторвастатин, напр. ОАТР1В1/1ВЗ, </w:t>
      </w:r>
      <w:r w:rsidRPr="007A3158">
        <w:rPr>
          <w:rFonts w:eastAsia="Times New Roman" w:cs="Arial"/>
          <w:color w:val="000000"/>
          <w:szCs w:val="20"/>
          <w:lang w:val="en-US"/>
        </w:rPr>
        <w:t>P-</w:t>
      </w:r>
      <w:proofErr w:type="spellStart"/>
      <w:r w:rsidRPr="007A3158">
        <w:rPr>
          <w:rFonts w:eastAsia="Times New Roman" w:cs="Arial"/>
          <w:color w:val="000000"/>
          <w:szCs w:val="20"/>
          <w:lang w:val="en-US"/>
        </w:rPr>
        <w:t>gp</w:t>
      </w:r>
      <w:proofErr w:type="spellEnd"/>
      <w:r w:rsidRPr="007A3158">
        <w:rPr>
          <w:rFonts w:eastAsia="Times New Roman" w:cs="Arial"/>
          <w:color w:val="000000"/>
          <w:szCs w:val="20"/>
          <w:lang w:val="en-US"/>
        </w:rPr>
        <w:t xml:space="preserve">, </w:t>
      </w:r>
      <w:r w:rsidRPr="007A3158">
        <w:rPr>
          <w:rFonts w:eastAsia="Times New Roman" w:cs="Arial"/>
          <w:color w:val="000000"/>
          <w:szCs w:val="20"/>
          <w:lang w:eastAsia="bg-BG"/>
        </w:rPr>
        <w:t xml:space="preserve">и </w:t>
      </w:r>
      <w:r w:rsidRPr="007A3158">
        <w:rPr>
          <w:rFonts w:eastAsia="Times New Roman" w:cs="Arial"/>
          <w:smallCaps/>
          <w:color w:val="000000"/>
          <w:szCs w:val="20"/>
          <w:lang w:val="en-US"/>
        </w:rPr>
        <w:t>BCRP,</w:t>
      </w:r>
      <w:r w:rsidRPr="007A3158">
        <w:rPr>
          <w:rFonts w:eastAsia="Times New Roman" w:cs="Arial"/>
          <w:color w:val="000000"/>
          <w:szCs w:val="20"/>
          <w:lang w:val="en-US"/>
        </w:rPr>
        <w:t xml:space="preserve"> </w:t>
      </w:r>
      <w:r w:rsidRPr="007A3158">
        <w:rPr>
          <w:rFonts w:eastAsia="Times New Roman" w:cs="Arial"/>
          <w:color w:val="000000"/>
          <w:szCs w:val="20"/>
          <w:lang w:eastAsia="bg-BG"/>
        </w:rPr>
        <w:t xml:space="preserve">което води до </w:t>
      </w:r>
      <w:r w:rsidRPr="007A3158">
        <w:rPr>
          <w:rFonts w:eastAsia="Times New Roman" w:cs="Arial"/>
          <w:color w:val="000000"/>
          <w:szCs w:val="20"/>
          <w:lang w:eastAsia="bg-BG"/>
        </w:rPr>
        <w:lastRenderedPageBreak/>
        <w:t>повишена системна наличност на аторвастатин (вж. Таблица 1). Ефектът от инхибирането на транспортерите на хепатоцитното захващане върху концентрацията на аторвастатин в хепатоцитите е неизвестен. Ако едновременното прилагане не може да се избегне, се препоръчва понижаване на дозата и клинично наблюдение на ефектите (вж. Таблица 1).</w:t>
      </w:r>
    </w:p>
    <w:p w14:paraId="2FC87862" w14:textId="77777777" w:rsidR="007A3158" w:rsidRPr="007A3158" w:rsidRDefault="007A3158" w:rsidP="007A3158">
      <w:pPr>
        <w:spacing w:line="240" w:lineRule="auto"/>
        <w:rPr>
          <w:rFonts w:eastAsia="Times New Roman" w:cs="Arial"/>
          <w:color w:val="000000"/>
          <w:szCs w:val="20"/>
          <w:lang w:eastAsia="bg-BG"/>
        </w:rPr>
      </w:pPr>
    </w:p>
    <w:p w14:paraId="05F77A11" w14:textId="23CDF8A4"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Не се препоръчва употребата на аторвастатин при пациенти, приемащи летермовир едновременно със циклоспорин (вж. точка 4.4).</w:t>
      </w:r>
    </w:p>
    <w:p w14:paraId="12BE53EA" w14:textId="77777777" w:rsidR="007A3158" w:rsidRPr="007A3158" w:rsidRDefault="007A3158" w:rsidP="007A3158">
      <w:pPr>
        <w:spacing w:line="240" w:lineRule="auto"/>
        <w:rPr>
          <w:rFonts w:eastAsia="Times New Roman" w:cs="Arial"/>
          <w:i/>
          <w:iCs/>
          <w:color w:val="000000"/>
          <w:szCs w:val="20"/>
          <w:u w:val="single"/>
          <w:lang w:eastAsia="bg-BG"/>
        </w:rPr>
      </w:pPr>
    </w:p>
    <w:p w14:paraId="02129C39" w14:textId="38BF020C"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Гемфиброзил/фибрати</w:t>
      </w:r>
    </w:p>
    <w:p w14:paraId="3A44E5D9" w14:textId="77777777" w:rsidR="007A3158" w:rsidRPr="007A3158" w:rsidRDefault="007A3158" w:rsidP="007A3158">
      <w:pPr>
        <w:spacing w:line="240" w:lineRule="auto"/>
        <w:rPr>
          <w:rFonts w:eastAsia="Times New Roman" w:cs="Arial"/>
          <w:color w:val="000000"/>
          <w:szCs w:val="20"/>
          <w:lang w:eastAsia="bg-BG"/>
        </w:rPr>
      </w:pPr>
    </w:p>
    <w:p w14:paraId="1EFFEA1A" w14:textId="2AA5EB69"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Самостоятелната употреба на фибрата се свързва понякога с миопатия, включително рабдомиолиза. Рискът от такива състояния може да се повиши при едновременното прилагане на фибрати и аторвастатин. Ако едновременното прилагане не може да се избегне, трябва да се прилага най-ниската терапевтична доза аторвастатин и пациента трябва да се мониторира внимателно (вж. точка 4.4).</w:t>
      </w:r>
    </w:p>
    <w:p w14:paraId="2F4B64D2" w14:textId="77777777" w:rsidR="007A3158" w:rsidRPr="007A3158" w:rsidRDefault="007A3158" w:rsidP="007A3158">
      <w:pPr>
        <w:rPr>
          <w:rFonts w:eastAsia="Times New Roman" w:cs="Arial"/>
          <w:i/>
          <w:iCs/>
          <w:color w:val="000000"/>
          <w:szCs w:val="20"/>
          <w:u w:val="single"/>
          <w:lang w:eastAsia="bg-BG"/>
        </w:rPr>
      </w:pPr>
    </w:p>
    <w:p w14:paraId="0978E2CE" w14:textId="00329359" w:rsidR="007A3158" w:rsidRPr="007A3158" w:rsidRDefault="007A3158" w:rsidP="007A3158">
      <w:pPr>
        <w:rPr>
          <w:rFonts w:eastAsia="Times New Roman" w:cs="Arial"/>
          <w:color w:val="000000"/>
          <w:sz w:val="28"/>
          <w:szCs w:val="20"/>
          <w:lang w:val="en-US" w:eastAsia="bg-BG"/>
        </w:rPr>
      </w:pPr>
      <w:r w:rsidRPr="007A3158">
        <w:rPr>
          <w:rFonts w:eastAsia="Times New Roman" w:cs="Arial"/>
          <w:i/>
          <w:iCs/>
          <w:color w:val="000000"/>
          <w:szCs w:val="20"/>
          <w:u w:val="single"/>
          <w:lang w:eastAsia="bg-BG"/>
        </w:rPr>
        <w:t>Езетимиб</w:t>
      </w:r>
    </w:p>
    <w:p w14:paraId="701B62CC" w14:textId="7059084D" w:rsidR="007A3158" w:rsidRDefault="007A3158" w:rsidP="007A3158"/>
    <w:p w14:paraId="584ABF15"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Самостоятелното приложение на езетимиб се свързва с миопатия, включително рабдомиолиза. Затова рискът от такива състояния може да бъде повишен при едновременното прилагане на езетимиб и аторвастатин. Препоръчва се внимателно клинично мониториране на тези пациенти.</w:t>
      </w:r>
    </w:p>
    <w:p w14:paraId="77C8D93F" w14:textId="77777777" w:rsidR="007A3158" w:rsidRPr="007A3158" w:rsidRDefault="007A3158" w:rsidP="007A3158">
      <w:pPr>
        <w:spacing w:line="240" w:lineRule="auto"/>
        <w:rPr>
          <w:rFonts w:eastAsia="Times New Roman" w:cs="Arial"/>
          <w:i/>
          <w:iCs/>
          <w:color w:val="000000"/>
          <w:szCs w:val="20"/>
          <w:u w:val="single"/>
          <w:lang w:eastAsia="bg-BG"/>
        </w:rPr>
      </w:pPr>
    </w:p>
    <w:p w14:paraId="46917A98" w14:textId="6D15C8E5"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Колестипол</w:t>
      </w:r>
    </w:p>
    <w:p w14:paraId="02213AE7" w14:textId="77777777" w:rsidR="007A3158" w:rsidRPr="007A3158" w:rsidRDefault="007A3158" w:rsidP="007A3158">
      <w:pPr>
        <w:spacing w:line="240" w:lineRule="auto"/>
        <w:rPr>
          <w:rFonts w:eastAsia="Times New Roman" w:cs="Arial"/>
          <w:color w:val="000000"/>
          <w:szCs w:val="20"/>
          <w:lang w:eastAsia="bg-BG"/>
        </w:rPr>
      </w:pPr>
    </w:p>
    <w:p w14:paraId="5618FD9F" w14:textId="6F4340FE"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Плазмените концентрации на аторвастатин и активните му метаболити са били по-ниски (съотношение на концентрацията аторвастатин; 0,74) когато колестипол е прилаган едновременно с Аторис. Ефектът спрямо липидните нива обаче е бил по-изразен, когато аторвастатини колестипол са прилагани едновременно, отколкото при самостоятелно приложение на двата лекарствени продукта.</w:t>
      </w:r>
    </w:p>
    <w:p w14:paraId="078660BA" w14:textId="77777777" w:rsidR="007A3158" w:rsidRPr="007A3158" w:rsidRDefault="007A3158" w:rsidP="007A3158">
      <w:pPr>
        <w:spacing w:line="240" w:lineRule="auto"/>
        <w:rPr>
          <w:rFonts w:eastAsia="Times New Roman" w:cs="Arial"/>
          <w:i/>
          <w:iCs/>
          <w:color w:val="000000"/>
          <w:szCs w:val="20"/>
          <w:u w:val="single"/>
          <w:lang w:eastAsia="bg-BG"/>
        </w:rPr>
      </w:pPr>
    </w:p>
    <w:p w14:paraId="17C6A5E4" w14:textId="7CA60122"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Фузидова киселина</w:t>
      </w:r>
    </w:p>
    <w:p w14:paraId="3DAE91A2" w14:textId="77777777" w:rsidR="007A3158" w:rsidRPr="007A3158" w:rsidRDefault="007A3158" w:rsidP="007A3158">
      <w:pPr>
        <w:spacing w:line="240" w:lineRule="auto"/>
        <w:rPr>
          <w:rFonts w:eastAsia="Times New Roman" w:cs="Arial"/>
          <w:color w:val="000000"/>
          <w:szCs w:val="20"/>
          <w:lang w:eastAsia="bg-BG"/>
        </w:rPr>
      </w:pPr>
    </w:p>
    <w:p w14:paraId="3AD6C93C" w14:textId="49397E49"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Рискът от миопатия, включително рабдомиолиза, може да се повиши при едновременно приложение на фузидова киселина за системно приложение със статини. Механизмът на това взаимодействие (фармакодинамично или фармакокинетично, или и двете) все още е неизвестен. Има съобщения за случаи на рабдомиолиза (някои от които с фатален изход) при пациенти, получавали тази комбинация.</w:t>
      </w:r>
    </w:p>
    <w:p w14:paraId="5CF2DF7B"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Ако е необходимо лечение с фузидова киселина за системно приложение, терапията с аторвастатин трябва да се прекрти по време на лечението с фузидова киселина. Вижте също точка 4.4.</w:t>
      </w:r>
    </w:p>
    <w:p w14:paraId="159B29F9" w14:textId="77777777" w:rsidR="007A3158" w:rsidRPr="007A3158" w:rsidRDefault="007A3158" w:rsidP="007A3158">
      <w:pPr>
        <w:spacing w:line="240" w:lineRule="auto"/>
        <w:rPr>
          <w:rFonts w:eastAsia="Times New Roman" w:cs="Arial"/>
          <w:i/>
          <w:iCs/>
          <w:color w:val="000000"/>
          <w:szCs w:val="20"/>
          <w:u w:val="single"/>
          <w:lang w:eastAsia="bg-BG"/>
        </w:rPr>
      </w:pPr>
    </w:p>
    <w:p w14:paraId="6C7465F8" w14:textId="1C26BFDC"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Колхицин</w:t>
      </w:r>
    </w:p>
    <w:p w14:paraId="6404831C" w14:textId="77777777" w:rsidR="007A3158" w:rsidRPr="007A3158" w:rsidRDefault="007A3158" w:rsidP="007A3158">
      <w:pPr>
        <w:spacing w:line="240" w:lineRule="auto"/>
        <w:rPr>
          <w:rFonts w:eastAsia="Times New Roman" w:cs="Arial"/>
          <w:color w:val="000000"/>
          <w:szCs w:val="20"/>
          <w:lang w:eastAsia="bg-BG"/>
        </w:rPr>
      </w:pPr>
    </w:p>
    <w:p w14:paraId="4878D7B3" w14:textId="21B97D31"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Въпреки че на са провеждани проучвания за взаимодействията на аторвастатин с колхицин, съобщавани са случаи на миопатия, когато аторвастатин е прилаган едновременно с колхицин. Необходимо е повишено внимание при предписването на аторвастатин с колхицин.</w:t>
      </w:r>
    </w:p>
    <w:p w14:paraId="0367163A" w14:textId="77777777" w:rsidR="007A3158" w:rsidRPr="007A3158" w:rsidRDefault="007A3158" w:rsidP="007A3158">
      <w:pPr>
        <w:spacing w:line="240" w:lineRule="auto"/>
        <w:rPr>
          <w:rFonts w:eastAsia="Times New Roman" w:cs="Arial"/>
          <w:color w:val="000000"/>
          <w:szCs w:val="20"/>
          <w:u w:val="single"/>
          <w:lang w:eastAsia="bg-BG"/>
        </w:rPr>
      </w:pPr>
    </w:p>
    <w:p w14:paraId="5EF7CA90" w14:textId="5FDEDA3C"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Ефект на аторвастатин върху едновременно прилагани лекарствени продукти</w:t>
      </w:r>
    </w:p>
    <w:p w14:paraId="51AAF27C" w14:textId="77777777" w:rsidR="007A3158" w:rsidRPr="007A3158" w:rsidRDefault="007A3158" w:rsidP="007A3158">
      <w:pPr>
        <w:spacing w:line="240" w:lineRule="auto"/>
        <w:rPr>
          <w:rFonts w:eastAsia="Times New Roman" w:cs="Arial"/>
          <w:i/>
          <w:iCs/>
          <w:color w:val="000000"/>
          <w:szCs w:val="20"/>
          <w:u w:val="single"/>
          <w:lang w:eastAsia="bg-BG"/>
        </w:rPr>
      </w:pPr>
    </w:p>
    <w:p w14:paraId="6322DCAA" w14:textId="24CC6E29"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Дигоксин</w:t>
      </w:r>
    </w:p>
    <w:p w14:paraId="03C117C4" w14:textId="77777777" w:rsidR="007A3158" w:rsidRPr="007A3158" w:rsidRDefault="007A3158" w:rsidP="007A3158">
      <w:pPr>
        <w:rPr>
          <w:rFonts w:eastAsia="Times New Roman" w:cs="Arial"/>
          <w:color w:val="000000"/>
          <w:szCs w:val="20"/>
          <w:lang w:eastAsia="bg-BG"/>
        </w:rPr>
      </w:pPr>
    </w:p>
    <w:p w14:paraId="22A064B1" w14:textId="262565DA" w:rsidR="007A3158" w:rsidRPr="007A3158" w:rsidRDefault="007A3158" w:rsidP="007A3158">
      <w:pPr>
        <w:rPr>
          <w:rFonts w:cs="Arial"/>
          <w:sz w:val="24"/>
        </w:rPr>
      </w:pPr>
      <w:r w:rsidRPr="007A3158">
        <w:rPr>
          <w:rFonts w:eastAsia="Times New Roman" w:cs="Arial"/>
          <w:color w:val="000000"/>
          <w:szCs w:val="20"/>
          <w:lang w:eastAsia="bg-BG"/>
        </w:rPr>
        <w:t xml:space="preserve">При многократно приложение на дигоксин едновременно с 10 </w:t>
      </w:r>
      <w:r w:rsidRPr="007A3158">
        <w:rPr>
          <w:rFonts w:eastAsia="Times New Roman" w:cs="Arial"/>
          <w:color w:val="000000"/>
          <w:szCs w:val="20"/>
          <w:lang w:val="en-US"/>
        </w:rPr>
        <w:t xml:space="preserve">mg </w:t>
      </w:r>
      <w:r w:rsidRPr="007A3158">
        <w:rPr>
          <w:rFonts w:eastAsia="Times New Roman" w:cs="Arial"/>
          <w:color w:val="000000"/>
          <w:szCs w:val="20"/>
          <w:lang w:eastAsia="bg-BG"/>
        </w:rPr>
        <w:t>аторвастатин стационарните концентрации на дигоксин се повишават леко. Пациенти, които приемат дигоксин, трябва да бъдат внимателно проследявани.</w:t>
      </w:r>
    </w:p>
    <w:p w14:paraId="012CD6C3" w14:textId="11D5EA00" w:rsidR="007A3158" w:rsidRDefault="007A3158" w:rsidP="007A3158"/>
    <w:p w14:paraId="1B773273" w14:textId="77777777" w:rsidR="003F3F6A" w:rsidRPr="003F3F6A" w:rsidRDefault="003F3F6A" w:rsidP="003F3F6A">
      <w:pPr>
        <w:spacing w:line="240" w:lineRule="auto"/>
        <w:rPr>
          <w:rFonts w:eastAsia="Times New Roman" w:cs="Arial"/>
          <w:sz w:val="28"/>
          <w:szCs w:val="24"/>
          <w:lang w:eastAsia="bg-BG"/>
        </w:rPr>
      </w:pPr>
      <w:r w:rsidRPr="003F3F6A">
        <w:rPr>
          <w:rFonts w:eastAsia="Times New Roman" w:cs="Arial"/>
          <w:i/>
          <w:iCs/>
          <w:color w:val="000000"/>
          <w:szCs w:val="20"/>
          <w:u w:val="single"/>
          <w:lang w:eastAsia="bg-BG"/>
        </w:rPr>
        <w:t>Перорални контраиептиви</w:t>
      </w:r>
    </w:p>
    <w:p w14:paraId="38C59A71" w14:textId="77777777" w:rsidR="003F3F6A" w:rsidRPr="003F3F6A" w:rsidRDefault="003F3F6A" w:rsidP="003F3F6A">
      <w:pPr>
        <w:spacing w:line="240" w:lineRule="auto"/>
        <w:rPr>
          <w:rFonts w:eastAsia="Times New Roman" w:cs="Arial"/>
          <w:color w:val="000000"/>
          <w:szCs w:val="20"/>
          <w:lang w:eastAsia="bg-BG"/>
        </w:rPr>
      </w:pPr>
    </w:p>
    <w:p w14:paraId="46D722EB" w14:textId="4A22EC07" w:rsidR="003F3F6A" w:rsidRPr="003F3F6A" w:rsidRDefault="003F3F6A" w:rsidP="003F3F6A">
      <w:pPr>
        <w:spacing w:line="240" w:lineRule="auto"/>
        <w:rPr>
          <w:rFonts w:eastAsia="Times New Roman" w:cs="Arial"/>
          <w:sz w:val="28"/>
          <w:szCs w:val="24"/>
          <w:lang w:eastAsia="bg-BG"/>
        </w:rPr>
      </w:pPr>
      <w:r w:rsidRPr="003F3F6A">
        <w:rPr>
          <w:rFonts w:eastAsia="Times New Roman" w:cs="Arial"/>
          <w:color w:val="000000"/>
          <w:szCs w:val="20"/>
          <w:lang w:eastAsia="bg-BG"/>
        </w:rPr>
        <w:t>Едновременното прилагане на аторвастатин с перорален контрацептив води до повишена концентрация на норетицдрон и етинил естрадиол.</w:t>
      </w:r>
    </w:p>
    <w:p w14:paraId="39D98D69" w14:textId="77777777" w:rsidR="003F3F6A" w:rsidRPr="003F3F6A" w:rsidRDefault="003F3F6A" w:rsidP="003F3F6A">
      <w:pPr>
        <w:spacing w:line="240" w:lineRule="auto"/>
        <w:rPr>
          <w:rFonts w:eastAsia="Times New Roman" w:cs="Arial"/>
          <w:i/>
          <w:iCs/>
          <w:color w:val="000000"/>
          <w:szCs w:val="20"/>
          <w:u w:val="single"/>
          <w:lang w:eastAsia="bg-BG"/>
        </w:rPr>
      </w:pPr>
    </w:p>
    <w:p w14:paraId="4663739A" w14:textId="0FC2A8FC" w:rsidR="003F3F6A" w:rsidRPr="003F3F6A" w:rsidRDefault="003F3F6A" w:rsidP="003F3F6A">
      <w:pPr>
        <w:spacing w:line="240" w:lineRule="auto"/>
        <w:rPr>
          <w:rFonts w:eastAsia="Times New Roman" w:cs="Arial"/>
          <w:sz w:val="28"/>
          <w:szCs w:val="24"/>
          <w:lang w:eastAsia="bg-BG"/>
        </w:rPr>
      </w:pPr>
      <w:r w:rsidRPr="003F3F6A">
        <w:rPr>
          <w:rFonts w:eastAsia="Times New Roman" w:cs="Arial"/>
          <w:i/>
          <w:iCs/>
          <w:color w:val="000000"/>
          <w:szCs w:val="20"/>
          <w:u w:val="single"/>
          <w:lang w:eastAsia="bg-BG"/>
        </w:rPr>
        <w:t>Варфарин</w:t>
      </w:r>
    </w:p>
    <w:p w14:paraId="6CAA2197" w14:textId="77777777" w:rsidR="003F3F6A" w:rsidRPr="003F3F6A" w:rsidRDefault="003F3F6A" w:rsidP="003F3F6A">
      <w:pPr>
        <w:rPr>
          <w:rFonts w:eastAsia="Times New Roman" w:cs="Arial"/>
          <w:color w:val="000000"/>
          <w:szCs w:val="20"/>
          <w:lang w:eastAsia="bg-BG"/>
        </w:rPr>
      </w:pPr>
    </w:p>
    <w:p w14:paraId="4170EB35" w14:textId="77777777" w:rsidR="003F3F6A" w:rsidRPr="003F3F6A" w:rsidRDefault="003F3F6A" w:rsidP="003F3F6A">
      <w:pPr>
        <w:rPr>
          <w:rFonts w:eastAsia="Times New Roman" w:cs="Arial"/>
          <w:sz w:val="28"/>
          <w:szCs w:val="24"/>
          <w:lang w:eastAsia="bg-BG"/>
        </w:rPr>
      </w:pPr>
      <w:r w:rsidRPr="003F3F6A">
        <w:rPr>
          <w:rFonts w:eastAsia="Times New Roman" w:cs="Arial"/>
          <w:color w:val="000000"/>
          <w:szCs w:val="20"/>
          <w:lang w:eastAsia="bg-BG"/>
        </w:rPr>
        <w:t xml:space="preserve">В клинично проучване при пациенти, приемащи продължителна терапия с варфарин, едновременното прилагане на аторвастатин 80 </w:t>
      </w:r>
      <w:r w:rsidRPr="003F3F6A">
        <w:rPr>
          <w:rFonts w:eastAsia="Times New Roman" w:cs="Arial"/>
          <w:color w:val="000000"/>
          <w:szCs w:val="20"/>
          <w:lang w:val="en-US"/>
        </w:rPr>
        <w:t xml:space="preserve">mg </w:t>
      </w:r>
      <w:r w:rsidRPr="003F3F6A">
        <w:rPr>
          <w:rFonts w:eastAsia="Times New Roman" w:cs="Arial"/>
          <w:color w:val="000000"/>
          <w:szCs w:val="20"/>
          <w:lang w:eastAsia="bg-BG"/>
        </w:rPr>
        <w:t>дневно и варфарин води до леко понижение от 1,7 секунди на протромбиновото време в първите 4 дни от лечението и връщане към нормата към 15-тия ден на лечението с аторвастатин. Въпреки че много рядко са съобщавани клинично значими взаимодействия с антикоагуланти, протромбиновото време трябва да бъде определено преди започване на аторвастатин при пациенти, получаващи кумаринови антикоагуланти и достатъчно често в началото на терапията, за да се подсигури, че не възниква значима промяна</w:t>
      </w:r>
      <w:r w:rsidRPr="003F3F6A">
        <w:rPr>
          <w:rFonts w:eastAsia="Times New Roman" w:cs="Arial"/>
          <w:color w:val="000000"/>
          <w:szCs w:val="20"/>
          <w:vertAlign w:val="superscript"/>
          <w:lang w:eastAsia="bg-BG"/>
        </w:rPr>
        <w:t xml:space="preserve"> </w:t>
      </w:r>
      <w:r w:rsidRPr="003F3F6A">
        <w:rPr>
          <w:rFonts w:eastAsia="Times New Roman" w:cs="Arial"/>
          <w:color w:val="000000"/>
          <w:szCs w:val="20"/>
          <w:lang w:eastAsia="bg-BG"/>
        </w:rPr>
        <w:t>в протромбиновото време. Когато се документира стабилно протромбиново време, то може да бъде мониторирано на интервали, които обикновено се препоръчват при пациенти на кумаринови антикоагуланти. Ако дозата на аторвастатин се промени или се прекрати приема,</w:t>
      </w:r>
      <w:r w:rsidRPr="003F3F6A">
        <w:rPr>
          <w:rFonts w:eastAsia="Times New Roman" w:cs="Arial"/>
          <w:color w:val="000000"/>
          <w:szCs w:val="20"/>
          <w:vertAlign w:val="superscript"/>
          <w:lang w:eastAsia="bg-BG"/>
        </w:rPr>
        <w:t xml:space="preserve"> </w:t>
      </w:r>
      <w:r w:rsidRPr="003F3F6A">
        <w:rPr>
          <w:rFonts w:eastAsia="Times New Roman" w:cs="Arial"/>
          <w:color w:val="000000"/>
          <w:szCs w:val="20"/>
          <w:lang w:eastAsia="bg-BG"/>
        </w:rPr>
        <w:t>трябва да се повтори същата процедура. Терапията с аторвастатин не се свързва с кървене или с</w:t>
      </w:r>
      <w:r>
        <w:rPr>
          <w:rFonts w:eastAsia="Times New Roman" w:cs="Arial"/>
          <w:color w:val="000000"/>
          <w:szCs w:val="20"/>
          <w:lang w:val="en-US" w:eastAsia="bg-BG"/>
        </w:rPr>
        <w:t xml:space="preserve"> </w:t>
      </w:r>
      <w:r w:rsidRPr="003F3F6A">
        <w:rPr>
          <w:rFonts w:eastAsia="Times New Roman" w:cs="Arial"/>
          <w:color w:val="000000"/>
          <w:szCs w:val="20"/>
          <w:lang w:eastAsia="bg-BG"/>
        </w:rPr>
        <w:t>промени в протромбиновото време при пациенти, които не приемат антикоагуланти.</w:t>
      </w:r>
    </w:p>
    <w:p w14:paraId="66ADA8FB" w14:textId="77777777" w:rsidR="003F3F6A" w:rsidRPr="003F3F6A" w:rsidRDefault="003F3F6A" w:rsidP="003F3F6A">
      <w:pPr>
        <w:rPr>
          <w:rFonts w:eastAsia="Times New Roman" w:cs="Arial"/>
          <w:color w:val="000000"/>
          <w:szCs w:val="20"/>
          <w:lang w:eastAsia="bg-BG"/>
        </w:rPr>
      </w:pPr>
    </w:p>
    <w:p w14:paraId="567EB493" w14:textId="515F6CEF" w:rsidR="003F3F6A" w:rsidRPr="003F3F6A" w:rsidRDefault="003F3F6A" w:rsidP="003F3F6A">
      <w:pPr>
        <w:rPr>
          <w:rFonts w:cs="Arial"/>
          <w:sz w:val="28"/>
          <w:lang w:val="en-US"/>
        </w:rPr>
      </w:pPr>
      <w:r w:rsidRPr="003F3F6A">
        <w:rPr>
          <w:rFonts w:eastAsia="Times New Roman" w:cs="Arial"/>
          <w:color w:val="000000"/>
          <w:szCs w:val="20"/>
          <w:lang w:eastAsia="bg-BG"/>
        </w:rPr>
        <w:t>Таблица 1:</w:t>
      </w:r>
      <w:r>
        <w:rPr>
          <w:rFonts w:eastAsia="Times New Roman" w:cs="Arial"/>
          <w:color w:val="000000"/>
          <w:szCs w:val="20"/>
          <w:lang w:val="en-US" w:eastAsia="bg-BG"/>
        </w:rPr>
        <w:t xml:space="preserve"> </w:t>
      </w:r>
      <w:r w:rsidRPr="003F3F6A">
        <w:rPr>
          <w:rFonts w:eastAsia="Times New Roman" w:cs="Arial"/>
          <w:color w:val="000000"/>
          <w:szCs w:val="20"/>
          <w:lang w:eastAsia="bg-BG"/>
        </w:rPr>
        <w:t>Ефекти на едновременно прилагани лекарствени продукти върху</w:t>
      </w:r>
      <w:r w:rsidR="00E12429">
        <w:rPr>
          <w:rFonts w:eastAsia="Times New Roman" w:cs="Arial"/>
          <w:color w:val="000000"/>
          <w:szCs w:val="20"/>
          <w:lang w:val="en-US" w:eastAsia="bg-BG"/>
        </w:rPr>
        <w:t xml:space="preserve"> </w:t>
      </w:r>
      <w:r w:rsidRPr="003F3F6A">
        <w:rPr>
          <w:szCs w:val="20"/>
        </w:rPr>
        <w:t>фармакокинетиката на аторвастатин</w:t>
      </w:r>
    </w:p>
    <w:tbl>
      <w:tblPr>
        <w:tblStyle w:val="TableGrid"/>
        <w:tblW w:w="0" w:type="auto"/>
        <w:tblLook w:val="04A0" w:firstRow="1" w:lastRow="0" w:firstColumn="1" w:lastColumn="0" w:noHBand="0" w:noVBand="1"/>
      </w:tblPr>
      <w:tblGrid>
        <w:gridCol w:w="2480"/>
        <w:gridCol w:w="2279"/>
        <w:gridCol w:w="2255"/>
        <w:gridCol w:w="2336"/>
      </w:tblGrid>
      <w:tr w:rsidR="00E12429" w14:paraId="6F76BB7B" w14:textId="77777777" w:rsidTr="00E12429">
        <w:tc>
          <w:tcPr>
            <w:tcW w:w="2480" w:type="dxa"/>
            <w:vMerge w:val="restart"/>
          </w:tcPr>
          <w:p w14:paraId="79124F6C" w14:textId="77777777" w:rsidR="00E12429" w:rsidRPr="00E12429" w:rsidRDefault="00E12429" w:rsidP="00E12429">
            <w:pPr>
              <w:spacing w:line="240" w:lineRule="auto"/>
              <w:rPr>
                <w:rFonts w:ascii="Times New Roman" w:eastAsia="Times New Roman" w:hAnsi="Times New Roman" w:cs="Times New Roman"/>
                <w:sz w:val="28"/>
                <w:szCs w:val="24"/>
                <w:lang w:eastAsia="bg-BG"/>
              </w:rPr>
            </w:pPr>
            <w:r w:rsidRPr="00E12429">
              <w:rPr>
                <w:rFonts w:ascii="Times New Roman" w:eastAsia="Times New Roman" w:hAnsi="Times New Roman" w:cs="Times New Roman"/>
                <w:b/>
                <w:bCs/>
                <w:color w:val="000000"/>
                <w:szCs w:val="20"/>
                <w:lang w:eastAsia="bg-BG"/>
              </w:rPr>
              <w:t>Едновременно прилаган лекарствен продукт и режим на дозиране</w:t>
            </w:r>
          </w:p>
          <w:p w14:paraId="1874B7C5" w14:textId="77777777" w:rsidR="00E12429" w:rsidRDefault="00E12429" w:rsidP="007A3158"/>
        </w:tc>
        <w:tc>
          <w:tcPr>
            <w:tcW w:w="7096" w:type="dxa"/>
            <w:gridSpan w:val="3"/>
          </w:tcPr>
          <w:p w14:paraId="633B27E7" w14:textId="60EF76C2" w:rsidR="00E12429" w:rsidRDefault="00E12429" w:rsidP="007A3158">
            <w:r w:rsidRPr="00E12429">
              <w:rPr>
                <w:b/>
                <w:bCs/>
                <w:szCs w:val="20"/>
              </w:rPr>
              <w:t>Аторвастатин</w:t>
            </w:r>
          </w:p>
        </w:tc>
      </w:tr>
      <w:tr w:rsidR="00E12429" w14:paraId="636559BB" w14:textId="77777777" w:rsidTr="00E12429">
        <w:tc>
          <w:tcPr>
            <w:tcW w:w="2480" w:type="dxa"/>
            <w:vMerge/>
          </w:tcPr>
          <w:p w14:paraId="39035379" w14:textId="77777777" w:rsidR="00E12429" w:rsidRDefault="00E12429" w:rsidP="00E12429"/>
        </w:tc>
        <w:tc>
          <w:tcPr>
            <w:tcW w:w="2362" w:type="dxa"/>
          </w:tcPr>
          <w:p w14:paraId="4FA6111D" w14:textId="4A1CC681" w:rsidR="00E12429" w:rsidRPr="00E12429" w:rsidRDefault="00E12429" w:rsidP="00E12429">
            <w:r w:rsidRPr="00E12429">
              <w:rPr>
                <w:b/>
                <w:bCs/>
                <w:szCs w:val="20"/>
              </w:rPr>
              <w:t xml:space="preserve">Доза </w:t>
            </w:r>
            <w:r w:rsidRPr="00E12429">
              <w:rPr>
                <w:b/>
                <w:bCs/>
                <w:szCs w:val="20"/>
                <w:lang w:val="en-US"/>
              </w:rPr>
              <w:t>(mg)</w:t>
            </w:r>
          </w:p>
        </w:tc>
        <w:tc>
          <w:tcPr>
            <w:tcW w:w="2363" w:type="dxa"/>
          </w:tcPr>
          <w:p w14:paraId="4CF81E80" w14:textId="77777777" w:rsidR="00E12429" w:rsidRPr="00E12429" w:rsidRDefault="00E12429" w:rsidP="00E12429">
            <w:r w:rsidRPr="00E12429">
              <w:rPr>
                <w:b/>
                <w:bCs/>
                <w:szCs w:val="20"/>
              </w:rPr>
              <w:t>Съотно</w:t>
            </w:r>
            <w:r w:rsidRPr="00E12429">
              <w:rPr>
                <w:b/>
                <w:bCs/>
                <w:szCs w:val="20"/>
              </w:rPr>
              <w:softHyphen/>
              <w:t xml:space="preserve">шение на </w:t>
            </w:r>
            <w:r w:rsidRPr="00E12429">
              <w:rPr>
                <w:b/>
                <w:bCs/>
                <w:szCs w:val="20"/>
                <w:lang w:val="en-US"/>
              </w:rPr>
              <w:t>AUC</w:t>
            </w:r>
            <w:r w:rsidRPr="00E12429">
              <w:rPr>
                <w:szCs w:val="20"/>
                <w:vertAlign w:val="superscript"/>
              </w:rPr>
              <w:t>&amp;</w:t>
            </w:r>
          </w:p>
          <w:p w14:paraId="30EB5C4E" w14:textId="77777777" w:rsidR="00E12429" w:rsidRPr="00E12429" w:rsidRDefault="00E12429" w:rsidP="00E12429"/>
        </w:tc>
        <w:tc>
          <w:tcPr>
            <w:tcW w:w="2371" w:type="dxa"/>
          </w:tcPr>
          <w:p w14:paraId="65B6F3F5" w14:textId="77777777" w:rsidR="00E12429" w:rsidRPr="00E12429" w:rsidRDefault="00E12429" w:rsidP="00E12429"/>
          <w:p w14:paraId="5040DCD9" w14:textId="36B9E794" w:rsidR="00E12429" w:rsidRPr="00E12429" w:rsidRDefault="00E12429" w:rsidP="00E12429">
            <w:r w:rsidRPr="00E12429">
              <w:rPr>
                <w:b/>
                <w:bCs/>
                <w:szCs w:val="20"/>
              </w:rPr>
              <w:t>Клинична препоръка</w:t>
            </w:r>
          </w:p>
        </w:tc>
      </w:tr>
      <w:tr w:rsidR="00E12429" w14:paraId="0A2AEE70" w14:textId="77777777" w:rsidTr="00E12429">
        <w:tc>
          <w:tcPr>
            <w:tcW w:w="2480" w:type="dxa"/>
          </w:tcPr>
          <w:p w14:paraId="42304029" w14:textId="3AA14CBB" w:rsidR="00E12429" w:rsidRPr="00E12429" w:rsidRDefault="00E12429" w:rsidP="00E12429">
            <w:r w:rsidRPr="00E12429">
              <w:rPr>
                <w:szCs w:val="20"/>
              </w:rPr>
              <w:t xml:space="preserve">Глекапревир 400 </w:t>
            </w:r>
            <w:r w:rsidRPr="00E12429">
              <w:rPr>
                <w:szCs w:val="20"/>
                <w:lang w:val="en-US"/>
              </w:rPr>
              <w:t xml:space="preserve">mg </w:t>
            </w:r>
            <w:r w:rsidRPr="00E12429">
              <w:rPr>
                <w:szCs w:val="20"/>
              </w:rPr>
              <w:t xml:space="preserve">веднъж дневно/Пибрентасвир 120 </w:t>
            </w:r>
            <w:r w:rsidRPr="00E12429">
              <w:rPr>
                <w:szCs w:val="20"/>
                <w:lang w:val="en-US"/>
              </w:rPr>
              <w:t xml:space="preserve">mg </w:t>
            </w:r>
            <w:r w:rsidRPr="00E12429">
              <w:rPr>
                <w:szCs w:val="20"/>
              </w:rPr>
              <w:t>веднъж дневно, 7 дни</w:t>
            </w:r>
          </w:p>
        </w:tc>
        <w:tc>
          <w:tcPr>
            <w:tcW w:w="2362" w:type="dxa"/>
          </w:tcPr>
          <w:p w14:paraId="501A4DF1" w14:textId="590963CB"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7 дни</w:t>
            </w:r>
          </w:p>
        </w:tc>
        <w:tc>
          <w:tcPr>
            <w:tcW w:w="2363" w:type="dxa"/>
          </w:tcPr>
          <w:p w14:paraId="1C2D09B8" w14:textId="584655FC" w:rsidR="00E12429" w:rsidRPr="00E12429" w:rsidRDefault="00E12429" w:rsidP="00E12429">
            <w:r w:rsidRPr="00E12429">
              <w:rPr>
                <w:szCs w:val="20"/>
              </w:rPr>
              <w:t>8,3</w:t>
            </w:r>
          </w:p>
        </w:tc>
        <w:tc>
          <w:tcPr>
            <w:tcW w:w="2371" w:type="dxa"/>
          </w:tcPr>
          <w:p w14:paraId="06DA924B" w14:textId="1D5D8C53" w:rsidR="00E12429" w:rsidRPr="00E12429" w:rsidRDefault="00E12429" w:rsidP="00E12429">
            <w:r w:rsidRPr="00E12429">
              <w:rPr>
                <w:szCs w:val="20"/>
              </w:rPr>
              <w:t>Едновременното приложение с продукти, съдържащи глекапревир или пибрентасвир, е противопоказано (вж. точка 4.3).</w:t>
            </w:r>
          </w:p>
        </w:tc>
      </w:tr>
      <w:tr w:rsidR="00E12429" w14:paraId="5881119E" w14:textId="77777777" w:rsidTr="00E12429">
        <w:tc>
          <w:tcPr>
            <w:tcW w:w="2480" w:type="dxa"/>
          </w:tcPr>
          <w:p w14:paraId="2C09F217" w14:textId="4A548B84" w:rsidR="00E12429" w:rsidRPr="00E12429" w:rsidRDefault="00E12429" w:rsidP="00E12429">
            <w:r w:rsidRPr="00E12429">
              <w:rPr>
                <w:szCs w:val="20"/>
              </w:rPr>
              <w:t xml:space="preserve">Тирпанавир 500 </w:t>
            </w:r>
            <w:r w:rsidRPr="00E12429">
              <w:rPr>
                <w:szCs w:val="20"/>
                <w:lang w:val="en-US"/>
              </w:rPr>
              <w:t xml:space="preserve">mg </w:t>
            </w:r>
            <w:r w:rsidRPr="00E12429">
              <w:rPr>
                <w:szCs w:val="20"/>
              </w:rPr>
              <w:t xml:space="preserve">два пъти дневно/Ритонавир 200 </w:t>
            </w:r>
            <w:r w:rsidRPr="00E12429">
              <w:rPr>
                <w:szCs w:val="20"/>
                <w:lang w:val="en-US"/>
              </w:rPr>
              <w:t xml:space="preserve">mg </w:t>
            </w:r>
            <w:r w:rsidRPr="00E12429">
              <w:rPr>
                <w:szCs w:val="20"/>
              </w:rPr>
              <w:t xml:space="preserve">два пъти </w:t>
            </w:r>
            <w:r w:rsidRPr="00E12429">
              <w:rPr>
                <w:szCs w:val="20"/>
              </w:rPr>
              <w:lastRenderedPageBreak/>
              <w:t>дневно, 8 дни (от ден 14 до 21)</w:t>
            </w:r>
          </w:p>
        </w:tc>
        <w:tc>
          <w:tcPr>
            <w:tcW w:w="2362" w:type="dxa"/>
          </w:tcPr>
          <w:p w14:paraId="2879267D" w14:textId="77777777" w:rsidR="00E12429" w:rsidRPr="00E12429" w:rsidRDefault="00E12429" w:rsidP="00E12429">
            <w:r w:rsidRPr="00E12429">
              <w:rPr>
                <w:szCs w:val="20"/>
              </w:rPr>
              <w:lastRenderedPageBreak/>
              <w:t xml:space="preserve">40 </w:t>
            </w:r>
            <w:r w:rsidRPr="00E12429">
              <w:rPr>
                <w:szCs w:val="20"/>
                <w:lang w:val="en-US"/>
              </w:rPr>
              <w:t xml:space="preserve">mg </w:t>
            </w:r>
            <w:r w:rsidRPr="00E12429">
              <w:rPr>
                <w:szCs w:val="20"/>
              </w:rPr>
              <w:t>от ден 1,</w:t>
            </w:r>
          </w:p>
          <w:p w14:paraId="14992710" w14:textId="4AC65397" w:rsidR="00E12429" w:rsidRPr="00E12429" w:rsidRDefault="00E12429" w:rsidP="00E12429">
            <w:r w:rsidRPr="00E12429">
              <w:rPr>
                <w:szCs w:val="20"/>
              </w:rPr>
              <w:t xml:space="preserve">10 </w:t>
            </w:r>
            <w:r w:rsidRPr="00E12429">
              <w:rPr>
                <w:szCs w:val="20"/>
                <w:lang w:val="en-US"/>
              </w:rPr>
              <w:t xml:space="preserve">mg </w:t>
            </w:r>
            <w:r w:rsidRPr="00E12429">
              <w:rPr>
                <w:szCs w:val="20"/>
              </w:rPr>
              <w:t>от ден 20</w:t>
            </w:r>
          </w:p>
        </w:tc>
        <w:tc>
          <w:tcPr>
            <w:tcW w:w="2363" w:type="dxa"/>
          </w:tcPr>
          <w:p w14:paraId="527C47F5" w14:textId="35819AF4" w:rsidR="00E12429" w:rsidRPr="00E12429" w:rsidRDefault="00E12429" w:rsidP="00E12429">
            <w:r w:rsidRPr="00E12429">
              <w:rPr>
                <w:szCs w:val="20"/>
              </w:rPr>
              <w:t>9,4</w:t>
            </w:r>
          </w:p>
        </w:tc>
        <w:tc>
          <w:tcPr>
            <w:tcW w:w="2371" w:type="dxa"/>
            <w:vMerge w:val="restart"/>
          </w:tcPr>
          <w:p w14:paraId="04E17639" w14:textId="0CFF430E" w:rsidR="00E12429" w:rsidRPr="00E12429" w:rsidRDefault="00E12429" w:rsidP="00E12429">
            <w:r w:rsidRPr="00E12429">
              <w:rPr>
                <w:szCs w:val="20"/>
              </w:rPr>
              <w:t xml:space="preserve">Когато едновременното приложение с аторвастатин е </w:t>
            </w:r>
            <w:r w:rsidRPr="00E12429">
              <w:rPr>
                <w:szCs w:val="20"/>
              </w:rPr>
              <w:lastRenderedPageBreak/>
              <w:t xml:space="preserve">необходимо, не превишавайте 10 </w:t>
            </w:r>
            <w:r w:rsidRPr="00E12429">
              <w:rPr>
                <w:szCs w:val="20"/>
                <w:lang w:val="en-US"/>
              </w:rPr>
              <w:t xml:space="preserve">mg </w:t>
            </w:r>
            <w:r w:rsidRPr="00E12429">
              <w:rPr>
                <w:szCs w:val="20"/>
              </w:rPr>
              <w:t>аторвастатин дневно. Препоръчва се клинично проследяване на тези пациенти.</w:t>
            </w:r>
          </w:p>
        </w:tc>
      </w:tr>
      <w:tr w:rsidR="00E12429" w14:paraId="5434B6B5" w14:textId="77777777" w:rsidTr="00E12429">
        <w:tc>
          <w:tcPr>
            <w:tcW w:w="2480" w:type="dxa"/>
          </w:tcPr>
          <w:p w14:paraId="6A8DBAFB" w14:textId="482246FA" w:rsidR="00E12429" w:rsidRPr="00E12429" w:rsidRDefault="00E12429" w:rsidP="00E12429">
            <w:r w:rsidRPr="00E12429">
              <w:rPr>
                <w:szCs w:val="20"/>
              </w:rPr>
              <w:lastRenderedPageBreak/>
              <w:t xml:space="preserve">Телапревир 750 </w:t>
            </w:r>
            <w:r w:rsidRPr="00E12429">
              <w:rPr>
                <w:szCs w:val="20"/>
                <w:lang w:val="en-US"/>
              </w:rPr>
              <w:t xml:space="preserve">mg </w:t>
            </w:r>
            <w:r w:rsidRPr="00E12429">
              <w:rPr>
                <w:szCs w:val="20"/>
              </w:rPr>
              <w:t>на 8 часа за 10 дни</w:t>
            </w:r>
          </w:p>
        </w:tc>
        <w:tc>
          <w:tcPr>
            <w:tcW w:w="2362" w:type="dxa"/>
          </w:tcPr>
          <w:p w14:paraId="5A4B0E31" w14:textId="6609B178" w:rsidR="00E12429" w:rsidRPr="00E12429" w:rsidRDefault="00E12429" w:rsidP="00E12429">
            <w:r w:rsidRPr="00E12429">
              <w:rPr>
                <w:szCs w:val="20"/>
              </w:rPr>
              <w:t xml:space="preserve">20 </w:t>
            </w:r>
            <w:r w:rsidRPr="00E12429">
              <w:rPr>
                <w:szCs w:val="20"/>
                <w:lang w:val="en-US"/>
              </w:rPr>
              <w:t xml:space="preserve">mg </w:t>
            </w:r>
            <w:r w:rsidRPr="00E12429">
              <w:rPr>
                <w:szCs w:val="20"/>
              </w:rPr>
              <w:t>еднократна доза</w:t>
            </w:r>
          </w:p>
        </w:tc>
        <w:tc>
          <w:tcPr>
            <w:tcW w:w="2363" w:type="dxa"/>
          </w:tcPr>
          <w:p w14:paraId="0C6C53EE" w14:textId="1CEA41D5" w:rsidR="00E12429" w:rsidRPr="00E12429" w:rsidRDefault="00E12429" w:rsidP="00E12429">
            <w:r w:rsidRPr="00E12429">
              <w:rPr>
                <w:szCs w:val="20"/>
              </w:rPr>
              <w:t>7,9</w:t>
            </w:r>
          </w:p>
        </w:tc>
        <w:tc>
          <w:tcPr>
            <w:tcW w:w="2371" w:type="dxa"/>
            <w:vMerge/>
          </w:tcPr>
          <w:p w14:paraId="32DC9B0B" w14:textId="77777777" w:rsidR="00E12429" w:rsidRDefault="00E12429" w:rsidP="00E12429"/>
        </w:tc>
      </w:tr>
      <w:tr w:rsidR="00E12429" w14:paraId="74F8713F" w14:textId="77777777" w:rsidTr="00E12429">
        <w:tc>
          <w:tcPr>
            <w:tcW w:w="2480" w:type="dxa"/>
          </w:tcPr>
          <w:p w14:paraId="05522310" w14:textId="61EC37CF" w:rsidR="00E12429" w:rsidRPr="00E12429" w:rsidRDefault="00E12429" w:rsidP="00E12429">
            <w:r w:rsidRPr="00E12429">
              <w:rPr>
                <w:szCs w:val="20"/>
              </w:rPr>
              <w:t xml:space="preserve">Циклоспорин 5,2 </w:t>
            </w:r>
            <w:r w:rsidRPr="00E12429">
              <w:rPr>
                <w:szCs w:val="20"/>
                <w:lang w:val="en-US"/>
              </w:rPr>
              <w:t>mg/kg</w:t>
            </w:r>
            <w:r w:rsidRPr="00E12429">
              <w:rPr>
                <w:szCs w:val="20"/>
              </w:rPr>
              <w:t>/ден, постоянна доза</w:t>
            </w:r>
          </w:p>
        </w:tc>
        <w:tc>
          <w:tcPr>
            <w:tcW w:w="2362" w:type="dxa"/>
          </w:tcPr>
          <w:p w14:paraId="3B17C01B" w14:textId="3E25D937"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28 дни</w:t>
            </w:r>
          </w:p>
        </w:tc>
        <w:tc>
          <w:tcPr>
            <w:tcW w:w="2363" w:type="dxa"/>
          </w:tcPr>
          <w:p w14:paraId="1931947E" w14:textId="4D0AE4BA" w:rsidR="00E12429" w:rsidRPr="00E12429" w:rsidRDefault="00E12429" w:rsidP="00E12429">
            <w:r w:rsidRPr="00E12429">
              <w:rPr>
                <w:szCs w:val="20"/>
              </w:rPr>
              <w:t>8,7</w:t>
            </w:r>
          </w:p>
        </w:tc>
        <w:tc>
          <w:tcPr>
            <w:tcW w:w="2371" w:type="dxa"/>
            <w:vMerge/>
          </w:tcPr>
          <w:p w14:paraId="1E1A6098" w14:textId="77777777" w:rsidR="00E12429" w:rsidRDefault="00E12429" w:rsidP="00E12429"/>
        </w:tc>
      </w:tr>
      <w:tr w:rsidR="00E12429" w14:paraId="72AE08B9" w14:textId="77777777" w:rsidTr="00E12429">
        <w:tc>
          <w:tcPr>
            <w:tcW w:w="2480" w:type="dxa"/>
          </w:tcPr>
          <w:p w14:paraId="7A1D6968" w14:textId="4E2F4FEC" w:rsidR="00E12429" w:rsidRPr="00E12429" w:rsidRDefault="00E12429" w:rsidP="00E12429">
            <w:r w:rsidRPr="00E12429">
              <w:rPr>
                <w:szCs w:val="20"/>
              </w:rPr>
              <w:t xml:space="preserve">Лопинавир 400 </w:t>
            </w:r>
            <w:r w:rsidRPr="00E12429">
              <w:rPr>
                <w:szCs w:val="20"/>
                <w:lang w:val="en-US"/>
              </w:rPr>
              <w:t xml:space="preserve">mg </w:t>
            </w:r>
            <w:r w:rsidRPr="00E12429">
              <w:rPr>
                <w:szCs w:val="20"/>
              </w:rPr>
              <w:t xml:space="preserve">два пъти дневно/ Ритонавир 100 </w:t>
            </w:r>
            <w:r w:rsidRPr="00E12429">
              <w:rPr>
                <w:szCs w:val="20"/>
                <w:lang w:val="en-US"/>
              </w:rPr>
              <w:t xml:space="preserve">mg </w:t>
            </w:r>
            <w:r w:rsidRPr="00E12429">
              <w:rPr>
                <w:szCs w:val="20"/>
              </w:rPr>
              <w:t>два пъти дневно, 14 дни</w:t>
            </w:r>
          </w:p>
        </w:tc>
        <w:tc>
          <w:tcPr>
            <w:tcW w:w="2362" w:type="dxa"/>
          </w:tcPr>
          <w:p w14:paraId="5561ADCC" w14:textId="081A01BB" w:rsidR="00E12429" w:rsidRPr="00E12429" w:rsidRDefault="00E12429" w:rsidP="00E12429">
            <w:r w:rsidRPr="00E12429">
              <w:rPr>
                <w:szCs w:val="20"/>
              </w:rPr>
              <w:t xml:space="preserve">20 </w:t>
            </w:r>
            <w:r w:rsidRPr="00E12429">
              <w:rPr>
                <w:szCs w:val="20"/>
                <w:lang w:val="en-US"/>
              </w:rPr>
              <w:t xml:space="preserve">mg </w:t>
            </w:r>
            <w:r w:rsidRPr="00E12429">
              <w:rPr>
                <w:szCs w:val="20"/>
              </w:rPr>
              <w:t>веднъж дневно за 4 дни</w:t>
            </w:r>
          </w:p>
        </w:tc>
        <w:tc>
          <w:tcPr>
            <w:tcW w:w="2363" w:type="dxa"/>
          </w:tcPr>
          <w:p w14:paraId="1F553E0F" w14:textId="68C1131C" w:rsidR="00E12429" w:rsidRPr="00E12429" w:rsidRDefault="00E12429" w:rsidP="00E12429">
            <w:r w:rsidRPr="00E12429">
              <w:rPr>
                <w:szCs w:val="20"/>
              </w:rPr>
              <w:t>5,9</w:t>
            </w:r>
          </w:p>
        </w:tc>
        <w:tc>
          <w:tcPr>
            <w:tcW w:w="2371" w:type="dxa"/>
            <w:vMerge w:val="restart"/>
          </w:tcPr>
          <w:p w14:paraId="243A7BD9" w14:textId="4FE553A4" w:rsidR="00E12429" w:rsidRPr="00E12429" w:rsidRDefault="00E12429" w:rsidP="00E12429">
            <w:r w:rsidRPr="00E12429">
              <w:rPr>
                <w:szCs w:val="20"/>
              </w:rPr>
              <w:t xml:space="preserve">Когато едновременното прилагане с аторвастатин е необходимо, се препоръчват по-ниски поддържащи дози на аторвастатин. При дози на аторвастатин надвишаващи 20 </w:t>
            </w:r>
            <w:r w:rsidRPr="00E12429">
              <w:rPr>
                <w:szCs w:val="20"/>
                <w:lang w:val="en-US"/>
              </w:rPr>
              <w:t xml:space="preserve">mg, </w:t>
            </w:r>
            <w:r w:rsidRPr="00E12429">
              <w:rPr>
                <w:szCs w:val="20"/>
              </w:rPr>
              <w:t>се препоръчва клинично проследяване на пациентите.</w:t>
            </w:r>
          </w:p>
        </w:tc>
      </w:tr>
      <w:tr w:rsidR="00E12429" w14:paraId="2713C469" w14:textId="77777777" w:rsidTr="00E12429">
        <w:tc>
          <w:tcPr>
            <w:tcW w:w="2480" w:type="dxa"/>
          </w:tcPr>
          <w:p w14:paraId="199199B2" w14:textId="52071182" w:rsidR="00E12429" w:rsidRPr="00E12429" w:rsidRDefault="00E12429" w:rsidP="00E12429">
            <w:r w:rsidRPr="00E12429">
              <w:rPr>
                <w:szCs w:val="20"/>
              </w:rPr>
              <w:t xml:space="preserve">Кларитромицин 500 </w:t>
            </w:r>
            <w:r w:rsidRPr="00E12429">
              <w:rPr>
                <w:szCs w:val="20"/>
                <w:lang w:val="en-US"/>
              </w:rPr>
              <w:t xml:space="preserve">mg </w:t>
            </w:r>
            <w:r w:rsidRPr="00E12429">
              <w:rPr>
                <w:szCs w:val="20"/>
              </w:rPr>
              <w:t>два пъти дневно, 9 дни</w:t>
            </w:r>
          </w:p>
        </w:tc>
        <w:tc>
          <w:tcPr>
            <w:tcW w:w="2362" w:type="dxa"/>
          </w:tcPr>
          <w:p w14:paraId="01C1F824" w14:textId="74377720" w:rsidR="00E12429" w:rsidRPr="00E12429" w:rsidRDefault="00E12429" w:rsidP="00E12429">
            <w:r w:rsidRPr="00E12429">
              <w:rPr>
                <w:szCs w:val="20"/>
              </w:rPr>
              <w:t xml:space="preserve">80 </w:t>
            </w:r>
            <w:r w:rsidRPr="00E12429">
              <w:rPr>
                <w:szCs w:val="20"/>
                <w:lang w:val="en-US"/>
              </w:rPr>
              <w:t xml:space="preserve">mg </w:t>
            </w:r>
            <w:r w:rsidRPr="00E12429">
              <w:rPr>
                <w:szCs w:val="20"/>
              </w:rPr>
              <w:t>веднъж дневно за 8 дни</w:t>
            </w:r>
          </w:p>
        </w:tc>
        <w:tc>
          <w:tcPr>
            <w:tcW w:w="2363" w:type="dxa"/>
          </w:tcPr>
          <w:p w14:paraId="09593295" w14:textId="0EE1EABC" w:rsidR="00E12429" w:rsidRPr="00E12429" w:rsidRDefault="00E12429" w:rsidP="00E12429">
            <w:r w:rsidRPr="00E12429">
              <w:rPr>
                <w:szCs w:val="20"/>
              </w:rPr>
              <w:t>4,5</w:t>
            </w:r>
          </w:p>
        </w:tc>
        <w:tc>
          <w:tcPr>
            <w:tcW w:w="2371" w:type="dxa"/>
            <w:vMerge/>
          </w:tcPr>
          <w:p w14:paraId="3DF625C5" w14:textId="77777777" w:rsidR="00E12429" w:rsidRPr="00E12429" w:rsidRDefault="00E12429" w:rsidP="00E12429"/>
        </w:tc>
      </w:tr>
      <w:tr w:rsidR="00E12429" w14:paraId="1AFD5B22" w14:textId="77777777" w:rsidTr="00E12429">
        <w:tc>
          <w:tcPr>
            <w:tcW w:w="2480" w:type="dxa"/>
          </w:tcPr>
          <w:p w14:paraId="3C62B022" w14:textId="42028B60" w:rsidR="00E12429" w:rsidRPr="00E12429" w:rsidRDefault="00E12429" w:rsidP="00E12429">
            <w:r w:rsidRPr="00E12429">
              <w:rPr>
                <w:szCs w:val="20"/>
              </w:rPr>
              <w:t xml:space="preserve">Саквинавир 400 </w:t>
            </w:r>
            <w:r w:rsidRPr="00E12429">
              <w:rPr>
                <w:szCs w:val="20"/>
                <w:lang w:val="en-US"/>
              </w:rPr>
              <w:t xml:space="preserve">mg </w:t>
            </w:r>
            <w:r w:rsidRPr="00E12429">
              <w:rPr>
                <w:szCs w:val="20"/>
              </w:rPr>
              <w:t xml:space="preserve">два пъти дневно/ Ритонавир (300 </w:t>
            </w:r>
            <w:r w:rsidRPr="00E12429">
              <w:rPr>
                <w:szCs w:val="20"/>
                <w:lang w:val="en-US"/>
              </w:rPr>
              <w:t xml:space="preserve">mg </w:t>
            </w:r>
            <w:r w:rsidRPr="00E12429">
              <w:rPr>
                <w:szCs w:val="20"/>
              </w:rPr>
              <w:t xml:space="preserve">два пъти дневно от дни 5-7, повишен до 400 </w:t>
            </w:r>
            <w:r w:rsidRPr="00E12429">
              <w:rPr>
                <w:szCs w:val="20"/>
                <w:lang w:val="en-US"/>
              </w:rPr>
              <w:t xml:space="preserve">mg </w:t>
            </w:r>
            <w:r w:rsidRPr="00E12429">
              <w:rPr>
                <w:szCs w:val="20"/>
              </w:rPr>
              <w:t xml:space="preserve">два пъти дневно на ден 8), дни 4-18,30 </w:t>
            </w:r>
            <w:r w:rsidRPr="00E12429">
              <w:rPr>
                <w:szCs w:val="20"/>
                <w:lang w:val="en-US"/>
              </w:rPr>
              <w:t xml:space="preserve">min </w:t>
            </w:r>
            <w:r w:rsidRPr="00E12429">
              <w:rPr>
                <w:szCs w:val="20"/>
              </w:rPr>
              <w:t>след дозата на аторвастатин</w:t>
            </w:r>
          </w:p>
        </w:tc>
        <w:tc>
          <w:tcPr>
            <w:tcW w:w="2362" w:type="dxa"/>
          </w:tcPr>
          <w:p w14:paraId="310BE6D6" w14:textId="76A9AB3A" w:rsidR="00E12429" w:rsidRPr="00E12429" w:rsidRDefault="00E12429" w:rsidP="00E12429">
            <w:r w:rsidRPr="00E12429">
              <w:rPr>
                <w:szCs w:val="20"/>
              </w:rPr>
              <w:t xml:space="preserve">40 </w:t>
            </w:r>
            <w:r w:rsidRPr="00E12429">
              <w:rPr>
                <w:szCs w:val="20"/>
                <w:lang w:val="en-US"/>
              </w:rPr>
              <w:t xml:space="preserve">mg </w:t>
            </w:r>
            <w:r w:rsidRPr="00E12429">
              <w:rPr>
                <w:szCs w:val="20"/>
              </w:rPr>
              <w:t>веднъж дневно за 4 дни</w:t>
            </w:r>
          </w:p>
        </w:tc>
        <w:tc>
          <w:tcPr>
            <w:tcW w:w="2363" w:type="dxa"/>
          </w:tcPr>
          <w:p w14:paraId="30A37B75" w14:textId="661AC99A" w:rsidR="00E12429" w:rsidRPr="00E12429" w:rsidRDefault="00E12429" w:rsidP="00E12429">
            <w:r w:rsidRPr="00E12429">
              <w:rPr>
                <w:szCs w:val="20"/>
              </w:rPr>
              <w:t>3,9</w:t>
            </w:r>
          </w:p>
        </w:tc>
        <w:tc>
          <w:tcPr>
            <w:tcW w:w="2371" w:type="dxa"/>
            <w:vMerge w:val="restart"/>
          </w:tcPr>
          <w:p w14:paraId="0AC3F792" w14:textId="2BC6A19B" w:rsidR="00E12429" w:rsidRPr="00E12429" w:rsidRDefault="00E12429" w:rsidP="00E12429">
            <w:r w:rsidRPr="00E12429">
              <w:rPr>
                <w:szCs w:val="20"/>
              </w:rPr>
              <w:t xml:space="preserve">Когато едновременното прилагане с аторвастатин е необходимо, се препоръчват по-ниски поддържащи дози на аторвастатин. При дози на аторвастатин надвишаващи 40 </w:t>
            </w:r>
            <w:r w:rsidRPr="00E12429">
              <w:rPr>
                <w:szCs w:val="20"/>
                <w:lang w:val="en-US"/>
              </w:rPr>
              <w:t xml:space="preserve">mg, </w:t>
            </w:r>
            <w:r w:rsidRPr="00E12429">
              <w:rPr>
                <w:szCs w:val="20"/>
              </w:rPr>
              <w:t>се препоръчва клинично проследяване</w:t>
            </w:r>
            <w:r w:rsidRPr="00E12429">
              <w:rPr>
                <w:szCs w:val="20"/>
                <w:lang w:val="en-US"/>
              </w:rPr>
              <w:t xml:space="preserve"> </w:t>
            </w:r>
            <w:r w:rsidRPr="00E12429">
              <w:rPr>
                <w:szCs w:val="20"/>
              </w:rPr>
              <w:t>на пациентите.</w:t>
            </w:r>
          </w:p>
        </w:tc>
      </w:tr>
      <w:tr w:rsidR="00E12429" w14:paraId="45E604DB" w14:textId="77777777" w:rsidTr="00E12429">
        <w:tc>
          <w:tcPr>
            <w:tcW w:w="2480" w:type="dxa"/>
          </w:tcPr>
          <w:p w14:paraId="049DD895" w14:textId="2CB50AC3" w:rsidR="00E12429" w:rsidRPr="00E12429" w:rsidRDefault="00E12429" w:rsidP="00E12429">
            <w:r w:rsidRPr="00E12429">
              <w:rPr>
                <w:szCs w:val="20"/>
              </w:rPr>
              <w:t xml:space="preserve">Дарунавир 300 </w:t>
            </w:r>
            <w:r w:rsidRPr="00E12429">
              <w:rPr>
                <w:szCs w:val="20"/>
                <w:lang w:val="en-US"/>
              </w:rPr>
              <w:t xml:space="preserve">mg </w:t>
            </w:r>
            <w:r w:rsidRPr="00E12429">
              <w:rPr>
                <w:szCs w:val="20"/>
              </w:rPr>
              <w:t xml:space="preserve">два пъти дневно/Ритонавир 100 </w:t>
            </w:r>
            <w:r w:rsidRPr="00E12429">
              <w:rPr>
                <w:szCs w:val="20"/>
                <w:lang w:val="en-US"/>
              </w:rPr>
              <w:t xml:space="preserve">mg </w:t>
            </w:r>
            <w:r w:rsidRPr="00E12429">
              <w:rPr>
                <w:szCs w:val="20"/>
              </w:rPr>
              <w:t>два пъти дневно, 9 дни</w:t>
            </w:r>
          </w:p>
        </w:tc>
        <w:tc>
          <w:tcPr>
            <w:tcW w:w="2362" w:type="dxa"/>
          </w:tcPr>
          <w:p w14:paraId="368A8C91" w14:textId="386AB14F"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4 дни</w:t>
            </w:r>
          </w:p>
        </w:tc>
        <w:tc>
          <w:tcPr>
            <w:tcW w:w="2363" w:type="dxa"/>
          </w:tcPr>
          <w:p w14:paraId="7C3F789B" w14:textId="7020EEB3" w:rsidR="00E12429" w:rsidRPr="00E12429" w:rsidRDefault="00E12429" w:rsidP="00E12429">
            <w:r w:rsidRPr="00E12429">
              <w:rPr>
                <w:szCs w:val="20"/>
              </w:rPr>
              <w:t>3,4</w:t>
            </w:r>
          </w:p>
        </w:tc>
        <w:tc>
          <w:tcPr>
            <w:tcW w:w="2371" w:type="dxa"/>
            <w:vMerge/>
          </w:tcPr>
          <w:p w14:paraId="2A02BBA9" w14:textId="77777777" w:rsidR="00E12429" w:rsidRDefault="00E12429" w:rsidP="00E12429"/>
        </w:tc>
      </w:tr>
      <w:tr w:rsidR="00E12429" w14:paraId="40469DBE" w14:textId="77777777" w:rsidTr="00E12429">
        <w:tc>
          <w:tcPr>
            <w:tcW w:w="2480" w:type="dxa"/>
          </w:tcPr>
          <w:p w14:paraId="245523D2" w14:textId="3A724269" w:rsidR="00E12429" w:rsidRPr="00E12429" w:rsidRDefault="00E12429" w:rsidP="00E12429">
            <w:r w:rsidRPr="00E12429">
              <w:rPr>
                <w:szCs w:val="20"/>
              </w:rPr>
              <w:t xml:space="preserve">Итраконазол 200 </w:t>
            </w:r>
            <w:r w:rsidRPr="00E12429">
              <w:rPr>
                <w:szCs w:val="20"/>
                <w:lang w:val="en-US"/>
              </w:rPr>
              <w:t xml:space="preserve">mg </w:t>
            </w:r>
            <w:r w:rsidRPr="00E12429">
              <w:rPr>
                <w:szCs w:val="20"/>
              </w:rPr>
              <w:t>дневно, 4 дни</w:t>
            </w:r>
          </w:p>
        </w:tc>
        <w:tc>
          <w:tcPr>
            <w:tcW w:w="2362" w:type="dxa"/>
          </w:tcPr>
          <w:p w14:paraId="714BF618" w14:textId="4C6A99E0"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0A2CE983" w14:textId="309DF726" w:rsidR="00E12429" w:rsidRPr="00E12429" w:rsidRDefault="00E12429" w:rsidP="00E12429">
            <w:r w:rsidRPr="00E12429">
              <w:rPr>
                <w:szCs w:val="20"/>
              </w:rPr>
              <w:t>3,3</w:t>
            </w:r>
          </w:p>
        </w:tc>
        <w:tc>
          <w:tcPr>
            <w:tcW w:w="2371" w:type="dxa"/>
            <w:vMerge/>
          </w:tcPr>
          <w:p w14:paraId="7807048D" w14:textId="77777777" w:rsidR="00E12429" w:rsidRDefault="00E12429" w:rsidP="00E12429"/>
        </w:tc>
      </w:tr>
      <w:tr w:rsidR="00E12429" w14:paraId="3FABDC0D" w14:textId="77777777" w:rsidTr="00044391">
        <w:tc>
          <w:tcPr>
            <w:tcW w:w="2480" w:type="dxa"/>
            <w:vAlign w:val="bottom"/>
          </w:tcPr>
          <w:p w14:paraId="701E5A10" w14:textId="673A0513" w:rsidR="00E12429" w:rsidRPr="00E12429" w:rsidRDefault="00E12429" w:rsidP="00E12429">
            <w:r w:rsidRPr="00E12429">
              <w:rPr>
                <w:szCs w:val="20"/>
              </w:rPr>
              <w:t xml:space="preserve">Фозампреиавир </w:t>
            </w:r>
            <w:r w:rsidRPr="00E12429">
              <w:rPr>
                <w:szCs w:val="20"/>
                <w:lang w:val="en-US"/>
              </w:rPr>
              <w:t xml:space="preserve">700 mg </w:t>
            </w:r>
            <w:r w:rsidRPr="00E12429">
              <w:rPr>
                <w:szCs w:val="20"/>
              </w:rPr>
              <w:t xml:space="preserve">два пъти дневно/ Ритонавир 100 </w:t>
            </w:r>
            <w:r w:rsidRPr="00E12429">
              <w:rPr>
                <w:szCs w:val="20"/>
                <w:lang w:val="en-US"/>
              </w:rPr>
              <w:t xml:space="preserve">mg </w:t>
            </w:r>
            <w:r w:rsidRPr="00E12429">
              <w:rPr>
                <w:szCs w:val="20"/>
              </w:rPr>
              <w:t>два пъти дневно, 14 дни</w:t>
            </w:r>
          </w:p>
        </w:tc>
        <w:tc>
          <w:tcPr>
            <w:tcW w:w="2362" w:type="dxa"/>
          </w:tcPr>
          <w:p w14:paraId="5772020F" w14:textId="37E1853E"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4 дни</w:t>
            </w:r>
          </w:p>
        </w:tc>
        <w:tc>
          <w:tcPr>
            <w:tcW w:w="2363" w:type="dxa"/>
          </w:tcPr>
          <w:p w14:paraId="4BC5E92B" w14:textId="61C15F1B" w:rsidR="00E12429" w:rsidRPr="00E12429" w:rsidRDefault="00E12429" w:rsidP="00E12429">
            <w:r w:rsidRPr="00E12429">
              <w:rPr>
                <w:szCs w:val="20"/>
              </w:rPr>
              <w:t>2,5</w:t>
            </w:r>
          </w:p>
        </w:tc>
        <w:tc>
          <w:tcPr>
            <w:tcW w:w="2371" w:type="dxa"/>
            <w:vMerge/>
          </w:tcPr>
          <w:p w14:paraId="028EE9CC" w14:textId="77777777" w:rsidR="00E12429" w:rsidRDefault="00E12429" w:rsidP="00E12429"/>
        </w:tc>
      </w:tr>
      <w:tr w:rsidR="00E12429" w14:paraId="2EC3C446" w14:textId="77777777" w:rsidTr="00044391">
        <w:tc>
          <w:tcPr>
            <w:tcW w:w="2480" w:type="dxa"/>
            <w:vAlign w:val="bottom"/>
          </w:tcPr>
          <w:p w14:paraId="3F25A742" w14:textId="526A88DE" w:rsidR="00E12429" w:rsidRPr="00E12429" w:rsidRDefault="00E12429" w:rsidP="00E12429">
            <w:r w:rsidRPr="00E12429">
              <w:rPr>
                <w:szCs w:val="20"/>
              </w:rPr>
              <w:lastRenderedPageBreak/>
              <w:t xml:space="preserve">Фозампреиавир 1400 </w:t>
            </w:r>
            <w:r w:rsidRPr="00E12429">
              <w:rPr>
                <w:szCs w:val="20"/>
                <w:lang w:val="en-US"/>
              </w:rPr>
              <w:t xml:space="preserve">mg </w:t>
            </w:r>
            <w:r w:rsidRPr="00E12429">
              <w:rPr>
                <w:szCs w:val="20"/>
              </w:rPr>
              <w:t>два пъти дневно, 14 дни</w:t>
            </w:r>
          </w:p>
        </w:tc>
        <w:tc>
          <w:tcPr>
            <w:tcW w:w="2362" w:type="dxa"/>
            <w:vAlign w:val="bottom"/>
          </w:tcPr>
          <w:p w14:paraId="228E52DD" w14:textId="5C11825D"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4 дни</w:t>
            </w:r>
          </w:p>
        </w:tc>
        <w:tc>
          <w:tcPr>
            <w:tcW w:w="2363" w:type="dxa"/>
          </w:tcPr>
          <w:p w14:paraId="490DB17D" w14:textId="26C32232" w:rsidR="00E12429" w:rsidRPr="00E12429" w:rsidRDefault="00E12429" w:rsidP="00E12429">
            <w:r w:rsidRPr="00E12429">
              <w:rPr>
                <w:szCs w:val="20"/>
              </w:rPr>
              <w:t>2,3</w:t>
            </w:r>
          </w:p>
        </w:tc>
        <w:tc>
          <w:tcPr>
            <w:tcW w:w="2371" w:type="dxa"/>
            <w:vMerge/>
          </w:tcPr>
          <w:p w14:paraId="2D5EF402" w14:textId="77777777" w:rsidR="00E12429" w:rsidRDefault="00E12429" w:rsidP="00E12429"/>
        </w:tc>
      </w:tr>
      <w:tr w:rsidR="00E12429" w14:paraId="2F61051A" w14:textId="77777777" w:rsidTr="00044391">
        <w:tc>
          <w:tcPr>
            <w:tcW w:w="2480" w:type="dxa"/>
          </w:tcPr>
          <w:p w14:paraId="274D7936" w14:textId="5CD06C1B" w:rsidR="00E12429" w:rsidRPr="00E12429" w:rsidRDefault="00E12429" w:rsidP="00E12429">
            <w:r w:rsidRPr="00E12429">
              <w:rPr>
                <w:szCs w:val="20"/>
              </w:rPr>
              <w:t xml:space="preserve">Елбасвир 50 </w:t>
            </w:r>
            <w:r w:rsidRPr="00E12429">
              <w:rPr>
                <w:szCs w:val="20"/>
                <w:lang w:val="en-US"/>
              </w:rPr>
              <w:t xml:space="preserve">mg </w:t>
            </w:r>
            <w:r w:rsidRPr="00E12429">
              <w:rPr>
                <w:szCs w:val="20"/>
              </w:rPr>
              <w:t xml:space="preserve">веднъж дневно/Гразопревир 200 </w:t>
            </w:r>
            <w:r w:rsidRPr="00E12429">
              <w:rPr>
                <w:szCs w:val="20"/>
                <w:lang w:val="en-US"/>
              </w:rPr>
              <w:t xml:space="preserve">mg </w:t>
            </w:r>
            <w:r w:rsidRPr="00E12429">
              <w:rPr>
                <w:szCs w:val="20"/>
              </w:rPr>
              <w:t>веднъж дневно, 13 дни</w:t>
            </w:r>
          </w:p>
        </w:tc>
        <w:tc>
          <w:tcPr>
            <w:tcW w:w="2362" w:type="dxa"/>
          </w:tcPr>
          <w:p w14:paraId="622FE6E7" w14:textId="42D0319C" w:rsidR="00E12429" w:rsidRPr="00E12429" w:rsidRDefault="00E12429" w:rsidP="00E12429">
            <w:r w:rsidRPr="00E12429">
              <w:rPr>
                <w:szCs w:val="20"/>
              </w:rPr>
              <w:t xml:space="preserve">10 </w:t>
            </w:r>
            <w:r w:rsidRPr="00E12429">
              <w:rPr>
                <w:szCs w:val="20"/>
                <w:lang w:val="en-US"/>
              </w:rPr>
              <w:t xml:space="preserve">mg </w:t>
            </w:r>
            <w:r w:rsidRPr="00E12429">
              <w:rPr>
                <w:szCs w:val="20"/>
              </w:rPr>
              <w:t>единична доза</w:t>
            </w:r>
          </w:p>
        </w:tc>
        <w:tc>
          <w:tcPr>
            <w:tcW w:w="2363" w:type="dxa"/>
          </w:tcPr>
          <w:p w14:paraId="62BA2766" w14:textId="480BF36E" w:rsidR="00E12429" w:rsidRPr="00E12429" w:rsidRDefault="00E12429" w:rsidP="00E12429">
            <w:r w:rsidRPr="00E12429">
              <w:rPr>
                <w:szCs w:val="20"/>
              </w:rPr>
              <w:t>1,95</w:t>
            </w:r>
          </w:p>
        </w:tc>
        <w:tc>
          <w:tcPr>
            <w:tcW w:w="2371" w:type="dxa"/>
            <w:vAlign w:val="bottom"/>
          </w:tcPr>
          <w:p w14:paraId="1A865B15" w14:textId="0D86A0ED" w:rsidR="00E12429" w:rsidRPr="00E12429" w:rsidRDefault="00E12429" w:rsidP="00E12429">
            <w:r w:rsidRPr="00E12429">
              <w:rPr>
                <w:szCs w:val="20"/>
              </w:rPr>
              <w:t xml:space="preserve">Дозата на аторвастатин не трябва да надвишава дневна доза от 20 </w:t>
            </w:r>
            <w:r w:rsidRPr="00E12429">
              <w:rPr>
                <w:szCs w:val="20"/>
                <w:lang w:val="en-US"/>
              </w:rPr>
              <w:t xml:space="preserve">mg </w:t>
            </w:r>
            <w:r w:rsidRPr="00E12429">
              <w:rPr>
                <w:szCs w:val="20"/>
              </w:rPr>
              <w:t>по време на едновременно приложение с продукти, съдържащи елбасвир или гразопревир.</w:t>
            </w:r>
          </w:p>
        </w:tc>
      </w:tr>
      <w:tr w:rsidR="00E12429" w14:paraId="747AAEA9" w14:textId="77777777" w:rsidTr="00044391">
        <w:tc>
          <w:tcPr>
            <w:tcW w:w="2480" w:type="dxa"/>
          </w:tcPr>
          <w:p w14:paraId="380D936F" w14:textId="00D84F09" w:rsidR="00E12429" w:rsidRPr="00E12429" w:rsidRDefault="00E12429" w:rsidP="00E12429">
            <w:r w:rsidRPr="00E12429">
              <w:rPr>
                <w:szCs w:val="20"/>
              </w:rPr>
              <w:t xml:space="preserve">Летермовир 480 </w:t>
            </w:r>
            <w:r w:rsidRPr="00E12429">
              <w:rPr>
                <w:szCs w:val="20"/>
                <w:lang w:val="en-US"/>
              </w:rPr>
              <w:t xml:space="preserve">mg </w:t>
            </w:r>
            <w:r w:rsidRPr="00E12429">
              <w:rPr>
                <w:szCs w:val="20"/>
              </w:rPr>
              <w:t>веднъж днево, 10 дни</w:t>
            </w:r>
          </w:p>
        </w:tc>
        <w:tc>
          <w:tcPr>
            <w:tcW w:w="2362" w:type="dxa"/>
          </w:tcPr>
          <w:p w14:paraId="7BDDCCC2" w14:textId="055CC2D2" w:rsidR="00E12429" w:rsidRPr="00E12429" w:rsidRDefault="00E12429" w:rsidP="00E12429">
            <w:r w:rsidRPr="00E12429">
              <w:rPr>
                <w:szCs w:val="20"/>
              </w:rPr>
              <w:t xml:space="preserve">20 </w:t>
            </w:r>
            <w:r w:rsidRPr="00E12429">
              <w:rPr>
                <w:szCs w:val="20"/>
                <w:lang w:val="en-US"/>
              </w:rPr>
              <w:t xml:space="preserve">mg </w:t>
            </w:r>
            <w:r w:rsidRPr="00E12429">
              <w:rPr>
                <w:szCs w:val="20"/>
              </w:rPr>
              <w:t>единична доза</w:t>
            </w:r>
          </w:p>
        </w:tc>
        <w:tc>
          <w:tcPr>
            <w:tcW w:w="2363" w:type="dxa"/>
          </w:tcPr>
          <w:p w14:paraId="07051A9A" w14:textId="52AAAEC2" w:rsidR="00E12429" w:rsidRPr="00E12429" w:rsidRDefault="00E12429" w:rsidP="00E12429">
            <w:r w:rsidRPr="00E12429">
              <w:rPr>
                <w:szCs w:val="20"/>
              </w:rPr>
              <w:t>3,29</w:t>
            </w:r>
          </w:p>
        </w:tc>
        <w:tc>
          <w:tcPr>
            <w:tcW w:w="2371" w:type="dxa"/>
            <w:vAlign w:val="bottom"/>
          </w:tcPr>
          <w:p w14:paraId="69DA3D9D" w14:textId="78FF1DD9" w:rsidR="00E12429" w:rsidRPr="00E12429" w:rsidRDefault="00E12429" w:rsidP="00E12429">
            <w:r w:rsidRPr="00E12429">
              <w:rPr>
                <w:szCs w:val="20"/>
              </w:rPr>
              <w:t xml:space="preserve">Дозата на аторвастатин не трябва да надвишава дневна доза от 20 </w:t>
            </w:r>
            <w:r w:rsidRPr="00E12429">
              <w:rPr>
                <w:szCs w:val="20"/>
                <w:lang w:val="en-US"/>
              </w:rPr>
              <w:t xml:space="preserve">mg </w:t>
            </w:r>
            <w:r w:rsidRPr="00E12429">
              <w:rPr>
                <w:szCs w:val="20"/>
              </w:rPr>
              <w:t>по време на едновременно приложение с продукти, съдържащи летермовир.</w:t>
            </w:r>
          </w:p>
        </w:tc>
      </w:tr>
      <w:tr w:rsidR="00E12429" w14:paraId="25BCC81C" w14:textId="77777777" w:rsidTr="00044391">
        <w:tc>
          <w:tcPr>
            <w:tcW w:w="2480" w:type="dxa"/>
            <w:vAlign w:val="bottom"/>
          </w:tcPr>
          <w:p w14:paraId="218B888D" w14:textId="6E2918D2" w:rsidR="00E12429" w:rsidRPr="00E12429" w:rsidRDefault="00E12429" w:rsidP="00E12429">
            <w:r w:rsidRPr="00E12429">
              <w:rPr>
                <w:szCs w:val="20"/>
              </w:rPr>
              <w:t xml:space="preserve">Нелфинавир 1250 </w:t>
            </w:r>
            <w:r w:rsidRPr="00E12429">
              <w:rPr>
                <w:szCs w:val="20"/>
                <w:lang w:val="en-US"/>
              </w:rPr>
              <w:t xml:space="preserve">mg </w:t>
            </w:r>
            <w:r w:rsidRPr="00E12429">
              <w:rPr>
                <w:szCs w:val="20"/>
              </w:rPr>
              <w:t>два пъти дневно, 14 дни</w:t>
            </w:r>
          </w:p>
        </w:tc>
        <w:tc>
          <w:tcPr>
            <w:tcW w:w="2362" w:type="dxa"/>
            <w:vAlign w:val="bottom"/>
          </w:tcPr>
          <w:p w14:paraId="01024625" w14:textId="39AA2E65"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28 дни</w:t>
            </w:r>
          </w:p>
        </w:tc>
        <w:tc>
          <w:tcPr>
            <w:tcW w:w="2363" w:type="dxa"/>
          </w:tcPr>
          <w:p w14:paraId="4F49A067" w14:textId="50C2A724" w:rsidR="00E12429" w:rsidRPr="00E12429" w:rsidRDefault="00E12429" w:rsidP="00E12429">
            <w:r w:rsidRPr="00E12429">
              <w:rPr>
                <w:szCs w:val="20"/>
              </w:rPr>
              <w:t>1,74</w:t>
            </w:r>
          </w:p>
        </w:tc>
        <w:tc>
          <w:tcPr>
            <w:tcW w:w="2371" w:type="dxa"/>
            <w:vAlign w:val="bottom"/>
          </w:tcPr>
          <w:p w14:paraId="569B7AA4" w14:textId="5692F0BC" w:rsidR="00E12429" w:rsidRPr="00E12429" w:rsidRDefault="00E12429" w:rsidP="00E12429">
            <w:r w:rsidRPr="00E12429">
              <w:rPr>
                <w:szCs w:val="20"/>
              </w:rPr>
              <w:t>Няма специални препоръки.</w:t>
            </w:r>
          </w:p>
        </w:tc>
      </w:tr>
      <w:tr w:rsidR="00E12429" w14:paraId="7DBC1035" w14:textId="77777777" w:rsidTr="00044391">
        <w:tc>
          <w:tcPr>
            <w:tcW w:w="2480" w:type="dxa"/>
          </w:tcPr>
          <w:p w14:paraId="5655AE8A" w14:textId="5E2A4246" w:rsidR="00E12429" w:rsidRPr="00E12429" w:rsidRDefault="00E12429" w:rsidP="00E12429">
            <w:r w:rsidRPr="00E12429">
              <w:rPr>
                <w:szCs w:val="20"/>
              </w:rPr>
              <w:t xml:space="preserve">Сок от грейпфрут, 240 </w:t>
            </w:r>
            <w:r w:rsidRPr="00E12429">
              <w:rPr>
                <w:szCs w:val="20"/>
                <w:lang w:val="en-US"/>
              </w:rPr>
              <w:t xml:space="preserve">mL </w:t>
            </w:r>
            <w:r w:rsidRPr="00E12429">
              <w:rPr>
                <w:szCs w:val="20"/>
              </w:rPr>
              <w:t>веднъж дневно*</w:t>
            </w:r>
          </w:p>
        </w:tc>
        <w:tc>
          <w:tcPr>
            <w:tcW w:w="2362" w:type="dxa"/>
          </w:tcPr>
          <w:p w14:paraId="3015D234" w14:textId="163D5970"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502DE836" w14:textId="4A9CE7A4" w:rsidR="00E12429" w:rsidRPr="00E12429" w:rsidRDefault="00E12429" w:rsidP="00E12429">
            <w:r w:rsidRPr="00E12429">
              <w:rPr>
                <w:szCs w:val="20"/>
              </w:rPr>
              <w:t>1,37</w:t>
            </w:r>
          </w:p>
        </w:tc>
        <w:tc>
          <w:tcPr>
            <w:tcW w:w="2371" w:type="dxa"/>
            <w:vAlign w:val="bottom"/>
          </w:tcPr>
          <w:p w14:paraId="0C3238DC" w14:textId="006F6323" w:rsidR="00E12429" w:rsidRPr="00E12429" w:rsidRDefault="00E12429" w:rsidP="00E12429">
            <w:r w:rsidRPr="00E12429">
              <w:rPr>
                <w:szCs w:val="20"/>
              </w:rPr>
              <w:t>Не се препоръчва едновременния прием на големи количества сок от грейпфрут и аторвастатин.</w:t>
            </w:r>
          </w:p>
        </w:tc>
      </w:tr>
      <w:tr w:rsidR="00E12429" w14:paraId="6BD903B6" w14:textId="77777777" w:rsidTr="00044391">
        <w:tc>
          <w:tcPr>
            <w:tcW w:w="2480" w:type="dxa"/>
          </w:tcPr>
          <w:p w14:paraId="32C6BB9D" w14:textId="642EBD16" w:rsidR="00E12429" w:rsidRPr="00E12429" w:rsidRDefault="00E12429" w:rsidP="00E12429">
            <w:r w:rsidRPr="00E12429">
              <w:rPr>
                <w:szCs w:val="20"/>
              </w:rPr>
              <w:t xml:space="preserve">Дилтиазем 240 </w:t>
            </w:r>
            <w:r w:rsidRPr="00E12429">
              <w:rPr>
                <w:szCs w:val="20"/>
                <w:lang w:val="en-US"/>
              </w:rPr>
              <w:t xml:space="preserve">mg </w:t>
            </w:r>
            <w:r w:rsidRPr="00E12429">
              <w:rPr>
                <w:szCs w:val="20"/>
              </w:rPr>
              <w:t>веднъж дневно, 28 дни</w:t>
            </w:r>
          </w:p>
        </w:tc>
        <w:tc>
          <w:tcPr>
            <w:tcW w:w="2362" w:type="dxa"/>
          </w:tcPr>
          <w:p w14:paraId="0D184157" w14:textId="7018D067"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768F6F22" w14:textId="02FFF057" w:rsidR="00E12429" w:rsidRPr="00E12429" w:rsidRDefault="00E12429" w:rsidP="00E12429">
            <w:r w:rsidRPr="00E12429">
              <w:rPr>
                <w:szCs w:val="20"/>
              </w:rPr>
              <w:t>1,51</w:t>
            </w:r>
          </w:p>
        </w:tc>
        <w:tc>
          <w:tcPr>
            <w:tcW w:w="2371" w:type="dxa"/>
            <w:vAlign w:val="bottom"/>
          </w:tcPr>
          <w:p w14:paraId="77A764F5" w14:textId="2FB3E2E4" w:rsidR="00E12429" w:rsidRPr="00E12429" w:rsidRDefault="00E12429" w:rsidP="00E12429">
            <w:r w:rsidRPr="00E12429">
              <w:rPr>
                <w:szCs w:val="20"/>
              </w:rPr>
              <w:t>След започването на терапията или след промяна на дозировката на дилтиазем, се препоръчва клинично проследяване на пациентите.</w:t>
            </w:r>
          </w:p>
        </w:tc>
      </w:tr>
      <w:tr w:rsidR="00E12429" w14:paraId="5CCDAFE3" w14:textId="77777777" w:rsidTr="00E12429">
        <w:tc>
          <w:tcPr>
            <w:tcW w:w="2480" w:type="dxa"/>
          </w:tcPr>
          <w:p w14:paraId="7F704EEE" w14:textId="231421E5" w:rsidR="00E12429" w:rsidRPr="00E12429" w:rsidRDefault="00E12429" w:rsidP="00E12429">
            <w:r w:rsidRPr="00E12429">
              <w:rPr>
                <w:szCs w:val="20"/>
              </w:rPr>
              <w:t xml:space="preserve">Еритромицин 500 </w:t>
            </w:r>
            <w:r w:rsidRPr="00E12429">
              <w:rPr>
                <w:szCs w:val="20"/>
                <w:lang w:val="en-US"/>
              </w:rPr>
              <w:t xml:space="preserve">mg </w:t>
            </w:r>
            <w:r w:rsidRPr="00E12429">
              <w:rPr>
                <w:szCs w:val="20"/>
              </w:rPr>
              <w:t>четири пъти дневно, 7 дни</w:t>
            </w:r>
          </w:p>
        </w:tc>
        <w:tc>
          <w:tcPr>
            <w:tcW w:w="2362" w:type="dxa"/>
          </w:tcPr>
          <w:p w14:paraId="1290FD5F" w14:textId="5665093C" w:rsidR="00E12429" w:rsidRPr="00E12429" w:rsidRDefault="00E12429" w:rsidP="00E12429">
            <w:r w:rsidRPr="00E12429">
              <w:rPr>
                <w:szCs w:val="20"/>
              </w:rPr>
              <w:t xml:space="preserve">10 </w:t>
            </w:r>
            <w:r w:rsidRPr="00E12429">
              <w:rPr>
                <w:szCs w:val="20"/>
                <w:lang w:val="en-US"/>
              </w:rPr>
              <w:t xml:space="preserve">mg, </w:t>
            </w:r>
            <w:r w:rsidRPr="00E12429">
              <w:rPr>
                <w:szCs w:val="20"/>
              </w:rPr>
              <w:t>еднократна доза</w:t>
            </w:r>
          </w:p>
        </w:tc>
        <w:tc>
          <w:tcPr>
            <w:tcW w:w="2363" w:type="dxa"/>
          </w:tcPr>
          <w:p w14:paraId="5F54D131" w14:textId="7D2021BA" w:rsidR="00E12429" w:rsidRPr="00E12429" w:rsidRDefault="00E12429" w:rsidP="00E12429">
            <w:r w:rsidRPr="00E12429">
              <w:rPr>
                <w:szCs w:val="20"/>
              </w:rPr>
              <w:t>1,33</w:t>
            </w:r>
          </w:p>
        </w:tc>
        <w:tc>
          <w:tcPr>
            <w:tcW w:w="2371" w:type="dxa"/>
          </w:tcPr>
          <w:p w14:paraId="53EA4108" w14:textId="54BAE217" w:rsidR="00E12429" w:rsidRPr="00E12429" w:rsidRDefault="00E12429" w:rsidP="00E12429">
            <w:r w:rsidRPr="00E12429">
              <w:rPr>
                <w:szCs w:val="20"/>
              </w:rPr>
              <w:t xml:space="preserve">Препоръчва се по-ниска максимална доза и клинично </w:t>
            </w:r>
            <w:r w:rsidRPr="00E12429">
              <w:rPr>
                <w:szCs w:val="20"/>
              </w:rPr>
              <w:lastRenderedPageBreak/>
              <w:t>проследяване на пациентите.</w:t>
            </w:r>
          </w:p>
        </w:tc>
      </w:tr>
      <w:tr w:rsidR="00E12429" w14:paraId="5FFDCD28" w14:textId="77777777" w:rsidTr="00E12429">
        <w:tc>
          <w:tcPr>
            <w:tcW w:w="2480" w:type="dxa"/>
          </w:tcPr>
          <w:p w14:paraId="59E18B74" w14:textId="20808092" w:rsidR="00E12429" w:rsidRPr="00E12429" w:rsidRDefault="00E12429" w:rsidP="00E12429">
            <w:r w:rsidRPr="00E12429">
              <w:rPr>
                <w:szCs w:val="20"/>
              </w:rPr>
              <w:lastRenderedPageBreak/>
              <w:t xml:space="preserve">Амлодипин 10 </w:t>
            </w:r>
            <w:r w:rsidRPr="00E12429">
              <w:rPr>
                <w:szCs w:val="20"/>
                <w:lang w:val="en-US"/>
              </w:rPr>
              <w:t xml:space="preserve">mg, </w:t>
            </w:r>
            <w:r w:rsidRPr="00E12429">
              <w:rPr>
                <w:szCs w:val="20"/>
              </w:rPr>
              <w:t>веднъж дневно</w:t>
            </w:r>
          </w:p>
        </w:tc>
        <w:tc>
          <w:tcPr>
            <w:tcW w:w="2362" w:type="dxa"/>
          </w:tcPr>
          <w:p w14:paraId="3CAFC1E0" w14:textId="7CD1304F" w:rsidR="00E12429" w:rsidRPr="00E12429" w:rsidRDefault="00E12429" w:rsidP="00E12429">
            <w:r w:rsidRPr="00E12429">
              <w:rPr>
                <w:szCs w:val="20"/>
              </w:rPr>
              <w:t xml:space="preserve">80 </w:t>
            </w:r>
            <w:r w:rsidRPr="00E12429">
              <w:rPr>
                <w:szCs w:val="20"/>
                <w:lang w:val="en-US"/>
              </w:rPr>
              <w:t xml:space="preserve">mg, </w:t>
            </w:r>
            <w:r w:rsidRPr="00E12429">
              <w:rPr>
                <w:szCs w:val="20"/>
              </w:rPr>
              <w:t>еднократна доза</w:t>
            </w:r>
          </w:p>
        </w:tc>
        <w:tc>
          <w:tcPr>
            <w:tcW w:w="2363" w:type="dxa"/>
          </w:tcPr>
          <w:p w14:paraId="3DAD74F5" w14:textId="00374DA6" w:rsidR="00E12429" w:rsidRPr="00E12429" w:rsidRDefault="00E12429" w:rsidP="00E12429">
            <w:r w:rsidRPr="00E12429">
              <w:rPr>
                <w:szCs w:val="20"/>
              </w:rPr>
              <w:t>1,18</w:t>
            </w:r>
          </w:p>
        </w:tc>
        <w:tc>
          <w:tcPr>
            <w:tcW w:w="2371" w:type="dxa"/>
          </w:tcPr>
          <w:p w14:paraId="426CB8E4" w14:textId="64AA9206" w:rsidR="00E12429" w:rsidRPr="00E12429" w:rsidRDefault="00E12429" w:rsidP="00E12429">
            <w:r w:rsidRPr="00E12429">
              <w:rPr>
                <w:szCs w:val="20"/>
              </w:rPr>
              <w:t>Няма специални препоръки.</w:t>
            </w:r>
          </w:p>
        </w:tc>
      </w:tr>
      <w:tr w:rsidR="00E12429" w14:paraId="05FB998E" w14:textId="77777777" w:rsidTr="00E12429">
        <w:tc>
          <w:tcPr>
            <w:tcW w:w="2480" w:type="dxa"/>
          </w:tcPr>
          <w:p w14:paraId="26B45891" w14:textId="7EB0DD46" w:rsidR="00E12429" w:rsidRPr="00E12429" w:rsidRDefault="00E12429" w:rsidP="00E12429">
            <w:r w:rsidRPr="00E12429">
              <w:rPr>
                <w:szCs w:val="20"/>
              </w:rPr>
              <w:t xml:space="preserve">Циметидин 300 </w:t>
            </w:r>
            <w:r w:rsidRPr="00E12429">
              <w:rPr>
                <w:szCs w:val="20"/>
                <w:lang w:val="en-US"/>
              </w:rPr>
              <w:t xml:space="preserve">mg </w:t>
            </w:r>
            <w:r w:rsidRPr="00E12429">
              <w:rPr>
                <w:szCs w:val="20"/>
              </w:rPr>
              <w:t>четири пъти дневно, 2 седмици</w:t>
            </w:r>
          </w:p>
        </w:tc>
        <w:tc>
          <w:tcPr>
            <w:tcW w:w="2362" w:type="dxa"/>
          </w:tcPr>
          <w:p w14:paraId="6FB66EC4" w14:textId="6225C0A3"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2 седмици</w:t>
            </w:r>
          </w:p>
        </w:tc>
        <w:tc>
          <w:tcPr>
            <w:tcW w:w="2363" w:type="dxa"/>
          </w:tcPr>
          <w:p w14:paraId="44C448F8" w14:textId="5D5C10F1" w:rsidR="00E12429" w:rsidRPr="00E12429" w:rsidRDefault="00E12429" w:rsidP="00E12429">
            <w:r w:rsidRPr="00E12429">
              <w:rPr>
                <w:szCs w:val="20"/>
              </w:rPr>
              <w:t>1,00</w:t>
            </w:r>
          </w:p>
        </w:tc>
        <w:tc>
          <w:tcPr>
            <w:tcW w:w="2371" w:type="dxa"/>
          </w:tcPr>
          <w:p w14:paraId="39301DFF" w14:textId="3002E4B0" w:rsidR="00E12429" w:rsidRPr="00E12429" w:rsidRDefault="00E12429" w:rsidP="00E12429">
            <w:r w:rsidRPr="00E12429">
              <w:rPr>
                <w:szCs w:val="20"/>
              </w:rPr>
              <w:t>Няма специални препоръки.</w:t>
            </w:r>
          </w:p>
        </w:tc>
      </w:tr>
      <w:tr w:rsidR="00E12429" w14:paraId="3F50E5DB" w14:textId="77777777" w:rsidTr="00E12429">
        <w:tc>
          <w:tcPr>
            <w:tcW w:w="2480" w:type="dxa"/>
          </w:tcPr>
          <w:p w14:paraId="203E8EDD" w14:textId="43730A44" w:rsidR="00E12429" w:rsidRPr="00E12429" w:rsidRDefault="00E12429" w:rsidP="00E12429">
            <w:r w:rsidRPr="00E12429">
              <w:rPr>
                <w:szCs w:val="20"/>
              </w:rPr>
              <w:t xml:space="preserve">Колестипол 10 </w:t>
            </w:r>
            <w:r w:rsidRPr="00E12429">
              <w:rPr>
                <w:szCs w:val="20"/>
                <w:lang w:val="en-US"/>
              </w:rPr>
              <w:t xml:space="preserve">g </w:t>
            </w:r>
            <w:r w:rsidRPr="00E12429">
              <w:rPr>
                <w:szCs w:val="20"/>
              </w:rPr>
              <w:t>два пъти дневно, 28 седмици</w:t>
            </w:r>
          </w:p>
        </w:tc>
        <w:tc>
          <w:tcPr>
            <w:tcW w:w="2362" w:type="dxa"/>
          </w:tcPr>
          <w:p w14:paraId="1AFB898E" w14:textId="2F5DB815" w:rsidR="00E12429" w:rsidRPr="00E12429" w:rsidRDefault="00E12429" w:rsidP="00E12429">
            <w:r w:rsidRPr="00E12429">
              <w:rPr>
                <w:szCs w:val="20"/>
              </w:rPr>
              <w:t xml:space="preserve">40 </w:t>
            </w:r>
            <w:r w:rsidRPr="00E12429">
              <w:rPr>
                <w:szCs w:val="20"/>
                <w:lang w:val="en-US"/>
              </w:rPr>
              <w:t xml:space="preserve">mg </w:t>
            </w:r>
            <w:r w:rsidRPr="00E12429">
              <w:rPr>
                <w:szCs w:val="20"/>
              </w:rPr>
              <w:t>веднъж дневно за 28 седмици</w:t>
            </w:r>
          </w:p>
        </w:tc>
        <w:tc>
          <w:tcPr>
            <w:tcW w:w="2363" w:type="dxa"/>
          </w:tcPr>
          <w:p w14:paraId="3ED8DB30" w14:textId="396BCE41" w:rsidR="00E12429" w:rsidRPr="00E12429" w:rsidRDefault="00E12429" w:rsidP="00E12429">
            <w:r w:rsidRPr="00E12429">
              <w:rPr>
                <w:szCs w:val="20"/>
              </w:rPr>
              <w:t>0,74**</w:t>
            </w:r>
          </w:p>
        </w:tc>
        <w:tc>
          <w:tcPr>
            <w:tcW w:w="2371" w:type="dxa"/>
          </w:tcPr>
          <w:p w14:paraId="205D88AC" w14:textId="77D4582B" w:rsidR="00E12429" w:rsidRPr="00E12429" w:rsidRDefault="00E12429" w:rsidP="00E12429">
            <w:r w:rsidRPr="00E12429">
              <w:rPr>
                <w:szCs w:val="20"/>
              </w:rPr>
              <w:t>Няма специални препоръки.</w:t>
            </w:r>
          </w:p>
        </w:tc>
      </w:tr>
      <w:tr w:rsidR="00E12429" w14:paraId="212764E2" w14:textId="77777777" w:rsidTr="00E12429">
        <w:tc>
          <w:tcPr>
            <w:tcW w:w="2480" w:type="dxa"/>
          </w:tcPr>
          <w:p w14:paraId="1D8EE551" w14:textId="2847718B" w:rsidR="00E12429" w:rsidRPr="00E12429" w:rsidRDefault="00E12429" w:rsidP="00E12429">
            <w:r w:rsidRPr="00E12429">
              <w:rPr>
                <w:szCs w:val="20"/>
              </w:rPr>
              <w:t xml:space="preserve">Антиацидна суспензия от магнезиев и алуминиев хидроксиди, 30 </w:t>
            </w:r>
            <w:r w:rsidRPr="00E12429">
              <w:rPr>
                <w:szCs w:val="20"/>
                <w:lang w:val="en-US"/>
              </w:rPr>
              <w:t xml:space="preserve">mL </w:t>
            </w:r>
            <w:r w:rsidRPr="00E12429">
              <w:rPr>
                <w:szCs w:val="20"/>
              </w:rPr>
              <w:t>четири пъти дневно, 17 дни</w:t>
            </w:r>
          </w:p>
        </w:tc>
        <w:tc>
          <w:tcPr>
            <w:tcW w:w="2362" w:type="dxa"/>
          </w:tcPr>
          <w:p w14:paraId="0E001757" w14:textId="57DBA827"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15 дни</w:t>
            </w:r>
          </w:p>
        </w:tc>
        <w:tc>
          <w:tcPr>
            <w:tcW w:w="2363" w:type="dxa"/>
          </w:tcPr>
          <w:p w14:paraId="348C1FF3" w14:textId="20CEC506" w:rsidR="00E12429" w:rsidRPr="00E12429" w:rsidRDefault="00E12429" w:rsidP="00E12429">
            <w:r w:rsidRPr="00E12429">
              <w:rPr>
                <w:szCs w:val="20"/>
              </w:rPr>
              <w:t>0,66</w:t>
            </w:r>
          </w:p>
        </w:tc>
        <w:tc>
          <w:tcPr>
            <w:tcW w:w="2371" w:type="dxa"/>
          </w:tcPr>
          <w:p w14:paraId="7EB281B8" w14:textId="37693D63" w:rsidR="00E12429" w:rsidRPr="00E12429" w:rsidRDefault="00E12429" w:rsidP="00E12429">
            <w:r w:rsidRPr="00E12429">
              <w:rPr>
                <w:szCs w:val="20"/>
              </w:rPr>
              <w:t>Няма специални препоръки.</w:t>
            </w:r>
          </w:p>
        </w:tc>
      </w:tr>
      <w:tr w:rsidR="00E12429" w14:paraId="7F991192" w14:textId="77777777" w:rsidTr="00E12429">
        <w:tc>
          <w:tcPr>
            <w:tcW w:w="2480" w:type="dxa"/>
          </w:tcPr>
          <w:p w14:paraId="7F560172" w14:textId="5B64E05F" w:rsidR="00E12429" w:rsidRPr="00E12429" w:rsidRDefault="00E12429" w:rsidP="00E12429">
            <w:r w:rsidRPr="00E12429">
              <w:rPr>
                <w:szCs w:val="20"/>
              </w:rPr>
              <w:t xml:space="preserve">Ефавиренц 600 </w:t>
            </w:r>
            <w:r w:rsidRPr="00E12429">
              <w:rPr>
                <w:szCs w:val="20"/>
                <w:lang w:val="en-US"/>
              </w:rPr>
              <w:t xml:space="preserve">mg </w:t>
            </w:r>
            <w:r w:rsidRPr="00E12429">
              <w:rPr>
                <w:szCs w:val="20"/>
              </w:rPr>
              <w:t>веднъж дневно, 14 дни</w:t>
            </w:r>
          </w:p>
        </w:tc>
        <w:tc>
          <w:tcPr>
            <w:tcW w:w="2362" w:type="dxa"/>
          </w:tcPr>
          <w:p w14:paraId="21828055" w14:textId="48007B72" w:rsidR="00E12429" w:rsidRPr="00E12429" w:rsidRDefault="00E12429" w:rsidP="00E12429">
            <w:r w:rsidRPr="00E12429">
              <w:rPr>
                <w:szCs w:val="20"/>
              </w:rPr>
              <w:t xml:space="preserve">10 </w:t>
            </w:r>
            <w:r w:rsidRPr="00E12429">
              <w:rPr>
                <w:szCs w:val="20"/>
                <w:lang w:val="en-US"/>
              </w:rPr>
              <w:t xml:space="preserve">mg </w:t>
            </w:r>
            <w:r w:rsidRPr="00E12429">
              <w:rPr>
                <w:szCs w:val="20"/>
              </w:rPr>
              <w:t>за 3 дни</w:t>
            </w:r>
          </w:p>
        </w:tc>
        <w:tc>
          <w:tcPr>
            <w:tcW w:w="2363" w:type="dxa"/>
          </w:tcPr>
          <w:p w14:paraId="2681F18E" w14:textId="558CA392" w:rsidR="00E12429" w:rsidRPr="00E12429" w:rsidRDefault="00E12429" w:rsidP="00E12429">
            <w:r w:rsidRPr="00E12429">
              <w:rPr>
                <w:szCs w:val="20"/>
              </w:rPr>
              <w:t>0,59</w:t>
            </w:r>
          </w:p>
        </w:tc>
        <w:tc>
          <w:tcPr>
            <w:tcW w:w="2371" w:type="dxa"/>
          </w:tcPr>
          <w:p w14:paraId="0F6C0C1B" w14:textId="77777777" w:rsidR="00E12429" w:rsidRPr="00E12429" w:rsidRDefault="00E12429" w:rsidP="00E12429">
            <w:r w:rsidRPr="00E12429">
              <w:rPr>
                <w:szCs w:val="20"/>
              </w:rPr>
              <w:t>Няма специални</w:t>
            </w:r>
          </w:p>
          <w:p w14:paraId="621CA2A9" w14:textId="3F192925" w:rsidR="00E12429" w:rsidRPr="00E12429" w:rsidRDefault="00E12429" w:rsidP="00E12429">
            <w:r w:rsidRPr="00E12429">
              <w:rPr>
                <w:szCs w:val="20"/>
              </w:rPr>
              <w:t>препоръки.</w:t>
            </w:r>
          </w:p>
        </w:tc>
      </w:tr>
      <w:tr w:rsidR="00E12429" w14:paraId="0D3FDFA6" w14:textId="77777777" w:rsidTr="00E12429">
        <w:tc>
          <w:tcPr>
            <w:tcW w:w="2480" w:type="dxa"/>
          </w:tcPr>
          <w:p w14:paraId="2E4408A0" w14:textId="36279DDD" w:rsidR="00E12429" w:rsidRPr="00E12429" w:rsidRDefault="00E12429" w:rsidP="00E12429">
            <w:r w:rsidRPr="00E12429">
              <w:rPr>
                <w:szCs w:val="20"/>
              </w:rPr>
              <w:t xml:space="preserve">Рифампин 600 </w:t>
            </w:r>
            <w:r w:rsidRPr="00E12429">
              <w:rPr>
                <w:szCs w:val="20"/>
                <w:lang w:val="en-US"/>
              </w:rPr>
              <w:t xml:space="preserve">mg </w:t>
            </w:r>
            <w:r w:rsidRPr="00E12429">
              <w:rPr>
                <w:szCs w:val="20"/>
              </w:rPr>
              <w:t>веднъж дневно, 7 дни (едновременно приложен)</w:t>
            </w:r>
          </w:p>
        </w:tc>
        <w:tc>
          <w:tcPr>
            <w:tcW w:w="2362" w:type="dxa"/>
          </w:tcPr>
          <w:p w14:paraId="030B9BE6" w14:textId="28DFEC5F"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6F687BC0" w14:textId="317BBE1F" w:rsidR="00E12429" w:rsidRPr="00E12429" w:rsidRDefault="00E12429" w:rsidP="00E12429">
            <w:r w:rsidRPr="00E12429">
              <w:rPr>
                <w:szCs w:val="20"/>
              </w:rPr>
              <w:t>1,12</w:t>
            </w:r>
          </w:p>
        </w:tc>
        <w:tc>
          <w:tcPr>
            <w:tcW w:w="2371" w:type="dxa"/>
            <w:vMerge w:val="restart"/>
          </w:tcPr>
          <w:p w14:paraId="1660739C" w14:textId="1783F57E" w:rsidR="00E12429" w:rsidRDefault="00E84751" w:rsidP="00E12429">
            <w:r w:rsidRPr="00E84751">
              <w:rPr>
                <w:szCs w:val="20"/>
              </w:rPr>
              <w:t>Ако едновременното прилагане не може да се избегне, се препоръчва клинично проследяване при едновременно прилагане на аторвастатин и рифампин.</w:t>
            </w:r>
          </w:p>
        </w:tc>
      </w:tr>
      <w:tr w:rsidR="00E12429" w14:paraId="18356D93" w14:textId="77777777" w:rsidTr="00E12429">
        <w:tc>
          <w:tcPr>
            <w:tcW w:w="2480" w:type="dxa"/>
          </w:tcPr>
          <w:p w14:paraId="66738AB7" w14:textId="73397B48" w:rsidR="00E12429" w:rsidRPr="00E12429" w:rsidRDefault="00E12429" w:rsidP="00E12429">
            <w:r w:rsidRPr="00E12429">
              <w:rPr>
                <w:szCs w:val="20"/>
              </w:rPr>
              <w:t xml:space="preserve">Рифампин 600 </w:t>
            </w:r>
            <w:r w:rsidRPr="00E12429">
              <w:rPr>
                <w:szCs w:val="20"/>
                <w:lang w:val="en-US"/>
              </w:rPr>
              <w:t xml:space="preserve">mg </w:t>
            </w:r>
            <w:r w:rsidRPr="00E12429">
              <w:rPr>
                <w:szCs w:val="20"/>
              </w:rPr>
              <w:t>веднъж дневно, 5 дни (дозите са разделени)</w:t>
            </w:r>
          </w:p>
        </w:tc>
        <w:tc>
          <w:tcPr>
            <w:tcW w:w="2362" w:type="dxa"/>
          </w:tcPr>
          <w:p w14:paraId="799D7D25" w14:textId="7F3B790E"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29D6FF83" w14:textId="27A010B0" w:rsidR="00E12429" w:rsidRPr="00E12429" w:rsidRDefault="00E12429" w:rsidP="00E12429">
            <w:r w:rsidRPr="00E12429">
              <w:rPr>
                <w:szCs w:val="20"/>
              </w:rPr>
              <w:t>0,20</w:t>
            </w:r>
          </w:p>
        </w:tc>
        <w:tc>
          <w:tcPr>
            <w:tcW w:w="2371" w:type="dxa"/>
            <w:vMerge/>
          </w:tcPr>
          <w:p w14:paraId="3814FCDD" w14:textId="77777777" w:rsidR="00E12429" w:rsidRDefault="00E12429" w:rsidP="00E12429"/>
        </w:tc>
      </w:tr>
      <w:tr w:rsidR="00E12429" w14:paraId="61721BCA" w14:textId="77777777" w:rsidTr="00E12429">
        <w:tc>
          <w:tcPr>
            <w:tcW w:w="2480" w:type="dxa"/>
          </w:tcPr>
          <w:p w14:paraId="54B95839" w14:textId="7B3798D4" w:rsidR="00E12429" w:rsidRPr="00E12429" w:rsidRDefault="00E12429" w:rsidP="00E12429">
            <w:r w:rsidRPr="00E12429">
              <w:rPr>
                <w:szCs w:val="20"/>
              </w:rPr>
              <w:t xml:space="preserve">Гемфиброзил 600 </w:t>
            </w:r>
            <w:r w:rsidRPr="00E12429">
              <w:rPr>
                <w:szCs w:val="20"/>
                <w:lang w:val="en-US"/>
              </w:rPr>
              <w:t xml:space="preserve">mg </w:t>
            </w:r>
            <w:r w:rsidRPr="00E12429">
              <w:rPr>
                <w:szCs w:val="20"/>
              </w:rPr>
              <w:t>два пъти дневно, 7 дни</w:t>
            </w:r>
          </w:p>
        </w:tc>
        <w:tc>
          <w:tcPr>
            <w:tcW w:w="2362" w:type="dxa"/>
          </w:tcPr>
          <w:p w14:paraId="657A68E8" w14:textId="1EEEFC2C"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24178332" w14:textId="514CE0E6" w:rsidR="00E12429" w:rsidRPr="00E12429" w:rsidRDefault="00E12429" w:rsidP="00E12429">
            <w:r w:rsidRPr="00E12429">
              <w:rPr>
                <w:szCs w:val="20"/>
              </w:rPr>
              <w:t>1,35</w:t>
            </w:r>
          </w:p>
        </w:tc>
        <w:tc>
          <w:tcPr>
            <w:tcW w:w="2371" w:type="dxa"/>
          </w:tcPr>
          <w:p w14:paraId="3510D2C2" w14:textId="0D5CCB3F" w:rsidR="00E12429" w:rsidRPr="00E12429" w:rsidRDefault="00E12429" w:rsidP="00E12429">
            <w:r w:rsidRPr="00E12429">
              <w:rPr>
                <w:szCs w:val="20"/>
              </w:rPr>
              <w:t>Препоръчва се по-ниска начална доза и клинично проследяване на тези пациенти.</w:t>
            </w:r>
          </w:p>
        </w:tc>
      </w:tr>
      <w:tr w:rsidR="00E12429" w14:paraId="40E79F27" w14:textId="77777777" w:rsidTr="00E12429">
        <w:tc>
          <w:tcPr>
            <w:tcW w:w="2480" w:type="dxa"/>
          </w:tcPr>
          <w:p w14:paraId="71A100E0" w14:textId="3BEDF4BF" w:rsidR="00E12429" w:rsidRPr="00E12429" w:rsidRDefault="00E12429" w:rsidP="00E12429">
            <w:r w:rsidRPr="00E12429">
              <w:rPr>
                <w:szCs w:val="20"/>
              </w:rPr>
              <w:t xml:space="preserve">Фенофибрат 160 </w:t>
            </w:r>
            <w:r w:rsidRPr="00E12429">
              <w:rPr>
                <w:szCs w:val="20"/>
                <w:lang w:val="en-US"/>
              </w:rPr>
              <w:t xml:space="preserve">mg </w:t>
            </w:r>
            <w:r w:rsidRPr="00E12429">
              <w:rPr>
                <w:szCs w:val="20"/>
              </w:rPr>
              <w:t>веднъж дневно, 7 дни</w:t>
            </w:r>
          </w:p>
        </w:tc>
        <w:tc>
          <w:tcPr>
            <w:tcW w:w="2362" w:type="dxa"/>
          </w:tcPr>
          <w:p w14:paraId="48AB922D" w14:textId="32D31A74"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7913AB7A" w14:textId="67AAB086" w:rsidR="00E12429" w:rsidRPr="00E12429" w:rsidRDefault="00E12429" w:rsidP="00E12429">
            <w:r w:rsidRPr="00E12429">
              <w:rPr>
                <w:szCs w:val="20"/>
              </w:rPr>
              <w:t>1,03</w:t>
            </w:r>
          </w:p>
        </w:tc>
        <w:tc>
          <w:tcPr>
            <w:tcW w:w="2371" w:type="dxa"/>
          </w:tcPr>
          <w:p w14:paraId="02A64D14" w14:textId="1A430376" w:rsidR="00E12429" w:rsidRPr="00E12429" w:rsidRDefault="00E12429" w:rsidP="00E12429">
            <w:r w:rsidRPr="00E12429">
              <w:rPr>
                <w:szCs w:val="20"/>
              </w:rPr>
              <w:t>Препоръчва се по-ниска начална доза и клинично проследяване на тези пациенти.</w:t>
            </w:r>
          </w:p>
        </w:tc>
      </w:tr>
      <w:tr w:rsidR="00E84751" w14:paraId="68666B46" w14:textId="77777777" w:rsidTr="00E12429">
        <w:tc>
          <w:tcPr>
            <w:tcW w:w="2480" w:type="dxa"/>
          </w:tcPr>
          <w:p w14:paraId="2ABCC75A" w14:textId="6C49860D" w:rsidR="00E84751" w:rsidRPr="00E84751" w:rsidRDefault="00E84751" w:rsidP="00E84751">
            <w:r w:rsidRPr="00E84751">
              <w:rPr>
                <w:szCs w:val="20"/>
              </w:rPr>
              <w:t xml:space="preserve">Боцепревир 800 </w:t>
            </w:r>
            <w:r w:rsidRPr="00E84751">
              <w:rPr>
                <w:szCs w:val="20"/>
                <w:lang w:val="en-US"/>
              </w:rPr>
              <w:t xml:space="preserve">mg </w:t>
            </w:r>
            <w:r w:rsidRPr="00E84751">
              <w:rPr>
                <w:szCs w:val="20"/>
              </w:rPr>
              <w:t>три пъти дневно</w:t>
            </w:r>
          </w:p>
        </w:tc>
        <w:tc>
          <w:tcPr>
            <w:tcW w:w="2362" w:type="dxa"/>
          </w:tcPr>
          <w:p w14:paraId="2738A189" w14:textId="5BA89216" w:rsidR="00E84751" w:rsidRPr="00E84751" w:rsidRDefault="00E84751" w:rsidP="00E84751">
            <w:r w:rsidRPr="00E84751">
              <w:rPr>
                <w:szCs w:val="20"/>
              </w:rPr>
              <w:t xml:space="preserve">40 </w:t>
            </w:r>
            <w:r w:rsidRPr="00E84751">
              <w:rPr>
                <w:szCs w:val="20"/>
                <w:lang w:val="en-US"/>
              </w:rPr>
              <w:t xml:space="preserve">mg </w:t>
            </w:r>
            <w:r w:rsidRPr="00E84751">
              <w:rPr>
                <w:szCs w:val="20"/>
              </w:rPr>
              <w:t>еднократна доза</w:t>
            </w:r>
          </w:p>
        </w:tc>
        <w:tc>
          <w:tcPr>
            <w:tcW w:w="2363" w:type="dxa"/>
          </w:tcPr>
          <w:p w14:paraId="4299D671" w14:textId="6CF94F73" w:rsidR="00E84751" w:rsidRPr="00E84751" w:rsidRDefault="00E84751" w:rsidP="00E84751">
            <w:r w:rsidRPr="00E84751">
              <w:rPr>
                <w:szCs w:val="20"/>
              </w:rPr>
              <w:t>2,3 .</w:t>
            </w:r>
          </w:p>
        </w:tc>
        <w:tc>
          <w:tcPr>
            <w:tcW w:w="2371" w:type="dxa"/>
          </w:tcPr>
          <w:p w14:paraId="22C48671" w14:textId="3369D97A" w:rsidR="00E84751" w:rsidRPr="00E84751" w:rsidRDefault="00E84751" w:rsidP="00E84751">
            <w:r w:rsidRPr="00E84751">
              <w:rPr>
                <w:szCs w:val="20"/>
              </w:rPr>
              <w:t xml:space="preserve">Препоръчва се по-ниска начална доза и клинично проследяване на тези пациенти. При едновремонно </w:t>
            </w:r>
            <w:r w:rsidRPr="00E84751">
              <w:rPr>
                <w:szCs w:val="20"/>
              </w:rPr>
              <w:lastRenderedPageBreak/>
              <w:t xml:space="preserve">приложение с боцепревир, дневна доза аторвастатин не трябва да превишава 20 </w:t>
            </w:r>
            <w:r w:rsidRPr="00E84751">
              <w:rPr>
                <w:szCs w:val="20"/>
                <w:lang w:val="en-US"/>
              </w:rPr>
              <w:t>mg</w:t>
            </w:r>
          </w:p>
        </w:tc>
      </w:tr>
    </w:tbl>
    <w:p w14:paraId="082D49C1" w14:textId="523583D2" w:rsidR="00E84751" w:rsidRPr="00044391" w:rsidRDefault="00E84751" w:rsidP="00E84751">
      <w:pPr>
        <w:spacing w:line="240" w:lineRule="auto"/>
        <w:rPr>
          <w:rFonts w:eastAsia="Times New Roman" w:cs="Arial"/>
          <w:lang w:eastAsia="bg-BG"/>
        </w:rPr>
      </w:pPr>
      <w:r w:rsidRPr="00044391">
        <w:rPr>
          <w:rFonts w:eastAsia="Times New Roman" w:cs="Arial"/>
          <w:i/>
          <w:iCs/>
          <w:color w:val="000000"/>
          <w:vertAlign w:val="superscript"/>
          <w:lang w:eastAsia="bg-BG"/>
        </w:rPr>
        <w:lastRenderedPageBreak/>
        <w:t>&amp;</w:t>
      </w:r>
      <w:r w:rsidRPr="00044391">
        <w:rPr>
          <w:rFonts w:eastAsia="Times New Roman" w:cs="Arial"/>
          <w:color w:val="000000"/>
          <w:lang w:eastAsia="bg-BG"/>
        </w:rPr>
        <w:t>Представлява съотношение между леченията (лекарствен продукт, прилаган едновременно с аторвастатин, спрямо самостоятелно приложение на аторвастатин).</w:t>
      </w:r>
    </w:p>
    <w:p w14:paraId="4C733047" w14:textId="77777777" w:rsidR="00E84751" w:rsidRPr="00044391" w:rsidRDefault="00E84751" w:rsidP="00E84751">
      <w:pPr>
        <w:spacing w:line="240" w:lineRule="auto"/>
        <w:rPr>
          <w:rFonts w:eastAsia="Times New Roman" w:cs="Arial"/>
          <w:lang w:eastAsia="bg-BG"/>
        </w:rPr>
      </w:pPr>
      <w:r w:rsidRPr="00044391">
        <w:rPr>
          <w:rFonts w:eastAsia="Times New Roman" w:cs="Arial"/>
          <w:color w:val="000000"/>
          <w:vertAlign w:val="superscript"/>
          <w:lang w:eastAsia="bg-BG"/>
        </w:rPr>
        <w:t>#</w:t>
      </w:r>
      <w:r w:rsidRPr="00044391">
        <w:rPr>
          <w:rFonts w:eastAsia="Times New Roman" w:cs="Arial"/>
          <w:color w:val="000000"/>
          <w:lang w:eastAsia="bg-BG"/>
        </w:rPr>
        <w:t>вж. точки 4.4 и 4.5 за клиничната значимост.</w:t>
      </w:r>
    </w:p>
    <w:p w14:paraId="7A0FF259" w14:textId="665DDE1C" w:rsidR="00E84751" w:rsidRPr="00044391" w:rsidRDefault="00E84751" w:rsidP="00E84751">
      <w:pPr>
        <w:spacing w:line="240" w:lineRule="auto"/>
        <w:rPr>
          <w:rFonts w:eastAsia="Times New Roman" w:cs="Arial"/>
          <w:color w:val="000000"/>
          <w:lang w:eastAsia="bg-BG"/>
        </w:rPr>
      </w:pPr>
      <w:r w:rsidRPr="00044391">
        <w:rPr>
          <w:rFonts w:eastAsia="Times New Roman" w:cs="Arial"/>
          <w:color w:val="000000"/>
          <w:lang w:val="en-US" w:eastAsia="bg-BG"/>
        </w:rPr>
        <w:t>*</w:t>
      </w:r>
      <w:r w:rsidRPr="00044391">
        <w:rPr>
          <w:rFonts w:eastAsia="Times New Roman" w:cs="Arial"/>
          <w:color w:val="000000"/>
          <w:lang w:eastAsia="bg-BG"/>
        </w:rPr>
        <w:t xml:space="preserve">Съдържа една или повече съставки, които инхибират </w:t>
      </w:r>
      <w:r w:rsidRPr="00044391">
        <w:rPr>
          <w:rFonts w:eastAsia="Times New Roman" w:cs="Arial"/>
          <w:color w:val="000000"/>
          <w:lang w:val="en-US"/>
        </w:rPr>
        <w:t xml:space="preserve">CYP3A4 </w:t>
      </w:r>
      <w:r w:rsidRPr="00044391">
        <w:rPr>
          <w:rFonts w:eastAsia="Times New Roman" w:cs="Arial"/>
          <w:color w:val="000000"/>
          <w:lang w:eastAsia="bg-BG"/>
        </w:rPr>
        <w:t xml:space="preserve">и могат да повишат плазмените концентрации на лекарствени продукти, които се метаболизират от </w:t>
      </w:r>
      <w:r w:rsidRPr="00044391">
        <w:rPr>
          <w:rFonts w:eastAsia="Times New Roman" w:cs="Arial"/>
          <w:color w:val="000000"/>
          <w:lang w:val="en-US"/>
        </w:rPr>
        <w:t xml:space="preserve">CYP3A4. </w:t>
      </w:r>
      <w:r w:rsidRPr="00044391">
        <w:rPr>
          <w:rFonts w:eastAsia="Times New Roman" w:cs="Arial"/>
          <w:color w:val="000000"/>
          <w:lang w:eastAsia="bg-BG"/>
        </w:rPr>
        <w:t xml:space="preserve">Приемът на една чаша 240 </w:t>
      </w:r>
      <w:r w:rsidRPr="00044391">
        <w:rPr>
          <w:rFonts w:eastAsia="Times New Roman" w:cs="Arial"/>
          <w:color w:val="000000"/>
          <w:lang w:val="en-US"/>
        </w:rPr>
        <w:t xml:space="preserve">ml </w:t>
      </w:r>
      <w:r w:rsidRPr="00044391">
        <w:rPr>
          <w:rFonts w:eastAsia="Times New Roman" w:cs="Arial"/>
          <w:color w:val="000000"/>
          <w:lang w:eastAsia="bg-BG"/>
        </w:rPr>
        <w:t xml:space="preserve">сок от грейпфрут също води до понижаване на </w:t>
      </w:r>
      <w:r w:rsidRPr="00044391">
        <w:rPr>
          <w:rFonts w:eastAsia="Times New Roman" w:cs="Arial"/>
          <w:color w:val="000000"/>
          <w:lang w:val="en-US"/>
        </w:rPr>
        <w:t xml:space="preserve">AUC </w:t>
      </w:r>
      <w:r w:rsidRPr="00044391">
        <w:rPr>
          <w:rFonts w:eastAsia="Times New Roman" w:cs="Arial"/>
          <w:color w:val="000000"/>
          <w:lang w:eastAsia="bg-BG"/>
        </w:rPr>
        <w:t xml:space="preserve">от 20,4% за активния ортохидрокси метаболит. Големи количества сок от грейпфрут (над 1,2 1 дневно за 5 дни) повишава </w:t>
      </w:r>
      <w:r w:rsidRPr="00044391">
        <w:rPr>
          <w:rFonts w:eastAsia="Times New Roman" w:cs="Arial"/>
          <w:color w:val="000000"/>
          <w:lang w:val="en-US"/>
        </w:rPr>
        <w:t xml:space="preserve">AUC </w:t>
      </w:r>
      <w:r w:rsidRPr="00044391">
        <w:rPr>
          <w:rFonts w:eastAsia="Times New Roman" w:cs="Arial"/>
          <w:color w:val="000000"/>
          <w:lang w:eastAsia="bg-BG"/>
        </w:rPr>
        <w:t xml:space="preserve">на аторвастатин 2,5 пъти и </w:t>
      </w:r>
      <w:r w:rsidRPr="00044391">
        <w:rPr>
          <w:rFonts w:eastAsia="Times New Roman" w:cs="Arial"/>
          <w:color w:val="000000"/>
          <w:lang w:val="en-US"/>
        </w:rPr>
        <w:t xml:space="preserve">AUC </w:t>
      </w:r>
      <w:r w:rsidRPr="00044391">
        <w:rPr>
          <w:rFonts w:eastAsia="Times New Roman" w:cs="Arial"/>
          <w:color w:val="000000"/>
          <w:lang w:eastAsia="bg-BG"/>
        </w:rPr>
        <w:t xml:space="preserve">на активните съставки (аторвастатин и метаболити), </w:t>
      </w:r>
      <w:r w:rsidRPr="00044391">
        <w:rPr>
          <w:rFonts w:eastAsia="Times New Roman" w:cs="Arial"/>
          <w:color w:val="000000"/>
          <w:lang w:val="en-US"/>
        </w:rPr>
        <w:t xml:space="preserve">HMG-CoA </w:t>
      </w:r>
      <w:r w:rsidRPr="00044391">
        <w:rPr>
          <w:rFonts w:eastAsia="Times New Roman" w:cs="Arial"/>
          <w:color w:val="000000"/>
          <w:lang w:eastAsia="bg-BG"/>
        </w:rPr>
        <w:t>- редуктазни инхибитори, 1,3 пъти.</w:t>
      </w:r>
    </w:p>
    <w:p w14:paraId="50D14960" w14:textId="3A1EC485" w:rsidR="00E84751" w:rsidRPr="00044391" w:rsidRDefault="00E84751" w:rsidP="00E84751">
      <w:pPr>
        <w:spacing w:line="240" w:lineRule="auto"/>
        <w:rPr>
          <w:rFonts w:eastAsia="Times New Roman" w:cs="Arial"/>
          <w:color w:val="000000"/>
          <w:lang w:eastAsia="bg-BG"/>
        </w:rPr>
      </w:pPr>
      <w:r w:rsidRPr="00044391">
        <w:rPr>
          <w:rFonts w:eastAsia="Times New Roman" w:cs="Arial"/>
          <w:color w:val="000000"/>
          <w:lang w:eastAsia="bg-BG"/>
        </w:rPr>
        <w:t>*</w:t>
      </w:r>
      <w:r w:rsidRPr="00044391">
        <w:rPr>
          <w:rFonts w:eastAsia="Times New Roman" w:cs="Arial"/>
          <w:color w:val="000000"/>
          <w:lang w:val="en-US" w:eastAsia="bg-BG"/>
        </w:rPr>
        <w:t>*</w:t>
      </w:r>
      <w:r w:rsidRPr="00044391">
        <w:rPr>
          <w:rFonts w:eastAsia="Times New Roman" w:cs="Arial"/>
          <w:color w:val="000000"/>
          <w:lang w:eastAsia="bg-BG"/>
        </w:rPr>
        <w:t xml:space="preserve"> Съотношение, базирано на единична проба, взета 8-16 часа след дозата.</w:t>
      </w:r>
    </w:p>
    <w:p w14:paraId="07F8CA42" w14:textId="77777777" w:rsidR="00E84751" w:rsidRPr="00044391" w:rsidRDefault="00E84751" w:rsidP="00E84751">
      <w:pPr>
        <w:spacing w:line="240" w:lineRule="auto"/>
        <w:rPr>
          <w:rFonts w:eastAsia="Times New Roman" w:cs="Arial"/>
          <w:lang w:eastAsia="bg-BG"/>
        </w:rPr>
      </w:pPr>
      <w:r w:rsidRPr="00044391">
        <w:rPr>
          <w:rFonts w:eastAsia="Times New Roman" w:cs="Arial"/>
          <w:color w:val="000000"/>
          <w:lang w:val="en-US"/>
        </w:rPr>
        <w:t xml:space="preserve">OD </w:t>
      </w:r>
      <w:r w:rsidRPr="00044391">
        <w:rPr>
          <w:rFonts w:eastAsia="Times New Roman" w:cs="Arial"/>
          <w:color w:val="000000"/>
          <w:lang w:eastAsia="bg-BG"/>
        </w:rPr>
        <w:t xml:space="preserve">=веднъж дневно, </w:t>
      </w:r>
      <w:r w:rsidRPr="00044391">
        <w:rPr>
          <w:rFonts w:eastAsia="Times New Roman" w:cs="Arial"/>
          <w:color w:val="000000"/>
          <w:lang w:val="en-US"/>
        </w:rPr>
        <w:t xml:space="preserve">SD </w:t>
      </w:r>
      <w:r w:rsidRPr="00044391">
        <w:rPr>
          <w:rFonts w:eastAsia="Times New Roman" w:cs="Arial"/>
          <w:color w:val="000000"/>
          <w:lang w:eastAsia="bg-BG"/>
        </w:rPr>
        <w:t xml:space="preserve">= еднократна доза, </w:t>
      </w:r>
      <w:r w:rsidRPr="00044391">
        <w:rPr>
          <w:rFonts w:eastAsia="Times New Roman" w:cs="Arial"/>
          <w:color w:val="000000"/>
          <w:lang w:val="en-US"/>
        </w:rPr>
        <w:t xml:space="preserve">BID= </w:t>
      </w:r>
      <w:r w:rsidRPr="00044391">
        <w:rPr>
          <w:rFonts w:eastAsia="Times New Roman" w:cs="Arial"/>
          <w:color w:val="000000"/>
          <w:lang w:eastAsia="bg-BG"/>
        </w:rPr>
        <w:t xml:space="preserve">два пъти дневно, </w:t>
      </w:r>
      <w:r w:rsidRPr="00044391">
        <w:rPr>
          <w:rFonts w:eastAsia="Times New Roman" w:cs="Arial"/>
          <w:color w:val="000000"/>
          <w:lang w:val="en-US"/>
        </w:rPr>
        <w:t xml:space="preserve">TID </w:t>
      </w:r>
      <w:r w:rsidRPr="00044391">
        <w:rPr>
          <w:rFonts w:eastAsia="Times New Roman" w:cs="Arial"/>
          <w:color w:val="000000"/>
          <w:lang w:eastAsia="bg-BG"/>
        </w:rPr>
        <w:t xml:space="preserve">= три пъти дневно, </w:t>
      </w:r>
      <w:r w:rsidRPr="00044391">
        <w:rPr>
          <w:rFonts w:eastAsia="Times New Roman" w:cs="Arial"/>
          <w:color w:val="000000"/>
          <w:lang w:val="en-US"/>
        </w:rPr>
        <w:t xml:space="preserve">QID= </w:t>
      </w:r>
      <w:r w:rsidRPr="00044391">
        <w:rPr>
          <w:rFonts w:eastAsia="Times New Roman" w:cs="Arial"/>
          <w:color w:val="000000"/>
          <w:lang w:eastAsia="bg-BG"/>
        </w:rPr>
        <w:t>четири пъти дневно</w:t>
      </w:r>
    </w:p>
    <w:p w14:paraId="0B30B35E" w14:textId="77777777" w:rsidR="00E84751" w:rsidRPr="00044391" w:rsidRDefault="00E84751" w:rsidP="00E84751">
      <w:pPr>
        <w:rPr>
          <w:rFonts w:eastAsia="Times New Roman" w:cs="Arial"/>
          <w:color w:val="000000"/>
          <w:u w:val="single"/>
          <w:lang w:eastAsia="bg-BG"/>
        </w:rPr>
      </w:pPr>
    </w:p>
    <w:p w14:paraId="680524F9" w14:textId="750CE817" w:rsidR="003F3F6A" w:rsidRPr="00044391" w:rsidRDefault="00E84751" w:rsidP="00E84751">
      <w:pPr>
        <w:rPr>
          <w:rFonts w:cs="Arial"/>
        </w:rPr>
      </w:pPr>
      <w:r w:rsidRPr="00044391">
        <w:rPr>
          <w:rFonts w:eastAsia="Times New Roman" w:cs="Arial"/>
          <w:color w:val="000000"/>
          <w:u w:val="single"/>
          <w:lang w:eastAsia="bg-BG"/>
        </w:rPr>
        <w:t>Таблица 2: Ефект на аторвастатин върху фармакокинетиката на едновременно</w:t>
      </w:r>
      <w:r w:rsidRPr="00044391">
        <w:rPr>
          <w:rFonts w:eastAsia="Times New Roman" w:cs="Arial"/>
          <w:color w:val="000000"/>
          <w:u w:val="single"/>
          <w:lang w:val="en-US"/>
        </w:rPr>
        <w:t xml:space="preserve"> </w:t>
      </w:r>
      <w:r w:rsidRPr="00044391">
        <w:rPr>
          <w:rFonts w:eastAsia="Times New Roman" w:cs="Arial"/>
          <w:color w:val="000000"/>
          <w:u w:val="single"/>
          <w:lang w:eastAsia="bg-BG"/>
        </w:rPr>
        <w:t>приложение лекарствени продукти</w:t>
      </w:r>
    </w:p>
    <w:tbl>
      <w:tblPr>
        <w:tblStyle w:val="TableGrid"/>
        <w:tblW w:w="0" w:type="auto"/>
        <w:tblLook w:val="04A0" w:firstRow="1" w:lastRow="0" w:firstColumn="1" w:lastColumn="0" w:noHBand="0" w:noVBand="1"/>
      </w:tblPr>
      <w:tblGrid>
        <w:gridCol w:w="1942"/>
        <w:gridCol w:w="3455"/>
        <w:gridCol w:w="1952"/>
        <w:gridCol w:w="2001"/>
      </w:tblGrid>
      <w:tr w:rsidR="00044391" w14:paraId="43BA2189" w14:textId="77777777" w:rsidTr="00044391">
        <w:tc>
          <w:tcPr>
            <w:tcW w:w="2337" w:type="dxa"/>
            <w:vMerge w:val="restart"/>
          </w:tcPr>
          <w:p w14:paraId="43C3E620" w14:textId="1B383EEB" w:rsidR="00044391" w:rsidRPr="00044391" w:rsidRDefault="00044391" w:rsidP="007A3158">
            <w:r w:rsidRPr="00044391">
              <w:t>Аторвастатин и схема на дозиране</w:t>
            </w:r>
          </w:p>
        </w:tc>
        <w:tc>
          <w:tcPr>
            <w:tcW w:w="7013" w:type="dxa"/>
            <w:gridSpan w:val="3"/>
          </w:tcPr>
          <w:p w14:paraId="7ABD1ACD" w14:textId="5A77A0A6" w:rsidR="00044391" w:rsidRPr="00044391" w:rsidRDefault="00044391" w:rsidP="007A3158">
            <w:r w:rsidRPr="00044391">
              <w:t>Едновременно приложен лекарствен продукт</w:t>
            </w:r>
          </w:p>
        </w:tc>
      </w:tr>
      <w:tr w:rsidR="00044391" w14:paraId="3C8777F3" w14:textId="77777777" w:rsidTr="00044391">
        <w:tc>
          <w:tcPr>
            <w:tcW w:w="2337" w:type="dxa"/>
            <w:vMerge/>
          </w:tcPr>
          <w:p w14:paraId="56A5505F" w14:textId="77777777" w:rsidR="00044391" w:rsidRPr="00044391" w:rsidRDefault="00044391" w:rsidP="00044391"/>
        </w:tc>
        <w:tc>
          <w:tcPr>
            <w:tcW w:w="2337" w:type="dxa"/>
          </w:tcPr>
          <w:p w14:paraId="1F0930EB" w14:textId="0489A1AC" w:rsidR="00044391" w:rsidRPr="00044391" w:rsidRDefault="00044391" w:rsidP="00044391">
            <w:r w:rsidRPr="00044391">
              <w:t xml:space="preserve">Лекарствен продукт/Доза </w:t>
            </w:r>
            <w:r w:rsidRPr="00044391">
              <w:rPr>
                <w:lang w:val="en-US"/>
              </w:rPr>
              <w:t>(mg)</w:t>
            </w:r>
          </w:p>
        </w:tc>
        <w:tc>
          <w:tcPr>
            <w:tcW w:w="2338" w:type="dxa"/>
          </w:tcPr>
          <w:p w14:paraId="3EA66A22" w14:textId="2F0BF444" w:rsidR="00044391" w:rsidRPr="00044391" w:rsidRDefault="00044391" w:rsidP="00044391">
            <w:r w:rsidRPr="00044391">
              <w:t xml:space="preserve">Съотношение </w:t>
            </w:r>
            <w:r w:rsidRPr="00044391">
              <w:rPr>
                <w:rFonts w:cs="Arial"/>
                <w:i/>
                <w:iCs/>
              </w:rPr>
              <w:t xml:space="preserve">&amp; </w:t>
            </w:r>
            <w:r w:rsidRPr="00044391">
              <w:t xml:space="preserve">на </w:t>
            </w:r>
            <w:r w:rsidRPr="00044391">
              <w:rPr>
                <w:lang w:val="en-US"/>
              </w:rPr>
              <w:t>AUC</w:t>
            </w:r>
          </w:p>
        </w:tc>
        <w:tc>
          <w:tcPr>
            <w:tcW w:w="2338" w:type="dxa"/>
          </w:tcPr>
          <w:p w14:paraId="11426E20" w14:textId="78A691B1" w:rsidR="00044391" w:rsidRPr="00044391" w:rsidRDefault="00044391" w:rsidP="00044391">
            <w:r w:rsidRPr="00044391">
              <w:t>Клинични препоръки</w:t>
            </w:r>
          </w:p>
        </w:tc>
      </w:tr>
      <w:tr w:rsidR="00044391" w14:paraId="519C6485" w14:textId="77777777" w:rsidTr="00044391">
        <w:tc>
          <w:tcPr>
            <w:tcW w:w="2337" w:type="dxa"/>
          </w:tcPr>
          <w:p w14:paraId="34117334" w14:textId="034D83D9" w:rsidR="00044391" w:rsidRPr="00044391" w:rsidRDefault="00044391" w:rsidP="00044391">
            <w:pPr>
              <w:rPr>
                <w:rFonts w:cs="Arial"/>
              </w:rPr>
            </w:pPr>
            <w:r w:rsidRPr="00044391">
              <w:rPr>
                <w:rFonts w:cs="Arial"/>
              </w:rPr>
              <w:t xml:space="preserve">80 </w:t>
            </w:r>
            <w:r w:rsidRPr="00044391">
              <w:rPr>
                <w:rFonts w:cs="Arial"/>
                <w:lang w:val="en-US"/>
              </w:rPr>
              <w:t xml:space="preserve">mg </w:t>
            </w:r>
            <w:r w:rsidRPr="00044391">
              <w:rPr>
                <w:rFonts w:cs="Arial"/>
              </w:rPr>
              <w:t>веднъж дневно за 10 дни</w:t>
            </w:r>
          </w:p>
        </w:tc>
        <w:tc>
          <w:tcPr>
            <w:tcW w:w="2337" w:type="dxa"/>
          </w:tcPr>
          <w:p w14:paraId="1C7D6823" w14:textId="4FC7D454" w:rsidR="00044391" w:rsidRPr="00044391" w:rsidRDefault="00044391" w:rsidP="00044391">
            <w:pPr>
              <w:rPr>
                <w:rFonts w:cs="Arial"/>
              </w:rPr>
            </w:pPr>
            <w:r w:rsidRPr="00044391">
              <w:rPr>
                <w:rFonts w:cs="Arial"/>
              </w:rPr>
              <w:t xml:space="preserve">Дигоксин 0,25 </w:t>
            </w:r>
            <w:r w:rsidRPr="00044391">
              <w:rPr>
                <w:rFonts w:cs="Arial"/>
                <w:lang w:val="en-US"/>
              </w:rPr>
              <w:t xml:space="preserve">mg </w:t>
            </w:r>
            <w:r w:rsidRPr="00044391">
              <w:rPr>
                <w:rFonts w:cs="Arial"/>
              </w:rPr>
              <w:t>веднъж дневно, 20 ДНИ</w:t>
            </w:r>
          </w:p>
        </w:tc>
        <w:tc>
          <w:tcPr>
            <w:tcW w:w="2338" w:type="dxa"/>
          </w:tcPr>
          <w:p w14:paraId="1210BCD1" w14:textId="402972B5" w:rsidR="00044391" w:rsidRPr="00044391" w:rsidRDefault="00044391" w:rsidP="00044391">
            <w:pPr>
              <w:rPr>
                <w:rFonts w:cs="Arial"/>
              </w:rPr>
            </w:pPr>
            <w:r w:rsidRPr="00044391">
              <w:rPr>
                <w:rFonts w:cs="Arial"/>
              </w:rPr>
              <w:t>1,15</w:t>
            </w:r>
          </w:p>
        </w:tc>
        <w:tc>
          <w:tcPr>
            <w:tcW w:w="2338" w:type="dxa"/>
          </w:tcPr>
          <w:p w14:paraId="272856F3" w14:textId="11227295" w:rsidR="00044391" w:rsidRPr="00044391" w:rsidRDefault="00044391" w:rsidP="00044391">
            <w:pPr>
              <w:rPr>
                <w:rFonts w:cs="Arial"/>
              </w:rPr>
            </w:pPr>
            <w:r w:rsidRPr="00044391">
              <w:rPr>
                <w:rFonts w:cs="Arial"/>
              </w:rPr>
              <w:t>Пациенти приемащи дигоксин трябва да бъдат внимателно проследявани.</w:t>
            </w:r>
          </w:p>
        </w:tc>
      </w:tr>
      <w:tr w:rsidR="00044391" w14:paraId="0FF8EA64" w14:textId="77777777" w:rsidTr="00044391">
        <w:tc>
          <w:tcPr>
            <w:tcW w:w="2337" w:type="dxa"/>
          </w:tcPr>
          <w:p w14:paraId="77C91DA7" w14:textId="71927606" w:rsidR="00044391" w:rsidRPr="00044391" w:rsidRDefault="00044391" w:rsidP="00044391">
            <w:pPr>
              <w:rPr>
                <w:rFonts w:cs="Arial"/>
              </w:rPr>
            </w:pPr>
            <w:r w:rsidRPr="00044391">
              <w:rPr>
                <w:rFonts w:cs="Arial"/>
              </w:rPr>
              <w:t xml:space="preserve">40 </w:t>
            </w:r>
            <w:r w:rsidRPr="00044391">
              <w:rPr>
                <w:rFonts w:cs="Arial"/>
                <w:lang w:val="en-US"/>
              </w:rPr>
              <w:t xml:space="preserve">mg </w:t>
            </w:r>
            <w:r w:rsidRPr="00044391">
              <w:rPr>
                <w:rFonts w:cs="Arial"/>
              </w:rPr>
              <w:t>веднъж дневно за 22 дни</w:t>
            </w:r>
          </w:p>
        </w:tc>
        <w:tc>
          <w:tcPr>
            <w:tcW w:w="2337" w:type="dxa"/>
          </w:tcPr>
          <w:p w14:paraId="1AC6B15A" w14:textId="77777777" w:rsidR="00044391" w:rsidRPr="00044391" w:rsidRDefault="00044391" w:rsidP="00044391">
            <w:pPr>
              <w:rPr>
                <w:rFonts w:cs="Arial"/>
              </w:rPr>
            </w:pPr>
            <w:r w:rsidRPr="00044391">
              <w:rPr>
                <w:rFonts w:cs="Arial"/>
              </w:rPr>
              <w:t>Перорални контрацептиви веднъж дневно, 2 месеца</w:t>
            </w:r>
          </w:p>
          <w:p w14:paraId="538E9632" w14:textId="0230E52E" w:rsidR="00044391" w:rsidRPr="00176409" w:rsidRDefault="00044391" w:rsidP="00176409">
            <w:pPr>
              <w:pStyle w:val="ListParagraph"/>
              <w:numPr>
                <w:ilvl w:val="0"/>
                <w:numId w:val="2"/>
              </w:numPr>
              <w:spacing w:line="240" w:lineRule="auto"/>
              <w:rPr>
                <w:rFonts w:cs="Arial"/>
              </w:rPr>
            </w:pPr>
            <w:r w:rsidRPr="00176409">
              <w:rPr>
                <w:rFonts w:cs="Arial"/>
              </w:rPr>
              <w:t xml:space="preserve">норетиндрон 1 </w:t>
            </w:r>
            <w:r w:rsidRPr="00176409">
              <w:rPr>
                <w:rFonts w:cs="Arial"/>
                <w:lang w:val="en-US"/>
              </w:rPr>
              <w:t>mg</w:t>
            </w:r>
          </w:p>
          <w:p w14:paraId="7983799D" w14:textId="2024E777" w:rsidR="00044391" w:rsidRPr="00176409" w:rsidRDefault="00044391" w:rsidP="00176409">
            <w:pPr>
              <w:pStyle w:val="ListParagraph"/>
              <w:numPr>
                <w:ilvl w:val="0"/>
                <w:numId w:val="2"/>
              </w:numPr>
              <w:rPr>
                <w:rFonts w:cs="Arial"/>
              </w:rPr>
            </w:pPr>
            <w:r w:rsidRPr="00176409">
              <w:rPr>
                <w:rFonts w:cs="Arial"/>
              </w:rPr>
              <w:t>етинилестрадиол 35 μ</w:t>
            </w:r>
            <w:r w:rsidRPr="00176409">
              <w:rPr>
                <w:rFonts w:cs="Arial"/>
                <w:lang w:val="en-US"/>
              </w:rPr>
              <w:t>g</w:t>
            </w:r>
          </w:p>
        </w:tc>
        <w:tc>
          <w:tcPr>
            <w:tcW w:w="2338" w:type="dxa"/>
          </w:tcPr>
          <w:p w14:paraId="42D077E7" w14:textId="77777777" w:rsidR="00044391" w:rsidRPr="00044391" w:rsidRDefault="00044391" w:rsidP="00044391">
            <w:pPr>
              <w:rPr>
                <w:rFonts w:cs="Arial"/>
              </w:rPr>
            </w:pPr>
            <w:r w:rsidRPr="00044391">
              <w:rPr>
                <w:rFonts w:cs="Arial"/>
              </w:rPr>
              <w:t>1,28</w:t>
            </w:r>
          </w:p>
          <w:p w14:paraId="43DD763E" w14:textId="5294B12F" w:rsidR="00044391" w:rsidRPr="00044391" w:rsidRDefault="00044391" w:rsidP="00044391">
            <w:pPr>
              <w:rPr>
                <w:rFonts w:cs="Arial"/>
              </w:rPr>
            </w:pPr>
            <w:r w:rsidRPr="00044391">
              <w:rPr>
                <w:rFonts w:cs="Arial"/>
              </w:rPr>
              <w:t>1,19</w:t>
            </w:r>
          </w:p>
        </w:tc>
        <w:tc>
          <w:tcPr>
            <w:tcW w:w="2338" w:type="dxa"/>
          </w:tcPr>
          <w:p w14:paraId="220E0C41" w14:textId="2D5E30DE" w:rsidR="00044391" w:rsidRPr="00044391" w:rsidRDefault="00044391" w:rsidP="00044391">
            <w:pPr>
              <w:rPr>
                <w:rFonts w:cs="Arial"/>
              </w:rPr>
            </w:pPr>
            <w:r w:rsidRPr="00044391">
              <w:rPr>
                <w:rFonts w:cs="Arial"/>
              </w:rPr>
              <w:t>Няма специални препоръки.</w:t>
            </w:r>
          </w:p>
        </w:tc>
      </w:tr>
      <w:tr w:rsidR="00044391" w14:paraId="2E23C797" w14:textId="77777777" w:rsidTr="00044391">
        <w:tc>
          <w:tcPr>
            <w:tcW w:w="2337" w:type="dxa"/>
          </w:tcPr>
          <w:p w14:paraId="5B44AA76" w14:textId="1FC9C611" w:rsidR="00044391" w:rsidRPr="00044391" w:rsidRDefault="00044391" w:rsidP="00044391">
            <w:pPr>
              <w:rPr>
                <w:rFonts w:cs="Arial"/>
              </w:rPr>
            </w:pPr>
            <w:r w:rsidRPr="00044391">
              <w:rPr>
                <w:rFonts w:cs="Arial"/>
              </w:rPr>
              <w:t xml:space="preserve">80 </w:t>
            </w:r>
            <w:r w:rsidRPr="00044391">
              <w:rPr>
                <w:rFonts w:cs="Arial"/>
                <w:lang w:val="en-US"/>
              </w:rPr>
              <w:t xml:space="preserve">mg </w:t>
            </w:r>
            <w:r w:rsidR="00D819AC">
              <w:rPr>
                <w:rFonts w:cs="Arial"/>
              </w:rPr>
              <w:t xml:space="preserve">веднъж дневно за 15 </w:t>
            </w:r>
            <w:r w:rsidR="00D819AC" w:rsidRPr="00D819AC">
              <w:rPr>
                <w:rFonts w:cs="Arial"/>
                <w:bCs/>
              </w:rPr>
              <w:t>дни</w:t>
            </w:r>
          </w:p>
        </w:tc>
        <w:tc>
          <w:tcPr>
            <w:tcW w:w="2337" w:type="dxa"/>
          </w:tcPr>
          <w:p w14:paraId="744C4A2E" w14:textId="3DB4A255" w:rsidR="00044391" w:rsidRPr="00044391" w:rsidRDefault="00044391" w:rsidP="00044391">
            <w:pPr>
              <w:rPr>
                <w:rFonts w:cs="Arial"/>
              </w:rPr>
            </w:pPr>
            <w:r w:rsidRPr="00044391">
              <w:rPr>
                <w:rFonts w:cs="Arial"/>
              </w:rPr>
              <w:t xml:space="preserve">* Феназон, 600 </w:t>
            </w:r>
            <w:r w:rsidRPr="00044391">
              <w:rPr>
                <w:rFonts w:cs="Arial"/>
                <w:lang w:val="en-US"/>
              </w:rPr>
              <w:t xml:space="preserve">mg </w:t>
            </w:r>
            <w:r w:rsidRPr="00044391">
              <w:rPr>
                <w:rFonts w:cs="Arial"/>
              </w:rPr>
              <w:t>еднократна доза*</w:t>
            </w:r>
          </w:p>
        </w:tc>
        <w:tc>
          <w:tcPr>
            <w:tcW w:w="2338" w:type="dxa"/>
          </w:tcPr>
          <w:p w14:paraId="2DC6B455" w14:textId="55C46D92" w:rsidR="00044391" w:rsidRPr="00044391" w:rsidRDefault="00044391" w:rsidP="00044391">
            <w:pPr>
              <w:rPr>
                <w:rFonts w:cs="Arial"/>
              </w:rPr>
            </w:pPr>
            <w:r w:rsidRPr="00044391">
              <w:rPr>
                <w:rFonts w:cs="Arial"/>
              </w:rPr>
              <w:t>1,03</w:t>
            </w:r>
          </w:p>
        </w:tc>
        <w:tc>
          <w:tcPr>
            <w:tcW w:w="2338" w:type="dxa"/>
          </w:tcPr>
          <w:p w14:paraId="3B00F0D4" w14:textId="6BAC59F2" w:rsidR="00044391" w:rsidRPr="00044391" w:rsidRDefault="00044391" w:rsidP="00044391">
            <w:pPr>
              <w:rPr>
                <w:rFonts w:cs="Arial"/>
              </w:rPr>
            </w:pPr>
            <w:r w:rsidRPr="00044391">
              <w:rPr>
                <w:rFonts w:cs="Arial"/>
              </w:rPr>
              <w:t>Няма специални препоръки</w:t>
            </w:r>
          </w:p>
        </w:tc>
      </w:tr>
      <w:tr w:rsidR="00044391" w14:paraId="2585EFD4" w14:textId="77777777" w:rsidTr="00044391">
        <w:tc>
          <w:tcPr>
            <w:tcW w:w="2337" w:type="dxa"/>
          </w:tcPr>
          <w:p w14:paraId="2DACA5C7" w14:textId="4E0385EF" w:rsidR="00044391" w:rsidRPr="00044391" w:rsidRDefault="00044391" w:rsidP="00044391">
            <w:pPr>
              <w:rPr>
                <w:rFonts w:cs="Arial"/>
              </w:rPr>
            </w:pPr>
            <w:r w:rsidRPr="00044391">
              <w:rPr>
                <w:rFonts w:cs="Arial"/>
              </w:rPr>
              <w:t xml:space="preserve">10 </w:t>
            </w:r>
            <w:r w:rsidRPr="00044391">
              <w:rPr>
                <w:rFonts w:cs="Arial"/>
                <w:lang w:val="en-US"/>
              </w:rPr>
              <w:t xml:space="preserve">mg </w:t>
            </w:r>
            <w:r w:rsidRPr="00044391">
              <w:rPr>
                <w:rFonts w:cs="Arial"/>
              </w:rPr>
              <w:t>еднократна доза</w:t>
            </w:r>
          </w:p>
        </w:tc>
        <w:tc>
          <w:tcPr>
            <w:tcW w:w="2337" w:type="dxa"/>
          </w:tcPr>
          <w:p w14:paraId="5360866E" w14:textId="783606C0" w:rsidR="00044391" w:rsidRPr="00044391" w:rsidRDefault="00044391" w:rsidP="00044391">
            <w:pPr>
              <w:rPr>
                <w:rFonts w:cs="Arial"/>
              </w:rPr>
            </w:pPr>
            <w:r w:rsidRPr="00044391">
              <w:rPr>
                <w:rFonts w:cs="Arial"/>
              </w:rPr>
              <w:t xml:space="preserve">Типранавир 500 </w:t>
            </w:r>
            <w:r w:rsidRPr="00044391">
              <w:rPr>
                <w:rFonts w:cs="Arial"/>
                <w:lang w:val="en-US"/>
              </w:rPr>
              <w:t xml:space="preserve">mg </w:t>
            </w:r>
            <w:r w:rsidRPr="00044391">
              <w:rPr>
                <w:rFonts w:cs="Arial"/>
              </w:rPr>
              <w:t xml:space="preserve">два пъти дневно/ Ритонавир 200 </w:t>
            </w:r>
            <w:r w:rsidRPr="00044391">
              <w:rPr>
                <w:rFonts w:cs="Arial"/>
                <w:lang w:val="en-US"/>
              </w:rPr>
              <w:t xml:space="preserve">mg </w:t>
            </w:r>
            <w:r w:rsidRPr="00044391">
              <w:rPr>
                <w:rFonts w:cs="Arial"/>
              </w:rPr>
              <w:t>два пъти дневно, 7 дни</w:t>
            </w:r>
          </w:p>
        </w:tc>
        <w:tc>
          <w:tcPr>
            <w:tcW w:w="2338" w:type="dxa"/>
          </w:tcPr>
          <w:p w14:paraId="3911FA36" w14:textId="4BADE74A" w:rsidR="00044391" w:rsidRPr="00044391" w:rsidRDefault="00044391" w:rsidP="00044391">
            <w:pPr>
              <w:rPr>
                <w:rFonts w:cs="Arial"/>
              </w:rPr>
            </w:pPr>
            <w:r w:rsidRPr="00044391">
              <w:rPr>
                <w:rFonts w:cs="Arial"/>
              </w:rPr>
              <w:t>1,08</w:t>
            </w:r>
          </w:p>
        </w:tc>
        <w:tc>
          <w:tcPr>
            <w:tcW w:w="2338" w:type="dxa"/>
          </w:tcPr>
          <w:p w14:paraId="01B8B1B4" w14:textId="698EDF51" w:rsidR="00044391" w:rsidRPr="00044391" w:rsidRDefault="00044391" w:rsidP="00044391">
            <w:pPr>
              <w:rPr>
                <w:rFonts w:cs="Arial"/>
              </w:rPr>
            </w:pPr>
            <w:r w:rsidRPr="00044391">
              <w:rPr>
                <w:rFonts w:cs="Arial"/>
              </w:rPr>
              <w:t>Няма специални препоръки</w:t>
            </w:r>
          </w:p>
        </w:tc>
      </w:tr>
      <w:tr w:rsidR="00044391" w14:paraId="3FC47851" w14:textId="77777777" w:rsidTr="00044391">
        <w:tc>
          <w:tcPr>
            <w:tcW w:w="2337" w:type="dxa"/>
          </w:tcPr>
          <w:p w14:paraId="1E4E5CA8" w14:textId="291A13AC" w:rsidR="00044391" w:rsidRPr="00044391" w:rsidRDefault="00044391" w:rsidP="00044391">
            <w:pPr>
              <w:rPr>
                <w:rFonts w:cs="Arial"/>
              </w:rPr>
            </w:pPr>
            <w:r w:rsidRPr="00044391">
              <w:rPr>
                <w:rFonts w:cs="Arial"/>
              </w:rPr>
              <w:t xml:space="preserve">10 </w:t>
            </w:r>
            <w:r w:rsidRPr="00044391">
              <w:rPr>
                <w:rFonts w:cs="Arial"/>
                <w:lang w:val="en-US"/>
              </w:rPr>
              <w:t xml:space="preserve">mg </w:t>
            </w:r>
            <w:r w:rsidRPr="00044391">
              <w:rPr>
                <w:rFonts w:cs="Arial"/>
              </w:rPr>
              <w:t>веднъж дневно за 4 дни</w:t>
            </w:r>
          </w:p>
        </w:tc>
        <w:tc>
          <w:tcPr>
            <w:tcW w:w="2337" w:type="dxa"/>
          </w:tcPr>
          <w:p w14:paraId="3F454BD5" w14:textId="687180E1" w:rsidR="00044391" w:rsidRPr="00044391" w:rsidRDefault="00044391" w:rsidP="00044391">
            <w:pPr>
              <w:rPr>
                <w:rFonts w:cs="Arial"/>
              </w:rPr>
            </w:pPr>
            <w:r w:rsidRPr="00044391">
              <w:rPr>
                <w:rFonts w:cs="Arial"/>
              </w:rPr>
              <w:t xml:space="preserve">Фозампреиавир 1400 </w:t>
            </w:r>
            <w:r w:rsidRPr="00044391">
              <w:rPr>
                <w:rFonts w:cs="Arial"/>
                <w:lang w:val="en-US"/>
              </w:rPr>
              <w:t xml:space="preserve">mg </w:t>
            </w:r>
            <w:r w:rsidRPr="00044391">
              <w:rPr>
                <w:rFonts w:cs="Arial"/>
              </w:rPr>
              <w:t>два пъти дневно, 14 дни</w:t>
            </w:r>
          </w:p>
        </w:tc>
        <w:tc>
          <w:tcPr>
            <w:tcW w:w="2338" w:type="dxa"/>
          </w:tcPr>
          <w:p w14:paraId="607B0A10" w14:textId="656A17F2" w:rsidR="00044391" w:rsidRPr="00044391" w:rsidRDefault="00044391" w:rsidP="00044391">
            <w:pPr>
              <w:rPr>
                <w:rFonts w:cs="Arial"/>
              </w:rPr>
            </w:pPr>
            <w:r w:rsidRPr="00044391">
              <w:rPr>
                <w:rFonts w:cs="Arial"/>
              </w:rPr>
              <w:t>0,73</w:t>
            </w:r>
          </w:p>
        </w:tc>
        <w:tc>
          <w:tcPr>
            <w:tcW w:w="2338" w:type="dxa"/>
          </w:tcPr>
          <w:p w14:paraId="6B3DDFED" w14:textId="32258172" w:rsidR="00044391" w:rsidRPr="00044391" w:rsidRDefault="00044391" w:rsidP="00044391">
            <w:pPr>
              <w:rPr>
                <w:rFonts w:cs="Arial"/>
              </w:rPr>
            </w:pPr>
            <w:r w:rsidRPr="00044391">
              <w:rPr>
                <w:rFonts w:cs="Arial"/>
              </w:rPr>
              <w:t>Няма специални препоръки</w:t>
            </w:r>
          </w:p>
        </w:tc>
      </w:tr>
      <w:tr w:rsidR="00044391" w14:paraId="10492928" w14:textId="77777777" w:rsidTr="00044391">
        <w:tc>
          <w:tcPr>
            <w:tcW w:w="2337" w:type="dxa"/>
          </w:tcPr>
          <w:p w14:paraId="6F488095" w14:textId="63E3C6C8" w:rsidR="00044391" w:rsidRPr="00044391" w:rsidRDefault="00044391" w:rsidP="00044391">
            <w:pPr>
              <w:rPr>
                <w:rFonts w:cs="Arial"/>
              </w:rPr>
            </w:pPr>
            <w:r w:rsidRPr="00044391">
              <w:rPr>
                <w:rFonts w:cs="Arial"/>
              </w:rPr>
              <w:t xml:space="preserve">10 </w:t>
            </w:r>
            <w:r w:rsidRPr="00044391">
              <w:rPr>
                <w:rFonts w:cs="Arial"/>
                <w:lang w:val="en-US"/>
              </w:rPr>
              <w:t xml:space="preserve">mg </w:t>
            </w:r>
            <w:r w:rsidRPr="00044391">
              <w:rPr>
                <w:rFonts w:cs="Arial"/>
              </w:rPr>
              <w:t>веднъж дневно за 4 дни</w:t>
            </w:r>
          </w:p>
        </w:tc>
        <w:tc>
          <w:tcPr>
            <w:tcW w:w="2337" w:type="dxa"/>
          </w:tcPr>
          <w:p w14:paraId="4B79C712" w14:textId="344DD4BA" w:rsidR="00044391" w:rsidRPr="00044391" w:rsidRDefault="00044391" w:rsidP="00044391">
            <w:pPr>
              <w:rPr>
                <w:rFonts w:cs="Arial"/>
              </w:rPr>
            </w:pPr>
            <w:r w:rsidRPr="00044391">
              <w:rPr>
                <w:rFonts w:cs="Arial"/>
              </w:rPr>
              <w:t xml:space="preserve">Фозампреиавир 700 </w:t>
            </w:r>
            <w:r w:rsidRPr="00044391">
              <w:rPr>
                <w:rFonts w:cs="Arial"/>
                <w:lang w:val="en-US"/>
              </w:rPr>
              <w:t xml:space="preserve">mg </w:t>
            </w:r>
            <w:r w:rsidRPr="00044391">
              <w:rPr>
                <w:rFonts w:cs="Arial"/>
              </w:rPr>
              <w:t xml:space="preserve">два пъти дневно/ Ритонавир 100 </w:t>
            </w:r>
            <w:r w:rsidRPr="00044391">
              <w:rPr>
                <w:rFonts w:cs="Arial"/>
                <w:lang w:val="en-US"/>
              </w:rPr>
              <w:t xml:space="preserve">mg </w:t>
            </w:r>
            <w:r w:rsidRPr="00044391">
              <w:rPr>
                <w:rFonts w:cs="Arial"/>
              </w:rPr>
              <w:t>два пъти дневно, 14 дни</w:t>
            </w:r>
          </w:p>
        </w:tc>
        <w:tc>
          <w:tcPr>
            <w:tcW w:w="2338" w:type="dxa"/>
          </w:tcPr>
          <w:p w14:paraId="19D6C998" w14:textId="28E6B6E4" w:rsidR="00044391" w:rsidRPr="00044391" w:rsidRDefault="00044391" w:rsidP="00044391">
            <w:pPr>
              <w:rPr>
                <w:rFonts w:cs="Arial"/>
              </w:rPr>
            </w:pPr>
            <w:r w:rsidRPr="00044391">
              <w:rPr>
                <w:rFonts w:cs="Arial"/>
              </w:rPr>
              <w:t>0,99</w:t>
            </w:r>
          </w:p>
        </w:tc>
        <w:tc>
          <w:tcPr>
            <w:tcW w:w="2338" w:type="dxa"/>
          </w:tcPr>
          <w:p w14:paraId="60008DB4" w14:textId="36032212" w:rsidR="00044391" w:rsidRPr="00044391" w:rsidRDefault="00044391" w:rsidP="00044391">
            <w:pPr>
              <w:rPr>
                <w:rFonts w:cs="Arial"/>
              </w:rPr>
            </w:pPr>
            <w:r w:rsidRPr="00044391">
              <w:rPr>
                <w:rFonts w:cs="Arial"/>
              </w:rPr>
              <w:t>Няма специални препоръки</w:t>
            </w:r>
          </w:p>
        </w:tc>
      </w:tr>
    </w:tbl>
    <w:p w14:paraId="214D458B"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i/>
          <w:iCs/>
          <w:color w:val="000000"/>
          <w:szCs w:val="20"/>
          <w:lang w:eastAsia="bg-BG"/>
        </w:rPr>
        <w:t>&amp;</w:t>
      </w:r>
    </w:p>
    <w:p w14:paraId="15CFE9D8" w14:textId="77777777" w:rsidR="00044391" w:rsidRPr="00044391" w:rsidRDefault="00044391" w:rsidP="00044391">
      <w:pPr>
        <w:spacing w:line="240" w:lineRule="auto"/>
        <w:rPr>
          <w:rFonts w:eastAsia="Times New Roman" w:cs="Arial"/>
          <w:color w:val="000000"/>
          <w:szCs w:val="20"/>
          <w:lang w:eastAsia="bg-BG"/>
        </w:rPr>
      </w:pPr>
    </w:p>
    <w:p w14:paraId="2C719D65" w14:textId="50ACF215"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lastRenderedPageBreak/>
        <w:t>Представлява съотношение между леченията (лекарствен продукт, прилаган едновременно с аторвастатин, спрямо самостоятелно приложение на аторвастатин).</w:t>
      </w:r>
    </w:p>
    <w:p w14:paraId="2558858C" w14:textId="77777777" w:rsidR="00044391" w:rsidRPr="00044391" w:rsidRDefault="00044391" w:rsidP="00044391">
      <w:pPr>
        <w:spacing w:line="240" w:lineRule="auto"/>
        <w:rPr>
          <w:rFonts w:eastAsia="Times New Roman" w:cs="Arial"/>
          <w:color w:val="000000"/>
          <w:szCs w:val="20"/>
          <w:lang w:eastAsia="bg-BG"/>
        </w:rPr>
      </w:pPr>
    </w:p>
    <w:p w14:paraId="1DAFF280" w14:textId="644AD19E"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Едновременното прилагане на многократни дози аторвастатин и феназон показват малък или недоловим ефект върху клирънса на феназон.</w:t>
      </w:r>
    </w:p>
    <w:p w14:paraId="01F6E4E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val="en-US"/>
        </w:rPr>
        <w:t xml:space="preserve">OD </w:t>
      </w:r>
      <w:r w:rsidRPr="00044391">
        <w:rPr>
          <w:rFonts w:eastAsia="Times New Roman" w:cs="Arial"/>
          <w:color w:val="000000"/>
          <w:szCs w:val="20"/>
          <w:lang w:eastAsia="bg-BG"/>
        </w:rPr>
        <w:t xml:space="preserve">=веднъж дневно, </w:t>
      </w:r>
      <w:r w:rsidRPr="00044391">
        <w:rPr>
          <w:rFonts w:eastAsia="Times New Roman" w:cs="Arial"/>
          <w:color w:val="000000"/>
          <w:szCs w:val="20"/>
          <w:lang w:val="en-US"/>
        </w:rPr>
        <w:t xml:space="preserve">SD </w:t>
      </w:r>
      <w:r w:rsidRPr="00044391">
        <w:rPr>
          <w:rFonts w:eastAsia="Times New Roman" w:cs="Arial"/>
          <w:color w:val="000000"/>
          <w:szCs w:val="20"/>
          <w:lang w:eastAsia="bg-BG"/>
        </w:rPr>
        <w:t xml:space="preserve">= еднократна доза; </w:t>
      </w:r>
      <w:r w:rsidRPr="00044391">
        <w:rPr>
          <w:rFonts w:eastAsia="Times New Roman" w:cs="Arial"/>
          <w:color w:val="000000"/>
          <w:szCs w:val="20"/>
          <w:lang w:val="en-US"/>
        </w:rPr>
        <w:t xml:space="preserve">BID </w:t>
      </w:r>
      <w:r w:rsidRPr="00044391">
        <w:rPr>
          <w:rFonts w:eastAsia="Times New Roman" w:cs="Arial"/>
          <w:color w:val="000000"/>
          <w:szCs w:val="20"/>
          <w:lang w:eastAsia="bg-BG"/>
        </w:rPr>
        <w:t>= два пъти дневно.</w:t>
      </w:r>
    </w:p>
    <w:p w14:paraId="62256683" w14:textId="77777777" w:rsidR="00044391" w:rsidRPr="00044391" w:rsidRDefault="00044391" w:rsidP="00044391">
      <w:pPr>
        <w:spacing w:line="240" w:lineRule="auto"/>
        <w:rPr>
          <w:rFonts w:eastAsia="Times New Roman" w:cs="Arial"/>
          <w:color w:val="000000"/>
          <w:szCs w:val="20"/>
          <w:u w:val="single"/>
          <w:lang w:eastAsia="bg-BG"/>
        </w:rPr>
      </w:pPr>
    </w:p>
    <w:p w14:paraId="77B93C6C" w14:textId="50081BF5"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Педиатрична популация</w:t>
      </w:r>
    </w:p>
    <w:p w14:paraId="0D9215BD" w14:textId="77777777" w:rsidR="00044391" w:rsidRPr="00044391" w:rsidRDefault="00044391" w:rsidP="00044391">
      <w:pPr>
        <w:rPr>
          <w:rFonts w:eastAsia="Times New Roman" w:cs="Arial"/>
          <w:color w:val="000000"/>
          <w:szCs w:val="20"/>
          <w:lang w:eastAsia="bg-BG"/>
        </w:rPr>
      </w:pPr>
    </w:p>
    <w:p w14:paraId="7CC4C853" w14:textId="3858BCDE" w:rsidR="00E84751" w:rsidRPr="00044391" w:rsidRDefault="00044391" w:rsidP="00044391">
      <w:pPr>
        <w:rPr>
          <w:rFonts w:eastAsia="Times New Roman" w:cs="Arial"/>
          <w:color w:val="000000"/>
          <w:szCs w:val="20"/>
          <w:lang w:eastAsia="bg-BG"/>
        </w:rPr>
      </w:pPr>
      <w:r w:rsidRPr="00044391">
        <w:rPr>
          <w:rFonts w:eastAsia="Times New Roman" w:cs="Arial"/>
          <w:color w:val="000000"/>
          <w:szCs w:val="20"/>
          <w:lang w:eastAsia="bg-BG"/>
        </w:rPr>
        <w:t>Проучвания върху лекарствените взаимодействия са извършени единствено при възрастни.(вж. точка 4.8) Степента на взаимодействие в педиатричната популация не е известна. Трябва да се имат предвид гореспоменатите взаимодействия при възрастни и предупрежденията в точка 4.4 при приложение в педиатричната популация.</w:t>
      </w:r>
    </w:p>
    <w:p w14:paraId="3F5255E2" w14:textId="77777777" w:rsidR="00044391" w:rsidRPr="007A3158" w:rsidRDefault="00044391" w:rsidP="00044391"/>
    <w:p w14:paraId="394A7584" w14:textId="5AF87774" w:rsidR="004F498A" w:rsidRDefault="002C50EE" w:rsidP="004A448E">
      <w:pPr>
        <w:pStyle w:val="Heading2"/>
      </w:pPr>
      <w:r>
        <w:t>4.6. Фертилитет, бременност и кърмене</w:t>
      </w:r>
    </w:p>
    <w:p w14:paraId="090B93FB" w14:textId="1C38BACF" w:rsidR="00044391" w:rsidRDefault="00044391" w:rsidP="00044391"/>
    <w:p w14:paraId="1031FEE1"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Жени с детероден потенциал</w:t>
      </w:r>
    </w:p>
    <w:p w14:paraId="690BC4B1" w14:textId="77777777" w:rsidR="00044391" w:rsidRPr="00044391" w:rsidRDefault="00044391" w:rsidP="00044391">
      <w:pPr>
        <w:spacing w:line="240" w:lineRule="auto"/>
        <w:rPr>
          <w:rFonts w:eastAsia="Times New Roman" w:cs="Arial"/>
          <w:sz w:val="28"/>
          <w:szCs w:val="24"/>
          <w:lang w:eastAsia="bg-BG"/>
        </w:rPr>
      </w:pPr>
    </w:p>
    <w:p w14:paraId="0385BB0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Жените с детероден потенциал трябва да използват ефективна контрацепция по време на  лечението (вж. точка 4.3).</w:t>
      </w:r>
    </w:p>
    <w:p w14:paraId="3CE7D98A" w14:textId="77777777" w:rsidR="00044391" w:rsidRPr="00044391" w:rsidRDefault="00044391" w:rsidP="00044391">
      <w:pPr>
        <w:rPr>
          <w:rFonts w:eastAsia="Times New Roman" w:cs="Arial"/>
          <w:color w:val="000000"/>
          <w:szCs w:val="20"/>
          <w:u w:val="single"/>
          <w:lang w:eastAsia="bg-BG"/>
        </w:rPr>
      </w:pPr>
    </w:p>
    <w:p w14:paraId="47635AA2" w14:textId="25915C99" w:rsidR="00044391" w:rsidRPr="00044391" w:rsidRDefault="00044391" w:rsidP="00044391">
      <w:pPr>
        <w:pStyle w:val="Heading3"/>
        <w:rPr>
          <w:rFonts w:eastAsia="Times New Roman"/>
          <w:u w:val="single"/>
          <w:lang w:eastAsia="bg-BG"/>
        </w:rPr>
      </w:pPr>
      <w:r w:rsidRPr="00044391">
        <w:rPr>
          <w:rFonts w:eastAsia="Times New Roman"/>
          <w:u w:val="single"/>
          <w:lang w:eastAsia="bg-BG"/>
        </w:rPr>
        <w:t>Бременност</w:t>
      </w:r>
    </w:p>
    <w:p w14:paraId="549A2EC6" w14:textId="3A014FED" w:rsidR="00044391" w:rsidRPr="00044391" w:rsidRDefault="00044391" w:rsidP="00044391">
      <w:pPr>
        <w:rPr>
          <w:rFonts w:eastAsia="Times New Roman" w:cs="Arial"/>
          <w:color w:val="000000"/>
          <w:szCs w:val="20"/>
          <w:u w:val="single"/>
          <w:lang w:eastAsia="bg-BG"/>
        </w:rPr>
      </w:pPr>
    </w:p>
    <w:p w14:paraId="69CD25AD"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Аторис е противопоказан по време на бременност (вж. точка 4.3). Безопасността при бременни жени не е установена. Не са провеждани контролирани клинични проучвания с аторвастатин при бременни жени. Рядко са получавани съобщения за вродени аномалии след интраутеринна експозиция на </w:t>
      </w:r>
      <w:r w:rsidRPr="00044391">
        <w:rPr>
          <w:rFonts w:eastAsia="Times New Roman" w:cs="Arial"/>
          <w:color w:val="000000"/>
          <w:szCs w:val="20"/>
          <w:lang w:val="en-US"/>
        </w:rPr>
        <w:t>HMG</w:t>
      </w:r>
      <w:r w:rsidRPr="00044391">
        <w:rPr>
          <w:rFonts w:eastAsia="Times New Roman" w:cs="Arial"/>
          <w:color w:val="000000"/>
          <w:szCs w:val="20"/>
          <w:lang w:eastAsia="bg-BG"/>
        </w:rPr>
        <w:t>-СоА-редуктазни инхибитори. Проучванията при животни показват репродуктивна токсичност (вж. точка 5.3).</w:t>
      </w:r>
    </w:p>
    <w:p w14:paraId="4241E607" w14:textId="77777777" w:rsidR="00044391" w:rsidRPr="00044391" w:rsidRDefault="00044391" w:rsidP="00044391">
      <w:pPr>
        <w:spacing w:line="240" w:lineRule="auto"/>
        <w:rPr>
          <w:rFonts w:eastAsia="Times New Roman" w:cs="Arial"/>
          <w:color w:val="000000"/>
          <w:szCs w:val="20"/>
          <w:lang w:eastAsia="bg-BG"/>
        </w:rPr>
      </w:pPr>
    </w:p>
    <w:p w14:paraId="7E2B4685" w14:textId="1FCACDB2"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Лечението на майката с аторвастатин може да понижи феталните нива на мевалонат, който е прекурсор на холестероловата биосинтеза. Атеросклерозата е хроничен процес и обикновено прекратяването на липидопонижаващия лекарствен продукт по време на бременност би трябвало да има малък ефект по отношение на дългосрочния риск, свързан с първичната хиперхолестеролемия.</w:t>
      </w:r>
    </w:p>
    <w:p w14:paraId="4602C355" w14:textId="77777777" w:rsidR="00044391" w:rsidRPr="00044391" w:rsidRDefault="00044391" w:rsidP="00044391">
      <w:pPr>
        <w:spacing w:line="240" w:lineRule="auto"/>
        <w:rPr>
          <w:rFonts w:eastAsia="Times New Roman" w:cs="Arial"/>
          <w:color w:val="000000"/>
          <w:szCs w:val="20"/>
          <w:lang w:eastAsia="bg-BG"/>
        </w:rPr>
      </w:pPr>
    </w:p>
    <w:p w14:paraId="5D3D5300" w14:textId="75227581"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По тези причини Аторис не трябва да се прилага при жени, които са бременни, опитват се да забременеят или подозират, че са бременни. Лечението с Аторис трябва да се преустанови за периода на бременността или докато се установи липса на бременност (вж. точка 4.3.)</w:t>
      </w:r>
    </w:p>
    <w:p w14:paraId="4107A46D" w14:textId="77777777" w:rsidR="00044391" w:rsidRPr="00044391" w:rsidRDefault="00044391" w:rsidP="00044391">
      <w:pPr>
        <w:spacing w:line="240" w:lineRule="auto"/>
        <w:rPr>
          <w:rFonts w:eastAsia="Times New Roman" w:cs="Arial"/>
          <w:color w:val="000000"/>
          <w:szCs w:val="20"/>
          <w:u w:val="single"/>
          <w:lang w:eastAsia="bg-BG"/>
        </w:rPr>
      </w:pPr>
    </w:p>
    <w:p w14:paraId="14A61C6A" w14:textId="730C7C40" w:rsidR="00044391" w:rsidRPr="00044391" w:rsidRDefault="00044391" w:rsidP="00044391">
      <w:pPr>
        <w:pStyle w:val="Heading3"/>
        <w:rPr>
          <w:rFonts w:eastAsia="Times New Roman"/>
          <w:sz w:val="28"/>
          <w:u w:val="single"/>
          <w:lang w:eastAsia="bg-BG"/>
        </w:rPr>
      </w:pPr>
      <w:r w:rsidRPr="00044391">
        <w:rPr>
          <w:rFonts w:eastAsia="Times New Roman"/>
          <w:u w:val="single"/>
          <w:lang w:eastAsia="bg-BG"/>
        </w:rPr>
        <w:t>Кърмене</w:t>
      </w:r>
    </w:p>
    <w:p w14:paraId="599FE788" w14:textId="77777777" w:rsidR="00044391" w:rsidRPr="00044391" w:rsidRDefault="00044391" w:rsidP="00044391">
      <w:pPr>
        <w:spacing w:line="240" w:lineRule="auto"/>
        <w:rPr>
          <w:rFonts w:eastAsia="Times New Roman" w:cs="Arial"/>
          <w:color w:val="000000"/>
          <w:szCs w:val="20"/>
          <w:lang w:eastAsia="bg-BG"/>
        </w:rPr>
      </w:pPr>
    </w:p>
    <w:p w14:paraId="439CDA2F" w14:textId="5D3BC921"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 е известно дали аторвастатин и неговите метаболити се екскретират в кърмата.</w:t>
      </w:r>
    </w:p>
    <w:p w14:paraId="736B2872"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При плъхове плазмената концентрация на аторвастатин и неговите активни метаболити е сходна с тази в кърмата.(вижте точка 5.3). Поради възможността за сериозни нежелани реакции, жените приемащи Аторис трябва да преустановят кърменето (вж. точка 4.3). Аторвастатин е противопоказан в периода на кърмене (вж. точка 4.3).</w:t>
      </w:r>
    </w:p>
    <w:p w14:paraId="28FF5C33" w14:textId="77777777" w:rsidR="00044391" w:rsidRPr="00044391" w:rsidRDefault="00044391" w:rsidP="00044391">
      <w:pPr>
        <w:spacing w:line="240" w:lineRule="auto"/>
        <w:rPr>
          <w:rFonts w:eastAsia="Times New Roman" w:cs="Arial"/>
          <w:color w:val="000000"/>
          <w:szCs w:val="20"/>
          <w:u w:val="single"/>
          <w:lang w:eastAsia="bg-BG"/>
        </w:rPr>
      </w:pPr>
    </w:p>
    <w:p w14:paraId="70FB826A" w14:textId="66821F80" w:rsidR="00044391" w:rsidRPr="00044391" w:rsidRDefault="00044391" w:rsidP="00044391">
      <w:pPr>
        <w:pStyle w:val="Heading3"/>
        <w:rPr>
          <w:rFonts w:eastAsia="Times New Roman"/>
          <w:sz w:val="28"/>
          <w:u w:val="single"/>
          <w:lang w:eastAsia="bg-BG"/>
        </w:rPr>
      </w:pPr>
      <w:r w:rsidRPr="00044391">
        <w:rPr>
          <w:rFonts w:eastAsia="Times New Roman"/>
          <w:u w:val="single"/>
          <w:lang w:eastAsia="bg-BG"/>
        </w:rPr>
        <w:lastRenderedPageBreak/>
        <w:t>Фертилитет</w:t>
      </w:r>
    </w:p>
    <w:p w14:paraId="55B20095" w14:textId="77777777" w:rsidR="00044391" w:rsidRPr="00044391" w:rsidRDefault="00044391" w:rsidP="00044391">
      <w:pPr>
        <w:rPr>
          <w:rFonts w:eastAsia="Times New Roman" w:cs="Arial"/>
          <w:color w:val="000000"/>
          <w:szCs w:val="20"/>
          <w:lang w:eastAsia="bg-BG"/>
        </w:rPr>
      </w:pPr>
    </w:p>
    <w:p w14:paraId="5F640373" w14:textId="28CD29EC" w:rsidR="00044391" w:rsidRPr="00044391" w:rsidRDefault="00044391" w:rsidP="00044391">
      <w:pPr>
        <w:rPr>
          <w:rFonts w:eastAsia="Times New Roman" w:cs="Arial"/>
          <w:color w:val="000000"/>
          <w:szCs w:val="20"/>
          <w:lang w:eastAsia="bg-BG"/>
        </w:rPr>
      </w:pPr>
      <w:r w:rsidRPr="00044391">
        <w:rPr>
          <w:rFonts w:eastAsia="Times New Roman" w:cs="Arial"/>
          <w:color w:val="000000"/>
          <w:szCs w:val="20"/>
          <w:lang w:eastAsia="bg-BG"/>
        </w:rPr>
        <w:t>Проучванията при животни не показват влияние на аторвастатин върху мъжкия или женския фертилитет (вж. точка 5.3).</w:t>
      </w:r>
    </w:p>
    <w:p w14:paraId="61CE1BBF" w14:textId="77777777" w:rsidR="00044391" w:rsidRPr="00044391" w:rsidRDefault="00044391" w:rsidP="00044391"/>
    <w:p w14:paraId="064DF1DE" w14:textId="68AD7D1F" w:rsidR="00CF77F7" w:rsidRDefault="002C50EE" w:rsidP="004A448E">
      <w:pPr>
        <w:pStyle w:val="Heading2"/>
      </w:pPr>
      <w:r>
        <w:t>4.7. Ефекти върху способността за шофиране и работа с машини</w:t>
      </w:r>
    </w:p>
    <w:p w14:paraId="62A600E6" w14:textId="157D7450" w:rsidR="00044391" w:rsidRDefault="00044391" w:rsidP="00044391"/>
    <w:p w14:paraId="08E3E51A" w14:textId="1D8FE5D9" w:rsidR="00044391" w:rsidRDefault="00044391" w:rsidP="00044391">
      <w:pPr>
        <w:rPr>
          <w:sz w:val="20"/>
          <w:szCs w:val="20"/>
        </w:rPr>
      </w:pPr>
      <w:r w:rsidRPr="00044391">
        <w:rPr>
          <w:szCs w:val="20"/>
        </w:rPr>
        <w:t>Аторис има незначително влияние върху способността за шофиране и работа с машини.</w:t>
      </w:r>
    </w:p>
    <w:p w14:paraId="347167CF" w14:textId="77777777" w:rsidR="00044391" w:rsidRPr="00044391" w:rsidRDefault="00044391" w:rsidP="00044391"/>
    <w:p w14:paraId="37A3FD9F" w14:textId="7DA84FF4" w:rsidR="00CF77F7" w:rsidRDefault="002C50EE" w:rsidP="004A448E">
      <w:pPr>
        <w:pStyle w:val="Heading2"/>
      </w:pPr>
      <w:r>
        <w:t>4.8. Нежелани лекарствени реакции</w:t>
      </w:r>
    </w:p>
    <w:p w14:paraId="3D104917" w14:textId="34D0BE2A" w:rsidR="00044391" w:rsidRDefault="00044391" w:rsidP="00044391"/>
    <w:p w14:paraId="5DEB8D7A"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Резюме на профила на безопасност</w:t>
      </w:r>
    </w:p>
    <w:p w14:paraId="49C6E7A3" w14:textId="77777777" w:rsidR="00044391" w:rsidRPr="00044391" w:rsidRDefault="00044391" w:rsidP="00044391">
      <w:pPr>
        <w:spacing w:line="240" w:lineRule="auto"/>
        <w:rPr>
          <w:rFonts w:eastAsia="Times New Roman" w:cs="Arial"/>
          <w:color w:val="000000"/>
          <w:szCs w:val="20"/>
          <w:lang w:eastAsia="bg-BG"/>
        </w:rPr>
      </w:pPr>
    </w:p>
    <w:p w14:paraId="309F72B0" w14:textId="417F3FFF"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Според данните от плацебо контролирани клинични проучвания с аторвастатин от 16 066 аторвастатин срещу 7311 палцебо) пациенти, лекувани в продължение на средно 53 седмици, 5,2% от пациентите на аторвастатин са прекратили лечението поради нежеланиреакции в сравнение с 4,0% при пациентите, приемали плацебо.</w:t>
      </w:r>
    </w:p>
    <w:p w14:paraId="1F5B6EF1" w14:textId="77777777" w:rsidR="00044391" w:rsidRPr="00044391" w:rsidRDefault="00044391" w:rsidP="00044391">
      <w:pPr>
        <w:spacing w:line="240" w:lineRule="auto"/>
        <w:rPr>
          <w:rFonts w:eastAsia="Times New Roman" w:cs="Arial"/>
          <w:color w:val="000000"/>
          <w:szCs w:val="20"/>
          <w:lang w:eastAsia="bg-BG"/>
        </w:rPr>
      </w:pPr>
    </w:p>
    <w:p w14:paraId="6FFF9CF5" w14:textId="6EB1356C"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Въз основа на данните от клинични проучвания и обширния постмаркетингов опит по-долу е представен профилът на нежеланите лекарствени реакции на аторвастатин.</w:t>
      </w:r>
    </w:p>
    <w:p w14:paraId="6CB51EDE" w14:textId="77777777" w:rsidR="00044391" w:rsidRPr="00044391" w:rsidRDefault="00044391" w:rsidP="00044391">
      <w:pPr>
        <w:spacing w:line="240" w:lineRule="auto"/>
        <w:rPr>
          <w:rFonts w:eastAsia="Times New Roman" w:cs="Arial"/>
          <w:color w:val="000000"/>
          <w:szCs w:val="20"/>
          <w:u w:val="single"/>
          <w:lang w:eastAsia="bg-BG"/>
        </w:rPr>
      </w:pPr>
    </w:p>
    <w:p w14:paraId="3C3546BC" w14:textId="11BBCD06"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Табличен списък на нежеланите реакции</w:t>
      </w:r>
    </w:p>
    <w:p w14:paraId="48F3A708" w14:textId="77777777" w:rsidR="00044391" w:rsidRPr="00044391" w:rsidRDefault="00044391" w:rsidP="00044391">
      <w:pPr>
        <w:spacing w:line="240" w:lineRule="auto"/>
        <w:rPr>
          <w:rFonts w:eastAsia="Times New Roman" w:cs="Arial"/>
          <w:color w:val="000000"/>
          <w:szCs w:val="20"/>
          <w:lang w:eastAsia="bg-BG"/>
        </w:rPr>
      </w:pPr>
    </w:p>
    <w:p w14:paraId="630643E7" w14:textId="6424FDBC"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Изчислените честоти на нежеланите лекарствени реакции са групирани, както следва: чести (≥1/100, &lt; 1/10), нечести (≥ 1/1000, &lt; 1/100), редки (≥ 1/10 000, &lt; 1/1000), много редки (&lt;1/10 000), с неизвестна честота (не може да бъде оценена от наличните данни).</w:t>
      </w:r>
    </w:p>
    <w:p w14:paraId="4A5C8CC3" w14:textId="77777777" w:rsidR="00044391" w:rsidRPr="00044391" w:rsidRDefault="00044391" w:rsidP="00044391">
      <w:pPr>
        <w:spacing w:line="240" w:lineRule="auto"/>
        <w:rPr>
          <w:rFonts w:eastAsia="Times New Roman" w:cs="Arial"/>
          <w:color w:val="000000"/>
          <w:szCs w:val="20"/>
          <w:u w:val="single"/>
          <w:lang w:eastAsia="bg-BG"/>
        </w:rPr>
      </w:pPr>
    </w:p>
    <w:p w14:paraId="2EB29430" w14:textId="77777777" w:rsidR="00044391" w:rsidRPr="00044391" w:rsidRDefault="00044391" w:rsidP="00044391">
      <w:pPr>
        <w:spacing w:line="240" w:lineRule="auto"/>
        <w:rPr>
          <w:rFonts w:eastAsia="Times New Roman" w:cs="Arial"/>
          <w:color w:val="000000"/>
          <w:szCs w:val="20"/>
          <w:u w:val="single"/>
          <w:lang w:eastAsia="bg-BG"/>
        </w:rPr>
      </w:pPr>
      <w:r w:rsidRPr="00044391">
        <w:rPr>
          <w:rFonts w:eastAsia="Times New Roman" w:cs="Arial"/>
          <w:color w:val="000000"/>
          <w:szCs w:val="20"/>
          <w:u w:val="single"/>
          <w:lang w:eastAsia="bg-BG"/>
        </w:rPr>
        <w:t xml:space="preserve">Инфекции и инфестации </w:t>
      </w:r>
    </w:p>
    <w:p w14:paraId="0267F07B" w14:textId="7B8EC1ED"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назофарингит</w:t>
      </w:r>
    </w:p>
    <w:p w14:paraId="6215DB66" w14:textId="77777777" w:rsidR="00044391" w:rsidRPr="00044391" w:rsidRDefault="00044391" w:rsidP="00044391">
      <w:pPr>
        <w:rPr>
          <w:rFonts w:eastAsia="Times New Roman" w:cs="Arial"/>
          <w:color w:val="000000"/>
          <w:szCs w:val="20"/>
          <w:u w:val="single"/>
          <w:lang w:eastAsia="bg-BG"/>
        </w:rPr>
      </w:pPr>
    </w:p>
    <w:p w14:paraId="471C1DAF" w14:textId="7A26F653" w:rsidR="00044391" w:rsidRDefault="00044391" w:rsidP="00044391">
      <w:pPr>
        <w:rPr>
          <w:rFonts w:eastAsia="Times New Roman" w:cs="Arial"/>
          <w:color w:val="000000"/>
          <w:szCs w:val="20"/>
          <w:u w:val="single"/>
          <w:lang w:eastAsia="bg-BG"/>
        </w:rPr>
      </w:pPr>
      <w:r w:rsidRPr="00044391">
        <w:rPr>
          <w:rFonts w:eastAsia="Times New Roman" w:cs="Arial"/>
          <w:color w:val="000000"/>
          <w:szCs w:val="20"/>
          <w:u w:val="single"/>
          <w:lang w:eastAsia="bg-BG"/>
        </w:rPr>
        <w:t>Нарушения на кръвта и лимфната система</w:t>
      </w:r>
    </w:p>
    <w:p w14:paraId="3338C796"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тромбоцитопения</w:t>
      </w:r>
    </w:p>
    <w:p w14:paraId="55F3CCB6" w14:textId="77777777" w:rsidR="00044391" w:rsidRPr="00044391" w:rsidRDefault="00044391" w:rsidP="00044391">
      <w:pPr>
        <w:spacing w:line="240" w:lineRule="auto"/>
        <w:rPr>
          <w:rFonts w:eastAsia="Times New Roman" w:cs="Arial"/>
          <w:color w:val="000000"/>
          <w:szCs w:val="20"/>
          <w:u w:val="single"/>
          <w:lang w:eastAsia="bg-BG"/>
        </w:rPr>
      </w:pPr>
    </w:p>
    <w:p w14:paraId="244D9AEA" w14:textId="4C14D31D"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имунната система</w:t>
      </w:r>
    </w:p>
    <w:p w14:paraId="503CB92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алергични реакции</w:t>
      </w:r>
    </w:p>
    <w:p w14:paraId="44990010"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Много редки: анафилаксия</w:t>
      </w:r>
    </w:p>
    <w:p w14:paraId="1BEA31BB" w14:textId="77777777" w:rsidR="00044391" w:rsidRPr="00044391" w:rsidRDefault="00044391" w:rsidP="00044391">
      <w:pPr>
        <w:spacing w:line="240" w:lineRule="auto"/>
        <w:rPr>
          <w:rFonts w:eastAsia="Times New Roman" w:cs="Arial"/>
          <w:color w:val="000000"/>
          <w:szCs w:val="20"/>
          <w:u w:val="single"/>
          <w:lang w:eastAsia="bg-BG"/>
        </w:rPr>
      </w:pPr>
    </w:p>
    <w:p w14:paraId="3CA4444C" w14:textId="05013F68"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метаболизма и храненето</w:t>
      </w:r>
    </w:p>
    <w:p w14:paraId="04DCF353"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хипергликемия</w:t>
      </w:r>
    </w:p>
    <w:p w14:paraId="2B6F773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хипогликемия, повишаване на теглото, анорексия</w:t>
      </w:r>
    </w:p>
    <w:p w14:paraId="64B038B6" w14:textId="77777777" w:rsidR="00044391" w:rsidRPr="00044391" w:rsidRDefault="00044391" w:rsidP="00044391">
      <w:pPr>
        <w:spacing w:line="240" w:lineRule="auto"/>
        <w:rPr>
          <w:rFonts w:eastAsia="Times New Roman" w:cs="Arial"/>
          <w:color w:val="000000"/>
          <w:szCs w:val="20"/>
          <w:u w:val="single"/>
          <w:lang w:eastAsia="bg-BG"/>
        </w:rPr>
      </w:pPr>
    </w:p>
    <w:p w14:paraId="6E3D5E6E" w14:textId="02828836"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Психични нарушения</w:t>
      </w:r>
    </w:p>
    <w:p w14:paraId="435C9FEA"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кошмари, безсъние</w:t>
      </w:r>
    </w:p>
    <w:p w14:paraId="5F6E7F85" w14:textId="77777777" w:rsidR="00044391" w:rsidRPr="00044391" w:rsidRDefault="00044391" w:rsidP="00044391">
      <w:pPr>
        <w:spacing w:line="240" w:lineRule="auto"/>
        <w:rPr>
          <w:rFonts w:eastAsia="Times New Roman" w:cs="Arial"/>
          <w:color w:val="000000"/>
          <w:szCs w:val="20"/>
          <w:u w:val="single"/>
          <w:lang w:eastAsia="bg-BG"/>
        </w:rPr>
      </w:pPr>
    </w:p>
    <w:p w14:paraId="536FBAE2" w14:textId="577C87B1"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нервната система</w:t>
      </w:r>
    </w:p>
    <w:p w14:paraId="00615901"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главоболие</w:t>
      </w:r>
    </w:p>
    <w:p w14:paraId="31A03A3B"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замаяност, парестезия, хипоестезия, дисгеузия, амнезия</w:t>
      </w:r>
    </w:p>
    <w:p w14:paraId="6AE6AC1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периферна невропатия</w:t>
      </w:r>
    </w:p>
    <w:p w14:paraId="174CC267" w14:textId="77777777" w:rsidR="00044391" w:rsidRPr="00044391" w:rsidRDefault="00044391" w:rsidP="00044391">
      <w:pPr>
        <w:spacing w:line="240" w:lineRule="auto"/>
        <w:rPr>
          <w:rFonts w:eastAsia="Times New Roman" w:cs="Arial"/>
          <w:color w:val="000000"/>
          <w:szCs w:val="20"/>
          <w:u w:val="single"/>
          <w:lang w:eastAsia="bg-BG"/>
        </w:rPr>
      </w:pPr>
    </w:p>
    <w:p w14:paraId="2E65FC73" w14:textId="2D1EF293"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lastRenderedPageBreak/>
        <w:t>Нарушения на очите:</w:t>
      </w:r>
    </w:p>
    <w:p w14:paraId="1992A3D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нарушение на зрението</w:t>
      </w:r>
    </w:p>
    <w:p w14:paraId="29A53831"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зрителни нарушения</w:t>
      </w:r>
    </w:p>
    <w:p w14:paraId="57FA1774" w14:textId="77777777" w:rsidR="00044391" w:rsidRPr="00044391" w:rsidRDefault="00044391" w:rsidP="00044391">
      <w:pPr>
        <w:spacing w:line="240" w:lineRule="auto"/>
        <w:rPr>
          <w:rFonts w:eastAsia="Times New Roman" w:cs="Arial"/>
          <w:color w:val="000000"/>
          <w:szCs w:val="20"/>
          <w:u w:val="single"/>
          <w:lang w:eastAsia="bg-BG"/>
        </w:rPr>
      </w:pPr>
    </w:p>
    <w:p w14:paraId="426980A6" w14:textId="76CAAA74"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ухото и лабиринта</w:t>
      </w:r>
    </w:p>
    <w:p w14:paraId="647939C4"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шум в ушите</w:t>
      </w:r>
    </w:p>
    <w:p w14:paraId="19AA0FC3"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Много редки: загуба на слуха</w:t>
      </w:r>
    </w:p>
    <w:p w14:paraId="546BC8A5" w14:textId="77777777" w:rsidR="00044391" w:rsidRPr="00044391" w:rsidRDefault="00044391" w:rsidP="00044391">
      <w:pPr>
        <w:spacing w:line="240" w:lineRule="auto"/>
        <w:rPr>
          <w:rFonts w:eastAsia="Times New Roman" w:cs="Arial"/>
          <w:color w:val="000000"/>
          <w:szCs w:val="20"/>
          <w:u w:val="single"/>
          <w:lang w:eastAsia="bg-BG"/>
        </w:rPr>
      </w:pPr>
    </w:p>
    <w:p w14:paraId="2C2B7379" w14:textId="3062ABF6"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Респираторни, гръдни и медиастинални нарушения</w:t>
      </w:r>
    </w:p>
    <w:p w14:paraId="19F9B550"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фаринголарингеална болка, епистаксис</w:t>
      </w:r>
    </w:p>
    <w:p w14:paraId="1338E228" w14:textId="77777777" w:rsidR="00044391" w:rsidRPr="00044391" w:rsidRDefault="00044391" w:rsidP="00044391">
      <w:pPr>
        <w:spacing w:line="240" w:lineRule="auto"/>
        <w:rPr>
          <w:rFonts w:eastAsia="Times New Roman" w:cs="Arial"/>
          <w:color w:val="000000"/>
          <w:szCs w:val="20"/>
          <w:u w:val="single"/>
          <w:lang w:eastAsia="bg-BG"/>
        </w:rPr>
      </w:pPr>
    </w:p>
    <w:p w14:paraId="1BAD7510" w14:textId="18F53D2F"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Стомашно-чревни нарушения</w:t>
      </w:r>
    </w:p>
    <w:p w14:paraId="6870A6B9" w14:textId="705C1DEF"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запек, флатуленция, диспепсия, гадене, диария</w:t>
      </w:r>
    </w:p>
    <w:p w14:paraId="44B90516"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повръщане, болка в горната и долна част на корема, оригване, панкреатит</w:t>
      </w:r>
    </w:p>
    <w:p w14:paraId="6FDAAB73" w14:textId="77777777" w:rsidR="00044391" w:rsidRPr="00044391" w:rsidRDefault="00044391" w:rsidP="00044391">
      <w:pPr>
        <w:spacing w:line="240" w:lineRule="auto"/>
        <w:rPr>
          <w:rFonts w:eastAsia="Times New Roman" w:cs="Arial"/>
          <w:color w:val="000000"/>
          <w:szCs w:val="20"/>
          <w:u w:val="single"/>
          <w:lang w:eastAsia="bg-BG"/>
        </w:rPr>
      </w:pPr>
    </w:p>
    <w:p w14:paraId="0904FCD4" w14:textId="0848E736"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Хепатобилиарни нарушения</w:t>
      </w:r>
    </w:p>
    <w:p w14:paraId="1F6410B5"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хепатит</w:t>
      </w:r>
    </w:p>
    <w:p w14:paraId="5CE1B25D"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холестаза</w:t>
      </w:r>
    </w:p>
    <w:p w14:paraId="43C4D6F9" w14:textId="32F05AC2" w:rsidR="00044391" w:rsidRPr="00044391" w:rsidRDefault="00044391" w:rsidP="00044391">
      <w:pPr>
        <w:rPr>
          <w:rFonts w:eastAsia="Times New Roman" w:cs="Arial"/>
          <w:color w:val="000000"/>
          <w:szCs w:val="20"/>
          <w:lang w:eastAsia="bg-BG"/>
        </w:rPr>
      </w:pPr>
      <w:r w:rsidRPr="00044391">
        <w:rPr>
          <w:rFonts w:eastAsia="Times New Roman" w:cs="Arial"/>
          <w:color w:val="000000"/>
          <w:szCs w:val="20"/>
          <w:lang w:eastAsia="bg-BG"/>
        </w:rPr>
        <w:t>Много редки: чернодробна недостатъчност</w:t>
      </w:r>
    </w:p>
    <w:p w14:paraId="49D6813E" w14:textId="45290D47" w:rsidR="00044391" w:rsidRDefault="00044391" w:rsidP="00044391">
      <w:pPr>
        <w:rPr>
          <w:rFonts w:ascii="Times New Roman" w:eastAsia="Times New Roman" w:hAnsi="Times New Roman" w:cs="Times New Roman"/>
          <w:color w:val="000000"/>
          <w:sz w:val="20"/>
          <w:szCs w:val="20"/>
          <w:lang w:eastAsia="bg-BG"/>
        </w:rPr>
      </w:pPr>
    </w:p>
    <w:p w14:paraId="4BF9FD8F"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кожата и подкожната тъкан</w:t>
      </w:r>
    </w:p>
    <w:p w14:paraId="50813F79"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уртикария, кожен обрив, пруритус, алопеция</w:t>
      </w:r>
    </w:p>
    <w:p w14:paraId="096CEDB6"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Редки: ангионевротичен оток, булозен дерматит, включително еритема мултиформе, синдром на </w:t>
      </w:r>
      <w:r w:rsidRPr="00044391">
        <w:rPr>
          <w:rFonts w:eastAsia="Times New Roman" w:cs="Arial"/>
          <w:color w:val="000000"/>
          <w:szCs w:val="20"/>
          <w:lang w:val="en-US"/>
        </w:rPr>
        <w:t xml:space="preserve">Stevens-Johnson </w:t>
      </w:r>
      <w:r w:rsidRPr="00044391">
        <w:rPr>
          <w:rFonts w:eastAsia="Times New Roman" w:cs="Arial"/>
          <w:color w:val="000000"/>
          <w:szCs w:val="20"/>
          <w:lang w:eastAsia="bg-BG"/>
        </w:rPr>
        <w:t>и токсична епидермална некролиза</w:t>
      </w:r>
    </w:p>
    <w:p w14:paraId="38548B96" w14:textId="77777777" w:rsidR="00044391" w:rsidRPr="00044391" w:rsidRDefault="00044391" w:rsidP="00044391">
      <w:pPr>
        <w:spacing w:line="240" w:lineRule="auto"/>
        <w:rPr>
          <w:rFonts w:eastAsia="Times New Roman" w:cs="Arial"/>
          <w:color w:val="000000"/>
          <w:szCs w:val="20"/>
          <w:u w:val="single"/>
          <w:lang w:eastAsia="bg-BG"/>
        </w:rPr>
      </w:pPr>
    </w:p>
    <w:p w14:paraId="32E8100C" w14:textId="3B7FFE88"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мускулно-скелетната система и съединителната тъкан</w:t>
      </w:r>
    </w:p>
    <w:p w14:paraId="0BBC674B"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миалгия, артралгия, болки в крайниците, мускулни спазми, подуване на ставите, болки в гърба</w:t>
      </w:r>
    </w:p>
    <w:p w14:paraId="55D34DEF"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болки във врата, мускулна слабост</w:t>
      </w:r>
    </w:p>
    <w:p w14:paraId="2661B1AD"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миопатия, миозит, рабдомиолиза, руптура на мускул, тендинопатия, понякога</w:t>
      </w:r>
    </w:p>
    <w:p w14:paraId="0CEA0A40"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усложнени с разкъсване</w:t>
      </w:r>
    </w:p>
    <w:p w14:paraId="0997E8E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Много редки: лупус-подобен синдром</w:t>
      </w:r>
    </w:p>
    <w:p w14:paraId="23CED3D7"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С неизвестна честота: имуномедиирана некротизираща миопатия (вж. точка 4.4)</w:t>
      </w:r>
    </w:p>
    <w:p w14:paraId="0E8F9F41" w14:textId="77777777" w:rsidR="00044391" w:rsidRPr="00044391" w:rsidRDefault="00044391" w:rsidP="00044391">
      <w:pPr>
        <w:spacing w:line="240" w:lineRule="auto"/>
        <w:rPr>
          <w:rFonts w:eastAsia="Times New Roman" w:cs="Arial"/>
          <w:color w:val="000000"/>
          <w:szCs w:val="20"/>
          <w:u w:val="single"/>
          <w:lang w:eastAsia="bg-BG"/>
        </w:rPr>
      </w:pPr>
    </w:p>
    <w:p w14:paraId="50A1A47D" w14:textId="1E7BCDB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възпроизводителната система и гърдата</w:t>
      </w:r>
    </w:p>
    <w:p w14:paraId="643030E4"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Много редки: гинекомастия</w:t>
      </w:r>
    </w:p>
    <w:p w14:paraId="27D080BB" w14:textId="77777777" w:rsidR="00044391" w:rsidRPr="00044391" w:rsidRDefault="00044391" w:rsidP="00044391">
      <w:pPr>
        <w:spacing w:line="240" w:lineRule="auto"/>
        <w:rPr>
          <w:rFonts w:eastAsia="Times New Roman" w:cs="Arial"/>
          <w:sz w:val="28"/>
          <w:szCs w:val="24"/>
          <w:lang w:eastAsia="bg-BG"/>
        </w:rPr>
      </w:pPr>
    </w:p>
    <w:p w14:paraId="52EF29E5" w14:textId="39B4700A" w:rsidR="00044391" w:rsidRDefault="00044391" w:rsidP="00044391">
      <w:pPr>
        <w:rPr>
          <w:rFonts w:eastAsia="Times New Roman" w:cs="Arial"/>
          <w:color w:val="000000"/>
          <w:szCs w:val="20"/>
          <w:u w:val="single"/>
          <w:lang w:eastAsia="bg-BG"/>
        </w:rPr>
      </w:pPr>
      <w:r w:rsidRPr="00044391">
        <w:rPr>
          <w:rFonts w:eastAsia="Times New Roman" w:cs="Arial"/>
          <w:color w:val="000000"/>
          <w:szCs w:val="20"/>
          <w:u w:val="single"/>
          <w:lang w:eastAsia="bg-BG"/>
        </w:rPr>
        <w:t>Общи нарушения и ефекти на мястото на приложение</w:t>
      </w:r>
    </w:p>
    <w:p w14:paraId="7703AE24"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неразположение, астения, гръдна болка, периферни отоци, умора, треска</w:t>
      </w:r>
    </w:p>
    <w:p w14:paraId="3A9818B5" w14:textId="77777777" w:rsidR="00044391" w:rsidRPr="00044391" w:rsidRDefault="00044391" w:rsidP="00044391">
      <w:pPr>
        <w:spacing w:line="240" w:lineRule="auto"/>
        <w:rPr>
          <w:rFonts w:eastAsia="Times New Roman" w:cs="Arial"/>
          <w:color w:val="000000"/>
          <w:szCs w:val="20"/>
          <w:u w:val="single"/>
          <w:lang w:eastAsia="bg-BG"/>
        </w:rPr>
      </w:pPr>
    </w:p>
    <w:p w14:paraId="633C8793" w14:textId="2D65EF3F"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Изследвания</w:t>
      </w:r>
    </w:p>
    <w:p w14:paraId="2429ECD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повишени стойности на чернодробните функционални показатели, повишена серумна креатинфосфокиназа</w:t>
      </w:r>
    </w:p>
    <w:p w14:paraId="776FD72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левкоцити в урината</w:t>
      </w:r>
    </w:p>
    <w:p w14:paraId="188E7F3E" w14:textId="77777777" w:rsidR="00044391" w:rsidRPr="00044391" w:rsidRDefault="00044391" w:rsidP="00044391">
      <w:pPr>
        <w:spacing w:line="240" w:lineRule="auto"/>
        <w:rPr>
          <w:rFonts w:eastAsia="Times New Roman" w:cs="Arial"/>
          <w:color w:val="000000"/>
          <w:szCs w:val="20"/>
          <w:lang w:eastAsia="bg-BG"/>
        </w:rPr>
      </w:pPr>
    </w:p>
    <w:p w14:paraId="189E1EAE" w14:textId="77F8A2E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Както и при другите </w:t>
      </w:r>
      <w:r w:rsidRPr="00044391">
        <w:rPr>
          <w:rFonts w:eastAsia="Times New Roman" w:cs="Arial"/>
          <w:color w:val="000000"/>
          <w:szCs w:val="20"/>
          <w:lang w:val="en-US"/>
        </w:rPr>
        <w:t>HMG</w:t>
      </w:r>
      <w:r w:rsidRPr="00044391">
        <w:rPr>
          <w:rFonts w:eastAsia="Times New Roman" w:cs="Arial"/>
          <w:color w:val="000000"/>
          <w:szCs w:val="20"/>
          <w:lang w:eastAsia="bg-BG"/>
        </w:rPr>
        <w:t xml:space="preserve">-СоА-редуктазни инхибитори, при пациенти, лекувани със аторвастатин, е съобщавано за повишени серумни трансаминази. Тези промени обикновено са били леки и преходни и не са налагали преустановяване на терапията. Клинично значими (&gt; З пъти над нормалните стойности) повишения на трансаминазите са </w:t>
      </w:r>
      <w:r w:rsidRPr="00044391">
        <w:rPr>
          <w:rFonts w:eastAsia="Times New Roman" w:cs="Arial"/>
          <w:color w:val="000000"/>
          <w:szCs w:val="20"/>
          <w:lang w:eastAsia="bg-BG"/>
        </w:rPr>
        <w:lastRenderedPageBreak/>
        <w:t>установени при 0,8% от болните на аторвастатин. Тези повишения са били дозо-зависими и обратими при всички пациенти.</w:t>
      </w:r>
    </w:p>
    <w:p w14:paraId="72A7CB91" w14:textId="77777777" w:rsidR="00044391" w:rsidRPr="00044391" w:rsidRDefault="00044391" w:rsidP="00044391">
      <w:pPr>
        <w:spacing w:line="240" w:lineRule="auto"/>
        <w:rPr>
          <w:rFonts w:eastAsia="Times New Roman" w:cs="Arial"/>
          <w:color w:val="000000"/>
          <w:szCs w:val="20"/>
          <w:lang w:eastAsia="bg-BG"/>
        </w:rPr>
      </w:pPr>
    </w:p>
    <w:p w14:paraId="050BCA83" w14:textId="2DB422CD"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Повишени нива на серумната креатин фосфокиназа (СРК) 3 пъти над горната граница на нормата са установени при 2,5% от болните на аторвастатин, подобно на другите </w:t>
      </w:r>
      <w:r w:rsidRPr="00044391">
        <w:rPr>
          <w:rFonts w:eastAsia="Times New Roman" w:cs="Arial"/>
          <w:color w:val="000000"/>
          <w:szCs w:val="20"/>
          <w:lang w:val="en-US"/>
        </w:rPr>
        <w:t xml:space="preserve">HMG-CoA- </w:t>
      </w:r>
      <w:r w:rsidRPr="00044391">
        <w:rPr>
          <w:rFonts w:eastAsia="Times New Roman" w:cs="Arial"/>
          <w:color w:val="000000"/>
          <w:szCs w:val="20"/>
          <w:lang w:eastAsia="bg-BG"/>
        </w:rPr>
        <w:t>редуктазни инхибитори в клинични проучвания. Нива, 10 пъти по-високи от горната граница на нормата, е имало при 0,4% от лекуваните със аторвастатин пациенти (вж. точка 4.4).</w:t>
      </w:r>
    </w:p>
    <w:p w14:paraId="76A1658A" w14:textId="77777777" w:rsidR="00044391" w:rsidRPr="00044391" w:rsidRDefault="00044391" w:rsidP="00044391">
      <w:pPr>
        <w:spacing w:line="240" w:lineRule="auto"/>
        <w:rPr>
          <w:rFonts w:eastAsia="Times New Roman" w:cs="Arial"/>
          <w:color w:val="000000"/>
          <w:szCs w:val="20"/>
          <w:u w:val="single"/>
          <w:lang w:eastAsia="bg-BG"/>
        </w:rPr>
      </w:pPr>
    </w:p>
    <w:p w14:paraId="3064BA24" w14:textId="2A396340"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Педиатрична популация</w:t>
      </w:r>
    </w:p>
    <w:p w14:paraId="2345B38C"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Педиатрични пациенти на възраст от 10 до 17 години, лекувани с аторвастатин, са имали профил на безопасност, подобен на този при пациенти, лекувани с плацебо. Най-честите нежелани ефекти, наблюдавани в двете групи, независимо от причинно-следствената връзка, са били инфекциите. В 3-годишно проучване, на базата на оценка на общото съзряване и развитие, оценката по стадий на </w:t>
      </w:r>
      <w:r w:rsidRPr="00044391">
        <w:rPr>
          <w:rFonts w:eastAsia="Times New Roman" w:cs="Arial"/>
          <w:color w:val="000000"/>
          <w:szCs w:val="20"/>
          <w:lang w:val="en-US"/>
        </w:rPr>
        <w:t xml:space="preserve">Tanner </w:t>
      </w:r>
      <w:r w:rsidRPr="00044391">
        <w:rPr>
          <w:rFonts w:eastAsia="Times New Roman" w:cs="Arial"/>
          <w:color w:val="000000"/>
          <w:szCs w:val="20"/>
          <w:lang w:eastAsia="bg-BG"/>
        </w:rPr>
        <w:t>и измерване на височината и теглото, не се наблюдава клинично значим ефект върху развитието и половата зрялост. Профилът на безопасност и поносимост при педиатрични пациенти е бил подобен на известния профил на безопасност на аторвастатин при възрастни.</w:t>
      </w:r>
    </w:p>
    <w:p w14:paraId="1B3731A7" w14:textId="77777777" w:rsidR="00044391" w:rsidRPr="00044391" w:rsidRDefault="00044391" w:rsidP="00044391">
      <w:pPr>
        <w:rPr>
          <w:rFonts w:eastAsia="Times New Roman" w:cs="Arial"/>
          <w:color w:val="000000"/>
          <w:szCs w:val="20"/>
          <w:lang w:eastAsia="bg-BG"/>
        </w:rPr>
      </w:pPr>
    </w:p>
    <w:p w14:paraId="5A3AF504" w14:textId="26B7D8E9" w:rsidR="00044391" w:rsidRDefault="00044391" w:rsidP="00044391">
      <w:pPr>
        <w:rPr>
          <w:rFonts w:eastAsia="Times New Roman" w:cs="Arial"/>
          <w:color w:val="000000"/>
          <w:szCs w:val="20"/>
          <w:lang w:eastAsia="bg-BG"/>
        </w:rPr>
      </w:pPr>
      <w:r w:rsidRPr="00044391">
        <w:rPr>
          <w:rFonts w:eastAsia="Times New Roman" w:cs="Arial"/>
          <w:color w:val="000000"/>
          <w:szCs w:val="20"/>
          <w:lang w:eastAsia="bg-BG"/>
        </w:rPr>
        <w:t>Клиничната база данни за безопасност включват данни за безопасността при 520 пациента в детска възраст, които са получавали аторвастатин, от които 7 пациенти са били под 6-годишна възраст, 121 пациенти на възраст между 6 и 9 години, и 392 пациенти са били 10 и 17 години.</w:t>
      </w:r>
    </w:p>
    <w:p w14:paraId="76091DE9" w14:textId="56CD677C" w:rsidR="00044391" w:rsidRDefault="00044391" w:rsidP="00044391">
      <w:pPr>
        <w:rPr>
          <w:rFonts w:eastAsia="Times New Roman" w:cs="Arial"/>
          <w:color w:val="000000"/>
          <w:szCs w:val="20"/>
          <w:lang w:eastAsia="bg-BG"/>
        </w:rPr>
      </w:pPr>
    </w:p>
    <w:p w14:paraId="24AFD73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На основата на наличните данни честотата, типът и тежестта на нежеланите реакции при деца са сходни с тези при възрастни.</w:t>
      </w:r>
    </w:p>
    <w:p w14:paraId="572816A3" w14:textId="77777777" w:rsidR="00044391" w:rsidRPr="00044391" w:rsidRDefault="00044391" w:rsidP="00044391">
      <w:pPr>
        <w:spacing w:line="240" w:lineRule="auto"/>
        <w:rPr>
          <w:rFonts w:eastAsia="Times New Roman" w:cs="Arial"/>
          <w:color w:val="000000"/>
          <w:szCs w:val="20"/>
          <w:lang w:eastAsia="bg-BG"/>
        </w:rPr>
      </w:pPr>
    </w:p>
    <w:p w14:paraId="690DC9E5" w14:textId="77777777" w:rsidR="00176409" w:rsidRDefault="00044391" w:rsidP="00044391">
      <w:pPr>
        <w:spacing w:line="240" w:lineRule="auto"/>
        <w:rPr>
          <w:rFonts w:eastAsia="Times New Roman" w:cs="Arial"/>
          <w:color w:val="000000"/>
          <w:szCs w:val="20"/>
          <w:lang w:eastAsia="bg-BG"/>
        </w:rPr>
      </w:pPr>
      <w:r w:rsidRPr="00044391">
        <w:rPr>
          <w:rFonts w:eastAsia="Times New Roman" w:cs="Arial"/>
          <w:color w:val="000000"/>
          <w:szCs w:val="20"/>
          <w:lang w:eastAsia="bg-BG"/>
        </w:rPr>
        <w:t>При приложението на някои статини са съобщав</w:t>
      </w:r>
      <w:r w:rsidR="00176409">
        <w:rPr>
          <w:rFonts w:eastAsia="Times New Roman" w:cs="Arial"/>
          <w:color w:val="000000"/>
          <w:szCs w:val="20"/>
          <w:lang w:eastAsia="bg-BG"/>
        </w:rPr>
        <w:t xml:space="preserve">ани следните нежелани събития: </w:t>
      </w:r>
    </w:p>
    <w:p w14:paraId="09C360AC" w14:textId="77777777" w:rsidR="00176409" w:rsidRPr="00176409" w:rsidRDefault="00044391" w:rsidP="00044391">
      <w:pPr>
        <w:pStyle w:val="ListParagraph"/>
        <w:numPr>
          <w:ilvl w:val="0"/>
          <w:numId w:val="39"/>
        </w:numPr>
        <w:spacing w:line="240" w:lineRule="auto"/>
        <w:rPr>
          <w:rFonts w:eastAsia="Times New Roman" w:cs="Arial"/>
          <w:sz w:val="28"/>
          <w:szCs w:val="24"/>
          <w:lang w:eastAsia="bg-BG"/>
        </w:rPr>
      </w:pPr>
      <w:r w:rsidRPr="00176409">
        <w:rPr>
          <w:rFonts w:eastAsia="Times New Roman" w:cs="Arial"/>
          <w:color w:val="000000"/>
          <w:szCs w:val="20"/>
          <w:lang w:eastAsia="bg-BG"/>
        </w:rPr>
        <w:t>Нарушена сексуална функция.</w:t>
      </w:r>
    </w:p>
    <w:p w14:paraId="1E78E815" w14:textId="77777777" w:rsidR="00176409" w:rsidRPr="00176409" w:rsidRDefault="00044391" w:rsidP="00044391">
      <w:pPr>
        <w:pStyle w:val="ListParagraph"/>
        <w:numPr>
          <w:ilvl w:val="0"/>
          <w:numId w:val="39"/>
        </w:numPr>
        <w:spacing w:line="240" w:lineRule="auto"/>
        <w:rPr>
          <w:rFonts w:eastAsia="Times New Roman" w:cs="Arial"/>
          <w:sz w:val="28"/>
          <w:szCs w:val="24"/>
          <w:lang w:eastAsia="bg-BG"/>
        </w:rPr>
      </w:pPr>
      <w:r w:rsidRPr="00176409">
        <w:rPr>
          <w:rFonts w:eastAsia="Times New Roman" w:cs="Arial"/>
          <w:color w:val="000000"/>
          <w:szCs w:val="20"/>
          <w:lang w:eastAsia="bg-BG"/>
        </w:rPr>
        <w:t>Депресия.</w:t>
      </w:r>
    </w:p>
    <w:p w14:paraId="788F0923" w14:textId="77777777" w:rsidR="00176409" w:rsidRPr="00176409" w:rsidRDefault="00044391" w:rsidP="00044391">
      <w:pPr>
        <w:pStyle w:val="ListParagraph"/>
        <w:numPr>
          <w:ilvl w:val="0"/>
          <w:numId w:val="39"/>
        </w:numPr>
        <w:spacing w:line="240" w:lineRule="auto"/>
        <w:rPr>
          <w:rFonts w:eastAsia="Times New Roman" w:cs="Arial"/>
          <w:sz w:val="28"/>
          <w:szCs w:val="24"/>
          <w:lang w:eastAsia="bg-BG"/>
        </w:rPr>
      </w:pPr>
      <w:r w:rsidRPr="00176409">
        <w:rPr>
          <w:rFonts w:eastAsia="Times New Roman" w:cs="Arial"/>
          <w:color w:val="000000"/>
          <w:szCs w:val="20"/>
          <w:lang w:eastAsia="bg-BG"/>
        </w:rPr>
        <w:t>Отделни случаи на интерстициална белодробна болест, особено при дългосрочна терапия (вж. точка 4.4).</w:t>
      </w:r>
    </w:p>
    <w:p w14:paraId="5909950F" w14:textId="00B345F2" w:rsidR="00044391" w:rsidRPr="00176409" w:rsidRDefault="00044391" w:rsidP="00044391">
      <w:pPr>
        <w:pStyle w:val="ListParagraph"/>
        <w:numPr>
          <w:ilvl w:val="0"/>
          <w:numId w:val="39"/>
        </w:numPr>
        <w:spacing w:line="240" w:lineRule="auto"/>
        <w:rPr>
          <w:rFonts w:eastAsia="Times New Roman" w:cs="Arial"/>
          <w:sz w:val="28"/>
          <w:szCs w:val="24"/>
          <w:lang w:eastAsia="bg-BG"/>
        </w:rPr>
      </w:pPr>
      <w:r w:rsidRPr="00176409">
        <w:rPr>
          <w:rFonts w:eastAsia="Times New Roman" w:cs="Arial"/>
          <w:color w:val="000000"/>
          <w:szCs w:val="20"/>
          <w:lang w:eastAsia="bg-BG"/>
        </w:rPr>
        <w:t xml:space="preserve">Захарен диабет: честотата ще зависи от наличието или липсата на рискови фактори (глюкоза на гладно 5,6-6,9 </w:t>
      </w:r>
      <w:proofErr w:type="spellStart"/>
      <w:r w:rsidRPr="00176409">
        <w:rPr>
          <w:rFonts w:eastAsia="Times New Roman" w:cs="Arial"/>
          <w:color w:val="000000"/>
          <w:szCs w:val="20"/>
          <w:lang w:val="en-US"/>
        </w:rPr>
        <w:t>mmol</w:t>
      </w:r>
      <w:proofErr w:type="spellEnd"/>
      <w:r w:rsidRPr="00176409">
        <w:rPr>
          <w:rFonts w:eastAsia="Times New Roman" w:cs="Arial"/>
          <w:color w:val="000000"/>
          <w:szCs w:val="20"/>
          <w:lang w:val="en-US"/>
        </w:rPr>
        <w:t xml:space="preserve">/L, </w:t>
      </w:r>
      <w:r w:rsidRPr="00176409">
        <w:rPr>
          <w:rFonts w:eastAsia="Times New Roman" w:cs="Arial"/>
          <w:color w:val="000000"/>
          <w:szCs w:val="20"/>
          <w:lang w:eastAsia="bg-BG"/>
        </w:rPr>
        <w:t xml:space="preserve">ИТМ&gt; </w:t>
      </w:r>
      <w:r w:rsidRPr="00176409">
        <w:rPr>
          <w:rFonts w:eastAsia="Times New Roman" w:cs="Arial"/>
          <w:color w:val="000000"/>
          <w:szCs w:val="20"/>
          <w:lang w:val="en-US"/>
        </w:rPr>
        <w:t>30kg/ m</w:t>
      </w:r>
      <w:r w:rsidRPr="00176409">
        <w:rPr>
          <w:rFonts w:eastAsia="Times New Roman" w:cs="Arial"/>
          <w:color w:val="000000"/>
          <w:szCs w:val="20"/>
          <w:vertAlign w:val="superscript"/>
          <w:lang w:val="en-US"/>
        </w:rPr>
        <w:t>2</w:t>
      </w:r>
      <w:r w:rsidRPr="00176409">
        <w:rPr>
          <w:rFonts w:eastAsia="Times New Roman" w:cs="Arial"/>
          <w:color w:val="000000"/>
          <w:szCs w:val="20"/>
          <w:lang w:val="en-US"/>
        </w:rPr>
        <w:t xml:space="preserve">, </w:t>
      </w:r>
      <w:r w:rsidRPr="00176409">
        <w:rPr>
          <w:rFonts w:eastAsia="Times New Roman" w:cs="Arial"/>
          <w:color w:val="000000"/>
          <w:szCs w:val="20"/>
          <w:lang w:eastAsia="bg-BG"/>
        </w:rPr>
        <w:t>повишени триглицериди, наличието на хипертензиа в анамнезата)</w:t>
      </w:r>
    </w:p>
    <w:p w14:paraId="717354E7" w14:textId="77777777" w:rsidR="00044391" w:rsidRPr="00044391" w:rsidRDefault="00044391" w:rsidP="00044391">
      <w:pPr>
        <w:spacing w:line="240" w:lineRule="auto"/>
        <w:rPr>
          <w:rFonts w:eastAsia="Times New Roman" w:cs="Arial"/>
          <w:color w:val="000000"/>
          <w:szCs w:val="20"/>
          <w:u w:val="single"/>
          <w:lang w:eastAsia="bg-BG"/>
        </w:rPr>
      </w:pPr>
    </w:p>
    <w:p w14:paraId="5FA857F5" w14:textId="37F9490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Съобщаване на подозирани нежелани реакции</w:t>
      </w:r>
    </w:p>
    <w:p w14:paraId="1CB025D6" w14:textId="77777777" w:rsidR="00176409" w:rsidRDefault="00044391" w:rsidP="00044391">
      <w:pPr>
        <w:spacing w:line="240" w:lineRule="auto"/>
        <w:rPr>
          <w:rFonts w:eastAsia="Times New Roman" w:cs="Arial"/>
          <w:color w:val="000000"/>
          <w:szCs w:val="20"/>
          <w:lang w:eastAsia="bg-BG"/>
        </w:rPr>
      </w:pPr>
      <w:r w:rsidRPr="00044391">
        <w:rPr>
          <w:rFonts w:eastAsia="Times New Roman" w:cs="Arial"/>
          <w:color w:val="000000"/>
          <w:szCs w:val="20"/>
          <w:lang w:eastAsia="bg-BG"/>
        </w:rPr>
        <w:t xml:space="preserve">Докладването на подозираните нежелани реакции, след разрешение на лекарствения продукт е важно. То позволява по-нататъшен мониторинг на съотношението полза/риск на лекарствения продукт. Изисква се медицинските специалисти да докладват за всяка подозирана нежелана реакция чрез </w:t>
      </w:r>
    </w:p>
    <w:p w14:paraId="509E8131" w14:textId="77777777" w:rsidR="00176409" w:rsidRDefault="00044391" w:rsidP="00044391">
      <w:pPr>
        <w:spacing w:line="240" w:lineRule="auto"/>
        <w:rPr>
          <w:rFonts w:eastAsia="Times New Roman" w:cs="Arial"/>
          <w:color w:val="000000"/>
          <w:szCs w:val="20"/>
          <w:lang w:eastAsia="bg-BG"/>
        </w:rPr>
      </w:pPr>
      <w:r w:rsidRPr="00044391">
        <w:rPr>
          <w:rFonts w:eastAsia="Times New Roman" w:cs="Arial"/>
          <w:color w:val="000000"/>
          <w:szCs w:val="20"/>
          <w:lang w:eastAsia="bg-BG"/>
        </w:rPr>
        <w:t xml:space="preserve">Изпълнителна агенция по лекарствата </w:t>
      </w:r>
    </w:p>
    <w:p w14:paraId="58434757" w14:textId="2CA853AB"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ул.,Дамян Груев” № 8</w:t>
      </w:r>
    </w:p>
    <w:p w14:paraId="2814BFA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1303 София</w:t>
      </w:r>
    </w:p>
    <w:p w14:paraId="3F0A3F57"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Тел.:+35 928903417</w:t>
      </w:r>
    </w:p>
    <w:p w14:paraId="2107D2FF" w14:textId="072CD13D" w:rsidR="00044391" w:rsidRPr="00044391" w:rsidRDefault="00044391" w:rsidP="00044391">
      <w:pPr>
        <w:rPr>
          <w:rFonts w:eastAsia="Times New Roman" w:cs="Arial"/>
          <w:color w:val="000000"/>
          <w:sz w:val="24"/>
          <w:szCs w:val="20"/>
          <w:lang w:eastAsia="bg-BG"/>
        </w:rPr>
      </w:pPr>
      <w:r w:rsidRPr="00044391">
        <w:rPr>
          <w:rFonts w:eastAsia="Times New Roman" w:cs="Arial"/>
          <w:color w:val="000000"/>
          <w:szCs w:val="20"/>
          <w:lang w:eastAsia="bg-BG"/>
        </w:rPr>
        <w:t xml:space="preserve">уебсайт: </w:t>
      </w:r>
      <w:r w:rsidRPr="00044391">
        <w:rPr>
          <w:rFonts w:eastAsia="Times New Roman" w:cs="Arial"/>
          <w:color w:val="000000"/>
          <w:szCs w:val="20"/>
          <w:u w:val="single"/>
          <w:lang w:val="en-US"/>
        </w:rPr>
        <w:t>www.bda.bg</w:t>
      </w:r>
    </w:p>
    <w:p w14:paraId="3FFEEFEE" w14:textId="77777777" w:rsidR="00044391" w:rsidRPr="00044391" w:rsidRDefault="00044391" w:rsidP="00044391">
      <w:pPr>
        <w:rPr>
          <w:rFonts w:cs="Arial"/>
          <w:sz w:val="28"/>
        </w:rPr>
      </w:pPr>
    </w:p>
    <w:p w14:paraId="0A023CE0" w14:textId="75B0A77F" w:rsidR="00CF77F7" w:rsidRDefault="002C50EE" w:rsidP="004A448E">
      <w:pPr>
        <w:pStyle w:val="Heading2"/>
      </w:pPr>
      <w:r>
        <w:t>4.9. Предозиране</w:t>
      </w:r>
    </w:p>
    <w:p w14:paraId="1516B8BD" w14:textId="23B9D90B" w:rsidR="00044391" w:rsidRDefault="00044391" w:rsidP="00044391"/>
    <w:p w14:paraId="2BC83F2F" w14:textId="78A63190" w:rsidR="00044391" w:rsidRPr="00044391" w:rsidRDefault="00044391" w:rsidP="00044391">
      <w:pPr>
        <w:rPr>
          <w:sz w:val="24"/>
        </w:rPr>
      </w:pPr>
      <w:r w:rsidRPr="00044391">
        <w:rPr>
          <w:szCs w:val="20"/>
        </w:rPr>
        <w:lastRenderedPageBreak/>
        <w:t>Специфично лечение при предозиране на аторвастатин няма. При предозиране пациентът трябва да бъде лекуван симптоматично и да се предприемат поддържащи мерки според необходимостта. Трябва да се изследват чернодробните ензими и да се мониторират нивата на серумната СК. Поради високата степен на свързване на аторвастатин с плазмените протеини не се очаква хемодиализата да ускори значително клирънса на аторвастатин.</w:t>
      </w:r>
    </w:p>
    <w:p w14:paraId="02081B24" w14:textId="1AC847BE" w:rsidR="00395555" w:rsidRDefault="002C50EE" w:rsidP="008A6AF2">
      <w:pPr>
        <w:pStyle w:val="Heading1"/>
      </w:pPr>
      <w:r>
        <w:t>5. ФАРМАКОЛОГИЧНИ СВОЙСТВА</w:t>
      </w:r>
    </w:p>
    <w:p w14:paraId="10750331" w14:textId="77777777" w:rsidR="00044391" w:rsidRPr="00044391" w:rsidRDefault="00044391" w:rsidP="00044391"/>
    <w:p w14:paraId="32B6DE66" w14:textId="740826FF" w:rsidR="00CF77F7" w:rsidRDefault="002C50EE" w:rsidP="004A448E">
      <w:pPr>
        <w:pStyle w:val="Heading2"/>
      </w:pPr>
      <w:r>
        <w:t>5.1. Фармакодинамични свойства</w:t>
      </w:r>
    </w:p>
    <w:p w14:paraId="77CCE750" w14:textId="0AD2F0CF" w:rsidR="00044391" w:rsidRDefault="00044391" w:rsidP="00044391"/>
    <w:p w14:paraId="4530C2BF" w14:textId="77777777"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Фармакотерапевтична група: Лекарства, регулиращи липидите, </w:t>
      </w:r>
      <w:r w:rsidRPr="00CC1FA8">
        <w:rPr>
          <w:rFonts w:eastAsia="Times New Roman" w:cs="Arial"/>
          <w:color w:val="000000"/>
          <w:szCs w:val="20"/>
          <w:lang w:val="en-US"/>
        </w:rPr>
        <w:t>HMG</w:t>
      </w:r>
      <w:r w:rsidRPr="00CC1FA8">
        <w:rPr>
          <w:rFonts w:eastAsia="Times New Roman" w:cs="Arial"/>
          <w:color w:val="000000"/>
          <w:szCs w:val="20"/>
          <w:lang w:eastAsia="bg-BG"/>
        </w:rPr>
        <w:t>-СоА-редуктазни инхибитори, АТС код С10АА05</w:t>
      </w:r>
    </w:p>
    <w:p w14:paraId="14D4D194" w14:textId="77777777" w:rsidR="00044391" w:rsidRPr="00CC1FA8" w:rsidRDefault="00044391" w:rsidP="00044391">
      <w:pPr>
        <w:spacing w:line="240" w:lineRule="auto"/>
        <w:rPr>
          <w:rFonts w:eastAsia="Times New Roman" w:cs="Arial"/>
          <w:color w:val="000000"/>
          <w:szCs w:val="20"/>
          <w:u w:val="single"/>
          <w:lang w:eastAsia="bg-BG"/>
        </w:rPr>
      </w:pPr>
    </w:p>
    <w:p w14:paraId="7AABE433" w14:textId="19956F20"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u w:val="single"/>
          <w:lang w:eastAsia="bg-BG"/>
        </w:rPr>
        <w:t>Механизъм на действие</w:t>
      </w:r>
    </w:p>
    <w:p w14:paraId="2F5E73B6" w14:textId="77777777"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Аторвастатин е селективен, компетитивен </w:t>
      </w:r>
      <w:r w:rsidRPr="00CC1FA8">
        <w:rPr>
          <w:rFonts w:eastAsia="Times New Roman" w:cs="Arial"/>
          <w:color w:val="000000"/>
          <w:szCs w:val="20"/>
          <w:lang w:val="en-US"/>
        </w:rPr>
        <w:t>HMG</w:t>
      </w:r>
      <w:r w:rsidRPr="00CC1FA8">
        <w:rPr>
          <w:rFonts w:eastAsia="Times New Roman" w:cs="Arial"/>
          <w:color w:val="000000"/>
          <w:szCs w:val="20"/>
          <w:lang w:eastAsia="bg-BG"/>
        </w:rPr>
        <w:t xml:space="preserve">-СоА-редуктазен инхибитор, скоростопределящ ензим, отговорен за превръщането на 3-хидрокси-3-метил-глутарил-коензим А до мевалонат, прекурсор на стеролите, включително на холестерола. Триглицеридите и холестеролът в черния дроб се включват в състава на липопротеини с много ниска плътност </w:t>
      </w:r>
      <w:r w:rsidRPr="00CC1FA8">
        <w:rPr>
          <w:rFonts w:eastAsia="Times New Roman" w:cs="Arial"/>
          <w:color w:val="000000"/>
          <w:szCs w:val="20"/>
          <w:lang w:val="en-US"/>
        </w:rPr>
        <w:t xml:space="preserve">(VLDL) </w:t>
      </w:r>
      <w:r w:rsidRPr="00CC1FA8">
        <w:rPr>
          <w:rFonts w:eastAsia="Times New Roman" w:cs="Arial"/>
          <w:color w:val="000000"/>
          <w:szCs w:val="20"/>
          <w:lang w:eastAsia="bg-BG"/>
        </w:rPr>
        <w:t xml:space="preserve">и се отделят в плазмата за пренасяне до периферните тъкани. Липопротеините с ниска плътност </w:t>
      </w:r>
      <w:r w:rsidRPr="00CC1FA8">
        <w:rPr>
          <w:rFonts w:eastAsia="Times New Roman" w:cs="Arial"/>
          <w:color w:val="000000"/>
          <w:szCs w:val="20"/>
          <w:lang w:val="en-US"/>
        </w:rPr>
        <w:t xml:space="preserve">(LDL) </w:t>
      </w:r>
      <w:r w:rsidRPr="00CC1FA8">
        <w:rPr>
          <w:rFonts w:eastAsia="Times New Roman" w:cs="Arial"/>
          <w:color w:val="000000"/>
          <w:szCs w:val="20"/>
          <w:lang w:eastAsia="bg-BG"/>
        </w:rPr>
        <w:t xml:space="preserve">се образуват от </w:t>
      </w:r>
      <w:r w:rsidRPr="00CC1FA8">
        <w:rPr>
          <w:rFonts w:eastAsia="Times New Roman" w:cs="Arial"/>
          <w:color w:val="000000"/>
          <w:szCs w:val="20"/>
          <w:lang w:val="en-US"/>
        </w:rPr>
        <w:t xml:space="preserve">VLDL </w:t>
      </w:r>
      <w:r w:rsidRPr="00CC1FA8">
        <w:rPr>
          <w:rFonts w:eastAsia="Times New Roman" w:cs="Arial"/>
          <w:color w:val="000000"/>
          <w:szCs w:val="20"/>
          <w:lang w:eastAsia="bg-BG"/>
        </w:rPr>
        <w:t xml:space="preserve">и се катаболизират преди всичко чрез рецептори с висок афинитет за </w:t>
      </w:r>
      <w:r w:rsidRPr="00CC1FA8">
        <w:rPr>
          <w:rFonts w:eastAsia="Times New Roman" w:cs="Arial"/>
          <w:color w:val="000000"/>
          <w:szCs w:val="20"/>
          <w:lang w:val="en-US"/>
        </w:rPr>
        <w:t xml:space="preserve">LDL (LDL </w:t>
      </w:r>
      <w:r w:rsidRPr="00CC1FA8">
        <w:rPr>
          <w:rFonts w:eastAsia="Times New Roman" w:cs="Arial"/>
          <w:color w:val="000000"/>
          <w:szCs w:val="20"/>
          <w:lang w:eastAsia="bg-BG"/>
        </w:rPr>
        <w:t>рецептори).</w:t>
      </w:r>
    </w:p>
    <w:p w14:paraId="0F83D00E" w14:textId="77777777" w:rsidR="00044391" w:rsidRPr="00CC1FA8" w:rsidRDefault="00044391" w:rsidP="00044391">
      <w:pPr>
        <w:spacing w:line="240" w:lineRule="auto"/>
        <w:rPr>
          <w:rFonts w:eastAsia="Times New Roman" w:cs="Arial"/>
          <w:color w:val="000000"/>
          <w:szCs w:val="20"/>
          <w:u w:val="single"/>
          <w:lang w:eastAsia="bg-BG"/>
        </w:rPr>
      </w:pPr>
    </w:p>
    <w:p w14:paraId="5589D845" w14:textId="4378E206"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u w:val="single"/>
          <w:lang w:eastAsia="bg-BG"/>
        </w:rPr>
        <w:t>Фармакодннамични ефекти</w:t>
      </w:r>
    </w:p>
    <w:p w14:paraId="54766857" w14:textId="77777777" w:rsidR="00044391" w:rsidRPr="00CC1FA8" w:rsidRDefault="00044391" w:rsidP="00044391">
      <w:pPr>
        <w:spacing w:line="240" w:lineRule="auto"/>
        <w:rPr>
          <w:rFonts w:eastAsia="Times New Roman" w:cs="Arial"/>
          <w:color w:val="000000"/>
          <w:szCs w:val="20"/>
          <w:lang w:eastAsia="bg-BG"/>
        </w:rPr>
      </w:pPr>
    </w:p>
    <w:p w14:paraId="243AB007" w14:textId="4ED174B0"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Аторвастатин понижава плазмените нива на холестерола и липопротеините чрез инхибиране на </w:t>
      </w:r>
      <w:r w:rsidRPr="00CC1FA8">
        <w:rPr>
          <w:rFonts w:eastAsia="Times New Roman" w:cs="Arial"/>
          <w:color w:val="000000"/>
          <w:szCs w:val="20"/>
          <w:lang w:val="en-US"/>
        </w:rPr>
        <w:t xml:space="preserve">HMG-CoA </w:t>
      </w:r>
      <w:r w:rsidRPr="00CC1FA8">
        <w:rPr>
          <w:rFonts w:eastAsia="Times New Roman" w:cs="Arial"/>
          <w:color w:val="000000"/>
          <w:szCs w:val="20"/>
          <w:lang w:eastAsia="bg-BG"/>
        </w:rPr>
        <w:t xml:space="preserve">редуктазата и последващата биосинтеза на холестерол в черния дроб и увеличава броя на чернодробните рецептори за </w:t>
      </w:r>
      <w:r w:rsidRPr="00CC1FA8">
        <w:rPr>
          <w:rFonts w:eastAsia="Times New Roman" w:cs="Arial"/>
          <w:color w:val="000000"/>
          <w:szCs w:val="20"/>
          <w:lang w:val="en-US"/>
        </w:rPr>
        <w:t xml:space="preserve">LDL </w:t>
      </w:r>
      <w:r w:rsidRPr="00CC1FA8">
        <w:rPr>
          <w:rFonts w:eastAsia="Times New Roman" w:cs="Arial"/>
          <w:color w:val="000000"/>
          <w:szCs w:val="20"/>
          <w:lang w:eastAsia="bg-BG"/>
        </w:rPr>
        <w:t xml:space="preserve">върху клетъчната повърхност за усилено усвояване и катаболизъм на </w:t>
      </w:r>
      <w:r w:rsidRPr="00CC1FA8">
        <w:rPr>
          <w:rFonts w:eastAsia="Times New Roman" w:cs="Arial"/>
          <w:color w:val="000000"/>
          <w:szCs w:val="20"/>
          <w:lang w:val="en-US"/>
        </w:rPr>
        <w:t>LDL.</w:t>
      </w:r>
    </w:p>
    <w:p w14:paraId="21416BB5" w14:textId="77777777" w:rsidR="00044391" w:rsidRPr="00CC1FA8" w:rsidRDefault="00044391" w:rsidP="00044391">
      <w:pPr>
        <w:spacing w:line="240" w:lineRule="auto"/>
        <w:rPr>
          <w:rFonts w:eastAsia="Times New Roman" w:cs="Arial"/>
          <w:color w:val="000000"/>
          <w:szCs w:val="20"/>
          <w:lang w:eastAsia="bg-BG"/>
        </w:rPr>
      </w:pPr>
    </w:p>
    <w:p w14:paraId="7A7FB1AA" w14:textId="5D8DBABA"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Аторвастатин намалява образуването на </w:t>
      </w:r>
      <w:r w:rsidRPr="00CC1FA8">
        <w:rPr>
          <w:rFonts w:eastAsia="Times New Roman" w:cs="Arial"/>
          <w:color w:val="000000"/>
          <w:szCs w:val="20"/>
          <w:lang w:val="en-US"/>
        </w:rPr>
        <w:t xml:space="preserve">LDL </w:t>
      </w:r>
      <w:r w:rsidRPr="00CC1FA8">
        <w:rPr>
          <w:rFonts w:eastAsia="Times New Roman" w:cs="Arial"/>
          <w:color w:val="000000"/>
          <w:szCs w:val="20"/>
          <w:lang w:eastAsia="bg-BG"/>
        </w:rPr>
        <w:t xml:space="preserve">и броя на </w:t>
      </w:r>
      <w:r w:rsidRPr="00CC1FA8">
        <w:rPr>
          <w:rFonts w:eastAsia="Times New Roman" w:cs="Arial"/>
          <w:color w:val="000000"/>
          <w:szCs w:val="20"/>
          <w:lang w:val="en-US"/>
        </w:rPr>
        <w:t>LDL</w:t>
      </w:r>
      <w:r w:rsidRPr="00CC1FA8">
        <w:rPr>
          <w:rFonts w:eastAsia="Times New Roman" w:cs="Arial"/>
          <w:color w:val="000000"/>
          <w:szCs w:val="20"/>
          <w:lang w:eastAsia="bg-BG"/>
        </w:rPr>
        <w:t xml:space="preserve">-частиците. Аторвастатин причинява значително и дълготрайно повишаване на активността на рецепторите за </w:t>
      </w:r>
      <w:r w:rsidRPr="00CC1FA8">
        <w:rPr>
          <w:rFonts w:eastAsia="Times New Roman" w:cs="Arial"/>
          <w:color w:val="000000"/>
          <w:szCs w:val="20"/>
          <w:lang w:val="en-US"/>
        </w:rPr>
        <w:t xml:space="preserve">LDL, </w:t>
      </w:r>
      <w:r w:rsidRPr="00CC1FA8">
        <w:rPr>
          <w:rFonts w:eastAsia="Times New Roman" w:cs="Arial"/>
          <w:color w:val="000000"/>
          <w:szCs w:val="20"/>
          <w:lang w:eastAsia="bg-BG"/>
        </w:rPr>
        <w:t xml:space="preserve">придружено с благоприятна промяна в качеството на циркулиращите </w:t>
      </w:r>
      <w:r w:rsidRPr="00CC1FA8">
        <w:rPr>
          <w:rFonts w:eastAsia="Times New Roman" w:cs="Arial"/>
          <w:color w:val="000000"/>
          <w:szCs w:val="20"/>
          <w:lang w:val="en-US"/>
        </w:rPr>
        <w:t>LDL</w:t>
      </w:r>
      <w:r w:rsidRPr="00CC1FA8">
        <w:rPr>
          <w:rFonts w:eastAsia="Times New Roman" w:cs="Arial"/>
          <w:color w:val="000000"/>
          <w:szCs w:val="20"/>
          <w:lang w:eastAsia="bg-BG"/>
        </w:rPr>
        <w:t>-частици.</w:t>
      </w:r>
    </w:p>
    <w:p w14:paraId="0FCFBEA5" w14:textId="77777777"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Аторвастатин е ефикасен за понижаване на </w:t>
      </w:r>
      <w:r w:rsidRPr="00CC1FA8">
        <w:rPr>
          <w:rFonts w:eastAsia="Times New Roman" w:cs="Arial"/>
          <w:color w:val="000000"/>
          <w:szCs w:val="20"/>
          <w:lang w:val="en-US"/>
        </w:rPr>
        <w:t>LDL</w:t>
      </w:r>
      <w:r w:rsidRPr="00CC1FA8">
        <w:rPr>
          <w:rFonts w:eastAsia="Times New Roman" w:cs="Arial"/>
          <w:color w:val="000000"/>
          <w:szCs w:val="20"/>
          <w:lang w:eastAsia="bg-BG"/>
        </w:rPr>
        <w:t>-холестерола при пациенти с хомозиготна фамилна хиперхолестеролемия, група болни, които обикновено не се влияят от понижаващи липидите лекарствени продукти.</w:t>
      </w:r>
    </w:p>
    <w:p w14:paraId="2E64B676" w14:textId="77777777" w:rsidR="00CC1FA8" w:rsidRPr="00CC1FA8" w:rsidRDefault="00CC1FA8" w:rsidP="00044391">
      <w:pPr>
        <w:spacing w:line="240" w:lineRule="auto"/>
        <w:rPr>
          <w:rFonts w:eastAsia="Times New Roman" w:cs="Arial"/>
          <w:color w:val="000000"/>
          <w:szCs w:val="20"/>
          <w:lang w:eastAsia="bg-BG"/>
        </w:rPr>
      </w:pPr>
    </w:p>
    <w:p w14:paraId="2FD18B65" w14:textId="2063C40C"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Установено е, че аторвастатин понижава общия холестерол (30-46%),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-холестерола (41- 61%), аполипопротеин В (34-50%) и триглицеридите (14-33%), като същевременно води до вариабилни повишения на </w:t>
      </w:r>
      <w:r w:rsidRPr="00CC1FA8">
        <w:rPr>
          <w:rFonts w:eastAsia="Times New Roman" w:cs="Arial"/>
          <w:color w:val="000000"/>
          <w:szCs w:val="20"/>
          <w:lang w:val="en-US"/>
        </w:rPr>
        <w:t xml:space="preserve">HDL-C </w:t>
      </w:r>
      <w:r w:rsidRPr="00CC1FA8">
        <w:rPr>
          <w:rFonts w:eastAsia="Times New Roman" w:cs="Arial"/>
          <w:color w:val="000000"/>
          <w:szCs w:val="20"/>
          <w:lang w:eastAsia="bg-BG"/>
        </w:rPr>
        <w:t>и аполипопротеин А, в доза-зависимо проучване.</w:t>
      </w:r>
    </w:p>
    <w:p w14:paraId="09F53813" w14:textId="77777777" w:rsidR="00CC1FA8" w:rsidRPr="00CC1FA8" w:rsidRDefault="00CC1FA8" w:rsidP="00044391">
      <w:pPr>
        <w:spacing w:line="240" w:lineRule="auto"/>
        <w:rPr>
          <w:rFonts w:eastAsia="Times New Roman" w:cs="Arial"/>
          <w:color w:val="000000"/>
          <w:szCs w:val="20"/>
          <w:lang w:eastAsia="bg-BG"/>
        </w:rPr>
      </w:pPr>
    </w:p>
    <w:p w14:paraId="14DD7829" w14:textId="68B885E3"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Тези резултати се потвърждават при пациенти с хетерозиготна фамилна хиперхолестеролемия, нефамилна хиперхолестеролемия и смесена хиперлипидемия, включително пациенти с неинсулин-зависим захарен диабет.</w:t>
      </w:r>
    </w:p>
    <w:p w14:paraId="62A3AC52" w14:textId="77777777" w:rsidR="00CC1FA8" w:rsidRPr="00CC1FA8" w:rsidRDefault="00CC1FA8" w:rsidP="00044391">
      <w:pPr>
        <w:spacing w:line="240" w:lineRule="auto"/>
        <w:rPr>
          <w:rFonts w:eastAsia="Times New Roman" w:cs="Arial"/>
          <w:color w:val="000000"/>
          <w:szCs w:val="20"/>
          <w:lang w:eastAsia="bg-BG"/>
        </w:rPr>
      </w:pPr>
    </w:p>
    <w:p w14:paraId="0F5787E7" w14:textId="1F74E5E1"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Доказано е, че понижението на общия холестерол,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-холестерола и аполипопротеин </w:t>
      </w:r>
      <w:r w:rsidRPr="00CC1FA8">
        <w:rPr>
          <w:rFonts w:eastAsia="Times New Roman" w:cs="Arial"/>
          <w:color w:val="000000"/>
          <w:szCs w:val="20"/>
          <w:lang w:val="en-US"/>
        </w:rPr>
        <w:t>B</w:t>
      </w:r>
      <w:r w:rsidRPr="00CC1FA8">
        <w:rPr>
          <w:rFonts w:eastAsia="Times New Roman" w:cs="Arial"/>
          <w:color w:val="000000"/>
          <w:szCs w:val="20"/>
          <w:lang w:eastAsia="bg-BG"/>
        </w:rPr>
        <w:t xml:space="preserve"> намалява риска от сърдечносъдови инциденти и сърдечносъдова смъртност. </w:t>
      </w:r>
    </w:p>
    <w:p w14:paraId="4FCABD8D" w14:textId="77777777" w:rsidR="00CC1FA8" w:rsidRPr="00CC1FA8" w:rsidRDefault="00CC1FA8" w:rsidP="00044391">
      <w:pPr>
        <w:spacing w:line="240" w:lineRule="auto"/>
        <w:rPr>
          <w:rFonts w:eastAsia="Times New Roman" w:cs="Arial"/>
          <w:color w:val="000000"/>
          <w:szCs w:val="20"/>
          <w:u w:val="single"/>
          <w:lang w:eastAsia="bg-BG"/>
        </w:rPr>
      </w:pPr>
    </w:p>
    <w:p w14:paraId="2C055594" w14:textId="3C16BFD9"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u w:val="single"/>
          <w:lang w:eastAsia="bg-BG"/>
        </w:rPr>
        <w:lastRenderedPageBreak/>
        <w:t>Клинична ефикасност и безопасност</w:t>
      </w:r>
    </w:p>
    <w:p w14:paraId="63B0CC21" w14:textId="77777777" w:rsidR="00044391" w:rsidRPr="00CC1FA8" w:rsidRDefault="00044391" w:rsidP="00044391">
      <w:pPr>
        <w:spacing w:line="240" w:lineRule="auto"/>
        <w:rPr>
          <w:rFonts w:eastAsia="Times New Roman" w:cs="Arial"/>
          <w:sz w:val="28"/>
          <w:szCs w:val="24"/>
          <w:lang w:eastAsia="bg-BG"/>
        </w:rPr>
      </w:pPr>
    </w:p>
    <w:p w14:paraId="596CFBB5" w14:textId="2FD69C45" w:rsidR="00044391" w:rsidRPr="00CC1FA8" w:rsidRDefault="00044391" w:rsidP="00044391">
      <w:pPr>
        <w:rPr>
          <w:rFonts w:eastAsia="Times New Roman" w:cs="Arial"/>
          <w:i/>
          <w:iCs/>
          <w:color w:val="000000"/>
          <w:szCs w:val="20"/>
          <w:u w:val="single"/>
          <w:lang w:eastAsia="bg-BG"/>
        </w:rPr>
      </w:pPr>
      <w:r w:rsidRPr="00CC1FA8">
        <w:rPr>
          <w:rFonts w:eastAsia="Times New Roman" w:cs="Arial"/>
          <w:i/>
          <w:iCs/>
          <w:color w:val="000000"/>
          <w:szCs w:val="20"/>
          <w:u w:val="single"/>
          <w:lang w:eastAsia="bg-BG"/>
        </w:rPr>
        <w:t>Хомозиготна фамилна хиперхолестеролемия</w:t>
      </w:r>
    </w:p>
    <w:p w14:paraId="1FA2094F" w14:textId="77777777"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В мултицентрово осем седмично отворено проучване за милосърдна употреба с факултативен удължителен период с различна продължителност, са били включени 335 пациенти, 89 от които са с установена хомозиготна фамилна хиперхолестеролемия. При тези </w:t>
      </w:r>
      <w:r w:rsidRPr="00CC1FA8">
        <w:rPr>
          <w:rFonts w:eastAsia="Times New Roman" w:cs="Arial"/>
          <w:i/>
          <w:iCs/>
          <w:color w:val="000000"/>
          <w:szCs w:val="20"/>
          <w:lang w:eastAsia="bg-BG"/>
        </w:rPr>
        <w:t>89 пациенти,</w:t>
      </w:r>
      <w:r w:rsidRPr="00CC1FA8">
        <w:rPr>
          <w:rFonts w:eastAsia="Times New Roman" w:cs="Arial"/>
          <w:color w:val="000000"/>
          <w:szCs w:val="20"/>
          <w:lang w:eastAsia="bg-BG"/>
        </w:rPr>
        <w:t xml:space="preserve"> средното понижение на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-холестерола е приблизително 20%. Аторвастатин е прилаган в дози до 80 </w:t>
      </w:r>
      <w:r w:rsidRPr="00CC1FA8">
        <w:rPr>
          <w:rFonts w:eastAsia="Times New Roman" w:cs="Arial"/>
          <w:color w:val="000000"/>
          <w:szCs w:val="20"/>
          <w:lang w:val="en-US"/>
        </w:rPr>
        <w:t>mg</w:t>
      </w:r>
      <w:r w:rsidRPr="00CC1FA8">
        <w:rPr>
          <w:rFonts w:eastAsia="Times New Roman" w:cs="Arial"/>
          <w:color w:val="000000"/>
          <w:szCs w:val="20"/>
          <w:lang w:eastAsia="bg-BG"/>
        </w:rPr>
        <w:t>/ден.</w:t>
      </w:r>
    </w:p>
    <w:p w14:paraId="3F1D9888" w14:textId="77777777" w:rsidR="00CC1FA8" w:rsidRPr="00CC1FA8" w:rsidRDefault="00CC1FA8" w:rsidP="00CC1FA8">
      <w:pPr>
        <w:spacing w:line="240" w:lineRule="auto"/>
        <w:rPr>
          <w:rFonts w:eastAsia="Times New Roman" w:cs="Arial"/>
          <w:i/>
          <w:iCs/>
          <w:color w:val="000000"/>
          <w:szCs w:val="20"/>
          <w:u w:val="single"/>
          <w:lang w:eastAsia="bg-BG"/>
        </w:rPr>
      </w:pPr>
    </w:p>
    <w:p w14:paraId="264BE4E8" w14:textId="3658F2CC" w:rsidR="00CC1FA8" w:rsidRPr="00CC1FA8" w:rsidRDefault="00CC1FA8" w:rsidP="00CC1FA8">
      <w:pPr>
        <w:spacing w:line="240" w:lineRule="auto"/>
        <w:rPr>
          <w:rFonts w:eastAsia="Times New Roman" w:cs="Arial"/>
          <w:sz w:val="28"/>
          <w:szCs w:val="24"/>
          <w:lang w:eastAsia="bg-BG"/>
        </w:rPr>
      </w:pPr>
      <w:r w:rsidRPr="00CC1FA8">
        <w:rPr>
          <w:rFonts w:eastAsia="Times New Roman" w:cs="Arial"/>
          <w:i/>
          <w:iCs/>
          <w:color w:val="000000"/>
          <w:szCs w:val="20"/>
          <w:u w:val="single"/>
          <w:lang w:eastAsia="bg-BG"/>
        </w:rPr>
        <w:t>Атеросклероза</w:t>
      </w:r>
    </w:p>
    <w:p w14:paraId="50D79742" w14:textId="77777777" w:rsidR="00CC1FA8" w:rsidRPr="00CC1FA8" w:rsidRDefault="00CC1FA8" w:rsidP="00CC1FA8">
      <w:pPr>
        <w:spacing w:line="240" w:lineRule="auto"/>
        <w:rPr>
          <w:rFonts w:eastAsia="Times New Roman" w:cs="Arial"/>
          <w:color w:val="000000"/>
          <w:szCs w:val="20"/>
          <w:lang w:eastAsia="bg-BG"/>
        </w:rPr>
      </w:pPr>
    </w:p>
    <w:p w14:paraId="48995D84" w14:textId="0D675940"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В клиничното проучване </w:t>
      </w:r>
      <w:r w:rsidRPr="00CC1FA8">
        <w:rPr>
          <w:rFonts w:eastAsia="Times New Roman" w:cs="Arial"/>
          <w:color w:val="000000"/>
          <w:szCs w:val="20"/>
          <w:lang w:val="en-US"/>
        </w:rPr>
        <w:t xml:space="preserve">Reversing Atherosclerosis with Aggressive Lipid -Lowering Study (REVERSAL) </w:t>
      </w:r>
      <w:r w:rsidRPr="00CC1FA8">
        <w:rPr>
          <w:rFonts w:eastAsia="Times New Roman" w:cs="Arial"/>
          <w:color w:val="000000"/>
          <w:szCs w:val="20"/>
          <w:lang w:eastAsia="bg-BG"/>
        </w:rPr>
        <w:t xml:space="preserve">ефектът на интензивно понижаване на липидите с аторвастатин 80 </w:t>
      </w:r>
      <w:r w:rsidRPr="00CC1FA8">
        <w:rPr>
          <w:rFonts w:eastAsia="Times New Roman" w:cs="Arial"/>
          <w:color w:val="000000"/>
          <w:szCs w:val="20"/>
          <w:lang w:val="en-US"/>
        </w:rPr>
        <w:t xml:space="preserve">mg </w:t>
      </w:r>
      <w:r w:rsidRPr="00CC1FA8">
        <w:rPr>
          <w:rFonts w:eastAsia="Times New Roman" w:cs="Arial"/>
          <w:color w:val="000000"/>
          <w:szCs w:val="20"/>
          <w:lang w:eastAsia="bg-BG"/>
        </w:rPr>
        <w:t xml:space="preserve">и стандартно понижаване на липидите с правастатин 40 </w:t>
      </w:r>
      <w:r w:rsidRPr="00CC1FA8">
        <w:rPr>
          <w:rFonts w:eastAsia="Times New Roman" w:cs="Arial"/>
          <w:color w:val="000000"/>
          <w:szCs w:val="20"/>
          <w:lang w:val="en-US"/>
        </w:rPr>
        <w:t xml:space="preserve">mg </w:t>
      </w:r>
      <w:r w:rsidRPr="00CC1FA8">
        <w:rPr>
          <w:rFonts w:eastAsia="Times New Roman" w:cs="Arial"/>
          <w:color w:val="000000"/>
          <w:szCs w:val="20"/>
          <w:lang w:eastAsia="bg-BG"/>
        </w:rPr>
        <w:t xml:space="preserve">при коронарна атеросклероза е оценен чрез вътресъдово ултразвуково изследване </w:t>
      </w:r>
      <w:r w:rsidRPr="00CC1FA8">
        <w:rPr>
          <w:rFonts w:eastAsia="Times New Roman" w:cs="Arial"/>
          <w:color w:val="000000"/>
          <w:szCs w:val="20"/>
          <w:lang w:val="en-US"/>
        </w:rPr>
        <w:t xml:space="preserve">(IVUS) </w:t>
      </w:r>
      <w:r w:rsidRPr="00CC1FA8">
        <w:rPr>
          <w:rFonts w:eastAsia="Times New Roman" w:cs="Arial"/>
          <w:color w:val="000000"/>
          <w:szCs w:val="20"/>
          <w:lang w:eastAsia="bg-BG"/>
        </w:rPr>
        <w:t xml:space="preserve">по време на ангиография при пациенти с исхемична болест на сърцето (ИБС). В това рандомизирано, двойно-сляпо, мултицентрово, контролирано клинично проучване </w:t>
      </w:r>
      <w:r w:rsidRPr="00CC1FA8">
        <w:rPr>
          <w:rFonts w:eastAsia="Times New Roman" w:cs="Arial"/>
          <w:color w:val="000000"/>
          <w:szCs w:val="20"/>
          <w:lang w:val="en-US"/>
        </w:rPr>
        <w:t xml:space="preserve">IVUS </w:t>
      </w:r>
      <w:r w:rsidRPr="00CC1FA8">
        <w:rPr>
          <w:rFonts w:eastAsia="Times New Roman" w:cs="Arial"/>
          <w:color w:val="000000"/>
          <w:szCs w:val="20"/>
          <w:lang w:eastAsia="bg-BG"/>
        </w:rPr>
        <w:t>е направен в началото на проучването и на 18</w:t>
      </w:r>
      <w:r w:rsidRPr="00CC1FA8">
        <w:rPr>
          <w:rFonts w:eastAsia="Times New Roman" w:cs="Arial"/>
          <w:color w:val="000000"/>
          <w:szCs w:val="20"/>
          <w:vertAlign w:val="superscript"/>
          <w:lang w:eastAsia="bg-BG"/>
        </w:rPr>
        <w:t>ия</w:t>
      </w:r>
      <w:r w:rsidRPr="00CC1FA8">
        <w:rPr>
          <w:rFonts w:eastAsia="Times New Roman" w:cs="Arial"/>
          <w:color w:val="000000"/>
          <w:szCs w:val="20"/>
          <w:lang w:eastAsia="bg-BG"/>
        </w:rPr>
        <w:t xml:space="preserve"> месец при 502 пациенти. В групата на аторвастатин (п=253) няма прогресия на атеросклерозата.</w:t>
      </w:r>
    </w:p>
    <w:p w14:paraId="20BE8A45" w14:textId="77777777" w:rsidR="00CC1FA8" w:rsidRPr="00CC1FA8" w:rsidRDefault="00CC1FA8" w:rsidP="00CC1FA8">
      <w:pPr>
        <w:spacing w:line="240" w:lineRule="auto"/>
        <w:rPr>
          <w:rFonts w:eastAsia="Times New Roman" w:cs="Arial"/>
          <w:color w:val="000000"/>
          <w:szCs w:val="20"/>
          <w:lang w:eastAsia="bg-BG"/>
        </w:rPr>
      </w:pPr>
    </w:p>
    <w:p w14:paraId="3EA56480" w14:textId="79D2A2DA"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Средният процент на промяна в общия обем на атеросклеротичната плака от началото на проучването (първичен критерий на проучването) е -0,4 % (р=0,98) в групата на аторвастатин и +2,7 % (р=0,001) в групата на правастатин (п=249). В сравнение с правастатин ефектите на аторвастатин са статистически значими (р=0,02). Ефектът на интензивното липидно понижаване върху сърдечносъдовата крайна цел (напр. необходимост от реваскуларизация, нефатален миокарден инфаркт, коронарна смърт) не е изследван в това проучване.</w:t>
      </w:r>
    </w:p>
    <w:p w14:paraId="38E27ADB" w14:textId="77777777" w:rsidR="00CC1FA8" w:rsidRPr="00CC1FA8" w:rsidRDefault="00CC1FA8" w:rsidP="00CC1FA8">
      <w:pPr>
        <w:rPr>
          <w:rFonts w:eastAsia="Times New Roman" w:cs="Arial"/>
          <w:color w:val="000000"/>
          <w:szCs w:val="20"/>
          <w:lang w:eastAsia="bg-BG"/>
        </w:rPr>
      </w:pPr>
    </w:p>
    <w:p w14:paraId="5735D8EF" w14:textId="0AFF595B" w:rsidR="00CC1FA8" w:rsidRDefault="00CC1FA8" w:rsidP="00CC1FA8">
      <w:pPr>
        <w:rPr>
          <w:rFonts w:eastAsia="Times New Roman" w:cs="Arial"/>
          <w:color w:val="000000"/>
          <w:szCs w:val="20"/>
          <w:lang w:eastAsia="bg-BG"/>
        </w:rPr>
      </w:pPr>
      <w:r w:rsidRPr="00CC1FA8">
        <w:rPr>
          <w:rFonts w:eastAsia="Times New Roman" w:cs="Arial"/>
          <w:color w:val="000000"/>
          <w:szCs w:val="20"/>
          <w:lang w:eastAsia="bg-BG"/>
        </w:rPr>
        <w:t xml:space="preserve">В групата на аторвастатин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-холестеролът се е понижил до средна стойност от 2,04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+ 0,8 (78,9 </w:t>
      </w:r>
      <w:r w:rsidRPr="00CC1FA8">
        <w:rPr>
          <w:rFonts w:eastAsia="Times New Roman" w:cs="Arial"/>
          <w:color w:val="000000"/>
          <w:szCs w:val="20"/>
          <w:lang w:val="en-US"/>
        </w:rPr>
        <w:t>mg/</w:t>
      </w:r>
      <w:proofErr w:type="spellStart"/>
      <w:r w:rsidRPr="00CC1FA8">
        <w:rPr>
          <w:rFonts w:eastAsia="Times New Roman" w:cs="Arial"/>
          <w:color w:val="000000"/>
          <w:szCs w:val="20"/>
          <w:lang w:val="en-US"/>
        </w:rPr>
        <w:t>dL</w:t>
      </w:r>
      <w:proofErr w:type="spellEnd"/>
      <w:r w:rsidRPr="00CC1FA8">
        <w:rPr>
          <w:rFonts w:eastAsia="Times New Roman" w:cs="Arial"/>
          <w:color w:val="000000"/>
          <w:szCs w:val="20"/>
          <w:lang w:val="en-US"/>
        </w:rPr>
        <w:t xml:space="preserve">+ </w:t>
      </w:r>
      <w:r w:rsidRPr="00CC1FA8">
        <w:rPr>
          <w:rFonts w:eastAsia="Times New Roman" w:cs="Arial"/>
          <w:color w:val="000000"/>
          <w:szCs w:val="20"/>
          <w:lang w:eastAsia="bg-BG"/>
        </w:rPr>
        <w:t xml:space="preserve">30) спрямо изходната стойност от 3,98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+ 0,7 (150 </w:t>
      </w:r>
      <w:r w:rsidRPr="00CC1FA8">
        <w:rPr>
          <w:rFonts w:eastAsia="Times New Roman" w:cs="Arial"/>
          <w:color w:val="000000"/>
          <w:szCs w:val="20"/>
          <w:lang w:val="en-US"/>
        </w:rPr>
        <w:t>mg/</w:t>
      </w:r>
      <w:proofErr w:type="spellStart"/>
      <w:r w:rsidRPr="00CC1FA8">
        <w:rPr>
          <w:rFonts w:eastAsia="Times New Roman" w:cs="Arial"/>
          <w:color w:val="000000"/>
          <w:szCs w:val="20"/>
          <w:lang w:val="en-US"/>
        </w:rPr>
        <w:t>dL</w:t>
      </w:r>
      <w:proofErr w:type="spellEnd"/>
      <w:r w:rsidRPr="00CC1FA8">
        <w:rPr>
          <w:rFonts w:eastAsia="Times New Roman" w:cs="Arial"/>
          <w:color w:val="000000"/>
          <w:szCs w:val="20"/>
          <w:lang w:val="en-US"/>
        </w:rPr>
        <w:t xml:space="preserve"> </w:t>
      </w:r>
      <w:r w:rsidRPr="00CC1FA8">
        <w:rPr>
          <w:rFonts w:eastAsia="Times New Roman" w:cs="Arial"/>
          <w:color w:val="000000"/>
          <w:szCs w:val="20"/>
          <w:lang w:eastAsia="bg-BG"/>
        </w:rPr>
        <w:t xml:space="preserve">+ 28), а в групата на правастатин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-холестеролът се е понижил до средна стойност от 2,85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+ 0,7 (110 </w:t>
      </w:r>
      <w:r w:rsidRPr="00CC1FA8">
        <w:rPr>
          <w:rFonts w:eastAsia="Times New Roman" w:cs="Arial"/>
          <w:color w:val="000000"/>
          <w:szCs w:val="20"/>
          <w:lang w:val="en-US"/>
        </w:rPr>
        <w:t>mg/</w:t>
      </w:r>
      <w:proofErr w:type="spellStart"/>
      <w:r w:rsidRPr="00CC1FA8">
        <w:rPr>
          <w:rFonts w:eastAsia="Times New Roman" w:cs="Arial"/>
          <w:color w:val="000000"/>
          <w:szCs w:val="20"/>
          <w:lang w:val="en-US"/>
        </w:rPr>
        <w:t>dL</w:t>
      </w:r>
      <w:proofErr w:type="spellEnd"/>
      <w:r w:rsidRPr="00CC1FA8">
        <w:rPr>
          <w:rFonts w:eastAsia="Times New Roman" w:cs="Arial"/>
          <w:color w:val="000000"/>
          <w:szCs w:val="20"/>
          <w:lang w:val="en-US"/>
        </w:rPr>
        <w:t xml:space="preserve">+ </w:t>
      </w:r>
      <w:r w:rsidRPr="00CC1FA8">
        <w:rPr>
          <w:rFonts w:eastAsia="Times New Roman" w:cs="Arial"/>
          <w:color w:val="000000"/>
          <w:szCs w:val="20"/>
          <w:lang w:eastAsia="bg-BG"/>
        </w:rPr>
        <w:t xml:space="preserve">26) спрямо изходната стойност от 3,89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+ 0,7 (150 </w:t>
      </w:r>
      <w:r w:rsidRPr="00CC1FA8">
        <w:rPr>
          <w:rFonts w:eastAsia="Times New Roman" w:cs="Arial"/>
          <w:color w:val="000000"/>
          <w:szCs w:val="20"/>
          <w:lang w:val="en-US"/>
        </w:rPr>
        <w:t>mg/</w:t>
      </w:r>
      <w:proofErr w:type="spellStart"/>
      <w:r w:rsidRPr="00CC1FA8">
        <w:rPr>
          <w:rFonts w:eastAsia="Times New Roman" w:cs="Arial"/>
          <w:color w:val="000000"/>
          <w:szCs w:val="20"/>
          <w:lang w:val="en-US"/>
        </w:rPr>
        <w:t>dL</w:t>
      </w:r>
      <w:proofErr w:type="spellEnd"/>
      <w:r w:rsidRPr="00CC1FA8">
        <w:rPr>
          <w:rFonts w:eastAsia="Times New Roman" w:cs="Arial"/>
          <w:color w:val="000000"/>
          <w:szCs w:val="20"/>
          <w:lang w:val="en-US"/>
        </w:rPr>
        <w:t xml:space="preserve"> </w:t>
      </w:r>
      <w:r w:rsidRPr="00CC1FA8">
        <w:rPr>
          <w:rFonts w:eastAsia="Times New Roman" w:cs="Arial"/>
          <w:color w:val="000000"/>
          <w:szCs w:val="20"/>
          <w:lang w:eastAsia="bg-BG"/>
        </w:rPr>
        <w:t xml:space="preserve">+ 26) (р&lt;0,0001). Аторвастатин също така значително е намалил средните стойности на общия холестерол с 34,1% (правастатин: -18,4%, р&lt;0,0001), средните нива на триглицеридите с 20% (правастатин: -6,8%, р&lt;0,0009) и средния аполипопротеин В с 39,1% (правастатин: -22,0%, р=0,0001). Аторвастатин е повишил средния </w:t>
      </w:r>
      <w:r w:rsidRPr="00CC1FA8">
        <w:rPr>
          <w:rFonts w:eastAsia="Times New Roman" w:cs="Arial"/>
          <w:color w:val="000000"/>
          <w:szCs w:val="20"/>
          <w:lang w:val="en-US"/>
        </w:rPr>
        <w:t xml:space="preserve">HDL-C </w:t>
      </w:r>
      <w:r w:rsidRPr="00CC1FA8">
        <w:rPr>
          <w:rFonts w:eastAsia="Times New Roman" w:cs="Arial"/>
          <w:color w:val="000000"/>
          <w:szCs w:val="20"/>
          <w:lang w:eastAsia="bg-BG"/>
        </w:rPr>
        <w:t>холестерол средно с 2,9% (правастатин: +5,6 %</w:t>
      </w:r>
      <w:r w:rsidRPr="00CC1FA8">
        <w:rPr>
          <w:rFonts w:eastAsia="Times New Roman" w:cs="Arial"/>
          <w:i/>
          <w:iCs/>
          <w:color w:val="000000"/>
          <w:szCs w:val="20"/>
          <w:lang w:eastAsia="bg-BG"/>
        </w:rPr>
        <w:t>,</w:t>
      </w:r>
      <w:r w:rsidRPr="00CC1FA8">
        <w:rPr>
          <w:rFonts w:eastAsia="Times New Roman" w:cs="Arial"/>
          <w:color w:val="000000"/>
          <w:szCs w:val="20"/>
          <w:lang w:eastAsia="bg-BG"/>
        </w:rPr>
        <w:t xml:space="preserve"> </w:t>
      </w:r>
      <w:r w:rsidRPr="00CC1FA8">
        <w:rPr>
          <w:rFonts w:eastAsia="Times New Roman" w:cs="Arial"/>
          <w:color w:val="000000"/>
          <w:szCs w:val="20"/>
          <w:lang w:val="en-US"/>
        </w:rPr>
        <w:t xml:space="preserve">p=NS). </w:t>
      </w:r>
      <w:r w:rsidRPr="00CC1FA8">
        <w:rPr>
          <w:rFonts w:eastAsia="Times New Roman" w:cs="Arial"/>
          <w:color w:val="000000"/>
          <w:szCs w:val="20"/>
          <w:lang w:eastAsia="bg-BG"/>
        </w:rPr>
        <w:t>Има средно намаление от 36,4% на С-реактивния протеин в групата на аторвастатин в сравнение с намаление от 5,2% в групата на правастатин (р&lt;0,0001).</w:t>
      </w:r>
    </w:p>
    <w:p w14:paraId="0113B940" w14:textId="6CB680C6" w:rsidR="00CC1FA8" w:rsidRDefault="00CC1FA8" w:rsidP="00CC1FA8">
      <w:pPr>
        <w:rPr>
          <w:rFonts w:eastAsia="Times New Roman" w:cs="Arial"/>
          <w:color w:val="000000"/>
          <w:szCs w:val="20"/>
          <w:lang w:eastAsia="bg-BG"/>
        </w:rPr>
      </w:pPr>
    </w:p>
    <w:p w14:paraId="778E0019" w14:textId="77777777"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Резултатите от проучването са получени при дозировка от 80 </w:t>
      </w:r>
      <w:r w:rsidRPr="00CC1FA8">
        <w:rPr>
          <w:rFonts w:eastAsia="Times New Roman" w:cs="Arial"/>
          <w:color w:val="000000"/>
          <w:szCs w:val="20"/>
          <w:lang w:val="en-US"/>
        </w:rPr>
        <w:t xml:space="preserve">mg. </w:t>
      </w:r>
      <w:r w:rsidRPr="00CC1FA8">
        <w:rPr>
          <w:rFonts w:eastAsia="Times New Roman" w:cs="Arial"/>
          <w:color w:val="000000"/>
          <w:szCs w:val="20"/>
          <w:lang w:eastAsia="bg-BG"/>
        </w:rPr>
        <w:t>Следователно, те не могат да се екстраполират върху по-ниските дозировки.</w:t>
      </w:r>
    </w:p>
    <w:p w14:paraId="2ACBECEE" w14:textId="77777777" w:rsidR="00CC1FA8" w:rsidRPr="00CC1FA8" w:rsidRDefault="00CC1FA8" w:rsidP="00CC1FA8">
      <w:pPr>
        <w:spacing w:line="240" w:lineRule="auto"/>
        <w:rPr>
          <w:rFonts w:eastAsia="Times New Roman" w:cs="Arial"/>
          <w:color w:val="000000"/>
          <w:szCs w:val="20"/>
          <w:lang w:eastAsia="bg-BG"/>
        </w:rPr>
      </w:pPr>
    </w:p>
    <w:p w14:paraId="1DA6AC68" w14:textId="396D225C"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Профилите на безопасност и поносимост в двете лекувани групи са били сравними.</w:t>
      </w:r>
    </w:p>
    <w:p w14:paraId="65FFB150" w14:textId="77777777" w:rsidR="00CC1FA8" w:rsidRPr="00CC1FA8" w:rsidRDefault="00CC1FA8" w:rsidP="00CC1FA8">
      <w:pPr>
        <w:spacing w:line="240" w:lineRule="auto"/>
        <w:rPr>
          <w:rFonts w:eastAsia="Times New Roman" w:cs="Arial"/>
          <w:color w:val="000000"/>
          <w:szCs w:val="20"/>
          <w:lang w:eastAsia="bg-BG"/>
        </w:rPr>
      </w:pPr>
    </w:p>
    <w:p w14:paraId="1E30C5DC" w14:textId="6C4D2134"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Ефектът от интензивното понижаване на липидите върху основните сърдечносъдови крайни цели не е изследван в това проучване. Поради това, клиничната значимост на тези получени резултати по отношение на първичната и вторична профилактика на сърдечносъдовите събития, не е известен.</w:t>
      </w:r>
    </w:p>
    <w:p w14:paraId="10AF80D4" w14:textId="77777777" w:rsidR="00CC1FA8" w:rsidRPr="00CC1FA8" w:rsidRDefault="00CC1FA8" w:rsidP="00CC1FA8">
      <w:pPr>
        <w:spacing w:line="240" w:lineRule="auto"/>
        <w:rPr>
          <w:rFonts w:eastAsia="Times New Roman" w:cs="Arial"/>
          <w:i/>
          <w:iCs/>
          <w:color w:val="000000"/>
          <w:szCs w:val="20"/>
          <w:u w:val="single"/>
          <w:lang w:eastAsia="bg-BG"/>
        </w:rPr>
      </w:pPr>
    </w:p>
    <w:p w14:paraId="5023459D" w14:textId="1D4239C8" w:rsidR="00CC1FA8" w:rsidRPr="00CC1FA8" w:rsidRDefault="00CC1FA8" w:rsidP="00CC1FA8">
      <w:pPr>
        <w:spacing w:line="240" w:lineRule="auto"/>
        <w:rPr>
          <w:rFonts w:eastAsia="Times New Roman" w:cs="Arial"/>
          <w:sz w:val="28"/>
          <w:szCs w:val="24"/>
          <w:lang w:eastAsia="bg-BG"/>
        </w:rPr>
      </w:pPr>
      <w:r w:rsidRPr="00CC1FA8">
        <w:rPr>
          <w:rFonts w:eastAsia="Times New Roman" w:cs="Arial"/>
          <w:i/>
          <w:iCs/>
          <w:color w:val="000000"/>
          <w:szCs w:val="20"/>
          <w:u w:val="single"/>
          <w:lang w:eastAsia="bg-BG"/>
        </w:rPr>
        <w:lastRenderedPageBreak/>
        <w:t>Остър коронарен синдром</w:t>
      </w:r>
    </w:p>
    <w:p w14:paraId="42F4E252" w14:textId="77777777" w:rsidR="00CC1FA8" w:rsidRPr="00CC1FA8" w:rsidRDefault="00CC1FA8" w:rsidP="00CC1FA8">
      <w:pPr>
        <w:spacing w:line="240" w:lineRule="auto"/>
        <w:rPr>
          <w:rFonts w:eastAsia="Times New Roman" w:cs="Arial"/>
          <w:color w:val="000000"/>
          <w:szCs w:val="20"/>
          <w:lang w:eastAsia="bg-BG"/>
        </w:rPr>
      </w:pPr>
    </w:p>
    <w:p w14:paraId="743276D1" w14:textId="37EE1052"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В проучването </w:t>
      </w:r>
      <w:r w:rsidRPr="00CC1FA8">
        <w:rPr>
          <w:rFonts w:eastAsia="Times New Roman" w:cs="Arial"/>
          <w:color w:val="000000"/>
          <w:szCs w:val="20"/>
          <w:lang w:val="en-US"/>
        </w:rPr>
        <w:t xml:space="preserve">MIRACL </w:t>
      </w:r>
      <w:r w:rsidRPr="00CC1FA8">
        <w:rPr>
          <w:rFonts w:eastAsia="Times New Roman" w:cs="Arial"/>
          <w:color w:val="000000"/>
          <w:szCs w:val="20"/>
          <w:lang w:eastAsia="bg-BG"/>
        </w:rPr>
        <w:t xml:space="preserve">се оценява аторвастатин 80 </w:t>
      </w:r>
      <w:r w:rsidRPr="00CC1FA8">
        <w:rPr>
          <w:rFonts w:eastAsia="Times New Roman" w:cs="Arial"/>
          <w:color w:val="000000"/>
          <w:szCs w:val="20"/>
          <w:lang w:val="en-US"/>
        </w:rPr>
        <w:t xml:space="preserve">mg </w:t>
      </w:r>
      <w:r w:rsidRPr="00CC1FA8">
        <w:rPr>
          <w:rFonts w:eastAsia="Times New Roman" w:cs="Arial"/>
          <w:color w:val="000000"/>
          <w:szCs w:val="20"/>
          <w:lang w:eastAsia="bg-BG"/>
        </w:rPr>
        <w:t xml:space="preserve">при 3086 пациенти (аторвастатин </w:t>
      </w:r>
      <w:r w:rsidRPr="00CC1FA8">
        <w:rPr>
          <w:rFonts w:eastAsia="Times New Roman" w:cs="Arial"/>
          <w:color w:val="000000"/>
          <w:szCs w:val="20"/>
          <w:lang w:val="en-US"/>
        </w:rPr>
        <w:t>n</w:t>
      </w:r>
      <w:r w:rsidRPr="00CC1FA8">
        <w:rPr>
          <w:rFonts w:eastAsia="Times New Roman" w:cs="Arial"/>
          <w:color w:val="000000"/>
          <w:szCs w:val="20"/>
          <w:lang w:eastAsia="bg-BG"/>
        </w:rPr>
        <w:t xml:space="preserve">=1538; плацебо </w:t>
      </w:r>
      <w:r w:rsidRPr="00CC1FA8">
        <w:rPr>
          <w:rFonts w:eastAsia="Times New Roman" w:cs="Arial"/>
          <w:color w:val="000000"/>
          <w:szCs w:val="20"/>
          <w:lang w:val="en-US"/>
        </w:rPr>
        <w:t>n</w:t>
      </w:r>
      <w:r w:rsidRPr="00CC1FA8">
        <w:rPr>
          <w:rFonts w:eastAsia="Times New Roman" w:cs="Arial"/>
          <w:color w:val="000000"/>
          <w:szCs w:val="20"/>
          <w:lang w:eastAsia="bg-BG"/>
        </w:rPr>
        <w:t xml:space="preserve">=1548) с остър коронарен синдром </w:t>
      </w:r>
      <w:r w:rsidRPr="00CC1FA8">
        <w:rPr>
          <w:rFonts w:eastAsia="Times New Roman" w:cs="Arial"/>
          <w:color w:val="000000"/>
          <w:szCs w:val="20"/>
          <w:lang w:val="en-US"/>
        </w:rPr>
        <w:t xml:space="preserve">(non-Q </w:t>
      </w:r>
      <w:r w:rsidRPr="00CC1FA8">
        <w:rPr>
          <w:rFonts w:eastAsia="Times New Roman" w:cs="Arial"/>
          <w:color w:val="000000"/>
          <w:szCs w:val="20"/>
          <w:lang w:eastAsia="bg-BG"/>
        </w:rPr>
        <w:t xml:space="preserve">миокарден инфаркт или </w:t>
      </w:r>
    </w:p>
    <w:p w14:paraId="79444836" w14:textId="77777777" w:rsidR="00CC1FA8" w:rsidRPr="00CC1FA8" w:rsidRDefault="00CC1FA8" w:rsidP="00CC1FA8">
      <w:pPr>
        <w:rPr>
          <w:rFonts w:eastAsia="Times New Roman" w:cs="Arial"/>
          <w:sz w:val="28"/>
          <w:szCs w:val="24"/>
          <w:lang w:eastAsia="bg-BG"/>
        </w:rPr>
      </w:pPr>
      <w:r w:rsidRPr="00CC1FA8">
        <w:rPr>
          <w:rFonts w:eastAsia="Times New Roman" w:cs="Arial"/>
          <w:color w:val="000000"/>
          <w:szCs w:val="20"/>
          <w:lang w:eastAsia="bg-BG"/>
        </w:rPr>
        <w:t xml:space="preserve">нестабилна ангина пекторис). Лечението е започнато по време на острата фаза след хоспитализиране и е продължило за период от 16 седмици. Лечението с аторвастатин 80 </w:t>
      </w:r>
      <w:r w:rsidRPr="00CC1FA8">
        <w:rPr>
          <w:rFonts w:eastAsia="Times New Roman" w:cs="Arial"/>
          <w:color w:val="000000"/>
          <w:szCs w:val="20"/>
          <w:lang w:val="en-US"/>
        </w:rPr>
        <w:t>mg</w:t>
      </w:r>
      <w:r w:rsidRPr="00CC1FA8">
        <w:rPr>
          <w:rFonts w:eastAsia="Times New Roman" w:cs="Arial"/>
          <w:color w:val="000000"/>
          <w:szCs w:val="20"/>
          <w:lang w:eastAsia="bg-BG"/>
        </w:rPr>
        <w:t xml:space="preserve"> дневно увеличава времето до поява на комбинираната първична крайна точка, определена като смърт, независимо от причината, нефатален миокарден инфаркт, ресусцитиран сърдечен арест или ангина пекторис с данни за исхемия на миокарда, налагаща хоспитализация, показвайки</w:t>
      </w:r>
      <w:r w:rsidRPr="00CC1FA8">
        <w:rPr>
          <w:rFonts w:eastAsia="Times New Roman" w:cs="Arial"/>
          <w:sz w:val="28"/>
          <w:szCs w:val="24"/>
          <w:lang w:eastAsia="bg-BG"/>
        </w:rPr>
        <w:t xml:space="preserve"> </w:t>
      </w:r>
      <w:r w:rsidRPr="00CC1FA8">
        <w:rPr>
          <w:rFonts w:eastAsia="Times New Roman" w:cs="Arial"/>
          <w:color w:val="000000"/>
          <w:szCs w:val="20"/>
          <w:lang w:eastAsia="bg-BG"/>
        </w:rPr>
        <w:t>редукция на риска с 16% (р=0,048). Това е предимно вследствие на 26% редукция на</w:t>
      </w:r>
      <w:r>
        <w:rPr>
          <w:rFonts w:eastAsia="Times New Roman" w:cs="Arial"/>
          <w:color w:val="000000"/>
          <w:szCs w:val="20"/>
          <w:lang w:eastAsia="bg-BG"/>
        </w:rPr>
        <w:t xml:space="preserve"> </w:t>
      </w:r>
      <w:r w:rsidRPr="00CC1FA8">
        <w:rPr>
          <w:rFonts w:eastAsia="Times New Roman" w:cs="Arial"/>
          <w:color w:val="000000"/>
          <w:szCs w:val="20"/>
          <w:lang w:eastAsia="bg-BG"/>
        </w:rPr>
        <w:t>рехоспитализацията за ангина пекторис с данни за исхемия на миокарда (р=0,018). Другите вторични крайни цели не достигат статичиска значимост сами по себе си (общо: плацебо: 22,2%, аторвастатин: 22,4%).</w:t>
      </w:r>
    </w:p>
    <w:p w14:paraId="216F8013" w14:textId="77777777" w:rsidR="00CC1FA8" w:rsidRPr="00CC1FA8" w:rsidRDefault="00CC1FA8" w:rsidP="00CC1FA8">
      <w:pPr>
        <w:spacing w:line="240" w:lineRule="auto"/>
        <w:rPr>
          <w:rFonts w:eastAsia="Times New Roman" w:cs="Arial"/>
          <w:color w:val="000000"/>
          <w:szCs w:val="20"/>
          <w:lang w:eastAsia="bg-BG"/>
        </w:rPr>
      </w:pPr>
    </w:p>
    <w:p w14:paraId="4B932E83" w14:textId="5601E308"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Профилът на безопасност на аторвастатин в проучването </w:t>
      </w:r>
      <w:r w:rsidRPr="00CC1FA8">
        <w:rPr>
          <w:rFonts w:eastAsia="Times New Roman" w:cs="Arial"/>
          <w:color w:val="000000"/>
          <w:szCs w:val="20"/>
          <w:lang w:val="en-US"/>
        </w:rPr>
        <w:t xml:space="preserve">MIRACL </w:t>
      </w:r>
      <w:r w:rsidRPr="00CC1FA8">
        <w:rPr>
          <w:rFonts w:eastAsia="Times New Roman" w:cs="Arial"/>
          <w:color w:val="000000"/>
          <w:szCs w:val="20"/>
          <w:lang w:eastAsia="bg-BG"/>
        </w:rPr>
        <w:t>съответства на описаният в точка 4.8.</w:t>
      </w:r>
    </w:p>
    <w:p w14:paraId="55ADBC32" w14:textId="77777777" w:rsidR="00CC1FA8" w:rsidRPr="00CC1FA8" w:rsidRDefault="00CC1FA8" w:rsidP="00CC1FA8">
      <w:pPr>
        <w:spacing w:line="240" w:lineRule="auto"/>
        <w:rPr>
          <w:rFonts w:eastAsia="Times New Roman" w:cs="Arial"/>
          <w:i/>
          <w:iCs/>
          <w:color w:val="000000"/>
          <w:szCs w:val="20"/>
          <w:u w:val="single"/>
          <w:lang w:eastAsia="bg-BG"/>
        </w:rPr>
      </w:pPr>
    </w:p>
    <w:p w14:paraId="686C2AD5" w14:textId="4D912E65" w:rsidR="00CC1FA8" w:rsidRPr="00CC1FA8" w:rsidRDefault="00CC1FA8" w:rsidP="00CC1FA8">
      <w:pPr>
        <w:spacing w:line="240" w:lineRule="auto"/>
        <w:rPr>
          <w:rFonts w:eastAsia="Times New Roman" w:cs="Arial"/>
          <w:sz w:val="28"/>
          <w:szCs w:val="24"/>
          <w:lang w:eastAsia="bg-BG"/>
        </w:rPr>
      </w:pPr>
      <w:r w:rsidRPr="00CC1FA8">
        <w:rPr>
          <w:rFonts w:eastAsia="Times New Roman" w:cs="Arial"/>
          <w:i/>
          <w:iCs/>
          <w:color w:val="000000"/>
          <w:szCs w:val="20"/>
          <w:u w:val="single"/>
          <w:lang w:eastAsia="bg-BG"/>
        </w:rPr>
        <w:t>Профилактика на сърдечносъдово заболяване</w:t>
      </w:r>
    </w:p>
    <w:p w14:paraId="44F77D8D" w14:textId="77777777" w:rsidR="00CC1FA8" w:rsidRPr="00CC1FA8" w:rsidRDefault="00CC1FA8" w:rsidP="00CC1FA8">
      <w:pPr>
        <w:spacing w:line="240" w:lineRule="auto"/>
        <w:rPr>
          <w:rFonts w:eastAsia="Times New Roman" w:cs="Arial"/>
          <w:color w:val="000000"/>
          <w:szCs w:val="20"/>
          <w:lang w:eastAsia="bg-BG"/>
        </w:rPr>
      </w:pPr>
    </w:p>
    <w:p w14:paraId="18B42604" w14:textId="0519AC66"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Ефектът на аторвастатин върху фатална и не-фатална исхемична болест на сърцето е оценен в рандомизирано, двойно-сляпо, плацебо-контролирано проучване, </w:t>
      </w:r>
      <w:r w:rsidRPr="00CC1FA8">
        <w:rPr>
          <w:rFonts w:eastAsia="Times New Roman" w:cs="Arial"/>
          <w:color w:val="000000"/>
          <w:szCs w:val="20"/>
          <w:lang w:val="en-US"/>
        </w:rPr>
        <w:t xml:space="preserve">Anglo-Scandinavian Cardiac Outcomes Trial Lipid Lowering Arm (ASCOT-LLA). </w:t>
      </w:r>
      <w:r w:rsidRPr="00CC1FA8">
        <w:rPr>
          <w:rFonts w:eastAsia="Times New Roman" w:cs="Arial"/>
          <w:color w:val="000000"/>
          <w:szCs w:val="20"/>
          <w:lang w:eastAsia="bg-BG"/>
        </w:rPr>
        <w:t xml:space="preserve">Пациентите са хипертоници, 40-79-годишни, без предходен миокарден инфаркт или лечение за стенокардия и с нива на общ холестерол (ОХ) &lt;6,5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/1 </w:t>
      </w:r>
      <w:r w:rsidRPr="00CC1FA8">
        <w:rPr>
          <w:rFonts w:eastAsia="Times New Roman" w:cs="Arial"/>
          <w:color w:val="000000"/>
          <w:szCs w:val="20"/>
          <w:lang w:eastAsia="bg-BG"/>
        </w:rPr>
        <w:t xml:space="preserve">(251 </w:t>
      </w:r>
      <w:r w:rsidRPr="00CC1FA8">
        <w:rPr>
          <w:rFonts w:eastAsia="Times New Roman" w:cs="Arial"/>
          <w:color w:val="000000"/>
          <w:szCs w:val="20"/>
          <w:lang w:val="en-US"/>
        </w:rPr>
        <w:t xml:space="preserve">mg/dl). </w:t>
      </w:r>
      <w:r w:rsidRPr="00CC1FA8">
        <w:rPr>
          <w:rFonts w:eastAsia="Times New Roman" w:cs="Arial"/>
          <w:color w:val="000000"/>
          <w:szCs w:val="20"/>
          <w:lang w:eastAsia="bg-BG"/>
        </w:rPr>
        <w:t xml:space="preserve">Всички пациенти са имали най-малко 3 предварително дефинирани сърдечносъдови рискови фактори: мъжки пол, възраст &gt;55 години, пушене, диабет, анамнеза за ИБС при родственик от първа линия, </w:t>
      </w:r>
      <w:r w:rsidRPr="00CC1FA8">
        <w:rPr>
          <w:rFonts w:eastAsia="Times New Roman" w:cs="Arial"/>
          <w:color w:val="000000"/>
          <w:szCs w:val="20"/>
          <w:lang w:val="en-US"/>
        </w:rPr>
        <w:t xml:space="preserve">OX:HDL-C </w:t>
      </w:r>
      <w:r w:rsidRPr="00CC1FA8">
        <w:rPr>
          <w:rFonts w:eastAsia="Times New Roman" w:cs="Arial"/>
          <w:color w:val="000000"/>
          <w:szCs w:val="20"/>
          <w:lang w:eastAsia="bg-BG"/>
        </w:rPr>
        <w:t>&gt;6, периферно съдово заболяване, левокамерна хипертрофия, предходен мозъчно-съдов инцидент, специфична ЕКГ аномалия, протеинурия/албуминурия. Не всички включени пациенти са преценени като пациенти с висок риск за първи сърдечносъдов инцидент.</w:t>
      </w:r>
    </w:p>
    <w:p w14:paraId="22044E55" w14:textId="77777777" w:rsidR="00CC1FA8" w:rsidRPr="00CC1FA8" w:rsidRDefault="00CC1FA8" w:rsidP="00CC1FA8">
      <w:pPr>
        <w:spacing w:line="240" w:lineRule="auto"/>
        <w:rPr>
          <w:rFonts w:eastAsia="Times New Roman" w:cs="Arial"/>
          <w:color w:val="000000"/>
          <w:szCs w:val="20"/>
          <w:lang w:eastAsia="bg-BG"/>
        </w:rPr>
      </w:pPr>
    </w:p>
    <w:p w14:paraId="52232BDD" w14:textId="65986269"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Пациентите са лекувани с антихипертензивна терапия (или амлодипин - базиран режим, или атенолол - базиран режим), както и аторвастатин 10 </w:t>
      </w:r>
      <w:r w:rsidRPr="00CC1FA8">
        <w:rPr>
          <w:rFonts w:eastAsia="Times New Roman" w:cs="Arial"/>
          <w:color w:val="000000"/>
          <w:szCs w:val="20"/>
          <w:lang w:val="en-US"/>
        </w:rPr>
        <w:t xml:space="preserve">mg </w:t>
      </w:r>
      <w:r w:rsidRPr="00CC1FA8">
        <w:rPr>
          <w:rFonts w:eastAsia="Times New Roman" w:cs="Arial"/>
          <w:color w:val="000000"/>
          <w:szCs w:val="20"/>
          <w:lang w:eastAsia="bg-BG"/>
        </w:rPr>
        <w:t>дневно (п=5,168) или плацебо (п=5,137).</w:t>
      </w:r>
    </w:p>
    <w:p w14:paraId="50F4CB73" w14:textId="77777777" w:rsidR="00CC1FA8" w:rsidRPr="00CC1FA8" w:rsidRDefault="00CC1FA8" w:rsidP="00CC1FA8">
      <w:pPr>
        <w:spacing w:line="240" w:lineRule="auto"/>
        <w:rPr>
          <w:rFonts w:eastAsia="Times New Roman" w:cs="Arial"/>
          <w:color w:val="000000"/>
          <w:szCs w:val="20"/>
          <w:lang w:eastAsia="bg-BG"/>
        </w:rPr>
      </w:pPr>
    </w:p>
    <w:p w14:paraId="3077126F" w14:textId="08E372F0" w:rsidR="00CC1FA8" w:rsidRDefault="00CC1FA8" w:rsidP="00CC1FA8">
      <w:pPr>
        <w:spacing w:line="240" w:lineRule="auto"/>
        <w:rPr>
          <w:rFonts w:eastAsia="Times New Roman" w:cs="Arial"/>
          <w:color w:val="000000"/>
          <w:szCs w:val="20"/>
          <w:lang w:eastAsia="bg-BG"/>
        </w:rPr>
      </w:pPr>
      <w:r w:rsidRPr="00CC1FA8">
        <w:rPr>
          <w:rFonts w:eastAsia="Times New Roman" w:cs="Arial"/>
          <w:color w:val="000000"/>
          <w:szCs w:val="20"/>
          <w:lang w:eastAsia="bg-BG"/>
        </w:rPr>
        <w:t>Ефектът за намаляване на абсолютния и относителния риск с аторвастатин е бил както следва:</w:t>
      </w:r>
    </w:p>
    <w:tbl>
      <w:tblPr>
        <w:tblStyle w:val="TableGrid"/>
        <w:tblW w:w="0" w:type="auto"/>
        <w:tblLook w:val="04A0" w:firstRow="1" w:lastRow="0" w:firstColumn="1" w:lastColumn="0" w:noHBand="0" w:noVBand="1"/>
      </w:tblPr>
      <w:tblGrid>
        <w:gridCol w:w="2473"/>
        <w:gridCol w:w="1761"/>
        <w:gridCol w:w="1801"/>
        <w:gridCol w:w="1690"/>
        <w:gridCol w:w="1625"/>
      </w:tblGrid>
      <w:tr w:rsidR="00CC1FA8" w14:paraId="707D783C" w14:textId="77777777" w:rsidTr="00CC1FA8">
        <w:tc>
          <w:tcPr>
            <w:tcW w:w="2473" w:type="dxa"/>
          </w:tcPr>
          <w:p w14:paraId="309C45FD" w14:textId="45199A1C" w:rsidR="00CC1FA8" w:rsidRPr="00CC1FA8" w:rsidRDefault="00CC1FA8" w:rsidP="00CC1FA8">
            <w:pPr>
              <w:spacing w:line="240" w:lineRule="auto"/>
              <w:rPr>
                <w:rFonts w:eastAsia="Times New Roman" w:cs="Arial"/>
                <w:szCs w:val="24"/>
                <w:lang w:eastAsia="bg-BG"/>
              </w:rPr>
            </w:pPr>
            <w:r w:rsidRPr="00CC1FA8">
              <w:rPr>
                <w:szCs w:val="20"/>
              </w:rPr>
              <w:t>Инцидент</w:t>
            </w:r>
          </w:p>
        </w:tc>
        <w:tc>
          <w:tcPr>
            <w:tcW w:w="1761" w:type="dxa"/>
          </w:tcPr>
          <w:p w14:paraId="7635CE3A" w14:textId="023A0DAD" w:rsidR="00CC1FA8" w:rsidRPr="00CC1FA8" w:rsidRDefault="00CC1FA8" w:rsidP="00CC1FA8">
            <w:pPr>
              <w:spacing w:line="240" w:lineRule="auto"/>
              <w:rPr>
                <w:rFonts w:eastAsia="Times New Roman" w:cs="Arial"/>
                <w:szCs w:val="24"/>
                <w:lang w:eastAsia="bg-BG"/>
              </w:rPr>
            </w:pPr>
            <w:r w:rsidRPr="00CC1FA8">
              <w:rPr>
                <w:szCs w:val="20"/>
              </w:rPr>
              <w:t>Относително намаление на риска (%)</w:t>
            </w:r>
          </w:p>
        </w:tc>
        <w:tc>
          <w:tcPr>
            <w:tcW w:w="1801" w:type="dxa"/>
          </w:tcPr>
          <w:p w14:paraId="093586AD" w14:textId="082B4FBC" w:rsidR="00CC1FA8" w:rsidRPr="00CC1FA8" w:rsidRDefault="00CC1FA8" w:rsidP="00CC1FA8">
            <w:pPr>
              <w:spacing w:line="240" w:lineRule="auto"/>
              <w:rPr>
                <w:rFonts w:eastAsia="Times New Roman" w:cs="Arial"/>
                <w:szCs w:val="24"/>
                <w:lang w:eastAsia="bg-BG"/>
              </w:rPr>
            </w:pPr>
            <w:r w:rsidRPr="00CC1FA8">
              <w:rPr>
                <w:szCs w:val="20"/>
              </w:rPr>
              <w:t>Брой на инцидентите (аторвастатин спрямо плацебо</w:t>
            </w:r>
          </w:p>
        </w:tc>
        <w:tc>
          <w:tcPr>
            <w:tcW w:w="1690" w:type="dxa"/>
          </w:tcPr>
          <w:p w14:paraId="657C5B36" w14:textId="009EA762" w:rsidR="00CC1FA8" w:rsidRPr="00CC1FA8" w:rsidRDefault="00CC1FA8" w:rsidP="00CC1FA8">
            <w:pPr>
              <w:spacing w:line="240" w:lineRule="auto"/>
              <w:rPr>
                <w:rFonts w:eastAsia="Times New Roman" w:cs="Arial"/>
                <w:szCs w:val="24"/>
                <w:lang w:eastAsia="bg-BG"/>
              </w:rPr>
            </w:pPr>
            <w:r w:rsidRPr="00CC1FA8">
              <w:rPr>
                <w:szCs w:val="20"/>
              </w:rPr>
              <w:t>Абсолютно намаление на  риска</w:t>
            </w:r>
            <w:r w:rsidRPr="00CC1FA8">
              <w:rPr>
                <w:szCs w:val="20"/>
                <w:vertAlign w:val="superscript"/>
              </w:rPr>
              <w:t>1</w:t>
            </w:r>
            <w:r w:rsidRPr="00CC1FA8">
              <w:rPr>
                <w:szCs w:val="20"/>
              </w:rPr>
              <w:t>(%)</w:t>
            </w:r>
          </w:p>
        </w:tc>
        <w:tc>
          <w:tcPr>
            <w:tcW w:w="1625" w:type="dxa"/>
          </w:tcPr>
          <w:p w14:paraId="6EC40194" w14:textId="61881B07" w:rsidR="00CC1FA8" w:rsidRPr="00CC1FA8" w:rsidRDefault="00CC1FA8" w:rsidP="00CC1FA8">
            <w:pPr>
              <w:spacing w:line="240" w:lineRule="auto"/>
              <w:rPr>
                <w:rFonts w:eastAsia="Times New Roman" w:cs="Arial"/>
                <w:szCs w:val="24"/>
                <w:lang w:eastAsia="bg-BG"/>
              </w:rPr>
            </w:pPr>
            <w:r w:rsidRPr="00CC1FA8">
              <w:rPr>
                <w:szCs w:val="20"/>
              </w:rPr>
              <w:t>Стойност на р</w:t>
            </w:r>
          </w:p>
        </w:tc>
      </w:tr>
      <w:tr w:rsidR="00CC1FA8" w14:paraId="189D6E00" w14:textId="77777777" w:rsidTr="00CC1FA8">
        <w:tc>
          <w:tcPr>
            <w:tcW w:w="2473" w:type="dxa"/>
          </w:tcPr>
          <w:p w14:paraId="187A7E2D" w14:textId="3D81D495" w:rsidR="00CC1FA8" w:rsidRPr="00CC1FA8" w:rsidRDefault="00CC1FA8" w:rsidP="00CC1FA8">
            <w:pPr>
              <w:spacing w:line="240" w:lineRule="auto"/>
              <w:rPr>
                <w:rFonts w:eastAsia="Times New Roman" w:cs="Arial"/>
                <w:szCs w:val="24"/>
                <w:lang w:eastAsia="bg-BG"/>
              </w:rPr>
            </w:pPr>
            <w:r w:rsidRPr="00CC1FA8">
              <w:rPr>
                <w:szCs w:val="20"/>
              </w:rPr>
              <w:t>Фатална ИБС плюс нефатален МИ</w:t>
            </w:r>
          </w:p>
        </w:tc>
        <w:tc>
          <w:tcPr>
            <w:tcW w:w="1761" w:type="dxa"/>
          </w:tcPr>
          <w:p w14:paraId="2E4738E0" w14:textId="38C52BE6" w:rsidR="00CC1FA8" w:rsidRPr="00CC1FA8" w:rsidRDefault="00CC1FA8" w:rsidP="00CC1FA8">
            <w:pPr>
              <w:spacing w:line="240" w:lineRule="auto"/>
              <w:rPr>
                <w:rFonts w:eastAsia="Times New Roman" w:cs="Arial"/>
                <w:szCs w:val="24"/>
                <w:lang w:eastAsia="bg-BG"/>
              </w:rPr>
            </w:pPr>
            <w:r w:rsidRPr="00CC1FA8">
              <w:rPr>
                <w:szCs w:val="20"/>
              </w:rPr>
              <w:t>36%</w:t>
            </w:r>
          </w:p>
        </w:tc>
        <w:tc>
          <w:tcPr>
            <w:tcW w:w="1801" w:type="dxa"/>
          </w:tcPr>
          <w:p w14:paraId="7D5DA983" w14:textId="7F31F33D" w:rsidR="00CC1FA8" w:rsidRPr="00CC1FA8" w:rsidRDefault="00CC1FA8" w:rsidP="00CC1FA8">
            <w:pPr>
              <w:spacing w:line="240" w:lineRule="auto"/>
              <w:rPr>
                <w:rFonts w:eastAsia="Times New Roman" w:cs="Arial"/>
                <w:szCs w:val="24"/>
                <w:lang w:eastAsia="bg-BG"/>
              </w:rPr>
            </w:pPr>
            <w:r w:rsidRPr="00CC1FA8">
              <w:rPr>
                <w:szCs w:val="20"/>
              </w:rPr>
              <w:t>100 спрямо 154</w:t>
            </w:r>
          </w:p>
        </w:tc>
        <w:tc>
          <w:tcPr>
            <w:tcW w:w="1690" w:type="dxa"/>
          </w:tcPr>
          <w:p w14:paraId="0D3CF304" w14:textId="3A4D5F73" w:rsidR="00CC1FA8" w:rsidRPr="00CC1FA8" w:rsidRDefault="00CC1FA8" w:rsidP="00CC1FA8">
            <w:pPr>
              <w:spacing w:line="240" w:lineRule="auto"/>
              <w:rPr>
                <w:rFonts w:eastAsia="Times New Roman" w:cs="Arial"/>
                <w:szCs w:val="24"/>
                <w:lang w:eastAsia="bg-BG"/>
              </w:rPr>
            </w:pPr>
            <w:r w:rsidRPr="00CC1FA8">
              <w:rPr>
                <w:szCs w:val="20"/>
              </w:rPr>
              <w:t>1,1%</w:t>
            </w:r>
          </w:p>
        </w:tc>
        <w:tc>
          <w:tcPr>
            <w:tcW w:w="1625" w:type="dxa"/>
          </w:tcPr>
          <w:p w14:paraId="76438DA2" w14:textId="45539505" w:rsidR="00CC1FA8" w:rsidRPr="00CC1FA8" w:rsidRDefault="00CC1FA8" w:rsidP="00CC1FA8">
            <w:pPr>
              <w:spacing w:line="240" w:lineRule="auto"/>
              <w:rPr>
                <w:rFonts w:eastAsia="Times New Roman" w:cs="Arial"/>
                <w:szCs w:val="24"/>
                <w:lang w:eastAsia="bg-BG"/>
              </w:rPr>
            </w:pPr>
            <w:r w:rsidRPr="00CC1FA8">
              <w:rPr>
                <w:szCs w:val="20"/>
              </w:rPr>
              <w:t>0,0005</w:t>
            </w:r>
          </w:p>
        </w:tc>
      </w:tr>
      <w:tr w:rsidR="00CC1FA8" w14:paraId="5B0FF417" w14:textId="77777777" w:rsidTr="00CC1FA8">
        <w:tc>
          <w:tcPr>
            <w:tcW w:w="2473" w:type="dxa"/>
          </w:tcPr>
          <w:p w14:paraId="6A91AA13" w14:textId="3288BD47" w:rsidR="00CC1FA8" w:rsidRPr="00CC1FA8" w:rsidRDefault="00CC1FA8" w:rsidP="00CC1FA8">
            <w:pPr>
              <w:spacing w:line="240" w:lineRule="auto"/>
              <w:rPr>
                <w:rFonts w:eastAsia="Times New Roman" w:cs="Arial"/>
                <w:szCs w:val="24"/>
                <w:lang w:eastAsia="bg-BG"/>
              </w:rPr>
            </w:pPr>
            <w:r w:rsidRPr="00CC1FA8">
              <w:rPr>
                <w:szCs w:val="20"/>
              </w:rPr>
              <w:t>Общо сърдечносъдови инцидентни и реваскуларизационни процедури</w:t>
            </w:r>
          </w:p>
        </w:tc>
        <w:tc>
          <w:tcPr>
            <w:tcW w:w="1761" w:type="dxa"/>
          </w:tcPr>
          <w:p w14:paraId="71367DF4" w14:textId="42D22C2D" w:rsidR="00CC1FA8" w:rsidRPr="00CC1FA8" w:rsidRDefault="00CC1FA8" w:rsidP="00CC1FA8">
            <w:pPr>
              <w:spacing w:line="240" w:lineRule="auto"/>
              <w:rPr>
                <w:rFonts w:eastAsia="Times New Roman" w:cs="Arial"/>
                <w:szCs w:val="24"/>
                <w:lang w:eastAsia="bg-BG"/>
              </w:rPr>
            </w:pPr>
            <w:r w:rsidRPr="00CC1FA8">
              <w:rPr>
                <w:szCs w:val="20"/>
              </w:rPr>
              <w:t>20%</w:t>
            </w:r>
          </w:p>
        </w:tc>
        <w:tc>
          <w:tcPr>
            <w:tcW w:w="1801" w:type="dxa"/>
          </w:tcPr>
          <w:p w14:paraId="528AFECA" w14:textId="13F59CF5" w:rsidR="00CC1FA8" w:rsidRPr="00CC1FA8" w:rsidRDefault="00CC1FA8" w:rsidP="00CC1FA8">
            <w:pPr>
              <w:spacing w:line="240" w:lineRule="auto"/>
              <w:rPr>
                <w:rFonts w:eastAsia="Times New Roman" w:cs="Arial"/>
                <w:szCs w:val="24"/>
                <w:lang w:eastAsia="bg-BG"/>
              </w:rPr>
            </w:pPr>
            <w:r w:rsidRPr="00CC1FA8">
              <w:rPr>
                <w:szCs w:val="20"/>
              </w:rPr>
              <w:t>389 спрямо 483</w:t>
            </w:r>
          </w:p>
        </w:tc>
        <w:tc>
          <w:tcPr>
            <w:tcW w:w="1690" w:type="dxa"/>
          </w:tcPr>
          <w:p w14:paraId="395D5CAE" w14:textId="509317FA" w:rsidR="00CC1FA8" w:rsidRPr="00CC1FA8" w:rsidRDefault="00CC1FA8" w:rsidP="00CC1FA8">
            <w:pPr>
              <w:spacing w:line="240" w:lineRule="auto"/>
              <w:rPr>
                <w:rFonts w:eastAsia="Times New Roman" w:cs="Arial"/>
                <w:szCs w:val="24"/>
                <w:lang w:eastAsia="bg-BG"/>
              </w:rPr>
            </w:pPr>
            <w:r w:rsidRPr="00CC1FA8">
              <w:rPr>
                <w:szCs w:val="20"/>
              </w:rPr>
              <w:t>1,9%</w:t>
            </w:r>
          </w:p>
        </w:tc>
        <w:tc>
          <w:tcPr>
            <w:tcW w:w="1625" w:type="dxa"/>
          </w:tcPr>
          <w:p w14:paraId="4DB95C1F" w14:textId="360BBBC5" w:rsidR="00CC1FA8" w:rsidRPr="00CC1FA8" w:rsidRDefault="00CC1FA8" w:rsidP="00CC1FA8">
            <w:pPr>
              <w:spacing w:line="240" w:lineRule="auto"/>
              <w:rPr>
                <w:rFonts w:eastAsia="Times New Roman" w:cs="Arial"/>
                <w:szCs w:val="24"/>
                <w:lang w:eastAsia="bg-BG"/>
              </w:rPr>
            </w:pPr>
            <w:r w:rsidRPr="00CC1FA8">
              <w:rPr>
                <w:szCs w:val="20"/>
              </w:rPr>
              <w:t>0,0008</w:t>
            </w:r>
          </w:p>
        </w:tc>
      </w:tr>
      <w:tr w:rsidR="00CC1FA8" w14:paraId="0DA23053" w14:textId="77777777" w:rsidTr="00CC1FA8">
        <w:tc>
          <w:tcPr>
            <w:tcW w:w="2473" w:type="dxa"/>
          </w:tcPr>
          <w:p w14:paraId="0E14069A" w14:textId="7B2F4842" w:rsidR="00CC1FA8" w:rsidRPr="00CC1FA8" w:rsidRDefault="00CC1FA8" w:rsidP="00CC1FA8">
            <w:pPr>
              <w:spacing w:line="240" w:lineRule="auto"/>
              <w:rPr>
                <w:rFonts w:eastAsia="Times New Roman" w:cs="Arial"/>
                <w:szCs w:val="24"/>
                <w:lang w:eastAsia="bg-BG"/>
              </w:rPr>
            </w:pPr>
            <w:r w:rsidRPr="00CC1FA8">
              <w:rPr>
                <w:szCs w:val="20"/>
              </w:rPr>
              <w:lastRenderedPageBreak/>
              <w:t>Общо коронарни инциденти</w:t>
            </w:r>
          </w:p>
        </w:tc>
        <w:tc>
          <w:tcPr>
            <w:tcW w:w="1761" w:type="dxa"/>
          </w:tcPr>
          <w:p w14:paraId="314DF92B" w14:textId="5FF4080E" w:rsidR="00CC1FA8" w:rsidRPr="00CC1FA8" w:rsidRDefault="00CC1FA8" w:rsidP="00CC1FA8">
            <w:pPr>
              <w:spacing w:line="240" w:lineRule="auto"/>
              <w:rPr>
                <w:rFonts w:eastAsia="Times New Roman" w:cs="Arial"/>
                <w:szCs w:val="24"/>
                <w:lang w:eastAsia="bg-BG"/>
              </w:rPr>
            </w:pPr>
            <w:r w:rsidRPr="00CC1FA8">
              <w:rPr>
                <w:szCs w:val="20"/>
              </w:rPr>
              <w:t>29%</w:t>
            </w:r>
          </w:p>
        </w:tc>
        <w:tc>
          <w:tcPr>
            <w:tcW w:w="1801" w:type="dxa"/>
          </w:tcPr>
          <w:p w14:paraId="175CBB71" w14:textId="2FE5F97F" w:rsidR="00CC1FA8" w:rsidRPr="00CC1FA8" w:rsidRDefault="00CC1FA8" w:rsidP="00CC1FA8">
            <w:pPr>
              <w:spacing w:line="240" w:lineRule="auto"/>
              <w:rPr>
                <w:rFonts w:eastAsia="Times New Roman" w:cs="Arial"/>
                <w:szCs w:val="24"/>
                <w:lang w:eastAsia="bg-BG"/>
              </w:rPr>
            </w:pPr>
            <w:r w:rsidRPr="00CC1FA8">
              <w:rPr>
                <w:szCs w:val="20"/>
              </w:rPr>
              <w:t>178 спрямо 247</w:t>
            </w:r>
          </w:p>
        </w:tc>
        <w:tc>
          <w:tcPr>
            <w:tcW w:w="1690" w:type="dxa"/>
          </w:tcPr>
          <w:p w14:paraId="5B8FA934" w14:textId="24A15302" w:rsidR="00CC1FA8" w:rsidRPr="00CC1FA8" w:rsidRDefault="00CC1FA8" w:rsidP="00CC1FA8">
            <w:pPr>
              <w:spacing w:line="240" w:lineRule="auto"/>
              <w:rPr>
                <w:rFonts w:eastAsia="Times New Roman" w:cs="Arial"/>
                <w:szCs w:val="24"/>
                <w:lang w:eastAsia="bg-BG"/>
              </w:rPr>
            </w:pPr>
            <w:r w:rsidRPr="00CC1FA8">
              <w:rPr>
                <w:szCs w:val="20"/>
              </w:rPr>
              <w:t>1,4%</w:t>
            </w:r>
          </w:p>
        </w:tc>
        <w:tc>
          <w:tcPr>
            <w:tcW w:w="1625" w:type="dxa"/>
          </w:tcPr>
          <w:p w14:paraId="315B10D9" w14:textId="5BFA2D58" w:rsidR="00CC1FA8" w:rsidRPr="00CC1FA8" w:rsidRDefault="00CC1FA8" w:rsidP="00CC1FA8">
            <w:pPr>
              <w:spacing w:line="240" w:lineRule="auto"/>
              <w:rPr>
                <w:rFonts w:eastAsia="Times New Roman" w:cs="Arial"/>
                <w:szCs w:val="24"/>
                <w:lang w:eastAsia="bg-BG"/>
              </w:rPr>
            </w:pPr>
            <w:r w:rsidRPr="00CC1FA8">
              <w:rPr>
                <w:szCs w:val="20"/>
              </w:rPr>
              <w:t>0,0006</w:t>
            </w:r>
          </w:p>
        </w:tc>
      </w:tr>
    </w:tbl>
    <w:p w14:paraId="1BA7E51E" w14:textId="130D786F" w:rsidR="006373F5" w:rsidRPr="006373F5" w:rsidRDefault="006373F5" w:rsidP="00CC1FA8">
      <w:pPr>
        <w:spacing w:line="240" w:lineRule="auto"/>
        <w:rPr>
          <w:rFonts w:eastAsia="Times New Roman" w:cs="Arial"/>
          <w:color w:val="000000"/>
          <w:vertAlign w:val="subscript"/>
          <w:lang w:eastAsia="bg-BG"/>
        </w:rPr>
      </w:pPr>
      <w:r w:rsidRPr="006373F5">
        <w:rPr>
          <w:rFonts w:eastAsia="Times New Roman" w:cs="Arial"/>
          <w:color w:val="000000"/>
          <w:vertAlign w:val="subscript"/>
          <w:lang w:eastAsia="bg-BG"/>
        </w:rPr>
        <w:t>1</w:t>
      </w:r>
    </w:p>
    <w:p w14:paraId="310CC2FD" w14:textId="19884410"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Въз основа на разликата в общата честота на инцидентите, наблюдавани при средно проследяване от 3,3 години.</w:t>
      </w:r>
    </w:p>
    <w:p w14:paraId="51A13A61" w14:textId="77777777"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ИБС - исхемична болест на сърцето; МИ - миокарден инфаркт.</w:t>
      </w:r>
    </w:p>
    <w:p w14:paraId="314971BF" w14:textId="77777777"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Общата смъртност и сърдечносъдовата смъртност не са значимо намалени (185 спрямо 212 инцидента, р=0,17 и 74 спрямо 82, р=0,51). В анализа на подгрупата по пол (81 % мъже, 19% жени) благоприятен ефект на аторвастатин е бил наблюдаван при мъжете, но не може да се</w:t>
      </w:r>
    </w:p>
    <w:p w14:paraId="699D67BA" w14:textId="77777777"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установи при жените, вероятно поради ниската честота на инциденти в женската подгрупа</w:t>
      </w:r>
    </w:p>
    <w:p w14:paraId="0579D2DF" w14:textId="77777777" w:rsidR="00CC1FA8" w:rsidRPr="00CC1FA8" w:rsidRDefault="00CC1FA8" w:rsidP="00CC1FA8">
      <w:pPr>
        <w:spacing w:line="240" w:lineRule="auto"/>
        <w:rPr>
          <w:rFonts w:eastAsia="Times New Roman" w:cs="Arial"/>
          <w:color w:val="000000"/>
          <w:lang w:eastAsia="bg-BG"/>
        </w:rPr>
      </w:pPr>
    </w:p>
    <w:p w14:paraId="56A14560" w14:textId="1298A836"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Общата и сърдечносъдовата смъртност е числено по-висока при жените (38 спрямо 30 и 17 спрямо 12), но това не е било статистически значимо. Имало е значително терапевтично взаимодействие от антихипертензивната основна терапия. Първичната крайна цел (фатална</w:t>
      </w:r>
    </w:p>
    <w:p w14:paraId="6A353181" w14:textId="77777777" w:rsidR="00CC1FA8" w:rsidRPr="00CC1FA8" w:rsidRDefault="00CC1FA8" w:rsidP="00CC1FA8">
      <w:pPr>
        <w:rPr>
          <w:rFonts w:eastAsia="Times New Roman" w:cs="Arial"/>
          <w:sz w:val="28"/>
          <w:szCs w:val="24"/>
          <w:lang w:eastAsia="bg-BG"/>
        </w:rPr>
      </w:pPr>
      <w:r w:rsidRPr="00CC1FA8">
        <w:rPr>
          <w:rFonts w:eastAsia="Times New Roman" w:cs="Arial"/>
          <w:color w:val="000000"/>
          <w:lang w:eastAsia="bg-BG"/>
        </w:rPr>
        <w:t xml:space="preserve">ИБС плюс нефатален МИ) са значимо редуцирани от аторвастатин при пациенти, лекувани с амлодипин </w:t>
      </w:r>
      <w:r w:rsidRPr="00CC1FA8">
        <w:rPr>
          <w:rFonts w:eastAsia="Times New Roman" w:cs="Arial"/>
          <w:color w:val="000000"/>
          <w:lang w:val="en-US"/>
        </w:rPr>
        <w:t xml:space="preserve">(HR </w:t>
      </w:r>
      <w:r w:rsidRPr="00CC1FA8">
        <w:rPr>
          <w:rFonts w:eastAsia="Times New Roman" w:cs="Arial"/>
          <w:color w:val="000000"/>
          <w:lang w:eastAsia="bg-BG"/>
        </w:rPr>
        <w:t>0,47 (0,32-0,69), р=0,00008), но не и при тези, лекувани с атенолол (</w:t>
      </w:r>
      <w:r w:rsidRPr="00CC1FA8">
        <w:rPr>
          <w:rFonts w:eastAsia="Times New Roman" w:cs="Arial"/>
          <w:color w:val="000000"/>
          <w:lang w:val="en-US"/>
        </w:rPr>
        <w:t>HR 0,83</w:t>
      </w:r>
      <w:r>
        <w:rPr>
          <w:rFonts w:eastAsia="Times New Roman" w:cs="Arial"/>
          <w:color w:val="000000"/>
        </w:rPr>
        <w:t xml:space="preserve"> </w:t>
      </w:r>
      <w:r w:rsidRPr="00CC1FA8">
        <w:rPr>
          <w:rFonts w:eastAsia="Times New Roman" w:cs="Arial"/>
          <w:color w:val="000000"/>
          <w:szCs w:val="20"/>
          <w:lang w:eastAsia="bg-BG"/>
        </w:rPr>
        <w:t>(0,59-1,17), р=0,287).</w:t>
      </w:r>
    </w:p>
    <w:p w14:paraId="4410E567" w14:textId="77777777" w:rsidR="00CC1FA8" w:rsidRPr="00CC1FA8" w:rsidRDefault="00CC1FA8" w:rsidP="00CC1FA8">
      <w:pPr>
        <w:spacing w:line="240" w:lineRule="auto"/>
        <w:rPr>
          <w:rFonts w:eastAsia="Times New Roman" w:cs="Arial"/>
          <w:color w:val="000000"/>
          <w:szCs w:val="20"/>
          <w:lang w:eastAsia="bg-BG"/>
        </w:rPr>
      </w:pPr>
    </w:p>
    <w:p w14:paraId="15B91C60" w14:textId="4AC35E99"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Ефектът на аторвастатин върху фатално и нефатално сърдечносъдово заболяване е оценен също и в рандомизирано, двойно-сляпо, мултицентрово, плацебо-контролирано проучване </w:t>
      </w:r>
      <w:r w:rsidRPr="00CC1FA8">
        <w:rPr>
          <w:rFonts w:eastAsia="Times New Roman" w:cs="Arial"/>
          <w:color w:val="000000"/>
          <w:szCs w:val="20"/>
          <w:lang w:val="en-US"/>
        </w:rPr>
        <w:t xml:space="preserve">Collaborative Atorvastatin Diabetes Study (CARDS) </w:t>
      </w:r>
      <w:r w:rsidRPr="00CC1FA8">
        <w:rPr>
          <w:rFonts w:eastAsia="Times New Roman" w:cs="Arial"/>
          <w:color w:val="000000"/>
          <w:szCs w:val="20"/>
          <w:lang w:eastAsia="bg-BG"/>
        </w:rPr>
        <w:t xml:space="preserve">при пациенти </w:t>
      </w:r>
      <w:r w:rsidRPr="00CC1FA8">
        <w:rPr>
          <w:rFonts w:eastAsia="Times New Roman" w:cs="Arial"/>
          <w:color w:val="000000"/>
          <w:szCs w:val="20"/>
          <w:lang w:val="en-US"/>
        </w:rPr>
        <w:t xml:space="preserve">c </w:t>
      </w:r>
      <w:r w:rsidRPr="00CC1FA8">
        <w:rPr>
          <w:rFonts w:eastAsia="Times New Roman" w:cs="Arial"/>
          <w:color w:val="000000"/>
          <w:szCs w:val="20"/>
          <w:lang w:eastAsia="bg-BG"/>
        </w:rPr>
        <w:t xml:space="preserve">тип </w:t>
      </w:r>
      <w:r w:rsidRPr="00CC1FA8">
        <w:rPr>
          <w:rFonts w:eastAsia="Times New Roman" w:cs="Arial"/>
          <w:color w:val="000000"/>
          <w:szCs w:val="20"/>
          <w:lang w:val="en-US"/>
        </w:rPr>
        <w:t xml:space="preserve">2 </w:t>
      </w:r>
      <w:r w:rsidRPr="00CC1FA8">
        <w:rPr>
          <w:rFonts w:eastAsia="Times New Roman" w:cs="Arial"/>
          <w:color w:val="000000"/>
          <w:szCs w:val="20"/>
          <w:lang w:eastAsia="bg-BG"/>
        </w:rPr>
        <w:t xml:space="preserve">диабет, 40-75-годишни, без предходна анамнеза за сърдечносъдово заболяване и с </w:t>
      </w:r>
      <w:r w:rsidRPr="00CC1FA8">
        <w:rPr>
          <w:rFonts w:eastAsia="Times New Roman" w:cs="Arial"/>
          <w:color w:val="000000"/>
          <w:szCs w:val="20"/>
          <w:lang w:val="en-US"/>
        </w:rPr>
        <w:t xml:space="preserve">LDL-C </w:t>
      </w:r>
      <w:r w:rsidRPr="00CC1FA8">
        <w:rPr>
          <w:rFonts w:eastAsia="Times New Roman" w:cs="Arial"/>
          <w:color w:val="000000"/>
          <w:szCs w:val="20"/>
          <w:lang w:eastAsia="bg-BG"/>
        </w:rPr>
        <w:t xml:space="preserve">≤4,14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(160 </w:t>
      </w:r>
      <w:r w:rsidRPr="00CC1FA8">
        <w:rPr>
          <w:rFonts w:eastAsia="Times New Roman" w:cs="Arial"/>
          <w:color w:val="000000"/>
          <w:szCs w:val="20"/>
          <w:lang w:val="en-US"/>
        </w:rPr>
        <w:t xml:space="preserve">mg/dl) </w:t>
      </w:r>
      <w:r w:rsidRPr="00CC1FA8">
        <w:rPr>
          <w:rFonts w:eastAsia="Times New Roman" w:cs="Arial"/>
          <w:color w:val="000000"/>
          <w:szCs w:val="20"/>
          <w:lang w:eastAsia="bg-BG"/>
        </w:rPr>
        <w:t xml:space="preserve">и триглицериди ≤ 6,78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(600 </w:t>
      </w:r>
      <w:r w:rsidRPr="00CC1FA8">
        <w:rPr>
          <w:rFonts w:eastAsia="Times New Roman" w:cs="Arial"/>
          <w:color w:val="000000"/>
          <w:szCs w:val="20"/>
          <w:lang w:val="en-US"/>
        </w:rPr>
        <w:t xml:space="preserve">mg/dl). </w:t>
      </w:r>
      <w:r w:rsidRPr="00CC1FA8">
        <w:rPr>
          <w:rFonts w:eastAsia="Times New Roman" w:cs="Arial"/>
          <w:color w:val="000000"/>
          <w:szCs w:val="20"/>
          <w:lang w:eastAsia="bg-BG"/>
        </w:rPr>
        <w:t>Всички пациенти са имали поне 1 от следните рискови фактори: хипертония, настоящо пушене, ретинопатия, микроалбуминурия или макроалбуминурия.</w:t>
      </w:r>
    </w:p>
    <w:p w14:paraId="6E8D705E" w14:textId="77777777" w:rsidR="00CC1FA8" w:rsidRPr="00CC1FA8" w:rsidRDefault="00CC1FA8" w:rsidP="00CC1FA8">
      <w:pPr>
        <w:spacing w:line="240" w:lineRule="auto"/>
        <w:rPr>
          <w:rFonts w:eastAsia="Times New Roman" w:cs="Arial"/>
          <w:color w:val="000000"/>
          <w:szCs w:val="20"/>
          <w:lang w:eastAsia="bg-BG"/>
        </w:rPr>
      </w:pPr>
    </w:p>
    <w:p w14:paraId="798241AC" w14:textId="573D87BE"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Пациентите са лекувани с аторвастатин 10 </w:t>
      </w:r>
      <w:r w:rsidRPr="00CC1FA8">
        <w:rPr>
          <w:rFonts w:eastAsia="Times New Roman" w:cs="Arial"/>
          <w:color w:val="000000"/>
          <w:szCs w:val="20"/>
          <w:lang w:val="en-US"/>
        </w:rPr>
        <w:t xml:space="preserve">mg </w:t>
      </w:r>
      <w:r w:rsidRPr="00CC1FA8">
        <w:rPr>
          <w:rFonts w:eastAsia="Times New Roman" w:cs="Arial"/>
          <w:color w:val="000000"/>
          <w:szCs w:val="20"/>
          <w:lang w:eastAsia="bg-BG"/>
        </w:rPr>
        <w:t>дневно (п—1,428) или плацебо (п= 1,410) при средно проследяване от 3,9 години.</w:t>
      </w:r>
    </w:p>
    <w:p w14:paraId="3FF29376" w14:textId="77777777" w:rsidR="00CC1FA8" w:rsidRPr="00CC1FA8" w:rsidRDefault="00CC1FA8" w:rsidP="00CC1FA8">
      <w:pPr>
        <w:spacing w:line="240" w:lineRule="auto"/>
        <w:rPr>
          <w:rFonts w:eastAsia="Times New Roman" w:cs="Arial"/>
          <w:color w:val="000000"/>
          <w:szCs w:val="20"/>
          <w:lang w:eastAsia="bg-BG"/>
        </w:rPr>
      </w:pPr>
    </w:p>
    <w:p w14:paraId="18BD1E08" w14:textId="431CB903" w:rsidR="00CC1FA8" w:rsidRPr="00CC1FA8" w:rsidRDefault="00CC1FA8" w:rsidP="00CC1FA8">
      <w:pPr>
        <w:spacing w:line="240" w:lineRule="auto"/>
        <w:rPr>
          <w:rFonts w:eastAsia="Times New Roman" w:cs="Arial"/>
          <w:sz w:val="24"/>
          <w:lang w:eastAsia="bg-BG"/>
        </w:rPr>
      </w:pPr>
      <w:r w:rsidRPr="00CC1FA8">
        <w:rPr>
          <w:rFonts w:eastAsia="Times New Roman" w:cs="Arial"/>
          <w:color w:val="000000"/>
          <w:szCs w:val="20"/>
          <w:lang w:eastAsia="bg-BG"/>
        </w:rPr>
        <w:t>Ефектът за намаляване на абсолютния и относителния риск с аторвастатин е бил какго следва:</w:t>
      </w:r>
    </w:p>
    <w:tbl>
      <w:tblPr>
        <w:tblStyle w:val="TableGrid"/>
        <w:tblW w:w="0" w:type="auto"/>
        <w:tblLook w:val="04A0" w:firstRow="1" w:lastRow="0" w:firstColumn="1" w:lastColumn="0" w:noHBand="0" w:noVBand="1"/>
      </w:tblPr>
      <w:tblGrid>
        <w:gridCol w:w="1934"/>
        <w:gridCol w:w="1859"/>
        <w:gridCol w:w="1864"/>
        <w:gridCol w:w="1854"/>
        <w:gridCol w:w="1839"/>
      </w:tblGrid>
      <w:tr w:rsidR="00CC1FA8" w14:paraId="56679ACD" w14:textId="77777777" w:rsidTr="000F2A8D">
        <w:tc>
          <w:tcPr>
            <w:tcW w:w="1934" w:type="dxa"/>
          </w:tcPr>
          <w:p w14:paraId="03EF6438" w14:textId="23FAA8C8" w:rsidR="00CC1FA8" w:rsidRPr="00CC1FA8" w:rsidRDefault="00CC1FA8" w:rsidP="00CC1FA8">
            <w:pPr>
              <w:rPr>
                <w:rFonts w:cs="Arial"/>
              </w:rPr>
            </w:pPr>
            <w:r w:rsidRPr="00CC1FA8">
              <w:rPr>
                <w:szCs w:val="20"/>
              </w:rPr>
              <w:t>Инцидент</w:t>
            </w:r>
          </w:p>
        </w:tc>
        <w:tc>
          <w:tcPr>
            <w:tcW w:w="1859" w:type="dxa"/>
          </w:tcPr>
          <w:p w14:paraId="11E47650" w14:textId="6229C331" w:rsidR="00CC1FA8" w:rsidRPr="00CC1FA8" w:rsidRDefault="00CC1FA8" w:rsidP="00CC1FA8">
            <w:pPr>
              <w:rPr>
                <w:rFonts w:cs="Arial"/>
              </w:rPr>
            </w:pPr>
            <w:r w:rsidRPr="00CC1FA8">
              <w:rPr>
                <w:szCs w:val="20"/>
              </w:rPr>
              <w:t>Относително намаление на риска (%)</w:t>
            </w:r>
          </w:p>
        </w:tc>
        <w:tc>
          <w:tcPr>
            <w:tcW w:w="1864" w:type="dxa"/>
          </w:tcPr>
          <w:p w14:paraId="049B96DC" w14:textId="77321407" w:rsidR="00CC1FA8" w:rsidRPr="00CC1FA8" w:rsidRDefault="00CC1FA8" w:rsidP="00CC1FA8">
            <w:pPr>
              <w:rPr>
                <w:rFonts w:cs="Arial"/>
              </w:rPr>
            </w:pPr>
            <w:r w:rsidRPr="00CC1FA8">
              <w:rPr>
                <w:szCs w:val="20"/>
              </w:rPr>
              <w:t>Брой на инцидентите (аторвастатин спрямо плацебо)</w:t>
            </w:r>
          </w:p>
        </w:tc>
        <w:tc>
          <w:tcPr>
            <w:tcW w:w="1854" w:type="dxa"/>
          </w:tcPr>
          <w:p w14:paraId="5FF72773" w14:textId="57373997" w:rsidR="00CC1FA8" w:rsidRPr="00CC1FA8" w:rsidRDefault="00CC1FA8" w:rsidP="00CC1FA8">
            <w:pPr>
              <w:rPr>
                <w:rFonts w:cs="Arial"/>
              </w:rPr>
            </w:pPr>
            <w:r w:rsidRPr="00CC1FA8">
              <w:rPr>
                <w:szCs w:val="20"/>
              </w:rPr>
              <w:t>Абсолютно намаление на  риска</w:t>
            </w:r>
            <w:r w:rsidRPr="00CC1FA8">
              <w:rPr>
                <w:szCs w:val="20"/>
                <w:vertAlign w:val="superscript"/>
              </w:rPr>
              <w:t>1</w:t>
            </w:r>
            <w:r w:rsidRPr="00CC1FA8">
              <w:rPr>
                <w:szCs w:val="20"/>
              </w:rPr>
              <w:t xml:space="preserve"> (%)</w:t>
            </w:r>
          </w:p>
        </w:tc>
        <w:tc>
          <w:tcPr>
            <w:tcW w:w="1839" w:type="dxa"/>
          </w:tcPr>
          <w:p w14:paraId="27B14317" w14:textId="7CA9492B" w:rsidR="00CC1FA8" w:rsidRPr="00CC1FA8" w:rsidRDefault="00CC1FA8" w:rsidP="00CC1FA8">
            <w:pPr>
              <w:rPr>
                <w:rFonts w:cs="Arial"/>
              </w:rPr>
            </w:pPr>
            <w:r w:rsidRPr="00CC1FA8">
              <w:rPr>
                <w:szCs w:val="20"/>
              </w:rPr>
              <w:t xml:space="preserve">Стойн ост на </w:t>
            </w:r>
            <w:r w:rsidRPr="00CC1FA8">
              <w:rPr>
                <w:szCs w:val="20"/>
                <w:lang w:val="en-US"/>
              </w:rPr>
              <w:t>p</w:t>
            </w:r>
          </w:p>
        </w:tc>
      </w:tr>
      <w:tr w:rsidR="00CC1FA8" w14:paraId="187086D5" w14:textId="77777777" w:rsidTr="000F2A8D">
        <w:tc>
          <w:tcPr>
            <w:tcW w:w="1934" w:type="dxa"/>
          </w:tcPr>
          <w:p w14:paraId="0568E55E" w14:textId="77777777" w:rsidR="00CC1FA8" w:rsidRPr="00CC1FA8" w:rsidRDefault="00CC1FA8" w:rsidP="00CC1FA8">
            <w:r w:rsidRPr="00CC1FA8">
              <w:rPr>
                <w:szCs w:val="20"/>
              </w:rPr>
              <w:t>Големи сърдечносъдови инциденти</w:t>
            </w:r>
          </w:p>
          <w:p w14:paraId="5FAA9552" w14:textId="24340C9C" w:rsidR="00CC1FA8" w:rsidRPr="00CC1FA8" w:rsidRDefault="00CC1FA8" w:rsidP="00CC1FA8">
            <w:pPr>
              <w:rPr>
                <w:rFonts w:cs="Arial"/>
              </w:rPr>
            </w:pPr>
            <w:r w:rsidRPr="00CC1FA8">
              <w:rPr>
                <w:szCs w:val="20"/>
              </w:rPr>
              <w:t xml:space="preserve">(фатален и нефатален остър МИ, тих МИ, внезапна смърт вследствие на ИБС, нестабилна </w:t>
            </w:r>
            <w:r w:rsidRPr="00CC1FA8">
              <w:rPr>
                <w:szCs w:val="20"/>
              </w:rPr>
              <w:lastRenderedPageBreak/>
              <w:t xml:space="preserve">стенокардия, </w:t>
            </w:r>
            <w:r w:rsidRPr="00CC1FA8">
              <w:rPr>
                <w:szCs w:val="20"/>
                <w:lang w:val="en-US"/>
              </w:rPr>
              <w:t xml:space="preserve">CABG, </w:t>
            </w:r>
            <w:r w:rsidRPr="00CC1FA8">
              <w:rPr>
                <w:szCs w:val="20"/>
              </w:rPr>
              <w:t>РТСА, реваскулизация, инсулт)</w:t>
            </w:r>
          </w:p>
        </w:tc>
        <w:tc>
          <w:tcPr>
            <w:tcW w:w="1859" w:type="dxa"/>
          </w:tcPr>
          <w:p w14:paraId="2E2F4561" w14:textId="7BD47EC1" w:rsidR="00CC1FA8" w:rsidRPr="00CC1FA8" w:rsidRDefault="00CC1FA8" w:rsidP="00CC1FA8">
            <w:pPr>
              <w:rPr>
                <w:rFonts w:cs="Arial"/>
              </w:rPr>
            </w:pPr>
            <w:r w:rsidRPr="00CC1FA8">
              <w:rPr>
                <w:szCs w:val="20"/>
              </w:rPr>
              <w:lastRenderedPageBreak/>
              <w:t>37%</w:t>
            </w:r>
          </w:p>
        </w:tc>
        <w:tc>
          <w:tcPr>
            <w:tcW w:w="1864" w:type="dxa"/>
          </w:tcPr>
          <w:p w14:paraId="668564DD" w14:textId="220FBA43" w:rsidR="00CC1FA8" w:rsidRPr="00CC1FA8" w:rsidRDefault="00CC1FA8" w:rsidP="00CC1FA8">
            <w:pPr>
              <w:rPr>
                <w:rFonts w:cs="Arial"/>
              </w:rPr>
            </w:pPr>
            <w:r w:rsidRPr="00CC1FA8">
              <w:rPr>
                <w:szCs w:val="20"/>
              </w:rPr>
              <w:t>83 спрямо 127</w:t>
            </w:r>
          </w:p>
        </w:tc>
        <w:tc>
          <w:tcPr>
            <w:tcW w:w="1854" w:type="dxa"/>
          </w:tcPr>
          <w:p w14:paraId="267B6F31" w14:textId="50695177" w:rsidR="00CC1FA8" w:rsidRPr="00CC1FA8" w:rsidRDefault="00CC1FA8" w:rsidP="00CC1FA8">
            <w:pPr>
              <w:rPr>
                <w:rFonts w:cs="Arial"/>
              </w:rPr>
            </w:pPr>
            <w:r w:rsidRPr="00CC1FA8">
              <w:rPr>
                <w:szCs w:val="20"/>
              </w:rPr>
              <w:t>3,2%</w:t>
            </w:r>
          </w:p>
        </w:tc>
        <w:tc>
          <w:tcPr>
            <w:tcW w:w="1839" w:type="dxa"/>
          </w:tcPr>
          <w:p w14:paraId="68657CC5" w14:textId="736713C0" w:rsidR="00CC1FA8" w:rsidRPr="00CC1FA8" w:rsidRDefault="00CC1FA8" w:rsidP="00CC1FA8">
            <w:pPr>
              <w:rPr>
                <w:rFonts w:cs="Arial"/>
              </w:rPr>
            </w:pPr>
            <w:r w:rsidRPr="00CC1FA8">
              <w:rPr>
                <w:szCs w:val="20"/>
              </w:rPr>
              <w:t>0,0010</w:t>
            </w:r>
          </w:p>
        </w:tc>
      </w:tr>
      <w:tr w:rsidR="00CC1FA8" w14:paraId="0AC4BDF0" w14:textId="77777777" w:rsidTr="000F2A8D">
        <w:tc>
          <w:tcPr>
            <w:tcW w:w="1934" w:type="dxa"/>
          </w:tcPr>
          <w:p w14:paraId="2FF1571F" w14:textId="546D9E91" w:rsidR="00CC1FA8" w:rsidRPr="00CC1FA8" w:rsidRDefault="00CC1FA8" w:rsidP="00CC1FA8">
            <w:pPr>
              <w:rPr>
                <w:rFonts w:cs="Arial"/>
              </w:rPr>
            </w:pPr>
            <w:r w:rsidRPr="00CC1FA8">
              <w:rPr>
                <w:szCs w:val="20"/>
              </w:rPr>
              <w:t>МИ (фатален и нефатален ОМИ, тих МИ)</w:t>
            </w:r>
          </w:p>
        </w:tc>
        <w:tc>
          <w:tcPr>
            <w:tcW w:w="1859" w:type="dxa"/>
          </w:tcPr>
          <w:p w14:paraId="58A80D83" w14:textId="0C68F739" w:rsidR="00CC1FA8" w:rsidRPr="00CC1FA8" w:rsidRDefault="00CC1FA8" w:rsidP="00CC1FA8">
            <w:pPr>
              <w:rPr>
                <w:rFonts w:cs="Arial"/>
              </w:rPr>
            </w:pPr>
            <w:r w:rsidRPr="00CC1FA8">
              <w:rPr>
                <w:szCs w:val="20"/>
              </w:rPr>
              <w:t>42%</w:t>
            </w:r>
          </w:p>
        </w:tc>
        <w:tc>
          <w:tcPr>
            <w:tcW w:w="1864" w:type="dxa"/>
          </w:tcPr>
          <w:p w14:paraId="421B3ED8" w14:textId="31E0F151" w:rsidR="00CC1FA8" w:rsidRPr="00CC1FA8" w:rsidRDefault="00CC1FA8" w:rsidP="00CC1FA8">
            <w:pPr>
              <w:rPr>
                <w:rFonts w:cs="Arial"/>
              </w:rPr>
            </w:pPr>
            <w:r w:rsidRPr="00CC1FA8">
              <w:rPr>
                <w:szCs w:val="20"/>
              </w:rPr>
              <w:t>38 спрямо 64</w:t>
            </w:r>
          </w:p>
        </w:tc>
        <w:tc>
          <w:tcPr>
            <w:tcW w:w="1854" w:type="dxa"/>
          </w:tcPr>
          <w:p w14:paraId="2A46BFA8" w14:textId="1D967F54" w:rsidR="00CC1FA8" w:rsidRPr="00CC1FA8" w:rsidRDefault="00CC1FA8" w:rsidP="00CC1FA8">
            <w:pPr>
              <w:rPr>
                <w:rFonts w:cs="Arial"/>
              </w:rPr>
            </w:pPr>
            <w:r w:rsidRPr="00CC1FA8">
              <w:rPr>
                <w:szCs w:val="20"/>
              </w:rPr>
              <w:t>1,9%</w:t>
            </w:r>
          </w:p>
        </w:tc>
        <w:tc>
          <w:tcPr>
            <w:tcW w:w="1839" w:type="dxa"/>
          </w:tcPr>
          <w:p w14:paraId="77336C0A" w14:textId="319F7742" w:rsidR="00CC1FA8" w:rsidRPr="00CC1FA8" w:rsidRDefault="00CC1FA8" w:rsidP="00CC1FA8">
            <w:pPr>
              <w:rPr>
                <w:rFonts w:cs="Arial"/>
              </w:rPr>
            </w:pPr>
            <w:r w:rsidRPr="00CC1FA8">
              <w:rPr>
                <w:szCs w:val="20"/>
              </w:rPr>
              <w:t>0,0070</w:t>
            </w:r>
          </w:p>
        </w:tc>
      </w:tr>
      <w:tr w:rsidR="00CC1FA8" w14:paraId="5CC6F144" w14:textId="77777777" w:rsidTr="000F2A8D">
        <w:tc>
          <w:tcPr>
            <w:tcW w:w="1934" w:type="dxa"/>
          </w:tcPr>
          <w:p w14:paraId="38B74EDE" w14:textId="4DAEEC3A" w:rsidR="00CC1FA8" w:rsidRPr="00CC1FA8" w:rsidRDefault="00CC1FA8" w:rsidP="00CC1FA8">
            <w:pPr>
              <w:rPr>
                <w:rFonts w:cs="Arial"/>
              </w:rPr>
            </w:pPr>
            <w:r w:rsidRPr="00CC1FA8">
              <w:rPr>
                <w:szCs w:val="20"/>
              </w:rPr>
              <w:t>Инсулти (фатални и нефатални)</w:t>
            </w:r>
          </w:p>
        </w:tc>
        <w:tc>
          <w:tcPr>
            <w:tcW w:w="1859" w:type="dxa"/>
          </w:tcPr>
          <w:p w14:paraId="6B597AB4" w14:textId="4AA95153" w:rsidR="00CC1FA8" w:rsidRPr="00CC1FA8" w:rsidRDefault="00CC1FA8" w:rsidP="00CC1FA8">
            <w:pPr>
              <w:rPr>
                <w:rFonts w:cs="Arial"/>
              </w:rPr>
            </w:pPr>
            <w:r w:rsidRPr="00CC1FA8">
              <w:rPr>
                <w:szCs w:val="20"/>
              </w:rPr>
              <w:t>8%</w:t>
            </w:r>
          </w:p>
        </w:tc>
        <w:tc>
          <w:tcPr>
            <w:tcW w:w="1864" w:type="dxa"/>
          </w:tcPr>
          <w:p w14:paraId="62C54659" w14:textId="5CA1B857" w:rsidR="00CC1FA8" w:rsidRPr="00CC1FA8" w:rsidRDefault="00CC1FA8" w:rsidP="00CC1FA8">
            <w:pPr>
              <w:rPr>
                <w:rFonts w:cs="Arial"/>
              </w:rPr>
            </w:pPr>
            <w:r w:rsidRPr="00CC1FA8">
              <w:rPr>
                <w:szCs w:val="20"/>
              </w:rPr>
              <w:t>21 спрямо 39</w:t>
            </w:r>
          </w:p>
        </w:tc>
        <w:tc>
          <w:tcPr>
            <w:tcW w:w="1854" w:type="dxa"/>
          </w:tcPr>
          <w:p w14:paraId="4528A105" w14:textId="4329BD9E" w:rsidR="00CC1FA8" w:rsidRPr="00CC1FA8" w:rsidRDefault="00CC1FA8" w:rsidP="00CC1FA8">
            <w:pPr>
              <w:rPr>
                <w:rFonts w:cs="Arial"/>
              </w:rPr>
            </w:pPr>
            <w:r w:rsidRPr="00CC1FA8">
              <w:rPr>
                <w:szCs w:val="20"/>
              </w:rPr>
              <w:t>1,3%</w:t>
            </w:r>
          </w:p>
        </w:tc>
        <w:tc>
          <w:tcPr>
            <w:tcW w:w="1839" w:type="dxa"/>
          </w:tcPr>
          <w:p w14:paraId="42B60ABE" w14:textId="335C3256" w:rsidR="00CC1FA8" w:rsidRPr="00CC1FA8" w:rsidRDefault="00CC1FA8" w:rsidP="00CC1FA8">
            <w:pPr>
              <w:rPr>
                <w:rFonts w:cs="Arial"/>
              </w:rPr>
            </w:pPr>
            <w:r w:rsidRPr="00CC1FA8">
              <w:rPr>
                <w:szCs w:val="20"/>
              </w:rPr>
              <w:t>0,0163</w:t>
            </w:r>
          </w:p>
        </w:tc>
      </w:tr>
    </w:tbl>
    <w:p w14:paraId="0DEDEAE2" w14:textId="7B589C6A" w:rsidR="00F673C9" w:rsidRPr="00F673C9" w:rsidRDefault="00F673C9" w:rsidP="000F2A8D">
      <w:pPr>
        <w:spacing w:line="240" w:lineRule="auto"/>
        <w:rPr>
          <w:rFonts w:eastAsia="Times New Roman" w:cs="Arial"/>
          <w:color w:val="000000"/>
          <w:szCs w:val="20"/>
          <w:vertAlign w:val="subscript"/>
          <w:lang w:eastAsia="bg-BG"/>
        </w:rPr>
      </w:pPr>
      <w:r w:rsidRPr="00F673C9">
        <w:rPr>
          <w:rFonts w:eastAsia="Times New Roman" w:cs="Arial"/>
          <w:color w:val="000000"/>
          <w:szCs w:val="20"/>
          <w:vertAlign w:val="subscript"/>
          <w:lang w:eastAsia="bg-BG"/>
        </w:rPr>
        <w:t>1</w:t>
      </w:r>
    </w:p>
    <w:p w14:paraId="2CF55127" w14:textId="7FEBA38A"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Въз основа на разликата в общата честота на инцидентите, наблюдавани при средно проследяване от 3,9 години; </w:t>
      </w:r>
      <w:r w:rsidRPr="000F2A8D">
        <w:rPr>
          <w:rFonts w:eastAsia="Times New Roman" w:cs="Arial"/>
          <w:color w:val="000000"/>
          <w:szCs w:val="20"/>
          <w:lang w:val="en-US"/>
        </w:rPr>
        <w:t xml:space="preserve">CABG </w:t>
      </w:r>
      <w:r w:rsidRPr="000F2A8D">
        <w:rPr>
          <w:rFonts w:eastAsia="Times New Roman" w:cs="Arial"/>
          <w:color w:val="000000"/>
          <w:szCs w:val="20"/>
          <w:lang w:eastAsia="bg-BG"/>
        </w:rPr>
        <w:t>- коронарен артериален байпас; ИБС - исхемична болест на сърцето; МИ - миокарден инфаркт; РТСА - перкутанна транслуминална коронарна ангиопластика.</w:t>
      </w:r>
    </w:p>
    <w:p w14:paraId="160756A6" w14:textId="77777777" w:rsidR="000F2A8D" w:rsidRPr="000F2A8D" w:rsidRDefault="000F2A8D" w:rsidP="000F2A8D">
      <w:pPr>
        <w:spacing w:line="240" w:lineRule="auto"/>
        <w:rPr>
          <w:rFonts w:eastAsia="Times New Roman" w:cs="Arial"/>
          <w:color w:val="000000"/>
          <w:szCs w:val="20"/>
          <w:lang w:eastAsia="bg-BG"/>
        </w:rPr>
      </w:pPr>
    </w:p>
    <w:p w14:paraId="5A371F01" w14:textId="7870AF70"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Няма доказателство за разлика в ефекта от лечението според пола, възрастта или първоначалното ниво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на пациента. Благоприятна тенденция е наблюдавана при смъртността (82 смъртни случаи при плацебо групата спрямо 61 в групата на аторвастатин, р-0,0592).</w:t>
      </w:r>
    </w:p>
    <w:p w14:paraId="728521DA" w14:textId="77777777" w:rsidR="000F2A8D" w:rsidRPr="000F2A8D" w:rsidRDefault="000F2A8D" w:rsidP="000F2A8D">
      <w:pPr>
        <w:spacing w:line="240" w:lineRule="auto"/>
        <w:rPr>
          <w:rFonts w:eastAsia="Times New Roman" w:cs="Arial"/>
          <w:i/>
          <w:iCs/>
          <w:color w:val="000000"/>
          <w:szCs w:val="20"/>
          <w:u w:val="single"/>
          <w:lang w:eastAsia="bg-BG"/>
        </w:rPr>
      </w:pPr>
    </w:p>
    <w:p w14:paraId="0FAD6167" w14:textId="060E6D56" w:rsidR="000F2A8D" w:rsidRPr="000F2A8D" w:rsidRDefault="000F2A8D" w:rsidP="000F2A8D">
      <w:pPr>
        <w:spacing w:line="240" w:lineRule="auto"/>
        <w:rPr>
          <w:rFonts w:eastAsia="Times New Roman" w:cs="Arial"/>
          <w:sz w:val="28"/>
          <w:szCs w:val="24"/>
          <w:lang w:eastAsia="bg-BG"/>
        </w:rPr>
      </w:pPr>
      <w:r w:rsidRPr="000F2A8D">
        <w:rPr>
          <w:rFonts w:eastAsia="Times New Roman" w:cs="Arial"/>
          <w:i/>
          <w:iCs/>
          <w:color w:val="000000"/>
          <w:szCs w:val="20"/>
          <w:u w:val="single"/>
          <w:lang w:eastAsia="bg-BG"/>
        </w:rPr>
        <w:t>Рецидивиращ инсулт</w:t>
      </w:r>
    </w:p>
    <w:p w14:paraId="6C50F269" w14:textId="77777777" w:rsidR="000F2A8D" w:rsidRPr="000F2A8D" w:rsidRDefault="000F2A8D" w:rsidP="000F2A8D">
      <w:pPr>
        <w:spacing w:line="240" w:lineRule="auto"/>
        <w:rPr>
          <w:rFonts w:eastAsia="Times New Roman" w:cs="Arial"/>
          <w:color w:val="000000"/>
          <w:szCs w:val="20"/>
          <w:lang w:eastAsia="bg-BG"/>
        </w:rPr>
      </w:pPr>
    </w:p>
    <w:p w14:paraId="097E5F73" w14:textId="3293D4A1"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В проучването </w:t>
      </w:r>
      <w:r w:rsidRPr="000F2A8D">
        <w:rPr>
          <w:rFonts w:eastAsia="Times New Roman" w:cs="Arial"/>
          <w:color w:val="000000"/>
          <w:szCs w:val="20"/>
          <w:lang w:val="en-US"/>
        </w:rPr>
        <w:t xml:space="preserve">Stroke Prevention by Aggressive Reduction in Cholesterol Levels (SPARCL), e </w:t>
      </w:r>
      <w:r w:rsidRPr="000F2A8D">
        <w:rPr>
          <w:rFonts w:eastAsia="Times New Roman" w:cs="Arial"/>
          <w:color w:val="000000"/>
          <w:szCs w:val="20"/>
          <w:lang w:eastAsia="bg-BG"/>
        </w:rPr>
        <w:t xml:space="preserve">оценен ефектът на аторвастатин 80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дневно или плацебо върху инсулта при 4731 пациенти с инсулт или преходна исхемична атака </w:t>
      </w:r>
      <w:r w:rsidRPr="000F2A8D">
        <w:rPr>
          <w:rFonts w:eastAsia="Times New Roman" w:cs="Arial"/>
          <w:color w:val="000000"/>
          <w:szCs w:val="20"/>
          <w:lang w:val="en-US"/>
        </w:rPr>
        <w:t xml:space="preserve">(TLA) </w:t>
      </w:r>
      <w:r w:rsidRPr="000F2A8D">
        <w:rPr>
          <w:rFonts w:eastAsia="Times New Roman" w:cs="Arial"/>
          <w:color w:val="000000"/>
          <w:szCs w:val="20"/>
          <w:lang w:eastAsia="bg-BG"/>
        </w:rPr>
        <w:t xml:space="preserve">в рамките на предходните 6 месеца и без анамнеза за ИБС. Пациентите са 60% мъже, 21-92 години (средна възраст 63 години) и изходно ниво на </w:t>
      </w:r>
      <w:r w:rsidRPr="000F2A8D">
        <w:rPr>
          <w:rFonts w:eastAsia="Times New Roman" w:cs="Arial"/>
          <w:color w:val="000000"/>
          <w:szCs w:val="20"/>
          <w:lang w:val="en-US"/>
        </w:rPr>
        <w:t xml:space="preserve">LDL </w:t>
      </w:r>
      <w:r w:rsidRPr="000F2A8D">
        <w:rPr>
          <w:rFonts w:eastAsia="Times New Roman" w:cs="Arial"/>
          <w:color w:val="000000"/>
          <w:szCs w:val="20"/>
          <w:lang w:eastAsia="bg-BG"/>
        </w:rPr>
        <w:t xml:space="preserve">средно 133 </w:t>
      </w:r>
      <w:r w:rsidRPr="000F2A8D">
        <w:rPr>
          <w:rFonts w:eastAsia="Times New Roman" w:cs="Arial"/>
          <w:color w:val="000000"/>
          <w:szCs w:val="20"/>
          <w:lang w:val="en-US"/>
        </w:rPr>
        <w:t xml:space="preserve">mg/dl </w:t>
      </w:r>
      <w:r w:rsidRPr="000F2A8D">
        <w:rPr>
          <w:rFonts w:eastAsia="Times New Roman" w:cs="Arial"/>
          <w:color w:val="000000"/>
          <w:szCs w:val="20"/>
          <w:lang w:eastAsia="bg-BG"/>
        </w:rPr>
        <w:t xml:space="preserve">(3,4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Средната стойност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е 73 </w:t>
      </w:r>
      <w:r w:rsidRPr="000F2A8D">
        <w:rPr>
          <w:rFonts w:eastAsia="Times New Roman" w:cs="Arial"/>
          <w:color w:val="000000"/>
          <w:szCs w:val="20"/>
          <w:lang w:val="en-US"/>
        </w:rPr>
        <w:t>mg/</w:t>
      </w:r>
      <w:proofErr w:type="spellStart"/>
      <w:r w:rsidRPr="000F2A8D">
        <w:rPr>
          <w:rFonts w:eastAsia="Times New Roman" w:cs="Arial"/>
          <w:color w:val="000000"/>
          <w:szCs w:val="20"/>
          <w:lang w:val="en-US"/>
        </w:rPr>
        <w:t>dL</w:t>
      </w:r>
      <w:proofErr w:type="spellEnd"/>
      <w:r w:rsidRPr="000F2A8D">
        <w:rPr>
          <w:rFonts w:eastAsia="Times New Roman" w:cs="Arial"/>
          <w:color w:val="000000"/>
          <w:szCs w:val="20"/>
          <w:lang w:val="en-US"/>
        </w:rPr>
        <w:t xml:space="preserve"> </w:t>
      </w:r>
      <w:r w:rsidRPr="000F2A8D">
        <w:rPr>
          <w:rFonts w:eastAsia="Times New Roman" w:cs="Arial"/>
          <w:color w:val="000000"/>
          <w:szCs w:val="20"/>
          <w:lang w:eastAsia="bg-BG"/>
        </w:rPr>
        <w:t xml:space="preserve">(1,9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u w:val="single"/>
          <w:lang w:eastAsia="bg-BG"/>
        </w:rPr>
        <w:t xml:space="preserve">по </w:t>
      </w:r>
      <w:r w:rsidRPr="000F2A8D">
        <w:rPr>
          <w:rFonts w:eastAsia="Times New Roman" w:cs="Arial"/>
          <w:color w:val="000000"/>
          <w:szCs w:val="20"/>
          <w:lang w:eastAsia="bg-BG"/>
        </w:rPr>
        <w:t xml:space="preserve">време на лечението с аторвастатин и 129 </w:t>
      </w:r>
      <w:r w:rsidRPr="000F2A8D">
        <w:rPr>
          <w:rFonts w:eastAsia="Times New Roman" w:cs="Arial"/>
          <w:color w:val="000000"/>
          <w:szCs w:val="20"/>
          <w:lang w:val="en-US"/>
        </w:rPr>
        <w:t xml:space="preserve">mg/dl </w:t>
      </w:r>
      <w:r w:rsidRPr="000F2A8D">
        <w:rPr>
          <w:rFonts w:eastAsia="Times New Roman" w:cs="Arial"/>
          <w:color w:val="000000"/>
          <w:szCs w:val="20"/>
          <w:lang w:eastAsia="bg-BG"/>
        </w:rPr>
        <w:t xml:space="preserve">(3,3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по време на лечението с плацебо Средната продължителност на проследяване е 4,9 години.</w:t>
      </w:r>
    </w:p>
    <w:p w14:paraId="14207C4A" w14:textId="77777777" w:rsidR="000F2A8D" w:rsidRPr="000F2A8D" w:rsidRDefault="000F2A8D" w:rsidP="000F2A8D">
      <w:pPr>
        <w:rPr>
          <w:rFonts w:eastAsia="Times New Roman" w:cs="Arial"/>
          <w:color w:val="000000"/>
          <w:szCs w:val="20"/>
          <w:lang w:eastAsia="bg-BG"/>
        </w:rPr>
      </w:pPr>
    </w:p>
    <w:p w14:paraId="18FCD91E" w14:textId="77777777" w:rsidR="000F2A8D" w:rsidRPr="000F2A8D" w:rsidRDefault="000F2A8D" w:rsidP="000F2A8D">
      <w:pPr>
        <w:rPr>
          <w:rFonts w:eastAsia="Times New Roman" w:cs="Arial"/>
          <w:sz w:val="28"/>
          <w:szCs w:val="24"/>
          <w:lang w:eastAsia="bg-BG"/>
        </w:rPr>
      </w:pPr>
      <w:r w:rsidRPr="000F2A8D">
        <w:rPr>
          <w:rFonts w:eastAsia="Times New Roman" w:cs="Arial"/>
          <w:color w:val="000000"/>
          <w:szCs w:val="20"/>
          <w:lang w:eastAsia="bg-BG"/>
        </w:rPr>
        <w:t xml:space="preserve">Аторвастатин 80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е намалил риска от първичната крайна цел фатален и не-фатален инсулт с 15% </w:t>
      </w:r>
      <w:r w:rsidRPr="000F2A8D">
        <w:rPr>
          <w:rFonts w:eastAsia="Times New Roman" w:cs="Arial"/>
          <w:color w:val="000000"/>
          <w:szCs w:val="20"/>
          <w:lang w:val="en-US"/>
        </w:rPr>
        <w:t xml:space="preserve">(HR </w:t>
      </w:r>
      <w:r w:rsidRPr="000F2A8D">
        <w:rPr>
          <w:rFonts w:eastAsia="Times New Roman" w:cs="Arial"/>
          <w:color w:val="000000"/>
          <w:szCs w:val="20"/>
          <w:lang w:eastAsia="bg-BG"/>
        </w:rPr>
        <w:t xml:space="preserve">0,85; 95% </w:t>
      </w:r>
      <w:r w:rsidRPr="000F2A8D">
        <w:rPr>
          <w:rFonts w:eastAsia="Times New Roman" w:cs="Arial"/>
          <w:color w:val="000000"/>
          <w:szCs w:val="20"/>
          <w:lang w:val="en-US"/>
        </w:rPr>
        <w:t xml:space="preserve">CI, </w:t>
      </w:r>
      <w:r w:rsidRPr="000F2A8D">
        <w:rPr>
          <w:rFonts w:eastAsia="Times New Roman" w:cs="Arial"/>
          <w:color w:val="000000"/>
          <w:szCs w:val="20"/>
          <w:lang w:eastAsia="bg-BG"/>
        </w:rPr>
        <w:t xml:space="preserve">0,71- ,00; Р-0,05 или 0, 84; 95% </w:t>
      </w:r>
      <w:r w:rsidRPr="000F2A8D">
        <w:rPr>
          <w:rFonts w:eastAsia="Times New Roman" w:cs="Arial"/>
          <w:color w:val="000000"/>
          <w:szCs w:val="20"/>
          <w:lang w:val="en-US"/>
        </w:rPr>
        <w:t xml:space="preserve">CI, </w:t>
      </w:r>
      <w:r w:rsidRPr="000F2A8D">
        <w:rPr>
          <w:rFonts w:eastAsia="Times New Roman" w:cs="Arial"/>
          <w:color w:val="000000"/>
          <w:szCs w:val="20"/>
          <w:lang w:eastAsia="bg-BG"/>
        </w:rPr>
        <w:t>0,71-0,99; р=0,03 след адаптиране на изходните характеристики) в сравнение с плацебо. Общата смъртност е 9,1% (216/2365)</w:t>
      </w:r>
      <w:r w:rsidRPr="000F2A8D">
        <w:rPr>
          <w:rFonts w:eastAsia="Times New Roman" w:cs="Arial"/>
          <w:color w:val="000000"/>
          <w:szCs w:val="20"/>
          <w:lang w:val="en-US"/>
        </w:rPr>
        <w:t xml:space="preserve"> </w:t>
      </w:r>
      <w:r w:rsidRPr="000F2A8D">
        <w:rPr>
          <w:rFonts w:eastAsia="Times New Roman" w:cs="Arial"/>
          <w:color w:val="000000"/>
          <w:szCs w:val="20"/>
          <w:lang w:eastAsia="bg-BG"/>
        </w:rPr>
        <w:t>при</w:t>
      </w:r>
      <w:r>
        <w:rPr>
          <w:rFonts w:eastAsia="Times New Roman" w:cs="Arial"/>
          <w:color w:val="000000"/>
          <w:szCs w:val="20"/>
          <w:lang w:eastAsia="bg-BG"/>
        </w:rPr>
        <w:t xml:space="preserve"> </w:t>
      </w:r>
      <w:r w:rsidRPr="000F2A8D">
        <w:rPr>
          <w:rFonts w:eastAsia="Times New Roman" w:cs="Arial"/>
          <w:color w:val="000000"/>
          <w:szCs w:val="20"/>
          <w:lang w:eastAsia="bg-BG"/>
        </w:rPr>
        <w:t>аторвастатин спрямо 8,9% (211/2366) при плацебо.</w:t>
      </w:r>
    </w:p>
    <w:p w14:paraId="19ECE7CD" w14:textId="77777777" w:rsidR="000F2A8D" w:rsidRPr="000F2A8D" w:rsidRDefault="000F2A8D" w:rsidP="000F2A8D">
      <w:pPr>
        <w:spacing w:line="240" w:lineRule="auto"/>
        <w:rPr>
          <w:rFonts w:eastAsia="Times New Roman" w:cs="Arial"/>
          <w:color w:val="000000"/>
          <w:szCs w:val="20"/>
          <w:lang w:eastAsia="bg-BG"/>
        </w:rPr>
      </w:pPr>
    </w:p>
    <w:p w14:paraId="372214CA" w14:textId="09FF159D"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В </w:t>
      </w:r>
      <w:r w:rsidRPr="000F2A8D">
        <w:rPr>
          <w:rFonts w:eastAsia="Times New Roman" w:cs="Arial"/>
          <w:color w:val="000000"/>
          <w:szCs w:val="20"/>
          <w:lang w:val="en-US"/>
        </w:rPr>
        <w:t xml:space="preserve">post-hoc </w:t>
      </w:r>
      <w:r w:rsidRPr="000F2A8D">
        <w:rPr>
          <w:rFonts w:eastAsia="Times New Roman" w:cs="Arial"/>
          <w:color w:val="000000"/>
          <w:szCs w:val="20"/>
          <w:lang w:eastAsia="bg-BG"/>
        </w:rPr>
        <w:t xml:space="preserve">анализ аторвастатин 80 </w:t>
      </w:r>
      <w:r w:rsidRPr="000F2A8D">
        <w:rPr>
          <w:rFonts w:eastAsia="Times New Roman" w:cs="Arial"/>
          <w:color w:val="000000"/>
          <w:szCs w:val="20"/>
          <w:lang w:val="en-US"/>
        </w:rPr>
        <w:t xml:space="preserve">mg </w:t>
      </w:r>
      <w:r w:rsidRPr="000F2A8D">
        <w:rPr>
          <w:rFonts w:eastAsia="Times New Roman" w:cs="Arial"/>
          <w:color w:val="000000"/>
          <w:szCs w:val="20"/>
          <w:lang w:eastAsia="bg-BG"/>
        </w:rPr>
        <w:t>е намалил честотатата на исхемичен инсулт (218/2365, 9,2% спрямо 274/2366,11,6%, р=0,01) и е повишил честотата на хеморагичен инсулт (55/2365, 2,3% спрямо 33/2366, 1,4%, р=0,02) в сравнение с плацебо.</w:t>
      </w:r>
    </w:p>
    <w:p w14:paraId="09B573CD" w14:textId="77777777" w:rsidR="000F2A8D" w:rsidRPr="000F2A8D" w:rsidRDefault="000F2A8D" w:rsidP="000F2A8D">
      <w:pPr>
        <w:spacing w:line="240" w:lineRule="auto"/>
        <w:rPr>
          <w:rFonts w:eastAsia="Times New Roman" w:cs="Arial"/>
          <w:color w:val="000000"/>
          <w:szCs w:val="20"/>
          <w:lang w:eastAsia="bg-BG"/>
        </w:rPr>
      </w:pPr>
    </w:p>
    <w:p w14:paraId="31844866" w14:textId="026E5C21" w:rsidR="000F2A8D" w:rsidRPr="000F2A8D" w:rsidRDefault="000F2A8D" w:rsidP="000F2A8D">
      <w:pPr>
        <w:pStyle w:val="ListParagraph"/>
        <w:numPr>
          <w:ilvl w:val="0"/>
          <w:numId w:val="2"/>
        </w:numPr>
        <w:spacing w:line="240" w:lineRule="auto"/>
        <w:rPr>
          <w:rFonts w:eastAsia="Times New Roman" w:cs="Arial"/>
          <w:sz w:val="28"/>
          <w:szCs w:val="24"/>
          <w:lang w:eastAsia="bg-BG"/>
        </w:rPr>
      </w:pPr>
      <w:r w:rsidRPr="000F2A8D">
        <w:rPr>
          <w:rFonts w:eastAsia="Times New Roman" w:cs="Arial"/>
          <w:color w:val="000000"/>
          <w:szCs w:val="20"/>
          <w:lang w:eastAsia="bg-BG"/>
        </w:rPr>
        <w:t xml:space="preserve">Рискът от хеморагичен инсулт е повишен при пациентите, които са с предшестващ хеморагичен инсулт при включване в проучването (7/45 при аторвастатин спрямо 2/48 при плацебо; </w:t>
      </w:r>
      <w:r w:rsidRPr="000F2A8D">
        <w:rPr>
          <w:rFonts w:eastAsia="Times New Roman" w:cs="Arial"/>
          <w:color w:val="000000"/>
          <w:szCs w:val="20"/>
          <w:lang w:val="en-US"/>
        </w:rPr>
        <w:t xml:space="preserve">HR </w:t>
      </w:r>
      <w:r w:rsidRPr="000F2A8D">
        <w:rPr>
          <w:rFonts w:eastAsia="Times New Roman" w:cs="Arial"/>
          <w:color w:val="000000"/>
          <w:szCs w:val="20"/>
          <w:lang w:eastAsia="bg-BG"/>
        </w:rPr>
        <w:t xml:space="preserve">4,06; </w:t>
      </w:r>
      <w:r w:rsidRPr="000F2A8D">
        <w:rPr>
          <w:rFonts w:eastAsia="Times New Roman" w:cs="Arial"/>
          <w:color w:val="000000"/>
          <w:szCs w:val="20"/>
          <w:lang w:val="en-US"/>
        </w:rPr>
        <w:t xml:space="preserve">CI </w:t>
      </w:r>
      <w:r w:rsidRPr="000F2A8D">
        <w:rPr>
          <w:rFonts w:eastAsia="Times New Roman" w:cs="Arial"/>
          <w:color w:val="000000"/>
          <w:szCs w:val="20"/>
          <w:lang w:eastAsia="bg-BG"/>
        </w:rPr>
        <w:t xml:space="preserve">0,84-19,57) и рискът от исхемичен инсулт е сходен в двете групи (3/45 при аторвастатин спрямо 2/48 при плацебо; </w:t>
      </w:r>
      <w:r w:rsidRPr="000F2A8D">
        <w:rPr>
          <w:rFonts w:eastAsia="Times New Roman" w:cs="Arial"/>
          <w:color w:val="000000"/>
          <w:szCs w:val="20"/>
          <w:lang w:val="en-US"/>
        </w:rPr>
        <w:t xml:space="preserve">HR </w:t>
      </w:r>
      <w:r w:rsidRPr="000F2A8D">
        <w:rPr>
          <w:rFonts w:eastAsia="Times New Roman" w:cs="Arial"/>
          <w:color w:val="000000"/>
          <w:szCs w:val="20"/>
          <w:lang w:eastAsia="bg-BG"/>
        </w:rPr>
        <w:t>1,64; 95%» С1, 0,27-9,82)</w:t>
      </w:r>
    </w:p>
    <w:p w14:paraId="4FEF3229" w14:textId="77777777" w:rsidR="000F2A8D" w:rsidRPr="000F2A8D" w:rsidRDefault="000F2A8D" w:rsidP="000F2A8D">
      <w:pPr>
        <w:spacing w:line="240" w:lineRule="auto"/>
        <w:rPr>
          <w:rFonts w:eastAsia="Times New Roman" w:cs="Arial"/>
          <w:color w:val="000000"/>
          <w:szCs w:val="20"/>
          <w:lang w:eastAsia="bg-BG"/>
        </w:rPr>
      </w:pPr>
    </w:p>
    <w:p w14:paraId="3ADA41AE" w14:textId="355382C0" w:rsidR="000F2A8D" w:rsidRPr="000F2A8D" w:rsidRDefault="000F2A8D" w:rsidP="000F2A8D">
      <w:pPr>
        <w:pStyle w:val="ListParagraph"/>
        <w:numPr>
          <w:ilvl w:val="0"/>
          <w:numId w:val="2"/>
        </w:numPr>
        <w:spacing w:line="240" w:lineRule="auto"/>
        <w:rPr>
          <w:rFonts w:eastAsia="Times New Roman" w:cs="Arial"/>
          <w:sz w:val="28"/>
          <w:szCs w:val="24"/>
          <w:lang w:eastAsia="bg-BG"/>
        </w:rPr>
      </w:pPr>
      <w:r w:rsidRPr="000F2A8D">
        <w:rPr>
          <w:rFonts w:eastAsia="Times New Roman" w:cs="Arial"/>
          <w:color w:val="000000"/>
          <w:szCs w:val="20"/>
          <w:lang w:eastAsia="bg-BG"/>
        </w:rPr>
        <w:t xml:space="preserve">Рискът от хеморагичен инсулт е повишен при пациенти, които са с предшестващ лакунарен инфаркт при включване в проучването (20/708 при </w:t>
      </w:r>
      <w:r w:rsidRPr="000F2A8D">
        <w:rPr>
          <w:rFonts w:eastAsia="Times New Roman" w:cs="Arial"/>
          <w:color w:val="000000"/>
          <w:szCs w:val="20"/>
          <w:lang w:eastAsia="bg-BG"/>
        </w:rPr>
        <w:lastRenderedPageBreak/>
        <w:t xml:space="preserve">аторвастатин спрямо 4/701 при плацебо; </w:t>
      </w:r>
      <w:r w:rsidRPr="000F2A8D">
        <w:rPr>
          <w:rFonts w:eastAsia="Times New Roman" w:cs="Arial"/>
          <w:color w:val="000000"/>
          <w:szCs w:val="20"/>
          <w:lang w:val="en-US"/>
        </w:rPr>
        <w:t xml:space="preserve">HR </w:t>
      </w:r>
      <w:r w:rsidRPr="000F2A8D">
        <w:rPr>
          <w:rFonts w:eastAsia="Times New Roman" w:cs="Arial"/>
          <w:color w:val="000000"/>
          <w:szCs w:val="20"/>
          <w:lang w:eastAsia="bg-BG"/>
        </w:rPr>
        <w:t xml:space="preserve">4,99; 95% </w:t>
      </w:r>
      <w:r w:rsidRPr="000F2A8D">
        <w:rPr>
          <w:rFonts w:eastAsia="Times New Roman" w:cs="Arial"/>
          <w:color w:val="000000"/>
          <w:szCs w:val="20"/>
          <w:lang w:val="en-US"/>
        </w:rPr>
        <w:t xml:space="preserve">CI, </w:t>
      </w:r>
      <w:r w:rsidRPr="000F2A8D">
        <w:rPr>
          <w:rFonts w:eastAsia="Times New Roman" w:cs="Arial"/>
          <w:color w:val="000000"/>
          <w:szCs w:val="20"/>
          <w:lang w:eastAsia="bg-BG"/>
        </w:rPr>
        <w:t xml:space="preserve">1,71-14,6), но рискът от исхемичен инсулт при тези пациенти също е намалял (79/708 при аторвастатин спрямо 102/701 при плацебо; </w:t>
      </w:r>
      <w:r w:rsidRPr="000F2A8D">
        <w:rPr>
          <w:rFonts w:eastAsia="Times New Roman" w:cs="Arial"/>
          <w:color w:val="000000"/>
          <w:szCs w:val="20"/>
          <w:lang w:val="en-US"/>
        </w:rPr>
        <w:t xml:space="preserve">HR </w:t>
      </w:r>
      <w:r w:rsidRPr="000F2A8D">
        <w:rPr>
          <w:rFonts w:eastAsia="Times New Roman" w:cs="Arial"/>
          <w:color w:val="000000"/>
          <w:szCs w:val="20"/>
          <w:lang w:eastAsia="bg-BG"/>
        </w:rPr>
        <w:t xml:space="preserve">0,76; 95% </w:t>
      </w:r>
      <w:r w:rsidRPr="000F2A8D">
        <w:rPr>
          <w:rFonts w:eastAsia="Times New Roman" w:cs="Arial"/>
          <w:color w:val="000000"/>
          <w:szCs w:val="20"/>
          <w:lang w:val="en-US"/>
        </w:rPr>
        <w:t xml:space="preserve">CI, </w:t>
      </w:r>
      <w:r w:rsidRPr="000F2A8D">
        <w:rPr>
          <w:rFonts w:eastAsia="Times New Roman" w:cs="Arial"/>
          <w:color w:val="000000"/>
          <w:szCs w:val="20"/>
          <w:lang w:eastAsia="bg-BG"/>
        </w:rPr>
        <w:t xml:space="preserve">0,57-1,02), Възможно е крайният риск от инсулт да е повишен при пациентите с предходен лакунарен инфаркт, които получават аторвастатин 80 </w:t>
      </w:r>
      <w:r w:rsidRPr="000F2A8D">
        <w:rPr>
          <w:rFonts w:eastAsia="Times New Roman" w:cs="Arial"/>
          <w:color w:val="000000"/>
          <w:szCs w:val="20"/>
          <w:lang w:val="en-US"/>
        </w:rPr>
        <w:t xml:space="preserve">mg </w:t>
      </w:r>
      <w:r w:rsidRPr="000F2A8D">
        <w:rPr>
          <w:rFonts w:eastAsia="Times New Roman" w:cs="Arial"/>
          <w:color w:val="000000"/>
          <w:szCs w:val="20"/>
          <w:lang w:eastAsia="bg-BG"/>
        </w:rPr>
        <w:t>на ден.</w:t>
      </w:r>
    </w:p>
    <w:p w14:paraId="6EA9015E" w14:textId="77777777" w:rsidR="000F2A8D" w:rsidRPr="000F2A8D" w:rsidRDefault="000F2A8D" w:rsidP="000F2A8D">
      <w:pPr>
        <w:spacing w:line="240" w:lineRule="auto"/>
        <w:rPr>
          <w:rFonts w:eastAsia="Times New Roman" w:cs="Arial"/>
          <w:color w:val="000000"/>
          <w:szCs w:val="20"/>
          <w:lang w:eastAsia="bg-BG"/>
        </w:rPr>
      </w:pPr>
    </w:p>
    <w:p w14:paraId="621674C5" w14:textId="26643DF1"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Общата смъртност е 15,6% (7/45) при аторвастатин спрямо 10,4% (5/48) при плацебо в подгрупата пациенти с предходен хеморагичен инсулт. Общата смъртност е 10,9% (77/708) при аторвастатин спрямо 9,1% (64/701) при плацебо в подгрупата пациенти с предходен лакунарен инфаркт.</w:t>
      </w:r>
    </w:p>
    <w:p w14:paraId="5E4590A7" w14:textId="77777777" w:rsidR="000F2A8D" w:rsidRPr="000F2A8D" w:rsidRDefault="000F2A8D" w:rsidP="000F2A8D">
      <w:pPr>
        <w:spacing w:line="240" w:lineRule="auto"/>
        <w:rPr>
          <w:rFonts w:eastAsia="Times New Roman" w:cs="Arial"/>
          <w:color w:val="000000"/>
          <w:szCs w:val="20"/>
          <w:u w:val="single"/>
          <w:lang w:eastAsia="bg-BG"/>
        </w:rPr>
      </w:pPr>
    </w:p>
    <w:p w14:paraId="128A8B20" w14:textId="64A6638A"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u w:val="single"/>
          <w:lang w:eastAsia="bg-BG"/>
        </w:rPr>
        <w:t>Педиатрична популация</w:t>
      </w:r>
    </w:p>
    <w:p w14:paraId="6AD3B192" w14:textId="77777777" w:rsidR="000F2A8D" w:rsidRPr="000F2A8D" w:rsidRDefault="000F2A8D" w:rsidP="000F2A8D">
      <w:pPr>
        <w:spacing w:line="240" w:lineRule="auto"/>
        <w:rPr>
          <w:rFonts w:eastAsia="Times New Roman" w:cs="Arial"/>
          <w:i/>
          <w:iCs/>
          <w:color w:val="000000"/>
          <w:szCs w:val="20"/>
          <w:u w:val="single"/>
          <w:lang w:eastAsia="bg-BG"/>
        </w:rPr>
      </w:pPr>
    </w:p>
    <w:p w14:paraId="68081121" w14:textId="2DCB499C" w:rsidR="000F2A8D" w:rsidRPr="000F2A8D" w:rsidRDefault="000F2A8D" w:rsidP="000F2A8D">
      <w:pPr>
        <w:spacing w:line="240" w:lineRule="auto"/>
        <w:rPr>
          <w:rFonts w:eastAsia="Times New Roman" w:cs="Arial"/>
          <w:sz w:val="28"/>
          <w:szCs w:val="24"/>
          <w:lang w:eastAsia="bg-BG"/>
        </w:rPr>
      </w:pPr>
      <w:r w:rsidRPr="000F2A8D">
        <w:rPr>
          <w:rFonts w:eastAsia="Times New Roman" w:cs="Arial"/>
          <w:i/>
          <w:iCs/>
          <w:color w:val="000000"/>
          <w:szCs w:val="20"/>
          <w:u w:val="single"/>
          <w:lang w:eastAsia="bg-BG"/>
        </w:rPr>
        <w:t>Хетерозиготна фамилна хиперхолестеролемия при педиатрични пациенти на възраст 6-1</w:t>
      </w:r>
      <w:r w:rsidRPr="000F2A8D">
        <w:rPr>
          <w:rFonts w:eastAsia="Times New Roman" w:cs="Arial"/>
          <w:color w:val="000000"/>
          <w:szCs w:val="20"/>
          <w:u w:val="single"/>
          <w:lang w:eastAsia="bg-BG"/>
        </w:rPr>
        <w:t xml:space="preserve">7 </w:t>
      </w:r>
      <w:r w:rsidRPr="000F2A8D">
        <w:rPr>
          <w:rFonts w:eastAsia="Times New Roman" w:cs="Arial"/>
          <w:i/>
          <w:iCs/>
          <w:color w:val="000000"/>
          <w:szCs w:val="20"/>
          <w:lang w:eastAsia="bg-BG"/>
        </w:rPr>
        <w:t>години.</w:t>
      </w:r>
    </w:p>
    <w:p w14:paraId="5D0DB211" w14:textId="77777777" w:rsidR="000F2A8D" w:rsidRPr="000F2A8D" w:rsidRDefault="000F2A8D" w:rsidP="000F2A8D">
      <w:pPr>
        <w:spacing w:line="240" w:lineRule="auto"/>
        <w:rPr>
          <w:rFonts w:eastAsia="Times New Roman" w:cs="Arial"/>
          <w:color w:val="000000"/>
          <w:szCs w:val="20"/>
          <w:lang w:eastAsia="bg-BG"/>
        </w:rPr>
      </w:pPr>
    </w:p>
    <w:p w14:paraId="18861C45" w14:textId="56502E51"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Проведено е 8-седмично отворено проучване за оценка на фармакокинетиката, фармакодинамиката и безопасността на аторвастатин при деца и подрастващи с генетично доказана хетерозиготна фамилна хиперхолестеролемия и базови стойност на </w:t>
      </w:r>
      <w:r w:rsidRPr="000F2A8D">
        <w:rPr>
          <w:rFonts w:eastAsia="Times New Roman" w:cs="Arial"/>
          <w:color w:val="000000"/>
          <w:szCs w:val="20"/>
          <w:lang w:val="en-US"/>
        </w:rPr>
        <w:t>LDL</w:t>
      </w:r>
      <w:r w:rsidRPr="000F2A8D">
        <w:rPr>
          <w:rFonts w:eastAsia="Times New Roman" w:cs="Arial"/>
          <w:color w:val="000000"/>
          <w:szCs w:val="20"/>
          <w:lang w:eastAsia="bg-BG"/>
        </w:rPr>
        <w:t>≥</w:t>
      </w:r>
      <w:r w:rsidRPr="000F2A8D">
        <w:rPr>
          <w:rFonts w:eastAsia="Times New Roman" w:cs="Arial"/>
          <w:color w:val="000000"/>
          <w:szCs w:val="20"/>
          <w:lang w:val="en-US"/>
        </w:rPr>
        <w:t xml:space="preserve">4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Проучването обхваща 39 деца и подрастващи на възраст от 6 до 17 години. Кохорта А включва 15 деца, на възраст 6-12 години в първи стадий по </w:t>
      </w:r>
      <w:r w:rsidRPr="000F2A8D">
        <w:rPr>
          <w:rFonts w:eastAsia="Times New Roman" w:cs="Arial"/>
          <w:color w:val="000000"/>
          <w:szCs w:val="20"/>
          <w:lang w:val="en-US"/>
        </w:rPr>
        <w:t xml:space="preserve">Tanner. </w:t>
      </w:r>
      <w:r w:rsidRPr="000F2A8D">
        <w:rPr>
          <w:rFonts w:eastAsia="Times New Roman" w:cs="Arial"/>
          <w:color w:val="000000"/>
          <w:szCs w:val="20"/>
          <w:lang w:eastAsia="bg-BG"/>
        </w:rPr>
        <w:t xml:space="preserve">Кохорта Б включва 24 деца на възраст 10-17 години в стадий по </w:t>
      </w:r>
      <w:r w:rsidRPr="000F2A8D">
        <w:rPr>
          <w:rFonts w:eastAsia="Times New Roman" w:cs="Arial"/>
          <w:color w:val="000000"/>
          <w:szCs w:val="20"/>
          <w:lang w:val="en-US"/>
        </w:rPr>
        <w:t xml:space="preserve">Tanner </w:t>
      </w:r>
      <w:r w:rsidRPr="000F2A8D">
        <w:rPr>
          <w:rFonts w:eastAsia="Times New Roman" w:cs="Arial"/>
          <w:color w:val="000000"/>
          <w:szCs w:val="20"/>
          <w:lang w:eastAsia="bg-BG"/>
        </w:rPr>
        <w:t>≥2.</w:t>
      </w:r>
    </w:p>
    <w:p w14:paraId="3244E304" w14:textId="77777777" w:rsidR="000F2A8D" w:rsidRPr="000F2A8D" w:rsidRDefault="000F2A8D" w:rsidP="000F2A8D">
      <w:pPr>
        <w:rPr>
          <w:rFonts w:eastAsia="Times New Roman" w:cs="Arial"/>
          <w:color w:val="000000"/>
          <w:szCs w:val="20"/>
          <w:lang w:eastAsia="bg-BG"/>
        </w:rPr>
      </w:pPr>
    </w:p>
    <w:p w14:paraId="289B268B" w14:textId="16CB1659" w:rsidR="00CC1FA8" w:rsidRPr="000F2A8D" w:rsidRDefault="000F2A8D" w:rsidP="000F2A8D">
      <w:pPr>
        <w:rPr>
          <w:rFonts w:eastAsia="Times New Roman" w:cs="Arial"/>
          <w:color w:val="000000"/>
          <w:szCs w:val="20"/>
          <w:lang w:eastAsia="bg-BG"/>
        </w:rPr>
      </w:pPr>
      <w:r w:rsidRPr="000F2A8D">
        <w:rPr>
          <w:rFonts w:eastAsia="Times New Roman" w:cs="Arial"/>
          <w:color w:val="000000"/>
          <w:szCs w:val="20"/>
          <w:lang w:eastAsia="bg-BG"/>
        </w:rPr>
        <w:t xml:space="preserve">Началната доза аторвастатин в кохорта А е 5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дневно под формата на таблетка за дъвчене и 10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дневно в кохорта Б. Дадена е възможност началната доза да се удвои ако не е достигната таргетната стойност за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&lt;3.35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на четвърта седмица и ако аторвастатин се понася добре.</w:t>
      </w:r>
    </w:p>
    <w:p w14:paraId="0825179F" w14:textId="3503476B" w:rsidR="000F2A8D" w:rsidRPr="000F2A8D" w:rsidRDefault="000F2A8D" w:rsidP="000F2A8D">
      <w:pPr>
        <w:rPr>
          <w:rFonts w:cs="Arial"/>
        </w:rPr>
      </w:pPr>
    </w:p>
    <w:p w14:paraId="2DCD5DED" w14:textId="77777777"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Средните стойности за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ТС, </w:t>
      </w:r>
      <w:r w:rsidRPr="000F2A8D">
        <w:rPr>
          <w:rFonts w:eastAsia="Times New Roman" w:cs="Arial"/>
          <w:color w:val="000000"/>
          <w:szCs w:val="20"/>
          <w:lang w:val="en-US"/>
        </w:rPr>
        <w:t xml:space="preserve">VLDL-C, </w:t>
      </w:r>
      <w:r w:rsidRPr="000F2A8D">
        <w:rPr>
          <w:rFonts w:eastAsia="Times New Roman" w:cs="Arial"/>
          <w:color w:val="000000"/>
          <w:szCs w:val="20"/>
          <w:lang w:eastAsia="bg-BG"/>
        </w:rPr>
        <w:t xml:space="preserve">и Аро В са намалели през втората седмица при всички пациенти. При пациентите, на които дозата е била удвоена, е било наблюдавано допълнително намаление на стойностите на втората седмица при първото измерване след повишаване на дозата. Средната степен на понижаване на стойностите на липидните параметри е била сходна за двете кохорти без значение дали пациентите са били оставени на тяхната първоначална дозировка или тя е била удвоена. На 8-а седмица средната степен на промяна на базовите стойности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и ТС е била приблизително съответно 40% и 30% над обсега на въздействие.</w:t>
      </w:r>
    </w:p>
    <w:p w14:paraId="4B304A2C" w14:textId="77777777" w:rsidR="000F2A8D" w:rsidRPr="000F2A8D" w:rsidRDefault="000F2A8D" w:rsidP="000F2A8D">
      <w:pPr>
        <w:rPr>
          <w:rFonts w:eastAsia="Times New Roman" w:cs="Arial"/>
          <w:color w:val="000000"/>
          <w:szCs w:val="20"/>
          <w:lang w:eastAsia="bg-BG"/>
        </w:rPr>
      </w:pPr>
    </w:p>
    <w:p w14:paraId="199462CC" w14:textId="3C002513" w:rsidR="000F2A8D" w:rsidRPr="000F2A8D" w:rsidRDefault="000F2A8D" w:rsidP="000F2A8D">
      <w:pPr>
        <w:rPr>
          <w:rFonts w:eastAsia="Times New Roman" w:cs="Arial"/>
          <w:sz w:val="28"/>
          <w:szCs w:val="24"/>
          <w:lang w:eastAsia="bg-BG"/>
        </w:rPr>
      </w:pPr>
      <w:r w:rsidRPr="000F2A8D">
        <w:rPr>
          <w:rFonts w:eastAsia="Times New Roman" w:cs="Arial"/>
          <w:color w:val="000000"/>
          <w:szCs w:val="20"/>
          <w:lang w:eastAsia="bg-BG"/>
        </w:rPr>
        <w:t xml:space="preserve">Във второ отворено проучване, с едно рамо, 271 момчета и момичета с хетерозиготна фамилна хиперхолистеролемия на възратс 6-15 години са били включени и лекувани с аторвастатин за период от 3 години. За включване в проучването е изисквано потвърдена хетерозиготна фамилна хиперхолестеролемия и изходна стойност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 4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(приблизително 152 </w:t>
      </w:r>
      <w:r w:rsidRPr="000F2A8D">
        <w:rPr>
          <w:rFonts w:eastAsia="Times New Roman" w:cs="Arial"/>
          <w:color w:val="000000"/>
          <w:szCs w:val="20"/>
          <w:lang w:val="en-US"/>
        </w:rPr>
        <w:t xml:space="preserve">mg/ </w:t>
      </w:r>
      <w:proofErr w:type="spellStart"/>
      <w:r w:rsidRPr="000F2A8D">
        <w:rPr>
          <w:rFonts w:eastAsia="Times New Roman" w:cs="Arial"/>
          <w:color w:val="000000"/>
          <w:szCs w:val="20"/>
          <w:lang w:val="en-US"/>
        </w:rPr>
        <w:t>dL</w:t>
      </w:r>
      <w:proofErr w:type="spellEnd"/>
      <w:r w:rsidRPr="000F2A8D">
        <w:rPr>
          <w:rFonts w:eastAsia="Times New Roman" w:cs="Arial"/>
          <w:color w:val="000000"/>
          <w:szCs w:val="20"/>
          <w:lang w:val="en-US"/>
        </w:rPr>
        <w:t xml:space="preserve">). </w:t>
      </w:r>
      <w:r w:rsidRPr="000F2A8D">
        <w:rPr>
          <w:rFonts w:eastAsia="Times New Roman" w:cs="Arial"/>
          <w:color w:val="000000"/>
          <w:szCs w:val="20"/>
          <w:lang w:eastAsia="bg-BG"/>
        </w:rPr>
        <w:t xml:space="preserve">Проучването включва 139 деца в първи стадий по </w:t>
      </w:r>
      <w:r w:rsidRPr="000F2A8D">
        <w:rPr>
          <w:rFonts w:eastAsia="Times New Roman" w:cs="Arial"/>
          <w:color w:val="000000"/>
          <w:szCs w:val="20"/>
          <w:lang w:val="en-US"/>
        </w:rPr>
        <w:t xml:space="preserve">Tanner </w:t>
      </w:r>
      <w:r w:rsidRPr="000F2A8D">
        <w:rPr>
          <w:rFonts w:eastAsia="Times New Roman" w:cs="Arial"/>
          <w:color w:val="000000"/>
          <w:szCs w:val="20"/>
          <w:lang w:eastAsia="bg-BG"/>
        </w:rPr>
        <w:t xml:space="preserve">(обикновено на възраст  от 6-10 години). Дозата на аторвастатин (веднъж дневно) е била 5 </w:t>
      </w:r>
      <w:r w:rsidRPr="000F2A8D">
        <w:rPr>
          <w:rFonts w:eastAsia="Times New Roman" w:cs="Arial"/>
          <w:color w:val="000000"/>
          <w:szCs w:val="20"/>
          <w:lang w:val="en-US"/>
        </w:rPr>
        <w:t xml:space="preserve">mg </w:t>
      </w:r>
      <w:r w:rsidRPr="000F2A8D">
        <w:rPr>
          <w:rFonts w:eastAsia="Times New Roman" w:cs="Arial"/>
          <w:color w:val="000000"/>
          <w:szCs w:val="20"/>
          <w:lang w:eastAsia="bg-BG"/>
        </w:rPr>
        <w:t>(таблетки за дъвчене)</w:t>
      </w:r>
      <w:r w:rsidRPr="000F2A8D">
        <w:rPr>
          <w:rFonts w:eastAsia="Times New Roman" w:cs="Arial"/>
          <w:color w:val="000000"/>
          <w:szCs w:val="20"/>
          <w:lang w:val="en-US"/>
        </w:rPr>
        <w:t xml:space="preserve"> </w:t>
      </w:r>
      <w:r w:rsidRPr="000F2A8D">
        <w:rPr>
          <w:rFonts w:eastAsia="Times New Roman" w:cs="Arial"/>
          <w:color w:val="000000"/>
          <w:szCs w:val="20"/>
          <w:lang w:eastAsia="bg-BG"/>
        </w:rPr>
        <w:t>при деца на възраст под 10 години. Децата на възраст 10 години и повече са започнали лечение с</w:t>
      </w:r>
      <w:r>
        <w:rPr>
          <w:rFonts w:eastAsia="Times New Roman" w:cs="Arial"/>
          <w:color w:val="000000"/>
          <w:sz w:val="24"/>
          <w:szCs w:val="20"/>
          <w:lang w:eastAsia="bg-BG"/>
        </w:rPr>
        <w:t xml:space="preserve"> </w:t>
      </w:r>
      <w:r w:rsidRPr="000F2A8D">
        <w:rPr>
          <w:rFonts w:eastAsia="Times New Roman" w:cs="Arial"/>
          <w:color w:val="000000"/>
          <w:szCs w:val="20"/>
          <w:lang w:eastAsia="bg-BG"/>
        </w:rPr>
        <w:t xml:space="preserve">10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аторвастатин (веднъж дневно). Всички деца са могли да получат титриране до по-високи дози, за постигане на прицелни стойности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&lt;3,35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Средната доза, адаптирана спрямо теглото, за деца на възраст от 6 до 9 години е била 19,6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а за деца на възраст 10 години и повече е била 23,9 </w:t>
      </w:r>
      <w:r w:rsidRPr="000F2A8D">
        <w:rPr>
          <w:rFonts w:eastAsia="Times New Roman" w:cs="Arial"/>
          <w:color w:val="000000"/>
          <w:szCs w:val="20"/>
          <w:lang w:val="en-US"/>
        </w:rPr>
        <w:t>mg.</w:t>
      </w:r>
    </w:p>
    <w:p w14:paraId="0E8032EF" w14:textId="77777777" w:rsidR="000F2A8D" w:rsidRPr="000F2A8D" w:rsidRDefault="000F2A8D" w:rsidP="000F2A8D">
      <w:pPr>
        <w:spacing w:line="240" w:lineRule="auto"/>
        <w:rPr>
          <w:rFonts w:eastAsia="Times New Roman" w:cs="Arial"/>
          <w:color w:val="000000"/>
          <w:szCs w:val="20"/>
          <w:lang w:eastAsia="bg-BG"/>
        </w:rPr>
      </w:pPr>
    </w:p>
    <w:p w14:paraId="6C9EFAB5" w14:textId="181F9412"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Средните (+/- </w:t>
      </w:r>
      <w:r w:rsidRPr="000F2A8D">
        <w:rPr>
          <w:rFonts w:eastAsia="Times New Roman" w:cs="Arial"/>
          <w:color w:val="000000"/>
          <w:szCs w:val="20"/>
          <w:lang w:val="en-US"/>
        </w:rPr>
        <w:t xml:space="preserve">CO) </w:t>
      </w:r>
      <w:r w:rsidRPr="000F2A8D">
        <w:rPr>
          <w:rFonts w:eastAsia="Times New Roman" w:cs="Arial"/>
          <w:color w:val="000000"/>
          <w:szCs w:val="20"/>
          <w:lang w:eastAsia="bg-BG"/>
        </w:rPr>
        <w:t xml:space="preserve">изходни стойности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са били 6,12 (1,26)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което е било приблизително 233 (48) </w:t>
      </w:r>
      <w:r w:rsidRPr="000F2A8D">
        <w:rPr>
          <w:rFonts w:eastAsia="Times New Roman" w:cs="Arial"/>
          <w:color w:val="000000"/>
          <w:szCs w:val="20"/>
          <w:lang w:val="en-US"/>
        </w:rPr>
        <w:t>mg/</w:t>
      </w:r>
      <w:proofErr w:type="spellStart"/>
      <w:r w:rsidRPr="000F2A8D">
        <w:rPr>
          <w:rFonts w:eastAsia="Times New Roman" w:cs="Arial"/>
          <w:color w:val="000000"/>
          <w:szCs w:val="20"/>
          <w:lang w:val="en-US"/>
        </w:rPr>
        <w:t>dL</w:t>
      </w:r>
      <w:proofErr w:type="spellEnd"/>
      <w:r w:rsidRPr="000F2A8D">
        <w:rPr>
          <w:rFonts w:eastAsia="Times New Roman" w:cs="Arial"/>
          <w:color w:val="000000"/>
          <w:szCs w:val="20"/>
          <w:lang w:val="en-US"/>
        </w:rPr>
        <w:t xml:space="preserve">. </w:t>
      </w:r>
      <w:r w:rsidRPr="000F2A8D">
        <w:rPr>
          <w:rFonts w:eastAsia="Times New Roman" w:cs="Arial"/>
          <w:color w:val="000000"/>
          <w:szCs w:val="20"/>
          <w:lang w:eastAsia="bg-BG"/>
        </w:rPr>
        <w:t>Вижте таблица 3 по-долу за окончателните резултати.</w:t>
      </w:r>
    </w:p>
    <w:p w14:paraId="0731B702" w14:textId="77777777" w:rsidR="000F2A8D" w:rsidRPr="000F2A8D" w:rsidRDefault="000F2A8D" w:rsidP="000F2A8D">
      <w:pPr>
        <w:rPr>
          <w:rFonts w:eastAsia="Times New Roman" w:cs="Arial"/>
          <w:color w:val="000000"/>
          <w:szCs w:val="20"/>
          <w:lang w:eastAsia="bg-BG"/>
        </w:rPr>
      </w:pPr>
    </w:p>
    <w:p w14:paraId="59D79941" w14:textId="672EBDBC" w:rsidR="000F2A8D" w:rsidRPr="000F2A8D" w:rsidRDefault="000F2A8D" w:rsidP="000F2A8D">
      <w:pPr>
        <w:rPr>
          <w:rFonts w:eastAsia="Times New Roman" w:cs="Arial"/>
          <w:color w:val="000000"/>
          <w:sz w:val="24"/>
          <w:szCs w:val="20"/>
          <w:lang w:eastAsia="bg-BG"/>
        </w:rPr>
      </w:pPr>
      <w:r w:rsidRPr="000F2A8D">
        <w:rPr>
          <w:rFonts w:eastAsia="Times New Roman" w:cs="Arial"/>
          <w:color w:val="000000"/>
          <w:szCs w:val="20"/>
          <w:lang w:eastAsia="bg-BG"/>
        </w:rPr>
        <w:t xml:space="preserve">Данните са съответствали на липса на ефект върху който и да е от параметрите на растежа и развитието (напр. височина, тегло, ВМ1, стадий по </w:t>
      </w:r>
      <w:r w:rsidRPr="000F2A8D">
        <w:rPr>
          <w:rFonts w:eastAsia="Times New Roman" w:cs="Arial"/>
          <w:color w:val="000000"/>
          <w:szCs w:val="20"/>
          <w:lang w:val="en-US"/>
        </w:rPr>
        <w:t xml:space="preserve">Tanner, </w:t>
      </w:r>
      <w:r w:rsidRPr="000F2A8D">
        <w:rPr>
          <w:rFonts w:eastAsia="Times New Roman" w:cs="Arial"/>
          <w:color w:val="000000"/>
          <w:szCs w:val="20"/>
          <w:lang w:eastAsia="bg-BG"/>
        </w:rPr>
        <w:t xml:space="preserve">оценка на изследователя върху цялостното съзряване и развитие) при педиатрични пациенти и юноши с хетерозиготна фамилна хиперхолестеролемия, получаващи лечение с аторвастатин по време на 3-годишното проучване. Въз основа на оценката на изследователя, не е отчетен ефект по отношение на височината, теглото, </w:t>
      </w:r>
      <w:r w:rsidRPr="000F2A8D">
        <w:rPr>
          <w:rFonts w:eastAsia="Times New Roman" w:cs="Arial"/>
          <w:color w:val="000000"/>
          <w:szCs w:val="20"/>
          <w:lang w:val="en-US"/>
        </w:rPr>
        <w:t xml:space="preserve">BMI </w:t>
      </w:r>
      <w:r w:rsidRPr="000F2A8D">
        <w:rPr>
          <w:rFonts w:eastAsia="Times New Roman" w:cs="Arial"/>
          <w:color w:val="000000"/>
          <w:szCs w:val="20"/>
          <w:lang w:eastAsia="bg-BG"/>
        </w:rPr>
        <w:t>по възраст, или по пол при посещение.</w:t>
      </w:r>
    </w:p>
    <w:tbl>
      <w:tblPr>
        <w:tblStyle w:val="TableGrid"/>
        <w:tblW w:w="0" w:type="auto"/>
        <w:tblLook w:val="04A0" w:firstRow="1" w:lastRow="0" w:firstColumn="1" w:lastColumn="0" w:noHBand="0" w:noVBand="1"/>
      </w:tblPr>
      <w:tblGrid>
        <w:gridCol w:w="1304"/>
        <w:gridCol w:w="1061"/>
        <w:gridCol w:w="1325"/>
        <w:gridCol w:w="1293"/>
        <w:gridCol w:w="1586"/>
        <w:gridCol w:w="1305"/>
        <w:gridCol w:w="1476"/>
      </w:tblGrid>
      <w:tr w:rsidR="00C77F9C" w14:paraId="0766D483" w14:textId="77777777" w:rsidTr="00A21159">
        <w:tc>
          <w:tcPr>
            <w:tcW w:w="9350" w:type="dxa"/>
            <w:gridSpan w:val="7"/>
          </w:tcPr>
          <w:p w14:paraId="32C9EBC6" w14:textId="61C6C7D8" w:rsidR="00C77F9C" w:rsidRPr="00C77F9C" w:rsidRDefault="00C77F9C" w:rsidP="00C77F9C">
            <w:pPr>
              <w:jc w:val="center"/>
              <w:rPr>
                <w:rFonts w:cs="Arial"/>
              </w:rPr>
            </w:pPr>
            <w:r w:rsidRPr="00C77F9C">
              <w:t xml:space="preserve">Таблица 3 </w:t>
            </w:r>
            <w:r w:rsidRPr="00C77F9C">
              <w:rPr>
                <w:u w:val="single"/>
              </w:rPr>
              <w:t xml:space="preserve">Липидопонижаващи ефекти на аторвастатин при юноши момчета и момичета с хетерозиготна фамилна хиперхолестеролемия </w:t>
            </w:r>
            <w:r w:rsidRPr="00C77F9C">
              <w:rPr>
                <w:u w:val="single"/>
                <w:lang w:val="en-US"/>
              </w:rPr>
              <w:t>(</w:t>
            </w:r>
            <w:proofErr w:type="spellStart"/>
            <w:r w:rsidRPr="00C77F9C">
              <w:rPr>
                <w:u w:val="single"/>
                <w:lang w:val="en-US"/>
              </w:rPr>
              <w:t>mmol</w:t>
            </w:r>
            <w:proofErr w:type="spellEnd"/>
            <w:r w:rsidRPr="00C77F9C">
              <w:rPr>
                <w:u w:val="single"/>
                <w:lang w:val="en-US"/>
              </w:rPr>
              <w:t>/L)</w:t>
            </w:r>
          </w:p>
        </w:tc>
      </w:tr>
      <w:tr w:rsidR="00C77F9C" w14:paraId="23851231" w14:textId="77777777" w:rsidTr="00C77F9C">
        <w:tc>
          <w:tcPr>
            <w:tcW w:w="1304" w:type="dxa"/>
          </w:tcPr>
          <w:p w14:paraId="0EF3674E" w14:textId="71617D7A" w:rsidR="00C77F9C" w:rsidRPr="00C77F9C" w:rsidRDefault="00C77F9C" w:rsidP="00C77F9C">
            <w:pPr>
              <w:rPr>
                <w:rFonts w:cs="Arial"/>
              </w:rPr>
            </w:pPr>
            <w:r w:rsidRPr="00C77F9C">
              <w:t>Времева точка</w:t>
            </w:r>
          </w:p>
        </w:tc>
        <w:tc>
          <w:tcPr>
            <w:tcW w:w="1061" w:type="dxa"/>
          </w:tcPr>
          <w:p w14:paraId="2ACEDA47" w14:textId="4417ADB4" w:rsidR="00C77F9C" w:rsidRPr="00C77F9C" w:rsidRDefault="00C77F9C" w:rsidP="00C77F9C">
            <w:pPr>
              <w:rPr>
                <w:rFonts w:cs="Arial"/>
              </w:rPr>
            </w:pPr>
            <w:r w:rsidRPr="00C77F9C">
              <w:rPr>
                <w:lang w:val="en-US"/>
              </w:rPr>
              <w:t>N</w:t>
            </w:r>
          </w:p>
        </w:tc>
        <w:tc>
          <w:tcPr>
            <w:tcW w:w="1325" w:type="dxa"/>
          </w:tcPr>
          <w:p w14:paraId="5C989F72" w14:textId="5B6F99F2" w:rsidR="00C77F9C" w:rsidRPr="00C77F9C" w:rsidRDefault="00C77F9C" w:rsidP="00C77F9C">
            <w:pPr>
              <w:rPr>
                <w:rFonts w:cs="Arial"/>
              </w:rPr>
            </w:pPr>
            <w:r w:rsidRPr="00C77F9C">
              <w:t xml:space="preserve">ТС </w:t>
            </w:r>
            <w:r w:rsidRPr="00C77F9C">
              <w:rPr>
                <w:lang w:val="en-US"/>
              </w:rPr>
              <w:t>(CO)</w:t>
            </w:r>
          </w:p>
        </w:tc>
        <w:tc>
          <w:tcPr>
            <w:tcW w:w="1293" w:type="dxa"/>
          </w:tcPr>
          <w:p w14:paraId="6629C775" w14:textId="6371C4A9" w:rsidR="00C77F9C" w:rsidRPr="00C77F9C" w:rsidRDefault="00C77F9C" w:rsidP="00C77F9C">
            <w:pPr>
              <w:rPr>
                <w:rFonts w:cs="Arial"/>
              </w:rPr>
            </w:pPr>
            <w:r w:rsidRPr="00C77F9C">
              <w:rPr>
                <w:lang w:val="en-US"/>
              </w:rPr>
              <w:t>LDL-C (CO)</w:t>
            </w:r>
          </w:p>
        </w:tc>
        <w:tc>
          <w:tcPr>
            <w:tcW w:w="1586" w:type="dxa"/>
          </w:tcPr>
          <w:p w14:paraId="6BD5B4AF" w14:textId="40A3A1AE" w:rsidR="00C77F9C" w:rsidRPr="00C77F9C" w:rsidRDefault="00C77F9C" w:rsidP="00C77F9C">
            <w:pPr>
              <w:rPr>
                <w:rFonts w:cs="Arial"/>
              </w:rPr>
            </w:pPr>
            <w:r w:rsidRPr="00C77F9C">
              <w:t>HDL-C (CO)</w:t>
            </w:r>
          </w:p>
        </w:tc>
        <w:tc>
          <w:tcPr>
            <w:tcW w:w="1305" w:type="dxa"/>
          </w:tcPr>
          <w:p w14:paraId="00818DF9" w14:textId="24519D04" w:rsidR="00C77F9C" w:rsidRPr="00C77F9C" w:rsidRDefault="00C77F9C" w:rsidP="00C77F9C">
            <w:pPr>
              <w:rPr>
                <w:rFonts w:cs="Arial"/>
              </w:rPr>
            </w:pPr>
            <w:r w:rsidRPr="00C77F9C">
              <w:t>TG (CO)</w:t>
            </w:r>
          </w:p>
        </w:tc>
        <w:tc>
          <w:tcPr>
            <w:tcW w:w="1476" w:type="dxa"/>
          </w:tcPr>
          <w:p w14:paraId="05302842" w14:textId="68E063A8" w:rsidR="00C77F9C" w:rsidRPr="00C77F9C" w:rsidRDefault="00C77F9C" w:rsidP="00C77F9C">
            <w:pPr>
              <w:rPr>
                <w:rFonts w:cs="Arial"/>
              </w:rPr>
            </w:pPr>
            <w:r w:rsidRPr="00C77F9C">
              <w:t>Apo B (CO)#</w:t>
            </w:r>
          </w:p>
        </w:tc>
      </w:tr>
      <w:tr w:rsidR="00C77F9C" w14:paraId="1D90E080" w14:textId="77777777" w:rsidTr="00C77F9C">
        <w:tc>
          <w:tcPr>
            <w:tcW w:w="1304" w:type="dxa"/>
          </w:tcPr>
          <w:p w14:paraId="4317B933" w14:textId="1E9268E1" w:rsidR="00C77F9C" w:rsidRPr="00C77F9C" w:rsidRDefault="00C77F9C" w:rsidP="00C77F9C">
            <w:pPr>
              <w:rPr>
                <w:rFonts w:cs="Arial"/>
              </w:rPr>
            </w:pPr>
            <w:r w:rsidRPr="00C77F9C">
              <w:t>Изходни стойности</w:t>
            </w:r>
          </w:p>
        </w:tc>
        <w:tc>
          <w:tcPr>
            <w:tcW w:w="1061" w:type="dxa"/>
          </w:tcPr>
          <w:p w14:paraId="0028BA74" w14:textId="71CE3F46" w:rsidR="00C77F9C" w:rsidRPr="00C77F9C" w:rsidRDefault="00C77F9C" w:rsidP="00C77F9C">
            <w:pPr>
              <w:rPr>
                <w:rFonts w:cs="Arial"/>
              </w:rPr>
            </w:pPr>
            <w:r w:rsidRPr="00C77F9C">
              <w:t>271</w:t>
            </w:r>
          </w:p>
        </w:tc>
        <w:tc>
          <w:tcPr>
            <w:tcW w:w="1325" w:type="dxa"/>
          </w:tcPr>
          <w:p w14:paraId="35859290" w14:textId="105E61D6" w:rsidR="00C77F9C" w:rsidRPr="00C77F9C" w:rsidRDefault="00C77F9C" w:rsidP="00C77F9C">
            <w:pPr>
              <w:rPr>
                <w:rFonts w:cs="Arial"/>
              </w:rPr>
            </w:pPr>
            <w:r w:rsidRPr="00C77F9C">
              <w:t>7,86(1,30)</w:t>
            </w:r>
          </w:p>
        </w:tc>
        <w:tc>
          <w:tcPr>
            <w:tcW w:w="1293" w:type="dxa"/>
          </w:tcPr>
          <w:p w14:paraId="60546E69" w14:textId="0FDBF688" w:rsidR="00C77F9C" w:rsidRPr="00C77F9C" w:rsidRDefault="00C77F9C" w:rsidP="00C77F9C">
            <w:pPr>
              <w:rPr>
                <w:rFonts w:cs="Arial"/>
              </w:rPr>
            </w:pPr>
            <w:r w:rsidRPr="00C77F9C">
              <w:t>6,12(1,26)</w:t>
            </w:r>
          </w:p>
        </w:tc>
        <w:tc>
          <w:tcPr>
            <w:tcW w:w="1586" w:type="dxa"/>
          </w:tcPr>
          <w:p w14:paraId="221CA10A" w14:textId="60684F44" w:rsidR="00C77F9C" w:rsidRPr="00C77F9C" w:rsidRDefault="00C77F9C" w:rsidP="00C77F9C">
            <w:pPr>
              <w:rPr>
                <w:rFonts w:cs="Arial"/>
              </w:rPr>
            </w:pPr>
            <w:r w:rsidRPr="00C77F9C">
              <w:t>1,314(0,2663)</w:t>
            </w:r>
          </w:p>
        </w:tc>
        <w:tc>
          <w:tcPr>
            <w:tcW w:w="1305" w:type="dxa"/>
          </w:tcPr>
          <w:p w14:paraId="3F5ACFE1" w14:textId="13CC83CA" w:rsidR="00C77F9C" w:rsidRPr="00C77F9C" w:rsidRDefault="00C77F9C" w:rsidP="00C77F9C">
            <w:pPr>
              <w:rPr>
                <w:rFonts w:cs="Arial"/>
              </w:rPr>
            </w:pPr>
            <w:r w:rsidRPr="00C77F9C">
              <w:t>0,93(0,47)</w:t>
            </w:r>
          </w:p>
        </w:tc>
        <w:tc>
          <w:tcPr>
            <w:tcW w:w="1476" w:type="dxa"/>
          </w:tcPr>
          <w:p w14:paraId="19E5BD03" w14:textId="035C1939" w:rsidR="00C77F9C" w:rsidRPr="00C77F9C" w:rsidRDefault="00C77F9C" w:rsidP="00C77F9C">
            <w:pPr>
              <w:rPr>
                <w:rFonts w:cs="Arial"/>
              </w:rPr>
            </w:pPr>
            <w:r w:rsidRPr="00C77F9C">
              <w:t>1,42(0,28)**</w:t>
            </w:r>
          </w:p>
        </w:tc>
      </w:tr>
      <w:tr w:rsidR="00C77F9C" w14:paraId="642FB32C" w14:textId="77777777" w:rsidTr="00C77F9C">
        <w:tc>
          <w:tcPr>
            <w:tcW w:w="1304" w:type="dxa"/>
          </w:tcPr>
          <w:p w14:paraId="5A01621E" w14:textId="048D8432" w:rsidR="00C77F9C" w:rsidRPr="00C77F9C" w:rsidRDefault="00C77F9C" w:rsidP="00C77F9C">
            <w:pPr>
              <w:rPr>
                <w:rFonts w:cs="Arial"/>
              </w:rPr>
            </w:pPr>
            <w:r w:rsidRPr="00C77F9C">
              <w:t>Месец 30</w:t>
            </w:r>
          </w:p>
        </w:tc>
        <w:tc>
          <w:tcPr>
            <w:tcW w:w="1061" w:type="dxa"/>
          </w:tcPr>
          <w:p w14:paraId="021E0E04" w14:textId="44151BE6" w:rsidR="00C77F9C" w:rsidRPr="00C77F9C" w:rsidRDefault="00C77F9C" w:rsidP="00C77F9C">
            <w:pPr>
              <w:rPr>
                <w:rFonts w:cs="Arial"/>
              </w:rPr>
            </w:pPr>
            <w:r w:rsidRPr="00C77F9C">
              <w:t>206</w:t>
            </w:r>
          </w:p>
        </w:tc>
        <w:tc>
          <w:tcPr>
            <w:tcW w:w="1325" w:type="dxa"/>
          </w:tcPr>
          <w:p w14:paraId="560C5F42" w14:textId="78DC270F" w:rsidR="00C77F9C" w:rsidRPr="00C77F9C" w:rsidRDefault="00C77F9C" w:rsidP="00C77F9C">
            <w:pPr>
              <w:rPr>
                <w:rFonts w:cs="Arial"/>
              </w:rPr>
            </w:pPr>
            <w:r w:rsidRPr="00C77F9C">
              <w:t>4,95(0,77)*</w:t>
            </w:r>
          </w:p>
        </w:tc>
        <w:tc>
          <w:tcPr>
            <w:tcW w:w="1293" w:type="dxa"/>
          </w:tcPr>
          <w:p w14:paraId="33AF3C79" w14:textId="30D368DB" w:rsidR="00C77F9C" w:rsidRPr="00C77F9C" w:rsidRDefault="00C77F9C" w:rsidP="00C77F9C">
            <w:pPr>
              <w:rPr>
                <w:rFonts w:cs="Arial"/>
              </w:rPr>
            </w:pPr>
            <w:r w:rsidRPr="00C77F9C">
              <w:t>3,25(0,67)</w:t>
            </w:r>
          </w:p>
        </w:tc>
        <w:tc>
          <w:tcPr>
            <w:tcW w:w="1586" w:type="dxa"/>
          </w:tcPr>
          <w:p w14:paraId="64AFC219" w14:textId="57784EA7" w:rsidR="00C77F9C" w:rsidRPr="00C77F9C" w:rsidRDefault="00C77F9C" w:rsidP="00C77F9C">
            <w:pPr>
              <w:rPr>
                <w:rFonts w:cs="Arial"/>
              </w:rPr>
            </w:pPr>
            <w:r w:rsidRPr="00C77F9C">
              <w:t>1,327(0,2796)</w:t>
            </w:r>
          </w:p>
        </w:tc>
        <w:tc>
          <w:tcPr>
            <w:tcW w:w="1305" w:type="dxa"/>
          </w:tcPr>
          <w:p w14:paraId="45B6389C" w14:textId="32B39427" w:rsidR="00C77F9C" w:rsidRPr="00C77F9C" w:rsidRDefault="00C77F9C" w:rsidP="00C77F9C">
            <w:pPr>
              <w:rPr>
                <w:rFonts w:cs="Arial"/>
              </w:rPr>
            </w:pPr>
            <w:r w:rsidRPr="00C77F9C">
              <w:t>0,79(0,38)*</w:t>
            </w:r>
          </w:p>
        </w:tc>
        <w:tc>
          <w:tcPr>
            <w:tcW w:w="1476" w:type="dxa"/>
          </w:tcPr>
          <w:p w14:paraId="7AA6985A" w14:textId="7F40567A" w:rsidR="00C77F9C" w:rsidRPr="00C77F9C" w:rsidRDefault="00C77F9C" w:rsidP="00C77F9C">
            <w:pPr>
              <w:rPr>
                <w:rFonts w:cs="Arial"/>
              </w:rPr>
            </w:pPr>
            <w:r w:rsidRPr="00C77F9C">
              <w:t>0,90(0,17)*</w:t>
            </w:r>
          </w:p>
        </w:tc>
      </w:tr>
      <w:tr w:rsidR="00C77F9C" w14:paraId="3E50B38A" w14:textId="77777777" w:rsidTr="00C77F9C">
        <w:tc>
          <w:tcPr>
            <w:tcW w:w="1304" w:type="dxa"/>
          </w:tcPr>
          <w:p w14:paraId="14F99034" w14:textId="396A5D85" w:rsidR="00C77F9C" w:rsidRPr="00C77F9C" w:rsidRDefault="00C77F9C" w:rsidP="00C77F9C">
            <w:pPr>
              <w:rPr>
                <w:rFonts w:cs="Arial"/>
              </w:rPr>
            </w:pPr>
            <w:r w:rsidRPr="00C77F9C">
              <w:t>Месец 36/ЕТ</w:t>
            </w:r>
          </w:p>
        </w:tc>
        <w:tc>
          <w:tcPr>
            <w:tcW w:w="1061" w:type="dxa"/>
          </w:tcPr>
          <w:p w14:paraId="451DDFF9" w14:textId="4092877D" w:rsidR="00C77F9C" w:rsidRPr="00C77F9C" w:rsidRDefault="00C77F9C" w:rsidP="00C77F9C">
            <w:pPr>
              <w:rPr>
                <w:rFonts w:cs="Arial"/>
              </w:rPr>
            </w:pPr>
            <w:r w:rsidRPr="00C77F9C">
              <w:t>240</w:t>
            </w:r>
          </w:p>
        </w:tc>
        <w:tc>
          <w:tcPr>
            <w:tcW w:w="1325" w:type="dxa"/>
          </w:tcPr>
          <w:p w14:paraId="26263F6E" w14:textId="5064ADE3" w:rsidR="00C77F9C" w:rsidRPr="00C77F9C" w:rsidRDefault="00C77F9C" w:rsidP="00C77F9C">
            <w:pPr>
              <w:rPr>
                <w:rFonts w:cs="Arial"/>
              </w:rPr>
            </w:pPr>
            <w:r w:rsidRPr="00C77F9C">
              <w:t>5,12(0,86)</w:t>
            </w:r>
          </w:p>
        </w:tc>
        <w:tc>
          <w:tcPr>
            <w:tcW w:w="1293" w:type="dxa"/>
          </w:tcPr>
          <w:p w14:paraId="245C2EFD" w14:textId="416FB163" w:rsidR="00C77F9C" w:rsidRPr="00C77F9C" w:rsidRDefault="00C77F9C" w:rsidP="00C77F9C">
            <w:pPr>
              <w:rPr>
                <w:rFonts w:cs="Arial"/>
              </w:rPr>
            </w:pPr>
            <w:r w:rsidRPr="00C77F9C">
              <w:t>3,45(0,81)</w:t>
            </w:r>
          </w:p>
        </w:tc>
        <w:tc>
          <w:tcPr>
            <w:tcW w:w="1586" w:type="dxa"/>
          </w:tcPr>
          <w:p w14:paraId="7F835315" w14:textId="395B4B7A" w:rsidR="00C77F9C" w:rsidRPr="00C77F9C" w:rsidRDefault="00C77F9C" w:rsidP="00C77F9C">
            <w:pPr>
              <w:rPr>
                <w:rFonts w:cs="Arial"/>
              </w:rPr>
            </w:pPr>
            <w:r w:rsidRPr="00C77F9C">
              <w:t>1,308(0,2739)</w:t>
            </w:r>
          </w:p>
        </w:tc>
        <w:tc>
          <w:tcPr>
            <w:tcW w:w="1305" w:type="dxa"/>
          </w:tcPr>
          <w:p w14:paraId="6C174F27" w14:textId="0AF7D8EF" w:rsidR="00C77F9C" w:rsidRPr="00C77F9C" w:rsidRDefault="00C77F9C" w:rsidP="00C77F9C">
            <w:pPr>
              <w:rPr>
                <w:rFonts w:cs="Arial"/>
              </w:rPr>
            </w:pPr>
            <w:r w:rsidRPr="00C77F9C">
              <w:t>0,78(0,41)</w:t>
            </w:r>
          </w:p>
        </w:tc>
        <w:tc>
          <w:tcPr>
            <w:tcW w:w="1476" w:type="dxa"/>
          </w:tcPr>
          <w:p w14:paraId="55447531" w14:textId="62427E0E" w:rsidR="00C77F9C" w:rsidRPr="00C77F9C" w:rsidRDefault="00C77F9C" w:rsidP="00C77F9C">
            <w:pPr>
              <w:rPr>
                <w:rFonts w:cs="Arial"/>
              </w:rPr>
            </w:pPr>
            <w:r w:rsidRPr="00C77F9C">
              <w:t>0,93(0,20)***</w:t>
            </w:r>
          </w:p>
        </w:tc>
      </w:tr>
      <w:tr w:rsidR="00C77F9C" w14:paraId="50E44323" w14:textId="77777777" w:rsidTr="00BE7AC4">
        <w:tc>
          <w:tcPr>
            <w:tcW w:w="9350" w:type="dxa"/>
            <w:gridSpan w:val="7"/>
          </w:tcPr>
          <w:p w14:paraId="72AD072E" w14:textId="77777777" w:rsidR="00C77F9C" w:rsidRPr="00C77F9C" w:rsidRDefault="00C77F9C" w:rsidP="000F2A8D">
            <w:r w:rsidRPr="00C77F9C">
              <w:t xml:space="preserve">ТС= общ холестерол; </w:t>
            </w:r>
            <w:r w:rsidRPr="00C77F9C">
              <w:rPr>
                <w:lang w:val="en-US"/>
              </w:rPr>
              <w:t xml:space="preserve">LDL-C </w:t>
            </w:r>
            <w:r w:rsidRPr="00C77F9C">
              <w:t xml:space="preserve">= холестерол с ниска плътност-С; </w:t>
            </w:r>
            <w:r w:rsidRPr="00C77F9C">
              <w:rPr>
                <w:lang w:val="en-US"/>
              </w:rPr>
              <w:t xml:space="preserve">HDL-C </w:t>
            </w:r>
            <w:r w:rsidRPr="00C77F9C">
              <w:t xml:space="preserve">= холестерол с висока плътност-С; </w:t>
            </w:r>
            <w:r w:rsidRPr="00C77F9C">
              <w:rPr>
                <w:lang w:val="en-US"/>
              </w:rPr>
              <w:t xml:space="preserve">TG </w:t>
            </w:r>
            <w:r w:rsidRPr="00C77F9C">
              <w:t xml:space="preserve">= триглицериди; Аро В = аполипопротеин В; “Месец 36/ЕТ“ включва последната визита за лицата, които са излезли от проучването преди планираната крайна точка на 36 месец, както и пълни 36-месечни данни за лицата, завършили 36 месечното участие; </w:t>
            </w:r>
            <w:r w:rsidRPr="00C77F9C">
              <w:t>“*</w:t>
            </w:r>
            <w:r w:rsidRPr="00C77F9C">
              <w:t xml:space="preserve">”= </w:t>
            </w:r>
          </w:p>
          <w:p w14:paraId="786B8BEF" w14:textId="0329B90E" w:rsidR="00C77F9C" w:rsidRPr="00C77F9C" w:rsidRDefault="00C77F9C" w:rsidP="000F2A8D">
            <w:pPr>
              <w:rPr>
                <w:rFonts w:cs="Arial"/>
              </w:rPr>
            </w:pPr>
            <w:r w:rsidRPr="00C77F9C">
              <w:t xml:space="preserve">Месец 30 </w:t>
            </w:r>
            <w:r w:rsidRPr="00C77F9C">
              <w:rPr>
                <w:lang w:val="en-US"/>
              </w:rPr>
              <w:t xml:space="preserve">N </w:t>
            </w:r>
            <w:r w:rsidRPr="00C77F9C">
              <w:t xml:space="preserve">за този параметър е бил 207; “**”= Изходни стойности </w:t>
            </w:r>
            <w:r w:rsidRPr="00C77F9C">
              <w:rPr>
                <w:lang w:val="en-US"/>
              </w:rPr>
              <w:t xml:space="preserve">N </w:t>
            </w:r>
            <w:r w:rsidRPr="00C77F9C">
              <w:t xml:space="preserve">за този параметър е бил 270; “***” = Месец 36/ЕТ </w:t>
            </w:r>
            <w:r w:rsidRPr="00C77F9C">
              <w:rPr>
                <w:lang w:val="en-US"/>
              </w:rPr>
              <w:t xml:space="preserve">N </w:t>
            </w:r>
            <w:r w:rsidRPr="00C77F9C">
              <w:t>за този параметър е бил 243;</w:t>
            </w:r>
            <w:r w:rsidRPr="00C77F9C">
              <w:rPr>
                <w:lang w:val="en-US"/>
              </w:rPr>
              <w:t xml:space="preserve"> "#"g/L </w:t>
            </w:r>
            <w:r w:rsidRPr="00C77F9C">
              <w:t>за Аро В.</w:t>
            </w:r>
          </w:p>
        </w:tc>
      </w:tr>
    </w:tbl>
    <w:p w14:paraId="0C9D08B9"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u w:val="single"/>
          <w:lang w:eastAsia="bg-BG"/>
        </w:rPr>
        <w:t>Хетерозиготна фамилна хиперхолестеролемия при педиатрични пациенти на възраст 10-17 години.</w:t>
      </w:r>
    </w:p>
    <w:p w14:paraId="3B8C5935" w14:textId="77777777" w:rsidR="00C77F9C" w:rsidRPr="00C77F9C" w:rsidRDefault="00C77F9C" w:rsidP="00C77F9C">
      <w:pPr>
        <w:spacing w:line="240" w:lineRule="auto"/>
        <w:rPr>
          <w:rFonts w:eastAsia="Times New Roman" w:cs="Arial"/>
          <w:color w:val="000000"/>
          <w:szCs w:val="20"/>
          <w:lang w:eastAsia="bg-BG"/>
        </w:rPr>
      </w:pPr>
    </w:p>
    <w:p w14:paraId="7F645A00" w14:textId="3DBA9FAC"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 xml:space="preserve">В двойно-сляпо, плацебо контролирано проучване, последвано от отворена фаза на проучването, 187 момчета и момичета след първата менструация, на възраст 10-17 години (средно 14,1 години)с хетерозиготна фамилна хиперхолестеролемия </w:t>
      </w:r>
      <w:r w:rsidRPr="00C77F9C">
        <w:rPr>
          <w:rFonts w:eastAsia="Times New Roman" w:cs="Arial"/>
          <w:color w:val="000000"/>
          <w:szCs w:val="20"/>
          <w:lang w:val="en-US"/>
        </w:rPr>
        <w:t xml:space="preserve">(FH) </w:t>
      </w:r>
      <w:r w:rsidRPr="00C77F9C">
        <w:rPr>
          <w:rFonts w:eastAsia="Times New Roman" w:cs="Arial"/>
          <w:color w:val="000000"/>
          <w:szCs w:val="20"/>
          <w:lang w:eastAsia="bg-BG"/>
        </w:rPr>
        <w:t xml:space="preserve">или тежка хиперхолестеролемия са били рандомизирани на аторвастатин </w:t>
      </w:r>
      <w:r w:rsidRPr="00C77F9C">
        <w:rPr>
          <w:rFonts w:eastAsia="Times New Roman" w:cs="Arial"/>
          <w:color w:val="000000"/>
          <w:szCs w:val="20"/>
          <w:lang w:val="en-US"/>
        </w:rPr>
        <w:t xml:space="preserve">(n= </w:t>
      </w:r>
      <w:r w:rsidRPr="00C77F9C">
        <w:rPr>
          <w:rFonts w:eastAsia="Times New Roman" w:cs="Arial"/>
          <w:color w:val="000000"/>
          <w:szCs w:val="20"/>
          <w:lang w:eastAsia="bg-BG"/>
        </w:rPr>
        <w:t>140) или палецебо (</w:t>
      </w:r>
      <w:r w:rsidRPr="00C77F9C">
        <w:rPr>
          <w:rFonts w:eastAsia="Times New Roman" w:cs="Arial"/>
          <w:color w:val="000000"/>
          <w:szCs w:val="20"/>
          <w:lang w:val="en-US"/>
        </w:rPr>
        <w:t>n</w:t>
      </w:r>
      <w:r w:rsidRPr="00C77F9C">
        <w:rPr>
          <w:rFonts w:eastAsia="Times New Roman" w:cs="Arial"/>
          <w:color w:val="000000"/>
          <w:szCs w:val="20"/>
          <w:lang w:eastAsia="bg-BG"/>
        </w:rPr>
        <w:t xml:space="preserve">=47) за 26 седмици, след което всички получават аторвастатин за 26 седмици. Дозировката на аторвастатин (веднъж дневно) е 10 </w:t>
      </w:r>
      <w:r w:rsidRPr="00C77F9C">
        <w:rPr>
          <w:rFonts w:eastAsia="Times New Roman" w:cs="Arial"/>
          <w:color w:val="000000"/>
          <w:szCs w:val="20"/>
          <w:lang w:val="en-US"/>
        </w:rPr>
        <w:t xml:space="preserve">mg </w:t>
      </w:r>
      <w:r w:rsidRPr="00C77F9C">
        <w:rPr>
          <w:rFonts w:eastAsia="Times New Roman" w:cs="Arial"/>
          <w:color w:val="000000"/>
          <w:szCs w:val="20"/>
          <w:lang w:eastAsia="bg-BG"/>
        </w:rPr>
        <w:t xml:space="preserve">за първите 4 седмици с последващо увеличаване до 20 </w:t>
      </w:r>
      <w:r w:rsidRPr="00C77F9C">
        <w:rPr>
          <w:rFonts w:eastAsia="Times New Roman" w:cs="Arial"/>
          <w:color w:val="000000"/>
          <w:szCs w:val="20"/>
          <w:lang w:val="en-US"/>
        </w:rPr>
        <w:t xml:space="preserve">mg </w:t>
      </w:r>
      <w:r w:rsidRPr="00C77F9C">
        <w:rPr>
          <w:rFonts w:eastAsia="Times New Roman" w:cs="Arial"/>
          <w:color w:val="000000"/>
          <w:szCs w:val="20"/>
          <w:lang w:eastAsia="bg-BG"/>
        </w:rPr>
        <w:t xml:space="preserve">в случай че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нивата са &gt;3.36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/1. </w:t>
      </w:r>
      <w:r w:rsidRPr="00C77F9C">
        <w:rPr>
          <w:rFonts w:eastAsia="Times New Roman" w:cs="Arial"/>
          <w:color w:val="000000"/>
          <w:szCs w:val="20"/>
          <w:lang w:eastAsia="bg-BG"/>
        </w:rPr>
        <w:t xml:space="preserve">Аторвастатин сигнификатно намалява плазмените нива на общия холестерол,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триглицеридите и аполипопротеин В през първите 26 седмици на двойно-сляпата фаза. Средната достигната стойност на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е 3.38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(range: </w:t>
      </w:r>
      <w:r w:rsidRPr="00C77F9C">
        <w:rPr>
          <w:rFonts w:eastAsia="Times New Roman" w:cs="Arial"/>
          <w:color w:val="000000"/>
          <w:szCs w:val="20"/>
          <w:lang w:eastAsia="bg-BG"/>
        </w:rPr>
        <w:t xml:space="preserve">1.81-6.26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w:t>
      </w:r>
      <w:r w:rsidRPr="00C77F9C">
        <w:rPr>
          <w:rFonts w:eastAsia="Times New Roman" w:cs="Arial"/>
          <w:color w:val="000000"/>
          <w:szCs w:val="20"/>
          <w:lang w:eastAsia="bg-BG"/>
        </w:rPr>
        <w:t xml:space="preserve">в групата на аторвастатин, сравнена с 5.91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(range: </w:t>
      </w:r>
      <w:r w:rsidRPr="00C77F9C">
        <w:rPr>
          <w:rFonts w:eastAsia="Times New Roman" w:cs="Arial"/>
          <w:color w:val="000000"/>
          <w:szCs w:val="20"/>
          <w:lang w:eastAsia="bg-BG"/>
        </w:rPr>
        <w:t xml:space="preserve">3.93- 9.96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w:t>
      </w:r>
      <w:r w:rsidRPr="00C77F9C">
        <w:rPr>
          <w:rFonts w:eastAsia="Times New Roman" w:cs="Arial"/>
          <w:color w:val="000000"/>
          <w:szCs w:val="20"/>
          <w:lang w:eastAsia="bg-BG"/>
        </w:rPr>
        <w:t>в плацебо групата през 26-седмичната двойно-сляпа фаза.</w:t>
      </w:r>
    </w:p>
    <w:p w14:paraId="4F2DF8CD" w14:textId="77777777" w:rsidR="00C77F9C" w:rsidRPr="00C77F9C" w:rsidRDefault="00C77F9C" w:rsidP="00C77F9C">
      <w:pPr>
        <w:spacing w:line="240" w:lineRule="auto"/>
        <w:rPr>
          <w:rFonts w:eastAsia="Times New Roman" w:cs="Arial"/>
          <w:color w:val="000000"/>
          <w:szCs w:val="20"/>
          <w:lang w:eastAsia="bg-BG"/>
        </w:rPr>
      </w:pPr>
    </w:p>
    <w:p w14:paraId="47DDA610" w14:textId="12472A49"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 xml:space="preserve">Допълнително педиатрично проучване на аторвастатин срещу колестипол при пациенти на възраст 10-18 години установява, че аторвастатин </w:t>
      </w:r>
      <w:r w:rsidRPr="00C77F9C">
        <w:rPr>
          <w:rFonts w:eastAsia="Times New Roman" w:cs="Arial"/>
          <w:color w:val="000000"/>
          <w:szCs w:val="20"/>
          <w:lang w:val="en-US"/>
        </w:rPr>
        <w:t xml:space="preserve">(N=25) </w:t>
      </w:r>
      <w:r w:rsidRPr="00C77F9C">
        <w:rPr>
          <w:rFonts w:eastAsia="Times New Roman" w:cs="Arial"/>
          <w:color w:val="000000"/>
          <w:szCs w:val="20"/>
          <w:lang w:eastAsia="bg-BG"/>
        </w:rPr>
        <w:t xml:space="preserve">предизвиква сигнификантно намаление на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на 26-та седмица (р&lt;0.05), сравнен с колестипол </w:t>
      </w:r>
      <w:r w:rsidRPr="00C77F9C">
        <w:rPr>
          <w:rFonts w:eastAsia="Times New Roman" w:cs="Arial"/>
          <w:color w:val="000000"/>
          <w:szCs w:val="20"/>
          <w:lang w:val="en-US"/>
        </w:rPr>
        <w:t>(N=31).</w:t>
      </w:r>
    </w:p>
    <w:p w14:paraId="16F637A6" w14:textId="77777777" w:rsidR="00C77F9C" w:rsidRPr="00C77F9C" w:rsidRDefault="00C77F9C" w:rsidP="00C77F9C">
      <w:pPr>
        <w:spacing w:line="240" w:lineRule="auto"/>
        <w:rPr>
          <w:rFonts w:eastAsia="Times New Roman" w:cs="Arial"/>
          <w:color w:val="000000"/>
          <w:szCs w:val="20"/>
          <w:lang w:eastAsia="bg-BG"/>
        </w:rPr>
      </w:pPr>
    </w:p>
    <w:p w14:paraId="1D389B97" w14:textId="31AEB8D9"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Проучване за „милосърдна употреба” при пациенти с тежка хиперхолестеролемия</w:t>
      </w:r>
    </w:p>
    <w:p w14:paraId="1FB5B94A" w14:textId="6E56BFBE"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lastRenderedPageBreak/>
        <w:t>(включително хомозиготна хиперхолестеролемия)включващо 46 педиатрични</w:t>
      </w:r>
      <w:r w:rsidRPr="00C77F9C">
        <w:rPr>
          <w:rFonts w:eastAsia="Times New Roman" w:cs="Arial"/>
          <w:color w:val="000000"/>
          <w:szCs w:val="20"/>
          <w:lang w:val="en-US"/>
        </w:rPr>
        <w:t xml:space="preserve"> </w:t>
      </w:r>
      <w:r w:rsidRPr="00C77F9C">
        <w:rPr>
          <w:rFonts w:eastAsia="Times New Roman" w:cs="Arial"/>
          <w:color w:val="000000"/>
          <w:szCs w:val="20"/>
          <w:lang w:eastAsia="bg-BG"/>
        </w:rPr>
        <w:t xml:space="preserve">пациенти лекувани с аторвастатин в зависимост от отговора (някои пациенти са приемали 80 </w:t>
      </w:r>
      <w:r w:rsidRPr="00C77F9C">
        <w:rPr>
          <w:rFonts w:eastAsia="Times New Roman" w:cs="Arial"/>
          <w:color w:val="000000"/>
          <w:szCs w:val="20"/>
          <w:lang w:val="en-US"/>
        </w:rPr>
        <w:t>mg</w:t>
      </w:r>
      <w:r w:rsidRPr="00C77F9C">
        <w:rPr>
          <w:rFonts w:eastAsia="Times New Roman" w:cs="Arial"/>
          <w:color w:val="000000"/>
          <w:szCs w:val="20"/>
          <w:lang w:eastAsia="bg-BG"/>
        </w:rPr>
        <w:t xml:space="preserve"> </w:t>
      </w:r>
      <w:r w:rsidRPr="00C77F9C">
        <w:rPr>
          <w:rFonts w:eastAsia="Times New Roman" w:cs="Arial"/>
          <w:i/>
          <w:iCs/>
          <w:color w:val="000000"/>
          <w:szCs w:val="20"/>
          <w:lang w:eastAsia="bg-BG"/>
        </w:rPr>
        <w:t xml:space="preserve"> </w:t>
      </w:r>
      <w:r w:rsidRPr="00C77F9C">
        <w:rPr>
          <w:rFonts w:eastAsia="Times New Roman" w:cs="Arial"/>
          <w:color w:val="000000"/>
          <w:szCs w:val="20"/>
          <w:lang w:eastAsia="bg-BG"/>
        </w:rPr>
        <w:t xml:space="preserve">аторвастатин дневно). Проучването продължава 3 години: </w:t>
      </w:r>
      <w:r w:rsidRPr="00C77F9C">
        <w:rPr>
          <w:rFonts w:eastAsia="Times New Roman" w:cs="Arial"/>
          <w:color w:val="000000"/>
          <w:szCs w:val="20"/>
          <w:lang w:val="en-US"/>
        </w:rPr>
        <w:t>LDL</w:t>
      </w:r>
      <w:r w:rsidRPr="00C77F9C">
        <w:rPr>
          <w:rFonts w:eastAsia="Times New Roman" w:cs="Arial"/>
          <w:color w:val="000000"/>
          <w:szCs w:val="20"/>
          <w:lang w:eastAsia="bg-BG"/>
        </w:rPr>
        <w:t>-холестеролът е</w:t>
      </w:r>
      <w:r w:rsidRPr="00C77F9C">
        <w:rPr>
          <w:rFonts w:eastAsia="Times New Roman" w:cs="Arial"/>
          <w:color w:val="000000"/>
          <w:szCs w:val="20"/>
          <w:lang w:val="en-US"/>
        </w:rPr>
        <w:t xml:space="preserve"> </w:t>
      </w:r>
      <w:r w:rsidRPr="00C77F9C">
        <w:rPr>
          <w:rFonts w:eastAsia="Times New Roman" w:cs="Arial"/>
          <w:color w:val="000000"/>
          <w:szCs w:val="20"/>
          <w:lang w:eastAsia="bg-BG"/>
        </w:rPr>
        <w:t>намален с 36%.</w:t>
      </w:r>
    </w:p>
    <w:p w14:paraId="1991FFA9" w14:textId="77777777" w:rsidR="00C77F9C" w:rsidRPr="00C77F9C" w:rsidRDefault="00C77F9C" w:rsidP="00C77F9C">
      <w:pPr>
        <w:spacing w:line="240" w:lineRule="auto"/>
        <w:rPr>
          <w:rFonts w:eastAsia="Times New Roman" w:cs="Arial"/>
          <w:sz w:val="28"/>
          <w:szCs w:val="24"/>
          <w:lang w:eastAsia="bg-BG"/>
        </w:rPr>
      </w:pPr>
    </w:p>
    <w:p w14:paraId="5C1AB027" w14:textId="77777777" w:rsidR="00C77F9C" w:rsidRPr="00C77F9C" w:rsidRDefault="00C77F9C" w:rsidP="00C77F9C">
      <w:pPr>
        <w:rPr>
          <w:rFonts w:eastAsia="Times New Roman" w:cs="Arial"/>
          <w:sz w:val="28"/>
          <w:szCs w:val="24"/>
          <w:lang w:eastAsia="bg-BG"/>
        </w:rPr>
      </w:pPr>
      <w:r w:rsidRPr="00C77F9C">
        <w:rPr>
          <w:rFonts w:eastAsia="Times New Roman" w:cs="Arial"/>
          <w:color w:val="000000"/>
          <w:szCs w:val="20"/>
          <w:lang w:eastAsia="bg-BG"/>
        </w:rPr>
        <w:t>Дългосрочната ефикасност на терапия с аторвастатин в детска възраст за намаляване на</w:t>
      </w:r>
      <w:r>
        <w:rPr>
          <w:rFonts w:eastAsia="Times New Roman" w:cs="Arial"/>
          <w:color w:val="000000"/>
          <w:szCs w:val="20"/>
          <w:lang w:eastAsia="bg-BG"/>
        </w:rPr>
        <w:t xml:space="preserve"> </w:t>
      </w:r>
      <w:r w:rsidRPr="00C77F9C">
        <w:rPr>
          <w:rFonts w:eastAsia="Times New Roman" w:cs="Arial"/>
          <w:color w:val="000000"/>
          <w:szCs w:val="20"/>
          <w:lang w:eastAsia="bg-BG"/>
        </w:rPr>
        <w:t>заболеваемостта и смъртността в зряла възраст не е установена.</w:t>
      </w:r>
    </w:p>
    <w:p w14:paraId="68AD53A1" w14:textId="77777777" w:rsidR="00C77F9C" w:rsidRPr="00C77F9C" w:rsidRDefault="00C77F9C" w:rsidP="00C77F9C">
      <w:pPr>
        <w:rPr>
          <w:rFonts w:eastAsia="Times New Roman" w:cs="Arial"/>
          <w:color w:val="000000"/>
          <w:szCs w:val="20"/>
          <w:lang w:eastAsia="bg-BG"/>
        </w:rPr>
      </w:pPr>
    </w:p>
    <w:p w14:paraId="3A5AAE25" w14:textId="0CF9DD59" w:rsidR="000F2A8D" w:rsidRPr="00C77F9C" w:rsidRDefault="00C77F9C" w:rsidP="00C77F9C">
      <w:pPr>
        <w:rPr>
          <w:rFonts w:cs="Arial"/>
          <w:sz w:val="28"/>
        </w:rPr>
      </w:pPr>
      <w:r w:rsidRPr="00C77F9C">
        <w:rPr>
          <w:rFonts w:eastAsia="Times New Roman" w:cs="Arial"/>
          <w:color w:val="000000"/>
          <w:szCs w:val="20"/>
          <w:lang w:eastAsia="bg-BG"/>
        </w:rPr>
        <w:t>Европейската агенция по лекарствата е отложила задължението за подаване на резултати от проучвания с аторвастатин при деца от 0 до 6-годишна възраст при лечение на хетерозиготна фамилна хиперхолестеролемия, както и при деца от 0 до 18-годишна възраст при лечението на хомозиготна фамилна хиперхолестеролемия, комбинирана (смесена) хиперхолестеролемия, първична хиперхолестеролемия и при превенцията на сърдечносъдови събития (вж. точка 4.2 за информация за педиатричната употреба).</w:t>
      </w:r>
    </w:p>
    <w:p w14:paraId="54777B19" w14:textId="77777777" w:rsidR="00C77F9C" w:rsidRPr="000F2A8D" w:rsidRDefault="00C77F9C" w:rsidP="000F2A8D">
      <w:pPr>
        <w:rPr>
          <w:rFonts w:cs="Arial"/>
        </w:rPr>
      </w:pPr>
    </w:p>
    <w:p w14:paraId="35F84B81" w14:textId="02B8829E" w:rsidR="00CF77F7" w:rsidRDefault="002C50EE" w:rsidP="004A448E">
      <w:pPr>
        <w:pStyle w:val="Heading2"/>
      </w:pPr>
      <w:r>
        <w:t>5.2. Фармакокинетични свойства</w:t>
      </w:r>
    </w:p>
    <w:p w14:paraId="7B779028" w14:textId="34E2478B" w:rsidR="00C77F9C" w:rsidRDefault="00C77F9C" w:rsidP="00C77F9C"/>
    <w:p w14:paraId="23E8D850" w14:textId="77777777" w:rsidR="00C77F9C" w:rsidRPr="00C77F9C" w:rsidRDefault="00C77F9C" w:rsidP="00C77F9C">
      <w:pPr>
        <w:pStyle w:val="Heading3"/>
        <w:rPr>
          <w:color w:val="auto"/>
          <w:u w:val="single"/>
        </w:rPr>
      </w:pPr>
      <w:r w:rsidRPr="00C77F9C">
        <w:rPr>
          <w:u w:val="single"/>
        </w:rPr>
        <w:t>Абсорбция</w:t>
      </w:r>
    </w:p>
    <w:p w14:paraId="66590F93" w14:textId="77777777" w:rsidR="00C77F9C" w:rsidRPr="00C77F9C" w:rsidRDefault="00C77F9C" w:rsidP="00C77F9C">
      <w:pPr>
        <w:rPr>
          <w:szCs w:val="20"/>
        </w:rPr>
      </w:pPr>
    </w:p>
    <w:p w14:paraId="36BF3115" w14:textId="541FE31F" w:rsidR="00C77F9C" w:rsidRPr="00C77F9C" w:rsidRDefault="00C77F9C" w:rsidP="00C77F9C">
      <w:pPr>
        <w:rPr>
          <w:sz w:val="24"/>
        </w:rPr>
      </w:pPr>
      <w:r w:rsidRPr="00C77F9C">
        <w:rPr>
          <w:szCs w:val="20"/>
        </w:rPr>
        <w:t>Аторвастатин се абсорбира бързо след перорално приложение; максимална плазмена концентрация (С</w:t>
      </w:r>
      <w:r w:rsidRPr="00C77F9C">
        <w:rPr>
          <w:szCs w:val="20"/>
          <w:vertAlign w:val="subscript"/>
          <w:lang w:val="en-US"/>
        </w:rPr>
        <w:t>max</w:t>
      </w:r>
      <w:r w:rsidRPr="00C77F9C">
        <w:rPr>
          <w:szCs w:val="20"/>
        </w:rPr>
        <w:t xml:space="preserve">) се постига за 1 до 2 часа. Степента на абсорбция се покачва пропорционално на дозата на аторвастатин. След перорално приложение бионаличността на аторвастатин филмирани таблетки е 95 до 99% в сравнение с тази на пероралния разтвор. Абсолютната бионаличност на аторвастатин е приблизително 12% и системната наличност на инхибиторната активност за </w:t>
      </w:r>
      <w:r w:rsidRPr="00C77F9C">
        <w:rPr>
          <w:szCs w:val="20"/>
          <w:lang w:val="en-US"/>
        </w:rPr>
        <w:t xml:space="preserve">HMG-CoA </w:t>
      </w:r>
      <w:r w:rsidRPr="00C77F9C">
        <w:rPr>
          <w:szCs w:val="20"/>
        </w:rPr>
        <w:t xml:space="preserve">редуктазата е приблизително 30%. Ниската системна наличност се отдава на пресистемен клирънс в гастроинтестиналната му коза и/или на </w:t>
      </w:r>
      <w:r w:rsidRPr="00C77F9C">
        <w:rPr>
          <w:szCs w:val="20"/>
          <w:lang w:val="en-US"/>
        </w:rPr>
        <w:t xml:space="preserve">first-pass </w:t>
      </w:r>
      <w:r w:rsidRPr="00C77F9C">
        <w:rPr>
          <w:szCs w:val="20"/>
        </w:rPr>
        <w:t>метаболизъм в черния дроб.</w:t>
      </w:r>
    </w:p>
    <w:p w14:paraId="74499C1C" w14:textId="77777777" w:rsidR="00C77F9C" w:rsidRPr="00C77F9C" w:rsidRDefault="00C77F9C" w:rsidP="00C77F9C">
      <w:pPr>
        <w:rPr>
          <w:szCs w:val="20"/>
          <w:u w:val="single"/>
        </w:rPr>
      </w:pPr>
    </w:p>
    <w:p w14:paraId="5FCAB90F" w14:textId="01B76927" w:rsidR="00C77F9C" w:rsidRPr="00C77F9C" w:rsidRDefault="00C77F9C" w:rsidP="00C77F9C">
      <w:pPr>
        <w:pStyle w:val="Heading3"/>
        <w:rPr>
          <w:color w:val="auto"/>
          <w:u w:val="single"/>
        </w:rPr>
      </w:pPr>
      <w:r w:rsidRPr="00C77F9C">
        <w:rPr>
          <w:u w:val="single"/>
        </w:rPr>
        <w:t>Разпределение</w:t>
      </w:r>
    </w:p>
    <w:p w14:paraId="07D7D077" w14:textId="77777777" w:rsidR="00C77F9C" w:rsidRPr="00C77F9C" w:rsidRDefault="00C77F9C" w:rsidP="00C77F9C">
      <w:pPr>
        <w:rPr>
          <w:szCs w:val="20"/>
        </w:rPr>
      </w:pPr>
    </w:p>
    <w:p w14:paraId="7F2A6AC2" w14:textId="46F6DF0D" w:rsidR="00C77F9C" w:rsidRPr="00C77F9C" w:rsidRDefault="00C77F9C" w:rsidP="00C77F9C">
      <w:pPr>
        <w:rPr>
          <w:sz w:val="24"/>
        </w:rPr>
      </w:pPr>
      <w:r w:rsidRPr="00C77F9C">
        <w:rPr>
          <w:szCs w:val="20"/>
        </w:rPr>
        <w:t xml:space="preserve">Средният обем на разпределение на аторвастатин е приблизително 381 </w:t>
      </w:r>
      <w:r w:rsidRPr="00C77F9C">
        <w:rPr>
          <w:szCs w:val="20"/>
          <w:lang w:val="en-US"/>
        </w:rPr>
        <w:t xml:space="preserve">L. </w:t>
      </w:r>
      <w:r w:rsidRPr="00C77F9C">
        <w:rPr>
          <w:szCs w:val="20"/>
        </w:rPr>
        <w:t>Аторвастатин се свързва с плазмените протеини в 98%.</w:t>
      </w:r>
    </w:p>
    <w:p w14:paraId="2A40CBA0" w14:textId="77777777" w:rsidR="00C77F9C" w:rsidRPr="00C77F9C" w:rsidRDefault="00C77F9C" w:rsidP="00C77F9C">
      <w:pPr>
        <w:rPr>
          <w:szCs w:val="20"/>
          <w:u w:val="single"/>
        </w:rPr>
      </w:pPr>
    </w:p>
    <w:p w14:paraId="194E8D6A" w14:textId="7D65176E" w:rsidR="00C77F9C" w:rsidRPr="00C77F9C" w:rsidRDefault="00C77F9C" w:rsidP="00C77F9C">
      <w:pPr>
        <w:pStyle w:val="Heading3"/>
        <w:rPr>
          <w:color w:val="auto"/>
          <w:u w:val="single"/>
        </w:rPr>
      </w:pPr>
      <w:r w:rsidRPr="00C77F9C">
        <w:rPr>
          <w:u w:val="single"/>
        </w:rPr>
        <w:t>Метаболизъм</w:t>
      </w:r>
    </w:p>
    <w:p w14:paraId="6594AB8F" w14:textId="77777777" w:rsidR="00C77F9C" w:rsidRPr="00C77F9C" w:rsidRDefault="00C77F9C" w:rsidP="00C77F9C">
      <w:pPr>
        <w:rPr>
          <w:szCs w:val="20"/>
        </w:rPr>
      </w:pPr>
    </w:p>
    <w:p w14:paraId="7593D593" w14:textId="12D08BED" w:rsidR="00C77F9C" w:rsidRPr="00C77F9C" w:rsidRDefault="00C77F9C" w:rsidP="00C77F9C">
      <w:pPr>
        <w:rPr>
          <w:sz w:val="24"/>
        </w:rPr>
      </w:pPr>
      <w:r w:rsidRPr="00C77F9C">
        <w:rPr>
          <w:szCs w:val="20"/>
        </w:rPr>
        <w:t xml:space="preserve">Аторвастатин се метаболизира от цитохром </w:t>
      </w:r>
      <w:r w:rsidRPr="00C77F9C">
        <w:rPr>
          <w:szCs w:val="20"/>
          <w:lang w:val="en-US"/>
        </w:rPr>
        <w:t xml:space="preserve">P-450 </w:t>
      </w:r>
      <w:r w:rsidRPr="00C77F9C">
        <w:rPr>
          <w:szCs w:val="20"/>
        </w:rPr>
        <w:t xml:space="preserve">ЗА4 до орто- и парахидроксилирани деривати и различни бета-окислителни продукти. Освен другите пътища, тези лекарства се метаболизират допълнително чрез глюкурониране. </w:t>
      </w:r>
      <w:r w:rsidRPr="00C77F9C">
        <w:rPr>
          <w:szCs w:val="20"/>
          <w:lang w:val="en-US"/>
        </w:rPr>
        <w:t xml:space="preserve">In vitro </w:t>
      </w:r>
      <w:r w:rsidRPr="00C77F9C">
        <w:rPr>
          <w:szCs w:val="20"/>
        </w:rPr>
        <w:t xml:space="preserve">инхибицията на </w:t>
      </w:r>
      <w:r w:rsidRPr="00C77F9C">
        <w:rPr>
          <w:szCs w:val="20"/>
          <w:lang w:val="en-US"/>
        </w:rPr>
        <w:t xml:space="preserve">HMG-CoA </w:t>
      </w:r>
      <w:r w:rsidRPr="00C77F9C">
        <w:rPr>
          <w:szCs w:val="20"/>
        </w:rPr>
        <w:t xml:space="preserve">редуктазата от орто- и парахидроксилираните метаболити е екивалентна на тази от аторвастатин. Приблизително 70% от циркулиращата инхибиторна активност за </w:t>
      </w:r>
      <w:r w:rsidRPr="00C77F9C">
        <w:rPr>
          <w:szCs w:val="20"/>
          <w:lang w:val="en-US"/>
        </w:rPr>
        <w:t xml:space="preserve">HMG-CoA </w:t>
      </w:r>
      <w:r w:rsidRPr="00C77F9C">
        <w:rPr>
          <w:szCs w:val="20"/>
        </w:rPr>
        <w:t>редуктазата се отдава на активните метаболити.</w:t>
      </w:r>
    </w:p>
    <w:p w14:paraId="26A09F5E" w14:textId="77777777" w:rsidR="00C77F9C" w:rsidRPr="00C77F9C" w:rsidRDefault="00C77F9C" w:rsidP="00C77F9C">
      <w:pPr>
        <w:rPr>
          <w:szCs w:val="20"/>
          <w:u w:val="single"/>
        </w:rPr>
      </w:pPr>
    </w:p>
    <w:p w14:paraId="43755FD7" w14:textId="13866A17" w:rsidR="00C77F9C" w:rsidRPr="00C77F9C" w:rsidRDefault="00C77F9C" w:rsidP="00C77F9C">
      <w:pPr>
        <w:pStyle w:val="Heading3"/>
        <w:rPr>
          <w:color w:val="auto"/>
          <w:u w:val="single"/>
        </w:rPr>
      </w:pPr>
      <w:r w:rsidRPr="00C77F9C">
        <w:rPr>
          <w:u w:val="single"/>
        </w:rPr>
        <w:t>Елиминиране</w:t>
      </w:r>
    </w:p>
    <w:p w14:paraId="79B6D677" w14:textId="77777777" w:rsidR="00C77F9C" w:rsidRPr="00C77F9C" w:rsidRDefault="00C77F9C" w:rsidP="00C77F9C">
      <w:pPr>
        <w:rPr>
          <w:szCs w:val="20"/>
        </w:rPr>
      </w:pPr>
    </w:p>
    <w:p w14:paraId="08EA8344" w14:textId="7B0E96A9" w:rsidR="00C77F9C" w:rsidRPr="00C77F9C" w:rsidRDefault="00C77F9C" w:rsidP="00C77F9C">
      <w:pPr>
        <w:rPr>
          <w:sz w:val="24"/>
        </w:rPr>
      </w:pPr>
      <w:r w:rsidRPr="00C77F9C">
        <w:rPr>
          <w:szCs w:val="20"/>
        </w:rPr>
        <w:t xml:space="preserve">Аторвастатин се излъчва предимно с жлъчката след хепатален и/или екстрахепатален метаболизъм. Изглежда, обаче, че лекарството не претърпява значителна </w:t>
      </w:r>
      <w:r w:rsidRPr="00C77F9C">
        <w:rPr>
          <w:szCs w:val="20"/>
        </w:rPr>
        <w:lastRenderedPageBreak/>
        <w:t xml:space="preserve">ентерохепатална рециркулация. Средният плазмен полуживот на аторвастатин при хора е приблизително 14 часа. Полуживотът на инхибиторната активност за </w:t>
      </w:r>
      <w:r w:rsidRPr="00C77F9C">
        <w:rPr>
          <w:szCs w:val="20"/>
          <w:lang w:val="en-US"/>
        </w:rPr>
        <w:t xml:space="preserve">HMG-CoA </w:t>
      </w:r>
      <w:r w:rsidRPr="00C77F9C">
        <w:rPr>
          <w:szCs w:val="20"/>
        </w:rPr>
        <w:t>редуктазата е приблизително 20 до 30 часа поради участието на активните метаболити.</w:t>
      </w:r>
    </w:p>
    <w:p w14:paraId="14DAB5A7" w14:textId="77777777" w:rsidR="00C77F9C" w:rsidRPr="00C77F9C" w:rsidRDefault="00C77F9C" w:rsidP="00C77F9C">
      <w:pPr>
        <w:rPr>
          <w:szCs w:val="20"/>
        </w:rPr>
      </w:pPr>
    </w:p>
    <w:p w14:paraId="27BA781C" w14:textId="6C1FA3C5" w:rsidR="00C77F9C" w:rsidRPr="00C77F9C" w:rsidRDefault="00C77F9C" w:rsidP="00C77F9C">
      <w:pPr>
        <w:rPr>
          <w:sz w:val="24"/>
        </w:rPr>
      </w:pPr>
      <w:r w:rsidRPr="00C77F9C">
        <w:rPr>
          <w:szCs w:val="20"/>
        </w:rPr>
        <w:t xml:space="preserve">Аторвастатин е субстрат на чернодробните транспортери и на полипептидите, транспортиращи органични аниони 1В1 (ОАТР1В1) и 1ВЗ (ОАТР1ВЗ). Метаболитите на аторвастатин са субстрати на ОАТР1В1. Установено е също така, че аторвастатин е субстрат на ефлуксните транспортери на протеина, свързан с множествена лекарствена резистентност 1 </w:t>
      </w:r>
      <w:r w:rsidRPr="00C77F9C">
        <w:rPr>
          <w:szCs w:val="20"/>
          <w:lang w:val="en-US"/>
        </w:rPr>
        <w:t xml:space="preserve">(MDR1) </w:t>
      </w:r>
      <w:r w:rsidRPr="00C77F9C">
        <w:rPr>
          <w:szCs w:val="20"/>
        </w:rPr>
        <w:t xml:space="preserve">и на протеина на резистентност на рака на гърдата </w:t>
      </w:r>
      <w:r w:rsidRPr="00C77F9C">
        <w:rPr>
          <w:szCs w:val="20"/>
          <w:lang w:val="en-US"/>
        </w:rPr>
        <w:t xml:space="preserve">(BCRP), </w:t>
      </w:r>
      <w:r w:rsidRPr="00C77F9C">
        <w:rPr>
          <w:szCs w:val="20"/>
        </w:rPr>
        <w:t>които може да ограничат чревната абсорбция и жлъчния клирънс на аторвастатин.</w:t>
      </w:r>
    </w:p>
    <w:p w14:paraId="3D24F5F9" w14:textId="77777777" w:rsidR="00C77F9C" w:rsidRPr="00C77F9C" w:rsidRDefault="00C77F9C" w:rsidP="00C77F9C">
      <w:pPr>
        <w:rPr>
          <w:i/>
          <w:iCs/>
          <w:szCs w:val="20"/>
          <w:u w:val="single"/>
        </w:rPr>
      </w:pPr>
    </w:p>
    <w:p w14:paraId="379E8AB0" w14:textId="764E83D8" w:rsidR="00C77F9C" w:rsidRPr="00C77F9C" w:rsidRDefault="00C77F9C" w:rsidP="00C77F9C">
      <w:pPr>
        <w:rPr>
          <w:sz w:val="24"/>
        </w:rPr>
      </w:pPr>
      <w:r w:rsidRPr="00C77F9C">
        <w:rPr>
          <w:i/>
          <w:iCs/>
          <w:szCs w:val="20"/>
          <w:u w:val="single"/>
        </w:rPr>
        <w:t>Специални популации</w:t>
      </w:r>
    </w:p>
    <w:p w14:paraId="01A9F45C" w14:textId="77777777" w:rsidR="00C77F9C" w:rsidRPr="00C77F9C" w:rsidRDefault="00C77F9C" w:rsidP="00C77F9C">
      <w:pPr>
        <w:rPr>
          <w:i/>
          <w:iCs/>
          <w:szCs w:val="20"/>
        </w:rPr>
      </w:pPr>
    </w:p>
    <w:p w14:paraId="583B4479" w14:textId="4DFD18B7" w:rsidR="00C77F9C" w:rsidRPr="00C77F9C" w:rsidRDefault="00C77F9C" w:rsidP="00C77F9C">
      <w:pPr>
        <w:rPr>
          <w:sz w:val="24"/>
        </w:rPr>
      </w:pPr>
      <w:r w:rsidRPr="00C77F9C">
        <w:rPr>
          <w:i/>
          <w:iCs/>
          <w:szCs w:val="20"/>
        </w:rPr>
        <w:t>Старческа възраст:</w:t>
      </w:r>
    </w:p>
    <w:p w14:paraId="16F96AA2" w14:textId="77777777" w:rsidR="00C77F9C" w:rsidRPr="00C77F9C" w:rsidRDefault="00C77F9C" w:rsidP="00C77F9C">
      <w:pPr>
        <w:rPr>
          <w:rFonts w:eastAsia="Times New Roman" w:cs="Arial"/>
          <w:sz w:val="28"/>
          <w:szCs w:val="24"/>
          <w:lang w:eastAsia="bg-BG"/>
        </w:rPr>
      </w:pPr>
      <w:r w:rsidRPr="00C77F9C">
        <w:rPr>
          <w:szCs w:val="20"/>
        </w:rPr>
        <w:t>Плазмените концентрации на аторвастатин и неговите активни метаболити са по-високи при здрави хора в напреднала възраст, отколкото при млади пациенти, а ефектите по отношение на</w:t>
      </w:r>
      <w:r>
        <w:rPr>
          <w:szCs w:val="20"/>
        </w:rPr>
        <w:t xml:space="preserve"> </w:t>
      </w:r>
      <w:r w:rsidRPr="00C77F9C">
        <w:rPr>
          <w:rFonts w:eastAsia="Times New Roman" w:cs="Arial"/>
          <w:color w:val="000000"/>
          <w:szCs w:val="20"/>
          <w:lang w:eastAsia="bg-BG"/>
        </w:rPr>
        <w:t>липидите са сравними с тези при по-млади пациенти.</w:t>
      </w:r>
    </w:p>
    <w:p w14:paraId="289435C3" w14:textId="77777777" w:rsidR="00C77F9C" w:rsidRPr="00C77F9C" w:rsidRDefault="00C77F9C" w:rsidP="00C77F9C">
      <w:pPr>
        <w:spacing w:line="240" w:lineRule="auto"/>
        <w:rPr>
          <w:rFonts w:eastAsia="Times New Roman" w:cs="Arial"/>
          <w:i/>
          <w:iCs/>
          <w:color w:val="000000"/>
          <w:szCs w:val="20"/>
          <w:lang w:eastAsia="bg-BG"/>
        </w:rPr>
      </w:pPr>
    </w:p>
    <w:p w14:paraId="797C8CC5" w14:textId="304A2C5A"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eastAsia="bg-BG"/>
        </w:rPr>
        <w:t>Педиатрична популация:</w:t>
      </w:r>
    </w:p>
    <w:p w14:paraId="3A3167CD"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 xml:space="preserve">В отворено, 8-седмично проучване, педиатрични пациенти (на възраст 6-17 години) 1 стадий по </w:t>
      </w:r>
      <w:r w:rsidRPr="00C77F9C">
        <w:rPr>
          <w:rFonts w:eastAsia="Times New Roman" w:cs="Arial"/>
          <w:color w:val="000000"/>
          <w:szCs w:val="20"/>
          <w:lang w:val="en-US"/>
        </w:rPr>
        <w:t xml:space="preserve">Tanner (N=15) </w:t>
      </w:r>
      <w:r w:rsidRPr="00C77F9C">
        <w:rPr>
          <w:rFonts w:eastAsia="Times New Roman" w:cs="Arial"/>
          <w:color w:val="000000"/>
          <w:szCs w:val="20"/>
          <w:lang w:eastAsia="bg-BG"/>
        </w:rPr>
        <w:t xml:space="preserve">и стадий по </w:t>
      </w:r>
      <w:r w:rsidRPr="00C77F9C">
        <w:rPr>
          <w:rFonts w:eastAsia="Times New Roman" w:cs="Arial"/>
          <w:color w:val="000000"/>
          <w:szCs w:val="20"/>
          <w:lang w:val="en-US"/>
        </w:rPr>
        <w:t xml:space="preserve">Tanner </w:t>
      </w:r>
      <w:r w:rsidRPr="00C77F9C">
        <w:rPr>
          <w:rFonts w:eastAsia="Times New Roman" w:cs="Arial"/>
          <w:color w:val="000000"/>
          <w:szCs w:val="20"/>
          <w:lang w:eastAsia="bg-BG"/>
        </w:rPr>
        <w:t xml:space="preserve">≥ 2 </w:t>
      </w:r>
      <w:r w:rsidRPr="00C77F9C">
        <w:rPr>
          <w:rFonts w:eastAsia="Times New Roman" w:cs="Arial"/>
          <w:color w:val="000000"/>
          <w:szCs w:val="20"/>
          <w:lang w:val="en-US"/>
        </w:rPr>
        <w:t xml:space="preserve">(N=24) </w:t>
      </w:r>
      <w:r w:rsidRPr="00C77F9C">
        <w:rPr>
          <w:rFonts w:eastAsia="Times New Roman" w:cs="Arial"/>
          <w:color w:val="000000"/>
          <w:szCs w:val="20"/>
          <w:lang w:eastAsia="bg-BG"/>
        </w:rPr>
        <w:t xml:space="preserve">с хетерозиготна фамилна хиперхолестеролемия и основни стойности на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≥4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w:t>
      </w:r>
      <w:r w:rsidRPr="00C77F9C">
        <w:rPr>
          <w:rFonts w:eastAsia="Times New Roman" w:cs="Arial"/>
          <w:color w:val="000000"/>
          <w:szCs w:val="20"/>
          <w:lang w:eastAsia="bg-BG"/>
        </w:rPr>
        <w:t xml:space="preserve">са лекувани с 5 или 10 </w:t>
      </w:r>
      <w:r w:rsidRPr="00C77F9C">
        <w:rPr>
          <w:rFonts w:eastAsia="Times New Roman" w:cs="Arial"/>
          <w:color w:val="000000"/>
          <w:szCs w:val="20"/>
          <w:lang w:val="en-US"/>
        </w:rPr>
        <w:t xml:space="preserve">mg </w:t>
      </w:r>
      <w:r w:rsidRPr="00C77F9C">
        <w:rPr>
          <w:rFonts w:eastAsia="Times New Roman" w:cs="Arial"/>
          <w:color w:val="000000"/>
          <w:szCs w:val="20"/>
          <w:lang w:eastAsia="bg-BG"/>
        </w:rPr>
        <w:t xml:space="preserve">таблетки за дъвчене или съответно 5 или 10 </w:t>
      </w:r>
      <w:r w:rsidRPr="00C77F9C">
        <w:rPr>
          <w:rFonts w:eastAsia="Times New Roman" w:cs="Arial"/>
          <w:color w:val="000000"/>
          <w:szCs w:val="20"/>
          <w:lang w:val="en-US"/>
        </w:rPr>
        <w:t xml:space="preserve">mg </w:t>
      </w:r>
      <w:r w:rsidRPr="00C77F9C">
        <w:rPr>
          <w:rFonts w:eastAsia="Times New Roman" w:cs="Arial"/>
          <w:color w:val="000000"/>
          <w:szCs w:val="20"/>
          <w:lang w:eastAsia="bg-BG"/>
        </w:rPr>
        <w:t xml:space="preserve">филмирани таблетки аторвастатин веднъж дневно. Единствената значителна промяна във фармакокинетичния модел на популацията, лекувана с аторвастатин е телесната маса. Оралният клирънс при педиатрични пациенти се явява подобен на този при възрастни след алометрично измерване на телесното тегло. Съответно намаление на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и ТС е било установено след лечението с аторвастатин и о-хидроксиаторвастатин.</w:t>
      </w:r>
    </w:p>
    <w:p w14:paraId="0AD0A96E" w14:textId="77777777" w:rsidR="00C77F9C" w:rsidRPr="00C77F9C" w:rsidRDefault="00C77F9C" w:rsidP="00C77F9C">
      <w:pPr>
        <w:spacing w:line="240" w:lineRule="auto"/>
        <w:rPr>
          <w:rFonts w:eastAsia="Times New Roman" w:cs="Arial"/>
          <w:i/>
          <w:iCs/>
          <w:color w:val="000000"/>
          <w:szCs w:val="20"/>
          <w:lang w:eastAsia="bg-BG"/>
        </w:rPr>
      </w:pPr>
    </w:p>
    <w:p w14:paraId="1467F9DE" w14:textId="58DF551A"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eastAsia="bg-BG"/>
        </w:rPr>
        <w:t>Пол:</w:t>
      </w:r>
    </w:p>
    <w:p w14:paraId="73E97DAE"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Концентрациите на аторвастатин и неговите активни метаболити при жените се различават от тези при мъжете (жени: приблизително с 20% по-високи за С</w:t>
      </w:r>
      <w:r w:rsidRPr="00C77F9C">
        <w:rPr>
          <w:rFonts w:eastAsia="Times New Roman" w:cs="Arial"/>
          <w:color w:val="000000"/>
          <w:szCs w:val="20"/>
          <w:vertAlign w:val="subscript"/>
          <w:lang w:val="en-US"/>
        </w:rPr>
        <w:t>max</w:t>
      </w:r>
      <w:r w:rsidRPr="00C77F9C">
        <w:rPr>
          <w:rFonts w:eastAsia="Times New Roman" w:cs="Arial"/>
          <w:color w:val="000000"/>
          <w:szCs w:val="20"/>
          <w:lang w:eastAsia="bg-BG"/>
        </w:rPr>
        <w:t xml:space="preserve"> и с около 10% по-ниски за </w:t>
      </w:r>
      <w:r w:rsidRPr="00C77F9C">
        <w:rPr>
          <w:rFonts w:eastAsia="Times New Roman" w:cs="Arial"/>
          <w:color w:val="000000"/>
          <w:szCs w:val="20"/>
          <w:lang w:val="en-US"/>
        </w:rPr>
        <w:t xml:space="preserve">AUC). </w:t>
      </w:r>
      <w:r w:rsidRPr="00C77F9C">
        <w:rPr>
          <w:rFonts w:eastAsia="Times New Roman" w:cs="Arial"/>
          <w:color w:val="000000"/>
          <w:szCs w:val="20"/>
          <w:lang w:eastAsia="bg-BG"/>
        </w:rPr>
        <w:t>Тези разлики нямат клинично значение и няма клинично значими разлики между ефектите по отношение на липидите при мъже и жени.</w:t>
      </w:r>
    </w:p>
    <w:p w14:paraId="6AFDC1D9" w14:textId="77777777" w:rsidR="00C77F9C" w:rsidRPr="00C77F9C" w:rsidRDefault="00C77F9C" w:rsidP="00C77F9C">
      <w:pPr>
        <w:spacing w:line="240" w:lineRule="auto"/>
        <w:rPr>
          <w:rFonts w:eastAsia="Times New Roman" w:cs="Arial"/>
          <w:i/>
          <w:iCs/>
          <w:color w:val="000000"/>
          <w:szCs w:val="20"/>
          <w:lang w:eastAsia="bg-BG"/>
        </w:rPr>
      </w:pPr>
    </w:p>
    <w:p w14:paraId="5F8779B7" w14:textId="0200926B"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eastAsia="bg-BG"/>
        </w:rPr>
        <w:t>Бъбречно увреждане:</w:t>
      </w:r>
    </w:p>
    <w:p w14:paraId="6B5544E8"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Бъбречните заболявания нямат влияние върху плазмените концентрации или върху липидните ефекти на аторвастатин и неговите активни метаболити.</w:t>
      </w:r>
    </w:p>
    <w:p w14:paraId="136B4365" w14:textId="77777777" w:rsidR="00C77F9C" w:rsidRPr="00C77F9C" w:rsidRDefault="00C77F9C" w:rsidP="00C77F9C">
      <w:pPr>
        <w:spacing w:line="240" w:lineRule="auto"/>
        <w:rPr>
          <w:rFonts w:eastAsia="Times New Roman" w:cs="Arial"/>
          <w:i/>
          <w:iCs/>
          <w:color w:val="000000"/>
          <w:szCs w:val="20"/>
          <w:lang w:eastAsia="bg-BG"/>
        </w:rPr>
      </w:pPr>
    </w:p>
    <w:p w14:paraId="414179E8" w14:textId="24029DC5"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eastAsia="bg-BG"/>
        </w:rPr>
        <w:t>Чернодробно увреждане:</w:t>
      </w:r>
    </w:p>
    <w:p w14:paraId="07EE9C6A"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 xml:space="preserve">Плазмените концентрации на аторвастатин и неговите активни метаболити са значително по- високи (приблизително 16 пъти за </w:t>
      </w:r>
      <w:proofErr w:type="spellStart"/>
      <w:r w:rsidRPr="00C77F9C">
        <w:rPr>
          <w:rFonts w:eastAsia="Times New Roman" w:cs="Arial"/>
          <w:color w:val="000000"/>
          <w:szCs w:val="20"/>
          <w:lang w:val="en-US"/>
        </w:rPr>
        <w:t>C</w:t>
      </w:r>
      <w:r w:rsidRPr="00C77F9C">
        <w:rPr>
          <w:rFonts w:eastAsia="Times New Roman" w:cs="Arial"/>
          <w:color w:val="000000"/>
          <w:szCs w:val="20"/>
          <w:vertAlign w:val="subscript"/>
          <w:lang w:val="en-US"/>
        </w:rPr>
        <w:t>max</w:t>
      </w:r>
      <w:proofErr w:type="spellEnd"/>
      <w:r w:rsidRPr="00C77F9C">
        <w:rPr>
          <w:rFonts w:eastAsia="Times New Roman" w:cs="Arial"/>
          <w:color w:val="000000"/>
          <w:szCs w:val="20"/>
          <w:lang w:val="en-US"/>
        </w:rPr>
        <w:t xml:space="preserve"> </w:t>
      </w:r>
      <w:r w:rsidRPr="00C77F9C">
        <w:rPr>
          <w:rFonts w:eastAsia="Times New Roman" w:cs="Arial"/>
          <w:color w:val="000000"/>
          <w:szCs w:val="20"/>
          <w:lang w:eastAsia="bg-BG"/>
        </w:rPr>
        <w:t xml:space="preserve">и 11 пъти за </w:t>
      </w:r>
      <w:r w:rsidRPr="00C77F9C">
        <w:rPr>
          <w:rFonts w:eastAsia="Times New Roman" w:cs="Arial"/>
          <w:color w:val="000000"/>
          <w:szCs w:val="20"/>
          <w:lang w:val="en-US"/>
        </w:rPr>
        <w:t xml:space="preserve">AUC) </w:t>
      </w:r>
      <w:r w:rsidRPr="00C77F9C">
        <w:rPr>
          <w:rFonts w:eastAsia="Times New Roman" w:cs="Arial"/>
          <w:color w:val="000000"/>
          <w:szCs w:val="20"/>
          <w:lang w:eastAsia="bg-BG"/>
        </w:rPr>
        <w:t xml:space="preserve">при пациенти с хронична алкохолна чернодробна болест </w:t>
      </w:r>
      <w:r w:rsidRPr="00C77F9C">
        <w:rPr>
          <w:rFonts w:eastAsia="Times New Roman" w:cs="Arial"/>
          <w:color w:val="000000"/>
          <w:szCs w:val="20"/>
          <w:lang w:val="en-US"/>
        </w:rPr>
        <w:t xml:space="preserve">(Child-Pugh </w:t>
      </w:r>
      <w:r w:rsidRPr="00C77F9C">
        <w:rPr>
          <w:rFonts w:eastAsia="Times New Roman" w:cs="Arial"/>
          <w:color w:val="000000"/>
          <w:szCs w:val="20"/>
          <w:lang w:eastAsia="bg-BG"/>
        </w:rPr>
        <w:t>В).</w:t>
      </w:r>
    </w:p>
    <w:p w14:paraId="02F5F88C" w14:textId="77777777" w:rsidR="00C77F9C" w:rsidRPr="00C77F9C" w:rsidRDefault="00C77F9C" w:rsidP="00C77F9C">
      <w:pPr>
        <w:spacing w:line="240" w:lineRule="auto"/>
        <w:rPr>
          <w:rFonts w:eastAsia="Times New Roman" w:cs="Arial"/>
          <w:i/>
          <w:iCs/>
          <w:color w:val="000000"/>
          <w:szCs w:val="20"/>
          <w:lang w:val="en-US"/>
        </w:rPr>
      </w:pPr>
    </w:p>
    <w:p w14:paraId="67F34DE5" w14:textId="15052F58"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val="en-US"/>
        </w:rPr>
        <w:t xml:space="preserve">SLOC1B1 </w:t>
      </w:r>
      <w:r w:rsidRPr="00C77F9C">
        <w:rPr>
          <w:rFonts w:eastAsia="Times New Roman" w:cs="Arial"/>
          <w:i/>
          <w:iCs/>
          <w:color w:val="000000"/>
          <w:szCs w:val="20"/>
          <w:lang w:eastAsia="bg-BG"/>
        </w:rPr>
        <w:t>полиморфизъм:</w:t>
      </w:r>
    </w:p>
    <w:p w14:paraId="67DF7763" w14:textId="7C003DA7" w:rsidR="00C77F9C" w:rsidRPr="00C77F9C" w:rsidRDefault="00C77F9C" w:rsidP="00C77F9C">
      <w:pPr>
        <w:rPr>
          <w:rFonts w:cs="Arial"/>
          <w:sz w:val="28"/>
        </w:rPr>
      </w:pPr>
      <w:r w:rsidRPr="00C77F9C">
        <w:rPr>
          <w:rFonts w:eastAsia="Times New Roman" w:cs="Arial"/>
          <w:color w:val="000000"/>
          <w:szCs w:val="20"/>
          <w:lang w:eastAsia="bg-BG"/>
        </w:rPr>
        <w:t xml:space="preserve">Чернодробното захващане на всички </w:t>
      </w:r>
      <w:r w:rsidRPr="00C77F9C">
        <w:rPr>
          <w:rFonts w:eastAsia="Times New Roman" w:cs="Arial"/>
          <w:color w:val="000000"/>
          <w:szCs w:val="20"/>
          <w:lang w:val="en-US"/>
        </w:rPr>
        <w:t>HMG</w:t>
      </w:r>
      <w:r w:rsidRPr="00C77F9C">
        <w:rPr>
          <w:rFonts w:eastAsia="Times New Roman" w:cs="Arial"/>
          <w:color w:val="000000"/>
          <w:szCs w:val="20"/>
          <w:lang w:eastAsia="bg-BG"/>
        </w:rPr>
        <w:t xml:space="preserve">-СоА-редуктазни инхибитори, включително аторвастатин, се извършва посредством ОАТР1В1 транспортен протеин. При пациенти със </w:t>
      </w:r>
      <w:r w:rsidRPr="00C77F9C">
        <w:rPr>
          <w:rFonts w:eastAsia="Times New Roman" w:cs="Arial"/>
          <w:color w:val="000000"/>
          <w:szCs w:val="20"/>
          <w:lang w:val="en-US"/>
        </w:rPr>
        <w:t xml:space="preserve">SLCO1B1 </w:t>
      </w:r>
      <w:r w:rsidRPr="00C77F9C">
        <w:rPr>
          <w:rFonts w:eastAsia="Times New Roman" w:cs="Arial"/>
          <w:color w:val="000000"/>
          <w:szCs w:val="20"/>
          <w:lang w:eastAsia="bg-BG"/>
        </w:rPr>
        <w:t xml:space="preserve">полиморфизъм има риск от повишена експозиция на аторвастатин, което може да доведе до повишен риск от рабдомиолиза (вж. точка 4.4). Полиморфизмът при </w:t>
      </w:r>
      <w:r w:rsidRPr="00C77F9C">
        <w:rPr>
          <w:rFonts w:eastAsia="Times New Roman" w:cs="Arial"/>
          <w:color w:val="000000"/>
          <w:szCs w:val="20"/>
          <w:lang w:eastAsia="bg-BG"/>
        </w:rPr>
        <w:lastRenderedPageBreak/>
        <w:t xml:space="preserve">гена, кодиращ ОАТР1В1 </w:t>
      </w:r>
      <w:r w:rsidRPr="00C77F9C">
        <w:rPr>
          <w:rFonts w:eastAsia="Times New Roman" w:cs="Arial"/>
          <w:color w:val="000000"/>
          <w:szCs w:val="20"/>
          <w:lang w:val="en-US"/>
        </w:rPr>
        <w:t xml:space="preserve">(SLCO1B1 </w:t>
      </w:r>
      <w:r w:rsidRPr="00C77F9C">
        <w:rPr>
          <w:rFonts w:eastAsia="Times New Roman" w:cs="Arial"/>
          <w:color w:val="000000"/>
          <w:szCs w:val="20"/>
          <w:lang w:eastAsia="bg-BG"/>
        </w:rPr>
        <w:t xml:space="preserve">с.521СС) е свързан с 2,4 пъти по-висока системна наличност на аторвастатин </w:t>
      </w:r>
      <w:r w:rsidRPr="00C77F9C">
        <w:rPr>
          <w:rFonts w:eastAsia="Times New Roman" w:cs="Arial"/>
          <w:color w:val="000000"/>
          <w:szCs w:val="20"/>
          <w:lang w:val="en-US"/>
        </w:rPr>
        <w:t xml:space="preserve">(AUC) </w:t>
      </w:r>
      <w:r w:rsidRPr="00C77F9C">
        <w:rPr>
          <w:rFonts w:eastAsia="Times New Roman" w:cs="Arial"/>
          <w:color w:val="000000"/>
          <w:szCs w:val="20"/>
          <w:lang w:eastAsia="bg-BG"/>
        </w:rPr>
        <w:t>в сравнение с индивиди без този генотипен вариант (с.521ТТ). При тези пациенти е възможно също генетично да е нарушено чернодробното захващане на аторвастатин. Възможните последствия върху ефикасността са неизвестни.</w:t>
      </w:r>
    </w:p>
    <w:p w14:paraId="1C196F2F" w14:textId="77777777" w:rsidR="000F2A8D" w:rsidRPr="000F2A8D" w:rsidRDefault="000F2A8D" w:rsidP="000F2A8D"/>
    <w:p w14:paraId="648E39DA" w14:textId="5929225B" w:rsidR="00CF77F7" w:rsidRDefault="002C50EE" w:rsidP="004A448E">
      <w:pPr>
        <w:pStyle w:val="Heading2"/>
      </w:pPr>
      <w:r>
        <w:t>5.3. Предклинични данни за безопасност</w:t>
      </w:r>
    </w:p>
    <w:p w14:paraId="1A17EC08" w14:textId="22C6A2C2" w:rsidR="00C77F9C" w:rsidRDefault="00C77F9C" w:rsidP="00C77F9C"/>
    <w:p w14:paraId="395EBAA1" w14:textId="265B0D3B" w:rsidR="00C77F9C" w:rsidRPr="00C77F9C" w:rsidRDefault="00C77F9C" w:rsidP="00C77F9C">
      <w:pPr>
        <w:rPr>
          <w:sz w:val="24"/>
        </w:rPr>
      </w:pPr>
      <w:r w:rsidRPr="00C77F9C">
        <w:rPr>
          <w:szCs w:val="20"/>
        </w:rPr>
        <w:t xml:space="preserve">Аторвастатин не е показал мутагенен или кластогенен потенциал в батерия от 4 </w:t>
      </w:r>
      <w:r w:rsidRPr="00C77F9C">
        <w:rPr>
          <w:szCs w:val="20"/>
          <w:lang w:val="en-US"/>
        </w:rPr>
        <w:t xml:space="preserve">in vitro </w:t>
      </w:r>
      <w:r w:rsidRPr="00C77F9C">
        <w:rPr>
          <w:szCs w:val="20"/>
        </w:rPr>
        <w:t xml:space="preserve">тестове и в един анализ </w:t>
      </w:r>
      <w:r w:rsidRPr="00C77F9C">
        <w:rPr>
          <w:szCs w:val="20"/>
          <w:lang w:val="en-US"/>
        </w:rPr>
        <w:t xml:space="preserve">in vivo. </w:t>
      </w:r>
      <w:r w:rsidRPr="00C77F9C">
        <w:rPr>
          <w:szCs w:val="20"/>
        </w:rPr>
        <w:t xml:space="preserve">Аторвастатин не е канцерогенен за плъхове, но при прилагане на високи дози при мишки (довели до 6-11 пъти по-високи стойности на </w:t>
      </w:r>
      <w:r w:rsidRPr="00C77F9C">
        <w:rPr>
          <w:szCs w:val="20"/>
          <w:lang w:val="en-US"/>
        </w:rPr>
        <w:t xml:space="preserve">AUC </w:t>
      </w:r>
      <w:r w:rsidRPr="00C77F9C">
        <w:rPr>
          <w:szCs w:val="20"/>
        </w:rPr>
        <w:t xml:space="preserve">(0 до 24 часа) в сравнение с тези при хора, приемали най-високата препоръчителна доза) са се появили случаи на хепатоцелуларен аденом при мъжките и хепатоцелуларен карцином при женските животни. Има данни от проучвания при животни, че </w:t>
      </w:r>
      <w:r w:rsidRPr="00C77F9C">
        <w:rPr>
          <w:szCs w:val="20"/>
          <w:lang w:val="en-US"/>
        </w:rPr>
        <w:t>HMG</w:t>
      </w:r>
      <w:r w:rsidRPr="00C77F9C">
        <w:rPr>
          <w:szCs w:val="20"/>
        </w:rPr>
        <w:t>-СоА-редуктазните инхибитори може да влияят върху развитието на ембрионите и фетусите. При плъхове, зайци и кучета аторвастатин няма ефект върху фертилитета и не е тератогенен, но при токсични за майката дози, при плъхове и зайци е наблюдавана фетална токсичност. Развитието на поколението при плъхове е забавено и постнаталното оцеляване намалено при експозиция на майката на високи дози аторвастатин. При плъхове има доказателство за преминаване на лекарството през плацентата.</w:t>
      </w:r>
      <w:r w:rsidRPr="00C77F9C">
        <w:rPr>
          <w:szCs w:val="20"/>
          <w:u w:val="single"/>
        </w:rPr>
        <w:t xml:space="preserve"> </w:t>
      </w:r>
      <w:r w:rsidRPr="00C77F9C">
        <w:rPr>
          <w:szCs w:val="20"/>
        </w:rPr>
        <w:t>При плъхове плазмените концентрации на аторвастатин са близки до тези в млякото.</w:t>
      </w:r>
      <w:r w:rsidRPr="00C77F9C">
        <w:rPr>
          <w:szCs w:val="20"/>
          <w:lang w:val="en-US"/>
        </w:rPr>
        <w:t xml:space="preserve"> </w:t>
      </w:r>
      <w:r w:rsidRPr="00C77F9C">
        <w:rPr>
          <w:szCs w:val="20"/>
        </w:rPr>
        <w:t>Не е известно дали аторвастатин и неговите метаболити се екскретират в кърмата.</w:t>
      </w:r>
    </w:p>
    <w:p w14:paraId="6A7820AB" w14:textId="0E17555F" w:rsidR="008A6AF2" w:rsidRDefault="002C50EE" w:rsidP="00395555">
      <w:pPr>
        <w:pStyle w:val="Heading1"/>
      </w:pPr>
      <w:r>
        <w:t>7. ПРИТЕЖАТЕЛ НА РАЗРЕШЕНИЕТО ЗА УПОТРЕБА</w:t>
      </w:r>
    </w:p>
    <w:p w14:paraId="3032D52F" w14:textId="29294457" w:rsidR="00C77F9C" w:rsidRDefault="00C77F9C" w:rsidP="00C77F9C"/>
    <w:p w14:paraId="2F2F9666" w14:textId="7D929B86" w:rsidR="00C77F9C" w:rsidRPr="00C77F9C" w:rsidRDefault="00C77F9C" w:rsidP="00C77F9C">
      <w:pPr>
        <w:rPr>
          <w:rFonts w:cs="Arial"/>
        </w:rPr>
      </w:pPr>
      <w:r w:rsidRPr="00C77F9C">
        <w:rPr>
          <w:rFonts w:cs="Arial"/>
        </w:rPr>
        <w:t xml:space="preserve">KRKA, d.d., Novo mesto, </w:t>
      </w:r>
      <w:r w:rsidRPr="00C77F9C">
        <w:rPr>
          <w:rFonts w:cs="Arial"/>
          <w:lang w:eastAsia="bg-BG"/>
        </w:rPr>
        <w:t>Šmarješka cesta</w:t>
      </w:r>
      <w:r w:rsidRPr="00C77F9C">
        <w:rPr>
          <w:rFonts w:cs="Arial"/>
        </w:rPr>
        <w:t xml:space="preserve"> 6, 8501 Novo mesto, </w:t>
      </w:r>
      <w:r w:rsidRPr="00C77F9C">
        <w:rPr>
          <w:rFonts w:cs="Arial"/>
          <w:lang w:eastAsia="bg-BG"/>
        </w:rPr>
        <w:t>Словения</w:t>
      </w:r>
    </w:p>
    <w:p w14:paraId="7BA1BA64" w14:textId="7C6567B3" w:rsidR="00CF77F7" w:rsidRDefault="002C50EE" w:rsidP="004A448E">
      <w:pPr>
        <w:pStyle w:val="Heading1"/>
      </w:pPr>
      <w:r>
        <w:t>8. НОМЕР НА РАЗРЕШЕНИЕТО ЗА УПОТРЕБА</w:t>
      </w:r>
    </w:p>
    <w:p w14:paraId="59484054" w14:textId="43D8AB8F" w:rsidR="00C77F9C" w:rsidRDefault="00C77F9C" w:rsidP="00C77F9C"/>
    <w:p w14:paraId="5AD5B944" w14:textId="10C5835B" w:rsidR="00C77F9C" w:rsidRPr="00C77F9C" w:rsidRDefault="00C77F9C" w:rsidP="00C77F9C">
      <w:pPr>
        <w:spacing w:line="240" w:lineRule="auto"/>
        <w:rPr>
          <w:rFonts w:eastAsia="Times New Roman" w:cs="Arial"/>
          <w:lang w:eastAsia="bg-BG"/>
        </w:rPr>
      </w:pPr>
      <w:proofErr w:type="spellStart"/>
      <w:r w:rsidRPr="00C77F9C">
        <w:rPr>
          <w:rFonts w:eastAsia="Times New Roman" w:cs="Arial"/>
          <w:color w:val="000000"/>
          <w:lang w:val="en-US"/>
        </w:rPr>
        <w:t>Pe</w:t>
      </w:r>
      <w:proofErr w:type="spellEnd"/>
      <w:r w:rsidRPr="00C77F9C">
        <w:rPr>
          <w:rFonts w:eastAsia="Times New Roman" w:cs="Arial"/>
          <w:color w:val="000000"/>
          <w:lang w:eastAsia="bg-BG"/>
        </w:rPr>
        <w:t>г</w:t>
      </w:r>
      <w:r w:rsidR="000B227D">
        <w:rPr>
          <w:rFonts w:eastAsia="Times New Roman" w:cs="Arial"/>
          <w:color w:val="000000"/>
          <w:lang w:val="en-US"/>
        </w:rPr>
        <w:t>.№: 2006</w:t>
      </w:r>
      <w:r w:rsidR="000B227D">
        <w:rPr>
          <w:rFonts w:eastAsia="Times New Roman" w:cs="Arial"/>
          <w:color w:val="000000"/>
        </w:rPr>
        <w:t>0228</w:t>
      </w:r>
    </w:p>
    <w:p w14:paraId="2CCB5832" w14:textId="00E6A318" w:rsidR="007C605B" w:rsidRDefault="002C50EE" w:rsidP="007C605B">
      <w:pPr>
        <w:pStyle w:val="Heading1"/>
      </w:pPr>
      <w:r>
        <w:t>9. ДАТА НА ПЪРВО РАЗРЕШАВАНЕ/ПОДНОВЯВАНЕ НА РАЗРЕШЕНИЕТО ЗА УПОТРЕБА</w:t>
      </w:r>
    </w:p>
    <w:p w14:paraId="2B0B80E0" w14:textId="735BCAD8" w:rsidR="00C77F9C" w:rsidRDefault="00C77F9C" w:rsidP="00C77F9C"/>
    <w:p w14:paraId="22A8726A" w14:textId="25E6528F" w:rsidR="00C77F9C" w:rsidRPr="00C77F9C" w:rsidRDefault="00C77F9C" w:rsidP="00C77F9C">
      <w:pPr>
        <w:spacing w:line="240" w:lineRule="auto"/>
        <w:rPr>
          <w:rFonts w:eastAsia="Times New Roman" w:cs="Arial"/>
          <w:lang w:eastAsia="bg-BG"/>
        </w:rPr>
      </w:pPr>
      <w:r w:rsidRPr="00C77F9C">
        <w:rPr>
          <w:rFonts w:eastAsia="Times New Roman" w:cs="Arial"/>
          <w:color w:val="000000"/>
          <w:lang w:eastAsia="bg-BG"/>
        </w:rPr>
        <w:t xml:space="preserve">Дата на първа регистрация: </w:t>
      </w:r>
      <w:r w:rsidR="000B227D">
        <w:rPr>
          <w:rFonts w:eastAsia="Times New Roman" w:cs="Arial"/>
          <w:color w:val="000000"/>
          <w:lang w:eastAsia="bg-BG"/>
        </w:rPr>
        <w:t>19.05.2006</w:t>
      </w:r>
      <w:bookmarkStart w:id="2" w:name="_GoBack"/>
      <w:bookmarkEnd w:id="2"/>
    </w:p>
    <w:p w14:paraId="2381B206" w14:textId="04504FD0" w:rsidR="00C77F9C" w:rsidRPr="00C77F9C" w:rsidRDefault="00C77F9C" w:rsidP="00C77F9C">
      <w:pPr>
        <w:rPr>
          <w:rFonts w:cs="Arial"/>
        </w:rPr>
      </w:pPr>
      <w:r w:rsidRPr="00C77F9C">
        <w:rPr>
          <w:rFonts w:eastAsia="Times New Roman" w:cs="Arial"/>
          <w:color w:val="000000"/>
          <w:lang w:eastAsia="bg-BG"/>
        </w:rPr>
        <w:t xml:space="preserve">Дата на последно подновяване: </w:t>
      </w:r>
      <w:r w:rsidR="000B227D">
        <w:rPr>
          <w:rFonts w:eastAsia="Times New Roman" w:cs="Arial"/>
          <w:color w:val="000000"/>
          <w:lang w:eastAsia="bg-BG"/>
        </w:rPr>
        <w:t>20.09.2011</w:t>
      </w:r>
    </w:p>
    <w:p w14:paraId="0E9D0119" w14:textId="43B70BB4" w:rsidR="002C50EE" w:rsidRDefault="002C50EE" w:rsidP="002C50EE">
      <w:pPr>
        <w:pStyle w:val="Heading1"/>
      </w:pPr>
      <w:r>
        <w:t>10. ДАТА НА АКТУАЛИЗИРАНЕ НА ТЕКСТА</w:t>
      </w:r>
    </w:p>
    <w:p w14:paraId="6048C4E4" w14:textId="62B64A20" w:rsidR="00C77F9C" w:rsidRDefault="00C77F9C" w:rsidP="00C77F9C"/>
    <w:p w14:paraId="06468BAA" w14:textId="56FA3832" w:rsidR="00C77F9C" w:rsidRPr="00C77F9C" w:rsidRDefault="00C77F9C" w:rsidP="00C77F9C">
      <w:pPr>
        <w:rPr>
          <w:rFonts w:cs="Arial"/>
        </w:rPr>
      </w:pPr>
      <w:r w:rsidRPr="00C77F9C">
        <w:rPr>
          <w:rFonts w:cs="Arial"/>
        </w:rPr>
        <w:t xml:space="preserve">Подробна информация за този лекарствен продукт е предоставена на уебсайта на Изпълнителна Агенция по Лекарствата (ИАЛ) </w:t>
      </w:r>
      <w:hyperlink r:id="rId5" w:history="1">
        <w:r w:rsidRPr="00C77F9C">
          <w:rPr>
            <w:rFonts w:cs="Arial"/>
            <w:lang w:val="en-US"/>
          </w:rPr>
          <w:t>http://www.bda.bg</w:t>
        </w:r>
      </w:hyperlink>
      <w:r w:rsidRPr="00C77F9C">
        <w:rPr>
          <w:rFonts w:cs="Arial"/>
          <w:lang w:val="en-US"/>
        </w:rPr>
        <w:t>.</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F0119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58228C8"/>
    <w:multiLevelType w:val="hybridMultilevel"/>
    <w:tmpl w:val="D066798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AD551A"/>
    <w:multiLevelType w:val="hybridMultilevel"/>
    <w:tmpl w:val="1C40189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672BD5"/>
    <w:multiLevelType w:val="hybridMultilevel"/>
    <w:tmpl w:val="455C30E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1702C"/>
    <w:multiLevelType w:val="hybridMultilevel"/>
    <w:tmpl w:val="12769F2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6"/>
  </w:num>
  <w:num w:numId="13">
    <w:abstractNumId w:val="22"/>
  </w:num>
  <w:num w:numId="14">
    <w:abstractNumId w:val="14"/>
  </w:num>
  <w:num w:numId="15">
    <w:abstractNumId w:val="32"/>
  </w:num>
  <w:num w:numId="16">
    <w:abstractNumId w:val="10"/>
  </w:num>
  <w:num w:numId="17">
    <w:abstractNumId w:val="27"/>
  </w:num>
  <w:num w:numId="18">
    <w:abstractNumId w:val="8"/>
  </w:num>
  <w:num w:numId="19">
    <w:abstractNumId w:val="29"/>
  </w:num>
  <w:num w:numId="20">
    <w:abstractNumId w:val="26"/>
  </w:num>
  <w:num w:numId="21">
    <w:abstractNumId w:val="20"/>
  </w:num>
  <w:num w:numId="22">
    <w:abstractNumId w:val="28"/>
  </w:num>
  <w:num w:numId="23">
    <w:abstractNumId w:val="21"/>
  </w:num>
  <w:num w:numId="24">
    <w:abstractNumId w:val="9"/>
  </w:num>
  <w:num w:numId="25">
    <w:abstractNumId w:val="25"/>
  </w:num>
  <w:num w:numId="26">
    <w:abstractNumId w:val="24"/>
  </w:num>
  <w:num w:numId="27">
    <w:abstractNumId w:val="34"/>
  </w:num>
  <w:num w:numId="28">
    <w:abstractNumId w:val="7"/>
  </w:num>
  <w:num w:numId="29">
    <w:abstractNumId w:val="23"/>
  </w:num>
  <w:num w:numId="30">
    <w:abstractNumId w:val="38"/>
  </w:num>
  <w:num w:numId="31">
    <w:abstractNumId w:val="6"/>
  </w:num>
  <w:num w:numId="32">
    <w:abstractNumId w:val="37"/>
  </w:num>
  <w:num w:numId="33">
    <w:abstractNumId w:val="31"/>
  </w:num>
  <w:num w:numId="34">
    <w:abstractNumId w:val="35"/>
  </w:num>
  <w:num w:numId="35">
    <w:abstractNumId w:val="19"/>
  </w:num>
  <w:num w:numId="36">
    <w:abstractNumId w:val="11"/>
  </w:num>
  <w:num w:numId="37">
    <w:abstractNumId w:val="13"/>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44391"/>
    <w:rsid w:val="000B227D"/>
    <w:rsid w:val="000F2A8D"/>
    <w:rsid w:val="00176409"/>
    <w:rsid w:val="00185A46"/>
    <w:rsid w:val="001915B6"/>
    <w:rsid w:val="001D1B23"/>
    <w:rsid w:val="002B3C38"/>
    <w:rsid w:val="002B4DBB"/>
    <w:rsid w:val="002C50EE"/>
    <w:rsid w:val="00340A0A"/>
    <w:rsid w:val="003765DC"/>
    <w:rsid w:val="00395555"/>
    <w:rsid w:val="003E3126"/>
    <w:rsid w:val="003F3F6A"/>
    <w:rsid w:val="00426E5F"/>
    <w:rsid w:val="00476267"/>
    <w:rsid w:val="004A448E"/>
    <w:rsid w:val="004D4D6B"/>
    <w:rsid w:val="004F1CE7"/>
    <w:rsid w:val="004F498A"/>
    <w:rsid w:val="00517A5B"/>
    <w:rsid w:val="00593A00"/>
    <w:rsid w:val="005A66D9"/>
    <w:rsid w:val="005C21A8"/>
    <w:rsid w:val="00605BCA"/>
    <w:rsid w:val="006158A1"/>
    <w:rsid w:val="00617B1F"/>
    <w:rsid w:val="006373F5"/>
    <w:rsid w:val="00672487"/>
    <w:rsid w:val="00672600"/>
    <w:rsid w:val="00681D4A"/>
    <w:rsid w:val="00685882"/>
    <w:rsid w:val="0075649D"/>
    <w:rsid w:val="007A3158"/>
    <w:rsid w:val="007C605B"/>
    <w:rsid w:val="007F0078"/>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77F9C"/>
    <w:rsid w:val="00C809A7"/>
    <w:rsid w:val="00C83063"/>
    <w:rsid w:val="00C87E90"/>
    <w:rsid w:val="00CA1B57"/>
    <w:rsid w:val="00CC1FA8"/>
    <w:rsid w:val="00CF6843"/>
    <w:rsid w:val="00CF77F7"/>
    <w:rsid w:val="00D819AC"/>
    <w:rsid w:val="00D86297"/>
    <w:rsid w:val="00DD466D"/>
    <w:rsid w:val="00E12429"/>
    <w:rsid w:val="00E84751"/>
    <w:rsid w:val="00EB6364"/>
    <w:rsid w:val="00F37B64"/>
    <w:rsid w:val="00F673C9"/>
    <w:rsid w:val="00F73289"/>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9409</Words>
  <Characters>53634</Characters>
  <Application>Microsoft Office Word</Application>
  <DocSecurity>0</DocSecurity>
  <Lines>446</Lines>
  <Paragraphs>125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2022-06-06T15:39:00Z</dcterms:created>
  <dcterms:modified xsi:type="dcterms:W3CDTF">2022-06-06T15:39:00Z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