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217A2214" w14:textId="77777777" w:rsidR="00FF02DA" w:rsidRPr="00FF02DA" w:rsidRDefault="00FF02DA" w:rsidP="00FF02DA">
      <w:pPr>
        <w:spacing w:line="240" w:lineRule="auto"/>
        <w:rPr>
          <w:rFonts w:eastAsia="Times New Roman" w:cs="Arial"/>
          <w:sz w:val="28"/>
          <w:szCs w:val="24"/>
          <w:lang w:val="en-US" w:eastAsia="bg-BG"/>
        </w:rPr>
      </w:pPr>
      <w:r w:rsidRPr="00FF02DA">
        <w:rPr>
          <w:rFonts w:eastAsia="Times New Roman" w:cs="Arial"/>
          <w:color w:val="000000"/>
          <w:szCs w:val="20"/>
          <w:lang w:eastAsia="bg-BG"/>
        </w:rPr>
        <w:t xml:space="preserve">Аторвастатин Екофарм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филмирани таблетки</w:t>
      </w:r>
    </w:p>
    <w:p w14:paraId="657A1D99" w14:textId="77777777" w:rsidR="00FF02DA" w:rsidRPr="00FF02DA" w:rsidRDefault="00FF02DA" w:rsidP="00FF02DA">
      <w:pPr>
        <w:spacing w:line="240" w:lineRule="auto"/>
        <w:rPr>
          <w:rFonts w:eastAsia="Times New Roman" w:cs="Arial"/>
          <w:sz w:val="28"/>
          <w:szCs w:val="24"/>
          <w:lang w:val="en-US" w:eastAsia="bg-BG"/>
        </w:rPr>
      </w:pPr>
      <w:r w:rsidRPr="00FF02DA">
        <w:rPr>
          <w:rFonts w:eastAsia="Times New Roman" w:cs="Arial"/>
          <w:color w:val="000000"/>
          <w:szCs w:val="20"/>
          <w:lang w:val="en-US"/>
        </w:rPr>
        <w:t xml:space="preserve">Atorvastatin Ecopharm </w:t>
      </w:r>
      <w:r w:rsidRPr="00FF02DA">
        <w:rPr>
          <w:rFonts w:eastAsia="Times New Roman" w:cs="Arial"/>
          <w:color w:val="000000"/>
          <w:szCs w:val="20"/>
          <w:lang w:eastAsia="bg-BG"/>
        </w:rPr>
        <w:t xml:space="preserve">10 </w:t>
      </w:r>
      <w:r w:rsidRPr="00FF02DA">
        <w:rPr>
          <w:rFonts w:eastAsia="Times New Roman" w:cs="Arial"/>
          <w:color w:val="000000"/>
          <w:szCs w:val="20"/>
          <w:lang w:val="en-US"/>
        </w:rPr>
        <w:t>mg film-coated tablets</w:t>
      </w:r>
    </w:p>
    <w:p w14:paraId="2E3671D7" w14:textId="77777777" w:rsidR="00FF02DA" w:rsidRPr="00FF02DA" w:rsidRDefault="00FF02DA" w:rsidP="00FF02DA">
      <w:pPr>
        <w:spacing w:line="240" w:lineRule="auto"/>
        <w:rPr>
          <w:rFonts w:eastAsia="Times New Roman" w:cs="Arial"/>
          <w:color w:val="000000"/>
          <w:szCs w:val="20"/>
          <w:lang w:eastAsia="bg-BG"/>
        </w:rPr>
      </w:pPr>
    </w:p>
    <w:p w14:paraId="18CE699A" w14:textId="7A3068EE" w:rsidR="00FF02DA" w:rsidRPr="00FF02DA" w:rsidRDefault="00FF02DA" w:rsidP="00FF02DA">
      <w:pPr>
        <w:spacing w:line="240" w:lineRule="auto"/>
        <w:rPr>
          <w:rFonts w:eastAsia="Times New Roman" w:cs="Arial"/>
          <w:sz w:val="28"/>
          <w:szCs w:val="24"/>
          <w:lang w:val="en-US" w:eastAsia="bg-BG"/>
        </w:rPr>
      </w:pPr>
      <w:r w:rsidRPr="00FF02DA">
        <w:rPr>
          <w:rFonts w:eastAsia="Times New Roman" w:cs="Arial"/>
          <w:color w:val="000000"/>
          <w:szCs w:val="20"/>
          <w:lang w:eastAsia="bg-BG"/>
        </w:rPr>
        <w:t xml:space="preserve">Аторвастатин Екофарм </w:t>
      </w:r>
      <w:r w:rsidRPr="00FF02DA">
        <w:rPr>
          <w:rFonts w:eastAsia="Times New Roman" w:cs="Arial"/>
          <w:color w:val="000000"/>
          <w:szCs w:val="20"/>
          <w:lang w:val="en-US"/>
        </w:rPr>
        <w:t xml:space="preserve">20 mg </w:t>
      </w:r>
      <w:r w:rsidRPr="00FF02DA">
        <w:rPr>
          <w:rFonts w:eastAsia="Times New Roman" w:cs="Arial"/>
          <w:color w:val="000000"/>
          <w:szCs w:val="20"/>
          <w:lang w:eastAsia="bg-BG"/>
        </w:rPr>
        <w:t>филмирани таблетки</w:t>
      </w:r>
    </w:p>
    <w:p w14:paraId="5015A1FD" w14:textId="41B5E574" w:rsidR="00A73575" w:rsidRPr="00FF02DA" w:rsidRDefault="00FF02DA" w:rsidP="00FF02DA">
      <w:pPr>
        <w:rPr>
          <w:rFonts w:cs="Arial"/>
          <w:sz w:val="24"/>
        </w:rPr>
      </w:pPr>
      <w:r w:rsidRPr="00FF02DA">
        <w:rPr>
          <w:rFonts w:eastAsia="Times New Roman" w:cs="Arial"/>
          <w:color w:val="000000"/>
          <w:szCs w:val="20"/>
          <w:lang w:val="en-US"/>
        </w:rPr>
        <w:t>Atorvastatin Ecopharm 20 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5F4374E4"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Всяка филмирана таблетка Аторвастатин Екофарм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съдържа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аторвастатин </w:t>
      </w:r>
      <w:r w:rsidRPr="00FF02DA">
        <w:rPr>
          <w:rFonts w:eastAsia="Times New Roman" w:cs="Arial"/>
          <w:i/>
          <w:iCs/>
          <w:color w:val="000000"/>
          <w:szCs w:val="20"/>
          <w:lang w:val="en-US"/>
        </w:rPr>
        <w:t>(atorvastatin)</w:t>
      </w:r>
      <w:r w:rsidRPr="00FF02DA">
        <w:rPr>
          <w:rFonts w:eastAsia="Times New Roman" w:cs="Arial"/>
          <w:color w:val="000000"/>
          <w:szCs w:val="20"/>
          <w:lang w:val="en-US"/>
        </w:rPr>
        <w:t xml:space="preserve"> </w:t>
      </w:r>
      <w:r w:rsidRPr="00FF02DA">
        <w:rPr>
          <w:rFonts w:eastAsia="Times New Roman" w:cs="Arial"/>
          <w:color w:val="000000"/>
          <w:szCs w:val="20"/>
          <w:lang w:eastAsia="bg-BG"/>
        </w:rPr>
        <w:t xml:space="preserve">под формата на аторвастатин калций трихидрат 10,84 </w:t>
      </w:r>
      <w:r w:rsidRPr="00FF02DA">
        <w:rPr>
          <w:rFonts w:eastAsia="Times New Roman" w:cs="Arial"/>
          <w:color w:val="000000"/>
          <w:szCs w:val="20"/>
          <w:lang w:val="en-US"/>
        </w:rPr>
        <w:t xml:space="preserve">mg </w:t>
      </w:r>
      <w:r w:rsidRPr="00FF02DA">
        <w:rPr>
          <w:rFonts w:eastAsia="Times New Roman" w:cs="Arial"/>
          <w:i/>
          <w:iCs/>
          <w:color w:val="000000"/>
          <w:szCs w:val="20"/>
          <w:lang w:val="en-US"/>
        </w:rPr>
        <w:t>(atorvastatin calcium trihydrate).</w:t>
      </w:r>
    </w:p>
    <w:p w14:paraId="28B04D6B" w14:textId="77777777" w:rsidR="00FF02DA" w:rsidRPr="00FF02DA" w:rsidRDefault="00FF02DA" w:rsidP="00FF02DA">
      <w:pPr>
        <w:spacing w:line="240" w:lineRule="auto"/>
        <w:rPr>
          <w:rFonts w:eastAsia="Times New Roman" w:cs="Arial"/>
          <w:color w:val="000000"/>
          <w:szCs w:val="20"/>
          <w:lang w:eastAsia="bg-BG"/>
        </w:rPr>
      </w:pPr>
    </w:p>
    <w:p w14:paraId="39E82A04" w14:textId="6F12360C"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Всяка филмирана таблетка Аторвастатин Екофарм 20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съдържа 20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аторвастатин </w:t>
      </w:r>
      <w:r w:rsidRPr="00FF02DA">
        <w:rPr>
          <w:rFonts w:eastAsia="Times New Roman" w:cs="Arial"/>
          <w:i/>
          <w:iCs/>
          <w:color w:val="000000"/>
          <w:szCs w:val="20"/>
          <w:lang w:val="en-US"/>
        </w:rPr>
        <w:t>(atorvastatin)</w:t>
      </w:r>
      <w:r w:rsidRPr="00FF02DA">
        <w:rPr>
          <w:rFonts w:eastAsia="Times New Roman" w:cs="Arial"/>
          <w:color w:val="000000"/>
          <w:szCs w:val="20"/>
          <w:lang w:val="en-US"/>
        </w:rPr>
        <w:t xml:space="preserve"> </w:t>
      </w:r>
      <w:r w:rsidRPr="00FF02DA">
        <w:rPr>
          <w:rFonts w:eastAsia="Times New Roman" w:cs="Arial"/>
          <w:color w:val="000000"/>
          <w:szCs w:val="20"/>
          <w:lang w:eastAsia="bg-BG"/>
        </w:rPr>
        <w:t xml:space="preserve">под формата на аторвастатин калций трихидрат 21,68 </w:t>
      </w:r>
      <w:r w:rsidRPr="00FF02DA">
        <w:rPr>
          <w:rFonts w:eastAsia="Times New Roman" w:cs="Arial"/>
          <w:color w:val="000000"/>
          <w:szCs w:val="20"/>
          <w:lang w:val="en-US"/>
        </w:rPr>
        <w:t xml:space="preserve">mg </w:t>
      </w:r>
      <w:r w:rsidRPr="00FF02DA">
        <w:rPr>
          <w:rFonts w:eastAsia="Times New Roman" w:cs="Arial"/>
          <w:i/>
          <w:iCs/>
          <w:color w:val="000000"/>
          <w:szCs w:val="20"/>
          <w:lang w:val="en-US"/>
        </w:rPr>
        <w:t>(atorvastatin calcium trihydrate).</w:t>
      </w:r>
    </w:p>
    <w:p w14:paraId="2152584D" w14:textId="77777777" w:rsidR="00FF02DA" w:rsidRPr="00FF02DA" w:rsidRDefault="00FF02DA" w:rsidP="00FF02DA">
      <w:pPr>
        <w:spacing w:line="240" w:lineRule="auto"/>
        <w:rPr>
          <w:rFonts w:eastAsia="Times New Roman" w:cs="Arial"/>
          <w:color w:val="000000"/>
          <w:szCs w:val="20"/>
          <w:lang w:eastAsia="bg-BG"/>
        </w:rPr>
      </w:pPr>
    </w:p>
    <w:p w14:paraId="1AA0B778" w14:textId="24AD2432"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Помощно вещество с известно действие: всяка филмирана таблета Аторвастатин Екофарм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съдържа 32,81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лактоза монохидрат. Всяка филмирана таблетка Аторвастатин Екофарм 20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съдържа 65,62 </w:t>
      </w:r>
      <w:r w:rsidRPr="00FF02DA">
        <w:rPr>
          <w:rFonts w:eastAsia="Times New Roman" w:cs="Arial"/>
          <w:color w:val="000000"/>
          <w:szCs w:val="20"/>
          <w:lang w:val="en-US"/>
        </w:rPr>
        <w:t xml:space="preserve">mg </w:t>
      </w:r>
      <w:r w:rsidRPr="00FF02DA">
        <w:rPr>
          <w:rFonts w:eastAsia="Times New Roman" w:cs="Arial"/>
          <w:color w:val="000000"/>
          <w:szCs w:val="20"/>
          <w:lang w:eastAsia="bg-BG"/>
        </w:rPr>
        <w:t>лактоза монохидрат.</w:t>
      </w:r>
    </w:p>
    <w:p w14:paraId="4A57C854" w14:textId="77777777" w:rsidR="00FF02DA" w:rsidRPr="00FF02DA" w:rsidRDefault="00FF02DA" w:rsidP="00FF02DA">
      <w:pPr>
        <w:rPr>
          <w:rFonts w:eastAsia="Times New Roman" w:cs="Arial"/>
          <w:color w:val="000000"/>
          <w:szCs w:val="20"/>
          <w:lang w:eastAsia="bg-BG"/>
        </w:rPr>
      </w:pPr>
    </w:p>
    <w:p w14:paraId="03110A50" w14:textId="3E22710D" w:rsidR="0091385D" w:rsidRPr="00FF02DA" w:rsidRDefault="00FF02DA" w:rsidP="00FF02DA">
      <w:pPr>
        <w:rPr>
          <w:rFonts w:cs="Arial"/>
          <w:sz w:val="24"/>
        </w:rPr>
      </w:pPr>
      <w:r w:rsidRPr="00FF02DA">
        <w:rPr>
          <w:rFonts w:eastAsia="Times New Roman" w:cs="Arial"/>
          <w:color w:val="000000"/>
          <w:szCs w:val="2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38F8CC29"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Филмирана таблетка</w:t>
      </w:r>
    </w:p>
    <w:p w14:paraId="2FB09C52" w14:textId="77777777" w:rsidR="00FF02DA" w:rsidRPr="00FF02DA" w:rsidRDefault="00FF02DA" w:rsidP="00FF02DA">
      <w:pPr>
        <w:spacing w:line="240" w:lineRule="auto"/>
        <w:rPr>
          <w:rFonts w:eastAsia="Times New Roman" w:cs="Arial"/>
          <w:color w:val="000000"/>
          <w:szCs w:val="20"/>
          <w:lang w:eastAsia="bg-BG"/>
        </w:rPr>
      </w:pPr>
    </w:p>
    <w:p w14:paraId="3BBD0335" w14:textId="0B1B419B"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Аторвастатин Екофарм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 бели до почти бели, елипсовидни, двойноизпъкнали филмирани таблетки с делител на черта от двете страни на таблетката и печатно означение </w:t>
      </w:r>
      <w:r w:rsidRPr="00FF02DA">
        <w:rPr>
          <w:rFonts w:eastAsia="Times New Roman" w:cs="Arial"/>
          <w:color w:val="000000"/>
          <w:szCs w:val="20"/>
          <w:lang w:val="en-US"/>
        </w:rPr>
        <w:t xml:space="preserve">“D” </w:t>
      </w:r>
      <w:r w:rsidRPr="00FF02DA">
        <w:rPr>
          <w:rFonts w:eastAsia="Times New Roman" w:cs="Arial"/>
          <w:color w:val="000000"/>
          <w:szCs w:val="20"/>
          <w:lang w:eastAsia="bg-BG"/>
        </w:rPr>
        <w:t>от двете страни на делителната черта на едната страна на таблетката.</w:t>
      </w:r>
    </w:p>
    <w:p w14:paraId="5D30D893"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Аторвастатин Екофарм 20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бели до почти бели, елипсовидни, двойноизпъкнали филмирани таблетки с делителна черта от двете страни на таблетката и печатно означение “С” от двете страни на делителната черта на едната страна на таблетката.</w:t>
      </w:r>
    </w:p>
    <w:p w14:paraId="633BB41B" w14:textId="77777777" w:rsidR="00FF02DA" w:rsidRPr="00FF02DA" w:rsidRDefault="00FF02DA" w:rsidP="00FF02DA">
      <w:pPr>
        <w:rPr>
          <w:rFonts w:eastAsia="Times New Roman" w:cs="Arial"/>
          <w:color w:val="000000"/>
          <w:szCs w:val="20"/>
          <w:lang w:eastAsia="bg-BG"/>
        </w:rPr>
      </w:pPr>
    </w:p>
    <w:p w14:paraId="4129ADBB" w14:textId="2569B46E" w:rsidR="0091385D" w:rsidRPr="00FF02DA" w:rsidRDefault="00FF02DA" w:rsidP="00FF02DA">
      <w:pPr>
        <w:rPr>
          <w:rFonts w:cs="Arial"/>
          <w:sz w:val="24"/>
        </w:rPr>
      </w:pPr>
      <w:r w:rsidRPr="00FF02DA">
        <w:rPr>
          <w:rFonts w:eastAsia="Times New Roman" w:cs="Arial"/>
          <w:color w:val="000000"/>
          <w:szCs w:val="20"/>
          <w:lang w:eastAsia="bg-BG"/>
        </w:rPr>
        <w:t>Таблетката може да бъде разделена на две равни дози.</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lastRenderedPageBreak/>
        <w:t>4.1. Терапевтични показания</w:t>
      </w:r>
    </w:p>
    <w:p w14:paraId="174D169F" w14:textId="0369962D" w:rsidR="0091385D" w:rsidRDefault="0091385D" w:rsidP="0091385D"/>
    <w:p w14:paraId="3523CB5F"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Хиперхолестеролемия</w:t>
      </w:r>
    </w:p>
    <w:p w14:paraId="18B6C6C6" w14:textId="77777777" w:rsidR="00FF02DA" w:rsidRPr="00FF02DA" w:rsidRDefault="00FF02DA" w:rsidP="00FF02DA">
      <w:pPr>
        <w:rPr>
          <w:rFonts w:eastAsia="Times New Roman" w:cs="Arial"/>
          <w:sz w:val="28"/>
          <w:szCs w:val="24"/>
          <w:lang w:eastAsia="bg-BG"/>
        </w:rPr>
      </w:pPr>
      <w:r w:rsidRPr="00FF02DA">
        <w:rPr>
          <w:rFonts w:eastAsia="Times New Roman" w:cs="Arial"/>
          <w:color w:val="000000"/>
          <w:szCs w:val="20"/>
          <w:lang w:eastAsia="bg-BG"/>
        </w:rPr>
        <w:t xml:space="preserve">Аторвастатин се използва като допълнение към диетата, целяща понижаване нивото на общия холестерол, </w:t>
      </w:r>
      <w:r w:rsidRPr="00FF02DA">
        <w:rPr>
          <w:rFonts w:eastAsia="Times New Roman" w:cs="Arial"/>
          <w:color w:val="000000"/>
          <w:szCs w:val="20"/>
          <w:lang w:val="en-US"/>
        </w:rPr>
        <w:t>LDL</w:t>
      </w:r>
      <w:r w:rsidRPr="00FF02DA">
        <w:rPr>
          <w:rFonts w:eastAsia="Times New Roman" w:cs="Arial"/>
          <w:color w:val="000000"/>
          <w:szCs w:val="20"/>
          <w:lang w:eastAsia="bg-BG"/>
        </w:rPr>
        <w:t>-холестерол, аполипопротеин В и триглицериди при възрастни, подрастващи и деца над 10-годишна възраст с първична хиперхолестеролемия, включително фамилна</w:t>
      </w:r>
      <w:r w:rsidRPr="00FF02DA">
        <w:rPr>
          <w:rFonts w:eastAsia="Times New Roman" w:cs="Arial"/>
          <w:i/>
          <w:iCs/>
          <w:color w:val="000000"/>
          <w:szCs w:val="20"/>
          <w:lang w:eastAsia="bg-BG"/>
        </w:rPr>
        <w:t xml:space="preserve"> </w:t>
      </w:r>
      <w:r w:rsidRPr="00FF02DA">
        <w:rPr>
          <w:rFonts w:eastAsia="Times New Roman" w:cs="Arial"/>
          <w:color w:val="000000"/>
          <w:szCs w:val="20"/>
          <w:lang w:eastAsia="bg-BG"/>
        </w:rPr>
        <w:t xml:space="preserve">хиперхолестеролемия (хетерозиготен вариант) или комбинирана (смесена) хиперлипидемия (съответстваща на тип Па и 116 по класификацията на </w:t>
      </w:r>
      <w:r w:rsidRPr="00FF02DA">
        <w:rPr>
          <w:rFonts w:eastAsia="Times New Roman" w:cs="Arial"/>
          <w:i/>
          <w:iCs/>
          <w:color w:val="000000"/>
          <w:szCs w:val="20"/>
          <w:lang w:val="en-US"/>
        </w:rPr>
        <w:t>Frederickson),</w:t>
      </w:r>
      <w:r w:rsidRPr="00FF02DA">
        <w:rPr>
          <w:rFonts w:eastAsia="Times New Roman" w:cs="Arial"/>
          <w:color w:val="000000"/>
          <w:szCs w:val="20"/>
          <w:lang w:val="en-US"/>
        </w:rPr>
        <w:t xml:space="preserve"> </w:t>
      </w:r>
      <w:r w:rsidRPr="00FF02DA">
        <w:rPr>
          <w:rFonts w:eastAsia="Times New Roman" w:cs="Arial"/>
          <w:color w:val="000000"/>
          <w:szCs w:val="20"/>
          <w:lang w:eastAsia="bg-BG"/>
        </w:rPr>
        <w:t>когато резултатът от работата</w:t>
      </w:r>
      <w:r w:rsidRPr="00FF02DA">
        <w:rPr>
          <w:rFonts w:eastAsia="Times New Roman" w:cs="Arial"/>
          <w:color w:val="000000"/>
          <w:szCs w:val="20"/>
          <w:lang w:val="en-US" w:eastAsia="bg-BG"/>
        </w:rPr>
        <w:t xml:space="preserve"> </w:t>
      </w:r>
      <w:r w:rsidRPr="00FF02DA">
        <w:rPr>
          <w:rFonts w:eastAsia="Times New Roman" w:cs="Arial"/>
          <w:color w:val="000000"/>
          <w:szCs w:val="20"/>
          <w:lang w:eastAsia="bg-BG"/>
        </w:rPr>
        <w:t>или други нефармакологични мерки са недостатъчни.</w:t>
      </w:r>
    </w:p>
    <w:p w14:paraId="474CE031" w14:textId="77777777" w:rsidR="00FF02DA" w:rsidRPr="00FF02DA" w:rsidRDefault="00FF02DA" w:rsidP="00FF02DA">
      <w:pPr>
        <w:spacing w:line="240" w:lineRule="auto"/>
        <w:rPr>
          <w:rFonts w:eastAsia="Times New Roman" w:cs="Arial"/>
          <w:color w:val="000000"/>
          <w:szCs w:val="20"/>
          <w:lang w:eastAsia="bg-BG"/>
        </w:rPr>
      </w:pPr>
    </w:p>
    <w:p w14:paraId="36F469F4" w14:textId="5AB75BE2"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Аторвастатин също така е показан за намаляване на общия холестерол и </w:t>
      </w:r>
      <w:r w:rsidRPr="00FF02DA">
        <w:rPr>
          <w:rFonts w:eastAsia="Times New Roman" w:cs="Arial"/>
          <w:color w:val="000000"/>
          <w:szCs w:val="20"/>
          <w:lang w:val="en-US"/>
        </w:rPr>
        <w:t>LDL</w:t>
      </w:r>
      <w:r w:rsidRPr="00FF02DA">
        <w:rPr>
          <w:rFonts w:eastAsia="Times New Roman" w:cs="Arial"/>
          <w:color w:val="000000"/>
          <w:szCs w:val="20"/>
          <w:lang w:eastAsia="bg-BG"/>
        </w:rPr>
        <w:t xml:space="preserve">-холестерола при пациенти с хомозиготна фамилна хиперхолестеролемия като допълнение към друго липидопонижаващо лечение (напр. </w:t>
      </w:r>
      <w:r w:rsidRPr="00FF02DA">
        <w:rPr>
          <w:rFonts w:eastAsia="Times New Roman" w:cs="Arial"/>
          <w:color w:val="000000"/>
          <w:szCs w:val="20"/>
          <w:lang w:val="en-US"/>
        </w:rPr>
        <w:t>LDL</w:t>
      </w:r>
      <w:r w:rsidRPr="00FF02DA">
        <w:rPr>
          <w:rFonts w:eastAsia="Times New Roman" w:cs="Arial"/>
          <w:color w:val="000000"/>
          <w:szCs w:val="20"/>
          <w:lang w:eastAsia="bg-BG"/>
        </w:rPr>
        <w:t>-афереза) или ако няма възможност за такова лечение.</w:t>
      </w:r>
    </w:p>
    <w:p w14:paraId="4D7D1240" w14:textId="77777777" w:rsidR="00FF02DA" w:rsidRPr="00FF02DA" w:rsidRDefault="00FF02DA" w:rsidP="00FF02DA">
      <w:pPr>
        <w:spacing w:line="240" w:lineRule="auto"/>
        <w:rPr>
          <w:rFonts w:eastAsia="Times New Roman" w:cs="Arial"/>
          <w:color w:val="000000"/>
          <w:szCs w:val="20"/>
          <w:u w:val="single"/>
          <w:lang w:eastAsia="bg-BG"/>
        </w:rPr>
      </w:pPr>
    </w:p>
    <w:p w14:paraId="59918F2E" w14:textId="6B4191A3"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Профилактика на сърдечно-съдови заболявания</w:t>
      </w:r>
    </w:p>
    <w:p w14:paraId="04B2E99C" w14:textId="402EB3E0" w:rsidR="0091385D" w:rsidRPr="00FF02DA" w:rsidRDefault="00FF02DA" w:rsidP="00FF02DA">
      <w:pPr>
        <w:rPr>
          <w:rFonts w:cs="Arial"/>
          <w:sz w:val="24"/>
          <w:lang w:val="en-US"/>
        </w:rPr>
      </w:pPr>
      <w:r w:rsidRPr="00FF02DA">
        <w:rPr>
          <w:rFonts w:eastAsia="Times New Roman" w:cs="Arial"/>
          <w:color w:val="000000"/>
          <w:szCs w:val="20"/>
          <w:lang w:eastAsia="bg-BG"/>
        </w:rPr>
        <w:t>За профилактика на сърдечно-съдови инциденти при пациенти, подложени на висок риск от развитие на първи сърдечно-съдов инцидент (вж. точка 5.1), като допълнение към корекцията на други рискови фактори.</w:t>
      </w:r>
    </w:p>
    <w:p w14:paraId="7814DA3C" w14:textId="53053000" w:rsidR="00FF02DA" w:rsidRPr="0091385D" w:rsidRDefault="00FF02DA"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29722D48" w14:textId="77777777" w:rsidR="00FF02DA" w:rsidRPr="00FF02DA" w:rsidRDefault="00FF02DA" w:rsidP="00FF02DA">
      <w:pPr>
        <w:pStyle w:val="Heading3"/>
        <w:rPr>
          <w:rFonts w:eastAsia="Times New Roman"/>
          <w:sz w:val="28"/>
          <w:u w:val="single"/>
          <w:lang w:eastAsia="bg-BG"/>
        </w:rPr>
      </w:pPr>
      <w:r w:rsidRPr="00FF02DA">
        <w:rPr>
          <w:rFonts w:eastAsia="Times New Roman"/>
          <w:u w:val="single"/>
          <w:lang w:eastAsia="bg-BG"/>
        </w:rPr>
        <w:t>Дозировка</w:t>
      </w:r>
    </w:p>
    <w:p w14:paraId="1C3FF1E9"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Преди началото на лечение с аторвастатин пациентът трябва да бъде поставен на стандартна понижаваща холестерола диета, която той трябва да продължи да спазва и по време на лечението. Дозите трябва да се определят индивидуално в зависимост от изходните нива на </w:t>
      </w:r>
      <w:r w:rsidRPr="00FF02DA">
        <w:rPr>
          <w:rFonts w:eastAsia="Times New Roman" w:cs="Arial"/>
          <w:color w:val="000000"/>
          <w:szCs w:val="20"/>
          <w:lang w:val="en-US"/>
        </w:rPr>
        <w:t>LDL</w:t>
      </w:r>
      <w:r w:rsidRPr="00FF02DA">
        <w:rPr>
          <w:rFonts w:eastAsia="Times New Roman" w:cs="Arial"/>
          <w:color w:val="000000"/>
          <w:szCs w:val="20"/>
          <w:lang w:eastAsia="bg-BG"/>
        </w:rPr>
        <w:t>-холестерол, целите на терапията и клиничния отговор на пациента.</w:t>
      </w:r>
    </w:p>
    <w:p w14:paraId="5C302773"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Обичайната начална доза е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веднъж дневно. Корекция на дозата се извършва през интервали от 4 или повече седмици. Максималната доза е 80 </w:t>
      </w:r>
      <w:r w:rsidRPr="00FF02DA">
        <w:rPr>
          <w:rFonts w:eastAsia="Times New Roman" w:cs="Arial"/>
          <w:color w:val="000000"/>
          <w:szCs w:val="20"/>
          <w:lang w:val="en-US"/>
        </w:rPr>
        <w:t xml:space="preserve">mg </w:t>
      </w:r>
      <w:r w:rsidRPr="00FF02DA">
        <w:rPr>
          <w:rFonts w:eastAsia="Times New Roman" w:cs="Arial"/>
          <w:color w:val="000000"/>
          <w:szCs w:val="20"/>
          <w:lang w:eastAsia="bg-BG"/>
        </w:rPr>
        <w:t>веднъж дневно.</w:t>
      </w:r>
    </w:p>
    <w:p w14:paraId="4C3D0DAA" w14:textId="77777777" w:rsidR="00FF02DA" w:rsidRPr="00FF02DA" w:rsidRDefault="00FF02DA" w:rsidP="00FF02DA">
      <w:pPr>
        <w:spacing w:line="240" w:lineRule="auto"/>
        <w:rPr>
          <w:rFonts w:eastAsia="Times New Roman" w:cs="Arial"/>
          <w:i/>
          <w:iCs/>
          <w:color w:val="000000"/>
          <w:szCs w:val="20"/>
          <w:u w:val="single"/>
          <w:lang w:eastAsia="bg-BG"/>
        </w:rPr>
      </w:pPr>
    </w:p>
    <w:p w14:paraId="3E663C45" w14:textId="76F265EC"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Първична хиперхолестеролемия и комбинирана (смесена) хиперлипидемия</w:t>
      </w:r>
    </w:p>
    <w:p w14:paraId="73230692"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Повечето пациенти се повлияват успешно от доза от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аторвастатин веднъж дневно.</w:t>
      </w:r>
    </w:p>
    <w:p w14:paraId="21BFF146"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Терапевтичен ефект се наблюдава до 2 седмици от началото на лечението, а максималният терапевтичен ефект се постига обикновено след 4 седмици. Ефектът се запазва по време на продължително лечение.</w:t>
      </w:r>
    </w:p>
    <w:p w14:paraId="0106A4F1" w14:textId="77777777" w:rsidR="00FF02DA" w:rsidRPr="00FF02DA" w:rsidRDefault="00FF02DA" w:rsidP="00FF02DA">
      <w:pPr>
        <w:spacing w:line="240" w:lineRule="auto"/>
        <w:rPr>
          <w:rFonts w:eastAsia="Times New Roman" w:cs="Arial"/>
          <w:i/>
          <w:iCs/>
          <w:color w:val="000000"/>
          <w:szCs w:val="20"/>
          <w:u w:val="single"/>
          <w:lang w:eastAsia="bg-BG"/>
        </w:rPr>
      </w:pPr>
    </w:p>
    <w:p w14:paraId="5B97C300" w14:textId="772FD4E1"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Хетерозиготна фамилна хиперхолестеролемия</w:t>
      </w:r>
    </w:p>
    <w:p w14:paraId="6820B628"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Лечението трябва да започне с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аторвастатин дневно. Дозите трябва да се преценят индивидуално и да се коригират на всеки 4 седмици до достигане на доза от 40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дневно. След това дозата може да бъде повишена до максимална дневна доза от 80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или 40 </w:t>
      </w:r>
      <w:r w:rsidRPr="00FF02DA">
        <w:rPr>
          <w:rFonts w:eastAsia="Times New Roman" w:cs="Arial"/>
          <w:color w:val="000000"/>
          <w:szCs w:val="20"/>
          <w:lang w:val="en-US"/>
        </w:rPr>
        <w:t xml:space="preserve">mg </w:t>
      </w:r>
      <w:r w:rsidRPr="00FF02DA">
        <w:rPr>
          <w:rFonts w:eastAsia="Times New Roman" w:cs="Arial"/>
          <w:color w:val="000000"/>
          <w:szCs w:val="20"/>
          <w:lang w:eastAsia="bg-BG"/>
        </w:rPr>
        <w:t>аторвастатин се комбинира със секвестрант на жлъчните киселини.</w:t>
      </w:r>
    </w:p>
    <w:p w14:paraId="636D67B1" w14:textId="77777777" w:rsidR="00FF02DA" w:rsidRPr="00FF02DA" w:rsidRDefault="00FF02DA" w:rsidP="00FF02DA">
      <w:pPr>
        <w:spacing w:line="240" w:lineRule="auto"/>
        <w:rPr>
          <w:rFonts w:eastAsia="Times New Roman" w:cs="Arial"/>
          <w:i/>
          <w:iCs/>
          <w:color w:val="000000"/>
          <w:szCs w:val="20"/>
          <w:u w:val="single"/>
          <w:lang w:eastAsia="bg-BG"/>
        </w:rPr>
      </w:pPr>
    </w:p>
    <w:p w14:paraId="49F91098" w14:textId="4D9EE2BE"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Хомозиготна фамилна хиперхолестеролемия</w:t>
      </w:r>
    </w:p>
    <w:p w14:paraId="72FE7EEB"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Налични са ограничен брой данни (вж. точка 5.1).</w:t>
      </w:r>
    </w:p>
    <w:p w14:paraId="2857E633"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Дневната доза при пациенти с хомозиготна фамилна хиперхолестеролемия е 10 - 80 </w:t>
      </w:r>
      <w:r w:rsidRPr="00FF02DA">
        <w:rPr>
          <w:rFonts w:eastAsia="Times New Roman" w:cs="Arial"/>
          <w:color w:val="000000"/>
          <w:szCs w:val="20"/>
          <w:lang w:val="en-US"/>
        </w:rPr>
        <w:t>mg</w:t>
      </w:r>
      <w:r w:rsidRPr="00FF02DA">
        <w:rPr>
          <w:rFonts w:eastAsia="Times New Roman" w:cs="Arial"/>
          <w:color w:val="000000"/>
          <w:szCs w:val="20"/>
          <w:lang w:eastAsia="bg-BG"/>
        </w:rPr>
        <w:t xml:space="preserve">/дневно (вж. точка 5.1) като допълнение към друга липидопонижаваща терапия (напр. </w:t>
      </w:r>
      <w:r w:rsidRPr="00FF02DA">
        <w:rPr>
          <w:rFonts w:eastAsia="Times New Roman" w:cs="Arial"/>
          <w:color w:val="000000"/>
          <w:szCs w:val="20"/>
          <w:lang w:val="en-US"/>
        </w:rPr>
        <w:t>LDL</w:t>
      </w:r>
      <w:r w:rsidRPr="00FF02DA">
        <w:rPr>
          <w:rFonts w:eastAsia="Times New Roman" w:cs="Arial"/>
          <w:color w:val="000000"/>
          <w:szCs w:val="20"/>
          <w:lang w:eastAsia="bg-BG"/>
        </w:rPr>
        <w:t>-афереза) или при невъзможност за прилагане на такава.</w:t>
      </w:r>
    </w:p>
    <w:p w14:paraId="2E06956B" w14:textId="77777777" w:rsidR="00FF02DA" w:rsidRPr="00FF02DA" w:rsidRDefault="00FF02DA" w:rsidP="00FF02DA">
      <w:pPr>
        <w:spacing w:line="240" w:lineRule="auto"/>
        <w:rPr>
          <w:rFonts w:eastAsia="Times New Roman" w:cs="Arial"/>
          <w:i/>
          <w:iCs/>
          <w:color w:val="000000"/>
          <w:szCs w:val="20"/>
          <w:u w:val="single"/>
          <w:lang w:eastAsia="bg-BG"/>
        </w:rPr>
      </w:pPr>
    </w:p>
    <w:p w14:paraId="4F26EA80" w14:textId="7E9ED2B6"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Профилактика на сърдечно-съдови заболявания</w:t>
      </w:r>
    </w:p>
    <w:p w14:paraId="22FEFE47"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При проучванията за първична профилактика дозата е била 10 </w:t>
      </w:r>
      <w:r w:rsidRPr="00FF02DA">
        <w:rPr>
          <w:rFonts w:eastAsia="Times New Roman" w:cs="Arial"/>
          <w:color w:val="000000"/>
          <w:szCs w:val="20"/>
          <w:lang w:val="en-US"/>
        </w:rPr>
        <w:t>mg</w:t>
      </w:r>
      <w:r w:rsidRPr="00FF02DA">
        <w:rPr>
          <w:rFonts w:eastAsia="Times New Roman" w:cs="Arial"/>
          <w:color w:val="000000"/>
          <w:szCs w:val="20"/>
          <w:lang w:eastAsia="bg-BG"/>
        </w:rPr>
        <w:t xml:space="preserve">/ден. По-високи дози могат да бъдат необходими с цел постигане на нива на </w:t>
      </w:r>
      <w:r w:rsidRPr="00FF02DA">
        <w:rPr>
          <w:rFonts w:eastAsia="Times New Roman" w:cs="Arial"/>
          <w:color w:val="000000"/>
          <w:szCs w:val="20"/>
          <w:lang w:val="en-US"/>
        </w:rPr>
        <w:t>LDL</w:t>
      </w:r>
      <w:r w:rsidRPr="00FF02DA">
        <w:rPr>
          <w:rFonts w:eastAsia="Times New Roman" w:cs="Arial"/>
          <w:color w:val="000000"/>
          <w:szCs w:val="20"/>
          <w:lang w:eastAsia="bg-BG"/>
        </w:rPr>
        <w:t>-холестерол, посочени в насоките за лечение.</w:t>
      </w:r>
    </w:p>
    <w:p w14:paraId="7B6C239A" w14:textId="77777777" w:rsidR="00FF02DA" w:rsidRPr="00FF02DA" w:rsidRDefault="00FF02DA" w:rsidP="00FF02DA">
      <w:pPr>
        <w:spacing w:line="240" w:lineRule="auto"/>
        <w:rPr>
          <w:rFonts w:eastAsia="Times New Roman" w:cs="Arial"/>
          <w:i/>
          <w:iCs/>
          <w:color w:val="000000"/>
          <w:szCs w:val="20"/>
          <w:u w:val="single"/>
          <w:lang w:eastAsia="bg-BG"/>
        </w:rPr>
      </w:pPr>
    </w:p>
    <w:p w14:paraId="2B6DB21A" w14:textId="378B709E"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Пациенти с нарушена бъбречна функция</w:t>
      </w:r>
    </w:p>
    <w:p w14:paraId="2A564DCA"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Не се налага промяна на дозата (вж. точка 4.4).</w:t>
      </w:r>
    </w:p>
    <w:p w14:paraId="6FFC27B0" w14:textId="77777777" w:rsidR="00FF02DA" w:rsidRPr="00FF02DA" w:rsidRDefault="00FF02DA" w:rsidP="00FF02DA">
      <w:pPr>
        <w:spacing w:line="240" w:lineRule="auto"/>
        <w:rPr>
          <w:rFonts w:eastAsia="Times New Roman" w:cs="Arial"/>
          <w:i/>
          <w:iCs/>
          <w:color w:val="000000"/>
          <w:szCs w:val="20"/>
          <w:u w:val="single"/>
          <w:lang w:eastAsia="bg-BG"/>
        </w:rPr>
      </w:pPr>
    </w:p>
    <w:p w14:paraId="4BF2F6A7" w14:textId="52B11EEC"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Пациенти с нарушена чернодробна функция</w:t>
      </w:r>
    </w:p>
    <w:p w14:paraId="42ED4E51"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Аторвастатин трябва да се прилага с повишено внимание при пациенти с чернодробна недостатъчност (вж. точки 4.4 и 5.2). Аторвастатин е противопоказан при пациенти с активно чернодробно заболяване (вж. точка 4.3).</w:t>
      </w:r>
      <w:bookmarkStart w:id="1" w:name="bookmark0"/>
      <w:bookmarkEnd w:id="1"/>
    </w:p>
    <w:p w14:paraId="24E2579D" w14:textId="77777777" w:rsidR="00FF02DA" w:rsidRPr="00FF02DA" w:rsidRDefault="00FF02DA" w:rsidP="00FF02DA">
      <w:pPr>
        <w:spacing w:line="240" w:lineRule="auto"/>
        <w:rPr>
          <w:rFonts w:eastAsia="Times New Roman" w:cs="Arial"/>
          <w:sz w:val="28"/>
          <w:szCs w:val="24"/>
          <w:lang w:eastAsia="bg-BG"/>
        </w:rPr>
      </w:pPr>
    </w:p>
    <w:p w14:paraId="475300EC" w14:textId="1A47E1E0" w:rsidR="0091385D" w:rsidRPr="00FF02DA" w:rsidRDefault="00FF02DA" w:rsidP="00FF02DA">
      <w:pPr>
        <w:rPr>
          <w:rFonts w:cs="Arial"/>
          <w:sz w:val="24"/>
        </w:rPr>
      </w:pPr>
      <w:r w:rsidRPr="00FF02DA">
        <w:rPr>
          <w:rFonts w:eastAsia="Times New Roman" w:cs="Arial"/>
          <w:i/>
          <w:iCs/>
          <w:color w:val="000000"/>
          <w:szCs w:val="20"/>
          <w:u w:val="single"/>
          <w:lang w:eastAsia="bg-BG"/>
        </w:rPr>
        <w:t>Пациенти в старческа възраст</w:t>
      </w:r>
    </w:p>
    <w:p w14:paraId="3A769248"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Ефикасността и безопасността при пациенти в старческа възраст са подобни на тези, които се наблюдават при общата популация.</w:t>
      </w:r>
    </w:p>
    <w:p w14:paraId="3E319A21" w14:textId="77777777" w:rsidR="00FF02DA" w:rsidRPr="00FF02DA" w:rsidRDefault="00FF02DA" w:rsidP="00FF02DA">
      <w:pPr>
        <w:spacing w:line="240" w:lineRule="auto"/>
        <w:rPr>
          <w:rFonts w:eastAsia="Times New Roman" w:cs="Arial"/>
          <w:i/>
          <w:iCs/>
          <w:color w:val="000000"/>
          <w:szCs w:val="20"/>
          <w:u w:val="single"/>
          <w:lang w:eastAsia="bg-BG"/>
        </w:rPr>
      </w:pPr>
    </w:p>
    <w:p w14:paraId="71D6A633" w14:textId="30D03297"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Педиатрична популация</w:t>
      </w:r>
    </w:p>
    <w:p w14:paraId="52B2EEC2"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lang w:eastAsia="bg-BG"/>
        </w:rPr>
        <w:t>Хиперхолестеролемия</w:t>
      </w:r>
    </w:p>
    <w:p w14:paraId="357E689C"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Прилагането на лекарствения продукт в педиатрията трябва да се извършва само от специалист с опит в лечението на детска хиперлипидемия, като пациентите трябва да бъдат проследявани редовно по отношение на напредъка на лечението.</w:t>
      </w:r>
    </w:p>
    <w:p w14:paraId="1A8E862A" w14:textId="77777777" w:rsidR="00FF02DA" w:rsidRPr="00FF02DA" w:rsidRDefault="00FF02DA" w:rsidP="00FF02DA">
      <w:pPr>
        <w:spacing w:line="240" w:lineRule="auto"/>
        <w:rPr>
          <w:rFonts w:eastAsia="Times New Roman" w:cs="Arial"/>
          <w:color w:val="000000"/>
          <w:szCs w:val="20"/>
          <w:lang w:eastAsia="bg-BG"/>
        </w:rPr>
      </w:pPr>
    </w:p>
    <w:p w14:paraId="4D80043C" w14:textId="311F5862"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При пациенти с хетерозиготна фамилна хиперхолестеролемия на възраст 10 и повече години, препоръчителната първоначална доза е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аторвастатин дневио (вж. точка 5.1). Дозата може да бъде увеличена до 80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дневно, в зависимост от отговора и поносимостта. Дозите трябва да бъдат определени индивидуално според препоръчваната цел на терапията. Коригиране на дозите трябва да се прави на интервали от 4 седмици или повече. Титрирането на дозата до 80 </w:t>
      </w:r>
      <w:r w:rsidRPr="00FF02DA">
        <w:rPr>
          <w:rFonts w:eastAsia="Times New Roman" w:cs="Arial"/>
          <w:color w:val="000000"/>
          <w:szCs w:val="20"/>
          <w:lang w:val="en-US"/>
        </w:rPr>
        <w:t xml:space="preserve">mg </w:t>
      </w:r>
      <w:r w:rsidRPr="00FF02DA">
        <w:rPr>
          <w:rFonts w:eastAsia="Times New Roman" w:cs="Arial"/>
          <w:color w:val="000000"/>
          <w:szCs w:val="20"/>
          <w:lang w:eastAsia="bg-BG"/>
        </w:rPr>
        <w:t>дневно е подкрепено с данни от проучване при възрастни и ограничени данни от клинични проучвания при деца с хетерозиготна фамилна хиперхолестеролемия (вж, точка 4.8 и 5.1).</w:t>
      </w:r>
    </w:p>
    <w:p w14:paraId="531391E0" w14:textId="77777777" w:rsidR="00FF02DA" w:rsidRPr="00FF02DA" w:rsidRDefault="00FF02DA" w:rsidP="00FF02DA">
      <w:pPr>
        <w:spacing w:line="240" w:lineRule="auto"/>
        <w:rPr>
          <w:rFonts w:eastAsia="Times New Roman" w:cs="Arial"/>
          <w:color w:val="000000"/>
          <w:szCs w:val="20"/>
          <w:lang w:eastAsia="bg-BG"/>
        </w:rPr>
      </w:pPr>
    </w:p>
    <w:p w14:paraId="432F4A4A" w14:textId="68BDC3F6"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Налични са ограничени данни от открити проучвания по отношение на безопасността и ефикасността при деца с хетерозиготна фамилна хиперхолестеролемия на възраст между 6 и 10 години. Аторвастатин не е показан за лечение на пациенти под 10-годишна възраст. Наличните към момента данни са описани в точка 4.8, 5.1 и 5.2, но не може да се направи препоръка за дозиране. Други лекарствени форми/концентрации може да са по-подходящи при тази възрастова популация.</w:t>
      </w:r>
    </w:p>
    <w:p w14:paraId="6F6BF40C" w14:textId="77777777" w:rsidR="00FF02DA" w:rsidRPr="00FF02DA" w:rsidRDefault="00FF02DA" w:rsidP="00FF02DA">
      <w:pPr>
        <w:spacing w:line="240" w:lineRule="auto"/>
        <w:rPr>
          <w:rFonts w:eastAsia="Times New Roman" w:cs="Arial"/>
          <w:i/>
          <w:iCs/>
          <w:color w:val="000000"/>
          <w:szCs w:val="20"/>
          <w:u w:val="single"/>
          <w:lang w:eastAsia="bg-BG"/>
        </w:rPr>
      </w:pPr>
    </w:p>
    <w:p w14:paraId="0841C038" w14:textId="0FF2C493"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Едновременно приложение с други лекарствени продукти</w:t>
      </w:r>
    </w:p>
    <w:p w14:paraId="5D77D4D2"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При пациенти, приемащи антивирусни средства за лечение на хепатит С като елбасвир/гразопревир или летермовир за профилактика на цитомегаловирусна инфекция, едновременно с аторвастатин, дозата на аторвастатин не трябва да превишава 20 </w:t>
      </w:r>
      <w:r w:rsidRPr="00FF02DA">
        <w:rPr>
          <w:rFonts w:eastAsia="Times New Roman" w:cs="Arial"/>
          <w:color w:val="000000"/>
          <w:szCs w:val="20"/>
          <w:lang w:val="en-US"/>
        </w:rPr>
        <w:t>mg</w:t>
      </w:r>
      <w:r w:rsidRPr="00FF02DA">
        <w:rPr>
          <w:rFonts w:eastAsia="Times New Roman" w:cs="Arial"/>
          <w:color w:val="000000"/>
          <w:szCs w:val="20"/>
          <w:lang w:eastAsia="bg-BG"/>
        </w:rPr>
        <w:t>/ден (вж. точки 4.4 и 4.5).</w:t>
      </w:r>
    </w:p>
    <w:p w14:paraId="58C8C310" w14:textId="77777777" w:rsidR="00FF02DA" w:rsidRPr="00FF02DA" w:rsidRDefault="00FF02DA" w:rsidP="00FF02DA">
      <w:pPr>
        <w:spacing w:line="240" w:lineRule="auto"/>
        <w:rPr>
          <w:rFonts w:eastAsia="Times New Roman" w:cs="Arial"/>
          <w:color w:val="000000"/>
          <w:szCs w:val="20"/>
          <w:lang w:eastAsia="bg-BG"/>
        </w:rPr>
      </w:pPr>
    </w:p>
    <w:p w14:paraId="592C6A22" w14:textId="1B7E567D"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Употребата на аторвастатин не се препоръчва при пациенти, приемащи летермовир едновременно с циклоспорин (вж. точки 4.4 и 4.5).</w:t>
      </w:r>
    </w:p>
    <w:p w14:paraId="20CF51BE" w14:textId="77777777" w:rsidR="00FF02DA" w:rsidRPr="00FF02DA" w:rsidRDefault="00FF02DA" w:rsidP="00FF02DA">
      <w:pPr>
        <w:spacing w:line="240" w:lineRule="auto"/>
        <w:rPr>
          <w:rFonts w:eastAsia="Times New Roman" w:cs="Arial"/>
          <w:color w:val="000000"/>
          <w:szCs w:val="20"/>
          <w:u w:val="single"/>
          <w:lang w:eastAsia="bg-BG"/>
        </w:rPr>
      </w:pPr>
    </w:p>
    <w:p w14:paraId="17F07F22" w14:textId="28F02BDC" w:rsidR="00FF02DA" w:rsidRPr="00FF02DA" w:rsidRDefault="00FF02DA" w:rsidP="00FF02DA">
      <w:pPr>
        <w:pStyle w:val="Heading3"/>
        <w:rPr>
          <w:rFonts w:eastAsia="Times New Roman"/>
          <w:sz w:val="28"/>
          <w:u w:val="single"/>
          <w:lang w:eastAsia="bg-BG"/>
        </w:rPr>
      </w:pPr>
      <w:r w:rsidRPr="00FF02DA">
        <w:rPr>
          <w:rFonts w:eastAsia="Times New Roman"/>
          <w:u w:val="single"/>
          <w:lang w:eastAsia="bg-BG"/>
        </w:rPr>
        <w:lastRenderedPageBreak/>
        <w:t>Начин на приложение</w:t>
      </w:r>
    </w:p>
    <w:p w14:paraId="6ACAF645" w14:textId="0049FA98" w:rsidR="0091385D" w:rsidRPr="00FF02DA" w:rsidRDefault="00FF02DA" w:rsidP="00FF02DA">
      <w:pPr>
        <w:rPr>
          <w:rFonts w:cs="Arial"/>
          <w:sz w:val="24"/>
        </w:rPr>
      </w:pPr>
      <w:r w:rsidRPr="00FF02DA">
        <w:rPr>
          <w:rFonts w:eastAsia="Times New Roman" w:cs="Arial"/>
          <w:color w:val="000000"/>
          <w:szCs w:val="20"/>
          <w:lang w:eastAsia="bg-BG"/>
        </w:rPr>
        <w:t>Аторвастатин е предназначен за перорално приложение. Съответната дневна доза трябва да се прилага наведнъж и може да бъде приемана по всяко време на деня, с или без храна.</w:t>
      </w:r>
    </w:p>
    <w:p w14:paraId="49EA1B41" w14:textId="77777777" w:rsidR="00FF02DA" w:rsidRPr="0091385D" w:rsidRDefault="00FF02DA"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3C8A5E00"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Аторвастатин е противопоказан при пациенти:</w:t>
      </w:r>
    </w:p>
    <w:p w14:paraId="086F8EC0" w14:textId="77777777" w:rsidR="00FF02DA" w:rsidRPr="00FF02DA" w:rsidRDefault="00FF02DA" w:rsidP="00FF02DA">
      <w:pPr>
        <w:pStyle w:val="ListParagraph"/>
        <w:numPr>
          <w:ilvl w:val="0"/>
          <w:numId w:val="36"/>
        </w:numPr>
        <w:spacing w:line="240" w:lineRule="auto"/>
        <w:rPr>
          <w:rFonts w:eastAsia="Times New Roman" w:cs="Arial"/>
          <w:sz w:val="28"/>
          <w:szCs w:val="24"/>
          <w:lang w:eastAsia="bg-BG"/>
        </w:rPr>
      </w:pPr>
      <w:r w:rsidRPr="00FF02DA">
        <w:rPr>
          <w:rFonts w:eastAsia="Times New Roman" w:cs="Arial"/>
          <w:color w:val="000000"/>
          <w:szCs w:val="20"/>
          <w:lang w:eastAsia="bg-BG"/>
        </w:rPr>
        <w:t>със свръхчувствителност към активното вещество или към някое от помощните вещества, изброени в точка 6.1;</w:t>
      </w:r>
    </w:p>
    <w:p w14:paraId="32DE3955" w14:textId="77777777" w:rsidR="00FF02DA" w:rsidRPr="00FF02DA" w:rsidRDefault="00FF02DA" w:rsidP="00FF02DA">
      <w:pPr>
        <w:pStyle w:val="ListParagraph"/>
        <w:numPr>
          <w:ilvl w:val="0"/>
          <w:numId w:val="36"/>
        </w:numPr>
        <w:spacing w:line="240" w:lineRule="auto"/>
        <w:rPr>
          <w:rFonts w:eastAsia="Times New Roman" w:cs="Arial"/>
          <w:sz w:val="28"/>
          <w:szCs w:val="24"/>
          <w:lang w:eastAsia="bg-BG"/>
        </w:rPr>
      </w:pPr>
      <w:r w:rsidRPr="00FF02DA">
        <w:rPr>
          <w:rFonts w:eastAsia="Times New Roman" w:cs="Arial"/>
          <w:color w:val="000000"/>
          <w:szCs w:val="20"/>
          <w:lang w:eastAsia="bg-BG"/>
        </w:rPr>
        <w:t>с активно чернодробно заболяване или неизяснено персистиращо увеличение на нивата на серумните трансаминази, надхвърлящо 3 пъти горната граница на нормата;</w:t>
      </w:r>
    </w:p>
    <w:p w14:paraId="6B4EC990" w14:textId="77777777" w:rsidR="00FF02DA" w:rsidRPr="00FF02DA" w:rsidRDefault="00FF02DA" w:rsidP="00FF02DA">
      <w:pPr>
        <w:pStyle w:val="ListParagraph"/>
        <w:numPr>
          <w:ilvl w:val="0"/>
          <w:numId w:val="36"/>
        </w:numPr>
        <w:spacing w:line="240" w:lineRule="auto"/>
        <w:rPr>
          <w:rFonts w:eastAsia="Times New Roman" w:cs="Arial"/>
          <w:sz w:val="28"/>
          <w:szCs w:val="24"/>
          <w:lang w:eastAsia="bg-BG"/>
        </w:rPr>
      </w:pPr>
      <w:r w:rsidRPr="00FF02DA">
        <w:rPr>
          <w:rFonts w:eastAsia="Times New Roman" w:cs="Arial"/>
          <w:color w:val="000000"/>
          <w:szCs w:val="20"/>
          <w:lang w:eastAsia="bg-BG"/>
        </w:rPr>
        <w:t xml:space="preserve">лекувани с антивирусните средства за лечение на хепатит С глекапревир/пибрентасвир; </w:t>
      </w:r>
    </w:p>
    <w:p w14:paraId="2309EAB0" w14:textId="561B2B09" w:rsidR="0091385D" w:rsidRPr="00FF02DA" w:rsidRDefault="00FF02DA" w:rsidP="00FF02DA">
      <w:pPr>
        <w:pStyle w:val="ListParagraph"/>
        <w:numPr>
          <w:ilvl w:val="0"/>
          <w:numId w:val="36"/>
        </w:numPr>
        <w:spacing w:line="240" w:lineRule="auto"/>
        <w:rPr>
          <w:rFonts w:eastAsia="Times New Roman" w:cs="Arial"/>
          <w:sz w:val="28"/>
          <w:szCs w:val="24"/>
          <w:lang w:eastAsia="bg-BG"/>
        </w:rPr>
      </w:pPr>
      <w:r w:rsidRPr="00FF02DA">
        <w:rPr>
          <w:rFonts w:eastAsia="Times New Roman" w:cs="Arial"/>
          <w:color w:val="000000"/>
          <w:szCs w:val="20"/>
          <w:lang w:eastAsia="bg-BG"/>
        </w:rPr>
        <w:t>по време на бременност, кърмене и при жени в детеродна възраст, неприлагащи подходящи мерки за контрацепция (вж. точка 4.6).</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387DFC7C"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Чернодробни ефекти</w:t>
      </w:r>
    </w:p>
    <w:p w14:paraId="79B875B0" w14:textId="77777777" w:rsidR="00FF02DA" w:rsidRPr="00FF02DA" w:rsidRDefault="00FF02DA" w:rsidP="00FF02DA">
      <w:pPr>
        <w:rPr>
          <w:rFonts w:eastAsia="Times New Roman" w:cs="Arial"/>
          <w:sz w:val="28"/>
          <w:szCs w:val="24"/>
          <w:lang w:eastAsia="bg-BG"/>
        </w:rPr>
      </w:pPr>
      <w:r w:rsidRPr="00FF02DA">
        <w:rPr>
          <w:rFonts w:eastAsia="Times New Roman" w:cs="Arial"/>
          <w:color w:val="000000"/>
          <w:szCs w:val="20"/>
          <w:lang w:eastAsia="bg-BG"/>
        </w:rPr>
        <w:t>Трябва да се проведат изследвания на чернодробната функция преди започване на лечението и</w:t>
      </w:r>
      <w:r w:rsidRPr="00FF02DA">
        <w:rPr>
          <w:rFonts w:eastAsia="Times New Roman" w:cs="Arial"/>
          <w:color w:val="000000"/>
          <w:szCs w:val="20"/>
          <w:vertAlign w:val="subscript"/>
          <w:lang w:eastAsia="bg-BG"/>
        </w:rPr>
        <w:t xml:space="preserve"> </w:t>
      </w:r>
      <w:r w:rsidRPr="00FF02DA">
        <w:rPr>
          <w:rFonts w:eastAsia="Times New Roman" w:cs="Arial"/>
          <w:color w:val="000000"/>
          <w:szCs w:val="20"/>
          <w:lang w:eastAsia="bg-BG"/>
        </w:rPr>
        <w:t>периодично след това. На пациенти, показващи признаци или симптоми на чернодробно</w:t>
      </w:r>
      <w:r w:rsidRPr="00FF02DA">
        <w:rPr>
          <w:rFonts w:eastAsia="Times New Roman" w:cs="Arial"/>
          <w:sz w:val="28"/>
          <w:szCs w:val="24"/>
          <w:lang w:val="en-US" w:eastAsia="bg-BG"/>
        </w:rPr>
        <w:t xml:space="preserve"> </w:t>
      </w:r>
      <w:r w:rsidRPr="00FF02DA">
        <w:rPr>
          <w:rFonts w:eastAsia="Times New Roman" w:cs="Arial"/>
          <w:color w:val="000000"/>
          <w:szCs w:val="20"/>
          <w:lang w:eastAsia="bg-BG"/>
        </w:rPr>
        <w:t>увреждане, трябва да се направят изследвания на чернодробната функция. Пациенти, с увеличени</w:t>
      </w:r>
      <w:r w:rsidRPr="00FF02DA">
        <w:rPr>
          <w:rFonts w:eastAsia="Times New Roman" w:cs="Arial"/>
          <w:color w:val="000000"/>
          <w:szCs w:val="20"/>
          <w:lang w:val="en-US" w:eastAsia="bg-BG"/>
        </w:rPr>
        <w:t xml:space="preserve"> </w:t>
      </w:r>
      <w:r w:rsidRPr="00FF02DA">
        <w:rPr>
          <w:rFonts w:eastAsia="Times New Roman" w:cs="Arial"/>
          <w:color w:val="000000"/>
          <w:szCs w:val="20"/>
          <w:lang w:eastAsia="bg-BG"/>
        </w:rPr>
        <w:t>нива на трансаминазите трябва да бъдат проследявани, докато стойностите се нормализират. Ако стойностите им продължават да бъдат над три пъти по-високи от горната граница на нормата, се препоръчва намаляване на дозата или преустановяване на приема на аторвастатин (вж. точка 4.8).</w:t>
      </w:r>
    </w:p>
    <w:p w14:paraId="3487C75E"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Аторвастатин трябва да се прилага с повишено внимание при пациенти, които консумират големи количества алкохол и/или са с анамнеза за чернодробно заболяване.</w:t>
      </w:r>
    </w:p>
    <w:p w14:paraId="18602A18" w14:textId="77777777" w:rsidR="00FF02DA" w:rsidRPr="00FF02DA" w:rsidRDefault="00FF02DA" w:rsidP="00FF02DA">
      <w:pPr>
        <w:spacing w:line="240" w:lineRule="auto"/>
        <w:rPr>
          <w:rFonts w:eastAsia="Times New Roman" w:cs="Arial"/>
          <w:color w:val="000000"/>
          <w:szCs w:val="20"/>
          <w:u w:val="single"/>
          <w:lang w:eastAsia="bg-BG"/>
        </w:rPr>
      </w:pPr>
    </w:p>
    <w:p w14:paraId="57F82050" w14:textId="5629B060"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 xml:space="preserve">Предотвратяване на инсулт чрез агресивно намаляване на нивата на холестерола </w:t>
      </w:r>
      <w:r w:rsidRPr="00FF02DA">
        <w:rPr>
          <w:rFonts w:eastAsia="Times New Roman" w:cs="Arial"/>
          <w:i/>
          <w:iCs/>
          <w:color w:val="000000"/>
          <w:szCs w:val="20"/>
          <w:u w:val="single"/>
          <w:lang w:val="en-US"/>
        </w:rPr>
        <w:t>(Stroke Prevention by Aggressive Reduction in Cholesterol Levels (SPARCL))</w:t>
      </w:r>
    </w:p>
    <w:p w14:paraId="64FC7B9F"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При проведен анализ на подтиповете на инсулт при пациенти без коронарно сърдечно заболяване с преходен инсулт или преходна исхемична атака </w:t>
      </w:r>
      <w:r w:rsidRPr="00FF02DA">
        <w:rPr>
          <w:rFonts w:eastAsia="Times New Roman" w:cs="Arial"/>
          <w:color w:val="000000"/>
          <w:szCs w:val="20"/>
          <w:lang w:val="en-US"/>
        </w:rPr>
        <w:t xml:space="preserve">(TIA), </w:t>
      </w:r>
      <w:r w:rsidRPr="00FF02DA">
        <w:rPr>
          <w:rFonts w:eastAsia="Times New Roman" w:cs="Arial"/>
          <w:color w:val="000000"/>
          <w:szCs w:val="20"/>
          <w:lang w:eastAsia="bg-BG"/>
        </w:rPr>
        <w:t xml:space="preserve">се установява висок риск от хеморагичен инсулт при тези, които приемат 80 </w:t>
      </w:r>
      <w:r w:rsidRPr="00FF02DA">
        <w:rPr>
          <w:rFonts w:eastAsia="Times New Roman" w:cs="Arial"/>
          <w:color w:val="000000"/>
          <w:szCs w:val="20"/>
          <w:lang w:val="en-US"/>
        </w:rPr>
        <w:t xml:space="preserve">mg </w:t>
      </w:r>
      <w:r w:rsidRPr="00FF02DA">
        <w:rPr>
          <w:rFonts w:eastAsia="Times New Roman" w:cs="Arial"/>
          <w:color w:val="000000"/>
          <w:szCs w:val="20"/>
          <w:lang w:eastAsia="bg-BG"/>
        </w:rPr>
        <w:t xml:space="preserve">дневна доза аторвастатин, сравнени с плацебо. Наблюдава се особено висок риск при пациенти, които стартират изследването с анамнеза за прекаран хеморагичен инсулт или лакунарен инфаркт. При пациенти с първичен хеморагичен инсулт или лакунарен инфаркт, съотношението полза/риск от прилагането на аторвастатин 80 </w:t>
      </w:r>
      <w:r w:rsidRPr="00FF02DA">
        <w:rPr>
          <w:rFonts w:eastAsia="Times New Roman" w:cs="Arial"/>
          <w:color w:val="000000"/>
          <w:szCs w:val="20"/>
          <w:lang w:val="en-US"/>
        </w:rPr>
        <w:t xml:space="preserve">mg </w:t>
      </w:r>
      <w:r w:rsidRPr="00FF02DA">
        <w:rPr>
          <w:rFonts w:eastAsia="Times New Roman" w:cs="Arial"/>
          <w:color w:val="000000"/>
          <w:szCs w:val="20"/>
          <w:lang w:eastAsia="bg-BG"/>
        </w:rPr>
        <w:t>е неопределено и трябва да се вземе под внимание потенциалният риск от хеморагичен инсулт преди започване на лечението (вж. точка 5.1).</w:t>
      </w:r>
    </w:p>
    <w:p w14:paraId="1B563B32" w14:textId="77777777" w:rsidR="00FF02DA" w:rsidRPr="00FF02DA" w:rsidRDefault="00FF02DA" w:rsidP="00FF02DA">
      <w:pPr>
        <w:spacing w:line="240" w:lineRule="auto"/>
        <w:rPr>
          <w:rFonts w:eastAsia="Times New Roman" w:cs="Arial"/>
          <w:color w:val="000000"/>
          <w:szCs w:val="20"/>
          <w:u w:val="single"/>
          <w:lang w:eastAsia="bg-BG"/>
        </w:rPr>
      </w:pPr>
    </w:p>
    <w:p w14:paraId="451F6571" w14:textId="2EA216ED"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Влияние върху скелетната мускулатура</w:t>
      </w:r>
    </w:p>
    <w:p w14:paraId="6083825B"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В редки случаи аторвастатин, подобно на другите </w:t>
      </w:r>
      <w:r w:rsidRPr="00FF02DA">
        <w:rPr>
          <w:rFonts w:eastAsia="Times New Roman" w:cs="Arial"/>
          <w:color w:val="000000"/>
          <w:szCs w:val="20"/>
          <w:lang w:val="en-US"/>
        </w:rPr>
        <w:t>HMG</w:t>
      </w:r>
      <w:r w:rsidRPr="00FF02DA">
        <w:rPr>
          <w:rFonts w:eastAsia="Times New Roman" w:cs="Arial"/>
          <w:color w:val="000000"/>
          <w:szCs w:val="20"/>
          <w:lang w:eastAsia="bg-BG"/>
        </w:rPr>
        <w:t xml:space="preserve">-СоА-редуктазни инхибитори, може да окаже неблагоприятно въздействие върху скелетната мускулатура и да причини миалгия, миозит и миопатия, които могат да прогресират до рабдомиолиза (потенциално животозастрашаващо състояние, характеризиращо се със значително повишени нива на </w:t>
      </w:r>
      <w:r w:rsidRPr="00FF02DA">
        <w:rPr>
          <w:rFonts w:eastAsia="Times New Roman" w:cs="Arial"/>
          <w:color w:val="000000"/>
          <w:szCs w:val="20"/>
          <w:lang w:eastAsia="bg-BG"/>
        </w:rPr>
        <w:lastRenderedPageBreak/>
        <w:t>креатинкиназа (КК) (&gt; 10 пъти над нормата), миоглобинемия и миоглобинурия, които могат да доведат до бъбречна недостатъчност).</w:t>
      </w:r>
    </w:p>
    <w:p w14:paraId="5828C1DD" w14:textId="77777777" w:rsidR="00FF02DA" w:rsidRPr="00FF02DA" w:rsidRDefault="00FF02DA" w:rsidP="00FF02DA">
      <w:pPr>
        <w:spacing w:line="240" w:lineRule="auto"/>
        <w:rPr>
          <w:rFonts w:eastAsia="Times New Roman" w:cs="Arial"/>
          <w:color w:val="000000"/>
          <w:szCs w:val="20"/>
          <w:u w:val="single"/>
          <w:lang w:eastAsia="bg-BG"/>
        </w:rPr>
      </w:pPr>
    </w:p>
    <w:p w14:paraId="302CC2E3" w14:textId="70BE8608"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Преди започване на лечението</w:t>
      </w:r>
    </w:p>
    <w:p w14:paraId="403D5289"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Аторвастатин трябва да се използва внимателно при пациенти с предразполагащи към рабдомиолиза фактори. Нивата на креатинкиназа трябва да се изследват преди започване на лечение със статини в следните случаи:</w:t>
      </w:r>
    </w:p>
    <w:p w14:paraId="10CEE44C" w14:textId="77777777" w:rsidR="00FF02DA" w:rsidRPr="00FF02DA" w:rsidRDefault="00FF02DA" w:rsidP="00FF02DA">
      <w:pPr>
        <w:pStyle w:val="ListParagraph"/>
        <w:numPr>
          <w:ilvl w:val="0"/>
          <w:numId w:val="37"/>
        </w:numPr>
        <w:spacing w:line="240" w:lineRule="auto"/>
        <w:rPr>
          <w:rFonts w:eastAsia="Times New Roman" w:cs="Arial"/>
          <w:sz w:val="28"/>
          <w:szCs w:val="24"/>
          <w:lang w:eastAsia="bg-BG"/>
        </w:rPr>
      </w:pPr>
      <w:r w:rsidRPr="00FF02DA">
        <w:rPr>
          <w:rFonts w:eastAsia="Times New Roman" w:cs="Arial"/>
          <w:color w:val="000000"/>
          <w:szCs w:val="20"/>
          <w:lang w:eastAsia="bg-BG"/>
        </w:rPr>
        <w:t>бъбречно увреждане;</w:t>
      </w:r>
    </w:p>
    <w:p w14:paraId="68A1D7A9" w14:textId="77777777" w:rsidR="00FF02DA" w:rsidRPr="00FF02DA" w:rsidRDefault="00FF02DA" w:rsidP="00FF02DA">
      <w:pPr>
        <w:pStyle w:val="ListParagraph"/>
        <w:numPr>
          <w:ilvl w:val="0"/>
          <w:numId w:val="37"/>
        </w:numPr>
        <w:spacing w:line="240" w:lineRule="auto"/>
        <w:rPr>
          <w:rFonts w:eastAsia="Times New Roman" w:cs="Arial"/>
          <w:sz w:val="28"/>
          <w:szCs w:val="24"/>
          <w:lang w:eastAsia="bg-BG"/>
        </w:rPr>
      </w:pPr>
      <w:r w:rsidRPr="00FF02DA">
        <w:rPr>
          <w:rFonts w:eastAsia="Times New Roman" w:cs="Arial"/>
          <w:color w:val="000000"/>
          <w:szCs w:val="20"/>
          <w:lang w:eastAsia="bg-BG"/>
        </w:rPr>
        <w:t>хипотиреоидизъм;</w:t>
      </w:r>
    </w:p>
    <w:p w14:paraId="7017DB05" w14:textId="77777777" w:rsidR="00FF02DA" w:rsidRPr="00FF02DA" w:rsidRDefault="00FF02DA" w:rsidP="00FF02DA">
      <w:pPr>
        <w:pStyle w:val="ListParagraph"/>
        <w:numPr>
          <w:ilvl w:val="0"/>
          <w:numId w:val="37"/>
        </w:numPr>
        <w:spacing w:line="240" w:lineRule="auto"/>
        <w:rPr>
          <w:rFonts w:eastAsia="Times New Roman" w:cs="Arial"/>
          <w:sz w:val="28"/>
          <w:szCs w:val="24"/>
          <w:lang w:eastAsia="bg-BG"/>
        </w:rPr>
      </w:pPr>
      <w:r w:rsidRPr="00FF02DA">
        <w:rPr>
          <w:rFonts w:eastAsia="Times New Roman" w:cs="Arial"/>
          <w:color w:val="000000"/>
          <w:szCs w:val="20"/>
          <w:lang w:eastAsia="bg-BG"/>
        </w:rPr>
        <w:t>анамнеза, персонална или семейна, за наследствени мускулни заболявалия; -предшестваща анамнеза за мускулна токсичност от статини или фибрати;</w:t>
      </w:r>
    </w:p>
    <w:p w14:paraId="59B88F31" w14:textId="77777777" w:rsidR="00FF02DA" w:rsidRPr="00FF02DA" w:rsidRDefault="00FF02DA" w:rsidP="00FF02DA">
      <w:pPr>
        <w:pStyle w:val="ListParagraph"/>
        <w:numPr>
          <w:ilvl w:val="0"/>
          <w:numId w:val="37"/>
        </w:numPr>
        <w:spacing w:line="240" w:lineRule="auto"/>
        <w:rPr>
          <w:rFonts w:eastAsia="Times New Roman" w:cs="Arial"/>
          <w:sz w:val="28"/>
          <w:szCs w:val="24"/>
          <w:lang w:eastAsia="bg-BG"/>
        </w:rPr>
      </w:pPr>
      <w:r w:rsidRPr="00FF02DA">
        <w:rPr>
          <w:rFonts w:eastAsia="Times New Roman" w:cs="Arial"/>
          <w:color w:val="000000"/>
          <w:szCs w:val="20"/>
          <w:lang w:eastAsia="bg-BG"/>
        </w:rPr>
        <w:t>предшестваща анамнеза за чернодробно заболяване и/или употреба на значителни количества алкохол;</w:t>
      </w:r>
    </w:p>
    <w:p w14:paraId="27FF10B6" w14:textId="77777777" w:rsidR="00FF02DA" w:rsidRPr="00FF02DA" w:rsidRDefault="00FF02DA" w:rsidP="00FF02DA">
      <w:pPr>
        <w:pStyle w:val="ListParagraph"/>
        <w:numPr>
          <w:ilvl w:val="0"/>
          <w:numId w:val="37"/>
        </w:numPr>
        <w:spacing w:line="240" w:lineRule="auto"/>
        <w:rPr>
          <w:rFonts w:eastAsia="Times New Roman" w:cs="Arial"/>
          <w:sz w:val="28"/>
          <w:szCs w:val="24"/>
          <w:lang w:eastAsia="bg-BG"/>
        </w:rPr>
      </w:pPr>
      <w:r w:rsidRPr="00FF02DA">
        <w:rPr>
          <w:rFonts w:eastAsia="Times New Roman" w:cs="Arial"/>
          <w:color w:val="000000"/>
          <w:szCs w:val="20"/>
          <w:lang w:eastAsia="bg-BG"/>
        </w:rPr>
        <w:t>при пациенти в старческа възраст, необходимостта от тези изследвания трябва да се прецени в зависимост от наличието на други фактори, предразполагащи към рабдомиолиза;</w:t>
      </w:r>
    </w:p>
    <w:p w14:paraId="4CDDFBB6" w14:textId="315F16EB" w:rsidR="00FF02DA" w:rsidRPr="00FF02DA" w:rsidRDefault="00FF02DA" w:rsidP="00FF02DA">
      <w:pPr>
        <w:pStyle w:val="ListParagraph"/>
        <w:numPr>
          <w:ilvl w:val="0"/>
          <w:numId w:val="37"/>
        </w:numPr>
        <w:spacing w:line="240" w:lineRule="auto"/>
        <w:rPr>
          <w:rFonts w:eastAsia="Times New Roman" w:cs="Arial"/>
          <w:sz w:val="28"/>
          <w:szCs w:val="24"/>
          <w:lang w:eastAsia="bg-BG"/>
        </w:rPr>
      </w:pPr>
      <w:r w:rsidRPr="00FF02DA">
        <w:rPr>
          <w:rFonts w:eastAsia="Times New Roman" w:cs="Arial"/>
          <w:color w:val="000000"/>
          <w:szCs w:val="20"/>
          <w:lang w:eastAsia="bg-BG"/>
        </w:rPr>
        <w:t>възможност за повишаване на плазмените нива на аторвастатин, например при взаимодействия с други лекарства (вж. точка 4.5) и при специални групи популации, вкл. генетични субпопулации (вж. точка 5.2).</w:t>
      </w:r>
    </w:p>
    <w:p w14:paraId="6BF3ADF7" w14:textId="77777777" w:rsidR="00FF02DA" w:rsidRPr="00FF02DA" w:rsidRDefault="00FF02DA" w:rsidP="00FF02DA">
      <w:pPr>
        <w:spacing w:line="240" w:lineRule="auto"/>
        <w:rPr>
          <w:rFonts w:eastAsia="Times New Roman" w:cs="Arial"/>
          <w:color w:val="000000"/>
          <w:szCs w:val="20"/>
          <w:lang w:eastAsia="bg-BG"/>
        </w:rPr>
      </w:pPr>
    </w:p>
    <w:p w14:paraId="7B0E4EA7" w14:textId="6DE7AD63"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В тези случаи рискът от лечението трябва да се прецени спрямо възможните ползи. Препоръчва се клинично мониториране на пациента. Не трябва да се започва лечение, ако изходните нива на КК са значително повишени (&gt;5 пъти над нормата).</w:t>
      </w:r>
    </w:p>
    <w:p w14:paraId="242D1655" w14:textId="77777777" w:rsidR="00FF02DA" w:rsidRPr="00FF02DA" w:rsidRDefault="00FF02DA" w:rsidP="00FF02DA">
      <w:pPr>
        <w:spacing w:line="240" w:lineRule="auto"/>
        <w:rPr>
          <w:rFonts w:eastAsia="Times New Roman" w:cs="Arial"/>
          <w:color w:val="000000"/>
          <w:szCs w:val="20"/>
          <w:u w:val="single"/>
          <w:lang w:eastAsia="bg-BG"/>
        </w:rPr>
      </w:pPr>
    </w:p>
    <w:p w14:paraId="6EEC5F31" w14:textId="7E65D86F"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Изследване на коеатинкиназата (КК')</w:t>
      </w:r>
    </w:p>
    <w:p w14:paraId="0B3BEE35" w14:textId="7D0CC4D2" w:rsidR="0091385D" w:rsidRPr="00FF02DA" w:rsidRDefault="00FF02DA" w:rsidP="00FF02DA">
      <w:pPr>
        <w:spacing w:line="240" w:lineRule="auto"/>
        <w:rPr>
          <w:rFonts w:eastAsia="Times New Roman" w:cs="Arial"/>
          <w:sz w:val="28"/>
          <w:szCs w:val="24"/>
          <w:lang w:val="en-US" w:eastAsia="bg-BG"/>
        </w:rPr>
      </w:pPr>
      <w:r w:rsidRPr="00FF02DA">
        <w:rPr>
          <w:rFonts w:eastAsia="Times New Roman" w:cs="Arial"/>
          <w:color w:val="000000"/>
          <w:szCs w:val="20"/>
          <w:lang w:eastAsia="bg-BG"/>
        </w:rPr>
        <w:t>Креатинкиназата (КК) не трябва да се изследва след усилено физическо натоварване или при наличие на друга вероятна причина за нейното увеличение, тъй като това може да</w:t>
      </w:r>
      <w:r w:rsidRPr="00FF02DA">
        <w:rPr>
          <w:rFonts w:eastAsia="Times New Roman" w:cs="Arial"/>
          <w:color w:val="000000"/>
          <w:szCs w:val="20"/>
          <w:lang w:val="en-US"/>
        </w:rPr>
        <w:t xml:space="preserve"> </w:t>
      </w:r>
      <w:r w:rsidRPr="00FF02DA">
        <w:rPr>
          <w:rFonts w:eastAsia="Times New Roman" w:cs="Arial"/>
          <w:color w:val="000000"/>
          <w:szCs w:val="20"/>
          <w:lang w:eastAsia="bg-BG"/>
        </w:rPr>
        <w:t>затрудни оценяването на получените стойности. Ако нивото на КК е значително повишено (&gt;5 пъти над нормата), нивата трябва да се изследват повторно в рамките на 5 до 7 дни, за да се препоръчат резултатите.</w:t>
      </w:r>
    </w:p>
    <w:p w14:paraId="24E3E82F" w14:textId="3582FBC9" w:rsidR="0091385D" w:rsidRDefault="0091385D" w:rsidP="0091385D"/>
    <w:p w14:paraId="2B2515C6"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По време на лечението</w:t>
      </w:r>
    </w:p>
    <w:p w14:paraId="48C12592" w14:textId="546A3B36" w:rsidR="00FF02DA" w:rsidRPr="00FF02DA" w:rsidRDefault="00FF02DA" w:rsidP="00FF02DA">
      <w:pPr>
        <w:pStyle w:val="ListParagraph"/>
        <w:numPr>
          <w:ilvl w:val="0"/>
          <w:numId w:val="38"/>
        </w:numPr>
        <w:spacing w:line="240" w:lineRule="auto"/>
        <w:rPr>
          <w:rFonts w:eastAsia="Times New Roman" w:cs="Arial"/>
          <w:sz w:val="28"/>
          <w:szCs w:val="24"/>
          <w:lang w:eastAsia="bg-BG"/>
        </w:rPr>
      </w:pPr>
      <w:r w:rsidRPr="00FF02DA">
        <w:rPr>
          <w:rFonts w:eastAsia="Times New Roman" w:cs="Arial"/>
          <w:color w:val="000000"/>
          <w:szCs w:val="20"/>
          <w:lang w:eastAsia="bg-BG"/>
        </w:rPr>
        <w:t>Пациентите трябва да бъдат предупредени да съобщават веднага за поява на мускулни болки, крампи или слабост, особено в случаите, когато това е придружено с отпадналост и повишена температура;</w:t>
      </w:r>
    </w:p>
    <w:p w14:paraId="34CB274F" w14:textId="565B883D" w:rsidR="00FF02DA" w:rsidRPr="00FF02DA" w:rsidRDefault="00FF02DA" w:rsidP="00FF02DA">
      <w:pPr>
        <w:pStyle w:val="ListParagraph"/>
        <w:numPr>
          <w:ilvl w:val="0"/>
          <w:numId w:val="38"/>
        </w:numPr>
        <w:spacing w:line="240" w:lineRule="auto"/>
        <w:rPr>
          <w:rFonts w:eastAsia="Times New Roman" w:cs="Arial"/>
          <w:sz w:val="28"/>
          <w:szCs w:val="24"/>
          <w:lang w:eastAsia="bg-BG"/>
        </w:rPr>
      </w:pPr>
      <w:r w:rsidRPr="00FF02DA">
        <w:rPr>
          <w:rFonts w:eastAsia="Times New Roman" w:cs="Arial"/>
          <w:color w:val="000000"/>
          <w:szCs w:val="20"/>
          <w:lang w:eastAsia="bg-BG"/>
        </w:rPr>
        <w:t>Ако такива симптоми се появят по време на лечението с аторвастатин, трябва да се изследват нивата на КК. Ако те са значително повишени (&gt;5 пъти над нормата), лечението трябва да бъде преустановено. В случай на продължителни и тежки мускулни оплаквания, трябва да се обмисли преустановяване на лечението, дори и нивата на КК да не са значително повишени (&lt; 5 пъти над нормата);</w:t>
      </w:r>
    </w:p>
    <w:p w14:paraId="70AFD04C" w14:textId="3404F343" w:rsidR="00FF02DA" w:rsidRPr="00FF02DA" w:rsidRDefault="00FF02DA" w:rsidP="00FF02DA">
      <w:pPr>
        <w:pStyle w:val="ListParagraph"/>
        <w:numPr>
          <w:ilvl w:val="0"/>
          <w:numId w:val="38"/>
        </w:numPr>
        <w:spacing w:line="240" w:lineRule="auto"/>
        <w:rPr>
          <w:rFonts w:eastAsia="Times New Roman" w:cs="Arial"/>
          <w:sz w:val="28"/>
          <w:szCs w:val="24"/>
          <w:lang w:eastAsia="bg-BG"/>
        </w:rPr>
      </w:pPr>
      <w:r w:rsidRPr="00FF02DA">
        <w:rPr>
          <w:rFonts w:eastAsia="Times New Roman" w:cs="Arial"/>
          <w:color w:val="000000"/>
          <w:szCs w:val="20"/>
          <w:lang w:eastAsia="bg-BG"/>
        </w:rPr>
        <w:t>Ако симптомите отшумят и нивата на КК се нормализират, може да се обмисли повторно приложение на аторвастатин или друг статии, като се прилага най-ниската доза и се провежда стриктно мониториране;</w:t>
      </w:r>
    </w:p>
    <w:p w14:paraId="23D6E235" w14:textId="0ED0AA0A" w:rsidR="00FF02DA" w:rsidRPr="00FF02DA" w:rsidRDefault="00FF02DA" w:rsidP="00FF02DA">
      <w:pPr>
        <w:pStyle w:val="ListParagraph"/>
        <w:numPr>
          <w:ilvl w:val="0"/>
          <w:numId w:val="38"/>
        </w:numPr>
        <w:spacing w:line="240" w:lineRule="auto"/>
        <w:rPr>
          <w:rFonts w:eastAsia="Times New Roman" w:cs="Arial"/>
          <w:sz w:val="28"/>
          <w:szCs w:val="24"/>
          <w:lang w:eastAsia="bg-BG"/>
        </w:rPr>
      </w:pPr>
      <w:r w:rsidRPr="00FF02DA">
        <w:rPr>
          <w:rFonts w:eastAsia="Times New Roman" w:cs="Arial"/>
          <w:color w:val="000000"/>
          <w:szCs w:val="20"/>
          <w:lang w:eastAsia="bg-BG"/>
        </w:rPr>
        <w:t>Лечението с аторвастатин трябва да се прекъсне, ако нивата на КК се повишат значително (&gt;10 пъти над нормата) или ако се диагностицира или подозира рабдомиолиза.</w:t>
      </w:r>
    </w:p>
    <w:p w14:paraId="66F5A9FC" w14:textId="77777777" w:rsidR="00FF02DA" w:rsidRPr="00FF02DA" w:rsidRDefault="00FF02DA" w:rsidP="00FF02DA">
      <w:pPr>
        <w:spacing w:line="240" w:lineRule="auto"/>
        <w:rPr>
          <w:rFonts w:eastAsia="Times New Roman" w:cs="Arial"/>
          <w:color w:val="000000"/>
          <w:szCs w:val="20"/>
          <w:u w:val="single"/>
          <w:lang w:eastAsia="bg-BG"/>
        </w:rPr>
      </w:pPr>
    </w:p>
    <w:p w14:paraId="05B0C2A1" w14:textId="43747D3F"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Едновременен прием с други лекарства</w:t>
      </w:r>
    </w:p>
    <w:p w14:paraId="692756E1"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lastRenderedPageBreak/>
        <w:t xml:space="preserve">Рискът от рабдомиолиза се повишава при едновременна употреба на статини с определени лекарствени продукти, които могат да повишат плазмената концентрация на аторвастатин, като мощните инхибитори на </w:t>
      </w:r>
      <w:r w:rsidRPr="00FF02DA">
        <w:rPr>
          <w:rFonts w:eastAsia="Times New Roman" w:cs="Arial"/>
          <w:color w:val="000000"/>
          <w:szCs w:val="20"/>
          <w:lang w:val="en-US"/>
        </w:rPr>
        <w:t xml:space="preserve">CYP3A4 </w:t>
      </w:r>
      <w:r w:rsidRPr="00FF02DA">
        <w:rPr>
          <w:rFonts w:eastAsia="Times New Roman" w:cs="Arial"/>
          <w:color w:val="000000"/>
          <w:szCs w:val="20"/>
          <w:lang w:eastAsia="bg-BG"/>
        </w:rPr>
        <w:t>или транспортните протеини (напр. циклоспорин, телитромицин, кларитромицин, делавирдин, стирипентол, кетоконазол, вориконазол, итраконазол, позаконазол, летермовир или ХИВ-протеазни инхибитори като ритонавир, лопинавир, атазанавир, индинавир, дарунавир, типранавир/ритонавир и др.).</w:t>
      </w:r>
    </w:p>
    <w:p w14:paraId="253CDF04"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Рискът от миопатия може да се повиши при съвместната употреба на аторвастатин с гемфиброзил или други фибрати, антивирусни средства за лечение на хепатит С </w:t>
      </w:r>
      <w:r w:rsidRPr="00FF02DA">
        <w:rPr>
          <w:rFonts w:eastAsia="Times New Roman" w:cs="Arial"/>
          <w:color w:val="000000"/>
          <w:szCs w:val="20"/>
          <w:lang w:val="en-US"/>
        </w:rPr>
        <w:t xml:space="preserve">(HCV) </w:t>
      </w:r>
      <w:r w:rsidRPr="00FF02DA">
        <w:rPr>
          <w:rFonts w:eastAsia="Times New Roman" w:cs="Arial"/>
          <w:color w:val="000000"/>
          <w:szCs w:val="20"/>
          <w:lang w:eastAsia="bg-BG"/>
        </w:rPr>
        <w:t>(боцепревир, телапревир, елбасвир/гразопревир), еритромицин, ниацин или езетимиб. Ако е възможно, вместо тези лекарства, трябва да се помисли за алтернативна терапия (без взаимодействия).</w:t>
      </w:r>
    </w:p>
    <w:p w14:paraId="4C733620" w14:textId="77777777" w:rsidR="00FF02DA" w:rsidRPr="00FF02DA" w:rsidRDefault="00FF02DA" w:rsidP="00FF02DA">
      <w:pPr>
        <w:spacing w:line="240" w:lineRule="auto"/>
        <w:rPr>
          <w:rFonts w:eastAsia="Times New Roman" w:cs="Arial"/>
          <w:color w:val="000000"/>
          <w:szCs w:val="20"/>
          <w:lang w:eastAsia="bg-BG"/>
        </w:rPr>
      </w:pPr>
    </w:p>
    <w:p w14:paraId="2B4457CC" w14:textId="7987090D"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Много рядко се съобщава за имуномедиирана некротизираща миопатия </w:t>
      </w:r>
      <w:r w:rsidRPr="00FF02DA">
        <w:rPr>
          <w:rFonts w:eastAsia="Times New Roman" w:cs="Arial"/>
          <w:i/>
          <w:iCs/>
          <w:color w:val="000000"/>
          <w:szCs w:val="20"/>
          <w:lang w:val="en-US"/>
        </w:rPr>
        <w:t>(Immune-mediated necrotizing myopathy, IMNM)</w:t>
      </w:r>
      <w:r w:rsidRPr="00FF02DA">
        <w:rPr>
          <w:rFonts w:eastAsia="Times New Roman" w:cs="Arial"/>
          <w:color w:val="000000"/>
          <w:szCs w:val="20"/>
          <w:lang w:val="en-US"/>
        </w:rPr>
        <w:t xml:space="preserve"> </w:t>
      </w:r>
      <w:r w:rsidRPr="00FF02DA">
        <w:rPr>
          <w:rFonts w:eastAsia="Times New Roman" w:cs="Arial"/>
          <w:color w:val="000000"/>
          <w:szCs w:val="20"/>
          <w:lang w:eastAsia="bg-BG"/>
        </w:rPr>
        <w:t>по време или след лечение със статини, включително с аторвастатин. Клинично се характеризира със слабост на прокснмалните мускули и повишени нива на креатинкиназа, което продължава въпреки прекратяване на лечението със статини.</w:t>
      </w:r>
    </w:p>
    <w:p w14:paraId="173766EE" w14:textId="77777777" w:rsidR="00FF02DA" w:rsidRPr="00FF02DA" w:rsidRDefault="00FF02DA" w:rsidP="00FF02DA">
      <w:pPr>
        <w:spacing w:line="240" w:lineRule="auto"/>
        <w:rPr>
          <w:rFonts w:eastAsia="Times New Roman" w:cs="Arial"/>
          <w:color w:val="000000"/>
          <w:szCs w:val="20"/>
          <w:lang w:eastAsia="bg-BG"/>
        </w:rPr>
      </w:pPr>
    </w:p>
    <w:p w14:paraId="77E9018D" w14:textId="668F0172"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В случаите, когато се налага едновременно прилагане на тези лекарствени продукти с аторвастатин, трябва внимателно да се оцени съотношението полза/риск от съпътстващото лечение. Когато пациентите получават лекарствени продукти, които повишават плазмената концентрация на аторвастатин, се препоръчва по-ниска максимална доза на аторвастатина. В допълнение, в случай на лечение с мощни инхибитори на </w:t>
      </w:r>
      <w:r w:rsidRPr="00FF02DA">
        <w:rPr>
          <w:rFonts w:eastAsia="Times New Roman" w:cs="Arial"/>
          <w:color w:val="000000"/>
          <w:szCs w:val="20"/>
          <w:lang w:val="en-US"/>
        </w:rPr>
        <w:t xml:space="preserve">CYP3A4, </w:t>
      </w:r>
      <w:r w:rsidRPr="00FF02DA">
        <w:rPr>
          <w:rFonts w:eastAsia="Times New Roman" w:cs="Arial"/>
          <w:color w:val="000000"/>
          <w:szCs w:val="20"/>
          <w:lang w:eastAsia="bg-BG"/>
        </w:rPr>
        <w:t>трябва да се обмисли по-ниска начална доза на аторвастатин и се препоръчва адекватно клинично проследяване на тези пациенти (вж. точка 4.5).</w:t>
      </w:r>
    </w:p>
    <w:p w14:paraId="70D16173" w14:textId="77777777" w:rsidR="00FF02DA" w:rsidRPr="00FF02DA" w:rsidRDefault="00FF02DA" w:rsidP="00FF02DA">
      <w:pPr>
        <w:spacing w:line="240" w:lineRule="auto"/>
        <w:rPr>
          <w:rFonts w:eastAsia="Times New Roman" w:cs="Arial"/>
          <w:color w:val="000000"/>
          <w:szCs w:val="20"/>
          <w:lang w:eastAsia="bg-BG"/>
        </w:rPr>
      </w:pPr>
    </w:p>
    <w:p w14:paraId="40ED7343" w14:textId="7AF053F2"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Аторвастатин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употреба на фузидова киселина за системно приложение е считана за крайно необходима, приемът на аторвастатин трябва да бъде прекратен по времена на лечението с фузидова киселина.</w:t>
      </w:r>
    </w:p>
    <w:p w14:paraId="706BA0B0"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Докладвани са случаи на рабдомиолиза (включително някои с фатален изход) при пациенти, приемащи фузидова киселина и статини в комбинация (вижте точка 4.5). Пациентите трябва незабавно да потърсят медицинска помощ, ако почувстват някакви симптоми като мускулна слабост, болка или болезненост.</w:t>
      </w:r>
    </w:p>
    <w:p w14:paraId="7D022708" w14:textId="6C00677C" w:rsidR="00FF02DA" w:rsidRPr="00FF02DA" w:rsidRDefault="00FF02DA" w:rsidP="00FF02DA">
      <w:pPr>
        <w:rPr>
          <w:rFonts w:cs="Arial"/>
          <w:sz w:val="24"/>
        </w:rPr>
      </w:pPr>
      <w:r w:rsidRPr="00FF02DA">
        <w:rPr>
          <w:rFonts w:eastAsia="Times New Roman" w:cs="Arial"/>
          <w:color w:val="000000"/>
          <w:szCs w:val="20"/>
          <w:lang w:eastAsia="bg-BG"/>
        </w:rPr>
        <w:t>Лечението със статии може да се поднови 7 дни след последната доза фузидова киселина При изключителни обстоятелства, където се налага продължителна употреба на фузидова киселина за системно приложение, напр. при лечение на тежки инфекции, необходимостта от едновременната употреба на аторвастатин и фузидова киселина трябва да бъде обмислена, с индивидуална основа и само под стриктно лекарско наблюдение.</w:t>
      </w:r>
    </w:p>
    <w:p w14:paraId="101CA217" w14:textId="5B1AA04B" w:rsidR="00FF02DA" w:rsidRDefault="00FF02DA" w:rsidP="0091385D"/>
    <w:p w14:paraId="017A4229"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Педиатрична популация</w:t>
      </w:r>
    </w:p>
    <w:p w14:paraId="4A48D930"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В 3-годишно проучване, основано на оценка на цялостното съзряване и развитие, оценка по стадий на </w:t>
      </w:r>
      <w:r w:rsidRPr="00FF02DA">
        <w:rPr>
          <w:rFonts w:eastAsia="Times New Roman" w:cs="Arial"/>
          <w:i/>
          <w:iCs/>
          <w:color w:val="000000"/>
          <w:szCs w:val="20"/>
          <w:lang w:val="en-US"/>
        </w:rPr>
        <w:t xml:space="preserve">Tanner </w:t>
      </w:r>
      <w:r w:rsidRPr="00FF02DA">
        <w:rPr>
          <w:rFonts w:eastAsia="Times New Roman" w:cs="Arial"/>
          <w:i/>
          <w:iCs/>
          <w:color w:val="000000"/>
          <w:szCs w:val="20"/>
          <w:lang w:eastAsia="bg-BG"/>
        </w:rPr>
        <w:t>и</w:t>
      </w:r>
      <w:r w:rsidRPr="00FF02DA">
        <w:rPr>
          <w:rFonts w:eastAsia="Times New Roman" w:cs="Arial"/>
          <w:color w:val="000000"/>
          <w:szCs w:val="20"/>
          <w:lang w:eastAsia="bg-BG"/>
        </w:rPr>
        <w:t xml:space="preserve"> измерване на височината и теглото, не се наблюдава клинично значим ефект върху развитието и половата зрялост (вж. точка 4.8).</w:t>
      </w:r>
    </w:p>
    <w:p w14:paraId="4E376E68" w14:textId="77777777" w:rsidR="00FF02DA" w:rsidRPr="00FF02DA" w:rsidRDefault="00FF02DA" w:rsidP="00FF02DA">
      <w:pPr>
        <w:spacing w:line="240" w:lineRule="auto"/>
        <w:rPr>
          <w:rFonts w:eastAsia="Times New Roman" w:cs="Arial"/>
          <w:color w:val="000000"/>
          <w:szCs w:val="20"/>
          <w:u w:val="single"/>
          <w:lang w:eastAsia="bg-BG"/>
        </w:rPr>
      </w:pPr>
    </w:p>
    <w:p w14:paraId="67C0EC6A" w14:textId="6C8F3D81"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Интерстициална белодробна болест</w:t>
      </w:r>
    </w:p>
    <w:p w14:paraId="6F3A8BFA"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Единични случаи на интерстициална белодробна болест са докладвани при употреба на някои статини, особено при продължително лечение (вж. точка 4.8). Болестта се проявява </w:t>
      </w:r>
      <w:r w:rsidRPr="00FF02DA">
        <w:rPr>
          <w:rFonts w:eastAsia="Times New Roman" w:cs="Arial"/>
          <w:color w:val="000000"/>
          <w:szCs w:val="20"/>
          <w:lang w:eastAsia="bg-BG"/>
        </w:rPr>
        <w:lastRenderedPageBreak/>
        <w:t>с диспнея, непродуктивна кашлица и влошаване на общото здравословно състояние (умора, загуба на тегло и треска). Ако има</w:t>
      </w:r>
      <w:r w:rsidRPr="00FF02DA">
        <w:rPr>
          <w:rFonts w:ascii="Times New Roman" w:eastAsia="Times New Roman" w:hAnsi="Times New Roman" w:cs="Times New Roman"/>
          <w:color w:val="000000"/>
          <w:szCs w:val="20"/>
          <w:lang w:eastAsia="bg-BG"/>
        </w:rPr>
        <w:t xml:space="preserve"> </w:t>
      </w:r>
      <w:r w:rsidRPr="00FF02DA">
        <w:rPr>
          <w:rFonts w:eastAsia="Times New Roman" w:cs="Arial"/>
          <w:color w:val="000000"/>
          <w:szCs w:val="20"/>
          <w:lang w:eastAsia="bg-BG"/>
        </w:rPr>
        <w:t>съмнение за развитие на интерстициална белодробна болест, терапията със статини трябва да се преустанови.</w:t>
      </w:r>
    </w:p>
    <w:p w14:paraId="47AC0BB5" w14:textId="77777777" w:rsidR="00FF02DA" w:rsidRPr="00FF02DA" w:rsidRDefault="00FF02DA" w:rsidP="00FF02DA">
      <w:pPr>
        <w:spacing w:line="240" w:lineRule="auto"/>
        <w:rPr>
          <w:rFonts w:eastAsia="Times New Roman" w:cs="Arial"/>
          <w:color w:val="000000"/>
          <w:szCs w:val="20"/>
          <w:u w:val="single"/>
          <w:lang w:eastAsia="bg-BG"/>
        </w:rPr>
      </w:pPr>
    </w:p>
    <w:p w14:paraId="3418DE1F" w14:textId="32B0E774"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Захарен диабет</w:t>
      </w:r>
    </w:p>
    <w:p w14:paraId="390E1F1B"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Има данни, че групата лекарства статини могат да повишат нивото на глюкоза в кръвта и при някои пациенти с повишен риск от възникване на диабет, могат да доведат до увеличено ниво на глюкоза в кръвта, изискващо прилагането на подходяща терапия. Въпреки това понижаването на съдовия риск превишава по значение риска от диабет и той не бива да бъде причина за прекратяване на терапията със статини. Рисковите пациенти (глюкоза на гладно 5,6 до 6,9 </w:t>
      </w:r>
      <w:r w:rsidRPr="00FF02DA">
        <w:rPr>
          <w:rFonts w:eastAsia="Times New Roman" w:cs="Arial"/>
          <w:color w:val="000000"/>
          <w:szCs w:val="20"/>
          <w:lang w:val="en-US"/>
        </w:rPr>
        <w:t>mmol/l, BMI&gt;30 kg/m</w:t>
      </w:r>
      <w:r w:rsidRPr="00FF02DA">
        <w:rPr>
          <w:rFonts w:eastAsia="Times New Roman" w:cs="Arial"/>
          <w:color w:val="000000"/>
          <w:szCs w:val="20"/>
          <w:vertAlign w:val="superscript"/>
          <w:lang w:val="en-US"/>
        </w:rPr>
        <w:t>2</w:t>
      </w:r>
      <w:r w:rsidRPr="00FF02DA">
        <w:rPr>
          <w:rFonts w:eastAsia="Times New Roman" w:cs="Arial"/>
          <w:color w:val="000000"/>
          <w:szCs w:val="20"/>
          <w:lang w:val="en-US"/>
        </w:rPr>
        <w:t xml:space="preserve">, </w:t>
      </w:r>
      <w:r w:rsidRPr="00FF02DA">
        <w:rPr>
          <w:rFonts w:eastAsia="Times New Roman" w:cs="Arial"/>
          <w:color w:val="000000"/>
          <w:szCs w:val="20"/>
          <w:lang w:eastAsia="bg-BG"/>
        </w:rPr>
        <w:t>повишени нива на триглицериди, хипертония) трябва да бъдат проследявани клинично и биохимично съгласно местните ръководства.</w:t>
      </w:r>
    </w:p>
    <w:p w14:paraId="64ECE6BF" w14:textId="77777777" w:rsidR="00FF02DA" w:rsidRPr="00FF02DA" w:rsidRDefault="00FF02DA" w:rsidP="00FF02DA">
      <w:pPr>
        <w:spacing w:line="240" w:lineRule="auto"/>
        <w:rPr>
          <w:rFonts w:eastAsia="Times New Roman" w:cs="Arial"/>
          <w:color w:val="000000"/>
          <w:szCs w:val="20"/>
          <w:u w:val="single"/>
          <w:lang w:eastAsia="bg-BG"/>
        </w:rPr>
      </w:pPr>
    </w:p>
    <w:p w14:paraId="6DCC3276" w14:textId="2E49EBEE"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Помощни вещества</w:t>
      </w:r>
    </w:p>
    <w:p w14:paraId="4DB8C909"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Този лекарствен продукт съдържа лактоза монохидрат. Пациенти с редки наследствени проблеми на галактозна непоносимост, </w:t>
      </w:r>
      <w:r w:rsidRPr="00FF02DA">
        <w:rPr>
          <w:rFonts w:eastAsia="Times New Roman" w:cs="Arial"/>
          <w:color w:val="000000"/>
          <w:szCs w:val="20"/>
          <w:lang w:val="en-US"/>
        </w:rPr>
        <w:t>Lapp</w:t>
      </w:r>
      <w:r w:rsidRPr="00FF02DA">
        <w:rPr>
          <w:rFonts w:eastAsia="Times New Roman" w:cs="Arial"/>
          <w:color w:val="000000"/>
          <w:szCs w:val="20"/>
          <w:lang w:eastAsia="bg-BG"/>
        </w:rPr>
        <w:t>-лактазен дефицит и глюкозо-галактозна малабсорбция не трябва да приемат това лекарство.</w:t>
      </w:r>
    </w:p>
    <w:p w14:paraId="5FBCE44D" w14:textId="77777777" w:rsidR="00FF02DA" w:rsidRPr="00FF02DA" w:rsidRDefault="00FF02DA" w:rsidP="00FF02DA">
      <w:pPr>
        <w:spacing w:line="240" w:lineRule="auto"/>
        <w:rPr>
          <w:rFonts w:eastAsia="Times New Roman" w:cs="Arial"/>
          <w:color w:val="000000"/>
          <w:szCs w:val="20"/>
          <w:u w:val="single"/>
          <w:lang w:eastAsia="bg-BG"/>
        </w:rPr>
      </w:pPr>
    </w:p>
    <w:p w14:paraId="450534F6" w14:textId="6F5D0CB1"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Аторвастатин Екофарм съдържа натрий</w:t>
      </w:r>
    </w:p>
    <w:p w14:paraId="278448D8" w14:textId="73CDA146" w:rsidR="00FF02DA" w:rsidRPr="00FF02DA" w:rsidRDefault="00FF02DA" w:rsidP="00FF02DA">
      <w:pPr>
        <w:rPr>
          <w:rFonts w:cs="Arial"/>
          <w:sz w:val="24"/>
        </w:rPr>
      </w:pPr>
      <w:r w:rsidRPr="00FF02DA">
        <w:rPr>
          <w:rFonts w:eastAsia="Times New Roman" w:cs="Arial"/>
          <w:color w:val="000000"/>
          <w:szCs w:val="20"/>
          <w:lang w:eastAsia="bg-BG"/>
        </w:rPr>
        <w:t xml:space="preserve">Това лекарство съдържа по-малко от 1 </w:t>
      </w:r>
      <w:r w:rsidRPr="00FF02DA">
        <w:rPr>
          <w:rFonts w:eastAsia="Times New Roman" w:cs="Arial"/>
          <w:color w:val="000000"/>
          <w:szCs w:val="20"/>
          <w:lang w:val="en-US"/>
        </w:rPr>
        <w:t xml:space="preserve">mmol </w:t>
      </w:r>
      <w:r w:rsidRPr="00FF02DA">
        <w:rPr>
          <w:rFonts w:eastAsia="Times New Roman" w:cs="Arial"/>
          <w:color w:val="000000"/>
          <w:szCs w:val="20"/>
          <w:lang w:eastAsia="bg-BG"/>
        </w:rPr>
        <w:t xml:space="preserve">натрий (23 </w:t>
      </w:r>
      <w:r w:rsidRPr="00FF02DA">
        <w:rPr>
          <w:rFonts w:eastAsia="Times New Roman" w:cs="Arial"/>
          <w:color w:val="000000"/>
          <w:szCs w:val="20"/>
          <w:lang w:val="en-US"/>
        </w:rPr>
        <w:t xml:space="preserve">mg) </w:t>
      </w:r>
      <w:r w:rsidRPr="00FF02DA">
        <w:rPr>
          <w:rFonts w:eastAsia="Times New Roman" w:cs="Arial"/>
          <w:color w:val="000000"/>
          <w:szCs w:val="20"/>
          <w:lang w:eastAsia="bg-BG"/>
        </w:rPr>
        <w:t>на таблетка, т.е. практически не съдържа натрий.</w:t>
      </w:r>
    </w:p>
    <w:p w14:paraId="17E9133D" w14:textId="77777777" w:rsidR="00FF02DA" w:rsidRPr="0091385D" w:rsidRDefault="00FF02DA"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5118A5D5"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 xml:space="preserve">Ефекти на едновременно приложени лекарствени продукти върху аторвастатин </w:t>
      </w:r>
      <w:r w:rsidRPr="00FF02DA">
        <w:rPr>
          <w:rFonts w:eastAsia="Times New Roman" w:cs="Arial"/>
          <w:color w:val="000000"/>
          <w:szCs w:val="20"/>
          <w:lang w:eastAsia="bg-BG"/>
        </w:rPr>
        <w:t xml:space="preserve">Аторвастатин се метаболизира от цитохром Р450 ЗА4 </w:t>
      </w:r>
      <w:r w:rsidRPr="00FF02DA">
        <w:rPr>
          <w:rFonts w:eastAsia="Times New Roman" w:cs="Arial"/>
          <w:color w:val="000000"/>
          <w:szCs w:val="20"/>
          <w:lang w:val="en-US"/>
        </w:rPr>
        <w:t xml:space="preserve">(CYP3A4) </w:t>
      </w:r>
      <w:r w:rsidRPr="00FF02DA">
        <w:rPr>
          <w:rFonts w:eastAsia="Times New Roman" w:cs="Arial"/>
          <w:color w:val="000000"/>
          <w:szCs w:val="20"/>
          <w:lang w:eastAsia="bg-BG"/>
        </w:rPr>
        <w:t xml:space="preserve">и е субстрат на чернодробните транспортери и на полипептидите, транспортиращи органични аниони 1В1 </w:t>
      </w:r>
      <w:r w:rsidRPr="00FF02DA">
        <w:rPr>
          <w:rFonts w:eastAsia="Times New Roman" w:cs="Arial"/>
          <w:color w:val="000000"/>
          <w:szCs w:val="20"/>
          <w:lang w:val="en-US"/>
        </w:rPr>
        <w:t>(Organic anion</w:t>
      </w:r>
      <w:r w:rsidRPr="00FF02DA">
        <w:rPr>
          <w:rFonts w:eastAsia="Times New Roman" w:cs="Arial"/>
          <w:color w:val="000000"/>
          <w:szCs w:val="20"/>
          <w:lang w:val="en-US"/>
        </w:rPr>
        <w:softHyphen/>
        <w:t xml:space="preserve">transporting polypeptide IB1, 0ATP1B1) </w:t>
      </w:r>
      <w:r w:rsidRPr="00FF02DA">
        <w:rPr>
          <w:rFonts w:eastAsia="Times New Roman" w:cs="Arial"/>
          <w:color w:val="000000"/>
          <w:szCs w:val="20"/>
          <w:lang w:eastAsia="bg-BG"/>
        </w:rPr>
        <w:t xml:space="preserve">и </w:t>
      </w:r>
      <w:r w:rsidRPr="00FF02DA">
        <w:rPr>
          <w:rFonts w:eastAsia="Times New Roman" w:cs="Arial"/>
          <w:color w:val="000000"/>
          <w:szCs w:val="20"/>
          <w:lang w:val="en-US"/>
        </w:rPr>
        <w:t xml:space="preserve">1B3 (OATP1B3). </w:t>
      </w:r>
      <w:r w:rsidRPr="00FF02DA">
        <w:rPr>
          <w:rFonts w:eastAsia="Times New Roman" w:cs="Arial"/>
          <w:color w:val="000000"/>
          <w:szCs w:val="20"/>
          <w:lang w:eastAsia="bg-BG"/>
        </w:rPr>
        <w:t xml:space="preserve">Метаболитите на аторвастатин са субстрати на ОАТР1В1. Установено е също така, че аторвастатин е субстрат на протеина, свързан с множествена лекарствена резистентност 1 </w:t>
      </w:r>
      <w:r w:rsidRPr="00FF02DA">
        <w:rPr>
          <w:rFonts w:eastAsia="Times New Roman" w:cs="Arial"/>
          <w:color w:val="000000"/>
          <w:szCs w:val="20"/>
          <w:lang w:val="en-US"/>
        </w:rPr>
        <w:t xml:space="preserve">(Multi-drug resistant protein 1, MDR1) </w:t>
      </w:r>
      <w:r w:rsidRPr="00FF02DA">
        <w:rPr>
          <w:rFonts w:eastAsia="Times New Roman" w:cs="Arial"/>
          <w:color w:val="000000"/>
          <w:szCs w:val="20"/>
          <w:lang w:eastAsia="bg-BG"/>
        </w:rPr>
        <w:t xml:space="preserve">и на протеина на резистентност на рака на гърдата </w:t>
      </w:r>
      <w:r w:rsidRPr="00FF02DA">
        <w:rPr>
          <w:rFonts w:eastAsia="Times New Roman" w:cs="Arial"/>
          <w:color w:val="000000"/>
          <w:szCs w:val="20"/>
          <w:lang w:val="en-US"/>
        </w:rPr>
        <w:t xml:space="preserve">(Breast cancer resistant protein, BCRP), </w:t>
      </w:r>
      <w:r w:rsidRPr="00FF02DA">
        <w:rPr>
          <w:rFonts w:eastAsia="Times New Roman" w:cs="Arial"/>
          <w:color w:val="000000"/>
          <w:szCs w:val="20"/>
          <w:lang w:eastAsia="bg-BG"/>
        </w:rPr>
        <w:t xml:space="preserve">които може да ограничат чревната абсорбция и жлъчния клирънс на аторвастатин (вж. точка 5.2). Едновременното приложение заедно с инхибитори на </w:t>
      </w:r>
      <w:r w:rsidRPr="00FF02DA">
        <w:rPr>
          <w:rFonts w:eastAsia="Times New Roman" w:cs="Arial"/>
          <w:color w:val="000000"/>
          <w:szCs w:val="20"/>
          <w:lang w:val="en-US"/>
        </w:rPr>
        <w:t xml:space="preserve">CYP3A4 </w:t>
      </w:r>
      <w:r w:rsidRPr="00FF02DA">
        <w:rPr>
          <w:rFonts w:eastAsia="Times New Roman" w:cs="Arial"/>
          <w:color w:val="000000"/>
          <w:szCs w:val="20"/>
          <w:lang w:eastAsia="bg-BG"/>
        </w:rPr>
        <w:t>или на транспортните протеини може да доведе до увеличени плазмени нива на аторвастатин и повишен риск от миопатия. Рискът може да се повиши също при едновременно приложение с лекарствени продукти, индуциращи миопатия, като фибрати и езетимиб (вж. точка 4.4).</w:t>
      </w:r>
    </w:p>
    <w:p w14:paraId="652574D0" w14:textId="77777777" w:rsidR="00FF02DA" w:rsidRPr="00FF02DA" w:rsidRDefault="00FF02DA" w:rsidP="00FF02DA">
      <w:pPr>
        <w:spacing w:line="240" w:lineRule="auto"/>
        <w:rPr>
          <w:rFonts w:eastAsia="Times New Roman" w:cs="Arial"/>
          <w:i/>
          <w:iCs/>
          <w:color w:val="000000"/>
          <w:szCs w:val="20"/>
          <w:u w:val="single"/>
          <w:lang w:eastAsia="bg-BG"/>
        </w:rPr>
      </w:pPr>
    </w:p>
    <w:p w14:paraId="399EB40C" w14:textId="4DC6F803"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 xml:space="preserve">Инхибитори на </w:t>
      </w:r>
      <w:r w:rsidRPr="00FF02DA">
        <w:rPr>
          <w:rFonts w:eastAsia="Times New Roman" w:cs="Arial"/>
          <w:i/>
          <w:iCs/>
          <w:color w:val="000000"/>
          <w:szCs w:val="20"/>
          <w:u w:val="single"/>
          <w:lang w:val="en-US"/>
        </w:rPr>
        <w:t>CYP3A4</w:t>
      </w:r>
    </w:p>
    <w:p w14:paraId="38DF9392" w14:textId="77777777" w:rsidR="00FF02DA" w:rsidRPr="00FF02DA" w:rsidRDefault="00FF02DA" w:rsidP="00FF02DA">
      <w:pPr>
        <w:rPr>
          <w:rFonts w:eastAsia="Times New Roman" w:cs="Arial"/>
          <w:sz w:val="28"/>
          <w:szCs w:val="24"/>
          <w:lang w:eastAsia="bg-BG"/>
        </w:rPr>
      </w:pPr>
      <w:r w:rsidRPr="00FF02DA">
        <w:rPr>
          <w:rFonts w:eastAsia="Times New Roman" w:cs="Arial"/>
          <w:color w:val="000000"/>
          <w:szCs w:val="20"/>
          <w:lang w:eastAsia="bg-BG"/>
        </w:rPr>
        <w:t xml:space="preserve">Има данни, че мощните инхибитори на </w:t>
      </w:r>
      <w:r w:rsidRPr="00FF02DA">
        <w:rPr>
          <w:rFonts w:eastAsia="Times New Roman" w:cs="Arial"/>
          <w:color w:val="000000"/>
          <w:szCs w:val="20"/>
          <w:lang w:val="en-US"/>
        </w:rPr>
        <w:t xml:space="preserve">CYP3A4 </w:t>
      </w:r>
      <w:r w:rsidRPr="00FF02DA">
        <w:rPr>
          <w:rFonts w:eastAsia="Times New Roman" w:cs="Arial"/>
          <w:color w:val="000000"/>
          <w:szCs w:val="20"/>
          <w:lang w:eastAsia="bg-BG"/>
        </w:rPr>
        <w:t>значително повишават концентрацията на аторвастатин (вж. Таблица 1 и подробната информация по-долу). Едновременното приложение на мощни инхибитори на С</w:t>
      </w:r>
      <w:r w:rsidRPr="00FF02DA">
        <w:rPr>
          <w:rFonts w:eastAsia="Times New Roman" w:cs="Arial"/>
          <w:color w:val="000000"/>
          <w:szCs w:val="20"/>
          <w:lang w:val="en-US"/>
        </w:rPr>
        <w:t xml:space="preserve">YP3A4 </w:t>
      </w:r>
      <w:r w:rsidRPr="00FF02DA">
        <w:rPr>
          <w:rFonts w:eastAsia="Times New Roman" w:cs="Arial"/>
          <w:color w:val="000000"/>
          <w:szCs w:val="20"/>
          <w:lang w:eastAsia="bg-BG"/>
        </w:rPr>
        <w:t>(напр. циклоспорин, телитромицин, кларитромицин, делавирдин стирипентол, кетоконазол, вориконазол, итраконазол, позаконазол, някои антивирусни средства за лечение на хепатит С (напр. елбасвир/гразопревир) и ХИВ-протеазни инхибитори като ритонавир, лопинавир, атазанавир, индинавир, дарунавир и др.) по възможност трябва да се избягва. В случаи,</w:t>
      </w:r>
      <w:r>
        <w:rPr>
          <w:rFonts w:eastAsia="Times New Roman" w:cs="Arial"/>
          <w:color w:val="000000"/>
          <w:szCs w:val="20"/>
          <w:lang w:val="en-US" w:eastAsia="bg-BG"/>
        </w:rPr>
        <w:t xml:space="preserve"> </w:t>
      </w:r>
      <w:r w:rsidRPr="00FF02DA">
        <w:rPr>
          <w:rFonts w:eastAsia="Times New Roman" w:cs="Arial"/>
          <w:color w:val="000000"/>
          <w:szCs w:val="20"/>
          <w:lang w:eastAsia="bg-BG"/>
        </w:rPr>
        <w:t xml:space="preserve">когато не може да се избегне едновременното прилагане с аторвастатин, трябва да се </w:t>
      </w:r>
      <w:r w:rsidRPr="00FF02DA">
        <w:rPr>
          <w:rFonts w:eastAsia="Times New Roman" w:cs="Arial"/>
          <w:color w:val="000000"/>
          <w:szCs w:val="20"/>
          <w:lang w:eastAsia="bg-BG"/>
        </w:rPr>
        <w:lastRenderedPageBreak/>
        <w:t>обмисли намаляване на началната и максималната доза на аторвастатин, както и внимателно клинично мониториране на пациентите (вж. Таблица 1).</w:t>
      </w:r>
    </w:p>
    <w:p w14:paraId="774C67F0" w14:textId="77777777" w:rsidR="00FF02DA" w:rsidRPr="00FF02DA" w:rsidRDefault="00FF02DA" w:rsidP="00FF02DA">
      <w:pPr>
        <w:spacing w:line="240" w:lineRule="auto"/>
        <w:rPr>
          <w:rFonts w:eastAsia="Times New Roman" w:cs="Arial"/>
          <w:color w:val="000000"/>
          <w:szCs w:val="20"/>
          <w:lang w:eastAsia="bg-BG"/>
        </w:rPr>
      </w:pPr>
    </w:p>
    <w:p w14:paraId="742D09E6" w14:textId="15479C85"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Умерените инхибитори на </w:t>
      </w:r>
      <w:r w:rsidRPr="00FF02DA">
        <w:rPr>
          <w:rFonts w:eastAsia="Times New Roman" w:cs="Arial"/>
          <w:color w:val="000000"/>
          <w:szCs w:val="20"/>
          <w:lang w:val="en-US"/>
        </w:rPr>
        <w:t xml:space="preserve">CYP3A4 </w:t>
      </w:r>
      <w:r w:rsidRPr="00FF02DA">
        <w:rPr>
          <w:rFonts w:eastAsia="Times New Roman" w:cs="Arial"/>
          <w:color w:val="000000"/>
          <w:szCs w:val="20"/>
          <w:lang w:eastAsia="bg-BG"/>
        </w:rPr>
        <w:t xml:space="preserve">(напр. еритромицин, дилтиазем, вераламил и флуконазол) също могат да повишат плазмените концентрации на аторвастатин (вж. Таблица 1). Наблюдаван е повишен риск от възникване на миопатия при комбинация на еритромицин и статини. Не са провеждани проучвания на взаимодействията, които да оценят ефектите на амиодарон или верапамил върху аторвастатин. Известно е, че амиодарон и верапамил инхибират активността на </w:t>
      </w:r>
      <w:r w:rsidRPr="00FF02DA">
        <w:rPr>
          <w:rFonts w:eastAsia="Times New Roman" w:cs="Arial"/>
          <w:color w:val="000000"/>
          <w:szCs w:val="20"/>
          <w:lang w:val="en-US"/>
        </w:rPr>
        <w:t>CYP3</w:t>
      </w:r>
      <w:r w:rsidRPr="00FF02DA">
        <w:rPr>
          <w:rFonts w:eastAsia="Times New Roman" w:cs="Arial"/>
          <w:color w:val="000000"/>
          <w:szCs w:val="20"/>
          <w:lang w:eastAsia="bg-BG"/>
        </w:rPr>
        <w:t xml:space="preserve">А4 и едновременното приложение с аторвастатин може да доведе до повишена експозиция на аторвастатин. Ето защо при едновременна употреба с умерени С </w:t>
      </w:r>
      <w:r w:rsidRPr="00FF02DA">
        <w:rPr>
          <w:rFonts w:eastAsia="Times New Roman" w:cs="Arial"/>
          <w:color w:val="000000"/>
          <w:szCs w:val="20"/>
          <w:lang w:val="en-US"/>
        </w:rPr>
        <w:t xml:space="preserve">YP3A4 </w:t>
      </w:r>
      <w:r w:rsidRPr="00FF02DA">
        <w:rPr>
          <w:rFonts w:eastAsia="Times New Roman" w:cs="Arial"/>
          <w:color w:val="000000"/>
          <w:szCs w:val="20"/>
          <w:lang w:eastAsia="bg-BG"/>
        </w:rPr>
        <w:t>инхибитори трябва да се обмисли по-ниска максимална доза аторвастатин и да се проведе подходящо клинично проследяване на пациента, което се препоръчва както при започване на терапията, така и при последваща промяна в дозировката на инхибитора.</w:t>
      </w:r>
    </w:p>
    <w:p w14:paraId="4E61B41D" w14:textId="77777777" w:rsidR="00FF02DA" w:rsidRPr="00FF02DA" w:rsidRDefault="00FF02DA" w:rsidP="00FF02DA">
      <w:pPr>
        <w:spacing w:line="240" w:lineRule="auto"/>
        <w:rPr>
          <w:rFonts w:eastAsia="Times New Roman" w:cs="Arial"/>
          <w:i/>
          <w:iCs/>
          <w:color w:val="000000"/>
          <w:szCs w:val="20"/>
          <w:u w:val="single"/>
          <w:lang w:eastAsia="bg-BG"/>
        </w:rPr>
      </w:pPr>
    </w:p>
    <w:p w14:paraId="7EE1AFCA" w14:textId="2674154B"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 xml:space="preserve">Индуктори на </w:t>
      </w:r>
      <w:r w:rsidRPr="00FF02DA">
        <w:rPr>
          <w:rFonts w:eastAsia="Times New Roman" w:cs="Arial"/>
          <w:i/>
          <w:iCs/>
          <w:color w:val="000000"/>
          <w:szCs w:val="20"/>
          <w:u w:val="single"/>
          <w:lang w:val="en-US"/>
        </w:rPr>
        <w:t>CYP3A4</w:t>
      </w:r>
    </w:p>
    <w:p w14:paraId="3321E6AC"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Съвместната употреба на аторвастатин с индуктори на цитохром Р450 ЗА4 (като ефавиренц, рифампин, жълт кантарион) може да доведе до променливо намаляване на концентрацията на аторвастатин. Поради двойния механизъм на взимодействие на рифампин (цитохром Р450 ЗА4 индуктор и инхибитор на транспортера на хепатоцитното захващане ОАТР1В1), се препоръчва едновременната употреба на аторвастатин с рифампин, тъй като приема на аторвастатин след прием на рифампин води до значително намаление на плазмената концентрация на аторвастатин. Въпреки това, влиянието на рифампин върху нивото на аторвастатин в хепатоцитите е неизвестно и ако едновременното приложение не може да се избегне, е препоръчително внимателно мониториране за оценка на ефикасността на лечението.</w:t>
      </w:r>
    </w:p>
    <w:p w14:paraId="163FBE4C" w14:textId="77777777" w:rsidR="00FF02DA" w:rsidRPr="00FF02DA" w:rsidRDefault="00FF02DA" w:rsidP="00FF02DA">
      <w:pPr>
        <w:spacing w:line="240" w:lineRule="auto"/>
        <w:rPr>
          <w:rFonts w:eastAsia="Times New Roman" w:cs="Arial"/>
          <w:i/>
          <w:iCs/>
          <w:color w:val="000000"/>
          <w:szCs w:val="20"/>
          <w:u w:val="single"/>
          <w:lang w:eastAsia="bg-BG"/>
        </w:rPr>
      </w:pPr>
    </w:p>
    <w:p w14:paraId="369B2BED" w14:textId="6CB27BAE"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Инхибитори на тоанспортерите</w:t>
      </w:r>
    </w:p>
    <w:p w14:paraId="79F0FBF6"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Инхибиторите на транспортните протеини (напр. циклоспорин, летермовир) могат да увеличат системната експозиция на аторвастатин (вж. Таблица 1). Ефектът от инхибирането на транспортерите на хепатоцитното захващане върху концентрацията на аторвастатин в хепатоцитите не е известен. Препоръчва се приложение на най-ниската терапевтична доза и клинично мониториране, ако комбинацията не може да бъде избегната (вж. Таблица 1).</w:t>
      </w:r>
    </w:p>
    <w:p w14:paraId="51EC2E21" w14:textId="77777777" w:rsidR="00FF02DA" w:rsidRPr="00FF02DA" w:rsidRDefault="00FF02DA" w:rsidP="00FF02DA">
      <w:pPr>
        <w:spacing w:line="240" w:lineRule="auto"/>
        <w:rPr>
          <w:rFonts w:eastAsia="Times New Roman" w:cs="Arial"/>
          <w:color w:val="000000"/>
          <w:szCs w:val="20"/>
          <w:lang w:eastAsia="bg-BG"/>
        </w:rPr>
      </w:pPr>
    </w:p>
    <w:p w14:paraId="2CFEF68B" w14:textId="17F5F60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Употребата на аторвастатин не се препоръчва при пациенти, приемащи летермовир едновременно с циклоспорин (вж. точки 4.4).</w:t>
      </w:r>
    </w:p>
    <w:p w14:paraId="5DA5E151" w14:textId="77777777" w:rsidR="00FF02DA" w:rsidRPr="00FF02DA" w:rsidRDefault="00FF02DA" w:rsidP="00FF02DA">
      <w:pPr>
        <w:spacing w:line="240" w:lineRule="auto"/>
        <w:rPr>
          <w:rFonts w:eastAsia="Times New Roman" w:cs="Arial"/>
          <w:i/>
          <w:iCs/>
          <w:color w:val="000000"/>
          <w:szCs w:val="20"/>
          <w:u w:val="single"/>
          <w:lang w:eastAsia="bg-BG"/>
        </w:rPr>
      </w:pPr>
    </w:p>
    <w:p w14:paraId="4C44F4CF" w14:textId="3FBA002F"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Гемфиброзил/фибрати</w:t>
      </w:r>
    </w:p>
    <w:p w14:paraId="0C707987" w14:textId="4BD07A70"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Употреба на фибрати като монотерапия е свързана с миопатия, включително рабдомиолиза. Рискът от миопатия, дължаща се на аторвастатин, може да се повиши при едновременна употреба с фибрати. Ако едновременната употреба не може да бъде избегната, трябва да се прилага най- ниската терапевтична доза аторвастатин и пациентът да се мониторира внимателно (вж. точка 4.4).</w:t>
      </w:r>
    </w:p>
    <w:p w14:paraId="7D208A31" w14:textId="77777777" w:rsidR="00FF02DA" w:rsidRPr="00FF02DA" w:rsidRDefault="00FF02DA" w:rsidP="00FF02DA">
      <w:pPr>
        <w:spacing w:line="240" w:lineRule="auto"/>
        <w:rPr>
          <w:rFonts w:eastAsia="Times New Roman" w:cs="Arial"/>
          <w:i/>
          <w:iCs/>
          <w:color w:val="000000"/>
          <w:szCs w:val="20"/>
          <w:u w:val="single"/>
          <w:lang w:eastAsia="bg-BG"/>
        </w:rPr>
      </w:pPr>
    </w:p>
    <w:p w14:paraId="51F2D8BA" w14:textId="38750A7F"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Езетимиб</w:t>
      </w:r>
    </w:p>
    <w:p w14:paraId="6C71499C"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Самостоятелното приложение на езетимиб може да се асоциира с миопатия, включително рабдомиолиза. Следователно, рискът от такива състояния може да се повиши при комбинирането на езетимиб и аторвастатин. Препоръчва се внимателно клинично мониториране на тези пациенти.</w:t>
      </w:r>
    </w:p>
    <w:p w14:paraId="3026132A" w14:textId="77777777" w:rsidR="00FF02DA" w:rsidRPr="00FF02DA" w:rsidRDefault="00FF02DA" w:rsidP="00FF02DA">
      <w:pPr>
        <w:spacing w:line="240" w:lineRule="auto"/>
        <w:rPr>
          <w:rFonts w:eastAsia="Times New Roman" w:cs="Arial"/>
          <w:i/>
          <w:iCs/>
          <w:color w:val="000000"/>
          <w:szCs w:val="20"/>
          <w:u w:val="single"/>
          <w:lang w:eastAsia="bg-BG"/>
        </w:rPr>
      </w:pPr>
    </w:p>
    <w:p w14:paraId="5121D10B" w14:textId="646274C2"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lastRenderedPageBreak/>
        <w:t>Колестипол</w:t>
      </w:r>
    </w:p>
    <w:p w14:paraId="195D7814"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Плазмената концентрация на аторвастатин и неговите активни метаболити се понижава</w:t>
      </w:r>
    </w:p>
    <w:p w14:paraId="172AE819" w14:textId="68CE8F33" w:rsidR="0091385D" w:rsidRDefault="00FF02DA" w:rsidP="00FF02DA">
      <w:pPr>
        <w:rPr>
          <w:rFonts w:eastAsia="Times New Roman" w:cs="Arial"/>
          <w:color w:val="000000"/>
          <w:szCs w:val="20"/>
          <w:lang w:eastAsia="bg-BG"/>
        </w:rPr>
      </w:pPr>
      <w:r w:rsidRPr="00FF02DA">
        <w:rPr>
          <w:rFonts w:eastAsia="Times New Roman" w:cs="Arial"/>
          <w:color w:val="000000"/>
          <w:szCs w:val="20"/>
          <w:lang w:eastAsia="bg-BG"/>
        </w:rPr>
        <w:t>(съотношение на концентрацията аторвастатин: 0,74) при едновременно приложение на</w:t>
      </w:r>
      <w:r w:rsidRPr="00FF02DA">
        <w:rPr>
          <w:rFonts w:eastAsia="Times New Roman" w:cs="Arial"/>
          <w:color w:val="000000"/>
          <w:szCs w:val="20"/>
          <w:u w:val="single"/>
          <w:lang w:eastAsia="bg-BG"/>
        </w:rPr>
        <w:t xml:space="preserve"> </w:t>
      </w:r>
      <w:r w:rsidRPr="00FF02DA">
        <w:rPr>
          <w:rFonts w:eastAsia="Times New Roman" w:cs="Arial"/>
          <w:color w:val="000000"/>
          <w:szCs w:val="20"/>
          <w:lang w:eastAsia="bg-BG"/>
        </w:rPr>
        <w:t>аторвастатин и колестипол, като липидопонижаващият ефект е по-изразен, отколкото при самостоятелно приложение на продукта.</w:t>
      </w:r>
    </w:p>
    <w:p w14:paraId="57588419" w14:textId="79D0947C" w:rsidR="00FF02DA" w:rsidRDefault="00FF02DA" w:rsidP="00FF02DA">
      <w:pPr>
        <w:rPr>
          <w:rFonts w:eastAsia="Times New Roman" w:cs="Arial"/>
          <w:color w:val="000000"/>
          <w:szCs w:val="20"/>
          <w:lang w:eastAsia="bg-BG"/>
        </w:rPr>
      </w:pPr>
    </w:p>
    <w:p w14:paraId="530E1A2E"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Фузидова киселина</w:t>
      </w:r>
    </w:p>
    <w:p w14:paraId="5F0F43BB"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Рискът от миопатия, включително рабдомиолиза може да се повиши при едновременното приложение на фузидова киселина за системно приложение и статини. Механизмът на това взаимодействие (независимо дали е фармакодинамичен или фармакокинетичен, или и двете) все още не е известен. При пациенти, които приемат тази комбинация, са съобщавани случаи на рабдомиолиза (включително някои с фатален край).</w:t>
      </w:r>
    </w:p>
    <w:p w14:paraId="67A641C9"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Ако лечение с фузидова киселина за системно приложение е необходимо, лечението с аторвастатин трябва да бъде прекратено по време на лечението с фузидова киселина (вж. точка 4.4).</w:t>
      </w:r>
    </w:p>
    <w:p w14:paraId="44BED3BD" w14:textId="77777777" w:rsidR="00FF02DA" w:rsidRPr="00FF02DA" w:rsidRDefault="00FF02DA" w:rsidP="00FF02DA">
      <w:pPr>
        <w:spacing w:line="240" w:lineRule="auto"/>
        <w:rPr>
          <w:rFonts w:eastAsia="Times New Roman" w:cs="Arial"/>
          <w:i/>
          <w:iCs/>
          <w:color w:val="000000"/>
          <w:szCs w:val="20"/>
          <w:u w:val="single"/>
          <w:lang w:eastAsia="bg-BG"/>
        </w:rPr>
      </w:pPr>
    </w:p>
    <w:p w14:paraId="7036A897" w14:textId="658BF18E"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Колхицин</w:t>
      </w:r>
    </w:p>
    <w:p w14:paraId="7BEE8A42"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Въпреки че не са провеждани проучвания за взаимодействието между аторвастатин и колхицин, са били докладвани случаи на миопатия при едновременната им употреба. Необходимо е повишено внимание при предписване на аторвастатин в комбинация с колхицин.</w:t>
      </w:r>
    </w:p>
    <w:p w14:paraId="6D3A02D7" w14:textId="77777777" w:rsidR="00FF02DA" w:rsidRPr="00FF02DA" w:rsidRDefault="00FF02DA" w:rsidP="00FF02DA">
      <w:pPr>
        <w:spacing w:line="240" w:lineRule="auto"/>
        <w:rPr>
          <w:rFonts w:eastAsia="Times New Roman" w:cs="Arial"/>
          <w:color w:val="000000"/>
          <w:szCs w:val="20"/>
          <w:u w:val="single"/>
          <w:lang w:eastAsia="bg-BG"/>
        </w:rPr>
      </w:pPr>
    </w:p>
    <w:p w14:paraId="093B0B47" w14:textId="748D5670"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 xml:space="preserve">Ефект на аторвастатин върху едновременно приложени лекарствени продукти </w:t>
      </w:r>
      <w:r w:rsidRPr="00FF02DA">
        <w:rPr>
          <w:rFonts w:eastAsia="Times New Roman" w:cs="Arial"/>
          <w:i/>
          <w:iCs/>
          <w:color w:val="000000"/>
          <w:szCs w:val="20"/>
          <w:u w:val="single"/>
          <w:lang w:eastAsia="bg-BG"/>
        </w:rPr>
        <w:t>Дигоксин</w:t>
      </w:r>
    </w:p>
    <w:p w14:paraId="392C5BAA"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При многократно приложение на дигоксин едновременно с 10 </w:t>
      </w:r>
      <w:r w:rsidRPr="00FF02DA">
        <w:rPr>
          <w:rFonts w:eastAsia="Times New Roman" w:cs="Arial"/>
          <w:color w:val="000000"/>
          <w:szCs w:val="20"/>
          <w:lang w:val="en-US"/>
        </w:rPr>
        <w:t xml:space="preserve">mg </w:t>
      </w:r>
      <w:r w:rsidRPr="00FF02DA">
        <w:rPr>
          <w:rFonts w:eastAsia="Times New Roman" w:cs="Arial"/>
          <w:color w:val="000000"/>
          <w:szCs w:val="20"/>
          <w:lang w:eastAsia="bg-BG"/>
        </w:rPr>
        <w:t>аторвастатин, плазмените концентрации на дигоксин в равновесното състояние се повишават леко. Пациентите, лекувани едновременно с дигоксин, трябва да бъдат внимателно проследявани.</w:t>
      </w:r>
    </w:p>
    <w:p w14:paraId="6FBB03CA" w14:textId="77777777" w:rsidR="00FF02DA" w:rsidRPr="00FF02DA" w:rsidRDefault="00FF02DA" w:rsidP="00FF02DA">
      <w:pPr>
        <w:spacing w:line="240" w:lineRule="auto"/>
        <w:rPr>
          <w:rFonts w:eastAsia="Times New Roman" w:cs="Arial"/>
          <w:i/>
          <w:iCs/>
          <w:color w:val="000000"/>
          <w:szCs w:val="20"/>
          <w:u w:val="single"/>
          <w:lang w:eastAsia="bg-BG"/>
        </w:rPr>
      </w:pPr>
    </w:p>
    <w:p w14:paraId="75C55D6C" w14:textId="15C633B9"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Перорални контраиептиви</w:t>
      </w:r>
    </w:p>
    <w:p w14:paraId="2F9E022E"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Едновременната употреба на перорални контрацептиви с аторвастатин води до повишена концентрация на норетиндрон и етинилестрадиол.</w:t>
      </w:r>
    </w:p>
    <w:p w14:paraId="429AAEC0" w14:textId="77777777" w:rsidR="00FF02DA" w:rsidRPr="00FF02DA" w:rsidRDefault="00FF02DA" w:rsidP="00FF02DA">
      <w:pPr>
        <w:spacing w:line="240" w:lineRule="auto"/>
        <w:rPr>
          <w:rFonts w:eastAsia="Times New Roman" w:cs="Arial"/>
          <w:i/>
          <w:iCs/>
          <w:color w:val="000000"/>
          <w:szCs w:val="20"/>
          <w:u w:val="single"/>
          <w:lang w:eastAsia="bg-BG"/>
        </w:rPr>
      </w:pPr>
    </w:p>
    <w:p w14:paraId="5BC6619F" w14:textId="473B222B" w:rsidR="00FF02DA" w:rsidRPr="00FF02DA" w:rsidRDefault="00FF02DA" w:rsidP="00FF02DA">
      <w:pPr>
        <w:spacing w:line="240" w:lineRule="auto"/>
        <w:rPr>
          <w:rFonts w:eastAsia="Times New Roman" w:cs="Arial"/>
          <w:sz w:val="28"/>
          <w:szCs w:val="24"/>
          <w:lang w:eastAsia="bg-BG"/>
        </w:rPr>
      </w:pPr>
      <w:r w:rsidRPr="00FF02DA">
        <w:rPr>
          <w:rFonts w:eastAsia="Times New Roman" w:cs="Arial"/>
          <w:i/>
          <w:iCs/>
          <w:color w:val="000000"/>
          <w:szCs w:val="20"/>
          <w:u w:val="single"/>
          <w:lang w:eastAsia="bg-BG"/>
        </w:rPr>
        <w:t>Варварин</w:t>
      </w:r>
    </w:p>
    <w:p w14:paraId="649BF277"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t xml:space="preserve">В клинично проучване с пациенти на поддържаща терапия с варфарин, едновременната употреба на 80 </w:t>
      </w:r>
      <w:r w:rsidRPr="00FF02DA">
        <w:rPr>
          <w:rFonts w:eastAsia="Times New Roman" w:cs="Arial"/>
          <w:color w:val="000000"/>
          <w:szCs w:val="20"/>
          <w:lang w:val="en-US"/>
        </w:rPr>
        <w:t xml:space="preserve">mg </w:t>
      </w:r>
      <w:r w:rsidRPr="00FF02DA">
        <w:rPr>
          <w:rFonts w:eastAsia="Times New Roman" w:cs="Arial"/>
          <w:color w:val="000000"/>
          <w:szCs w:val="20"/>
          <w:lang w:eastAsia="bg-BG"/>
        </w:rPr>
        <w:t>аторвастатин дневно води до леко понижение на протромбиновото време (до приблизително 1,7 секунди) през първите 4 дни от приема и връщане към нормални стойности в рамките на 15 дни след започване на лечението с аторвастатин. Въпреки че са съобщавани много редки случаи на клинично значими взаимодействия с антикоагуланти, трябва да се извършва проследяване на протромбиновото време при пациенти, приемащи кумаринови антикоагуланти преди започване на терапията с аторвастатин и достатъчно често в началните й етапи, за да е сигурно, че не са възникнали значителни промени в стойностите на протромбиновото време. От момента на установяване на стабилни стойности, протромбиновото време може да се мониторира на регулярни интервали, препоръчително за пациенти, приемащи кумаринови антикоагуланти. Ако дозата на аторвастатин се промени или се прекрати терапията, се повтаря същата процедура. Терапията с аторвастатин не е свързана с възможност от поява на кървене или промени в протромбиновото време при пациенти, които не приемат антикоагуланти.</w:t>
      </w:r>
    </w:p>
    <w:p w14:paraId="68D02FC9" w14:textId="77777777" w:rsidR="00FF02DA" w:rsidRPr="00FF02DA" w:rsidRDefault="00FF02DA" w:rsidP="00FF02DA">
      <w:pPr>
        <w:spacing w:line="240" w:lineRule="auto"/>
        <w:rPr>
          <w:rFonts w:eastAsia="Times New Roman" w:cs="Arial"/>
          <w:color w:val="000000"/>
          <w:szCs w:val="20"/>
          <w:u w:val="single"/>
          <w:lang w:eastAsia="bg-BG"/>
        </w:rPr>
      </w:pPr>
    </w:p>
    <w:p w14:paraId="4DB1BA0A" w14:textId="75AF800B"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u w:val="single"/>
          <w:lang w:eastAsia="bg-BG"/>
        </w:rPr>
        <w:t>Педиатрична популация</w:t>
      </w:r>
    </w:p>
    <w:p w14:paraId="363AE04F" w14:textId="77777777" w:rsidR="00FF02DA" w:rsidRPr="00FF02DA" w:rsidRDefault="00FF02DA" w:rsidP="00FF02DA">
      <w:pPr>
        <w:spacing w:line="240" w:lineRule="auto"/>
        <w:rPr>
          <w:rFonts w:eastAsia="Times New Roman" w:cs="Arial"/>
          <w:sz w:val="28"/>
          <w:szCs w:val="24"/>
          <w:lang w:eastAsia="bg-BG"/>
        </w:rPr>
      </w:pPr>
      <w:r w:rsidRPr="00FF02DA">
        <w:rPr>
          <w:rFonts w:eastAsia="Times New Roman" w:cs="Arial"/>
          <w:color w:val="000000"/>
          <w:szCs w:val="20"/>
          <w:lang w:eastAsia="bg-BG"/>
        </w:rPr>
        <w:lastRenderedPageBreak/>
        <w:t>Проучвания относно лекарствените взаимодействия са били провеждани само при възрастни. Степента на взаимодействия в педиатричната популация не е известна. Гореспоменатите взаимодействия и предупреждения при възрастни в точка 4.4 трябва също да бъдат взети под внимание при деца.</w:t>
      </w:r>
    </w:p>
    <w:p w14:paraId="788DDEF6" w14:textId="77777777" w:rsidR="00FF02DA" w:rsidRPr="00FF02DA" w:rsidRDefault="00FF02DA" w:rsidP="00FF02DA">
      <w:pPr>
        <w:rPr>
          <w:rFonts w:eastAsia="Times New Roman" w:cs="Arial"/>
          <w:color w:val="000000"/>
          <w:szCs w:val="20"/>
          <w:u w:val="single"/>
          <w:lang w:eastAsia="bg-BG"/>
        </w:rPr>
      </w:pPr>
    </w:p>
    <w:p w14:paraId="51DD5E58" w14:textId="432EE181" w:rsidR="00FF02DA" w:rsidRPr="00FF02DA" w:rsidRDefault="00FF02DA" w:rsidP="00FF02DA">
      <w:pPr>
        <w:rPr>
          <w:rFonts w:cs="Arial"/>
          <w:sz w:val="32"/>
          <w:lang w:val="en-US"/>
        </w:rPr>
      </w:pPr>
      <w:r w:rsidRPr="00FF02DA">
        <w:rPr>
          <w:rFonts w:eastAsia="Times New Roman" w:cs="Arial"/>
          <w:color w:val="000000"/>
          <w:szCs w:val="20"/>
          <w:u w:val="single"/>
          <w:lang w:eastAsia="bg-BG"/>
        </w:rPr>
        <w:t xml:space="preserve">Таблица 1. Ефект на едновременно прилагани лекарствени </w:t>
      </w:r>
      <w:r w:rsidRPr="00FF02DA">
        <w:rPr>
          <w:rFonts w:eastAsia="Times New Roman" w:cs="Arial"/>
          <w:smallCaps/>
          <w:color w:val="000000"/>
          <w:szCs w:val="20"/>
          <w:u w:val="single"/>
          <w:lang w:eastAsia="bg-BG"/>
        </w:rPr>
        <w:t>продукти върху</w:t>
      </w:r>
      <w:r w:rsidRPr="00FF02DA">
        <w:rPr>
          <w:rFonts w:eastAsia="Times New Roman" w:cs="Arial"/>
          <w:color w:val="000000"/>
          <w:szCs w:val="20"/>
          <w:u w:val="single"/>
          <w:lang w:eastAsia="bg-BG"/>
        </w:rPr>
        <w:t xml:space="preserve"> Фармакокинетиката на аторвастатин</w:t>
      </w:r>
    </w:p>
    <w:tbl>
      <w:tblPr>
        <w:tblStyle w:val="TableGrid"/>
        <w:tblW w:w="0" w:type="auto"/>
        <w:tblLook w:val="04A0" w:firstRow="1" w:lastRow="0" w:firstColumn="1" w:lastColumn="0" w:noHBand="0" w:noVBand="1"/>
      </w:tblPr>
      <w:tblGrid>
        <w:gridCol w:w="2440"/>
        <w:gridCol w:w="2375"/>
        <w:gridCol w:w="2375"/>
        <w:gridCol w:w="2375"/>
      </w:tblGrid>
      <w:tr w:rsidR="00975CEA" w14:paraId="1C57AA92" w14:textId="77777777" w:rsidTr="00D15BDC">
        <w:tc>
          <w:tcPr>
            <w:tcW w:w="2375" w:type="dxa"/>
            <w:vMerge w:val="restart"/>
          </w:tcPr>
          <w:p w14:paraId="28CB6830" w14:textId="2EC91CAC" w:rsidR="00975CEA" w:rsidRPr="00975CEA" w:rsidRDefault="00975CEA" w:rsidP="0091385D">
            <w:pPr>
              <w:rPr>
                <w:rFonts w:cs="Arial"/>
              </w:rPr>
            </w:pPr>
            <w:r w:rsidRPr="00975CEA">
              <w:rPr>
                <w:rFonts w:cs="Arial"/>
                <w:b/>
                <w:bCs/>
              </w:rPr>
              <w:t>Едновременно прилаган лекарствен продукт и режим на дозиране</w:t>
            </w:r>
          </w:p>
        </w:tc>
        <w:tc>
          <w:tcPr>
            <w:tcW w:w="7125" w:type="dxa"/>
            <w:gridSpan w:val="3"/>
          </w:tcPr>
          <w:p w14:paraId="27CA70D7" w14:textId="2F8D7CEF" w:rsidR="00975CEA" w:rsidRPr="00975CEA" w:rsidRDefault="00975CEA" w:rsidP="00975CEA">
            <w:pPr>
              <w:jc w:val="center"/>
              <w:rPr>
                <w:rFonts w:cs="Arial"/>
              </w:rPr>
            </w:pPr>
            <w:r w:rsidRPr="00975CEA">
              <w:rPr>
                <w:rFonts w:cs="Arial"/>
                <w:b/>
                <w:bCs/>
              </w:rPr>
              <w:t>Аторвастатин</w:t>
            </w:r>
          </w:p>
        </w:tc>
      </w:tr>
      <w:tr w:rsidR="00975CEA" w14:paraId="14E2AF3D" w14:textId="77777777" w:rsidTr="00D15BDC">
        <w:tc>
          <w:tcPr>
            <w:tcW w:w="2375" w:type="dxa"/>
            <w:vMerge/>
          </w:tcPr>
          <w:p w14:paraId="6A375AEF" w14:textId="77777777" w:rsidR="00975CEA" w:rsidRPr="00975CEA" w:rsidRDefault="00975CEA" w:rsidP="00975CEA">
            <w:pPr>
              <w:rPr>
                <w:rFonts w:cs="Arial"/>
              </w:rPr>
            </w:pPr>
          </w:p>
        </w:tc>
        <w:tc>
          <w:tcPr>
            <w:tcW w:w="2375" w:type="dxa"/>
            <w:vAlign w:val="bottom"/>
          </w:tcPr>
          <w:p w14:paraId="68A86FFE" w14:textId="57A38B58" w:rsidR="00975CEA" w:rsidRPr="00975CEA" w:rsidRDefault="00975CEA" w:rsidP="00975CEA">
            <w:pPr>
              <w:rPr>
                <w:rFonts w:cs="Arial"/>
              </w:rPr>
            </w:pPr>
            <w:r w:rsidRPr="00975CEA">
              <w:rPr>
                <w:rFonts w:cs="Arial"/>
                <w:b/>
                <w:bCs/>
              </w:rPr>
              <w:t xml:space="preserve">Доза </w:t>
            </w:r>
            <w:r w:rsidRPr="00975CEA">
              <w:rPr>
                <w:rFonts w:cs="Arial"/>
                <w:b/>
                <w:bCs/>
                <w:lang w:val="en-US"/>
              </w:rPr>
              <w:t>(mg)</w:t>
            </w:r>
          </w:p>
        </w:tc>
        <w:tc>
          <w:tcPr>
            <w:tcW w:w="2375" w:type="dxa"/>
          </w:tcPr>
          <w:p w14:paraId="20DD5611" w14:textId="38259506" w:rsidR="00975CEA" w:rsidRPr="00975CEA" w:rsidRDefault="00975CEA" w:rsidP="00975CEA">
            <w:pPr>
              <w:rPr>
                <w:rFonts w:cs="Arial"/>
              </w:rPr>
            </w:pPr>
            <w:r w:rsidRPr="00975CEA">
              <w:rPr>
                <w:rFonts w:cs="Arial"/>
                <w:b/>
                <w:bCs/>
              </w:rPr>
              <w:t xml:space="preserve">Промяна в </w:t>
            </w:r>
            <w:r w:rsidRPr="00975CEA">
              <w:rPr>
                <w:rFonts w:cs="Arial"/>
                <w:b/>
                <w:bCs/>
                <w:lang w:val="en-US"/>
              </w:rPr>
              <w:t>AUC</w:t>
            </w:r>
            <w:r w:rsidRPr="00975CEA">
              <w:rPr>
                <w:rFonts w:cs="Arial"/>
                <w:b/>
                <w:bCs/>
                <w:vertAlign w:val="superscript"/>
              </w:rPr>
              <w:t>а</w:t>
            </w:r>
          </w:p>
        </w:tc>
        <w:tc>
          <w:tcPr>
            <w:tcW w:w="2375" w:type="dxa"/>
          </w:tcPr>
          <w:p w14:paraId="663B8824" w14:textId="14D2C9CB" w:rsidR="00975CEA" w:rsidRPr="00975CEA" w:rsidRDefault="00975CEA" w:rsidP="00975CEA">
            <w:pPr>
              <w:rPr>
                <w:rFonts w:cs="Arial"/>
              </w:rPr>
            </w:pPr>
            <w:r w:rsidRPr="00975CEA">
              <w:rPr>
                <w:rFonts w:cs="Arial"/>
                <w:i/>
                <w:iCs/>
              </w:rPr>
              <w:t xml:space="preserve">Клинична препоръка </w:t>
            </w:r>
          </w:p>
        </w:tc>
      </w:tr>
      <w:tr w:rsidR="00975CEA" w14:paraId="28D62A2F" w14:textId="77777777" w:rsidTr="00D15BDC">
        <w:tc>
          <w:tcPr>
            <w:tcW w:w="2375" w:type="dxa"/>
            <w:vAlign w:val="bottom"/>
          </w:tcPr>
          <w:p w14:paraId="576968B0" w14:textId="3399B0AC" w:rsidR="00975CEA" w:rsidRPr="00975CEA" w:rsidRDefault="00975CEA" w:rsidP="00975CEA">
            <w:pPr>
              <w:rPr>
                <w:rFonts w:cs="Arial"/>
              </w:rPr>
            </w:pPr>
            <w:r w:rsidRPr="00975CEA">
              <w:rPr>
                <w:rFonts w:cs="Arial"/>
              </w:rPr>
              <w:t xml:space="preserve">Типранавир </w:t>
            </w:r>
            <w:r w:rsidRPr="00975CEA">
              <w:rPr>
                <w:rFonts w:cs="Arial"/>
                <w:lang w:val="en-US"/>
              </w:rPr>
              <w:t xml:space="preserve">500 mg </w:t>
            </w:r>
            <w:r w:rsidRPr="00975CEA">
              <w:rPr>
                <w:rFonts w:cs="Arial"/>
              </w:rPr>
              <w:t xml:space="preserve">два пъти дневно/Ритонавир 200 </w:t>
            </w:r>
            <w:r w:rsidRPr="00975CEA">
              <w:rPr>
                <w:rFonts w:cs="Arial"/>
                <w:lang w:val="en-US"/>
              </w:rPr>
              <w:t xml:space="preserve">mg </w:t>
            </w:r>
            <w:r w:rsidRPr="00975CEA">
              <w:rPr>
                <w:rFonts w:cs="Arial"/>
              </w:rPr>
              <w:t>два пъти дневно, 8 дни (от 14 до 21 ден)</w:t>
            </w:r>
          </w:p>
        </w:tc>
        <w:tc>
          <w:tcPr>
            <w:tcW w:w="2375" w:type="dxa"/>
            <w:vAlign w:val="center"/>
          </w:tcPr>
          <w:p w14:paraId="2A1B9066" w14:textId="77777777"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от ден 1,</w:t>
            </w:r>
          </w:p>
          <w:p w14:paraId="01E20441" w14:textId="7E7F71B1"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от ден 20</w:t>
            </w:r>
          </w:p>
        </w:tc>
        <w:tc>
          <w:tcPr>
            <w:tcW w:w="2375" w:type="dxa"/>
            <w:vAlign w:val="center"/>
          </w:tcPr>
          <w:p w14:paraId="56C9DCB2" w14:textId="7A398EEE" w:rsidR="00975CEA" w:rsidRPr="00975CEA" w:rsidRDefault="00975CEA" w:rsidP="00975CEA">
            <w:pPr>
              <w:rPr>
                <w:rFonts w:cs="Arial"/>
              </w:rPr>
            </w:pPr>
            <w:r w:rsidRPr="00975CEA">
              <w:rPr>
                <w:rFonts w:cs="Arial"/>
              </w:rPr>
              <w:t>9,4</w:t>
            </w:r>
          </w:p>
        </w:tc>
        <w:tc>
          <w:tcPr>
            <w:tcW w:w="2375" w:type="dxa"/>
            <w:vMerge w:val="restart"/>
            <w:vAlign w:val="center"/>
          </w:tcPr>
          <w:p w14:paraId="19248384" w14:textId="4E4E7AD3" w:rsidR="00975CEA" w:rsidRPr="00975CEA" w:rsidRDefault="00975CEA" w:rsidP="00975CEA">
            <w:pPr>
              <w:rPr>
                <w:rFonts w:cs="Arial"/>
              </w:rPr>
            </w:pPr>
            <w:r w:rsidRPr="00975CEA">
              <w:rPr>
                <w:rFonts w:cs="Arial"/>
              </w:rPr>
              <w:t xml:space="preserve">Когато е необходимо едновременно прилагане на аторвастатин, да не се превишава дозата от 10 </w:t>
            </w:r>
            <w:r w:rsidRPr="00975CEA">
              <w:rPr>
                <w:rFonts w:cs="Arial"/>
                <w:lang w:val="en-US"/>
              </w:rPr>
              <w:t xml:space="preserve">mg </w:t>
            </w:r>
            <w:r w:rsidRPr="00975CEA">
              <w:rPr>
                <w:rFonts w:cs="Arial"/>
              </w:rPr>
              <w:t>дневно. Препоръчва се клинично проследяване на тези пациенти.</w:t>
            </w:r>
          </w:p>
        </w:tc>
      </w:tr>
      <w:tr w:rsidR="00975CEA" w14:paraId="7C78A62E" w14:textId="77777777" w:rsidTr="00D15BDC">
        <w:tc>
          <w:tcPr>
            <w:tcW w:w="2375" w:type="dxa"/>
            <w:vAlign w:val="bottom"/>
          </w:tcPr>
          <w:p w14:paraId="3B1D0EA3" w14:textId="0D2D3594" w:rsidR="00975CEA" w:rsidRPr="00975CEA" w:rsidRDefault="00975CEA" w:rsidP="00975CEA">
            <w:pPr>
              <w:rPr>
                <w:rFonts w:cs="Arial"/>
              </w:rPr>
            </w:pPr>
            <w:r w:rsidRPr="00975CEA">
              <w:rPr>
                <w:rFonts w:cs="Arial"/>
              </w:rPr>
              <w:t xml:space="preserve">Телапревир 750 </w:t>
            </w:r>
            <w:r w:rsidRPr="00975CEA">
              <w:rPr>
                <w:rFonts w:cs="Arial"/>
                <w:lang w:val="en-US"/>
              </w:rPr>
              <w:t xml:space="preserve">mg </w:t>
            </w:r>
            <w:r w:rsidRPr="00975CEA">
              <w:rPr>
                <w:rFonts w:cs="Arial"/>
              </w:rPr>
              <w:t>на 8 часа за 10 дни</w:t>
            </w:r>
          </w:p>
        </w:tc>
        <w:tc>
          <w:tcPr>
            <w:tcW w:w="2375" w:type="dxa"/>
            <w:vAlign w:val="bottom"/>
          </w:tcPr>
          <w:p w14:paraId="64C75A94" w14:textId="1A6D1EA6" w:rsidR="00975CEA" w:rsidRPr="00975CEA" w:rsidRDefault="00975CEA" w:rsidP="00975CEA">
            <w:pPr>
              <w:rPr>
                <w:rFonts w:cs="Arial"/>
              </w:rPr>
            </w:pPr>
            <w:r w:rsidRPr="00975CEA">
              <w:rPr>
                <w:rFonts w:cs="Arial"/>
              </w:rPr>
              <w:t xml:space="preserve">20 </w:t>
            </w:r>
            <w:r w:rsidRPr="00975CEA">
              <w:rPr>
                <w:rFonts w:cs="Arial"/>
                <w:lang w:val="en-US"/>
              </w:rPr>
              <w:t xml:space="preserve">mg </w:t>
            </w:r>
            <w:r w:rsidRPr="00975CEA">
              <w:rPr>
                <w:rFonts w:cs="Arial"/>
              </w:rPr>
              <w:t>еднократна доза</w:t>
            </w:r>
          </w:p>
        </w:tc>
        <w:tc>
          <w:tcPr>
            <w:tcW w:w="2375" w:type="dxa"/>
            <w:vAlign w:val="bottom"/>
          </w:tcPr>
          <w:p w14:paraId="4EEAD806" w14:textId="673D7C67" w:rsidR="00975CEA" w:rsidRPr="00975CEA" w:rsidRDefault="00975CEA" w:rsidP="00975CEA">
            <w:pPr>
              <w:rPr>
                <w:rFonts w:cs="Arial"/>
              </w:rPr>
            </w:pPr>
            <w:r w:rsidRPr="00975CEA">
              <w:rPr>
                <w:rFonts w:cs="Arial"/>
              </w:rPr>
              <w:t>7,9</w:t>
            </w:r>
          </w:p>
        </w:tc>
        <w:tc>
          <w:tcPr>
            <w:tcW w:w="2375" w:type="dxa"/>
            <w:vMerge/>
            <w:vAlign w:val="center"/>
          </w:tcPr>
          <w:p w14:paraId="226E4C7A" w14:textId="77777777" w:rsidR="00975CEA" w:rsidRPr="00975CEA" w:rsidRDefault="00975CEA" w:rsidP="00975CEA">
            <w:pPr>
              <w:rPr>
                <w:rFonts w:cs="Arial"/>
              </w:rPr>
            </w:pPr>
          </w:p>
        </w:tc>
      </w:tr>
      <w:tr w:rsidR="00975CEA" w14:paraId="746D1B4E" w14:textId="77777777" w:rsidTr="00D15BDC">
        <w:tc>
          <w:tcPr>
            <w:tcW w:w="2375" w:type="dxa"/>
          </w:tcPr>
          <w:p w14:paraId="3B8C25F4" w14:textId="3CDA5ACD" w:rsidR="00975CEA" w:rsidRPr="00975CEA" w:rsidRDefault="00975CEA" w:rsidP="00975CEA">
            <w:pPr>
              <w:rPr>
                <w:rFonts w:cs="Arial"/>
              </w:rPr>
            </w:pPr>
            <w:r w:rsidRPr="00975CEA">
              <w:rPr>
                <w:rFonts w:cs="Arial"/>
              </w:rPr>
              <w:t xml:space="preserve">Циклоспорин 5,2 </w:t>
            </w:r>
            <w:r w:rsidRPr="00975CEA">
              <w:rPr>
                <w:rFonts w:cs="Arial"/>
                <w:lang w:val="en-US"/>
              </w:rPr>
              <w:t>mg/kg</w:t>
            </w:r>
            <w:r w:rsidRPr="00975CEA">
              <w:rPr>
                <w:rFonts w:cs="Arial"/>
              </w:rPr>
              <w:t>/дневно, постоянна доза</w:t>
            </w:r>
          </w:p>
        </w:tc>
        <w:tc>
          <w:tcPr>
            <w:tcW w:w="2375" w:type="dxa"/>
            <w:vAlign w:val="bottom"/>
          </w:tcPr>
          <w:p w14:paraId="0A98C335" w14:textId="1FDA4D15"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 дневно за 28 дни</w:t>
            </w:r>
          </w:p>
        </w:tc>
        <w:tc>
          <w:tcPr>
            <w:tcW w:w="2375" w:type="dxa"/>
            <w:vAlign w:val="center"/>
          </w:tcPr>
          <w:p w14:paraId="21857942" w14:textId="14CBD39B" w:rsidR="00975CEA" w:rsidRPr="00975CEA" w:rsidRDefault="00975CEA" w:rsidP="00975CEA">
            <w:pPr>
              <w:rPr>
                <w:rFonts w:cs="Arial"/>
              </w:rPr>
            </w:pPr>
            <w:r w:rsidRPr="00975CEA">
              <w:rPr>
                <w:rFonts w:cs="Arial"/>
              </w:rPr>
              <w:t>8,7</w:t>
            </w:r>
          </w:p>
        </w:tc>
        <w:tc>
          <w:tcPr>
            <w:tcW w:w="2375" w:type="dxa"/>
            <w:vMerge/>
            <w:vAlign w:val="center"/>
          </w:tcPr>
          <w:p w14:paraId="1889AAE0" w14:textId="77777777" w:rsidR="00975CEA" w:rsidRPr="00975CEA" w:rsidRDefault="00975CEA" w:rsidP="00975CEA">
            <w:pPr>
              <w:rPr>
                <w:rFonts w:cs="Arial"/>
              </w:rPr>
            </w:pPr>
          </w:p>
        </w:tc>
      </w:tr>
      <w:tr w:rsidR="00975CEA" w14:paraId="71D90E7C" w14:textId="77777777" w:rsidTr="00D15BDC">
        <w:tc>
          <w:tcPr>
            <w:tcW w:w="2375" w:type="dxa"/>
            <w:vAlign w:val="center"/>
          </w:tcPr>
          <w:p w14:paraId="18BD6790" w14:textId="6A81A4E4" w:rsidR="00975CEA" w:rsidRPr="00975CEA" w:rsidRDefault="00975CEA" w:rsidP="00975CEA">
            <w:pPr>
              <w:rPr>
                <w:rFonts w:cs="Arial"/>
              </w:rPr>
            </w:pPr>
            <w:r w:rsidRPr="00975CEA">
              <w:rPr>
                <w:rFonts w:cs="Arial"/>
              </w:rPr>
              <w:t xml:space="preserve">Глекапревир 400 </w:t>
            </w:r>
            <w:r w:rsidRPr="00975CEA">
              <w:rPr>
                <w:rFonts w:cs="Arial"/>
                <w:lang w:val="en-US"/>
              </w:rPr>
              <w:t xml:space="preserve">mg </w:t>
            </w:r>
            <w:r w:rsidRPr="00975CEA">
              <w:rPr>
                <w:rFonts w:cs="Arial"/>
              </w:rPr>
              <w:t xml:space="preserve">веднъж дневно/пибрентасвир 120 </w:t>
            </w:r>
            <w:r w:rsidRPr="00975CEA">
              <w:rPr>
                <w:rFonts w:cs="Arial"/>
                <w:lang w:val="en-US"/>
              </w:rPr>
              <w:t xml:space="preserve">mg </w:t>
            </w:r>
            <w:r w:rsidRPr="00975CEA">
              <w:rPr>
                <w:rFonts w:cs="Arial"/>
              </w:rPr>
              <w:t>веднъж дневно, 7 дни</w:t>
            </w:r>
          </w:p>
        </w:tc>
        <w:tc>
          <w:tcPr>
            <w:tcW w:w="2375" w:type="dxa"/>
            <w:vAlign w:val="center"/>
          </w:tcPr>
          <w:p w14:paraId="353ACC44" w14:textId="0A9FB8E4"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 дневно за 7 дни</w:t>
            </w:r>
          </w:p>
        </w:tc>
        <w:tc>
          <w:tcPr>
            <w:tcW w:w="2375" w:type="dxa"/>
            <w:vAlign w:val="center"/>
          </w:tcPr>
          <w:p w14:paraId="2BBB1516" w14:textId="2C84B22F" w:rsidR="00975CEA" w:rsidRPr="00975CEA" w:rsidRDefault="00975CEA" w:rsidP="00975CEA">
            <w:pPr>
              <w:rPr>
                <w:rFonts w:cs="Arial"/>
              </w:rPr>
            </w:pPr>
            <w:r w:rsidRPr="00975CEA">
              <w:rPr>
                <w:rFonts w:cs="Arial"/>
              </w:rPr>
              <w:t>8,3</w:t>
            </w:r>
          </w:p>
        </w:tc>
        <w:tc>
          <w:tcPr>
            <w:tcW w:w="2375" w:type="dxa"/>
            <w:vAlign w:val="bottom"/>
          </w:tcPr>
          <w:p w14:paraId="4324B24D" w14:textId="33CAC685" w:rsidR="00975CEA" w:rsidRPr="00975CEA" w:rsidRDefault="00975CEA" w:rsidP="00975CEA">
            <w:pPr>
              <w:rPr>
                <w:rFonts w:cs="Arial"/>
              </w:rPr>
            </w:pPr>
            <w:r w:rsidRPr="00975CEA">
              <w:rPr>
                <w:rFonts w:cs="Arial"/>
              </w:rPr>
              <w:t>Едновременното прилагане с продукти, съдържащи глекапревир или пибрентасвир, е противопоказано (вж. точка 4.3).</w:t>
            </w:r>
          </w:p>
        </w:tc>
      </w:tr>
      <w:tr w:rsidR="00975CEA" w14:paraId="6BB728ED" w14:textId="77777777" w:rsidTr="00D15BDC">
        <w:tc>
          <w:tcPr>
            <w:tcW w:w="2375" w:type="dxa"/>
            <w:vAlign w:val="bottom"/>
          </w:tcPr>
          <w:p w14:paraId="2F0D9512" w14:textId="79B4871E" w:rsidR="00975CEA" w:rsidRPr="00975CEA" w:rsidRDefault="00975CEA" w:rsidP="00975CEA">
            <w:pPr>
              <w:rPr>
                <w:rFonts w:cs="Arial"/>
              </w:rPr>
            </w:pPr>
            <w:r w:rsidRPr="00975CEA">
              <w:rPr>
                <w:rFonts w:cs="Arial"/>
              </w:rPr>
              <w:t xml:space="preserve">Лопинавир 400 </w:t>
            </w:r>
            <w:r w:rsidRPr="00975CEA">
              <w:rPr>
                <w:rFonts w:cs="Arial"/>
                <w:lang w:val="en-US"/>
              </w:rPr>
              <w:t xml:space="preserve">mg </w:t>
            </w:r>
            <w:r w:rsidRPr="00975CEA">
              <w:rPr>
                <w:rFonts w:cs="Arial"/>
              </w:rPr>
              <w:t xml:space="preserve">два пъти дневно/Ритонавир 100 </w:t>
            </w:r>
            <w:r w:rsidRPr="00975CEA">
              <w:rPr>
                <w:rFonts w:cs="Arial"/>
                <w:lang w:val="en-US"/>
              </w:rPr>
              <w:t xml:space="preserve">mg </w:t>
            </w:r>
            <w:r w:rsidRPr="00975CEA">
              <w:rPr>
                <w:rFonts w:cs="Arial"/>
              </w:rPr>
              <w:t>два пъти дневно, 14 дни</w:t>
            </w:r>
          </w:p>
        </w:tc>
        <w:tc>
          <w:tcPr>
            <w:tcW w:w="2375" w:type="dxa"/>
            <w:vAlign w:val="center"/>
          </w:tcPr>
          <w:p w14:paraId="371CAE47" w14:textId="1DB08622" w:rsidR="00975CEA" w:rsidRPr="00975CEA" w:rsidRDefault="00975CEA" w:rsidP="00975CEA">
            <w:pPr>
              <w:rPr>
                <w:rFonts w:cs="Arial"/>
              </w:rPr>
            </w:pPr>
            <w:r w:rsidRPr="00975CEA">
              <w:rPr>
                <w:rFonts w:cs="Arial"/>
              </w:rPr>
              <w:t xml:space="preserve">20 </w:t>
            </w:r>
            <w:r w:rsidRPr="00975CEA">
              <w:rPr>
                <w:rFonts w:cs="Arial"/>
                <w:lang w:val="en-US"/>
              </w:rPr>
              <w:t xml:space="preserve">mg </w:t>
            </w:r>
            <w:r w:rsidRPr="00975CEA">
              <w:rPr>
                <w:rFonts w:cs="Arial"/>
              </w:rPr>
              <w:t>веднъж дневно за 4 дни</w:t>
            </w:r>
          </w:p>
        </w:tc>
        <w:tc>
          <w:tcPr>
            <w:tcW w:w="2375" w:type="dxa"/>
            <w:vAlign w:val="center"/>
          </w:tcPr>
          <w:p w14:paraId="6256B25B" w14:textId="18168020" w:rsidR="00975CEA" w:rsidRPr="00975CEA" w:rsidRDefault="00975CEA" w:rsidP="00975CEA">
            <w:pPr>
              <w:rPr>
                <w:rFonts w:cs="Arial"/>
              </w:rPr>
            </w:pPr>
            <w:r w:rsidRPr="00975CEA">
              <w:rPr>
                <w:rFonts w:cs="Arial"/>
              </w:rPr>
              <w:t>5,9</w:t>
            </w:r>
          </w:p>
        </w:tc>
        <w:tc>
          <w:tcPr>
            <w:tcW w:w="2375" w:type="dxa"/>
            <w:vMerge w:val="restart"/>
            <w:vAlign w:val="bottom"/>
          </w:tcPr>
          <w:p w14:paraId="330541B9" w14:textId="052EBC4E" w:rsidR="00975CEA" w:rsidRPr="00975CEA" w:rsidRDefault="00975CEA" w:rsidP="00975CEA">
            <w:pPr>
              <w:rPr>
                <w:rFonts w:cs="Arial"/>
              </w:rPr>
            </w:pPr>
            <w:r w:rsidRPr="00975CEA">
              <w:rPr>
                <w:rFonts w:cs="Arial"/>
              </w:rPr>
              <w:t xml:space="preserve">Когато е необходимо едновременно прилагане на аторвастатин, се препоръчва по-ниска поддържаща доза. При дози на аторвастатин над 20 </w:t>
            </w:r>
            <w:r w:rsidRPr="00975CEA">
              <w:rPr>
                <w:rFonts w:cs="Arial"/>
                <w:lang w:val="en-US"/>
              </w:rPr>
              <w:t xml:space="preserve">mg </w:t>
            </w:r>
            <w:r w:rsidRPr="00975CEA">
              <w:rPr>
                <w:rFonts w:cs="Arial"/>
              </w:rPr>
              <w:t>се препоръчва клинично проследяване на пациентите.</w:t>
            </w:r>
          </w:p>
        </w:tc>
      </w:tr>
      <w:tr w:rsidR="00975CEA" w14:paraId="6504263E" w14:textId="77777777" w:rsidTr="00D15BDC">
        <w:tc>
          <w:tcPr>
            <w:tcW w:w="2375" w:type="dxa"/>
            <w:vAlign w:val="center"/>
          </w:tcPr>
          <w:p w14:paraId="6CA9FA51" w14:textId="323E00D3" w:rsidR="00975CEA" w:rsidRPr="00975CEA" w:rsidRDefault="00975CEA" w:rsidP="00975CEA">
            <w:pPr>
              <w:rPr>
                <w:rFonts w:cs="Arial"/>
              </w:rPr>
            </w:pPr>
            <w:r w:rsidRPr="00975CEA">
              <w:rPr>
                <w:rFonts w:cs="Arial"/>
              </w:rPr>
              <w:t xml:space="preserve">Кларитромицин 500 </w:t>
            </w:r>
            <w:r w:rsidRPr="00975CEA">
              <w:rPr>
                <w:rFonts w:cs="Arial"/>
                <w:lang w:val="en-US"/>
              </w:rPr>
              <w:t xml:space="preserve">mg </w:t>
            </w:r>
            <w:r w:rsidRPr="00975CEA">
              <w:rPr>
                <w:rFonts w:cs="Arial"/>
              </w:rPr>
              <w:t>два пъти дневно, 9 дни</w:t>
            </w:r>
          </w:p>
        </w:tc>
        <w:tc>
          <w:tcPr>
            <w:tcW w:w="2375" w:type="dxa"/>
            <w:vAlign w:val="center"/>
          </w:tcPr>
          <w:p w14:paraId="4FF4D6C2" w14:textId="0FB27725" w:rsidR="00975CEA" w:rsidRPr="00975CEA" w:rsidRDefault="00975CEA" w:rsidP="00975CEA">
            <w:pPr>
              <w:rPr>
                <w:rFonts w:cs="Arial"/>
              </w:rPr>
            </w:pPr>
            <w:r w:rsidRPr="00975CEA">
              <w:rPr>
                <w:rFonts w:cs="Arial"/>
              </w:rPr>
              <w:t xml:space="preserve">80 </w:t>
            </w:r>
            <w:r w:rsidRPr="00975CEA">
              <w:rPr>
                <w:rFonts w:cs="Arial"/>
                <w:lang w:val="en-US"/>
              </w:rPr>
              <w:t xml:space="preserve">mg </w:t>
            </w:r>
            <w:r w:rsidRPr="00975CEA">
              <w:rPr>
                <w:rFonts w:cs="Arial"/>
              </w:rPr>
              <w:t>веднъж дневно за 8 дни</w:t>
            </w:r>
          </w:p>
        </w:tc>
        <w:tc>
          <w:tcPr>
            <w:tcW w:w="2375" w:type="dxa"/>
            <w:vAlign w:val="center"/>
          </w:tcPr>
          <w:p w14:paraId="7EDFA884" w14:textId="4C918DC6" w:rsidR="00975CEA" w:rsidRPr="00975CEA" w:rsidRDefault="00975CEA" w:rsidP="00975CEA">
            <w:pPr>
              <w:rPr>
                <w:rFonts w:cs="Arial"/>
              </w:rPr>
            </w:pPr>
            <w:r w:rsidRPr="00975CEA">
              <w:rPr>
                <w:rFonts w:cs="Arial"/>
              </w:rPr>
              <w:t>4,5</w:t>
            </w:r>
          </w:p>
        </w:tc>
        <w:tc>
          <w:tcPr>
            <w:tcW w:w="2375" w:type="dxa"/>
            <w:vMerge/>
          </w:tcPr>
          <w:p w14:paraId="6550BA33" w14:textId="77777777" w:rsidR="00975CEA" w:rsidRPr="00975CEA" w:rsidRDefault="00975CEA" w:rsidP="00975CEA">
            <w:pPr>
              <w:rPr>
                <w:rFonts w:cs="Arial"/>
              </w:rPr>
            </w:pPr>
          </w:p>
        </w:tc>
      </w:tr>
      <w:tr w:rsidR="00975CEA" w14:paraId="5EF5BE78" w14:textId="77777777" w:rsidTr="00D15BDC">
        <w:tc>
          <w:tcPr>
            <w:tcW w:w="2375" w:type="dxa"/>
            <w:vAlign w:val="bottom"/>
          </w:tcPr>
          <w:p w14:paraId="6B3C120E" w14:textId="06F8BBC6" w:rsidR="00975CEA" w:rsidRPr="00975CEA" w:rsidRDefault="00975CEA" w:rsidP="00975CEA">
            <w:pPr>
              <w:rPr>
                <w:rFonts w:cs="Arial"/>
              </w:rPr>
            </w:pPr>
            <w:r w:rsidRPr="00975CEA">
              <w:rPr>
                <w:rFonts w:cs="Arial"/>
              </w:rPr>
              <w:t xml:space="preserve">Саквинавир 400 </w:t>
            </w:r>
            <w:r w:rsidRPr="00975CEA">
              <w:rPr>
                <w:rFonts w:cs="Arial"/>
                <w:lang w:val="en-US"/>
              </w:rPr>
              <w:t xml:space="preserve">mg </w:t>
            </w:r>
            <w:r w:rsidRPr="00975CEA">
              <w:rPr>
                <w:rFonts w:cs="Arial"/>
              </w:rPr>
              <w:t xml:space="preserve">два пъти дневно/Ритонавир </w:t>
            </w:r>
            <w:r w:rsidRPr="00975CEA">
              <w:rPr>
                <w:rFonts w:cs="Arial"/>
              </w:rPr>
              <w:lastRenderedPageBreak/>
              <w:t xml:space="preserve">(300 </w:t>
            </w:r>
            <w:r w:rsidRPr="00975CEA">
              <w:rPr>
                <w:rFonts w:cs="Arial"/>
                <w:lang w:val="en-US"/>
              </w:rPr>
              <w:t xml:space="preserve">mg </w:t>
            </w:r>
            <w:r w:rsidRPr="00975CEA">
              <w:rPr>
                <w:rFonts w:cs="Arial"/>
              </w:rPr>
              <w:t xml:space="preserve">два пъти дневно от 5 до 7 ден, повишен на 400 </w:t>
            </w:r>
            <w:r w:rsidRPr="00975CEA">
              <w:rPr>
                <w:rFonts w:cs="Arial"/>
                <w:lang w:val="en-US"/>
              </w:rPr>
              <w:t xml:space="preserve">mg </w:t>
            </w:r>
            <w:r w:rsidRPr="00975CEA">
              <w:rPr>
                <w:rFonts w:cs="Arial"/>
              </w:rPr>
              <w:t>два пъти дневно на ден 8), дни 4-18, 30 минути след прием на аторвастатин</w:t>
            </w:r>
          </w:p>
        </w:tc>
        <w:tc>
          <w:tcPr>
            <w:tcW w:w="2375" w:type="dxa"/>
            <w:vAlign w:val="center"/>
          </w:tcPr>
          <w:p w14:paraId="7A8D94C0" w14:textId="0F48626A" w:rsidR="00975CEA" w:rsidRPr="00975CEA" w:rsidRDefault="00975CEA" w:rsidP="00975CEA">
            <w:pPr>
              <w:rPr>
                <w:rFonts w:cs="Arial"/>
              </w:rPr>
            </w:pPr>
            <w:r w:rsidRPr="00975CEA">
              <w:rPr>
                <w:rFonts w:cs="Arial"/>
              </w:rPr>
              <w:lastRenderedPageBreak/>
              <w:t xml:space="preserve">40 </w:t>
            </w:r>
            <w:r w:rsidRPr="00975CEA">
              <w:rPr>
                <w:rFonts w:cs="Arial"/>
                <w:lang w:val="en-US"/>
              </w:rPr>
              <w:t xml:space="preserve">mg </w:t>
            </w:r>
            <w:r w:rsidRPr="00975CEA">
              <w:rPr>
                <w:rFonts w:cs="Arial"/>
              </w:rPr>
              <w:t>веднъж дневно за 4 дни</w:t>
            </w:r>
          </w:p>
        </w:tc>
        <w:tc>
          <w:tcPr>
            <w:tcW w:w="2375" w:type="dxa"/>
            <w:vAlign w:val="center"/>
          </w:tcPr>
          <w:p w14:paraId="249078B9" w14:textId="66F43AEC" w:rsidR="00975CEA" w:rsidRPr="00975CEA" w:rsidRDefault="00975CEA" w:rsidP="00975CEA">
            <w:pPr>
              <w:rPr>
                <w:rFonts w:cs="Arial"/>
              </w:rPr>
            </w:pPr>
            <w:r w:rsidRPr="00975CEA">
              <w:rPr>
                <w:rFonts w:cs="Arial"/>
              </w:rPr>
              <w:t>3,9</w:t>
            </w:r>
          </w:p>
        </w:tc>
        <w:tc>
          <w:tcPr>
            <w:tcW w:w="2375" w:type="dxa"/>
            <w:vMerge w:val="restart"/>
            <w:vAlign w:val="center"/>
          </w:tcPr>
          <w:p w14:paraId="55740522" w14:textId="6DF02B09" w:rsidR="00975CEA" w:rsidRPr="00975CEA" w:rsidRDefault="00975CEA" w:rsidP="00975CEA">
            <w:pPr>
              <w:rPr>
                <w:rFonts w:cs="Arial"/>
              </w:rPr>
            </w:pPr>
            <w:r w:rsidRPr="00975CEA">
              <w:rPr>
                <w:rFonts w:cs="Arial"/>
              </w:rPr>
              <w:t xml:space="preserve">Когато е необходимо едновременно </w:t>
            </w:r>
            <w:r w:rsidRPr="00975CEA">
              <w:rPr>
                <w:rFonts w:cs="Arial"/>
              </w:rPr>
              <w:lastRenderedPageBreak/>
              <w:t xml:space="preserve">прилагане на аторвастатин, се препоръчва по-ниска поддържаща доза. При дози на аторвастатин над 40 </w:t>
            </w:r>
            <w:r w:rsidRPr="00975CEA">
              <w:rPr>
                <w:rFonts w:cs="Arial"/>
                <w:lang w:val="en-US"/>
              </w:rPr>
              <w:t xml:space="preserve">mg </w:t>
            </w:r>
            <w:r w:rsidRPr="00975CEA">
              <w:rPr>
                <w:rFonts w:cs="Arial"/>
              </w:rPr>
              <w:t>се препоръчва клинично проследяване на пациентите.</w:t>
            </w:r>
          </w:p>
        </w:tc>
      </w:tr>
      <w:tr w:rsidR="00975CEA" w14:paraId="0D5D2E44" w14:textId="77777777" w:rsidTr="00D15BDC">
        <w:tc>
          <w:tcPr>
            <w:tcW w:w="2375" w:type="dxa"/>
            <w:vAlign w:val="bottom"/>
          </w:tcPr>
          <w:p w14:paraId="1498E8A0" w14:textId="1AB6D90B" w:rsidR="00975CEA" w:rsidRPr="00975CEA" w:rsidRDefault="00975CEA" w:rsidP="00975CEA">
            <w:pPr>
              <w:rPr>
                <w:rFonts w:cs="Arial"/>
              </w:rPr>
            </w:pPr>
            <w:r w:rsidRPr="00975CEA">
              <w:rPr>
                <w:rFonts w:cs="Arial"/>
              </w:rPr>
              <w:lastRenderedPageBreak/>
              <w:t xml:space="preserve">Дарунавир 300 </w:t>
            </w:r>
            <w:r w:rsidRPr="00975CEA">
              <w:rPr>
                <w:rFonts w:cs="Arial"/>
                <w:lang w:val="en-US"/>
              </w:rPr>
              <w:t xml:space="preserve">mg </w:t>
            </w:r>
            <w:r w:rsidRPr="00975CEA">
              <w:rPr>
                <w:rFonts w:cs="Arial"/>
              </w:rPr>
              <w:t xml:space="preserve">два пъти дневно/Ритонавир 100 </w:t>
            </w:r>
            <w:r w:rsidRPr="00975CEA">
              <w:rPr>
                <w:rFonts w:cs="Arial"/>
                <w:lang w:val="en-US"/>
              </w:rPr>
              <w:t xml:space="preserve">mg </w:t>
            </w:r>
            <w:r w:rsidRPr="00975CEA">
              <w:rPr>
                <w:rFonts w:cs="Arial"/>
              </w:rPr>
              <w:t>два пъти дневно, 9 дни</w:t>
            </w:r>
          </w:p>
        </w:tc>
        <w:tc>
          <w:tcPr>
            <w:tcW w:w="2375" w:type="dxa"/>
            <w:vAlign w:val="center"/>
          </w:tcPr>
          <w:p w14:paraId="4920EC3C" w14:textId="73B13E81"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 дневно за 4 дни</w:t>
            </w:r>
          </w:p>
        </w:tc>
        <w:tc>
          <w:tcPr>
            <w:tcW w:w="2375" w:type="dxa"/>
            <w:vAlign w:val="center"/>
          </w:tcPr>
          <w:p w14:paraId="0F1396C9" w14:textId="71B7CDF3" w:rsidR="00975CEA" w:rsidRPr="00975CEA" w:rsidRDefault="00975CEA" w:rsidP="00975CEA">
            <w:pPr>
              <w:rPr>
                <w:rFonts w:cs="Arial"/>
              </w:rPr>
            </w:pPr>
            <w:r w:rsidRPr="00975CEA">
              <w:rPr>
                <w:rFonts w:cs="Arial"/>
              </w:rPr>
              <w:t>3,4</w:t>
            </w:r>
          </w:p>
        </w:tc>
        <w:tc>
          <w:tcPr>
            <w:tcW w:w="2375" w:type="dxa"/>
            <w:vMerge/>
            <w:vAlign w:val="center"/>
          </w:tcPr>
          <w:p w14:paraId="7D8C6074" w14:textId="77777777" w:rsidR="00975CEA" w:rsidRPr="00975CEA" w:rsidRDefault="00975CEA" w:rsidP="00975CEA">
            <w:pPr>
              <w:rPr>
                <w:rFonts w:cs="Arial"/>
              </w:rPr>
            </w:pPr>
          </w:p>
        </w:tc>
      </w:tr>
      <w:tr w:rsidR="00975CEA" w14:paraId="64D0ACC9" w14:textId="77777777" w:rsidTr="00D15BDC">
        <w:tc>
          <w:tcPr>
            <w:tcW w:w="2375" w:type="dxa"/>
            <w:vAlign w:val="bottom"/>
          </w:tcPr>
          <w:p w14:paraId="4AC49E60" w14:textId="3364E37B" w:rsidR="00975CEA" w:rsidRPr="00975CEA" w:rsidRDefault="00975CEA" w:rsidP="00975CEA">
            <w:pPr>
              <w:rPr>
                <w:rFonts w:cs="Arial"/>
              </w:rPr>
            </w:pPr>
            <w:r w:rsidRPr="00975CEA">
              <w:rPr>
                <w:rFonts w:cs="Arial"/>
              </w:rPr>
              <w:t xml:space="preserve">Итраконазол 200 </w:t>
            </w:r>
            <w:r w:rsidRPr="00975CEA">
              <w:rPr>
                <w:rFonts w:cs="Arial"/>
                <w:lang w:val="en-US"/>
              </w:rPr>
              <w:t xml:space="preserve">mg </w:t>
            </w:r>
            <w:r w:rsidRPr="00975CEA">
              <w:rPr>
                <w:rFonts w:cs="Arial"/>
              </w:rPr>
              <w:t>веднъж дневно, 4 дни</w:t>
            </w:r>
          </w:p>
        </w:tc>
        <w:tc>
          <w:tcPr>
            <w:tcW w:w="2375" w:type="dxa"/>
            <w:vAlign w:val="bottom"/>
          </w:tcPr>
          <w:p w14:paraId="73FCA123" w14:textId="4077B76E"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еднократна доза</w:t>
            </w:r>
          </w:p>
        </w:tc>
        <w:tc>
          <w:tcPr>
            <w:tcW w:w="2375" w:type="dxa"/>
            <w:vAlign w:val="bottom"/>
          </w:tcPr>
          <w:p w14:paraId="3DBEBADE" w14:textId="4BC4D751" w:rsidR="00975CEA" w:rsidRPr="00975CEA" w:rsidRDefault="00975CEA" w:rsidP="00975CEA">
            <w:pPr>
              <w:rPr>
                <w:rFonts w:cs="Arial"/>
              </w:rPr>
            </w:pPr>
            <w:r w:rsidRPr="00975CEA">
              <w:rPr>
                <w:rFonts w:cs="Arial"/>
              </w:rPr>
              <w:t>3,3</w:t>
            </w:r>
          </w:p>
        </w:tc>
        <w:tc>
          <w:tcPr>
            <w:tcW w:w="2375" w:type="dxa"/>
            <w:vMerge/>
            <w:vAlign w:val="center"/>
          </w:tcPr>
          <w:p w14:paraId="5913B9ED" w14:textId="77777777" w:rsidR="00975CEA" w:rsidRPr="00975CEA" w:rsidRDefault="00975CEA" w:rsidP="00975CEA">
            <w:pPr>
              <w:rPr>
                <w:rFonts w:cs="Arial"/>
              </w:rPr>
            </w:pPr>
          </w:p>
        </w:tc>
      </w:tr>
      <w:tr w:rsidR="00975CEA" w14:paraId="3F4C67EA" w14:textId="77777777" w:rsidTr="00D15BDC">
        <w:tc>
          <w:tcPr>
            <w:tcW w:w="2375" w:type="dxa"/>
            <w:vAlign w:val="bottom"/>
          </w:tcPr>
          <w:p w14:paraId="3481863E" w14:textId="59852EE4" w:rsidR="00975CEA" w:rsidRPr="00975CEA" w:rsidRDefault="00975CEA" w:rsidP="00975CEA">
            <w:pPr>
              <w:rPr>
                <w:rFonts w:cs="Arial"/>
              </w:rPr>
            </w:pPr>
            <w:r w:rsidRPr="00975CEA">
              <w:rPr>
                <w:rFonts w:cs="Arial"/>
              </w:rPr>
              <w:t xml:space="preserve">Фозампренавир 700 </w:t>
            </w:r>
            <w:r w:rsidRPr="00975CEA">
              <w:rPr>
                <w:rFonts w:cs="Arial"/>
                <w:lang w:val="en-US"/>
              </w:rPr>
              <w:t xml:space="preserve">mg </w:t>
            </w:r>
            <w:r w:rsidRPr="00975CEA">
              <w:rPr>
                <w:rFonts w:cs="Arial"/>
              </w:rPr>
              <w:t xml:space="preserve">два пъти дневно/Ритонавир 100 </w:t>
            </w:r>
            <w:r w:rsidRPr="00975CEA">
              <w:rPr>
                <w:rFonts w:cs="Arial"/>
                <w:lang w:val="en-US"/>
              </w:rPr>
              <w:t xml:space="preserve">mg </w:t>
            </w:r>
            <w:r w:rsidRPr="00975CEA">
              <w:rPr>
                <w:rFonts w:cs="Arial"/>
              </w:rPr>
              <w:t>два пъти дневно, 14 дни</w:t>
            </w:r>
          </w:p>
        </w:tc>
        <w:tc>
          <w:tcPr>
            <w:tcW w:w="2375" w:type="dxa"/>
            <w:vAlign w:val="center"/>
          </w:tcPr>
          <w:p w14:paraId="6807CF97" w14:textId="6564D351"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 дневно за 4 дни</w:t>
            </w:r>
          </w:p>
        </w:tc>
        <w:tc>
          <w:tcPr>
            <w:tcW w:w="2375" w:type="dxa"/>
            <w:vAlign w:val="center"/>
          </w:tcPr>
          <w:p w14:paraId="0EB3B03F" w14:textId="680BB93E" w:rsidR="00975CEA" w:rsidRPr="00975CEA" w:rsidRDefault="00975CEA" w:rsidP="00975CEA">
            <w:pPr>
              <w:rPr>
                <w:rFonts w:cs="Arial"/>
              </w:rPr>
            </w:pPr>
            <w:r w:rsidRPr="00975CEA">
              <w:rPr>
                <w:rFonts w:cs="Arial"/>
              </w:rPr>
              <w:t>2,5</w:t>
            </w:r>
          </w:p>
        </w:tc>
        <w:tc>
          <w:tcPr>
            <w:tcW w:w="2375" w:type="dxa"/>
            <w:vMerge/>
            <w:vAlign w:val="center"/>
          </w:tcPr>
          <w:p w14:paraId="1E7D12F1" w14:textId="77777777" w:rsidR="00975CEA" w:rsidRPr="00975CEA" w:rsidRDefault="00975CEA" w:rsidP="00975CEA">
            <w:pPr>
              <w:rPr>
                <w:rFonts w:cs="Arial"/>
              </w:rPr>
            </w:pPr>
          </w:p>
        </w:tc>
      </w:tr>
      <w:tr w:rsidR="00975CEA" w14:paraId="42A2BC49" w14:textId="77777777" w:rsidTr="00D15BDC">
        <w:tc>
          <w:tcPr>
            <w:tcW w:w="2375" w:type="dxa"/>
          </w:tcPr>
          <w:p w14:paraId="713B56F8" w14:textId="24CE722A" w:rsidR="00975CEA" w:rsidRPr="00975CEA" w:rsidRDefault="00975CEA" w:rsidP="00975CEA">
            <w:pPr>
              <w:rPr>
                <w:rFonts w:cs="Arial"/>
              </w:rPr>
            </w:pPr>
            <w:r w:rsidRPr="00975CEA">
              <w:rPr>
                <w:rFonts w:cs="Arial"/>
              </w:rPr>
              <w:t xml:space="preserve">Фозампренавир 1400 </w:t>
            </w:r>
            <w:r w:rsidRPr="00975CEA">
              <w:rPr>
                <w:rFonts w:cs="Arial"/>
                <w:lang w:val="en-US"/>
              </w:rPr>
              <w:t xml:space="preserve">mg </w:t>
            </w:r>
            <w:r w:rsidRPr="00975CEA">
              <w:rPr>
                <w:rFonts w:cs="Arial"/>
              </w:rPr>
              <w:t>два пъти дневно, 14 дни</w:t>
            </w:r>
          </w:p>
        </w:tc>
        <w:tc>
          <w:tcPr>
            <w:tcW w:w="2375" w:type="dxa"/>
          </w:tcPr>
          <w:p w14:paraId="0C845591" w14:textId="1EFE8BA7"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 дневно за 4 дни</w:t>
            </w:r>
          </w:p>
        </w:tc>
        <w:tc>
          <w:tcPr>
            <w:tcW w:w="2375" w:type="dxa"/>
            <w:vAlign w:val="bottom"/>
          </w:tcPr>
          <w:p w14:paraId="4BD35DB0" w14:textId="264049B4" w:rsidR="00975CEA" w:rsidRPr="00975CEA" w:rsidRDefault="00975CEA" w:rsidP="00975CEA">
            <w:pPr>
              <w:rPr>
                <w:rFonts w:cs="Arial"/>
              </w:rPr>
            </w:pPr>
            <w:r w:rsidRPr="00975CEA">
              <w:rPr>
                <w:rFonts w:cs="Arial"/>
              </w:rPr>
              <w:t>2,3</w:t>
            </w:r>
          </w:p>
        </w:tc>
        <w:tc>
          <w:tcPr>
            <w:tcW w:w="2375" w:type="dxa"/>
            <w:vMerge/>
            <w:vAlign w:val="center"/>
          </w:tcPr>
          <w:p w14:paraId="06BE03C1" w14:textId="77777777" w:rsidR="00975CEA" w:rsidRPr="00975CEA" w:rsidRDefault="00975CEA" w:rsidP="00975CEA">
            <w:pPr>
              <w:rPr>
                <w:rFonts w:cs="Arial"/>
              </w:rPr>
            </w:pPr>
          </w:p>
        </w:tc>
      </w:tr>
      <w:tr w:rsidR="00975CEA" w14:paraId="6A5A2993" w14:textId="77777777" w:rsidTr="00D15BDC">
        <w:tc>
          <w:tcPr>
            <w:tcW w:w="2375" w:type="dxa"/>
            <w:vAlign w:val="center"/>
          </w:tcPr>
          <w:p w14:paraId="781E06B2" w14:textId="0B585589" w:rsidR="00975CEA" w:rsidRPr="00975CEA" w:rsidRDefault="00975CEA" w:rsidP="00975CEA">
            <w:pPr>
              <w:rPr>
                <w:rFonts w:cs="Arial"/>
              </w:rPr>
            </w:pPr>
            <w:r w:rsidRPr="00975CEA">
              <w:rPr>
                <w:rFonts w:cs="Arial"/>
              </w:rPr>
              <w:t xml:space="preserve">Елбасвир 50 </w:t>
            </w:r>
            <w:r w:rsidRPr="00975CEA">
              <w:rPr>
                <w:rFonts w:cs="Arial"/>
                <w:lang w:val="en-US"/>
              </w:rPr>
              <w:t xml:space="preserve">mg </w:t>
            </w:r>
            <w:r w:rsidRPr="00975CEA">
              <w:rPr>
                <w:rFonts w:cs="Arial"/>
              </w:rPr>
              <w:t xml:space="preserve">веднъж дневно/гразопревир 200 </w:t>
            </w:r>
            <w:r w:rsidRPr="00975CEA">
              <w:rPr>
                <w:rFonts w:cs="Arial"/>
                <w:lang w:val="en-US"/>
              </w:rPr>
              <w:t xml:space="preserve">mg </w:t>
            </w:r>
            <w:r w:rsidRPr="00975CEA">
              <w:rPr>
                <w:rFonts w:cs="Arial"/>
              </w:rPr>
              <w:t>веднъж дневно, 13 дни</w:t>
            </w:r>
          </w:p>
        </w:tc>
        <w:tc>
          <w:tcPr>
            <w:tcW w:w="2375" w:type="dxa"/>
            <w:vAlign w:val="center"/>
          </w:tcPr>
          <w:p w14:paraId="32F3D420" w14:textId="56D625C3"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единична доза</w:t>
            </w:r>
          </w:p>
        </w:tc>
        <w:tc>
          <w:tcPr>
            <w:tcW w:w="2375" w:type="dxa"/>
            <w:vAlign w:val="center"/>
          </w:tcPr>
          <w:p w14:paraId="4F1D9409" w14:textId="70737E22" w:rsidR="00975CEA" w:rsidRPr="00975CEA" w:rsidRDefault="00975CEA" w:rsidP="00975CEA">
            <w:pPr>
              <w:rPr>
                <w:rFonts w:cs="Arial"/>
              </w:rPr>
            </w:pPr>
            <w:r w:rsidRPr="00975CEA">
              <w:rPr>
                <w:rFonts w:cs="Arial"/>
              </w:rPr>
              <w:t>1,95</w:t>
            </w:r>
          </w:p>
        </w:tc>
        <w:tc>
          <w:tcPr>
            <w:tcW w:w="2375" w:type="dxa"/>
            <w:vAlign w:val="bottom"/>
          </w:tcPr>
          <w:p w14:paraId="3CC4F0E4" w14:textId="31AFE4FE" w:rsidR="00975CEA" w:rsidRPr="00975CEA" w:rsidRDefault="00975CEA" w:rsidP="00975CEA">
            <w:pPr>
              <w:rPr>
                <w:rFonts w:cs="Arial"/>
              </w:rPr>
            </w:pPr>
            <w:r w:rsidRPr="00975CEA">
              <w:rPr>
                <w:rFonts w:cs="Arial"/>
              </w:rPr>
              <w:t xml:space="preserve">Дозата на аторвастатин не трябва да превишава дневна доза от 20 </w:t>
            </w:r>
            <w:r w:rsidRPr="00975CEA">
              <w:rPr>
                <w:rFonts w:cs="Arial"/>
                <w:lang w:val="en-US"/>
              </w:rPr>
              <w:t xml:space="preserve">mg </w:t>
            </w:r>
            <w:r w:rsidRPr="00975CEA">
              <w:rPr>
                <w:rFonts w:cs="Arial"/>
              </w:rPr>
              <w:t>при едновременно прилагане на продукти, съдържащи елбасвир или гразопревир.</w:t>
            </w:r>
          </w:p>
        </w:tc>
      </w:tr>
      <w:tr w:rsidR="00975CEA" w14:paraId="6DA79D28" w14:textId="77777777" w:rsidTr="00D15BDC">
        <w:tc>
          <w:tcPr>
            <w:tcW w:w="2375" w:type="dxa"/>
            <w:vAlign w:val="center"/>
          </w:tcPr>
          <w:p w14:paraId="1FF9E8EF" w14:textId="19BAC575" w:rsidR="00975CEA" w:rsidRPr="00975CEA" w:rsidRDefault="00975CEA" w:rsidP="00975CEA">
            <w:pPr>
              <w:rPr>
                <w:rFonts w:cs="Arial"/>
              </w:rPr>
            </w:pPr>
            <w:r w:rsidRPr="00975CEA">
              <w:rPr>
                <w:rFonts w:cs="Arial"/>
              </w:rPr>
              <w:t xml:space="preserve">Летермовир 480 </w:t>
            </w:r>
            <w:r w:rsidRPr="00975CEA">
              <w:rPr>
                <w:rFonts w:cs="Arial"/>
                <w:lang w:val="en-US"/>
              </w:rPr>
              <w:t xml:space="preserve">mg </w:t>
            </w:r>
            <w:r w:rsidRPr="00975CEA">
              <w:rPr>
                <w:rFonts w:cs="Arial"/>
              </w:rPr>
              <w:t>веднъж дневно, 10 дни</w:t>
            </w:r>
          </w:p>
        </w:tc>
        <w:tc>
          <w:tcPr>
            <w:tcW w:w="2375" w:type="dxa"/>
            <w:vAlign w:val="center"/>
          </w:tcPr>
          <w:p w14:paraId="5169EE51" w14:textId="2D35CA95" w:rsidR="00975CEA" w:rsidRPr="00975CEA" w:rsidRDefault="00975CEA" w:rsidP="00975CEA">
            <w:pPr>
              <w:rPr>
                <w:rFonts w:cs="Arial"/>
              </w:rPr>
            </w:pPr>
            <w:r w:rsidRPr="00975CEA">
              <w:rPr>
                <w:rFonts w:cs="Arial"/>
              </w:rPr>
              <w:t xml:space="preserve">20 </w:t>
            </w:r>
            <w:r w:rsidRPr="00975CEA">
              <w:rPr>
                <w:rFonts w:cs="Arial"/>
                <w:lang w:val="en-US"/>
              </w:rPr>
              <w:t xml:space="preserve">mg </w:t>
            </w:r>
            <w:r w:rsidRPr="00975CEA">
              <w:rPr>
                <w:rFonts w:cs="Arial"/>
              </w:rPr>
              <w:t>единична доза</w:t>
            </w:r>
          </w:p>
        </w:tc>
        <w:tc>
          <w:tcPr>
            <w:tcW w:w="2375" w:type="dxa"/>
            <w:vAlign w:val="center"/>
          </w:tcPr>
          <w:p w14:paraId="67E87CEE" w14:textId="03A98EFF" w:rsidR="00975CEA" w:rsidRPr="00975CEA" w:rsidRDefault="00975CEA" w:rsidP="00975CEA">
            <w:pPr>
              <w:rPr>
                <w:rFonts w:cs="Arial"/>
              </w:rPr>
            </w:pPr>
            <w:r w:rsidRPr="00975CEA">
              <w:rPr>
                <w:rFonts w:cs="Arial"/>
              </w:rPr>
              <w:t>3,29</w:t>
            </w:r>
          </w:p>
        </w:tc>
        <w:tc>
          <w:tcPr>
            <w:tcW w:w="2375" w:type="dxa"/>
            <w:vAlign w:val="bottom"/>
          </w:tcPr>
          <w:p w14:paraId="5D0D98B1" w14:textId="43F0AD54" w:rsidR="00975CEA" w:rsidRPr="00975CEA" w:rsidRDefault="00975CEA" w:rsidP="00975CEA">
            <w:pPr>
              <w:rPr>
                <w:rFonts w:cs="Arial"/>
              </w:rPr>
            </w:pPr>
            <w:r w:rsidRPr="00975CEA">
              <w:rPr>
                <w:rFonts w:cs="Arial"/>
              </w:rPr>
              <w:t>Дозата на аторваст</w:t>
            </w:r>
            <w:r w:rsidRPr="00975CEA">
              <w:rPr>
                <w:rFonts w:cs="Arial"/>
                <w:u w:val="single"/>
              </w:rPr>
              <w:t>атин н</w:t>
            </w:r>
            <w:r w:rsidRPr="00975CEA">
              <w:rPr>
                <w:rFonts w:cs="Arial"/>
              </w:rPr>
              <w:t xml:space="preserve">е трябва да превишава дневна доза от 20 </w:t>
            </w:r>
            <w:r w:rsidRPr="00975CEA">
              <w:rPr>
                <w:rFonts w:cs="Arial"/>
                <w:lang w:val="en-US"/>
              </w:rPr>
              <w:t xml:space="preserve">mg </w:t>
            </w:r>
            <w:r w:rsidRPr="00975CEA">
              <w:rPr>
                <w:rFonts w:cs="Arial"/>
              </w:rPr>
              <w:t>при едновременно прилагане на продукти, съдържащи летермовир.</w:t>
            </w:r>
          </w:p>
        </w:tc>
      </w:tr>
      <w:tr w:rsidR="00975CEA" w14:paraId="77C61144" w14:textId="77777777" w:rsidTr="00D15BDC">
        <w:trPr>
          <w:trHeight w:val="770"/>
        </w:trPr>
        <w:tc>
          <w:tcPr>
            <w:tcW w:w="2375" w:type="dxa"/>
          </w:tcPr>
          <w:p w14:paraId="391F89CE" w14:textId="77777777" w:rsidR="00975CEA" w:rsidRPr="00975CEA" w:rsidRDefault="00975CEA" w:rsidP="00975CEA">
            <w:pPr>
              <w:rPr>
                <w:rFonts w:cs="Arial"/>
              </w:rPr>
            </w:pPr>
            <w:r w:rsidRPr="00975CEA">
              <w:rPr>
                <w:rFonts w:cs="Arial"/>
              </w:rPr>
              <w:t xml:space="preserve">Нелфинавир 1250 </w:t>
            </w:r>
            <w:r w:rsidRPr="00975CEA">
              <w:rPr>
                <w:rFonts w:cs="Arial"/>
                <w:lang w:val="en-US"/>
              </w:rPr>
              <w:t xml:space="preserve">mg </w:t>
            </w:r>
            <w:r w:rsidRPr="00975CEA">
              <w:rPr>
                <w:rFonts w:cs="Arial"/>
              </w:rPr>
              <w:t>два</w:t>
            </w:r>
          </w:p>
          <w:p w14:paraId="52450616" w14:textId="09F67EA7" w:rsidR="00975CEA" w:rsidRPr="00975CEA" w:rsidRDefault="00975CEA" w:rsidP="00975CEA">
            <w:pPr>
              <w:rPr>
                <w:rFonts w:cs="Arial"/>
              </w:rPr>
            </w:pPr>
            <w:r w:rsidRPr="00975CEA">
              <w:rPr>
                <w:rFonts w:cs="Arial"/>
              </w:rPr>
              <w:t>пъти дневно, 14 дни</w:t>
            </w:r>
          </w:p>
        </w:tc>
        <w:tc>
          <w:tcPr>
            <w:tcW w:w="2375" w:type="dxa"/>
          </w:tcPr>
          <w:p w14:paraId="0CF6719A" w14:textId="77777777"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w:t>
            </w:r>
          </w:p>
          <w:p w14:paraId="3D074BE4" w14:textId="6570CC54" w:rsidR="00975CEA" w:rsidRPr="00975CEA" w:rsidRDefault="00975CEA" w:rsidP="00975CEA">
            <w:pPr>
              <w:rPr>
                <w:rFonts w:cs="Arial"/>
              </w:rPr>
            </w:pPr>
            <w:r w:rsidRPr="00975CEA">
              <w:rPr>
                <w:rFonts w:cs="Arial"/>
              </w:rPr>
              <w:t>дневно за 28 дни</w:t>
            </w:r>
          </w:p>
        </w:tc>
        <w:tc>
          <w:tcPr>
            <w:tcW w:w="2375" w:type="dxa"/>
          </w:tcPr>
          <w:p w14:paraId="5BF731C2" w14:textId="7F7EB8CE" w:rsidR="00975CEA" w:rsidRPr="00975CEA" w:rsidRDefault="00975CEA" w:rsidP="00975CEA">
            <w:pPr>
              <w:rPr>
                <w:rFonts w:cs="Arial"/>
              </w:rPr>
            </w:pPr>
            <w:r w:rsidRPr="00975CEA">
              <w:rPr>
                <w:rFonts w:cs="Arial"/>
              </w:rPr>
              <w:t>1,74</w:t>
            </w:r>
          </w:p>
        </w:tc>
        <w:tc>
          <w:tcPr>
            <w:tcW w:w="2375" w:type="dxa"/>
          </w:tcPr>
          <w:p w14:paraId="353CC7B4" w14:textId="03364D2E" w:rsidR="00975CEA" w:rsidRPr="00975CEA" w:rsidRDefault="00975CEA" w:rsidP="00975CEA">
            <w:pPr>
              <w:rPr>
                <w:rFonts w:cs="Arial"/>
              </w:rPr>
            </w:pPr>
            <w:r w:rsidRPr="00975CEA">
              <w:rPr>
                <w:rFonts w:cs="Arial"/>
              </w:rPr>
              <w:t>Няма специални препоръки.</w:t>
            </w:r>
          </w:p>
        </w:tc>
      </w:tr>
      <w:tr w:rsidR="00975CEA" w14:paraId="538E0074" w14:textId="77777777" w:rsidTr="00FF02DA">
        <w:tc>
          <w:tcPr>
            <w:tcW w:w="2375" w:type="dxa"/>
          </w:tcPr>
          <w:p w14:paraId="68FDE8CE" w14:textId="795280FA" w:rsidR="00975CEA" w:rsidRPr="00975CEA" w:rsidRDefault="00975CEA" w:rsidP="00975CEA">
            <w:pPr>
              <w:rPr>
                <w:rFonts w:cs="Arial"/>
              </w:rPr>
            </w:pPr>
            <w:r w:rsidRPr="00975CEA">
              <w:rPr>
                <w:rFonts w:cs="Arial"/>
              </w:rPr>
              <w:lastRenderedPageBreak/>
              <w:t xml:space="preserve">Сок от грейпфрут, 240 </w:t>
            </w:r>
            <w:r w:rsidRPr="00975CEA">
              <w:rPr>
                <w:rFonts w:cs="Arial"/>
                <w:lang w:val="en-US"/>
              </w:rPr>
              <w:t xml:space="preserve">ml, </w:t>
            </w:r>
            <w:r w:rsidRPr="00975CEA">
              <w:rPr>
                <w:rFonts w:cs="Arial"/>
              </w:rPr>
              <w:t>веднъж дневно</w:t>
            </w:r>
            <w:r w:rsidRPr="00975CEA">
              <w:rPr>
                <w:rFonts w:cs="Arial"/>
                <w:vertAlign w:val="superscript"/>
              </w:rPr>
              <w:t>0</w:t>
            </w:r>
          </w:p>
        </w:tc>
        <w:tc>
          <w:tcPr>
            <w:tcW w:w="2375" w:type="dxa"/>
          </w:tcPr>
          <w:p w14:paraId="6FD90432" w14:textId="6D2AEBEE"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еднократна доза</w:t>
            </w:r>
          </w:p>
        </w:tc>
        <w:tc>
          <w:tcPr>
            <w:tcW w:w="2375" w:type="dxa"/>
          </w:tcPr>
          <w:p w14:paraId="7382D870" w14:textId="22AA0612" w:rsidR="00975CEA" w:rsidRPr="00975CEA" w:rsidRDefault="00975CEA" w:rsidP="00975CEA">
            <w:pPr>
              <w:rPr>
                <w:rFonts w:cs="Arial"/>
              </w:rPr>
            </w:pPr>
            <w:r w:rsidRPr="00975CEA">
              <w:rPr>
                <w:rFonts w:cs="Arial"/>
              </w:rPr>
              <w:t>1,37</w:t>
            </w:r>
          </w:p>
        </w:tc>
        <w:tc>
          <w:tcPr>
            <w:tcW w:w="2375" w:type="dxa"/>
          </w:tcPr>
          <w:p w14:paraId="7DB63EA3" w14:textId="6FB796B6" w:rsidR="00975CEA" w:rsidRPr="00975CEA" w:rsidRDefault="00975CEA" w:rsidP="00975CEA">
            <w:pPr>
              <w:rPr>
                <w:rFonts w:cs="Arial"/>
              </w:rPr>
            </w:pPr>
            <w:r w:rsidRPr="00975CEA">
              <w:rPr>
                <w:rFonts w:cs="Arial"/>
              </w:rPr>
              <w:t>Не се препоръчва едновременен прием на големи количества сок от грейпфрут и аторвастатин.</w:t>
            </w:r>
          </w:p>
        </w:tc>
      </w:tr>
      <w:tr w:rsidR="00975CEA" w14:paraId="50653427" w14:textId="77777777" w:rsidTr="00FF02DA">
        <w:tc>
          <w:tcPr>
            <w:tcW w:w="2375" w:type="dxa"/>
          </w:tcPr>
          <w:p w14:paraId="09B44B1E" w14:textId="711DAA77" w:rsidR="00975CEA" w:rsidRPr="00975CEA" w:rsidRDefault="00975CEA" w:rsidP="00975CEA">
            <w:pPr>
              <w:rPr>
                <w:rFonts w:cs="Arial"/>
              </w:rPr>
            </w:pPr>
            <w:r w:rsidRPr="00975CEA">
              <w:rPr>
                <w:rFonts w:cs="Arial"/>
              </w:rPr>
              <w:t xml:space="preserve">Дилтиазем 240 </w:t>
            </w:r>
            <w:r w:rsidRPr="00975CEA">
              <w:rPr>
                <w:rFonts w:cs="Arial"/>
                <w:lang w:val="en-US"/>
              </w:rPr>
              <w:t xml:space="preserve">mg </w:t>
            </w:r>
            <w:r w:rsidRPr="00975CEA">
              <w:rPr>
                <w:rFonts w:cs="Arial"/>
              </w:rPr>
              <w:t>веднъж дневно, 28 дни</w:t>
            </w:r>
          </w:p>
        </w:tc>
        <w:tc>
          <w:tcPr>
            <w:tcW w:w="2375" w:type="dxa"/>
          </w:tcPr>
          <w:p w14:paraId="64B283BB" w14:textId="1A219C3B"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еднократна доза</w:t>
            </w:r>
          </w:p>
        </w:tc>
        <w:tc>
          <w:tcPr>
            <w:tcW w:w="2375" w:type="dxa"/>
          </w:tcPr>
          <w:p w14:paraId="2F7481DD" w14:textId="167346CC" w:rsidR="00975CEA" w:rsidRPr="00975CEA" w:rsidRDefault="00975CEA" w:rsidP="00975CEA">
            <w:pPr>
              <w:rPr>
                <w:rFonts w:cs="Arial"/>
              </w:rPr>
            </w:pPr>
            <w:r w:rsidRPr="00975CEA">
              <w:rPr>
                <w:rFonts w:cs="Arial"/>
              </w:rPr>
              <w:t>1,51</w:t>
            </w:r>
          </w:p>
        </w:tc>
        <w:tc>
          <w:tcPr>
            <w:tcW w:w="2375" w:type="dxa"/>
          </w:tcPr>
          <w:p w14:paraId="23A6C877" w14:textId="5F6FBEE6" w:rsidR="00975CEA" w:rsidRPr="00975CEA" w:rsidRDefault="00975CEA" w:rsidP="00975CEA">
            <w:pPr>
              <w:rPr>
                <w:rFonts w:cs="Arial"/>
              </w:rPr>
            </w:pPr>
            <w:r w:rsidRPr="00975CEA">
              <w:rPr>
                <w:rFonts w:cs="Arial"/>
              </w:rPr>
              <w:t>След започване на лечението или регулиране на дозата на дилтиазем, се препоръчва адекватно клинично проследяване.</w:t>
            </w:r>
          </w:p>
        </w:tc>
      </w:tr>
      <w:tr w:rsidR="00975CEA" w14:paraId="2D34FE45" w14:textId="77777777" w:rsidTr="00FF02DA">
        <w:tc>
          <w:tcPr>
            <w:tcW w:w="2375" w:type="dxa"/>
          </w:tcPr>
          <w:p w14:paraId="558E9B7A" w14:textId="5CFB5FA2" w:rsidR="00975CEA" w:rsidRPr="00975CEA" w:rsidRDefault="00975CEA" w:rsidP="00975CEA">
            <w:pPr>
              <w:rPr>
                <w:rFonts w:cs="Arial"/>
              </w:rPr>
            </w:pPr>
            <w:r w:rsidRPr="00975CEA">
              <w:rPr>
                <w:rFonts w:cs="Arial"/>
              </w:rPr>
              <w:t xml:space="preserve">Еритромицин 500 </w:t>
            </w:r>
            <w:r w:rsidRPr="00975CEA">
              <w:rPr>
                <w:rFonts w:cs="Arial"/>
                <w:lang w:val="en-US"/>
              </w:rPr>
              <w:t xml:space="preserve">mg </w:t>
            </w:r>
            <w:r w:rsidRPr="00975CEA">
              <w:rPr>
                <w:rFonts w:cs="Arial"/>
              </w:rPr>
              <w:t>4 пъти дневно, 7 дни</w:t>
            </w:r>
          </w:p>
        </w:tc>
        <w:tc>
          <w:tcPr>
            <w:tcW w:w="2375" w:type="dxa"/>
          </w:tcPr>
          <w:p w14:paraId="5AEF72F5" w14:textId="3290C123" w:rsidR="00975CEA" w:rsidRPr="00975CEA" w:rsidRDefault="00975CEA" w:rsidP="00975CEA">
            <w:pPr>
              <w:rPr>
                <w:rFonts w:cs="Arial"/>
              </w:rPr>
            </w:pPr>
            <w:r w:rsidRPr="00975CEA">
              <w:rPr>
                <w:rFonts w:cs="Arial"/>
              </w:rPr>
              <w:t xml:space="preserve">Ю </w:t>
            </w:r>
            <w:r w:rsidRPr="00975CEA">
              <w:rPr>
                <w:rFonts w:cs="Arial"/>
                <w:lang w:val="en-US"/>
              </w:rPr>
              <w:t xml:space="preserve">mg, </w:t>
            </w:r>
            <w:r w:rsidRPr="00975CEA">
              <w:rPr>
                <w:rFonts w:cs="Arial"/>
              </w:rPr>
              <w:t>еднократна доза</w:t>
            </w:r>
          </w:p>
        </w:tc>
        <w:tc>
          <w:tcPr>
            <w:tcW w:w="2375" w:type="dxa"/>
          </w:tcPr>
          <w:p w14:paraId="2F1A0077" w14:textId="764E3C25" w:rsidR="00975CEA" w:rsidRPr="00975CEA" w:rsidRDefault="00975CEA" w:rsidP="00975CEA">
            <w:pPr>
              <w:rPr>
                <w:rFonts w:cs="Arial"/>
              </w:rPr>
            </w:pPr>
            <w:r w:rsidRPr="00975CEA">
              <w:rPr>
                <w:rFonts w:cs="Arial"/>
              </w:rPr>
              <w:t>1,33</w:t>
            </w:r>
          </w:p>
        </w:tc>
        <w:tc>
          <w:tcPr>
            <w:tcW w:w="2375" w:type="dxa"/>
          </w:tcPr>
          <w:p w14:paraId="13909872" w14:textId="32664EE1" w:rsidR="00975CEA" w:rsidRPr="00975CEA" w:rsidRDefault="00975CEA" w:rsidP="00975CEA">
            <w:pPr>
              <w:rPr>
                <w:rFonts w:cs="Arial"/>
              </w:rPr>
            </w:pPr>
            <w:r w:rsidRPr="00975CEA">
              <w:rPr>
                <w:rFonts w:cs="Arial"/>
              </w:rPr>
              <w:t>Препоръчва се понижаване на максималната доза и клинично проследяване на пациентите</w:t>
            </w:r>
          </w:p>
        </w:tc>
      </w:tr>
      <w:tr w:rsidR="00975CEA" w14:paraId="3D121DDC" w14:textId="77777777" w:rsidTr="00FF02DA">
        <w:tc>
          <w:tcPr>
            <w:tcW w:w="2375" w:type="dxa"/>
          </w:tcPr>
          <w:p w14:paraId="650B6106" w14:textId="19ECD5E6" w:rsidR="00975CEA" w:rsidRPr="00975CEA" w:rsidRDefault="00975CEA" w:rsidP="00975CEA">
            <w:pPr>
              <w:rPr>
                <w:rFonts w:cs="Arial"/>
              </w:rPr>
            </w:pPr>
            <w:r w:rsidRPr="00975CEA">
              <w:rPr>
                <w:rFonts w:cs="Arial"/>
              </w:rPr>
              <w:t xml:space="preserve">Амлодипин 10 </w:t>
            </w:r>
            <w:r w:rsidRPr="00975CEA">
              <w:rPr>
                <w:rFonts w:cs="Arial"/>
                <w:lang w:val="en-US"/>
              </w:rPr>
              <w:t xml:space="preserve">mg, </w:t>
            </w:r>
            <w:r w:rsidRPr="00975CEA">
              <w:rPr>
                <w:rFonts w:cs="Arial"/>
              </w:rPr>
              <w:t>еднократна доза</w:t>
            </w:r>
          </w:p>
        </w:tc>
        <w:tc>
          <w:tcPr>
            <w:tcW w:w="2375" w:type="dxa"/>
          </w:tcPr>
          <w:p w14:paraId="009619B8" w14:textId="2DD688F6" w:rsidR="00975CEA" w:rsidRPr="00975CEA" w:rsidRDefault="00975CEA" w:rsidP="00975CEA">
            <w:pPr>
              <w:rPr>
                <w:rFonts w:cs="Arial"/>
              </w:rPr>
            </w:pPr>
            <w:r w:rsidRPr="00975CEA">
              <w:rPr>
                <w:rFonts w:cs="Arial"/>
              </w:rPr>
              <w:t xml:space="preserve">80 </w:t>
            </w:r>
            <w:r w:rsidRPr="00975CEA">
              <w:rPr>
                <w:rFonts w:cs="Arial"/>
                <w:lang w:val="en-US"/>
              </w:rPr>
              <w:t xml:space="preserve">mg, </w:t>
            </w:r>
            <w:r w:rsidRPr="00975CEA">
              <w:rPr>
                <w:rFonts w:cs="Arial"/>
              </w:rPr>
              <w:t>еднократна доза</w:t>
            </w:r>
          </w:p>
        </w:tc>
        <w:tc>
          <w:tcPr>
            <w:tcW w:w="2375" w:type="dxa"/>
          </w:tcPr>
          <w:p w14:paraId="196568F6" w14:textId="1A5105E2" w:rsidR="00975CEA" w:rsidRPr="00975CEA" w:rsidRDefault="00975CEA" w:rsidP="00975CEA">
            <w:pPr>
              <w:rPr>
                <w:rFonts w:cs="Arial"/>
              </w:rPr>
            </w:pPr>
            <w:r w:rsidRPr="00975CEA">
              <w:rPr>
                <w:rFonts w:cs="Arial"/>
              </w:rPr>
              <w:t>1,18</w:t>
            </w:r>
          </w:p>
        </w:tc>
        <w:tc>
          <w:tcPr>
            <w:tcW w:w="2375" w:type="dxa"/>
          </w:tcPr>
          <w:p w14:paraId="627852EC" w14:textId="315B71A4" w:rsidR="00975CEA" w:rsidRPr="00975CEA" w:rsidRDefault="00975CEA" w:rsidP="00975CEA">
            <w:pPr>
              <w:rPr>
                <w:rFonts w:cs="Arial"/>
              </w:rPr>
            </w:pPr>
            <w:r w:rsidRPr="00975CEA">
              <w:rPr>
                <w:rFonts w:cs="Arial"/>
              </w:rPr>
              <w:t>Няма специални препоръки.</w:t>
            </w:r>
          </w:p>
        </w:tc>
      </w:tr>
      <w:tr w:rsidR="00975CEA" w14:paraId="397BDCDA" w14:textId="77777777" w:rsidTr="00FF02DA">
        <w:tc>
          <w:tcPr>
            <w:tcW w:w="2375" w:type="dxa"/>
          </w:tcPr>
          <w:p w14:paraId="7B10554A" w14:textId="1C235F72" w:rsidR="00975CEA" w:rsidRPr="00975CEA" w:rsidRDefault="00975CEA" w:rsidP="00975CEA">
            <w:pPr>
              <w:rPr>
                <w:rFonts w:cs="Arial"/>
              </w:rPr>
            </w:pPr>
            <w:r w:rsidRPr="00975CEA">
              <w:rPr>
                <w:rFonts w:cs="Arial"/>
              </w:rPr>
              <w:t xml:space="preserve">Циметидин 300 </w:t>
            </w:r>
            <w:r w:rsidRPr="00975CEA">
              <w:rPr>
                <w:rFonts w:cs="Arial"/>
                <w:lang w:val="en-US"/>
              </w:rPr>
              <w:t xml:space="preserve">mg </w:t>
            </w:r>
            <w:r w:rsidRPr="00975CEA">
              <w:rPr>
                <w:rFonts w:cs="Arial"/>
              </w:rPr>
              <w:t>4 пъти дневно, 2 седмици</w:t>
            </w:r>
          </w:p>
        </w:tc>
        <w:tc>
          <w:tcPr>
            <w:tcW w:w="2375" w:type="dxa"/>
          </w:tcPr>
          <w:p w14:paraId="14115B1A" w14:textId="77777777"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 дневно за 2</w:t>
            </w:r>
          </w:p>
          <w:p w14:paraId="3CA4E5F4" w14:textId="78E0C13E" w:rsidR="00975CEA" w:rsidRPr="00975CEA" w:rsidRDefault="00975CEA" w:rsidP="00975CEA">
            <w:pPr>
              <w:rPr>
                <w:rFonts w:cs="Arial"/>
              </w:rPr>
            </w:pPr>
            <w:r w:rsidRPr="00975CEA">
              <w:rPr>
                <w:rFonts w:cs="Arial"/>
              </w:rPr>
              <w:t>седмици</w:t>
            </w:r>
          </w:p>
        </w:tc>
        <w:tc>
          <w:tcPr>
            <w:tcW w:w="2375" w:type="dxa"/>
          </w:tcPr>
          <w:p w14:paraId="1D16950A" w14:textId="61626EB1" w:rsidR="00975CEA" w:rsidRPr="00975CEA" w:rsidRDefault="00975CEA" w:rsidP="00975CEA">
            <w:pPr>
              <w:rPr>
                <w:rFonts w:cs="Arial"/>
              </w:rPr>
            </w:pPr>
            <w:r w:rsidRPr="00975CEA">
              <w:rPr>
                <w:rFonts w:cs="Arial"/>
              </w:rPr>
              <w:t>1,00</w:t>
            </w:r>
          </w:p>
        </w:tc>
        <w:tc>
          <w:tcPr>
            <w:tcW w:w="2375" w:type="dxa"/>
          </w:tcPr>
          <w:p w14:paraId="06605A7B" w14:textId="183D7038" w:rsidR="00975CEA" w:rsidRPr="00975CEA" w:rsidRDefault="00975CEA" w:rsidP="00975CEA">
            <w:pPr>
              <w:rPr>
                <w:rFonts w:cs="Arial"/>
              </w:rPr>
            </w:pPr>
            <w:r w:rsidRPr="00975CEA">
              <w:rPr>
                <w:rFonts w:cs="Arial"/>
              </w:rPr>
              <w:t>Няма специални препоръки.</w:t>
            </w:r>
          </w:p>
        </w:tc>
      </w:tr>
      <w:tr w:rsidR="00975CEA" w14:paraId="7001CC2E" w14:textId="77777777" w:rsidTr="00FF02DA">
        <w:tc>
          <w:tcPr>
            <w:tcW w:w="2375" w:type="dxa"/>
          </w:tcPr>
          <w:p w14:paraId="5FD46B90" w14:textId="1C982A5C" w:rsidR="00975CEA" w:rsidRPr="00975CEA" w:rsidRDefault="00975CEA" w:rsidP="00975CEA">
            <w:pPr>
              <w:rPr>
                <w:rFonts w:cs="Arial"/>
              </w:rPr>
            </w:pPr>
            <w:r w:rsidRPr="00975CEA">
              <w:rPr>
                <w:rFonts w:cs="Arial"/>
              </w:rPr>
              <w:t xml:space="preserve">Колестипол 10 </w:t>
            </w:r>
            <w:r w:rsidRPr="00975CEA">
              <w:rPr>
                <w:rFonts w:cs="Arial"/>
                <w:lang w:val="en-US"/>
              </w:rPr>
              <w:t xml:space="preserve">g </w:t>
            </w:r>
            <w:r w:rsidRPr="00975CEA">
              <w:rPr>
                <w:rFonts w:cs="Arial"/>
              </w:rPr>
              <w:t>2 пъти дневно, 24 седмици</w:t>
            </w:r>
          </w:p>
        </w:tc>
        <w:tc>
          <w:tcPr>
            <w:tcW w:w="2375" w:type="dxa"/>
          </w:tcPr>
          <w:p w14:paraId="732F6161" w14:textId="149DBFBA"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веднъж дневно за 8 седмици</w:t>
            </w:r>
          </w:p>
        </w:tc>
        <w:tc>
          <w:tcPr>
            <w:tcW w:w="2375" w:type="dxa"/>
          </w:tcPr>
          <w:p w14:paraId="7BB7BFEB" w14:textId="02D0EDCF" w:rsidR="00975CEA" w:rsidRPr="00975CEA" w:rsidRDefault="00975CEA" w:rsidP="00975CEA">
            <w:pPr>
              <w:rPr>
                <w:rFonts w:cs="Arial"/>
              </w:rPr>
            </w:pPr>
            <w:r w:rsidRPr="00975CEA">
              <w:rPr>
                <w:rFonts w:cs="Arial"/>
                <w:lang w:val="en-US"/>
              </w:rPr>
              <w:t>0,74</w:t>
            </w:r>
            <w:r w:rsidRPr="00975CEA">
              <w:rPr>
                <w:rFonts w:cs="Arial"/>
                <w:vertAlign w:val="superscript"/>
                <w:lang w:val="en-US"/>
              </w:rPr>
              <w:t>d</w:t>
            </w:r>
          </w:p>
        </w:tc>
        <w:tc>
          <w:tcPr>
            <w:tcW w:w="2375" w:type="dxa"/>
          </w:tcPr>
          <w:p w14:paraId="534A99F9" w14:textId="243FCA42" w:rsidR="00975CEA" w:rsidRPr="00975CEA" w:rsidRDefault="00975CEA" w:rsidP="00975CEA">
            <w:pPr>
              <w:rPr>
                <w:rFonts w:cs="Arial"/>
              </w:rPr>
            </w:pPr>
            <w:r w:rsidRPr="00975CEA">
              <w:rPr>
                <w:rFonts w:cs="Arial"/>
              </w:rPr>
              <w:t>Няма специални препоръки.</w:t>
            </w:r>
          </w:p>
        </w:tc>
      </w:tr>
      <w:tr w:rsidR="00975CEA" w14:paraId="546B72AD" w14:textId="77777777" w:rsidTr="00FF02DA">
        <w:tc>
          <w:tcPr>
            <w:tcW w:w="2375" w:type="dxa"/>
          </w:tcPr>
          <w:p w14:paraId="1003020A" w14:textId="3E3F1853" w:rsidR="00975CEA" w:rsidRPr="00975CEA" w:rsidRDefault="00975CEA" w:rsidP="00975CEA">
            <w:pPr>
              <w:rPr>
                <w:rFonts w:cs="Arial"/>
              </w:rPr>
            </w:pPr>
            <w:r w:rsidRPr="00975CEA">
              <w:rPr>
                <w:rFonts w:cs="Arial"/>
              </w:rPr>
              <w:t xml:space="preserve">Антиацидна суспензия от магнезиев и алуминиев хидроксид, 30 </w:t>
            </w:r>
            <w:r w:rsidRPr="00975CEA">
              <w:rPr>
                <w:rFonts w:cs="Arial"/>
                <w:lang w:val="en-US"/>
              </w:rPr>
              <w:t xml:space="preserve">ml </w:t>
            </w:r>
            <w:r w:rsidRPr="00975CEA">
              <w:rPr>
                <w:rFonts w:cs="Arial"/>
              </w:rPr>
              <w:t>4 пъти дневно, 17 дни</w:t>
            </w:r>
          </w:p>
        </w:tc>
        <w:tc>
          <w:tcPr>
            <w:tcW w:w="2375" w:type="dxa"/>
          </w:tcPr>
          <w:p w14:paraId="5E7200E3" w14:textId="15950A89"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веднъж дневно за 15 дни</w:t>
            </w:r>
          </w:p>
        </w:tc>
        <w:tc>
          <w:tcPr>
            <w:tcW w:w="2375" w:type="dxa"/>
          </w:tcPr>
          <w:p w14:paraId="5698FAB3" w14:textId="11C1F035" w:rsidR="00975CEA" w:rsidRPr="00975CEA" w:rsidRDefault="00975CEA" w:rsidP="00975CEA">
            <w:pPr>
              <w:rPr>
                <w:rFonts w:cs="Arial"/>
              </w:rPr>
            </w:pPr>
            <w:r w:rsidRPr="00975CEA">
              <w:rPr>
                <w:rFonts w:cs="Arial"/>
              </w:rPr>
              <w:t>0,66</w:t>
            </w:r>
          </w:p>
        </w:tc>
        <w:tc>
          <w:tcPr>
            <w:tcW w:w="2375" w:type="dxa"/>
          </w:tcPr>
          <w:p w14:paraId="45D696FE" w14:textId="5828CAD7" w:rsidR="00975CEA" w:rsidRPr="00975CEA" w:rsidRDefault="00975CEA" w:rsidP="00975CEA">
            <w:pPr>
              <w:rPr>
                <w:rFonts w:cs="Arial"/>
              </w:rPr>
            </w:pPr>
            <w:r w:rsidRPr="00975CEA">
              <w:rPr>
                <w:rFonts w:cs="Arial"/>
              </w:rPr>
              <w:t>Няма специални препоръки.</w:t>
            </w:r>
          </w:p>
        </w:tc>
      </w:tr>
      <w:tr w:rsidR="00975CEA" w14:paraId="66497DA9" w14:textId="77777777" w:rsidTr="00FF02DA">
        <w:tc>
          <w:tcPr>
            <w:tcW w:w="2375" w:type="dxa"/>
          </w:tcPr>
          <w:p w14:paraId="391B3FF9" w14:textId="2FFA6CAE" w:rsidR="00975CEA" w:rsidRPr="00975CEA" w:rsidRDefault="00975CEA" w:rsidP="00975CEA">
            <w:pPr>
              <w:rPr>
                <w:rFonts w:cs="Arial"/>
              </w:rPr>
            </w:pPr>
            <w:r w:rsidRPr="00975CEA">
              <w:rPr>
                <w:rFonts w:cs="Arial"/>
              </w:rPr>
              <w:t xml:space="preserve">Ефавиренц 600 </w:t>
            </w:r>
            <w:r w:rsidRPr="00975CEA">
              <w:rPr>
                <w:rFonts w:cs="Arial"/>
                <w:lang w:val="en-US"/>
              </w:rPr>
              <w:t xml:space="preserve">mg </w:t>
            </w:r>
            <w:r w:rsidRPr="00975CEA">
              <w:rPr>
                <w:rFonts w:cs="Arial"/>
              </w:rPr>
              <w:t>веднъж дневно, 14 дни</w:t>
            </w:r>
          </w:p>
        </w:tc>
        <w:tc>
          <w:tcPr>
            <w:tcW w:w="2375" w:type="dxa"/>
          </w:tcPr>
          <w:p w14:paraId="6572073A" w14:textId="35280922" w:rsidR="00975CEA" w:rsidRPr="00975CEA" w:rsidRDefault="00975CEA" w:rsidP="00975CEA">
            <w:pPr>
              <w:rPr>
                <w:rFonts w:cs="Arial"/>
              </w:rPr>
            </w:pPr>
            <w:r w:rsidRPr="00975CEA">
              <w:rPr>
                <w:rFonts w:cs="Arial"/>
              </w:rPr>
              <w:t xml:space="preserve">10 </w:t>
            </w:r>
            <w:r w:rsidRPr="00975CEA">
              <w:rPr>
                <w:rFonts w:cs="Arial"/>
                <w:lang w:val="en-US"/>
              </w:rPr>
              <w:t xml:space="preserve">mg </w:t>
            </w:r>
            <w:r w:rsidRPr="00975CEA">
              <w:rPr>
                <w:rFonts w:cs="Arial"/>
              </w:rPr>
              <w:t>за 3 дни</w:t>
            </w:r>
          </w:p>
        </w:tc>
        <w:tc>
          <w:tcPr>
            <w:tcW w:w="2375" w:type="dxa"/>
          </w:tcPr>
          <w:p w14:paraId="628C18C1" w14:textId="5BF3207C" w:rsidR="00975CEA" w:rsidRPr="00975CEA" w:rsidRDefault="00975CEA" w:rsidP="00975CEA">
            <w:pPr>
              <w:rPr>
                <w:rFonts w:cs="Arial"/>
              </w:rPr>
            </w:pPr>
            <w:r w:rsidRPr="00975CEA">
              <w:rPr>
                <w:rFonts w:cs="Arial"/>
              </w:rPr>
              <w:t>0,59</w:t>
            </w:r>
          </w:p>
        </w:tc>
        <w:tc>
          <w:tcPr>
            <w:tcW w:w="2375" w:type="dxa"/>
          </w:tcPr>
          <w:p w14:paraId="339E9867" w14:textId="19322BA9" w:rsidR="00975CEA" w:rsidRPr="00975CEA" w:rsidRDefault="00975CEA" w:rsidP="00975CEA">
            <w:pPr>
              <w:rPr>
                <w:rFonts w:cs="Arial"/>
              </w:rPr>
            </w:pPr>
            <w:r w:rsidRPr="00975CEA">
              <w:rPr>
                <w:rFonts w:cs="Arial"/>
              </w:rPr>
              <w:t>Няма специални препоръки.</w:t>
            </w:r>
          </w:p>
        </w:tc>
      </w:tr>
      <w:tr w:rsidR="00975CEA" w14:paraId="14048B9A" w14:textId="77777777" w:rsidTr="00FF02DA">
        <w:tc>
          <w:tcPr>
            <w:tcW w:w="2375" w:type="dxa"/>
          </w:tcPr>
          <w:p w14:paraId="2C6698DC" w14:textId="0A336BB8" w:rsidR="00975CEA" w:rsidRPr="00975CEA" w:rsidRDefault="00975CEA" w:rsidP="00975CEA">
            <w:pPr>
              <w:rPr>
                <w:rFonts w:cs="Arial"/>
              </w:rPr>
            </w:pPr>
            <w:r w:rsidRPr="00975CEA">
              <w:rPr>
                <w:rFonts w:cs="Arial"/>
              </w:rPr>
              <w:t xml:space="preserve">Рифампин 600 </w:t>
            </w:r>
            <w:r w:rsidRPr="00975CEA">
              <w:rPr>
                <w:rFonts w:cs="Arial"/>
                <w:lang w:val="en-US"/>
              </w:rPr>
              <w:t xml:space="preserve">mg </w:t>
            </w:r>
            <w:r w:rsidRPr="00975CEA">
              <w:rPr>
                <w:rFonts w:cs="Arial"/>
              </w:rPr>
              <w:t>веднъж дневно, 7 дни (прием по едно и също време)</w:t>
            </w:r>
          </w:p>
        </w:tc>
        <w:tc>
          <w:tcPr>
            <w:tcW w:w="2375" w:type="dxa"/>
          </w:tcPr>
          <w:p w14:paraId="7702E8F0" w14:textId="71B81FC6"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еднократна доза</w:t>
            </w:r>
          </w:p>
        </w:tc>
        <w:tc>
          <w:tcPr>
            <w:tcW w:w="2375" w:type="dxa"/>
          </w:tcPr>
          <w:p w14:paraId="45AF4828" w14:textId="3FA7D608" w:rsidR="00975CEA" w:rsidRPr="00975CEA" w:rsidRDefault="00975CEA" w:rsidP="00975CEA">
            <w:pPr>
              <w:rPr>
                <w:rFonts w:cs="Arial"/>
              </w:rPr>
            </w:pPr>
            <w:r w:rsidRPr="00975CEA">
              <w:rPr>
                <w:rFonts w:cs="Arial"/>
              </w:rPr>
              <w:t>1,12</w:t>
            </w:r>
          </w:p>
        </w:tc>
        <w:tc>
          <w:tcPr>
            <w:tcW w:w="2375" w:type="dxa"/>
            <w:vMerge w:val="restart"/>
          </w:tcPr>
          <w:p w14:paraId="707001DE" w14:textId="21A02DEB" w:rsidR="00975CEA" w:rsidRPr="00975CEA" w:rsidRDefault="00975CEA" w:rsidP="00975CEA">
            <w:pPr>
              <w:rPr>
                <w:rFonts w:cs="Arial"/>
              </w:rPr>
            </w:pPr>
            <w:r w:rsidRPr="00975CEA">
              <w:rPr>
                <w:rFonts w:cs="Arial"/>
              </w:rPr>
              <w:t>Ако едновременният прием не може да бъде избегнат, се препоръчва клинично проследяване на пациентите.</w:t>
            </w:r>
          </w:p>
        </w:tc>
      </w:tr>
      <w:tr w:rsidR="00975CEA" w14:paraId="374BF35A" w14:textId="77777777" w:rsidTr="00FF02DA">
        <w:tc>
          <w:tcPr>
            <w:tcW w:w="2375" w:type="dxa"/>
          </w:tcPr>
          <w:p w14:paraId="0D6C406E" w14:textId="24CAC859" w:rsidR="00975CEA" w:rsidRPr="00975CEA" w:rsidRDefault="00975CEA" w:rsidP="00975CEA">
            <w:pPr>
              <w:rPr>
                <w:rFonts w:cs="Arial"/>
              </w:rPr>
            </w:pPr>
            <w:r w:rsidRPr="00975CEA">
              <w:rPr>
                <w:rFonts w:cs="Arial"/>
              </w:rPr>
              <w:t xml:space="preserve">Рифампин 600 </w:t>
            </w:r>
            <w:r w:rsidRPr="00975CEA">
              <w:rPr>
                <w:rFonts w:cs="Arial"/>
                <w:lang w:val="en-US"/>
              </w:rPr>
              <w:t xml:space="preserve">mg </w:t>
            </w:r>
            <w:r w:rsidRPr="00975CEA">
              <w:rPr>
                <w:rFonts w:cs="Arial"/>
              </w:rPr>
              <w:t>веднъж дневно, 5 дни (прием по различно време)</w:t>
            </w:r>
          </w:p>
        </w:tc>
        <w:tc>
          <w:tcPr>
            <w:tcW w:w="2375" w:type="dxa"/>
          </w:tcPr>
          <w:p w14:paraId="0CF07941" w14:textId="1274D733"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еднократна доза</w:t>
            </w:r>
          </w:p>
        </w:tc>
        <w:tc>
          <w:tcPr>
            <w:tcW w:w="2375" w:type="dxa"/>
          </w:tcPr>
          <w:p w14:paraId="00687C6C" w14:textId="27708357" w:rsidR="00975CEA" w:rsidRPr="00975CEA" w:rsidRDefault="00975CEA" w:rsidP="00975CEA">
            <w:pPr>
              <w:rPr>
                <w:rFonts w:cs="Arial"/>
              </w:rPr>
            </w:pPr>
            <w:r w:rsidRPr="00975CEA">
              <w:rPr>
                <w:rFonts w:cs="Arial"/>
              </w:rPr>
              <w:t>0,20</w:t>
            </w:r>
          </w:p>
        </w:tc>
        <w:tc>
          <w:tcPr>
            <w:tcW w:w="2375" w:type="dxa"/>
            <w:vMerge/>
          </w:tcPr>
          <w:p w14:paraId="4379EB7D" w14:textId="77777777" w:rsidR="00975CEA" w:rsidRPr="00975CEA" w:rsidRDefault="00975CEA" w:rsidP="00975CEA">
            <w:pPr>
              <w:rPr>
                <w:rFonts w:cs="Arial"/>
              </w:rPr>
            </w:pPr>
          </w:p>
        </w:tc>
      </w:tr>
      <w:tr w:rsidR="00975CEA" w14:paraId="1BA8E21E" w14:textId="77777777" w:rsidTr="00FF02DA">
        <w:tc>
          <w:tcPr>
            <w:tcW w:w="2375" w:type="dxa"/>
          </w:tcPr>
          <w:p w14:paraId="77C39CDB" w14:textId="226B62D8" w:rsidR="00975CEA" w:rsidRPr="00975CEA" w:rsidRDefault="00975CEA" w:rsidP="00975CEA">
            <w:pPr>
              <w:rPr>
                <w:rFonts w:cs="Arial"/>
              </w:rPr>
            </w:pPr>
            <w:r w:rsidRPr="00975CEA">
              <w:rPr>
                <w:rFonts w:cs="Arial"/>
              </w:rPr>
              <w:t xml:space="preserve">Гемфиброзил 600 </w:t>
            </w:r>
            <w:r w:rsidRPr="00975CEA">
              <w:rPr>
                <w:rFonts w:cs="Arial"/>
                <w:lang w:val="en-US"/>
              </w:rPr>
              <w:t xml:space="preserve">mg </w:t>
            </w:r>
            <w:r w:rsidRPr="00975CEA">
              <w:rPr>
                <w:rFonts w:cs="Arial"/>
              </w:rPr>
              <w:t xml:space="preserve">два пъти дневно, 7 </w:t>
            </w:r>
            <w:r w:rsidRPr="00975CEA">
              <w:rPr>
                <w:rFonts w:cs="Arial"/>
              </w:rPr>
              <w:lastRenderedPageBreak/>
              <w:t>дни</w:t>
            </w:r>
          </w:p>
        </w:tc>
        <w:tc>
          <w:tcPr>
            <w:tcW w:w="2375" w:type="dxa"/>
          </w:tcPr>
          <w:p w14:paraId="2665839B" w14:textId="0CBBC1D4" w:rsidR="00975CEA" w:rsidRPr="00975CEA" w:rsidRDefault="00975CEA" w:rsidP="00975CEA">
            <w:pPr>
              <w:rPr>
                <w:rFonts w:cs="Arial"/>
              </w:rPr>
            </w:pPr>
            <w:r w:rsidRPr="00975CEA">
              <w:rPr>
                <w:rFonts w:cs="Arial"/>
              </w:rPr>
              <w:lastRenderedPageBreak/>
              <w:t xml:space="preserve">40 </w:t>
            </w:r>
            <w:r w:rsidRPr="00975CEA">
              <w:rPr>
                <w:rFonts w:cs="Arial"/>
                <w:lang w:val="en-US"/>
              </w:rPr>
              <w:t xml:space="preserve">mg, </w:t>
            </w:r>
            <w:r w:rsidRPr="00975CEA">
              <w:rPr>
                <w:rFonts w:cs="Arial"/>
              </w:rPr>
              <w:t>еднократна доза</w:t>
            </w:r>
          </w:p>
        </w:tc>
        <w:tc>
          <w:tcPr>
            <w:tcW w:w="2375" w:type="dxa"/>
          </w:tcPr>
          <w:p w14:paraId="1F76A980" w14:textId="1A078ED3" w:rsidR="00975CEA" w:rsidRPr="00975CEA" w:rsidRDefault="00975CEA" w:rsidP="00975CEA">
            <w:pPr>
              <w:rPr>
                <w:rFonts w:cs="Arial"/>
              </w:rPr>
            </w:pPr>
            <w:r w:rsidRPr="00975CEA">
              <w:rPr>
                <w:rFonts w:cs="Arial"/>
              </w:rPr>
              <w:t>1,35</w:t>
            </w:r>
          </w:p>
        </w:tc>
        <w:tc>
          <w:tcPr>
            <w:tcW w:w="2375" w:type="dxa"/>
            <w:vMerge w:val="restart"/>
          </w:tcPr>
          <w:p w14:paraId="26516553" w14:textId="190E4AF8" w:rsidR="00975CEA" w:rsidRPr="00975CEA" w:rsidRDefault="00975CEA" w:rsidP="00975CEA">
            <w:pPr>
              <w:rPr>
                <w:rFonts w:cs="Arial"/>
              </w:rPr>
            </w:pPr>
            <w:r w:rsidRPr="00975CEA">
              <w:rPr>
                <w:rFonts w:cs="Arial"/>
              </w:rPr>
              <w:t xml:space="preserve">Понижаване на първоначалната </w:t>
            </w:r>
            <w:r w:rsidRPr="00975CEA">
              <w:rPr>
                <w:rFonts w:cs="Arial"/>
              </w:rPr>
              <w:lastRenderedPageBreak/>
              <w:t>доза и клинично проследяване на пациентите.</w:t>
            </w:r>
          </w:p>
        </w:tc>
      </w:tr>
      <w:tr w:rsidR="00975CEA" w14:paraId="43241537" w14:textId="77777777" w:rsidTr="00FF02DA">
        <w:tc>
          <w:tcPr>
            <w:tcW w:w="2375" w:type="dxa"/>
          </w:tcPr>
          <w:p w14:paraId="38F75EE2" w14:textId="2EFEFFF5" w:rsidR="00975CEA" w:rsidRPr="00975CEA" w:rsidRDefault="00975CEA" w:rsidP="00975CEA">
            <w:pPr>
              <w:rPr>
                <w:rFonts w:cs="Arial"/>
              </w:rPr>
            </w:pPr>
            <w:r w:rsidRPr="00975CEA">
              <w:rPr>
                <w:rFonts w:cs="Arial"/>
              </w:rPr>
              <w:lastRenderedPageBreak/>
              <w:t xml:space="preserve">Фенофибрат 160 </w:t>
            </w:r>
            <w:r w:rsidRPr="00975CEA">
              <w:rPr>
                <w:rFonts w:cs="Arial"/>
                <w:lang w:val="en-US"/>
              </w:rPr>
              <w:t xml:space="preserve">mg </w:t>
            </w:r>
            <w:r w:rsidRPr="00975CEA">
              <w:rPr>
                <w:rFonts w:cs="Arial"/>
              </w:rPr>
              <w:t>веднъж дневно, 7 дни</w:t>
            </w:r>
          </w:p>
        </w:tc>
        <w:tc>
          <w:tcPr>
            <w:tcW w:w="2375" w:type="dxa"/>
          </w:tcPr>
          <w:p w14:paraId="04FFD09B" w14:textId="07AE228A"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еднократна доза</w:t>
            </w:r>
          </w:p>
        </w:tc>
        <w:tc>
          <w:tcPr>
            <w:tcW w:w="2375" w:type="dxa"/>
          </w:tcPr>
          <w:p w14:paraId="64F28F3E" w14:textId="3E6FB504" w:rsidR="00975CEA" w:rsidRPr="00975CEA" w:rsidRDefault="00975CEA" w:rsidP="00975CEA">
            <w:pPr>
              <w:rPr>
                <w:rFonts w:cs="Arial"/>
              </w:rPr>
            </w:pPr>
            <w:r w:rsidRPr="00975CEA">
              <w:rPr>
                <w:rFonts w:cs="Arial"/>
              </w:rPr>
              <w:t>1,03</w:t>
            </w:r>
          </w:p>
        </w:tc>
        <w:tc>
          <w:tcPr>
            <w:tcW w:w="2375" w:type="dxa"/>
            <w:vMerge/>
          </w:tcPr>
          <w:p w14:paraId="486E1B8F" w14:textId="77777777" w:rsidR="00975CEA" w:rsidRPr="00975CEA" w:rsidRDefault="00975CEA" w:rsidP="00975CEA">
            <w:pPr>
              <w:rPr>
                <w:rFonts w:cs="Arial"/>
              </w:rPr>
            </w:pPr>
          </w:p>
        </w:tc>
      </w:tr>
      <w:tr w:rsidR="00975CEA" w14:paraId="5D69E8FA" w14:textId="77777777" w:rsidTr="00FF02DA">
        <w:tc>
          <w:tcPr>
            <w:tcW w:w="2375" w:type="dxa"/>
          </w:tcPr>
          <w:p w14:paraId="5A4EB7C5" w14:textId="5E802CB9" w:rsidR="00975CEA" w:rsidRPr="00975CEA" w:rsidRDefault="00975CEA" w:rsidP="00975CEA">
            <w:pPr>
              <w:rPr>
                <w:rFonts w:cs="Arial"/>
              </w:rPr>
            </w:pPr>
            <w:r w:rsidRPr="00975CEA">
              <w:rPr>
                <w:rFonts w:cs="Arial"/>
              </w:rPr>
              <w:t xml:space="preserve">Боцепревир 800 </w:t>
            </w:r>
            <w:r w:rsidRPr="00975CEA">
              <w:rPr>
                <w:rFonts w:cs="Arial"/>
                <w:lang w:val="en-US"/>
              </w:rPr>
              <w:t xml:space="preserve">mg </w:t>
            </w:r>
            <w:r w:rsidRPr="00975CEA">
              <w:rPr>
                <w:rFonts w:cs="Arial"/>
              </w:rPr>
              <w:t>3 пъти дневно, 7 дни</w:t>
            </w:r>
          </w:p>
        </w:tc>
        <w:tc>
          <w:tcPr>
            <w:tcW w:w="2375" w:type="dxa"/>
          </w:tcPr>
          <w:p w14:paraId="18ECE3C6" w14:textId="76409FFA" w:rsidR="00975CEA" w:rsidRPr="00975CEA" w:rsidRDefault="00975CEA" w:rsidP="00975CEA">
            <w:pPr>
              <w:rPr>
                <w:rFonts w:cs="Arial"/>
              </w:rPr>
            </w:pPr>
            <w:r w:rsidRPr="00975CEA">
              <w:rPr>
                <w:rFonts w:cs="Arial"/>
              </w:rPr>
              <w:t xml:space="preserve">40 </w:t>
            </w:r>
            <w:r w:rsidRPr="00975CEA">
              <w:rPr>
                <w:rFonts w:cs="Arial"/>
                <w:lang w:val="en-US"/>
              </w:rPr>
              <w:t xml:space="preserve">mg, </w:t>
            </w:r>
            <w:r w:rsidRPr="00975CEA">
              <w:rPr>
                <w:rFonts w:cs="Arial"/>
              </w:rPr>
              <w:t>еднократна доза</w:t>
            </w:r>
          </w:p>
        </w:tc>
        <w:tc>
          <w:tcPr>
            <w:tcW w:w="2375" w:type="dxa"/>
          </w:tcPr>
          <w:p w14:paraId="52EAE949" w14:textId="284633CE" w:rsidR="00975CEA" w:rsidRPr="00975CEA" w:rsidRDefault="00975CEA" w:rsidP="00975CEA">
            <w:pPr>
              <w:rPr>
                <w:rFonts w:cs="Arial"/>
              </w:rPr>
            </w:pPr>
            <w:r w:rsidRPr="00975CEA">
              <w:rPr>
                <w:rFonts w:cs="Arial"/>
              </w:rPr>
              <w:t>2,3</w:t>
            </w:r>
          </w:p>
        </w:tc>
        <w:tc>
          <w:tcPr>
            <w:tcW w:w="2375" w:type="dxa"/>
          </w:tcPr>
          <w:p w14:paraId="190484DE" w14:textId="545EC138" w:rsidR="00975CEA" w:rsidRPr="00975CEA" w:rsidRDefault="00975CEA" w:rsidP="00975CEA">
            <w:pPr>
              <w:rPr>
                <w:rFonts w:cs="Arial"/>
              </w:rPr>
            </w:pPr>
            <w:r w:rsidRPr="00975CEA">
              <w:rPr>
                <w:rFonts w:cs="Arial"/>
              </w:rPr>
              <w:t xml:space="preserve">Понижаване на първоначалната доза и клинично проследяване на пациентите. При едновременно приложение с боцепревир, дневната доза на аторвастатин не бива да надвишава 20 </w:t>
            </w:r>
            <w:r w:rsidRPr="00975CEA">
              <w:rPr>
                <w:rFonts w:cs="Arial"/>
                <w:lang w:val="en-US"/>
              </w:rPr>
              <w:t>mg.</w:t>
            </w:r>
          </w:p>
        </w:tc>
      </w:tr>
    </w:tbl>
    <w:p w14:paraId="5B2761C5" w14:textId="7076D0B4" w:rsidR="0091385D" w:rsidRPr="00975CEA" w:rsidRDefault="0091385D" w:rsidP="0091385D">
      <w:pPr>
        <w:rPr>
          <w:rFonts w:cs="Arial"/>
        </w:rPr>
      </w:pPr>
    </w:p>
    <w:p w14:paraId="53C4ABEC" w14:textId="77777777" w:rsidR="00FF02DA" w:rsidRPr="00FF02DA" w:rsidRDefault="00FF02DA" w:rsidP="00FF02DA">
      <w:pPr>
        <w:spacing w:line="240" w:lineRule="auto"/>
        <w:rPr>
          <w:rFonts w:eastAsia="Times New Roman" w:cs="Arial"/>
          <w:lang w:eastAsia="bg-BG"/>
        </w:rPr>
      </w:pPr>
      <w:r w:rsidRPr="00FF02DA">
        <w:rPr>
          <w:rFonts w:eastAsia="Times New Roman" w:cs="Arial"/>
          <w:color w:val="000000"/>
          <w:vertAlign w:val="superscript"/>
          <w:lang w:eastAsia="bg-BG"/>
        </w:rPr>
        <w:t>а</w:t>
      </w:r>
      <w:r w:rsidRPr="00FF02DA">
        <w:rPr>
          <w:rFonts w:eastAsia="Times New Roman" w:cs="Arial"/>
          <w:color w:val="000000"/>
          <w:lang w:eastAsia="bg-BG"/>
        </w:rPr>
        <w:t xml:space="preserve"> Представлява съотношение между леченията (лекарствен продукт, прилаган едновременно с аторвастатин  спрямо самостоятелно приложение на аторвастатин ).</w:t>
      </w:r>
    </w:p>
    <w:p w14:paraId="3B046137" w14:textId="77777777" w:rsidR="00FF02DA" w:rsidRPr="00FF02DA" w:rsidRDefault="00FF02DA" w:rsidP="00FF02DA">
      <w:pPr>
        <w:spacing w:line="240" w:lineRule="auto"/>
        <w:rPr>
          <w:rFonts w:eastAsia="Times New Roman" w:cs="Arial"/>
          <w:lang w:eastAsia="bg-BG"/>
        </w:rPr>
      </w:pPr>
      <w:r w:rsidRPr="00FF02DA">
        <w:rPr>
          <w:rFonts w:eastAsia="Times New Roman" w:cs="Arial"/>
          <w:color w:val="000000"/>
          <w:vertAlign w:val="superscript"/>
          <w:lang w:eastAsia="bg-BG"/>
        </w:rPr>
        <w:t>ь</w:t>
      </w:r>
      <w:r w:rsidRPr="00FF02DA">
        <w:rPr>
          <w:rFonts w:eastAsia="Times New Roman" w:cs="Arial"/>
          <w:color w:val="000000"/>
          <w:lang w:eastAsia="bg-BG"/>
        </w:rPr>
        <w:t xml:space="preserve"> Клинична значимост, виж точки 4.4. и 4.5.</w:t>
      </w:r>
    </w:p>
    <w:p w14:paraId="17ED96FE" w14:textId="2078392C" w:rsidR="00975CEA" w:rsidRPr="00D15BDC" w:rsidRDefault="00FF02DA" w:rsidP="00975CEA">
      <w:pPr>
        <w:rPr>
          <w:rFonts w:eastAsia="Times New Roman" w:cs="Arial"/>
          <w:lang w:eastAsia="bg-BG"/>
        </w:rPr>
      </w:pPr>
      <w:r w:rsidRPr="00FF02DA">
        <w:rPr>
          <w:rFonts w:eastAsia="Times New Roman" w:cs="Arial"/>
          <w:color w:val="000000"/>
          <w:vertAlign w:val="superscript"/>
          <w:lang w:eastAsia="bg-BG"/>
        </w:rPr>
        <w:t>с</w:t>
      </w:r>
      <w:r w:rsidRPr="00FF02DA">
        <w:rPr>
          <w:rFonts w:eastAsia="Times New Roman" w:cs="Arial"/>
          <w:color w:val="000000"/>
          <w:lang w:eastAsia="bg-BG"/>
        </w:rPr>
        <w:t xml:space="preserve"> Съдържа един или повече компонента, които инхибират </w:t>
      </w:r>
      <w:r w:rsidRPr="00FF02DA">
        <w:rPr>
          <w:rFonts w:eastAsia="Times New Roman" w:cs="Arial"/>
          <w:color w:val="000000"/>
          <w:lang w:val="en-US"/>
        </w:rPr>
        <w:t>CYP3</w:t>
      </w:r>
      <w:r w:rsidRPr="00FF02DA">
        <w:rPr>
          <w:rFonts w:eastAsia="Times New Roman" w:cs="Arial"/>
          <w:color w:val="000000"/>
          <w:lang w:eastAsia="bg-BG"/>
        </w:rPr>
        <w:t>А4 и могат да увеличат плазмените нива на</w:t>
      </w:r>
      <w:r w:rsidRPr="00FF02DA">
        <w:rPr>
          <w:rFonts w:eastAsia="Times New Roman" w:cs="Arial"/>
          <w:color w:val="000000"/>
          <w:vertAlign w:val="subscript"/>
          <w:lang w:eastAsia="bg-BG"/>
        </w:rPr>
        <w:t xml:space="preserve"> </w:t>
      </w:r>
      <w:r w:rsidRPr="00FF02DA">
        <w:rPr>
          <w:rFonts w:eastAsia="Times New Roman" w:cs="Arial"/>
          <w:color w:val="000000"/>
          <w:lang w:eastAsia="bg-BG"/>
        </w:rPr>
        <w:t xml:space="preserve">лекарствата, метаболизирани от него. Приемът на 240 </w:t>
      </w:r>
      <w:r w:rsidRPr="00FF02DA">
        <w:rPr>
          <w:rFonts w:eastAsia="Times New Roman" w:cs="Arial"/>
          <w:color w:val="000000"/>
          <w:lang w:val="en-US"/>
        </w:rPr>
        <w:t xml:space="preserve">ml </w:t>
      </w:r>
      <w:r w:rsidRPr="00FF02DA">
        <w:rPr>
          <w:rFonts w:eastAsia="Times New Roman" w:cs="Arial"/>
          <w:color w:val="000000"/>
          <w:lang w:eastAsia="bg-BG"/>
        </w:rPr>
        <w:t>сок от грейпфрут също води до намаление с 0,4%</w:t>
      </w:r>
      <w:r w:rsidRPr="00FF02DA">
        <w:rPr>
          <w:rFonts w:eastAsia="Times New Roman" w:cs="Arial"/>
          <w:color w:val="000000"/>
          <w:lang w:val="en-US"/>
        </w:rPr>
        <w:t xml:space="preserve"> </w:t>
      </w:r>
      <w:r w:rsidRPr="00FF02DA">
        <w:rPr>
          <w:rFonts w:eastAsia="Times New Roman" w:cs="Arial"/>
          <w:color w:val="000000"/>
          <w:lang w:eastAsia="bg-BG"/>
        </w:rPr>
        <w:t xml:space="preserve"> </w:t>
      </w:r>
      <w:r w:rsidRPr="00975CEA">
        <w:rPr>
          <w:rFonts w:eastAsia="Times New Roman" w:cs="Arial"/>
          <w:color w:val="000000"/>
          <w:lang w:eastAsia="bg-BG"/>
        </w:rPr>
        <w:t xml:space="preserve">на </w:t>
      </w:r>
      <w:r w:rsidRPr="00975CEA">
        <w:rPr>
          <w:rFonts w:eastAsia="Times New Roman" w:cs="Arial"/>
          <w:color w:val="000000"/>
          <w:lang w:val="en-US"/>
        </w:rPr>
        <w:t xml:space="preserve">AUC </w:t>
      </w:r>
      <w:r w:rsidRPr="00975CEA">
        <w:rPr>
          <w:rFonts w:eastAsia="Times New Roman" w:cs="Arial"/>
          <w:color w:val="000000"/>
          <w:lang w:eastAsia="bg-BG"/>
        </w:rPr>
        <w:t>за активния ортохидроксиметаболит. Големи количества сок от грейпфрут (повече от 1/2</w:t>
      </w:r>
      <w:r w:rsidRPr="00975CEA">
        <w:rPr>
          <w:rFonts w:eastAsia="Times New Roman" w:cs="Arial"/>
          <w:color w:val="000000"/>
          <w:lang w:val="en-US"/>
        </w:rPr>
        <w:t xml:space="preserve"> </w:t>
      </w:r>
      <w:r w:rsidRPr="00975CEA">
        <w:rPr>
          <w:rFonts w:eastAsia="Times New Roman" w:cs="Arial"/>
          <w:color w:val="000000"/>
          <w:lang w:eastAsia="bg-BG"/>
        </w:rPr>
        <w:t>дневно за</w:t>
      </w:r>
      <w:r w:rsidR="00975CEA">
        <w:rPr>
          <w:rFonts w:eastAsia="Times New Roman" w:cs="Arial"/>
          <w:color w:val="000000"/>
          <w:lang w:val="en-US" w:eastAsia="bg-BG"/>
        </w:rPr>
        <w:t xml:space="preserve"> </w:t>
      </w:r>
      <w:r w:rsidR="00975CEA" w:rsidRPr="00D15BDC">
        <w:rPr>
          <w:rFonts w:eastAsia="Times New Roman" w:cs="Arial"/>
          <w:color w:val="000000"/>
          <w:lang w:eastAsia="bg-BG"/>
        </w:rPr>
        <w:t xml:space="preserve">5 дни) увеличават </w:t>
      </w:r>
      <w:r w:rsidR="00975CEA" w:rsidRPr="00D15BDC">
        <w:rPr>
          <w:rFonts w:eastAsia="Times New Roman" w:cs="Arial"/>
          <w:color w:val="000000"/>
          <w:lang w:val="en-US"/>
        </w:rPr>
        <w:t xml:space="preserve">AUC </w:t>
      </w:r>
      <w:r w:rsidR="00975CEA" w:rsidRPr="00D15BDC">
        <w:rPr>
          <w:rFonts w:eastAsia="Times New Roman" w:cs="Arial"/>
          <w:color w:val="000000"/>
          <w:lang w:eastAsia="bg-BG"/>
        </w:rPr>
        <w:t xml:space="preserve">на аторвастатин 2,5 пъти и </w:t>
      </w:r>
      <w:r w:rsidR="00975CEA" w:rsidRPr="00D15BDC">
        <w:rPr>
          <w:rFonts w:eastAsia="Times New Roman" w:cs="Arial"/>
          <w:color w:val="000000"/>
          <w:lang w:val="en-US"/>
        </w:rPr>
        <w:t xml:space="preserve">AUC </w:t>
      </w:r>
      <w:r w:rsidR="00975CEA" w:rsidRPr="00D15BDC">
        <w:rPr>
          <w:rFonts w:eastAsia="Times New Roman" w:cs="Arial"/>
          <w:color w:val="000000"/>
          <w:lang w:eastAsia="bg-BG"/>
        </w:rPr>
        <w:t>на активните съ</w:t>
      </w:r>
      <w:r w:rsidR="00D15BDC">
        <w:rPr>
          <w:rFonts w:eastAsia="Times New Roman" w:cs="Arial"/>
          <w:color w:val="000000"/>
          <w:lang w:eastAsia="bg-BG"/>
        </w:rPr>
        <w:t xml:space="preserve">ставки (аторвастатин и неговите </w:t>
      </w:r>
      <w:r w:rsidR="00975CEA" w:rsidRPr="00D15BDC">
        <w:rPr>
          <w:rFonts w:eastAsia="Times New Roman" w:cs="Arial"/>
          <w:color w:val="000000"/>
          <w:lang w:eastAsia="bg-BG"/>
        </w:rPr>
        <w:t xml:space="preserve">метаболити) </w:t>
      </w:r>
      <w:r w:rsidR="00975CEA" w:rsidRPr="00D15BDC">
        <w:rPr>
          <w:rFonts w:eastAsia="Times New Roman" w:cs="Arial"/>
          <w:color w:val="000000"/>
          <w:lang w:val="en-US"/>
        </w:rPr>
        <w:t xml:space="preserve">HMG-CoA </w:t>
      </w:r>
      <w:r w:rsidR="00975CEA" w:rsidRPr="00D15BDC">
        <w:rPr>
          <w:rFonts w:eastAsia="Times New Roman" w:cs="Arial"/>
          <w:color w:val="000000"/>
          <w:lang w:eastAsia="bg-BG"/>
        </w:rPr>
        <w:t>редуктазни инхибитори 1,3 пъти.</w:t>
      </w:r>
    </w:p>
    <w:p w14:paraId="10C645F3" w14:textId="77777777" w:rsidR="00975CEA" w:rsidRPr="00975CEA" w:rsidRDefault="00975CEA" w:rsidP="00975CEA">
      <w:pPr>
        <w:spacing w:line="240" w:lineRule="auto"/>
        <w:rPr>
          <w:rFonts w:eastAsia="Times New Roman" w:cs="Arial"/>
          <w:lang w:eastAsia="bg-BG"/>
        </w:rPr>
      </w:pPr>
      <w:proofErr w:type="gramStart"/>
      <w:r w:rsidRPr="00975CEA">
        <w:rPr>
          <w:rFonts w:eastAsia="Times New Roman" w:cs="Arial"/>
          <w:color w:val="000000"/>
          <w:vertAlign w:val="superscript"/>
          <w:lang w:val="en-US"/>
        </w:rPr>
        <w:t>d</w:t>
      </w:r>
      <w:proofErr w:type="gramEnd"/>
      <w:r w:rsidRPr="00975CEA">
        <w:rPr>
          <w:rFonts w:eastAsia="Times New Roman" w:cs="Arial"/>
          <w:color w:val="000000"/>
          <w:lang w:val="en-US"/>
        </w:rPr>
        <w:t xml:space="preserve"> </w:t>
      </w:r>
      <w:r w:rsidRPr="00975CEA">
        <w:rPr>
          <w:rFonts w:eastAsia="Times New Roman" w:cs="Arial"/>
          <w:color w:val="000000"/>
          <w:lang w:eastAsia="bg-BG"/>
        </w:rPr>
        <w:t>Съотношение, базирано на единична проба, взета 8</w:t>
      </w:r>
      <w:r w:rsidRPr="00975CEA">
        <w:rPr>
          <w:rFonts w:eastAsia="Times New Roman" w:cs="Arial"/>
          <w:color w:val="000000"/>
          <w:lang w:val="en-US"/>
        </w:rPr>
        <w:t xml:space="preserve">-16 </w:t>
      </w:r>
      <w:r w:rsidRPr="00975CEA">
        <w:rPr>
          <w:rFonts w:eastAsia="Times New Roman" w:cs="Arial"/>
          <w:color w:val="000000"/>
          <w:lang w:eastAsia="bg-BG"/>
        </w:rPr>
        <w:t>часа след дозата.</w:t>
      </w:r>
    </w:p>
    <w:p w14:paraId="775C0FB4" w14:textId="77777777" w:rsidR="00975CEA" w:rsidRPr="00D15BDC" w:rsidRDefault="00975CEA" w:rsidP="00975CEA">
      <w:pPr>
        <w:spacing w:line="240" w:lineRule="auto"/>
        <w:rPr>
          <w:rFonts w:eastAsia="Times New Roman" w:cs="Arial"/>
          <w:color w:val="000000"/>
          <w:u w:val="single"/>
          <w:lang w:eastAsia="bg-BG"/>
        </w:rPr>
      </w:pPr>
    </w:p>
    <w:p w14:paraId="19318673" w14:textId="4DB01680" w:rsidR="00FF02DA" w:rsidRPr="00D15BDC" w:rsidRDefault="00975CEA" w:rsidP="00975CEA">
      <w:pPr>
        <w:spacing w:line="240" w:lineRule="auto"/>
        <w:rPr>
          <w:rFonts w:eastAsia="Times New Roman" w:cs="Arial"/>
          <w:lang w:val="en-US" w:eastAsia="bg-BG"/>
        </w:rPr>
      </w:pPr>
      <w:r w:rsidRPr="00D15BDC">
        <w:rPr>
          <w:rFonts w:eastAsia="Times New Roman" w:cs="Arial"/>
          <w:color w:val="000000"/>
          <w:u w:val="single"/>
          <w:lang w:eastAsia="bg-BG"/>
        </w:rPr>
        <w:t>Таблица 2. Ефект на аторвастатин върху фармакокинетиката на едновременно приемани лекарства</w:t>
      </w:r>
    </w:p>
    <w:tbl>
      <w:tblPr>
        <w:tblStyle w:val="TableGrid"/>
        <w:tblW w:w="0" w:type="auto"/>
        <w:tblLook w:val="04A0" w:firstRow="1" w:lastRow="0" w:firstColumn="1" w:lastColumn="0" w:noHBand="0" w:noVBand="1"/>
      </w:tblPr>
      <w:tblGrid>
        <w:gridCol w:w="2375"/>
        <w:gridCol w:w="2375"/>
        <w:gridCol w:w="2375"/>
        <w:gridCol w:w="2375"/>
      </w:tblGrid>
      <w:tr w:rsidR="00975CEA" w:rsidRPr="00D15BDC" w14:paraId="6ADDBE4E" w14:textId="77777777" w:rsidTr="00D15BDC">
        <w:tc>
          <w:tcPr>
            <w:tcW w:w="2375" w:type="dxa"/>
            <w:vMerge w:val="restart"/>
          </w:tcPr>
          <w:p w14:paraId="01E2A26B" w14:textId="133C41E0" w:rsidR="00975CEA" w:rsidRPr="00D15BDC" w:rsidRDefault="00D15BDC" w:rsidP="0091385D">
            <w:pPr>
              <w:rPr>
                <w:rFonts w:cs="Arial"/>
              </w:rPr>
            </w:pPr>
            <w:r w:rsidRPr="00D15BDC">
              <w:rPr>
                <w:rFonts w:cs="Arial"/>
                <w:b/>
                <w:bCs/>
              </w:rPr>
              <w:t>Аторвастатин и схема на дозиране</w:t>
            </w:r>
          </w:p>
        </w:tc>
        <w:tc>
          <w:tcPr>
            <w:tcW w:w="7125" w:type="dxa"/>
            <w:gridSpan w:val="3"/>
          </w:tcPr>
          <w:p w14:paraId="002E940F" w14:textId="77777777" w:rsidR="00D15BDC" w:rsidRPr="00D15BDC" w:rsidRDefault="00D15BDC" w:rsidP="00D15BDC">
            <w:pPr>
              <w:rPr>
                <w:rFonts w:eastAsia="Times New Roman" w:cs="Arial"/>
                <w:lang w:eastAsia="bg-BG"/>
              </w:rPr>
            </w:pPr>
            <w:r w:rsidRPr="00D15BDC">
              <w:rPr>
                <w:rFonts w:cs="Arial"/>
                <w:b/>
                <w:bCs/>
              </w:rPr>
              <w:t>Едновременно</w:t>
            </w:r>
            <w:r w:rsidRPr="00D15BDC">
              <w:rPr>
                <w:rFonts w:cs="Arial"/>
                <w:b/>
                <w:bCs/>
                <w:lang w:val="en-US"/>
              </w:rPr>
              <w:t xml:space="preserve"> </w:t>
            </w:r>
            <w:r w:rsidRPr="00D15BDC">
              <w:rPr>
                <w:rFonts w:cs="Arial"/>
                <w:b/>
                <w:bCs/>
              </w:rPr>
              <w:t>приеман лека</w:t>
            </w:r>
            <w:r w:rsidRPr="00D15BDC">
              <w:rPr>
                <w:rFonts w:eastAsia="Times New Roman" w:cs="Arial"/>
                <w:b/>
                <w:bCs/>
                <w:color w:val="000000"/>
                <w:lang w:eastAsia="bg-BG"/>
              </w:rPr>
              <w:t>рствен продукт</w:t>
            </w:r>
          </w:p>
          <w:p w14:paraId="60DF200F" w14:textId="33C9CD63" w:rsidR="00975CEA" w:rsidRPr="00D15BDC" w:rsidRDefault="00975CEA" w:rsidP="0091385D">
            <w:pPr>
              <w:rPr>
                <w:rFonts w:cs="Arial"/>
                <w:lang w:val="en-US"/>
              </w:rPr>
            </w:pPr>
          </w:p>
        </w:tc>
      </w:tr>
      <w:tr w:rsidR="00975CEA" w:rsidRPr="00D15BDC" w14:paraId="510EA972" w14:textId="77777777" w:rsidTr="00975CEA">
        <w:tc>
          <w:tcPr>
            <w:tcW w:w="2375" w:type="dxa"/>
            <w:vMerge/>
          </w:tcPr>
          <w:p w14:paraId="57DAB4E4" w14:textId="77777777" w:rsidR="00975CEA" w:rsidRPr="00D15BDC" w:rsidRDefault="00975CEA" w:rsidP="00975CEA">
            <w:pPr>
              <w:rPr>
                <w:rFonts w:cs="Arial"/>
              </w:rPr>
            </w:pPr>
          </w:p>
        </w:tc>
        <w:tc>
          <w:tcPr>
            <w:tcW w:w="2375" w:type="dxa"/>
          </w:tcPr>
          <w:p w14:paraId="7C5A60B9" w14:textId="41A5F723" w:rsidR="00975CEA" w:rsidRPr="00D15BDC" w:rsidRDefault="00975CEA" w:rsidP="00975CEA">
            <w:pPr>
              <w:rPr>
                <w:rFonts w:cs="Arial"/>
              </w:rPr>
            </w:pPr>
            <w:r w:rsidRPr="00D15BDC">
              <w:rPr>
                <w:rFonts w:cs="Arial"/>
                <w:b/>
                <w:bCs/>
              </w:rPr>
              <w:t xml:space="preserve">Лекарствен продукт/Доза </w:t>
            </w:r>
            <w:r w:rsidRPr="00D15BDC">
              <w:rPr>
                <w:rFonts w:cs="Arial"/>
                <w:b/>
                <w:bCs/>
                <w:lang w:val="en-US"/>
              </w:rPr>
              <w:t>(mg)</w:t>
            </w:r>
          </w:p>
        </w:tc>
        <w:tc>
          <w:tcPr>
            <w:tcW w:w="2375" w:type="dxa"/>
          </w:tcPr>
          <w:p w14:paraId="323D8781" w14:textId="1706CC10" w:rsidR="00975CEA" w:rsidRPr="00D15BDC" w:rsidRDefault="00975CEA" w:rsidP="00975CEA">
            <w:pPr>
              <w:rPr>
                <w:rFonts w:cs="Arial"/>
              </w:rPr>
            </w:pPr>
            <w:r w:rsidRPr="00D15BDC">
              <w:rPr>
                <w:rFonts w:cs="Arial"/>
                <w:b/>
                <w:bCs/>
              </w:rPr>
              <w:t xml:space="preserve">Промяна в </w:t>
            </w:r>
            <w:r w:rsidRPr="00D15BDC">
              <w:rPr>
                <w:rFonts w:cs="Arial"/>
                <w:b/>
                <w:bCs/>
                <w:lang w:val="en-US"/>
              </w:rPr>
              <w:t>ALC*</w:t>
            </w:r>
          </w:p>
        </w:tc>
        <w:tc>
          <w:tcPr>
            <w:tcW w:w="2375" w:type="dxa"/>
          </w:tcPr>
          <w:p w14:paraId="7D8421B9" w14:textId="7ACF4D30" w:rsidR="00975CEA" w:rsidRPr="00D15BDC" w:rsidRDefault="00975CEA" w:rsidP="00975CEA">
            <w:pPr>
              <w:rPr>
                <w:rFonts w:cs="Arial"/>
              </w:rPr>
            </w:pPr>
            <w:r w:rsidRPr="00D15BDC">
              <w:rPr>
                <w:rFonts w:cs="Arial"/>
                <w:b/>
                <w:bCs/>
              </w:rPr>
              <w:t>Клинични препоръки</w:t>
            </w:r>
          </w:p>
        </w:tc>
      </w:tr>
      <w:tr w:rsidR="00975CEA" w:rsidRPr="00D15BDC" w14:paraId="7A774801" w14:textId="77777777" w:rsidTr="00975CEA">
        <w:tc>
          <w:tcPr>
            <w:tcW w:w="2375" w:type="dxa"/>
          </w:tcPr>
          <w:p w14:paraId="2C9A249E" w14:textId="77777777" w:rsidR="00975CEA" w:rsidRPr="00D15BDC" w:rsidRDefault="00975CEA" w:rsidP="00975CEA">
            <w:pPr>
              <w:rPr>
                <w:rFonts w:cs="Arial"/>
              </w:rPr>
            </w:pPr>
            <w:r w:rsidRPr="00D15BDC">
              <w:rPr>
                <w:rFonts w:cs="Arial"/>
              </w:rPr>
              <w:t xml:space="preserve">80 </w:t>
            </w:r>
            <w:r w:rsidRPr="00D15BDC">
              <w:rPr>
                <w:rFonts w:cs="Arial"/>
                <w:lang w:val="en-US"/>
              </w:rPr>
              <w:t xml:space="preserve">mg </w:t>
            </w:r>
            <w:r w:rsidRPr="00D15BDC">
              <w:rPr>
                <w:rFonts w:cs="Arial"/>
              </w:rPr>
              <w:t>веднъж дневно за 10</w:t>
            </w:r>
          </w:p>
          <w:p w14:paraId="3A876257" w14:textId="307B8835" w:rsidR="00975CEA" w:rsidRPr="00D15BDC" w:rsidRDefault="00975CEA" w:rsidP="00975CEA">
            <w:pPr>
              <w:rPr>
                <w:rFonts w:cs="Arial"/>
              </w:rPr>
            </w:pPr>
            <w:r w:rsidRPr="00D15BDC">
              <w:rPr>
                <w:rFonts w:cs="Arial"/>
                <w:b/>
                <w:bCs/>
              </w:rPr>
              <w:t>ДНИ</w:t>
            </w:r>
          </w:p>
        </w:tc>
        <w:tc>
          <w:tcPr>
            <w:tcW w:w="2375" w:type="dxa"/>
          </w:tcPr>
          <w:p w14:paraId="76D47AF8" w14:textId="0E2525AF" w:rsidR="00975CEA" w:rsidRPr="00D15BDC" w:rsidRDefault="00975CEA" w:rsidP="00975CEA">
            <w:pPr>
              <w:rPr>
                <w:rFonts w:cs="Arial"/>
              </w:rPr>
            </w:pPr>
            <w:r w:rsidRPr="00D15BDC">
              <w:rPr>
                <w:rFonts w:cs="Arial"/>
              </w:rPr>
              <w:t xml:space="preserve">Дигоксин 0,25 </w:t>
            </w:r>
            <w:r w:rsidRPr="00D15BDC">
              <w:rPr>
                <w:rFonts w:cs="Arial"/>
                <w:lang w:val="en-US"/>
              </w:rPr>
              <w:t xml:space="preserve">mg </w:t>
            </w:r>
            <w:r w:rsidRPr="00D15BDC">
              <w:rPr>
                <w:rFonts w:cs="Arial"/>
              </w:rPr>
              <w:t>веднъж дневно, 20 дни</w:t>
            </w:r>
          </w:p>
        </w:tc>
        <w:tc>
          <w:tcPr>
            <w:tcW w:w="2375" w:type="dxa"/>
          </w:tcPr>
          <w:p w14:paraId="507E745A" w14:textId="4223688A" w:rsidR="00975CEA" w:rsidRPr="00D15BDC" w:rsidRDefault="00975CEA" w:rsidP="00975CEA">
            <w:pPr>
              <w:rPr>
                <w:rFonts w:cs="Arial"/>
              </w:rPr>
            </w:pPr>
            <w:r w:rsidRPr="00D15BDC">
              <w:rPr>
                <w:rFonts w:cs="Arial"/>
              </w:rPr>
              <w:t>1,15</w:t>
            </w:r>
          </w:p>
        </w:tc>
        <w:tc>
          <w:tcPr>
            <w:tcW w:w="2375" w:type="dxa"/>
          </w:tcPr>
          <w:p w14:paraId="1E428F11" w14:textId="636E5849" w:rsidR="00975CEA" w:rsidRPr="00D15BDC" w:rsidRDefault="00975CEA" w:rsidP="00975CEA">
            <w:pPr>
              <w:rPr>
                <w:rFonts w:cs="Arial"/>
              </w:rPr>
            </w:pPr>
            <w:r w:rsidRPr="00D15BDC">
              <w:rPr>
                <w:rFonts w:cs="Arial"/>
              </w:rPr>
              <w:t>Пациенти, приемащи дигоксин,трябва да бъдат внимателно проследявани</w:t>
            </w:r>
          </w:p>
        </w:tc>
      </w:tr>
      <w:tr w:rsidR="00975CEA" w:rsidRPr="00D15BDC" w14:paraId="388F4A26" w14:textId="77777777" w:rsidTr="00975CEA">
        <w:tc>
          <w:tcPr>
            <w:tcW w:w="2375" w:type="dxa"/>
          </w:tcPr>
          <w:p w14:paraId="4D123D7B" w14:textId="1B3DE6C7" w:rsidR="00975CEA" w:rsidRPr="00D15BDC" w:rsidRDefault="00975CEA" w:rsidP="00975CEA">
            <w:pPr>
              <w:rPr>
                <w:rFonts w:cs="Arial"/>
              </w:rPr>
            </w:pPr>
            <w:r w:rsidRPr="00D15BDC">
              <w:rPr>
                <w:rFonts w:cs="Arial"/>
              </w:rPr>
              <w:t xml:space="preserve">40 </w:t>
            </w:r>
            <w:r w:rsidRPr="00D15BDC">
              <w:rPr>
                <w:rFonts w:cs="Arial"/>
                <w:lang w:val="en-US"/>
              </w:rPr>
              <w:t xml:space="preserve">mg </w:t>
            </w:r>
            <w:r w:rsidRPr="00D15BDC">
              <w:rPr>
                <w:rFonts w:cs="Arial"/>
              </w:rPr>
              <w:t>веднъж дневно за 22 дни</w:t>
            </w:r>
          </w:p>
        </w:tc>
        <w:tc>
          <w:tcPr>
            <w:tcW w:w="2375" w:type="dxa"/>
          </w:tcPr>
          <w:p w14:paraId="4FCD7FE9" w14:textId="30CB163E" w:rsidR="00975CEA" w:rsidRPr="00D15BDC" w:rsidRDefault="00975CEA" w:rsidP="00975CEA">
            <w:pPr>
              <w:rPr>
                <w:rFonts w:cs="Arial"/>
              </w:rPr>
            </w:pPr>
            <w:r w:rsidRPr="00D15BDC">
              <w:rPr>
                <w:rFonts w:cs="Arial"/>
              </w:rPr>
              <w:t xml:space="preserve">Перорални контрацептиви веднъж дневно, 2 месеца - норетиндрон 1 </w:t>
            </w:r>
            <w:r w:rsidRPr="00D15BDC">
              <w:rPr>
                <w:rFonts w:cs="Arial"/>
                <w:lang w:val="en-US"/>
              </w:rPr>
              <w:t xml:space="preserve">mg </w:t>
            </w:r>
            <w:r w:rsidRPr="00D15BDC">
              <w:rPr>
                <w:rFonts w:cs="Arial"/>
              </w:rPr>
              <w:t xml:space="preserve">- етинилестрадиол 35 </w:t>
            </w:r>
            <w:r w:rsidRPr="00D15BDC">
              <w:rPr>
                <w:rFonts w:cs="Arial"/>
                <w:lang w:val="en-US"/>
              </w:rPr>
              <w:t>pg</w:t>
            </w:r>
          </w:p>
        </w:tc>
        <w:tc>
          <w:tcPr>
            <w:tcW w:w="2375" w:type="dxa"/>
          </w:tcPr>
          <w:p w14:paraId="7A2119F8" w14:textId="77777777" w:rsidR="00975CEA" w:rsidRPr="00D15BDC" w:rsidRDefault="00975CEA" w:rsidP="00975CEA">
            <w:pPr>
              <w:rPr>
                <w:rFonts w:cs="Arial"/>
              </w:rPr>
            </w:pPr>
            <w:r w:rsidRPr="00D15BDC">
              <w:rPr>
                <w:rFonts w:cs="Arial"/>
              </w:rPr>
              <w:t>1,28</w:t>
            </w:r>
          </w:p>
          <w:p w14:paraId="19B0DA86" w14:textId="62EE29F1" w:rsidR="00975CEA" w:rsidRPr="00D15BDC" w:rsidRDefault="00975CEA" w:rsidP="00975CEA">
            <w:pPr>
              <w:rPr>
                <w:rFonts w:cs="Arial"/>
              </w:rPr>
            </w:pPr>
            <w:r w:rsidRPr="00D15BDC">
              <w:rPr>
                <w:rFonts w:cs="Arial"/>
              </w:rPr>
              <w:t>1,19</w:t>
            </w:r>
          </w:p>
        </w:tc>
        <w:tc>
          <w:tcPr>
            <w:tcW w:w="2375" w:type="dxa"/>
          </w:tcPr>
          <w:p w14:paraId="30BC0818" w14:textId="65CBDD49" w:rsidR="00975CEA" w:rsidRPr="00D15BDC" w:rsidRDefault="00975CEA" w:rsidP="00975CEA">
            <w:pPr>
              <w:rPr>
                <w:rFonts w:cs="Arial"/>
              </w:rPr>
            </w:pPr>
            <w:r w:rsidRPr="00D15BDC">
              <w:rPr>
                <w:rFonts w:cs="Arial"/>
              </w:rPr>
              <w:t>Няма специални препоръки</w:t>
            </w:r>
          </w:p>
        </w:tc>
      </w:tr>
      <w:tr w:rsidR="00975CEA" w:rsidRPr="00D15BDC" w14:paraId="49D766D0" w14:textId="77777777" w:rsidTr="00975CEA">
        <w:tc>
          <w:tcPr>
            <w:tcW w:w="2375" w:type="dxa"/>
          </w:tcPr>
          <w:p w14:paraId="6C1C6DF1" w14:textId="58F53872" w:rsidR="00975CEA" w:rsidRPr="00D15BDC" w:rsidRDefault="00975CEA" w:rsidP="00975CEA">
            <w:pPr>
              <w:rPr>
                <w:rFonts w:cs="Arial"/>
              </w:rPr>
            </w:pPr>
            <w:r w:rsidRPr="00D15BDC">
              <w:rPr>
                <w:rFonts w:cs="Arial"/>
              </w:rPr>
              <w:t xml:space="preserve">80 </w:t>
            </w:r>
            <w:r w:rsidRPr="00D15BDC">
              <w:rPr>
                <w:rFonts w:cs="Arial"/>
                <w:lang w:val="en-US"/>
              </w:rPr>
              <w:t xml:space="preserve">mg </w:t>
            </w:r>
            <w:r w:rsidRPr="00D15BDC">
              <w:rPr>
                <w:rFonts w:cs="Arial"/>
              </w:rPr>
              <w:t>веднъж дневно за 15 дни</w:t>
            </w:r>
          </w:p>
        </w:tc>
        <w:tc>
          <w:tcPr>
            <w:tcW w:w="2375" w:type="dxa"/>
          </w:tcPr>
          <w:p w14:paraId="19B2A419" w14:textId="52836214" w:rsidR="00975CEA" w:rsidRPr="00D15BDC" w:rsidRDefault="00975CEA" w:rsidP="00975CEA">
            <w:pPr>
              <w:rPr>
                <w:rFonts w:cs="Arial"/>
              </w:rPr>
            </w:pPr>
            <w:r w:rsidRPr="00D15BDC">
              <w:rPr>
                <w:rFonts w:cs="Arial"/>
                <w:vertAlign w:val="superscript"/>
              </w:rPr>
              <w:t>ь</w:t>
            </w:r>
            <w:r w:rsidRPr="00D15BDC">
              <w:rPr>
                <w:rFonts w:cs="Arial"/>
              </w:rPr>
              <w:t xml:space="preserve">Феназон 600 </w:t>
            </w:r>
            <w:r w:rsidRPr="00D15BDC">
              <w:rPr>
                <w:rFonts w:cs="Arial"/>
                <w:lang w:val="en-US"/>
              </w:rPr>
              <w:t xml:space="preserve">mg, </w:t>
            </w:r>
            <w:r w:rsidRPr="00D15BDC">
              <w:rPr>
                <w:rFonts w:cs="Arial"/>
              </w:rPr>
              <w:t>еднократна доза</w:t>
            </w:r>
          </w:p>
        </w:tc>
        <w:tc>
          <w:tcPr>
            <w:tcW w:w="2375" w:type="dxa"/>
          </w:tcPr>
          <w:p w14:paraId="754E1C22" w14:textId="15566BFD" w:rsidR="00975CEA" w:rsidRPr="00D15BDC" w:rsidRDefault="00975CEA" w:rsidP="00975CEA">
            <w:pPr>
              <w:rPr>
                <w:rFonts w:cs="Arial"/>
              </w:rPr>
            </w:pPr>
            <w:r w:rsidRPr="00D15BDC">
              <w:rPr>
                <w:rFonts w:cs="Arial"/>
              </w:rPr>
              <w:t>1,03</w:t>
            </w:r>
          </w:p>
        </w:tc>
        <w:tc>
          <w:tcPr>
            <w:tcW w:w="2375" w:type="dxa"/>
          </w:tcPr>
          <w:p w14:paraId="509A4860" w14:textId="2F7990C5" w:rsidR="00975CEA" w:rsidRPr="00D15BDC" w:rsidRDefault="00975CEA" w:rsidP="00975CEA">
            <w:pPr>
              <w:rPr>
                <w:rFonts w:cs="Arial"/>
              </w:rPr>
            </w:pPr>
            <w:r w:rsidRPr="00D15BDC">
              <w:rPr>
                <w:rFonts w:cs="Arial"/>
              </w:rPr>
              <w:t>Няма специални препоръки</w:t>
            </w:r>
          </w:p>
        </w:tc>
      </w:tr>
      <w:tr w:rsidR="00975CEA" w:rsidRPr="00D15BDC" w14:paraId="3E4BE7CE" w14:textId="77777777" w:rsidTr="00975CEA">
        <w:tc>
          <w:tcPr>
            <w:tcW w:w="2375" w:type="dxa"/>
          </w:tcPr>
          <w:p w14:paraId="67900E87" w14:textId="65B39075" w:rsidR="00975CEA" w:rsidRPr="00D15BDC" w:rsidRDefault="00975CEA" w:rsidP="00975CEA">
            <w:pPr>
              <w:rPr>
                <w:rFonts w:cs="Arial"/>
              </w:rPr>
            </w:pPr>
            <w:r w:rsidRPr="00D15BDC">
              <w:rPr>
                <w:rFonts w:cs="Arial"/>
              </w:rPr>
              <w:lastRenderedPageBreak/>
              <w:t xml:space="preserve">10 </w:t>
            </w:r>
            <w:r w:rsidRPr="00D15BDC">
              <w:rPr>
                <w:rFonts w:cs="Arial"/>
                <w:lang w:val="en-US"/>
              </w:rPr>
              <w:t xml:space="preserve">mg </w:t>
            </w:r>
            <w:r w:rsidRPr="00D15BDC">
              <w:rPr>
                <w:rFonts w:cs="Arial"/>
              </w:rPr>
              <w:t>еднократна доза</w:t>
            </w:r>
          </w:p>
        </w:tc>
        <w:tc>
          <w:tcPr>
            <w:tcW w:w="2375" w:type="dxa"/>
          </w:tcPr>
          <w:p w14:paraId="1C8A5080" w14:textId="34B9CFDE" w:rsidR="00975CEA" w:rsidRPr="00D15BDC" w:rsidRDefault="00975CEA" w:rsidP="00975CEA">
            <w:pPr>
              <w:rPr>
                <w:rFonts w:cs="Arial"/>
              </w:rPr>
            </w:pPr>
            <w:r w:rsidRPr="00D15BDC">
              <w:rPr>
                <w:rFonts w:cs="Arial"/>
              </w:rPr>
              <w:t xml:space="preserve">Типранавир 500 </w:t>
            </w:r>
            <w:r w:rsidRPr="00D15BDC">
              <w:rPr>
                <w:rFonts w:cs="Arial"/>
                <w:lang w:val="en-US"/>
              </w:rPr>
              <w:t xml:space="preserve">mg </w:t>
            </w:r>
            <w:r w:rsidRPr="00D15BDC">
              <w:rPr>
                <w:rFonts w:cs="Arial"/>
              </w:rPr>
              <w:t xml:space="preserve">два пъти дневно/Ритонавир 200 </w:t>
            </w:r>
            <w:r w:rsidRPr="00D15BDC">
              <w:rPr>
                <w:rFonts w:cs="Arial"/>
                <w:lang w:val="en-US"/>
              </w:rPr>
              <w:t xml:space="preserve">mg </w:t>
            </w:r>
            <w:r w:rsidRPr="00D15BDC">
              <w:rPr>
                <w:rFonts w:cs="Arial"/>
              </w:rPr>
              <w:t>два пъти дневно, 7 дни</w:t>
            </w:r>
          </w:p>
        </w:tc>
        <w:tc>
          <w:tcPr>
            <w:tcW w:w="2375" w:type="dxa"/>
          </w:tcPr>
          <w:p w14:paraId="013EF0DB" w14:textId="576838AF" w:rsidR="00975CEA" w:rsidRPr="00D15BDC" w:rsidRDefault="00975CEA" w:rsidP="00975CEA">
            <w:pPr>
              <w:rPr>
                <w:rFonts w:cs="Arial"/>
              </w:rPr>
            </w:pPr>
            <w:r w:rsidRPr="00D15BDC">
              <w:rPr>
                <w:rFonts w:cs="Arial"/>
              </w:rPr>
              <w:t>1,08</w:t>
            </w:r>
          </w:p>
        </w:tc>
        <w:tc>
          <w:tcPr>
            <w:tcW w:w="2375" w:type="dxa"/>
          </w:tcPr>
          <w:p w14:paraId="66AAB76E" w14:textId="545384E3" w:rsidR="00975CEA" w:rsidRPr="00D15BDC" w:rsidRDefault="00975CEA" w:rsidP="00975CEA">
            <w:pPr>
              <w:rPr>
                <w:rFonts w:cs="Arial"/>
              </w:rPr>
            </w:pPr>
            <w:r w:rsidRPr="00D15BDC">
              <w:rPr>
                <w:rFonts w:cs="Arial"/>
              </w:rPr>
              <w:t>Няма специални препоръки</w:t>
            </w:r>
          </w:p>
        </w:tc>
      </w:tr>
      <w:tr w:rsidR="00975CEA" w:rsidRPr="00D15BDC" w14:paraId="79B38EBC" w14:textId="77777777" w:rsidTr="00975CEA">
        <w:tc>
          <w:tcPr>
            <w:tcW w:w="2375" w:type="dxa"/>
          </w:tcPr>
          <w:p w14:paraId="01089DE9" w14:textId="231DE736" w:rsidR="00975CEA" w:rsidRPr="00D15BDC" w:rsidRDefault="00975CEA" w:rsidP="00975CEA">
            <w:pPr>
              <w:rPr>
                <w:rFonts w:cs="Arial"/>
              </w:rPr>
            </w:pPr>
            <w:r w:rsidRPr="00D15BDC">
              <w:rPr>
                <w:rFonts w:cs="Arial"/>
              </w:rPr>
              <w:t xml:space="preserve">10 </w:t>
            </w:r>
            <w:r w:rsidRPr="00D15BDC">
              <w:rPr>
                <w:rFonts w:cs="Arial"/>
                <w:lang w:val="en-US"/>
              </w:rPr>
              <w:t xml:space="preserve">mg </w:t>
            </w:r>
            <w:r w:rsidRPr="00D15BDC">
              <w:rPr>
                <w:rFonts w:cs="Arial"/>
              </w:rPr>
              <w:t>веднъж дневно за 4 дни</w:t>
            </w:r>
          </w:p>
        </w:tc>
        <w:tc>
          <w:tcPr>
            <w:tcW w:w="2375" w:type="dxa"/>
          </w:tcPr>
          <w:p w14:paraId="429E9F7A" w14:textId="4D3BC7ED" w:rsidR="00975CEA" w:rsidRPr="00D15BDC" w:rsidRDefault="00975CEA" w:rsidP="00975CEA">
            <w:pPr>
              <w:rPr>
                <w:rFonts w:cs="Arial"/>
              </w:rPr>
            </w:pPr>
            <w:r w:rsidRPr="00D15BDC">
              <w:rPr>
                <w:rFonts w:cs="Arial"/>
              </w:rPr>
              <w:t xml:space="preserve">Фозампренавир 1400 </w:t>
            </w:r>
            <w:r w:rsidRPr="00D15BDC">
              <w:rPr>
                <w:rFonts w:cs="Arial"/>
                <w:lang w:val="en-US"/>
              </w:rPr>
              <w:t xml:space="preserve">mg </w:t>
            </w:r>
            <w:r w:rsidRPr="00D15BDC">
              <w:rPr>
                <w:rFonts w:cs="Arial"/>
              </w:rPr>
              <w:t>два пъти дневно, 14 дни</w:t>
            </w:r>
          </w:p>
        </w:tc>
        <w:tc>
          <w:tcPr>
            <w:tcW w:w="2375" w:type="dxa"/>
          </w:tcPr>
          <w:p w14:paraId="5A58EF20" w14:textId="0971A99D" w:rsidR="00975CEA" w:rsidRPr="00D15BDC" w:rsidRDefault="00975CEA" w:rsidP="00975CEA">
            <w:pPr>
              <w:rPr>
                <w:rFonts w:cs="Arial"/>
              </w:rPr>
            </w:pPr>
            <w:r w:rsidRPr="00D15BDC">
              <w:rPr>
                <w:rFonts w:cs="Arial"/>
              </w:rPr>
              <w:t>0,73</w:t>
            </w:r>
          </w:p>
        </w:tc>
        <w:tc>
          <w:tcPr>
            <w:tcW w:w="2375" w:type="dxa"/>
          </w:tcPr>
          <w:p w14:paraId="20DA81D5" w14:textId="6884AFB1" w:rsidR="00975CEA" w:rsidRPr="00D15BDC" w:rsidRDefault="00975CEA" w:rsidP="00975CEA">
            <w:pPr>
              <w:rPr>
                <w:rFonts w:cs="Arial"/>
              </w:rPr>
            </w:pPr>
            <w:r w:rsidRPr="00D15BDC">
              <w:rPr>
                <w:rFonts w:cs="Arial"/>
              </w:rPr>
              <w:t>Няма специални препоръки</w:t>
            </w:r>
          </w:p>
        </w:tc>
      </w:tr>
      <w:tr w:rsidR="00975CEA" w:rsidRPr="00D15BDC" w14:paraId="5ADD5978" w14:textId="77777777" w:rsidTr="00975CEA">
        <w:tc>
          <w:tcPr>
            <w:tcW w:w="2375" w:type="dxa"/>
          </w:tcPr>
          <w:p w14:paraId="7877B1A3" w14:textId="45551A54" w:rsidR="00975CEA" w:rsidRPr="00D15BDC" w:rsidRDefault="00975CEA" w:rsidP="00975CEA">
            <w:pPr>
              <w:rPr>
                <w:rFonts w:cs="Arial"/>
              </w:rPr>
            </w:pPr>
            <w:r w:rsidRPr="00D15BDC">
              <w:rPr>
                <w:rFonts w:cs="Arial"/>
              </w:rPr>
              <w:t xml:space="preserve">10 </w:t>
            </w:r>
            <w:r w:rsidRPr="00D15BDC">
              <w:rPr>
                <w:rFonts w:cs="Arial"/>
                <w:lang w:val="en-US"/>
              </w:rPr>
              <w:t xml:space="preserve">mg </w:t>
            </w:r>
            <w:r w:rsidRPr="00D15BDC">
              <w:rPr>
                <w:rFonts w:cs="Arial"/>
              </w:rPr>
              <w:t>веднъж дневно за 4 дни</w:t>
            </w:r>
          </w:p>
        </w:tc>
        <w:tc>
          <w:tcPr>
            <w:tcW w:w="2375" w:type="dxa"/>
          </w:tcPr>
          <w:p w14:paraId="22E6B76C" w14:textId="6CDFDA1C" w:rsidR="00975CEA" w:rsidRPr="00D15BDC" w:rsidRDefault="00975CEA" w:rsidP="00975CEA">
            <w:pPr>
              <w:rPr>
                <w:rFonts w:cs="Arial"/>
              </w:rPr>
            </w:pPr>
            <w:r w:rsidRPr="00D15BDC">
              <w:rPr>
                <w:rFonts w:cs="Arial"/>
              </w:rPr>
              <w:t xml:space="preserve">Фозампренавир 700 </w:t>
            </w:r>
            <w:r w:rsidRPr="00D15BDC">
              <w:rPr>
                <w:rFonts w:cs="Arial"/>
                <w:lang w:val="en-US"/>
              </w:rPr>
              <w:t xml:space="preserve">mg </w:t>
            </w:r>
            <w:r w:rsidRPr="00D15BDC">
              <w:rPr>
                <w:rFonts w:cs="Arial"/>
              </w:rPr>
              <w:t xml:space="preserve">два пъти дневно/Ритонавир 100 </w:t>
            </w:r>
            <w:r w:rsidRPr="00D15BDC">
              <w:rPr>
                <w:rFonts w:cs="Arial"/>
                <w:lang w:val="en-US"/>
              </w:rPr>
              <w:t xml:space="preserve">mg </w:t>
            </w:r>
            <w:r w:rsidRPr="00D15BDC">
              <w:rPr>
                <w:rFonts w:cs="Arial"/>
              </w:rPr>
              <w:t>два пъти дневно, 14 дни</w:t>
            </w:r>
          </w:p>
        </w:tc>
        <w:tc>
          <w:tcPr>
            <w:tcW w:w="2375" w:type="dxa"/>
          </w:tcPr>
          <w:p w14:paraId="081771CB" w14:textId="62BF5CF4" w:rsidR="00975CEA" w:rsidRPr="00D15BDC" w:rsidRDefault="00975CEA" w:rsidP="00975CEA">
            <w:pPr>
              <w:rPr>
                <w:rFonts w:cs="Arial"/>
              </w:rPr>
            </w:pPr>
            <w:r w:rsidRPr="00D15BDC">
              <w:rPr>
                <w:rFonts w:cs="Arial"/>
              </w:rPr>
              <w:t>0,99</w:t>
            </w:r>
          </w:p>
        </w:tc>
        <w:tc>
          <w:tcPr>
            <w:tcW w:w="2375" w:type="dxa"/>
          </w:tcPr>
          <w:p w14:paraId="06753E22" w14:textId="625DF559" w:rsidR="00975CEA" w:rsidRPr="00D15BDC" w:rsidRDefault="00975CEA" w:rsidP="00975CEA">
            <w:pPr>
              <w:rPr>
                <w:rFonts w:cs="Arial"/>
              </w:rPr>
            </w:pPr>
            <w:r w:rsidRPr="00D15BDC">
              <w:rPr>
                <w:rFonts w:cs="Arial"/>
              </w:rPr>
              <w:t>Няма специални препоръки</w:t>
            </w:r>
          </w:p>
        </w:tc>
      </w:tr>
    </w:tbl>
    <w:p w14:paraId="15A53298" w14:textId="15F2B401" w:rsidR="00FF02DA" w:rsidRPr="00D15BDC" w:rsidRDefault="00FF02DA" w:rsidP="0091385D">
      <w:pPr>
        <w:rPr>
          <w:rFonts w:cs="Arial"/>
        </w:rPr>
      </w:pPr>
    </w:p>
    <w:p w14:paraId="02E0A5C2" w14:textId="77777777" w:rsidR="00D15BDC" w:rsidRPr="00D15BDC" w:rsidRDefault="00D15BDC" w:rsidP="00D15BDC">
      <w:pPr>
        <w:spacing w:line="240" w:lineRule="auto"/>
        <w:rPr>
          <w:rFonts w:eastAsia="Times New Roman" w:cs="Arial"/>
          <w:lang w:eastAsia="bg-BG"/>
        </w:rPr>
      </w:pPr>
      <w:r w:rsidRPr="00D15BDC">
        <w:rPr>
          <w:rFonts w:eastAsia="Times New Roman" w:cs="Arial"/>
          <w:color w:val="000000"/>
          <w:vertAlign w:val="superscript"/>
          <w:lang w:eastAsia="bg-BG"/>
        </w:rPr>
        <w:t>а</w:t>
      </w:r>
      <w:r w:rsidRPr="00D15BDC">
        <w:rPr>
          <w:rFonts w:eastAsia="Times New Roman" w:cs="Arial"/>
          <w:color w:val="000000"/>
          <w:lang w:eastAsia="bg-BG"/>
        </w:rPr>
        <w:t xml:space="preserve"> Представлява съотношение между леченията (лекарствен продукт, прилаган едновременно с аторвастатин, спрямо самостоятелно приложение на аторвастатин)</w:t>
      </w:r>
    </w:p>
    <w:p w14:paraId="1AF058D1" w14:textId="7F43B8D2" w:rsidR="00D15BDC" w:rsidRPr="00D15BDC" w:rsidRDefault="00D15BDC" w:rsidP="00D15BDC">
      <w:pPr>
        <w:rPr>
          <w:rFonts w:cs="Arial"/>
        </w:rPr>
      </w:pPr>
      <w:proofErr w:type="gramStart"/>
      <w:r w:rsidRPr="00D15BDC">
        <w:rPr>
          <w:rFonts w:eastAsia="Times New Roman" w:cs="Arial"/>
          <w:color w:val="000000"/>
          <w:vertAlign w:val="superscript"/>
          <w:lang w:val="en-US"/>
        </w:rPr>
        <w:t>b</w:t>
      </w:r>
      <w:proofErr w:type="gramEnd"/>
      <w:r w:rsidRPr="00D15BDC">
        <w:rPr>
          <w:rFonts w:eastAsia="Times New Roman" w:cs="Arial"/>
          <w:color w:val="000000"/>
          <w:lang w:eastAsia="bg-BG"/>
        </w:rPr>
        <w:t xml:space="preserve"> Едновременният прием на аторвастатин и феназон при многократно прилагане показва малък или незначителен ефект върху клиръиса на феназон</w:t>
      </w:r>
    </w:p>
    <w:p w14:paraId="440E7697" w14:textId="77777777" w:rsidR="00975CEA" w:rsidRPr="0091385D" w:rsidRDefault="00975CEA"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30DA3F8E"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u w:val="single"/>
          <w:lang w:eastAsia="bg-BG"/>
        </w:rPr>
        <w:t>Жени с детероден потенциал</w:t>
      </w:r>
    </w:p>
    <w:p w14:paraId="3FC4F24B"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Жени с детероден потенциал трябва да използват ефективна контрацепция по време на лечението (вж. точка 43).</w:t>
      </w:r>
    </w:p>
    <w:p w14:paraId="5267CD1E" w14:textId="77777777" w:rsidR="00D15BDC" w:rsidRPr="00D15BDC" w:rsidRDefault="00D15BDC" w:rsidP="00D15BDC">
      <w:pPr>
        <w:spacing w:line="240" w:lineRule="auto"/>
        <w:rPr>
          <w:rFonts w:eastAsia="Times New Roman" w:cs="Arial"/>
          <w:color w:val="000000"/>
          <w:szCs w:val="20"/>
          <w:u w:val="single"/>
          <w:lang w:eastAsia="bg-BG"/>
        </w:rPr>
      </w:pPr>
    </w:p>
    <w:p w14:paraId="018FFA92" w14:textId="67E4DFBA" w:rsidR="00D15BDC" w:rsidRPr="00D15BDC" w:rsidRDefault="00D15BDC" w:rsidP="00D15BDC">
      <w:pPr>
        <w:pStyle w:val="Heading3"/>
        <w:rPr>
          <w:rFonts w:eastAsia="Times New Roman"/>
          <w:sz w:val="28"/>
          <w:u w:val="single"/>
          <w:lang w:eastAsia="bg-BG"/>
        </w:rPr>
      </w:pPr>
      <w:r w:rsidRPr="00D15BDC">
        <w:rPr>
          <w:rFonts w:eastAsia="Times New Roman"/>
          <w:u w:val="single"/>
          <w:lang w:eastAsia="bg-BG"/>
        </w:rPr>
        <w:t>Бременност</w:t>
      </w:r>
    </w:p>
    <w:p w14:paraId="0B8C65EB"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Аторвастатин е противопоказан по време на бременност (вж. точка 43). Безопасността на аторвастатин по време на бременност не е установена. Не са провеждани контролирани проучвания с аторвастатин при бременни жени. Рядко са били докладвани вродени аномалии след вътреутробна експозиция на </w:t>
      </w:r>
      <w:r w:rsidRPr="00D15BDC">
        <w:rPr>
          <w:rFonts w:eastAsia="Times New Roman" w:cs="Arial"/>
          <w:color w:val="000000"/>
          <w:szCs w:val="20"/>
          <w:lang w:val="en-US"/>
        </w:rPr>
        <w:t>HMG</w:t>
      </w:r>
      <w:r w:rsidRPr="00D15BDC">
        <w:rPr>
          <w:rFonts w:eastAsia="Times New Roman" w:cs="Arial"/>
          <w:color w:val="000000"/>
          <w:szCs w:val="20"/>
          <w:lang w:eastAsia="bg-BG"/>
        </w:rPr>
        <w:t>-СоА-редуктазни инхибитори. Проучвания при животни показват репродуктивна токсичност (вж. точка 5.3).</w:t>
      </w:r>
    </w:p>
    <w:p w14:paraId="562516B4" w14:textId="77777777" w:rsidR="00D15BDC" w:rsidRPr="00D15BDC" w:rsidRDefault="00D15BDC" w:rsidP="00D15BDC">
      <w:pPr>
        <w:rPr>
          <w:rFonts w:eastAsia="Times New Roman" w:cs="Arial"/>
          <w:color w:val="000000"/>
          <w:szCs w:val="20"/>
          <w:lang w:eastAsia="bg-BG"/>
        </w:rPr>
      </w:pPr>
    </w:p>
    <w:p w14:paraId="5086C427" w14:textId="77777777" w:rsidR="00D15BDC" w:rsidRPr="00D15BDC" w:rsidRDefault="00D15BDC" w:rsidP="00D15BDC">
      <w:pPr>
        <w:rPr>
          <w:rFonts w:eastAsia="Times New Roman" w:cs="Arial"/>
          <w:sz w:val="28"/>
          <w:szCs w:val="24"/>
          <w:lang w:eastAsia="bg-BG"/>
        </w:rPr>
      </w:pPr>
      <w:r w:rsidRPr="00D15BDC">
        <w:rPr>
          <w:rFonts w:eastAsia="Times New Roman" w:cs="Arial"/>
          <w:color w:val="000000"/>
          <w:szCs w:val="20"/>
          <w:lang w:eastAsia="bg-BG"/>
        </w:rPr>
        <w:t>Лечението на майката с аторвастатин може да намали феталните нива на мевалонат, прекурсор на холестероловия биосинтез. Атеросклерозата е хроничен процес и при нормални обстоятелства</w:t>
      </w:r>
      <w:r>
        <w:rPr>
          <w:rFonts w:eastAsia="Times New Roman" w:cs="Arial"/>
          <w:color w:val="000000"/>
          <w:szCs w:val="20"/>
          <w:lang w:val="en-US" w:eastAsia="bg-BG"/>
        </w:rPr>
        <w:t xml:space="preserve"> </w:t>
      </w:r>
      <w:r w:rsidRPr="00D15BDC">
        <w:rPr>
          <w:rFonts w:eastAsia="Times New Roman" w:cs="Arial"/>
          <w:color w:val="000000"/>
          <w:szCs w:val="20"/>
          <w:lang w:eastAsia="bg-BG"/>
        </w:rPr>
        <w:t>прекъсването на липидопонижаващата терапия има незначителен ефект върху дългосрочния риск, свързан с първична хиперхолестеролемия.</w:t>
      </w:r>
    </w:p>
    <w:p w14:paraId="7DCD19E3" w14:textId="77777777" w:rsidR="00D15BDC" w:rsidRPr="00D15BDC" w:rsidRDefault="00D15BDC" w:rsidP="00D15BDC">
      <w:pPr>
        <w:spacing w:line="240" w:lineRule="auto"/>
        <w:rPr>
          <w:rFonts w:eastAsia="Times New Roman" w:cs="Arial"/>
          <w:color w:val="000000"/>
          <w:szCs w:val="20"/>
          <w:lang w:eastAsia="bg-BG"/>
        </w:rPr>
      </w:pPr>
    </w:p>
    <w:p w14:paraId="5D1FEC99" w14:textId="07A5223C"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Поради изброените причини, аторвастатин не бива да бъде използван при бременни жени, такива, които правят опити да забременеят или които подозират, че са бременни. Лечението с аторвастатин трябва да бъде прекъснато по време на бременността или докато се установи със сигурност липса на бременност (вж. точка 4</w:t>
      </w:r>
      <w:r>
        <w:rPr>
          <w:rFonts w:eastAsia="Times New Roman" w:cs="Arial"/>
          <w:color w:val="000000"/>
          <w:szCs w:val="20"/>
          <w:lang w:val="en-US" w:eastAsia="bg-BG"/>
        </w:rPr>
        <w:t>.</w:t>
      </w:r>
      <w:r w:rsidRPr="00D15BDC">
        <w:rPr>
          <w:rFonts w:eastAsia="Times New Roman" w:cs="Arial"/>
          <w:color w:val="000000"/>
          <w:szCs w:val="20"/>
          <w:lang w:eastAsia="bg-BG"/>
        </w:rPr>
        <w:t>3).</w:t>
      </w:r>
    </w:p>
    <w:p w14:paraId="14FE2C09" w14:textId="77777777" w:rsidR="00D15BDC" w:rsidRPr="00D15BDC" w:rsidRDefault="00D15BDC" w:rsidP="00D15BDC">
      <w:pPr>
        <w:spacing w:line="240" w:lineRule="auto"/>
        <w:rPr>
          <w:rFonts w:eastAsia="Times New Roman" w:cs="Arial"/>
          <w:color w:val="000000"/>
          <w:szCs w:val="20"/>
          <w:u w:val="single"/>
          <w:lang w:eastAsia="bg-BG"/>
        </w:rPr>
      </w:pPr>
    </w:p>
    <w:p w14:paraId="2CC4A105" w14:textId="3B505CA0" w:rsidR="00D15BDC" w:rsidRPr="00D15BDC" w:rsidRDefault="00D15BDC" w:rsidP="00D15BDC">
      <w:pPr>
        <w:pStyle w:val="Heading3"/>
        <w:rPr>
          <w:rFonts w:eastAsia="Times New Roman"/>
          <w:sz w:val="28"/>
          <w:u w:val="single"/>
          <w:lang w:eastAsia="bg-BG"/>
        </w:rPr>
      </w:pPr>
      <w:r w:rsidRPr="00D15BDC">
        <w:rPr>
          <w:rFonts w:eastAsia="Times New Roman"/>
          <w:u w:val="single"/>
          <w:lang w:eastAsia="bg-BG"/>
        </w:rPr>
        <w:t>Кърмене</w:t>
      </w:r>
    </w:p>
    <w:p w14:paraId="0E6204D3" w14:textId="162E41F5"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Не е известно дали аторвастатин и неговите метаболити се екскретират в кърмата. При плъхове плазмените концентрации на аторвастатин и активните му метаболити са близки до тези в млякото (вж. точка 53). Поради възможността от сериозни нежелани реакции, кърмещи жени не бива да употребяват аторвастатин (вж. точка 4</w:t>
      </w:r>
      <w:r>
        <w:rPr>
          <w:rFonts w:eastAsia="Times New Roman" w:cs="Arial"/>
          <w:color w:val="000000"/>
          <w:szCs w:val="20"/>
          <w:lang w:val="en-US" w:eastAsia="bg-BG"/>
        </w:rPr>
        <w:t>.</w:t>
      </w:r>
      <w:r w:rsidRPr="00D15BDC">
        <w:rPr>
          <w:rFonts w:eastAsia="Times New Roman" w:cs="Arial"/>
          <w:color w:val="000000"/>
          <w:szCs w:val="20"/>
          <w:lang w:eastAsia="bg-BG"/>
        </w:rPr>
        <w:t>3).</w:t>
      </w:r>
    </w:p>
    <w:p w14:paraId="4EE60024" w14:textId="77777777" w:rsidR="00D15BDC" w:rsidRPr="00D15BDC" w:rsidRDefault="00D15BDC" w:rsidP="00D15BDC">
      <w:pPr>
        <w:spacing w:line="240" w:lineRule="auto"/>
        <w:rPr>
          <w:rFonts w:eastAsia="Times New Roman" w:cs="Arial"/>
          <w:color w:val="000000"/>
          <w:szCs w:val="20"/>
          <w:u w:val="single"/>
          <w:lang w:eastAsia="bg-BG"/>
        </w:rPr>
      </w:pPr>
    </w:p>
    <w:p w14:paraId="615FDB7B" w14:textId="40671D90" w:rsidR="00D15BDC" w:rsidRPr="00D15BDC" w:rsidRDefault="00D15BDC" w:rsidP="00D15BDC">
      <w:pPr>
        <w:pStyle w:val="Heading3"/>
        <w:rPr>
          <w:rFonts w:eastAsia="Times New Roman"/>
          <w:sz w:val="28"/>
          <w:u w:val="single"/>
          <w:lang w:eastAsia="bg-BG"/>
        </w:rPr>
      </w:pPr>
      <w:r w:rsidRPr="00D15BDC">
        <w:rPr>
          <w:rFonts w:eastAsia="Times New Roman"/>
          <w:u w:val="single"/>
          <w:lang w:eastAsia="bg-BG"/>
        </w:rPr>
        <w:lastRenderedPageBreak/>
        <w:t>Фертилитет</w:t>
      </w:r>
    </w:p>
    <w:p w14:paraId="776662C5" w14:textId="3573ECCE" w:rsidR="0091385D" w:rsidRPr="00D15BDC" w:rsidRDefault="00D15BDC" w:rsidP="00D15BDC">
      <w:pPr>
        <w:rPr>
          <w:rFonts w:cs="Arial"/>
          <w:sz w:val="28"/>
          <w:lang w:val="en-US"/>
        </w:rPr>
      </w:pPr>
      <w:r w:rsidRPr="00D15BDC">
        <w:rPr>
          <w:rFonts w:eastAsia="Times New Roman" w:cs="Arial"/>
          <w:color w:val="000000"/>
          <w:szCs w:val="20"/>
          <w:lang w:eastAsia="bg-BG"/>
        </w:rPr>
        <w:t>Проучванията при животни не показват влияние върху мъжкия или женския фертилитет (вж. точка 53).</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7ADAA8FA" w:rsidR="0091385D" w:rsidRPr="00D15BDC" w:rsidRDefault="00D15BDC" w:rsidP="0091385D">
      <w:pPr>
        <w:rPr>
          <w:rFonts w:cs="Arial"/>
        </w:rPr>
      </w:pPr>
      <w:r w:rsidRPr="00D15BDC">
        <w:rPr>
          <w:rFonts w:cs="Arial"/>
        </w:rPr>
        <w:t>Аторвастатин има незначително влияние върху способността за шофиране и работа с машини.</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00CCBE3" w14:textId="77777777"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Според базата данни от плацебо контролирани клинични проучвания с аторвастатин на 16 066 пациенти (8755 на лечение срещу 7311 плацебо), лекувани в продължение на средно 53 седмици, 5,2% от пациентите на аторвастатин са прекратили терапията поради поява на нежелани лекарствени реакции срещу 4,0% от пациентите, приемали плацебо.</w:t>
      </w:r>
    </w:p>
    <w:p w14:paraId="4814C0F1" w14:textId="77777777" w:rsidR="00D15BDC" w:rsidRPr="00D15BDC" w:rsidRDefault="00D15BDC" w:rsidP="00D15BDC">
      <w:pPr>
        <w:spacing w:line="240" w:lineRule="auto"/>
        <w:rPr>
          <w:rFonts w:eastAsia="Times New Roman" w:cs="Arial"/>
          <w:color w:val="000000"/>
          <w:lang w:eastAsia="bg-BG"/>
        </w:rPr>
      </w:pPr>
    </w:p>
    <w:p w14:paraId="45F6A03A" w14:textId="13087F9F"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Въз основа на данните от клиничните проучвания и обширните постмаркетингови данни, профилът на нежеланите реакции е представен по-долу.</w:t>
      </w:r>
    </w:p>
    <w:p w14:paraId="3EDFC419" w14:textId="77777777" w:rsidR="00D15BDC" w:rsidRPr="00D15BDC" w:rsidRDefault="00D15BDC" w:rsidP="00D15BDC">
      <w:pPr>
        <w:spacing w:line="240" w:lineRule="auto"/>
        <w:rPr>
          <w:rFonts w:eastAsia="Times New Roman" w:cs="Arial"/>
          <w:color w:val="000000"/>
          <w:lang w:eastAsia="bg-BG"/>
        </w:rPr>
      </w:pPr>
    </w:p>
    <w:p w14:paraId="216DA5F7" w14:textId="3548A49C"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Нежеланите лекарствени реакции са класифицирани в зависимост от честотата на тяхната проява по следния начин: много чести (≥1/10), чести (≥1/100 до &lt;1/10), нечести (≥1/1000 до &lt;1/100), редки (≥1/10000 до &lt;1/1000), много редки (&lt;1/10 000), с неизвестна честота (от наличните данни не може да бъде направена оценка).</w:t>
      </w:r>
    </w:p>
    <w:p w14:paraId="3185E9EE" w14:textId="77777777" w:rsidR="00D15BDC" w:rsidRPr="00D15BDC" w:rsidRDefault="00D15BDC" w:rsidP="00D15BDC">
      <w:pPr>
        <w:spacing w:line="240" w:lineRule="auto"/>
        <w:rPr>
          <w:rFonts w:eastAsia="Times New Roman" w:cs="Arial"/>
          <w:color w:val="000000"/>
          <w:u w:val="single"/>
          <w:lang w:eastAsia="bg-BG"/>
        </w:rPr>
      </w:pPr>
    </w:p>
    <w:p w14:paraId="0684C6DB" w14:textId="2972BB3D"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Инфекции и инфестации</w:t>
      </w:r>
    </w:p>
    <w:p w14:paraId="2ECD7608"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назофарингит.</w:t>
      </w:r>
    </w:p>
    <w:p w14:paraId="41ADAC5B" w14:textId="77777777" w:rsidR="00D15BDC" w:rsidRPr="00D15BDC" w:rsidRDefault="00D15BDC" w:rsidP="00D15BDC">
      <w:pPr>
        <w:spacing w:line="240" w:lineRule="auto"/>
        <w:rPr>
          <w:rFonts w:eastAsia="Times New Roman" w:cs="Arial"/>
          <w:color w:val="000000"/>
          <w:u w:val="single"/>
          <w:lang w:eastAsia="bg-BG"/>
        </w:rPr>
      </w:pPr>
    </w:p>
    <w:p w14:paraId="1B35ECC5" w14:textId="796C0FF9"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кръвта и лимфната система</w:t>
      </w:r>
    </w:p>
    <w:p w14:paraId="7EC90F90"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Редки:</w:t>
      </w:r>
      <w:r w:rsidRPr="00D15BDC">
        <w:rPr>
          <w:rFonts w:eastAsia="Times New Roman" w:cs="Arial"/>
          <w:color w:val="000000"/>
          <w:lang w:eastAsia="bg-BG"/>
        </w:rPr>
        <w:t xml:space="preserve"> тромбоцитопения.</w:t>
      </w:r>
    </w:p>
    <w:p w14:paraId="01434D93" w14:textId="77777777" w:rsidR="00D15BDC" w:rsidRPr="00D15BDC" w:rsidRDefault="00D15BDC" w:rsidP="00D15BDC">
      <w:pPr>
        <w:spacing w:line="240" w:lineRule="auto"/>
        <w:rPr>
          <w:rFonts w:eastAsia="Times New Roman" w:cs="Arial"/>
          <w:color w:val="000000"/>
          <w:u w:val="single"/>
          <w:lang w:eastAsia="bg-BG"/>
        </w:rPr>
      </w:pPr>
    </w:p>
    <w:p w14:paraId="02670AE4" w14:textId="3EBA044A"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имунната система</w:t>
      </w:r>
    </w:p>
    <w:p w14:paraId="46197ECE"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алергични реакции;</w:t>
      </w:r>
    </w:p>
    <w:p w14:paraId="5B228498"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Много редки:</w:t>
      </w:r>
      <w:r w:rsidRPr="00D15BDC">
        <w:rPr>
          <w:rFonts w:eastAsia="Times New Roman" w:cs="Arial"/>
          <w:color w:val="000000"/>
          <w:lang w:eastAsia="bg-BG"/>
        </w:rPr>
        <w:t xml:space="preserve"> анафилаксия.</w:t>
      </w:r>
    </w:p>
    <w:p w14:paraId="3D2466EA" w14:textId="77777777" w:rsidR="00D15BDC" w:rsidRPr="00D15BDC" w:rsidRDefault="00D15BDC" w:rsidP="00D15BDC">
      <w:pPr>
        <w:spacing w:line="240" w:lineRule="auto"/>
        <w:rPr>
          <w:rFonts w:eastAsia="Times New Roman" w:cs="Arial"/>
          <w:color w:val="000000"/>
          <w:u w:val="single"/>
          <w:lang w:eastAsia="bg-BG"/>
        </w:rPr>
      </w:pPr>
    </w:p>
    <w:p w14:paraId="5645B14E" w14:textId="0E03A6D8"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метаболизма и храненето</w:t>
      </w:r>
    </w:p>
    <w:p w14:paraId="4AAFE15D"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хипергликемия;</w:t>
      </w:r>
    </w:p>
    <w:p w14:paraId="5865996E"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Нечести:</w:t>
      </w:r>
      <w:r w:rsidRPr="00D15BDC">
        <w:rPr>
          <w:rFonts w:eastAsia="Times New Roman" w:cs="Arial"/>
          <w:color w:val="000000"/>
          <w:lang w:eastAsia="bg-BG"/>
        </w:rPr>
        <w:t xml:space="preserve"> хипогликемия, повишаване на теглото, анорексия.</w:t>
      </w:r>
    </w:p>
    <w:p w14:paraId="13153FE7" w14:textId="77777777" w:rsidR="00D15BDC" w:rsidRPr="00D15BDC" w:rsidRDefault="00D15BDC" w:rsidP="00D15BDC">
      <w:pPr>
        <w:spacing w:line="240" w:lineRule="auto"/>
        <w:rPr>
          <w:rFonts w:eastAsia="Times New Roman" w:cs="Arial"/>
          <w:color w:val="000000"/>
          <w:u w:val="single"/>
          <w:lang w:eastAsia="bg-BG"/>
        </w:rPr>
      </w:pPr>
    </w:p>
    <w:p w14:paraId="4CBBF956" w14:textId="388CF810"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Психични нарушения</w:t>
      </w:r>
    </w:p>
    <w:p w14:paraId="570508C4" w14:textId="6259330E" w:rsidR="0091385D" w:rsidRPr="00D15BDC" w:rsidRDefault="00D15BDC" w:rsidP="00D15BDC">
      <w:pPr>
        <w:rPr>
          <w:rFonts w:cs="Arial"/>
        </w:rPr>
      </w:pPr>
      <w:r w:rsidRPr="00D15BDC">
        <w:rPr>
          <w:rFonts w:eastAsia="Times New Roman" w:cs="Arial"/>
          <w:i/>
          <w:iCs/>
          <w:color w:val="000000"/>
          <w:lang w:eastAsia="bg-BG"/>
        </w:rPr>
        <w:t>Нечести:</w:t>
      </w:r>
      <w:r w:rsidRPr="00D15BDC">
        <w:rPr>
          <w:rFonts w:eastAsia="Times New Roman" w:cs="Arial"/>
          <w:color w:val="000000"/>
          <w:lang w:eastAsia="bg-BG"/>
        </w:rPr>
        <w:t xml:space="preserve"> кошмари, безсъние.</w:t>
      </w:r>
    </w:p>
    <w:p w14:paraId="43E3C48F" w14:textId="31413C56" w:rsidR="0091385D" w:rsidRPr="00D15BDC" w:rsidRDefault="0091385D" w:rsidP="0091385D">
      <w:pPr>
        <w:rPr>
          <w:rFonts w:cs="Arial"/>
        </w:rPr>
      </w:pPr>
    </w:p>
    <w:p w14:paraId="6D193A51" w14:textId="77777777"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нервната система</w:t>
      </w:r>
    </w:p>
    <w:p w14:paraId="7BDF2EF5"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главоболие;</w:t>
      </w:r>
    </w:p>
    <w:p w14:paraId="3C195ED2"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Пенести:</w:t>
      </w:r>
      <w:r w:rsidRPr="00D15BDC">
        <w:rPr>
          <w:rFonts w:eastAsia="Times New Roman" w:cs="Arial"/>
          <w:color w:val="000000"/>
          <w:lang w:eastAsia="bg-BG"/>
        </w:rPr>
        <w:t xml:space="preserve"> замаяност, парестезия, хипоестезия, дисгеузия, амнезия;</w:t>
      </w:r>
    </w:p>
    <w:p w14:paraId="345774D5"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Редки:</w:t>
      </w:r>
      <w:r w:rsidRPr="00D15BDC">
        <w:rPr>
          <w:rFonts w:eastAsia="Times New Roman" w:cs="Arial"/>
          <w:color w:val="000000"/>
          <w:lang w:eastAsia="bg-BG"/>
        </w:rPr>
        <w:t xml:space="preserve"> периферна невропатия.</w:t>
      </w:r>
    </w:p>
    <w:p w14:paraId="55D67041" w14:textId="77777777" w:rsidR="00D15BDC" w:rsidRPr="00D15BDC" w:rsidRDefault="00D15BDC" w:rsidP="00D15BDC">
      <w:pPr>
        <w:spacing w:line="240" w:lineRule="auto"/>
        <w:rPr>
          <w:rFonts w:eastAsia="Times New Roman" w:cs="Arial"/>
          <w:color w:val="000000"/>
          <w:u w:val="single"/>
          <w:lang w:eastAsia="bg-BG"/>
        </w:rPr>
      </w:pPr>
    </w:p>
    <w:p w14:paraId="1A29E15A" w14:textId="47244777"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очите</w:t>
      </w:r>
    </w:p>
    <w:p w14:paraId="53B70898"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Пенести:</w:t>
      </w:r>
      <w:r w:rsidRPr="00D15BDC">
        <w:rPr>
          <w:rFonts w:eastAsia="Times New Roman" w:cs="Arial"/>
          <w:color w:val="000000"/>
          <w:lang w:eastAsia="bg-BG"/>
        </w:rPr>
        <w:t xml:space="preserve"> замъглено зрение;</w:t>
      </w:r>
    </w:p>
    <w:p w14:paraId="2FD19353"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Редки:</w:t>
      </w:r>
      <w:r w:rsidRPr="00D15BDC">
        <w:rPr>
          <w:rFonts w:eastAsia="Times New Roman" w:cs="Arial"/>
          <w:color w:val="000000"/>
          <w:lang w:eastAsia="bg-BG"/>
        </w:rPr>
        <w:t xml:space="preserve"> зрителни нарушения.</w:t>
      </w:r>
    </w:p>
    <w:p w14:paraId="20145597" w14:textId="77777777" w:rsidR="00D15BDC" w:rsidRPr="00D15BDC" w:rsidRDefault="00D15BDC" w:rsidP="00D15BDC">
      <w:pPr>
        <w:spacing w:line="240" w:lineRule="auto"/>
        <w:rPr>
          <w:rFonts w:eastAsia="Times New Roman" w:cs="Arial"/>
          <w:color w:val="000000"/>
          <w:u w:val="single"/>
          <w:lang w:eastAsia="bg-BG"/>
        </w:rPr>
      </w:pPr>
    </w:p>
    <w:p w14:paraId="160DA468" w14:textId="2C5DA875"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ухото и лабиринта</w:t>
      </w:r>
    </w:p>
    <w:p w14:paraId="2468E7AD"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Пенести:</w:t>
      </w:r>
      <w:r w:rsidRPr="00D15BDC">
        <w:rPr>
          <w:rFonts w:eastAsia="Times New Roman" w:cs="Arial"/>
          <w:color w:val="000000"/>
          <w:lang w:eastAsia="bg-BG"/>
        </w:rPr>
        <w:t xml:space="preserve"> шум в ушите;</w:t>
      </w:r>
    </w:p>
    <w:p w14:paraId="678C8CAC"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Много редки:</w:t>
      </w:r>
      <w:r w:rsidRPr="00D15BDC">
        <w:rPr>
          <w:rFonts w:eastAsia="Times New Roman" w:cs="Arial"/>
          <w:color w:val="000000"/>
          <w:lang w:eastAsia="bg-BG"/>
        </w:rPr>
        <w:t xml:space="preserve"> загуба на слуха.</w:t>
      </w:r>
    </w:p>
    <w:p w14:paraId="140C0662" w14:textId="77777777" w:rsidR="00D15BDC" w:rsidRPr="00D15BDC" w:rsidRDefault="00D15BDC" w:rsidP="00D15BDC">
      <w:pPr>
        <w:spacing w:line="240" w:lineRule="auto"/>
        <w:rPr>
          <w:rFonts w:eastAsia="Times New Roman" w:cs="Arial"/>
          <w:color w:val="000000"/>
          <w:u w:val="single"/>
          <w:lang w:eastAsia="bg-BG"/>
        </w:rPr>
      </w:pPr>
    </w:p>
    <w:p w14:paraId="15FD7E80" w14:textId="4CEBFB14"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Респираторни, гръдни и медиастинални нарушения</w:t>
      </w:r>
    </w:p>
    <w:p w14:paraId="38EAAA13"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фаринго-ларингеална болка, епистаксис.</w:t>
      </w:r>
    </w:p>
    <w:p w14:paraId="27F068AA" w14:textId="77777777" w:rsidR="00D15BDC" w:rsidRPr="00D15BDC" w:rsidRDefault="00D15BDC" w:rsidP="00D15BDC">
      <w:pPr>
        <w:spacing w:line="240" w:lineRule="auto"/>
        <w:rPr>
          <w:rFonts w:eastAsia="Times New Roman" w:cs="Arial"/>
          <w:color w:val="000000"/>
          <w:u w:val="single"/>
          <w:lang w:eastAsia="bg-BG"/>
        </w:rPr>
      </w:pPr>
    </w:p>
    <w:p w14:paraId="1D8B6FE0" w14:textId="1447F78C"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Стомашно-чревни нарушения</w:t>
      </w:r>
    </w:p>
    <w:p w14:paraId="094F971B"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констипация, подуване, диспепсия, гадене, диария;</w:t>
      </w:r>
    </w:p>
    <w:p w14:paraId="4D649929"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Пенести:</w:t>
      </w:r>
      <w:r w:rsidRPr="00D15BDC">
        <w:rPr>
          <w:rFonts w:eastAsia="Times New Roman" w:cs="Arial"/>
          <w:color w:val="000000"/>
          <w:lang w:eastAsia="bg-BG"/>
        </w:rPr>
        <w:t xml:space="preserve"> повръщане, болка в горната и долната част на корема, оригване, панкреатит.</w:t>
      </w:r>
    </w:p>
    <w:p w14:paraId="41CDEE9E" w14:textId="77777777" w:rsidR="00D15BDC" w:rsidRPr="00D15BDC" w:rsidRDefault="00D15BDC" w:rsidP="00D15BDC">
      <w:pPr>
        <w:spacing w:line="240" w:lineRule="auto"/>
        <w:rPr>
          <w:rFonts w:eastAsia="Times New Roman" w:cs="Arial"/>
          <w:color w:val="000000"/>
          <w:u w:val="single"/>
          <w:lang w:eastAsia="bg-BG"/>
        </w:rPr>
      </w:pPr>
    </w:p>
    <w:p w14:paraId="27549622" w14:textId="1607BC42"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Хепатобилиарни нарушения</w:t>
      </w:r>
    </w:p>
    <w:p w14:paraId="731060D4"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Нечести:</w:t>
      </w:r>
      <w:r w:rsidRPr="00D15BDC">
        <w:rPr>
          <w:rFonts w:eastAsia="Times New Roman" w:cs="Arial"/>
          <w:color w:val="000000"/>
          <w:lang w:eastAsia="bg-BG"/>
        </w:rPr>
        <w:t xml:space="preserve"> хепатит;</w:t>
      </w:r>
    </w:p>
    <w:p w14:paraId="565F93FC"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Редки:</w:t>
      </w:r>
      <w:r w:rsidRPr="00D15BDC">
        <w:rPr>
          <w:rFonts w:eastAsia="Times New Roman" w:cs="Arial"/>
          <w:color w:val="000000"/>
          <w:lang w:eastAsia="bg-BG"/>
        </w:rPr>
        <w:t xml:space="preserve"> холестатична жълтеница;</w:t>
      </w:r>
    </w:p>
    <w:p w14:paraId="2BBD04D6"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Много редки:</w:t>
      </w:r>
      <w:r w:rsidRPr="00D15BDC">
        <w:rPr>
          <w:rFonts w:eastAsia="Times New Roman" w:cs="Arial"/>
          <w:color w:val="000000"/>
          <w:lang w:eastAsia="bg-BG"/>
        </w:rPr>
        <w:t xml:space="preserve"> чернодробна недостатъчност.</w:t>
      </w:r>
    </w:p>
    <w:p w14:paraId="14FF024B" w14:textId="77777777" w:rsidR="00D15BDC" w:rsidRPr="00D15BDC" w:rsidRDefault="00D15BDC" w:rsidP="00D15BDC">
      <w:pPr>
        <w:spacing w:line="240" w:lineRule="auto"/>
        <w:rPr>
          <w:rFonts w:eastAsia="Times New Roman" w:cs="Arial"/>
          <w:color w:val="000000"/>
          <w:u w:val="single"/>
          <w:lang w:eastAsia="bg-BG"/>
        </w:rPr>
      </w:pPr>
    </w:p>
    <w:p w14:paraId="0D6F5ADD" w14:textId="34F0CD41"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кожата и подкожната тъкан</w:t>
      </w:r>
    </w:p>
    <w:p w14:paraId="03FD90F4"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Ненести:</w:t>
      </w:r>
      <w:r w:rsidRPr="00D15BDC">
        <w:rPr>
          <w:rFonts w:eastAsia="Times New Roman" w:cs="Arial"/>
          <w:color w:val="000000"/>
          <w:lang w:eastAsia="bg-BG"/>
        </w:rPr>
        <w:t xml:space="preserve"> уртикария, обрив, сърбеж, алопеция;</w:t>
      </w:r>
    </w:p>
    <w:p w14:paraId="31AE8AC0"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Редки:</w:t>
      </w:r>
      <w:r w:rsidRPr="00D15BDC">
        <w:rPr>
          <w:rFonts w:eastAsia="Times New Roman" w:cs="Arial"/>
          <w:color w:val="000000"/>
          <w:lang w:eastAsia="bg-BG"/>
        </w:rPr>
        <w:t xml:space="preserve"> ангиоедем, булозен обрив (вкл. еритема мултиформе, синдром на Стивънс-Джонсън и токсична епидермална некролиза).</w:t>
      </w:r>
    </w:p>
    <w:p w14:paraId="61592BC3" w14:textId="77777777" w:rsidR="00D15BDC" w:rsidRPr="00D15BDC" w:rsidRDefault="00D15BDC" w:rsidP="00D15BDC">
      <w:pPr>
        <w:spacing w:line="240" w:lineRule="auto"/>
        <w:rPr>
          <w:rFonts w:eastAsia="Times New Roman" w:cs="Arial"/>
          <w:color w:val="000000"/>
          <w:u w:val="single"/>
          <w:lang w:eastAsia="bg-BG"/>
        </w:rPr>
      </w:pPr>
    </w:p>
    <w:p w14:paraId="100DC4BD" w14:textId="33551025"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мускулно-скелетната система и съединителната тъкан</w:t>
      </w:r>
    </w:p>
    <w:p w14:paraId="7B414A18"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миалгия, артралгия, болки в крайниците, мускулни спазми, подуване на ставите, болки в гърба;</w:t>
      </w:r>
    </w:p>
    <w:p w14:paraId="12C466D8"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Нечести:</w:t>
      </w:r>
      <w:r w:rsidRPr="00D15BDC">
        <w:rPr>
          <w:rFonts w:eastAsia="Times New Roman" w:cs="Arial"/>
          <w:color w:val="000000"/>
          <w:lang w:eastAsia="bg-BG"/>
        </w:rPr>
        <w:t xml:space="preserve"> болки във врата, мускулна слабост;</w:t>
      </w:r>
    </w:p>
    <w:p w14:paraId="13AA2425"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Редки:</w:t>
      </w:r>
      <w:r w:rsidRPr="00D15BDC">
        <w:rPr>
          <w:rFonts w:eastAsia="Times New Roman" w:cs="Arial"/>
          <w:color w:val="000000"/>
          <w:lang w:eastAsia="bg-BG"/>
        </w:rPr>
        <w:t xml:space="preserve"> миопатия, миозит, рабдомиолиза, мускулна руптура, тендинопатия, понякога усложнена с разкъсване;</w:t>
      </w:r>
    </w:p>
    <w:p w14:paraId="01395159"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Много редки:</w:t>
      </w:r>
      <w:r w:rsidRPr="00D15BDC">
        <w:rPr>
          <w:rFonts w:eastAsia="Times New Roman" w:cs="Arial"/>
          <w:color w:val="000000"/>
          <w:lang w:eastAsia="bg-BG"/>
        </w:rPr>
        <w:t xml:space="preserve"> лупус-подобен синдром;</w:t>
      </w:r>
    </w:p>
    <w:p w14:paraId="0EF275C3"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С неизвестна честота:</w:t>
      </w:r>
      <w:r w:rsidRPr="00D15BDC">
        <w:rPr>
          <w:rFonts w:eastAsia="Times New Roman" w:cs="Arial"/>
          <w:color w:val="000000"/>
          <w:lang w:eastAsia="bg-BG"/>
        </w:rPr>
        <w:t xml:space="preserve"> имуномедиирана некротизираща миопатия.</w:t>
      </w:r>
    </w:p>
    <w:p w14:paraId="1F985DD9" w14:textId="77777777" w:rsidR="00D15BDC" w:rsidRPr="00D15BDC" w:rsidRDefault="00D15BDC" w:rsidP="00D15BDC">
      <w:pPr>
        <w:spacing w:line="240" w:lineRule="auto"/>
        <w:rPr>
          <w:rFonts w:eastAsia="Times New Roman" w:cs="Arial"/>
          <w:color w:val="000000"/>
          <w:u w:val="single"/>
          <w:lang w:eastAsia="bg-BG"/>
        </w:rPr>
      </w:pPr>
    </w:p>
    <w:p w14:paraId="069C76B0" w14:textId="4DA7208B"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Нарушения на възпроизводителната система и гърдата</w:t>
      </w:r>
    </w:p>
    <w:p w14:paraId="3B81E96F"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Много редки:</w:t>
      </w:r>
      <w:r w:rsidRPr="00D15BDC">
        <w:rPr>
          <w:rFonts w:eastAsia="Times New Roman" w:cs="Arial"/>
          <w:color w:val="000000"/>
          <w:lang w:eastAsia="bg-BG"/>
        </w:rPr>
        <w:t xml:space="preserve"> гинекомастия.</w:t>
      </w:r>
    </w:p>
    <w:p w14:paraId="04A87542" w14:textId="77777777" w:rsidR="00D15BDC" w:rsidRPr="00D15BDC" w:rsidRDefault="00D15BDC" w:rsidP="00D15BDC">
      <w:pPr>
        <w:spacing w:line="240" w:lineRule="auto"/>
        <w:rPr>
          <w:rFonts w:eastAsia="Times New Roman" w:cs="Arial"/>
          <w:color w:val="000000"/>
          <w:u w:val="single"/>
          <w:lang w:eastAsia="bg-BG"/>
        </w:rPr>
      </w:pPr>
    </w:p>
    <w:p w14:paraId="01E51EF5" w14:textId="2BCD7905"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Общи нарушения и ефекти на мястото на приложение</w:t>
      </w:r>
    </w:p>
    <w:p w14:paraId="4DE14DB5"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Нечести:</w:t>
      </w:r>
      <w:r w:rsidRPr="00D15BDC">
        <w:rPr>
          <w:rFonts w:eastAsia="Times New Roman" w:cs="Arial"/>
          <w:color w:val="000000"/>
          <w:lang w:eastAsia="bg-BG"/>
        </w:rPr>
        <w:t xml:space="preserve"> неразположение, астения, болка в гърдите, периферен оток, умора, повишена температура.</w:t>
      </w:r>
    </w:p>
    <w:p w14:paraId="78DE62AD" w14:textId="77777777" w:rsidR="00D15BDC" w:rsidRPr="00D15BDC" w:rsidRDefault="00D15BDC" w:rsidP="00D15BDC">
      <w:pPr>
        <w:spacing w:line="240" w:lineRule="auto"/>
        <w:rPr>
          <w:rFonts w:eastAsia="Times New Roman" w:cs="Arial"/>
          <w:color w:val="000000"/>
          <w:u w:val="single"/>
          <w:lang w:eastAsia="bg-BG"/>
        </w:rPr>
      </w:pPr>
    </w:p>
    <w:p w14:paraId="576EF524" w14:textId="0B829652"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Изследвания</w:t>
      </w:r>
    </w:p>
    <w:p w14:paraId="56BF557F"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Чести:</w:t>
      </w:r>
      <w:r w:rsidRPr="00D15BDC">
        <w:rPr>
          <w:rFonts w:eastAsia="Times New Roman" w:cs="Arial"/>
          <w:color w:val="000000"/>
          <w:lang w:eastAsia="bg-BG"/>
        </w:rPr>
        <w:t xml:space="preserve"> отклонения в чернодробните показатели, повишено ниво на креатинкиназа</w:t>
      </w:r>
    </w:p>
    <w:p w14:paraId="053FC6CD" w14:textId="77777777" w:rsidR="00D15BDC" w:rsidRPr="00D15BDC" w:rsidRDefault="00D15BDC" w:rsidP="00D15BDC">
      <w:pPr>
        <w:spacing w:line="240" w:lineRule="auto"/>
        <w:rPr>
          <w:rFonts w:eastAsia="Times New Roman" w:cs="Arial"/>
          <w:lang w:eastAsia="bg-BG"/>
        </w:rPr>
      </w:pPr>
      <w:r w:rsidRPr="00D15BDC">
        <w:rPr>
          <w:rFonts w:eastAsia="Times New Roman" w:cs="Arial"/>
          <w:i/>
          <w:iCs/>
          <w:color w:val="000000"/>
          <w:lang w:eastAsia="bg-BG"/>
        </w:rPr>
        <w:t>Нечести:</w:t>
      </w:r>
      <w:r w:rsidRPr="00D15BDC">
        <w:rPr>
          <w:rFonts w:eastAsia="Times New Roman" w:cs="Arial"/>
          <w:color w:val="000000"/>
          <w:lang w:eastAsia="bg-BG"/>
        </w:rPr>
        <w:t xml:space="preserve"> левкоцити в урината.</w:t>
      </w:r>
    </w:p>
    <w:p w14:paraId="550154D3" w14:textId="77777777" w:rsidR="00D15BDC" w:rsidRPr="00D15BDC" w:rsidRDefault="00D15BDC" w:rsidP="00D15BDC">
      <w:pPr>
        <w:rPr>
          <w:rFonts w:eastAsia="Times New Roman" w:cs="Arial"/>
          <w:color w:val="000000"/>
          <w:lang w:eastAsia="bg-BG"/>
        </w:rPr>
      </w:pPr>
    </w:p>
    <w:p w14:paraId="7ACE4600" w14:textId="77777777" w:rsidR="00D15BDC" w:rsidRPr="00D15BDC" w:rsidRDefault="00D15BDC" w:rsidP="00D15BDC">
      <w:pPr>
        <w:rPr>
          <w:rFonts w:eastAsia="Times New Roman" w:cs="Arial"/>
          <w:lang w:eastAsia="bg-BG"/>
        </w:rPr>
      </w:pPr>
      <w:r w:rsidRPr="00D15BDC">
        <w:rPr>
          <w:rFonts w:eastAsia="Times New Roman" w:cs="Arial"/>
          <w:color w:val="000000"/>
          <w:lang w:eastAsia="bg-BG"/>
        </w:rPr>
        <w:t xml:space="preserve">Както и при останалите </w:t>
      </w:r>
      <w:r w:rsidRPr="00D15BDC">
        <w:rPr>
          <w:rFonts w:eastAsia="Times New Roman" w:cs="Arial"/>
          <w:color w:val="000000"/>
          <w:lang w:val="en-US"/>
        </w:rPr>
        <w:t>HMG</w:t>
      </w:r>
      <w:r w:rsidRPr="00D15BDC">
        <w:rPr>
          <w:rFonts w:eastAsia="Times New Roman" w:cs="Arial"/>
          <w:color w:val="000000"/>
          <w:lang w:eastAsia="bg-BG"/>
        </w:rPr>
        <w:t>-СоА-редуктазни инхибитори, при лечение с аторвастатин с</w:t>
      </w:r>
      <w:r w:rsidRPr="00D15BDC">
        <w:rPr>
          <w:rFonts w:eastAsia="Times New Roman" w:cs="Arial"/>
          <w:i/>
          <w:iCs/>
          <w:color w:val="000000"/>
          <w:lang w:eastAsia="bg-BG"/>
        </w:rPr>
        <w:t xml:space="preserve"> </w:t>
      </w:r>
      <w:r w:rsidRPr="00D15BDC">
        <w:rPr>
          <w:rFonts w:eastAsia="Times New Roman" w:cs="Arial"/>
          <w:color w:val="000000"/>
          <w:lang w:eastAsia="bg-BG"/>
        </w:rPr>
        <w:t>наблюдавано повишение на серумните трансаминази. Промените са били незначителни и</w:t>
      </w:r>
      <w:r>
        <w:rPr>
          <w:rFonts w:eastAsia="Times New Roman" w:cs="Arial"/>
          <w:color w:val="000000"/>
          <w:lang w:val="en-US" w:eastAsia="bg-BG"/>
        </w:rPr>
        <w:t xml:space="preserve"> </w:t>
      </w:r>
      <w:r w:rsidRPr="00D15BDC">
        <w:rPr>
          <w:rFonts w:eastAsia="Times New Roman" w:cs="Arial"/>
          <w:color w:val="000000"/>
          <w:lang w:eastAsia="bg-BG"/>
        </w:rPr>
        <w:t>преходни, което не е налагало прекъсване на лечението. Клинично значими повишения на серумните трансаминази (повече от 3 пъти над горната граница на нормата) са възникнали при 0,8% от пациентите на терапия с аторвастатин. Тези промени са били дозозависими и обратими при всички пациенти.</w:t>
      </w:r>
    </w:p>
    <w:p w14:paraId="052FBED7" w14:textId="77777777" w:rsidR="00D15BDC" w:rsidRPr="00D15BDC" w:rsidRDefault="00D15BDC" w:rsidP="00D15BDC">
      <w:pPr>
        <w:spacing w:line="240" w:lineRule="auto"/>
        <w:rPr>
          <w:rFonts w:eastAsia="Times New Roman" w:cs="Arial"/>
          <w:color w:val="000000"/>
          <w:lang w:eastAsia="bg-BG"/>
        </w:rPr>
      </w:pPr>
    </w:p>
    <w:p w14:paraId="56606E80" w14:textId="45D48644"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lastRenderedPageBreak/>
        <w:t xml:space="preserve">Повишена серумна концентрация на креатинкиназа (КК) 3 пъти над горната граница на нормата е била наблюдавана по време на клинични проучвания при 2,5 % от пациентите на терапия с аторвастатин, подобно на резултатите при други </w:t>
      </w:r>
      <w:r w:rsidRPr="00D15BDC">
        <w:rPr>
          <w:rFonts w:eastAsia="Times New Roman" w:cs="Arial"/>
          <w:color w:val="000000"/>
          <w:lang w:val="en-US"/>
        </w:rPr>
        <w:t>HMG</w:t>
      </w:r>
      <w:r w:rsidRPr="00D15BDC">
        <w:rPr>
          <w:rFonts w:eastAsia="Times New Roman" w:cs="Arial"/>
          <w:color w:val="000000"/>
          <w:lang w:eastAsia="bg-BG"/>
        </w:rPr>
        <w:t>-СоА-редуктазни инхибитори. Повишение над 10 пъти над горната граница на нормата е възниквало при 0,4% от пациентите, лекувани с аторвастатин (вж. точка 4.4).</w:t>
      </w:r>
    </w:p>
    <w:p w14:paraId="7009DF9D" w14:textId="77777777" w:rsidR="00D15BDC" w:rsidRPr="00D15BDC" w:rsidRDefault="00D15BDC" w:rsidP="00D15BDC">
      <w:pPr>
        <w:spacing w:line="240" w:lineRule="auto"/>
        <w:rPr>
          <w:rFonts w:eastAsia="Times New Roman" w:cs="Arial"/>
          <w:color w:val="000000"/>
          <w:u w:val="single"/>
          <w:lang w:eastAsia="bg-BG"/>
        </w:rPr>
      </w:pPr>
    </w:p>
    <w:p w14:paraId="4C7C121F" w14:textId="0E3706BB"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Педиатрична популация</w:t>
      </w:r>
    </w:p>
    <w:p w14:paraId="4ECFFF22" w14:textId="77777777"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 xml:space="preserve">Педиатрични пациенти на възраст от 10 до 17 години, лекувани с аторвастатин, са имали профил на безопасност, подобен на този при пациенти, лекувани с плацебо. Най-честите нежелани ефекти, наблюдавани в двете групи, независимо от причинно-следствената връзка, са били инфекциите. В 3-годишно проучване, на базата на оценка на общото съзряване и развитие, оценка по стадий на </w:t>
      </w:r>
      <w:r w:rsidRPr="00D15BDC">
        <w:rPr>
          <w:rFonts w:eastAsia="Times New Roman" w:cs="Arial"/>
          <w:i/>
          <w:iCs/>
          <w:color w:val="000000"/>
          <w:lang w:val="en-US"/>
        </w:rPr>
        <w:t>Tanner</w:t>
      </w:r>
      <w:r w:rsidRPr="00D15BDC">
        <w:rPr>
          <w:rFonts w:eastAsia="Times New Roman" w:cs="Arial"/>
          <w:color w:val="000000"/>
          <w:lang w:val="en-US"/>
        </w:rPr>
        <w:t xml:space="preserve"> </w:t>
      </w:r>
      <w:r w:rsidRPr="00D15BDC">
        <w:rPr>
          <w:rFonts w:eastAsia="Times New Roman" w:cs="Arial"/>
          <w:color w:val="000000"/>
          <w:lang w:eastAsia="bg-BG"/>
        </w:rPr>
        <w:t>и измерване на височината и теглото, не се наблюдава клинично значим ефект върху развитието и половата зрялост. Профилът на безопасност и поносимост при педиатрични пациенти е бил подобен на известния профил на безопасност на аторвастатин при възрастни.</w:t>
      </w:r>
    </w:p>
    <w:p w14:paraId="395ACFD4" w14:textId="77777777" w:rsidR="00D15BDC" w:rsidRPr="00D15BDC" w:rsidRDefault="00D15BDC" w:rsidP="00D15BDC">
      <w:pPr>
        <w:spacing w:line="240" w:lineRule="auto"/>
        <w:rPr>
          <w:rFonts w:eastAsia="Times New Roman" w:cs="Arial"/>
          <w:color w:val="000000"/>
          <w:lang w:eastAsia="bg-BG"/>
        </w:rPr>
      </w:pPr>
    </w:p>
    <w:p w14:paraId="1C7BAD52" w14:textId="13B8F34F"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Клиничната база данни за безопасност включва резултати от 520 педиатрични пациенти, приемали аторвастатин, от които 7 пациенти са били под 6-годишна възраст, 121 пациенти на възраст между 6 и 9 години и 392 пациенти между 10- и 17-годишна възраст.</w:t>
      </w:r>
    </w:p>
    <w:p w14:paraId="4FB4E0D4" w14:textId="77777777"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Въз основа на наличните данни може да се направи заключението, че честотата, типа и тежестта на нежеланите лекарствени реакции при деца са съпоставими с тези при възрастни.</w:t>
      </w:r>
    </w:p>
    <w:p w14:paraId="5C71A0EA" w14:textId="77777777" w:rsidR="00D15BDC" w:rsidRPr="00D15BDC" w:rsidRDefault="00D15BDC" w:rsidP="00D15BDC">
      <w:pPr>
        <w:spacing w:line="240" w:lineRule="auto"/>
        <w:rPr>
          <w:rFonts w:eastAsia="Times New Roman" w:cs="Arial"/>
          <w:color w:val="000000"/>
          <w:u w:val="single"/>
          <w:lang w:eastAsia="bg-BG"/>
        </w:rPr>
      </w:pPr>
    </w:p>
    <w:p w14:paraId="69220E23" w14:textId="20D9BE98"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Докладвани са следните нежелани реакции при приложението на някои статини</w:t>
      </w:r>
      <w:r w:rsidRPr="00D15BDC">
        <w:rPr>
          <w:rFonts w:eastAsia="Times New Roman" w:cs="Arial"/>
          <w:color w:val="000000"/>
          <w:lang w:eastAsia="bg-BG"/>
        </w:rPr>
        <w:t>:</w:t>
      </w:r>
    </w:p>
    <w:p w14:paraId="0AA6C19F" w14:textId="77777777" w:rsidR="00D15BDC" w:rsidRPr="00D15BDC" w:rsidRDefault="00D15BDC" w:rsidP="00D15BDC">
      <w:pPr>
        <w:pStyle w:val="ListParagraph"/>
        <w:numPr>
          <w:ilvl w:val="0"/>
          <w:numId w:val="39"/>
        </w:numPr>
        <w:spacing w:line="240" w:lineRule="auto"/>
        <w:rPr>
          <w:rFonts w:eastAsia="Times New Roman" w:cs="Arial"/>
          <w:lang w:eastAsia="bg-BG"/>
        </w:rPr>
      </w:pPr>
      <w:r w:rsidRPr="00D15BDC">
        <w:rPr>
          <w:rFonts w:eastAsia="Times New Roman" w:cs="Arial"/>
          <w:color w:val="000000"/>
          <w:lang w:eastAsia="bg-BG"/>
        </w:rPr>
        <w:t>нарушения на сексуалната функция;</w:t>
      </w:r>
    </w:p>
    <w:p w14:paraId="66BD3291" w14:textId="77777777" w:rsidR="00D15BDC" w:rsidRPr="00D15BDC" w:rsidRDefault="00D15BDC" w:rsidP="00D15BDC">
      <w:pPr>
        <w:pStyle w:val="ListParagraph"/>
        <w:numPr>
          <w:ilvl w:val="0"/>
          <w:numId w:val="39"/>
        </w:numPr>
        <w:spacing w:line="240" w:lineRule="auto"/>
        <w:rPr>
          <w:rFonts w:eastAsia="Times New Roman" w:cs="Arial"/>
          <w:lang w:eastAsia="bg-BG"/>
        </w:rPr>
      </w:pPr>
      <w:r w:rsidRPr="00D15BDC">
        <w:rPr>
          <w:rFonts w:eastAsia="Times New Roman" w:cs="Arial"/>
          <w:color w:val="000000"/>
          <w:lang w:eastAsia="bg-BG"/>
        </w:rPr>
        <w:t>депресия;</w:t>
      </w:r>
    </w:p>
    <w:p w14:paraId="134F36C6" w14:textId="77777777" w:rsidR="00D15BDC" w:rsidRPr="00D15BDC" w:rsidRDefault="00D15BDC" w:rsidP="00D15BDC">
      <w:pPr>
        <w:pStyle w:val="ListParagraph"/>
        <w:numPr>
          <w:ilvl w:val="0"/>
          <w:numId w:val="39"/>
        </w:numPr>
        <w:spacing w:line="240" w:lineRule="auto"/>
        <w:rPr>
          <w:rFonts w:eastAsia="Times New Roman" w:cs="Arial"/>
          <w:lang w:eastAsia="bg-BG"/>
        </w:rPr>
      </w:pPr>
      <w:r w:rsidRPr="00D15BDC">
        <w:rPr>
          <w:rFonts w:eastAsia="Times New Roman" w:cs="Arial"/>
          <w:color w:val="000000"/>
          <w:lang w:eastAsia="bg-BG"/>
        </w:rPr>
        <w:t>отделни случаи на интерстициална белодробна болест, особено при дългосрочна терапия (вж. точка 4.4);</w:t>
      </w:r>
    </w:p>
    <w:p w14:paraId="3BAB1BC4" w14:textId="61805524" w:rsidR="00D15BDC" w:rsidRPr="00D15BDC" w:rsidRDefault="00D15BDC" w:rsidP="00D15BDC">
      <w:pPr>
        <w:pStyle w:val="ListParagraph"/>
        <w:numPr>
          <w:ilvl w:val="0"/>
          <w:numId w:val="39"/>
        </w:numPr>
        <w:spacing w:line="240" w:lineRule="auto"/>
        <w:rPr>
          <w:rFonts w:eastAsia="Times New Roman" w:cs="Arial"/>
          <w:lang w:eastAsia="bg-BG"/>
        </w:rPr>
      </w:pPr>
      <w:r w:rsidRPr="00D15BDC">
        <w:rPr>
          <w:rFonts w:eastAsia="Times New Roman" w:cs="Arial"/>
          <w:color w:val="000000"/>
          <w:lang w:eastAsia="bg-BG"/>
        </w:rPr>
        <w:t xml:space="preserve">захарен диабет: честотата е обвързана с наличие на рискови фактори (глюкоза на гладно повече или равна на 5,6 </w:t>
      </w:r>
      <w:r w:rsidRPr="00D15BDC">
        <w:rPr>
          <w:rFonts w:eastAsia="Times New Roman" w:cs="Arial"/>
          <w:color w:val="000000"/>
          <w:lang w:val="en-US"/>
        </w:rPr>
        <w:t xml:space="preserve">mmol/1, BMI </w:t>
      </w:r>
      <w:r w:rsidRPr="00D15BDC">
        <w:rPr>
          <w:rFonts w:eastAsia="Times New Roman" w:cs="Arial"/>
          <w:color w:val="000000"/>
          <w:lang w:eastAsia="bg-BG"/>
        </w:rPr>
        <w:t xml:space="preserve">&gt;30 </w:t>
      </w:r>
      <w:r w:rsidRPr="00D15BDC">
        <w:rPr>
          <w:rFonts w:eastAsia="Times New Roman" w:cs="Arial"/>
          <w:color w:val="000000"/>
          <w:lang w:val="en-US"/>
        </w:rPr>
        <w:t>kg/m</w:t>
      </w:r>
      <w:r w:rsidRPr="00D15BDC">
        <w:rPr>
          <w:rFonts w:eastAsia="Times New Roman" w:cs="Arial"/>
          <w:color w:val="000000"/>
          <w:vertAlign w:val="superscript"/>
          <w:lang w:val="en-US"/>
        </w:rPr>
        <w:t>2</w:t>
      </w:r>
      <w:r w:rsidRPr="00D15BDC">
        <w:rPr>
          <w:rFonts w:eastAsia="Times New Roman" w:cs="Arial"/>
          <w:color w:val="000000"/>
          <w:lang w:val="en-US"/>
        </w:rPr>
        <w:t xml:space="preserve">, </w:t>
      </w:r>
      <w:r w:rsidRPr="00D15BDC">
        <w:rPr>
          <w:rFonts w:eastAsia="Times New Roman" w:cs="Arial"/>
          <w:color w:val="000000"/>
          <w:lang w:eastAsia="bg-BG"/>
        </w:rPr>
        <w:t>повишени нива на триглицеридите, анамнеза за хипертония).</w:t>
      </w:r>
    </w:p>
    <w:p w14:paraId="449EF2E9" w14:textId="77777777" w:rsidR="00D15BDC" w:rsidRPr="00D15BDC" w:rsidRDefault="00D15BDC" w:rsidP="00D15BDC">
      <w:pPr>
        <w:spacing w:line="240" w:lineRule="auto"/>
        <w:rPr>
          <w:rFonts w:eastAsia="Times New Roman" w:cs="Arial"/>
          <w:color w:val="000000"/>
          <w:u w:val="single"/>
          <w:lang w:eastAsia="bg-BG"/>
        </w:rPr>
      </w:pPr>
    </w:p>
    <w:p w14:paraId="2E550AAB" w14:textId="485D76AF" w:rsidR="00D15BDC" w:rsidRPr="00D15BDC" w:rsidRDefault="00D15BDC" w:rsidP="00D15BDC">
      <w:pPr>
        <w:spacing w:line="240" w:lineRule="auto"/>
        <w:rPr>
          <w:rFonts w:eastAsia="Times New Roman" w:cs="Arial"/>
          <w:lang w:eastAsia="bg-BG"/>
        </w:rPr>
      </w:pPr>
      <w:r w:rsidRPr="00D15BDC">
        <w:rPr>
          <w:rFonts w:eastAsia="Times New Roman" w:cs="Arial"/>
          <w:color w:val="000000"/>
          <w:u w:val="single"/>
          <w:lang w:eastAsia="bg-BG"/>
        </w:rPr>
        <w:t>Съобщаване на подозирани нежелани реакции</w:t>
      </w:r>
    </w:p>
    <w:p w14:paraId="2EB48AA8" w14:textId="0F86FB25" w:rsidR="00D15BDC" w:rsidRPr="00D15BDC" w:rsidRDefault="00D15BDC" w:rsidP="00D15BDC">
      <w:pPr>
        <w:rPr>
          <w:rFonts w:cs="Arial"/>
          <w:lang w:val="en-US"/>
        </w:rPr>
      </w:pPr>
      <w:r w:rsidRPr="00D15BDC">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8,1303 София, тел.: +359 2 8903417, уебсайт: </w:t>
      </w:r>
      <w:hyperlink r:id="rId5" w:history="1">
        <w:r w:rsidRPr="00D15BDC">
          <w:rPr>
            <w:rFonts w:eastAsia="Times New Roman" w:cs="Arial"/>
            <w:color w:val="000000"/>
            <w:u w:val="single"/>
            <w:lang w:val="en-US"/>
          </w:rPr>
          <w:t>www.bda.bg</w:t>
        </w:r>
      </w:hyperlink>
      <w:r w:rsidRPr="00D15BDC">
        <w:rPr>
          <w:rFonts w:eastAsia="Times New Roman" w:cs="Arial"/>
          <w:color w:val="000000"/>
          <w:lang w:val="en-US"/>
        </w:rPr>
        <w:t>.</w:t>
      </w:r>
    </w:p>
    <w:p w14:paraId="063A5F12" w14:textId="77777777" w:rsidR="00D15BDC" w:rsidRPr="0091385D" w:rsidRDefault="00D15BDC" w:rsidP="0091385D"/>
    <w:p w14:paraId="0A023CE0" w14:textId="13F87CFD" w:rsidR="00CF77F7" w:rsidRDefault="002C50EE" w:rsidP="004A448E">
      <w:pPr>
        <w:pStyle w:val="Heading2"/>
      </w:pPr>
      <w:r>
        <w:t>4.9. Предозиране</w:t>
      </w:r>
    </w:p>
    <w:p w14:paraId="3EDFC3FC" w14:textId="296E7EBA" w:rsidR="0091385D" w:rsidRDefault="0091385D" w:rsidP="0091385D"/>
    <w:p w14:paraId="0F0079CB" w14:textId="2AA87F58" w:rsidR="0091385D" w:rsidRPr="00D15BDC" w:rsidRDefault="00D15BDC" w:rsidP="0091385D">
      <w:pPr>
        <w:rPr>
          <w:sz w:val="24"/>
        </w:rPr>
      </w:pPr>
      <w:r w:rsidRPr="00D15BDC">
        <w:rPr>
          <w:szCs w:val="20"/>
        </w:rPr>
        <w:t>Специфично лечение при предозиране с аторвастатин няма. В случай на предозиране, пациентът трябва да бъде лекуван симптоматично и при необходимост да се приложи под държащо лечение. Трябва да се направят изследвания на чернодорбната функция и да се проследят нивата на серумната КК. Поради високия афинитет на свързване на аторвастатин с плазмените протеини, не се очаква хемодиализата да покачва значително стойността на клирънса.</w:t>
      </w:r>
    </w:p>
    <w:p w14:paraId="48FF1584" w14:textId="77777777" w:rsidR="0091385D" w:rsidRPr="0091385D" w:rsidRDefault="0091385D" w:rsidP="0091385D"/>
    <w:p w14:paraId="02081B24" w14:textId="7CE94171" w:rsidR="00395555" w:rsidRDefault="002C50EE" w:rsidP="008A6AF2">
      <w:pPr>
        <w:pStyle w:val="Heading1"/>
      </w:pPr>
      <w:r>
        <w:lastRenderedPageBreak/>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6B60F84E"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Фармакотералевтична група: Лекарства, понижаващи серумните липиди, </w:t>
      </w:r>
      <w:r w:rsidRPr="00D15BDC">
        <w:rPr>
          <w:rFonts w:eastAsia="Times New Roman" w:cs="Arial"/>
          <w:color w:val="000000"/>
          <w:szCs w:val="20"/>
          <w:lang w:val="en-US"/>
        </w:rPr>
        <w:t>HMG</w:t>
      </w:r>
      <w:r w:rsidRPr="00D15BDC">
        <w:rPr>
          <w:rFonts w:eastAsia="Times New Roman" w:cs="Arial"/>
          <w:color w:val="000000"/>
          <w:szCs w:val="20"/>
          <w:lang w:eastAsia="bg-BG"/>
        </w:rPr>
        <w:t>-СоА-редуктазни инхибитори, АТС код: С10АА05</w:t>
      </w:r>
    </w:p>
    <w:p w14:paraId="46ED543A" w14:textId="77777777" w:rsidR="00D15BDC" w:rsidRPr="00D15BDC" w:rsidRDefault="00D15BDC" w:rsidP="00D15BDC">
      <w:pPr>
        <w:spacing w:line="240" w:lineRule="auto"/>
        <w:rPr>
          <w:rFonts w:eastAsia="Times New Roman" w:cs="Arial"/>
          <w:color w:val="000000"/>
          <w:szCs w:val="20"/>
          <w:lang w:eastAsia="bg-BG"/>
        </w:rPr>
      </w:pPr>
    </w:p>
    <w:p w14:paraId="0222AE2B" w14:textId="1D11977D"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Аторвастатин е селективен конкурентен инхибитор на </w:t>
      </w:r>
      <w:r w:rsidRPr="00D15BDC">
        <w:rPr>
          <w:rFonts w:eastAsia="Times New Roman" w:cs="Arial"/>
          <w:color w:val="000000"/>
          <w:szCs w:val="20"/>
          <w:lang w:val="en-US"/>
        </w:rPr>
        <w:t>HMG</w:t>
      </w:r>
      <w:r w:rsidRPr="00D15BDC">
        <w:rPr>
          <w:rFonts w:eastAsia="Times New Roman" w:cs="Arial"/>
          <w:color w:val="000000"/>
          <w:szCs w:val="20"/>
          <w:lang w:eastAsia="bg-BG"/>
        </w:rPr>
        <w:t xml:space="preserve">-СоА-редуктазата - скоростоопределящ ензим, отговорен за превръщането на 3-хидрокси-3-метилглутарилкоензим А в мевалонат, прекурсор на стеролите, включително холестерол. Триглицеридите и холестеролът в черния дроб са включени в състава на липопротеини с много ниска плътност </w:t>
      </w:r>
      <w:r w:rsidRPr="00D15BDC">
        <w:rPr>
          <w:rFonts w:eastAsia="Times New Roman" w:cs="Arial"/>
          <w:color w:val="000000"/>
          <w:szCs w:val="20"/>
          <w:lang w:val="en-US"/>
        </w:rPr>
        <w:t xml:space="preserve">(VLDL) </w:t>
      </w:r>
      <w:r w:rsidRPr="00D15BDC">
        <w:rPr>
          <w:rFonts w:eastAsia="Times New Roman" w:cs="Arial"/>
          <w:color w:val="000000"/>
          <w:szCs w:val="20"/>
          <w:lang w:eastAsia="bg-BG"/>
        </w:rPr>
        <w:t xml:space="preserve">и постъпват в плазмата, достигайки до периферните тъкани. Липопротеините с ниска плътност </w:t>
      </w:r>
      <w:r w:rsidRPr="00D15BDC">
        <w:rPr>
          <w:rFonts w:eastAsia="Times New Roman" w:cs="Arial"/>
          <w:color w:val="000000"/>
          <w:szCs w:val="20"/>
          <w:lang w:val="en-US"/>
        </w:rPr>
        <w:t xml:space="preserve">(LDL) </w:t>
      </w:r>
      <w:r w:rsidRPr="00D15BDC">
        <w:rPr>
          <w:rFonts w:eastAsia="Times New Roman" w:cs="Arial"/>
          <w:color w:val="000000"/>
          <w:szCs w:val="20"/>
          <w:lang w:eastAsia="bg-BG"/>
        </w:rPr>
        <w:t xml:space="preserve">се образуват от </w:t>
      </w:r>
      <w:r w:rsidRPr="00D15BDC">
        <w:rPr>
          <w:rFonts w:eastAsia="Times New Roman" w:cs="Arial"/>
          <w:color w:val="000000"/>
          <w:szCs w:val="20"/>
          <w:lang w:val="en-US"/>
        </w:rPr>
        <w:t xml:space="preserve">VLDL </w:t>
      </w:r>
      <w:r w:rsidRPr="00D15BDC">
        <w:rPr>
          <w:rFonts w:eastAsia="Times New Roman" w:cs="Arial"/>
          <w:color w:val="000000"/>
          <w:szCs w:val="20"/>
          <w:lang w:eastAsia="bg-BG"/>
        </w:rPr>
        <w:t xml:space="preserve">и се включват в катаболизма главно чрез рецептори с висок афинитет към </w:t>
      </w:r>
      <w:r w:rsidRPr="00D15BDC">
        <w:rPr>
          <w:rFonts w:eastAsia="Times New Roman" w:cs="Arial"/>
          <w:color w:val="000000"/>
          <w:szCs w:val="20"/>
          <w:lang w:val="en-US"/>
        </w:rPr>
        <w:t>LDL (LDL</w:t>
      </w:r>
      <w:r w:rsidRPr="00D15BDC">
        <w:rPr>
          <w:rFonts w:eastAsia="Times New Roman" w:cs="Arial"/>
          <w:color w:val="000000"/>
          <w:szCs w:val="20"/>
          <w:lang w:eastAsia="bg-BG"/>
        </w:rPr>
        <w:t>-рецептори).</w:t>
      </w:r>
    </w:p>
    <w:p w14:paraId="74AC0B11" w14:textId="77777777" w:rsidR="00D15BDC" w:rsidRPr="00D15BDC" w:rsidRDefault="00D15BDC" w:rsidP="00D15BDC">
      <w:pPr>
        <w:spacing w:line="240" w:lineRule="auto"/>
        <w:rPr>
          <w:rFonts w:eastAsia="Times New Roman" w:cs="Arial"/>
          <w:color w:val="000000"/>
          <w:szCs w:val="20"/>
          <w:lang w:eastAsia="bg-BG"/>
        </w:rPr>
      </w:pPr>
    </w:p>
    <w:p w14:paraId="07805568" w14:textId="41910CFD"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Аторвастатин намалява плазмената концентрация на холестерол и концентрацията на липопротеини в серума чрез инхибиране на </w:t>
      </w:r>
      <w:r w:rsidRPr="00D15BDC">
        <w:rPr>
          <w:rFonts w:eastAsia="Times New Roman" w:cs="Arial"/>
          <w:color w:val="000000"/>
          <w:szCs w:val="20"/>
          <w:lang w:val="en-US"/>
        </w:rPr>
        <w:t>HMG</w:t>
      </w:r>
      <w:r w:rsidRPr="00D15BDC">
        <w:rPr>
          <w:rFonts w:eastAsia="Times New Roman" w:cs="Arial"/>
          <w:color w:val="000000"/>
          <w:szCs w:val="20"/>
          <w:lang w:eastAsia="bg-BG"/>
        </w:rPr>
        <w:t xml:space="preserve">-СоА-редуктазата и впоследствие на холестероловата биосинтеза в черния дроб. Аторвастатин също повишава броя на хепатоцитните </w:t>
      </w:r>
      <w:r w:rsidRPr="00D15BDC">
        <w:rPr>
          <w:rFonts w:eastAsia="Times New Roman" w:cs="Arial"/>
          <w:color w:val="000000"/>
          <w:szCs w:val="20"/>
          <w:lang w:val="en-US"/>
        </w:rPr>
        <w:t>LDL</w:t>
      </w:r>
      <w:r w:rsidRPr="00D15BDC">
        <w:rPr>
          <w:rFonts w:eastAsia="Times New Roman" w:cs="Arial"/>
          <w:color w:val="000000"/>
          <w:szCs w:val="20"/>
          <w:lang w:eastAsia="bg-BG"/>
        </w:rPr>
        <w:t xml:space="preserve">-рецептори върху клетъчната повърхност с цел по-добър катаболизъм на </w:t>
      </w:r>
      <w:r w:rsidRPr="00D15BDC">
        <w:rPr>
          <w:rFonts w:eastAsia="Times New Roman" w:cs="Arial"/>
          <w:color w:val="000000"/>
          <w:szCs w:val="20"/>
          <w:lang w:val="en-US"/>
        </w:rPr>
        <w:t>LDL.</w:t>
      </w:r>
    </w:p>
    <w:p w14:paraId="10C010F4" w14:textId="77777777" w:rsidR="00D15BDC" w:rsidRPr="00D15BDC" w:rsidRDefault="00D15BDC" w:rsidP="00D15BDC">
      <w:pPr>
        <w:spacing w:line="240" w:lineRule="auto"/>
        <w:rPr>
          <w:rFonts w:eastAsia="Times New Roman" w:cs="Arial"/>
          <w:color w:val="000000"/>
          <w:szCs w:val="20"/>
          <w:lang w:eastAsia="bg-BG"/>
        </w:rPr>
      </w:pPr>
    </w:p>
    <w:p w14:paraId="61592995" w14:textId="07317E1F"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Аторвастатин намалява </w:t>
      </w:r>
      <w:r w:rsidRPr="00D15BDC">
        <w:rPr>
          <w:rFonts w:eastAsia="Times New Roman" w:cs="Arial"/>
          <w:color w:val="000000"/>
          <w:szCs w:val="20"/>
          <w:lang w:val="en-US"/>
        </w:rPr>
        <w:t>LDL</w:t>
      </w:r>
      <w:r w:rsidRPr="00D15BDC">
        <w:rPr>
          <w:rFonts w:eastAsia="Times New Roman" w:cs="Arial"/>
          <w:color w:val="000000"/>
          <w:szCs w:val="20"/>
          <w:lang w:eastAsia="bg-BG"/>
        </w:rPr>
        <w:t xml:space="preserve">-продукцията и броя на </w:t>
      </w:r>
      <w:r w:rsidRPr="00D15BDC">
        <w:rPr>
          <w:rFonts w:eastAsia="Times New Roman" w:cs="Arial"/>
          <w:color w:val="000000"/>
          <w:szCs w:val="20"/>
          <w:lang w:val="en-US"/>
        </w:rPr>
        <w:t>LDL</w:t>
      </w:r>
      <w:r w:rsidRPr="00D15BDC">
        <w:rPr>
          <w:rFonts w:eastAsia="Times New Roman" w:cs="Arial"/>
          <w:color w:val="000000"/>
          <w:szCs w:val="20"/>
          <w:lang w:eastAsia="bg-BG"/>
        </w:rPr>
        <w:t xml:space="preserve">-частиците. Той води до значително и продължително повишаване на </w:t>
      </w:r>
      <w:r w:rsidRPr="00D15BDC">
        <w:rPr>
          <w:rFonts w:eastAsia="Times New Roman" w:cs="Arial"/>
          <w:color w:val="000000"/>
          <w:szCs w:val="20"/>
          <w:lang w:val="en-US"/>
        </w:rPr>
        <w:t>LDL</w:t>
      </w:r>
      <w:r w:rsidRPr="00D15BDC">
        <w:rPr>
          <w:rFonts w:eastAsia="Times New Roman" w:cs="Arial"/>
          <w:color w:val="000000"/>
          <w:szCs w:val="20"/>
          <w:lang w:eastAsia="bg-BG"/>
        </w:rPr>
        <w:t xml:space="preserve">-рецепторната активност, както и до значителна промяна на качеството на </w:t>
      </w:r>
      <w:r w:rsidRPr="00D15BDC">
        <w:rPr>
          <w:rFonts w:eastAsia="Times New Roman" w:cs="Arial"/>
          <w:color w:val="000000"/>
          <w:szCs w:val="20"/>
          <w:lang w:val="en-US"/>
        </w:rPr>
        <w:t>LDL</w:t>
      </w:r>
      <w:r w:rsidRPr="00D15BDC">
        <w:rPr>
          <w:rFonts w:eastAsia="Times New Roman" w:cs="Arial"/>
          <w:color w:val="000000"/>
          <w:szCs w:val="20"/>
          <w:lang w:eastAsia="bg-BG"/>
        </w:rPr>
        <w:t xml:space="preserve">-частиците. Аторвастатин е ефективен за намаляване на </w:t>
      </w:r>
      <w:r w:rsidRPr="00D15BDC">
        <w:rPr>
          <w:rFonts w:eastAsia="Times New Roman" w:cs="Arial"/>
          <w:color w:val="000000"/>
          <w:szCs w:val="20"/>
          <w:lang w:val="en-US"/>
        </w:rPr>
        <w:t>LDL</w:t>
      </w:r>
      <w:r w:rsidRPr="00D15BDC">
        <w:rPr>
          <w:rFonts w:eastAsia="Times New Roman" w:cs="Arial"/>
          <w:color w:val="000000"/>
          <w:szCs w:val="20"/>
          <w:lang w:eastAsia="bg-BG"/>
        </w:rPr>
        <w:t>-холестерола при пациенти с хомозиготна фамилна хиперхолестеролемия, група пациенти, която обичайно не се повлиява от продукти, понижаващи липидите.</w:t>
      </w:r>
    </w:p>
    <w:p w14:paraId="30C51C63" w14:textId="77777777" w:rsidR="00D15BDC" w:rsidRPr="00D15BDC" w:rsidRDefault="00D15BDC" w:rsidP="00D15BDC">
      <w:pPr>
        <w:spacing w:line="240" w:lineRule="auto"/>
        <w:rPr>
          <w:rFonts w:eastAsia="Times New Roman" w:cs="Arial"/>
          <w:color w:val="000000"/>
          <w:szCs w:val="20"/>
          <w:lang w:eastAsia="bg-BG"/>
        </w:rPr>
      </w:pPr>
    </w:p>
    <w:p w14:paraId="349D2FCF" w14:textId="33572221"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Установено е, че аторвастатин намалява концентрацията на общия холестерол (30-46%), </w:t>
      </w:r>
      <w:r w:rsidRPr="00D15BDC">
        <w:rPr>
          <w:rFonts w:eastAsia="Times New Roman" w:cs="Arial"/>
          <w:color w:val="000000"/>
          <w:szCs w:val="20"/>
          <w:lang w:val="en-US"/>
        </w:rPr>
        <w:t>LDL</w:t>
      </w:r>
      <w:r w:rsidRPr="00D15BDC">
        <w:rPr>
          <w:rFonts w:eastAsia="Times New Roman" w:cs="Arial"/>
          <w:color w:val="000000"/>
          <w:szCs w:val="20"/>
          <w:lang w:eastAsia="bg-BG"/>
        </w:rPr>
        <w:t xml:space="preserve">- холестерола (41-61%), аполипопротеин В (34-50%) и триглицериди (14-33%), като дава променливо покачване на </w:t>
      </w:r>
      <w:r w:rsidRPr="00D15BDC">
        <w:rPr>
          <w:rFonts w:eastAsia="Times New Roman" w:cs="Arial"/>
          <w:color w:val="000000"/>
          <w:szCs w:val="20"/>
          <w:lang w:val="en-US"/>
        </w:rPr>
        <w:t xml:space="preserve">HDL </w:t>
      </w:r>
      <w:r w:rsidRPr="00D15BDC">
        <w:rPr>
          <w:rFonts w:eastAsia="Times New Roman" w:cs="Arial"/>
          <w:color w:val="000000"/>
          <w:szCs w:val="20"/>
          <w:lang w:eastAsia="bg-BG"/>
        </w:rPr>
        <w:t>холестерол и аполипопротеин А1 в направено дозозависимо проучване. Тези резултати се отнасят за пациенти с хетерозиготна фамилна хиперхолестеролемия, нефамилна форма на хиперхолестеролемия и смесена хиперлипидемия, включително пациенти с неинсулинозависим захарен диабет.</w:t>
      </w:r>
    </w:p>
    <w:p w14:paraId="4410A61A" w14:textId="77777777" w:rsidR="00D15BDC" w:rsidRPr="00D15BDC" w:rsidRDefault="00D15BDC" w:rsidP="00D15BDC">
      <w:pPr>
        <w:spacing w:line="240" w:lineRule="auto"/>
        <w:rPr>
          <w:rFonts w:eastAsia="Times New Roman" w:cs="Arial"/>
          <w:color w:val="000000"/>
          <w:szCs w:val="20"/>
          <w:lang w:eastAsia="bg-BG"/>
        </w:rPr>
      </w:pPr>
    </w:p>
    <w:p w14:paraId="0D3FD7F7" w14:textId="14DED7FC"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Понижаването на нивото на общия холестерол, </w:t>
      </w:r>
      <w:r w:rsidRPr="00D15BDC">
        <w:rPr>
          <w:rFonts w:eastAsia="Times New Roman" w:cs="Arial"/>
          <w:color w:val="000000"/>
          <w:szCs w:val="20"/>
          <w:lang w:val="en-US"/>
        </w:rPr>
        <w:t>LDL</w:t>
      </w:r>
      <w:r w:rsidRPr="00D15BDC">
        <w:rPr>
          <w:rFonts w:eastAsia="Times New Roman" w:cs="Arial"/>
          <w:color w:val="000000"/>
          <w:szCs w:val="20"/>
          <w:lang w:eastAsia="bg-BG"/>
        </w:rPr>
        <w:t>-холестерол и аполипопротеин В намалява риска от сърдечно-съдови инциденти и сърдечно-съдова смърт.</w:t>
      </w:r>
    </w:p>
    <w:p w14:paraId="04D67C49" w14:textId="77777777" w:rsidR="00D15BDC" w:rsidRPr="00D15BDC" w:rsidRDefault="00D15BDC" w:rsidP="00D15BDC">
      <w:pPr>
        <w:spacing w:line="240" w:lineRule="auto"/>
        <w:rPr>
          <w:rFonts w:eastAsia="Times New Roman" w:cs="Arial"/>
          <w:color w:val="000000"/>
          <w:szCs w:val="20"/>
          <w:u w:val="single"/>
          <w:lang w:eastAsia="bg-BG"/>
        </w:rPr>
      </w:pPr>
    </w:p>
    <w:p w14:paraId="654CE84F" w14:textId="4DC11F31"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u w:val="single"/>
          <w:lang w:eastAsia="bg-BG"/>
        </w:rPr>
        <w:t>Хомозиготна фамилна хиперхолестеролемия</w:t>
      </w:r>
    </w:p>
    <w:p w14:paraId="527906C6"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В мултицентрово, осемседмично, отворено проучване на принципа на </w:t>
      </w:r>
      <w:r w:rsidRPr="00D15BDC">
        <w:rPr>
          <w:rFonts w:eastAsia="Times New Roman" w:cs="Arial"/>
          <w:i/>
          <w:iCs/>
          <w:color w:val="000000"/>
          <w:szCs w:val="20"/>
          <w:lang w:val="en-US"/>
        </w:rPr>
        <w:t>“compassionate use”</w:t>
      </w:r>
      <w:r w:rsidRPr="00D15BDC">
        <w:rPr>
          <w:rFonts w:eastAsia="Times New Roman" w:cs="Arial"/>
          <w:color w:val="000000"/>
          <w:szCs w:val="20"/>
          <w:lang w:val="en-US"/>
        </w:rPr>
        <w:t xml:space="preserve"> </w:t>
      </w:r>
      <w:r w:rsidRPr="00D15BDC">
        <w:rPr>
          <w:rFonts w:eastAsia="Times New Roman" w:cs="Arial"/>
          <w:color w:val="000000"/>
          <w:szCs w:val="20"/>
          <w:lang w:eastAsia="bg-BG"/>
        </w:rPr>
        <w:t xml:space="preserve">с опция за различна продължителност, са били включени 335 пациенти, 89 от които са били с установена хомозиготна фамилна хиперхолестеролемия. При тях е наблюдавано средно понижение в нивото на </w:t>
      </w:r>
      <w:r w:rsidRPr="00D15BDC">
        <w:rPr>
          <w:rFonts w:eastAsia="Times New Roman" w:cs="Arial"/>
          <w:color w:val="000000"/>
          <w:szCs w:val="20"/>
          <w:lang w:val="en-US"/>
        </w:rPr>
        <w:t>LDL</w:t>
      </w:r>
      <w:r w:rsidRPr="00D15BDC">
        <w:rPr>
          <w:rFonts w:eastAsia="Times New Roman" w:cs="Arial"/>
          <w:color w:val="000000"/>
          <w:szCs w:val="20"/>
          <w:lang w:eastAsia="bg-BG"/>
        </w:rPr>
        <w:t xml:space="preserve">-холестерола с около 20%. Аторвастатин е прилаган в дози до 80 </w:t>
      </w:r>
      <w:r w:rsidRPr="00D15BDC">
        <w:rPr>
          <w:rFonts w:eastAsia="Times New Roman" w:cs="Arial"/>
          <w:color w:val="000000"/>
          <w:szCs w:val="20"/>
          <w:lang w:val="en-US"/>
        </w:rPr>
        <w:t xml:space="preserve">mg </w:t>
      </w:r>
      <w:r w:rsidRPr="00D15BDC">
        <w:rPr>
          <w:rFonts w:eastAsia="Times New Roman" w:cs="Arial"/>
          <w:color w:val="000000"/>
          <w:szCs w:val="20"/>
          <w:lang w:eastAsia="bg-BG"/>
        </w:rPr>
        <w:t>на ден.</w:t>
      </w:r>
    </w:p>
    <w:p w14:paraId="20BD667D" w14:textId="77777777" w:rsidR="00D15BDC" w:rsidRPr="00D15BDC" w:rsidRDefault="00D15BDC" w:rsidP="00D15BDC">
      <w:pPr>
        <w:spacing w:line="240" w:lineRule="auto"/>
        <w:rPr>
          <w:rFonts w:eastAsia="Times New Roman" w:cs="Arial"/>
          <w:color w:val="000000"/>
          <w:szCs w:val="20"/>
          <w:u w:val="single"/>
          <w:lang w:eastAsia="bg-BG"/>
        </w:rPr>
      </w:pPr>
    </w:p>
    <w:p w14:paraId="0805BF3D" w14:textId="336ABC0F"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u w:val="single"/>
          <w:lang w:eastAsia="bg-BG"/>
        </w:rPr>
        <w:t>Атеросклероза</w:t>
      </w:r>
    </w:p>
    <w:p w14:paraId="5F862A73"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При проучване </w:t>
      </w:r>
      <w:r w:rsidRPr="00D15BDC">
        <w:rPr>
          <w:rFonts w:eastAsia="Times New Roman" w:cs="Arial"/>
          <w:color w:val="000000"/>
          <w:szCs w:val="20"/>
          <w:lang w:val="en-US"/>
        </w:rPr>
        <w:t xml:space="preserve">REVERSAL </w:t>
      </w:r>
      <w:r w:rsidRPr="00D15BDC">
        <w:rPr>
          <w:rFonts w:eastAsia="Times New Roman" w:cs="Arial"/>
          <w:i/>
          <w:iCs/>
          <w:color w:val="000000"/>
          <w:szCs w:val="20"/>
          <w:lang w:val="en-US"/>
        </w:rPr>
        <w:t>{Reversing Atherosclerosis with Aggressive Lipid-Lowering Study)</w:t>
      </w:r>
      <w:r w:rsidRPr="00D15BDC">
        <w:rPr>
          <w:rFonts w:eastAsia="Times New Roman" w:cs="Arial"/>
          <w:color w:val="000000"/>
          <w:szCs w:val="20"/>
          <w:lang w:val="en-US"/>
        </w:rPr>
        <w:t xml:space="preserve"> ce </w:t>
      </w:r>
      <w:r w:rsidRPr="00D15BDC">
        <w:rPr>
          <w:rFonts w:eastAsia="Times New Roman" w:cs="Arial"/>
          <w:color w:val="000000"/>
          <w:szCs w:val="20"/>
          <w:lang w:eastAsia="bg-BG"/>
        </w:rPr>
        <w:t xml:space="preserve">проследява ефектът на интензивното намаляване на липидите с аторвастатин 80 </w:t>
      </w:r>
      <w:r w:rsidRPr="00D15BDC">
        <w:rPr>
          <w:rFonts w:eastAsia="Times New Roman" w:cs="Arial"/>
          <w:color w:val="000000"/>
          <w:szCs w:val="20"/>
          <w:lang w:val="en-US"/>
        </w:rPr>
        <w:t xml:space="preserve">mg </w:t>
      </w:r>
      <w:r w:rsidRPr="00D15BDC">
        <w:rPr>
          <w:rFonts w:eastAsia="Times New Roman" w:cs="Arial"/>
          <w:color w:val="000000"/>
          <w:szCs w:val="20"/>
          <w:lang w:eastAsia="bg-BG"/>
        </w:rPr>
        <w:t xml:space="preserve">и в стандартна степен намаляване от страна на правастатин 40 </w:t>
      </w:r>
      <w:r w:rsidRPr="00D15BDC">
        <w:rPr>
          <w:rFonts w:eastAsia="Times New Roman" w:cs="Arial"/>
          <w:color w:val="000000"/>
          <w:szCs w:val="20"/>
          <w:lang w:val="en-US"/>
        </w:rPr>
        <w:t xml:space="preserve">mg </w:t>
      </w:r>
      <w:r w:rsidRPr="00D15BDC">
        <w:rPr>
          <w:rFonts w:eastAsia="Times New Roman" w:cs="Arial"/>
          <w:color w:val="000000"/>
          <w:szCs w:val="20"/>
          <w:lang w:eastAsia="bg-BG"/>
        </w:rPr>
        <w:t xml:space="preserve">на коронарната </w:t>
      </w:r>
      <w:r w:rsidRPr="00D15BDC">
        <w:rPr>
          <w:rFonts w:eastAsia="Times New Roman" w:cs="Arial"/>
          <w:color w:val="000000"/>
          <w:szCs w:val="20"/>
          <w:lang w:eastAsia="bg-BG"/>
        </w:rPr>
        <w:lastRenderedPageBreak/>
        <w:t xml:space="preserve">атеросклероза, като това се доказва с вътресъдово ултразвуково изследване </w:t>
      </w:r>
      <w:r w:rsidRPr="00D15BDC">
        <w:rPr>
          <w:rFonts w:eastAsia="Times New Roman" w:cs="Arial"/>
          <w:color w:val="000000"/>
          <w:szCs w:val="20"/>
          <w:lang w:val="en-US"/>
        </w:rPr>
        <w:t xml:space="preserve">(IVUS) </w:t>
      </w:r>
      <w:r w:rsidRPr="00D15BDC">
        <w:rPr>
          <w:rFonts w:eastAsia="Times New Roman" w:cs="Arial"/>
          <w:color w:val="000000"/>
          <w:szCs w:val="20"/>
          <w:lang w:eastAsia="bg-BG"/>
        </w:rPr>
        <w:t>по време на ангиография при пациенти с исхемична болест на сърцето.</w:t>
      </w:r>
    </w:p>
    <w:p w14:paraId="39176CD2"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В това рандомизирано, двойно-сляпо, мултицентрово, контролирано клинично проучване, </w:t>
      </w:r>
      <w:r w:rsidRPr="00D15BDC">
        <w:rPr>
          <w:rFonts w:eastAsia="Times New Roman" w:cs="Arial"/>
          <w:color w:val="000000"/>
          <w:szCs w:val="20"/>
          <w:lang w:val="en-US"/>
        </w:rPr>
        <w:t xml:space="preserve">IVUS </w:t>
      </w:r>
      <w:r w:rsidRPr="00D15BDC">
        <w:rPr>
          <w:rFonts w:eastAsia="Times New Roman" w:cs="Arial"/>
          <w:color w:val="000000"/>
          <w:szCs w:val="20"/>
          <w:lang w:eastAsia="bg-BG"/>
        </w:rPr>
        <w:t>е направен в началото на проучването и на 18-ия месец при 502 пациенти. В групата пациенти, приемащи аторвастатин (</w:t>
      </w:r>
      <w:r w:rsidRPr="00D15BDC">
        <w:rPr>
          <w:rFonts w:eastAsia="Times New Roman" w:cs="Arial"/>
          <w:color w:val="000000"/>
          <w:szCs w:val="20"/>
          <w:lang w:val="en-US"/>
        </w:rPr>
        <w:t>n</w:t>
      </w:r>
      <w:r w:rsidRPr="00D15BDC">
        <w:rPr>
          <w:rFonts w:eastAsia="Times New Roman" w:cs="Arial"/>
          <w:color w:val="000000"/>
          <w:szCs w:val="20"/>
          <w:lang w:eastAsia="bg-BG"/>
        </w:rPr>
        <w:t>=253), не се наблюдава прогресия на атеросклерозата.</w:t>
      </w:r>
    </w:p>
    <w:p w14:paraId="37023C04" w14:textId="77777777" w:rsidR="00D15BDC" w:rsidRPr="00D15BDC" w:rsidRDefault="00D15BDC" w:rsidP="00D15BDC">
      <w:pPr>
        <w:rPr>
          <w:rFonts w:eastAsia="Times New Roman" w:cs="Arial"/>
          <w:color w:val="000000"/>
          <w:szCs w:val="20"/>
          <w:lang w:eastAsia="bg-BG"/>
        </w:rPr>
      </w:pPr>
    </w:p>
    <w:p w14:paraId="3BBB533A" w14:textId="77777777" w:rsidR="00D15BDC" w:rsidRPr="00D15BDC" w:rsidRDefault="00D15BDC" w:rsidP="00D15BDC">
      <w:pPr>
        <w:rPr>
          <w:rFonts w:eastAsia="Times New Roman" w:cs="Arial"/>
          <w:sz w:val="28"/>
          <w:szCs w:val="24"/>
          <w:lang w:eastAsia="bg-BG"/>
        </w:rPr>
      </w:pPr>
      <w:r w:rsidRPr="00D15BDC">
        <w:rPr>
          <w:rFonts w:eastAsia="Times New Roman" w:cs="Arial"/>
          <w:color w:val="000000"/>
          <w:szCs w:val="20"/>
          <w:lang w:eastAsia="bg-BG"/>
        </w:rPr>
        <w:t>Средната процентна промяна на общия обем на атеромите (които са първичния критерий в</w:t>
      </w:r>
      <w:r w:rsidRPr="00D15BDC">
        <w:rPr>
          <w:rFonts w:eastAsia="Times New Roman" w:cs="Arial"/>
          <w:b/>
          <w:bCs/>
          <w:color w:val="000000"/>
          <w:sz w:val="13"/>
          <w:szCs w:val="11"/>
          <w:lang w:eastAsia="bg-BG"/>
        </w:rPr>
        <w:t xml:space="preserve"> </w:t>
      </w:r>
      <w:r w:rsidRPr="00D15BDC">
        <w:rPr>
          <w:rFonts w:eastAsia="Times New Roman" w:cs="Arial"/>
          <w:color w:val="000000"/>
          <w:szCs w:val="20"/>
          <w:lang w:eastAsia="bg-BG"/>
        </w:rPr>
        <w:t>изследването), е -0,4% (р=0,98) в групата на пациентите, приемащи аторвастатин и 2,7%</w:t>
      </w:r>
      <w:r w:rsidRPr="00D15BDC">
        <w:rPr>
          <w:rFonts w:eastAsia="Times New Roman" w:cs="Arial"/>
          <w:color w:val="000000"/>
          <w:szCs w:val="20"/>
          <w:lang w:val="en-US"/>
        </w:rPr>
        <w:t xml:space="preserve"> (p=0,001)</w:t>
      </w:r>
      <w:r w:rsidRPr="00D15BDC">
        <w:rPr>
          <w:rFonts w:eastAsia="Times New Roman" w:cs="Arial"/>
          <w:color w:val="000000"/>
          <w:szCs w:val="20"/>
          <w:lang w:eastAsia="bg-BG"/>
        </w:rPr>
        <w:t xml:space="preserve"> в групата на пациентите, приемащи правастатин (</w:t>
      </w:r>
      <w:r w:rsidRPr="00D15BDC">
        <w:rPr>
          <w:rFonts w:eastAsia="Times New Roman" w:cs="Arial"/>
          <w:color w:val="000000"/>
          <w:szCs w:val="20"/>
          <w:lang w:val="en-US"/>
        </w:rPr>
        <w:t>n</w:t>
      </w:r>
      <w:r w:rsidRPr="00D15BDC">
        <w:rPr>
          <w:rFonts w:eastAsia="Times New Roman" w:cs="Arial"/>
          <w:color w:val="000000"/>
          <w:szCs w:val="20"/>
          <w:lang w:eastAsia="bg-BG"/>
        </w:rPr>
        <w:t>=249). Сравнен с правастатии, ефектът на аторвастатин е значителен (р=0,02). Влиянието на интензивното липидно понижавана върху</w:t>
      </w:r>
      <w:r w:rsidRPr="00D15BDC">
        <w:rPr>
          <w:rFonts w:eastAsia="Times New Roman" w:cs="Arial"/>
          <w:color w:val="000000"/>
          <w:szCs w:val="20"/>
          <w:lang w:val="en-US" w:eastAsia="bg-BG"/>
        </w:rPr>
        <w:t xml:space="preserve"> </w:t>
      </w:r>
      <w:r w:rsidRPr="00D15BDC">
        <w:rPr>
          <w:rFonts w:eastAsia="Times New Roman" w:cs="Arial"/>
          <w:color w:val="000000"/>
          <w:szCs w:val="20"/>
          <w:lang w:eastAsia="bg-BG"/>
        </w:rPr>
        <w:t>сърдечно-съдовата система (напр. реваскуларизация, нефатален миокарден инфаркт, коронарна смърт) не е проучен в това изследване.</w:t>
      </w:r>
    </w:p>
    <w:p w14:paraId="4436052E" w14:textId="77777777" w:rsidR="00D15BDC" w:rsidRPr="00D15BDC" w:rsidRDefault="00D15BDC" w:rsidP="00D15BDC">
      <w:pPr>
        <w:rPr>
          <w:rFonts w:eastAsia="Times New Roman" w:cs="Arial"/>
          <w:sz w:val="28"/>
          <w:szCs w:val="24"/>
          <w:lang w:eastAsia="bg-BG"/>
        </w:rPr>
      </w:pPr>
    </w:p>
    <w:p w14:paraId="40866E3A" w14:textId="1C74B44F" w:rsidR="00D15BDC" w:rsidRPr="00D15BDC" w:rsidRDefault="00D15BDC" w:rsidP="00D15BDC">
      <w:pPr>
        <w:rPr>
          <w:rFonts w:eastAsia="Times New Roman" w:cs="Arial"/>
          <w:sz w:val="28"/>
          <w:szCs w:val="24"/>
          <w:lang w:eastAsia="bg-BG"/>
        </w:rPr>
      </w:pPr>
      <w:r w:rsidRPr="00D15BDC">
        <w:rPr>
          <w:rFonts w:eastAsia="Times New Roman" w:cs="Arial"/>
          <w:color w:val="000000"/>
          <w:szCs w:val="20"/>
          <w:lang w:eastAsia="bg-BG"/>
        </w:rPr>
        <w:t xml:space="preserve">В групата на пациентите, приемащи аторвастатин, </w:t>
      </w:r>
      <w:r w:rsidRPr="00D15BDC">
        <w:rPr>
          <w:rFonts w:eastAsia="Times New Roman" w:cs="Arial"/>
          <w:color w:val="000000"/>
          <w:szCs w:val="20"/>
          <w:lang w:val="en-US"/>
        </w:rPr>
        <w:t>LDL</w:t>
      </w:r>
      <w:r w:rsidRPr="00D15BDC">
        <w:rPr>
          <w:rFonts w:eastAsia="Times New Roman" w:cs="Arial"/>
          <w:color w:val="000000"/>
          <w:szCs w:val="20"/>
          <w:lang w:eastAsia="bg-BG"/>
        </w:rPr>
        <w:t xml:space="preserve">-холестеролът се понижава до средно 2,04 </w:t>
      </w:r>
      <w:r w:rsidRPr="00D15BDC">
        <w:rPr>
          <w:rFonts w:eastAsia="Times New Roman" w:cs="Arial"/>
          <w:color w:val="000000"/>
          <w:szCs w:val="20"/>
          <w:lang w:val="en-US"/>
        </w:rPr>
        <w:t xml:space="preserve">mmol/l </w:t>
      </w:r>
      <w:r w:rsidRPr="00D15BDC">
        <w:rPr>
          <w:rFonts w:eastAsia="Times New Roman" w:cs="Arial"/>
          <w:color w:val="000000"/>
          <w:szCs w:val="20"/>
          <w:lang w:eastAsia="bg-BG"/>
        </w:rPr>
        <w:t xml:space="preserve">± 0,8 (78,9 </w:t>
      </w:r>
      <w:r w:rsidRPr="00D15BDC">
        <w:rPr>
          <w:rFonts w:eastAsia="Times New Roman" w:cs="Arial"/>
          <w:color w:val="000000"/>
          <w:szCs w:val="20"/>
          <w:lang w:val="en-US"/>
        </w:rPr>
        <w:t xml:space="preserve">mg/dl </w:t>
      </w:r>
      <w:r w:rsidRPr="00D15BDC">
        <w:rPr>
          <w:rFonts w:eastAsia="Times New Roman" w:cs="Arial"/>
          <w:color w:val="000000"/>
          <w:szCs w:val="20"/>
          <w:lang w:eastAsia="bg-BG"/>
        </w:rPr>
        <w:t xml:space="preserve">± 30) от установения в началото на изследването 3,89 </w:t>
      </w:r>
      <w:r w:rsidRPr="00D15BDC">
        <w:rPr>
          <w:rFonts w:eastAsia="Times New Roman" w:cs="Arial"/>
          <w:color w:val="000000"/>
          <w:szCs w:val="20"/>
          <w:lang w:val="en-US"/>
        </w:rPr>
        <w:t xml:space="preserve">mmol/l </w:t>
      </w:r>
      <w:r w:rsidRPr="00D15BDC">
        <w:rPr>
          <w:rFonts w:eastAsia="Times New Roman" w:cs="Arial"/>
          <w:color w:val="000000"/>
          <w:szCs w:val="20"/>
          <w:lang w:eastAsia="bg-BG"/>
        </w:rPr>
        <w:t xml:space="preserve">± 0,7 (150 </w:t>
      </w:r>
      <w:r w:rsidRPr="00D15BDC">
        <w:rPr>
          <w:rFonts w:eastAsia="Times New Roman" w:cs="Arial"/>
          <w:color w:val="000000"/>
          <w:szCs w:val="20"/>
          <w:lang w:val="en-US"/>
        </w:rPr>
        <w:t xml:space="preserve">mg/dl </w:t>
      </w:r>
      <w:r w:rsidRPr="00D15BDC">
        <w:rPr>
          <w:rFonts w:eastAsia="Times New Roman" w:cs="Arial"/>
          <w:color w:val="000000"/>
          <w:szCs w:val="20"/>
          <w:lang w:eastAsia="bg-BG"/>
        </w:rPr>
        <w:t xml:space="preserve">± 28), а в групата на пациентите, приемащи правастатин, </w:t>
      </w:r>
      <w:r w:rsidRPr="00D15BDC">
        <w:rPr>
          <w:rFonts w:eastAsia="Times New Roman" w:cs="Arial"/>
          <w:color w:val="000000"/>
          <w:szCs w:val="20"/>
          <w:lang w:val="en-US"/>
        </w:rPr>
        <w:t xml:space="preserve">LDL-C </w:t>
      </w:r>
      <w:r w:rsidRPr="00D15BDC">
        <w:rPr>
          <w:rFonts w:eastAsia="Times New Roman" w:cs="Arial"/>
          <w:color w:val="000000"/>
          <w:szCs w:val="20"/>
          <w:lang w:eastAsia="bg-BG"/>
        </w:rPr>
        <w:t xml:space="preserve">се понижава до средно 2,85 </w:t>
      </w:r>
      <w:r w:rsidRPr="00D15BDC">
        <w:rPr>
          <w:rFonts w:eastAsia="Times New Roman" w:cs="Arial"/>
          <w:color w:val="000000"/>
          <w:szCs w:val="20"/>
          <w:lang w:val="en-US"/>
        </w:rPr>
        <w:t xml:space="preserve">mmol/l </w:t>
      </w:r>
      <w:r w:rsidRPr="00D15BDC">
        <w:rPr>
          <w:rFonts w:eastAsia="Times New Roman" w:cs="Arial"/>
          <w:color w:val="000000"/>
          <w:szCs w:val="20"/>
          <w:lang w:eastAsia="bg-BG"/>
        </w:rPr>
        <w:t xml:space="preserve">± 0,7 (110 </w:t>
      </w:r>
      <w:r w:rsidRPr="00D15BDC">
        <w:rPr>
          <w:rFonts w:eastAsia="Times New Roman" w:cs="Arial"/>
          <w:color w:val="000000"/>
          <w:szCs w:val="20"/>
          <w:lang w:val="en-US"/>
        </w:rPr>
        <w:t xml:space="preserve">mg/dl </w:t>
      </w:r>
      <w:r w:rsidRPr="00D15BDC">
        <w:rPr>
          <w:rFonts w:eastAsia="Times New Roman" w:cs="Arial"/>
          <w:color w:val="000000"/>
          <w:szCs w:val="20"/>
          <w:lang w:eastAsia="bg-BG"/>
        </w:rPr>
        <w:t xml:space="preserve">± 26) от установения в началото на изследването 3,89 </w:t>
      </w:r>
      <w:r w:rsidRPr="00D15BDC">
        <w:rPr>
          <w:rFonts w:eastAsia="Times New Roman" w:cs="Arial"/>
          <w:color w:val="000000"/>
          <w:szCs w:val="20"/>
          <w:lang w:val="en-US"/>
        </w:rPr>
        <w:t xml:space="preserve">mmol/l </w:t>
      </w:r>
      <w:r w:rsidRPr="00D15BDC">
        <w:rPr>
          <w:rFonts w:eastAsia="Times New Roman" w:cs="Arial"/>
          <w:color w:val="000000"/>
          <w:szCs w:val="20"/>
          <w:lang w:eastAsia="bg-BG"/>
        </w:rPr>
        <w:t xml:space="preserve">± 0,7 (150 </w:t>
      </w:r>
      <w:r w:rsidRPr="00D15BDC">
        <w:rPr>
          <w:rFonts w:eastAsia="Times New Roman" w:cs="Arial"/>
          <w:color w:val="000000"/>
          <w:szCs w:val="20"/>
          <w:lang w:val="en-US"/>
        </w:rPr>
        <w:t xml:space="preserve">mg/dl </w:t>
      </w:r>
      <w:r w:rsidRPr="00D15BDC">
        <w:rPr>
          <w:rFonts w:eastAsia="Times New Roman" w:cs="Arial"/>
          <w:color w:val="000000"/>
          <w:szCs w:val="20"/>
          <w:lang w:eastAsia="bg-BG"/>
        </w:rPr>
        <w:t>± 26) (р&lt;0,0001). Аторвастатин също така води до значително снижаване на общия холестерол с 34,1% (правастатин: -18,4%, р&lt;0,0001), средните нива на триглицериди с 20% (правастатин: -6,8%, р&lt;0,0009) и средните нива на аполипопротеин В с 39,1% (правастатин: -22,0%, р&lt;0,0001).</w:t>
      </w:r>
    </w:p>
    <w:p w14:paraId="003F73BA"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Аторвастатин повишава нивото на </w:t>
      </w:r>
      <w:r w:rsidRPr="00D15BDC">
        <w:rPr>
          <w:rFonts w:eastAsia="Times New Roman" w:cs="Arial"/>
          <w:color w:val="000000"/>
          <w:szCs w:val="20"/>
          <w:lang w:val="en-US"/>
        </w:rPr>
        <w:t>HDL</w:t>
      </w:r>
      <w:r w:rsidRPr="00D15BDC">
        <w:rPr>
          <w:rFonts w:eastAsia="Times New Roman" w:cs="Arial"/>
          <w:color w:val="000000"/>
          <w:szCs w:val="20"/>
          <w:lang w:eastAsia="bg-BG"/>
        </w:rPr>
        <w:t xml:space="preserve">-холестерола с 2,9% (правастатин: +5,6%, </w:t>
      </w:r>
      <w:r w:rsidRPr="00D15BDC">
        <w:rPr>
          <w:rFonts w:eastAsia="Times New Roman" w:cs="Arial"/>
          <w:color w:val="000000"/>
          <w:szCs w:val="20"/>
          <w:lang w:val="en-US"/>
        </w:rPr>
        <w:t xml:space="preserve">p=NS). </w:t>
      </w:r>
      <w:r w:rsidRPr="00D15BDC">
        <w:rPr>
          <w:rFonts w:eastAsia="Times New Roman" w:cs="Arial"/>
          <w:color w:val="000000"/>
          <w:szCs w:val="20"/>
          <w:lang w:eastAsia="bg-BG"/>
        </w:rPr>
        <w:t xml:space="preserve">Наблюдава се средно понижаване с 36,4% на С-реактивния протеин </w:t>
      </w:r>
      <w:r w:rsidRPr="00D15BDC">
        <w:rPr>
          <w:rFonts w:eastAsia="Times New Roman" w:cs="Arial"/>
          <w:color w:val="000000"/>
          <w:szCs w:val="20"/>
          <w:lang w:val="en-US"/>
        </w:rPr>
        <w:t xml:space="preserve">(CRP) </w:t>
      </w:r>
      <w:r w:rsidRPr="00D15BDC">
        <w:rPr>
          <w:rFonts w:eastAsia="Times New Roman" w:cs="Arial"/>
          <w:color w:val="000000"/>
          <w:szCs w:val="20"/>
          <w:lang w:eastAsia="bg-BG"/>
        </w:rPr>
        <w:t xml:space="preserve">в групата на пациентите, приемащи аторвастатин, сравнено с 5,2% понижаване на </w:t>
      </w:r>
      <w:r w:rsidRPr="00D15BDC">
        <w:rPr>
          <w:rFonts w:eastAsia="Times New Roman" w:cs="Arial"/>
          <w:color w:val="000000"/>
          <w:szCs w:val="20"/>
          <w:lang w:val="en-US"/>
        </w:rPr>
        <w:t xml:space="preserve">CRP </w:t>
      </w:r>
      <w:r w:rsidRPr="00D15BDC">
        <w:rPr>
          <w:rFonts w:eastAsia="Times New Roman" w:cs="Arial"/>
          <w:color w:val="000000"/>
          <w:szCs w:val="20"/>
          <w:lang w:eastAsia="bg-BG"/>
        </w:rPr>
        <w:t>в групата на правастатин (р&lt;0,0001).</w:t>
      </w:r>
    </w:p>
    <w:p w14:paraId="64A97CC0" w14:textId="77777777" w:rsidR="00D15BDC" w:rsidRPr="00D15BDC" w:rsidRDefault="00D15BDC" w:rsidP="00D15BDC">
      <w:pPr>
        <w:spacing w:line="240" w:lineRule="auto"/>
        <w:rPr>
          <w:rFonts w:eastAsia="Times New Roman" w:cs="Arial"/>
          <w:color w:val="000000"/>
          <w:szCs w:val="20"/>
          <w:lang w:eastAsia="bg-BG"/>
        </w:rPr>
      </w:pPr>
    </w:p>
    <w:p w14:paraId="1D475315" w14:textId="36C5FDE1"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Резултатите от изследването са получени при прилагане на доза от 80 </w:t>
      </w:r>
      <w:r w:rsidRPr="00D15BDC">
        <w:rPr>
          <w:rFonts w:eastAsia="Times New Roman" w:cs="Arial"/>
          <w:color w:val="000000"/>
          <w:szCs w:val="20"/>
          <w:lang w:val="en-US"/>
        </w:rPr>
        <w:t xml:space="preserve">mg. </w:t>
      </w:r>
      <w:r w:rsidRPr="00D15BDC">
        <w:rPr>
          <w:rFonts w:eastAsia="Times New Roman" w:cs="Arial"/>
          <w:color w:val="000000"/>
          <w:szCs w:val="20"/>
          <w:lang w:eastAsia="bg-BG"/>
        </w:rPr>
        <w:t>Затова те не биха могли да се екстраполират за по-ниски дози.</w:t>
      </w:r>
    </w:p>
    <w:p w14:paraId="544AFC0F"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Профилите за безопасност и толерантност в двете групи са били сравними.</w:t>
      </w:r>
    </w:p>
    <w:p w14:paraId="5BB4B2D9"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Влиянието на интензивно липидно понижаване на аторвастатин върху сърдечно-съдовата смъртност и заболеваемост не е проучено в това иследване. Поради това, клиничното значение на тези резултати за първичната и вторична превенция на сърдечно-съдовите инциденти е неизвестно.</w:t>
      </w:r>
    </w:p>
    <w:p w14:paraId="3BB20065" w14:textId="77777777" w:rsidR="00D15BDC" w:rsidRPr="00D15BDC" w:rsidRDefault="00D15BDC" w:rsidP="00D15BDC">
      <w:pPr>
        <w:spacing w:line="240" w:lineRule="auto"/>
        <w:rPr>
          <w:rFonts w:eastAsia="Times New Roman" w:cs="Arial"/>
          <w:color w:val="000000"/>
          <w:szCs w:val="20"/>
          <w:u w:val="single"/>
          <w:lang w:eastAsia="bg-BG"/>
        </w:rPr>
      </w:pPr>
    </w:p>
    <w:p w14:paraId="3E3E2226" w14:textId="2EF30275"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u w:val="single"/>
          <w:lang w:eastAsia="bg-BG"/>
        </w:rPr>
        <w:t>Остър коронарен синдром</w:t>
      </w:r>
    </w:p>
    <w:p w14:paraId="70B0D42F"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В проучването </w:t>
      </w:r>
      <w:r w:rsidRPr="00D15BDC">
        <w:rPr>
          <w:rFonts w:eastAsia="Times New Roman" w:cs="Arial"/>
          <w:color w:val="000000"/>
          <w:szCs w:val="20"/>
          <w:lang w:val="en-US"/>
        </w:rPr>
        <w:t xml:space="preserve">MIRACL </w:t>
      </w:r>
      <w:r w:rsidRPr="00D15BDC">
        <w:rPr>
          <w:rFonts w:eastAsia="Times New Roman" w:cs="Arial"/>
          <w:color w:val="000000"/>
          <w:szCs w:val="20"/>
          <w:lang w:eastAsia="bg-BG"/>
        </w:rPr>
        <w:t xml:space="preserve">се оценява действието на 80 </w:t>
      </w:r>
      <w:r w:rsidRPr="00D15BDC">
        <w:rPr>
          <w:rFonts w:eastAsia="Times New Roman" w:cs="Arial"/>
          <w:color w:val="000000"/>
          <w:szCs w:val="20"/>
          <w:lang w:val="en-US"/>
        </w:rPr>
        <w:t xml:space="preserve">mg </w:t>
      </w:r>
      <w:r w:rsidRPr="00D15BDC">
        <w:rPr>
          <w:rFonts w:eastAsia="Times New Roman" w:cs="Arial"/>
          <w:color w:val="000000"/>
          <w:szCs w:val="20"/>
          <w:lang w:eastAsia="bg-BG"/>
        </w:rPr>
        <w:t xml:space="preserve">аторвастатин върху 3086 пациенти (аторвастатин </w:t>
      </w:r>
      <w:r w:rsidRPr="00D15BDC">
        <w:rPr>
          <w:rFonts w:eastAsia="Times New Roman" w:cs="Arial"/>
          <w:color w:val="000000"/>
          <w:szCs w:val="20"/>
          <w:lang w:val="en-US"/>
        </w:rPr>
        <w:t>n</w:t>
      </w:r>
      <w:r w:rsidRPr="00D15BDC">
        <w:rPr>
          <w:rFonts w:eastAsia="Times New Roman" w:cs="Arial"/>
          <w:color w:val="000000"/>
          <w:szCs w:val="20"/>
          <w:lang w:eastAsia="bg-BG"/>
        </w:rPr>
        <w:t xml:space="preserve">=1538; </w:t>
      </w:r>
      <w:r w:rsidRPr="00D15BDC">
        <w:rPr>
          <w:rFonts w:eastAsia="Times New Roman" w:cs="Arial"/>
          <w:color w:val="000000"/>
          <w:szCs w:val="20"/>
          <w:lang w:val="en-US"/>
        </w:rPr>
        <w:t>placebo n</w:t>
      </w:r>
      <w:r w:rsidRPr="00D15BDC">
        <w:rPr>
          <w:rFonts w:eastAsia="Times New Roman" w:cs="Arial"/>
          <w:color w:val="000000"/>
          <w:szCs w:val="20"/>
          <w:lang w:eastAsia="bg-BG"/>
        </w:rPr>
        <w:t xml:space="preserve">=1548) с остър коронарен синдром </w:t>
      </w:r>
      <w:r w:rsidRPr="00D15BDC">
        <w:rPr>
          <w:rFonts w:eastAsia="Times New Roman" w:cs="Arial"/>
          <w:color w:val="000000"/>
          <w:szCs w:val="20"/>
          <w:lang w:val="en-US"/>
        </w:rPr>
        <w:t xml:space="preserve">(non-Q </w:t>
      </w:r>
      <w:r w:rsidRPr="00D15BDC">
        <w:rPr>
          <w:rFonts w:eastAsia="Times New Roman" w:cs="Arial"/>
          <w:color w:val="000000"/>
          <w:szCs w:val="20"/>
          <w:lang w:eastAsia="bg-BG"/>
        </w:rPr>
        <w:t xml:space="preserve">миокарден инфаркт или нестабилна ангина пекторис). Лечението е започнало по време на острата фаза след хоспитализация и е продължило за период от 16 седмици. Лечението с 80 </w:t>
      </w:r>
      <w:r w:rsidRPr="00D15BDC">
        <w:rPr>
          <w:rFonts w:eastAsia="Times New Roman" w:cs="Arial"/>
          <w:color w:val="000000"/>
          <w:szCs w:val="20"/>
          <w:lang w:val="en-US"/>
        </w:rPr>
        <w:t xml:space="preserve">mg </w:t>
      </w:r>
      <w:r w:rsidRPr="00D15BDC">
        <w:rPr>
          <w:rFonts w:eastAsia="Times New Roman" w:cs="Arial"/>
          <w:color w:val="000000"/>
          <w:szCs w:val="20"/>
          <w:lang w:eastAsia="bg-BG"/>
        </w:rPr>
        <w:t>аторвастатин дневно удължава времето до поява на комбинираната първична крайна точка (смърт, независимо от причината, нефатален миокарден инфаркт, ресусцитиран сърдечен арест или ангина пекторис с данни за исхемия на миокарда, налагаща хоспитализация), показвайки намаление на риска с 16% (р=0,048). Намалението се дължи предимно на редукция с 26% на рехоспитализацията, свързана с ангина пекторис, дължаща се на исхемия на миокарда (р=0,018). Вторичните крайни точки не достигат статистическа значимост (общо: плацебо - 22,2%; аторвастатин - 22,4%).</w:t>
      </w:r>
    </w:p>
    <w:p w14:paraId="4AC8FABF"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Профилът на безопасност на аторвастатин в проучването </w:t>
      </w:r>
      <w:r w:rsidRPr="00D15BDC">
        <w:rPr>
          <w:rFonts w:eastAsia="Times New Roman" w:cs="Arial"/>
          <w:color w:val="000000"/>
          <w:szCs w:val="20"/>
          <w:lang w:val="en-US"/>
        </w:rPr>
        <w:t xml:space="preserve">MIRACL </w:t>
      </w:r>
      <w:r w:rsidRPr="00D15BDC">
        <w:rPr>
          <w:rFonts w:eastAsia="Times New Roman" w:cs="Arial"/>
          <w:color w:val="000000"/>
          <w:szCs w:val="20"/>
          <w:lang w:eastAsia="bg-BG"/>
        </w:rPr>
        <w:t>корелира с данните, представени в точка 4.8.</w:t>
      </w:r>
    </w:p>
    <w:p w14:paraId="65F2CEC3" w14:textId="77777777" w:rsidR="00D15BDC" w:rsidRPr="00D15BDC" w:rsidRDefault="00D15BDC" w:rsidP="00D15BDC">
      <w:pPr>
        <w:spacing w:line="240" w:lineRule="auto"/>
        <w:rPr>
          <w:rFonts w:eastAsia="Times New Roman" w:cs="Arial"/>
          <w:color w:val="000000"/>
          <w:szCs w:val="20"/>
          <w:u w:val="single"/>
          <w:lang w:eastAsia="bg-BG"/>
        </w:rPr>
      </w:pPr>
    </w:p>
    <w:p w14:paraId="1B484BFA" w14:textId="332678BE"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u w:val="single"/>
          <w:lang w:eastAsia="bg-BG"/>
        </w:rPr>
        <w:t>Профилактика на сърдечно-съдови заболявания</w:t>
      </w:r>
    </w:p>
    <w:p w14:paraId="3F978073" w14:textId="77777777"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Ефектът на аторвастатин върху фатални и нефатални сърдечно-съдови заболявания на коронарните артерии е оценен в рамките на едно рандомизирано, двойно-сляпо, плацебо-контролирано проучване </w:t>
      </w:r>
      <w:r w:rsidRPr="00D15BDC">
        <w:rPr>
          <w:rFonts w:eastAsia="Times New Roman" w:cs="Arial"/>
          <w:i/>
          <w:iCs/>
          <w:color w:val="000000"/>
          <w:szCs w:val="20"/>
          <w:lang w:val="en-US"/>
        </w:rPr>
        <w:t>Anglo-Scandinavian Cardiac Outcomes Trial Lipid Lowering Arm</w:t>
      </w:r>
      <w:r w:rsidRPr="00D15BDC">
        <w:rPr>
          <w:rFonts w:eastAsia="Times New Roman" w:cs="Arial"/>
          <w:color w:val="000000"/>
          <w:szCs w:val="20"/>
          <w:lang w:val="en-US"/>
        </w:rPr>
        <w:t xml:space="preserve"> (ASCOT-LLA).</w:t>
      </w:r>
    </w:p>
    <w:p w14:paraId="0807C3A5" w14:textId="77777777" w:rsidR="00D15BDC" w:rsidRPr="00D15BDC" w:rsidRDefault="00D15BDC" w:rsidP="00D15BDC">
      <w:pPr>
        <w:spacing w:line="240" w:lineRule="auto"/>
        <w:rPr>
          <w:rFonts w:eastAsia="Times New Roman" w:cs="Arial"/>
          <w:color w:val="000000"/>
          <w:szCs w:val="20"/>
          <w:lang w:eastAsia="bg-BG"/>
        </w:rPr>
      </w:pPr>
    </w:p>
    <w:p w14:paraId="32279252" w14:textId="67717E50" w:rsidR="00D15BDC" w:rsidRPr="00D15BDC" w:rsidRDefault="00D15BDC" w:rsidP="00D15BDC">
      <w:pPr>
        <w:spacing w:line="240" w:lineRule="auto"/>
        <w:rPr>
          <w:rFonts w:eastAsia="Times New Roman" w:cs="Arial"/>
          <w:sz w:val="28"/>
          <w:szCs w:val="24"/>
          <w:lang w:eastAsia="bg-BG"/>
        </w:rPr>
      </w:pPr>
      <w:r w:rsidRPr="00D15BDC">
        <w:rPr>
          <w:rFonts w:eastAsia="Times New Roman" w:cs="Arial"/>
          <w:color w:val="000000"/>
          <w:szCs w:val="20"/>
          <w:lang w:eastAsia="bg-BG"/>
        </w:rPr>
        <w:t xml:space="preserve">Пациентите са хипертоници от 40- до 79-годишна възраст, които нямат предшестващ миокарден инфаркт или не са лекувани за стенокардия и имат нива на общ холестерол &lt; </w:t>
      </w:r>
      <w:r w:rsidRPr="00D15BDC">
        <w:rPr>
          <w:rFonts w:eastAsia="Times New Roman" w:cs="Arial"/>
          <w:color w:val="000000"/>
          <w:szCs w:val="20"/>
          <w:lang w:val="en-US"/>
        </w:rPr>
        <w:t xml:space="preserve">6,5mmol/l </w:t>
      </w:r>
      <w:r w:rsidRPr="00D15BDC">
        <w:rPr>
          <w:rFonts w:eastAsia="Times New Roman" w:cs="Arial"/>
          <w:color w:val="000000"/>
          <w:szCs w:val="20"/>
          <w:lang w:eastAsia="bg-BG"/>
        </w:rPr>
        <w:t xml:space="preserve">(251 </w:t>
      </w:r>
      <w:r w:rsidRPr="00D15BDC">
        <w:rPr>
          <w:rFonts w:eastAsia="Times New Roman" w:cs="Arial"/>
          <w:color w:val="000000"/>
          <w:szCs w:val="20"/>
          <w:lang w:val="en-US"/>
        </w:rPr>
        <w:t xml:space="preserve">mg/dl). </w:t>
      </w:r>
      <w:r w:rsidRPr="00D15BDC">
        <w:rPr>
          <w:rFonts w:eastAsia="Times New Roman" w:cs="Arial"/>
          <w:color w:val="000000"/>
          <w:szCs w:val="20"/>
          <w:lang w:eastAsia="bg-BG"/>
        </w:rPr>
        <w:t xml:space="preserve">Всички пациенти имат поне 3 от предварително определените рискови фактори за развитие на сърдечно-съдово заболяване: мъже над 55-годишна възраст, пушачи, диабетици, анамнеза за хронично сърдечно-съдово заболяване с релативна първа степен, </w:t>
      </w:r>
      <w:r w:rsidRPr="00D15BDC">
        <w:rPr>
          <w:rFonts w:eastAsia="Times New Roman" w:cs="Arial"/>
          <w:color w:val="000000"/>
          <w:szCs w:val="20"/>
          <w:lang w:val="en-US"/>
        </w:rPr>
        <w:t xml:space="preserve">TC/HDL-C&gt;6, </w:t>
      </w:r>
      <w:r w:rsidRPr="00D15BDC">
        <w:rPr>
          <w:rFonts w:eastAsia="Times New Roman" w:cs="Arial"/>
          <w:color w:val="000000"/>
          <w:szCs w:val="20"/>
          <w:lang w:eastAsia="bg-BG"/>
        </w:rPr>
        <w:t>периферно съдово заболяване, левокамерна хипертрофия, предшестващ мозъчно-съдов инцидент, специфична ЕКГ промяна, протеинурия/албуминурия. Не всички пациенти са били оценени като такива с висок риск от развитие на първи сърдечно-съдов инцидент.</w:t>
      </w:r>
    </w:p>
    <w:p w14:paraId="0A3222B9" w14:textId="77777777" w:rsidR="00D15BDC" w:rsidRPr="00D15BDC" w:rsidRDefault="00D15BDC" w:rsidP="00D15BDC">
      <w:pPr>
        <w:rPr>
          <w:rFonts w:eastAsia="Times New Roman" w:cs="Arial"/>
          <w:color w:val="000000"/>
          <w:szCs w:val="20"/>
          <w:lang w:eastAsia="bg-BG"/>
        </w:rPr>
      </w:pPr>
    </w:p>
    <w:p w14:paraId="28252AA0" w14:textId="2CE938BB" w:rsidR="0091385D" w:rsidRPr="00D15BDC" w:rsidRDefault="00D15BDC" w:rsidP="00D15BDC">
      <w:pPr>
        <w:rPr>
          <w:rFonts w:cs="Arial"/>
          <w:sz w:val="24"/>
          <w:lang w:val="en-US"/>
        </w:rPr>
      </w:pPr>
      <w:r w:rsidRPr="00D15BDC">
        <w:rPr>
          <w:rFonts w:eastAsia="Times New Roman" w:cs="Arial"/>
          <w:color w:val="000000"/>
          <w:szCs w:val="20"/>
          <w:lang w:eastAsia="bg-BG"/>
        </w:rPr>
        <w:t>Пациентите са подложени на антихипертензивна терапия (амлодипин или атенолол)</w:t>
      </w:r>
      <w:r w:rsidRPr="00D15BDC">
        <w:rPr>
          <w:rFonts w:eastAsia="Times New Roman" w:cs="Arial"/>
          <w:color w:val="000000"/>
          <w:szCs w:val="20"/>
          <w:lang w:val="en-US"/>
        </w:rPr>
        <w:t xml:space="preserve"> </w:t>
      </w:r>
      <w:r w:rsidRPr="00D15BDC">
        <w:rPr>
          <w:rFonts w:eastAsia="Times New Roman" w:cs="Arial"/>
          <w:color w:val="000000"/>
          <w:szCs w:val="20"/>
          <w:lang w:eastAsia="bg-BG"/>
        </w:rPr>
        <w:t xml:space="preserve">или аторвастатин 10 </w:t>
      </w:r>
      <w:r w:rsidRPr="00D15BDC">
        <w:rPr>
          <w:rFonts w:eastAsia="Times New Roman" w:cs="Arial"/>
          <w:color w:val="000000"/>
          <w:szCs w:val="20"/>
          <w:lang w:val="en-US"/>
        </w:rPr>
        <w:t xml:space="preserve">mg </w:t>
      </w:r>
      <w:r w:rsidRPr="00D15BDC">
        <w:rPr>
          <w:rFonts w:eastAsia="Times New Roman" w:cs="Arial"/>
          <w:color w:val="000000"/>
          <w:szCs w:val="20"/>
          <w:lang w:eastAsia="bg-BG"/>
        </w:rPr>
        <w:t xml:space="preserve">дневно </w:t>
      </w:r>
      <w:r w:rsidRPr="00D15BDC">
        <w:rPr>
          <w:rFonts w:eastAsia="Times New Roman" w:cs="Arial"/>
          <w:color w:val="000000"/>
          <w:szCs w:val="20"/>
          <w:lang w:val="en-US"/>
        </w:rPr>
        <w:t>(n=5</w:t>
      </w:r>
      <w:r w:rsidRPr="00D15BDC">
        <w:rPr>
          <w:rFonts w:eastAsia="Times New Roman" w:cs="Arial"/>
          <w:color w:val="000000"/>
          <w:szCs w:val="20"/>
          <w:lang w:eastAsia="bg-BG"/>
        </w:rPr>
        <w:t xml:space="preserve">168), или плацебо </w:t>
      </w:r>
      <w:r w:rsidRPr="00D15BDC">
        <w:rPr>
          <w:rFonts w:eastAsia="Times New Roman" w:cs="Arial"/>
          <w:color w:val="000000"/>
          <w:szCs w:val="20"/>
          <w:lang w:val="en-US"/>
        </w:rPr>
        <w:t>(n=5</w:t>
      </w:r>
      <w:r w:rsidRPr="00D15BDC">
        <w:rPr>
          <w:rFonts w:eastAsia="Times New Roman" w:cs="Arial"/>
          <w:color w:val="000000"/>
          <w:szCs w:val="20"/>
          <w:lang w:eastAsia="bg-BG"/>
        </w:rPr>
        <w:t>137).</w:t>
      </w:r>
    </w:p>
    <w:p w14:paraId="36152471" w14:textId="65238E99" w:rsidR="0091385D" w:rsidRDefault="0091385D" w:rsidP="0091385D"/>
    <w:p w14:paraId="20226F2E" w14:textId="0277B56A" w:rsidR="00D15BDC" w:rsidRPr="00D15BDC" w:rsidRDefault="00D15BDC" w:rsidP="0091385D">
      <w:pPr>
        <w:rPr>
          <w:rFonts w:cs="Arial"/>
        </w:rPr>
      </w:pPr>
      <w:r w:rsidRPr="00D15BDC">
        <w:rPr>
          <w:rFonts w:cs="Arial"/>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474"/>
        <w:gridCol w:w="1810"/>
        <w:gridCol w:w="1840"/>
        <w:gridCol w:w="1757"/>
        <w:gridCol w:w="1695"/>
      </w:tblGrid>
      <w:tr w:rsidR="00D15BDC" w:rsidRPr="00D15BDC" w14:paraId="48465FB6" w14:textId="77777777" w:rsidTr="00D15BDC">
        <w:tc>
          <w:tcPr>
            <w:tcW w:w="1900" w:type="dxa"/>
          </w:tcPr>
          <w:p w14:paraId="1551B2EB" w14:textId="315F6BCE" w:rsidR="00D15BDC" w:rsidRPr="00D15BDC" w:rsidRDefault="00D15BDC" w:rsidP="00D15BDC">
            <w:pPr>
              <w:rPr>
                <w:rFonts w:cs="Arial"/>
              </w:rPr>
            </w:pPr>
            <w:r w:rsidRPr="00D15BDC">
              <w:rPr>
                <w:rFonts w:cs="Arial"/>
              </w:rPr>
              <w:t>Инцидент</w:t>
            </w:r>
          </w:p>
        </w:tc>
        <w:tc>
          <w:tcPr>
            <w:tcW w:w="1900" w:type="dxa"/>
          </w:tcPr>
          <w:p w14:paraId="7A498BB4" w14:textId="34B7956E" w:rsidR="00D15BDC" w:rsidRPr="00D15BDC" w:rsidRDefault="00D15BDC" w:rsidP="00D15BDC">
            <w:pPr>
              <w:rPr>
                <w:rFonts w:cs="Arial"/>
              </w:rPr>
            </w:pPr>
            <w:r w:rsidRPr="00D15BDC">
              <w:rPr>
                <w:rFonts w:cs="Arial"/>
              </w:rPr>
              <w:t>Относително намаление на риска(%)</w:t>
            </w:r>
          </w:p>
        </w:tc>
        <w:tc>
          <w:tcPr>
            <w:tcW w:w="1900" w:type="dxa"/>
          </w:tcPr>
          <w:p w14:paraId="72816A47" w14:textId="01EC5D67" w:rsidR="00D15BDC" w:rsidRPr="00D15BDC" w:rsidRDefault="00D15BDC" w:rsidP="00D15BDC">
            <w:pPr>
              <w:rPr>
                <w:rFonts w:cs="Arial"/>
              </w:rPr>
            </w:pPr>
            <w:r w:rsidRPr="00D15BDC">
              <w:rPr>
                <w:rFonts w:cs="Arial"/>
              </w:rPr>
              <w:t>Брой на инцидентите (аторвастатин спрямо плацебо)</w:t>
            </w:r>
          </w:p>
        </w:tc>
        <w:tc>
          <w:tcPr>
            <w:tcW w:w="1900" w:type="dxa"/>
          </w:tcPr>
          <w:p w14:paraId="69D72997" w14:textId="63C7F3FC" w:rsidR="00D15BDC" w:rsidRPr="00D15BDC" w:rsidRDefault="00D15BDC" w:rsidP="00D15BDC">
            <w:pPr>
              <w:rPr>
                <w:rFonts w:cs="Arial"/>
              </w:rPr>
            </w:pPr>
            <w:r w:rsidRPr="00D15BDC">
              <w:rPr>
                <w:rFonts w:cs="Arial"/>
              </w:rPr>
              <w:t xml:space="preserve">Абсолютно намаление на риска </w:t>
            </w:r>
            <w:r w:rsidRPr="00D15BDC">
              <w:rPr>
                <w:rFonts w:cs="Arial"/>
                <w:vertAlign w:val="superscript"/>
              </w:rPr>
              <w:t>1</w:t>
            </w:r>
            <w:r w:rsidRPr="00D15BDC">
              <w:rPr>
                <w:rFonts w:cs="Arial"/>
              </w:rPr>
              <w:t xml:space="preserve"> (%)</w:t>
            </w:r>
          </w:p>
        </w:tc>
        <w:tc>
          <w:tcPr>
            <w:tcW w:w="1900" w:type="dxa"/>
          </w:tcPr>
          <w:p w14:paraId="7E63732C" w14:textId="08E7F3E7" w:rsidR="00D15BDC" w:rsidRPr="00D15BDC" w:rsidRDefault="00D15BDC" w:rsidP="00D15BDC">
            <w:pPr>
              <w:rPr>
                <w:rFonts w:cs="Arial"/>
              </w:rPr>
            </w:pPr>
            <w:r w:rsidRPr="00D15BDC">
              <w:rPr>
                <w:rFonts w:cs="Arial"/>
              </w:rPr>
              <w:t>р-стойност</w:t>
            </w:r>
          </w:p>
        </w:tc>
      </w:tr>
      <w:tr w:rsidR="00D15BDC" w:rsidRPr="00D15BDC" w14:paraId="0DC99321" w14:textId="77777777" w:rsidTr="00D15BDC">
        <w:tc>
          <w:tcPr>
            <w:tcW w:w="1900" w:type="dxa"/>
          </w:tcPr>
          <w:p w14:paraId="4ED2A55A" w14:textId="458497DF" w:rsidR="00D15BDC" w:rsidRPr="00D15BDC" w:rsidRDefault="00D15BDC" w:rsidP="00D15BDC">
            <w:pPr>
              <w:rPr>
                <w:rFonts w:cs="Arial"/>
              </w:rPr>
            </w:pPr>
            <w:r w:rsidRPr="00D15BDC">
              <w:rPr>
                <w:rFonts w:cs="Arial"/>
              </w:rPr>
              <w:t>Фатално сърдечно</w:t>
            </w:r>
            <w:r w:rsidRPr="00D15BDC">
              <w:rPr>
                <w:rFonts w:cs="Arial"/>
              </w:rPr>
              <w:softHyphen/>
              <w:t>съдово заболяване и нефатален миокарден инфаркт</w:t>
            </w:r>
          </w:p>
        </w:tc>
        <w:tc>
          <w:tcPr>
            <w:tcW w:w="1900" w:type="dxa"/>
          </w:tcPr>
          <w:p w14:paraId="021E5E8B" w14:textId="0AC30D46" w:rsidR="00D15BDC" w:rsidRPr="00D15BDC" w:rsidRDefault="00D15BDC" w:rsidP="00D15BDC">
            <w:pPr>
              <w:rPr>
                <w:rFonts w:cs="Arial"/>
              </w:rPr>
            </w:pPr>
            <w:r w:rsidRPr="00D15BDC">
              <w:rPr>
                <w:rFonts w:cs="Arial"/>
              </w:rPr>
              <w:t>36</w:t>
            </w:r>
          </w:p>
        </w:tc>
        <w:tc>
          <w:tcPr>
            <w:tcW w:w="1900" w:type="dxa"/>
          </w:tcPr>
          <w:p w14:paraId="621D9CBD" w14:textId="77E0DFF0" w:rsidR="00D15BDC" w:rsidRPr="00D15BDC" w:rsidRDefault="00D15BDC" w:rsidP="00D15BDC">
            <w:pPr>
              <w:rPr>
                <w:rFonts w:cs="Arial"/>
              </w:rPr>
            </w:pPr>
            <w:r w:rsidRPr="00D15BDC">
              <w:rPr>
                <w:rFonts w:cs="Arial"/>
              </w:rPr>
              <w:t>100 спрямо 154</w:t>
            </w:r>
          </w:p>
        </w:tc>
        <w:tc>
          <w:tcPr>
            <w:tcW w:w="1900" w:type="dxa"/>
          </w:tcPr>
          <w:p w14:paraId="2512D8E1" w14:textId="08FBEC28" w:rsidR="00D15BDC" w:rsidRPr="00D15BDC" w:rsidRDefault="00D15BDC" w:rsidP="00D15BDC">
            <w:pPr>
              <w:rPr>
                <w:rFonts w:cs="Arial"/>
              </w:rPr>
            </w:pPr>
            <w:r w:rsidRPr="00D15BDC">
              <w:rPr>
                <w:rFonts w:cs="Arial"/>
              </w:rPr>
              <w:t>1,1</w:t>
            </w:r>
          </w:p>
        </w:tc>
        <w:tc>
          <w:tcPr>
            <w:tcW w:w="1900" w:type="dxa"/>
          </w:tcPr>
          <w:p w14:paraId="5F16EE87" w14:textId="439F78A6" w:rsidR="00D15BDC" w:rsidRPr="00D15BDC" w:rsidRDefault="00D15BDC" w:rsidP="00D15BDC">
            <w:pPr>
              <w:rPr>
                <w:rFonts w:cs="Arial"/>
              </w:rPr>
            </w:pPr>
            <w:r w:rsidRPr="00D15BDC">
              <w:rPr>
                <w:rFonts w:cs="Arial"/>
              </w:rPr>
              <w:t>0,0005</w:t>
            </w:r>
          </w:p>
        </w:tc>
      </w:tr>
      <w:tr w:rsidR="00D15BDC" w:rsidRPr="00D15BDC" w14:paraId="67ADC94E" w14:textId="77777777" w:rsidTr="00D15BDC">
        <w:tc>
          <w:tcPr>
            <w:tcW w:w="1900" w:type="dxa"/>
          </w:tcPr>
          <w:p w14:paraId="091E038D" w14:textId="57E44208" w:rsidR="00D15BDC" w:rsidRPr="00D15BDC" w:rsidRDefault="00D15BDC" w:rsidP="00D15BDC">
            <w:pPr>
              <w:rPr>
                <w:rFonts w:cs="Arial"/>
              </w:rPr>
            </w:pPr>
            <w:r w:rsidRPr="00D15BDC">
              <w:rPr>
                <w:rFonts w:cs="Arial"/>
              </w:rPr>
              <w:t>Общо сърдечно</w:t>
            </w:r>
            <w:r w:rsidRPr="00D15BDC">
              <w:rPr>
                <w:rFonts w:cs="Arial"/>
              </w:rPr>
              <w:softHyphen/>
              <w:t>съдови инциденти и реваскуларизационни процедури</w:t>
            </w:r>
          </w:p>
        </w:tc>
        <w:tc>
          <w:tcPr>
            <w:tcW w:w="1900" w:type="dxa"/>
          </w:tcPr>
          <w:p w14:paraId="5F7AF24A" w14:textId="6AC622EB" w:rsidR="00D15BDC" w:rsidRPr="00D15BDC" w:rsidRDefault="00D15BDC" w:rsidP="00D15BDC">
            <w:pPr>
              <w:rPr>
                <w:rFonts w:cs="Arial"/>
              </w:rPr>
            </w:pPr>
            <w:r w:rsidRPr="00D15BDC">
              <w:rPr>
                <w:rFonts w:cs="Arial"/>
              </w:rPr>
              <w:t>20</w:t>
            </w:r>
          </w:p>
        </w:tc>
        <w:tc>
          <w:tcPr>
            <w:tcW w:w="1900" w:type="dxa"/>
          </w:tcPr>
          <w:p w14:paraId="0AADF852" w14:textId="4E366E6E" w:rsidR="00D15BDC" w:rsidRPr="00D15BDC" w:rsidRDefault="00D15BDC" w:rsidP="00D15BDC">
            <w:pPr>
              <w:rPr>
                <w:rFonts w:cs="Arial"/>
              </w:rPr>
            </w:pPr>
            <w:r w:rsidRPr="00D15BDC">
              <w:rPr>
                <w:rFonts w:cs="Arial"/>
              </w:rPr>
              <w:t>389 спрямо 483</w:t>
            </w:r>
          </w:p>
        </w:tc>
        <w:tc>
          <w:tcPr>
            <w:tcW w:w="1900" w:type="dxa"/>
          </w:tcPr>
          <w:p w14:paraId="4F1C29CB" w14:textId="193762E1" w:rsidR="00D15BDC" w:rsidRPr="00D15BDC" w:rsidRDefault="00D15BDC" w:rsidP="00D15BDC">
            <w:pPr>
              <w:rPr>
                <w:rFonts w:cs="Arial"/>
              </w:rPr>
            </w:pPr>
            <w:r w:rsidRPr="00D15BDC">
              <w:rPr>
                <w:rFonts w:cs="Arial"/>
              </w:rPr>
              <w:t>1,9</w:t>
            </w:r>
          </w:p>
        </w:tc>
        <w:tc>
          <w:tcPr>
            <w:tcW w:w="1900" w:type="dxa"/>
          </w:tcPr>
          <w:p w14:paraId="067C3FF2" w14:textId="7CD9214F" w:rsidR="00D15BDC" w:rsidRPr="00D15BDC" w:rsidRDefault="00D15BDC" w:rsidP="00D15BDC">
            <w:pPr>
              <w:rPr>
                <w:rFonts w:cs="Arial"/>
              </w:rPr>
            </w:pPr>
            <w:r w:rsidRPr="00D15BDC">
              <w:rPr>
                <w:rFonts w:cs="Arial"/>
              </w:rPr>
              <w:t>0,0008</w:t>
            </w:r>
          </w:p>
        </w:tc>
      </w:tr>
      <w:tr w:rsidR="00D15BDC" w:rsidRPr="00D15BDC" w14:paraId="14BA58AB" w14:textId="77777777" w:rsidTr="00D15BDC">
        <w:tc>
          <w:tcPr>
            <w:tcW w:w="1900" w:type="dxa"/>
          </w:tcPr>
          <w:p w14:paraId="11109D7D" w14:textId="30DFD028" w:rsidR="00D15BDC" w:rsidRPr="00D15BDC" w:rsidRDefault="00D15BDC" w:rsidP="00D15BDC">
            <w:pPr>
              <w:rPr>
                <w:rFonts w:cs="Arial"/>
              </w:rPr>
            </w:pPr>
            <w:r w:rsidRPr="00D15BDC">
              <w:rPr>
                <w:rFonts w:cs="Arial"/>
              </w:rPr>
              <w:t>Общо коронарни инциденти</w:t>
            </w:r>
          </w:p>
        </w:tc>
        <w:tc>
          <w:tcPr>
            <w:tcW w:w="1900" w:type="dxa"/>
          </w:tcPr>
          <w:p w14:paraId="45768A51" w14:textId="15415D22" w:rsidR="00D15BDC" w:rsidRPr="00D15BDC" w:rsidRDefault="00D15BDC" w:rsidP="00D15BDC">
            <w:pPr>
              <w:rPr>
                <w:rFonts w:cs="Arial"/>
              </w:rPr>
            </w:pPr>
            <w:r w:rsidRPr="00D15BDC">
              <w:rPr>
                <w:rFonts w:cs="Arial"/>
              </w:rPr>
              <w:t>29</w:t>
            </w:r>
          </w:p>
        </w:tc>
        <w:tc>
          <w:tcPr>
            <w:tcW w:w="1900" w:type="dxa"/>
          </w:tcPr>
          <w:p w14:paraId="6FA53152" w14:textId="079EA996" w:rsidR="00D15BDC" w:rsidRPr="00D15BDC" w:rsidRDefault="00D15BDC" w:rsidP="00D15BDC">
            <w:pPr>
              <w:rPr>
                <w:rFonts w:cs="Arial"/>
              </w:rPr>
            </w:pPr>
            <w:r w:rsidRPr="00D15BDC">
              <w:rPr>
                <w:rFonts w:cs="Arial"/>
              </w:rPr>
              <w:t>178 спрямо 247</w:t>
            </w:r>
          </w:p>
        </w:tc>
        <w:tc>
          <w:tcPr>
            <w:tcW w:w="1900" w:type="dxa"/>
          </w:tcPr>
          <w:p w14:paraId="2F620635" w14:textId="6CDC96DD" w:rsidR="00D15BDC" w:rsidRPr="00D15BDC" w:rsidRDefault="00D15BDC" w:rsidP="00D15BDC">
            <w:pPr>
              <w:rPr>
                <w:rFonts w:cs="Arial"/>
              </w:rPr>
            </w:pPr>
            <w:r w:rsidRPr="00D15BDC">
              <w:rPr>
                <w:rFonts w:cs="Arial"/>
              </w:rPr>
              <w:t>1,4</w:t>
            </w:r>
          </w:p>
        </w:tc>
        <w:tc>
          <w:tcPr>
            <w:tcW w:w="1900" w:type="dxa"/>
          </w:tcPr>
          <w:p w14:paraId="5E94FCFD" w14:textId="65947F0A" w:rsidR="00D15BDC" w:rsidRPr="00D15BDC" w:rsidRDefault="00D15BDC" w:rsidP="00D15BDC">
            <w:pPr>
              <w:rPr>
                <w:rFonts w:cs="Arial"/>
              </w:rPr>
            </w:pPr>
            <w:r w:rsidRPr="00D15BDC">
              <w:rPr>
                <w:rFonts w:cs="Arial"/>
              </w:rPr>
              <w:t>0,0006</w:t>
            </w:r>
          </w:p>
        </w:tc>
      </w:tr>
    </w:tbl>
    <w:p w14:paraId="4CF81AA8" w14:textId="45776585" w:rsidR="00D15BDC" w:rsidRPr="00D15BDC" w:rsidRDefault="00D15BDC" w:rsidP="0091385D">
      <w:pPr>
        <w:rPr>
          <w:rFonts w:cs="Arial"/>
        </w:rPr>
      </w:pPr>
    </w:p>
    <w:p w14:paraId="50772AB0" w14:textId="77777777" w:rsidR="00D15BDC" w:rsidRPr="00D15BDC" w:rsidRDefault="00D15BDC" w:rsidP="00D15BDC">
      <w:pPr>
        <w:spacing w:line="240" w:lineRule="auto"/>
        <w:rPr>
          <w:rFonts w:eastAsia="Times New Roman" w:cs="Arial"/>
          <w:lang w:eastAsia="bg-BG"/>
        </w:rPr>
      </w:pPr>
      <w:r w:rsidRPr="00D15BDC">
        <w:rPr>
          <w:rFonts w:eastAsia="Times New Roman" w:cs="Arial"/>
          <w:color w:val="000000"/>
          <w:vertAlign w:val="superscript"/>
          <w:lang w:eastAsia="bg-BG"/>
        </w:rPr>
        <w:t>1</w:t>
      </w:r>
      <w:r w:rsidRPr="00D15BDC">
        <w:rPr>
          <w:rFonts w:eastAsia="Times New Roman" w:cs="Arial"/>
          <w:color w:val="000000"/>
          <w:lang w:eastAsia="bg-BG"/>
        </w:rPr>
        <w:t xml:space="preserve"> Базирайки се на различията в общата честота на инцидентите, наблюдавани при средно проследяване от 3,3 години.</w:t>
      </w:r>
    </w:p>
    <w:p w14:paraId="6E813D2B" w14:textId="77777777" w:rsidR="00D15BDC" w:rsidRPr="00D15BDC" w:rsidRDefault="00D15BDC" w:rsidP="00D15BDC">
      <w:pPr>
        <w:spacing w:line="240" w:lineRule="auto"/>
        <w:rPr>
          <w:rFonts w:eastAsia="Times New Roman" w:cs="Arial"/>
          <w:color w:val="000000"/>
          <w:lang w:eastAsia="bg-BG"/>
        </w:rPr>
      </w:pPr>
    </w:p>
    <w:p w14:paraId="06AD80E0" w14:textId="1B718ED5"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 xml:space="preserve">Общата смъртност и сърдечно-съдовата смъртност не са значително снижени (185 спрямо 212 инцидента, р=0,17 и 74 спрямо 82 инцидента, р=0,51). При подгрупови анализи според пола (81% мъже, 19% жени), ползата от аторвастатин се наблюдава при мъже, но не може да се установи при жени, вероятно поради ниското ниво на инциденти в подгрупата на жените. Общата и сърдечно-съдовата смъртност са числено по-високи при жени (38 спрямо 30 и 17 спрямо 12), но това няма статистическа стойсност. Има значително лекарствено взаимодействие при основната антихипертензивна терапия. Основната крайна стойност на фатално сърдечно-съдово заболяване и нефатален </w:t>
      </w:r>
      <w:r w:rsidRPr="00D15BDC">
        <w:rPr>
          <w:rFonts w:eastAsia="Times New Roman" w:cs="Arial"/>
          <w:color w:val="000000"/>
          <w:lang w:eastAsia="bg-BG"/>
        </w:rPr>
        <w:lastRenderedPageBreak/>
        <w:t xml:space="preserve">миокарден инафркт са значително понижени при пациенти на аторвастатин, които са приемали амлодипин </w:t>
      </w:r>
      <w:r w:rsidRPr="00D15BDC">
        <w:rPr>
          <w:rFonts w:eastAsia="Times New Roman" w:cs="Arial"/>
          <w:color w:val="000000"/>
          <w:lang w:val="en-US"/>
        </w:rPr>
        <w:t xml:space="preserve">(HR </w:t>
      </w:r>
      <w:r w:rsidRPr="00D15BDC">
        <w:rPr>
          <w:rFonts w:eastAsia="Times New Roman" w:cs="Arial"/>
          <w:color w:val="000000"/>
          <w:lang w:eastAsia="bg-BG"/>
        </w:rPr>
        <w:t xml:space="preserve">0,47 (0,32-0,69), р=0,00008), но не и при тези, лекувани с атенолол </w:t>
      </w:r>
      <w:r w:rsidRPr="00D15BDC">
        <w:rPr>
          <w:rFonts w:eastAsia="Times New Roman" w:cs="Arial"/>
          <w:color w:val="000000"/>
          <w:lang w:val="en-US"/>
        </w:rPr>
        <w:t xml:space="preserve">(HR </w:t>
      </w:r>
      <w:r w:rsidRPr="00D15BDC">
        <w:rPr>
          <w:rFonts w:eastAsia="Times New Roman" w:cs="Arial"/>
          <w:color w:val="000000"/>
          <w:lang w:eastAsia="bg-BG"/>
        </w:rPr>
        <w:t>0,83 (0,59-1,17), р=0,287).</w:t>
      </w:r>
    </w:p>
    <w:p w14:paraId="2207AC81" w14:textId="77777777" w:rsidR="00D15BDC" w:rsidRPr="00D15BDC" w:rsidRDefault="00D15BDC" w:rsidP="00D15BDC">
      <w:pPr>
        <w:spacing w:line="240" w:lineRule="auto"/>
        <w:rPr>
          <w:rFonts w:eastAsia="Times New Roman" w:cs="Arial"/>
          <w:color w:val="000000"/>
          <w:lang w:eastAsia="bg-BG"/>
        </w:rPr>
      </w:pPr>
    </w:p>
    <w:p w14:paraId="4935CA2C" w14:textId="21C13567"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 xml:space="preserve">Ефектът на аторвастатин върху фатални и нефатални сърдечно-съдови заболявалия е проучен също така при едно рандомизирано, двойно-сляпо, мултицентрово, плацебо-контролирано проучване </w:t>
      </w:r>
      <w:r w:rsidRPr="00D15BDC">
        <w:rPr>
          <w:rFonts w:eastAsia="Times New Roman" w:cs="Arial"/>
          <w:i/>
          <w:iCs/>
          <w:color w:val="000000"/>
          <w:lang w:val="en-US"/>
        </w:rPr>
        <w:t>Collaborative Atorvastatin Diabetes Study</w:t>
      </w:r>
      <w:r w:rsidRPr="00D15BDC">
        <w:rPr>
          <w:rFonts w:eastAsia="Times New Roman" w:cs="Arial"/>
          <w:color w:val="000000"/>
          <w:lang w:val="en-US"/>
        </w:rPr>
        <w:t xml:space="preserve"> (CARDS), </w:t>
      </w:r>
      <w:r w:rsidRPr="00D15BDC">
        <w:rPr>
          <w:rFonts w:eastAsia="Times New Roman" w:cs="Arial"/>
          <w:color w:val="000000"/>
          <w:lang w:eastAsia="bg-BG"/>
        </w:rPr>
        <w:t xml:space="preserve">проведено при пациенти с тип 2 захарен диабет, от 40- до 75-годишна възраст, без анамнеза за предшестващо сърдечно-съдово заболяване, имащи стойности на </w:t>
      </w:r>
      <w:r w:rsidRPr="00D15BDC">
        <w:rPr>
          <w:rFonts w:eastAsia="Times New Roman" w:cs="Arial"/>
          <w:color w:val="000000"/>
          <w:lang w:val="en-US"/>
        </w:rPr>
        <w:t xml:space="preserve">LDL-C </w:t>
      </w:r>
      <w:r w:rsidRPr="00D15BDC">
        <w:rPr>
          <w:rFonts w:eastAsia="Times New Roman" w:cs="Arial"/>
          <w:color w:val="000000"/>
          <w:lang w:eastAsia="bg-BG"/>
        </w:rPr>
        <w:t xml:space="preserve">&lt;4,14 </w:t>
      </w:r>
      <w:r w:rsidRPr="00D15BDC">
        <w:rPr>
          <w:rFonts w:eastAsia="Times New Roman" w:cs="Arial"/>
          <w:color w:val="000000"/>
          <w:lang w:val="en-US"/>
        </w:rPr>
        <w:t xml:space="preserve">mmol/l </w:t>
      </w:r>
      <w:r w:rsidRPr="00D15BDC">
        <w:rPr>
          <w:rFonts w:eastAsia="Times New Roman" w:cs="Arial"/>
          <w:color w:val="000000"/>
          <w:lang w:eastAsia="bg-BG"/>
        </w:rPr>
        <w:t xml:space="preserve">(160 </w:t>
      </w:r>
      <w:r w:rsidRPr="00D15BDC">
        <w:rPr>
          <w:rFonts w:eastAsia="Times New Roman" w:cs="Arial"/>
          <w:color w:val="000000"/>
          <w:lang w:val="en-US"/>
        </w:rPr>
        <w:t xml:space="preserve">mg/dl) </w:t>
      </w:r>
      <w:r w:rsidRPr="00D15BDC">
        <w:rPr>
          <w:rFonts w:eastAsia="Times New Roman" w:cs="Arial"/>
          <w:color w:val="000000"/>
          <w:lang w:eastAsia="bg-BG"/>
        </w:rPr>
        <w:t xml:space="preserve">и триглицериди 56,78 </w:t>
      </w:r>
      <w:r>
        <w:rPr>
          <w:rFonts w:eastAsia="Times New Roman" w:cs="Arial"/>
          <w:color w:val="000000"/>
          <w:lang w:val="en-US"/>
        </w:rPr>
        <w:t>mmol/l</w:t>
      </w:r>
      <w:r w:rsidRPr="00D15BDC">
        <w:rPr>
          <w:rFonts w:eastAsia="Times New Roman" w:cs="Arial"/>
          <w:color w:val="000000"/>
          <w:lang w:val="en-US"/>
        </w:rPr>
        <w:t xml:space="preserve"> </w:t>
      </w:r>
      <w:r w:rsidRPr="00D15BDC">
        <w:rPr>
          <w:rFonts w:eastAsia="Times New Roman" w:cs="Arial"/>
          <w:color w:val="000000"/>
          <w:lang w:eastAsia="bg-BG"/>
        </w:rPr>
        <w:t xml:space="preserve">(600 </w:t>
      </w:r>
      <w:r w:rsidRPr="00D15BDC">
        <w:rPr>
          <w:rFonts w:eastAsia="Times New Roman" w:cs="Arial"/>
          <w:color w:val="000000"/>
          <w:lang w:val="en-US"/>
        </w:rPr>
        <w:t xml:space="preserve">mg/dl). </w:t>
      </w:r>
      <w:r w:rsidRPr="00D15BDC">
        <w:rPr>
          <w:rFonts w:eastAsia="Times New Roman" w:cs="Arial"/>
          <w:color w:val="000000"/>
          <w:lang w:eastAsia="bg-BG"/>
        </w:rPr>
        <w:t>Всички пациенти имат поне един от следните рискови фактори: хипертония, пушачи, ретинопатия, микроалбуминурия или макроалбуминурия.</w:t>
      </w:r>
    </w:p>
    <w:p w14:paraId="0439A5C4" w14:textId="77777777" w:rsidR="00D15BDC" w:rsidRPr="00D15BDC" w:rsidRDefault="00D15BDC" w:rsidP="00D15BDC">
      <w:pPr>
        <w:spacing w:line="240" w:lineRule="auto"/>
        <w:rPr>
          <w:rFonts w:eastAsia="Times New Roman" w:cs="Arial"/>
          <w:color w:val="000000"/>
          <w:lang w:eastAsia="bg-BG"/>
        </w:rPr>
      </w:pPr>
    </w:p>
    <w:p w14:paraId="2F99C7B0" w14:textId="6F1498DF" w:rsidR="00D15BDC" w:rsidRPr="00D15BDC" w:rsidRDefault="00D15BDC" w:rsidP="00D15BDC">
      <w:pPr>
        <w:spacing w:line="240" w:lineRule="auto"/>
        <w:rPr>
          <w:rFonts w:eastAsia="Times New Roman" w:cs="Arial"/>
          <w:lang w:eastAsia="bg-BG"/>
        </w:rPr>
      </w:pPr>
      <w:r w:rsidRPr="00D15BDC">
        <w:rPr>
          <w:rFonts w:eastAsia="Times New Roman" w:cs="Arial"/>
          <w:color w:val="000000"/>
          <w:lang w:eastAsia="bg-BG"/>
        </w:rPr>
        <w:t xml:space="preserve">Пациентите били третирани с аторвастатин 10 </w:t>
      </w:r>
      <w:r w:rsidRPr="00D15BDC">
        <w:rPr>
          <w:rFonts w:eastAsia="Times New Roman" w:cs="Arial"/>
          <w:color w:val="000000"/>
          <w:lang w:val="en-US"/>
        </w:rPr>
        <w:t xml:space="preserve">mg </w:t>
      </w:r>
      <w:r w:rsidRPr="00D15BDC">
        <w:rPr>
          <w:rFonts w:eastAsia="Times New Roman" w:cs="Arial"/>
          <w:color w:val="000000"/>
          <w:lang w:eastAsia="bg-BG"/>
        </w:rPr>
        <w:t>дневно (</w:t>
      </w:r>
      <w:r w:rsidRPr="00D15BDC">
        <w:rPr>
          <w:rFonts w:eastAsia="Times New Roman" w:cs="Arial"/>
          <w:color w:val="000000"/>
          <w:lang w:val="en-US"/>
        </w:rPr>
        <w:t>n</w:t>
      </w:r>
      <w:r w:rsidRPr="00D15BDC">
        <w:rPr>
          <w:rFonts w:eastAsia="Times New Roman" w:cs="Arial"/>
          <w:color w:val="000000"/>
          <w:lang w:eastAsia="bg-BG"/>
        </w:rPr>
        <w:t>=1428) или плацебо (</w:t>
      </w:r>
      <w:r w:rsidRPr="00D15BDC">
        <w:rPr>
          <w:rFonts w:eastAsia="Times New Roman" w:cs="Arial"/>
          <w:color w:val="000000"/>
          <w:lang w:val="en-US"/>
        </w:rPr>
        <w:t>n</w:t>
      </w:r>
      <w:r w:rsidRPr="00D15BDC">
        <w:rPr>
          <w:rFonts w:eastAsia="Times New Roman" w:cs="Arial"/>
          <w:color w:val="000000"/>
          <w:lang w:eastAsia="bg-BG"/>
        </w:rPr>
        <w:t>=1410) за период от 3,9 години.</w:t>
      </w:r>
    </w:p>
    <w:p w14:paraId="564975DF" w14:textId="77777777" w:rsidR="00D15BDC" w:rsidRPr="00D15BDC" w:rsidRDefault="00D15BDC" w:rsidP="00D15BDC">
      <w:pPr>
        <w:rPr>
          <w:rFonts w:eastAsia="Times New Roman" w:cs="Arial"/>
          <w:color w:val="000000"/>
          <w:lang w:eastAsia="bg-BG"/>
        </w:rPr>
      </w:pPr>
    </w:p>
    <w:p w14:paraId="107E7A23" w14:textId="27DCA242" w:rsidR="00D15BDC" w:rsidRPr="00D15BDC" w:rsidRDefault="00D15BDC" w:rsidP="00D15BDC">
      <w:pPr>
        <w:rPr>
          <w:rFonts w:cs="Arial"/>
        </w:rPr>
      </w:pPr>
      <w:r w:rsidRPr="00D15BDC">
        <w:rPr>
          <w:rFonts w:eastAsia="Times New Roman" w:cs="Arial"/>
          <w:color w:val="000000"/>
          <w:lang w:eastAsia="bg-BG"/>
        </w:rPr>
        <w:t>Ефектът на намаляване на абсолютния и относителния риск при употребата на аторвастатин е както следва:</w:t>
      </w:r>
    </w:p>
    <w:tbl>
      <w:tblPr>
        <w:tblStyle w:val="TableGrid"/>
        <w:tblW w:w="0" w:type="auto"/>
        <w:tblLook w:val="04A0" w:firstRow="1" w:lastRow="0" w:firstColumn="1" w:lastColumn="0" w:noHBand="0" w:noVBand="1"/>
      </w:tblPr>
      <w:tblGrid>
        <w:gridCol w:w="1900"/>
        <w:gridCol w:w="1900"/>
        <w:gridCol w:w="1900"/>
        <w:gridCol w:w="1900"/>
        <w:gridCol w:w="1900"/>
      </w:tblGrid>
      <w:tr w:rsidR="00D15BDC" w14:paraId="717C91B7" w14:textId="77777777" w:rsidTr="00D15BDC">
        <w:tc>
          <w:tcPr>
            <w:tcW w:w="1900" w:type="dxa"/>
          </w:tcPr>
          <w:p w14:paraId="16EB072E" w14:textId="3605C112" w:rsidR="00D15BDC" w:rsidRPr="00D15BDC" w:rsidRDefault="00D15BDC" w:rsidP="00D15BDC">
            <w:pPr>
              <w:rPr>
                <w:rFonts w:cs="Arial"/>
              </w:rPr>
            </w:pPr>
            <w:r w:rsidRPr="00D15BDC">
              <w:rPr>
                <w:rFonts w:cs="Arial"/>
              </w:rPr>
              <w:t>Инцидент</w:t>
            </w:r>
          </w:p>
        </w:tc>
        <w:tc>
          <w:tcPr>
            <w:tcW w:w="1900" w:type="dxa"/>
          </w:tcPr>
          <w:p w14:paraId="517F2223" w14:textId="15CC9B38" w:rsidR="00D15BDC" w:rsidRPr="00D15BDC" w:rsidRDefault="00D15BDC" w:rsidP="00D15BDC">
            <w:pPr>
              <w:rPr>
                <w:rFonts w:cs="Arial"/>
              </w:rPr>
            </w:pPr>
            <w:r w:rsidRPr="00D15BDC">
              <w:rPr>
                <w:rFonts w:cs="Arial"/>
              </w:rPr>
              <w:t>Относително намаление на риска (%)</w:t>
            </w:r>
          </w:p>
        </w:tc>
        <w:tc>
          <w:tcPr>
            <w:tcW w:w="1900" w:type="dxa"/>
          </w:tcPr>
          <w:p w14:paraId="154D7BEC" w14:textId="656B785A" w:rsidR="00D15BDC" w:rsidRPr="00D15BDC" w:rsidRDefault="00D15BDC" w:rsidP="00D15BDC">
            <w:pPr>
              <w:rPr>
                <w:rFonts w:cs="Arial"/>
              </w:rPr>
            </w:pPr>
            <w:r w:rsidRPr="00D15BDC">
              <w:rPr>
                <w:rFonts w:cs="Arial"/>
              </w:rPr>
              <w:t>Брой на инцидентите (аторвастатин спрямо плацебо)</w:t>
            </w:r>
          </w:p>
        </w:tc>
        <w:tc>
          <w:tcPr>
            <w:tcW w:w="1900" w:type="dxa"/>
          </w:tcPr>
          <w:p w14:paraId="5897D317" w14:textId="66F4F9B2" w:rsidR="00D15BDC" w:rsidRPr="00D15BDC" w:rsidRDefault="00D15BDC" w:rsidP="00D15BDC">
            <w:pPr>
              <w:rPr>
                <w:rFonts w:cs="Arial"/>
              </w:rPr>
            </w:pPr>
            <w:r w:rsidRPr="00D15BDC">
              <w:rPr>
                <w:rFonts w:cs="Arial"/>
              </w:rPr>
              <w:t xml:space="preserve">Абсолютно намаление на риска </w:t>
            </w:r>
            <w:r w:rsidRPr="00D15BDC">
              <w:rPr>
                <w:rFonts w:cs="Arial"/>
                <w:vertAlign w:val="superscript"/>
              </w:rPr>
              <w:t>1</w:t>
            </w:r>
            <w:r w:rsidRPr="00D15BDC">
              <w:rPr>
                <w:rFonts w:cs="Arial"/>
              </w:rPr>
              <w:t xml:space="preserve"> (%)</w:t>
            </w:r>
          </w:p>
        </w:tc>
        <w:tc>
          <w:tcPr>
            <w:tcW w:w="1900" w:type="dxa"/>
          </w:tcPr>
          <w:p w14:paraId="538A08B3" w14:textId="5F1C1C2C" w:rsidR="00D15BDC" w:rsidRPr="00D15BDC" w:rsidRDefault="00D15BDC" w:rsidP="00D15BDC">
            <w:pPr>
              <w:rPr>
                <w:rFonts w:cs="Arial"/>
              </w:rPr>
            </w:pPr>
            <w:r w:rsidRPr="00D15BDC">
              <w:rPr>
                <w:rFonts w:cs="Arial"/>
                <w:b/>
                <w:bCs/>
                <w:lang w:val="en-US"/>
              </w:rPr>
              <w:t xml:space="preserve"> p-</w:t>
            </w:r>
            <w:r w:rsidRPr="00D15BDC">
              <w:rPr>
                <w:rFonts w:cs="Arial"/>
                <w:b/>
                <w:bCs/>
              </w:rPr>
              <w:t>стойност</w:t>
            </w:r>
          </w:p>
        </w:tc>
      </w:tr>
      <w:tr w:rsidR="00D15BDC" w14:paraId="07E34B50" w14:textId="77777777" w:rsidTr="00D15BDC">
        <w:tc>
          <w:tcPr>
            <w:tcW w:w="1900" w:type="dxa"/>
          </w:tcPr>
          <w:p w14:paraId="52EF1FC0" w14:textId="54719D26" w:rsidR="00D15BDC" w:rsidRPr="00D15BDC" w:rsidRDefault="00D15BDC" w:rsidP="00D15BDC">
            <w:pPr>
              <w:rPr>
                <w:rFonts w:cs="Arial"/>
              </w:rPr>
            </w:pPr>
            <w:r w:rsidRPr="00D15BDC">
              <w:rPr>
                <w:rFonts w:cs="Arial"/>
              </w:rPr>
              <w:t>Важни сърдечно</w:t>
            </w:r>
            <w:r w:rsidRPr="00D15BDC">
              <w:rPr>
                <w:rFonts w:cs="Arial"/>
              </w:rPr>
              <w:softHyphen/>
              <w:t>съдови инциденти (фатален и нефатален</w:t>
            </w:r>
          </w:p>
        </w:tc>
        <w:tc>
          <w:tcPr>
            <w:tcW w:w="1900" w:type="dxa"/>
          </w:tcPr>
          <w:p w14:paraId="3AA1F5C5" w14:textId="25A69A7D" w:rsidR="00D15BDC" w:rsidRPr="00D15BDC" w:rsidRDefault="00D15BDC" w:rsidP="00D15BDC">
            <w:pPr>
              <w:rPr>
                <w:rFonts w:cs="Arial"/>
              </w:rPr>
            </w:pPr>
            <w:r w:rsidRPr="00D15BDC">
              <w:rPr>
                <w:rFonts w:cs="Arial"/>
              </w:rPr>
              <w:t>37</w:t>
            </w:r>
          </w:p>
        </w:tc>
        <w:tc>
          <w:tcPr>
            <w:tcW w:w="1900" w:type="dxa"/>
          </w:tcPr>
          <w:p w14:paraId="725E6B6B" w14:textId="03818588" w:rsidR="00D15BDC" w:rsidRPr="00D15BDC" w:rsidRDefault="00D15BDC" w:rsidP="00D15BDC">
            <w:pPr>
              <w:rPr>
                <w:rFonts w:cs="Arial"/>
              </w:rPr>
            </w:pPr>
            <w:r w:rsidRPr="00D15BDC">
              <w:rPr>
                <w:rFonts w:cs="Arial"/>
              </w:rPr>
              <w:t>83 спрямо 127</w:t>
            </w:r>
          </w:p>
        </w:tc>
        <w:tc>
          <w:tcPr>
            <w:tcW w:w="1900" w:type="dxa"/>
          </w:tcPr>
          <w:p w14:paraId="2B4BD472" w14:textId="1AEC56E6" w:rsidR="00D15BDC" w:rsidRPr="00D15BDC" w:rsidRDefault="00D15BDC" w:rsidP="00D15BDC">
            <w:pPr>
              <w:rPr>
                <w:rFonts w:cs="Arial"/>
              </w:rPr>
            </w:pPr>
            <w:r w:rsidRPr="00D15BDC">
              <w:rPr>
                <w:rFonts w:cs="Arial"/>
              </w:rPr>
              <w:t>3,2</w:t>
            </w:r>
            <w:r w:rsidRPr="00D15BDC">
              <w:rPr>
                <w:rFonts w:cs="Arial"/>
              </w:rPr>
              <w:tab/>
            </w:r>
          </w:p>
        </w:tc>
        <w:tc>
          <w:tcPr>
            <w:tcW w:w="1900" w:type="dxa"/>
          </w:tcPr>
          <w:p w14:paraId="1721D489" w14:textId="77CE7AA3" w:rsidR="00D15BDC" w:rsidRPr="00D15BDC" w:rsidRDefault="00D15BDC" w:rsidP="00D15BDC">
            <w:pPr>
              <w:rPr>
                <w:rFonts w:cs="Arial"/>
              </w:rPr>
            </w:pPr>
            <w:r w:rsidRPr="00D15BDC">
              <w:rPr>
                <w:rFonts w:cs="Arial"/>
              </w:rPr>
              <w:t>0,001</w:t>
            </w:r>
          </w:p>
        </w:tc>
      </w:tr>
      <w:tr w:rsidR="00D15BDC" w14:paraId="0C2F3E45" w14:textId="77777777" w:rsidTr="00D15BDC">
        <w:tc>
          <w:tcPr>
            <w:tcW w:w="1900" w:type="dxa"/>
          </w:tcPr>
          <w:p w14:paraId="35CCF0BD" w14:textId="0095863F" w:rsidR="00D15BDC" w:rsidRPr="00D15BDC" w:rsidRDefault="00D15BDC" w:rsidP="00D15BDC">
            <w:pPr>
              <w:rPr>
                <w:rFonts w:cs="Arial"/>
              </w:rPr>
            </w:pPr>
            <w:r w:rsidRPr="00D15BDC">
              <w:rPr>
                <w:rFonts w:cs="Arial"/>
              </w:rPr>
              <w:t>Инцидент</w:t>
            </w:r>
          </w:p>
        </w:tc>
        <w:tc>
          <w:tcPr>
            <w:tcW w:w="1900" w:type="dxa"/>
          </w:tcPr>
          <w:p w14:paraId="123C50BD" w14:textId="034BBDD6" w:rsidR="00D15BDC" w:rsidRPr="00D15BDC" w:rsidRDefault="00D15BDC" w:rsidP="00D15BDC">
            <w:pPr>
              <w:rPr>
                <w:rFonts w:cs="Arial"/>
              </w:rPr>
            </w:pPr>
            <w:r w:rsidRPr="00D15BDC">
              <w:rPr>
                <w:rFonts w:cs="Arial"/>
              </w:rPr>
              <w:t>Относително намаление на риска (%)</w:t>
            </w:r>
          </w:p>
        </w:tc>
        <w:tc>
          <w:tcPr>
            <w:tcW w:w="1900" w:type="dxa"/>
          </w:tcPr>
          <w:p w14:paraId="2EF2207A" w14:textId="0BBE6EE6" w:rsidR="00D15BDC" w:rsidRPr="00D15BDC" w:rsidRDefault="00D15BDC" w:rsidP="00D15BDC">
            <w:pPr>
              <w:rPr>
                <w:rFonts w:cs="Arial"/>
              </w:rPr>
            </w:pPr>
            <w:r w:rsidRPr="00D15BDC">
              <w:rPr>
                <w:rFonts w:cs="Arial"/>
              </w:rPr>
              <w:t>Брой на инцидентите (аторвастатин спрямо плацебо)</w:t>
            </w:r>
          </w:p>
        </w:tc>
        <w:tc>
          <w:tcPr>
            <w:tcW w:w="1900" w:type="dxa"/>
          </w:tcPr>
          <w:p w14:paraId="19D4BC8B" w14:textId="23B1165A" w:rsidR="00D15BDC" w:rsidRPr="00D15BDC" w:rsidRDefault="00D15BDC" w:rsidP="00D15BDC">
            <w:pPr>
              <w:rPr>
                <w:rFonts w:cs="Arial"/>
              </w:rPr>
            </w:pPr>
            <w:r w:rsidRPr="00D15BDC">
              <w:rPr>
                <w:rFonts w:cs="Arial"/>
              </w:rPr>
              <w:t xml:space="preserve">Абсолютно намаление на риска </w:t>
            </w:r>
            <w:r w:rsidRPr="00D15BDC">
              <w:rPr>
                <w:rFonts w:cs="Arial"/>
                <w:vertAlign w:val="superscript"/>
              </w:rPr>
              <w:t>1</w:t>
            </w:r>
            <w:r w:rsidRPr="00D15BDC">
              <w:rPr>
                <w:rFonts w:cs="Arial"/>
              </w:rPr>
              <w:t xml:space="preserve"> (%)</w:t>
            </w:r>
          </w:p>
        </w:tc>
        <w:tc>
          <w:tcPr>
            <w:tcW w:w="1900" w:type="dxa"/>
          </w:tcPr>
          <w:p w14:paraId="1151DA45" w14:textId="5BB34D03" w:rsidR="00D15BDC" w:rsidRPr="00D15BDC" w:rsidRDefault="00D15BDC" w:rsidP="00D15BDC">
            <w:pPr>
              <w:rPr>
                <w:rFonts w:cs="Arial"/>
              </w:rPr>
            </w:pPr>
            <w:r w:rsidRPr="00D15BDC">
              <w:rPr>
                <w:rFonts w:cs="Arial"/>
                <w:b/>
                <w:bCs/>
                <w:lang w:val="en-US"/>
              </w:rPr>
              <w:t xml:space="preserve"> p-</w:t>
            </w:r>
            <w:r w:rsidRPr="00D15BDC">
              <w:rPr>
                <w:rFonts w:cs="Arial"/>
                <w:b/>
                <w:bCs/>
              </w:rPr>
              <w:t>стойност</w:t>
            </w:r>
          </w:p>
        </w:tc>
      </w:tr>
      <w:tr w:rsidR="00D15BDC" w14:paraId="04B52560" w14:textId="77777777" w:rsidTr="00D15BDC">
        <w:tc>
          <w:tcPr>
            <w:tcW w:w="1900" w:type="dxa"/>
          </w:tcPr>
          <w:p w14:paraId="0B748F32" w14:textId="089E566B" w:rsidR="00D15BDC" w:rsidRPr="00D15BDC" w:rsidRDefault="00D15BDC" w:rsidP="00D15BDC">
            <w:pPr>
              <w:rPr>
                <w:rFonts w:cs="Arial"/>
              </w:rPr>
            </w:pPr>
            <w:r w:rsidRPr="00D15BDC">
              <w:rPr>
                <w:rFonts w:cs="Arial"/>
              </w:rPr>
              <w:t>Важни сърдечно</w:t>
            </w:r>
            <w:r w:rsidRPr="00D15BDC">
              <w:rPr>
                <w:rFonts w:cs="Arial"/>
              </w:rPr>
              <w:softHyphen/>
              <w:t>съдови инциденти (фатален и нефатален</w:t>
            </w:r>
          </w:p>
        </w:tc>
        <w:tc>
          <w:tcPr>
            <w:tcW w:w="1900" w:type="dxa"/>
          </w:tcPr>
          <w:p w14:paraId="11A63880" w14:textId="3D65F0AE" w:rsidR="00D15BDC" w:rsidRPr="00D15BDC" w:rsidRDefault="00D15BDC" w:rsidP="00D15BDC">
            <w:pPr>
              <w:rPr>
                <w:rFonts w:cs="Arial"/>
              </w:rPr>
            </w:pPr>
            <w:r w:rsidRPr="00D15BDC">
              <w:rPr>
                <w:rFonts w:cs="Arial"/>
              </w:rPr>
              <w:t>37</w:t>
            </w:r>
          </w:p>
        </w:tc>
        <w:tc>
          <w:tcPr>
            <w:tcW w:w="1900" w:type="dxa"/>
          </w:tcPr>
          <w:p w14:paraId="30D236FB" w14:textId="0ACF2AB1" w:rsidR="00D15BDC" w:rsidRPr="00D15BDC" w:rsidRDefault="00D15BDC" w:rsidP="00D15BDC">
            <w:pPr>
              <w:rPr>
                <w:rFonts w:cs="Arial"/>
              </w:rPr>
            </w:pPr>
            <w:r w:rsidRPr="00D15BDC">
              <w:rPr>
                <w:rFonts w:cs="Arial"/>
              </w:rPr>
              <w:t>83 спрямо 127</w:t>
            </w:r>
          </w:p>
        </w:tc>
        <w:tc>
          <w:tcPr>
            <w:tcW w:w="1900" w:type="dxa"/>
          </w:tcPr>
          <w:p w14:paraId="0B9402AB" w14:textId="48A575DB" w:rsidR="00D15BDC" w:rsidRPr="00D15BDC" w:rsidRDefault="00D15BDC" w:rsidP="00D15BDC">
            <w:pPr>
              <w:rPr>
                <w:rFonts w:cs="Arial"/>
              </w:rPr>
            </w:pPr>
            <w:r w:rsidRPr="00D15BDC">
              <w:rPr>
                <w:rFonts w:cs="Arial"/>
              </w:rPr>
              <w:t>3,2</w:t>
            </w:r>
            <w:r w:rsidRPr="00D15BDC">
              <w:rPr>
                <w:rFonts w:cs="Arial"/>
              </w:rPr>
              <w:tab/>
            </w:r>
          </w:p>
        </w:tc>
        <w:tc>
          <w:tcPr>
            <w:tcW w:w="1900" w:type="dxa"/>
          </w:tcPr>
          <w:p w14:paraId="48371889" w14:textId="0EA73D2F" w:rsidR="00D15BDC" w:rsidRPr="00D15BDC" w:rsidRDefault="00D15BDC" w:rsidP="00D15BDC">
            <w:pPr>
              <w:rPr>
                <w:rFonts w:cs="Arial"/>
              </w:rPr>
            </w:pPr>
            <w:r w:rsidRPr="00D15BDC">
              <w:rPr>
                <w:rFonts w:cs="Arial"/>
              </w:rPr>
              <w:t>0,001</w:t>
            </w:r>
          </w:p>
        </w:tc>
      </w:tr>
      <w:tr w:rsidR="00D15BDC" w14:paraId="601720BA" w14:textId="77777777" w:rsidTr="00D15BDC">
        <w:tc>
          <w:tcPr>
            <w:tcW w:w="1900" w:type="dxa"/>
          </w:tcPr>
          <w:p w14:paraId="3467930A" w14:textId="40E2F9C2" w:rsidR="00D15BDC" w:rsidRPr="00D15BDC" w:rsidRDefault="00D15BDC" w:rsidP="00D15BDC">
            <w:pPr>
              <w:rPr>
                <w:rFonts w:cs="Arial"/>
              </w:rPr>
            </w:pPr>
            <w:r w:rsidRPr="00D15BDC">
              <w:rPr>
                <w:rFonts w:cs="Arial"/>
              </w:rPr>
              <w:t>Инцидент</w:t>
            </w:r>
          </w:p>
        </w:tc>
        <w:tc>
          <w:tcPr>
            <w:tcW w:w="1900" w:type="dxa"/>
          </w:tcPr>
          <w:p w14:paraId="0480C532" w14:textId="5E945E77" w:rsidR="00D15BDC" w:rsidRPr="00D15BDC" w:rsidRDefault="00D15BDC" w:rsidP="00D15BDC">
            <w:pPr>
              <w:rPr>
                <w:rFonts w:cs="Arial"/>
              </w:rPr>
            </w:pPr>
            <w:r w:rsidRPr="00D15BDC">
              <w:rPr>
                <w:rFonts w:cs="Arial"/>
              </w:rPr>
              <w:t>Относително намаление на риска (%)</w:t>
            </w:r>
          </w:p>
        </w:tc>
        <w:tc>
          <w:tcPr>
            <w:tcW w:w="1900" w:type="dxa"/>
          </w:tcPr>
          <w:p w14:paraId="5B19CB7B" w14:textId="7CF8F702" w:rsidR="00D15BDC" w:rsidRPr="00D15BDC" w:rsidRDefault="00D15BDC" w:rsidP="00D15BDC">
            <w:pPr>
              <w:rPr>
                <w:rFonts w:cs="Arial"/>
              </w:rPr>
            </w:pPr>
            <w:r w:rsidRPr="00D15BDC">
              <w:rPr>
                <w:rFonts w:cs="Arial"/>
              </w:rPr>
              <w:t>Брой на инцидентите (аторвастатин спрямо плацебо)</w:t>
            </w:r>
          </w:p>
        </w:tc>
        <w:tc>
          <w:tcPr>
            <w:tcW w:w="1900" w:type="dxa"/>
          </w:tcPr>
          <w:p w14:paraId="07A00FFE" w14:textId="76290AA0" w:rsidR="00D15BDC" w:rsidRPr="00D15BDC" w:rsidRDefault="00D15BDC" w:rsidP="00D15BDC">
            <w:pPr>
              <w:rPr>
                <w:rFonts w:cs="Arial"/>
              </w:rPr>
            </w:pPr>
            <w:r w:rsidRPr="00D15BDC">
              <w:rPr>
                <w:rFonts w:cs="Arial"/>
              </w:rPr>
              <w:t xml:space="preserve">Абсолютно намаление на риска </w:t>
            </w:r>
            <w:r w:rsidRPr="00D15BDC">
              <w:rPr>
                <w:rFonts w:cs="Arial"/>
                <w:vertAlign w:val="superscript"/>
              </w:rPr>
              <w:t>1</w:t>
            </w:r>
            <w:r w:rsidRPr="00D15BDC">
              <w:rPr>
                <w:rFonts w:cs="Arial"/>
              </w:rPr>
              <w:t xml:space="preserve"> (%)</w:t>
            </w:r>
          </w:p>
        </w:tc>
        <w:tc>
          <w:tcPr>
            <w:tcW w:w="1900" w:type="dxa"/>
          </w:tcPr>
          <w:p w14:paraId="229242BD" w14:textId="1F89828E" w:rsidR="00D15BDC" w:rsidRPr="00D15BDC" w:rsidRDefault="00D15BDC" w:rsidP="00D15BDC">
            <w:pPr>
              <w:rPr>
                <w:rFonts w:cs="Arial"/>
              </w:rPr>
            </w:pPr>
            <w:r w:rsidRPr="00D15BDC">
              <w:rPr>
                <w:rFonts w:cs="Arial"/>
                <w:b/>
                <w:bCs/>
                <w:lang w:val="en-US"/>
              </w:rPr>
              <w:t xml:space="preserve"> p-</w:t>
            </w:r>
            <w:r w:rsidRPr="00D15BDC">
              <w:rPr>
                <w:rFonts w:cs="Arial"/>
                <w:b/>
                <w:bCs/>
              </w:rPr>
              <w:t>стойност</w:t>
            </w:r>
          </w:p>
        </w:tc>
      </w:tr>
    </w:tbl>
    <w:p w14:paraId="373BE4BB" w14:textId="0C2A87B7" w:rsidR="00D15BDC" w:rsidRDefault="00D15BDC" w:rsidP="0091385D"/>
    <w:p w14:paraId="49E67C9D" w14:textId="77777777" w:rsidR="00D15BDC" w:rsidRPr="000A62B3" w:rsidRDefault="00D15BDC" w:rsidP="00D15BDC">
      <w:pPr>
        <w:spacing w:line="240" w:lineRule="auto"/>
        <w:rPr>
          <w:rFonts w:eastAsia="Times New Roman" w:cs="Arial"/>
          <w:lang w:eastAsia="bg-BG"/>
        </w:rPr>
      </w:pPr>
      <w:r w:rsidRPr="000A62B3">
        <w:rPr>
          <w:rFonts w:eastAsia="Times New Roman" w:cs="Arial"/>
          <w:color w:val="000000"/>
          <w:vertAlign w:val="superscript"/>
          <w:lang w:eastAsia="bg-BG"/>
        </w:rPr>
        <w:t>1</w:t>
      </w:r>
      <w:r w:rsidRPr="000A62B3">
        <w:rPr>
          <w:rFonts w:eastAsia="Times New Roman" w:cs="Arial"/>
          <w:color w:val="000000"/>
          <w:lang w:eastAsia="bg-BG"/>
        </w:rPr>
        <w:t xml:space="preserve"> Базирайки се на различията в общата честота на инцидентите, наблюдавани при средно проследяване от 3,9 години.</w:t>
      </w:r>
    </w:p>
    <w:p w14:paraId="1C4037FF" w14:textId="77777777" w:rsidR="000A62B3" w:rsidRPr="000A62B3" w:rsidRDefault="000A62B3" w:rsidP="00D15BDC">
      <w:pPr>
        <w:spacing w:line="240" w:lineRule="auto"/>
        <w:rPr>
          <w:rFonts w:eastAsia="Times New Roman" w:cs="Arial"/>
          <w:color w:val="000000"/>
          <w:lang w:eastAsia="bg-BG"/>
        </w:rPr>
      </w:pPr>
    </w:p>
    <w:p w14:paraId="2A47715F" w14:textId="6923C4C2" w:rsidR="00D15BDC" w:rsidRPr="000A62B3" w:rsidRDefault="00D15BDC" w:rsidP="00D15BDC">
      <w:pPr>
        <w:spacing w:line="240" w:lineRule="auto"/>
        <w:rPr>
          <w:rFonts w:eastAsia="Times New Roman" w:cs="Arial"/>
          <w:lang w:eastAsia="bg-BG"/>
        </w:rPr>
      </w:pPr>
      <w:r w:rsidRPr="000A62B3">
        <w:rPr>
          <w:rFonts w:eastAsia="Times New Roman" w:cs="Arial"/>
          <w:color w:val="000000"/>
          <w:lang w:eastAsia="bg-BG"/>
        </w:rPr>
        <w:t xml:space="preserve">Няма данни за различие в лечебния ефект в зависимост от пола, възрастта или началните нива на </w:t>
      </w:r>
      <w:r w:rsidRPr="000A62B3">
        <w:rPr>
          <w:rFonts w:eastAsia="Times New Roman" w:cs="Arial"/>
          <w:color w:val="000000"/>
          <w:lang w:val="en-US"/>
        </w:rPr>
        <w:t>LDL-C.</w:t>
      </w:r>
    </w:p>
    <w:p w14:paraId="11D5174A" w14:textId="77777777" w:rsidR="00D15BDC" w:rsidRPr="000A62B3" w:rsidRDefault="00D15BDC" w:rsidP="00D15BDC">
      <w:pPr>
        <w:spacing w:line="240" w:lineRule="auto"/>
        <w:rPr>
          <w:rFonts w:eastAsia="Times New Roman" w:cs="Arial"/>
          <w:lang w:eastAsia="bg-BG"/>
        </w:rPr>
      </w:pPr>
      <w:r w:rsidRPr="000A62B3">
        <w:rPr>
          <w:rFonts w:eastAsia="Times New Roman" w:cs="Arial"/>
          <w:color w:val="000000"/>
          <w:lang w:eastAsia="bg-BG"/>
        </w:rPr>
        <w:t>Наблюдава се благоприятна тенденция в нивото на смъртност (82 смъртни случая при плацебо групата спрямо 61 в групата на аторвастатин, р=0,0592).</w:t>
      </w:r>
    </w:p>
    <w:p w14:paraId="0EE7AEA6" w14:textId="77777777" w:rsidR="000A62B3" w:rsidRPr="000A62B3" w:rsidRDefault="000A62B3" w:rsidP="00D15BDC">
      <w:pPr>
        <w:spacing w:line="240" w:lineRule="auto"/>
        <w:rPr>
          <w:rFonts w:eastAsia="Times New Roman" w:cs="Arial"/>
          <w:color w:val="000000"/>
          <w:u w:val="single"/>
          <w:lang w:eastAsia="bg-BG"/>
        </w:rPr>
      </w:pPr>
    </w:p>
    <w:p w14:paraId="36EB3A31" w14:textId="6213065B" w:rsidR="00D15BDC" w:rsidRPr="000A62B3" w:rsidRDefault="00D15BDC" w:rsidP="00D15BDC">
      <w:pPr>
        <w:spacing w:line="240" w:lineRule="auto"/>
        <w:rPr>
          <w:rFonts w:eastAsia="Times New Roman" w:cs="Arial"/>
          <w:lang w:eastAsia="bg-BG"/>
        </w:rPr>
      </w:pPr>
      <w:r w:rsidRPr="000A62B3">
        <w:rPr>
          <w:rFonts w:eastAsia="Times New Roman" w:cs="Arial"/>
          <w:color w:val="000000"/>
          <w:u w:val="single"/>
          <w:lang w:eastAsia="bg-BG"/>
        </w:rPr>
        <w:t>Рецидивиращ инсулт</w:t>
      </w:r>
    </w:p>
    <w:p w14:paraId="79242823" w14:textId="77777777" w:rsidR="00D15BDC" w:rsidRPr="000A62B3" w:rsidRDefault="00D15BDC" w:rsidP="00D15BDC">
      <w:pPr>
        <w:spacing w:line="240" w:lineRule="auto"/>
        <w:rPr>
          <w:rFonts w:eastAsia="Times New Roman" w:cs="Arial"/>
          <w:lang w:eastAsia="bg-BG"/>
        </w:rPr>
      </w:pPr>
      <w:r w:rsidRPr="000A62B3">
        <w:rPr>
          <w:rFonts w:eastAsia="Times New Roman" w:cs="Arial"/>
          <w:color w:val="000000"/>
          <w:lang w:eastAsia="bg-BG"/>
        </w:rPr>
        <w:t xml:space="preserve">При проучване </w:t>
      </w:r>
      <w:r w:rsidRPr="000A62B3">
        <w:rPr>
          <w:rFonts w:eastAsia="Times New Roman" w:cs="Arial"/>
          <w:i/>
          <w:iCs/>
          <w:color w:val="000000"/>
          <w:lang w:val="en-US"/>
        </w:rPr>
        <w:t>Stroke Prevention by Aggressive Reduction in Cholesterol Levels</w:t>
      </w:r>
      <w:r w:rsidRPr="000A62B3">
        <w:rPr>
          <w:rFonts w:eastAsia="Times New Roman" w:cs="Arial"/>
          <w:color w:val="000000"/>
          <w:lang w:val="en-US"/>
        </w:rPr>
        <w:t xml:space="preserve"> (SPARCL) </w:t>
      </w:r>
      <w:r w:rsidRPr="000A62B3">
        <w:rPr>
          <w:rFonts w:eastAsia="Times New Roman" w:cs="Arial"/>
          <w:color w:val="000000"/>
          <w:lang w:eastAsia="bg-BG"/>
        </w:rPr>
        <w:t xml:space="preserve">ефектът на аторвастатин </w:t>
      </w:r>
      <w:r w:rsidRPr="000A62B3">
        <w:rPr>
          <w:rFonts w:eastAsia="Times New Roman" w:cs="Arial"/>
          <w:color w:val="000000"/>
          <w:lang w:val="en-US"/>
        </w:rPr>
        <w:t xml:space="preserve">80 mg </w:t>
      </w:r>
      <w:r w:rsidRPr="000A62B3">
        <w:rPr>
          <w:rFonts w:eastAsia="Times New Roman" w:cs="Arial"/>
          <w:color w:val="000000"/>
          <w:lang w:eastAsia="bg-BG"/>
        </w:rPr>
        <w:t xml:space="preserve">дневно или плацебо върху инсулта се оценява при 4731 пациента, които са преживели инсулт или преходно исхемично увреждане в рамките на предходните 6 месеца и нямат анамнеза за коронарно сърдечно заболяване. Пациентите са 60% мъже, от 21-92 годишна възраст (средно 63 годишна възраст) и са имали средно изходно ниво на </w:t>
      </w:r>
      <w:r w:rsidRPr="000A62B3">
        <w:rPr>
          <w:rFonts w:eastAsia="Times New Roman" w:cs="Arial"/>
          <w:color w:val="000000"/>
          <w:lang w:val="en-US"/>
        </w:rPr>
        <w:t xml:space="preserve">LDL-C </w:t>
      </w:r>
      <w:r w:rsidRPr="000A62B3">
        <w:rPr>
          <w:rFonts w:eastAsia="Times New Roman" w:cs="Arial"/>
          <w:color w:val="000000"/>
          <w:lang w:eastAsia="bg-BG"/>
        </w:rPr>
        <w:t xml:space="preserve">3,4 </w:t>
      </w:r>
      <w:r w:rsidRPr="000A62B3">
        <w:rPr>
          <w:rFonts w:eastAsia="Times New Roman" w:cs="Arial"/>
          <w:color w:val="000000"/>
          <w:lang w:val="en-US"/>
        </w:rPr>
        <w:t xml:space="preserve">mmol/l </w:t>
      </w:r>
      <w:r w:rsidRPr="000A62B3">
        <w:rPr>
          <w:rFonts w:eastAsia="Times New Roman" w:cs="Arial"/>
          <w:color w:val="000000"/>
          <w:lang w:eastAsia="bg-BG"/>
        </w:rPr>
        <w:t xml:space="preserve">(133 </w:t>
      </w:r>
      <w:r w:rsidRPr="000A62B3">
        <w:rPr>
          <w:rFonts w:eastAsia="Times New Roman" w:cs="Arial"/>
          <w:color w:val="000000"/>
          <w:lang w:val="en-US"/>
        </w:rPr>
        <w:t xml:space="preserve">mg/dl). </w:t>
      </w:r>
      <w:r w:rsidRPr="000A62B3">
        <w:rPr>
          <w:rFonts w:eastAsia="Times New Roman" w:cs="Arial"/>
          <w:color w:val="000000"/>
          <w:lang w:eastAsia="bg-BG"/>
        </w:rPr>
        <w:t xml:space="preserve">Средното ниво на </w:t>
      </w:r>
      <w:r w:rsidRPr="000A62B3">
        <w:rPr>
          <w:rFonts w:eastAsia="Times New Roman" w:cs="Arial"/>
          <w:color w:val="000000"/>
          <w:lang w:val="en-US"/>
        </w:rPr>
        <w:t xml:space="preserve">LDL-C </w:t>
      </w:r>
      <w:r w:rsidRPr="000A62B3">
        <w:rPr>
          <w:rFonts w:eastAsia="Times New Roman" w:cs="Arial"/>
          <w:color w:val="000000"/>
          <w:lang w:eastAsia="bg-BG"/>
        </w:rPr>
        <w:t xml:space="preserve">по време на лечението с аторвастатин е 1,9 </w:t>
      </w:r>
      <w:r w:rsidRPr="000A62B3">
        <w:rPr>
          <w:rFonts w:eastAsia="Times New Roman" w:cs="Arial"/>
          <w:color w:val="000000"/>
          <w:lang w:val="en-US"/>
        </w:rPr>
        <w:t xml:space="preserve">mmol/l </w:t>
      </w:r>
      <w:r w:rsidRPr="000A62B3">
        <w:rPr>
          <w:rFonts w:eastAsia="Times New Roman" w:cs="Arial"/>
          <w:color w:val="000000"/>
          <w:lang w:eastAsia="bg-BG"/>
        </w:rPr>
        <w:t xml:space="preserve">(73 </w:t>
      </w:r>
      <w:r w:rsidRPr="000A62B3">
        <w:rPr>
          <w:rFonts w:eastAsia="Times New Roman" w:cs="Arial"/>
          <w:color w:val="000000"/>
          <w:lang w:val="en-US"/>
        </w:rPr>
        <w:t xml:space="preserve">mg/dl) </w:t>
      </w:r>
      <w:r w:rsidRPr="000A62B3">
        <w:rPr>
          <w:rFonts w:eastAsia="Times New Roman" w:cs="Arial"/>
          <w:color w:val="000000"/>
          <w:lang w:eastAsia="bg-BG"/>
        </w:rPr>
        <w:t xml:space="preserve">и 3,3 </w:t>
      </w:r>
      <w:r w:rsidRPr="000A62B3">
        <w:rPr>
          <w:rFonts w:eastAsia="Times New Roman" w:cs="Arial"/>
          <w:color w:val="000000"/>
          <w:lang w:val="en-US"/>
        </w:rPr>
        <w:t xml:space="preserve">mmol/l </w:t>
      </w:r>
      <w:r w:rsidRPr="000A62B3">
        <w:rPr>
          <w:rFonts w:eastAsia="Times New Roman" w:cs="Arial"/>
          <w:color w:val="000000"/>
          <w:lang w:eastAsia="bg-BG"/>
        </w:rPr>
        <w:t xml:space="preserve">(129 </w:t>
      </w:r>
      <w:r w:rsidRPr="000A62B3">
        <w:rPr>
          <w:rFonts w:eastAsia="Times New Roman" w:cs="Arial"/>
          <w:color w:val="000000"/>
          <w:lang w:val="en-US"/>
        </w:rPr>
        <w:t xml:space="preserve">mg/dl) </w:t>
      </w:r>
      <w:r w:rsidRPr="000A62B3">
        <w:rPr>
          <w:rFonts w:eastAsia="Times New Roman" w:cs="Arial"/>
          <w:color w:val="000000"/>
          <w:lang w:eastAsia="bg-BG"/>
        </w:rPr>
        <w:t>при плацебо. Средното проследяване продължило 4,9 години.</w:t>
      </w:r>
    </w:p>
    <w:p w14:paraId="6D3D41D2" w14:textId="77777777" w:rsidR="000A62B3" w:rsidRPr="000A62B3" w:rsidRDefault="000A62B3" w:rsidP="00D15BDC">
      <w:pPr>
        <w:spacing w:line="240" w:lineRule="auto"/>
        <w:rPr>
          <w:rFonts w:eastAsia="Times New Roman" w:cs="Arial"/>
          <w:color w:val="000000"/>
          <w:lang w:eastAsia="bg-BG"/>
        </w:rPr>
      </w:pPr>
    </w:p>
    <w:p w14:paraId="7B24CBB6" w14:textId="4457895B" w:rsidR="00D15BDC" w:rsidRPr="000A62B3" w:rsidRDefault="00D15BDC" w:rsidP="00D15BDC">
      <w:pPr>
        <w:spacing w:line="240" w:lineRule="auto"/>
        <w:rPr>
          <w:rFonts w:eastAsia="Times New Roman" w:cs="Arial"/>
          <w:lang w:eastAsia="bg-BG"/>
        </w:rPr>
      </w:pPr>
      <w:r w:rsidRPr="000A62B3">
        <w:rPr>
          <w:rFonts w:eastAsia="Times New Roman" w:cs="Arial"/>
          <w:color w:val="000000"/>
          <w:lang w:eastAsia="bg-BG"/>
        </w:rPr>
        <w:t xml:space="preserve">Понижаване на риска от фатален или нефатален инсулт с аторвастатин 80 </w:t>
      </w:r>
      <w:r w:rsidRPr="000A62B3">
        <w:rPr>
          <w:rFonts w:eastAsia="Times New Roman" w:cs="Arial"/>
          <w:color w:val="000000"/>
          <w:lang w:val="en-US"/>
        </w:rPr>
        <w:t xml:space="preserve">mg </w:t>
      </w:r>
      <w:r w:rsidRPr="000A62B3">
        <w:rPr>
          <w:rFonts w:eastAsia="Times New Roman" w:cs="Arial"/>
          <w:color w:val="000000"/>
          <w:lang w:eastAsia="bg-BG"/>
        </w:rPr>
        <w:t xml:space="preserve">е 15% </w:t>
      </w:r>
      <w:r w:rsidRPr="000A62B3">
        <w:rPr>
          <w:rFonts w:eastAsia="Times New Roman" w:cs="Arial"/>
          <w:color w:val="000000"/>
          <w:lang w:val="en-US"/>
        </w:rPr>
        <w:t xml:space="preserve">(HR </w:t>
      </w:r>
      <w:r w:rsidRPr="000A62B3">
        <w:rPr>
          <w:rFonts w:eastAsia="Times New Roman" w:cs="Arial"/>
          <w:color w:val="000000"/>
          <w:lang w:eastAsia="bg-BG"/>
        </w:rPr>
        <w:t xml:space="preserve">0,85; 95% </w:t>
      </w:r>
      <w:r w:rsidRPr="000A62B3">
        <w:rPr>
          <w:rFonts w:eastAsia="Times New Roman" w:cs="Arial"/>
          <w:color w:val="000000"/>
          <w:lang w:val="en-US"/>
        </w:rPr>
        <w:t xml:space="preserve">CI, </w:t>
      </w:r>
      <w:r w:rsidRPr="000A62B3">
        <w:rPr>
          <w:rFonts w:eastAsia="Times New Roman" w:cs="Arial"/>
          <w:color w:val="000000"/>
          <w:lang w:eastAsia="bg-BG"/>
        </w:rPr>
        <w:t xml:space="preserve">0,72-1,00; р=4),05 или 0,84; 95% </w:t>
      </w:r>
      <w:r w:rsidRPr="000A62B3">
        <w:rPr>
          <w:rFonts w:eastAsia="Times New Roman" w:cs="Arial"/>
          <w:color w:val="000000"/>
          <w:lang w:val="en-US"/>
        </w:rPr>
        <w:t xml:space="preserve">CI, </w:t>
      </w:r>
      <w:r w:rsidRPr="000A62B3">
        <w:rPr>
          <w:rFonts w:eastAsia="Times New Roman" w:cs="Arial"/>
          <w:color w:val="000000"/>
          <w:lang w:eastAsia="bg-BG"/>
        </w:rPr>
        <w:t>0,71-0,99; р=0,03 сравнено с изходните стойности) спрямо получениете при плацебо. Общата смъртност (всички случаи) е 9,1% (216/2365) в групата на аторвастатин спрямо 8,9% (211/2366) при плацебо.</w:t>
      </w:r>
    </w:p>
    <w:p w14:paraId="2C636EEC" w14:textId="77777777" w:rsidR="000A62B3" w:rsidRPr="000A62B3" w:rsidRDefault="000A62B3" w:rsidP="00D15BDC">
      <w:pPr>
        <w:spacing w:line="240" w:lineRule="auto"/>
        <w:rPr>
          <w:rFonts w:eastAsia="Times New Roman" w:cs="Arial"/>
          <w:color w:val="000000"/>
          <w:lang w:eastAsia="bg-BG"/>
        </w:rPr>
      </w:pPr>
    </w:p>
    <w:p w14:paraId="4DA7EED7" w14:textId="7DA32541" w:rsidR="00D15BDC" w:rsidRPr="000A62B3" w:rsidRDefault="00D15BDC" w:rsidP="00D15BDC">
      <w:pPr>
        <w:spacing w:line="240" w:lineRule="auto"/>
        <w:rPr>
          <w:rFonts w:eastAsia="Times New Roman" w:cs="Arial"/>
          <w:color w:val="000000"/>
          <w:lang w:eastAsia="bg-BG"/>
        </w:rPr>
      </w:pPr>
      <w:r w:rsidRPr="000A62B3">
        <w:rPr>
          <w:rFonts w:eastAsia="Times New Roman" w:cs="Arial"/>
          <w:color w:val="000000"/>
          <w:lang w:eastAsia="bg-BG"/>
        </w:rPr>
        <w:t xml:space="preserve">В последващ анализ се установява, че аторвастатин 80 </w:t>
      </w:r>
      <w:r w:rsidRPr="000A62B3">
        <w:rPr>
          <w:rFonts w:eastAsia="Times New Roman" w:cs="Arial"/>
          <w:color w:val="000000"/>
          <w:lang w:val="en-US"/>
        </w:rPr>
        <w:t xml:space="preserve">mg </w:t>
      </w:r>
      <w:r w:rsidRPr="000A62B3">
        <w:rPr>
          <w:rFonts w:eastAsia="Times New Roman" w:cs="Arial"/>
          <w:color w:val="000000"/>
          <w:lang w:eastAsia="bg-BG"/>
        </w:rPr>
        <w:t>понижава риска от исхемичен инсулт (218/2365; 9,2% спрямо 274/2366; 11,6%, р=0,01) и повишава риска от хеморагичен инсулт (55/2365; 2,3% спрямо 33/2366; 1,4%, р=0,02), сравнен с плацебо.</w:t>
      </w:r>
    </w:p>
    <w:p w14:paraId="76D9206D" w14:textId="77777777" w:rsidR="000A62B3" w:rsidRPr="000A62B3" w:rsidRDefault="000A62B3" w:rsidP="00D15BDC">
      <w:pPr>
        <w:spacing w:line="240" w:lineRule="auto"/>
        <w:rPr>
          <w:rFonts w:eastAsia="Times New Roman" w:cs="Arial"/>
          <w:lang w:eastAsia="bg-BG"/>
        </w:rPr>
      </w:pPr>
    </w:p>
    <w:p w14:paraId="3CA914F0" w14:textId="77777777" w:rsidR="000A62B3" w:rsidRPr="000A62B3" w:rsidRDefault="00D15BDC" w:rsidP="00D15BDC">
      <w:pPr>
        <w:pStyle w:val="ListParagraph"/>
        <w:numPr>
          <w:ilvl w:val="0"/>
          <w:numId w:val="41"/>
        </w:numPr>
        <w:spacing w:line="240" w:lineRule="auto"/>
        <w:rPr>
          <w:rFonts w:eastAsia="Times New Roman" w:cs="Arial"/>
          <w:color w:val="000000"/>
          <w:lang w:eastAsia="bg-BG"/>
        </w:rPr>
      </w:pPr>
      <w:r w:rsidRPr="000A62B3">
        <w:rPr>
          <w:rFonts w:eastAsia="Times New Roman" w:cs="Arial"/>
          <w:color w:val="000000"/>
          <w:lang w:eastAsia="bg-BG"/>
        </w:rPr>
        <w:t xml:space="preserve">Рискът от хеморагичен инсулт се покачва при пациенти, които в началото на изследването имат анамнеза за прекаран хеморагичен инсулт (7/45 за аторвастатин спрямо 2/48 за плацебо; </w:t>
      </w:r>
      <w:r w:rsidRPr="000A62B3">
        <w:rPr>
          <w:rFonts w:eastAsia="Times New Roman" w:cs="Arial"/>
          <w:color w:val="000000"/>
          <w:lang w:val="en-US"/>
        </w:rPr>
        <w:t xml:space="preserve">HR </w:t>
      </w:r>
      <w:r w:rsidRPr="000A62B3">
        <w:rPr>
          <w:rFonts w:eastAsia="Times New Roman" w:cs="Arial"/>
          <w:color w:val="000000"/>
          <w:lang w:eastAsia="bg-BG"/>
        </w:rPr>
        <w:t xml:space="preserve">4,06; </w:t>
      </w:r>
      <w:r w:rsidRPr="000A62B3">
        <w:rPr>
          <w:rFonts w:eastAsia="Times New Roman" w:cs="Arial"/>
          <w:color w:val="000000"/>
          <w:lang w:val="en-US"/>
        </w:rPr>
        <w:t xml:space="preserve">CI </w:t>
      </w:r>
      <w:r w:rsidRPr="000A62B3">
        <w:rPr>
          <w:rFonts w:eastAsia="Times New Roman" w:cs="Arial"/>
          <w:color w:val="000000"/>
          <w:lang w:eastAsia="bg-BG"/>
        </w:rPr>
        <w:t xml:space="preserve">0,84-19,57) и рискът за исхемичен инсулт е сходен и в двете групи (3/45 за аторвастатин в сравнение с 2/48 за плацебо; </w:t>
      </w:r>
      <w:r w:rsidRPr="000A62B3">
        <w:rPr>
          <w:rFonts w:eastAsia="Times New Roman" w:cs="Arial"/>
          <w:color w:val="000000"/>
          <w:lang w:val="en-US"/>
        </w:rPr>
        <w:t xml:space="preserve">HR </w:t>
      </w:r>
      <w:r w:rsidRPr="000A62B3">
        <w:rPr>
          <w:rFonts w:eastAsia="Times New Roman" w:cs="Arial"/>
          <w:color w:val="000000"/>
          <w:lang w:eastAsia="bg-BG"/>
        </w:rPr>
        <w:t xml:space="preserve">1,64; 95% </w:t>
      </w:r>
      <w:r w:rsidRPr="000A62B3">
        <w:rPr>
          <w:rFonts w:eastAsia="Times New Roman" w:cs="Arial"/>
          <w:color w:val="000000"/>
          <w:lang w:val="en-US"/>
        </w:rPr>
        <w:t xml:space="preserve">CI, </w:t>
      </w:r>
      <w:r w:rsidRPr="000A62B3">
        <w:rPr>
          <w:rFonts w:eastAsia="Times New Roman" w:cs="Arial"/>
          <w:color w:val="000000"/>
          <w:lang w:eastAsia="bg-BG"/>
        </w:rPr>
        <w:t>0,27-9,82).</w:t>
      </w:r>
    </w:p>
    <w:p w14:paraId="6106B28E" w14:textId="77777777" w:rsidR="000A62B3" w:rsidRPr="000A62B3" w:rsidRDefault="00D15BDC" w:rsidP="000A62B3">
      <w:pPr>
        <w:pStyle w:val="ListParagraph"/>
        <w:numPr>
          <w:ilvl w:val="0"/>
          <w:numId w:val="41"/>
        </w:numPr>
        <w:spacing w:line="240" w:lineRule="auto"/>
        <w:rPr>
          <w:rFonts w:eastAsia="Times New Roman" w:cs="Arial"/>
          <w:color w:val="000000"/>
          <w:lang w:eastAsia="bg-BG"/>
        </w:rPr>
      </w:pPr>
      <w:r w:rsidRPr="000A62B3">
        <w:rPr>
          <w:rFonts w:eastAsia="Times New Roman" w:cs="Arial"/>
          <w:color w:val="000000"/>
          <w:lang w:eastAsia="bg-BG"/>
        </w:rPr>
        <w:t>Рискът от хеморагичен инсулт се покачва при пациенти, които в началото на изследването имат анамнеза за прекаран лакунарен инфаркт (20/708 за аторвастатин спрямо 4/701</w:t>
      </w:r>
      <w:r w:rsidRPr="000A62B3">
        <w:rPr>
          <w:rFonts w:eastAsia="Times New Roman" w:cs="Arial"/>
          <w:color w:val="000000"/>
          <w:lang w:val="en-US"/>
        </w:rPr>
        <w:t xml:space="preserve"> </w:t>
      </w:r>
      <w:r w:rsidRPr="000A62B3">
        <w:rPr>
          <w:rFonts w:eastAsia="Times New Roman" w:cs="Arial"/>
          <w:color w:val="000000"/>
          <w:lang w:eastAsia="bg-BG"/>
        </w:rPr>
        <w:t xml:space="preserve">за плацебо; </w:t>
      </w:r>
      <w:r w:rsidRPr="000A62B3">
        <w:rPr>
          <w:rFonts w:eastAsia="Times New Roman" w:cs="Arial"/>
          <w:color w:val="000000"/>
          <w:lang w:val="en-US"/>
        </w:rPr>
        <w:t xml:space="preserve">HR </w:t>
      </w:r>
      <w:r w:rsidRPr="000A62B3">
        <w:rPr>
          <w:rFonts w:eastAsia="Times New Roman" w:cs="Arial"/>
          <w:color w:val="000000"/>
          <w:lang w:eastAsia="bg-BG"/>
        </w:rPr>
        <w:t xml:space="preserve">4,99; 95% </w:t>
      </w:r>
      <w:r w:rsidRPr="000A62B3">
        <w:rPr>
          <w:rFonts w:eastAsia="Times New Roman" w:cs="Arial"/>
          <w:color w:val="000000"/>
          <w:lang w:val="en-US"/>
        </w:rPr>
        <w:t xml:space="preserve">CI, </w:t>
      </w:r>
      <w:r w:rsidRPr="000A62B3">
        <w:rPr>
          <w:rFonts w:eastAsia="Times New Roman" w:cs="Arial"/>
          <w:color w:val="000000"/>
          <w:lang w:eastAsia="bg-BG"/>
        </w:rPr>
        <w:t>1,71-14,6), но рискът от исхемичен инсулт се понижава при тези пациенти (79/708</w:t>
      </w:r>
      <w:r w:rsidRPr="000A62B3">
        <w:rPr>
          <w:rFonts w:eastAsia="Times New Roman" w:cs="Arial"/>
          <w:color w:val="000000"/>
          <w:lang w:val="en-US"/>
        </w:rPr>
        <w:t xml:space="preserve"> </w:t>
      </w:r>
      <w:r w:rsidRPr="000A62B3">
        <w:rPr>
          <w:rFonts w:eastAsia="Times New Roman" w:cs="Arial"/>
          <w:color w:val="000000"/>
          <w:lang w:eastAsia="bg-BG"/>
        </w:rPr>
        <w:t>за</w:t>
      </w:r>
      <w:r w:rsidRPr="000A62B3">
        <w:rPr>
          <w:rFonts w:eastAsia="Times New Roman" w:cs="Arial"/>
          <w:color w:val="000000"/>
          <w:lang w:val="en-US"/>
        </w:rPr>
        <w:t xml:space="preserve"> </w:t>
      </w:r>
      <w:r w:rsidRPr="000A62B3">
        <w:rPr>
          <w:rFonts w:eastAsia="Times New Roman" w:cs="Arial"/>
          <w:color w:val="000000"/>
          <w:lang w:eastAsia="bg-BG"/>
        </w:rPr>
        <w:t>аторвастатин спрямо 102/701 за</w:t>
      </w:r>
      <w:r w:rsidRPr="000A62B3">
        <w:rPr>
          <w:rFonts w:eastAsia="Times New Roman" w:cs="Arial"/>
          <w:color w:val="000000"/>
          <w:lang w:val="en-US"/>
        </w:rPr>
        <w:t xml:space="preserve"> </w:t>
      </w:r>
      <w:r w:rsidRPr="000A62B3">
        <w:rPr>
          <w:rFonts w:eastAsia="Times New Roman" w:cs="Arial"/>
          <w:color w:val="000000"/>
          <w:lang w:eastAsia="bg-BG"/>
        </w:rPr>
        <w:t xml:space="preserve">плацебо; </w:t>
      </w:r>
      <w:r w:rsidRPr="000A62B3">
        <w:rPr>
          <w:rFonts w:eastAsia="Times New Roman" w:cs="Arial"/>
          <w:color w:val="000000"/>
          <w:lang w:val="en-US"/>
        </w:rPr>
        <w:t>HR</w:t>
      </w:r>
      <w:r w:rsidRPr="000A62B3">
        <w:rPr>
          <w:rFonts w:eastAsia="Times New Roman" w:cs="Arial"/>
          <w:color w:val="000000"/>
          <w:lang w:eastAsia="bg-BG"/>
        </w:rPr>
        <w:t>0,76; 95%</w:t>
      </w:r>
      <w:r w:rsidRPr="000A62B3">
        <w:rPr>
          <w:rFonts w:eastAsia="Times New Roman" w:cs="Arial"/>
          <w:color w:val="000000"/>
          <w:lang w:val="en-US"/>
        </w:rPr>
        <w:t xml:space="preserve"> CI, 0,57-1,02.</w:t>
      </w:r>
    </w:p>
    <w:p w14:paraId="1A90D70E" w14:textId="284B04DF" w:rsidR="000A62B3" w:rsidRPr="000A62B3" w:rsidRDefault="000A62B3" w:rsidP="000A62B3">
      <w:pPr>
        <w:pStyle w:val="ListParagraph"/>
        <w:spacing w:line="240" w:lineRule="auto"/>
        <w:rPr>
          <w:rFonts w:eastAsia="Times New Roman" w:cs="Arial"/>
          <w:color w:val="000000"/>
          <w:lang w:eastAsia="bg-BG"/>
        </w:rPr>
      </w:pPr>
      <w:r w:rsidRPr="000A62B3">
        <w:rPr>
          <w:rFonts w:eastAsia="Times New Roman" w:cs="Arial"/>
          <w:color w:val="000000"/>
          <w:szCs w:val="20"/>
          <w:lang w:eastAsia="bg-BG"/>
        </w:rPr>
        <w:t xml:space="preserve">Възможно е крайният риск от инсулт да се повишава при пациенти с предходен лакунарен инфаркт, които приемат аторвастатин в доза 80 </w:t>
      </w:r>
      <w:r w:rsidRPr="000A62B3">
        <w:rPr>
          <w:rFonts w:eastAsia="Times New Roman" w:cs="Arial"/>
          <w:color w:val="000000"/>
          <w:szCs w:val="20"/>
          <w:lang w:val="en-US"/>
        </w:rPr>
        <w:t>mg</w:t>
      </w:r>
      <w:r w:rsidRPr="000A62B3">
        <w:rPr>
          <w:rFonts w:eastAsia="Times New Roman" w:cs="Arial"/>
          <w:color w:val="000000"/>
          <w:szCs w:val="20"/>
          <w:lang w:eastAsia="bg-BG"/>
        </w:rPr>
        <w:t>/ден.</w:t>
      </w:r>
    </w:p>
    <w:p w14:paraId="70966D57" w14:textId="77777777" w:rsidR="000A62B3" w:rsidRPr="000A62B3" w:rsidRDefault="000A62B3" w:rsidP="000A62B3">
      <w:pPr>
        <w:spacing w:line="240" w:lineRule="auto"/>
        <w:rPr>
          <w:rFonts w:eastAsia="Times New Roman" w:cs="Arial"/>
          <w:color w:val="000000"/>
          <w:szCs w:val="20"/>
          <w:lang w:eastAsia="bg-BG"/>
        </w:rPr>
      </w:pPr>
    </w:p>
    <w:p w14:paraId="4196F007" w14:textId="1421D288"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Общата смъртност е 15,6% (7/45) при лечение с аторвастатин спрямо 10,4% (5/48) при прилагане на плацебо в подгрупата на пациентите с предходен хеморагичен инсулт. Общата смъртност е 10,9% (77/708) при аторвастатин спрямо 9,1% (64/701) при плацебо в подгрупата на пациентите с предходен лакунарен инфаркт.</w:t>
      </w:r>
    </w:p>
    <w:p w14:paraId="19EC2A5C" w14:textId="77777777" w:rsidR="000A62B3" w:rsidRPr="000A62B3" w:rsidRDefault="000A62B3" w:rsidP="000A62B3">
      <w:pPr>
        <w:spacing w:line="240" w:lineRule="auto"/>
        <w:rPr>
          <w:rFonts w:eastAsia="Times New Roman" w:cs="Arial"/>
          <w:color w:val="000000"/>
          <w:szCs w:val="20"/>
          <w:u w:val="single"/>
          <w:lang w:eastAsia="bg-BG"/>
        </w:rPr>
      </w:pPr>
    </w:p>
    <w:p w14:paraId="5683225F" w14:textId="3A062CA9"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u w:val="single"/>
          <w:lang w:eastAsia="bg-BG"/>
        </w:rPr>
        <w:t>Педиатрична популация</w:t>
      </w:r>
    </w:p>
    <w:p w14:paraId="7FCA6A94" w14:textId="4C0EFD05" w:rsidR="000A62B3" w:rsidRPr="000A62B3" w:rsidRDefault="000A62B3" w:rsidP="000A62B3">
      <w:pPr>
        <w:spacing w:line="240" w:lineRule="auto"/>
        <w:rPr>
          <w:rFonts w:eastAsia="Times New Roman" w:cs="Arial"/>
          <w:sz w:val="28"/>
          <w:szCs w:val="24"/>
          <w:lang w:eastAsia="bg-BG"/>
        </w:rPr>
      </w:pPr>
      <w:r w:rsidRPr="000A62B3">
        <w:rPr>
          <w:rFonts w:eastAsia="Times New Roman" w:cs="Arial"/>
          <w:i/>
          <w:iCs/>
          <w:color w:val="000000"/>
          <w:szCs w:val="20"/>
          <w:u w:val="single"/>
          <w:lang w:eastAsia="bg-BG"/>
        </w:rPr>
        <w:t>Хетерозиготна фамилна хиперхолестеролемия при педиатрични пациенти на възраст 6-17 години</w:t>
      </w:r>
    </w:p>
    <w:p w14:paraId="1367A854"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подрастващи с генетично доказана хетерозиготна фамилна хиперхолестеролемия и базова стаойност на </w:t>
      </w:r>
      <w:r w:rsidRPr="000A62B3">
        <w:rPr>
          <w:rFonts w:eastAsia="Times New Roman" w:cs="Arial"/>
          <w:color w:val="000000"/>
          <w:szCs w:val="20"/>
          <w:lang w:val="en-US"/>
        </w:rPr>
        <w:t xml:space="preserve">LDL-C </w:t>
      </w:r>
      <w:r w:rsidRPr="000A62B3">
        <w:rPr>
          <w:rFonts w:eastAsia="Times New Roman" w:cs="Arial"/>
          <w:color w:val="000000"/>
          <w:szCs w:val="20"/>
          <w:lang w:eastAsia="bg-BG"/>
        </w:rPr>
        <w:t xml:space="preserve">≥ 4 </w:t>
      </w:r>
      <w:r w:rsidRPr="000A62B3">
        <w:rPr>
          <w:rFonts w:eastAsia="Times New Roman" w:cs="Arial"/>
          <w:color w:val="000000"/>
          <w:szCs w:val="20"/>
          <w:lang w:val="en-US"/>
        </w:rPr>
        <w:t xml:space="preserve">mmol/l. </w:t>
      </w:r>
      <w:r w:rsidRPr="000A62B3">
        <w:rPr>
          <w:rFonts w:eastAsia="Times New Roman" w:cs="Arial"/>
          <w:color w:val="000000"/>
          <w:szCs w:val="20"/>
          <w:lang w:eastAsia="bg-BG"/>
        </w:rPr>
        <w:t xml:space="preserve">Проучването обхваща 39 деца и подрастващи на възраст между 6 и 17 години. Кохорта А включва 15 деца на възраст между 6 и 12 години </w:t>
      </w:r>
      <w:r w:rsidRPr="000A62B3">
        <w:rPr>
          <w:rFonts w:eastAsia="Times New Roman" w:cs="Arial"/>
          <w:color w:val="000000"/>
          <w:szCs w:val="20"/>
          <w:lang w:eastAsia="bg-BG"/>
        </w:rPr>
        <w:lastRenderedPageBreak/>
        <w:t xml:space="preserve">в първи стадий по </w:t>
      </w:r>
      <w:r w:rsidRPr="000A62B3">
        <w:rPr>
          <w:rFonts w:eastAsia="Times New Roman" w:cs="Arial"/>
          <w:i/>
          <w:iCs/>
          <w:color w:val="000000"/>
          <w:szCs w:val="20"/>
          <w:lang w:val="en-US"/>
        </w:rPr>
        <w:t>Tanner,</w:t>
      </w:r>
      <w:r w:rsidRPr="000A62B3">
        <w:rPr>
          <w:rFonts w:eastAsia="Times New Roman" w:cs="Arial"/>
          <w:color w:val="000000"/>
          <w:szCs w:val="20"/>
          <w:lang w:val="en-US"/>
        </w:rPr>
        <w:t xml:space="preserve"> </w:t>
      </w:r>
      <w:r w:rsidRPr="000A62B3">
        <w:rPr>
          <w:rFonts w:eastAsia="Times New Roman" w:cs="Arial"/>
          <w:color w:val="000000"/>
          <w:szCs w:val="20"/>
          <w:lang w:eastAsia="bg-BG"/>
        </w:rPr>
        <w:t xml:space="preserve">докато в кохорта Б са включени 24 деца между 10 и 17 години в стадий по </w:t>
      </w:r>
      <w:r w:rsidRPr="000A62B3">
        <w:rPr>
          <w:rFonts w:eastAsia="Times New Roman" w:cs="Arial"/>
          <w:i/>
          <w:iCs/>
          <w:color w:val="000000"/>
          <w:szCs w:val="20"/>
          <w:lang w:val="en-US"/>
        </w:rPr>
        <w:t xml:space="preserve">Tanner </w:t>
      </w:r>
      <w:r w:rsidRPr="000A62B3">
        <w:rPr>
          <w:rFonts w:eastAsia="Times New Roman" w:cs="Arial"/>
          <w:color w:val="000000"/>
          <w:szCs w:val="20"/>
          <w:lang w:eastAsia="bg-BG"/>
        </w:rPr>
        <w:t>≥ 2.</w:t>
      </w:r>
    </w:p>
    <w:p w14:paraId="7E408560" w14:textId="77777777" w:rsidR="000A62B3" w:rsidRPr="000A62B3" w:rsidRDefault="000A62B3" w:rsidP="000A62B3">
      <w:pPr>
        <w:spacing w:line="240" w:lineRule="auto"/>
        <w:rPr>
          <w:rFonts w:eastAsia="Times New Roman" w:cs="Arial"/>
          <w:color w:val="000000"/>
          <w:szCs w:val="20"/>
          <w:lang w:eastAsia="bg-BG"/>
        </w:rPr>
      </w:pPr>
    </w:p>
    <w:p w14:paraId="0AB15C09" w14:textId="760D7B4F"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Началната доза на аторвастатин в кохорта А е 5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дневно под формата на таблетка за дъвчене и 10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дневно в кохорта Б под формата на филмирана таблетка. Дадена е възможност за удвояване на дозата, при условие, че не бъде достигната таргетната стойност на </w:t>
      </w:r>
      <w:r w:rsidRPr="000A62B3">
        <w:rPr>
          <w:rFonts w:eastAsia="Times New Roman" w:cs="Arial"/>
          <w:color w:val="000000"/>
          <w:szCs w:val="20"/>
          <w:lang w:val="en-US"/>
        </w:rPr>
        <w:t xml:space="preserve">LDL-C </w:t>
      </w:r>
      <w:r w:rsidRPr="000A62B3">
        <w:rPr>
          <w:rFonts w:eastAsia="Times New Roman" w:cs="Arial"/>
          <w:color w:val="000000"/>
          <w:szCs w:val="20"/>
          <w:lang w:eastAsia="bg-BG"/>
        </w:rPr>
        <w:t xml:space="preserve">&lt; 3,35 </w:t>
      </w:r>
      <w:r w:rsidRPr="000A62B3">
        <w:rPr>
          <w:rFonts w:eastAsia="Times New Roman" w:cs="Arial"/>
          <w:color w:val="000000"/>
          <w:szCs w:val="20"/>
          <w:lang w:val="en-US"/>
        </w:rPr>
        <w:t xml:space="preserve">mmol/l </w:t>
      </w:r>
      <w:r w:rsidRPr="000A62B3">
        <w:rPr>
          <w:rFonts w:eastAsia="Times New Roman" w:cs="Arial"/>
          <w:color w:val="000000"/>
          <w:szCs w:val="20"/>
          <w:lang w:eastAsia="bg-BG"/>
        </w:rPr>
        <w:t>след 4 седмична терапия и ако аторвастатин се понася добре.</w:t>
      </w:r>
    </w:p>
    <w:p w14:paraId="7FC55515" w14:textId="77777777" w:rsidR="000A62B3" w:rsidRPr="000A62B3" w:rsidRDefault="000A62B3" w:rsidP="000A62B3">
      <w:pPr>
        <w:spacing w:line="240" w:lineRule="auto"/>
        <w:rPr>
          <w:rFonts w:eastAsia="Times New Roman" w:cs="Arial"/>
          <w:color w:val="000000"/>
          <w:szCs w:val="20"/>
          <w:lang w:eastAsia="bg-BG"/>
        </w:rPr>
      </w:pPr>
    </w:p>
    <w:p w14:paraId="51247D9D" w14:textId="0C49A180"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Средните стойности на </w:t>
      </w:r>
      <w:r w:rsidRPr="000A62B3">
        <w:rPr>
          <w:rFonts w:eastAsia="Times New Roman" w:cs="Arial"/>
          <w:color w:val="000000"/>
          <w:szCs w:val="20"/>
          <w:lang w:val="en-US"/>
        </w:rPr>
        <w:t xml:space="preserve">LDL-C, </w:t>
      </w:r>
      <w:r w:rsidRPr="000A62B3">
        <w:rPr>
          <w:rFonts w:eastAsia="Times New Roman" w:cs="Arial"/>
          <w:color w:val="000000"/>
          <w:szCs w:val="20"/>
          <w:lang w:eastAsia="bg-BG"/>
        </w:rPr>
        <w:t xml:space="preserve">общия холестерол, </w:t>
      </w:r>
      <w:r w:rsidRPr="000A62B3">
        <w:rPr>
          <w:rFonts w:eastAsia="Times New Roman" w:cs="Arial"/>
          <w:color w:val="000000"/>
          <w:szCs w:val="20"/>
          <w:lang w:val="en-US"/>
        </w:rPr>
        <w:t xml:space="preserve">VLDL-C </w:t>
      </w:r>
      <w:r w:rsidRPr="000A62B3">
        <w:rPr>
          <w:rFonts w:eastAsia="Times New Roman" w:cs="Arial"/>
          <w:color w:val="000000"/>
          <w:szCs w:val="20"/>
          <w:lang w:eastAsia="bg-BG"/>
        </w:rPr>
        <w:t xml:space="preserve">и Аро В са намалели при всички пациенти през втората седмица на лечение. При пациенти, на които дозата е била удвоена, е било наблюдавано допълнително намаление в стойностите две седмици след повишаването на дозата. Средният процент на намаление на липидните параметри е сходен при двете кохорти, без значение дали първоначалната доза е била удвоявана или не. На осмата седмица средното намаление в базовите стойности на </w:t>
      </w:r>
      <w:r w:rsidRPr="000A62B3">
        <w:rPr>
          <w:rFonts w:eastAsia="Times New Roman" w:cs="Arial"/>
          <w:color w:val="000000"/>
          <w:szCs w:val="20"/>
          <w:lang w:val="en-US"/>
        </w:rPr>
        <w:t xml:space="preserve">LDL-C </w:t>
      </w:r>
      <w:r w:rsidRPr="000A62B3">
        <w:rPr>
          <w:rFonts w:eastAsia="Times New Roman" w:cs="Arial"/>
          <w:color w:val="000000"/>
          <w:szCs w:val="20"/>
          <w:lang w:eastAsia="bg-BG"/>
        </w:rPr>
        <w:t>и тоталния холестерол е било приблизително съответно 40% и 30% над обсега на въздействие.</w:t>
      </w:r>
    </w:p>
    <w:p w14:paraId="178B35E0" w14:textId="77777777" w:rsidR="000A62B3" w:rsidRPr="000A62B3" w:rsidRDefault="000A62B3" w:rsidP="000A62B3">
      <w:pPr>
        <w:spacing w:line="240" w:lineRule="auto"/>
        <w:rPr>
          <w:rFonts w:eastAsia="Times New Roman" w:cs="Arial"/>
          <w:color w:val="000000"/>
          <w:szCs w:val="20"/>
          <w:lang w:eastAsia="bg-BG"/>
        </w:rPr>
      </w:pPr>
    </w:p>
    <w:p w14:paraId="7FF3E0A6" w14:textId="212779E1"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Във второ отворено проучване с едно рамо, 271 момчета и момичета с хетерозиготна фамилна хиперхолестеролемия на възраст 6-15 години са били включени и лекувани с аторвастатин за период от 3 години. За включване в проучването е изисквано потвърдена хетерозиготна фамилна хиперхолестеролемия и изходна стойност на </w:t>
      </w:r>
      <w:r w:rsidRPr="000A62B3">
        <w:rPr>
          <w:rFonts w:eastAsia="Times New Roman" w:cs="Arial"/>
          <w:color w:val="000000"/>
          <w:szCs w:val="20"/>
          <w:lang w:val="en-US"/>
        </w:rPr>
        <w:t xml:space="preserve">LDL-C </w:t>
      </w:r>
      <w:r w:rsidRPr="000A62B3">
        <w:rPr>
          <w:rFonts w:eastAsia="Times New Roman" w:cs="Arial"/>
          <w:color w:val="000000"/>
          <w:szCs w:val="20"/>
          <w:lang w:eastAsia="bg-BG"/>
        </w:rPr>
        <w:t xml:space="preserve">&gt; 4 </w:t>
      </w:r>
      <w:r w:rsidRPr="000A62B3">
        <w:rPr>
          <w:rFonts w:eastAsia="Times New Roman" w:cs="Arial"/>
          <w:color w:val="000000"/>
          <w:szCs w:val="20"/>
          <w:lang w:val="en-US"/>
        </w:rPr>
        <w:t xml:space="preserve">mmol/l </w:t>
      </w:r>
      <w:r w:rsidRPr="000A62B3">
        <w:rPr>
          <w:rFonts w:eastAsia="Times New Roman" w:cs="Arial"/>
          <w:color w:val="000000"/>
          <w:szCs w:val="20"/>
          <w:lang w:eastAsia="bg-BG"/>
        </w:rPr>
        <w:t xml:space="preserve">(приблизително 152 </w:t>
      </w:r>
      <w:r w:rsidRPr="000A62B3">
        <w:rPr>
          <w:rFonts w:eastAsia="Times New Roman" w:cs="Arial"/>
          <w:color w:val="000000"/>
          <w:szCs w:val="20"/>
          <w:lang w:val="en-US"/>
        </w:rPr>
        <w:t xml:space="preserve">mg/dl). </w:t>
      </w:r>
      <w:r w:rsidRPr="000A62B3">
        <w:rPr>
          <w:rFonts w:eastAsia="Times New Roman" w:cs="Arial"/>
          <w:color w:val="000000"/>
          <w:szCs w:val="20"/>
          <w:lang w:eastAsia="bg-BG"/>
        </w:rPr>
        <w:t xml:space="preserve">Проучването включва 139 деца в първи стадий по </w:t>
      </w:r>
      <w:r w:rsidRPr="000A62B3">
        <w:rPr>
          <w:rFonts w:eastAsia="Times New Roman" w:cs="Arial"/>
          <w:i/>
          <w:iCs/>
          <w:color w:val="000000"/>
          <w:szCs w:val="20"/>
          <w:lang w:val="en-US"/>
        </w:rPr>
        <w:t>Tanner</w:t>
      </w:r>
      <w:r w:rsidRPr="000A62B3">
        <w:rPr>
          <w:rFonts w:eastAsia="Times New Roman" w:cs="Arial"/>
          <w:color w:val="000000"/>
          <w:szCs w:val="20"/>
          <w:lang w:val="en-US"/>
        </w:rPr>
        <w:t xml:space="preserve"> </w:t>
      </w:r>
      <w:r w:rsidRPr="000A62B3">
        <w:rPr>
          <w:rFonts w:eastAsia="Times New Roman" w:cs="Arial"/>
          <w:color w:val="000000"/>
          <w:szCs w:val="20"/>
          <w:lang w:eastAsia="bg-BG"/>
        </w:rPr>
        <w:t xml:space="preserve">(обикновено на възраст от 6-10 години). Дозата на аторвастатин (веднъж дневно) е била 5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(таблетки за дъвчене) при деца на възраст под 10 години. Деца на възраст 10 години и повече са започнали лечение с 10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аторвастатин (веднъж дневно). Всички деца са могли да получат титриране до по-високи дози за постигане на прицелни стойности на </w:t>
      </w:r>
      <w:r w:rsidRPr="000A62B3">
        <w:rPr>
          <w:rFonts w:eastAsia="Times New Roman" w:cs="Arial"/>
          <w:color w:val="000000"/>
          <w:szCs w:val="20"/>
          <w:lang w:val="en-US"/>
        </w:rPr>
        <w:t xml:space="preserve">LDL-C </w:t>
      </w:r>
      <w:r w:rsidRPr="000A62B3">
        <w:rPr>
          <w:rFonts w:eastAsia="Times New Roman" w:cs="Arial"/>
          <w:color w:val="000000"/>
          <w:szCs w:val="20"/>
          <w:lang w:eastAsia="bg-BG"/>
        </w:rPr>
        <w:t xml:space="preserve">&lt; 3,35 </w:t>
      </w:r>
      <w:r w:rsidRPr="000A62B3">
        <w:rPr>
          <w:rFonts w:eastAsia="Times New Roman" w:cs="Arial"/>
          <w:color w:val="000000"/>
          <w:szCs w:val="20"/>
          <w:lang w:val="en-US"/>
        </w:rPr>
        <w:t>mmol/l</w:t>
      </w:r>
      <w:r w:rsidRPr="000A62B3">
        <w:rPr>
          <w:rFonts w:eastAsia="Times New Roman" w:cs="Arial"/>
          <w:color w:val="000000"/>
          <w:szCs w:val="20"/>
          <w:lang w:eastAsia="bg-BG"/>
        </w:rPr>
        <w:t xml:space="preserve">. Средната доза, адаптирана спрямо теглото, за деца на възраст от 6 до 9 години е била 19,6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а за деца на възраст 10 години и повече е била 23,9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Средните (+/- </w:t>
      </w:r>
      <w:r w:rsidRPr="000A62B3">
        <w:rPr>
          <w:rFonts w:eastAsia="Times New Roman" w:cs="Arial"/>
          <w:color w:val="000000"/>
          <w:szCs w:val="20"/>
          <w:lang w:val="en-US"/>
        </w:rPr>
        <w:t xml:space="preserve">CO) </w:t>
      </w:r>
      <w:r w:rsidRPr="000A62B3">
        <w:rPr>
          <w:rFonts w:eastAsia="Times New Roman" w:cs="Arial"/>
          <w:color w:val="000000"/>
          <w:szCs w:val="20"/>
          <w:lang w:eastAsia="bg-BG"/>
        </w:rPr>
        <w:t xml:space="preserve">изходни стойности на </w:t>
      </w:r>
      <w:r w:rsidRPr="000A62B3">
        <w:rPr>
          <w:rFonts w:eastAsia="Times New Roman" w:cs="Arial"/>
          <w:color w:val="000000"/>
          <w:szCs w:val="20"/>
          <w:lang w:val="en-US"/>
        </w:rPr>
        <w:t xml:space="preserve">LDL-C </w:t>
      </w:r>
      <w:r w:rsidRPr="000A62B3">
        <w:rPr>
          <w:rFonts w:eastAsia="Times New Roman" w:cs="Arial"/>
          <w:color w:val="000000"/>
          <w:szCs w:val="20"/>
          <w:lang w:eastAsia="bg-BG"/>
        </w:rPr>
        <w:t xml:space="preserve">са били 6,12 (1,26) </w:t>
      </w:r>
      <w:r w:rsidRPr="000A62B3">
        <w:rPr>
          <w:rFonts w:eastAsia="Times New Roman" w:cs="Arial"/>
          <w:color w:val="000000"/>
          <w:szCs w:val="20"/>
          <w:lang w:val="en-US"/>
        </w:rPr>
        <w:t xml:space="preserve">mmol/l, </w:t>
      </w:r>
      <w:r w:rsidRPr="000A62B3">
        <w:rPr>
          <w:rFonts w:eastAsia="Times New Roman" w:cs="Arial"/>
          <w:color w:val="000000"/>
          <w:szCs w:val="20"/>
          <w:lang w:eastAsia="bg-BG"/>
        </w:rPr>
        <w:t xml:space="preserve">което е било приблизително 233 (48) </w:t>
      </w:r>
      <w:r w:rsidRPr="000A62B3">
        <w:rPr>
          <w:rFonts w:eastAsia="Times New Roman" w:cs="Arial"/>
          <w:color w:val="000000"/>
          <w:szCs w:val="20"/>
          <w:lang w:val="en-US"/>
        </w:rPr>
        <w:t xml:space="preserve">mg/dl. </w:t>
      </w:r>
      <w:r w:rsidRPr="000A62B3">
        <w:rPr>
          <w:rFonts w:eastAsia="Times New Roman" w:cs="Arial"/>
          <w:color w:val="000000"/>
          <w:szCs w:val="20"/>
          <w:lang w:eastAsia="bg-BG"/>
        </w:rPr>
        <w:t>Вижте Таблица 3 по-долу за окончателните резултати.</w:t>
      </w:r>
    </w:p>
    <w:p w14:paraId="412217BF" w14:textId="77777777" w:rsidR="000A62B3" w:rsidRPr="000A62B3" w:rsidRDefault="000A62B3" w:rsidP="000A62B3">
      <w:pPr>
        <w:spacing w:line="240" w:lineRule="auto"/>
        <w:rPr>
          <w:rFonts w:eastAsia="Times New Roman" w:cs="Arial"/>
          <w:color w:val="000000"/>
          <w:szCs w:val="20"/>
          <w:lang w:eastAsia="bg-BG"/>
        </w:rPr>
      </w:pPr>
    </w:p>
    <w:p w14:paraId="289A8AD8" w14:textId="505DFF90" w:rsidR="000A62B3" w:rsidRPr="000A62B3" w:rsidRDefault="000A62B3" w:rsidP="000A62B3">
      <w:pPr>
        <w:spacing w:line="240" w:lineRule="auto"/>
        <w:rPr>
          <w:rFonts w:eastAsia="Times New Roman" w:cs="Arial"/>
          <w:color w:val="000000"/>
          <w:szCs w:val="20"/>
          <w:lang w:eastAsia="bg-BG"/>
        </w:rPr>
      </w:pPr>
      <w:r w:rsidRPr="000A62B3">
        <w:rPr>
          <w:rFonts w:eastAsia="Times New Roman" w:cs="Arial"/>
          <w:color w:val="000000"/>
          <w:szCs w:val="20"/>
          <w:lang w:eastAsia="bg-BG"/>
        </w:rPr>
        <w:t xml:space="preserve">Данните са съответствали на липса на ефект върху който и да е от параметрите на растежа и развитието (напр. височина, тегло, </w:t>
      </w:r>
      <w:r w:rsidRPr="000A62B3">
        <w:rPr>
          <w:rFonts w:eastAsia="Times New Roman" w:cs="Arial"/>
          <w:color w:val="000000"/>
          <w:szCs w:val="20"/>
          <w:lang w:val="en-US"/>
        </w:rPr>
        <w:t xml:space="preserve">BMI, </w:t>
      </w:r>
      <w:r w:rsidRPr="000A62B3">
        <w:rPr>
          <w:rFonts w:eastAsia="Times New Roman" w:cs="Arial"/>
          <w:color w:val="000000"/>
          <w:szCs w:val="20"/>
          <w:lang w:eastAsia="bg-BG"/>
        </w:rPr>
        <w:t xml:space="preserve">стадий по </w:t>
      </w:r>
      <w:r w:rsidRPr="000A62B3">
        <w:rPr>
          <w:rFonts w:eastAsia="Times New Roman" w:cs="Arial"/>
          <w:i/>
          <w:iCs/>
          <w:color w:val="000000"/>
          <w:szCs w:val="20"/>
          <w:lang w:val="en-US"/>
        </w:rPr>
        <w:t>Tanner,</w:t>
      </w:r>
      <w:r w:rsidRPr="000A62B3">
        <w:rPr>
          <w:rFonts w:eastAsia="Times New Roman" w:cs="Arial"/>
          <w:color w:val="000000"/>
          <w:szCs w:val="20"/>
          <w:lang w:val="en-US"/>
        </w:rPr>
        <w:t xml:space="preserve"> </w:t>
      </w:r>
      <w:r w:rsidRPr="000A62B3">
        <w:rPr>
          <w:rFonts w:eastAsia="Times New Roman" w:cs="Arial"/>
          <w:color w:val="000000"/>
          <w:szCs w:val="20"/>
          <w:lang w:eastAsia="bg-BG"/>
        </w:rPr>
        <w:t xml:space="preserve">оценка на изследователя за цялостното съзряване и развитие) при педиатрични пациенти и юноши с хетерозиготна фамилна хиперхолестеролемия, получаващи лечение с аторвастатин по време на 3-годишно проучване. Въз основа на оценка на изследователя не е отчетен ефект по отношение на височината, теглото, </w:t>
      </w:r>
      <w:r w:rsidRPr="000A62B3">
        <w:rPr>
          <w:rFonts w:eastAsia="Times New Roman" w:cs="Arial"/>
          <w:color w:val="000000"/>
          <w:szCs w:val="20"/>
          <w:lang w:val="en-US"/>
        </w:rPr>
        <w:t xml:space="preserve">BMI </w:t>
      </w:r>
      <w:r w:rsidRPr="000A62B3">
        <w:rPr>
          <w:rFonts w:eastAsia="Times New Roman" w:cs="Arial"/>
          <w:color w:val="000000"/>
          <w:szCs w:val="20"/>
          <w:lang w:eastAsia="bg-BG"/>
        </w:rPr>
        <w:t>по възраст или пол при посещение.</w:t>
      </w:r>
    </w:p>
    <w:p w14:paraId="4F62BD90" w14:textId="7A5CD6D3" w:rsidR="000A62B3" w:rsidRDefault="000A62B3" w:rsidP="000A62B3">
      <w:pPr>
        <w:spacing w:line="240" w:lineRule="auto"/>
        <w:rPr>
          <w:rFonts w:ascii="Times New Roman" w:eastAsia="Times New Roman" w:hAnsi="Times New Roman" w:cs="Times New Roman"/>
          <w:color w:val="000000"/>
          <w:sz w:val="20"/>
          <w:szCs w:val="20"/>
          <w:lang w:eastAsia="bg-BG"/>
        </w:rPr>
      </w:pPr>
    </w:p>
    <w:p w14:paraId="180D0FFA" w14:textId="6F96B8A5" w:rsidR="000A62B3" w:rsidRPr="000A62B3" w:rsidRDefault="000A62B3" w:rsidP="000A62B3">
      <w:pPr>
        <w:spacing w:line="240" w:lineRule="auto"/>
        <w:jc w:val="center"/>
        <w:rPr>
          <w:rFonts w:cs="Arial"/>
          <w:b/>
          <w:bCs/>
          <w:u w:val="single"/>
        </w:rPr>
      </w:pPr>
      <w:r w:rsidRPr="000A62B3">
        <w:rPr>
          <w:rFonts w:cs="Arial"/>
          <w:b/>
          <w:bCs/>
        </w:rPr>
        <w:t xml:space="preserve">Таблица 3 </w:t>
      </w:r>
      <w:r w:rsidRPr="000A62B3">
        <w:rPr>
          <w:rFonts w:cs="Arial"/>
          <w:b/>
          <w:bCs/>
          <w:u w:val="single"/>
        </w:rPr>
        <w:t>Ли</w:t>
      </w:r>
      <w:r w:rsidRPr="000A62B3">
        <w:rPr>
          <w:rFonts w:cs="Arial"/>
          <w:b/>
          <w:bCs/>
          <w:u w:val="single"/>
        </w:rPr>
        <w:t>пидопонижавашн ефекти иа аторвастати</w:t>
      </w:r>
      <w:r w:rsidRPr="000A62B3">
        <w:rPr>
          <w:rFonts w:cs="Arial"/>
          <w:b/>
          <w:bCs/>
          <w:u w:val="single"/>
        </w:rPr>
        <w:t>н при юноши момчета и момичета e</w:t>
      </w:r>
    </w:p>
    <w:p w14:paraId="5A5CBA94" w14:textId="61230894" w:rsidR="000A62B3" w:rsidRPr="000A62B3" w:rsidRDefault="000A62B3" w:rsidP="000A62B3">
      <w:pPr>
        <w:spacing w:line="240" w:lineRule="auto"/>
        <w:jc w:val="center"/>
        <w:rPr>
          <w:rFonts w:cs="Arial"/>
          <w:b/>
          <w:bCs/>
          <w:u w:val="single"/>
        </w:rPr>
      </w:pPr>
      <w:r w:rsidRPr="000A62B3">
        <w:rPr>
          <w:rFonts w:cs="Arial"/>
          <w:b/>
          <w:bCs/>
        </w:rPr>
        <w:t xml:space="preserve">хетерозиготна фамилна хиперхолестеролемия </w:t>
      </w:r>
      <w:r w:rsidRPr="000A62B3">
        <w:rPr>
          <w:rFonts w:cs="Arial"/>
          <w:b/>
          <w:bCs/>
          <w:lang w:val="en-US"/>
        </w:rPr>
        <w:t>(mmol/l)</w:t>
      </w:r>
    </w:p>
    <w:tbl>
      <w:tblPr>
        <w:tblStyle w:val="TableGrid"/>
        <w:tblW w:w="0" w:type="auto"/>
        <w:tblLook w:val="04A0" w:firstRow="1" w:lastRow="0" w:firstColumn="1" w:lastColumn="0" w:noHBand="0" w:noVBand="1"/>
      </w:tblPr>
      <w:tblGrid>
        <w:gridCol w:w="1333"/>
        <w:gridCol w:w="1184"/>
        <w:gridCol w:w="1326"/>
        <w:gridCol w:w="1326"/>
        <w:gridCol w:w="1586"/>
        <w:gridCol w:w="1345"/>
        <w:gridCol w:w="1476"/>
      </w:tblGrid>
      <w:tr w:rsidR="000A62B3" w:rsidRPr="000A62B3" w14:paraId="773B0AD1" w14:textId="77777777" w:rsidTr="00DE0EC8">
        <w:tc>
          <w:tcPr>
            <w:tcW w:w="9500" w:type="dxa"/>
            <w:gridSpan w:val="7"/>
          </w:tcPr>
          <w:p w14:paraId="1B1106B5" w14:textId="77777777" w:rsidR="000A62B3" w:rsidRPr="000A62B3" w:rsidRDefault="000A62B3" w:rsidP="000A62B3">
            <w:pPr>
              <w:spacing w:line="240" w:lineRule="auto"/>
              <w:rPr>
                <w:rFonts w:eastAsia="Times New Roman" w:cs="Arial"/>
                <w:color w:val="000000"/>
                <w:lang w:eastAsia="bg-BG"/>
              </w:rPr>
            </w:pPr>
          </w:p>
        </w:tc>
      </w:tr>
      <w:tr w:rsidR="000A62B3" w:rsidRPr="000A62B3" w14:paraId="6A4FB8F6" w14:textId="77777777" w:rsidTr="000A62B3">
        <w:tc>
          <w:tcPr>
            <w:tcW w:w="1357" w:type="dxa"/>
          </w:tcPr>
          <w:p w14:paraId="2F1AF58E" w14:textId="42781C69" w:rsidR="000A62B3" w:rsidRPr="000A62B3" w:rsidRDefault="000A62B3" w:rsidP="000A62B3">
            <w:pPr>
              <w:spacing w:line="240" w:lineRule="auto"/>
              <w:rPr>
                <w:rFonts w:eastAsia="Times New Roman" w:cs="Arial"/>
                <w:color w:val="000000"/>
                <w:lang w:eastAsia="bg-BG"/>
              </w:rPr>
            </w:pPr>
            <w:r w:rsidRPr="000A62B3">
              <w:rPr>
                <w:rFonts w:cs="Arial"/>
                <w:lang w:eastAsia="bg-BG"/>
              </w:rPr>
              <w:t>Времева точка</w:t>
            </w:r>
          </w:p>
        </w:tc>
        <w:tc>
          <w:tcPr>
            <w:tcW w:w="1357" w:type="dxa"/>
          </w:tcPr>
          <w:p w14:paraId="384B055B" w14:textId="14E6C98E" w:rsidR="000A62B3" w:rsidRPr="000A62B3" w:rsidRDefault="000A62B3" w:rsidP="000A62B3">
            <w:pPr>
              <w:spacing w:line="240" w:lineRule="auto"/>
              <w:rPr>
                <w:rFonts w:eastAsia="Times New Roman" w:cs="Arial"/>
                <w:color w:val="000000"/>
                <w:lang w:eastAsia="bg-BG"/>
              </w:rPr>
            </w:pPr>
            <w:r w:rsidRPr="000A62B3">
              <w:rPr>
                <w:rFonts w:cs="Arial"/>
              </w:rPr>
              <w:t>N</w:t>
            </w:r>
          </w:p>
        </w:tc>
        <w:tc>
          <w:tcPr>
            <w:tcW w:w="1357" w:type="dxa"/>
          </w:tcPr>
          <w:p w14:paraId="31193373" w14:textId="74CF1C28" w:rsidR="000A62B3" w:rsidRPr="000A62B3" w:rsidRDefault="000A62B3" w:rsidP="000A62B3">
            <w:pPr>
              <w:spacing w:line="240" w:lineRule="auto"/>
              <w:rPr>
                <w:rFonts w:eastAsia="Times New Roman" w:cs="Arial"/>
                <w:color w:val="000000"/>
                <w:lang w:eastAsia="bg-BG"/>
              </w:rPr>
            </w:pPr>
            <w:r w:rsidRPr="000A62B3">
              <w:rPr>
                <w:rFonts w:cs="Arial"/>
                <w:lang w:eastAsia="bg-BG"/>
              </w:rPr>
              <w:t xml:space="preserve">ТС </w:t>
            </w:r>
            <w:r w:rsidRPr="000A62B3">
              <w:rPr>
                <w:rFonts w:cs="Arial"/>
              </w:rPr>
              <w:t>(CO)</w:t>
            </w:r>
          </w:p>
        </w:tc>
        <w:tc>
          <w:tcPr>
            <w:tcW w:w="1357" w:type="dxa"/>
          </w:tcPr>
          <w:p w14:paraId="2ED78FE1" w14:textId="487826FD" w:rsidR="000A62B3" w:rsidRPr="000A62B3" w:rsidRDefault="000A62B3" w:rsidP="000A62B3">
            <w:pPr>
              <w:spacing w:line="240" w:lineRule="auto"/>
              <w:rPr>
                <w:rFonts w:eastAsia="Times New Roman" w:cs="Arial"/>
                <w:color w:val="000000"/>
                <w:lang w:eastAsia="bg-BG"/>
              </w:rPr>
            </w:pPr>
            <w:r w:rsidRPr="000A62B3">
              <w:rPr>
                <w:rFonts w:cs="Arial"/>
              </w:rPr>
              <w:t>LDL-C (CO)</w:t>
            </w:r>
          </w:p>
        </w:tc>
        <w:tc>
          <w:tcPr>
            <w:tcW w:w="1357" w:type="dxa"/>
          </w:tcPr>
          <w:p w14:paraId="1EB7810F" w14:textId="447C8683" w:rsidR="000A62B3" w:rsidRPr="000A62B3" w:rsidRDefault="000A62B3" w:rsidP="000A62B3">
            <w:pPr>
              <w:spacing w:line="240" w:lineRule="auto"/>
              <w:rPr>
                <w:rFonts w:eastAsia="Times New Roman" w:cs="Arial"/>
                <w:color w:val="000000"/>
                <w:lang w:eastAsia="bg-BG"/>
              </w:rPr>
            </w:pPr>
            <w:r w:rsidRPr="000A62B3">
              <w:rPr>
                <w:rFonts w:cs="Arial"/>
              </w:rPr>
              <w:t>HDL-C (CO)</w:t>
            </w:r>
          </w:p>
        </w:tc>
        <w:tc>
          <w:tcPr>
            <w:tcW w:w="1357" w:type="dxa"/>
          </w:tcPr>
          <w:p w14:paraId="00DED985" w14:textId="784117D1" w:rsidR="000A62B3" w:rsidRPr="000A62B3" w:rsidRDefault="000A62B3" w:rsidP="000A62B3">
            <w:pPr>
              <w:spacing w:line="240" w:lineRule="auto"/>
              <w:rPr>
                <w:rFonts w:eastAsia="Times New Roman" w:cs="Arial"/>
                <w:color w:val="000000"/>
                <w:lang w:eastAsia="bg-BG"/>
              </w:rPr>
            </w:pPr>
            <w:r w:rsidRPr="000A62B3">
              <w:rPr>
                <w:rFonts w:cs="Arial"/>
              </w:rPr>
              <w:t>TG (CO)</w:t>
            </w:r>
          </w:p>
        </w:tc>
        <w:tc>
          <w:tcPr>
            <w:tcW w:w="1358" w:type="dxa"/>
          </w:tcPr>
          <w:p w14:paraId="004B7838" w14:textId="743BB106" w:rsidR="000A62B3" w:rsidRPr="000A62B3" w:rsidRDefault="000A62B3" w:rsidP="000A62B3">
            <w:pPr>
              <w:spacing w:line="240" w:lineRule="auto"/>
              <w:rPr>
                <w:rFonts w:eastAsia="Times New Roman" w:cs="Arial"/>
                <w:color w:val="000000"/>
                <w:lang w:eastAsia="bg-BG"/>
              </w:rPr>
            </w:pPr>
            <w:r w:rsidRPr="000A62B3">
              <w:rPr>
                <w:rFonts w:cs="Arial"/>
              </w:rPr>
              <w:t>Apo B (COT</w:t>
            </w:r>
          </w:p>
        </w:tc>
      </w:tr>
      <w:tr w:rsidR="000A62B3" w:rsidRPr="000A62B3" w14:paraId="620C886C" w14:textId="77777777" w:rsidTr="000A62B3">
        <w:tc>
          <w:tcPr>
            <w:tcW w:w="1357" w:type="dxa"/>
          </w:tcPr>
          <w:p w14:paraId="0F7798B0" w14:textId="31031603" w:rsidR="000A62B3" w:rsidRPr="000A62B3" w:rsidRDefault="000A62B3" w:rsidP="000A62B3">
            <w:pPr>
              <w:spacing w:line="240" w:lineRule="auto"/>
              <w:rPr>
                <w:rFonts w:eastAsia="Times New Roman" w:cs="Arial"/>
                <w:color w:val="000000"/>
                <w:lang w:eastAsia="bg-BG"/>
              </w:rPr>
            </w:pPr>
            <w:r w:rsidRPr="000A62B3">
              <w:rPr>
                <w:rFonts w:cs="Arial"/>
                <w:lang w:eastAsia="bg-BG"/>
              </w:rPr>
              <w:t>Изходни стойности</w:t>
            </w:r>
          </w:p>
        </w:tc>
        <w:tc>
          <w:tcPr>
            <w:tcW w:w="1357" w:type="dxa"/>
          </w:tcPr>
          <w:p w14:paraId="7A294172" w14:textId="5E703B0B" w:rsidR="000A62B3" w:rsidRPr="000A62B3" w:rsidRDefault="000A62B3" w:rsidP="000A62B3">
            <w:pPr>
              <w:spacing w:line="240" w:lineRule="auto"/>
              <w:rPr>
                <w:rFonts w:eastAsia="Times New Roman" w:cs="Arial"/>
                <w:color w:val="000000"/>
                <w:lang w:eastAsia="bg-BG"/>
              </w:rPr>
            </w:pPr>
            <w:r w:rsidRPr="000A62B3">
              <w:rPr>
                <w:rFonts w:cs="Arial"/>
                <w:lang w:eastAsia="bg-BG"/>
              </w:rPr>
              <w:t>271</w:t>
            </w:r>
          </w:p>
        </w:tc>
        <w:tc>
          <w:tcPr>
            <w:tcW w:w="1357" w:type="dxa"/>
          </w:tcPr>
          <w:p w14:paraId="1BC0A462" w14:textId="1295F98E" w:rsidR="000A62B3" w:rsidRPr="000A62B3" w:rsidRDefault="000A62B3" w:rsidP="000A62B3">
            <w:pPr>
              <w:spacing w:line="240" w:lineRule="auto"/>
              <w:rPr>
                <w:rFonts w:eastAsia="Times New Roman" w:cs="Arial"/>
                <w:color w:val="000000"/>
                <w:lang w:eastAsia="bg-BG"/>
              </w:rPr>
            </w:pPr>
            <w:r w:rsidRPr="000A62B3">
              <w:rPr>
                <w:rFonts w:cs="Arial"/>
                <w:lang w:eastAsia="bg-BG"/>
              </w:rPr>
              <w:t>7,86(1,30)</w:t>
            </w:r>
          </w:p>
        </w:tc>
        <w:tc>
          <w:tcPr>
            <w:tcW w:w="1357" w:type="dxa"/>
          </w:tcPr>
          <w:p w14:paraId="486F01B8" w14:textId="1E9366EC" w:rsidR="000A62B3" w:rsidRPr="000A62B3" w:rsidRDefault="000A62B3" w:rsidP="000A62B3">
            <w:pPr>
              <w:spacing w:line="240" w:lineRule="auto"/>
              <w:rPr>
                <w:rFonts w:eastAsia="Times New Roman" w:cs="Arial"/>
                <w:color w:val="000000"/>
                <w:lang w:eastAsia="bg-BG"/>
              </w:rPr>
            </w:pPr>
            <w:r w:rsidRPr="000A62B3">
              <w:rPr>
                <w:rFonts w:cs="Arial"/>
                <w:lang w:eastAsia="bg-BG"/>
              </w:rPr>
              <w:t>6,12(1,26)</w:t>
            </w:r>
          </w:p>
        </w:tc>
        <w:tc>
          <w:tcPr>
            <w:tcW w:w="1357" w:type="dxa"/>
          </w:tcPr>
          <w:p w14:paraId="65A1B992" w14:textId="17E03744" w:rsidR="000A62B3" w:rsidRPr="000A62B3" w:rsidRDefault="000A62B3" w:rsidP="000A62B3">
            <w:pPr>
              <w:spacing w:line="240" w:lineRule="auto"/>
              <w:rPr>
                <w:rFonts w:eastAsia="Times New Roman" w:cs="Arial"/>
                <w:color w:val="000000"/>
                <w:lang w:eastAsia="bg-BG"/>
              </w:rPr>
            </w:pPr>
            <w:r w:rsidRPr="000A62B3">
              <w:rPr>
                <w:rFonts w:cs="Arial"/>
              </w:rPr>
              <w:t>1,314(0,2663)</w:t>
            </w:r>
          </w:p>
        </w:tc>
        <w:tc>
          <w:tcPr>
            <w:tcW w:w="1357" w:type="dxa"/>
          </w:tcPr>
          <w:p w14:paraId="08590C0E" w14:textId="0FB4E2C7" w:rsidR="000A62B3" w:rsidRPr="000A62B3" w:rsidRDefault="000A62B3" w:rsidP="000A62B3">
            <w:pPr>
              <w:spacing w:line="240" w:lineRule="auto"/>
              <w:rPr>
                <w:rFonts w:eastAsia="Times New Roman" w:cs="Arial"/>
                <w:color w:val="000000"/>
                <w:lang w:eastAsia="bg-BG"/>
              </w:rPr>
            </w:pPr>
            <w:r w:rsidRPr="000A62B3">
              <w:rPr>
                <w:rFonts w:cs="Arial"/>
              </w:rPr>
              <w:t>0,93(0,47)</w:t>
            </w:r>
          </w:p>
        </w:tc>
        <w:tc>
          <w:tcPr>
            <w:tcW w:w="1358" w:type="dxa"/>
          </w:tcPr>
          <w:p w14:paraId="5B302BC8" w14:textId="296CB32D" w:rsidR="000A62B3" w:rsidRPr="000A62B3" w:rsidRDefault="000A62B3" w:rsidP="000A62B3">
            <w:pPr>
              <w:spacing w:line="240" w:lineRule="auto"/>
              <w:rPr>
                <w:rFonts w:eastAsia="Times New Roman" w:cs="Arial"/>
                <w:color w:val="000000"/>
                <w:lang w:eastAsia="bg-BG"/>
              </w:rPr>
            </w:pPr>
            <w:r w:rsidRPr="000A62B3">
              <w:rPr>
                <w:rFonts w:cs="Arial"/>
              </w:rPr>
              <w:t>1,42(0,28)**</w:t>
            </w:r>
          </w:p>
        </w:tc>
      </w:tr>
      <w:tr w:rsidR="000A62B3" w:rsidRPr="000A62B3" w14:paraId="76A17DF3" w14:textId="77777777" w:rsidTr="000A62B3">
        <w:tc>
          <w:tcPr>
            <w:tcW w:w="1357" w:type="dxa"/>
          </w:tcPr>
          <w:p w14:paraId="15DA7F3D" w14:textId="4A2298BE" w:rsidR="000A62B3" w:rsidRPr="000A62B3" w:rsidRDefault="000A62B3" w:rsidP="000A62B3">
            <w:pPr>
              <w:spacing w:line="240" w:lineRule="auto"/>
              <w:rPr>
                <w:rFonts w:eastAsia="Times New Roman" w:cs="Arial"/>
                <w:color w:val="000000"/>
                <w:lang w:eastAsia="bg-BG"/>
              </w:rPr>
            </w:pPr>
            <w:r w:rsidRPr="000A62B3">
              <w:rPr>
                <w:rFonts w:cs="Arial"/>
                <w:lang w:eastAsia="bg-BG"/>
              </w:rPr>
              <w:t>Месец 30</w:t>
            </w:r>
          </w:p>
        </w:tc>
        <w:tc>
          <w:tcPr>
            <w:tcW w:w="1357" w:type="dxa"/>
          </w:tcPr>
          <w:p w14:paraId="7A4FFF21" w14:textId="2C4A913C" w:rsidR="000A62B3" w:rsidRPr="000A62B3" w:rsidRDefault="000A62B3" w:rsidP="000A62B3">
            <w:pPr>
              <w:spacing w:line="240" w:lineRule="auto"/>
              <w:rPr>
                <w:rFonts w:eastAsia="Times New Roman" w:cs="Arial"/>
                <w:color w:val="000000"/>
                <w:lang w:eastAsia="bg-BG"/>
              </w:rPr>
            </w:pPr>
            <w:r w:rsidRPr="000A62B3">
              <w:rPr>
                <w:rFonts w:cs="Arial"/>
                <w:lang w:eastAsia="bg-BG"/>
              </w:rPr>
              <w:t>206</w:t>
            </w:r>
          </w:p>
        </w:tc>
        <w:tc>
          <w:tcPr>
            <w:tcW w:w="1357" w:type="dxa"/>
          </w:tcPr>
          <w:p w14:paraId="69FB8920" w14:textId="43B266F7" w:rsidR="000A62B3" w:rsidRPr="000A62B3" w:rsidRDefault="000A62B3" w:rsidP="000A62B3">
            <w:pPr>
              <w:spacing w:line="240" w:lineRule="auto"/>
              <w:rPr>
                <w:rFonts w:eastAsia="Times New Roman" w:cs="Arial"/>
                <w:color w:val="000000"/>
                <w:lang w:eastAsia="bg-BG"/>
              </w:rPr>
            </w:pPr>
            <w:r w:rsidRPr="000A62B3">
              <w:rPr>
                <w:rFonts w:cs="Arial"/>
                <w:lang w:eastAsia="bg-BG"/>
              </w:rPr>
              <w:t>4,95(0,77) *</w:t>
            </w:r>
          </w:p>
        </w:tc>
        <w:tc>
          <w:tcPr>
            <w:tcW w:w="1357" w:type="dxa"/>
          </w:tcPr>
          <w:p w14:paraId="71C87F71" w14:textId="2E24E61A" w:rsidR="000A62B3" w:rsidRPr="000A62B3" w:rsidRDefault="000A62B3" w:rsidP="000A62B3">
            <w:pPr>
              <w:spacing w:line="240" w:lineRule="auto"/>
              <w:rPr>
                <w:rFonts w:eastAsia="Times New Roman" w:cs="Arial"/>
                <w:color w:val="000000"/>
                <w:lang w:eastAsia="bg-BG"/>
              </w:rPr>
            </w:pPr>
            <w:r w:rsidRPr="000A62B3">
              <w:rPr>
                <w:rFonts w:cs="Arial"/>
                <w:lang w:eastAsia="bg-BG"/>
              </w:rPr>
              <w:t>3,25(0,67)</w:t>
            </w:r>
          </w:p>
        </w:tc>
        <w:tc>
          <w:tcPr>
            <w:tcW w:w="1357" w:type="dxa"/>
          </w:tcPr>
          <w:p w14:paraId="33CE04B1" w14:textId="589C3B27" w:rsidR="000A62B3" w:rsidRPr="000A62B3" w:rsidRDefault="000A62B3" w:rsidP="000A62B3">
            <w:pPr>
              <w:spacing w:line="240" w:lineRule="auto"/>
              <w:rPr>
                <w:rFonts w:eastAsia="Times New Roman" w:cs="Arial"/>
                <w:color w:val="000000"/>
                <w:lang w:eastAsia="bg-BG"/>
              </w:rPr>
            </w:pPr>
            <w:r w:rsidRPr="000A62B3">
              <w:rPr>
                <w:rFonts w:cs="Arial"/>
              </w:rPr>
              <w:t>1,327(0,2796)</w:t>
            </w:r>
          </w:p>
        </w:tc>
        <w:tc>
          <w:tcPr>
            <w:tcW w:w="1357" w:type="dxa"/>
          </w:tcPr>
          <w:p w14:paraId="0196D0D9" w14:textId="7C961A7C" w:rsidR="000A62B3" w:rsidRPr="000A62B3" w:rsidRDefault="000A62B3" w:rsidP="000A62B3">
            <w:pPr>
              <w:spacing w:line="240" w:lineRule="auto"/>
              <w:rPr>
                <w:rFonts w:eastAsia="Times New Roman" w:cs="Arial"/>
                <w:color w:val="000000"/>
                <w:lang w:eastAsia="bg-BG"/>
              </w:rPr>
            </w:pPr>
            <w:r w:rsidRPr="000A62B3">
              <w:rPr>
                <w:rFonts w:cs="Arial"/>
              </w:rPr>
              <w:t>0,79(0,38)*</w:t>
            </w:r>
          </w:p>
        </w:tc>
        <w:tc>
          <w:tcPr>
            <w:tcW w:w="1358" w:type="dxa"/>
          </w:tcPr>
          <w:p w14:paraId="11D6C072" w14:textId="258306A7" w:rsidR="000A62B3" w:rsidRPr="000A62B3" w:rsidRDefault="000A62B3" w:rsidP="000A62B3">
            <w:pPr>
              <w:spacing w:line="240" w:lineRule="auto"/>
              <w:rPr>
                <w:rFonts w:eastAsia="Times New Roman" w:cs="Arial"/>
                <w:color w:val="000000"/>
                <w:lang w:eastAsia="bg-BG"/>
              </w:rPr>
            </w:pPr>
            <w:r w:rsidRPr="000A62B3">
              <w:rPr>
                <w:rFonts w:cs="Arial"/>
              </w:rPr>
              <w:t>0,90(0,17)*</w:t>
            </w:r>
          </w:p>
        </w:tc>
      </w:tr>
      <w:tr w:rsidR="000A62B3" w:rsidRPr="000A62B3" w14:paraId="301D6BD8" w14:textId="77777777" w:rsidTr="000A62B3">
        <w:tc>
          <w:tcPr>
            <w:tcW w:w="1357" w:type="dxa"/>
          </w:tcPr>
          <w:p w14:paraId="2C69C2E2" w14:textId="2EA2F508" w:rsidR="000A62B3" w:rsidRPr="000A62B3" w:rsidRDefault="000A62B3" w:rsidP="000A62B3">
            <w:pPr>
              <w:spacing w:line="240" w:lineRule="auto"/>
              <w:rPr>
                <w:rFonts w:eastAsia="Times New Roman" w:cs="Arial"/>
                <w:color w:val="000000"/>
                <w:lang w:eastAsia="bg-BG"/>
              </w:rPr>
            </w:pPr>
            <w:r w:rsidRPr="000A62B3">
              <w:rPr>
                <w:rFonts w:cs="Arial"/>
                <w:lang w:eastAsia="bg-BG"/>
              </w:rPr>
              <w:t>Месец 36/ЕТ</w:t>
            </w:r>
          </w:p>
        </w:tc>
        <w:tc>
          <w:tcPr>
            <w:tcW w:w="1357" w:type="dxa"/>
          </w:tcPr>
          <w:p w14:paraId="70663409" w14:textId="3C9F0EDF" w:rsidR="000A62B3" w:rsidRPr="000A62B3" w:rsidRDefault="000A62B3" w:rsidP="000A62B3">
            <w:pPr>
              <w:spacing w:line="240" w:lineRule="auto"/>
              <w:rPr>
                <w:rFonts w:eastAsia="Times New Roman" w:cs="Arial"/>
                <w:color w:val="000000"/>
                <w:lang w:eastAsia="bg-BG"/>
              </w:rPr>
            </w:pPr>
            <w:r w:rsidRPr="000A62B3">
              <w:rPr>
                <w:rFonts w:cs="Arial"/>
                <w:lang w:eastAsia="bg-BG"/>
              </w:rPr>
              <w:t>240</w:t>
            </w:r>
          </w:p>
        </w:tc>
        <w:tc>
          <w:tcPr>
            <w:tcW w:w="1357" w:type="dxa"/>
          </w:tcPr>
          <w:p w14:paraId="1BE7389B" w14:textId="3D0A481F" w:rsidR="000A62B3" w:rsidRPr="000A62B3" w:rsidRDefault="000A62B3" w:rsidP="000A62B3">
            <w:pPr>
              <w:spacing w:line="240" w:lineRule="auto"/>
              <w:rPr>
                <w:rFonts w:eastAsia="Times New Roman" w:cs="Arial"/>
                <w:color w:val="000000"/>
                <w:lang w:eastAsia="bg-BG"/>
              </w:rPr>
            </w:pPr>
            <w:r w:rsidRPr="000A62B3">
              <w:rPr>
                <w:rFonts w:cs="Arial"/>
                <w:lang w:eastAsia="bg-BG"/>
              </w:rPr>
              <w:t>5,12(0,86)</w:t>
            </w:r>
          </w:p>
        </w:tc>
        <w:tc>
          <w:tcPr>
            <w:tcW w:w="1357" w:type="dxa"/>
          </w:tcPr>
          <w:p w14:paraId="10734530" w14:textId="4E7D8F33" w:rsidR="000A62B3" w:rsidRPr="000A62B3" w:rsidRDefault="000A62B3" w:rsidP="000A62B3">
            <w:pPr>
              <w:spacing w:line="240" w:lineRule="auto"/>
              <w:rPr>
                <w:rFonts w:eastAsia="Times New Roman" w:cs="Arial"/>
                <w:color w:val="000000"/>
                <w:lang w:eastAsia="bg-BG"/>
              </w:rPr>
            </w:pPr>
            <w:r w:rsidRPr="000A62B3">
              <w:rPr>
                <w:rFonts w:cs="Arial"/>
                <w:lang w:eastAsia="bg-BG"/>
              </w:rPr>
              <w:t>3,45(0,81)</w:t>
            </w:r>
          </w:p>
        </w:tc>
        <w:tc>
          <w:tcPr>
            <w:tcW w:w="1357" w:type="dxa"/>
          </w:tcPr>
          <w:p w14:paraId="313202BA" w14:textId="41EB6B5F" w:rsidR="000A62B3" w:rsidRPr="000A62B3" w:rsidRDefault="000A62B3" w:rsidP="000A62B3">
            <w:pPr>
              <w:spacing w:line="240" w:lineRule="auto"/>
              <w:rPr>
                <w:rFonts w:eastAsia="Times New Roman" w:cs="Arial"/>
                <w:color w:val="000000"/>
                <w:lang w:eastAsia="bg-BG"/>
              </w:rPr>
            </w:pPr>
            <w:r w:rsidRPr="000A62B3">
              <w:rPr>
                <w:rFonts w:cs="Arial"/>
              </w:rPr>
              <w:t>1,308(0,2739)</w:t>
            </w:r>
          </w:p>
        </w:tc>
        <w:tc>
          <w:tcPr>
            <w:tcW w:w="1357" w:type="dxa"/>
          </w:tcPr>
          <w:p w14:paraId="669F6D90" w14:textId="7F82FF2A" w:rsidR="000A62B3" w:rsidRPr="000A62B3" w:rsidRDefault="000A62B3" w:rsidP="000A62B3">
            <w:pPr>
              <w:spacing w:line="240" w:lineRule="auto"/>
              <w:rPr>
                <w:rFonts w:eastAsia="Times New Roman" w:cs="Arial"/>
                <w:color w:val="000000"/>
                <w:lang w:eastAsia="bg-BG"/>
              </w:rPr>
            </w:pPr>
            <w:r w:rsidRPr="000A62B3">
              <w:rPr>
                <w:rFonts w:cs="Arial"/>
              </w:rPr>
              <w:t>0,78(0,41)</w:t>
            </w:r>
          </w:p>
        </w:tc>
        <w:tc>
          <w:tcPr>
            <w:tcW w:w="1358" w:type="dxa"/>
          </w:tcPr>
          <w:p w14:paraId="0D3B1EE8" w14:textId="5F83DE6D" w:rsidR="000A62B3" w:rsidRPr="000A62B3" w:rsidRDefault="000A62B3" w:rsidP="000A62B3">
            <w:pPr>
              <w:spacing w:line="240" w:lineRule="auto"/>
              <w:rPr>
                <w:rFonts w:eastAsia="Times New Roman" w:cs="Arial"/>
                <w:color w:val="000000"/>
                <w:lang w:eastAsia="bg-BG"/>
              </w:rPr>
            </w:pPr>
            <w:r w:rsidRPr="000A62B3">
              <w:rPr>
                <w:rFonts w:cs="Arial"/>
              </w:rPr>
              <w:t>0,93(0,20)***</w:t>
            </w:r>
          </w:p>
        </w:tc>
      </w:tr>
      <w:tr w:rsidR="000A62B3" w:rsidRPr="000A62B3" w14:paraId="79206CC3" w14:textId="77777777" w:rsidTr="00B55D10">
        <w:tc>
          <w:tcPr>
            <w:tcW w:w="9500" w:type="dxa"/>
            <w:gridSpan w:val="7"/>
          </w:tcPr>
          <w:p w14:paraId="78DE0987" w14:textId="30280658" w:rsidR="000A62B3" w:rsidRPr="000A62B3" w:rsidRDefault="000A62B3" w:rsidP="000A62B3">
            <w:pPr>
              <w:spacing w:line="240" w:lineRule="auto"/>
              <w:rPr>
                <w:rFonts w:eastAsia="Times New Roman" w:cs="Arial"/>
                <w:color w:val="000000"/>
                <w:lang w:eastAsia="bg-BG"/>
              </w:rPr>
            </w:pPr>
            <w:r w:rsidRPr="000A62B3">
              <w:rPr>
                <w:rFonts w:cs="Arial"/>
              </w:rPr>
              <w:t xml:space="preserve">ТС= общ холестерол; </w:t>
            </w:r>
            <w:r w:rsidRPr="000A62B3">
              <w:rPr>
                <w:rFonts w:cs="Arial"/>
                <w:lang w:val="en-US"/>
              </w:rPr>
              <w:t xml:space="preserve">LDL-C </w:t>
            </w:r>
            <w:r w:rsidRPr="000A62B3">
              <w:rPr>
                <w:rFonts w:cs="Arial"/>
              </w:rPr>
              <w:t xml:space="preserve">= холестерол с ниска плътност-С; </w:t>
            </w:r>
            <w:r w:rsidRPr="000A62B3">
              <w:rPr>
                <w:rFonts w:cs="Arial"/>
                <w:lang w:val="en-US"/>
              </w:rPr>
              <w:t xml:space="preserve">HDL-C </w:t>
            </w:r>
            <w:r w:rsidRPr="000A62B3">
              <w:rPr>
                <w:rFonts w:cs="Arial"/>
              </w:rPr>
              <w:t xml:space="preserve">= холестерол с </w:t>
            </w:r>
            <w:r w:rsidRPr="000A62B3">
              <w:rPr>
                <w:rFonts w:cs="Arial"/>
              </w:rPr>
              <w:lastRenderedPageBreak/>
              <w:t xml:space="preserve">висока плътност-С; </w:t>
            </w:r>
            <w:r w:rsidRPr="000A62B3">
              <w:rPr>
                <w:rFonts w:cs="Arial"/>
                <w:lang w:val="en-US"/>
              </w:rPr>
              <w:t xml:space="preserve">TG </w:t>
            </w:r>
            <w:r w:rsidRPr="000A62B3">
              <w:rPr>
                <w:rFonts w:cs="Arial"/>
              </w:rPr>
              <w:t xml:space="preserve">= триглицериди; Аро В = аполипопротеин В; “Месец 36/ЕТ” включва последна визита за лицата, които са излезли от проучването преди планираната крайна точка на 36-я месец, както и пълни 36-месечни данни за лицата, завършили 36- месечното участие „*“= Месец 30 </w:t>
            </w:r>
            <w:r w:rsidRPr="000A62B3">
              <w:rPr>
                <w:rFonts w:cs="Arial"/>
                <w:lang w:val="en-US"/>
              </w:rPr>
              <w:t xml:space="preserve">N </w:t>
            </w:r>
            <w:r w:rsidRPr="000A62B3">
              <w:rPr>
                <w:rFonts w:cs="Arial"/>
              </w:rPr>
              <w:t xml:space="preserve">за този параметър е бил 207; “**”= Изходни стойности </w:t>
            </w:r>
            <w:r w:rsidRPr="000A62B3">
              <w:rPr>
                <w:rFonts w:cs="Arial"/>
                <w:lang w:val="en-US"/>
              </w:rPr>
              <w:t xml:space="preserve">N </w:t>
            </w:r>
            <w:r w:rsidRPr="000A62B3">
              <w:rPr>
                <w:rFonts w:cs="Arial"/>
              </w:rPr>
              <w:t xml:space="preserve">за този параметър е бил 270; “***” = Месец 36/ЕТ </w:t>
            </w:r>
            <w:r w:rsidRPr="000A62B3">
              <w:rPr>
                <w:rFonts w:cs="Arial"/>
                <w:lang w:val="en-US"/>
              </w:rPr>
              <w:t xml:space="preserve">N </w:t>
            </w:r>
            <w:r w:rsidRPr="000A62B3">
              <w:rPr>
                <w:rFonts w:cs="Arial"/>
              </w:rPr>
              <w:t xml:space="preserve">за този параметър е бил 243; </w:t>
            </w:r>
            <w:r w:rsidRPr="000A62B3">
              <w:rPr>
                <w:rFonts w:cs="Arial"/>
                <w:lang w:val="en-US"/>
              </w:rPr>
              <w:t>„#“=g/</w:t>
            </w:r>
            <w:r w:rsidRPr="000A62B3">
              <w:rPr>
                <w:rFonts w:cs="Arial"/>
              </w:rPr>
              <w:t>л</w:t>
            </w:r>
            <w:r w:rsidRPr="000A62B3">
              <w:rPr>
                <w:rFonts w:cs="Arial"/>
                <w:lang w:val="en-US"/>
              </w:rPr>
              <w:t xml:space="preserve"> </w:t>
            </w:r>
            <w:r w:rsidRPr="000A62B3">
              <w:rPr>
                <w:rFonts w:cs="Arial"/>
              </w:rPr>
              <w:t>за Аро В.</w:t>
            </w:r>
          </w:p>
        </w:tc>
      </w:tr>
    </w:tbl>
    <w:p w14:paraId="781FE338" w14:textId="04368316" w:rsidR="000A62B3" w:rsidRPr="000A62B3" w:rsidRDefault="000A62B3" w:rsidP="000A62B3">
      <w:pPr>
        <w:spacing w:line="240" w:lineRule="auto"/>
        <w:rPr>
          <w:rFonts w:eastAsia="Times New Roman" w:cs="Arial"/>
          <w:color w:val="000000"/>
          <w:lang w:eastAsia="bg-BG"/>
        </w:rPr>
      </w:pPr>
    </w:p>
    <w:p w14:paraId="6A1D214A" w14:textId="77777777" w:rsidR="000A62B3" w:rsidRPr="000A62B3" w:rsidRDefault="000A62B3" w:rsidP="000A62B3">
      <w:pPr>
        <w:spacing w:line="240" w:lineRule="auto"/>
        <w:rPr>
          <w:rFonts w:eastAsia="Times New Roman" w:cs="Arial"/>
          <w:lang w:eastAsia="bg-BG"/>
        </w:rPr>
      </w:pPr>
      <w:r w:rsidRPr="000A62B3">
        <w:rPr>
          <w:rFonts w:eastAsia="Times New Roman" w:cs="Arial"/>
          <w:i/>
          <w:iCs/>
          <w:color w:val="000000"/>
          <w:u w:val="single"/>
          <w:lang w:eastAsia="bg-BG"/>
        </w:rPr>
        <w:t>Хетерозиготна фамилна хиперхолестеролемия при педиатрични пациенти на възраст 10-17 години</w:t>
      </w:r>
    </w:p>
    <w:p w14:paraId="7A9300AD"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В двойно-сляпо, плацебо-контролирано проучване, последвано от отворена фаза, 187 момчета и момичета след първата менструация на възраст между 10 и 17 години (средна възраст 14,1 години) с хетерозиготна фамилна хиперхолестеролемия или тежка хиперхолестеролемия, са били рандомизирани на аторвастатин (</w:t>
      </w:r>
      <w:r w:rsidRPr="000A62B3">
        <w:rPr>
          <w:rFonts w:eastAsia="Times New Roman" w:cs="Arial"/>
          <w:color w:val="000000"/>
          <w:lang w:val="en-US"/>
        </w:rPr>
        <w:t>n</w:t>
      </w:r>
      <w:r w:rsidRPr="000A62B3">
        <w:rPr>
          <w:rFonts w:eastAsia="Times New Roman" w:cs="Arial"/>
          <w:color w:val="000000"/>
          <w:lang w:eastAsia="bg-BG"/>
        </w:rPr>
        <w:t>=140) или плацебо (</w:t>
      </w:r>
      <w:r w:rsidRPr="000A62B3">
        <w:rPr>
          <w:rFonts w:eastAsia="Times New Roman" w:cs="Arial"/>
          <w:color w:val="000000"/>
          <w:lang w:val="en-US"/>
        </w:rPr>
        <w:t>n</w:t>
      </w:r>
      <w:r w:rsidRPr="000A62B3">
        <w:rPr>
          <w:rFonts w:eastAsia="Times New Roman" w:cs="Arial"/>
          <w:color w:val="000000"/>
          <w:lang w:eastAsia="bg-BG"/>
        </w:rPr>
        <w:t xml:space="preserve">=47) за 26 седмици, след което всички са приемали аторвастатин за 26 седмици. Дозата е била 10 </w:t>
      </w:r>
      <w:r w:rsidRPr="000A62B3">
        <w:rPr>
          <w:rFonts w:eastAsia="Times New Roman" w:cs="Arial"/>
          <w:color w:val="000000"/>
          <w:lang w:val="en-US"/>
        </w:rPr>
        <w:t xml:space="preserve">mg </w:t>
      </w:r>
      <w:r w:rsidRPr="000A62B3">
        <w:rPr>
          <w:rFonts w:eastAsia="Times New Roman" w:cs="Arial"/>
          <w:color w:val="000000"/>
          <w:lang w:eastAsia="bg-BG"/>
        </w:rPr>
        <w:t xml:space="preserve">веднъж дневно за първите 4 седмици и е увеличена на 20 </w:t>
      </w:r>
      <w:r w:rsidRPr="000A62B3">
        <w:rPr>
          <w:rFonts w:eastAsia="Times New Roman" w:cs="Arial"/>
          <w:color w:val="000000"/>
          <w:lang w:val="en-US"/>
        </w:rPr>
        <w:t xml:space="preserve">mg </w:t>
      </w:r>
      <w:r w:rsidRPr="000A62B3">
        <w:rPr>
          <w:rFonts w:eastAsia="Times New Roman" w:cs="Arial"/>
          <w:color w:val="000000"/>
          <w:lang w:eastAsia="bg-BG"/>
        </w:rPr>
        <w:t xml:space="preserve">дневно, при стойност на </w:t>
      </w:r>
      <w:r w:rsidRPr="000A62B3">
        <w:rPr>
          <w:rFonts w:eastAsia="Times New Roman" w:cs="Arial"/>
          <w:color w:val="000000"/>
          <w:lang w:val="en-US"/>
        </w:rPr>
        <w:t xml:space="preserve">LDL-C </w:t>
      </w:r>
      <w:r w:rsidRPr="000A62B3">
        <w:rPr>
          <w:rFonts w:eastAsia="Times New Roman" w:cs="Arial"/>
          <w:color w:val="000000"/>
          <w:lang w:eastAsia="bg-BG"/>
        </w:rPr>
        <w:t xml:space="preserve">&gt; 3,36 </w:t>
      </w:r>
      <w:r w:rsidRPr="000A62B3">
        <w:rPr>
          <w:rFonts w:eastAsia="Times New Roman" w:cs="Arial"/>
          <w:color w:val="000000"/>
          <w:lang w:val="en-US"/>
        </w:rPr>
        <w:t xml:space="preserve">mmol/l. </w:t>
      </w:r>
      <w:r w:rsidRPr="000A62B3">
        <w:rPr>
          <w:rFonts w:eastAsia="Times New Roman" w:cs="Arial"/>
          <w:color w:val="000000"/>
          <w:lang w:eastAsia="bg-BG"/>
        </w:rPr>
        <w:t xml:space="preserve">През първите 26 седмици от двойно-сляпата фаза, аторвастатин е довел до значително понижаване на плазмените нива на общия холестерол, </w:t>
      </w:r>
      <w:r w:rsidRPr="000A62B3">
        <w:rPr>
          <w:rFonts w:eastAsia="Times New Roman" w:cs="Arial"/>
          <w:color w:val="000000"/>
          <w:lang w:val="en-US"/>
        </w:rPr>
        <w:t xml:space="preserve">LDL-C, </w:t>
      </w:r>
      <w:r w:rsidRPr="000A62B3">
        <w:rPr>
          <w:rFonts w:eastAsia="Times New Roman" w:cs="Arial"/>
          <w:color w:val="000000"/>
          <w:lang w:eastAsia="bg-BG"/>
        </w:rPr>
        <w:t xml:space="preserve">триглицеридите и аполипопротеин В. Средната стойност на </w:t>
      </w:r>
      <w:r w:rsidRPr="000A62B3">
        <w:rPr>
          <w:rFonts w:eastAsia="Times New Roman" w:cs="Arial"/>
          <w:color w:val="000000"/>
          <w:lang w:val="en-US"/>
        </w:rPr>
        <w:t xml:space="preserve">LDL-C </w:t>
      </w:r>
      <w:r w:rsidRPr="000A62B3">
        <w:rPr>
          <w:rFonts w:eastAsia="Times New Roman" w:cs="Arial"/>
          <w:color w:val="000000"/>
          <w:lang w:eastAsia="bg-BG"/>
        </w:rPr>
        <w:t xml:space="preserve">през 26-седмичната двойно-сляпа фаза е била 3,38 </w:t>
      </w:r>
      <w:r w:rsidRPr="000A62B3">
        <w:rPr>
          <w:rFonts w:eastAsia="Times New Roman" w:cs="Arial"/>
          <w:color w:val="000000"/>
          <w:lang w:val="en-US"/>
        </w:rPr>
        <w:t xml:space="preserve">mmol/1 </w:t>
      </w:r>
      <w:r w:rsidRPr="000A62B3">
        <w:rPr>
          <w:rFonts w:eastAsia="Times New Roman" w:cs="Arial"/>
          <w:color w:val="000000"/>
          <w:lang w:eastAsia="bg-BG"/>
        </w:rPr>
        <w:t xml:space="preserve">(между 1,81 и 6,26 </w:t>
      </w:r>
      <w:r w:rsidRPr="000A62B3">
        <w:rPr>
          <w:rFonts w:eastAsia="Times New Roman" w:cs="Arial"/>
          <w:color w:val="000000"/>
          <w:lang w:val="en-US"/>
        </w:rPr>
        <w:t xml:space="preserve">mmol/l) </w:t>
      </w:r>
      <w:r w:rsidRPr="000A62B3">
        <w:rPr>
          <w:rFonts w:eastAsia="Times New Roman" w:cs="Arial"/>
          <w:color w:val="000000"/>
          <w:lang w:eastAsia="bg-BG"/>
        </w:rPr>
        <w:t xml:space="preserve">в групата, приемала аторвастатин и 5,91 </w:t>
      </w:r>
      <w:r w:rsidRPr="000A62B3">
        <w:rPr>
          <w:rFonts w:eastAsia="Times New Roman" w:cs="Arial"/>
          <w:color w:val="000000"/>
          <w:lang w:val="en-US"/>
        </w:rPr>
        <w:t xml:space="preserve">mmol/l </w:t>
      </w:r>
      <w:r w:rsidRPr="000A62B3">
        <w:rPr>
          <w:rFonts w:eastAsia="Times New Roman" w:cs="Arial"/>
          <w:color w:val="000000"/>
          <w:lang w:eastAsia="bg-BG"/>
        </w:rPr>
        <w:t xml:space="preserve">(между 3,93 и 9,96 </w:t>
      </w:r>
      <w:r w:rsidRPr="000A62B3">
        <w:rPr>
          <w:rFonts w:eastAsia="Times New Roman" w:cs="Arial"/>
          <w:color w:val="000000"/>
          <w:lang w:val="en-US"/>
        </w:rPr>
        <w:t xml:space="preserve">mmol/l) </w:t>
      </w:r>
      <w:r w:rsidRPr="000A62B3">
        <w:rPr>
          <w:rFonts w:eastAsia="Times New Roman" w:cs="Arial"/>
          <w:color w:val="000000"/>
          <w:lang w:eastAsia="bg-BG"/>
        </w:rPr>
        <w:t>в плацебо групата.</w:t>
      </w:r>
    </w:p>
    <w:p w14:paraId="23511643" w14:textId="77777777" w:rsidR="000A62B3" w:rsidRPr="000A62B3" w:rsidRDefault="000A62B3" w:rsidP="000A62B3">
      <w:pPr>
        <w:spacing w:line="240" w:lineRule="auto"/>
        <w:rPr>
          <w:rFonts w:eastAsia="Times New Roman" w:cs="Arial"/>
          <w:color w:val="000000"/>
          <w:lang w:eastAsia="bg-BG"/>
        </w:rPr>
      </w:pPr>
    </w:p>
    <w:p w14:paraId="748DE328" w14:textId="4956D5B3"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При друго педиатрично проучване за употребата на аторвастатин спрямо употребата на колестипол при пациенти с хиперхолестеролемия между 10 и 18 години, на 26-та седмица е установено, че аторвастатин (</w:t>
      </w:r>
      <w:r w:rsidRPr="000A62B3">
        <w:rPr>
          <w:rFonts w:eastAsia="Times New Roman" w:cs="Arial"/>
          <w:color w:val="000000"/>
          <w:lang w:val="en-US"/>
        </w:rPr>
        <w:t>n</w:t>
      </w:r>
      <w:r w:rsidRPr="000A62B3">
        <w:rPr>
          <w:rFonts w:eastAsia="Times New Roman" w:cs="Arial"/>
          <w:color w:val="000000"/>
          <w:lang w:eastAsia="bg-BG"/>
        </w:rPr>
        <w:t xml:space="preserve">=25) довел до значително понижаване (р &lt; 0,05) на нивото на </w:t>
      </w:r>
      <w:r w:rsidRPr="000A62B3">
        <w:rPr>
          <w:rFonts w:eastAsia="Times New Roman" w:cs="Arial"/>
          <w:color w:val="000000"/>
          <w:lang w:val="en-US"/>
        </w:rPr>
        <w:t xml:space="preserve">LDL-C, </w:t>
      </w:r>
      <w:r w:rsidRPr="000A62B3">
        <w:rPr>
          <w:rFonts w:eastAsia="Times New Roman" w:cs="Arial"/>
          <w:color w:val="000000"/>
          <w:lang w:eastAsia="bg-BG"/>
        </w:rPr>
        <w:t xml:space="preserve">в сравнение с колестипол </w:t>
      </w:r>
      <w:r w:rsidRPr="000A62B3">
        <w:rPr>
          <w:rFonts w:eastAsia="Times New Roman" w:cs="Arial"/>
          <w:color w:val="000000"/>
          <w:lang w:val="en-US"/>
        </w:rPr>
        <w:t>(n=3</w:t>
      </w:r>
      <w:r w:rsidRPr="000A62B3">
        <w:rPr>
          <w:rFonts w:eastAsia="Times New Roman" w:cs="Arial"/>
          <w:color w:val="000000"/>
          <w:lang w:eastAsia="bg-BG"/>
        </w:rPr>
        <w:t>1).</w:t>
      </w:r>
    </w:p>
    <w:p w14:paraId="5525A9EF" w14:textId="77777777" w:rsidR="000A62B3" w:rsidRPr="000A62B3" w:rsidRDefault="000A62B3" w:rsidP="000A62B3">
      <w:pPr>
        <w:spacing w:line="240" w:lineRule="auto"/>
        <w:rPr>
          <w:rFonts w:eastAsia="Times New Roman" w:cs="Arial"/>
          <w:color w:val="000000"/>
          <w:lang w:eastAsia="bg-BG"/>
        </w:rPr>
      </w:pPr>
    </w:p>
    <w:p w14:paraId="02506E8B" w14:textId="78CFC0D5"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 xml:space="preserve">Проучване на принципа </w:t>
      </w:r>
      <w:r w:rsidRPr="000A62B3">
        <w:rPr>
          <w:rFonts w:eastAsia="Times New Roman" w:cs="Arial"/>
          <w:i/>
          <w:iCs/>
          <w:color w:val="000000"/>
          <w:lang w:val="en-US"/>
        </w:rPr>
        <w:t>“compassionate use</w:t>
      </w:r>
      <w:r w:rsidRPr="000A62B3">
        <w:rPr>
          <w:rFonts w:eastAsia="Times New Roman" w:cs="Arial"/>
          <w:color w:val="000000"/>
          <w:lang w:val="en-US"/>
        </w:rPr>
        <w:t xml:space="preserve"> </w:t>
      </w:r>
      <w:r w:rsidRPr="000A62B3">
        <w:rPr>
          <w:rFonts w:eastAsia="Times New Roman" w:cs="Arial"/>
          <w:color w:val="000000"/>
          <w:lang w:eastAsia="bg-BG"/>
        </w:rPr>
        <w:t xml:space="preserve">”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терапевтичния отговор (някои пациенти са приемали 80 </w:t>
      </w:r>
      <w:r w:rsidRPr="000A62B3">
        <w:rPr>
          <w:rFonts w:eastAsia="Times New Roman" w:cs="Arial"/>
          <w:color w:val="000000"/>
          <w:lang w:val="en-US"/>
        </w:rPr>
        <w:t xml:space="preserve">mg </w:t>
      </w:r>
      <w:r w:rsidRPr="000A62B3">
        <w:rPr>
          <w:rFonts w:eastAsia="Times New Roman" w:cs="Arial"/>
          <w:color w:val="000000"/>
          <w:lang w:eastAsia="bg-BG"/>
        </w:rPr>
        <w:t xml:space="preserve">дневно). Проучването продължава 3 години, </w:t>
      </w:r>
      <w:r w:rsidRPr="000A62B3">
        <w:rPr>
          <w:rFonts w:eastAsia="Times New Roman" w:cs="Arial"/>
          <w:color w:val="000000"/>
          <w:lang w:val="en-US"/>
        </w:rPr>
        <w:t>LDL</w:t>
      </w:r>
      <w:r w:rsidRPr="000A62B3">
        <w:rPr>
          <w:rFonts w:eastAsia="Times New Roman" w:cs="Arial"/>
          <w:color w:val="000000"/>
          <w:lang w:eastAsia="bg-BG"/>
        </w:rPr>
        <w:t>-холестеролът намалява с 36%.</w:t>
      </w:r>
    </w:p>
    <w:p w14:paraId="73360C23" w14:textId="77777777" w:rsidR="000A62B3" w:rsidRPr="000A62B3" w:rsidRDefault="000A62B3" w:rsidP="000A62B3">
      <w:pPr>
        <w:spacing w:line="240" w:lineRule="auto"/>
        <w:rPr>
          <w:rFonts w:eastAsia="Times New Roman" w:cs="Arial"/>
          <w:color w:val="000000"/>
          <w:lang w:eastAsia="bg-BG"/>
        </w:rPr>
      </w:pPr>
    </w:p>
    <w:p w14:paraId="62AD8B75" w14:textId="20F507B9"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Не съществува дългосрочен опит относно ефикасността на терапията с аторвастатин при деца, свързана с намаление на заболеваемостта и смъртността в зряла възраст.</w:t>
      </w:r>
    </w:p>
    <w:p w14:paraId="72B82480" w14:textId="77777777" w:rsidR="000A62B3" w:rsidRPr="000A62B3" w:rsidRDefault="000A62B3" w:rsidP="000A62B3">
      <w:pPr>
        <w:spacing w:line="240" w:lineRule="auto"/>
        <w:rPr>
          <w:rFonts w:eastAsia="Times New Roman" w:cs="Arial"/>
          <w:color w:val="000000"/>
          <w:lang w:eastAsia="bg-BG"/>
        </w:rPr>
      </w:pPr>
    </w:p>
    <w:p w14:paraId="3A4FA142" w14:textId="7B7C82F0" w:rsidR="000A62B3" w:rsidRPr="000A62B3" w:rsidRDefault="000A62B3" w:rsidP="000A62B3">
      <w:pPr>
        <w:spacing w:line="240" w:lineRule="auto"/>
        <w:rPr>
          <w:rFonts w:eastAsia="Times New Roman" w:cs="Arial"/>
          <w:color w:val="000000"/>
          <w:lang w:eastAsia="bg-BG"/>
        </w:rPr>
      </w:pPr>
      <w:r w:rsidRPr="000A62B3">
        <w:rPr>
          <w:rFonts w:eastAsia="Times New Roman" w:cs="Arial"/>
          <w:color w:val="000000"/>
          <w:lang w:eastAsia="bg-BG"/>
        </w:rPr>
        <w:t>Европейската агенция по лекарствата за момента е отложила задължението за подаване на резулатати от лечението с аторвастатин при деца на възраст от 0 до 6 години, страдащи от хетерозиготна фамилна хиперхолестеролемия и при деца на възраст от 0 до 18 години с хомозиготна фамилна хиперхолестеролемия, комбинирана (смесена) хиперхолестеролемия, първична хиперхолестеролемия и превенция на сърдечно-съдови събития (вж. точка 4.2 за информация за педиатричната употреба).</w:t>
      </w:r>
    </w:p>
    <w:p w14:paraId="3DEC83C6" w14:textId="77777777" w:rsidR="000A62B3" w:rsidRPr="000A62B3" w:rsidRDefault="000A62B3" w:rsidP="000A62B3">
      <w:pPr>
        <w:spacing w:line="240" w:lineRule="auto"/>
        <w:rPr>
          <w:rFonts w:ascii="Times New Roman" w:eastAsia="Times New Roman" w:hAnsi="Times New Roman" w:cs="Times New Roman"/>
          <w:color w:val="000000"/>
          <w:sz w:val="20"/>
          <w:szCs w:val="20"/>
          <w:lang w:eastAsia="bg-BG"/>
        </w:rPr>
      </w:pPr>
    </w:p>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148BA3FC" w14:textId="2C2C918E" w:rsidR="0091385D" w:rsidRPr="000A62B3" w:rsidRDefault="000A62B3" w:rsidP="000A62B3">
      <w:pPr>
        <w:pStyle w:val="Heading3"/>
        <w:rPr>
          <w:u w:val="single"/>
        </w:rPr>
      </w:pPr>
      <w:r w:rsidRPr="000A62B3">
        <w:rPr>
          <w:u w:val="single"/>
        </w:rPr>
        <w:t>Абсорбция</w:t>
      </w:r>
    </w:p>
    <w:p w14:paraId="1B8AC400"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След перорален прием аторвастатин се абсорбира бързо: максимална плазмена концентрация (С</w:t>
      </w:r>
      <w:r w:rsidRPr="000A62B3">
        <w:rPr>
          <w:rFonts w:eastAsia="Times New Roman" w:cs="Arial"/>
          <w:color w:val="000000"/>
          <w:lang w:val="en-US"/>
        </w:rPr>
        <w:t>max</w:t>
      </w:r>
      <w:r w:rsidRPr="000A62B3">
        <w:rPr>
          <w:rFonts w:eastAsia="Times New Roman" w:cs="Arial"/>
          <w:color w:val="000000"/>
          <w:lang w:eastAsia="bg-BG"/>
        </w:rPr>
        <w:t xml:space="preserve">) се достига след 1-2 часа. Скоростта на абсорбция нараства пропорционално с увеличаване на дозата на аторвастатин. Бионаличността на аторвастатин филмирани таблетки е 95-99%, сравнена с тази на пероралния разтвор. </w:t>
      </w:r>
      <w:r w:rsidRPr="000A62B3">
        <w:rPr>
          <w:rFonts w:eastAsia="Times New Roman" w:cs="Arial"/>
          <w:color w:val="000000"/>
          <w:lang w:eastAsia="bg-BG"/>
        </w:rPr>
        <w:lastRenderedPageBreak/>
        <w:t xml:space="preserve">Абсолютната бионаличност на аторвастатин е приблизително 12% и системната наличност на инхибиторната активност за </w:t>
      </w:r>
      <w:r w:rsidRPr="000A62B3">
        <w:rPr>
          <w:rFonts w:eastAsia="Times New Roman" w:cs="Arial"/>
          <w:color w:val="000000"/>
          <w:lang w:val="en-US"/>
        </w:rPr>
        <w:t>HMG</w:t>
      </w:r>
      <w:r w:rsidRPr="000A62B3">
        <w:rPr>
          <w:rFonts w:eastAsia="Times New Roman" w:cs="Arial"/>
          <w:color w:val="000000"/>
          <w:lang w:eastAsia="bg-BG"/>
        </w:rPr>
        <w:t>-СоА-редуктазата е приблизително 30%. Ниската системна наличност обикновено се отдава на пресистемен клирънс в лигавицата на гастро-интестиналния тракт и/или на ефекта на първо преминаване в черния дроб.</w:t>
      </w:r>
    </w:p>
    <w:p w14:paraId="7B187378" w14:textId="77777777" w:rsidR="000A62B3" w:rsidRPr="000A62B3" w:rsidRDefault="000A62B3" w:rsidP="000A62B3">
      <w:pPr>
        <w:spacing w:line="240" w:lineRule="auto"/>
        <w:rPr>
          <w:rFonts w:eastAsia="Times New Roman" w:cs="Arial"/>
          <w:color w:val="000000"/>
          <w:u w:val="single"/>
          <w:lang w:eastAsia="bg-BG"/>
        </w:rPr>
      </w:pPr>
    </w:p>
    <w:p w14:paraId="358DEB86" w14:textId="05F74B82" w:rsidR="000A62B3" w:rsidRPr="000A62B3" w:rsidRDefault="000A62B3" w:rsidP="000A62B3">
      <w:pPr>
        <w:pStyle w:val="Heading3"/>
        <w:rPr>
          <w:rFonts w:eastAsia="Times New Roman"/>
          <w:u w:val="single"/>
          <w:lang w:eastAsia="bg-BG"/>
        </w:rPr>
      </w:pPr>
      <w:r w:rsidRPr="000A62B3">
        <w:rPr>
          <w:rFonts w:eastAsia="Times New Roman"/>
          <w:u w:val="single"/>
          <w:lang w:eastAsia="bg-BG"/>
        </w:rPr>
        <w:t>Разпределение</w:t>
      </w:r>
    </w:p>
    <w:p w14:paraId="20913E03"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 xml:space="preserve">Средният обем на разпределение на аторвастатин е приблизително 381 </w:t>
      </w:r>
      <w:r w:rsidRPr="000A62B3">
        <w:rPr>
          <w:rFonts w:eastAsia="Times New Roman" w:cs="Arial"/>
          <w:color w:val="000000"/>
          <w:lang w:val="en-US"/>
        </w:rPr>
        <w:t xml:space="preserve">L. </w:t>
      </w:r>
      <w:r w:rsidRPr="000A62B3">
        <w:rPr>
          <w:rFonts w:eastAsia="Times New Roman" w:cs="Arial"/>
          <w:color w:val="000000"/>
          <w:lang w:eastAsia="bg-BG"/>
        </w:rPr>
        <w:t>Аторвастатин се свързва в 98% с плазмените протеини.</w:t>
      </w:r>
    </w:p>
    <w:p w14:paraId="58F68FCB" w14:textId="77777777" w:rsidR="000A62B3" w:rsidRPr="000A62B3" w:rsidRDefault="000A62B3" w:rsidP="000A62B3">
      <w:pPr>
        <w:spacing w:line="240" w:lineRule="auto"/>
        <w:rPr>
          <w:rFonts w:eastAsia="Times New Roman" w:cs="Arial"/>
          <w:color w:val="000000"/>
          <w:u w:val="single"/>
          <w:lang w:eastAsia="bg-BG"/>
        </w:rPr>
      </w:pPr>
    </w:p>
    <w:p w14:paraId="7F04B3C1" w14:textId="1C4688B0" w:rsidR="000A62B3" w:rsidRPr="000A62B3" w:rsidRDefault="000A62B3" w:rsidP="000A62B3">
      <w:pPr>
        <w:pStyle w:val="Heading3"/>
        <w:rPr>
          <w:rFonts w:eastAsia="Times New Roman"/>
          <w:u w:val="single"/>
          <w:lang w:eastAsia="bg-BG"/>
        </w:rPr>
      </w:pPr>
      <w:r w:rsidRPr="000A62B3">
        <w:rPr>
          <w:rFonts w:eastAsia="Times New Roman"/>
          <w:u w:val="single"/>
          <w:lang w:eastAsia="bg-BG"/>
        </w:rPr>
        <w:t>Биотрансформация</w:t>
      </w:r>
    </w:p>
    <w:p w14:paraId="7270FBEE"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 xml:space="preserve">Аторвастатин се метаболизира от цитохром Р450 ЗА4 до орто- и парахидроксилирани производни и различни продукти на бета-окисление. По други пътища на метаболизиране тези продукти се метаболизират чрез глюкурониране. </w:t>
      </w:r>
      <w:r w:rsidRPr="000A62B3">
        <w:rPr>
          <w:rFonts w:eastAsia="Times New Roman" w:cs="Arial"/>
          <w:i/>
          <w:iCs/>
          <w:color w:val="000000"/>
          <w:lang w:val="en-US"/>
        </w:rPr>
        <w:t>In vitro</w:t>
      </w:r>
      <w:r w:rsidRPr="000A62B3">
        <w:rPr>
          <w:rFonts w:eastAsia="Times New Roman" w:cs="Arial"/>
          <w:color w:val="000000"/>
          <w:lang w:val="en-US"/>
        </w:rPr>
        <w:t xml:space="preserve"> </w:t>
      </w:r>
      <w:r w:rsidRPr="000A62B3">
        <w:rPr>
          <w:rFonts w:eastAsia="Times New Roman" w:cs="Arial"/>
          <w:color w:val="000000"/>
          <w:lang w:eastAsia="bg-BG"/>
        </w:rPr>
        <w:t xml:space="preserve">инхибирането на </w:t>
      </w:r>
      <w:r w:rsidRPr="000A62B3">
        <w:rPr>
          <w:rFonts w:eastAsia="Times New Roman" w:cs="Arial"/>
          <w:color w:val="000000"/>
          <w:lang w:val="en-US"/>
        </w:rPr>
        <w:t>HMG</w:t>
      </w:r>
      <w:r w:rsidRPr="000A62B3">
        <w:rPr>
          <w:rFonts w:eastAsia="Times New Roman" w:cs="Arial"/>
          <w:color w:val="000000"/>
          <w:lang w:eastAsia="bg-BG"/>
        </w:rPr>
        <w:t xml:space="preserve">-СоА-редуктазата от орто- и парахидроксилирани метаболити е еквивалентно на това от аторвастатин. Приблизително 70% от циркулиращата инхибиторна активност за </w:t>
      </w:r>
      <w:r w:rsidRPr="000A62B3">
        <w:rPr>
          <w:rFonts w:eastAsia="Times New Roman" w:cs="Arial"/>
          <w:color w:val="000000"/>
          <w:lang w:val="en-US"/>
        </w:rPr>
        <w:t>HMG</w:t>
      </w:r>
      <w:r w:rsidRPr="000A62B3">
        <w:rPr>
          <w:rFonts w:eastAsia="Times New Roman" w:cs="Arial"/>
          <w:color w:val="000000"/>
          <w:lang w:eastAsia="bg-BG"/>
        </w:rPr>
        <w:t>-СоА-редуктазата се отдава на активните метаболити.</w:t>
      </w:r>
    </w:p>
    <w:p w14:paraId="01686064" w14:textId="77777777" w:rsidR="000A62B3" w:rsidRPr="000A62B3" w:rsidRDefault="000A62B3" w:rsidP="000A62B3">
      <w:pPr>
        <w:spacing w:line="240" w:lineRule="auto"/>
        <w:rPr>
          <w:rFonts w:eastAsia="Times New Roman" w:cs="Arial"/>
          <w:color w:val="000000"/>
          <w:u w:val="single"/>
          <w:lang w:eastAsia="bg-BG"/>
        </w:rPr>
      </w:pPr>
    </w:p>
    <w:p w14:paraId="737DCD5F" w14:textId="0A15CD0F" w:rsidR="000A62B3" w:rsidRPr="000A62B3" w:rsidRDefault="000A62B3" w:rsidP="000A62B3">
      <w:pPr>
        <w:pStyle w:val="Heading3"/>
        <w:rPr>
          <w:rFonts w:eastAsia="Times New Roman"/>
          <w:u w:val="single"/>
          <w:lang w:eastAsia="bg-BG"/>
        </w:rPr>
      </w:pPr>
      <w:bookmarkStart w:id="2" w:name="_GoBack"/>
      <w:r w:rsidRPr="000A62B3">
        <w:rPr>
          <w:rFonts w:eastAsia="Times New Roman"/>
          <w:u w:val="single"/>
          <w:lang w:eastAsia="bg-BG"/>
        </w:rPr>
        <w:t>Елиминиране</w:t>
      </w:r>
    </w:p>
    <w:bookmarkEnd w:id="2"/>
    <w:p w14:paraId="3C3CB5B7"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 xml:space="preserve">Аторвастатин се екскретира предимно с жлъчката след хепатален и/или екстрахепатален метаболизъм. Лекарственият продукт не е подложен на значителен ентерохепатален кръговрат. Средният плазмен полуживот на аторвастатин при хора е приблизително 14 часа. Полуживотът на инхибиторната активност за </w:t>
      </w:r>
      <w:r w:rsidRPr="000A62B3">
        <w:rPr>
          <w:rFonts w:eastAsia="Times New Roman" w:cs="Arial"/>
          <w:color w:val="000000"/>
          <w:lang w:val="en-US"/>
        </w:rPr>
        <w:t>HMG</w:t>
      </w:r>
      <w:r w:rsidRPr="000A62B3">
        <w:rPr>
          <w:rFonts w:eastAsia="Times New Roman" w:cs="Arial"/>
          <w:color w:val="000000"/>
          <w:lang w:eastAsia="bg-BG"/>
        </w:rPr>
        <w:t>-СоА-редуктазата е приблизително 20 до 30 часа, поради наличието на активни метаболити.</w:t>
      </w:r>
    </w:p>
    <w:p w14:paraId="0806F24B" w14:textId="77777777" w:rsidR="000A62B3" w:rsidRPr="000A62B3" w:rsidRDefault="000A62B3" w:rsidP="000A62B3">
      <w:pPr>
        <w:spacing w:line="240" w:lineRule="auto"/>
        <w:rPr>
          <w:rFonts w:eastAsia="Times New Roman" w:cs="Arial"/>
          <w:color w:val="000000"/>
          <w:lang w:eastAsia="bg-BG"/>
        </w:rPr>
      </w:pPr>
    </w:p>
    <w:p w14:paraId="0013FF3B" w14:textId="40368E89"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 xml:space="preserve">Аторвастатин е субстрат на чернодробните транспортери и на полипептидите, транспортиращи органични аниони 1В1 (ОАТР1В1) и 1ВЗ (ОАТР1ВЗ). Метаболитите на аторвастатин са субстрати на ОАТР1В1. Установено е също така, че аторвастатин е субстрат на ефлуксните транспортери на протеина, свързан с множествена лекарствена резистентност 1 </w:t>
      </w:r>
      <w:r w:rsidRPr="000A62B3">
        <w:rPr>
          <w:rFonts w:eastAsia="Times New Roman" w:cs="Arial"/>
          <w:color w:val="000000"/>
          <w:lang w:val="en-US"/>
        </w:rPr>
        <w:t>(MDR1</w:t>
      </w:r>
      <w:r w:rsidRPr="000A62B3">
        <w:rPr>
          <w:rFonts w:eastAsia="Times New Roman" w:cs="Arial"/>
          <w:color w:val="000000"/>
          <w:lang w:eastAsia="bg-BG"/>
        </w:rPr>
        <w:t xml:space="preserve">), и на протеина на резистентност на рака на гърдата </w:t>
      </w:r>
      <w:r w:rsidRPr="000A62B3">
        <w:rPr>
          <w:rFonts w:eastAsia="Times New Roman" w:cs="Arial"/>
          <w:color w:val="000000"/>
          <w:lang w:val="en-US"/>
        </w:rPr>
        <w:t xml:space="preserve">(BCRP), </w:t>
      </w:r>
      <w:r w:rsidRPr="000A62B3">
        <w:rPr>
          <w:rFonts w:eastAsia="Times New Roman" w:cs="Arial"/>
          <w:color w:val="000000"/>
          <w:lang w:eastAsia="bg-BG"/>
        </w:rPr>
        <w:t>които може да ограничат чревната абсорбция и жлъчния клирънс на аторвастатин.</w:t>
      </w:r>
    </w:p>
    <w:p w14:paraId="0D7A6CDD" w14:textId="77777777" w:rsidR="000A62B3" w:rsidRPr="000A62B3" w:rsidRDefault="000A62B3" w:rsidP="000A62B3">
      <w:pPr>
        <w:spacing w:line="240" w:lineRule="auto"/>
        <w:rPr>
          <w:rFonts w:eastAsia="Times New Roman" w:cs="Arial"/>
          <w:color w:val="000000"/>
          <w:u w:val="single"/>
          <w:lang w:eastAsia="bg-BG"/>
        </w:rPr>
      </w:pPr>
    </w:p>
    <w:p w14:paraId="1A33346E" w14:textId="7412BA1A" w:rsidR="000A62B3" w:rsidRPr="000A62B3" w:rsidRDefault="000A62B3" w:rsidP="000A62B3">
      <w:pPr>
        <w:spacing w:line="240" w:lineRule="auto"/>
        <w:rPr>
          <w:rFonts w:eastAsia="Times New Roman" w:cs="Arial"/>
          <w:lang w:eastAsia="bg-BG"/>
        </w:rPr>
      </w:pPr>
      <w:r w:rsidRPr="000A62B3">
        <w:rPr>
          <w:rFonts w:eastAsia="Times New Roman" w:cs="Arial"/>
          <w:color w:val="000000"/>
          <w:u w:val="single"/>
          <w:lang w:eastAsia="bg-BG"/>
        </w:rPr>
        <w:t>Специални популации</w:t>
      </w:r>
    </w:p>
    <w:p w14:paraId="396F2A11" w14:textId="77777777" w:rsidR="000A62B3" w:rsidRPr="000A62B3" w:rsidRDefault="000A62B3" w:rsidP="000A62B3">
      <w:pPr>
        <w:spacing w:line="240" w:lineRule="auto"/>
        <w:rPr>
          <w:rFonts w:eastAsia="Times New Roman" w:cs="Arial"/>
          <w:lang w:eastAsia="bg-BG"/>
        </w:rPr>
      </w:pPr>
      <w:r w:rsidRPr="000A62B3">
        <w:rPr>
          <w:rFonts w:eastAsia="Times New Roman" w:cs="Arial"/>
          <w:i/>
          <w:iCs/>
          <w:color w:val="000000"/>
          <w:u w:val="single"/>
          <w:lang w:eastAsia="bg-BG"/>
        </w:rPr>
        <w:t>Пациенти в старческа възраст</w:t>
      </w:r>
    </w:p>
    <w:p w14:paraId="78ADA7F5"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Плазмените концентрации на аторвастатин и неговите метаболити са по-високи при здрави индивиди в старческа възраст, отколкото при млади пациенти, докато ефектът върху липидите е подобен и при двете групи възрастни.</w:t>
      </w:r>
    </w:p>
    <w:p w14:paraId="50935BD3" w14:textId="77777777" w:rsidR="000A62B3" w:rsidRPr="000A62B3" w:rsidRDefault="000A62B3" w:rsidP="000A62B3">
      <w:pPr>
        <w:spacing w:line="240" w:lineRule="auto"/>
        <w:rPr>
          <w:rFonts w:eastAsia="Times New Roman" w:cs="Arial"/>
          <w:i/>
          <w:iCs/>
          <w:color w:val="000000"/>
          <w:u w:val="single"/>
          <w:lang w:eastAsia="bg-BG"/>
        </w:rPr>
      </w:pPr>
    </w:p>
    <w:p w14:paraId="39114B34" w14:textId="2CAEFFAD" w:rsidR="000A62B3" w:rsidRPr="000A62B3" w:rsidRDefault="000A62B3" w:rsidP="000A62B3">
      <w:pPr>
        <w:spacing w:line="240" w:lineRule="auto"/>
        <w:rPr>
          <w:rFonts w:eastAsia="Times New Roman" w:cs="Arial"/>
          <w:lang w:eastAsia="bg-BG"/>
        </w:rPr>
      </w:pPr>
      <w:r w:rsidRPr="000A62B3">
        <w:rPr>
          <w:rFonts w:eastAsia="Times New Roman" w:cs="Arial"/>
          <w:i/>
          <w:iCs/>
          <w:color w:val="000000"/>
          <w:u w:val="single"/>
          <w:lang w:eastAsia="bg-BG"/>
        </w:rPr>
        <w:t>Педиатрична популация</w:t>
      </w:r>
    </w:p>
    <w:p w14:paraId="4EE1BB0B" w14:textId="677EE4A0" w:rsidR="0091385D" w:rsidRPr="000A62B3" w:rsidRDefault="000A62B3" w:rsidP="000A62B3">
      <w:pPr>
        <w:rPr>
          <w:rFonts w:cs="Arial"/>
        </w:rPr>
      </w:pPr>
      <w:r w:rsidRPr="000A62B3">
        <w:rPr>
          <w:rFonts w:eastAsia="Times New Roman" w:cs="Arial"/>
          <w:color w:val="000000"/>
          <w:lang w:eastAsia="bg-BG"/>
        </w:rPr>
        <w:t xml:space="preserve">В отворено, 8-седмично проучване, педиатрични пациенти (на възраст между 6 и 17 години) 1 стадий по </w:t>
      </w:r>
      <w:r w:rsidRPr="000A62B3">
        <w:rPr>
          <w:rFonts w:eastAsia="Times New Roman" w:cs="Arial"/>
          <w:i/>
          <w:iCs/>
          <w:color w:val="000000"/>
          <w:lang w:val="en-US"/>
        </w:rPr>
        <w:t>Tanner</w:t>
      </w:r>
      <w:r w:rsidRPr="000A62B3">
        <w:rPr>
          <w:rFonts w:eastAsia="Times New Roman" w:cs="Arial"/>
          <w:color w:val="000000"/>
          <w:lang w:val="en-US"/>
        </w:rPr>
        <w:t xml:space="preserve"> </w:t>
      </w:r>
      <w:r w:rsidRPr="000A62B3">
        <w:rPr>
          <w:rFonts w:eastAsia="Times New Roman" w:cs="Arial"/>
          <w:color w:val="000000"/>
          <w:lang w:eastAsia="bg-BG"/>
        </w:rPr>
        <w:t>(</w:t>
      </w:r>
      <w:r w:rsidRPr="000A62B3">
        <w:rPr>
          <w:rFonts w:eastAsia="Times New Roman" w:cs="Arial"/>
          <w:color w:val="000000"/>
          <w:lang w:val="en-US"/>
        </w:rPr>
        <w:t>n</w:t>
      </w:r>
      <w:r w:rsidRPr="000A62B3">
        <w:rPr>
          <w:rFonts w:eastAsia="Times New Roman" w:cs="Arial"/>
          <w:color w:val="000000"/>
          <w:lang w:eastAsia="bg-BG"/>
        </w:rPr>
        <w:t xml:space="preserve">=15) и стадий по </w:t>
      </w:r>
      <w:r w:rsidRPr="000A62B3">
        <w:rPr>
          <w:rFonts w:eastAsia="Times New Roman" w:cs="Arial"/>
          <w:i/>
          <w:iCs/>
          <w:color w:val="000000"/>
          <w:lang w:val="en-US"/>
        </w:rPr>
        <w:t xml:space="preserve">Tanner </w:t>
      </w:r>
      <w:r w:rsidRPr="000A62B3">
        <w:rPr>
          <w:rFonts w:eastAsia="Times New Roman" w:cs="Arial"/>
          <w:color w:val="000000"/>
          <w:lang w:eastAsia="bg-BG"/>
        </w:rPr>
        <w:t>≥ 2 (</w:t>
      </w:r>
      <w:r w:rsidRPr="000A62B3">
        <w:rPr>
          <w:rFonts w:eastAsia="Times New Roman" w:cs="Arial"/>
          <w:color w:val="000000"/>
          <w:lang w:val="en-US"/>
        </w:rPr>
        <w:t>n</w:t>
      </w:r>
      <w:r w:rsidRPr="000A62B3">
        <w:rPr>
          <w:rFonts w:eastAsia="Times New Roman" w:cs="Arial"/>
          <w:color w:val="000000"/>
          <w:lang w:eastAsia="bg-BG"/>
        </w:rPr>
        <w:t xml:space="preserve">=24) с хетерозиготна фамилна хиперхолестеролемия и базови стойности на </w:t>
      </w:r>
      <w:r w:rsidRPr="000A62B3">
        <w:rPr>
          <w:rFonts w:eastAsia="Times New Roman" w:cs="Arial"/>
          <w:color w:val="000000"/>
          <w:lang w:val="en-US"/>
        </w:rPr>
        <w:t xml:space="preserve">LDL-C </w:t>
      </w:r>
      <w:r w:rsidRPr="000A62B3">
        <w:rPr>
          <w:rFonts w:eastAsia="Times New Roman" w:cs="Arial"/>
          <w:color w:val="000000"/>
          <w:lang w:eastAsia="bg-BG"/>
        </w:rPr>
        <w:t xml:space="preserve">≥ 4 </w:t>
      </w:r>
      <w:r w:rsidRPr="000A62B3">
        <w:rPr>
          <w:rFonts w:eastAsia="Times New Roman" w:cs="Arial"/>
          <w:color w:val="000000"/>
          <w:lang w:val="en-US"/>
        </w:rPr>
        <w:t xml:space="preserve">mmol/l, </w:t>
      </w:r>
      <w:r w:rsidRPr="000A62B3">
        <w:rPr>
          <w:rFonts w:eastAsia="Times New Roman" w:cs="Arial"/>
          <w:color w:val="000000"/>
          <w:lang w:eastAsia="bg-BG"/>
        </w:rPr>
        <w:t xml:space="preserve">са лекувани с 5 </w:t>
      </w:r>
      <w:r w:rsidRPr="000A62B3">
        <w:rPr>
          <w:rFonts w:eastAsia="Times New Roman" w:cs="Arial"/>
          <w:color w:val="000000"/>
          <w:lang w:val="en-US"/>
        </w:rPr>
        <w:t xml:space="preserve">mg </w:t>
      </w:r>
      <w:r w:rsidRPr="000A62B3">
        <w:rPr>
          <w:rFonts w:eastAsia="Times New Roman" w:cs="Arial"/>
          <w:color w:val="000000"/>
          <w:lang w:eastAsia="bg-BG"/>
        </w:rPr>
        <w:t xml:space="preserve">или 10 </w:t>
      </w:r>
      <w:r w:rsidRPr="000A62B3">
        <w:rPr>
          <w:rFonts w:eastAsia="Times New Roman" w:cs="Arial"/>
          <w:color w:val="000000"/>
          <w:lang w:val="en-US"/>
        </w:rPr>
        <w:t xml:space="preserve">mg </w:t>
      </w:r>
      <w:r w:rsidRPr="000A62B3">
        <w:rPr>
          <w:rFonts w:eastAsia="Times New Roman" w:cs="Arial"/>
          <w:color w:val="000000"/>
          <w:lang w:eastAsia="bg-BG"/>
        </w:rPr>
        <w:t xml:space="preserve">таблетки за дъвчене или съответно с 10 </w:t>
      </w:r>
      <w:r w:rsidRPr="000A62B3">
        <w:rPr>
          <w:rFonts w:eastAsia="Times New Roman" w:cs="Arial"/>
          <w:color w:val="000000"/>
          <w:lang w:val="en-US"/>
        </w:rPr>
        <w:t xml:space="preserve">mg </w:t>
      </w:r>
      <w:r w:rsidRPr="000A62B3">
        <w:rPr>
          <w:rFonts w:eastAsia="Times New Roman" w:cs="Arial"/>
          <w:color w:val="000000"/>
          <w:lang w:eastAsia="bg-BG"/>
        </w:rPr>
        <w:t xml:space="preserve">или 20 </w:t>
      </w:r>
      <w:r w:rsidRPr="000A62B3">
        <w:rPr>
          <w:rFonts w:eastAsia="Times New Roman" w:cs="Arial"/>
          <w:color w:val="000000"/>
          <w:lang w:val="en-US"/>
        </w:rPr>
        <w:t xml:space="preserve">mg </w:t>
      </w:r>
      <w:r w:rsidRPr="000A62B3">
        <w:rPr>
          <w:rFonts w:eastAsia="Times New Roman" w:cs="Arial"/>
          <w:color w:val="000000"/>
          <w:lang w:eastAsia="bg-BG"/>
        </w:rPr>
        <w:t xml:space="preserve">филмирани таблетки аторвастатин веднъж дневно. Единствената значителна промяна във фармакокинетичния профил на популацията, лекувана с аторвастатин, е телесната маса. Видимият перорален клирънс на аторвастатин при педиатрични пациенти е подобен на този при възрастни след алометрично измерване на телесното тегло. Съответно намалението на </w:t>
      </w:r>
      <w:r w:rsidRPr="000A62B3">
        <w:rPr>
          <w:rFonts w:eastAsia="Times New Roman" w:cs="Arial"/>
          <w:color w:val="000000"/>
          <w:lang w:val="en-US"/>
        </w:rPr>
        <w:t xml:space="preserve">LDL-C </w:t>
      </w:r>
      <w:r w:rsidRPr="000A62B3">
        <w:rPr>
          <w:rFonts w:eastAsia="Times New Roman" w:cs="Arial"/>
          <w:color w:val="000000"/>
          <w:lang w:eastAsia="bg-BG"/>
        </w:rPr>
        <w:t>и общия холестерол е било наблюдавано в диапазона на експозиция на аторвастатин и о-хидроксиаторвастатин.</w:t>
      </w:r>
    </w:p>
    <w:p w14:paraId="48D666EA" w14:textId="0D89D687" w:rsidR="000A62B3" w:rsidRPr="000A62B3" w:rsidRDefault="000A62B3" w:rsidP="0091385D">
      <w:pPr>
        <w:rPr>
          <w:rFonts w:cs="Arial"/>
        </w:rPr>
      </w:pPr>
    </w:p>
    <w:p w14:paraId="7BF7C41E" w14:textId="31654172" w:rsidR="000A62B3" w:rsidRPr="000A62B3" w:rsidRDefault="000A62B3" w:rsidP="0091385D">
      <w:pPr>
        <w:rPr>
          <w:rFonts w:cs="Arial"/>
          <w:i/>
          <w:u w:val="single"/>
        </w:rPr>
      </w:pPr>
      <w:r w:rsidRPr="000A62B3">
        <w:rPr>
          <w:rFonts w:cs="Arial"/>
          <w:i/>
          <w:u w:val="single"/>
        </w:rPr>
        <w:lastRenderedPageBreak/>
        <w:t>Пол</w:t>
      </w:r>
    </w:p>
    <w:p w14:paraId="58041928"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Концентрацията на аторвастатин и неговите активни метаболити при жени се различава от тази при мъже (жени: приблизително 20% по-висока за С</w:t>
      </w:r>
      <w:r w:rsidRPr="000A62B3">
        <w:rPr>
          <w:rFonts w:eastAsia="Times New Roman" w:cs="Arial"/>
          <w:color w:val="000000"/>
          <w:lang w:val="en-US"/>
        </w:rPr>
        <w:t>m</w:t>
      </w:r>
      <w:r w:rsidRPr="000A62B3">
        <w:rPr>
          <w:rFonts w:eastAsia="Times New Roman" w:cs="Arial"/>
          <w:color w:val="000000"/>
          <w:lang w:eastAsia="bg-BG"/>
        </w:rPr>
        <w:t xml:space="preserve">ах и приблизително 10% по-ниска за </w:t>
      </w:r>
      <w:r w:rsidRPr="000A62B3">
        <w:rPr>
          <w:rFonts w:eastAsia="Times New Roman" w:cs="Arial"/>
          <w:color w:val="000000"/>
          <w:lang w:val="en-US"/>
        </w:rPr>
        <w:t xml:space="preserve">AUC). </w:t>
      </w:r>
      <w:r w:rsidRPr="000A62B3">
        <w:rPr>
          <w:rFonts w:eastAsia="Times New Roman" w:cs="Arial"/>
          <w:color w:val="000000"/>
          <w:lang w:eastAsia="bg-BG"/>
        </w:rPr>
        <w:t>Тези различия нямат клинично значение и не водят до клинично значими разлики в ефекта по отношение на липидите при жени и мъже.</w:t>
      </w:r>
    </w:p>
    <w:p w14:paraId="1A8CACBC" w14:textId="77777777" w:rsidR="000A62B3" w:rsidRPr="000A62B3" w:rsidRDefault="000A62B3" w:rsidP="000A62B3">
      <w:pPr>
        <w:spacing w:line="240" w:lineRule="auto"/>
        <w:rPr>
          <w:rFonts w:eastAsia="Times New Roman" w:cs="Arial"/>
          <w:i/>
          <w:iCs/>
          <w:color w:val="000000"/>
          <w:u w:val="single"/>
          <w:lang w:eastAsia="bg-BG"/>
        </w:rPr>
      </w:pPr>
    </w:p>
    <w:p w14:paraId="3045FA8F" w14:textId="6399B39E" w:rsidR="000A62B3" w:rsidRPr="000A62B3" w:rsidRDefault="000A62B3" w:rsidP="000A62B3">
      <w:pPr>
        <w:spacing w:line="240" w:lineRule="auto"/>
        <w:rPr>
          <w:rFonts w:eastAsia="Times New Roman" w:cs="Arial"/>
          <w:lang w:eastAsia="bg-BG"/>
        </w:rPr>
      </w:pPr>
      <w:r w:rsidRPr="000A62B3">
        <w:rPr>
          <w:rFonts w:eastAsia="Times New Roman" w:cs="Arial"/>
          <w:i/>
          <w:iCs/>
          <w:color w:val="000000"/>
          <w:u w:val="single"/>
          <w:lang w:eastAsia="bg-BG"/>
        </w:rPr>
        <w:t>Пациенти с бъбречна недостатъчност</w:t>
      </w:r>
    </w:p>
    <w:p w14:paraId="07AA106D"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Бъбречните заболявания нямат влияние върху плазмената концентрация или върху липидопонижаващия ефект на аторвастатин и неговите активни метаболити.</w:t>
      </w:r>
    </w:p>
    <w:p w14:paraId="543DD824" w14:textId="77777777" w:rsidR="000A62B3" w:rsidRPr="000A62B3" w:rsidRDefault="000A62B3" w:rsidP="000A62B3">
      <w:pPr>
        <w:spacing w:line="240" w:lineRule="auto"/>
        <w:rPr>
          <w:rFonts w:eastAsia="Times New Roman" w:cs="Arial"/>
          <w:i/>
          <w:iCs/>
          <w:color w:val="000000"/>
          <w:u w:val="single"/>
          <w:lang w:eastAsia="bg-BG"/>
        </w:rPr>
      </w:pPr>
    </w:p>
    <w:p w14:paraId="2244DC39" w14:textId="6DBF055E" w:rsidR="000A62B3" w:rsidRPr="000A62B3" w:rsidRDefault="000A62B3" w:rsidP="000A62B3">
      <w:pPr>
        <w:spacing w:line="240" w:lineRule="auto"/>
        <w:rPr>
          <w:rFonts w:eastAsia="Times New Roman" w:cs="Arial"/>
          <w:lang w:eastAsia="bg-BG"/>
        </w:rPr>
      </w:pPr>
      <w:r w:rsidRPr="000A62B3">
        <w:rPr>
          <w:rFonts w:eastAsia="Times New Roman" w:cs="Arial"/>
          <w:i/>
          <w:iCs/>
          <w:color w:val="000000"/>
          <w:u w:val="single"/>
          <w:lang w:eastAsia="bg-BG"/>
        </w:rPr>
        <w:t>Пациенти с чернодробна недостатъчност</w:t>
      </w:r>
    </w:p>
    <w:p w14:paraId="46C13A24" w14:textId="77777777" w:rsidR="000A62B3" w:rsidRPr="000A62B3" w:rsidRDefault="000A62B3" w:rsidP="000A62B3">
      <w:pPr>
        <w:spacing w:line="240" w:lineRule="auto"/>
        <w:rPr>
          <w:rFonts w:eastAsia="Times New Roman" w:cs="Arial"/>
          <w:lang w:eastAsia="bg-BG"/>
        </w:rPr>
      </w:pPr>
      <w:r w:rsidRPr="000A62B3">
        <w:rPr>
          <w:rFonts w:eastAsia="Times New Roman" w:cs="Arial"/>
          <w:color w:val="000000"/>
          <w:lang w:eastAsia="bg-BG"/>
        </w:rPr>
        <w:t>Плазмената концентрация на аторвастатин и активните му метаболити значително се покачва (приблизително 16 пъти при кривата на С</w:t>
      </w:r>
      <w:r w:rsidRPr="000A62B3">
        <w:rPr>
          <w:rFonts w:eastAsia="Times New Roman" w:cs="Arial"/>
          <w:color w:val="000000"/>
          <w:vertAlign w:val="subscript"/>
          <w:lang w:val="en-US"/>
        </w:rPr>
        <w:t>max</w:t>
      </w:r>
      <w:r w:rsidRPr="000A62B3">
        <w:rPr>
          <w:rFonts w:eastAsia="Times New Roman" w:cs="Arial"/>
          <w:color w:val="000000"/>
          <w:lang w:eastAsia="bg-BG"/>
        </w:rPr>
        <w:t xml:space="preserve"> и 11 пъти при кривата на </w:t>
      </w:r>
      <w:r w:rsidRPr="000A62B3">
        <w:rPr>
          <w:rFonts w:eastAsia="Times New Roman" w:cs="Arial"/>
          <w:color w:val="000000"/>
          <w:lang w:val="en-US"/>
        </w:rPr>
        <w:t xml:space="preserve">AUC) </w:t>
      </w:r>
      <w:r w:rsidRPr="000A62B3">
        <w:rPr>
          <w:rFonts w:eastAsia="Times New Roman" w:cs="Arial"/>
          <w:color w:val="000000"/>
          <w:lang w:eastAsia="bg-BG"/>
        </w:rPr>
        <w:t>при пациенти с хронично алкохолно чернодробно заболяване (</w:t>
      </w:r>
      <w:r w:rsidRPr="000A62B3">
        <w:rPr>
          <w:rFonts w:eastAsia="Times New Roman" w:cs="Arial"/>
          <w:i/>
          <w:iCs/>
          <w:color w:val="000000"/>
          <w:lang w:val="en-US"/>
        </w:rPr>
        <w:t xml:space="preserve">Childs-Pugh </w:t>
      </w:r>
      <w:r w:rsidRPr="000A62B3">
        <w:rPr>
          <w:rFonts w:eastAsia="Times New Roman" w:cs="Arial"/>
          <w:i/>
          <w:iCs/>
          <w:color w:val="000000"/>
          <w:lang w:eastAsia="bg-BG"/>
        </w:rPr>
        <w:t>В).</w:t>
      </w:r>
    </w:p>
    <w:p w14:paraId="65399968" w14:textId="77777777" w:rsidR="000A62B3" w:rsidRPr="000A62B3" w:rsidRDefault="000A62B3" w:rsidP="000A62B3">
      <w:pPr>
        <w:spacing w:line="240" w:lineRule="auto"/>
        <w:rPr>
          <w:rFonts w:eastAsia="Times New Roman" w:cs="Arial"/>
          <w:i/>
          <w:iCs/>
          <w:color w:val="000000"/>
          <w:u w:val="single"/>
          <w:lang w:val="en-US"/>
        </w:rPr>
      </w:pPr>
    </w:p>
    <w:p w14:paraId="7DE06332" w14:textId="582381DB" w:rsidR="000A62B3" w:rsidRPr="000A62B3" w:rsidRDefault="000A62B3" w:rsidP="000A62B3">
      <w:pPr>
        <w:spacing w:line="240" w:lineRule="auto"/>
        <w:rPr>
          <w:rFonts w:eastAsia="Times New Roman" w:cs="Arial"/>
          <w:lang w:eastAsia="bg-BG"/>
        </w:rPr>
      </w:pPr>
      <w:r w:rsidRPr="000A62B3">
        <w:rPr>
          <w:rFonts w:eastAsia="Times New Roman" w:cs="Arial"/>
          <w:i/>
          <w:iCs/>
          <w:color w:val="000000"/>
          <w:u w:val="single"/>
          <w:lang w:val="en-US"/>
        </w:rPr>
        <w:t xml:space="preserve">SLCO1B1 </w:t>
      </w:r>
      <w:r w:rsidRPr="000A62B3">
        <w:rPr>
          <w:rFonts w:eastAsia="Times New Roman" w:cs="Arial"/>
          <w:i/>
          <w:iCs/>
          <w:color w:val="000000"/>
          <w:u w:val="single"/>
          <w:lang w:eastAsia="bg-BG"/>
        </w:rPr>
        <w:t>полиморфизъм</w:t>
      </w:r>
    </w:p>
    <w:p w14:paraId="06887DF0" w14:textId="244A797D" w:rsidR="000A62B3" w:rsidRPr="000A62B3" w:rsidRDefault="000A62B3" w:rsidP="000A62B3">
      <w:pPr>
        <w:rPr>
          <w:rFonts w:cs="Arial"/>
        </w:rPr>
      </w:pPr>
      <w:r w:rsidRPr="000A62B3">
        <w:rPr>
          <w:rFonts w:eastAsia="Times New Roman" w:cs="Arial"/>
          <w:color w:val="000000"/>
          <w:lang w:eastAsia="bg-BG"/>
        </w:rPr>
        <w:t xml:space="preserve">ОАТР1В1 -транспортния протеин участва в чернодробното захващане на всички </w:t>
      </w:r>
      <w:r w:rsidRPr="000A62B3">
        <w:rPr>
          <w:rFonts w:eastAsia="Times New Roman" w:cs="Arial"/>
          <w:color w:val="000000"/>
          <w:lang w:val="en-US"/>
        </w:rPr>
        <w:t xml:space="preserve">HMG-CoA- </w:t>
      </w:r>
      <w:r w:rsidRPr="000A62B3">
        <w:rPr>
          <w:rFonts w:eastAsia="Times New Roman" w:cs="Arial"/>
          <w:color w:val="000000"/>
          <w:lang w:eastAsia="bg-BG"/>
        </w:rPr>
        <w:t xml:space="preserve">редуктазни инхибитори, включително аторвастатин. При пациенти със </w:t>
      </w:r>
      <w:r w:rsidRPr="000A62B3">
        <w:rPr>
          <w:rFonts w:eastAsia="Times New Roman" w:cs="Arial"/>
          <w:color w:val="000000"/>
          <w:lang w:val="en-US"/>
        </w:rPr>
        <w:t xml:space="preserve">SLCO1B1 </w:t>
      </w:r>
      <w:r w:rsidRPr="000A62B3">
        <w:rPr>
          <w:rFonts w:eastAsia="Times New Roman" w:cs="Arial"/>
          <w:color w:val="000000"/>
          <w:lang w:eastAsia="bg-BG"/>
        </w:rPr>
        <w:t xml:space="preserve">полиморфизъм съществува риск от увеличена експозиция на аторвастатин, което може да доведе до повишен риск от възникване на рабдомиолиза (вж. точка 4.4). Полиморфизмът в гена, кодиращ ОАТР1В1 </w:t>
      </w:r>
      <w:r w:rsidRPr="000A62B3">
        <w:rPr>
          <w:rFonts w:eastAsia="Times New Roman" w:cs="Arial"/>
          <w:color w:val="000000"/>
          <w:lang w:val="en-US"/>
        </w:rPr>
        <w:t xml:space="preserve">(SLCO1B1 </w:t>
      </w:r>
      <w:r w:rsidRPr="000A62B3">
        <w:rPr>
          <w:rFonts w:eastAsia="Times New Roman" w:cs="Arial"/>
          <w:color w:val="000000"/>
          <w:lang w:eastAsia="bg-BG"/>
        </w:rPr>
        <w:t xml:space="preserve">с.521СС) е свързан с повишена 2,4 пъти експозиция на аторвастатин </w:t>
      </w:r>
      <w:r w:rsidRPr="000A62B3">
        <w:rPr>
          <w:rFonts w:eastAsia="Times New Roman" w:cs="Arial"/>
          <w:color w:val="000000"/>
          <w:lang w:val="en-US"/>
        </w:rPr>
        <w:t xml:space="preserve">(AUC), </w:t>
      </w:r>
      <w:r w:rsidRPr="000A62B3">
        <w:rPr>
          <w:rFonts w:eastAsia="Times New Roman" w:cs="Arial"/>
          <w:color w:val="000000"/>
          <w:lang w:eastAsia="bg-BG"/>
        </w:rPr>
        <w:t>в сравнение с индивиди без този генотипен вариант. При тези пациенти е възможно също генетично да е нарушено чернодробното захващане на аторвастатин. Възможните последствия върху ефикасността не са известни.</w:t>
      </w:r>
    </w:p>
    <w:p w14:paraId="344C95D5" w14:textId="77777777" w:rsidR="000A62B3" w:rsidRPr="0091385D" w:rsidRDefault="000A62B3"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661045C5"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Аторвастатин не е канцерогенен при плъхове, но при прилагане на високи дози при мишки (довели до 6-11 пъти по-високи стойности на </w:t>
      </w:r>
      <w:r w:rsidRPr="000A62B3">
        <w:rPr>
          <w:rFonts w:eastAsia="Times New Roman" w:cs="Arial"/>
          <w:color w:val="000000"/>
          <w:szCs w:val="20"/>
          <w:lang w:val="en-US"/>
        </w:rPr>
        <w:t xml:space="preserve">AUC </w:t>
      </w:r>
      <w:r w:rsidRPr="000A62B3">
        <w:rPr>
          <w:rFonts w:eastAsia="Times New Roman" w:cs="Arial"/>
          <w:color w:val="000000"/>
          <w:szCs w:val="20"/>
          <w:lang w:eastAsia="bg-BG"/>
        </w:rPr>
        <w:t>(0-24 часа), в сравнение с тези при хора, приемали най- високата препоръчителна доза) са наблюдавани случаи на хепатоцелуларен аденом при мъжките и хепатоцелуларен карцином при женските животни.</w:t>
      </w:r>
    </w:p>
    <w:p w14:paraId="19518BFB"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Аторвастатин не е показал мутагенен или кластогенен потенциал, оценен при 4 </w:t>
      </w:r>
      <w:r w:rsidRPr="000A62B3">
        <w:rPr>
          <w:rFonts w:eastAsia="Times New Roman" w:cs="Arial"/>
          <w:i/>
          <w:iCs/>
          <w:color w:val="000000"/>
          <w:szCs w:val="20"/>
          <w:lang w:val="en-US"/>
        </w:rPr>
        <w:t>in vitro</w:t>
      </w:r>
      <w:r w:rsidRPr="000A62B3">
        <w:rPr>
          <w:rFonts w:eastAsia="Times New Roman" w:cs="Arial"/>
          <w:color w:val="000000"/>
          <w:szCs w:val="20"/>
          <w:lang w:val="en-US"/>
        </w:rPr>
        <w:t xml:space="preserve"> </w:t>
      </w:r>
      <w:r w:rsidRPr="000A62B3">
        <w:rPr>
          <w:rFonts w:eastAsia="Times New Roman" w:cs="Arial"/>
          <w:color w:val="000000"/>
          <w:szCs w:val="20"/>
          <w:lang w:eastAsia="bg-BG"/>
        </w:rPr>
        <w:t xml:space="preserve">проучвания с или без метаболитна активност и при един </w:t>
      </w:r>
      <w:r w:rsidRPr="000A62B3">
        <w:rPr>
          <w:rFonts w:eastAsia="Times New Roman" w:cs="Arial"/>
          <w:i/>
          <w:iCs/>
          <w:color w:val="000000"/>
          <w:szCs w:val="20"/>
          <w:lang w:val="en-US"/>
        </w:rPr>
        <w:t>in vivo</w:t>
      </w:r>
      <w:r w:rsidRPr="000A62B3">
        <w:rPr>
          <w:rFonts w:eastAsia="Times New Roman" w:cs="Arial"/>
          <w:color w:val="000000"/>
          <w:szCs w:val="20"/>
          <w:lang w:val="en-US"/>
        </w:rPr>
        <w:t xml:space="preserve"> </w:t>
      </w:r>
      <w:r w:rsidRPr="000A62B3">
        <w:rPr>
          <w:rFonts w:eastAsia="Times New Roman" w:cs="Arial"/>
          <w:color w:val="000000"/>
          <w:szCs w:val="20"/>
          <w:lang w:eastAsia="bg-BG"/>
        </w:rPr>
        <w:t>анализ.</w:t>
      </w:r>
    </w:p>
    <w:p w14:paraId="3800F840" w14:textId="77777777" w:rsidR="000A62B3" w:rsidRPr="000A62B3" w:rsidRDefault="000A62B3" w:rsidP="000A62B3">
      <w:pPr>
        <w:rPr>
          <w:rFonts w:eastAsia="Times New Roman" w:cs="Arial"/>
          <w:color w:val="000000"/>
          <w:szCs w:val="20"/>
          <w:lang w:eastAsia="bg-BG"/>
        </w:rPr>
      </w:pPr>
    </w:p>
    <w:p w14:paraId="52E4D01A" w14:textId="4192CE4B" w:rsidR="0091385D" w:rsidRPr="000A62B3" w:rsidRDefault="000A62B3" w:rsidP="000A62B3">
      <w:pPr>
        <w:rPr>
          <w:rFonts w:cs="Arial"/>
          <w:sz w:val="24"/>
        </w:rPr>
      </w:pPr>
      <w:r w:rsidRPr="000A62B3">
        <w:rPr>
          <w:rFonts w:eastAsia="Times New Roman" w:cs="Arial"/>
          <w:color w:val="000000"/>
          <w:szCs w:val="20"/>
          <w:lang w:eastAsia="bg-BG"/>
        </w:rPr>
        <w:t xml:space="preserve">Има данни от проучвания при животни, че </w:t>
      </w:r>
      <w:r w:rsidRPr="000A62B3">
        <w:rPr>
          <w:rFonts w:eastAsia="Times New Roman" w:cs="Arial"/>
          <w:color w:val="000000"/>
          <w:szCs w:val="20"/>
          <w:lang w:val="en-US"/>
        </w:rPr>
        <w:t>HMG</w:t>
      </w:r>
      <w:r w:rsidRPr="000A62B3">
        <w:rPr>
          <w:rFonts w:eastAsia="Times New Roman" w:cs="Arial"/>
          <w:color w:val="000000"/>
          <w:szCs w:val="2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наблюдавана фетална токсичност. Развитието на поколението при плъхове е забавено и постнаталното оцеляване - намалено, при експозиция на майката на високи дози аторвастатин. При плъхове има доказателство за преминаване на лекарството през плацентата. Не е известно дали аторвастатин и неговите метаболити се екскретират в кърмата.</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0DF0BCE7"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lastRenderedPageBreak/>
        <w:t>ЕКОФАРМ ГРУП АД</w:t>
      </w:r>
    </w:p>
    <w:p w14:paraId="678B9D3E"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ул. Атанас Дуков №29, ет. 3,</w:t>
      </w:r>
    </w:p>
    <w:p w14:paraId="721C3D9F"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1407 София, България</w:t>
      </w:r>
    </w:p>
    <w:p w14:paraId="4074DE65"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тел.: (02) 906 90 70</w:t>
      </w:r>
    </w:p>
    <w:p w14:paraId="3FD825DB" w14:textId="5E84963E" w:rsidR="0091385D" w:rsidRPr="000A62B3" w:rsidRDefault="000A62B3" w:rsidP="000A62B3">
      <w:pPr>
        <w:rPr>
          <w:rFonts w:cs="Arial"/>
          <w:sz w:val="24"/>
        </w:rPr>
      </w:pPr>
      <w:r w:rsidRPr="000A62B3">
        <w:rPr>
          <w:rFonts w:eastAsia="Times New Roman" w:cs="Arial"/>
          <w:color w:val="000000"/>
          <w:szCs w:val="20"/>
          <w:lang w:eastAsia="bg-BG"/>
        </w:rPr>
        <w:t>факс: (02) 906 90 71</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09FB1A9"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Аторвастатин Екофарм 10 </w:t>
      </w:r>
      <w:r w:rsidRPr="000A62B3">
        <w:rPr>
          <w:rFonts w:eastAsia="Times New Roman" w:cs="Arial"/>
          <w:color w:val="000000"/>
          <w:szCs w:val="20"/>
          <w:lang w:val="en-US"/>
        </w:rPr>
        <w:t xml:space="preserve">mg </w:t>
      </w:r>
      <w:r w:rsidRPr="000A62B3">
        <w:rPr>
          <w:rFonts w:eastAsia="Times New Roman" w:cs="Arial"/>
          <w:color w:val="000000"/>
          <w:szCs w:val="20"/>
          <w:lang w:eastAsia="bg-BG"/>
        </w:rPr>
        <w:t>филмирани таблетки - 20160339</w:t>
      </w:r>
    </w:p>
    <w:p w14:paraId="6E892CE5" w14:textId="696F9B33" w:rsidR="0091385D" w:rsidRPr="000A62B3" w:rsidRDefault="000A62B3" w:rsidP="000A62B3">
      <w:pPr>
        <w:rPr>
          <w:rFonts w:cs="Arial"/>
          <w:sz w:val="24"/>
        </w:rPr>
      </w:pPr>
      <w:r w:rsidRPr="000A62B3">
        <w:rPr>
          <w:rFonts w:eastAsia="Times New Roman" w:cs="Arial"/>
          <w:color w:val="000000"/>
          <w:szCs w:val="20"/>
          <w:lang w:eastAsia="bg-BG"/>
        </w:rPr>
        <w:t xml:space="preserve">Аторвастатин Екофарм 20 </w:t>
      </w:r>
      <w:r w:rsidRPr="000A62B3">
        <w:rPr>
          <w:rFonts w:eastAsia="Times New Roman" w:cs="Arial"/>
          <w:color w:val="000000"/>
          <w:szCs w:val="20"/>
          <w:lang w:val="en-US"/>
        </w:rPr>
        <w:t xml:space="preserve">mg </w:t>
      </w:r>
      <w:r w:rsidRPr="000A62B3">
        <w:rPr>
          <w:rFonts w:eastAsia="Times New Roman" w:cs="Arial"/>
          <w:color w:val="000000"/>
          <w:szCs w:val="20"/>
          <w:lang w:eastAsia="bg-BG"/>
        </w:rPr>
        <w:t>филмирани таблетки - 20160345</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707FF1EE"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Дата на първо разрешаване:</w:t>
      </w:r>
    </w:p>
    <w:p w14:paraId="77712048" w14:textId="77777777" w:rsidR="000A62B3" w:rsidRPr="000A62B3" w:rsidRDefault="000A62B3" w:rsidP="000A62B3">
      <w:pPr>
        <w:spacing w:line="240" w:lineRule="auto"/>
        <w:rPr>
          <w:rFonts w:eastAsia="Times New Roman" w:cs="Arial"/>
          <w:sz w:val="28"/>
          <w:szCs w:val="24"/>
          <w:lang w:eastAsia="bg-BG"/>
        </w:rPr>
      </w:pPr>
      <w:r w:rsidRPr="000A62B3">
        <w:rPr>
          <w:rFonts w:eastAsia="Times New Roman" w:cs="Arial"/>
          <w:color w:val="000000"/>
          <w:szCs w:val="20"/>
          <w:lang w:eastAsia="bg-BG"/>
        </w:rPr>
        <w:t xml:space="preserve">Аторвастатин Екофарм 10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филмирани таблетки 10 </w:t>
      </w:r>
      <w:r w:rsidRPr="000A62B3">
        <w:rPr>
          <w:rFonts w:eastAsia="Times New Roman" w:cs="Arial"/>
          <w:color w:val="000000"/>
          <w:szCs w:val="20"/>
          <w:lang w:val="en-US"/>
        </w:rPr>
        <w:t xml:space="preserve">mg - </w:t>
      </w:r>
      <w:r w:rsidRPr="000A62B3">
        <w:rPr>
          <w:rFonts w:eastAsia="Times New Roman" w:cs="Arial"/>
          <w:color w:val="000000"/>
          <w:szCs w:val="20"/>
          <w:lang w:eastAsia="bg-BG"/>
        </w:rPr>
        <w:t>04 ноември 2016</w:t>
      </w:r>
    </w:p>
    <w:p w14:paraId="497007FA" w14:textId="49F06EDB" w:rsidR="0091385D" w:rsidRPr="000A62B3" w:rsidRDefault="000A62B3" w:rsidP="000A62B3">
      <w:pPr>
        <w:rPr>
          <w:rFonts w:cs="Arial"/>
          <w:sz w:val="24"/>
        </w:rPr>
      </w:pPr>
      <w:r w:rsidRPr="000A62B3">
        <w:rPr>
          <w:rFonts w:eastAsia="Times New Roman" w:cs="Arial"/>
          <w:color w:val="000000"/>
          <w:szCs w:val="20"/>
          <w:lang w:eastAsia="bg-BG"/>
        </w:rPr>
        <w:t xml:space="preserve">Аторвастатин Екофарм 20 </w:t>
      </w:r>
      <w:r w:rsidRPr="000A62B3">
        <w:rPr>
          <w:rFonts w:eastAsia="Times New Roman" w:cs="Arial"/>
          <w:color w:val="000000"/>
          <w:szCs w:val="20"/>
          <w:lang w:val="en-US"/>
        </w:rPr>
        <w:t xml:space="preserve">mg </w:t>
      </w:r>
      <w:r w:rsidRPr="000A62B3">
        <w:rPr>
          <w:rFonts w:eastAsia="Times New Roman" w:cs="Arial"/>
          <w:color w:val="000000"/>
          <w:szCs w:val="20"/>
          <w:lang w:eastAsia="bg-BG"/>
        </w:rPr>
        <w:t xml:space="preserve">филмирани таблетки 20 </w:t>
      </w:r>
      <w:r w:rsidRPr="000A62B3">
        <w:rPr>
          <w:rFonts w:eastAsia="Times New Roman" w:cs="Arial"/>
          <w:color w:val="000000"/>
          <w:szCs w:val="20"/>
          <w:lang w:val="en-US"/>
        </w:rPr>
        <w:t xml:space="preserve">mg </w:t>
      </w:r>
      <w:r w:rsidRPr="000A62B3">
        <w:rPr>
          <w:rFonts w:eastAsia="Times New Roman" w:cs="Arial"/>
          <w:color w:val="000000"/>
          <w:szCs w:val="20"/>
          <w:lang w:eastAsia="bg-BG"/>
        </w:rPr>
        <w:t>- 08 ноември 2016</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73E67414" w:rsidR="0091385D" w:rsidRDefault="0091385D" w:rsidP="0091385D"/>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2BD4C0C"/>
    <w:multiLevelType w:val="hybridMultilevel"/>
    <w:tmpl w:val="589CBA14"/>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4A26CC7"/>
    <w:multiLevelType w:val="hybridMultilevel"/>
    <w:tmpl w:val="DDFA6CE4"/>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6E4B33"/>
    <w:multiLevelType w:val="hybridMultilevel"/>
    <w:tmpl w:val="EC2C1C4C"/>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0" w15:restartNumberingAfterBreak="0">
    <w:nsid w:val="11A3497A"/>
    <w:multiLevelType w:val="hybridMultilevel"/>
    <w:tmpl w:val="122465C4"/>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4"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7A41DE"/>
    <w:multiLevelType w:val="hybridMultilevel"/>
    <w:tmpl w:val="3D425B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1E7073"/>
    <w:multiLevelType w:val="hybridMultilevel"/>
    <w:tmpl w:val="5F20D3E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6"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992C81"/>
    <w:multiLevelType w:val="hybridMultilevel"/>
    <w:tmpl w:val="253CF0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2"/>
  </w:num>
  <w:num w:numId="2">
    <w:abstractNumId w:val="0"/>
  </w:num>
  <w:num w:numId="3">
    <w:abstractNumId w:val="16"/>
  </w:num>
  <w:num w:numId="4">
    <w:abstractNumId w:val="3"/>
  </w:num>
  <w:num w:numId="5">
    <w:abstractNumId w:val="1"/>
  </w:num>
  <w:num w:numId="6">
    <w:abstractNumId w:val="20"/>
  </w:num>
  <w:num w:numId="7">
    <w:abstractNumId w:val="14"/>
  </w:num>
  <w:num w:numId="8">
    <w:abstractNumId w:val="19"/>
  </w:num>
  <w:num w:numId="9">
    <w:abstractNumId w:val="2"/>
  </w:num>
  <w:num w:numId="10">
    <w:abstractNumId w:val="5"/>
  </w:num>
  <w:num w:numId="11">
    <w:abstractNumId w:val="35"/>
  </w:num>
  <w:num w:numId="12">
    <w:abstractNumId w:val="18"/>
  </w:num>
  <w:num w:numId="13">
    <w:abstractNumId w:val="23"/>
  </w:num>
  <w:num w:numId="14">
    <w:abstractNumId w:val="15"/>
  </w:num>
  <w:num w:numId="15">
    <w:abstractNumId w:val="34"/>
  </w:num>
  <w:num w:numId="16">
    <w:abstractNumId w:val="13"/>
  </w:num>
  <w:num w:numId="17">
    <w:abstractNumId w:val="29"/>
  </w:num>
  <w:num w:numId="18">
    <w:abstractNumId w:val="11"/>
  </w:num>
  <w:num w:numId="19">
    <w:abstractNumId w:val="31"/>
  </w:num>
  <w:num w:numId="20">
    <w:abstractNumId w:val="28"/>
  </w:num>
  <w:num w:numId="21">
    <w:abstractNumId w:val="21"/>
  </w:num>
  <w:num w:numId="22">
    <w:abstractNumId w:val="30"/>
  </w:num>
  <w:num w:numId="23">
    <w:abstractNumId w:val="22"/>
  </w:num>
  <w:num w:numId="24">
    <w:abstractNumId w:val="12"/>
  </w:num>
  <w:num w:numId="25">
    <w:abstractNumId w:val="27"/>
  </w:num>
  <w:num w:numId="26">
    <w:abstractNumId w:val="26"/>
  </w:num>
  <w:num w:numId="27">
    <w:abstractNumId w:val="37"/>
  </w:num>
  <w:num w:numId="28">
    <w:abstractNumId w:val="9"/>
  </w:num>
  <w:num w:numId="29">
    <w:abstractNumId w:val="25"/>
  </w:num>
  <w:num w:numId="30">
    <w:abstractNumId w:val="40"/>
  </w:num>
  <w:num w:numId="31">
    <w:abstractNumId w:val="7"/>
  </w:num>
  <w:num w:numId="32">
    <w:abstractNumId w:val="39"/>
  </w:num>
  <w:num w:numId="33">
    <w:abstractNumId w:val="33"/>
  </w:num>
  <w:num w:numId="34">
    <w:abstractNumId w:val="38"/>
  </w:num>
  <w:num w:numId="35">
    <w:abstractNumId w:val="36"/>
  </w:num>
  <w:num w:numId="36">
    <w:abstractNumId w:val="24"/>
  </w:num>
  <w:num w:numId="37">
    <w:abstractNumId w:val="6"/>
  </w:num>
  <w:num w:numId="38">
    <w:abstractNumId w:val="8"/>
  </w:num>
  <w:num w:numId="39">
    <w:abstractNumId w:val="10"/>
  </w:num>
  <w:num w:numId="40">
    <w:abstractNumId w:val="4"/>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A62B3"/>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5CEA"/>
    <w:rsid w:val="009773E4"/>
    <w:rsid w:val="009B171C"/>
    <w:rsid w:val="009F1313"/>
    <w:rsid w:val="00A20351"/>
    <w:rsid w:val="00A65A81"/>
    <w:rsid w:val="00A73575"/>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15BDC"/>
    <w:rsid w:val="00D86297"/>
    <w:rsid w:val="00DD466D"/>
    <w:rsid w:val="00EB6364"/>
    <w:rsid w:val="00F37B64"/>
    <w:rsid w:val="00FD69E8"/>
    <w:rsid w:val="00FF0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9542</Words>
  <Characters>54391</Characters>
  <Application>Microsoft Office Word</Application>
  <DocSecurity>0</DocSecurity>
  <Lines>453</Lines>
  <Paragraphs>127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3</cp:revision>
  <dcterms:created xsi:type="dcterms:W3CDTF">2022-10-31T16:56:00Z</dcterms:created>
  <dcterms:modified xsi:type="dcterms:W3CDTF">2022-10-31T16:56:00Z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