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3320F4BE" w14:textId="7A33E363" w:rsidR="00C40420" w:rsidRDefault="00DD466D" w:rsidP="004A448E">
      <w:pPr>
        <w:pStyle w:val="Heading1"/>
      </w:pPr>
      <w:r>
        <w:t>1.ИМЕ НА ЛЕКАРСТВЕНИЯ ПРОДУКТ</w:t>
      </w:r>
    </w:p>
    <w:p w14:paraId="33A7339E" w14:textId="307413EF" w:rsidR="00BE2FFB" w:rsidRDefault="00BE2FFB" w:rsidP="00BE2FFB"/>
    <w:p w14:paraId="3ADBE70E" w14:textId="68710F22" w:rsidR="00BE2FFB" w:rsidRPr="003E77D3" w:rsidRDefault="003E77D3" w:rsidP="00BE2FFB">
      <w:pPr>
        <w:rPr>
          <w:sz w:val="24"/>
          <w:szCs w:val="24"/>
        </w:rPr>
      </w:pPr>
      <w:r>
        <w:rPr>
          <w:lang w:eastAsia="bg-BG"/>
        </w:rPr>
        <w:t>Аторвин 20</w:t>
      </w:r>
      <w:r w:rsidR="00BE2FFB" w:rsidRPr="00BE2FFB">
        <w:rPr>
          <w:lang w:eastAsia="bg-BG"/>
        </w:rPr>
        <w:t xml:space="preserve"> </w:t>
      </w:r>
      <w:r w:rsidR="00BE2FFB" w:rsidRPr="00BE2FFB">
        <w:rPr>
          <w:lang w:val="en-US"/>
        </w:rPr>
        <w:t>mg</w:t>
      </w:r>
      <w:r w:rsidR="00BE2FFB" w:rsidRPr="003E77D3">
        <w:t xml:space="preserve"> </w:t>
      </w:r>
      <w:r w:rsidR="00BE2FFB" w:rsidRPr="00BE2FFB">
        <w:rPr>
          <w:lang w:eastAsia="bg-BG"/>
        </w:rPr>
        <w:t>филмирани таблетки</w:t>
      </w:r>
    </w:p>
    <w:p w14:paraId="702D8200" w14:textId="3E125E88" w:rsidR="00BE2FFB" w:rsidRPr="00BE2FFB" w:rsidRDefault="00BE2FFB" w:rsidP="00BE2FFB">
      <w:proofErr w:type="spellStart"/>
      <w:r w:rsidRPr="00BE2FFB">
        <w:rPr>
          <w:lang w:val="en-US"/>
        </w:rPr>
        <w:t>Atorvin</w:t>
      </w:r>
      <w:proofErr w:type="spellEnd"/>
      <w:r w:rsidRPr="003E77D3">
        <w:t xml:space="preserve"> </w:t>
      </w:r>
      <w:r w:rsidR="003E77D3">
        <w:rPr>
          <w:lang w:eastAsia="bg-BG"/>
        </w:rPr>
        <w:t>20</w:t>
      </w:r>
      <w:r w:rsidRPr="00BE2FFB">
        <w:rPr>
          <w:lang w:eastAsia="bg-BG"/>
        </w:rPr>
        <w:t xml:space="preserve"> </w:t>
      </w:r>
      <w:r w:rsidRPr="00BE2FFB">
        <w:rPr>
          <w:lang w:val="en-US"/>
        </w:rPr>
        <w:t>mg</w:t>
      </w:r>
      <w:r w:rsidRPr="003E77D3">
        <w:t xml:space="preserve"> </w:t>
      </w:r>
      <w:r w:rsidRPr="00BE2FFB">
        <w:rPr>
          <w:lang w:val="en-US"/>
        </w:rPr>
        <w:t>film</w:t>
      </w:r>
      <w:r w:rsidRPr="003E77D3">
        <w:t>-</w:t>
      </w:r>
      <w:r w:rsidRPr="00BE2FFB">
        <w:rPr>
          <w:lang w:val="en-US"/>
        </w:rPr>
        <w:t>coated</w:t>
      </w:r>
      <w:r w:rsidRPr="003E77D3">
        <w:t xml:space="preserve"> </w:t>
      </w:r>
      <w:r w:rsidRPr="00BE2FFB">
        <w:rPr>
          <w:lang w:val="en-US"/>
        </w:rPr>
        <w:t>tablets</w:t>
      </w:r>
    </w:p>
    <w:p w14:paraId="6920A680" w14:textId="1130999A" w:rsidR="00C40420" w:rsidRDefault="00DD466D" w:rsidP="004A448E">
      <w:pPr>
        <w:pStyle w:val="Heading1"/>
      </w:pPr>
      <w:r>
        <w:t>2. КАЧЕСТВЕН И КОЛИЧЕСТВЕН СЪСТАВ</w:t>
      </w:r>
    </w:p>
    <w:p w14:paraId="10815096" w14:textId="4BFD4157" w:rsidR="00BE2FFB" w:rsidRDefault="00BE2FFB" w:rsidP="00BE2FFB"/>
    <w:p w14:paraId="4DC07EF2" w14:textId="58CDE9A7" w:rsidR="00BE2FFB" w:rsidRDefault="00BE2FFB" w:rsidP="00BE2FFB">
      <w:pPr>
        <w:pStyle w:val="Heading2"/>
      </w:pPr>
      <w:r w:rsidRPr="003E77D3">
        <w:rPr>
          <w:lang w:val="ru-RU"/>
        </w:rPr>
        <w:t xml:space="preserve">2.1 </w:t>
      </w:r>
      <w:r>
        <w:t>Общо описание</w:t>
      </w:r>
    </w:p>
    <w:p w14:paraId="6E8982E2" w14:textId="2C6F026D" w:rsidR="00BE2FFB" w:rsidRDefault="00BE2FFB" w:rsidP="00BE2FFB"/>
    <w:p w14:paraId="4D89CB40" w14:textId="4DD2C97A" w:rsidR="00BE2FFB" w:rsidRPr="00BE2FFB" w:rsidRDefault="00BE2FFB" w:rsidP="00BE2FFB">
      <w:pPr>
        <w:rPr>
          <w:sz w:val="24"/>
          <w:szCs w:val="24"/>
        </w:rPr>
      </w:pPr>
      <w:r w:rsidRPr="00BE2FFB">
        <w:rPr>
          <w:lang w:eastAsia="bg-BG"/>
        </w:rPr>
        <w:t>Вся</w:t>
      </w:r>
      <w:r w:rsidR="003E77D3">
        <w:rPr>
          <w:lang w:eastAsia="bg-BG"/>
        </w:rPr>
        <w:t>ка филмирана таблетка съдържа 20</w:t>
      </w:r>
      <w:r w:rsidRPr="00BE2FFB">
        <w:rPr>
          <w:lang w:eastAsia="bg-BG"/>
        </w:rPr>
        <w:t xml:space="preserve"> </w:t>
      </w:r>
      <w:r w:rsidRPr="00BE2FFB">
        <w:rPr>
          <w:lang w:val="en-US"/>
        </w:rPr>
        <w:t>mg</w:t>
      </w:r>
      <w:r w:rsidRPr="00BE2FFB">
        <w:t xml:space="preserve"> </w:t>
      </w:r>
      <w:r w:rsidRPr="00BE2FFB">
        <w:rPr>
          <w:lang w:eastAsia="bg-BG"/>
        </w:rPr>
        <w:t xml:space="preserve">аторвастатин като аторвастатин калций трихидрат </w:t>
      </w:r>
      <w:r w:rsidRPr="00BE2FFB">
        <w:rPr>
          <w:i/>
          <w:iCs/>
        </w:rPr>
        <w:t>(</w:t>
      </w:r>
      <w:r w:rsidRPr="00BE2FFB">
        <w:rPr>
          <w:i/>
          <w:iCs/>
          <w:lang w:val="en-US"/>
        </w:rPr>
        <w:t>atorvastatin</w:t>
      </w:r>
      <w:r w:rsidRPr="00BE2FFB">
        <w:rPr>
          <w:i/>
          <w:iCs/>
        </w:rPr>
        <w:t xml:space="preserve"> </w:t>
      </w:r>
      <w:r w:rsidRPr="00BE2FFB">
        <w:rPr>
          <w:i/>
          <w:iCs/>
          <w:lang w:val="en-US"/>
        </w:rPr>
        <w:t>calcium</w:t>
      </w:r>
      <w:r w:rsidRPr="00BE2FFB">
        <w:rPr>
          <w:i/>
          <w:iCs/>
        </w:rPr>
        <w:t xml:space="preserve"> </w:t>
      </w:r>
      <w:proofErr w:type="spellStart"/>
      <w:r w:rsidRPr="00BE2FFB">
        <w:rPr>
          <w:i/>
          <w:iCs/>
          <w:lang w:val="en-US"/>
        </w:rPr>
        <w:t>trihydrate</w:t>
      </w:r>
      <w:proofErr w:type="spellEnd"/>
      <w:r w:rsidRPr="00BE2FFB">
        <w:rPr>
          <w:i/>
          <w:iCs/>
        </w:rPr>
        <w:t>).</w:t>
      </w:r>
    </w:p>
    <w:p w14:paraId="39BCDFD9" w14:textId="3A472B25" w:rsidR="00BE2FFB" w:rsidRDefault="00BE2FFB" w:rsidP="00BE2FFB"/>
    <w:p w14:paraId="574EFC90" w14:textId="1C5A4FF2" w:rsidR="00BE2FFB" w:rsidRDefault="00BE2FFB" w:rsidP="00BE2FFB">
      <w:pPr>
        <w:pStyle w:val="Heading2"/>
      </w:pPr>
      <w:r>
        <w:t xml:space="preserve">2.2 </w:t>
      </w:r>
      <w:bookmarkStart w:id="1" w:name="bookmark0"/>
      <w:r>
        <w:t>Качествен и количествен състав</w:t>
      </w:r>
      <w:bookmarkEnd w:id="1"/>
    </w:p>
    <w:p w14:paraId="4FB9B75A" w14:textId="22BBD9A1" w:rsidR="00BE2FFB" w:rsidRDefault="00BE2FFB" w:rsidP="00BE2FFB"/>
    <w:p w14:paraId="7EC2516E" w14:textId="77777777" w:rsidR="00BE2FFB" w:rsidRPr="00BE2FFB" w:rsidRDefault="00BE2FFB" w:rsidP="00BE2FFB">
      <w:pPr>
        <w:rPr>
          <w:sz w:val="24"/>
          <w:szCs w:val="24"/>
        </w:rPr>
      </w:pPr>
      <w:r w:rsidRPr="00BE2FFB">
        <w:rPr>
          <w:lang w:eastAsia="bg-BG"/>
        </w:rPr>
        <w:t>Помощно вещество с известно действие:</w:t>
      </w:r>
    </w:p>
    <w:p w14:paraId="1B98B87A" w14:textId="72D3CDA6" w:rsidR="00BE2FFB" w:rsidRPr="00BE2FFB" w:rsidRDefault="00BE2FFB" w:rsidP="00BE2FFB">
      <w:r w:rsidRPr="00BE2FFB">
        <w:rPr>
          <w:lang w:eastAsia="bg-BG"/>
        </w:rPr>
        <w:t>Вся</w:t>
      </w:r>
      <w:r w:rsidR="003E77D3">
        <w:rPr>
          <w:lang w:eastAsia="bg-BG"/>
        </w:rPr>
        <w:t>ка филмирана таблетка Аторвин 20</w:t>
      </w:r>
      <w:r w:rsidRPr="00BE2FFB">
        <w:rPr>
          <w:lang w:eastAsia="bg-BG"/>
        </w:rPr>
        <w:t xml:space="preserve"> </w:t>
      </w:r>
      <w:r w:rsidRPr="00BE2FFB">
        <w:rPr>
          <w:lang w:val="en-US"/>
        </w:rPr>
        <w:t>mg</w:t>
      </w:r>
      <w:r w:rsidRPr="00BE2FFB">
        <w:rPr>
          <w:lang w:val="ru-RU"/>
        </w:rPr>
        <w:t xml:space="preserve"> </w:t>
      </w:r>
      <w:r w:rsidR="003E77D3">
        <w:rPr>
          <w:lang w:eastAsia="bg-BG"/>
        </w:rPr>
        <w:t>съдържа 64,15</w:t>
      </w:r>
      <w:r w:rsidRPr="00BE2FFB">
        <w:rPr>
          <w:lang w:eastAsia="bg-BG"/>
        </w:rPr>
        <w:t xml:space="preserve"> </w:t>
      </w:r>
      <w:r w:rsidRPr="00BE2FFB">
        <w:rPr>
          <w:lang w:val="en-US"/>
        </w:rPr>
        <w:t>mg</w:t>
      </w:r>
      <w:r w:rsidRPr="00BE2FFB">
        <w:rPr>
          <w:lang w:val="ru-RU"/>
        </w:rPr>
        <w:t xml:space="preserve"> </w:t>
      </w:r>
      <w:r w:rsidRPr="00BE2FFB">
        <w:rPr>
          <w:lang w:eastAsia="bg-BG"/>
        </w:rPr>
        <w:t>лактоза монохидрат.</w:t>
      </w:r>
    </w:p>
    <w:p w14:paraId="614984C4" w14:textId="3D65267A" w:rsidR="008A6AF2" w:rsidRDefault="00DD466D" w:rsidP="002C50EE">
      <w:pPr>
        <w:pStyle w:val="Heading1"/>
      </w:pPr>
      <w:r>
        <w:t>3. ЛЕКАРСТВЕНА ФОРМА</w:t>
      </w:r>
    </w:p>
    <w:p w14:paraId="6C81DBA0" w14:textId="4CD38A00" w:rsidR="00BE2FFB" w:rsidRDefault="00BE2FFB" w:rsidP="00BE2FFB"/>
    <w:p w14:paraId="2B9F1D78" w14:textId="77777777" w:rsidR="00BE2FFB" w:rsidRPr="00BE2FFB" w:rsidRDefault="00BE2FFB" w:rsidP="00BE2FFB">
      <w:pPr>
        <w:rPr>
          <w:sz w:val="24"/>
          <w:szCs w:val="24"/>
        </w:rPr>
      </w:pPr>
      <w:r w:rsidRPr="00BE2FFB">
        <w:rPr>
          <w:lang w:eastAsia="bg-BG"/>
        </w:rPr>
        <w:t>Филмирана таблетка</w:t>
      </w:r>
    </w:p>
    <w:p w14:paraId="6A620C05" w14:textId="123A3F91" w:rsidR="00BE2FFB" w:rsidRPr="00BE2FFB" w:rsidRDefault="00BE2FFB" w:rsidP="00BE2FFB">
      <w:r w:rsidRPr="00BE2FFB">
        <w:rPr>
          <w:lang w:eastAsia="bg-BG"/>
        </w:rPr>
        <w:t>Бели продълговати филмирани таблетки.</w:t>
      </w:r>
    </w:p>
    <w:p w14:paraId="490FC2C4" w14:textId="32682B15" w:rsidR="002C50EE" w:rsidRDefault="002C50EE" w:rsidP="002C50EE">
      <w:pPr>
        <w:pStyle w:val="Heading1"/>
      </w:pPr>
      <w:r>
        <w:t>4. КЛИНИЧНИ ДАННИ</w:t>
      </w:r>
    </w:p>
    <w:p w14:paraId="0C8E6903" w14:textId="5FA54F47" w:rsidR="008134C8" w:rsidRDefault="002C50EE" w:rsidP="004A448E">
      <w:pPr>
        <w:pStyle w:val="Heading2"/>
      </w:pPr>
      <w:r>
        <w:t>4.1. Терапевтични показания</w:t>
      </w:r>
    </w:p>
    <w:p w14:paraId="63DF3A12" w14:textId="05C3B83B" w:rsidR="00BE2FFB" w:rsidRDefault="00BE2FFB" w:rsidP="00BE2FFB"/>
    <w:p w14:paraId="1F9DFECD" w14:textId="77777777"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Хиперхолестеролемия</w:t>
      </w:r>
    </w:p>
    <w:p w14:paraId="0B44B28D"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Аторвин е показан като допълнение към диетата за намаляване на повишените общ холестсрол, </w:t>
      </w:r>
      <w:r w:rsidRPr="00BE2FFB">
        <w:rPr>
          <w:rFonts w:eastAsia="Times New Roman" w:cs="Arial"/>
          <w:color w:val="000000"/>
          <w:lang w:val="en-US"/>
        </w:rPr>
        <w:t>LDL</w:t>
      </w:r>
      <w:r w:rsidRPr="00BE2FFB">
        <w:rPr>
          <w:rFonts w:eastAsia="Times New Roman" w:cs="Arial"/>
          <w:color w:val="000000"/>
          <w:lang w:eastAsia="bg-BG"/>
        </w:rPr>
        <w:t xml:space="preserve">-холестерол, аполипопротеин В и триглицериди при пациенти с първична хиперхолестеролемия, включително фамилна хиперхолестеролемия (хетерозиготен вариант) или комбинирана (смесена) хиперлипидемия (отговаряща на тип </w:t>
      </w:r>
      <w:r w:rsidRPr="00BE2FFB">
        <w:rPr>
          <w:rFonts w:eastAsia="Times New Roman" w:cs="Arial"/>
          <w:color w:val="000000"/>
          <w:lang w:val="en-US"/>
        </w:rPr>
        <w:t>II</w:t>
      </w:r>
      <w:r w:rsidRPr="00BE2FFB">
        <w:rPr>
          <w:rFonts w:eastAsia="Times New Roman" w:cs="Arial"/>
          <w:color w:val="000000"/>
          <w:lang w:eastAsia="bg-BG"/>
        </w:rPr>
        <w:t xml:space="preserve">а и тип </w:t>
      </w:r>
      <w:proofErr w:type="spellStart"/>
      <w:r w:rsidRPr="00BE2FFB">
        <w:rPr>
          <w:rFonts w:eastAsia="Times New Roman" w:cs="Arial"/>
          <w:color w:val="000000"/>
          <w:lang w:val="en-US"/>
        </w:rPr>
        <w:t>IIb</w:t>
      </w:r>
      <w:proofErr w:type="spellEnd"/>
      <w:r w:rsidRPr="00BE2FFB">
        <w:rPr>
          <w:rFonts w:eastAsia="Times New Roman" w:cs="Arial"/>
          <w:color w:val="000000"/>
          <w:lang w:eastAsia="bg-BG"/>
        </w:rPr>
        <w:t xml:space="preserve"> от класификацията на </w:t>
      </w:r>
      <w:r w:rsidRPr="00BE2FFB">
        <w:rPr>
          <w:rFonts w:eastAsia="Times New Roman" w:cs="Arial"/>
          <w:color w:val="000000"/>
          <w:lang w:val="en-US"/>
        </w:rPr>
        <w:t>Fredrickson</w:t>
      </w:r>
      <w:r w:rsidRPr="00BE2FFB">
        <w:rPr>
          <w:rFonts w:eastAsia="Times New Roman" w:cs="Arial"/>
          <w:color w:val="000000"/>
          <w:lang w:val="ru-RU"/>
        </w:rPr>
        <w:t xml:space="preserve">), </w:t>
      </w:r>
      <w:r w:rsidRPr="00BE2FFB">
        <w:rPr>
          <w:rFonts w:eastAsia="Times New Roman" w:cs="Arial"/>
          <w:color w:val="000000"/>
          <w:lang w:eastAsia="bg-BG"/>
        </w:rPr>
        <w:t>когато ефектът на диетата и другите нефармакологични средства е недостатъчен.</w:t>
      </w:r>
    </w:p>
    <w:p w14:paraId="6260EF02" w14:textId="77777777" w:rsidR="00BE2FFB" w:rsidRDefault="00BE2FFB" w:rsidP="00BE2FFB">
      <w:pPr>
        <w:spacing w:line="240" w:lineRule="auto"/>
        <w:rPr>
          <w:rFonts w:eastAsia="Times New Roman" w:cs="Arial"/>
          <w:color w:val="000000"/>
          <w:lang w:eastAsia="bg-BG"/>
        </w:rPr>
      </w:pPr>
    </w:p>
    <w:p w14:paraId="658287EA" w14:textId="479CB88E"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Аторвин е показан също и за понижаване на общия холестерол и </w:t>
      </w:r>
      <w:r w:rsidRPr="00BE2FFB">
        <w:rPr>
          <w:rFonts w:eastAsia="Times New Roman" w:cs="Arial"/>
          <w:color w:val="000000"/>
          <w:lang w:val="en-US"/>
        </w:rPr>
        <w:t>LDL</w:t>
      </w:r>
      <w:r w:rsidRPr="00BE2FFB">
        <w:rPr>
          <w:rFonts w:eastAsia="Times New Roman" w:cs="Arial"/>
          <w:color w:val="000000"/>
          <w:lang w:val="ru-RU"/>
        </w:rPr>
        <w:t>-</w:t>
      </w:r>
      <w:r w:rsidRPr="00BE2FFB">
        <w:rPr>
          <w:rFonts w:eastAsia="Times New Roman" w:cs="Arial"/>
          <w:color w:val="000000"/>
          <w:lang w:val="en-US"/>
        </w:rPr>
        <w:t>C</w:t>
      </w:r>
      <w:r w:rsidRPr="00BE2FFB">
        <w:rPr>
          <w:rFonts w:eastAsia="Times New Roman" w:cs="Arial"/>
          <w:color w:val="000000"/>
          <w:lang w:val="ru-RU"/>
        </w:rPr>
        <w:t xml:space="preserve"> </w:t>
      </w:r>
      <w:r w:rsidRPr="00BE2FFB">
        <w:rPr>
          <w:rFonts w:eastAsia="Times New Roman" w:cs="Arial"/>
          <w:color w:val="000000"/>
          <w:lang w:eastAsia="bg-BG"/>
        </w:rPr>
        <w:t xml:space="preserve">при пациенти с хомозиготна фамилна хиперхолестеролемия като допълнение към другите методи за понижаване на липидите (например афереза на </w:t>
      </w:r>
      <w:r w:rsidRPr="00BE2FFB">
        <w:rPr>
          <w:rFonts w:eastAsia="Times New Roman" w:cs="Arial"/>
          <w:color w:val="000000"/>
          <w:lang w:val="en-US"/>
        </w:rPr>
        <w:t>LDL</w:t>
      </w:r>
      <w:r w:rsidRPr="00BE2FFB">
        <w:rPr>
          <w:rFonts w:eastAsia="Times New Roman" w:cs="Arial"/>
          <w:color w:val="000000"/>
          <w:lang w:val="ru-RU"/>
        </w:rPr>
        <w:t xml:space="preserve">) </w:t>
      </w:r>
      <w:r w:rsidRPr="00BE2FFB">
        <w:rPr>
          <w:rFonts w:eastAsia="Times New Roman" w:cs="Arial"/>
          <w:color w:val="000000"/>
          <w:lang w:eastAsia="bg-BG"/>
        </w:rPr>
        <w:t>или в случаите, когато тези методи са недостъпни.</w:t>
      </w:r>
    </w:p>
    <w:p w14:paraId="4DE0E422" w14:textId="77777777" w:rsidR="00BE2FFB" w:rsidRDefault="00BE2FFB" w:rsidP="00BE2FFB">
      <w:pPr>
        <w:spacing w:line="240" w:lineRule="auto"/>
        <w:rPr>
          <w:rFonts w:eastAsia="Times New Roman" w:cs="Arial"/>
          <w:color w:val="000000"/>
          <w:u w:val="single"/>
          <w:lang w:eastAsia="bg-BG"/>
        </w:rPr>
      </w:pPr>
    </w:p>
    <w:p w14:paraId="5BA4FACA" w14:textId="07C5E4A3"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Профилактика на сърдечно-съдово заболяване</w:t>
      </w:r>
    </w:p>
    <w:p w14:paraId="05355DA8" w14:textId="77777777" w:rsidR="00BE2FFB" w:rsidRDefault="00BE2FFB" w:rsidP="00BE2FFB">
      <w:pPr>
        <w:rPr>
          <w:rFonts w:eastAsia="Times New Roman" w:cs="Arial"/>
          <w:color w:val="000000"/>
          <w:lang w:eastAsia="bg-BG"/>
        </w:rPr>
      </w:pPr>
    </w:p>
    <w:p w14:paraId="407F744B" w14:textId="3BBE0E3F" w:rsidR="00BE2FFB" w:rsidRPr="00BE2FFB" w:rsidRDefault="00BE2FFB" w:rsidP="00BE2FFB">
      <w:pPr>
        <w:rPr>
          <w:rFonts w:cs="Arial"/>
        </w:rPr>
      </w:pPr>
      <w:r w:rsidRPr="00BE2FFB">
        <w:rPr>
          <w:rFonts w:eastAsia="Times New Roman" w:cs="Arial"/>
          <w:color w:val="000000"/>
          <w:lang w:eastAsia="bg-BG"/>
        </w:rPr>
        <w:t>Профилактика на сърдечно-съдови инциденти при пациенти, при които е оценено, че имат висок риск за първо сърдечно-съдово събитие (вж. точка 5.1) като допълнение към корекцията на други рискови фактори.</w:t>
      </w:r>
    </w:p>
    <w:p w14:paraId="30BE2C7B" w14:textId="6B56B68B" w:rsidR="008134C8" w:rsidRDefault="002C50EE" w:rsidP="004A448E">
      <w:pPr>
        <w:pStyle w:val="Heading2"/>
      </w:pPr>
      <w:r>
        <w:lastRenderedPageBreak/>
        <w:t>4.2. Дозировка и начин на приложение</w:t>
      </w:r>
    </w:p>
    <w:p w14:paraId="78A5DB64" w14:textId="0DDE96EC" w:rsidR="00BE2FFB" w:rsidRDefault="00BE2FFB" w:rsidP="00BE2FFB"/>
    <w:p w14:paraId="63512929" w14:textId="77777777" w:rsidR="00BE2FFB" w:rsidRPr="00BE2FFB" w:rsidRDefault="00BE2FFB" w:rsidP="00BE2FFB">
      <w:pPr>
        <w:pStyle w:val="Heading3"/>
        <w:rPr>
          <w:rFonts w:eastAsia="Times New Roman"/>
          <w:u w:val="single"/>
        </w:rPr>
      </w:pPr>
      <w:r w:rsidRPr="00BE2FFB">
        <w:rPr>
          <w:rFonts w:eastAsia="Times New Roman"/>
          <w:u w:val="single"/>
          <w:lang w:eastAsia="bg-BG"/>
        </w:rPr>
        <w:t>Дозировка</w:t>
      </w:r>
    </w:p>
    <w:p w14:paraId="5DFC07CE" w14:textId="77777777" w:rsidR="00BE2FFB" w:rsidRPr="00BE2FFB" w:rsidRDefault="00BE2FFB" w:rsidP="00BE2FFB">
      <w:pPr>
        <w:rPr>
          <w:rFonts w:eastAsia="Times New Roman" w:cs="Arial"/>
        </w:rPr>
      </w:pPr>
      <w:r w:rsidRPr="00BE2FFB">
        <w:rPr>
          <w:rFonts w:eastAsia="Times New Roman" w:cs="Arial"/>
          <w:color w:val="000000"/>
          <w:lang w:eastAsia="bg-BG"/>
        </w:rPr>
        <w:t xml:space="preserve">Преди да започне лечение с Аторвин пациентът трябва да бъде поставен на стандартна понижаваща холестерола диета и трябва да продължи да спазва тази диета по време на лечението. Дозите трябва да бъдат индивидуализирани в зависимост от изходните нива на </w:t>
      </w:r>
      <w:r w:rsidRPr="00BE2FFB">
        <w:rPr>
          <w:rFonts w:eastAsia="Times New Roman" w:cs="Arial"/>
          <w:color w:val="000000"/>
          <w:lang w:val="en-US"/>
        </w:rPr>
        <w:t>LDL</w:t>
      </w:r>
      <w:r w:rsidRPr="00BE2FFB">
        <w:rPr>
          <w:rFonts w:eastAsia="Times New Roman" w:cs="Arial"/>
          <w:color w:val="000000"/>
          <w:lang w:val="ru-RU"/>
        </w:rPr>
        <w:t xml:space="preserve">- </w:t>
      </w:r>
      <w:r w:rsidRPr="00BE2FFB">
        <w:rPr>
          <w:rFonts w:eastAsia="Times New Roman" w:cs="Arial"/>
          <w:color w:val="000000"/>
          <w:lang w:eastAsia="bg-BG"/>
        </w:rPr>
        <w:t>холестерола, целта на лечението и отговора на пациента към лечението.</w:t>
      </w:r>
    </w:p>
    <w:p w14:paraId="7EAC76D5" w14:textId="77777777" w:rsidR="00BE2FFB" w:rsidRDefault="00BE2FFB" w:rsidP="00BE2FFB">
      <w:pPr>
        <w:spacing w:line="240" w:lineRule="auto"/>
        <w:rPr>
          <w:rFonts w:eastAsia="Times New Roman" w:cs="Arial"/>
          <w:color w:val="000000"/>
          <w:lang w:eastAsia="bg-BG"/>
        </w:rPr>
      </w:pPr>
    </w:p>
    <w:p w14:paraId="28C4489F" w14:textId="3A3AD93B"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Обичайната начална доза е 10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 xml:space="preserve">веднъж дневно. Корекция на дозата се извършва през интервали от 4 или повече седмици. Максималната доза е 80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веднъж дневно.</w:t>
      </w:r>
    </w:p>
    <w:p w14:paraId="79FC725B" w14:textId="77777777" w:rsidR="00BE2FFB" w:rsidRDefault="00BE2FFB" w:rsidP="00BE2FFB">
      <w:pPr>
        <w:spacing w:line="240" w:lineRule="auto"/>
        <w:rPr>
          <w:rFonts w:eastAsia="Times New Roman" w:cs="Arial"/>
          <w:i/>
          <w:iCs/>
          <w:color w:val="000000"/>
          <w:lang w:eastAsia="bg-BG"/>
        </w:rPr>
      </w:pPr>
    </w:p>
    <w:p w14:paraId="0D22CCFD" w14:textId="3957D7BE"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Първична хиперхолестеролемия комбинирана (смесена) хиперлипидемия</w:t>
      </w:r>
    </w:p>
    <w:p w14:paraId="0B1EB57E"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Повечето пациенти се повлияват успешно с Аторвин 10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филмирани таблетки веднъж дневно. Терапевтичен ефект се получава до две седмици, а максимален терапевтичен ефект се постига обикновено за 4 седмици. Ефектът се запазва при продължително лечение.</w:t>
      </w:r>
    </w:p>
    <w:p w14:paraId="1B86C9FC" w14:textId="77777777" w:rsidR="00BE2FFB" w:rsidRDefault="00BE2FFB" w:rsidP="00BE2FFB">
      <w:pPr>
        <w:spacing w:line="240" w:lineRule="auto"/>
        <w:rPr>
          <w:rFonts w:eastAsia="Times New Roman" w:cs="Arial"/>
          <w:i/>
          <w:iCs/>
          <w:color w:val="000000"/>
          <w:lang w:eastAsia="bg-BG"/>
        </w:rPr>
      </w:pPr>
    </w:p>
    <w:p w14:paraId="3425635D" w14:textId="64BC0132"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Хетерозиготна фамилна хиперхолестеролемия</w:t>
      </w:r>
    </w:p>
    <w:p w14:paraId="1961B04B"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Лечението започва с Аторвин 10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 xml:space="preserve">филмирани таблетки веднъж дневно. Дозите се индивидуализират и коригират на всеки 4 седмици до 40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 xml:space="preserve">дневно. След това дозата може да бъде увеличена до максимум 80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 xml:space="preserve">дневно или Аторвин 40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филмирани таблетки еднократно се комбинират със секвестрант на жлъчните киселини.</w:t>
      </w:r>
    </w:p>
    <w:p w14:paraId="13FD390C" w14:textId="77777777" w:rsidR="00BE2FFB" w:rsidRDefault="00BE2FFB" w:rsidP="00BE2FFB">
      <w:pPr>
        <w:spacing w:line="240" w:lineRule="auto"/>
        <w:rPr>
          <w:rFonts w:eastAsia="Times New Roman" w:cs="Arial"/>
          <w:i/>
          <w:iCs/>
          <w:color w:val="000000"/>
          <w:lang w:eastAsia="bg-BG"/>
        </w:rPr>
      </w:pPr>
    </w:p>
    <w:p w14:paraId="53B4E7FD" w14:textId="1CFF94D4"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Хомозиготна фамилна хиперхолестеролемия</w:t>
      </w:r>
    </w:p>
    <w:p w14:paraId="5E34BE55"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Налични са ограничен брой данни (вж. точка 5.1).</w:t>
      </w:r>
    </w:p>
    <w:p w14:paraId="44AD0AD5" w14:textId="77777777" w:rsidR="00BE2FFB" w:rsidRDefault="00BE2FFB" w:rsidP="00BE2FFB">
      <w:pPr>
        <w:spacing w:line="240" w:lineRule="auto"/>
        <w:rPr>
          <w:rFonts w:eastAsia="Times New Roman" w:cs="Arial"/>
          <w:color w:val="000000"/>
          <w:lang w:eastAsia="bg-BG"/>
        </w:rPr>
      </w:pPr>
    </w:p>
    <w:p w14:paraId="2876B286" w14:textId="74824564"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Дозировката на аторвастатин при пациенти с хомозиготна фамилна хиперхолестеролемия е от 10 до 80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 xml:space="preserve">дневно (вж. точка 5.1). Аторвастатин трябва да бъде използван като допълнение към други липидопонижаващи терапевтични средства (напр. </w:t>
      </w:r>
      <w:r w:rsidRPr="00BE2FFB">
        <w:rPr>
          <w:rFonts w:eastAsia="Times New Roman" w:cs="Arial"/>
          <w:color w:val="000000"/>
          <w:lang w:val="en-US"/>
        </w:rPr>
        <w:t>LDL</w:t>
      </w:r>
      <w:r w:rsidRPr="00BE2FFB">
        <w:rPr>
          <w:rFonts w:eastAsia="Times New Roman" w:cs="Arial"/>
          <w:color w:val="000000"/>
          <w:lang w:eastAsia="bg-BG"/>
        </w:rPr>
        <w:t>-афереза) при тези пациенти или при невъзможност за използване на такива средства.</w:t>
      </w:r>
    </w:p>
    <w:p w14:paraId="43459076" w14:textId="77777777" w:rsidR="00BE2FFB" w:rsidRDefault="00BE2FFB" w:rsidP="00BE2FFB">
      <w:pPr>
        <w:spacing w:line="240" w:lineRule="auto"/>
        <w:rPr>
          <w:rFonts w:eastAsia="Times New Roman" w:cs="Arial"/>
          <w:i/>
          <w:iCs/>
          <w:color w:val="000000"/>
          <w:lang w:eastAsia="bg-BG"/>
        </w:rPr>
      </w:pPr>
    </w:p>
    <w:p w14:paraId="6CAB8AE1" w14:textId="3D8570CF"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Профилактика на сърдечно-съдово заболяване</w:t>
      </w:r>
    </w:p>
    <w:p w14:paraId="0BFBCF87"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При проучванията за първична профилактика дозата е била 10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 xml:space="preserve">дневно. Може да са необходими по-високи дози, за да се поддържат нива на </w:t>
      </w:r>
      <w:r w:rsidRPr="00BE2FFB">
        <w:rPr>
          <w:rFonts w:eastAsia="Times New Roman" w:cs="Arial"/>
          <w:color w:val="000000"/>
          <w:lang w:val="en-US"/>
        </w:rPr>
        <w:t>LDL</w:t>
      </w:r>
      <w:r w:rsidRPr="00BE2FFB">
        <w:rPr>
          <w:rFonts w:eastAsia="Times New Roman" w:cs="Arial"/>
          <w:color w:val="000000"/>
          <w:lang w:eastAsia="bg-BG"/>
        </w:rPr>
        <w:t>-холестерола, според настоящите ръководства.</w:t>
      </w:r>
    </w:p>
    <w:p w14:paraId="1BBC19A7" w14:textId="77777777" w:rsidR="00BE2FFB" w:rsidRDefault="00BE2FFB" w:rsidP="00BE2FFB">
      <w:pPr>
        <w:spacing w:line="240" w:lineRule="auto"/>
        <w:rPr>
          <w:rFonts w:eastAsia="Times New Roman" w:cs="Arial"/>
          <w:i/>
          <w:iCs/>
          <w:color w:val="000000"/>
          <w:lang w:eastAsia="bg-BG"/>
        </w:rPr>
      </w:pPr>
    </w:p>
    <w:p w14:paraId="56553633" w14:textId="5EC3E1D9"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Пациенти с бъбречно увреждане</w:t>
      </w:r>
    </w:p>
    <w:p w14:paraId="1E0D194C"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Не се налага промяна в дозата (вж. точка 4.4).</w:t>
      </w:r>
    </w:p>
    <w:p w14:paraId="5CDB17DF" w14:textId="77777777" w:rsidR="00BE2FFB" w:rsidRDefault="00BE2FFB" w:rsidP="00BE2FFB">
      <w:pPr>
        <w:spacing w:line="240" w:lineRule="auto"/>
        <w:rPr>
          <w:rFonts w:eastAsia="Times New Roman" w:cs="Arial"/>
          <w:i/>
          <w:iCs/>
          <w:color w:val="000000"/>
          <w:lang w:eastAsia="bg-BG"/>
        </w:rPr>
      </w:pPr>
    </w:p>
    <w:p w14:paraId="7790391F" w14:textId="1A30CAA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Пациенти с чернодробно увреждане</w:t>
      </w:r>
    </w:p>
    <w:p w14:paraId="72EC4329"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Аторвин трябва да се прилага с повишено внимание при пациенти с чернодробно увреждане (вж. точки 4.4 и 5.2). Аторвин е противопоказан при пациенти с активно чернодробно заболяване (вж. точка 4.3).</w:t>
      </w:r>
    </w:p>
    <w:p w14:paraId="2C926329" w14:textId="77777777" w:rsidR="00BE2FFB" w:rsidRDefault="00BE2FFB" w:rsidP="00BE2FFB">
      <w:pPr>
        <w:spacing w:line="240" w:lineRule="auto"/>
        <w:rPr>
          <w:rFonts w:eastAsia="Times New Roman" w:cs="Arial"/>
          <w:i/>
          <w:iCs/>
          <w:color w:val="000000"/>
          <w:lang w:eastAsia="bg-BG"/>
        </w:rPr>
      </w:pPr>
    </w:p>
    <w:p w14:paraId="6CD9611F" w14:textId="5C2FB07C"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Приложение при пациенти в старческа възраст</w:t>
      </w:r>
    </w:p>
    <w:p w14:paraId="6A6FCB62"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Ефикасността и безопасността при пациенти над 70 години, приемащи препоръчваните дози, са сходни с тези при общата популация.</w:t>
      </w:r>
    </w:p>
    <w:p w14:paraId="2CD937E0" w14:textId="77777777" w:rsidR="00BE2FFB" w:rsidRDefault="00BE2FFB" w:rsidP="00BE2FFB">
      <w:pPr>
        <w:spacing w:line="240" w:lineRule="auto"/>
        <w:rPr>
          <w:rFonts w:eastAsia="Times New Roman" w:cs="Arial"/>
          <w:i/>
          <w:iCs/>
          <w:color w:val="000000"/>
          <w:lang w:eastAsia="bg-BG"/>
        </w:rPr>
      </w:pPr>
    </w:p>
    <w:p w14:paraId="5DDA68CF" w14:textId="06F2D4C5"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Педиатрична популация</w:t>
      </w:r>
    </w:p>
    <w:p w14:paraId="77B10F0D" w14:textId="77777777" w:rsidR="00BE2FFB" w:rsidRDefault="00BE2FFB" w:rsidP="00BE2FFB">
      <w:pPr>
        <w:spacing w:line="240" w:lineRule="auto"/>
        <w:rPr>
          <w:rFonts w:eastAsia="Times New Roman" w:cs="Arial"/>
          <w:i/>
          <w:iCs/>
          <w:color w:val="000000"/>
          <w:lang w:eastAsia="bg-BG"/>
        </w:rPr>
      </w:pPr>
    </w:p>
    <w:p w14:paraId="1EF3B0DB" w14:textId="24414998"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Хиперхолестеролемия:</w:t>
      </w:r>
    </w:p>
    <w:p w14:paraId="05D48B5E"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Прилагането на лекарствения продукт в педиатрията трябва да се извършва само от специалист с опит в лечението на детска хиперлипидемия, като пациентите трябва да бъдат преценявани редовно по отношение напредъка на лечението.</w:t>
      </w:r>
    </w:p>
    <w:p w14:paraId="45F34567"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При пациенти на 10 и повече години препоръчителната стартова доза аторвастатин е 10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 xml:space="preserve">дневно с увеличаване до 20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 xml:space="preserve">дневно. Увеличението на дозата трябва да се извършва съгласно индивидуалния отговор и поносимост на пациентите в педиатрията. Информацията за безопасността при прилагането на дози над 20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 xml:space="preserve">отговарящи на около 0,5 </w:t>
      </w:r>
      <w:r w:rsidRPr="00BE2FFB">
        <w:rPr>
          <w:rFonts w:eastAsia="Times New Roman" w:cs="Arial"/>
          <w:color w:val="000000"/>
          <w:lang w:val="en-US"/>
        </w:rPr>
        <w:t>mg</w:t>
      </w:r>
      <w:r w:rsidRPr="00BE2FFB">
        <w:rPr>
          <w:rFonts w:eastAsia="Times New Roman" w:cs="Arial"/>
          <w:color w:val="000000"/>
          <w:lang w:val="ru-RU"/>
        </w:rPr>
        <w:t>/</w:t>
      </w:r>
      <w:r w:rsidRPr="00BE2FFB">
        <w:rPr>
          <w:rFonts w:eastAsia="Times New Roman" w:cs="Arial"/>
          <w:color w:val="000000"/>
          <w:lang w:val="en-US"/>
        </w:rPr>
        <w:t>kg</w:t>
      </w:r>
      <w:r w:rsidRPr="00BE2FFB">
        <w:rPr>
          <w:rFonts w:eastAsia="Times New Roman" w:cs="Arial"/>
          <w:color w:val="000000"/>
          <w:lang w:val="ru-RU"/>
        </w:rPr>
        <w:t xml:space="preserve"> </w:t>
      </w:r>
      <w:r w:rsidRPr="00BE2FFB">
        <w:rPr>
          <w:rFonts w:eastAsia="Times New Roman" w:cs="Arial"/>
          <w:color w:val="000000"/>
          <w:lang w:eastAsia="bg-BG"/>
        </w:rPr>
        <w:t>при пациенти в педиатрията, е ограничена.</w:t>
      </w:r>
    </w:p>
    <w:p w14:paraId="0AC4854C" w14:textId="77777777" w:rsidR="00BE2FFB" w:rsidRDefault="00BE2FFB" w:rsidP="00BE2FFB">
      <w:pPr>
        <w:rPr>
          <w:rFonts w:eastAsia="Times New Roman" w:cs="Arial"/>
          <w:color w:val="000000"/>
          <w:lang w:eastAsia="bg-BG"/>
        </w:rPr>
      </w:pPr>
    </w:p>
    <w:p w14:paraId="2F509E7F" w14:textId="303A6384" w:rsidR="00BE2FFB" w:rsidRDefault="00BE2FFB" w:rsidP="00BE2FFB">
      <w:pPr>
        <w:rPr>
          <w:rFonts w:eastAsia="Times New Roman" w:cs="Arial"/>
          <w:color w:val="000000"/>
          <w:lang w:val="ru-RU"/>
        </w:rPr>
      </w:pPr>
      <w:r w:rsidRPr="00BE2FFB">
        <w:rPr>
          <w:rFonts w:eastAsia="Times New Roman" w:cs="Arial"/>
          <w:color w:val="000000"/>
          <w:lang w:eastAsia="bg-BG"/>
        </w:rPr>
        <w:t>Опитът в педиатрията при деца между 6- и 10-годишна възраст е ограничен (вж. точка</w:t>
      </w:r>
      <w:r w:rsidRPr="00BE2FFB">
        <w:rPr>
          <w:rFonts w:eastAsia="Times New Roman" w:cs="Arial"/>
          <w:color w:val="000000"/>
          <w:lang w:val="ru-RU"/>
        </w:rPr>
        <w:t xml:space="preserve"> 5.1).</w:t>
      </w:r>
    </w:p>
    <w:p w14:paraId="4B088D8D" w14:textId="222B48D2" w:rsidR="00BE2FFB" w:rsidRDefault="00BE2FFB" w:rsidP="00BE2FFB">
      <w:pPr>
        <w:rPr>
          <w:rFonts w:eastAsia="Times New Roman" w:cs="Arial"/>
          <w:color w:val="000000"/>
          <w:lang w:val="ru-RU"/>
        </w:rPr>
      </w:pPr>
    </w:p>
    <w:p w14:paraId="133D1CA3"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Аторвастатин не е показан за лечение на пациенти под 10-годишна възраст.</w:t>
      </w:r>
    </w:p>
    <w:p w14:paraId="438A5B17" w14:textId="77777777" w:rsidR="00BE2FFB" w:rsidRPr="00BE2FFB" w:rsidRDefault="00BE2FFB" w:rsidP="00BE2FFB">
      <w:pPr>
        <w:spacing w:line="240" w:lineRule="auto"/>
        <w:rPr>
          <w:rFonts w:eastAsia="Times New Roman" w:cs="Arial"/>
          <w:color w:val="000000"/>
          <w:lang w:eastAsia="bg-BG"/>
        </w:rPr>
      </w:pPr>
    </w:p>
    <w:p w14:paraId="2A804F64" w14:textId="2E245980" w:rsidR="00BE2FFB" w:rsidRPr="00BE2FFB" w:rsidRDefault="00BE2FFB" w:rsidP="00BE2FFB">
      <w:pPr>
        <w:spacing w:line="240" w:lineRule="auto"/>
        <w:rPr>
          <w:rFonts w:eastAsia="Times New Roman" w:cs="Arial"/>
        </w:rPr>
      </w:pPr>
      <w:r w:rsidRPr="00BE2FFB">
        <w:rPr>
          <w:rFonts w:eastAsia="Times New Roman" w:cs="Arial"/>
          <w:color w:val="000000"/>
          <w:lang w:eastAsia="bg-BG"/>
        </w:rPr>
        <w:t>Други лекарствени форми/количества на активното вещество може да са подходящи при тази популация.</w:t>
      </w:r>
    </w:p>
    <w:p w14:paraId="672C6B7C" w14:textId="77777777" w:rsidR="00BE2FFB" w:rsidRPr="00BE2FFB" w:rsidRDefault="00BE2FFB" w:rsidP="00BE2FFB">
      <w:pPr>
        <w:spacing w:line="240" w:lineRule="auto"/>
        <w:rPr>
          <w:rFonts w:eastAsia="Times New Roman" w:cs="Arial"/>
          <w:color w:val="000000"/>
          <w:u w:val="single"/>
          <w:lang w:eastAsia="bg-BG"/>
        </w:rPr>
      </w:pPr>
    </w:p>
    <w:p w14:paraId="17726F52" w14:textId="5F374A5B" w:rsidR="00BE2FFB" w:rsidRPr="00BE2FFB" w:rsidRDefault="00BE2FFB" w:rsidP="00BE2FFB">
      <w:pPr>
        <w:pStyle w:val="Heading3"/>
        <w:rPr>
          <w:rFonts w:eastAsia="Times New Roman"/>
          <w:u w:val="single"/>
        </w:rPr>
      </w:pPr>
      <w:r w:rsidRPr="00BE2FFB">
        <w:rPr>
          <w:rFonts w:eastAsia="Times New Roman"/>
          <w:u w:val="single"/>
          <w:lang w:eastAsia="bg-BG"/>
        </w:rPr>
        <w:t>Начин на приложение</w:t>
      </w:r>
    </w:p>
    <w:p w14:paraId="1C2554EA"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Аторвин е предназначен за перорално приложение. Всяка дневна доза аторвастатин се приема наведнъж и може да бъде приемана по всяко време на деня със или без храна.</w:t>
      </w:r>
    </w:p>
    <w:p w14:paraId="0FE1521B" w14:textId="5217A250" w:rsidR="00BE2FFB" w:rsidRPr="00BE2FFB" w:rsidRDefault="00BE2FFB" w:rsidP="00BE2FFB">
      <w:pPr>
        <w:rPr>
          <w:rFonts w:cs="Arial"/>
        </w:rPr>
      </w:pPr>
    </w:p>
    <w:p w14:paraId="28C984E8" w14:textId="10211FC9" w:rsidR="008134C8" w:rsidRDefault="002C50EE" w:rsidP="004A448E">
      <w:pPr>
        <w:pStyle w:val="Heading2"/>
      </w:pPr>
      <w:r>
        <w:t>4.3. Противопоказания</w:t>
      </w:r>
    </w:p>
    <w:p w14:paraId="61CD1A84" w14:textId="147F1226" w:rsidR="00BE2FFB" w:rsidRDefault="00BE2FFB" w:rsidP="00BE2FFB"/>
    <w:p w14:paraId="0D00B87E" w14:textId="77777777" w:rsidR="00BE2FFB" w:rsidRPr="00BE2FFB" w:rsidRDefault="00BE2FFB" w:rsidP="00BE2FFB">
      <w:pPr>
        <w:rPr>
          <w:sz w:val="24"/>
          <w:szCs w:val="24"/>
        </w:rPr>
      </w:pPr>
      <w:r w:rsidRPr="00BE2FFB">
        <w:rPr>
          <w:lang w:eastAsia="bg-BG"/>
        </w:rPr>
        <w:t>Аторвастатин е противопоказан при пациенти:</w:t>
      </w:r>
    </w:p>
    <w:p w14:paraId="448ECA83" w14:textId="77777777" w:rsidR="00BE2FFB" w:rsidRPr="00BE2FFB" w:rsidRDefault="00BE2FFB" w:rsidP="00BE2FFB">
      <w:pPr>
        <w:pStyle w:val="ListParagraph"/>
        <w:numPr>
          <w:ilvl w:val="0"/>
          <w:numId w:val="35"/>
        </w:numPr>
        <w:rPr>
          <w:sz w:val="24"/>
          <w:szCs w:val="24"/>
        </w:rPr>
      </w:pPr>
      <w:r w:rsidRPr="00BE2FFB">
        <w:rPr>
          <w:lang w:eastAsia="bg-BG"/>
        </w:rPr>
        <w:t>със свръхчувствителност към активното вещество или към някое от помощните вещества на лекарствения продукт, изброени в точка 6.1;</w:t>
      </w:r>
    </w:p>
    <w:p w14:paraId="046AF047" w14:textId="77777777" w:rsidR="00BE2FFB" w:rsidRPr="00BE2FFB" w:rsidRDefault="00BE2FFB" w:rsidP="00BE2FFB">
      <w:pPr>
        <w:pStyle w:val="ListParagraph"/>
        <w:numPr>
          <w:ilvl w:val="0"/>
          <w:numId w:val="35"/>
        </w:numPr>
        <w:rPr>
          <w:sz w:val="24"/>
          <w:szCs w:val="24"/>
        </w:rPr>
      </w:pPr>
      <w:r w:rsidRPr="00BE2FFB">
        <w:rPr>
          <w:lang w:eastAsia="bg-BG"/>
        </w:rPr>
        <w:t>с активно чернодробно заболяване или неизяснено персистиращо повишение на серумните трансаминази, надхвърлящо 3 пъти горната граница на нормата;</w:t>
      </w:r>
    </w:p>
    <w:p w14:paraId="48F0B028" w14:textId="1C1C4AB6" w:rsidR="00BE2FFB" w:rsidRPr="00BE2FFB" w:rsidRDefault="00BE2FFB" w:rsidP="00BE2FFB">
      <w:pPr>
        <w:pStyle w:val="ListParagraph"/>
        <w:numPr>
          <w:ilvl w:val="0"/>
          <w:numId w:val="35"/>
        </w:numPr>
        <w:rPr>
          <w:sz w:val="24"/>
          <w:szCs w:val="24"/>
        </w:rPr>
      </w:pPr>
      <w:r w:rsidRPr="00BE2FFB">
        <w:rPr>
          <w:lang w:eastAsia="bg-BG"/>
        </w:rPr>
        <w:t>по време на бременност, кърмене и при жени с детероден потенциал, неприлагащи сигурни контрацептивни средства (вж. точка 4.6).</w:t>
      </w:r>
    </w:p>
    <w:p w14:paraId="66B89FC8" w14:textId="53D6A42E" w:rsidR="00BE2FFB" w:rsidRPr="00BE2FFB" w:rsidRDefault="00BE2FFB" w:rsidP="00BE2FFB"/>
    <w:p w14:paraId="212F509C" w14:textId="15908433" w:rsidR="004F498A" w:rsidRDefault="002C50EE" w:rsidP="004A448E">
      <w:pPr>
        <w:pStyle w:val="Heading2"/>
      </w:pPr>
      <w:r>
        <w:t>4.4. Специални предупреждения и предпазни мерки при употреба</w:t>
      </w:r>
    </w:p>
    <w:p w14:paraId="642C590A" w14:textId="1460BD89" w:rsidR="00BE2FFB" w:rsidRDefault="00BE2FFB" w:rsidP="00BE2FFB"/>
    <w:p w14:paraId="021EE4BF" w14:textId="77777777"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Чернодробни прояви</w:t>
      </w:r>
    </w:p>
    <w:p w14:paraId="763A1793"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Трябва да се направят функционални чернодробни изследвания преди започване на лечението и периодично след това. При пациенти, при които се появят белези и симптоми, предполагащи чернодробно увреждане, тези тестове са задължителни. Пациенти, при които се повишат нивата на трансаминазите, трябва да бъдат контролирани до изчезване на отклонението (отклоненията). Ако повишението на трансаминазите, надхвърлящо повече от три пъти горната граница на нормата, персистира, се препоръчва намаляване на дозата или преустановяване на приема на Аторвин (вж. точка 4.8).</w:t>
      </w:r>
    </w:p>
    <w:p w14:paraId="0D6063C8" w14:textId="77777777" w:rsidR="00BE2FFB" w:rsidRDefault="00BE2FFB" w:rsidP="00BE2FFB">
      <w:pPr>
        <w:spacing w:line="240" w:lineRule="auto"/>
        <w:rPr>
          <w:rFonts w:eastAsia="Times New Roman" w:cs="Arial"/>
          <w:color w:val="000000"/>
          <w:lang w:eastAsia="bg-BG"/>
        </w:rPr>
      </w:pPr>
    </w:p>
    <w:p w14:paraId="2DA75858" w14:textId="0013A9A9" w:rsidR="00BE2FFB" w:rsidRPr="00BE2FFB" w:rsidRDefault="00BE2FFB" w:rsidP="00BE2FFB">
      <w:pPr>
        <w:spacing w:line="240" w:lineRule="auto"/>
        <w:rPr>
          <w:rFonts w:eastAsia="Times New Roman" w:cs="Arial"/>
        </w:rPr>
      </w:pPr>
      <w:r w:rsidRPr="00BE2FFB">
        <w:rPr>
          <w:rFonts w:eastAsia="Times New Roman" w:cs="Arial"/>
          <w:color w:val="000000"/>
          <w:lang w:eastAsia="bg-BG"/>
        </w:rPr>
        <w:t>Аторвин трябва да се прилага предпазливо при пациенти, които консумират значителни количества алкохол и/или имат анамнеза за чернодробно заболяване.</w:t>
      </w:r>
    </w:p>
    <w:p w14:paraId="4FD2FF13" w14:textId="77777777" w:rsidR="00BE2FFB" w:rsidRDefault="00BE2FFB" w:rsidP="00BE2FFB">
      <w:pPr>
        <w:spacing w:line="240" w:lineRule="auto"/>
        <w:rPr>
          <w:rFonts w:eastAsia="Times New Roman" w:cs="Arial"/>
          <w:color w:val="000000"/>
          <w:u w:val="single"/>
          <w:lang w:eastAsia="bg-BG"/>
        </w:rPr>
      </w:pPr>
    </w:p>
    <w:p w14:paraId="07F4EEC8" w14:textId="78437B02"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lastRenderedPageBreak/>
        <w:t xml:space="preserve">Предотвратяване на инсулт чрез агресивно намаляване на холестерола </w:t>
      </w:r>
      <w:r w:rsidRPr="00BE2FFB">
        <w:rPr>
          <w:rFonts w:eastAsia="Times New Roman" w:cs="Arial"/>
          <w:color w:val="000000"/>
          <w:u w:val="single"/>
          <w:lang w:val="en-US"/>
        </w:rPr>
        <w:t>(Stroke Prevention by Aggressive reduction in Cholesterol Levels (SPARCL))</w:t>
      </w:r>
    </w:p>
    <w:p w14:paraId="5A7914B8" w14:textId="77777777" w:rsidR="00BE2FFB" w:rsidRPr="00BE2FFB" w:rsidRDefault="00BE2FFB" w:rsidP="00BE2FFB">
      <w:pPr>
        <w:spacing w:line="240" w:lineRule="auto"/>
        <w:rPr>
          <w:rFonts w:eastAsia="Times New Roman" w:cs="Arial"/>
        </w:rPr>
      </w:pPr>
      <w:r w:rsidRPr="00BE2FFB">
        <w:rPr>
          <w:rFonts w:eastAsia="Times New Roman" w:cs="Arial"/>
          <w:color w:val="000000"/>
          <w:lang w:val="en-US"/>
        </w:rPr>
        <w:t>Post</w:t>
      </w:r>
      <w:r w:rsidRPr="00BE2FFB">
        <w:rPr>
          <w:rFonts w:eastAsia="Times New Roman" w:cs="Arial"/>
          <w:color w:val="000000"/>
          <w:lang w:val="ru-RU"/>
        </w:rPr>
        <w:t>-</w:t>
      </w:r>
      <w:r w:rsidRPr="00BE2FFB">
        <w:rPr>
          <w:rFonts w:eastAsia="Times New Roman" w:cs="Arial"/>
          <w:color w:val="000000"/>
          <w:lang w:val="en-US"/>
        </w:rPr>
        <w:t>hoc</w:t>
      </w:r>
      <w:r w:rsidRPr="00BE2FFB">
        <w:rPr>
          <w:rFonts w:eastAsia="Times New Roman" w:cs="Arial"/>
          <w:color w:val="000000"/>
          <w:lang w:val="ru-RU"/>
        </w:rPr>
        <w:t xml:space="preserve"> </w:t>
      </w:r>
      <w:r w:rsidRPr="00BE2FFB">
        <w:rPr>
          <w:rFonts w:eastAsia="Times New Roman" w:cs="Arial"/>
          <w:color w:val="000000"/>
          <w:lang w:eastAsia="bg-BG"/>
        </w:rPr>
        <w:t xml:space="preserve">анализ на субтиповете инсулти при пациенти без исхемична болест на сърцето (ИБС), които са били с наскоро прекаран инсулт или транзиторна исхемична атака </w:t>
      </w:r>
      <w:r w:rsidRPr="00BE2FFB">
        <w:rPr>
          <w:rFonts w:eastAsia="Times New Roman" w:cs="Arial"/>
          <w:color w:val="000000"/>
          <w:lang w:val="ru-RU"/>
        </w:rPr>
        <w:t>(</w:t>
      </w:r>
      <w:r w:rsidRPr="00BE2FFB">
        <w:rPr>
          <w:rFonts w:eastAsia="Times New Roman" w:cs="Arial"/>
          <w:color w:val="000000"/>
          <w:lang w:val="en-US"/>
        </w:rPr>
        <w:t>TIA</w:t>
      </w:r>
      <w:r w:rsidRPr="00BE2FFB">
        <w:rPr>
          <w:rFonts w:eastAsia="Times New Roman" w:cs="Arial"/>
          <w:color w:val="000000"/>
          <w:lang w:val="ru-RU"/>
        </w:rPr>
        <w:t xml:space="preserve">), </w:t>
      </w:r>
      <w:r w:rsidRPr="00BE2FFB">
        <w:rPr>
          <w:rFonts w:eastAsia="Times New Roman" w:cs="Arial"/>
          <w:color w:val="000000"/>
          <w:lang w:eastAsia="bg-BG"/>
        </w:rPr>
        <w:t xml:space="preserve">е показал по- висока честота на хеморагичен инсулт при пациентите, включени на терапия с аторвастатин 80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 xml:space="preserve">спрямо плацебо. Повишен риск е отбелязан предимно при пациентите с предходен хеморагичен инсулт или лакунарен инфаркт при включване в проучването. За пациентите с предходен хеморагичен инсулт балансът между рисковете и ползите от аторвастатин 80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е несигурен и потенциалният риск от хеморагичен инсулт трябва да бъде внимателно преценен преди започване на терапията (вж. точка 5.1).</w:t>
      </w:r>
    </w:p>
    <w:p w14:paraId="7A9D5004" w14:textId="77777777" w:rsidR="00BE2FFB" w:rsidRDefault="00BE2FFB" w:rsidP="00BE2FFB">
      <w:pPr>
        <w:spacing w:line="240" w:lineRule="auto"/>
        <w:rPr>
          <w:rFonts w:eastAsia="Times New Roman" w:cs="Arial"/>
          <w:color w:val="000000"/>
          <w:u w:val="single"/>
          <w:lang w:eastAsia="bg-BG"/>
        </w:rPr>
      </w:pPr>
    </w:p>
    <w:p w14:paraId="721CBB2C" w14:textId="6C9065C6"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Прояви от страна на скелетната мускулатура</w:t>
      </w:r>
    </w:p>
    <w:p w14:paraId="53456924"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Аторвастатин, както и другите </w:t>
      </w:r>
      <w:r w:rsidRPr="00BE2FFB">
        <w:rPr>
          <w:rFonts w:eastAsia="Times New Roman" w:cs="Arial"/>
          <w:color w:val="000000"/>
          <w:lang w:val="en-US"/>
        </w:rPr>
        <w:t>HMG</w:t>
      </w:r>
      <w:r w:rsidRPr="00BE2FFB">
        <w:rPr>
          <w:rFonts w:eastAsia="Times New Roman" w:cs="Arial"/>
          <w:color w:val="000000"/>
          <w:lang w:eastAsia="bg-BG"/>
        </w:rPr>
        <w:t xml:space="preserve">-СоА-редуктазни инхибитори, в редки случаи може да окаже неблагоприятно въздействие върху скелетната мускулатура и да причини миалгия, </w:t>
      </w:r>
      <w:r w:rsidRPr="00BE2FFB">
        <w:rPr>
          <w:rFonts w:eastAsia="Times New Roman" w:cs="Arial"/>
          <w:i/>
          <w:iCs/>
          <w:color w:val="000000"/>
          <w:lang w:eastAsia="bg-BG"/>
        </w:rPr>
        <w:t>миозит и</w:t>
      </w:r>
      <w:r w:rsidRPr="00BE2FFB">
        <w:rPr>
          <w:rFonts w:eastAsia="Times New Roman" w:cs="Arial"/>
          <w:color w:val="000000"/>
          <w:lang w:eastAsia="bg-BG"/>
        </w:rPr>
        <w:t xml:space="preserve"> миопатия, които могат да прогресират до рабдомиолиза - потенциално животозастрашаващо състояние, характеризиращо се със значително повишение на нивата на креатинкиназата (КК) - (&gt; 10 пъти над нормата), миоглобинемия и миоглобинурия, които могат да доведат до бъбречна недостатъчност.</w:t>
      </w:r>
    </w:p>
    <w:p w14:paraId="5E53EFA2" w14:textId="45E0A9A7" w:rsidR="00BE2FFB" w:rsidRDefault="00BE2FFB" w:rsidP="00BE2FFB"/>
    <w:p w14:paraId="0ECF18E0"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Преди лечението</w:t>
      </w:r>
    </w:p>
    <w:p w14:paraId="56C0388F" w14:textId="77777777" w:rsidR="00BE2FFB" w:rsidRDefault="00BE2FFB" w:rsidP="00BE2FFB">
      <w:pPr>
        <w:spacing w:line="240" w:lineRule="auto"/>
        <w:rPr>
          <w:rFonts w:eastAsia="Times New Roman" w:cs="Arial"/>
          <w:color w:val="000000"/>
          <w:lang w:eastAsia="bg-BG"/>
        </w:rPr>
      </w:pPr>
      <w:r w:rsidRPr="00BE2FFB">
        <w:rPr>
          <w:rFonts w:eastAsia="Times New Roman" w:cs="Arial"/>
          <w:color w:val="000000"/>
          <w:lang w:eastAsia="bg-BG"/>
        </w:rPr>
        <w:t xml:space="preserve">Аторвастатин трябва да се използва внимателно при пациенти с предразполагащи фактори за рабдомиолиза. Нивата на креатинкиназата (КК) трябва да се изследват преди започване на лечение със статии в следните случаи: </w:t>
      </w:r>
    </w:p>
    <w:p w14:paraId="60D47D03" w14:textId="77777777"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 xml:space="preserve">бъбречно увреждане; </w:t>
      </w:r>
    </w:p>
    <w:p w14:paraId="537813EF" w14:textId="77777777"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хипотиреоидизъм;</w:t>
      </w:r>
    </w:p>
    <w:p w14:paraId="15D8467E" w14:textId="77777777"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анамнеза, вкл. и семейна, за наследствени заболява</w:t>
      </w:r>
      <w:r w:rsidRPr="00BE2FFB">
        <w:rPr>
          <w:rFonts w:eastAsia="Times New Roman" w:cs="Arial"/>
          <w:color w:val="000000"/>
          <w:lang w:val="en-US"/>
        </w:rPr>
        <w:t>N</w:t>
      </w:r>
      <w:r w:rsidRPr="00BE2FFB">
        <w:rPr>
          <w:rFonts w:eastAsia="Times New Roman" w:cs="Arial"/>
          <w:color w:val="000000"/>
          <w:lang w:eastAsia="bg-BG"/>
        </w:rPr>
        <w:t>ия на мускулите;</w:t>
      </w:r>
    </w:p>
    <w:p w14:paraId="7C02B933" w14:textId="77777777"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анамнеза за мускулна токсичност от статии или фибрат;</w:t>
      </w:r>
    </w:p>
    <w:p w14:paraId="36E8F1E4" w14:textId="77777777"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 xml:space="preserve">анамнеза за чернодробно заболяване и/или употреба на значителни количества алкохол; </w:t>
      </w:r>
    </w:p>
    <w:p w14:paraId="0D013400" w14:textId="02349947"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при пациенти в старческа възраст (&gt; 70 г.) трябва да се има предвид необходимостта от това изследване в зависимост от наличието на други фактори, предразполагащи към рабдомиолиза;</w:t>
      </w:r>
    </w:p>
    <w:p w14:paraId="72C8E990" w14:textId="7AA0FC6F"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когато е възможно повишаване на плазмените нива, напр. при взаимодействия (вж. точка 4.5) и специални популации, вкл. генетични субпопулации (вж. точка 5.2).</w:t>
      </w:r>
    </w:p>
    <w:p w14:paraId="0659BCDB" w14:textId="77777777" w:rsidR="00BE2FFB" w:rsidRDefault="00BE2FFB" w:rsidP="00BE2FFB">
      <w:pPr>
        <w:spacing w:line="240" w:lineRule="auto"/>
        <w:rPr>
          <w:rFonts w:eastAsia="Times New Roman" w:cs="Arial"/>
          <w:color w:val="000000"/>
          <w:lang w:eastAsia="bg-BG"/>
        </w:rPr>
      </w:pPr>
    </w:p>
    <w:p w14:paraId="20B52DC1" w14:textId="06E1251F" w:rsidR="00BE2FFB" w:rsidRPr="00BE2FFB" w:rsidRDefault="00BE2FFB" w:rsidP="00BE2FFB">
      <w:pPr>
        <w:spacing w:line="240" w:lineRule="auto"/>
        <w:rPr>
          <w:rFonts w:eastAsia="Times New Roman" w:cs="Arial"/>
        </w:rPr>
      </w:pPr>
      <w:r w:rsidRPr="00BE2FFB">
        <w:rPr>
          <w:rFonts w:eastAsia="Times New Roman" w:cs="Arial"/>
          <w:color w:val="000000"/>
          <w:lang w:eastAsia="bg-BG"/>
        </w:rPr>
        <w:t>В такива ситуации трабва да се прецени рискът от лечението спрямо възможните ползи и се препоръчва клинично проследяване.</w:t>
      </w:r>
    </w:p>
    <w:p w14:paraId="61A90314"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Не трябва да се започва лечение, ако изходните нива на КК са значително повишени. (&gt; 5 пъти над нормата).</w:t>
      </w:r>
    </w:p>
    <w:p w14:paraId="39F85613" w14:textId="77777777" w:rsidR="00BE2FFB" w:rsidRDefault="00BE2FFB" w:rsidP="00BE2FFB">
      <w:pPr>
        <w:spacing w:line="240" w:lineRule="auto"/>
        <w:rPr>
          <w:rFonts w:eastAsia="Times New Roman" w:cs="Arial"/>
          <w:color w:val="000000"/>
          <w:u w:val="single"/>
          <w:lang w:eastAsia="bg-BG"/>
        </w:rPr>
      </w:pPr>
    </w:p>
    <w:p w14:paraId="2BE7F86C" w14:textId="3BAEBF94"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Измерване на креатинкиназата (КК)</w:t>
      </w:r>
    </w:p>
    <w:p w14:paraId="7D321F1F"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Креатинкиназата (КК) не трябва да се изследва след напрегнато физическо натоварване или при наличието на вероятна алтернативна причина за увеличението на КК, тъй като интерпретацията на резултатите в такива случаи е затруднена. Ако изходните стойности на КК са значително повишени (&gt; 5 пъти над нормата), нивата трябва да се изследват повторно в рамките на 5 до 7 дни, за да се потвърдят резултатите.</w:t>
      </w:r>
    </w:p>
    <w:p w14:paraId="49DC5988" w14:textId="77777777" w:rsidR="00BE2FFB" w:rsidRDefault="00BE2FFB" w:rsidP="00BE2FFB">
      <w:pPr>
        <w:spacing w:line="240" w:lineRule="auto"/>
        <w:rPr>
          <w:rFonts w:eastAsia="Times New Roman" w:cs="Arial"/>
          <w:i/>
          <w:iCs/>
          <w:color w:val="000000"/>
          <w:lang w:eastAsia="bg-BG"/>
        </w:rPr>
      </w:pPr>
    </w:p>
    <w:p w14:paraId="06E0EAF1" w14:textId="070AF16B"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По време на лечението</w:t>
      </w:r>
    </w:p>
    <w:p w14:paraId="574CCD83" w14:textId="77777777"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lastRenderedPageBreak/>
        <w:t>Пациентите трябва да бъдат предупредени веднага да съобщават за поява на мускулни болки, крампи или слабост, особено в случаите, когато това е придружено с неразположение или повишение на температурата.</w:t>
      </w:r>
    </w:p>
    <w:p w14:paraId="7EB692F2" w14:textId="77777777"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Трябва да се изследват нивата на КК, ако се появят такива симптоми по време на терапията с аторвастатин. Необходимо е прекратяване на терапията, ако се установи, че тези нива са значително повишени (&gt; 5 пъти над нормата).</w:t>
      </w:r>
    </w:p>
    <w:p w14:paraId="0748008F" w14:textId="77777777"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Трябва да се обмисли прекратяване на лечението, ако мускулните симптоми са тежки и предизвикват постоянен дискомфорт, дори и в случаите, когато КК са повишени до &lt; 5 пъти над нормата.</w:t>
      </w:r>
    </w:p>
    <w:p w14:paraId="6D2A03AC" w14:textId="77777777"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Ако симптомите отшумят и нивата на КК се нормализират, може да се обмисли повторно включване на аторвастатин или започване на терапия с алтернативен статии при използване на най-ниската доза и стриктно мониториране.</w:t>
      </w:r>
    </w:p>
    <w:p w14:paraId="4FE802DE" w14:textId="6FE63271"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Приемът на аторвастатин трябва да бъде преустановен, ако е налице клинично значимо повишение на нивата на КК (&gt;10 пъти над нормата) или ако се диагностицира или подозира рабдомиолиза.</w:t>
      </w:r>
    </w:p>
    <w:p w14:paraId="2DD21D58" w14:textId="77777777" w:rsidR="00BE2FFB" w:rsidRDefault="00BE2FFB" w:rsidP="00BE2FFB">
      <w:pPr>
        <w:spacing w:line="240" w:lineRule="auto"/>
        <w:rPr>
          <w:rFonts w:eastAsia="Times New Roman" w:cs="Arial"/>
          <w:i/>
          <w:iCs/>
          <w:color w:val="000000"/>
          <w:lang w:eastAsia="bg-BG"/>
        </w:rPr>
      </w:pPr>
    </w:p>
    <w:p w14:paraId="12C2D15F" w14:textId="7FDBC99A"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Едновременен прием с други лекарствени продукти</w:t>
      </w:r>
    </w:p>
    <w:p w14:paraId="0D1F6376" w14:textId="77777777" w:rsidR="00BE2FFB" w:rsidRDefault="00BE2FFB" w:rsidP="00BE2FFB">
      <w:pPr>
        <w:rPr>
          <w:rFonts w:eastAsia="Times New Roman" w:cs="Arial"/>
          <w:color w:val="000000"/>
          <w:lang w:eastAsia="bg-BG"/>
        </w:rPr>
      </w:pPr>
    </w:p>
    <w:p w14:paraId="67BFD133" w14:textId="77777777" w:rsidR="00BE2FFB" w:rsidRPr="00BE2FFB" w:rsidRDefault="00BE2FFB" w:rsidP="00BE2FFB">
      <w:pPr>
        <w:rPr>
          <w:rFonts w:eastAsia="Times New Roman" w:cs="Arial"/>
        </w:rPr>
      </w:pPr>
      <w:r w:rsidRPr="00BE2FFB">
        <w:rPr>
          <w:rFonts w:eastAsia="Times New Roman" w:cs="Arial"/>
          <w:color w:val="000000"/>
          <w:lang w:eastAsia="bg-BG"/>
        </w:rPr>
        <w:t xml:space="preserve">Рискът от рабдомиолиза се повишава при едновременен прием на аторвастатин с определени лекарствени продукти, които могат да повишат плазмената концентрация на аторвастатин, като мощните инхибитори на </w:t>
      </w:r>
      <w:r w:rsidRPr="00BE2FFB">
        <w:rPr>
          <w:rFonts w:eastAsia="Times New Roman" w:cs="Arial"/>
          <w:color w:val="000000"/>
          <w:lang w:val="en-US"/>
        </w:rPr>
        <w:t>CYP</w:t>
      </w:r>
      <w:r w:rsidRPr="00BE2FFB">
        <w:rPr>
          <w:rFonts w:eastAsia="Times New Roman" w:cs="Arial"/>
          <w:color w:val="000000"/>
          <w:lang w:val="ru-RU"/>
        </w:rPr>
        <w:t>3</w:t>
      </w:r>
      <w:r w:rsidRPr="00BE2FFB">
        <w:rPr>
          <w:rFonts w:eastAsia="Times New Roman" w:cs="Arial"/>
          <w:color w:val="000000"/>
          <w:lang w:val="en-US"/>
        </w:rPr>
        <w:t>A</w:t>
      </w:r>
      <w:r w:rsidRPr="00BE2FFB">
        <w:rPr>
          <w:rFonts w:eastAsia="Times New Roman" w:cs="Arial"/>
          <w:color w:val="000000"/>
          <w:lang w:val="ru-RU"/>
        </w:rPr>
        <w:t xml:space="preserve">4 </w:t>
      </w:r>
      <w:r w:rsidRPr="00BE2FFB">
        <w:rPr>
          <w:rFonts w:eastAsia="Times New Roman" w:cs="Arial"/>
          <w:color w:val="000000"/>
          <w:lang w:eastAsia="bg-BG"/>
        </w:rPr>
        <w:t xml:space="preserve">или транспортните протеини (напр. циклоспорин, телитромицин, кларитромицин, делавирдин, стирипентол, кетоконазол, вориконазол, итраконазол, позаконазол или </w:t>
      </w:r>
      <w:r w:rsidRPr="00BE2FFB">
        <w:rPr>
          <w:rFonts w:eastAsia="Times New Roman" w:cs="Arial"/>
          <w:color w:val="000000"/>
          <w:lang w:val="en-US"/>
        </w:rPr>
        <w:t>HIV</w:t>
      </w:r>
      <w:r w:rsidRPr="00BE2FFB">
        <w:rPr>
          <w:rFonts w:eastAsia="Times New Roman" w:cs="Arial"/>
          <w:color w:val="000000"/>
          <w:lang w:eastAsia="bg-BG"/>
        </w:rPr>
        <w:t>-протеазни инхибитори, включително ритонавир, лопинавир, атазанавир, индиравир, дарунавир и др.). Рискът от миопатия може също да бъде повишен при едновременното приложение с гемфиброзил и други фибрати, боцепревир, еритромици,</w:t>
      </w:r>
      <w:r>
        <w:rPr>
          <w:rFonts w:eastAsia="Times New Roman" w:cs="Arial"/>
          <w:color w:val="000000"/>
          <w:lang w:eastAsia="bg-BG"/>
        </w:rPr>
        <w:t xml:space="preserve"> </w:t>
      </w:r>
      <w:r w:rsidRPr="00BE2FFB">
        <w:rPr>
          <w:rFonts w:eastAsia="Times New Roman" w:cs="Arial"/>
          <w:color w:val="000000"/>
          <w:lang w:eastAsia="bg-BG"/>
        </w:rPr>
        <w:t>ниацин, езетимиб, телапревир или комбинация от типранавир/ритонавир. Ако е възможно, вместо тези лекарства трябва да се обмислят алтернативни (невзаимодействащи) терапии.</w:t>
      </w:r>
    </w:p>
    <w:p w14:paraId="3AE3A70F" w14:textId="77777777" w:rsidR="00BE2FFB" w:rsidRDefault="00BE2FFB" w:rsidP="00BE2FFB">
      <w:pPr>
        <w:spacing w:line="240" w:lineRule="auto"/>
        <w:rPr>
          <w:rFonts w:eastAsia="Times New Roman" w:cs="Arial"/>
          <w:color w:val="000000"/>
          <w:lang w:eastAsia="bg-BG"/>
        </w:rPr>
      </w:pPr>
    </w:p>
    <w:p w14:paraId="44C982D2" w14:textId="562DECD6"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Много рядко се съобщава за имуномедиирана некротизираща миопатия </w:t>
      </w:r>
      <w:r w:rsidRPr="00BE2FFB">
        <w:rPr>
          <w:rFonts w:eastAsia="Times New Roman" w:cs="Arial"/>
          <w:color w:val="000000"/>
        </w:rPr>
        <w:t>(</w:t>
      </w:r>
      <w:r w:rsidRPr="00BE2FFB">
        <w:rPr>
          <w:rFonts w:eastAsia="Times New Roman" w:cs="Arial"/>
          <w:color w:val="000000"/>
          <w:lang w:val="en-US"/>
        </w:rPr>
        <w:t>Immune</w:t>
      </w:r>
      <w:r w:rsidRPr="00BE2FFB">
        <w:rPr>
          <w:rFonts w:eastAsia="Times New Roman" w:cs="Arial"/>
          <w:color w:val="000000"/>
        </w:rPr>
        <w:t>-</w:t>
      </w:r>
      <w:r w:rsidRPr="00BE2FFB">
        <w:rPr>
          <w:rFonts w:eastAsia="Times New Roman" w:cs="Arial"/>
          <w:color w:val="000000"/>
          <w:lang w:val="en-US"/>
        </w:rPr>
        <w:t>mediated</w:t>
      </w:r>
      <w:r w:rsidRPr="00BE2FFB">
        <w:rPr>
          <w:rFonts w:eastAsia="Times New Roman" w:cs="Arial"/>
          <w:color w:val="000000"/>
        </w:rPr>
        <w:t xml:space="preserve"> </w:t>
      </w:r>
      <w:r w:rsidRPr="00BE2FFB">
        <w:rPr>
          <w:rFonts w:eastAsia="Times New Roman" w:cs="Arial"/>
          <w:color w:val="000000"/>
          <w:lang w:val="en-US"/>
        </w:rPr>
        <w:t>necrotizing</w:t>
      </w:r>
      <w:r w:rsidRPr="00BE2FFB">
        <w:rPr>
          <w:rFonts w:eastAsia="Times New Roman" w:cs="Arial"/>
          <w:color w:val="000000"/>
        </w:rPr>
        <w:t xml:space="preserve"> </w:t>
      </w:r>
      <w:r w:rsidRPr="00BE2FFB">
        <w:rPr>
          <w:rFonts w:eastAsia="Times New Roman" w:cs="Arial"/>
          <w:color w:val="000000"/>
          <w:lang w:val="en-US"/>
        </w:rPr>
        <w:t>myopathy</w:t>
      </w:r>
      <w:r w:rsidRPr="00BE2FFB">
        <w:rPr>
          <w:rFonts w:eastAsia="Times New Roman" w:cs="Arial"/>
          <w:color w:val="000000"/>
        </w:rPr>
        <w:t xml:space="preserve">, </w:t>
      </w:r>
      <w:r w:rsidRPr="00BE2FFB">
        <w:rPr>
          <w:rFonts w:eastAsia="Times New Roman" w:cs="Arial"/>
          <w:color w:val="000000"/>
          <w:lang w:val="en-US"/>
        </w:rPr>
        <w:t>IMNM</w:t>
      </w:r>
      <w:r w:rsidRPr="00BE2FFB">
        <w:rPr>
          <w:rFonts w:eastAsia="Times New Roman" w:cs="Arial"/>
          <w:color w:val="000000"/>
        </w:rPr>
        <w:t xml:space="preserve">) </w:t>
      </w:r>
      <w:r w:rsidRPr="00BE2FFB">
        <w:rPr>
          <w:rFonts w:eastAsia="Times New Roman" w:cs="Arial"/>
          <w:color w:val="000000"/>
          <w:lang w:eastAsia="bg-BG"/>
        </w:rPr>
        <w:t xml:space="preserve">по време или след лечение със статини, включително с аторвастатин. </w:t>
      </w:r>
      <w:r w:rsidRPr="00BE2FFB">
        <w:rPr>
          <w:rFonts w:eastAsia="Times New Roman" w:cs="Arial"/>
          <w:color w:val="000000"/>
          <w:lang w:val="en-US"/>
        </w:rPr>
        <w:t>IMNM</w:t>
      </w:r>
      <w:r w:rsidRPr="00BE2FFB">
        <w:rPr>
          <w:rFonts w:eastAsia="Times New Roman" w:cs="Arial"/>
          <w:color w:val="000000"/>
          <w:lang w:val="ru-RU"/>
        </w:rPr>
        <w:t xml:space="preserve"> </w:t>
      </w:r>
      <w:r w:rsidRPr="00BE2FFB">
        <w:rPr>
          <w:rFonts w:eastAsia="Times New Roman" w:cs="Arial"/>
          <w:color w:val="000000"/>
          <w:lang w:eastAsia="bg-BG"/>
        </w:rPr>
        <w:t>клинично се характеризира със слабост на проксималните мускули и повишени нива на креатинкиназа, което продължава въпреки прекратяване на лечението със статини.</w:t>
      </w:r>
    </w:p>
    <w:p w14:paraId="05E25044" w14:textId="77777777" w:rsidR="00BE2FFB" w:rsidRDefault="00BE2FFB" w:rsidP="00BE2FFB">
      <w:pPr>
        <w:spacing w:line="240" w:lineRule="auto"/>
        <w:rPr>
          <w:rFonts w:eastAsia="Times New Roman" w:cs="Arial"/>
          <w:color w:val="000000"/>
          <w:lang w:eastAsia="bg-BG"/>
        </w:rPr>
      </w:pPr>
    </w:p>
    <w:p w14:paraId="01AC7E58" w14:textId="213EEBA1" w:rsidR="00BE2FFB" w:rsidRPr="00BE2FFB" w:rsidRDefault="00BE2FFB" w:rsidP="00BE2FFB">
      <w:pPr>
        <w:spacing w:line="240" w:lineRule="auto"/>
        <w:rPr>
          <w:rFonts w:eastAsia="Times New Roman" w:cs="Arial"/>
        </w:rPr>
      </w:pPr>
      <w:r w:rsidRPr="00BE2FFB">
        <w:rPr>
          <w:rFonts w:eastAsia="Times New Roman" w:cs="Arial"/>
          <w:color w:val="000000"/>
          <w:lang w:eastAsia="bg-BG"/>
        </w:rPr>
        <w:t>В случаи, когато е необходимо едновременното приложение на тези лекарства с аторвастатин, ползата и рискът от съпътстващото лечение трябва да бъдат обмислени внимателно. Когато пациентите получават лекарства, повишаващи плазмената концентрация на аторвастатин, се препоръчва по-ниска максимална доза на аторвастатин. В случаите с едновременно прилагане с мощни инхибитори на С</w:t>
      </w:r>
      <w:r w:rsidRPr="00BE2FFB">
        <w:rPr>
          <w:rFonts w:eastAsia="Times New Roman" w:cs="Arial"/>
          <w:color w:val="000000"/>
          <w:lang w:val="en-US"/>
        </w:rPr>
        <w:t>YP</w:t>
      </w:r>
      <w:r w:rsidRPr="00BE2FFB">
        <w:rPr>
          <w:rFonts w:eastAsia="Times New Roman" w:cs="Arial"/>
          <w:color w:val="000000"/>
          <w:lang w:val="ru-RU"/>
        </w:rPr>
        <w:t>3</w:t>
      </w:r>
      <w:r w:rsidRPr="00BE2FFB">
        <w:rPr>
          <w:rFonts w:eastAsia="Times New Roman" w:cs="Arial"/>
          <w:color w:val="000000"/>
          <w:lang w:val="en-US"/>
        </w:rPr>
        <w:t>A</w:t>
      </w:r>
      <w:r w:rsidRPr="00BE2FFB">
        <w:rPr>
          <w:rFonts w:eastAsia="Times New Roman" w:cs="Arial"/>
          <w:color w:val="000000"/>
          <w:lang w:val="ru-RU"/>
        </w:rPr>
        <w:t xml:space="preserve">4 </w:t>
      </w:r>
      <w:r w:rsidRPr="00BE2FFB">
        <w:rPr>
          <w:rFonts w:eastAsia="Times New Roman" w:cs="Arial"/>
          <w:color w:val="000000"/>
          <w:lang w:eastAsia="bg-BG"/>
        </w:rPr>
        <w:t>трябва да се обсъди по-ниска начална доза на аторвастатин и се препоръчва съответно клинично мониториране на тези пациенти (вж. точка 4.5).</w:t>
      </w:r>
    </w:p>
    <w:p w14:paraId="53572EC2" w14:textId="77777777" w:rsidR="00BE2FFB" w:rsidRDefault="00BE2FFB" w:rsidP="00BE2FFB">
      <w:pPr>
        <w:spacing w:line="240" w:lineRule="auto"/>
        <w:rPr>
          <w:rFonts w:eastAsia="Times New Roman" w:cs="Arial"/>
          <w:color w:val="000000"/>
          <w:lang w:eastAsia="bg-BG"/>
        </w:rPr>
      </w:pPr>
    </w:p>
    <w:p w14:paraId="5177B775" w14:textId="5C44B817" w:rsidR="00BE2FFB" w:rsidRPr="00BE2FFB" w:rsidRDefault="00BE2FFB" w:rsidP="00BE2FFB">
      <w:pPr>
        <w:spacing w:line="240" w:lineRule="auto"/>
        <w:rPr>
          <w:rFonts w:eastAsia="Times New Roman" w:cs="Arial"/>
        </w:rPr>
      </w:pPr>
      <w:r w:rsidRPr="00BE2FFB">
        <w:rPr>
          <w:rFonts w:eastAsia="Times New Roman" w:cs="Arial"/>
          <w:color w:val="000000"/>
          <w:lang w:eastAsia="bg-BG"/>
        </w:rPr>
        <w:t>Едновременното прилагане на аторвастатин и фусидинова киселина не се препоръчва. Ето защо по време на терапия с фусидинова киселина трябва да се обмисли временно прекратяване на приема на аторвастатин (вж. точка 4.5).</w:t>
      </w:r>
    </w:p>
    <w:p w14:paraId="128A3CA1" w14:textId="77777777" w:rsidR="00BE2FFB" w:rsidRDefault="00BE2FFB" w:rsidP="00BE2FFB">
      <w:pPr>
        <w:spacing w:line="240" w:lineRule="auto"/>
        <w:rPr>
          <w:rFonts w:eastAsia="Times New Roman" w:cs="Arial"/>
          <w:color w:val="000000"/>
          <w:u w:val="single"/>
          <w:lang w:eastAsia="bg-BG"/>
        </w:rPr>
      </w:pPr>
    </w:p>
    <w:p w14:paraId="78C5D3E7" w14:textId="4A8CB1B5"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Педиатрична популация</w:t>
      </w:r>
    </w:p>
    <w:p w14:paraId="585F31F0"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Все още няма данни за безопасността на лекарствения продукт по отношение на растежа и развитието при тази популация (вж. точка 4.8).</w:t>
      </w:r>
    </w:p>
    <w:p w14:paraId="530F34B7" w14:textId="77777777" w:rsidR="00BE2FFB" w:rsidRDefault="00BE2FFB" w:rsidP="00BE2FFB">
      <w:pPr>
        <w:spacing w:line="240" w:lineRule="auto"/>
        <w:rPr>
          <w:rFonts w:eastAsia="Times New Roman" w:cs="Arial"/>
          <w:color w:val="000000"/>
          <w:u w:val="single"/>
          <w:lang w:eastAsia="bg-BG"/>
        </w:rPr>
      </w:pPr>
    </w:p>
    <w:p w14:paraId="570BA91D" w14:textId="52A9B19A"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Интерстициална белодробна болест</w:t>
      </w:r>
    </w:p>
    <w:p w14:paraId="7563B112"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Изолирани случаи на интерстициална белодробна болест са докладвани при някои статини, особено при продължителна терапия (вж. точка 4.8). Симптомите могат да включват диспнея, непродуктивна кашлица и влошаване на цялостното здравословно състояние на организма (умора, загуба на тегло и треска). Ако се установи, че пациент е развил интерстициална белодрона болест, терапията със статини трябва да бъде прекратена.</w:t>
      </w:r>
    </w:p>
    <w:p w14:paraId="0D2606E9" w14:textId="77777777" w:rsidR="00BE2FFB" w:rsidRDefault="00BE2FFB" w:rsidP="00BE2FFB">
      <w:pPr>
        <w:spacing w:line="240" w:lineRule="auto"/>
        <w:rPr>
          <w:rFonts w:eastAsia="Times New Roman" w:cs="Arial"/>
          <w:color w:val="000000"/>
          <w:u w:val="single"/>
          <w:lang w:eastAsia="bg-BG"/>
        </w:rPr>
      </w:pPr>
    </w:p>
    <w:p w14:paraId="0C8D0331" w14:textId="2FEC091A"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Захарен диабет</w:t>
      </w:r>
    </w:p>
    <w:p w14:paraId="18C027D3"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Някои данни показват, че стативите като клас лекарства повишават нивата на глюкоза в кръвта и, при някои пациенти с висок риск от бъдещ диабет, могат да предизвикат ниво на хипергликемия, при което е подходящо прилагането на стандартно лечение при диабет. Въпреки това понижаването на съдовия риск от статините превишава по значение риска от диабет и той не трябва да бъде причина за прекратяване на терапията със статини. Рисковите пациенти (глюкоза на гладно 5,6 до 6,9 </w:t>
      </w:r>
      <w:proofErr w:type="spellStart"/>
      <w:r w:rsidRPr="00BE2FFB">
        <w:rPr>
          <w:rFonts w:eastAsia="Times New Roman" w:cs="Arial"/>
          <w:color w:val="000000"/>
          <w:lang w:val="en-US"/>
        </w:rPr>
        <w:t>mmol</w:t>
      </w:r>
      <w:proofErr w:type="spellEnd"/>
      <w:r w:rsidRPr="00BE2FFB">
        <w:rPr>
          <w:rFonts w:eastAsia="Times New Roman" w:cs="Arial"/>
          <w:color w:val="000000"/>
          <w:lang w:val="ru-RU"/>
        </w:rPr>
        <w:t>/</w:t>
      </w:r>
      <w:r w:rsidRPr="00BE2FFB">
        <w:rPr>
          <w:rFonts w:eastAsia="Times New Roman" w:cs="Arial"/>
          <w:color w:val="000000"/>
          <w:lang w:val="en-US"/>
        </w:rPr>
        <w:t>l</w:t>
      </w:r>
      <w:r w:rsidRPr="00BE2FFB">
        <w:rPr>
          <w:rFonts w:eastAsia="Times New Roman" w:cs="Arial"/>
          <w:color w:val="000000"/>
          <w:lang w:val="ru-RU"/>
        </w:rPr>
        <w:t xml:space="preserve">, </w:t>
      </w:r>
      <w:r w:rsidRPr="00BE2FFB">
        <w:rPr>
          <w:rFonts w:eastAsia="Times New Roman" w:cs="Arial"/>
          <w:color w:val="000000"/>
          <w:lang w:val="en-US"/>
        </w:rPr>
        <w:t>BMI</w:t>
      </w:r>
      <w:r w:rsidRPr="00BE2FFB">
        <w:rPr>
          <w:rFonts w:eastAsia="Times New Roman" w:cs="Arial"/>
          <w:color w:val="000000"/>
          <w:lang w:val="ru-RU"/>
        </w:rPr>
        <w:t xml:space="preserve">&gt;30 </w:t>
      </w:r>
      <w:r w:rsidRPr="00BE2FFB">
        <w:rPr>
          <w:rFonts w:eastAsia="Times New Roman" w:cs="Arial"/>
          <w:color w:val="000000"/>
          <w:lang w:val="en-US"/>
        </w:rPr>
        <w:t>kg</w:t>
      </w:r>
      <w:r w:rsidRPr="00BE2FFB">
        <w:rPr>
          <w:rFonts w:eastAsia="Times New Roman" w:cs="Arial"/>
          <w:color w:val="000000"/>
          <w:lang w:val="ru-RU"/>
        </w:rPr>
        <w:t>/</w:t>
      </w:r>
      <w:r w:rsidRPr="00BE2FFB">
        <w:rPr>
          <w:rFonts w:eastAsia="Times New Roman" w:cs="Arial"/>
          <w:color w:val="000000"/>
          <w:lang w:val="en-US"/>
        </w:rPr>
        <w:t>m</w:t>
      </w:r>
      <w:r w:rsidRPr="00BE2FFB">
        <w:rPr>
          <w:rFonts w:eastAsia="Times New Roman" w:cs="Arial"/>
          <w:color w:val="000000"/>
          <w:vertAlign w:val="superscript"/>
          <w:lang w:val="ru-RU"/>
        </w:rPr>
        <w:t>2</w:t>
      </w:r>
      <w:r w:rsidRPr="00BE2FFB">
        <w:rPr>
          <w:rFonts w:eastAsia="Times New Roman" w:cs="Arial"/>
          <w:color w:val="000000"/>
          <w:lang w:val="ru-RU"/>
        </w:rPr>
        <w:t xml:space="preserve">, </w:t>
      </w:r>
      <w:r w:rsidRPr="00BE2FFB">
        <w:rPr>
          <w:rFonts w:eastAsia="Times New Roman" w:cs="Arial"/>
          <w:color w:val="000000"/>
          <w:lang w:eastAsia="bg-BG"/>
        </w:rPr>
        <w:t>повишени триглицериди, хипертония) трябва да се проследяват клинично и биохимично съгласно местните ръководства.</w:t>
      </w:r>
    </w:p>
    <w:p w14:paraId="2FDF988C" w14:textId="77777777" w:rsidR="00BE2FFB" w:rsidRDefault="00BE2FFB" w:rsidP="00BE2FFB">
      <w:pPr>
        <w:spacing w:line="240" w:lineRule="auto"/>
        <w:rPr>
          <w:rFonts w:eastAsia="Times New Roman" w:cs="Arial"/>
          <w:color w:val="000000"/>
          <w:u w:val="single"/>
          <w:lang w:eastAsia="bg-BG"/>
        </w:rPr>
      </w:pPr>
    </w:p>
    <w:p w14:paraId="1EC485E6" w14:textId="09662D2C"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Помощни вещества</w:t>
      </w:r>
    </w:p>
    <w:p w14:paraId="74517D87"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Аторвин съдържа лактоза. Пациенти с редки наследствени проблеми като галактозна непоносимост, лактазен дефицит на </w:t>
      </w:r>
      <w:r w:rsidRPr="00BE2FFB">
        <w:rPr>
          <w:rFonts w:eastAsia="Times New Roman" w:cs="Arial"/>
          <w:color w:val="000000"/>
          <w:lang w:val="en-US"/>
        </w:rPr>
        <w:t>Lapp</w:t>
      </w:r>
      <w:r w:rsidRPr="00BE2FFB">
        <w:rPr>
          <w:rFonts w:eastAsia="Times New Roman" w:cs="Arial"/>
          <w:color w:val="000000"/>
          <w:lang w:val="ru-RU"/>
        </w:rPr>
        <w:t xml:space="preserve"> </w:t>
      </w:r>
      <w:r w:rsidRPr="00BE2FFB">
        <w:rPr>
          <w:rFonts w:eastAsia="Times New Roman" w:cs="Arial"/>
          <w:color w:val="000000"/>
          <w:lang w:eastAsia="bg-BG"/>
        </w:rPr>
        <w:t>или глюкозо-галактозна малабсорбция не трябва да приемат това лекарство.</w:t>
      </w:r>
    </w:p>
    <w:p w14:paraId="56D9436D" w14:textId="08375EBE" w:rsidR="00BE2FFB" w:rsidRPr="00BE2FFB" w:rsidRDefault="00BE2FFB" w:rsidP="00BE2FFB">
      <w:pPr>
        <w:rPr>
          <w:rFonts w:cs="Arial"/>
        </w:rPr>
      </w:pPr>
    </w:p>
    <w:p w14:paraId="619DED1E" w14:textId="06E3D1AB"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6CEF495C" w14:textId="32DE5020" w:rsidR="00BE2FFB" w:rsidRDefault="00BE2FFB" w:rsidP="00BE2FFB"/>
    <w:p w14:paraId="70ABA135"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Ефекти на едновременно приложени лекарствени продукти върху аторвастатин</w:t>
      </w:r>
    </w:p>
    <w:p w14:paraId="14EA3F83" w14:textId="77777777" w:rsidR="00BE2FFB" w:rsidRPr="00BE2FFB" w:rsidRDefault="00BE2FFB" w:rsidP="00BE2FFB">
      <w:pPr>
        <w:rPr>
          <w:rFonts w:eastAsia="Times New Roman" w:cs="Arial"/>
          <w:color w:val="000000"/>
          <w:lang w:eastAsia="bg-BG"/>
        </w:rPr>
      </w:pPr>
    </w:p>
    <w:p w14:paraId="15D6D4DF" w14:textId="77777777" w:rsidR="00BE2FFB" w:rsidRPr="00BE2FFB" w:rsidRDefault="00BE2FFB" w:rsidP="00BE2FFB">
      <w:pPr>
        <w:rPr>
          <w:rFonts w:eastAsia="Times New Roman" w:cs="Arial"/>
        </w:rPr>
      </w:pPr>
      <w:r w:rsidRPr="00BE2FFB">
        <w:rPr>
          <w:rFonts w:eastAsia="Times New Roman" w:cs="Arial"/>
          <w:color w:val="000000"/>
          <w:lang w:eastAsia="bg-BG"/>
        </w:rPr>
        <w:t xml:space="preserve">Аторвастатин се метаболизира от цитохром Р450 3А4 </w:t>
      </w:r>
      <w:r w:rsidRPr="00BE2FFB">
        <w:rPr>
          <w:rFonts w:eastAsia="Times New Roman" w:cs="Arial"/>
          <w:color w:val="000000"/>
          <w:lang w:val="ru-RU"/>
        </w:rPr>
        <w:t>(</w:t>
      </w:r>
      <w:r w:rsidRPr="00BE2FFB">
        <w:rPr>
          <w:rFonts w:eastAsia="Times New Roman" w:cs="Arial"/>
          <w:color w:val="000000"/>
          <w:lang w:val="en-US"/>
        </w:rPr>
        <w:t>CYP</w:t>
      </w:r>
      <w:r w:rsidRPr="00BE2FFB">
        <w:rPr>
          <w:rFonts w:eastAsia="Times New Roman" w:cs="Arial"/>
          <w:color w:val="000000"/>
          <w:lang w:val="ru-RU"/>
        </w:rPr>
        <w:t>3</w:t>
      </w:r>
      <w:r w:rsidRPr="00BE2FFB">
        <w:rPr>
          <w:rFonts w:eastAsia="Times New Roman" w:cs="Arial"/>
          <w:color w:val="000000"/>
          <w:lang w:val="en-US"/>
        </w:rPr>
        <w:t>A</w:t>
      </w:r>
      <w:r w:rsidRPr="00BE2FFB">
        <w:rPr>
          <w:rFonts w:eastAsia="Times New Roman" w:cs="Arial"/>
          <w:color w:val="000000"/>
          <w:lang w:val="ru-RU"/>
        </w:rPr>
        <w:t xml:space="preserve">4) </w:t>
      </w:r>
      <w:r w:rsidRPr="00BE2FFB">
        <w:rPr>
          <w:rFonts w:eastAsia="Times New Roman" w:cs="Arial"/>
          <w:color w:val="000000"/>
          <w:lang w:eastAsia="bg-BG"/>
        </w:rPr>
        <w:t xml:space="preserve">и е субстрат на транспортните протеини напр. транспортера на чернодробното захващане ОАТР1В1. Едновременното прилагане на лекарствени продукти, които са инхибитори на </w:t>
      </w:r>
      <w:r w:rsidRPr="00BE2FFB">
        <w:rPr>
          <w:rFonts w:eastAsia="Times New Roman" w:cs="Arial"/>
          <w:color w:val="000000"/>
          <w:lang w:val="en-US"/>
        </w:rPr>
        <w:t>CYP</w:t>
      </w:r>
      <w:r w:rsidRPr="00BE2FFB">
        <w:rPr>
          <w:rFonts w:eastAsia="Times New Roman" w:cs="Arial"/>
          <w:color w:val="000000"/>
          <w:lang w:val="ru-RU"/>
        </w:rPr>
        <w:t>3</w:t>
      </w:r>
      <w:r w:rsidRPr="00BE2FFB">
        <w:rPr>
          <w:rFonts w:eastAsia="Times New Roman" w:cs="Arial"/>
          <w:color w:val="000000"/>
          <w:lang w:val="en-US"/>
        </w:rPr>
        <w:t>A</w:t>
      </w:r>
      <w:r w:rsidRPr="00BE2FFB">
        <w:rPr>
          <w:rFonts w:eastAsia="Times New Roman" w:cs="Arial"/>
          <w:color w:val="000000"/>
          <w:lang w:val="ru-RU"/>
        </w:rPr>
        <w:t xml:space="preserve">4 </w:t>
      </w:r>
      <w:r w:rsidRPr="00BE2FFB">
        <w:rPr>
          <w:rFonts w:eastAsia="Times New Roman" w:cs="Arial"/>
          <w:color w:val="000000"/>
          <w:lang w:eastAsia="bg-BG"/>
        </w:rPr>
        <w:t>или на транспортните протеини може да доведе до повишаване на плазмените концентрации на аторвастатин и повишен риск от миопатия. Рискът може да се повиши също при едновременно прилагано на аторвастатин с други лекарствени продукти, притежаващи потенциал да индуцират миопатия като фибрати и езетимиб (вж. точка 4.4).</w:t>
      </w:r>
    </w:p>
    <w:p w14:paraId="7FF39AAC" w14:textId="77777777" w:rsidR="00BE2FFB" w:rsidRDefault="00BE2FFB" w:rsidP="00BE2FFB">
      <w:pPr>
        <w:spacing w:line="240" w:lineRule="auto"/>
        <w:rPr>
          <w:rFonts w:eastAsia="Times New Roman" w:cs="Arial"/>
          <w:color w:val="000000"/>
          <w:u w:val="single"/>
          <w:lang w:eastAsia="bg-BG"/>
        </w:rPr>
      </w:pPr>
    </w:p>
    <w:p w14:paraId="6DB12D6D" w14:textId="2D6E6A5F"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 xml:space="preserve">Инхибитори на </w:t>
      </w:r>
      <w:r w:rsidRPr="00BE2FFB">
        <w:rPr>
          <w:rFonts w:eastAsia="Times New Roman" w:cs="Arial"/>
          <w:color w:val="000000"/>
          <w:u w:val="single"/>
          <w:lang w:val="en-US"/>
        </w:rPr>
        <w:t>CYP</w:t>
      </w:r>
      <w:r w:rsidRPr="003E77D3">
        <w:rPr>
          <w:rFonts w:eastAsia="Times New Roman" w:cs="Arial"/>
          <w:color w:val="000000"/>
          <w:u w:val="single"/>
          <w:lang w:val="ru-RU"/>
        </w:rPr>
        <w:t>3</w:t>
      </w:r>
      <w:r w:rsidRPr="00BE2FFB">
        <w:rPr>
          <w:rFonts w:eastAsia="Times New Roman" w:cs="Arial"/>
          <w:color w:val="000000"/>
          <w:u w:val="single"/>
          <w:lang w:val="en-US"/>
        </w:rPr>
        <w:t>A</w:t>
      </w:r>
      <w:r w:rsidRPr="003E77D3">
        <w:rPr>
          <w:rFonts w:eastAsia="Times New Roman" w:cs="Arial"/>
          <w:color w:val="000000"/>
          <w:u w:val="single"/>
          <w:lang w:val="ru-RU"/>
        </w:rPr>
        <w:t>4</w:t>
      </w:r>
    </w:p>
    <w:p w14:paraId="41289433"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Има данни, че мощните инхибитори на </w:t>
      </w:r>
      <w:r w:rsidRPr="00BE2FFB">
        <w:rPr>
          <w:rFonts w:eastAsia="Times New Roman" w:cs="Arial"/>
          <w:color w:val="000000"/>
          <w:lang w:val="en-US"/>
        </w:rPr>
        <w:t>CYP</w:t>
      </w:r>
      <w:r w:rsidRPr="00BE2FFB">
        <w:rPr>
          <w:rFonts w:eastAsia="Times New Roman" w:cs="Arial"/>
          <w:color w:val="000000"/>
          <w:lang w:val="ru-RU"/>
        </w:rPr>
        <w:t>3</w:t>
      </w:r>
      <w:r w:rsidRPr="00BE2FFB">
        <w:rPr>
          <w:rFonts w:eastAsia="Times New Roman" w:cs="Arial"/>
          <w:color w:val="000000"/>
          <w:lang w:val="en-US"/>
        </w:rPr>
        <w:t>A</w:t>
      </w:r>
      <w:r w:rsidRPr="00BE2FFB">
        <w:rPr>
          <w:rFonts w:eastAsia="Times New Roman" w:cs="Arial"/>
          <w:color w:val="000000"/>
          <w:lang w:val="ru-RU"/>
        </w:rPr>
        <w:t xml:space="preserve">4 </w:t>
      </w:r>
      <w:r w:rsidRPr="00BE2FFB">
        <w:rPr>
          <w:rFonts w:eastAsia="Times New Roman" w:cs="Arial"/>
          <w:color w:val="000000"/>
          <w:lang w:eastAsia="bg-BG"/>
        </w:rPr>
        <w:t xml:space="preserve">водят до значително повишени концентрации на аторвастатин (виж таблица 1 и подробната информация по-долу). Едновременното прилагане на мощни инхибитори на </w:t>
      </w:r>
      <w:r w:rsidRPr="00BE2FFB">
        <w:rPr>
          <w:rFonts w:eastAsia="Times New Roman" w:cs="Arial"/>
          <w:color w:val="000000"/>
          <w:lang w:val="en-US"/>
        </w:rPr>
        <w:t>CYP</w:t>
      </w:r>
      <w:r w:rsidRPr="00BE2FFB">
        <w:rPr>
          <w:rFonts w:eastAsia="Times New Roman" w:cs="Arial"/>
          <w:color w:val="000000"/>
          <w:lang w:val="ru-RU"/>
        </w:rPr>
        <w:t>3</w:t>
      </w:r>
      <w:r w:rsidRPr="00BE2FFB">
        <w:rPr>
          <w:rFonts w:eastAsia="Times New Roman" w:cs="Arial"/>
          <w:color w:val="000000"/>
          <w:lang w:val="en-US"/>
        </w:rPr>
        <w:t>A</w:t>
      </w:r>
      <w:r w:rsidRPr="00BE2FFB">
        <w:rPr>
          <w:rFonts w:eastAsia="Times New Roman" w:cs="Arial"/>
          <w:color w:val="000000"/>
          <w:lang w:val="ru-RU"/>
        </w:rPr>
        <w:t xml:space="preserve">4 </w:t>
      </w:r>
      <w:r w:rsidRPr="00BE2FFB">
        <w:rPr>
          <w:rFonts w:eastAsia="Times New Roman" w:cs="Arial"/>
          <w:color w:val="000000"/>
          <w:lang w:eastAsia="bg-BG"/>
        </w:rPr>
        <w:t xml:space="preserve">(напр. циклоспорин, телитромицин, кларитромицин, делавирдин, стирипентол, кетоконазол, вориконазол, итраконазол, позаконазол и </w:t>
      </w:r>
      <w:r w:rsidRPr="00BE2FFB">
        <w:rPr>
          <w:rFonts w:eastAsia="Times New Roman" w:cs="Arial"/>
          <w:color w:val="000000"/>
          <w:lang w:val="en-US"/>
        </w:rPr>
        <w:t>HIV</w:t>
      </w:r>
      <w:r w:rsidRPr="00BE2FFB">
        <w:rPr>
          <w:rFonts w:eastAsia="Times New Roman" w:cs="Arial"/>
          <w:color w:val="000000"/>
          <w:lang w:eastAsia="bg-BG"/>
        </w:rPr>
        <w:t>-протеазни инхибитори, включително ритонавир, лопинавир, атазанавир, индинавир, дарунавир и др.) по възможност трябва да се избягва. В случаи, когато не може да се избегне едновременното прилагане на тези лекарствени продукти с аторвастатин, трябва да се обмислят по-ниски начална и максимална дози на аторвастатин, и се препоръчва подходящо клинично проследяване на пациента (вж. таблица 1),</w:t>
      </w:r>
    </w:p>
    <w:p w14:paraId="634C2557" w14:textId="77777777" w:rsidR="00BE2FFB" w:rsidRDefault="00BE2FFB" w:rsidP="00BE2FFB">
      <w:pPr>
        <w:spacing w:line="240" w:lineRule="auto"/>
        <w:rPr>
          <w:rFonts w:eastAsia="Times New Roman" w:cs="Arial"/>
          <w:color w:val="000000"/>
          <w:lang w:eastAsia="bg-BG"/>
        </w:rPr>
      </w:pPr>
    </w:p>
    <w:p w14:paraId="4CCA4E0E" w14:textId="649C82A0" w:rsidR="00BE2FFB" w:rsidRPr="00BE2FFB" w:rsidRDefault="00BE2FFB" w:rsidP="00BE2FFB">
      <w:pPr>
        <w:spacing w:line="240" w:lineRule="auto"/>
        <w:rPr>
          <w:rFonts w:eastAsia="Times New Roman" w:cs="Arial"/>
          <w:color w:val="000000"/>
          <w:lang w:eastAsia="bg-BG"/>
        </w:rPr>
      </w:pPr>
      <w:r w:rsidRPr="00BE2FFB">
        <w:rPr>
          <w:rFonts w:eastAsia="Times New Roman" w:cs="Arial"/>
          <w:color w:val="000000"/>
          <w:lang w:eastAsia="bg-BG"/>
        </w:rPr>
        <w:lastRenderedPageBreak/>
        <w:t xml:space="preserve">Умерените инхибитори на </w:t>
      </w:r>
      <w:r w:rsidRPr="00BE2FFB">
        <w:rPr>
          <w:rFonts w:eastAsia="Times New Roman" w:cs="Arial"/>
          <w:color w:val="000000"/>
          <w:lang w:val="en-US"/>
        </w:rPr>
        <w:t>CYP</w:t>
      </w:r>
      <w:r w:rsidRPr="00BE2FFB">
        <w:rPr>
          <w:rFonts w:eastAsia="Times New Roman" w:cs="Arial"/>
          <w:color w:val="000000"/>
          <w:lang w:val="ru-RU"/>
        </w:rPr>
        <w:t>3</w:t>
      </w:r>
      <w:r w:rsidRPr="00BE2FFB">
        <w:rPr>
          <w:rFonts w:eastAsia="Times New Roman" w:cs="Arial"/>
          <w:color w:val="000000"/>
          <w:lang w:val="en-US"/>
        </w:rPr>
        <w:t>A</w:t>
      </w:r>
      <w:r w:rsidRPr="00BE2FFB">
        <w:rPr>
          <w:rFonts w:eastAsia="Times New Roman" w:cs="Arial"/>
          <w:color w:val="000000"/>
          <w:lang w:val="ru-RU"/>
        </w:rPr>
        <w:t xml:space="preserve">4 </w:t>
      </w:r>
      <w:r w:rsidRPr="00BE2FFB">
        <w:rPr>
          <w:rFonts w:eastAsia="Times New Roman" w:cs="Arial"/>
          <w:color w:val="000000"/>
          <w:lang w:eastAsia="bg-BG"/>
        </w:rPr>
        <w:t xml:space="preserve">(напр. еритромицин, дилтиазем, верапамил и флуконазол) могат да повишат плазмените концентрации на аторвастатин (вж. таблица 1). Наблюдаван е повишен риск от миопатия при употреба на еритромицин в комбинация със статини. Не са провеждани проучвания на взаимодействията, които да оценят ефектите на амиодарон или верапамил върху аторвастатин. Известно е, че амиодарон и верапамил инхибират активността на </w:t>
      </w:r>
      <w:r w:rsidRPr="00BE2FFB">
        <w:rPr>
          <w:rFonts w:eastAsia="Times New Roman" w:cs="Arial"/>
          <w:color w:val="000000"/>
          <w:lang w:val="en-US"/>
        </w:rPr>
        <w:t>CYP</w:t>
      </w:r>
      <w:r w:rsidRPr="00BE2FFB">
        <w:rPr>
          <w:rFonts w:eastAsia="Times New Roman" w:cs="Arial"/>
          <w:color w:val="000000"/>
          <w:lang w:val="ru-RU"/>
        </w:rPr>
        <w:t>3</w:t>
      </w:r>
      <w:r w:rsidRPr="00BE2FFB">
        <w:rPr>
          <w:rFonts w:eastAsia="Times New Roman" w:cs="Arial"/>
          <w:color w:val="000000"/>
          <w:lang w:val="en-US"/>
        </w:rPr>
        <w:t>A</w:t>
      </w:r>
      <w:r w:rsidRPr="00BE2FFB">
        <w:rPr>
          <w:rFonts w:eastAsia="Times New Roman" w:cs="Arial"/>
          <w:color w:val="000000"/>
          <w:lang w:val="ru-RU"/>
        </w:rPr>
        <w:t xml:space="preserve">4 </w:t>
      </w:r>
      <w:r w:rsidRPr="00BE2FFB">
        <w:rPr>
          <w:rFonts w:eastAsia="Times New Roman" w:cs="Arial"/>
          <w:color w:val="000000"/>
          <w:lang w:eastAsia="bg-BG"/>
        </w:rPr>
        <w:t xml:space="preserve">и едновременното прилагане с аторвастатин може да доведе до повишена експозиция на аторвастатин. Ето защо при едновременна употреба с умерени инхибитори на </w:t>
      </w:r>
      <w:r w:rsidRPr="00BE2FFB">
        <w:rPr>
          <w:rFonts w:eastAsia="Times New Roman" w:cs="Arial"/>
          <w:i/>
          <w:iCs/>
          <w:color w:val="000000"/>
          <w:lang w:val="en-US"/>
        </w:rPr>
        <w:t>CYP</w:t>
      </w:r>
      <w:r w:rsidRPr="00BE2FFB">
        <w:rPr>
          <w:rFonts w:eastAsia="Times New Roman" w:cs="Arial"/>
          <w:i/>
          <w:iCs/>
          <w:color w:val="000000"/>
          <w:lang w:val="ru-RU"/>
        </w:rPr>
        <w:t>3</w:t>
      </w:r>
      <w:r w:rsidRPr="00BE2FFB">
        <w:rPr>
          <w:rFonts w:eastAsia="Times New Roman" w:cs="Arial"/>
          <w:i/>
          <w:iCs/>
          <w:color w:val="000000"/>
          <w:lang w:val="en-US"/>
        </w:rPr>
        <w:t>A</w:t>
      </w:r>
      <w:r w:rsidRPr="00BE2FFB">
        <w:rPr>
          <w:rFonts w:eastAsia="Times New Roman" w:cs="Arial"/>
          <w:i/>
          <w:iCs/>
          <w:color w:val="000000"/>
          <w:lang w:val="ru-RU"/>
        </w:rPr>
        <w:t>4</w:t>
      </w:r>
      <w:r w:rsidRPr="00BE2FFB">
        <w:rPr>
          <w:rFonts w:eastAsia="Times New Roman" w:cs="Arial"/>
          <w:color w:val="000000"/>
          <w:lang w:val="ru-RU"/>
        </w:rPr>
        <w:t xml:space="preserve"> </w:t>
      </w:r>
      <w:r w:rsidRPr="00BE2FFB">
        <w:rPr>
          <w:rFonts w:eastAsia="Times New Roman" w:cs="Arial"/>
          <w:color w:val="000000"/>
          <w:lang w:eastAsia="bg-BG"/>
        </w:rPr>
        <w:t xml:space="preserve">трябва да се обсъди </w:t>
      </w:r>
      <w:r w:rsidRPr="00BE2FFB">
        <w:rPr>
          <w:rFonts w:eastAsia="Times New Roman" w:cs="Arial"/>
          <w:i/>
          <w:iCs/>
          <w:color w:val="000000"/>
          <w:lang w:eastAsia="bg-BG"/>
        </w:rPr>
        <w:t>по-ниска максимална доза на аторвастатин</w:t>
      </w:r>
      <w:r w:rsidRPr="00BE2FFB">
        <w:rPr>
          <w:rFonts w:eastAsia="Times New Roman" w:cs="Arial"/>
          <w:color w:val="000000"/>
          <w:lang w:eastAsia="bg-BG"/>
        </w:rPr>
        <w:t xml:space="preserve"> и да се проведе подходящо клинично проследяване на пациента. Клинично проследяване се препоръчва както при започване на терапията, така и при последваща промяна на дозировката на инхибитора.</w:t>
      </w:r>
    </w:p>
    <w:p w14:paraId="16F4ECB2" w14:textId="77777777" w:rsidR="00BE2FFB" w:rsidRDefault="00BE2FFB" w:rsidP="00BE2FFB">
      <w:pPr>
        <w:spacing w:line="240" w:lineRule="auto"/>
        <w:rPr>
          <w:rFonts w:eastAsia="Times New Roman" w:cs="Arial"/>
          <w:color w:val="000000"/>
          <w:u w:val="single"/>
          <w:lang w:eastAsia="bg-BG"/>
        </w:rPr>
      </w:pPr>
    </w:p>
    <w:p w14:paraId="08214DA6" w14:textId="7B41660D"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 xml:space="preserve">Индуктори на </w:t>
      </w:r>
      <w:r w:rsidRPr="00BE2FFB">
        <w:rPr>
          <w:rFonts w:eastAsia="Times New Roman" w:cs="Arial"/>
          <w:color w:val="000000"/>
          <w:u w:val="single"/>
          <w:lang w:val="en-US"/>
        </w:rPr>
        <w:t>CYP</w:t>
      </w:r>
      <w:r w:rsidRPr="00BE2FFB">
        <w:rPr>
          <w:rFonts w:eastAsia="Times New Roman" w:cs="Arial"/>
          <w:color w:val="000000"/>
          <w:u w:val="single"/>
          <w:lang w:val="ru-RU"/>
        </w:rPr>
        <w:t>3</w:t>
      </w:r>
      <w:r w:rsidRPr="00BE2FFB">
        <w:rPr>
          <w:rFonts w:eastAsia="Times New Roman" w:cs="Arial"/>
          <w:color w:val="000000"/>
          <w:u w:val="single"/>
          <w:lang w:val="en-US"/>
        </w:rPr>
        <w:t>A</w:t>
      </w:r>
      <w:r w:rsidRPr="00BE2FFB">
        <w:rPr>
          <w:rFonts w:eastAsia="Times New Roman" w:cs="Arial"/>
          <w:color w:val="000000"/>
          <w:u w:val="single"/>
          <w:lang w:val="ru-RU"/>
        </w:rPr>
        <w:t>4</w:t>
      </w:r>
    </w:p>
    <w:p w14:paraId="00AC95A0"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Едновременното прилагане на аторвастатин с индуктори на цитохром Р 450 ЗА4 (напр. ефавиренц, рифампин, жълт кантарион) може да доведе до променливо понижение на плазмените концентрации на аторвастатин. Поради двойния механизъм на взаимодействие на рифампин (индукция на цитохром </w:t>
      </w:r>
      <w:r w:rsidRPr="00BE2FFB">
        <w:rPr>
          <w:rFonts w:eastAsia="Times New Roman" w:cs="Arial"/>
          <w:color w:val="000000"/>
          <w:lang w:val="en-US"/>
        </w:rPr>
        <w:t>P</w:t>
      </w:r>
      <w:r w:rsidRPr="00BE2FFB">
        <w:rPr>
          <w:rFonts w:eastAsia="Times New Roman" w:cs="Arial"/>
          <w:color w:val="000000"/>
          <w:lang w:val="ru-RU"/>
        </w:rPr>
        <w:t xml:space="preserve">-450 </w:t>
      </w:r>
      <w:r w:rsidRPr="00BE2FFB">
        <w:rPr>
          <w:rFonts w:eastAsia="Times New Roman" w:cs="Arial"/>
          <w:color w:val="000000"/>
          <w:lang w:eastAsia="bg-BG"/>
        </w:rPr>
        <w:t>ЗА4 и инхибиране на транспортера на хепатоцитното захващане ОАТР1В1) се препоръчва едновременно прилагане на аторвастатин с рифампин, тъй като по-късното приложение на аторвастатин след прием на рифампин се свързва със значимо намаляване на плазмените концентрации на аторвастатин. Влиянието на рифампин върху концентрациите на аторвастатин в хепатоцитите е неизвестно и, ако едновременното прилагане не може да се избегне, пациентите трябва да се проследяват внимателно за оценка на терапевтичните ефекти.</w:t>
      </w:r>
    </w:p>
    <w:p w14:paraId="41737159" w14:textId="77777777" w:rsidR="00BE2FFB" w:rsidRDefault="00BE2FFB" w:rsidP="00BE2FFB">
      <w:pPr>
        <w:spacing w:line="240" w:lineRule="auto"/>
        <w:rPr>
          <w:rFonts w:eastAsia="Times New Roman" w:cs="Arial"/>
          <w:color w:val="000000"/>
          <w:u w:val="single"/>
          <w:lang w:eastAsia="bg-BG"/>
        </w:rPr>
      </w:pPr>
    </w:p>
    <w:p w14:paraId="77F4D711" w14:textId="4D2938C3"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Инхибитори на транспортните протеини</w:t>
      </w:r>
    </w:p>
    <w:p w14:paraId="06EB8D02"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Инхибиторите на транспортните протеини (напр. циклоспорин) може да повишат системната наличност на аторвастатин (вж. таблица 1). Ефектът от инхибирането на транспортерите на хепатоцитното захващане върху концентрацията на аторвастатин в хепатоцитите е неизвестен. Ако едновременното прилагане неможе да се избегне, се препоръчва понижаване на дозата и клинично наблюдение на ефектите (вж. таблица 1).</w:t>
      </w:r>
    </w:p>
    <w:p w14:paraId="438295C3" w14:textId="77777777" w:rsidR="00BE2FFB" w:rsidRDefault="00BE2FFB" w:rsidP="00BE2FFB">
      <w:pPr>
        <w:spacing w:line="240" w:lineRule="auto"/>
        <w:rPr>
          <w:rFonts w:eastAsia="Times New Roman" w:cs="Arial"/>
          <w:color w:val="000000"/>
          <w:u w:val="single"/>
          <w:lang w:eastAsia="bg-BG"/>
        </w:rPr>
      </w:pPr>
    </w:p>
    <w:p w14:paraId="158D3F0D" w14:textId="04D03B60"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Гемфиброзил/Фибрати</w:t>
      </w:r>
    </w:p>
    <w:p w14:paraId="15B49F4A" w14:textId="4A254898" w:rsidR="00BE2FFB" w:rsidRDefault="00BE2FFB" w:rsidP="00BE2FFB">
      <w:pPr>
        <w:spacing w:line="240" w:lineRule="auto"/>
        <w:rPr>
          <w:rFonts w:eastAsia="Times New Roman" w:cs="Arial"/>
        </w:rPr>
      </w:pPr>
      <w:r w:rsidRPr="00BE2FFB">
        <w:rPr>
          <w:rFonts w:eastAsia="Times New Roman" w:cs="Arial"/>
          <w:color w:val="000000"/>
          <w:lang w:eastAsia="bg-BG"/>
        </w:rPr>
        <w:t>Самостоятелната употреба на фибрати се свързва понякога с миопатия, включително рабдомиолиза. Рискът от такива състояния може да се повиши при едновременното приложение на фибрати и аторвастатин. Ако едновременното прилагане не може да се избегне, трябва да се прилага най-ниската терапевтична доза аторвастатин и пациента трябва да се мониторира внимателно (вж. точка 4.4.).</w:t>
      </w:r>
    </w:p>
    <w:p w14:paraId="135EC2C4" w14:textId="3562A0FC" w:rsidR="00BE2FFB" w:rsidRDefault="00BE2FFB" w:rsidP="00BE2FFB">
      <w:pPr>
        <w:spacing w:line="240" w:lineRule="auto"/>
        <w:rPr>
          <w:rFonts w:eastAsia="Times New Roman" w:cs="Arial"/>
        </w:rPr>
      </w:pPr>
    </w:p>
    <w:p w14:paraId="2E2BEA04" w14:textId="77777777"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Езетимиб</w:t>
      </w:r>
    </w:p>
    <w:p w14:paraId="65BD75F7"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Самостоятелното приложение на езетимиб се свързва с миопатия, включително рабдомиолиза. Затова рискът от такива състояния може да бъде повишен при едновременното приложение на езетимиб и аторвастатин. Препоръчва се внимателно клинично мониториране на тези пациенти.</w:t>
      </w:r>
    </w:p>
    <w:p w14:paraId="5D69E0B7" w14:textId="77777777" w:rsidR="00BE2FFB" w:rsidRDefault="00BE2FFB" w:rsidP="00BE2FFB">
      <w:pPr>
        <w:spacing w:line="240" w:lineRule="auto"/>
        <w:rPr>
          <w:rFonts w:eastAsia="Times New Roman" w:cs="Arial"/>
          <w:color w:val="000000"/>
          <w:u w:val="single"/>
          <w:lang w:eastAsia="bg-BG"/>
        </w:rPr>
      </w:pPr>
    </w:p>
    <w:p w14:paraId="30636EC1" w14:textId="26F69975"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Колестипол</w:t>
      </w:r>
    </w:p>
    <w:p w14:paraId="719CBCC6"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Плазмените концентрации на аторвастатин и активните му метаболити са били по-ниски (приблизително с 25%) когато колестипол е прилаган едновременно с аторвастатин. Ефектът спрямо липидните нива обаче е бил по-изразен, когато Аторвин и колестипол са прилагани едновременно, отколкото при самостоятелно приложение на двете лекарствени средства.</w:t>
      </w:r>
    </w:p>
    <w:p w14:paraId="153ACDFE" w14:textId="77777777" w:rsidR="00BE2FFB" w:rsidRDefault="00BE2FFB" w:rsidP="00BE2FFB">
      <w:pPr>
        <w:spacing w:line="240" w:lineRule="auto"/>
        <w:rPr>
          <w:rFonts w:eastAsia="Times New Roman" w:cs="Arial"/>
          <w:color w:val="000000"/>
          <w:u w:val="single"/>
          <w:lang w:eastAsia="bg-BG"/>
        </w:rPr>
      </w:pPr>
    </w:p>
    <w:p w14:paraId="2502EFE4" w14:textId="41DEA3B2"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 xml:space="preserve">Фусидинова </w:t>
      </w:r>
      <w:r w:rsidRPr="00BE2FFB">
        <w:rPr>
          <w:rFonts w:eastAsia="Times New Roman" w:cs="Arial"/>
          <w:i/>
          <w:iCs/>
          <w:color w:val="000000"/>
          <w:u w:val="single"/>
          <w:lang w:eastAsia="bg-BG"/>
        </w:rPr>
        <w:t>киселина</w:t>
      </w:r>
    </w:p>
    <w:p w14:paraId="7CB9D052"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Не са провеждани проучвания на взаимодействията на аторвастатин с фусидинова киселина. Както с останалите статини, миопатия, включително рабдомиолиза, са съобщавани при постмаркетинговата употреба при едновременно прилагане на аторвастатин и фусидонова киселина. Механизмът на това взаимодействие не е известен. Пациентите трябва внимателно да се мониторират и може да бъде уместно временно преустановяване приема на аторвастатин.</w:t>
      </w:r>
    </w:p>
    <w:p w14:paraId="0B9D941C" w14:textId="77777777" w:rsidR="00BE2FFB" w:rsidRDefault="00BE2FFB" w:rsidP="00BE2FFB">
      <w:pPr>
        <w:spacing w:line="240" w:lineRule="auto"/>
        <w:rPr>
          <w:rFonts w:eastAsia="Times New Roman" w:cs="Arial"/>
          <w:color w:val="000000"/>
          <w:u w:val="single"/>
          <w:lang w:eastAsia="bg-BG"/>
        </w:rPr>
      </w:pPr>
    </w:p>
    <w:p w14:paraId="7F79D977" w14:textId="0BFD3316"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Колхицин</w:t>
      </w:r>
    </w:p>
    <w:p w14:paraId="009897DB"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Въпреки, че не са провеждани проучвания за взаимодействията на аторвастатин с колхицин, съобщавани са случаи на миопатия, когато аторвастатин е прилаган едновременно с колхицин. Необходимо е повишено внимание при предписването на аторвастатин с колхицин.</w:t>
      </w:r>
    </w:p>
    <w:p w14:paraId="7E627BD2" w14:textId="77777777" w:rsidR="00BE2FFB" w:rsidRDefault="00BE2FFB" w:rsidP="00BE2FFB">
      <w:pPr>
        <w:spacing w:line="240" w:lineRule="auto"/>
        <w:rPr>
          <w:rFonts w:eastAsia="Times New Roman" w:cs="Arial"/>
          <w:i/>
          <w:iCs/>
          <w:color w:val="000000"/>
          <w:lang w:eastAsia="bg-BG"/>
        </w:rPr>
      </w:pPr>
    </w:p>
    <w:p w14:paraId="79065624" w14:textId="6E77A0D8"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Ефект на аторвастатин върху едновременно прилагани лекарствени продукти</w:t>
      </w:r>
    </w:p>
    <w:p w14:paraId="52610131" w14:textId="77777777" w:rsidR="00BE2FFB" w:rsidRDefault="00BE2FFB" w:rsidP="00BE2FFB">
      <w:pPr>
        <w:spacing w:line="240" w:lineRule="auto"/>
        <w:rPr>
          <w:rFonts w:eastAsia="Times New Roman" w:cs="Arial"/>
          <w:color w:val="000000"/>
          <w:u w:val="single"/>
          <w:lang w:eastAsia="bg-BG"/>
        </w:rPr>
      </w:pPr>
    </w:p>
    <w:p w14:paraId="03239C05" w14:textId="3747A3BB"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Дигоксин</w:t>
      </w:r>
    </w:p>
    <w:p w14:paraId="08250AEA"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При многократно приложение на дигоксин едновременно с 10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аторвастатин стационарните концентрации на дигоксин се повишават леко. Пациенти, които приемат дигоксин, трябва да бъдат внимателно проследявани.</w:t>
      </w:r>
    </w:p>
    <w:p w14:paraId="48922605" w14:textId="77777777" w:rsidR="00BE2FFB" w:rsidRDefault="00BE2FFB" w:rsidP="00BE2FFB">
      <w:pPr>
        <w:spacing w:line="240" w:lineRule="auto"/>
        <w:rPr>
          <w:rFonts w:eastAsia="Times New Roman" w:cs="Arial"/>
          <w:color w:val="000000"/>
          <w:u w:val="single"/>
          <w:lang w:eastAsia="bg-BG"/>
        </w:rPr>
      </w:pPr>
    </w:p>
    <w:p w14:paraId="1020751A" w14:textId="23352326"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Перорални контрацептиви</w:t>
      </w:r>
    </w:p>
    <w:p w14:paraId="4839127E"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Едновременното прилагане на аторвастатин с перорален контрацептив води до повишена плазмена концентрация на норетиндрон и етинилестрадиол.</w:t>
      </w:r>
    </w:p>
    <w:p w14:paraId="1E42FD80" w14:textId="77777777" w:rsidR="00BE2FFB" w:rsidRDefault="00BE2FFB" w:rsidP="00BE2FFB">
      <w:pPr>
        <w:spacing w:line="240" w:lineRule="auto"/>
        <w:rPr>
          <w:rFonts w:eastAsia="Times New Roman" w:cs="Arial"/>
          <w:color w:val="000000"/>
          <w:u w:val="single"/>
          <w:lang w:eastAsia="bg-BG"/>
        </w:rPr>
      </w:pPr>
    </w:p>
    <w:p w14:paraId="5087553C" w14:textId="73ABBB72"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Варфарин</w:t>
      </w:r>
    </w:p>
    <w:p w14:paraId="72DDBEB4" w14:textId="4338C35E"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В клинично проучване при пациенти, приемащи продължителна терапия с варфарин, едновременното прилагане на 80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аторвастатин дневно с варфарин причинява леко понижение от 1,7 секунди на протромбиновото време в първите 4 дни на лечението и връщане към нормата до 15-тия ден от лечението с аторвастатин. Въпреки че много рядко са съобщавани клинично значими взаимодействия с антикоагуланти, протромбиновото време трябва да бъде определено преди започване на аторвастатин при пациенти, получаващи кумаринови антикоагуланти и достатъчно често в началото на терапията, за да се подсигури, че не възниква значима промяна в протромбиновото време. Когато се документира стабилно потромбиново време, то може да бъде мониторирано на интервали, които обикновено се препоръчват при пациенти на кумаринови антикоагуланти. Дозата на аторвастатин не се свързва с кървене или с промени в протромбиновото време при пациенти, които не приемат антикоагуланти.</w:t>
      </w:r>
    </w:p>
    <w:p w14:paraId="2E9C8751" w14:textId="77777777" w:rsidR="00BE2FFB" w:rsidRDefault="00BE2FFB" w:rsidP="00BE2FFB">
      <w:pPr>
        <w:spacing w:line="240" w:lineRule="auto"/>
        <w:rPr>
          <w:rFonts w:eastAsia="Times New Roman" w:cs="Arial"/>
          <w:color w:val="000000"/>
          <w:u w:val="single"/>
          <w:lang w:eastAsia="bg-BG"/>
        </w:rPr>
      </w:pPr>
    </w:p>
    <w:p w14:paraId="3FE9EC69" w14:textId="0B03DF5C"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Педиатрична популация</w:t>
      </w:r>
    </w:p>
    <w:p w14:paraId="0C1F5D14"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Проучвания върху лекарствените взаимодействия са извършени единствено при възрастни. Степента на взаимодействие в педиатричната популация не е известна. Трябва да се имат предвид гореспоменатите взаимодействия при възрастни и предупрежденията в точка 4.4 при приложение в педиатричната популация.</w:t>
      </w:r>
    </w:p>
    <w:p w14:paraId="23C6BDD6" w14:textId="45FFFF6C" w:rsidR="00BE2FFB" w:rsidRDefault="00BE2FFB" w:rsidP="00BE2FFB">
      <w:pPr>
        <w:spacing w:line="240" w:lineRule="auto"/>
      </w:pPr>
    </w:p>
    <w:p w14:paraId="08F6B9A4" w14:textId="7FB73F9C" w:rsidR="00BE2FFB" w:rsidRPr="00BE2FFB" w:rsidRDefault="00BE2FFB" w:rsidP="00BE2FFB">
      <w:pPr>
        <w:rPr>
          <w:u w:val="single"/>
        </w:rPr>
      </w:pPr>
      <w:r w:rsidRPr="00BE2FFB">
        <w:rPr>
          <w:u w:val="single"/>
        </w:rPr>
        <w:t>Таблица 1: Ефекти на едновременно прилагани лекарствени продукти върху фармакокинетиката на аторвастатин</w:t>
      </w:r>
    </w:p>
    <w:p w14:paraId="341052C9" w14:textId="7144C075" w:rsidR="00BE2FFB" w:rsidRDefault="00BE2FFB" w:rsidP="00BE2FFB">
      <w:pPr>
        <w:spacing w:line="240" w:lineRule="auto"/>
      </w:pPr>
    </w:p>
    <w:tbl>
      <w:tblPr>
        <w:tblStyle w:val="TableGrid"/>
        <w:tblW w:w="0" w:type="auto"/>
        <w:tblLook w:val="04A0" w:firstRow="1" w:lastRow="0" w:firstColumn="1" w:lastColumn="0" w:noHBand="0" w:noVBand="1"/>
      </w:tblPr>
      <w:tblGrid>
        <w:gridCol w:w="2373"/>
        <w:gridCol w:w="2319"/>
        <w:gridCol w:w="2299"/>
        <w:gridCol w:w="2359"/>
      </w:tblGrid>
      <w:tr w:rsidR="00BE2FFB" w14:paraId="655383F2" w14:textId="77777777" w:rsidTr="00BE2FFB">
        <w:tc>
          <w:tcPr>
            <w:tcW w:w="2394" w:type="dxa"/>
            <w:vMerge w:val="restart"/>
          </w:tcPr>
          <w:p w14:paraId="67BE6A09" w14:textId="164FA310" w:rsidR="00BE2FFB" w:rsidRPr="00BE2FFB" w:rsidRDefault="00BE2FFB" w:rsidP="00BE2FFB">
            <w:pPr>
              <w:rPr>
                <w:sz w:val="24"/>
                <w:szCs w:val="24"/>
              </w:rPr>
            </w:pPr>
            <w:r w:rsidRPr="00BE2FFB">
              <w:rPr>
                <w:lang w:eastAsia="bg-BG"/>
              </w:rPr>
              <w:t>Едновременно прилаган лекарствен продукт и режим на дозиране</w:t>
            </w:r>
          </w:p>
        </w:tc>
        <w:tc>
          <w:tcPr>
            <w:tcW w:w="7182" w:type="dxa"/>
            <w:gridSpan w:val="3"/>
          </w:tcPr>
          <w:p w14:paraId="64F73712" w14:textId="77777777" w:rsidR="00BE2FFB" w:rsidRPr="00BE2FFB" w:rsidRDefault="00BE2FFB" w:rsidP="00BE2FFB">
            <w:pPr>
              <w:jc w:val="center"/>
              <w:rPr>
                <w:sz w:val="24"/>
                <w:szCs w:val="24"/>
              </w:rPr>
            </w:pPr>
            <w:r w:rsidRPr="00BE2FFB">
              <w:rPr>
                <w:lang w:eastAsia="bg-BG"/>
              </w:rPr>
              <w:t>Аторвастатин</w:t>
            </w:r>
          </w:p>
          <w:p w14:paraId="57369DE0" w14:textId="77777777" w:rsidR="00BE2FFB" w:rsidRDefault="00BE2FFB" w:rsidP="00BE2FFB">
            <w:pPr>
              <w:spacing w:line="240" w:lineRule="auto"/>
            </w:pPr>
          </w:p>
        </w:tc>
      </w:tr>
      <w:tr w:rsidR="00BE2FFB" w14:paraId="4D3BD246" w14:textId="77777777" w:rsidTr="00BE2FFB">
        <w:tc>
          <w:tcPr>
            <w:tcW w:w="2394" w:type="dxa"/>
            <w:vMerge/>
          </w:tcPr>
          <w:p w14:paraId="4FF9D87E" w14:textId="77777777" w:rsidR="00BE2FFB" w:rsidRDefault="00BE2FFB" w:rsidP="00BE2FFB">
            <w:pPr>
              <w:spacing w:line="240" w:lineRule="auto"/>
            </w:pPr>
          </w:p>
        </w:tc>
        <w:tc>
          <w:tcPr>
            <w:tcW w:w="2394" w:type="dxa"/>
          </w:tcPr>
          <w:p w14:paraId="3EF34419" w14:textId="1C04103B" w:rsidR="00BE2FFB" w:rsidRDefault="00BE2FFB" w:rsidP="00BE2FFB">
            <w:r>
              <w:t xml:space="preserve">Доза </w:t>
            </w:r>
            <w:r>
              <w:rPr>
                <w:lang w:val="en-US"/>
              </w:rPr>
              <w:t>(mg)</w:t>
            </w:r>
          </w:p>
        </w:tc>
        <w:tc>
          <w:tcPr>
            <w:tcW w:w="2394" w:type="dxa"/>
          </w:tcPr>
          <w:p w14:paraId="62EF79B4" w14:textId="77777777" w:rsidR="00BE2FFB" w:rsidRDefault="00BE2FFB" w:rsidP="00BE2FFB">
            <w:r>
              <w:t>Промяна в</w:t>
            </w:r>
          </w:p>
          <w:p w14:paraId="15884342" w14:textId="181CD92B" w:rsidR="00BE2FFB" w:rsidRDefault="00BE2FFB" w:rsidP="00BE2FFB">
            <w:r>
              <w:rPr>
                <w:lang w:val="en-US"/>
              </w:rPr>
              <w:t>AUC</w:t>
            </w:r>
            <w:r>
              <w:rPr>
                <w:vertAlign w:val="superscript"/>
                <w:lang w:val="en-US"/>
              </w:rPr>
              <w:t>&amp;</w:t>
            </w:r>
          </w:p>
        </w:tc>
        <w:tc>
          <w:tcPr>
            <w:tcW w:w="2394" w:type="dxa"/>
          </w:tcPr>
          <w:p w14:paraId="2788FC17" w14:textId="25C3F3E1" w:rsidR="00BE2FFB" w:rsidRDefault="00BE2FFB" w:rsidP="00BE2FFB">
            <w:r>
              <w:t>Клинична препоръка</w:t>
            </w:r>
            <w:r>
              <w:rPr>
                <w:vertAlign w:val="superscript"/>
              </w:rPr>
              <w:t>#</w:t>
            </w:r>
          </w:p>
        </w:tc>
      </w:tr>
      <w:tr w:rsidR="00BE2FFB" w14:paraId="1CF52DB0" w14:textId="77777777" w:rsidTr="00BE2FFB">
        <w:tc>
          <w:tcPr>
            <w:tcW w:w="2394" w:type="dxa"/>
            <w:vAlign w:val="bottom"/>
          </w:tcPr>
          <w:p w14:paraId="204F50C9" w14:textId="77777777" w:rsidR="00BE2FFB" w:rsidRPr="00BE2FFB" w:rsidRDefault="00BE2FFB" w:rsidP="00BE2FFB">
            <w:r w:rsidRPr="00BE2FFB">
              <w:t xml:space="preserve">Типранавир 500 </w:t>
            </w:r>
            <w:r w:rsidRPr="00BE2FFB">
              <w:rPr>
                <w:lang w:val="en-US"/>
              </w:rPr>
              <w:t>mg</w:t>
            </w:r>
            <w:r w:rsidRPr="00BE2FFB">
              <w:rPr>
                <w:lang w:val="ru-RU"/>
              </w:rPr>
              <w:t xml:space="preserve"> </w:t>
            </w:r>
            <w:r w:rsidRPr="00BE2FFB">
              <w:t>два</w:t>
            </w:r>
            <w:r w:rsidRPr="00BE2FFB">
              <w:tab/>
              <w:t>пъти</w:t>
            </w:r>
          </w:p>
          <w:p w14:paraId="0AFEB20E" w14:textId="1DDAE7AB" w:rsidR="00BE2FFB" w:rsidRPr="00BE2FFB" w:rsidRDefault="00BE2FFB" w:rsidP="00BE2FFB">
            <w:pPr>
              <w:spacing w:line="240" w:lineRule="auto"/>
            </w:pPr>
            <w:r w:rsidRPr="00BE2FFB">
              <w:t xml:space="preserve">дневно/Ритонавир 200 </w:t>
            </w:r>
            <w:r w:rsidRPr="00BE2FFB">
              <w:rPr>
                <w:lang w:val="en-US"/>
              </w:rPr>
              <w:t>mg</w:t>
            </w:r>
            <w:r w:rsidRPr="00BE2FFB">
              <w:rPr>
                <w:lang w:val="ru-RU"/>
              </w:rPr>
              <w:t xml:space="preserve"> </w:t>
            </w:r>
            <w:r w:rsidRPr="00BE2FFB">
              <w:t>два пъти дневно, 8 дни (от ден 14 до 21)</w:t>
            </w:r>
          </w:p>
        </w:tc>
        <w:tc>
          <w:tcPr>
            <w:tcW w:w="2394" w:type="dxa"/>
          </w:tcPr>
          <w:p w14:paraId="71F64AE2" w14:textId="77777777" w:rsidR="00BE2FFB" w:rsidRPr="00BE2FFB" w:rsidRDefault="00BE2FFB" w:rsidP="00BE2FFB">
            <w:r w:rsidRPr="00BE2FFB">
              <w:t xml:space="preserve">40 </w:t>
            </w:r>
            <w:r w:rsidRPr="00BE2FFB">
              <w:rPr>
                <w:lang w:val="en-US"/>
              </w:rPr>
              <w:t>mg</w:t>
            </w:r>
            <w:r w:rsidRPr="00BE2FFB">
              <w:rPr>
                <w:lang w:val="ru-RU"/>
              </w:rPr>
              <w:t xml:space="preserve"> </w:t>
            </w:r>
            <w:r w:rsidRPr="00BE2FFB">
              <w:t>от ден 1,</w:t>
            </w:r>
          </w:p>
          <w:p w14:paraId="680188C4" w14:textId="10A3B00C" w:rsidR="00BE2FFB" w:rsidRPr="00BE2FFB" w:rsidRDefault="00BE2FFB" w:rsidP="00BE2FFB">
            <w:pPr>
              <w:spacing w:line="240" w:lineRule="auto"/>
            </w:pPr>
            <w:r w:rsidRPr="00BE2FFB">
              <w:t xml:space="preserve">10 </w:t>
            </w:r>
            <w:r w:rsidRPr="00BE2FFB">
              <w:rPr>
                <w:lang w:val="en-US"/>
              </w:rPr>
              <w:t>mg</w:t>
            </w:r>
            <w:r w:rsidRPr="00BE2FFB">
              <w:rPr>
                <w:lang w:val="ru-RU"/>
              </w:rPr>
              <w:t xml:space="preserve"> </w:t>
            </w:r>
            <w:r w:rsidRPr="00BE2FFB">
              <w:t>от ден 20</w:t>
            </w:r>
          </w:p>
        </w:tc>
        <w:tc>
          <w:tcPr>
            <w:tcW w:w="2394" w:type="dxa"/>
          </w:tcPr>
          <w:p w14:paraId="1DE8C490" w14:textId="0DE884AE" w:rsidR="00BE2FFB" w:rsidRPr="00BE2FFB" w:rsidRDefault="00BE2FFB" w:rsidP="00BE2FFB">
            <w:pPr>
              <w:spacing w:line="240" w:lineRule="auto"/>
            </w:pPr>
            <w:r w:rsidRPr="00BE2FFB">
              <w:rPr>
                <w:lang w:val="en-US"/>
              </w:rPr>
              <w:t>↑</w:t>
            </w:r>
            <w:r>
              <w:t xml:space="preserve"> </w:t>
            </w:r>
            <w:r w:rsidRPr="00BE2FFB">
              <w:t>9,4 пъти</w:t>
            </w:r>
          </w:p>
        </w:tc>
        <w:tc>
          <w:tcPr>
            <w:tcW w:w="2394" w:type="dxa"/>
            <w:vMerge w:val="restart"/>
          </w:tcPr>
          <w:p w14:paraId="51E81D95" w14:textId="717C0473" w:rsidR="00BE2FFB" w:rsidRPr="00BE2FFB" w:rsidRDefault="00BE2FFB" w:rsidP="00BE2FFB">
            <w:r>
              <w:t xml:space="preserve">Когато </w:t>
            </w:r>
            <w:r w:rsidRPr="00BE2FFB">
              <w:t>едновременното</w:t>
            </w:r>
          </w:p>
          <w:p w14:paraId="05C9775F" w14:textId="50C3C50E" w:rsidR="00BE2FFB" w:rsidRPr="00BE2FFB" w:rsidRDefault="00BE2FFB" w:rsidP="00BE2FFB">
            <w:pPr>
              <w:spacing w:line="240" w:lineRule="auto"/>
            </w:pPr>
            <w:r w:rsidRPr="00BE2FFB">
              <w:t xml:space="preserve">прилагане с аторвастатин е необходимо, не превиш авайте 10 </w:t>
            </w:r>
            <w:r w:rsidRPr="00BE2FFB">
              <w:rPr>
                <w:lang w:val="en-US"/>
              </w:rPr>
              <w:t>mg</w:t>
            </w:r>
            <w:r w:rsidRPr="00BE2FFB">
              <w:rPr>
                <w:lang w:val="ru-RU"/>
              </w:rPr>
              <w:t xml:space="preserve"> </w:t>
            </w:r>
            <w:r w:rsidRPr="00BE2FFB">
              <w:t>аторвастатин дневно. Препоръчва се клинично проследяване на тези пациенти.</w:t>
            </w:r>
          </w:p>
        </w:tc>
      </w:tr>
      <w:tr w:rsidR="00BE2FFB" w14:paraId="5B3DF5DC" w14:textId="77777777" w:rsidTr="00BE2FFB">
        <w:tc>
          <w:tcPr>
            <w:tcW w:w="2394" w:type="dxa"/>
            <w:vAlign w:val="bottom"/>
          </w:tcPr>
          <w:p w14:paraId="04E678EE" w14:textId="016B8175" w:rsidR="00BE2FFB" w:rsidRPr="00BE2FFB" w:rsidRDefault="00BE2FFB" w:rsidP="00BE2FFB">
            <w:pPr>
              <w:spacing w:line="240" w:lineRule="auto"/>
            </w:pPr>
            <w:r w:rsidRPr="00BE2FFB">
              <w:t xml:space="preserve">Телапревир 750 </w:t>
            </w:r>
            <w:r w:rsidRPr="00BE2FFB">
              <w:rPr>
                <w:lang w:val="en-US"/>
              </w:rPr>
              <w:t>mg</w:t>
            </w:r>
            <w:r w:rsidRPr="00BE2FFB">
              <w:rPr>
                <w:lang w:val="ru-RU"/>
              </w:rPr>
              <w:t xml:space="preserve"> </w:t>
            </w:r>
            <w:r w:rsidRPr="00BE2FFB">
              <w:t>на 8 часа за 10 дни</w:t>
            </w:r>
          </w:p>
        </w:tc>
        <w:tc>
          <w:tcPr>
            <w:tcW w:w="2394" w:type="dxa"/>
            <w:vAlign w:val="bottom"/>
          </w:tcPr>
          <w:p w14:paraId="18B9FA96" w14:textId="1452110A" w:rsidR="00BE2FFB" w:rsidRPr="00BE2FFB" w:rsidRDefault="00BE2FFB" w:rsidP="00BE2FFB">
            <w:pPr>
              <w:spacing w:line="240" w:lineRule="auto"/>
            </w:pPr>
            <w:r w:rsidRPr="00BE2FFB">
              <w:t xml:space="preserve">20 </w:t>
            </w:r>
            <w:r w:rsidRPr="00BE2FFB">
              <w:rPr>
                <w:lang w:val="en-US"/>
              </w:rPr>
              <w:t xml:space="preserve">mg </w:t>
            </w:r>
            <w:r w:rsidRPr="00BE2FFB">
              <w:t>еднократна доза</w:t>
            </w:r>
          </w:p>
        </w:tc>
        <w:tc>
          <w:tcPr>
            <w:tcW w:w="2394" w:type="dxa"/>
          </w:tcPr>
          <w:p w14:paraId="31CF01D8" w14:textId="2B647491" w:rsidR="00BE2FFB" w:rsidRPr="00BE2FFB" w:rsidRDefault="00BE2FFB" w:rsidP="00BE2FFB">
            <w:pPr>
              <w:spacing w:line="240" w:lineRule="auto"/>
            </w:pPr>
            <w:r w:rsidRPr="00BE2FFB">
              <w:rPr>
                <w:lang w:val="en-US"/>
              </w:rPr>
              <w:t>↑</w:t>
            </w:r>
            <w:r w:rsidRPr="00BE2FFB">
              <w:t xml:space="preserve"> 7,9 пъти</w:t>
            </w:r>
          </w:p>
        </w:tc>
        <w:tc>
          <w:tcPr>
            <w:tcW w:w="2394" w:type="dxa"/>
            <w:vMerge/>
          </w:tcPr>
          <w:p w14:paraId="6D867B88" w14:textId="77777777" w:rsidR="00BE2FFB" w:rsidRPr="00BE2FFB" w:rsidRDefault="00BE2FFB" w:rsidP="00BE2FFB">
            <w:pPr>
              <w:spacing w:line="240" w:lineRule="auto"/>
            </w:pPr>
          </w:p>
        </w:tc>
      </w:tr>
      <w:tr w:rsidR="00BE2FFB" w14:paraId="4341FA38" w14:textId="77777777" w:rsidTr="00BE2FFB">
        <w:tc>
          <w:tcPr>
            <w:tcW w:w="2394" w:type="dxa"/>
            <w:vAlign w:val="bottom"/>
          </w:tcPr>
          <w:p w14:paraId="47D8AC0A" w14:textId="77777777" w:rsidR="00BE2FFB" w:rsidRPr="00BE2FFB" w:rsidRDefault="00BE2FFB" w:rsidP="00BE2FFB">
            <w:r w:rsidRPr="00BE2FFB">
              <w:t>Циклоспорин</w:t>
            </w:r>
            <w:r w:rsidRPr="00BE2FFB">
              <w:tab/>
              <w:t>5,2</w:t>
            </w:r>
          </w:p>
          <w:p w14:paraId="730DD0A9" w14:textId="5E4CD728" w:rsidR="00BE2FFB" w:rsidRPr="00BE2FFB" w:rsidRDefault="00BE2FFB" w:rsidP="00BE2FFB">
            <w:pPr>
              <w:spacing w:line="240" w:lineRule="auto"/>
            </w:pPr>
            <w:r w:rsidRPr="00BE2FFB">
              <w:rPr>
                <w:lang w:val="en-US"/>
              </w:rPr>
              <w:t>mg</w:t>
            </w:r>
            <w:r w:rsidRPr="00BE2FFB">
              <w:rPr>
                <w:lang w:val="ru-RU"/>
              </w:rPr>
              <w:t>/</w:t>
            </w:r>
            <w:r w:rsidRPr="00BE2FFB">
              <w:rPr>
                <w:lang w:val="en-US"/>
              </w:rPr>
              <w:t>kg</w:t>
            </w:r>
            <w:r w:rsidRPr="00BE2FFB">
              <w:t>/ден, постоянна доза</w:t>
            </w:r>
          </w:p>
        </w:tc>
        <w:tc>
          <w:tcPr>
            <w:tcW w:w="2394" w:type="dxa"/>
          </w:tcPr>
          <w:p w14:paraId="740AD821" w14:textId="44E701AE" w:rsidR="00BE2FFB" w:rsidRPr="00BE2FFB" w:rsidRDefault="00BE2FFB" w:rsidP="00BE2FFB">
            <w:pPr>
              <w:spacing w:line="240" w:lineRule="auto"/>
            </w:pPr>
            <w:r w:rsidRPr="00BE2FFB">
              <w:t xml:space="preserve">10 </w:t>
            </w:r>
            <w:r w:rsidRPr="00BE2FFB">
              <w:rPr>
                <w:lang w:val="en-US"/>
              </w:rPr>
              <w:t>mg</w:t>
            </w:r>
            <w:r w:rsidRPr="00BE2FFB">
              <w:rPr>
                <w:lang w:val="ru-RU"/>
              </w:rPr>
              <w:t xml:space="preserve"> </w:t>
            </w:r>
            <w:r w:rsidRPr="00BE2FFB">
              <w:t>веднъж дневно за 28 дни</w:t>
            </w:r>
          </w:p>
        </w:tc>
        <w:tc>
          <w:tcPr>
            <w:tcW w:w="2394" w:type="dxa"/>
          </w:tcPr>
          <w:p w14:paraId="5F126A30" w14:textId="6D385C7B" w:rsidR="00BE2FFB" w:rsidRPr="00BE2FFB" w:rsidRDefault="00BE2FFB" w:rsidP="00BE2FFB">
            <w:pPr>
              <w:spacing w:line="240" w:lineRule="auto"/>
            </w:pPr>
            <w:r w:rsidRPr="00BE2FFB">
              <w:rPr>
                <w:lang w:val="en-US"/>
              </w:rPr>
              <w:t>↑</w:t>
            </w:r>
            <w:r w:rsidRPr="00BE2FFB">
              <w:t xml:space="preserve"> 8,7 пъти</w:t>
            </w:r>
          </w:p>
        </w:tc>
        <w:tc>
          <w:tcPr>
            <w:tcW w:w="2394" w:type="dxa"/>
            <w:vMerge/>
          </w:tcPr>
          <w:p w14:paraId="6080AB8C" w14:textId="77777777" w:rsidR="00BE2FFB" w:rsidRPr="00BE2FFB" w:rsidRDefault="00BE2FFB" w:rsidP="00BE2FFB">
            <w:pPr>
              <w:spacing w:line="240" w:lineRule="auto"/>
            </w:pPr>
          </w:p>
        </w:tc>
      </w:tr>
      <w:tr w:rsidR="00BE2FFB" w14:paraId="41CCC294" w14:textId="77777777" w:rsidTr="00BE2FFB">
        <w:tc>
          <w:tcPr>
            <w:tcW w:w="2394" w:type="dxa"/>
            <w:vAlign w:val="bottom"/>
          </w:tcPr>
          <w:p w14:paraId="55290072" w14:textId="2640C695" w:rsidR="00BE2FFB" w:rsidRPr="00BE2FFB" w:rsidRDefault="00BE2FFB" w:rsidP="00BE2FFB">
            <w:pPr>
              <w:spacing w:line="240" w:lineRule="auto"/>
            </w:pPr>
            <w:r w:rsidRPr="00BE2FFB">
              <w:t xml:space="preserve">Лопинавир 400 </w:t>
            </w:r>
            <w:r w:rsidRPr="00BE2FFB">
              <w:rPr>
                <w:lang w:val="en-US"/>
              </w:rPr>
              <w:t>mg</w:t>
            </w:r>
            <w:r w:rsidRPr="00BE2FFB">
              <w:rPr>
                <w:lang w:val="ru-RU"/>
              </w:rPr>
              <w:t xml:space="preserve"> </w:t>
            </w:r>
            <w:r w:rsidRPr="00BE2FFB">
              <w:t xml:space="preserve">два пъти дневно/ Ритонавир 100 </w:t>
            </w:r>
            <w:r w:rsidRPr="00BE2FFB">
              <w:rPr>
                <w:lang w:val="en-US"/>
              </w:rPr>
              <w:t>mg</w:t>
            </w:r>
            <w:r w:rsidRPr="00BE2FFB">
              <w:rPr>
                <w:lang w:val="ru-RU"/>
              </w:rPr>
              <w:t xml:space="preserve"> </w:t>
            </w:r>
            <w:r w:rsidRPr="00BE2FFB">
              <w:t>два пъти дневно, 14 дни</w:t>
            </w:r>
          </w:p>
        </w:tc>
        <w:tc>
          <w:tcPr>
            <w:tcW w:w="2394" w:type="dxa"/>
          </w:tcPr>
          <w:p w14:paraId="210307E8" w14:textId="1E0F0B30" w:rsidR="00BE2FFB" w:rsidRPr="00BE2FFB" w:rsidRDefault="00BE2FFB" w:rsidP="00BE2FFB">
            <w:pPr>
              <w:spacing w:line="240" w:lineRule="auto"/>
            </w:pPr>
            <w:r w:rsidRPr="00BE2FFB">
              <w:t xml:space="preserve">20 </w:t>
            </w:r>
            <w:r w:rsidRPr="00BE2FFB">
              <w:rPr>
                <w:lang w:val="en-US"/>
              </w:rPr>
              <w:t>mg</w:t>
            </w:r>
            <w:r w:rsidRPr="00BE2FFB">
              <w:rPr>
                <w:lang w:val="ru-RU"/>
              </w:rPr>
              <w:t xml:space="preserve"> </w:t>
            </w:r>
            <w:r w:rsidRPr="00BE2FFB">
              <w:t>веднъж дневно за 4 дни</w:t>
            </w:r>
          </w:p>
        </w:tc>
        <w:tc>
          <w:tcPr>
            <w:tcW w:w="2394" w:type="dxa"/>
          </w:tcPr>
          <w:p w14:paraId="0C5317BE" w14:textId="422CE7BC" w:rsidR="00BE2FFB" w:rsidRPr="00BE2FFB" w:rsidRDefault="00BE2FFB" w:rsidP="00BE2FFB">
            <w:pPr>
              <w:spacing w:line="240" w:lineRule="auto"/>
            </w:pPr>
            <w:r w:rsidRPr="00BE2FFB">
              <w:rPr>
                <w:lang w:val="en-US"/>
              </w:rPr>
              <w:t xml:space="preserve">↑ </w:t>
            </w:r>
            <w:r w:rsidRPr="00BE2FFB">
              <w:t>5,9 пъти</w:t>
            </w:r>
          </w:p>
        </w:tc>
        <w:tc>
          <w:tcPr>
            <w:tcW w:w="2394" w:type="dxa"/>
            <w:vMerge w:val="restart"/>
            <w:vAlign w:val="bottom"/>
          </w:tcPr>
          <w:p w14:paraId="4FC2F315" w14:textId="2E102E2B" w:rsidR="00BE2FFB" w:rsidRPr="00BE2FFB" w:rsidRDefault="00BE2FFB" w:rsidP="00BE2FFB">
            <w:r>
              <w:t xml:space="preserve">Когато </w:t>
            </w:r>
            <w:r w:rsidRPr="00BE2FFB">
              <w:t>едновременното</w:t>
            </w:r>
          </w:p>
          <w:p w14:paraId="04F45A07" w14:textId="2EC90D06" w:rsidR="00BE2FFB" w:rsidRPr="00BE2FFB" w:rsidRDefault="00BE2FFB" w:rsidP="00BE2FFB">
            <w:r w:rsidRPr="00BE2FFB">
              <w:t>прилагане с аторвастатин е необходимо, се препоръчват по-ниски поддържащи до</w:t>
            </w:r>
            <w:r>
              <w:t xml:space="preserve">зи на аторвастатин. При дози на </w:t>
            </w:r>
            <w:r w:rsidRPr="00BE2FFB">
              <w:t>аторвастатин</w:t>
            </w:r>
          </w:p>
          <w:p w14:paraId="6AC279EF" w14:textId="6504091C" w:rsidR="00BE2FFB" w:rsidRPr="00BE2FFB" w:rsidRDefault="00BE2FFB" w:rsidP="00BE2FFB">
            <w:r w:rsidRPr="00BE2FFB">
              <w:t xml:space="preserve">надвишаващи 20 </w:t>
            </w:r>
            <w:r w:rsidRPr="00BE2FFB">
              <w:rPr>
                <w:lang w:val="en-US"/>
              </w:rPr>
              <w:t>mg</w:t>
            </w:r>
            <w:r w:rsidRPr="00BE2FFB">
              <w:rPr>
                <w:lang w:val="ru-RU"/>
              </w:rPr>
              <w:t xml:space="preserve">, </w:t>
            </w:r>
            <w:r>
              <w:t xml:space="preserve">се препоръчва </w:t>
            </w:r>
            <w:r w:rsidRPr="00BE2FFB">
              <w:t>клинично</w:t>
            </w:r>
            <w:r>
              <w:t xml:space="preserve"> </w:t>
            </w:r>
            <w:r w:rsidRPr="00BE2FFB">
              <w:t>проследяване на пациентите.</w:t>
            </w:r>
          </w:p>
        </w:tc>
      </w:tr>
      <w:tr w:rsidR="00BE2FFB" w14:paraId="06BE67CB" w14:textId="77777777" w:rsidTr="00BE2FFB">
        <w:tc>
          <w:tcPr>
            <w:tcW w:w="2394" w:type="dxa"/>
          </w:tcPr>
          <w:p w14:paraId="67519229" w14:textId="074D262D" w:rsidR="00BE2FFB" w:rsidRDefault="00BE2FFB" w:rsidP="00BE2FFB">
            <w:r>
              <w:t xml:space="preserve">Кларитромицин 500 </w:t>
            </w:r>
            <w:r>
              <w:rPr>
                <w:lang w:val="en-US"/>
              </w:rPr>
              <w:t>mg</w:t>
            </w:r>
            <w:r w:rsidRPr="00BE2FFB">
              <w:rPr>
                <w:lang w:val="ru-RU"/>
              </w:rPr>
              <w:t xml:space="preserve"> </w:t>
            </w:r>
            <w:r>
              <w:t>два пъти дневно, 9 дни</w:t>
            </w:r>
          </w:p>
        </w:tc>
        <w:tc>
          <w:tcPr>
            <w:tcW w:w="2394" w:type="dxa"/>
          </w:tcPr>
          <w:p w14:paraId="3F612C66" w14:textId="35BE4CDD" w:rsidR="00BE2FFB" w:rsidRDefault="00BE2FFB" w:rsidP="00BE2FFB">
            <w:r>
              <w:t xml:space="preserve">80 </w:t>
            </w:r>
            <w:r>
              <w:rPr>
                <w:lang w:val="en-US"/>
              </w:rPr>
              <w:t>mg</w:t>
            </w:r>
            <w:r w:rsidRPr="00BE2FFB">
              <w:rPr>
                <w:lang w:val="ru-RU"/>
              </w:rPr>
              <w:t xml:space="preserve"> </w:t>
            </w:r>
            <w:r>
              <w:t>веднъж дневно за 8 дни</w:t>
            </w:r>
          </w:p>
        </w:tc>
        <w:tc>
          <w:tcPr>
            <w:tcW w:w="2394" w:type="dxa"/>
          </w:tcPr>
          <w:p w14:paraId="0DF1286A" w14:textId="60977CD2" w:rsidR="00BE2FFB" w:rsidRDefault="00BE2FFB" w:rsidP="00BE2FFB">
            <w:r>
              <w:rPr>
                <w:lang w:val="en-US"/>
              </w:rPr>
              <w:t>↑</w:t>
            </w:r>
            <w:r>
              <w:t xml:space="preserve"> 4,4 пъти</w:t>
            </w:r>
          </w:p>
        </w:tc>
        <w:tc>
          <w:tcPr>
            <w:tcW w:w="2394" w:type="dxa"/>
            <w:vMerge/>
          </w:tcPr>
          <w:p w14:paraId="77A81870" w14:textId="77777777" w:rsidR="00BE2FFB" w:rsidRDefault="00BE2FFB" w:rsidP="00BE2FFB">
            <w:pPr>
              <w:spacing w:line="240" w:lineRule="auto"/>
            </w:pPr>
          </w:p>
        </w:tc>
      </w:tr>
      <w:tr w:rsidR="00BE2FFB" w14:paraId="43872A6D" w14:textId="77777777" w:rsidTr="00BE2FFB">
        <w:tc>
          <w:tcPr>
            <w:tcW w:w="2394" w:type="dxa"/>
            <w:vAlign w:val="bottom"/>
          </w:tcPr>
          <w:p w14:paraId="565AAF73" w14:textId="77777777" w:rsidR="00BE2FFB" w:rsidRPr="00BE2FFB" w:rsidRDefault="00BE2FFB" w:rsidP="00BE2FFB">
            <w:r w:rsidRPr="00BE2FFB">
              <w:t xml:space="preserve">Саквинавир 400 </w:t>
            </w:r>
            <w:r w:rsidRPr="00BE2FFB">
              <w:rPr>
                <w:lang w:val="en-US"/>
              </w:rPr>
              <w:t>mg</w:t>
            </w:r>
            <w:r w:rsidRPr="00BE2FFB">
              <w:rPr>
                <w:lang w:val="ru-RU"/>
              </w:rPr>
              <w:t xml:space="preserve"> </w:t>
            </w:r>
            <w:r w:rsidRPr="00BE2FFB">
              <w:t xml:space="preserve">два пъти дневно/ Ритонавир (300 </w:t>
            </w:r>
            <w:r w:rsidRPr="00BE2FFB">
              <w:rPr>
                <w:lang w:val="en-US"/>
              </w:rPr>
              <w:t>mg</w:t>
            </w:r>
            <w:r w:rsidRPr="00BE2FFB">
              <w:rPr>
                <w:lang w:val="ru-RU"/>
              </w:rPr>
              <w:t xml:space="preserve"> </w:t>
            </w:r>
            <w:r w:rsidRPr="00BE2FFB">
              <w:t xml:space="preserve">два пъти дневно от дни 5-7, повишен до 400 </w:t>
            </w:r>
            <w:r w:rsidRPr="00BE2FFB">
              <w:rPr>
                <w:lang w:val="en-US"/>
              </w:rPr>
              <w:t>mg</w:t>
            </w:r>
            <w:r w:rsidRPr="00BE2FFB">
              <w:rPr>
                <w:lang w:val="ru-RU"/>
              </w:rPr>
              <w:t xml:space="preserve"> </w:t>
            </w:r>
            <w:r w:rsidRPr="00BE2FFB">
              <w:t xml:space="preserve">два пъти дневно на ден 8), дни 4-18, 30 </w:t>
            </w:r>
            <w:r w:rsidRPr="00BE2FFB">
              <w:rPr>
                <w:lang w:val="en-US"/>
              </w:rPr>
              <w:t>min</w:t>
            </w:r>
            <w:r w:rsidRPr="00BE2FFB">
              <w:rPr>
                <w:lang w:val="ru-RU"/>
              </w:rPr>
              <w:t xml:space="preserve"> </w:t>
            </w:r>
            <w:r w:rsidRPr="00BE2FFB">
              <w:t>след дозата</w:t>
            </w:r>
            <w:r w:rsidRPr="00BE2FFB">
              <w:tab/>
              <w:t>на</w:t>
            </w:r>
          </w:p>
          <w:p w14:paraId="51A087D3" w14:textId="7009A16C" w:rsidR="00BE2FFB" w:rsidRPr="00BE2FFB" w:rsidRDefault="00BE2FFB" w:rsidP="00BE2FFB">
            <w:pPr>
              <w:spacing w:line="240" w:lineRule="auto"/>
            </w:pPr>
            <w:r w:rsidRPr="00BE2FFB">
              <w:t>аторвастатин</w:t>
            </w:r>
          </w:p>
        </w:tc>
        <w:tc>
          <w:tcPr>
            <w:tcW w:w="2394" w:type="dxa"/>
          </w:tcPr>
          <w:p w14:paraId="16878285" w14:textId="3C82937C" w:rsidR="00BE2FFB" w:rsidRPr="00BE2FFB" w:rsidRDefault="00BE2FFB" w:rsidP="00BE2FFB">
            <w:pPr>
              <w:spacing w:line="240" w:lineRule="auto"/>
            </w:pPr>
            <w:r w:rsidRPr="00BE2FFB">
              <w:t xml:space="preserve">40 </w:t>
            </w:r>
            <w:r w:rsidRPr="00BE2FFB">
              <w:rPr>
                <w:lang w:val="en-US"/>
              </w:rPr>
              <w:t>mg</w:t>
            </w:r>
            <w:r w:rsidRPr="00BE2FFB">
              <w:rPr>
                <w:lang w:val="ru-RU"/>
              </w:rPr>
              <w:t xml:space="preserve"> </w:t>
            </w:r>
            <w:r w:rsidRPr="00BE2FFB">
              <w:t>веднъж дневно - за 4 дни</w:t>
            </w:r>
          </w:p>
        </w:tc>
        <w:tc>
          <w:tcPr>
            <w:tcW w:w="2394" w:type="dxa"/>
          </w:tcPr>
          <w:p w14:paraId="67A6EC20" w14:textId="7860E192" w:rsidR="00BE2FFB" w:rsidRPr="00BE2FFB" w:rsidRDefault="00BE2FFB" w:rsidP="00BE2FFB">
            <w:pPr>
              <w:spacing w:line="240" w:lineRule="auto"/>
            </w:pPr>
            <w:r w:rsidRPr="00BE2FFB">
              <w:rPr>
                <w:lang w:val="en-US"/>
              </w:rPr>
              <w:t xml:space="preserve">↑ </w:t>
            </w:r>
            <w:r w:rsidRPr="00BE2FFB">
              <w:t>3,9 пъти</w:t>
            </w:r>
          </w:p>
        </w:tc>
        <w:tc>
          <w:tcPr>
            <w:tcW w:w="2394" w:type="dxa"/>
            <w:vMerge w:val="restart"/>
          </w:tcPr>
          <w:p w14:paraId="37BAA2F6" w14:textId="6372ED4C" w:rsidR="00BE2FFB" w:rsidRPr="00BE2FFB" w:rsidRDefault="00BE2FFB" w:rsidP="00BE2FFB">
            <w:r>
              <w:t xml:space="preserve">Когато </w:t>
            </w:r>
            <w:r w:rsidRPr="00BE2FFB">
              <w:t>едновременното</w:t>
            </w:r>
          </w:p>
          <w:p w14:paraId="0E0A9A33" w14:textId="25E5DD66" w:rsidR="00BE2FFB" w:rsidRPr="00BE2FFB" w:rsidRDefault="00BE2FFB" w:rsidP="00BE2FFB">
            <w:r w:rsidRPr="00BE2FFB">
              <w:t>прилагане с аторвастатин е необходимо, се препоръчват по-ниски поддържащи до</w:t>
            </w:r>
            <w:r>
              <w:t xml:space="preserve">зи на аторвастатин. При дози на </w:t>
            </w:r>
            <w:r w:rsidRPr="00BE2FFB">
              <w:t>аторвастатин</w:t>
            </w:r>
          </w:p>
          <w:p w14:paraId="47CA6068" w14:textId="5DE78DCB" w:rsidR="00BE2FFB" w:rsidRPr="00BE2FFB" w:rsidRDefault="00BE2FFB" w:rsidP="00BE2FFB">
            <w:r w:rsidRPr="00BE2FFB">
              <w:t xml:space="preserve">надвишаващи 40 </w:t>
            </w:r>
            <w:r w:rsidRPr="00BE2FFB">
              <w:rPr>
                <w:lang w:val="en-US"/>
              </w:rPr>
              <w:t>mg</w:t>
            </w:r>
            <w:r w:rsidRPr="00BE2FFB">
              <w:rPr>
                <w:lang w:val="ru-RU"/>
              </w:rPr>
              <w:t xml:space="preserve">, </w:t>
            </w:r>
            <w:r>
              <w:t xml:space="preserve">се препоръчва </w:t>
            </w:r>
            <w:r w:rsidRPr="00BE2FFB">
              <w:t>клинично</w:t>
            </w:r>
          </w:p>
          <w:p w14:paraId="09BD703B" w14:textId="39E1535E" w:rsidR="00BE2FFB" w:rsidRPr="00BE2FFB" w:rsidRDefault="00BE2FFB" w:rsidP="00BE2FFB">
            <w:pPr>
              <w:spacing w:line="240" w:lineRule="auto"/>
            </w:pPr>
            <w:r w:rsidRPr="00BE2FFB">
              <w:lastRenderedPageBreak/>
              <w:t>проследяване на пациентите</w:t>
            </w:r>
          </w:p>
        </w:tc>
      </w:tr>
      <w:tr w:rsidR="00BE2FFB" w14:paraId="2C4D1B5F" w14:textId="77777777" w:rsidTr="00BE2FFB">
        <w:tc>
          <w:tcPr>
            <w:tcW w:w="2394" w:type="dxa"/>
            <w:vAlign w:val="bottom"/>
          </w:tcPr>
          <w:p w14:paraId="144811F8" w14:textId="03CA847D" w:rsidR="00BE2FFB" w:rsidRPr="00BE2FFB" w:rsidRDefault="00BE2FFB" w:rsidP="00BE2FFB">
            <w:r w:rsidRPr="00BE2FFB">
              <w:t xml:space="preserve">Дарунавир 300 </w:t>
            </w:r>
            <w:r w:rsidRPr="00BE2FFB">
              <w:rPr>
                <w:lang w:val="en-US"/>
              </w:rPr>
              <w:t>mg</w:t>
            </w:r>
            <w:r w:rsidRPr="00BE2FFB">
              <w:rPr>
                <w:lang w:val="ru-RU"/>
              </w:rPr>
              <w:t xml:space="preserve"> </w:t>
            </w:r>
            <w:r>
              <w:t xml:space="preserve">два пъти </w:t>
            </w:r>
            <w:r w:rsidRPr="00BE2FFB">
              <w:t>дневно/</w:t>
            </w:r>
          </w:p>
          <w:p w14:paraId="33736AC5" w14:textId="2BE62240" w:rsidR="00BE2FFB" w:rsidRPr="00BE2FFB" w:rsidRDefault="00BE2FFB" w:rsidP="00BE2FFB">
            <w:pPr>
              <w:spacing w:line="240" w:lineRule="auto"/>
            </w:pPr>
            <w:r w:rsidRPr="00BE2FFB">
              <w:t xml:space="preserve">Ритонавир 100 </w:t>
            </w:r>
            <w:r w:rsidRPr="00BE2FFB">
              <w:rPr>
                <w:lang w:val="en-US"/>
              </w:rPr>
              <w:t>mg</w:t>
            </w:r>
            <w:r w:rsidRPr="00BE2FFB">
              <w:rPr>
                <w:lang w:val="ru-RU"/>
              </w:rPr>
              <w:t xml:space="preserve"> </w:t>
            </w:r>
            <w:r w:rsidRPr="00BE2FFB">
              <w:t>два пъти дневно, 9 дни</w:t>
            </w:r>
          </w:p>
        </w:tc>
        <w:tc>
          <w:tcPr>
            <w:tcW w:w="2394" w:type="dxa"/>
          </w:tcPr>
          <w:p w14:paraId="6DD3D2DE" w14:textId="36BCABD8" w:rsidR="00BE2FFB" w:rsidRPr="00BE2FFB" w:rsidRDefault="00BE2FFB" w:rsidP="00BE2FFB">
            <w:pPr>
              <w:spacing w:line="240" w:lineRule="auto"/>
            </w:pPr>
            <w:r w:rsidRPr="00BE2FFB">
              <w:t xml:space="preserve">10 </w:t>
            </w:r>
            <w:r w:rsidRPr="00BE2FFB">
              <w:rPr>
                <w:lang w:val="en-US"/>
              </w:rPr>
              <w:t>mg</w:t>
            </w:r>
            <w:r w:rsidRPr="00BE2FFB">
              <w:rPr>
                <w:lang w:val="ru-RU"/>
              </w:rPr>
              <w:t xml:space="preserve"> </w:t>
            </w:r>
            <w:r w:rsidRPr="00BE2FFB">
              <w:t>веднъж дневно за 4 дни</w:t>
            </w:r>
          </w:p>
        </w:tc>
        <w:tc>
          <w:tcPr>
            <w:tcW w:w="2394" w:type="dxa"/>
          </w:tcPr>
          <w:p w14:paraId="724D7D8A" w14:textId="7F1958F4" w:rsidR="00BE2FFB" w:rsidRPr="00BE2FFB" w:rsidRDefault="00BE2FFB" w:rsidP="00BE2FFB">
            <w:pPr>
              <w:spacing w:line="240" w:lineRule="auto"/>
            </w:pPr>
            <w:r w:rsidRPr="00BE2FFB">
              <w:rPr>
                <w:lang w:val="en-US"/>
              </w:rPr>
              <w:t>↑</w:t>
            </w:r>
            <w:r w:rsidRPr="00BE2FFB">
              <w:t xml:space="preserve"> 3,3 пъти</w:t>
            </w:r>
          </w:p>
        </w:tc>
        <w:tc>
          <w:tcPr>
            <w:tcW w:w="2394" w:type="dxa"/>
            <w:vMerge/>
          </w:tcPr>
          <w:p w14:paraId="21D610BE" w14:textId="77777777" w:rsidR="00BE2FFB" w:rsidRPr="00BE2FFB" w:rsidRDefault="00BE2FFB" w:rsidP="00BE2FFB">
            <w:pPr>
              <w:spacing w:line="240" w:lineRule="auto"/>
            </w:pPr>
          </w:p>
        </w:tc>
      </w:tr>
      <w:tr w:rsidR="00BE2FFB" w14:paraId="0DA364F6" w14:textId="77777777" w:rsidTr="00BE2FFB">
        <w:tc>
          <w:tcPr>
            <w:tcW w:w="2394" w:type="dxa"/>
            <w:vAlign w:val="bottom"/>
          </w:tcPr>
          <w:p w14:paraId="251FD6E4" w14:textId="0A768088" w:rsidR="00BE2FFB" w:rsidRPr="00BE2FFB" w:rsidRDefault="00BE2FFB" w:rsidP="00BE2FFB">
            <w:pPr>
              <w:spacing w:line="240" w:lineRule="auto"/>
            </w:pPr>
            <w:r w:rsidRPr="00BE2FFB">
              <w:lastRenderedPageBreak/>
              <w:t xml:space="preserve">Итраконазол 200 </w:t>
            </w:r>
            <w:r w:rsidRPr="00BE2FFB">
              <w:rPr>
                <w:lang w:val="en-US"/>
              </w:rPr>
              <w:t>mg</w:t>
            </w:r>
            <w:r w:rsidRPr="00BE2FFB">
              <w:rPr>
                <w:lang w:val="ru-RU"/>
              </w:rPr>
              <w:t xml:space="preserve"> </w:t>
            </w:r>
            <w:r w:rsidRPr="00BE2FFB">
              <w:t>веднъж дневно, 4 дни</w:t>
            </w:r>
          </w:p>
        </w:tc>
        <w:tc>
          <w:tcPr>
            <w:tcW w:w="2394" w:type="dxa"/>
            <w:vAlign w:val="bottom"/>
          </w:tcPr>
          <w:p w14:paraId="5183B854" w14:textId="7F2D867E" w:rsidR="00BE2FFB" w:rsidRPr="00BE2FFB" w:rsidRDefault="00BE2FFB" w:rsidP="00BE2FFB">
            <w:pPr>
              <w:spacing w:line="240" w:lineRule="auto"/>
            </w:pPr>
            <w:r w:rsidRPr="00BE2FFB">
              <w:t xml:space="preserve">40 </w:t>
            </w:r>
            <w:r w:rsidRPr="00BE2FFB">
              <w:rPr>
                <w:lang w:val="en-US"/>
              </w:rPr>
              <w:t xml:space="preserve">mg </w:t>
            </w:r>
            <w:r w:rsidRPr="00BE2FFB">
              <w:t>еднократна доза</w:t>
            </w:r>
          </w:p>
        </w:tc>
        <w:tc>
          <w:tcPr>
            <w:tcW w:w="2394" w:type="dxa"/>
          </w:tcPr>
          <w:p w14:paraId="45433DA4" w14:textId="108D8C9B" w:rsidR="00BE2FFB" w:rsidRPr="00BE2FFB" w:rsidRDefault="00BE2FFB" w:rsidP="00BE2FFB">
            <w:pPr>
              <w:spacing w:line="240" w:lineRule="auto"/>
            </w:pPr>
            <w:r w:rsidRPr="00BE2FFB">
              <w:rPr>
                <w:lang w:val="en-US"/>
              </w:rPr>
              <w:t>↑</w:t>
            </w:r>
            <w:r w:rsidRPr="00BE2FFB">
              <w:t xml:space="preserve"> 3,3 пъти</w:t>
            </w:r>
          </w:p>
        </w:tc>
        <w:tc>
          <w:tcPr>
            <w:tcW w:w="2394" w:type="dxa"/>
            <w:vMerge/>
          </w:tcPr>
          <w:p w14:paraId="3FA08F39" w14:textId="77777777" w:rsidR="00BE2FFB" w:rsidRPr="00BE2FFB" w:rsidRDefault="00BE2FFB" w:rsidP="00BE2FFB">
            <w:pPr>
              <w:spacing w:line="240" w:lineRule="auto"/>
            </w:pPr>
          </w:p>
        </w:tc>
      </w:tr>
      <w:tr w:rsidR="00BE2FFB" w14:paraId="1E8799DF" w14:textId="77777777" w:rsidTr="00BE2FFB">
        <w:tc>
          <w:tcPr>
            <w:tcW w:w="2394" w:type="dxa"/>
            <w:vAlign w:val="bottom"/>
          </w:tcPr>
          <w:p w14:paraId="5064F062" w14:textId="2157E177" w:rsidR="00BE2FFB" w:rsidRPr="00BE2FFB" w:rsidRDefault="00BE2FFB" w:rsidP="00BE2FFB">
            <w:pPr>
              <w:spacing w:line="240" w:lineRule="auto"/>
            </w:pPr>
            <w:r w:rsidRPr="00BE2FFB">
              <w:t xml:space="preserve">Фозампренавир 700 </w:t>
            </w:r>
            <w:r w:rsidRPr="00BE2FFB">
              <w:rPr>
                <w:lang w:val="en-US"/>
              </w:rPr>
              <w:t>mg</w:t>
            </w:r>
            <w:r w:rsidRPr="00BE2FFB">
              <w:rPr>
                <w:lang w:val="ru-RU"/>
              </w:rPr>
              <w:t xml:space="preserve"> </w:t>
            </w:r>
            <w:r w:rsidRPr="00BE2FFB">
              <w:t xml:space="preserve">два пъти дневно/ Ритонавир 100 </w:t>
            </w:r>
            <w:r w:rsidRPr="00BE2FFB">
              <w:rPr>
                <w:lang w:val="en-US"/>
              </w:rPr>
              <w:t>mg</w:t>
            </w:r>
            <w:r w:rsidRPr="00BE2FFB">
              <w:rPr>
                <w:lang w:val="ru-RU"/>
              </w:rPr>
              <w:t xml:space="preserve"> </w:t>
            </w:r>
            <w:r w:rsidRPr="00BE2FFB">
              <w:t>два пъти дневно, 14 дни</w:t>
            </w:r>
          </w:p>
        </w:tc>
        <w:tc>
          <w:tcPr>
            <w:tcW w:w="2394" w:type="dxa"/>
          </w:tcPr>
          <w:p w14:paraId="4B66B039" w14:textId="43714CD3" w:rsidR="00BE2FFB" w:rsidRPr="00BE2FFB" w:rsidRDefault="00BE2FFB" w:rsidP="00BE2FFB">
            <w:pPr>
              <w:spacing w:line="240" w:lineRule="auto"/>
            </w:pPr>
            <w:r w:rsidRPr="00BE2FFB">
              <w:t xml:space="preserve">10 </w:t>
            </w:r>
            <w:r w:rsidRPr="00BE2FFB">
              <w:rPr>
                <w:lang w:val="en-US"/>
              </w:rPr>
              <w:t>mg</w:t>
            </w:r>
            <w:r w:rsidRPr="00BE2FFB">
              <w:rPr>
                <w:lang w:val="ru-RU"/>
              </w:rPr>
              <w:t xml:space="preserve"> </w:t>
            </w:r>
            <w:r w:rsidRPr="00BE2FFB">
              <w:t>веднъж дневно за 4 дни</w:t>
            </w:r>
          </w:p>
        </w:tc>
        <w:tc>
          <w:tcPr>
            <w:tcW w:w="2394" w:type="dxa"/>
          </w:tcPr>
          <w:p w14:paraId="3D8365A1" w14:textId="6C9D1623" w:rsidR="00BE2FFB" w:rsidRPr="00BE2FFB" w:rsidRDefault="00BE2FFB" w:rsidP="00BE2FFB">
            <w:pPr>
              <w:spacing w:line="240" w:lineRule="auto"/>
            </w:pPr>
            <w:r w:rsidRPr="00BE2FFB">
              <w:rPr>
                <w:lang w:val="en-US"/>
              </w:rPr>
              <w:t>↑</w:t>
            </w:r>
            <w:r w:rsidRPr="00BE2FFB">
              <w:t xml:space="preserve"> 2,5 пъти</w:t>
            </w:r>
          </w:p>
        </w:tc>
        <w:tc>
          <w:tcPr>
            <w:tcW w:w="2394" w:type="dxa"/>
            <w:vMerge/>
          </w:tcPr>
          <w:p w14:paraId="74DEB30B" w14:textId="77777777" w:rsidR="00BE2FFB" w:rsidRPr="00BE2FFB" w:rsidRDefault="00BE2FFB" w:rsidP="00BE2FFB">
            <w:pPr>
              <w:spacing w:line="240" w:lineRule="auto"/>
            </w:pPr>
          </w:p>
        </w:tc>
      </w:tr>
      <w:tr w:rsidR="00BE2FFB" w14:paraId="7F642AB9" w14:textId="77777777" w:rsidTr="00BE2FFB">
        <w:tc>
          <w:tcPr>
            <w:tcW w:w="2394" w:type="dxa"/>
            <w:vAlign w:val="bottom"/>
          </w:tcPr>
          <w:p w14:paraId="5326B0A4" w14:textId="61673499" w:rsidR="00BE2FFB" w:rsidRPr="00BE2FFB" w:rsidRDefault="00BE2FFB" w:rsidP="00BE2FFB">
            <w:pPr>
              <w:spacing w:line="240" w:lineRule="auto"/>
            </w:pPr>
            <w:r w:rsidRPr="00BE2FFB">
              <w:t xml:space="preserve">Фозампренавир 1400 </w:t>
            </w:r>
            <w:r w:rsidRPr="00BE2FFB">
              <w:rPr>
                <w:lang w:val="en-US"/>
              </w:rPr>
              <w:t>mg</w:t>
            </w:r>
            <w:r w:rsidRPr="00BE2FFB">
              <w:rPr>
                <w:lang w:val="ru-RU"/>
              </w:rPr>
              <w:t xml:space="preserve"> </w:t>
            </w:r>
            <w:r w:rsidRPr="00BE2FFB">
              <w:t>два пъти дневно, 14 дни</w:t>
            </w:r>
          </w:p>
        </w:tc>
        <w:tc>
          <w:tcPr>
            <w:tcW w:w="2394" w:type="dxa"/>
          </w:tcPr>
          <w:p w14:paraId="0E535900" w14:textId="4F59C366" w:rsidR="00BE2FFB" w:rsidRPr="00BE2FFB" w:rsidRDefault="00BE2FFB" w:rsidP="00BE2FFB">
            <w:pPr>
              <w:spacing w:line="240" w:lineRule="auto"/>
            </w:pPr>
            <w:r w:rsidRPr="00BE2FFB">
              <w:t xml:space="preserve">10 </w:t>
            </w:r>
            <w:r w:rsidRPr="00BE2FFB">
              <w:rPr>
                <w:lang w:val="en-US"/>
              </w:rPr>
              <w:t>mg</w:t>
            </w:r>
            <w:r w:rsidRPr="00BE2FFB">
              <w:rPr>
                <w:lang w:val="ru-RU"/>
              </w:rPr>
              <w:t xml:space="preserve"> </w:t>
            </w:r>
            <w:r w:rsidRPr="00BE2FFB">
              <w:t>веднъж дневно за 4 дни</w:t>
            </w:r>
          </w:p>
        </w:tc>
        <w:tc>
          <w:tcPr>
            <w:tcW w:w="2394" w:type="dxa"/>
          </w:tcPr>
          <w:p w14:paraId="2E8A0B2D" w14:textId="41A9F686" w:rsidR="00BE2FFB" w:rsidRPr="00BE2FFB" w:rsidRDefault="00BE2FFB" w:rsidP="00BE2FFB">
            <w:pPr>
              <w:spacing w:line="240" w:lineRule="auto"/>
            </w:pPr>
            <w:r w:rsidRPr="00BE2FFB">
              <w:rPr>
                <w:lang w:val="en-US"/>
              </w:rPr>
              <w:t>↑</w:t>
            </w:r>
            <w:r w:rsidRPr="00BE2FFB">
              <w:t xml:space="preserve"> 2,3 пъти</w:t>
            </w:r>
          </w:p>
        </w:tc>
        <w:tc>
          <w:tcPr>
            <w:tcW w:w="2394" w:type="dxa"/>
            <w:vMerge/>
          </w:tcPr>
          <w:p w14:paraId="00DB7D57" w14:textId="77777777" w:rsidR="00BE2FFB" w:rsidRPr="00BE2FFB" w:rsidRDefault="00BE2FFB" w:rsidP="00BE2FFB">
            <w:pPr>
              <w:spacing w:line="240" w:lineRule="auto"/>
            </w:pPr>
          </w:p>
        </w:tc>
      </w:tr>
      <w:tr w:rsidR="00BE2FFB" w14:paraId="14FD15E0" w14:textId="77777777" w:rsidTr="00BE2FFB">
        <w:tc>
          <w:tcPr>
            <w:tcW w:w="2394" w:type="dxa"/>
            <w:vAlign w:val="bottom"/>
          </w:tcPr>
          <w:p w14:paraId="40C7FD49" w14:textId="30633DAF" w:rsidR="00BE2FFB" w:rsidRPr="00BE2FFB" w:rsidRDefault="00BE2FFB" w:rsidP="00BE2FFB">
            <w:pPr>
              <w:spacing w:line="240" w:lineRule="auto"/>
            </w:pPr>
            <w:r w:rsidRPr="00BE2FFB">
              <w:t xml:space="preserve">Нелфинавир 1250 </w:t>
            </w:r>
            <w:r w:rsidRPr="00BE2FFB">
              <w:rPr>
                <w:lang w:val="en-US"/>
              </w:rPr>
              <w:t>mg</w:t>
            </w:r>
            <w:r w:rsidRPr="00BE2FFB">
              <w:rPr>
                <w:lang w:val="ru-RU"/>
              </w:rPr>
              <w:t xml:space="preserve"> </w:t>
            </w:r>
            <w:r w:rsidRPr="00BE2FFB">
              <w:t>два пъти дневно, 14 дни</w:t>
            </w:r>
          </w:p>
        </w:tc>
        <w:tc>
          <w:tcPr>
            <w:tcW w:w="2394" w:type="dxa"/>
          </w:tcPr>
          <w:p w14:paraId="534CA51F" w14:textId="6A423598" w:rsidR="00BE2FFB" w:rsidRPr="00BE2FFB" w:rsidRDefault="00BE2FFB" w:rsidP="00BE2FFB">
            <w:pPr>
              <w:spacing w:line="240" w:lineRule="auto"/>
            </w:pPr>
            <w:r w:rsidRPr="00BE2FFB">
              <w:t xml:space="preserve">10 </w:t>
            </w:r>
            <w:r w:rsidRPr="00BE2FFB">
              <w:rPr>
                <w:lang w:val="en-US"/>
              </w:rPr>
              <w:t>mg</w:t>
            </w:r>
            <w:r w:rsidRPr="00BE2FFB">
              <w:rPr>
                <w:lang w:val="ru-RU"/>
              </w:rPr>
              <w:t xml:space="preserve"> </w:t>
            </w:r>
            <w:r w:rsidRPr="00BE2FFB">
              <w:t>веднъж дневно за 28 дни</w:t>
            </w:r>
          </w:p>
        </w:tc>
        <w:tc>
          <w:tcPr>
            <w:tcW w:w="2394" w:type="dxa"/>
          </w:tcPr>
          <w:p w14:paraId="3E677AAB" w14:textId="090EEBF4" w:rsidR="00BE2FFB" w:rsidRPr="00BE2FFB" w:rsidRDefault="00BE2FFB" w:rsidP="00BE2FFB">
            <w:pPr>
              <w:spacing w:line="240" w:lineRule="auto"/>
            </w:pPr>
            <w:r w:rsidRPr="00BE2FFB">
              <w:rPr>
                <w:lang w:val="en-US"/>
              </w:rPr>
              <w:t>↑</w:t>
            </w:r>
            <w:r w:rsidRPr="00BE2FFB">
              <w:t xml:space="preserve"> 1,7 пъти</w:t>
            </w:r>
          </w:p>
        </w:tc>
        <w:tc>
          <w:tcPr>
            <w:tcW w:w="2394" w:type="dxa"/>
          </w:tcPr>
          <w:p w14:paraId="22D9B4E2" w14:textId="1C7E9A0D" w:rsidR="00BE2FFB" w:rsidRPr="00BE2FFB" w:rsidRDefault="00BE2FFB" w:rsidP="00BE2FFB">
            <w:pPr>
              <w:spacing w:line="240" w:lineRule="auto"/>
            </w:pPr>
            <w:r w:rsidRPr="00BE2FFB">
              <w:t>Няма специални препоръки</w:t>
            </w:r>
          </w:p>
        </w:tc>
      </w:tr>
      <w:tr w:rsidR="00BE2FFB" w14:paraId="72A6A3B2" w14:textId="77777777" w:rsidTr="00BE2FFB">
        <w:tc>
          <w:tcPr>
            <w:tcW w:w="2394" w:type="dxa"/>
            <w:vAlign w:val="bottom"/>
          </w:tcPr>
          <w:p w14:paraId="4C3CE8B3" w14:textId="45024469" w:rsidR="00BE2FFB" w:rsidRPr="00BE2FFB" w:rsidRDefault="00BE2FFB" w:rsidP="00BE2FFB">
            <w:r w:rsidRPr="00BE2FFB">
              <w:t xml:space="preserve">Сок от грейпфрут, 240 </w:t>
            </w:r>
            <w:r w:rsidRPr="00BE2FFB">
              <w:rPr>
                <w:lang w:val="en-US"/>
              </w:rPr>
              <w:t>ml</w:t>
            </w:r>
            <w:r w:rsidRPr="00BE2FFB">
              <w:rPr>
                <w:lang w:val="ru-RU"/>
              </w:rPr>
              <w:t xml:space="preserve"> </w:t>
            </w:r>
            <w:r w:rsidRPr="00BE2FFB">
              <w:t>веднъж</w:t>
            </w:r>
            <w:r>
              <w:t xml:space="preserve"> </w:t>
            </w:r>
            <w:r w:rsidRPr="00BE2FFB">
              <w:t>дневно*</w:t>
            </w:r>
          </w:p>
        </w:tc>
        <w:tc>
          <w:tcPr>
            <w:tcW w:w="2394" w:type="dxa"/>
            <w:vAlign w:val="bottom"/>
          </w:tcPr>
          <w:p w14:paraId="5DC9B8A8" w14:textId="77777777" w:rsidR="00BE2FFB" w:rsidRPr="00BE2FFB" w:rsidRDefault="00BE2FFB" w:rsidP="00BE2FFB">
            <w:r w:rsidRPr="00BE2FFB">
              <w:t xml:space="preserve">40 </w:t>
            </w:r>
            <w:r w:rsidRPr="00BE2FFB">
              <w:rPr>
                <w:lang w:val="en-US"/>
              </w:rPr>
              <w:t xml:space="preserve">mg, </w:t>
            </w:r>
            <w:r w:rsidRPr="00BE2FFB">
              <w:t>еднократна</w:t>
            </w:r>
          </w:p>
          <w:p w14:paraId="57B7E8F4" w14:textId="1EBDF2A7" w:rsidR="00BE2FFB" w:rsidRPr="00BE2FFB" w:rsidRDefault="00BE2FFB" w:rsidP="00BE2FFB">
            <w:pPr>
              <w:spacing w:line="240" w:lineRule="auto"/>
            </w:pPr>
            <w:r w:rsidRPr="00BE2FFB">
              <w:t>доза</w:t>
            </w:r>
          </w:p>
        </w:tc>
        <w:tc>
          <w:tcPr>
            <w:tcW w:w="2394" w:type="dxa"/>
          </w:tcPr>
          <w:p w14:paraId="4570AEE2" w14:textId="7812C08A" w:rsidR="00BE2FFB" w:rsidRPr="00BE2FFB" w:rsidRDefault="00BE2FFB" w:rsidP="00BE2FFB">
            <w:pPr>
              <w:spacing w:line="240" w:lineRule="auto"/>
            </w:pPr>
            <w:r w:rsidRPr="00BE2FFB">
              <w:rPr>
                <w:lang w:val="en-US"/>
              </w:rPr>
              <w:t>↑</w:t>
            </w:r>
            <w:r w:rsidRPr="00BE2FFB">
              <w:t xml:space="preserve"> 37%</w:t>
            </w:r>
          </w:p>
        </w:tc>
        <w:tc>
          <w:tcPr>
            <w:tcW w:w="2394" w:type="dxa"/>
            <w:vAlign w:val="bottom"/>
          </w:tcPr>
          <w:p w14:paraId="0271601A" w14:textId="771430EC" w:rsidR="00BE2FFB" w:rsidRPr="00BE2FFB" w:rsidRDefault="00BE2FFB" w:rsidP="00BE2FFB">
            <w:r>
              <w:t xml:space="preserve">Не се </w:t>
            </w:r>
            <w:r w:rsidRPr="00BE2FFB">
              <w:t>препоръчва</w:t>
            </w:r>
          </w:p>
          <w:p w14:paraId="0EF1F091" w14:textId="1577CA10" w:rsidR="00BE2FFB" w:rsidRPr="00BE2FFB" w:rsidRDefault="00BE2FFB" w:rsidP="00BE2FFB">
            <w:pPr>
              <w:rPr>
                <w:rFonts w:ascii="Times New Roman" w:eastAsia="Times New Roman" w:hAnsi="Times New Roman" w:cs="Times New Roman"/>
                <w:sz w:val="24"/>
                <w:szCs w:val="24"/>
              </w:rPr>
            </w:pPr>
            <w:r w:rsidRPr="00BE2FFB">
              <w:t>едновременния</w:t>
            </w:r>
            <w:r w:rsidRPr="00BE2FFB">
              <w:rPr>
                <w:lang w:val="ru-RU"/>
              </w:rPr>
              <w:t xml:space="preserve"> </w:t>
            </w:r>
            <w:r w:rsidRPr="00BE2FFB">
              <w:t>прием на</w:t>
            </w:r>
            <w:r>
              <w:t xml:space="preserve"> </w:t>
            </w:r>
            <w:r w:rsidRPr="00BE2FFB">
              <w:rPr>
                <w:lang w:eastAsia="bg-BG"/>
              </w:rPr>
              <w:t>големи количества сок от грейпфрут и аторвастатин</w:t>
            </w:r>
          </w:p>
        </w:tc>
      </w:tr>
      <w:tr w:rsidR="00BE2FFB" w14:paraId="1F1BA3F3" w14:textId="77777777" w:rsidTr="00BE2FFB">
        <w:tc>
          <w:tcPr>
            <w:tcW w:w="2394" w:type="dxa"/>
          </w:tcPr>
          <w:p w14:paraId="1C54E751" w14:textId="77777777" w:rsidR="00BE2FFB" w:rsidRPr="00BE2FFB" w:rsidRDefault="00BE2FFB" w:rsidP="00BE2FFB">
            <w:r w:rsidRPr="00BE2FFB">
              <w:t>Дилтиазем</w:t>
            </w:r>
            <w:r w:rsidRPr="00BE2FFB">
              <w:tab/>
              <w:t>240</w:t>
            </w:r>
          </w:p>
          <w:p w14:paraId="7DE2C644" w14:textId="003ACF51" w:rsidR="00BE2FFB" w:rsidRPr="00BE2FFB" w:rsidRDefault="00BE2FFB" w:rsidP="00BE2FFB">
            <w:pPr>
              <w:spacing w:line="240" w:lineRule="auto"/>
            </w:pPr>
            <w:r w:rsidRPr="00BE2FFB">
              <w:t>изведнъж дневно, 28 дни</w:t>
            </w:r>
          </w:p>
        </w:tc>
        <w:tc>
          <w:tcPr>
            <w:tcW w:w="2394" w:type="dxa"/>
          </w:tcPr>
          <w:p w14:paraId="7FDD2067" w14:textId="6B301570" w:rsidR="00BE2FFB" w:rsidRPr="00BE2FFB" w:rsidRDefault="00BE2FFB" w:rsidP="00BE2FFB">
            <w:pPr>
              <w:spacing w:line="240" w:lineRule="auto"/>
            </w:pPr>
            <w:r w:rsidRPr="00BE2FFB">
              <w:t xml:space="preserve">40 </w:t>
            </w:r>
            <w:r w:rsidRPr="00BE2FFB">
              <w:rPr>
                <w:lang w:val="en-US"/>
              </w:rPr>
              <w:t xml:space="preserve">mg, </w:t>
            </w:r>
            <w:r w:rsidRPr="00BE2FFB">
              <w:t>еднократна доза</w:t>
            </w:r>
          </w:p>
        </w:tc>
        <w:tc>
          <w:tcPr>
            <w:tcW w:w="2394" w:type="dxa"/>
          </w:tcPr>
          <w:p w14:paraId="6130F971" w14:textId="2EB360AD" w:rsidR="00BE2FFB" w:rsidRPr="00BE2FFB" w:rsidRDefault="00BE2FFB" w:rsidP="00BE2FFB">
            <w:pPr>
              <w:spacing w:line="240" w:lineRule="auto"/>
            </w:pPr>
            <w:r w:rsidRPr="00BE2FFB">
              <w:t>↑ 51%</w:t>
            </w:r>
          </w:p>
        </w:tc>
        <w:tc>
          <w:tcPr>
            <w:tcW w:w="2394" w:type="dxa"/>
          </w:tcPr>
          <w:p w14:paraId="2EDE3ECA" w14:textId="32909FCB" w:rsidR="00BE2FFB" w:rsidRPr="00BE2FFB" w:rsidRDefault="00BE2FFB" w:rsidP="00BE2FFB">
            <w:pPr>
              <w:spacing w:line="240" w:lineRule="auto"/>
            </w:pPr>
            <w:r w:rsidRPr="00BE2FFB">
              <w:t>След започването на терапията или след промяна на дозировката на дилтиазем, се препоръчва клинично проследяване на пациентите.</w:t>
            </w:r>
          </w:p>
        </w:tc>
      </w:tr>
      <w:tr w:rsidR="00BE2FFB" w14:paraId="71AFCDA9" w14:textId="77777777" w:rsidTr="00BE2FFB">
        <w:tc>
          <w:tcPr>
            <w:tcW w:w="2394" w:type="dxa"/>
          </w:tcPr>
          <w:p w14:paraId="026D6F95" w14:textId="714F0B81" w:rsidR="00BE2FFB" w:rsidRPr="00BE2FFB" w:rsidRDefault="00BE2FFB" w:rsidP="00BE2FFB">
            <w:pPr>
              <w:spacing w:line="240" w:lineRule="auto"/>
            </w:pPr>
            <w:r w:rsidRPr="00BE2FFB">
              <w:t xml:space="preserve">Еритромицин 500 </w:t>
            </w:r>
            <w:r w:rsidRPr="00BE2FFB">
              <w:rPr>
                <w:lang w:val="en-US"/>
              </w:rPr>
              <w:t>mg</w:t>
            </w:r>
            <w:r w:rsidRPr="00BE2FFB">
              <w:rPr>
                <w:lang w:val="ru-RU"/>
              </w:rPr>
              <w:t xml:space="preserve"> </w:t>
            </w:r>
            <w:r w:rsidRPr="00BE2FFB">
              <w:t>четири пъти дневно, 7 дни</w:t>
            </w:r>
          </w:p>
        </w:tc>
        <w:tc>
          <w:tcPr>
            <w:tcW w:w="2394" w:type="dxa"/>
          </w:tcPr>
          <w:p w14:paraId="3B5E537D" w14:textId="00794F20" w:rsidR="00BE2FFB" w:rsidRPr="00BE2FFB" w:rsidRDefault="00BE2FFB" w:rsidP="00BE2FFB">
            <w:pPr>
              <w:spacing w:line="240" w:lineRule="auto"/>
            </w:pPr>
            <w:r w:rsidRPr="00BE2FFB">
              <w:t xml:space="preserve">10 </w:t>
            </w:r>
            <w:r w:rsidRPr="00BE2FFB">
              <w:rPr>
                <w:lang w:val="en-US"/>
              </w:rPr>
              <w:t xml:space="preserve">mg, </w:t>
            </w:r>
            <w:r w:rsidRPr="00BE2FFB">
              <w:t>еднократна доза</w:t>
            </w:r>
          </w:p>
        </w:tc>
        <w:tc>
          <w:tcPr>
            <w:tcW w:w="2394" w:type="dxa"/>
          </w:tcPr>
          <w:p w14:paraId="48DD2A75" w14:textId="70D9E8D3" w:rsidR="00BE2FFB" w:rsidRPr="00BE2FFB" w:rsidRDefault="00BE2FFB" w:rsidP="00BE2FFB">
            <w:r w:rsidRPr="00BE2FFB">
              <w:t>↑ 33%</w:t>
            </w:r>
            <w:r w:rsidRPr="00BE2FFB">
              <w:rPr>
                <w:rFonts w:ascii="Symbol" w:hAnsi="Symbol" w:cs="Symbol"/>
                <w:vertAlign w:val="superscript"/>
                <w:lang w:val="en-US"/>
              </w:rPr>
              <w:t></w:t>
            </w:r>
            <w:r w:rsidRPr="00BE2FFB">
              <w:rPr>
                <w:rFonts w:ascii="Symbol" w:hAnsi="Symbol" w:cs="Symbol"/>
                <w:vertAlign w:val="superscript"/>
                <w:lang w:val="en-US"/>
              </w:rPr>
              <w:t></w:t>
            </w:r>
          </w:p>
          <w:p w14:paraId="2CB5AA45" w14:textId="77777777" w:rsidR="00BE2FFB" w:rsidRPr="00BE2FFB" w:rsidRDefault="00BE2FFB" w:rsidP="00BE2FFB">
            <w:pPr>
              <w:spacing w:line="240" w:lineRule="auto"/>
            </w:pPr>
          </w:p>
        </w:tc>
        <w:tc>
          <w:tcPr>
            <w:tcW w:w="2394" w:type="dxa"/>
          </w:tcPr>
          <w:p w14:paraId="5051EAF6" w14:textId="67B2AE4F" w:rsidR="00BE2FFB" w:rsidRPr="00BE2FFB" w:rsidRDefault="00BE2FFB" w:rsidP="00BE2FFB">
            <w:pPr>
              <w:spacing w:line="240" w:lineRule="auto"/>
            </w:pPr>
            <w:r w:rsidRPr="00BE2FFB">
              <w:t>Препоръчва се по-ниска максимална доза и клинично проследяване на пациентите.</w:t>
            </w:r>
          </w:p>
        </w:tc>
      </w:tr>
      <w:tr w:rsidR="00BE2FFB" w14:paraId="3A263CFE" w14:textId="77777777" w:rsidTr="00BE2FFB">
        <w:tc>
          <w:tcPr>
            <w:tcW w:w="2394" w:type="dxa"/>
          </w:tcPr>
          <w:p w14:paraId="0071B4A0" w14:textId="4CD5EFE7" w:rsidR="00BE2FFB" w:rsidRPr="00BE2FFB" w:rsidRDefault="00BE2FFB" w:rsidP="00BE2FFB">
            <w:pPr>
              <w:spacing w:line="240" w:lineRule="auto"/>
            </w:pPr>
            <w:r w:rsidRPr="00BE2FFB">
              <w:t xml:space="preserve">Амлодипин 10 </w:t>
            </w:r>
            <w:r w:rsidRPr="00BE2FFB">
              <w:rPr>
                <w:i/>
                <w:iCs/>
                <w:lang w:val="en-US"/>
              </w:rPr>
              <w:t xml:space="preserve">mg, </w:t>
            </w:r>
            <w:r w:rsidRPr="00BE2FFB">
              <w:t>еднократна доза</w:t>
            </w:r>
          </w:p>
        </w:tc>
        <w:tc>
          <w:tcPr>
            <w:tcW w:w="2394" w:type="dxa"/>
          </w:tcPr>
          <w:p w14:paraId="252B04B7" w14:textId="46615DA4" w:rsidR="00BE2FFB" w:rsidRPr="00BE2FFB" w:rsidRDefault="00BE2FFB" w:rsidP="00BE2FFB">
            <w:pPr>
              <w:spacing w:line="240" w:lineRule="auto"/>
            </w:pPr>
            <w:r w:rsidRPr="00BE2FFB">
              <w:t xml:space="preserve">80 </w:t>
            </w:r>
            <w:r w:rsidRPr="00BE2FFB">
              <w:rPr>
                <w:lang w:val="en-US"/>
              </w:rPr>
              <w:t xml:space="preserve">mg, </w:t>
            </w:r>
            <w:r w:rsidRPr="00BE2FFB">
              <w:t>еднократна доза</w:t>
            </w:r>
          </w:p>
        </w:tc>
        <w:tc>
          <w:tcPr>
            <w:tcW w:w="2394" w:type="dxa"/>
          </w:tcPr>
          <w:p w14:paraId="7E60A8DC" w14:textId="2052258F" w:rsidR="00BE2FFB" w:rsidRPr="00BE2FFB" w:rsidRDefault="00BE2FFB" w:rsidP="00BE2FFB">
            <w:pPr>
              <w:spacing w:line="240" w:lineRule="auto"/>
            </w:pPr>
            <w:r w:rsidRPr="00BE2FFB">
              <w:t>↑</w:t>
            </w:r>
            <w:r w:rsidRPr="00BE2FFB">
              <w:rPr>
                <w:lang w:val="en-US"/>
              </w:rPr>
              <w:t xml:space="preserve"> </w:t>
            </w:r>
            <w:r w:rsidRPr="00BE2FFB">
              <w:t>18%</w:t>
            </w:r>
          </w:p>
        </w:tc>
        <w:tc>
          <w:tcPr>
            <w:tcW w:w="2394" w:type="dxa"/>
          </w:tcPr>
          <w:p w14:paraId="5D3AF718" w14:textId="0A77B5A5" w:rsidR="00BE2FFB" w:rsidRPr="00BE2FFB" w:rsidRDefault="00BE2FFB" w:rsidP="00BE2FFB">
            <w:pPr>
              <w:spacing w:line="240" w:lineRule="auto"/>
            </w:pPr>
            <w:r w:rsidRPr="00BE2FFB">
              <w:t>Няма специални препоръки</w:t>
            </w:r>
          </w:p>
        </w:tc>
      </w:tr>
      <w:tr w:rsidR="00BE2FFB" w14:paraId="44A4FD1E" w14:textId="77777777" w:rsidTr="00BE2FFB">
        <w:tc>
          <w:tcPr>
            <w:tcW w:w="2394" w:type="dxa"/>
          </w:tcPr>
          <w:p w14:paraId="67FEBDFA" w14:textId="2D80347D" w:rsidR="00BE2FFB" w:rsidRPr="00BE2FFB" w:rsidRDefault="00BE2FFB" w:rsidP="00BE2FFB">
            <w:pPr>
              <w:spacing w:line="240" w:lineRule="auto"/>
            </w:pPr>
            <w:r w:rsidRPr="00BE2FFB">
              <w:t xml:space="preserve">Циметидин 300 </w:t>
            </w:r>
            <w:r w:rsidRPr="00BE2FFB">
              <w:rPr>
                <w:lang w:val="en-US"/>
              </w:rPr>
              <w:t>mg</w:t>
            </w:r>
            <w:r w:rsidRPr="00BE2FFB">
              <w:rPr>
                <w:lang w:val="ru-RU"/>
              </w:rPr>
              <w:t xml:space="preserve"> </w:t>
            </w:r>
            <w:r w:rsidRPr="00BE2FFB">
              <w:t>четири пъти дневно, 2 седмици</w:t>
            </w:r>
          </w:p>
        </w:tc>
        <w:tc>
          <w:tcPr>
            <w:tcW w:w="2394" w:type="dxa"/>
          </w:tcPr>
          <w:p w14:paraId="32CB1AA1" w14:textId="2A6A6612" w:rsidR="00BE2FFB" w:rsidRPr="00BE2FFB" w:rsidRDefault="00BE2FFB" w:rsidP="00BE2FFB">
            <w:pPr>
              <w:spacing w:line="240" w:lineRule="auto"/>
            </w:pPr>
            <w:r w:rsidRPr="00BE2FFB">
              <w:t xml:space="preserve">10 </w:t>
            </w:r>
            <w:r w:rsidRPr="00BE2FFB">
              <w:rPr>
                <w:lang w:val="en-US"/>
              </w:rPr>
              <w:t>mg</w:t>
            </w:r>
            <w:r w:rsidRPr="00BE2FFB">
              <w:rPr>
                <w:lang w:val="ru-RU"/>
              </w:rPr>
              <w:t xml:space="preserve"> </w:t>
            </w:r>
            <w:r w:rsidRPr="00BE2FFB">
              <w:t>веднъж дневно за 2 седмици</w:t>
            </w:r>
          </w:p>
        </w:tc>
        <w:tc>
          <w:tcPr>
            <w:tcW w:w="2394" w:type="dxa"/>
          </w:tcPr>
          <w:p w14:paraId="34C9612A" w14:textId="7B5DC374" w:rsidR="00BE2FFB" w:rsidRPr="00BE2FFB" w:rsidRDefault="00BE2FFB" w:rsidP="00BE2FFB">
            <w:pPr>
              <w:spacing w:line="240" w:lineRule="auto"/>
            </w:pPr>
            <w:r w:rsidRPr="00BE2FFB">
              <w:t>↓ по-малко от 1%</w:t>
            </w:r>
            <w:r w:rsidRPr="00BE2FFB">
              <w:rPr>
                <w:rFonts w:ascii="Symbol" w:hAnsi="Symbol" w:cs="Symbol"/>
                <w:vertAlign w:val="superscript"/>
                <w:lang w:val="en-US"/>
              </w:rPr>
              <w:t></w:t>
            </w:r>
            <w:r w:rsidRPr="00BE2FFB">
              <w:rPr>
                <w:rFonts w:ascii="Symbol" w:hAnsi="Symbol" w:cs="Symbol"/>
                <w:vertAlign w:val="superscript"/>
                <w:lang w:val="en-US"/>
              </w:rPr>
              <w:t></w:t>
            </w:r>
          </w:p>
        </w:tc>
        <w:tc>
          <w:tcPr>
            <w:tcW w:w="2394" w:type="dxa"/>
          </w:tcPr>
          <w:p w14:paraId="2CA15775" w14:textId="2F481C1E" w:rsidR="00BE2FFB" w:rsidRPr="00BE2FFB" w:rsidRDefault="00BE2FFB" w:rsidP="00BE2FFB">
            <w:pPr>
              <w:spacing w:line="240" w:lineRule="auto"/>
            </w:pPr>
            <w:r w:rsidRPr="00BE2FFB">
              <w:t>Няма специални препоръки</w:t>
            </w:r>
          </w:p>
        </w:tc>
      </w:tr>
      <w:tr w:rsidR="00BE2FFB" w14:paraId="44C736B3" w14:textId="77777777" w:rsidTr="00BE2FFB">
        <w:tc>
          <w:tcPr>
            <w:tcW w:w="2394" w:type="dxa"/>
          </w:tcPr>
          <w:p w14:paraId="7C6B65F0" w14:textId="37917C65" w:rsidR="00BE2FFB" w:rsidRPr="00BE2FFB" w:rsidRDefault="00BE2FFB" w:rsidP="00BE2FFB">
            <w:r>
              <w:t xml:space="preserve">Антиацидна </w:t>
            </w:r>
            <w:r w:rsidRPr="00BE2FFB">
              <w:t>суспен</w:t>
            </w:r>
            <w:r>
              <w:t xml:space="preserve">зия </w:t>
            </w:r>
            <w:r w:rsidRPr="00BE2FFB">
              <w:t>от</w:t>
            </w:r>
          </w:p>
          <w:p w14:paraId="3F32AD7C" w14:textId="6B67FFF1" w:rsidR="00BE2FFB" w:rsidRPr="00BE2FFB" w:rsidRDefault="00BE2FFB" w:rsidP="00BE2FFB">
            <w:r>
              <w:t>м</w:t>
            </w:r>
            <w:r w:rsidRPr="00BE2FFB">
              <w:t>агнезиев</w:t>
            </w:r>
            <w:r>
              <w:t xml:space="preserve"> </w:t>
            </w:r>
            <w:r w:rsidRPr="00BE2FFB">
              <w:t>и</w:t>
            </w:r>
          </w:p>
          <w:p w14:paraId="088F4B08" w14:textId="16364D49" w:rsidR="00BE2FFB" w:rsidRPr="00BE2FFB" w:rsidRDefault="00BE2FFB" w:rsidP="00BE2FFB">
            <w:pPr>
              <w:spacing w:line="240" w:lineRule="auto"/>
            </w:pPr>
            <w:r w:rsidRPr="00BE2FFB">
              <w:t xml:space="preserve">алуминиев хидроксид, 30 </w:t>
            </w:r>
            <w:r w:rsidRPr="00BE2FFB">
              <w:rPr>
                <w:lang w:val="en-US"/>
              </w:rPr>
              <w:t>ml</w:t>
            </w:r>
            <w:r w:rsidRPr="00BE2FFB">
              <w:rPr>
                <w:lang w:val="ru-RU"/>
              </w:rPr>
              <w:t xml:space="preserve"> </w:t>
            </w:r>
            <w:r w:rsidRPr="00BE2FFB">
              <w:t>четири пъти дневно, 2 седмици</w:t>
            </w:r>
          </w:p>
        </w:tc>
        <w:tc>
          <w:tcPr>
            <w:tcW w:w="2394" w:type="dxa"/>
          </w:tcPr>
          <w:p w14:paraId="7C3E314B" w14:textId="3C3F97D3" w:rsidR="00BE2FFB" w:rsidRPr="00BE2FFB" w:rsidRDefault="00BE2FFB" w:rsidP="00BE2FFB">
            <w:pPr>
              <w:spacing w:line="240" w:lineRule="auto"/>
            </w:pPr>
            <w:r w:rsidRPr="00BE2FFB">
              <w:t xml:space="preserve">10 </w:t>
            </w:r>
            <w:r w:rsidRPr="00BE2FFB">
              <w:rPr>
                <w:lang w:val="en-US"/>
              </w:rPr>
              <w:t>mg</w:t>
            </w:r>
            <w:r w:rsidRPr="00BE2FFB">
              <w:rPr>
                <w:lang w:val="ru-RU"/>
              </w:rPr>
              <w:t xml:space="preserve"> </w:t>
            </w:r>
            <w:r w:rsidRPr="00BE2FFB">
              <w:t>веднъж дневно за 4 седмици</w:t>
            </w:r>
          </w:p>
        </w:tc>
        <w:tc>
          <w:tcPr>
            <w:tcW w:w="2394" w:type="dxa"/>
          </w:tcPr>
          <w:p w14:paraId="78F5FDB5" w14:textId="6EB05D3B" w:rsidR="00BE2FFB" w:rsidRPr="00BE2FFB" w:rsidRDefault="00BE2FFB" w:rsidP="00BE2FFB">
            <w:pPr>
              <w:spacing w:line="240" w:lineRule="auto"/>
            </w:pPr>
            <w:r w:rsidRPr="00BE2FFB">
              <w:t>↓ 35%</w:t>
            </w:r>
            <w:r w:rsidRPr="00BE2FFB">
              <w:rPr>
                <w:rFonts w:ascii="Symbol" w:hAnsi="Symbol" w:cs="Symbol"/>
                <w:vertAlign w:val="superscript"/>
                <w:lang w:val="en-US"/>
              </w:rPr>
              <w:t></w:t>
            </w:r>
          </w:p>
        </w:tc>
        <w:tc>
          <w:tcPr>
            <w:tcW w:w="2394" w:type="dxa"/>
          </w:tcPr>
          <w:p w14:paraId="10130583" w14:textId="7EF589A1" w:rsidR="00BE2FFB" w:rsidRPr="00BE2FFB" w:rsidRDefault="00BE2FFB" w:rsidP="00BE2FFB">
            <w:pPr>
              <w:spacing w:line="240" w:lineRule="auto"/>
            </w:pPr>
            <w:r w:rsidRPr="00BE2FFB">
              <w:t>Няма специални препоръки</w:t>
            </w:r>
          </w:p>
        </w:tc>
      </w:tr>
      <w:tr w:rsidR="00BE2FFB" w14:paraId="42EAB3F9" w14:textId="77777777" w:rsidTr="00BE2FFB">
        <w:tc>
          <w:tcPr>
            <w:tcW w:w="2394" w:type="dxa"/>
          </w:tcPr>
          <w:p w14:paraId="298A4F24" w14:textId="2CADE697" w:rsidR="00BE2FFB" w:rsidRPr="00BE2FFB" w:rsidRDefault="00BE2FFB" w:rsidP="00BE2FFB">
            <w:pPr>
              <w:spacing w:line="240" w:lineRule="auto"/>
            </w:pPr>
            <w:r w:rsidRPr="00BE2FFB">
              <w:t xml:space="preserve">Ефавиренц 600 </w:t>
            </w:r>
            <w:r w:rsidRPr="00BE2FFB">
              <w:rPr>
                <w:lang w:val="en-US"/>
              </w:rPr>
              <w:t>mg</w:t>
            </w:r>
            <w:r w:rsidRPr="00BE2FFB">
              <w:rPr>
                <w:lang w:val="ru-RU"/>
              </w:rPr>
              <w:t xml:space="preserve"> </w:t>
            </w:r>
            <w:r w:rsidRPr="00BE2FFB">
              <w:t xml:space="preserve">веднъж дневно, 14 </w:t>
            </w:r>
            <w:r w:rsidRPr="00BE2FFB">
              <w:rPr>
                <w:rFonts w:ascii="Courier New" w:hAnsi="Courier New" w:cs="Courier New"/>
                <w:b/>
                <w:bCs/>
              </w:rPr>
              <w:t>ДНИ</w:t>
            </w:r>
          </w:p>
        </w:tc>
        <w:tc>
          <w:tcPr>
            <w:tcW w:w="2394" w:type="dxa"/>
          </w:tcPr>
          <w:p w14:paraId="3A0AD0F3" w14:textId="2674077F" w:rsidR="00BE2FFB" w:rsidRPr="00BE2FFB" w:rsidRDefault="00BE2FFB" w:rsidP="00BE2FFB">
            <w:pPr>
              <w:spacing w:line="240" w:lineRule="auto"/>
            </w:pPr>
            <w:r w:rsidRPr="00BE2FFB">
              <w:t xml:space="preserve">10 </w:t>
            </w:r>
            <w:r w:rsidRPr="00BE2FFB">
              <w:rPr>
                <w:lang w:val="en-US"/>
              </w:rPr>
              <w:t xml:space="preserve">mg </w:t>
            </w:r>
            <w:r w:rsidRPr="00BE2FFB">
              <w:t>заЗ дни</w:t>
            </w:r>
          </w:p>
        </w:tc>
        <w:tc>
          <w:tcPr>
            <w:tcW w:w="2394" w:type="dxa"/>
          </w:tcPr>
          <w:p w14:paraId="4BFECEF2" w14:textId="4C506868" w:rsidR="00BE2FFB" w:rsidRPr="00BE2FFB" w:rsidRDefault="00BE2FFB" w:rsidP="00BE2FFB">
            <w:pPr>
              <w:spacing w:line="240" w:lineRule="auto"/>
            </w:pPr>
            <w:r w:rsidRPr="00BE2FFB">
              <w:t>↓ 41%</w:t>
            </w:r>
          </w:p>
        </w:tc>
        <w:tc>
          <w:tcPr>
            <w:tcW w:w="2394" w:type="dxa"/>
          </w:tcPr>
          <w:p w14:paraId="0955FD7F" w14:textId="43C22C62" w:rsidR="00BE2FFB" w:rsidRPr="00BE2FFB" w:rsidRDefault="00BE2FFB" w:rsidP="00BE2FFB">
            <w:pPr>
              <w:spacing w:line="240" w:lineRule="auto"/>
            </w:pPr>
            <w:r w:rsidRPr="00BE2FFB">
              <w:t>Няма специални препоръки</w:t>
            </w:r>
          </w:p>
        </w:tc>
      </w:tr>
      <w:tr w:rsidR="00BE2FFB" w14:paraId="5B133A2C" w14:textId="77777777" w:rsidTr="00BE2FFB">
        <w:tc>
          <w:tcPr>
            <w:tcW w:w="2394" w:type="dxa"/>
          </w:tcPr>
          <w:p w14:paraId="41073232" w14:textId="70F6879B" w:rsidR="00BE2FFB" w:rsidRPr="00BE2FFB" w:rsidRDefault="00BE2FFB" w:rsidP="00BE2FFB">
            <w:pPr>
              <w:spacing w:line="240" w:lineRule="auto"/>
            </w:pPr>
            <w:r w:rsidRPr="00BE2FFB">
              <w:lastRenderedPageBreak/>
              <w:t xml:space="preserve">Рифампин 600 </w:t>
            </w:r>
            <w:r w:rsidRPr="00BE2FFB">
              <w:rPr>
                <w:lang w:val="en-US"/>
              </w:rPr>
              <w:t>mg</w:t>
            </w:r>
            <w:r w:rsidRPr="00BE2FFB">
              <w:rPr>
                <w:lang w:val="ru-RU"/>
              </w:rPr>
              <w:t xml:space="preserve"> </w:t>
            </w:r>
            <w:r w:rsidRPr="00BE2FFB">
              <w:t>веднъж дневно, 7 дни (приемите са по различно време)</w:t>
            </w:r>
          </w:p>
        </w:tc>
        <w:tc>
          <w:tcPr>
            <w:tcW w:w="2394" w:type="dxa"/>
          </w:tcPr>
          <w:p w14:paraId="4C1D80BB" w14:textId="3CBD3F4B" w:rsidR="00BE2FFB" w:rsidRPr="00BE2FFB" w:rsidRDefault="00BE2FFB" w:rsidP="00BE2FFB">
            <w:pPr>
              <w:spacing w:line="240" w:lineRule="auto"/>
            </w:pPr>
            <w:r w:rsidRPr="00BE2FFB">
              <w:t xml:space="preserve">40 </w:t>
            </w:r>
            <w:r w:rsidRPr="00BE2FFB">
              <w:rPr>
                <w:lang w:val="en-US"/>
              </w:rPr>
              <w:t xml:space="preserve">mg </w:t>
            </w:r>
            <w:r w:rsidRPr="00BE2FFB">
              <w:t>еднократна доза</w:t>
            </w:r>
          </w:p>
        </w:tc>
        <w:tc>
          <w:tcPr>
            <w:tcW w:w="2394" w:type="dxa"/>
          </w:tcPr>
          <w:p w14:paraId="22E0543C" w14:textId="4331EEFF" w:rsidR="00BE2FFB" w:rsidRPr="00BE2FFB" w:rsidRDefault="00BE2FFB" w:rsidP="00BE2FFB">
            <w:pPr>
              <w:spacing w:line="240" w:lineRule="auto"/>
            </w:pPr>
            <w:r w:rsidRPr="00BE2FFB">
              <w:t>↑</w:t>
            </w:r>
            <w:r w:rsidRPr="00BE2FFB">
              <w:rPr>
                <w:lang w:val="en-US"/>
              </w:rPr>
              <w:t xml:space="preserve"> </w:t>
            </w:r>
            <w:r w:rsidRPr="00BE2FFB">
              <w:t>30%</w:t>
            </w:r>
          </w:p>
        </w:tc>
        <w:tc>
          <w:tcPr>
            <w:tcW w:w="2394" w:type="dxa"/>
            <w:vMerge w:val="restart"/>
          </w:tcPr>
          <w:p w14:paraId="130C5485" w14:textId="6DAA82CD" w:rsidR="00BE2FFB" w:rsidRPr="00BE2FFB" w:rsidRDefault="00BE2FFB" w:rsidP="00BE2FFB">
            <w:pPr>
              <w:spacing w:line="240" w:lineRule="auto"/>
            </w:pPr>
            <w:r w:rsidRPr="00BE2FFB">
              <w:t>Ако едновременният прием не може да се избегне, се препоръчва клинично проследяване на пациентите.</w:t>
            </w:r>
          </w:p>
        </w:tc>
      </w:tr>
      <w:tr w:rsidR="00BE2FFB" w14:paraId="65781C7D" w14:textId="77777777" w:rsidTr="00BE2FFB">
        <w:tc>
          <w:tcPr>
            <w:tcW w:w="2394" w:type="dxa"/>
          </w:tcPr>
          <w:p w14:paraId="0BAB8B3F" w14:textId="4168EE54" w:rsidR="00BE2FFB" w:rsidRPr="00BE2FFB" w:rsidRDefault="00BE2FFB" w:rsidP="00BE2FFB">
            <w:pPr>
              <w:spacing w:line="240" w:lineRule="auto"/>
            </w:pPr>
            <w:r w:rsidRPr="00BE2FFB">
              <w:t xml:space="preserve">Рифампин 600 </w:t>
            </w:r>
            <w:r w:rsidRPr="00BE2FFB">
              <w:rPr>
                <w:lang w:val="en-US"/>
              </w:rPr>
              <w:t>mg</w:t>
            </w:r>
            <w:r w:rsidRPr="00BE2FFB">
              <w:rPr>
                <w:lang w:val="ru-RU"/>
              </w:rPr>
              <w:t xml:space="preserve"> </w:t>
            </w:r>
            <w:r w:rsidRPr="00BE2FFB">
              <w:t>веднъж дневно, 5 дни (приемите са по различно време)</w:t>
            </w:r>
          </w:p>
        </w:tc>
        <w:tc>
          <w:tcPr>
            <w:tcW w:w="2394" w:type="dxa"/>
          </w:tcPr>
          <w:p w14:paraId="4F099A85" w14:textId="718BF018" w:rsidR="00BE2FFB" w:rsidRPr="00BE2FFB" w:rsidRDefault="00BE2FFB" w:rsidP="00BE2FFB">
            <w:pPr>
              <w:spacing w:line="240" w:lineRule="auto"/>
            </w:pPr>
            <w:r w:rsidRPr="00BE2FFB">
              <w:t xml:space="preserve">40 </w:t>
            </w:r>
            <w:r w:rsidRPr="00BE2FFB">
              <w:rPr>
                <w:lang w:val="en-US"/>
              </w:rPr>
              <w:t xml:space="preserve">mg </w:t>
            </w:r>
            <w:r w:rsidRPr="00BE2FFB">
              <w:t>еднократна доза</w:t>
            </w:r>
          </w:p>
        </w:tc>
        <w:tc>
          <w:tcPr>
            <w:tcW w:w="2394" w:type="dxa"/>
          </w:tcPr>
          <w:p w14:paraId="3E79C7B8" w14:textId="2086B1EC" w:rsidR="00BE2FFB" w:rsidRPr="00BE2FFB" w:rsidRDefault="00BE2FFB" w:rsidP="00BE2FFB">
            <w:pPr>
              <w:spacing w:line="240" w:lineRule="auto"/>
            </w:pPr>
            <w:r w:rsidRPr="00BE2FFB">
              <w:t>↓ 80%</w:t>
            </w:r>
          </w:p>
        </w:tc>
        <w:tc>
          <w:tcPr>
            <w:tcW w:w="2394" w:type="dxa"/>
            <w:vMerge/>
          </w:tcPr>
          <w:p w14:paraId="60EFAACB" w14:textId="77777777" w:rsidR="00BE2FFB" w:rsidRPr="00BE2FFB" w:rsidRDefault="00BE2FFB" w:rsidP="00BE2FFB">
            <w:pPr>
              <w:spacing w:line="240" w:lineRule="auto"/>
            </w:pPr>
          </w:p>
        </w:tc>
      </w:tr>
      <w:tr w:rsidR="00BE2FFB" w14:paraId="18740DEC" w14:textId="77777777" w:rsidTr="00BE2FFB">
        <w:tc>
          <w:tcPr>
            <w:tcW w:w="2394" w:type="dxa"/>
          </w:tcPr>
          <w:p w14:paraId="4BE9D315" w14:textId="1E8FA4A9" w:rsidR="00BE2FFB" w:rsidRPr="00BE2FFB" w:rsidRDefault="00BE2FFB" w:rsidP="00BE2FFB">
            <w:pPr>
              <w:spacing w:line="240" w:lineRule="auto"/>
            </w:pPr>
            <w:r w:rsidRPr="00BE2FFB">
              <w:t xml:space="preserve">Гемфиброзил 600 </w:t>
            </w:r>
            <w:r w:rsidRPr="00BE2FFB">
              <w:rPr>
                <w:lang w:val="en-US"/>
              </w:rPr>
              <w:t>mg</w:t>
            </w:r>
            <w:r w:rsidRPr="00BE2FFB">
              <w:rPr>
                <w:lang w:val="ru-RU"/>
              </w:rPr>
              <w:t xml:space="preserve"> </w:t>
            </w:r>
            <w:r w:rsidRPr="00BE2FFB">
              <w:t xml:space="preserve">два пъти дневно, 7 </w:t>
            </w:r>
            <w:r>
              <w:t>дни</w:t>
            </w:r>
          </w:p>
        </w:tc>
        <w:tc>
          <w:tcPr>
            <w:tcW w:w="2394" w:type="dxa"/>
          </w:tcPr>
          <w:p w14:paraId="6453A724" w14:textId="27A18DBD" w:rsidR="00BE2FFB" w:rsidRPr="00BE2FFB" w:rsidRDefault="00BE2FFB" w:rsidP="00BE2FFB">
            <w:pPr>
              <w:spacing w:line="240" w:lineRule="auto"/>
            </w:pPr>
            <w:r w:rsidRPr="00BE2FFB">
              <w:t xml:space="preserve">40 </w:t>
            </w:r>
            <w:r w:rsidRPr="00BE2FFB">
              <w:rPr>
                <w:lang w:val="en-US"/>
              </w:rPr>
              <w:t xml:space="preserve">mg </w:t>
            </w:r>
            <w:r w:rsidRPr="00BE2FFB">
              <w:t>еднократна доза</w:t>
            </w:r>
          </w:p>
        </w:tc>
        <w:tc>
          <w:tcPr>
            <w:tcW w:w="2394" w:type="dxa"/>
          </w:tcPr>
          <w:p w14:paraId="783FFA19" w14:textId="7BC759F5" w:rsidR="00BE2FFB" w:rsidRPr="00BE2FFB" w:rsidRDefault="00BE2FFB" w:rsidP="00BE2FFB">
            <w:pPr>
              <w:spacing w:line="240" w:lineRule="auto"/>
            </w:pPr>
            <w:r w:rsidRPr="00BE2FFB">
              <w:t>↑</w:t>
            </w:r>
            <w:r w:rsidRPr="00BE2FFB">
              <w:rPr>
                <w:lang w:val="en-US"/>
              </w:rPr>
              <w:t xml:space="preserve"> </w:t>
            </w:r>
            <w:r w:rsidRPr="00BE2FFB">
              <w:t>35%</w:t>
            </w:r>
          </w:p>
        </w:tc>
        <w:tc>
          <w:tcPr>
            <w:tcW w:w="2394" w:type="dxa"/>
          </w:tcPr>
          <w:p w14:paraId="496A921C" w14:textId="29D30517" w:rsidR="00BE2FFB" w:rsidRPr="00BE2FFB" w:rsidRDefault="00BE2FFB" w:rsidP="00BE2FFB">
            <w:pPr>
              <w:spacing w:line="240" w:lineRule="auto"/>
            </w:pPr>
            <w:r w:rsidRPr="00BE2FFB">
              <w:t>Препоръчва се по-ниска начална доза и клинично проследяване на пациентите</w:t>
            </w:r>
          </w:p>
        </w:tc>
      </w:tr>
      <w:tr w:rsidR="00BE2FFB" w14:paraId="6EE44FE2" w14:textId="77777777" w:rsidTr="00BE2FFB">
        <w:tc>
          <w:tcPr>
            <w:tcW w:w="2394" w:type="dxa"/>
          </w:tcPr>
          <w:p w14:paraId="3746D0BB" w14:textId="1F770B37" w:rsidR="00BE2FFB" w:rsidRPr="00BE2FFB" w:rsidRDefault="00BE2FFB" w:rsidP="00BE2FFB">
            <w:pPr>
              <w:spacing w:line="240" w:lineRule="auto"/>
            </w:pPr>
            <w:r w:rsidRPr="00BE2FFB">
              <w:t xml:space="preserve">Фенофибрат 160 </w:t>
            </w:r>
            <w:r w:rsidRPr="00BE2FFB">
              <w:rPr>
                <w:lang w:val="en-US"/>
              </w:rPr>
              <w:t>mg</w:t>
            </w:r>
            <w:r w:rsidRPr="00BE2FFB">
              <w:rPr>
                <w:lang w:val="ru-RU"/>
              </w:rPr>
              <w:t xml:space="preserve"> </w:t>
            </w:r>
            <w:r w:rsidRPr="00BE2FFB">
              <w:t>веднъж дневно, 7 дни</w:t>
            </w:r>
          </w:p>
        </w:tc>
        <w:tc>
          <w:tcPr>
            <w:tcW w:w="2394" w:type="dxa"/>
          </w:tcPr>
          <w:p w14:paraId="32C2600A" w14:textId="34F5F7E0" w:rsidR="00BE2FFB" w:rsidRPr="00BE2FFB" w:rsidRDefault="00BE2FFB" w:rsidP="00BE2FFB">
            <w:pPr>
              <w:spacing w:line="240" w:lineRule="auto"/>
            </w:pPr>
            <w:r w:rsidRPr="00BE2FFB">
              <w:t xml:space="preserve">40 </w:t>
            </w:r>
            <w:r w:rsidRPr="00BE2FFB">
              <w:rPr>
                <w:lang w:val="en-US"/>
              </w:rPr>
              <w:t xml:space="preserve">mg </w:t>
            </w:r>
            <w:r w:rsidRPr="00BE2FFB">
              <w:t>еднократна доза</w:t>
            </w:r>
          </w:p>
        </w:tc>
        <w:tc>
          <w:tcPr>
            <w:tcW w:w="2394" w:type="dxa"/>
          </w:tcPr>
          <w:p w14:paraId="65EB2BC2" w14:textId="5B331D5F" w:rsidR="00BE2FFB" w:rsidRPr="00BE2FFB" w:rsidRDefault="00BE2FFB" w:rsidP="00BE2FFB">
            <w:pPr>
              <w:spacing w:line="240" w:lineRule="auto"/>
            </w:pPr>
            <w:r w:rsidRPr="00BE2FFB">
              <w:t>↑3%</w:t>
            </w:r>
          </w:p>
        </w:tc>
        <w:tc>
          <w:tcPr>
            <w:tcW w:w="2394" w:type="dxa"/>
          </w:tcPr>
          <w:p w14:paraId="09FAA04D" w14:textId="52FAACE9" w:rsidR="00BE2FFB" w:rsidRPr="00BE2FFB" w:rsidRDefault="00BE2FFB" w:rsidP="00BE2FFB">
            <w:pPr>
              <w:spacing w:line="240" w:lineRule="auto"/>
            </w:pPr>
            <w:r w:rsidRPr="00BE2FFB">
              <w:t>Препоръчва се по-ниска начална доза и клинично проследяване на пациентите</w:t>
            </w:r>
          </w:p>
        </w:tc>
      </w:tr>
      <w:tr w:rsidR="00BE2FFB" w14:paraId="458FFD11" w14:textId="77777777" w:rsidTr="00BE2FFB">
        <w:tc>
          <w:tcPr>
            <w:tcW w:w="2394" w:type="dxa"/>
          </w:tcPr>
          <w:p w14:paraId="47D98DDB" w14:textId="75C859F5" w:rsidR="00BE2FFB" w:rsidRPr="00BE2FFB" w:rsidRDefault="00BE2FFB" w:rsidP="00BE2FFB">
            <w:pPr>
              <w:spacing w:line="240" w:lineRule="auto"/>
            </w:pPr>
            <w:r w:rsidRPr="00BE2FFB">
              <w:t xml:space="preserve">Боцепревир 800 </w:t>
            </w:r>
            <w:r w:rsidRPr="00BE2FFB">
              <w:rPr>
                <w:lang w:val="en-US"/>
              </w:rPr>
              <w:t>mg</w:t>
            </w:r>
            <w:r w:rsidRPr="00BE2FFB">
              <w:rPr>
                <w:lang w:val="ru-RU"/>
              </w:rPr>
              <w:t xml:space="preserve"> </w:t>
            </w:r>
            <w:r w:rsidRPr="00BE2FFB">
              <w:t>три пъти дневно, 7 дни</w:t>
            </w:r>
          </w:p>
        </w:tc>
        <w:tc>
          <w:tcPr>
            <w:tcW w:w="2394" w:type="dxa"/>
          </w:tcPr>
          <w:p w14:paraId="0023F509" w14:textId="222FFAC0" w:rsidR="00BE2FFB" w:rsidRPr="00BE2FFB" w:rsidRDefault="00BE2FFB" w:rsidP="00BE2FFB">
            <w:pPr>
              <w:spacing w:line="240" w:lineRule="auto"/>
            </w:pPr>
            <w:r w:rsidRPr="00BE2FFB">
              <w:t xml:space="preserve">40 </w:t>
            </w:r>
            <w:r w:rsidRPr="00BE2FFB">
              <w:rPr>
                <w:lang w:val="en-US"/>
              </w:rPr>
              <w:t xml:space="preserve">mg </w:t>
            </w:r>
            <w:r w:rsidRPr="00BE2FFB">
              <w:t>еднократна доза</w:t>
            </w:r>
          </w:p>
        </w:tc>
        <w:tc>
          <w:tcPr>
            <w:tcW w:w="2394" w:type="dxa"/>
          </w:tcPr>
          <w:p w14:paraId="7E7C1203" w14:textId="25B35D36" w:rsidR="00BE2FFB" w:rsidRPr="00BE2FFB" w:rsidRDefault="00BE2FFB" w:rsidP="00BE2FFB">
            <w:pPr>
              <w:spacing w:line="240" w:lineRule="auto"/>
            </w:pPr>
            <w:r w:rsidRPr="00BE2FFB">
              <w:t>↑ 2,3 пъти</w:t>
            </w:r>
          </w:p>
        </w:tc>
        <w:tc>
          <w:tcPr>
            <w:tcW w:w="2394" w:type="dxa"/>
          </w:tcPr>
          <w:p w14:paraId="6D0BA2B4" w14:textId="10090C62" w:rsidR="00BE2FFB" w:rsidRPr="00BE2FFB" w:rsidRDefault="00BE2FFB" w:rsidP="00BE2FFB">
            <w:r w:rsidRPr="00BE2FFB">
              <w:t>Препоръчва се по-ниска начална доза и клинично</w:t>
            </w:r>
            <w:r>
              <w:t xml:space="preserve"> проследяване на тези пациенти. </w:t>
            </w:r>
            <w:r w:rsidRPr="00BE2FFB">
              <w:t>При</w:t>
            </w:r>
          </w:p>
          <w:p w14:paraId="78CC02AF" w14:textId="726DB52B" w:rsidR="00BE2FFB" w:rsidRPr="00BE2FFB" w:rsidRDefault="00BE2FFB" w:rsidP="00BE2FFB">
            <w:pPr>
              <w:spacing w:line="240" w:lineRule="auto"/>
            </w:pPr>
            <w:r w:rsidRPr="00BE2FFB">
              <w:t xml:space="preserve">едновременното приложение с боцепревир, дневната доза аторвастатин не трябва да </w:t>
            </w:r>
            <w:r w:rsidRPr="00BE2FFB">
              <w:rPr>
                <w:u w:val="single"/>
              </w:rPr>
              <w:t xml:space="preserve">превишава </w:t>
            </w:r>
            <w:r w:rsidRPr="00BE2FFB">
              <w:rPr>
                <w:i/>
                <w:iCs/>
                <w:u w:val="single"/>
              </w:rPr>
              <w:t>20</w:t>
            </w:r>
            <w:r w:rsidRPr="00BE2FFB">
              <w:rPr>
                <w:u w:val="single"/>
              </w:rPr>
              <w:t xml:space="preserve"> </w:t>
            </w:r>
            <w:r w:rsidRPr="00BE2FFB">
              <w:rPr>
                <w:u w:val="single"/>
                <w:lang w:val="en-US"/>
              </w:rPr>
              <w:t>mg</w:t>
            </w:r>
          </w:p>
        </w:tc>
      </w:tr>
    </w:tbl>
    <w:p w14:paraId="0CA0269B" w14:textId="77777777" w:rsidR="00BE2FFB" w:rsidRPr="00BE2FFB" w:rsidRDefault="00BE2FFB" w:rsidP="00BE2FFB">
      <w:pPr>
        <w:spacing w:line="240" w:lineRule="auto"/>
        <w:rPr>
          <w:rFonts w:eastAsia="Times New Roman" w:cs="Arial"/>
        </w:rPr>
      </w:pPr>
      <w:r w:rsidRPr="00BE2FFB">
        <w:rPr>
          <w:rFonts w:eastAsia="Times New Roman" w:cs="Arial"/>
          <w:color w:val="000000"/>
          <w:vertAlign w:val="superscript"/>
          <w:lang w:eastAsia="bg-BG"/>
        </w:rPr>
        <w:t>&amp;</w:t>
      </w:r>
      <w:r w:rsidRPr="00BE2FFB">
        <w:rPr>
          <w:rFonts w:eastAsia="Times New Roman" w:cs="Arial"/>
          <w:color w:val="000000"/>
          <w:lang w:eastAsia="bg-BG"/>
        </w:rPr>
        <w:t>Стойностите дадени като х-пъти промяна, представят просто съотношение между съпътстващо прилагане и самостоятелно прилагане на аторвастатин (т.е 1 - път = няма промяна). Стойностите, дадени като % промяна, представят % разлика по отношение на самостоятелно приложен аторвастатин (т.е 0% = няма промяна).</w:t>
      </w:r>
    </w:p>
    <w:p w14:paraId="76F5CE10"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#вж. точки 4.4 и 4.5 за клиничната значимост</w:t>
      </w:r>
    </w:p>
    <w:p w14:paraId="1DA0EB1C"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*Съдържа една или повече съставки, които инхибират </w:t>
      </w:r>
      <w:r w:rsidRPr="00BE2FFB">
        <w:rPr>
          <w:rFonts w:eastAsia="Times New Roman" w:cs="Arial"/>
          <w:color w:val="000000"/>
          <w:lang w:val="en-US"/>
        </w:rPr>
        <w:t>CYP</w:t>
      </w:r>
      <w:r w:rsidRPr="00BE2FFB">
        <w:rPr>
          <w:rFonts w:eastAsia="Times New Roman" w:cs="Arial"/>
          <w:color w:val="000000"/>
          <w:lang w:val="ru-RU"/>
        </w:rPr>
        <w:t>3</w:t>
      </w:r>
      <w:r w:rsidRPr="00BE2FFB">
        <w:rPr>
          <w:rFonts w:eastAsia="Times New Roman" w:cs="Arial"/>
          <w:color w:val="000000"/>
          <w:lang w:val="en-US"/>
        </w:rPr>
        <w:t>A</w:t>
      </w:r>
      <w:r w:rsidRPr="00BE2FFB">
        <w:rPr>
          <w:rFonts w:eastAsia="Times New Roman" w:cs="Arial"/>
          <w:color w:val="000000"/>
          <w:lang w:val="ru-RU"/>
        </w:rPr>
        <w:t xml:space="preserve">4 </w:t>
      </w:r>
      <w:r w:rsidRPr="00BE2FFB">
        <w:rPr>
          <w:rFonts w:eastAsia="Times New Roman" w:cs="Arial"/>
          <w:color w:val="000000"/>
          <w:lang w:eastAsia="bg-BG"/>
        </w:rPr>
        <w:t xml:space="preserve">и могат да повишат плазмените концентрации на лекарствени продукти, които се метаболизират от </w:t>
      </w:r>
      <w:r w:rsidRPr="00BE2FFB">
        <w:rPr>
          <w:rFonts w:eastAsia="Times New Roman" w:cs="Arial"/>
          <w:color w:val="000000"/>
          <w:lang w:val="en-US"/>
        </w:rPr>
        <w:t>CYP</w:t>
      </w:r>
      <w:r w:rsidRPr="00BE2FFB">
        <w:rPr>
          <w:rFonts w:eastAsia="Times New Roman" w:cs="Arial"/>
          <w:color w:val="000000"/>
          <w:lang w:val="ru-RU"/>
        </w:rPr>
        <w:t>3</w:t>
      </w:r>
      <w:r w:rsidRPr="00BE2FFB">
        <w:rPr>
          <w:rFonts w:eastAsia="Times New Roman" w:cs="Arial"/>
          <w:color w:val="000000"/>
          <w:lang w:val="en-US"/>
        </w:rPr>
        <w:t>A</w:t>
      </w:r>
      <w:r w:rsidRPr="00BE2FFB">
        <w:rPr>
          <w:rFonts w:eastAsia="Times New Roman" w:cs="Arial"/>
          <w:color w:val="000000"/>
          <w:lang w:val="ru-RU"/>
        </w:rPr>
        <w:t xml:space="preserve">4. </w:t>
      </w:r>
      <w:r w:rsidRPr="00BE2FFB">
        <w:rPr>
          <w:rFonts w:eastAsia="Times New Roman" w:cs="Arial"/>
          <w:color w:val="000000"/>
          <w:lang w:eastAsia="bg-BG"/>
        </w:rPr>
        <w:t xml:space="preserve">Приемът на една чаша 240 </w:t>
      </w:r>
      <w:r w:rsidRPr="00BE2FFB">
        <w:rPr>
          <w:rFonts w:eastAsia="Times New Roman" w:cs="Arial"/>
          <w:color w:val="000000"/>
          <w:lang w:val="en-US"/>
        </w:rPr>
        <w:t>ml</w:t>
      </w:r>
      <w:r w:rsidRPr="00BE2FFB">
        <w:rPr>
          <w:rFonts w:eastAsia="Times New Roman" w:cs="Arial"/>
          <w:color w:val="000000"/>
          <w:lang w:val="ru-RU"/>
        </w:rPr>
        <w:t xml:space="preserve"> </w:t>
      </w:r>
      <w:r w:rsidRPr="00BE2FFB">
        <w:rPr>
          <w:rFonts w:eastAsia="Times New Roman" w:cs="Arial"/>
          <w:color w:val="000000"/>
          <w:lang w:eastAsia="bg-BG"/>
        </w:rPr>
        <w:t xml:space="preserve">сок от грейпфрут също води до понижаване на </w:t>
      </w:r>
      <w:r w:rsidRPr="00BE2FFB">
        <w:rPr>
          <w:rFonts w:eastAsia="Times New Roman" w:cs="Arial"/>
          <w:color w:val="000000"/>
          <w:lang w:val="en-US"/>
        </w:rPr>
        <w:t>AUC</w:t>
      </w:r>
      <w:r w:rsidRPr="00BE2FFB">
        <w:rPr>
          <w:rFonts w:eastAsia="Times New Roman" w:cs="Arial"/>
          <w:color w:val="000000"/>
          <w:lang w:val="ru-RU"/>
        </w:rPr>
        <w:t xml:space="preserve"> </w:t>
      </w:r>
      <w:r w:rsidRPr="00BE2FFB">
        <w:rPr>
          <w:rFonts w:eastAsia="Times New Roman" w:cs="Arial"/>
          <w:color w:val="000000"/>
          <w:lang w:eastAsia="bg-BG"/>
        </w:rPr>
        <w:t xml:space="preserve">от 20,4% за активния ортохидрокси метаболит. Големи количества сок от грейпфрут (над 1,2 1 дневно за 5 дни) повишава </w:t>
      </w:r>
      <w:r w:rsidRPr="00BE2FFB">
        <w:rPr>
          <w:rFonts w:eastAsia="Times New Roman" w:cs="Arial"/>
          <w:color w:val="000000"/>
          <w:lang w:val="en-US"/>
        </w:rPr>
        <w:t>AUC</w:t>
      </w:r>
      <w:r w:rsidRPr="00BE2FFB">
        <w:rPr>
          <w:rFonts w:eastAsia="Times New Roman" w:cs="Arial"/>
          <w:color w:val="000000"/>
          <w:lang w:val="ru-RU"/>
        </w:rPr>
        <w:t xml:space="preserve"> </w:t>
      </w:r>
      <w:r w:rsidRPr="00BE2FFB">
        <w:rPr>
          <w:rFonts w:eastAsia="Times New Roman" w:cs="Arial"/>
          <w:color w:val="000000"/>
          <w:lang w:eastAsia="bg-BG"/>
        </w:rPr>
        <w:t xml:space="preserve">на аторвастатин 2,5 пъти и </w:t>
      </w:r>
      <w:r w:rsidRPr="00BE2FFB">
        <w:rPr>
          <w:rFonts w:eastAsia="Times New Roman" w:cs="Arial"/>
          <w:color w:val="000000"/>
          <w:lang w:val="en-US"/>
        </w:rPr>
        <w:t>AUC</w:t>
      </w:r>
      <w:r w:rsidRPr="00BE2FFB">
        <w:rPr>
          <w:rFonts w:eastAsia="Times New Roman" w:cs="Arial"/>
          <w:color w:val="000000"/>
          <w:lang w:val="ru-RU"/>
        </w:rPr>
        <w:t xml:space="preserve"> </w:t>
      </w:r>
      <w:r w:rsidRPr="00BE2FFB">
        <w:rPr>
          <w:rFonts w:eastAsia="Times New Roman" w:cs="Arial"/>
          <w:color w:val="000000"/>
          <w:lang w:eastAsia="bg-BG"/>
        </w:rPr>
        <w:t>на активните съставки (аторвастатин и метаболити).</w:t>
      </w:r>
    </w:p>
    <w:p w14:paraId="41685116" w14:textId="77777777" w:rsidR="00BE2FFB" w:rsidRPr="00BE2FFB" w:rsidRDefault="00BE2FFB" w:rsidP="00BE2FFB">
      <w:pPr>
        <w:spacing w:line="240" w:lineRule="auto"/>
        <w:rPr>
          <w:rFonts w:eastAsia="Times New Roman" w:cs="Arial"/>
        </w:rPr>
      </w:pPr>
      <w:r w:rsidRPr="00BE2FFB">
        <w:rPr>
          <w:rFonts w:eastAsia="Times New Roman" w:cs="Arial"/>
          <w:color w:val="000000"/>
          <w:vertAlign w:val="superscript"/>
          <w:lang w:val="ru-RU"/>
        </w:rPr>
        <w:t>Ù</w:t>
      </w:r>
      <w:r w:rsidRPr="00BE2FFB">
        <w:rPr>
          <w:rFonts w:eastAsia="Times New Roman" w:cs="Arial"/>
          <w:color w:val="000000"/>
          <w:lang w:eastAsia="bg-BG"/>
        </w:rPr>
        <w:t>Сумарна аторвастатин еквивалентна активност</w:t>
      </w:r>
    </w:p>
    <w:p w14:paraId="59FB9082"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Повишението е означено като "</w:t>
      </w:r>
      <w:r w:rsidRPr="00BE2FFB">
        <w:rPr>
          <w:rFonts w:eastAsia="Times New Roman" w:cs="Arial"/>
          <w:color w:val="000000"/>
          <w:lang w:val="ru-RU"/>
        </w:rPr>
        <w:t xml:space="preserve">↑" </w:t>
      </w:r>
      <w:r w:rsidRPr="00BE2FFB">
        <w:rPr>
          <w:rFonts w:eastAsia="Times New Roman" w:cs="Arial"/>
          <w:color w:val="000000"/>
          <w:lang w:eastAsia="bg-BG"/>
        </w:rPr>
        <w:t>понижението като</w:t>
      </w:r>
      <w:r w:rsidRPr="00BE2FFB">
        <w:rPr>
          <w:rFonts w:eastAsia="Times New Roman" w:cs="Arial"/>
          <w:color w:val="000000"/>
          <w:lang w:val="ru-RU"/>
        </w:rPr>
        <w:t xml:space="preserve"> "↓"</w:t>
      </w:r>
    </w:p>
    <w:p w14:paraId="3E1ECB7A" w14:textId="77777777" w:rsidR="00BE2FFB" w:rsidRPr="00BE2FFB" w:rsidRDefault="00BE2FFB" w:rsidP="00BE2FFB">
      <w:pPr>
        <w:spacing w:line="240" w:lineRule="auto"/>
        <w:rPr>
          <w:rFonts w:eastAsia="Times New Roman" w:cs="Arial"/>
          <w:color w:val="000000"/>
          <w:u w:val="single"/>
          <w:lang w:eastAsia="bg-BG"/>
        </w:rPr>
      </w:pPr>
    </w:p>
    <w:p w14:paraId="22E3AB10" w14:textId="13264481"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Таблица 2: Ефект на аторвастатин върху фармакокинетиката на едновременно приложени лекарствени продукти</w:t>
      </w:r>
    </w:p>
    <w:tbl>
      <w:tblPr>
        <w:tblStyle w:val="TableGrid"/>
        <w:tblW w:w="0" w:type="auto"/>
        <w:tblLook w:val="04A0" w:firstRow="1" w:lastRow="0" w:firstColumn="1" w:lastColumn="0" w:noHBand="0" w:noVBand="1"/>
      </w:tblPr>
      <w:tblGrid>
        <w:gridCol w:w="2452"/>
        <w:gridCol w:w="2258"/>
        <w:gridCol w:w="2300"/>
        <w:gridCol w:w="2340"/>
      </w:tblGrid>
      <w:tr w:rsidR="00BE2FFB" w14:paraId="732D3CA1" w14:textId="77777777" w:rsidTr="00BE2FFB">
        <w:tc>
          <w:tcPr>
            <w:tcW w:w="2518" w:type="dxa"/>
            <w:vMerge w:val="restart"/>
          </w:tcPr>
          <w:p w14:paraId="6D2AB51C" w14:textId="77777777" w:rsidR="00BE2FFB" w:rsidRPr="00BE2FFB" w:rsidRDefault="00BE2FFB" w:rsidP="00BE2FFB">
            <w:pPr>
              <w:rPr>
                <w:sz w:val="24"/>
                <w:szCs w:val="24"/>
              </w:rPr>
            </w:pPr>
            <w:r w:rsidRPr="00BE2FFB">
              <w:rPr>
                <w:lang w:eastAsia="bg-BG"/>
              </w:rPr>
              <w:t>Аторвастатин</w:t>
            </w:r>
            <w:r w:rsidRPr="00BE2FFB">
              <w:rPr>
                <w:lang w:eastAsia="bg-BG"/>
              </w:rPr>
              <w:tab/>
              <w:t>и</w:t>
            </w:r>
          </w:p>
          <w:p w14:paraId="6E5AEFD5" w14:textId="040FFFC4" w:rsidR="00BE2FFB" w:rsidRPr="00BE2FFB" w:rsidRDefault="00BE2FFB" w:rsidP="00BE2FFB">
            <w:pPr>
              <w:rPr>
                <w:sz w:val="24"/>
                <w:szCs w:val="24"/>
              </w:rPr>
            </w:pPr>
            <w:r w:rsidRPr="00BE2FFB">
              <w:rPr>
                <w:lang w:eastAsia="bg-BG"/>
              </w:rPr>
              <w:t>схема на дозиране</w:t>
            </w:r>
          </w:p>
        </w:tc>
        <w:tc>
          <w:tcPr>
            <w:tcW w:w="7058" w:type="dxa"/>
            <w:gridSpan w:val="3"/>
          </w:tcPr>
          <w:p w14:paraId="7609DB41" w14:textId="3FBB06D1" w:rsidR="00BE2FFB" w:rsidRPr="00BE2FFB" w:rsidRDefault="00BE2FFB" w:rsidP="00BE2FFB">
            <w:pPr>
              <w:jc w:val="center"/>
              <w:rPr>
                <w:sz w:val="24"/>
                <w:szCs w:val="24"/>
              </w:rPr>
            </w:pPr>
            <w:r w:rsidRPr="00BE2FFB">
              <w:rPr>
                <w:lang w:eastAsia="bg-BG"/>
              </w:rPr>
              <w:t>Едновременно приложен лекарствен продукт</w:t>
            </w:r>
          </w:p>
        </w:tc>
      </w:tr>
      <w:tr w:rsidR="00BE2FFB" w14:paraId="7D684245" w14:textId="77777777" w:rsidTr="00BE2FFB">
        <w:tc>
          <w:tcPr>
            <w:tcW w:w="2518" w:type="dxa"/>
            <w:vMerge/>
          </w:tcPr>
          <w:p w14:paraId="297BDB9C" w14:textId="77777777" w:rsidR="00BE2FFB" w:rsidRDefault="00BE2FFB" w:rsidP="00BE2FFB">
            <w:pPr>
              <w:spacing w:line="240" w:lineRule="auto"/>
            </w:pPr>
          </w:p>
        </w:tc>
        <w:tc>
          <w:tcPr>
            <w:tcW w:w="2270" w:type="dxa"/>
          </w:tcPr>
          <w:p w14:paraId="4B07F111" w14:textId="77777777" w:rsidR="00BE2FFB" w:rsidRDefault="00BE2FFB" w:rsidP="00BE2FFB">
            <w:r>
              <w:t>Лекарствен продукт/Доза</w:t>
            </w:r>
          </w:p>
          <w:p w14:paraId="0FA4B18A" w14:textId="0AB7F86A" w:rsidR="00BE2FFB" w:rsidRDefault="00BE2FFB" w:rsidP="00BE2FFB">
            <w:r>
              <w:rPr>
                <w:u w:val="single"/>
                <w:lang w:val="en-US"/>
              </w:rPr>
              <w:t>(mg)</w:t>
            </w:r>
          </w:p>
        </w:tc>
        <w:tc>
          <w:tcPr>
            <w:tcW w:w="2394" w:type="dxa"/>
          </w:tcPr>
          <w:p w14:paraId="3C3BA1A6" w14:textId="4EC1A8D0" w:rsidR="00BE2FFB" w:rsidRDefault="00BE2FFB" w:rsidP="00BE2FFB">
            <w:r>
              <w:t xml:space="preserve">Промяна в </w:t>
            </w:r>
            <w:r>
              <w:rPr>
                <w:lang w:val="en-US"/>
              </w:rPr>
              <w:t>AIJC</w:t>
            </w:r>
            <w:r>
              <w:rPr>
                <w:vertAlign w:val="superscript"/>
                <w:lang w:val="en-US"/>
              </w:rPr>
              <w:t>&amp;</w:t>
            </w:r>
          </w:p>
        </w:tc>
        <w:tc>
          <w:tcPr>
            <w:tcW w:w="2394" w:type="dxa"/>
          </w:tcPr>
          <w:p w14:paraId="56B51EB7" w14:textId="76761724" w:rsidR="00BE2FFB" w:rsidRDefault="00BE2FFB" w:rsidP="00BE2FFB">
            <w:r>
              <w:t>Клинични препоръки</w:t>
            </w:r>
          </w:p>
        </w:tc>
      </w:tr>
      <w:tr w:rsidR="00BE2FFB" w14:paraId="496C18B5" w14:textId="77777777" w:rsidTr="00BE2FFB">
        <w:tc>
          <w:tcPr>
            <w:tcW w:w="2518" w:type="dxa"/>
          </w:tcPr>
          <w:p w14:paraId="23C35192" w14:textId="0FDB04EA" w:rsidR="00BE2FFB" w:rsidRPr="00BE2FFB" w:rsidRDefault="00BE2FFB" w:rsidP="00BE2FFB">
            <w:pPr>
              <w:spacing w:line="240" w:lineRule="auto"/>
            </w:pPr>
            <w:r w:rsidRPr="00BE2FFB">
              <w:lastRenderedPageBreak/>
              <w:t xml:space="preserve">80 </w:t>
            </w:r>
            <w:r w:rsidRPr="00BE2FFB">
              <w:rPr>
                <w:lang w:val="en-US"/>
              </w:rPr>
              <w:t>mg</w:t>
            </w:r>
            <w:r w:rsidRPr="00BE2FFB">
              <w:rPr>
                <w:lang w:val="ru-RU"/>
              </w:rPr>
              <w:t xml:space="preserve"> </w:t>
            </w:r>
            <w:r w:rsidRPr="00BE2FFB">
              <w:t>веднъж дневно за 10 дни</w:t>
            </w:r>
          </w:p>
        </w:tc>
        <w:tc>
          <w:tcPr>
            <w:tcW w:w="2270" w:type="dxa"/>
          </w:tcPr>
          <w:p w14:paraId="171D154C" w14:textId="605848E5" w:rsidR="00BE2FFB" w:rsidRPr="00BE2FFB" w:rsidRDefault="00BE2FFB" w:rsidP="00BE2FFB">
            <w:pPr>
              <w:spacing w:line="240" w:lineRule="auto"/>
            </w:pPr>
            <w:r w:rsidRPr="00BE2FFB">
              <w:t xml:space="preserve">Дигоксин 0,25 </w:t>
            </w:r>
            <w:r w:rsidRPr="00BE2FFB">
              <w:rPr>
                <w:lang w:val="en-US"/>
              </w:rPr>
              <w:t>mg</w:t>
            </w:r>
            <w:r w:rsidRPr="00BE2FFB">
              <w:rPr>
                <w:lang w:val="ru-RU"/>
              </w:rPr>
              <w:t xml:space="preserve"> </w:t>
            </w:r>
            <w:r w:rsidRPr="00BE2FFB">
              <w:t>веднъж дневно, 20 дни</w:t>
            </w:r>
          </w:p>
        </w:tc>
        <w:tc>
          <w:tcPr>
            <w:tcW w:w="2394" w:type="dxa"/>
          </w:tcPr>
          <w:p w14:paraId="51C6D47B" w14:textId="35F15966" w:rsidR="00BE2FFB" w:rsidRPr="00BE2FFB" w:rsidRDefault="00BE2FFB" w:rsidP="00BE2FFB">
            <w:pPr>
              <w:spacing w:line="240" w:lineRule="auto"/>
            </w:pPr>
            <w:r w:rsidRPr="00BE2FFB">
              <w:rPr>
                <w:lang w:val="en-US"/>
              </w:rPr>
              <w:t>↑</w:t>
            </w:r>
            <w:r w:rsidRPr="00BE2FFB">
              <w:t xml:space="preserve"> 15%</w:t>
            </w:r>
          </w:p>
        </w:tc>
        <w:tc>
          <w:tcPr>
            <w:tcW w:w="2394" w:type="dxa"/>
          </w:tcPr>
          <w:p w14:paraId="53D264A6" w14:textId="06FF8097" w:rsidR="00BE2FFB" w:rsidRPr="00BE2FFB" w:rsidRDefault="00BE2FFB" w:rsidP="00BE2FFB">
            <w:pPr>
              <w:spacing w:line="240" w:lineRule="auto"/>
            </w:pPr>
            <w:r w:rsidRPr="00BE2FFB">
              <w:t>Пациенти приемащи дигоксин трябва да бъдат внимателно проследявани</w:t>
            </w:r>
          </w:p>
        </w:tc>
      </w:tr>
      <w:tr w:rsidR="00BE2FFB" w14:paraId="13411312" w14:textId="77777777" w:rsidTr="00BE2FFB">
        <w:tc>
          <w:tcPr>
            <w:tcW w:w="2518" w:type="dxa"/>
          </w:tcPr>
          <w:p w14:paraId="52FCC0E1" w14:textId="12F4CEDD" w:rsidR="00BE2FFB" w:rsidRPr="00BE2FFB" w:rsidRDefault="00BE2FFB" w:rsidP="00BE2FFB">
            <w:pPr>
              <w:spacing w:line="240" w:lineRule="auto"/>
            </w:pPr>
            <w:r w:rsidRPr="00BE2FFB">
              <w:t xml:space="preserve">40 </w:t>
            </w:r>
            <w:r w:rsidRPr="00BE2FFB">
              <w:rPr>
                <w:lang w:val="en-US"/>
              </w:rPr>
              <w:t>mg</w:t>
            </w:r>
            <w:r w:rsidRPr="00BE2FFB">
              <w:rPr>
                <w:lang w:val="ru-RU"/>
              </w:rPr>
              <w:t xml:space="preserve"> </w:t>
            </w:r>
            <w:r w:rsidRPr="00BE2FFB">
              <w:t>веднъж дневно за 22 дни</w:t>
            </w:r>
          </w:p>
        </w:tc>
        <w:tc>
          <w:tcPr>
            <w:tcW w:w="2270" w:type="dxa"/>
          </w:tcPr>
          <w:p w14:paraId="54B0BBFE" w14:textId="77777777" w:rsidR="00BE2FFB" w:rsidRPr="00BE2FFB" w:rsidRDefault="00BE2FFB" w:rsidP="00BE2FFB">
            <w:r w:rsidRPr="00BE2FFB">
              <w:t xml:space="preserve">Перорални контрацептиви веднъж дневно, 2 месеца - Норетиндрон 1 </w:t>
            </w:r>
            <w:r w:rsidRPr="00BE2FFB">
              <w:rPr>
                <w:lang w:val="en-US"/>
              </w:rPr>
              <w:t>mg</w:t>
            </w:r>
            <w:r w:rsidRPr="00BE2FFB">
              <w:rPr>
                <w:lang w:val="ru-RU"/>
              </w:rPr>
              <w:t xml:space="preserve"> </w:t>
            </w:r>
            <w:r w:rsidRPr="00BE2FFB">
              <w:t>- Етинилестрадиол 35</w:t>
            </w:r>
          </w:p>
          <w:p w14:paraId="45804B82" w14:textId="1B28D299" w:rsidR="00BE2FFB" w:rsidRPr="00BE2FFB" w:rsidRDefault="00BE2FFB" w:rsidP="00BE2FFB">
            <w:pPr>
              <w:spacing w:line="240" w:lineRule="auto"/>
            </w:pPr>
            <w:r w:rsidRPr="00BE2FFB">
              <w:t>μ</w:t>
            </w:r>
            <w:r w:rsidRPr="00BE2FFB">
              <w:rPr>
                <w:lang w:val="en-US"/>
              </w:rPr>
              <w:t>g</w:t>
            </w:r>
          </w:p>
        </w:tc>
        <w:tc>
          <w:tcPr>
            <w:tcW w:w="2394" w:type="dxa"/>
          </w:tcPr>
          <w:p w14:paraId="65DD96E9" w14:textId="0823EA76" w:rsidR="00BE2FFB" w:rsidRPr="00BE2FFB" w:rsidRDefault="00BE2FFB" w:rsidP="00BE2FFB">
            <w:pPr>
              <w:spacing w:line="240" w:lineRule="auto"/>
            </w:pPr>
            <w:r w:rsidRPr="00BE2FFB">
              <w:rPr>
                <w:lang w:val="en-US"/>
              </w:rPr>
              <w:t xml:space="preserve">↑ </w:t>
            </w:r>
            <w:r w:rsidRPr="00BE2FFB">
              <w:t xml:space="preserve">28% </w:t>
            </w:r>
            <w:r w:rsidRPr="00BE2FFB">
              <w:rPr>
                <w:lang w:val="en-US"/>
              </w:rPr>
              <w:t>↑</w:t>
            </w:r>
            <w:r w:rsidRPr="00BE2FFB">
              <w:t>19%</w:t>
            </w:r>
          </w:p>
        </w:tc>
        <w:tc>
          <w:tcPr>
            <w:tcW w:w="2394" w:type="dxa"/>
          </w:tcPr>
          <w:p w14:paraId="00F35CF0" w14:textId="64E67127" w:rsidR="00BE2FFB" w:rsidRPr="00BE2FFB" w:rsidRDefault="00BE2FFB" w:rsidP="00BE2FFB">
            <w:pPr>
              <w:spacing w:line="240" w:lineRule="auto"/>
            </w:pPr>
            <w:r w:rsidRPr="00BE2FFB">
              <w:t>Няма специални препоръки</w:t>
            </w:r>
          </w:p>
        </w:tc>
      </w:tr>
      <w:tr w:rsidR="00BE2FFB" w14:paraId="6D0788F2" w14:textId="77777777" w:rsidTr="00BE2FFB">
        <w:tc>
          <w:tcPr>
            <w:tcW w:w="2518" w:type="dxa"/>
          </w:tcPr>
          <w:p w14:paraId="42854FA3" w14:textId="778FDF86" w:rsidR="00BE2FFB" w:rsidRPr="00BE2FFB" w:rsidRDefault="00BE2FFB" w:rsidP="00BE2FFB">
            <w:pPr>
              <w:spacing w:line="240" w:lineRule="auto"/>
            </w:pPr>
            <w:r w:rsidRPr="00BE2FFB">
              <w:t xml:space="preserve">80 </w:t>
            </w:r>
            <w:r w:rsidRPr="00BE2FFB">
              <w:rPr>
                <w:lang w:val="en-US"/>
              </w:rPr>
              <w:t>mg</w:t>
            </w:r>
            <w:r w:rsidRPr="00BE2FFB">
              <w:rPr>
                <w:lang w:val="ru-RU"/>
              </w:rPr>
              <w:t xml:space="preserve"> </w:t>
            </w:r>
            <w:r w:rsidRPr="00BE2FFB">
              <w:t>веднъж дневно за 15 дни</w:t>
            </w:r>
          </w:p>
        </w:tc>
        <w:tc>
          <w:tcPr>
            <w:tcW w:w="2270" w:type="dxa"/>
          </w:tcPr>
          <w:p w14:paraId="559383FE" w14:textId="437746B4" w:rsidR="00BE2FFB" w:rsidRPr="00BE2FFB" w:rsidRDefault="00BE2FFB" w:rsidP="00BE2FFB">
            <w:r>
              <w:t>*Феназон, 600</w:t>
            </w:r>
            <w:r w:rsidRPr="00BE2FFB">
              <w:rPr>
                <w:lang w:val="en-US"/>
              </w:rPr>
              <w:t>mg</w:t>
            </w:r>
          </w:p>
          <w:p w14:paraId="0F4D0B1A" w14:textId="173B7EA5" w:rsidR="00BE2FFB" w:rsidRPr="00BE2FFB" w:rsidRDefault="00BE2FFB" w:rsidP="00BE2FFB">
            <w:pPr>
              <w:spacing w:line="240" w:lineRule="auto"/>
            </w:pPr>
            <w:r w:rsidRPr="00BE2FFB">
              <w:t>еднократна доза</w:t>
            </w:r>
          </w:p>
        </w:tc>
        <w:tc>
          <w:tcPr>
            <w:tcW w:w="2394" w:type="dxa"/>
          </w:tcPr>
          <w:p w14:paraId="19AFAF60" w14:textId="60762B79" w:rsidR="00BE2FFB" w:rsidRPr="00BE2FFB" w:rsidRDefault="00BE2FFB" w:rsidP="00BE2FFB">
            <w:pPr>
              <w:spacing w:line="240" w:lineRule="auto"/>
            </w:pPr>
            <w:r w:rsidRPr="00BE2FFB">
              <w:rPr>
                <w:lang w:val="en-US"/>
              </w:rPr>
              <w:t>↑</w:t>
            </w:r>
            <w:r w:rsidRPr="00BE2FFB">
              <w:t>3%</w:t>
            </w:r>
          </w:p>
        </w:tc>
        <w:tc>
          <w:tcPr>
            <w:tcW w:w="2394" w:type="dxa"/>
          </w:tcPr>
          <w:p w14:paraId="03E7C1EE" w14:textId="306EAF41" w:rsidR="00BE2FFB" w:rsidRPr="00BE2FFB" w:rsidRDefault="00BE2FFB" w:rsidP="00BE2FFB">
            <w:pPr>
              <w:spacing w:line="240" w:lineRule="auto"/>
            </w:pPr>
            <w:r w:rsidRPr="00BE2FFB">
              <w:t>Няма специални препоръки</w:t>
            </w:r>
          </w:p>
        </w:tc>
      </w:tr>
      <w:tr w:rsidR="00BE2FFB" w14:paraId="30B034E7" w14:textId="77777777" w:rsidTr="00BE2FFB">
        <w:tc>
          <w:tcPr>
            <w:tcW w:w="2518" w:type="dxa"/>
          </w:tcPr>
          <w:p w14:paraId="551DA2AD" w14:textId="2146127A" w:rsidR="00BE2FFB" w:rsidRPr="00BE2FFB" w:rsidRDefault="00BE2FFB" w:rsidP="00BE2FFB">
            <w:pPr>
              <w:spacing w:line="240" w:lineRule="auto"/>
            </w:pPr>
            <w:r w:rsidRPr="00BE2FFB">
              <w:t xml:space="preserve">10 </w:t>
            </w:r>
            <w:r w:rsidRPr="00BE2FFB">
              <w:rPr>
                <w:lang w:val="en-US"/>
              </w:rPr>
              <w:t xml:space="preserve">mg </w:t>
            </w:r>
            <w:r w:rsidRPr="00BE2FFB">
              <w:t>еднократна доза</w:t>
            </w:r>
          </w:p>
        </w:tc>
        <w:tc>
          <w:tcPr>
            <w:tcW w:w="2270" w:type="dxa"/>
          </w:tcPr>
          <w:p w14:paraId="6CF69CF0" w14:textId="183F9F33" w:rsidR="00BE2FFB" w:rsidRPr="00BE2FFB" w:rsidRDefault="00BE2FFB" w:rsidP="00BE2FFB">
            <w:pPr>
              <w:spacing w:line="240" w:lineRule="auto"/>
            </w:pPr>
            <w:r w:rsidRPr="00BE2FFB">
              <w:t xml:space="preserve">Типранавир 500 </w:t>
            </w:r>
            <w:r w:rsidRPr="00BE2FFB">
              <w:rPr>
                <w:lang w:val="en-US"/>
              </w:rPr>
              <w:t>mg</w:t>
            </w:r>
            <w:r w:rsidRPr="00BE2FFB">
              <w:rPr>
                <w:lang w:val="ru-RU"/>
              </w:rPr>
              <w:t xml:space="preserve"> </w:t>
            </w:r>
            <w:r w:rsidRPr="00BE2FFB">
              <w:t xml:space="preserve">два пъти дневно/Ритонавир 200 </w:t>
            </w:r>
            <w:r w:rsidRPr="00BE2FFB">
              <w:rPr>
                <w:lang w:val="en-US"/>
              </w:rPr>
              <w:t>mg</w:t>
            </w:r>
            <w:r w:rsidRPr="00BE2FFB">
              <w:rPr>
                <w:lang w:val="ru-RU"/>
              </w:rPr>
              <w:t xml:space="preserve"> </w:t>
            </w:r>
            <w:r w:rsidRPr="00BE2FFB">
              <w:t>два пъти дневно, 7 дни</w:t>
            </w:r>
          </w:p>
        </w:tc>
        <w:tc>
          <w:tcPr>
            <w:tcW w:w="2394" w:type="dxa"/>
          </w:tcPr>
          <w:p w14:paraId="4BEF9813" w14:textId="5BCB28F0" w:rsidR="00BE2FFB" w:rsidRPr="00BE2FFB" w:rsidRDefault="00BE2FFB" w:rsidP="00BE2FFB">
            <w:pPr>
              <w:spacing w:line="240" w:lineRule="auto"/>
            </w:pPr>
            <w:r w:rsidRPr="00BE2FFB">
              <w:t>Няма промяна</w:t>
            </w:r>
          </w:p>
        </w:tc>
        <w:tc>
          <w:tcPr>
            <w:tcW w:w="2394" w:type="dxa"/>
          </w:tcPr>
          <w:p w14:paraId="41A9F887" w14:textId="1BEE6EFC" w:rsidR="00BE2FFB" w:rsidRPr="00BE2FFB" w:rsidRDefault="00BE2FFB" w:rsidP="00BE2FFB">
            <w:pPr>
              <w:spacing w:line="240" w:lineRule="auto"/>
            </w:pPr>
            <w:r w:rsidRPr="00BE2FFB">
              <w:t xml:space="preserve">Няма </w:t>
            </w:r>
            <w:r w:rsidRPr="00BE2FFB">
              <w:rPr>
                <w:i/>
                <w:iCs/>
              </w:rPr>
              <w:t xml:space="preserve">специални </w:t>
            </w:r>
            <w:r w:rsidRPr="00BE2FFB">
              <w:t>препоръки</w:t>
            </w:r>
          </w:p>
        </w:tc>
      </w:tr>
      <w:tr w:rsidR="00BE2FFB" w14:paraId="77C57138" w14:textId="77777777" w:rsidTr="00BE2FFB">
        <w:tc>
          <w:tcPr>
            <w:tcW w:w="2518" w:type="dxa"/>
          </w:tcPr>
          <w:p w14:paraId="72EA3DEF" w14:textId="25246D53" w:rsidR="00BE2FFB" w:rsidRPr="00BE2FFB" w:rsidRDefault="00BE2FFB" w:rsidP="00BE2FFB">
            <w:pPr>
              <w:spacing w:line="240" w:lineRule="auto"/>
            </w:pPr>
            <w:r w:rsidRPr="00BE2FFB">
              <w:t xml:space="preserve">10 </w:t>
            </w:r>
            <w:r w:rsidRPr="00BE2FFB">
              <w:rPr>
                <w:lang w:val="en-US"/>
              </w:rPr>
              <w:t>mg</w:t>
            </w:r>
            <w:r w:rsidRPr="00BE2FFB">
              <w:rPr>
                <w:lang w:val="ru-RU"/>
              </w:rPr>
              <w:t xml:space="preserve"> </w:t>
            </w:r>
            <w:r w:rsidRPr="00BE2FFB">
              <w:t>веднъж дневно за 4 дни</w:t>
            </w:r>
          </w:p>
        </w:tc>
        <w:tc>
          <w:tcPr>
            <w:tcW w:w="2270" w:type="dxa"/>
          </w:tcPr>
          <w:p w14:paraId="1F56E69F" w14:textId="0182D057" w:rsidR="00BE2FFB" w:rsidRPr="00BE2FFB" w:rsidRDefault="00BE2FFB" w:rsidP="00BE2FFB">
            <w:pPr>
              <w:spacing w:line="240" w:lineRule="auto"/>
            </w:pPr>
            <w:r w:rsidRPr="00BE2FFB">
              <w:t xml:space="preserve">Фозампренавир 1400 </w:t>
            </w:r>
            <w:r w:rsidRPr="00BE2FFB">
              <w:rPr>
                <w:lang w:val="en-US"/>
              </w:rPr>
              <w:t>mg</w:t>
            </w:r>
            <w:r w:rsidRPr="00BE2FFB">
              <w:rPr>
                <w:lang w:val="ru-RU"/>
              </w:rPr>
              <w:t xml:space="preserve"> </w:t>
            </w:r>
            <w:r w:rsidRPr="00BE2FFB">
              <w:t>два пъти дневно, 14 дни</w:t>
            </w:r>
          </w:p>
        </w:tc>
        <w:tc>
          <w:tcPr>
            <w:tcW w:w="2394" w:type="dxa"/>
          </w:tcPr>
          <w:p w14:paraId="63DA31B5" w14:textId="127F3C27" w:rsidR="00BE2FFB" w:rsidRPr="00BE2FFB" w:rsidRDefault="00BE2FFB" w:rsidP="00BE2FFB">
            <w:pPr>
              <w:spacing w:line="240" w:lineRule="auto"/>
            </w:pPr>
            <w:r w:rsidRPr="00BE2FFB">
              <w:rPr>
                <w:lang w:val="en-US"/>
              </w:rPr>
              <w:t>↓</w:t>
            </w:r>
            <w:r w:rsidRPr="00BE2FFB">
              <w:t xml:space="preserve"> 27%</w:t>
            </w:r>
          </w:p>
        </w:tc>
        <w:tc>
          <w:tcPr>
            <w:tcW w:w="2394" w:type="dxa"/>
          </w:tcPr>
          <w:p w14:paraId="44B1E5B0" w14:textId="36334D88" w:rsidR="00BE2FFB" w:rsidRPr="00BE2FFB" w:rsidRDefault="00BE2FFB" w:rsidP="00BE2FFB">
            <w:pPr>
              <w:spacing w:line="240" w:lineRule="auto"/>
            </w:pPr>
            <w:r w:rsidRPr="00BE2FFB">
              <w:t>Няма специални препоръки</w:t>
            </w:r>
          </w:p>
        </w:tc>
      </w:tr>
      <w:tr w:rsidR="00BE2FFB" w14:paraId="146CD715" w14:textId="77777777" w:rsidTr="00BE2FFB">
        <w:tc>
          <w:tcPr>
            <w:tcW w:w="2518" w:type="dxa"/>
          </w:tcPr>
          <w:p w14:paraId="6C955AD7" w14:textId="69322392" w:rsidR="00BE2FFB" w:rsidRPr="00BE2FFB" w:rsidRDefault="00BE2FFB" w:rsidP="00BE2FFB">
            <w:pPr>
              <w:spacing w:line="240" w:lineRule="auto"/>
            </w:pPr>
            <w:r w:rsidRPr="00BE2FFB">
              <w:t xml:space="preserve">10 </w:t>
            </w:r>
            <w:r w:rsidRPr="00BE2FFB">
              <w:rPr>
                <w:lang w:val="en-US"/>
              </w:rPr>
              <w:t>mg</w:t>
            </w:r>
            <w:r w:rsidRPr="00BE2FFB">
              <w:rPr>
                <w:lang w:val="ru-RU"/>
              </w:rPr>
              <w:t xml:space="preserve"> </w:t>
            </w:r>
            <w:r w:rsidRPr="00BE2FFB">
              <w:t>веднъж дневно за 4 дни</w:t>
            </w:r>
          </w:p>
        </w:tc>
        <w:tc>
          <w:tcPr>
            <w:tcW w:w="2270" w:type="dxa"/>
          </w:tcPr>
          <w:p w14:paraId="38CAE0B8" w14:textId="438B935F" w:rsidR="00BE2FFB" w:rsidRPr="00BE2FFB" w:rsidRDefault="00BE2FFB" w:rsidP="00BE2FFB">
            <w:pPr>
              <w:spacing w:line="240" w:lineRule="auto"/>
            </w:pPr>
            <w:r w:rsidRPr="00BE2FFB">
              <w:t xml:space="preserve">Фозапренавир 700 </w:t>
            </w:r>
            <w:r w:rsidRPr="00BE2FFB">
              <w:rPr>
                <w:lang w:val="en-US"/>
              </w:rPr>
              <w:t>mg</w:t>
            </w:r>
            <w:r w:rsidRPr="00BE2FFB">
              <w:rPr>
                <w:lang w:val="ru-RU"/>
              </w:rPr>
              <w:t xml:space="preserve"> </w:t>
            </w:r>
            <w:r w:rsidRPr="00BE2FFB">
              <w:t xml:space="preserve">два пъти дневно/Ритонавир 100 </w:t>
            </w:r>
            <w:r w:rsidRPr="00BE2FFB">
              <w:rPr>
                <w:lang w:val="en-US"/>
              </w:rPr>
              <w:t>mg</w:t>
            </w:r>
            <w:r w:rsidRPr="00BE2FFB">
              <w:rPr>
                <w:lang w:val="ru-RU"/>
              </w:rPr>
              <w:t xml:space="preserve"> </w:t>
            </w:r>
            <w:r w:rsidRPr="00BE2FFB">
              <w:t>два пъ</w:t>
            </w:r>
            <w:r w:rsidRPr="00BE2FFB">
              <w:rPr>
                <w:u w:val="single"/>
              </w:rPr>
              <w:t>ти дне</w:t>
            </w:r>
            <w:r w:rsidRPr="00BE2FFB">
              <w:t>вно, 14 дни</w:t>
            </w:r>
          </w:p>
        </w:tc>
        <w:tc>
          <w:tcPr>
            <w:tcW w:w="2394" w:type="dxa"/>
          </w:tcPr>
          <w:p w14:paraId="5A1BBB00" w14:textId="5CA17C9A" w:rsidR="00BE2FFB" w:rsidRPr="00BE2FFB" w:rsidRDefault="00BE2FFB" w:rsidP="00BE2FFB">
            <w:pPr>
              <w:spacing w:line="240" w:lineRule="auto"/>
            </w:pPr>
            <w:r w:rsidRPr="00BE2FFB">
              <w:t>Няма промяна</w:t>
            </w:r>
          </w:p>
        </w:tc>
        <w:tc>
          <w:tcPr>
            <w:tcW w:w="2394" w:type="dxa"/>
          </w:tcPr>
          <w:p w14:paraId="74E1C5C4" w14:textId="3A35F8A9" w:rsidR="00BE2FFB" w:rsidRPr="00BE2FFB" w:rsidRDefault="00BE2FFB" w:rsidP="00BE2FFB">
            <w:pPr>
              <w:spacing w:line="240" w:lineRule="auto"/>
            </w:pPr>
            <w:r w:rsidRPr="00BE2FFB">
              <w:t>Няма специални препоръки</w:t>
            </w:r>
          </w:p>
        </w:tc>
      </w:tr>
    </w:tbl>
    <w:p w14:paraId="48C5E96D" w14:textId="77777777" w:rsidR="00BE2FFB" w:rsidRPr="00BE2FFB" w:rsidRDefault="00BE2FFB" w:rsidP="00BE2FFB">
      <w:pPr>
        <w:rPr>
          <w:sz w:val="24"/>
          <w:szCs w:val="24"/>
        </w:rPr>
      </w:pPr>
      <w:r w:rsidRPr="00BE2FFB">
        <w:rPr>
          <w:vertAlign w:val="superscript"/>
          <w:lang w:eastAsia="bg-BG"/>
        </w:rPr>
        <w:t>&amp;</w:t>
      </w:r>
      <w:r w:rsidRPr="00BE2FFB">
        <w:rPr>
          <w:lang w:eastAsia="bg-BG"/>
        </w:rPr>
        <w:t>Стойностите дадени като % промяна представят % разлика по отношение на самостоятелно приложен аторвастатин (т.е. 0% = няма промяна)</w:t>
      </w:r>
    </w:p>
    <w:p w14:paraId="6B98C3F3" w14:textId="77777777" w:rsidR="00BE2FFB" w:rsidRPr="00BE2FFB" w:rsidRDefault="00BE2FFB" w:rsidP="00BE2FFB">
      <w:pPr>
        <w:rPr>
          <w:sz w:val="24"/>
          <w:szCs w:val="24"/>
        </w:rPr>
      </w:pPr>
      <w:r w:rsidRPr="00BE2FFB">
        <w:rPr>
          <w:lang w:eastAsia="bg-BG"/>
        </w:rPr>
        <w:t>*Едновременното прилагане на многократни дози аторвастатин и феназон показват малък или недоловим ефект върху клирънса на феназон.</w:t>
      </w:r>
    </w:p>
    <w:p w14:paraId="759847BB" w14:textId="3076CBEA" w:rsidR="00BE2FFB" w:rsidRDefault="00BE2FFB" w:rsidP="00BE2FFB">
      <w:pPr>
        <w:rPr>
          <w:lang w:eastAsia="bg-BG"/>
        </w:rPr>
      </w:pPr>
      <w:r w:rsidRPr="00BE2FFB">
        <w:rPr>
          <w:lang w:eastAsia="bg-BG"/>
        </w:rPr>
        <w:t>Повишението е означено като „</w:t>
      </w:r>
      <w:r w:rsidRPr="00BE2FFB">
        <w:rPr>
          <w:lang w:val="ru-RU"/>
        </w:rPr>
        <w:t>↑</w:t>
      </w:r>
      <w:r w:rsidRPr="00BE2FFB">
        <w:rPr>
          <w:lang w:eastAsia="bg-BG"/>
        </w:rPr>
        <w:t>“, понижението като ,</w:t>
      </w:r>
      <w:r w:rsidRPr="00BE2FFB">
        <w:rPr>
          <w:lang w:val="ru-RU"/>
        </w:rPr>
        <w:t>↓</w:t>
      </w:r>
      <w:r w:rsidRPr="00BE2FFB">
        <w:rPr>
          <w:lang w:eastAsia="bg-BG"/>
        </w:rPr>
        <w:t>“.</w:t>
      </w:r>
    </w:p>
    <w:p w14:paraId="5879A3C7" w14:textId="77777777" w:rsidR="00BE2FFB" w:rsidRPr="00BE2FFB" w:rsidRDefault="00BE2FFB" w:rsidP="00BE2FFB"/>
    <w:p w14:paraId="394A7584" w14:textId="0E5C1554" w:rsidR="004F498A" w:rsidRDefault="002C50EE" w:rsidP="004A448E">
      <w:pPr>
        <w:pStyle w:val="Heading2"/>
      </w:pPr>
      <w:r>
        <w:t>4.6. Фертилитет, бременност и кърмене</w:t>
      </w:r>
    </w:p>
    <w:p w14:paraId="7DAAE3A5" w14:textId="4D8CE5FB" w:rsidR="00BE2FFB" w:rsidRDefault="00BE2FFB" w:rsidP="00BE2FFB"/>
    <w:p w14:paraId="5798433D" w14:textId="77777777"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Жени с детероден потенциал</w:t>
      </w:r>
    </w:p>
    <w:p w14:paraId="07585082"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Жените с детероден потенциал трябва да използват ефективна контрацепция по време на лечението (вж. точка 4.3).</w:t>
      </w:r>
    </w:p>
    <w:p w14:paraId="3BF2398F" w14:textId="77777777" w:rsidR="00BE2FFB" w:rsidRPr="00BE2FFB" w:rsidRDefault="00BE2FFB" w:rsidP="00BE2FFB">
      <w:pPr>
        <w:spacing w:line="240" w:lineRule="auto"/>
        <w:rPr>
          <w:rFonts w:eastAsia="Times New Roman" w:cs="Arial"/>
          <w:color w:val="000000"/>
          <w:u w:val="single"/>
          <w:lang w:eastAsia="bg-BG"/>
        </w:rPr>
      </w:pPr>
    </w:p>
    <w:p w14:paraId="62153A6E" w14:textId="466C186F" w:rsidR="00BE2FFB" w:rsidRPr="00BE2FFB" w:rsidRDefault="00BE2FFB" w:rsidP="00BE2FFB">
      <w:pPr>
        <w:pStyle w:val="Heading3"/>
        <w:rPr>
          <w:rFonts w:eastAsia="Times New Roman"/>
          <w:u w:val="single"/>
        </w:rPr>
      </w:pPr>
      <w:r w:rsidRPr="00BE2FFB">
        <w:rPr>
          <w:rFonts w:eastAsia="Times New Roman"/>
          <w:u w:val="single"/>
          <w:lang w:eastAsia="bg-BG"/>
        </w:rPr>
        <w:t>Бременност</w:t>
      </w:r>
    </w:p>
    <w:p w14:paraId="636F786F" w14:textId="5696F79E" w:rsidR="00BE2FFB" w:rsidRPr="00BE2FFB" w:rsidRDefault="00BE2FFB" w:rsidP="00BE2FFB">
      <w:pPr>
        <w:spacing w:line="240" w:lineRule="auto"/>
        <w:rPr>
          <w:rFonts w:eastAsia="Times New Roman" w:cs="Arial"/>
          <w:color w:val="000000"/>
          <w:lang w:eastAsia="bg-BG"/>
        </w:rPr>
      </w:pPr>
      <w:r w:rsidRPr="00BE2FFB">
        <w:rPr>
          <w:rFonts w:eastAsia="Times New Roman" w:cs="Arial"/>
          <w:color w:val="000000"/>
          <w:lang w:eastAsia="bg-BG"/>
        </w:rPr>
        <w:t xml:space="preserve">Аторвастатин е противопоказан по време на бременност (вж. точка 4.3). Безопасността при бременни жени не е установена. Не са провеждани контролирани клинични проучвания с аторвастатин при бременни жени. Рядко са получавани съобщения за вродени аномалии след интраутеринна експозиция на </w:t>
      </w:r>
      <w:r w:rsidRPr="00BE2FFB">
        <w:rPr>
          <w:rFonts w:eastAsia="Times New Roman" w:cs="Arial"/>
          <w:color w:val="000000"/>
          <w:lang w:val="en-US"/>
        </w:rPr>
        <w:t>HMG</w:t>
      </w:r>
      <w:r w:rsidRPr="00BE2FFB">
        <w:rPr>
          <w:rFonts w:eastAsia="Times New Roman" w:cs="Arial"/>
          <w:color w:val="000000"/>
          <w:lang w:eastAsia="bg-BG"/>
        </w:rPr>
        <w:t>-СоА-редуктазни инхибитори. Проучванията при животни показват репродуктивна токсичност (вж. точка 5.3).</w:t>
      </w:r>
    </w:p>
    <w:p w14:paraId="78A64BFA" w14:textId="1EBD9F06" w:rsidR="00BE2FFB" w:rsidRPr="00BE2FFB" w:rsidRDefault="00BE2FFB" w:rsidP="00BE2FFB">
      <w:pPr>
        <w:spacing w:line="240" w:lineRule="auto"/>
        <w:rPr>
          <w:rFonts w:eastAsia="Times New Roman" w:cs="Arial"/>
          <w:color w:val="000000"/>
          <w:lang w:eastAsia="bg-BG"/>
        </w:rPr>
      </w:pPr>
    </w:p>
    <w:p w14:paraId="620D57E8"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Лечението на майката с аторвастатин може да понижи феталните нива на мевалонат, който е прекурсор на холестероловата биосинтеза, Атеросклерозата е хроничен процес и обикновено прекратяването на липидопонижаващия лекарствен продукт по време на </w:t>
      </w:r>
      <w:r w:rsidRPr="00BE2FFB">
        <w:rPr>
          <w:rFonts w:eastAsia="Times New Roman" w:cs="Arial"/>
          <w:color w:val="000000"/>
          <w:lang w:eastAsia="bg-BG"/>
        </w:rPr>
        <w:lastRenderedPageBreak/>
        <w:t>бременност би трябвало да има малък ефект по отношение на дългосрочния риск, свързан с първичната хиперхолестеролемия.</w:t>
      </w:r>
    </w:p>
    <w:p w14:paraId="3035D217" w14:textId="77777777" w:rsidR="00BE2FFB" w:rsidRDefault="00BE2FFB" w:rsidP="00BE2FFB">
      <w:pPr>
        <w:spacing w:line="240" w:lineRule="auto"/>
        <w:rPr>
          <w:rFonts w:eastAsia="Times New Roman" w:cs="Arial"/>
          <w:i/>
          <w:iCs/>
          <w:color w:val="000000"/>
          <w:lang w:eastAsia="bg-BG"/>
        </w:rPr>
      </w:pPr>
    </w:p>
    <w:p w14:paraId="1CCAEDE9" w14:textId="77777777" w:rsidR="00BE2FFB" w:rsidRDefault="00BE2FFB" w:rsidP="00BE2FFB">
      <w:pPr>
        <w:spacing w:line="240" w:lineRule="auto"/>
        <w:rPr>
          <w:rFonts w:eastAsia="Times New Roman" w:cs="Arial"/>
          <w:color w:val="000000"/>
          <w:lang w:eastAsia="bg-BG"/>
        </w:rPr>
      </w:pPr>
      <w:r w:rsidRPr="00BE2FFB">
        <w:rPr>
          <w:rFonts w:eastAsia="Times New Roman" w:cs="Arial"/>
          <w:i/>
          <w:iCs/>
          <w:color w:val="000000"/>
          <w:lang w:eastAsia="bg-BG"/>
        </w:rPr>
        <w:t>По тези причини Аторвин не трябва</w:t>
      </w:r>
      <w:r w:rsidRPr="00BE2FFB">
        <w:rPr>
          <w:rFonts w:eastAsia="Times New Roman" w:cs="Arial"/>
          <w:color w:val="000000"/>
          <w:lang w:eastAsia="bg-BG"/>
        </w:rPr>
        <w:t xml:space="preserve"> да се прилага при жени, които са бременни, опитват се да забременеят или подозират, че са бременни. Лечението с Аторвин трябва да се преустанови за периода на бременността или докато се установи липса на </w:t>
      </w:r>
    </w:p>
    <w:p w14:paraId="34F250CC" w14:textId="1BC9839D" w:rsidR="00BE2FFB" w:rsidRPr="00BE2FFB" w:rsidRDefault="00BE2FFB" w:rsidP="00BE2FFB">
      <w:pPr>
        <w:spacing w:line="240" w:lineRule="auto"/>
        <w:rPr>
          <w:rFonts w:eastAsia="Times New Roman" w:cs="Arial"/>
        </w:rPr>
      </w:pPr>
      <w:r w:rsidRPr="00BE2FFB">
        <w:rPr>
          <w:rFonts w:eastAsia="Times New Roman" w:cs="Arial"/>
          <w:color w:val="000000"/>
          <w:lang w:eastAsia="bg-BG"/>
        </w:rPr>
        <w:t>бременност (вж. точка 4.3).</w:t>
      </w:r>
    </w:p>
    <w:p w14:paraId="4FBC884A" w14:textId="77777777" w:rsidR="00BE2FFB" w:rsidRDefault="00BE2FFB" w:rsidP="00BE2FFB">
      <w:pPr>
        <w:spacing w:line="240" w:lineRule="auto"/>
        <w:rPr>
          <w:rFonts w:eastAsia="Times New Roman" w:cs="Arial"/>
          <w:color w:val="000000"/>
          <w:u w:val="single"/>
          <w:lang w:eastAsia="bg-BG"/>
        </w:rPr>
      </w:pPr>
    </w:p>
    <w:p w14:paraId="4F128311" w14:textId="3015CF40" w:rsidR="00BE2FFB" w:rsidRPr="00BE2FFB" w:rsidRDefault="00BE2FFB" w:rsidP="00BE2FFB">
      <w:pPr>
        <w:pStyle w:val="Heading3"/>
        <w:rPr>
          <w:rFonts w:eastAsia="Times New Roman"/>
          <w:u w:val="single"/>
        </w:rPr>
      </w:pPr>
      <w:r w:rsidRPr="00BE2FFB">
        <w:rPr>
          <w:rFonts w:eastAsia="Times New Roman"/>
          <w:u w:val="single"/>
          <w:lang w:eastAsia="bg-BG"/>
        </w:rPr>
        <w:t>Кърмене</w:t>
      </w:r>
    </w:p>
    <w:p w14:paraId="143AFEAB"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Не е известно дали лекарственото средство и метаболитите му се екскретират в кърмата.</w:t>
      </w:r>
    </w:p>
    <w:p w14:paraId="36489148"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При плъхове плазмените концентрации на аторвастатин и неговите активни метаболити са близки до тези в кърмата (вж. точка 5.3). Поради възможността за сериозни нежелани реакции, жените приемащи Аторвин, трябва да преустановят кърменето (вж. точка 4.3). Аторвастатин е противопоказан по време на кърмене, (вж, точка 4.3).</w:t>
      </w:r>
    </w:p>
    <w:p w14:paraId="1F48E1A7" w14:textId="77777777" w:rsidR="00BE2FFB" w:rsidRPr="00BE2FFB" w:rsidRDefault="00BE2FFB" w:rsidP="00BE2FFB">
      <w:pPr>
        <w:spacing w:line="240" w:lineRule="auto"/>
        <w:rPr>
          <w:rFonts w:eastAsia="Times New Roman" w:cs="Arial"/>
          <w:color w:val="000000"/>
          <w:u w:val="single"/>
          <w:lang w:eastAsia="bg-BG"/>
        </w:rPr>
      </w:pPr>
    </w:p>
    <w:p w14:paraId="18FA429D" w14:textId="749BFD14" w:rsidR="00BE2FFB" w:rsidRPr="00BE2FFB" w:rsidRDefault="00BE2FFB" w:rsidP="00BE2FFB">
      <w:pPr>
        <w:pStyle w:val="Heading3"/>
        <w:rPr>
          <w:rFonts w:eastAsia="Times New Roman"/>
          <w:u w:val="single"/>
        </w:rPr>
      </w:pPr>
      <w:r w:rsidRPr="00BE2FFB">
        <w:rPr>
          <w:rFonts w:eastAsia="Times New Roman"/>
          <w:u w:val="single"/>
          <w:lang w:eastAsia="bg-BG"/>
        </w:rPr>
        <w:t>Фертилитет</w:t>
      </w:r>
    </w:p>
    <w:p w14:paraId="53DA3123"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Проучванията при животни не показват влияние на аторвастатин върху мъжкия и женския фертилитет (вж. точка 5.3).</w:t>
      </w:r>
    </w:p>
    <w:p w14:paraId="315F9C1C" w14:textId="0EC56803" w:rsidR="00BE2FFB" w:rsidRPr="00BE2FFB" w:rsidRDefault="00BE2FFB" w:rsidP="00BE2FFB"/>
    <w:p w14:paraId="064DF1DE" w14:textId="4633E87F" w:rsidR="00CF77F7" w:rsidRDefault="002C50EE" w:rsidP="004A448E">
      <w:pPr>
        <w:pStyle w:val="Heading2"/>
      </w:pPr>
      <w:r>
        <w:t>4.7. Ефекти върху способността за шофиране и работа с машини</w:t>
      </w:r>
    </w:p>
    <w:p w14:paraId="506B2CD3" w14:textId="3AA36894" w:rsidR="00BE2FFB" w:rsidRDefault="00BE2FFB" w:rsidP="00BE2FFB"/>
    <w:p w14:paraId="56CAF045" w14:textId="77777777" w:rsidR="00BE2FFB" w:rsidRPr="00BE2FFB" w:rsidRDefault="00BE2FFB" w:rsidP="00BE2FFB">
      <w:pPr>
        <w:rPr>
          <w:sz w:val="24"/>
          <w:szCs w:val="24"/>
        </w:rPr>
      </w:pPr>
      <w:r w:rsidRPr="00BE2FFB">
        <w:rPr>
          <w:lang w:eastAsia="bg-BG"/>
        </w:rPr>
        <w:t>Аторвин не повлиява или повлиява пренебрежимо способността за шофиране и работа с машини.</w:t>
      </w:r>
    </w:p>
    <w:p w14:paraId="29EFCC02" w14:textId="77777777" w:rsidR="00BE2FFB" w:rsidRPr="00BE2FFB" w:rsidRDefault="00BE2FFB" w:rsidP="00BE2FFB"/>
    <w:p w14:paraId="37A3FD9F" w14:textId="42707C2E" w:rsidR="00CF77F7" w:rsidRDefault="002C50EE" w:rsidP="004A448E">
      <w:pPr>
        <w:pStyle w:val="Heading2"/>
      </w:pPr>
      <w:r>
        <w:t>4.8. Нежелани лекарствени реакции</w:t>
      </w:r>
    </w:p>
    <w:p w14:paraId="7058C6E0" w14:textId="18D27B3C" w:rsidR="00BE2FFB" w:rsidRDefault="00BE2FFB" w:rsidP="00BE2FFB"/>
    <w:p w14:paraId="59D144E5"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Според базата данни от плацебо контролирани проучвания с аторвастатин от 16 066 (8 755, приемащи аторвастатин и 7311, приемащи плацебо) пациенти, лекувани в продължение на средно 53 седмици, 5,2% от пациентите на аторвастатин са прекратили лечението поради нежелани лекарствени реакции, в сравнение с 4% от пациентите на плацебо.</w:t>
      </w:r>
    </w:p>
    <w:p w14:paraId="557D415C" w14:textId="77777777" w:rsidR="00BE2FFB" w:rsidRDefault="00BE2FFB" w:rsidP="00BE2FFB">
      <w:pPr>
        <w:spacing w:line="240" w:lineRule="auto"/>
        <w:rPr>
          <w:rFonts w:eastAsia="Times New Roman" w:cs="Arial"/>
          <w:color w:val="000000"/>
          <w:lang w:eastAsia="bg-BG"/>
        </w:rPr>
      </w:pPr>
    </w:p>
    <w:p w14:paraId="4C4CEC24" w14:textId="5A99B338" w:rsidR="00BE2FFB" w:rsidRPr="00BE2FFB" w:rsidRDefault="00BE2FFB" w:rsidP="00BE2FFB">
      <w:pPr>
        <w:spacing w:line="240" w:lineRule="auto"/>
        <w:rPr>
          <w:rFonts w:eastAsia="Times New Roman" w:cs="Arial"/>
        </w:rPr>
      </w:pPr>
      <w:r w:rsidRPr="00BE2FFB">
        <w:rPr>
          <w:rFonts w:eastAsia="Times New Roman" w:cs="Arial"/>
          <w:color w:val="000000"/>
          <w:lang w:eastAsia="bg-BG"/>
        </w:rPr>
        <w:t>Въз основа на данните от клинични проучвания и обширния постмаркетингов опит по-долу е представен профилът на нежеланите лекарствени реакции на аторвастатин.</w:t>
      </w:r>
    </w:p>
    <w:p w14:paraId="62365CF9" w14:textId="77777777" w:rsidR="00BE2FFB" w:rsidRDefault="00BE2FFB" w:rsidP="00BE2FFB">
      <w:pPr>
        <w:spacing w:line="240" w:lineRule="auto"/>
        <w:rPr>
          <w:rFonts w:eastAsia="Times New Roman" w:cs="Arial"/>
          <w:color w:val="000000"/>
          <w:lang w:eastAsia="bg-BG"/>
        </w:rPr>
      </w:pPr>
    </w:p>
    <w:p w14:paraId="3E0C10F2" w14:textId="35E9B7A1" w:rsidR="00BE2FFB" w:rsidRPr="00BE2FFB" w:rsidRDefault="00BE2FFB" w:rsidP="00BE2FFB">
      <w:pPr>
        <w:spacing w:line="240" w:lineRule="auto"/>
        <w:rPr>
          <w:rFonts w:eastAsia="Times New Roman" w:cs="Arial"/>
        </w:rPr>
      </w:pPr>
      <w:r w:rsidRPr="00BE2FFB">
        <w:rPr>
          <w:rFonts w:eastAsia="Times New Roman" w:cs="Arial"/>
          <w:color w:val="000000"/>
          <w:lang w:eastAsia="bg-BG"/>
        </w:rPr>
        <w:t>Изчислените честоти на нежеланите лекарствени реакции са групирани съгласно следната конвенция: чести (≥1/100 до &lt;1/10); нечести (≥ 1/1 000 до &lt;1/100); редки (≥ 1/10 000 до &lt; 1/1 000); много редки (&lt;1/10 000); с неизвестна честота (от наличните данни не може да бъде направена оценка).</w:t>
      </w:r>
    </w:p>
    <w:p w14:paraId="5FAFE9FA" w14:textId="77777777" w:rsidR="00BE2FFB" w:rsidRDefault="00BE2FFB" w:rsidP="00BE2FFB">
      <w:pPr>
        <w:spacing w:line="240" w:lineRule="auto"/>
        <w:rPr>
          <w:rFonts w:eastAsia="Times New Roman" w:cs="Arial"/>
          <w:i/>
          <w:iCs/>
          <w:color w:val="000000"/>
          <w:u w:val="single"/>
          <w:lang w:eastAsia="bg-BG"/>
        </w:rPr>
      </w:pPr>
    </w:p>
    <w:p w14:paraId="6FF2F505" w14:textId="38ACFE98"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Инфекции и инфестации:</w:t>
      </w:r>
    </w:p>
    <w:p w14:paraId="56AEAA3D" w14:textId="4EDE13DE"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Чести:</w:t>
      </w:r>
      <w:r>
        <w:rPr>
          <w:rFonts w:eastAsia="Times New Roman" w:cs="Arial"/>
          <w:color w:val="000000"/>
          <w:lang w:eastAsia="bg-BG"/>
        </w:rPr>
        <w:t xml:space="preserve"> </w:t>
      </w:r>
      <w:r w:rsidRPr="00BE2FFB">
        <w:rPr>
          <w:rFonts w:eastAsia="Times New Roman" w:cs="Arial"/>
          <w:color w:val="000000"/>
          <w:lang w:eastAsia="bg-BG"/>
        </w:rPr>
        <w:t>назофарингит</w:t>
      </w:r>
    </w:p>
    <w:p w14:paraId="50722C63" w14:textId="77777777" w:rsidR="00BE2FFB" w:rsidRDefault="00BE2FFB" w:rsidP="00BE2FFB">
      <w:pPr>
        <w:spacing w:line="240" w:lineRule="auto"/>
        <w:rPr>
          <w:rFonts w:eastAsia="Times New Roman" w:cs="Arial"/>
          <w:i/>
          <w:iCs/>
          <w:color w:val="000000"/>
          <w:u w:val="single"/>
          <w:lang w:eastAsia="bg-BG"/>
        </w:rPr>
      </w:pPr>
    </w:p>
    <w:p w14:paraId="05C5D5E2" w14:textId="7AB01713"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Нарушения на кръвта и лимфната система:</w:t>
      </w:r>
    </w:p>
    <w:p w14:paraId="11AAEBE9"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Редки:</w:t>
      </w:r>
      <w:r w:rsidRPr="00BE2FFB">
        <w:rPr>
          <w:rFonts w:eastAsia="Times New Roman" w:cs="Arial"/>
          <w:color w:val="000000"/>
          <w:lang w:eastAsia="bg-BG"/>
        </w:rPr>
        <w:t xml:space="preserve"> тромбоцитопения</w:t>
      </w:r>
    </w:p>
    <w:p w14:paraId="58C7CA55" w14:textId="77777777" w:rsidR="00BE2FFB" w:rsidRDefault="00BE2FFB" w:rsidP="00BE2FFB">
      <w:pPr>
        <w:spacing w:line="240" w:lineRule="auto"/>
        <w:rPr>
          <w:rFonts w:eastAsia="Times New Roman" w:cs="Arial"/>
          <w:i/>
          <w:iCs/>
          <w:color w:val="000000"/>
          <w:u w:val="single"/>
          <w:lang w:eastAsia="bg-BG"/>
        </w:rPr>
      </w:pPr>
    </w:p>
    <w:p w14:paraId="652914F2" w14:textId="471DAECD"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Нарушения на имунната система:</w:t>
      </w:r>
    </w:p>
    <w:p w14:paraId="741576CE" w14:textId="5E94358A"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Чести:</w:t>
      </w:r>
      <w:r>
        <w:rPr>
          <w:rFonts w:eastAsia="Times New Roman" w:cs="Arial"/>
          <w:color w:val="000000"/>
          <w:lang w:eastAsia="bg-BG"/>
        </w:rPr>
        <w:t xml:space="preserve"> </w:t>
      </w:r>
      <w:r w:rsidRPr="00BE2FFB">
        <w:rPr>
          <w:rFonts w:eastAsia="Times New Roman" w:cs="Arial"/>
          <w:color w:val="000000"/>
          <w:lang w:eastAsia="bg-BG"/>
        </w:rPr>
        <w:t>алергични реакции</w:t>
      </w:r>
    </w:p>
    <w:p w14:paraId="767BB671"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Много редки:</w:t>
      </w:r>
      <w:r w:rsidRPr="00BE2FFB">
        <w:rPr>
          <w:rFonts w:eastAsia="Times New Roman" w:cs="Arial"/>
          <w:color w:val="000000"/>
          <w:lang w:eastAsia="bg-BG"/>
        </w:rPr>
        <w:t xml:space="preserve"> анафилаксия</w:t>
      </w:r>
    </w:p>
    <w:p w14:paraId="2EB10EBC" w14:textId="77777777" w:rsidR="00BE2FFB" w:rsidRDefault="00BE2FFB" w:rsidP="00BE2FFB">
      <w:pPr>
        <w:spacing w:line="240" w:lineRule="auto"/>
        <w:rPr>
          <w:rFonts w:eastAsia="Times New Roman" w:cs="Arial"/>
          <w:i/>
          <w:iCs/>
          <w:color w:val="000000"/>
          <w:u w:val="single"/>
          <w:lang w:eastAsia="bg-BG"/>
        </w:rPr>
      </w:pPr>
    </w:p>
    <w:p w14:paraId="031305C4" w14:textId="03AA133F"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Нарушения на метаболизма и храненето:</w:t>
      </w:r>
    </w:p>
    <w:p w14:paraId="0BD0D54C" w14:textId="3A4F7B5B"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Чести:</w:t>
      </w:r>
      <w:r>
        <w:rPr>
          <w:rFonts w:eastAsia="Times New Roman" w:cs="Arial"/>
          <w:color w:val="000000"/>
          <w:lang w:eastAsia="bg-BG"/>
        </w:rPr>
        <w:t xml:space="preserve"> </w:t>
      </w:r>
      <w:r w:rsidRPr="00BE2FFB">
        <w:rPr>
          <w:rFonts w:eastAsia="Times New Roman" w:cs="Arial"/>
          <w:color w:val="000000"/>
          <w:lang w:eastAsia="bg-BG"/>
        </w:rPr>
        <w:t>хиперглекимия</w:t>
      </w:r>
    </w:p>
    <w:p w14:paraId="659374B7" w14:textId="21FE5AAF"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Pr>
          <w:rFonts w:eastAsia="Times New Roman" w:cs="Arial"/>
          <w:color w:val="000000"/>
          <w:lang w:eastAsia="bg-BG"/>
        </w:rPr>
        <w:t xml:space="preserve"> </w:t>
      </w:r>
      <w:r w:rsidRPr="00BE2FFB">
        <w:rPr>
          <w:rFonts w:eastAsia="Times New Roman" w:cs="Arial"/>
          <w:color w:val="000000"/>
          <w:lang w:eastAsia="bg-BG"/>
        </w:rPr>
        <w:t>хипогликемия, повишаване на теглото, анорексия</w:t>
      </w:r>
    </w:p>
    <w:p w14:paraId="5DCE6A03" w14:textId="41415458" w:rsidR="00BE2FFB" w:rsidRDefault="00BE2FFB" w:rsidP="00BE2FFB"/>
    <w:p w14:paraId="1F66459C" w14:textId="77777777"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Психични нарушения:</w:t>
      </w:r>
    </w:p>
    <w:p w14:paraId="492BEB14" w14:textId="383F35CD" w:rsid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Pr>
          <w:rFonts w:eastAsia="Times New Roman" w:cs="Arial"/>
          <w:color w:val="000000"/>
          <w:lang w:eastAsia="bg-BG"/>
        </w:rPr>
        <w:t xml:space="preserve"> </w:t>
      </w:r>
      <w:r w:rsidRPr="00BE2FFB">
        <w:rPr>
          <w:rFonts w:eastAsia="Times New Roman" w:cs="Arial"/>
          <w:color w:val="000000"/>
          <w:lang w:eastAsia="bg-BG"/>
        </w:rPr>
        <w:t>кошмари, безсъние</w:t>
      </w:r>
    </w:p>
    <w:p w14:paraId="211F7AC4" w14:textId="77777777" w:rsidR="00BE2FFB" w:rsidRPr="00BE2FFB" w:rsidRDefault="00BE2FFB" w:rsidP="00BE2FFB">
      <w:pPr>
        <w:spacing w:line="240" w:lineRule="auto"/>
        <w:rPr>
          <w:rFonts w:eastAsia="Times New Roman" w:cs="Arial"/>
        </w:rPr>
      </w:pPr>
    </w:p>
    <w:p w14:paraId="75EFCE23" w14:textId="0BFECDDA"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Нарушения на нервната система:</w:t>
      </w:r>
    </w:p>
    <w:p w14:paraId="0BC40A5B" w14:textId="25369D6B"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Чести:</w:t>
      </w:r>
      <w:r>
        <w:rPr>
          <w:rFonts w:eastAsia="Times New Roman" w:cs="Arial"/>
          <w:color w:val="000000"/>
          <w:lang w:eastAsia="bg-BG"/>
        </w:rPr>
        <w:t xml:space="preserve"> </w:t>
      </w:r>
      <w:r w:rsidRPr="00BE2FFB">
        <w:rPr>
          <w:rFonts w:eastAsia="Times New Roman" w:cs="Arial"/>
          <w:color w:val="000000"/>
          <w:lang w:eastAsia="bg-BG"/>
        </w:rPr>
        <w:t>главоболие,</w:t>
      </w:r>
    </w:p>
    <w:p w14:paraId="7ACDFF6D" w14:textId="33B6C620"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Pr>
          <w:rFonts w:eastAsia="Times New Roman" w:cs="Arial"/>
          <w:color w:val="000000"/>
          <w:lang w:eastAsia="bg-BG"/>
        </w:rPr>
        <w:t xml:space="preserve"> </w:t>
      </w:r>
      <w:r w:rsidRPr="00BE2FFB">
        <w:rPr>
          <w:rFonts w:eastAsia="Times New Roman" w:cs="Arial"/>
          <w:color w:val="000000"/>
          <w:lang w:eastAsia="bg-BG"/>
        </w:rPr>
        <w:t>замайване, парестезия, хипоестезия, дисгеузия, амнезия</w:t>
      </w:r>
    </w:p>
    <w:p w14:paraId="4BCCE58B"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Редки:</w:t>
      </w:r>
      <w:r w:rsidRPr="00BE2FFB">
        <w:rPr>
          <w:rFonts w:eastAsia="Times New Roman" w:cs="Arial"/>
          <w:color w:val="000000"/>
          <w:lang w:eastAsia="bg-BG"/>
        </w:rPr>
        <w:tab/>
        <w:t>периферна невропатия</w:t>
      </w:r>
    </w:p>
    <w:p w14:paraId="53870FF8" w14:textId="77777777" w:rsidR="00BE2FFB" w:rsidRDefault="00BE2FFB" w:rsidP="00BE2FFB">
      <w:pPr>
        <w:spacing w:line="240" w:lineRule="auto"/>
        <w:rPr>
          <w:rFonts w:eastAsia="Times New Roman" w:cs="Arial"/>
          <w:i/>
          <w:iCs/>
          <w:color w:val="000000"/>
          <w:u w:val="single"/>
          <w:lang w:eastAsia="bg-BG"/>
        </w:rPr>
      </w:pPr>
    </w:p>
    <w:p w14:paraId="0E8EE389" w14:textId="05DB9245"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Нарушения на очите:</w:t>
      </w:r>
    </w:p>
    <w:p w14:paraId="1ABBB0AD" w14:textId="16774AD8"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Pr>
          <w:rFonts w:eastAsia="Times New Roman" w:cs="Arial"/>
          <w:color w:val="000000"/>
          <w:lang w:eastAsia="bg-BG"/>
        </w:rPr>
        <w:t xml:space="preserve"> </w:t>
      </w:r>
      <w:r w:rsidRPr="00BE2FFB">
        <w:rPr>
          <w:rFonts w:eastAsia="Times New Roman" w:cs="Arial"/>
          <w:color w:val="000000"/>
          <w:lang w:eastAsia="bg-BG"/>
        </w:rPr>
        <w:t>замъглено зрение</w:t>
      </w:r>
    </w:p>
    <w:p w14:paraId="2D758F47" w14:textId="3175127D"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Редки:</w:t>
      </w:r>
      <w:r>
        <w:rPr>
          <w:rFonts w:eastAsia="Times New Roman" w:cs="Arial"/>
          <w:color w:val="000000"/>
          <w:lang w:eastAsia="bg-BG"/>
        </w:rPr>
        <w:tab/>
        <w:t xml:space="preserve">зрителни </w:t>
      </w:r>
      <w:r w:rsidRPr="00BE2FFB">
        <w:rPr>
          <w:rFonts w:eastAsia="Times New Roman" w:cs="Arial"/>
          <w:color w:val="000000"/>
          <w:lang w:eastAsia="bg-BG"/>
        </w:rPr>
        <w:t>нарушения</w:t>
      </w:r>
    </w:p>
    <w:p w14:paraId="5375F35E" w14:textId="77777777" w:rsidR="00BE2FFB" w:rsidRDefault="00BE2FFB" w:rsidP="00BE2FFB">
      <w:pPr>
        <w:spacing w:line="240" w:lineRule="auto"/>
        <w:rPr>
          <w:rFonts w:eastAsia="Times New Roman" w:cs="Arial"/>
          <w:i/>
          <w:iCs/>
          <w:color w:val="000000"/>
          <w:u w:val="single"/>
          <w:lang w:eastAsia="bg-BG"/>
        </w:rPr>
      </w:pPr>
    </w:p>
    <w:p w14:paraId="120653A3" w14:textId="73530865"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Нарушения на ухото и лабиринта:</w:t>
      </w:r>
    </w:p>
    <w:p w14:paraId="17C35A93" w14:textId="4969644B"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Pr>
          <w:rFonts w:eastAsia="Times New Roman" w:cs="Arial"/>
          <w:color w:val="000000"/>
          <w:lang w:eastAsia="bg-BG"/>
        </w:rPr>
        <w:t xml:space="preserve"> </w:t>
      </w:r>
      <w:r w:rsidRPr="00BE2FFB">
        <w:rPr>
          <w:rFonts w:eastAsia="Times New Roman" w:cs="Arial"/>
          <w:color w:val="000000"/>
          <w:lang w:eastAsia="bg-BG"/>
        </w:rPr>
        <w:t>тинитус</w:t>
      </w:r>
    </w:p>
    <w:p w14:paraId="3C768262"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Много редки:</w:t>
      </w:r>
      <w:r w:rsidRPr="00BE2FFB">
        <w:rPr>
          <w:rFonts w:eastAsia="Times New Roman" w:cs="Arial"/>
          <w:color w:val="000000"/>
          <w:lang w:eastAsia="bg-BG"/>
        </w:rPr>
        <w:t xml:space="preserve"> загуба на слуха</w:t>
      </w:r>
    </w:p>
    <w:p w14:paraId="177CFDC2" w14:textId="77777777" w:rsidR="00BE2FFB" w:rsidRDefault="00BE2FFB" w:rsidP="00BE2FFB">
      <w:pPr>
        <w:spacing w:line="240" w:lineRule="auto"/>
        <w:rPr>
          <w:rFonts w:eastAsia="Times New Roman" w:cs="Arial"/>
          <w:i/>
          <w:iCs/>
          <w:color w:val="000000"/>
          <w:u w:val="single"/>
          <w:lang w:eastAsia="bg-BG"/>
        </w:rPr>
      </w:pPr>
    </w:p>
    <w:p w14:paraId="2974C04C" w14:textId="6B397CFE"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Респираторни, гръдни и медиастинални</w:t>
      </w:r>
    </w:p>
    <w:p w14:paraId="7F01DD27" w14:textId="607A10BD"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Чести:</w:t>
      </w:r>
      <w:r>
        <w:rPr>
          <w:rFonts w:eastAsia="Times New Roman" w:cs="Arial"/>
          <w:color w:val="000000"/>
          <w:lang w:eastAsia="bg-BG"/>
        </w:rPr>
        <w:t xml:space="preserve"> </w:t>
      </w:r>
      <w:r w:rsidRPr="00BE2FFB">
        <w:rPr>
          <w:rFonts w:eastAsia="Times New Roman" w:cs="Arial"/>
          <w:color w:val="000000"/>
          <w:lang w:eastAsia="bg-BG"/>
        </w:rPr>
        <w:t>фаринголарингеална болка, епистаксис</w:t>
      </w:r>
    </w:p>
    <w:p w14:paraId="64DE99AD" w14:textId="77777777" w:rsidR="00BE2FFB" w:rsidRDefault="00BE2FFB" w:rsidP="00BE2FFB">
      <w:pPr>
        <w:spacing w:line="240" w:lineRule="auto"/>
        <w:rPr>
          <w:rFonts w:eastAsia="Times New Roman" w:cs="Arial"/>
          <w:i/>
          <w:iCs/>
          <w:color w:val="000000"/>
          <w:u w:val="single"/>
          <w:lang w:eastAsia="bg-BG"/>
        </w:rPr>
      </w:pPr>
    </w:p>
    <w:p w14:paraId="058E0E31" w14:textId="45E10737"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Стомашно-чревни нарушения:</w:t>
      </w:r>
    </w:p>
    <w:p w14:paraId="35C32C5E" w14:textId="367240F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Чести:</w:t>
      </w:r>
      <w:r>
        <w:rPr>
          <w:rFonts w:eastAsia="Times New Roman" w:cs="Arial"/>
          <w:color w:val="000000"/>
          <w:lang w:eastAsia="bg-BG"/>
        </w:rPr>
        <w:t xml:space="preserve"> </w:t>
      </w:r>
      <w:r w:rsidRPr="00BE2FFB">
        <w:rPr>
          <w:rFonts w:eastAsia="Times New Roman" w:cs="Arial"/>
          <w:color w:val="000000"/>
          <w:lang w:eastAsia="bg-BG"/>
        </w:rPr>
        <w:t>запек, флатуленция, диспепсия, гадене, диария</w:t>
      </w:r>
    </w:p>
    <w:p w14:paraId="1B89DF54" w14:textId="78139906"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Pr>
          <w:rFonts w:eastAsia="Times New Roman" w:cs="Arial"/>
          <w:color w:val="000000"/>
          <w:lang w:eastAsia="bg-BG"/>
        </w:rPr>
        <w:t xml:space="preserve"> повръщане, </w:t>
      </w:r>
      <w:r w:rsidRPr="00BE2FFB">
        <w:rPr>
          <w:rFonts w:eastAsia="Times New Roman" w:cs="Arial"/>
          <w:color w:val="000000"/>
          <w:lang w:eastAsia="bg-BG"/>
        </w:rPr>
        <w:t>болка в горната и долната част на корема, оригване, панкреатит</w:t>
      </w:r>
    </w:p>
    <w:p w14:paraId="661CEAEA" w14:textId="77777777" w:rsidR="00BE2FFB" w:rsidRDefault="00BE2FFB" w:rsidP="00BE2FFB">
      <w:pPr>
        <w:spacing w:line="240" w:lineRule="auto"/>
        <w:rPr>
          <w:rFonts w:eastAsia="Times New Roman" w:cs="Arial"/>
          <w:i/>
          <w:iCs/>
          <w:color w:val="000000"/>
          <w:u w:val="single"/>
          <w:lang w:eastAsia="bg-BG"/>
        </w:rPr>
      </w:pPr>
    </w:p>
    <w:p w14:paraId="13495071" w14:textId="22E27E88"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Хепатобилиарни нарушения:</w:t>
      </w:r>
    </w:p>
    <w:p w14:paraId="7E9FB7FE" w14:textId="21CF1D7C"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Pr>
          <w:rFonts w:eastAsia="Times New Roman" w:cs="Arial"/>
          <w:color w:val="000000"/>
          <w:lang w:eastAsia="bg-BG"/>
        </w:rPr>
        <w:t xml:space="preserve"> </w:t>
      </w:r>
      <w:r w:rsidRPr="00BE2FFB">
        <w:rPr>
          <w:rFonts w:eastAsia="Times New Roman" w:cs="Arial"/>
          <w:color w:val="000000"/>
          <w:lang w:eastAsia="bg-BG"/>
        </w:rPr>
        <w:t>хепатит</w:t>
      </w:r>
    </w:p>
    <w:p w14:paraId="50628D46"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Редки:</w:t>
      </w:r>
      <w:r w:rsidRPr="00BE2FFB">
        <w:rPr>
          <w:rFonts w:eastAsia="Times New Roman" w:cs="Arial"/>
          <w:color w:val="000000"/>
          <w:lang w:eastAsia="bg-BG"/>
        </w:rPr>
        <w:tab/>
        <w:t>холестаза</w:t>
      </w:r>
    </w:p>
    <w:p w14:paraId="6FD295F6"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Много редки:</w:t>
      </w:r>
      <w:r w:rsidRPr="00BE2FFB">
        <w:rPr>
          <w:rFonts w:eastAsia="Times New Roman" w:cs="Arial"/>
          <w:color w:val="000000"/>
          <w:lang w:eastAsia="bg-BG"/>
        </w:rPr>
        <w:t xml:space="preserve"> чернодробна недостатъчност</w:t>
      </w:r>
    </w:p>
    <w:p w14:paraId="322EE81A" w14:textId="77777777" w:rsidR="00BE2FFB" w:rsidRDefault="00BE2FFB" w:rsidP="00BE2FFB">
      <w:pPr>
        <w:spacing w:line="240" w:lineRule="auto"/>
        <w:rPr>
          <w:rFonts w:eastAsia="Times New Roman" w:cs="Arial"/>
          <w:i/>
          <w:iCs/>
          <w:color w:val="000000"/>
          <w:u w:val="single"/>
          <w:lang w:eastAsia="bg-BG"/>
        </w:rPr>
      </w:pPr>
    </w:p>
    <w:p w14:paraId="7CCFEEE8" w14:textId="21AAD80B"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Нарушения на кожата и подкожната тъкан:</w:t>
      </w:r>
    </w:p>
    <w:p w14:paraId="500D33E4" w14:textId="1B7F7834"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Pr>
          <w:rFonts w:eastAsia="Times New Roman" w:cs="Arial"/>
          <w:color w:val="000000"/>
          <w:lang w:eastAsia="bg-BG"/>
        </w:rPr>
        <w:t xml:space="preserve"> </w:t>
      </w:r>
      <w:r w:rsidRPr="00BE2FFB">
        <w:rPr>
          <w:rFonts w:eastAsia="Times New Roman" w:cs="Arial"/>
          <w:color w:val="000000"/>
          <w:lang w:eastAsia="bg-BG"/>
        </w:rPr>
        <w:t>уртикария, кожен обрив, пруритус, алопеция, сърбеж</w:t>
      </w:r>
    </w:p>
    <w:p w14:paraId="258C842D"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Редки:</w:t>
      </w:r>
      <w:r w:rsidRPr="00BE2FFB">
        <w:rPr>
          <w:rFonts w:eastAsia="Times New Roman" w:cs="Arial"/>
          <w:color w:val="000000"/>
          <w:lang w:eastAsia="bg-BG"/>
        </w:rPr>
        <w:tab/>
        <w:t>ангионевротичен оток, булозен дерматит, включително еритема мултиформе,</w:t>
      </w:r>
    </w:p>
    <w:p w14:paraId="1AB77DBA"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синдром на </w:t>
      </w:r>
      <w:r w:rsidRPr="00BE2FFB">
        <w:rPr>
          <w:rFonts w:eastAsia="Times New Roman" w:cs="Arial"/>
          <w:color w:val="000000"/>
          <w:lang w:val="en-US"/>
        </w:rPr>
        <w:t>Stevens</w:t>
      </w:r>
      <w:r w:rsidRPr="00BE2FFB">
        <w:rPr>
          <w:rFonts w:eastAsia="Times New Roman" w:cs="Arial"/>
          <w:color w:val="000000"/>
          <w:lang w:val="ru-RU"/>
        </w:rPr>
        <w:t>-</w:t>
      </w:r>
      <w:r w:rsidRPr="00BE2FFB">
        <w:rPr>
          <w:rFonts w:eastAsia="Times New Roman" w:cs="Arial"/>
          <w:color w:val="000000"/>
          <w:lang w:val="en-US"/>
        </w:rPr>
        <w:t>Johnson</w:t>
      </w:r>
      <w:r w:rsidRPr="00BE2FFB">
        <w:rPr>
          <w:rFonts w:eastAsia="Times New Roman" w:cs="Arial"/>
          <w:color w:val="000000"/>
          <w:lang w:val="ru-RU"/>
        </w:rPr>
        <w:t xml:space="preserve"> </w:t>
      </w:r>
      <w:r w:rsidRPr="00BE2FFB">
        <w:rPr>
          <w:rFonts w:eastAsia="Times New Roman" w:cs="Arial"/>
          <w:color w:val="000000"/>
          <w:lang w:eastAsia="bg-BG"/>
        </w:rPr>
        <w:t>и токсична епидермална некролиза)</w:t>
      </w:r>
    </w:p>
    <w:p w14:paraId="3669ABC5" w14:textId="77777777" w:rsidR="00BE2FFB" w:rsidRDefault="00BE2FFB" w:rsidP="00BE2FFB">
      <w:pPr>
        <w:spacing w:line="240" w:lineRule="auto"/>
        <w:rPr>
          <w:rFonts w:eastAsia="Times New Roman" w:cs="Arial"/>
          <w:i/>
          <w:iCs/>
          <w:color w:val="000000"/>
          <w:u w:val="single"/>
          <w:lang w:eastAsia="bg-BG"/>
        </w:rPr>
      </w:pPr>
    </w:p>
    <w:p w14:paraId="0C5F1813" w14:textId="043312EC"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Нарушения на мускуло-скелетната система и съединителната тъкан:</w:t>
      </w:r>
    </w:p>
    <w:p w14:paraId="372B39AA" w14:textId="00181053"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Чести:</w:t>
      </w:r>
      <w:r w:rsidR="00EF1469">
        <w:rPr>
          <w:rFonts w:eastAsia="Times New Roman" w:cs="Arial"/>
          <w:color w:val="000000"/>
          <w:lang w:eastAsia="bg-BG"/>
        </w:rPr>
        <w:t xml:space="preserve"> </w:t>
      </w:r>
      <w:r w:rsidRPr="00BE2FFB">
        <w:rPr>
          <w:rFonts w:eastAsia="Times New Roman" w:cs="Arial"/>
          <w:color w:val="000000"/>
          <w:lang w:eastAsia="bg-BG"/>
        </w:rPr>
        <w:t>миалгия, артралгия, болка в крайниците, мускулни спазми, подуване на ставите,</w:t>
      </w:r>
    </w:p>
    <w:p w14:paraId="10500168"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болка в гърба</w:t>
      </w:r>
    </w:p>
    <w:p w14:paraId="6852B3AB" w14:textId="69302FF4"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sidR="00EF1469">
        <w:rPr>
          <w:rFonts w:eastAsia="Times New Roman" w:cs="Arial"/>
          <w:color w:val="000000"/>
          <w:lang w:eastAsia="bg-BG"/>
        </w:rPr>
        <w:t xml:space="preserve"> </w:t>
      </w:r>
      <w:r w:rsidRPr="00BE2FFB">
        <w:rPr>
          <w:rFonts w:eastAsia="Times New Roman" w:cs="Arial"/>
          <w:color w:val="000000"/>
          <w:lang w:eastAsia="bg-BG"/>
        </w:rPr>
        <w:t>болки във врата, мускулна слабост</w:t>
      </w:r>
    </w:p>
    <w:p w14:paraId="47C38C80"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Редки:</w:t>
      </w:r>
      <w:r w:rsidRPr="00BE2FFB">
        <w:rPr>
          <w:rFonts w:eastAsia="Times New Roman" w:cs="Arial"/>
          <w:color w:val="000000"/>
          <w:lang w:eastAsia="bg-BG"/>
        </w:rPr>
        <w:tab/>
        <w:t>миопатия, миозит, рабдомиолиза, тендинопатия, понякога усложнени с</w:t>
      </w:r>
    </w:p>
    <w:p w14:paraId="33F1DB20"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разкъсване</w:t>
      </w:r>
    </w:p>
    <w:p w14:paraId="60701F2F" w14:textId="593EB51F"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С </w:t>
      </w:r>
      <w:r w:rsidRPr="00BE2FFB">
        <w:rPr>
          <w:rFonts w:eastAsia="Times New Roman" w:cs="Arial"/>
          <w:i/>
          <w:iCs/>
          <w:color w:val="000000"/>
          <w:lang w:eastAsia="bg-BG"/>
        </w:rPr>
        <w:t>неизвестна честота:</w:t>
      </w:r>
      <w:r w:rsidRPr="00BE2FFB">
        <w:rPr>
          <w:rFonts w:eastAsia="Times New Roman" w:cs="Arial"/>
          <w:color w:val="000000"/>
          <w:lang w:eastAsia="bg-BG"/>
        </w:rPr>
        <w:t xml:space="preserve"> имуномедиирана некротизираща миопатия</w:t>
      </w:r>
    </w:p>
    <w:p w14:paraId="72371636" w14:textId="77777777" w:rsidR="00EF1469" w:rsidRDefault="00EF1469" w:rsidP="00BE2FFB">
      <w:pPr>
        <w:spacing w:line="240" w:lineRule="auto"/>
        <w:rPr>
          <w:rFonts w:eastAsia="Times New Roman" w:cs="Arial"/>
          <w:i/>
          <w:iCs/>
          <w:color w:val="000000"/>
          <w:u w:val="single"/>
          <w:lang w:eastAsia="bg-BG"/>
        </w:rPr>
      </w:pPr>
    </w:p>
    <w:p w14:paraId="48692FA1" w14:textId="55B740A0"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Нарушения на възпроизводителната система и гърдата:</w:t>
      </w:r>
    </w:p>
    <w:p w14:paraId="0655205D"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Много редки:</w:t>
      </w:r>
      <w:r w:rsidRPr="00BE2FFB">
        <w:rPr>
          <w:rFonts w:eastAsia="Times New Roman" w:cs="Arial"/>
          <w:color w:val="000000"/>
          <w:lang w:eastAsia="bg-BG"/>
        </w:rPr>
        <w:t xml:space="preserve"> гинекомастия</w:t>
      </w:r>
    </w:p>
    <w:p w14:paraId="5159FD87" w14:textId="77777777" w:rsidR="00EF1469" w:rsidRDefault="00EF1469" w:rsidP="00BE2FFB">
      <w:pPr>
        <w:spacing w:line="240" w:lineRule="auto"/>
        <w:rPr>
          <w:rFonts w:eastAsia="Times New Roman" w:cs="Arial"/>
          <w:i/>
          <w:iCs/>
          <w:color w:val="000000"/>
          <w:u w:val="single"/>
          <w:lang w:eastAsia="bg-BG"/>
        </w:rPr>
      </w:pPr>
    </w:p>
    <w:p w14:paraId="0AC74058" w14:textId="465BF886"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Общи нарушения и ефекти на мястото на приложение:</w:t>
      </w:r>
    </w:p>
    <w:p w14:paraId="18FC180F" w14:textId="51E0ABDD"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sidR="00EF1469">
        <w:rPr>
          <w:rFonts w:eastAsia="Times New Roman" w:cs="Arial"/>
          <w:color w:val="000000"/>
          <w:lang w:eastAsia="bg-BG"/>
        </w:rPr>
        <w:t xml:space="preserve"> </w:t>
      </w:r>
      <w:r w:rsidRPr="00BE2FFB">
        <w:rPr>
          <w:rFonts w:eastAsia="Times New Roman" w:cs="Arial"/>
          <w:color w:val="000000"/>
          <w:lang w:eastAsia="bg-BG"/>
        </w:rPr>
        <w:t>неразположение, астения, болка в областта на гръдния кош, периферен оток,</w:t>
      </w:r>
    </w:p>
    <w:p w14:paraId="1A33B1BF"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lastRenderedPageBreak/>
        <w:t>умора, висока температура</w:t>
      </w:r>
    </w:p>
    <w:p w14:paraId="0DF44D5D" w14:textId="77777777" w:rsidR="00EF1469" w:rsidRDefault="00EF1469" w:rsidP="00BE2FFB">
      <w:pPr>
        <w:spacing w:line="240" w:lineRule="auto"/>
        <w:rPr>
          <w:rFonts w:eastAsia="Times New Roman" w:cs="Arial"/>
          <w:i/>
          <w:iCs/>
          <w:color w:val="000000"/>
          <w:u w:val="single"/>
          <w:lang w:eastAsia="bg-BG"/>
        </w:rPr>
      </w:pPr>
    </w:p>
    <w:p w14:paraId="4C36AC00" w14:textId="332E3000"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Изследвания:</w:t>
      </w:r>
    </w:p>
    <w:p w14:paraId="68715E01" w14:textId="00DA5E55"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Чести:</w:t>
      </w:r>
      <w:r w:rsidR="00EF1469">
        <w:rPr>
          <w:rFonts w:eastAsia="Times New Roman" w:cs="Arial"/>
          <w:color w:val="000000"/>
          <w:lang w:eastAsia="bg-BG"/>
        </w:rPr>
        <w:t xml:space="preserve"> </w:t>
      </w:r>
      <w:r w:rsidRPr="00BE2FFB">
        <w:rPr>
          <w:rFonts w:eastAsia="Times New Roman" w:cs="Arial"/>
          <w:color w:val="000000"/>
          <w:lang w:eastAsia="bg-BG"/>
        </w:rPr>
        <w:t>повишена стойност на чернодробните функционални показатели, повишена</w:t>
      </w:r>
    </w:p>
    <w:p w14:paraId="60303CAE"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серумна креатинкиназа.</w:t>
      </w:r>
    </w:p>
    <w:p w14:paraId="3594C3C4" w14:textId="4E2F40F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sidR="00EF1469">
        <w:rPr>
          <w:rFonts w:eastAsia="Times New Roman" w:cs="Arial"/>
          <w:color w:val="000000"/>
          <w:lang w:eastAsia="bg-BG"/>
        </w:rPr>
        <w:t xml:space="preserve"> </w:t>
      </w:r>
      <w:r w:rsidRPr="00BE2FFB">
        <w:rPr>
          <w:rFonts w:eastAsia="Times New Roman" w:cs="Arial"/>
          <w:color w:val="000000"/>
          <w:lang w:eastAsia="bg-BG"/>
        </w:rPr>
        <w:t>левкоцити в урината</w:t>
      </w:r>
    </w:p>
    <w:p w14:paraId="024D795B" w14:textId="05DC20A5" w:rsidR="00BE2FFB" w:rsidRDefault="00BE2FFB" w:rsidP="00BE2FFB"/>
    <w:p w14:paraId="52014FA2"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Както и при другите </w:t>
      </w:r>
      <w:r w:rsidRPr="00EF1469">
        <w:rPr>
          <w:rFonts w:eastAsia="Times New Roman" w:cs="Arial"/>
          <w:color w:val="000000"/>
          <w:lang w:val="en-US"/>
        </w:rPr>
        <w:t>HMG</w:t>
      </w:r>
      <w:r w:rsidRPr="00EF1469">
        <w:rPr>
          <w:rFonts w:eastAsia="Times New Roman" w:cs="Arial"/>
          <w:color w:val="000000"/>
          <w:lang w:eastAsia="bg-BG"/>
        </w:rPr>
        <w:t>-СоА-редуктазни инхибитори, при пациенти, лекувани с аторвастатин, е съобщавано за повишени серумни трансаминази. Тези промени обикновено са били леки и преходни и не са налагали преустановяване на терапията. Клинично значими (повече от 3 пъти над горната граница на нормата) повишения на серумните трансаминази са установени при 0,8% от болните на лечение с аторвастатин. Тези повишения са били дозозависими и обратими при всички пациенти.</w:t>
      </w:r>
    </w:p>
    <w:p w14:paraId="4D90EE8E" w14:textId="77777777" w:rsidR="00EF1469" w:rsidRDefault="00EF1469" w:rsidP="00EF1469">
      <w:pPr>
        <w:spacing w:line="240" w:lineRule="auto"/>
        <w:rPr>
          <w:rFonts w:eastAsia="Times New Roman" w:cs="Arial"/>
          <w:color w:val="000000"/>
          <w:lang w:eastAsia="bg-BG"/>
        </w:rPr>
      </w:pPr>
    </w:p>
    <w:p w14:paraId="1758E886" w14:textId="7FFDFAF1"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Повишени нива на серумната креатинкиназа (КК) 3 пъти над горната граница на нормата са установени при 2,5% от болните на лечение с аторвастатин, подобно на другите </w:t>
      </w:r>
      <w:r w:rsidRPr="00EF1469">
        <w:rPr>
          <w:rFonts w:eastAsia="Times New Roman" w:cs="Arial"/>
          <w:color w:val="000000"/>
          <w:lang w:val="en-US"/>
        </w:rPr>
        <w:t>HMG</w:t>
      </w:r>
      <w:r w:rsidRPr="00EF1469">
        <w:rPr>
          <w:rFonts w:eastAsia="Times New Roman" w:cs="Arial"/>
          <w:color w:val="000000"/>
          <w:lang w:val="ru-RU"/>
        </w:rPr>
        <w:t>-</w:t>
      </w:r>
      <w:r w:rsidRPr="00EF1469">
        <w:rPr>
          <w:rFonts w:eastAsia="Times New Roman" w:cs="Arial"/>
          <w:color w:val="000000"/>
          <w:lang w:val="en-US"/>
        </w:rPr>
        <w:t>CoA</w:t>
      </w:r>
      <w:r w:rsidRPr="00EF1469">
        <w:rPr>
          <w:rFonts w:eastAsia="Times New Roman" w:cs="Arial"/>
          <w:color w:val="000000"/>
          <w:lang w:val="ru-RU"/>
        </w:rPr>
        <w:t xml:space="preserve">- </w:t>
      </w:r>
      <w:r w:rsidRPr="00EF1469">
        <w:rPr>
          <w:rFonts w:eastAsia="Times New Roman" w:cs="Arial"/>
          <w:color w:val="000000"/>
          <w:lang w:eastAsia="bg-BG"/>
        </w:rPr>
        <w:t>редуктазни инхибитори в клинични проучвания. Нива, 1</w:t>
      </w:r>
      <w:r w:rsidRPr="00EF1469">
        <w:rPr>
          <w:rFonts w:eastAsia="Times New Roman" w:cs="Arial"/>
          <w:i/>
          <w:iCs/>
          <w:color w:val="000000"/>
          <w:lang w:eastAsia="bg-BG"/>
        </w:rPr>
        <w:t>0</w:t>
      </w:r>
      <w:r w:rsidRPr="00EF1469">
        <w:rPr>
          <w:rFonts w:eastAsia="Times New Roman" w:cs="Arial"/>
          <w:color w:val="000000"/>
          <w:lang w:eastAsia="bg-BG"/>
        </w:rPr>
        <w:t xml:space="preserve"> пъти по-високи от горната граница на нормата, е имало и при 0,4% от лекуваните с аторвастатин пациенти (вж. точка 4.4).</w:t>
      </w:r>
    </w:p>
    <w:p w14:paraId="7F3D8A07" w14:textId="77777777" w:rsidR="00EF1469" w:rsidRDefault="00EF1469" w:rsidP="00EF1469">
      <w:pPr>
        <w:spacing w:line="240" w:lineRule="auto"/>
        <w:rPr>
          <w:rFonts w:eastAsia="Times New Roman" w:cs="Arial"/>
          <w:color w:val="000000"/>
          <w:u w:val="single"/>
          <w:lang w:eastAsia="bg-BG"/>
        </w:rPr>
      </w:pPr>
    </w:p>
    <w:p w14:paraId="48DD1B05" w14:textId="4C1C92EE" w:rsidR="00EF1469" w:rsidRPr="00EF1469" w:rsidRDefault="00EF1469" w:rsidP="00EF1469">
      <w:pPr>
        <w:spacing w:line="240" w:lineRule="auto"/>
        <w:rPr>
          <w:rFonts w:eastAsia="Times New Roman" w:cs="Arial"/>
        </w:rPr>
      </w:pPr>
      <w:r w:rsidRPr="00EF1469">
        <w:rPr>
          <w:rFonts w:eastAsia="Times New Roman" w:cs="Arial"/>
          <w:color w:val="000000"/>
          <w:u w:val="single"/>
          <w:lang w:eastAsia="bg-BG"/>
        </w:rPr>
        <w:t>Педиатрична популация</w:t>
      </w:r>
    </w:p>
    <w:p w14:paraId="65626D73"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Клиничната база данни за безопасност включва данни за безопасност при 249 пациенти в детска възраст, които са получавали аторвастатин, от които 7 пациенти са били под 6-годишна възраст, 14 пациенти на възраст между 6 и 9 години, и 228 пациенти са били между 10 и 17 години.</w:t>
      </w:r>
    </w:p>
    <w:p w14:paraId="4DFD8CA3" w14:textId="77777777" w:rsidR="00EF1469" w:rsidRDefault="00EF1469" w:rsidP="00EF1469">
      <w:pPr>
        <w:spacing w:line="240" w:lineRule="auto"/>
        <w:rPr>
          <w:rFonts w:eastAsia="Times New Roman" w:cs="Arial"/>
          <w:i/>
          <w:iCs/>
          <w:color w:val="000000"/>
          <w:u w:val="single"/>
          <w:lang w:eastAsia="bg-BG"/>
        </w:rPr>
      </w:pPr>
    </w:p>
    <w:p w14:paraId="0C0DBE6E" w14:textId="76E51903" w:rsidR="00EF1469" w:rsidRPr="00EF1469" w:rsidRDefault="00EF1469" w:rsidP="00EF1469">
      <w:pPr>
        <w:spacing w:line="240" w:lineRule="auto"/>
        <w:rPr>
          <w:rFonts w:eastAsia="Times New Roman" w:cs="Arial"/>
        </w:rPr>
      </w:pPr>
      <w:r w:rsidRPr="00EF1469">
        <w:rPr>
          <w:rFonts w:eastAsia="Times New Roman" w:cs="Arial"/>
          <w:i/>
          <w:iCs/>
          <w:color w:val="000000"/>
          <w:u w:val="single"/>
          <w:lang w:eastAsia="bg-BG"/>
        </w:rPr>
        <w:t>Нарушения на нервната система:</w:t>
      </w:r>
    </w:p>
    <w:p w14:paraId="064F39C9" w14:textId="5CF03687" w:rsidR="00EF1469" w:rsidRPr="00EF1469" w:rsidRDefault="00EF1469" w:rsidP="00EF1469">
      <w:pPr>
        <w:spacing w:line="240" w:lineRule="auto"/>
        <w:rPr>
          <w:rFonts w:eastAsia="Times New Roman" w:cs="Arial"/>
        </w:rPr>
      </w:pPr>
      <w:r w:rsidRPr="00EF1469">
        <w:rPr>
          <w:rFonts w:eastAsia="Times New Roman" w:cs="Arial"/>
          <w:i/>
          <w:iCs/>
          <w:color w:val="000000"/>
          <w:lang w:eastAsia="bg-BG"/>
        </w:rPr>
        <w:t>Чести:</w:t>
      </w:r>
      <w:r>
        <w:rPr>
          <w:rFonts w:eastAsia="Times New Roman" w:cs="Arial"/>
          <w:color w:val="000000"/>
          <w:lang w:eastAsia="bg-BG"/>
        </w:rPr>
        <w:t xml:space="preserve"> </w:t>
      </w:r>
      <w:r w:rsidRPr="00EF1469">
        <w:rPr>
          <w:rFonts w:eastAsia="Times New Roman" w:cs="Arial"/>
          <w:color w:val="000000"/>
          <w:lang w:eastAsia="bg-BG"/>
        </w:rPr>
        <w:t>главоболие</w:t>
      </w:r>
    </w:p>
    <w:p w14:paraId="626FCC4A" w14:textId="77777777" w:rsidR="00EF1469" w:rsidRDefault="00EF1469" w:rsidP="00EF1469">
      <w:pPr>
        <w:spacing w:line="240" w:lineRule="auto"/>
        <w:rPr>
          <w:rFonts w:eastAsia="Times New Roman" w:cs="Arial"/>
          <w:i/>
          <w:iCs/>
          <w:color w:val="000000"/>
          <w:u w:val="single"/>
          <w:lang w:eastAsia="bg-BG"/>
        </w:rPr>
      </w:pPr>
    </w:p>
    <w:p w14:paraId="286893DC" w14:textId="13092F7F" w:rsidR="00EF1469" w:rsidRPr="00EF1469" w:rsidRDefault="00EF1469" w:rsidP="00EF1469">
      <w:pPr>
        <w:spacing w:line="240" w:lineRule="auto"/>
        <w:rPr>
          <w:rFonts w:eastAsia="Times New Roman" w:cs="Arial"/>
        </w:rPr>
      </w:pPr>
      <w:r w:rsidRPr="00EF1469">
        <w:rPr>
          <w:rFonts w:eastAsia="Times New Roman" w:cs="Arial"/>
          <w:i/>
          <w:iCs/>
          <w:color w:val="000000"/>
          <w:u w:val="single"/>
          <w:lang w:eastAsia="bg-BG"/>
        </w:rPr>
        <w:t>Стомашно-чревни нарушения:</w:t>
      </w:r>
    </w:p>
    <w:p w14:paraId="4EFD2F78" w14:textId="33442132" w:rsidR="00EF1469" w:rsidRPr="00EF1469" w:rsidRDefault="00EF1469" w:rsidP="00EF1469">
      <w:pPr>
        <w:spacing w:line="240" w:lineRule="auto"/>
        <w:rPr>
          <w:rFonts w:eastAsia="Times New Roman" w:cs="Arial"/>
        </w:rPr>
      </w:pPr>
      <w:r w:rsidRPr="00EF1469">
        <w:rPr>
          <w:rFonts w:eastAsia="Times New Roman" w:cs="Arial"/>
          <w:i/>
          <w:iCs/>
          <w:color w:val="000000"/>
          <w:lang w:eastAsia="bg-BG"/>
        </w:rPr>
        <w:t>Чести:</w:t>
      </w:r>
      <w:r>
        <w:rPr>
          <w:rFonts w:eastAsia="Times New Roman" w:cs="Arial"/>
          <w:color w:val="000000"/>
          <w:lang w:eastAsia="bg-BG"/>
        </w:rPr>
        <w:t xml:space="preserve"> </w:t>
      </w:r>
      <w:r w:rsidRPr="00EF1469">
        <w:rPr>
          <w:rFonts w:eastAsia="Times New Roman" w:cs="Arial"/>
          <w:color w:val="000000"/>
          <w:lang w:eastAsia="bg-BG"/>
        </w:rPr>
        <w:t>абдоминална болка</w:t>
      </w:r>
    </w:p>
    <w:p w14:paraId="6212F28C" w14:textId="77777777" w:rsidR="00EF1469" w:rsidRPr="00EF1469" w:rsidRDefault="00EF1469" w:rsidP="00EF1469">
      <w:pPr>
        <w:spacing w:line="240" w:lineRule="auto"/>
        <w:rPr>
          <w:rFonts w:eastAsia="Times New Roman" w:cs="Arial"/>
        </w:rPr>
      </w:pPr>
      <w:r w:rsidRPr="00EF1469">
        <w:rPr>
          <w:rFonts w:eastAsia="Times New Roman" w:cs="Arial"/>
          <w:i/>
          <w:iCs/>
          <w:color w:val="000000"/>
          <w:lang w:eastAsia="bg-BG"/>
        </w:rPr>
        <w:t>Изследвания:</w:t>
      </w:r>
    </w:p>
    <w:p w14:paraId="0BEFCA8A" w14:textId="2304092E" w:rsidR="00EF1469" w:rsidRPr="00EF1469" w:rsidRDefault="00EF1469" w:rsidP="00EF1469">
      <w:pPr>
        <w:spacing w:line="240" w:lineRule="auto"/>
        <w:rPr>
          <w:rFonts w:eastAsia="Times New Roman" w:cs="Arial"/>
        </w:rPr>
      </w:pPr>
      <w:r w:rsidRPr="00EF1469">
        <w:rPr>
          <w:rFonts w:eastAsia="Times New Roman" w:cs="Arial"/>
          <w:i/>
          <w:iCs/>
          <w:color w:val="000000"/>
          <w:lang w:eastAsia="bg-BG"/>
        </w:rPr>
        <w:t>Чес</w:t>
      </w:r>
      <w:r>
        <w:rPr>
          <w:rFonts w:eastAsia="Times New Roman" w:cs="Arial"/>
          <w:i/>
          <w:iCs/>
          <w:color w:val="000000"/>
          <w:lang w:eastAsia="bg-BG"/>
        </w:rPr>
        <w:t xml:space="preserve">ти: </w:t>
      </w:r>
      <w:r w:rsidRPr="00EF1469">
        <w:rPr>
          <w:rFonts w:eastAsia="Times New Roman" w:cs="Arial"/>
          <w:color w:val="000000"/>
          <w:lang w:eastAsia="bg-BG"/>
        </w:rPr>
        <w:t>повишаване на аланинаминотрансферазата, повишаване на серумната</w:t>
      </w:r>
    </w:p>
    <w:p w14:paraId="0939D645"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креатинкиназа.</w:t>
      </w:r>
    </w:p>
    <w:p w14:paraId="0E271759" w14:textId="77777777" w:rsidR="00EF1469" w:rsidRDefault="00EF1469" w:rsidP="00EF1469">
      <w:pPr>
        <w:spacing w:line="240" w:lineRule="auto"/>
        <w:rPr>
          <w:rFonts w:eastAsia="Times New Roman" w:cs="Arial"/>
          <w:color w:val="000000"/>
          <w:lang w:eastAsia="bg-BG"/>
        </w:rPr>
      </w:pPr>
    </w:p>
    <w:p w14:paraId="0ADDC925" w14:textId="6CE0FBC1" w:rsidR="00EF1469" w:rsidRPr="00EF1469" w:rsidRDefault="00EF1469" w:rsidP="00EF1469">
      <w:pPr>
        <w:spacing w:line="240" w:lineRule="auto"/>
        <w:rPr>
          <w:rFonts w:eastAsia="Times New Roman" w:cs="Arial"/>
        </w:rPr>
      </w:pPr>
      <w:r w:rsidRPr="00EF1469">
        <w:rPr>
          <w:rFonts w:eastAsia="Times New Roman" w:cs="Arial"/>
          <w:color w:val="000000"/>
          <w:lang w:eastAsia="bg-BG"/>
        </w:rPr>
        <w:t>Въз основа на наличните данни се очаква честотата, видът и тежестта на нежеланите реакции при деца да бъдат същите като при възрастни. Понастоящем няма голям опит по отношение на безопасността в дългосрочен план при педиатричната популация.</w:t>
      </w:r>
    </w:p>
    <w:p w14:paraId="7394A001" w14:textId="77777777" w:rsidR="00EF1469" w:rsidRDefault="00EF1469" w:rsidP="00EF1469">
      <w:pPr>
        <w:spacing w:line="240" w:lineRule="auto"/>
        <w:rPr>
          <w:rFonts w:eastAsia="Times New Roman" w:cs="Arial"/>
          <w:color w:val="000000"/>
          <w:lang w:eastAsia="bg-BG"/>
        </w:rPr>
      </w:pPr>
    </w:p>
    <w:p w14:paraId="797A4D21" w14:textId="0CB76B1B" w:rsidR="00EF1469" w:rsidRPr="00EF1469" w:rsidRDefault="00EF1469" w:rsidP="00EF1469">
      <w:pPr>
        <w:spacing w:line="240" w:lineRule="auto"/>
        <w:rPr>
          <w:rFonts w:eastAsia="Times New Roman" w:cs="Arial"/>
        </w:rPr>
      </w:pPr>
      <w:r w:rsidRPr="00EF1469">
        <w:rPr>
          <w:rFonts w:eastAsia="Times New Roman" w:cs="Arial"/>
          <w:color w:val="000000"/>
          <w:lang w:eastAsia="bg-BG"/>
        </w:rPr>
        <w:t>При приложението на някои статини са съобщавани следните нежелани събития:</w:t>
      </w:r>
    </w:p>
    <w:p w14:paraId="4B16E0EF" w14:textId="77777777" w:rsidR="00EF1469" w:rsidRPr="00EF1469" w:rsidRDefault="00EF1469" w:rsidP="00EF1469">
      <w:pPr>
        <w:pStyle w:val="ListParagraph"/>
        <w:numPr>
          <w:ilvl w:val="0"/>
          <w:numId w:val="36"/>
        </w:numPr>
        <w:spacing w:line="240" w:lineRule="auto"/>
        <w:rPr>
          <w:rFonts w:eastAsia="Times New Roman" w:cs="Arial"/>
        </w:rPr>
      </w:pPr>
      <w:r w:rsidRPr="00EF1469">
        <w:rPr>
          <w:rFonts w:eastAsia="Times New Roman" w:cs="Arial"/>
          <w:color w:val="000000"/>
          <w:lang w:eastAsia="bg-BG"/>
        </w:rPr>
        <w:t>Нарушена сексуална функция;</w:t>
      </w:r>
    </w:p>
    <w:p w14:paraId="17A6DA75" w14:textId="77777777" w:rsidR="00EF1469" w:rsidRPr="00EF1469" w:rsidRDefault="00EF1469" w:rsidP="00EF1469">
      <w:pPr>
        <w:pStyle w:val="ListParagraph"/>
        <w:numPr>
          <w:ilvl w:val="0"/>
          <w:numId w:val="36"/>
        </w:numPr>
        <w:spacing w:line="240" w:lineRule="auto"/>
        <w:rPr>
          <w:rFonts w:eastAsia="Times New Roman" w:cs="Arial"/>
        </w:rPr>
      </w:pPr>
      <w:r w:rsidRPr="00EF1469">
        <w:rPr>
          <w:rFonts w:eastAsia="Times New Roman" w:cs="Arial"/>
          <w:color w:val="000000"/>
          <w:lang w:eastAsia="bg-BG"/>
        </w:rPr>
        <w:t>Депресия;</w:t>
      </w:r>
    </w:p>
    <w:p w14:paraId="1C58BDA3" w14:textId="77777777" w:rsidR="00EF1469" w:rsidRPr="00EF1469" w:rsidRDefault="00EF1469" w:rsidP="00EF1469">
      <w:pPr>
        <w:pStyle w:val="ListParagraph"/>
        <w:numPr>
          <w:ilvl w:val="0"/>
          <w:numId w:val="36"/>
        </w:numPr>
        <w:spacing w:line="240" w:lineRule="auto"/>
        <w:rPr>
          <w:rFonts w:eastAsia="Times New Roman" w:cs="Arial"/>
        </w:rPr>
      </w:pPr>
      <w:r w:rsidRPr="00EF1469">
        <w:rPr>
          <w:rFonts w:eastAsia="Times New Roman" w:cs="Arial"/>
          <w:color w:val="000000"/>
          <w:lang w:eastAsia="bg-BG"/>
        </w:rPr>
        <w:t>Отделни случаи на интерстициална белодробна болест, особено при дългосрочна терапия (вж. точка 4.4);</w:t>
      </w:r>
    </w:p>
    <w:p w14:paraId="16E732D5" w14:textId="75FA3F3B" w:rsidR="00EF1469" w:rsidRPr="00EF1469" w:rsidRDefault="00EF1469" w:rsidP="00EF1469">
      <w:pPr>
        <w:pStyle w:val="ListParagraph"/>
        <w:numPr>
          <w:ilvl w:val="0"/>
          <w:numId w:val="36"/>
        </w:numPr>
        <w:spacing w:line="240" w:lineRule="auto"/>
        <w:rPr>
          <w:rFonts w:eastAsia="Times New Roman" w:cs="Arial"/>
        </w:rPr>
      </w:pPr>
      <w:r w:rsidRPr="00EF1469">
        <w:rPr>
          <w:rFonts w:eastAsia="Times New Roman" w:cs="Arial"/>
          <w:color w:val="000000"/>
          <w:lang w:eastAsia="bg-BG"/>
        </w:rPr>
        <w:t xml:space="preserve">Захарен диабет. Честотата ще зависи от наличието или отсъствието на рискови фактори (глюкоза на гладно ≥ 5,6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w:t>
      </w:r>
      <w:r w:rsidRPr="00EF1469">
        <w:rPr>
          <w:rFonts w:eastAsia="Times New Roman" w:cs="Arial"/>
          <w:color w:val="000000"/>
          <w:lang w:val="en-US"/>
        </w:rPr>
        <w:t>l</w:t>
      </w:r>
      <w:r w:rsidRPr="00EF1469">
        <w:rPr>
          <w:rFonts w:eastAsia="Times New Roman" w:cs="Arial"/>
          <w:color w:val="000000"/>
          <w:lang w:val="ru-RU"/>
        </w:rPr>
        <w:t xml:space="preserve">, </w:t>
      </w:r>
      <w:r w:rsidRPr="00EF1469">
        <w:rPr>
          <w:rFonts w:eastAsia="Times New Roman" w:cs="Arial"/>
          <w:color w:val="000000"/>
          <w:lang w:val="en-US"/>
        </w:rPr>
        <w:t>BMI</w:t>
      </w:r>
      <w:r w:rsidRPr="00EF1469">
        <w:rPr>
          <w:rFonts w:eastAsia="Times New Roman" w:cs="Arial"/>
          <w:color w:val="000000"/>
          <w:lang w:val="ru-RU"/>
        </w:rPr>
        <w:t xml:space="preserve"> </w:t>
      </w:r>
      <w:r w:rsidRPr="00EF1469">
        <w:rPr>
          <w:rFonts w:eastAsia="Times New Roman" w:cs="Arial"/>
          <w:color w:val="000000"/>
          <w:lang w:eastAsia="bg-BG"/>
        </w:rPr>
        <w:t xml:space="preserve">&gt; 30 </w:t>
      </w:r>
      <w:r w:rsidRPr="00EF1469">
        <w:rPr>
          <w:rFonts w:eastAsia="Times New Roman" w:cs="Arial"/>
          <w:color w:val="000000"/>
          <w:lang w:val="en-US"/>
        </w:rPr>
        <w:t>kg</w:t>
      </w:r>
      <w:r w:rsidRPr="00EF1469">
        <w:rPr>
          <w:rFonts w:eastAsia="Times New Roman" w:cs="Arial"/>
          <w:color w:val="000000"/>
          <w:lang w:val="ru-RU"/>
        </w:rPr>
        <w:t>/</w:t>
      </w:r>
      <w:r w:rsidRPr="00EF1469">
        <w:rPr>
          <w:rFonts w:eastAsia="Times New Roman" w:cs="Arial"/>
          <w:color w:val="000000"/>
          <w:lang w:val="en-US"/>
        </w:rPr>
        <w:t>m</w:t>
      </w:r>
      <w:r w:rsidRPr="00EF1469">
        <w:rPr>
          <w:rFonts w:eastAsia="Times New Roman" w:cs="Arial"/>
          <w:color w:val="000000"/>
          <w:vertAlign w:val="superscript"/>
          <w:lang w:val="ru-RU"/>
        </w:rPr>
        <w:t>2</w:t>
      </w:r>
      <w:r w:rsidRPr="00EF1469">
        <w:rPr>
          <w:rFonts w:eastAsia="Times New Roman" w:cs="Arial"/>
          <w:color w:val="000000"/>
          <w:lang w:val="ru-RU"/>
        </w:rPr>
        <w:t xml:space="preserve">, </w:t>
      </w:r>
      <w:r w:rsidRPr="00EF1469">
        <w:rPr>
          <w:rFonts w:eastAsia="Times New Roman" w:cs="Arial"/>
          <w:color w:val="000000"/>
          <w:lang w:eastAsia="bg-BG"/>
        </w:rPr>
        <w:t>повишени триглицериди, анамнеза за хипертония).</w:t>
      </w:r>
    </w:p>
    <w:p w14:paraId="42E9D95A" w14:textId="77777777" w:rsidR="00EF1469" w:rsidRDefault="00EF1469" w:rsidP="00EF1469">
      <w:pPr>
        <w:spacing w:line="240" w:lineRule="auto"/>
        <w:rPr>
          <w:rFonts w:eastAsia="Times New Roman" w:cs="Arial"/>
          <w:color w:val="000000"/>
          <w:u w:val="single"/>
          <w:lang w:eastAsia="bg-BG"/>
        </w:rPr>
      </w:pPr>
    </w:p>
    <w:p w14:paraId="3E95DF42" w14:textId="136FCBCB" w:rsidR="00EF1469" w:rsidRPr="00EF1469" w:rsidRDefault="00EF1469" w:rsidP="00EF1469">
      <w:pPr>
        <w:spacing w:line="240" w:lineRule="auto"/>
        <w:rPr>
          <w:rFonts w:eastAsia="Times New Roman" w:cs="Arial"/>
        </w:rPr>
      </w:pPr>
      <w:r w:rsidRPr="00EF1469">
        <w:rPr>
          <w:rFonts w:eastAsia="Times New Roman" w:cs="Arial"/>
          <w:color w:val="000000"/>
          <w:u w:val="single"/>
          <w:lang w:eastAsia="bg-BG"/>
        </w:rPr>
        <w:t>Съобщаване на подозирани нежелани реакции</w:t>
      </w:r>
    </w:p>
    <w:p w14:paraId="722A39BB" w14:textId="77777777" w:rsidR="00EF1469" w:rsidRDefault="00EF1469" w:rsidP="00EF1469">
      <w:pPr>
        <w:spacing w:line="240" w:lineRule="auto"/>
        <w:rPr>
          <w:rFonts w:eastAsia="Times New Roman" w:cs="Arial"/>
          <w:color w:val="000000"/>
          <w:lang w:eastAsia="bg-BG"/>
        </w:rPr>
      </w:pPr>
    </w:p>
    <w:p w14:paraId="16A2C491" w14:textId="20442ACA" w:rsidR="00EF1469" w:rsidRPr="00EF1469" w:rsidRDefault="00EF1469" w:rsidP="00EF1469">
      <w:pPr>
        <w:spacing w:line="240" w:lineRule="auto"/>
        <w:rPr>
          <w:rFonts w:eastAsia="Times New Roman" w:cs="Arial"/>
        </w:rPr>
      </w:pPr>
      <w:r w:rsidRPr="00EF1469">
        <w:rPr>
          <w:rFonts w:eastAsia="Times New Roman" w:cs="Arial"/>
          <w:color w:val="000000"/>
          <w:lang w:eastAsia="bg-BG"/>
        </w:rPr>
        <w:lastRenderedPageBreak/>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Нежеланите реакции може да бъдат съобщени директно на Изпълнителна агенция по лекарствата (ИАЛ):</w:t>
      </w:r>
    </w:p>
    <w:p w14:paraId="6674FB52" w14:textId="77777777" w:rsidR="00EF1469" w:rsidRDefault="00EF1469" w:rsidP="00EF1469">
      <w:pPr>
        <w:spacing w:line="240" w:lineRule="auto"/>
        <w:rPr>
          <w:rFonts w:eastAsia="Times New Roman" w:cs="Arial"/>
          <w:color w:val="000000"/>
          <w:lang w:eastAsia="bg-BG"/>
        </w:rPr>
      </w:pPr>
    </w:p>
    <w:p w14:paraId="7D5B9D21" w14:textId="58F5BD88" w:rsidR="00EF1469" w:rsidRPr="00EF1469" w:rsidRDefault="00EF1469" w:rsidP="00EF1469">
      <w:pPr>
        <w:spacing w:line="240" w:lineRule="auto"/>
        <w:rPr>
          <w:rFonts w:eastAsia="Times New Roman" w:cs="Arial"/>
        </w:rPr>
      </w:pPr>
      <w:r w:rsidRPr="00EF1469">
        <w:rPr>
          <w:rFonts w:eastAsia="Times New Roman" w:cs="Arial"/>
          <w:color w:val="000000"/>
          <w:lang w:eastAsia="bg-BG"/>
        </w:rPr>
        <w:t>БЪЛГАРИЯ, София 1303, ул. Дамян Груев 8</w:t>
      </w:r>
    </w:p>
    <w:p w14:paraId="3EA7EC81"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Тел. +359 2 8903555</w:t>
      </w:r>
    </w:p>
    <w:p w14:paraId="4B28F1E5"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ел. поща: </w:t>
      </w:r>
      <w:r w:rsidR="003E77D3">
        <w:fldChar w:fldCharType="begin"/>
      </w:r>
      <w:r w:rsidR="003E77D3">
        <w:instrText xml:space="preserve"> HYPERLINK "mailto:bda@bda.bg" </w:instrText>
      </w:r>
      <w:r w:rsidR="003E77D3">
        <w:fldChar w:fldCharType="separate"/>
      </w:r>
      <w:r w:rsidRPr="00EF1469">
        <w:rPr>
          <w:rFonts w:eastAsia="Times New Roman" w:cs="Arial"/>
          <w:color w:val="000000"/>
          <w:u w:val="single"/>
          <w:lang w:val="en-US"/>
        </w:rPr>
        <w:t>bda</w:t>
      </w:r>
      <w:r w:rsidRPr="00EF1469">
        <w:rPr>
          <w:rFonts w:eastAsia="Times New Roman" w:cs="Arial"/>
          <w:color w:val="000000"/>
          <w:u w:val="single"/>
          <w:lang w:val="ru-RU"/>
        </w:rPr>
        <w:t>@</w:t>
      </w:r>
      <w:r w:rsidRPr="00EF1469">
        <w:rPr>
          <w:rFonts w:eastAsia="Times New Roman" w:cs="Arial"/>
          <w:color w:val="000000"/>
          <w:u w:val="single"/>
          <w:lang w:val="en-US"/>
        </w:rPr>
        <w:t>bda</w:t>
      </w:r>
      <w:r w:rsidRPr="00EF1469">
        <w:rPr>
          <w:rFonts w:eastAsia="Times New Roman" w:cs="Arial"/>
          <w:color w:val="000000"/>
          <w:u w:val="single"/>
          <w:lang w:val="ru-RU"/>
        </w:rPr>
        <w:t>.</w:t>
      </w:r>
      <w:proofErr w:type="spellStart"/>
      <w:r w:rsidRPr="00EF1469">
        <w:rPr>
          <w:rFonts w:eastAsia="Times New Roman" w:cs="Arial"/>
          <w:color w:val="000000"/>
          <w:u w:val="single"/>
          <w:lang w:val="en-US"/>
        </w:rPr>
        <w:t>bg</w:t>
      </w:r>
      <w:proofErr w:type="spellEnd"/>
      <w:r w:rsidR="003E77D3">
        <w:rPr>
          <w:rFonts w:eastAsia="Times New Roman" w:cs="Arial"/>
          <w:color w:val="000000"/>
          <w:u w:val="single"/>
          <w:lang w:val="en-US"/>
        </w:rPr>
        <w:fldChar w:fldCharType="end"/>
      </w:r>
    </w:p>
    <w:p w14:paraId="7CD4C0A5"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уебсайт: </w:t>
      </w:r>
      <w:r w:rsidR="003E77D3">
        <w:fldChar w:fldCharType="begin"/>
      </w:r>
      <w:r w:rsidR="003E77D3">
        <w:instrText xml:space="preserve"> HYPERLINK "http://www.bda.bg" </w:instrText>
      </w:r>
      <w:r w:rsidR="003E77D3">
        <w:fldChar w:fldCharType="separate"/>
      </w:r>
      <w:r w:rsidRPr="00EF1469">
        <w:rPr>
          <w:rFonts w:eastAsia="Times New Roman" w:cs="Arial"/>
          <w:color w:val="000000"/>
          <w:u w:val="single"/>
          <w:lang w:val="en-US"/>
        </w:rPr>
        <w:t>www</w:t>
      </w:r>
      <w:r w:rsidRPr="00EF1469">
        <w:rPr>
          <w:rFonts w:eastAsia="Times New Roman" w:cs="Arial"/>
          <w:color w:val="000000"/>
          <w:u w:val="single"/>
          <w:lang w:val="ru-RU"/>
        </w:rPr>
        <w:t>.</w:t>
      </w:r>
      <w:proofErr w:type="spellStart"/>
      <w:r w:rsidRPr="00EF1469">
        <w:rPr>
          <w:rFonts w:eastAsia="Times New Roman" w:cs="Arial"/>
          <w:color w:val="000000"/>
          <w:u w:val="single"/>
          <w:lang w:val="en-US"/>
        </w:rPr>
        <w:t>bda</w:t>
      </w:r>
      <w:proofErr w:type="spellEnd"/>
      <w:r w:rsidRPr="00EF1469">
        <w:rPr>
          <w:rFonts w:eastAsia="Times New Roman" w:cs="Arial"/>
          <w:color w:val="000000"/>
          <w:u w:val="single"/>
          <w:lang w:val="ru-RU"/>
        </w:rPr>
        <w:t>.</w:t>
      </w:r>
      <w:proofErr w:type="spellStart"/>
      <w:r w:rsidRPr="00EF1469">
        <w:rPr>
          <w:rFonts w:eastAsia="Times New Roman" w:cs="Arial"/>
          <w:color w:val="000000"/>
          <w:u w:val="single"/>
          <w:lang w:val="en-US"/>
        </w:rPr>
        <w:t>bg</w:t>
      </w:r>
      <w:proofErr w:type="spellEnd"/>
      <w:r w:rsidR="003E77D3">
        <w:rPr>
          <w:rFonts w:eastAsia="Times New Roman" w:cs="Arial"/>
          <w:color w:val="000000"/>
          <w:u w:val="single"/>
          <w:lang w:val="en-US"/>
        </w:rPr>
        <w:fldChar w:fldCharType="end"/>
      </w:r>
    </w:p>
    <w:p w14:paraId="68DD1668" w14:textId="77777777" w:rsidR="00EF1469" w:rsidRPr="00BE2FFB" w:rsidRDefault="00EF1469" w:rsidP="00BE2FFB"/>
    <w:p w14:paraId="0A023CE0" w14:textId="30DA6EBA" w:rsidR="00CF77F7" w:rsidRDefault="002C50EE" w:rsidP="004A448E">
      <w:pPr>
        <w:pStyle w:val="Heading2"/>
      </w:pPr>
      <w:r>
        <w:t>4.9. Предозиране</w:t>
      </w:r>
    </w:p>
    <w:p w14:paraId="46D6ABAA" w14:textId="34846749" w:rsidR="00EF1469" w:rsidRDefault="00EF1469" w:rsidP="00EF1469"/>
    <w:p w14:paraId="567B1CC8" w14:textId="6E9459CE" w:rsidR="00EF1469" w:rsidRPr="00EF1469" w:rsidRDefault="00EF1469" w:rsidP="00EF1469">
      <w:r>
        <w:t>Специфично лечение при предозиране на Аторвин няма. При предозиране пациентът трябва да бъде лекуван симптоматично и да се предприемат поддържащи мерки според необходимостта. Трябва да се направят чернодробни функционални тестове и да се мониторират нивата на серумната КК. Поради високата степен на свързване на аторвастатин с плазмените протеини не се очаква хемодиализата да ускори значително клирънса на аторвастатин.</w:t>
      </w:r>
    </w:p>
    <w:p w14:paraId="02081B24" w14:textId="1F46E296" w:rsidR="00395555" w:rsidRPr="00395555" w:rsidRDefault="002C50EE" w:rsidP="008A6AF2">
      <w:pPr>
        <w:pStyle w:val="Heading1"/>
      </w:pPr>
      <w:r>
        <w:t>5. ФАРМАКОЛОГИЧНИ СВОЙСТВА</w:t>
      </w:r>
    </w:p>
    <w:p w14:paraId="32B6DE66" w14:textId="4C462A5F" w:rsidR="00CF77F7" w:rsidRDefault="002C50EE" w:rsidP="004A448E">
      <w:pPr>
        <w:pStyle w:val="Heading2"/>
      </w:pPr>
      <w:r>
        <w:t>5.1. Фармакодинамични свойства</w:t>
      </w:r>
    </w:p>
    <w:p w14:paraId="3AD46623" w14:textId="015F2E93" w:rsidR="00EF1469" w:rsidRDefault="00EF1469" w:rsidP="00EF1469"/>
    <w:p w14:paraId="733962D0"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Фармакотерапевтична група: Лекарства, регулиращи липидите, </w:t>
      </w:r>
      <w:r w:rsidRPr="00EF1469">
        <w:rPr>
          <w:rFonts w:eastAsia="Times New Roman" w:cs="Arial"/>
          <w:color w:val="000000"/>
          <w:lang w:val="en-US"/>
        </w:rPr>
        <w:t>HMG</w:t>
      </w:r>
      <w:r w:rsidRPr="00EF1469">
        <w:rPr>
          <w:rFonts w:eastAsia="Times New Roman" w:cs="Arial"/>
          <w:color w:val="000000"/>
          <w:lang w:eastAsia="bg-BG"/>
        </w:rPr>
        <w:t>-СоА-редуктазни инхибитори, АТС код: С10АА05</w:t>
      </w:r>
    </w:p>
    <w:p w14:paraId="75CBD0AB" w14:textId="77777777" w:rsidR="00EF1469" w:rsidRDefault="00EF1469" w:rsidP="00EF1469">
      <w:pPr>
        <w:spacing w:line="240" w:lineRule="auto"/>
        <w:rPr>
          <w:rFonts w:eastAsia="Times New Roman" w:cs="Arial"/>
          <w:color w:val="000000"/>
          <w:lang w:eastAsia="bg-BG"/>
        </w:rPr>
      </w:pPr>
    </w:p>
    <w:p w14:paraId="7B90BCC5" w14:textId="574E66D5" w:rsidR="00EF1469" w:rsidRPr="00EF1469" w:rsidRDefault="00EF1469" w:rsidP="00EF1469">
      <w:pPr>
        <w:spacing w:line="240" w:lineRule="auto"/>
        <w:rPr>
          <w:rFonts w:eastAsia="Times New Roman" w:cs="Arial"/>
          <w:color w:val="000000"/>
          <w:lang w:eastAsia="bg-BG"/>
        </w:rPr>
      </w:pPr>
      <w:r w:rsidRPr="00EF1469">
        <w:rPr>
          <w:rFonts w:eastAsia="Times New Roman" w:cs="Arial"/>
          <w:color w:val="000000"/>
          <w:lang w:eastAsia="bg-BG"/>
        </w:rPr>
        <w:t xml:space="preserve">Аторвастатин е селективен, компетитивен </w:t>
      </w:r>
      <w:r w:rsidRPr="00EF1469">
        <w:rPr>
          <w:rFonts w:eastAsia="Times New Roman" w:cs="Arial"/>
          <w:color w:val="000000"/>
          <w:lang w:val="en-US"/>
        </w:rPr>
        <w:t>HMG</w:t>
      </w:r>
      <w:r w:rsidRPr="00EF1469">
        <w:rPr>
          <w:rFonts w:eastAsia="Times New Roman" w:cs="Arial"/>
          <w:color w:val="000000"/>
          <w:lang w:eastAsia="bg-BG"/>
        </w:rPr>
        <w:t xml:space="preserve">-СоА-редуктазен инхибитор, скоростопределящ ензим, отговорен за превръщането на 3-хидрокси-3-метил-глутарилкоензим А до мевалонат, прекурсор на стеролите, включително на холестерола. Триглицеридите и холестеролът в черния дроб се включват в състава на липопротеини с много ниска плътност </w:t>
      </w:r>
      <w:r w:rsidRPr="00EF1469">
        <w:rPr>
          <w:rFonts w:eastAsia="Times New Roman" w:cs="Arial"/>
          <w:color w:val="000000"/>
          <w:lang w:val="ru-RU"/>
        </w:rPr>
        <w:t>(</w:t>
      </w:r>
      <w:r w:rsidRPr="00EF1469">
        <w:rPr>
          <w:rFonts w:eastAsia="Times New Roman" w:cs="Arial"/>
          <w:color w:val="000000"/>
          <w:lang w:val="en-US"/>
        </w:rPr>
        <w:t>VLDL</w:t>
      </w:r>
      <w:r w:rsidRPr="00EF1469">
        <w:rPr>
          <w:rFonts w:eastAsia="Times New Roman" w:cs="Arial"/>
          <w:color w:val="000000"/>
          <w:lang w:val="ru-RU"/>
        </w:rPr>
        <w:t xml:space="preserve">) </w:t>
      </w:r>
      <w:r w:rsidRPr="00EF1469">
        <w:rPr>
          <w:rFonts w:eastAsia="Times New Roman" w:cs="Arial"/>
          <w:color w:val="000000"/>
          <w:lang w:eastAsia="bg-BG"/>
        </w:rPr>
        <w:t xml:space="preserve">и се отделят в плазмата за пренасяне до периферните тъкани. Липопротеините с ниска плътност </w:t>
      </w:r>
      <w:r w:rsidRPr="00EF1469">
        <w:rPr>
          <w:rFonts w:eastAsia="Times New Roman" w:cs="Arial"/>
          <w:color w:val="000000"/>
          <w:lang w:val="ru-RU"/>
        </w:rPr>
        <w:t>(</w:t>
      </w:r>
      <w:r w:rsidRPr="00EF1469">
        <w:rPr>
          <w:rFonts w:eastAsia="Times New Roman" w:cs="Arial"/>
          <w:color w:val="000000"/>
          <w:lang w:val="en-US"/>
        </w:rPr>
        <w:t>LDL</w:t>
      </w:r>
      <w:r w:rsidRPr="00EF1469">
        <w:rPr>
          <w:rFonts w:eastAsia="Times New Roman" w:cs="Arial"/>
          <w:color w:val="000000"/>
          <w:lang w:val="ru-RU"/>
        </w:rPr>
        <w:t xml:space="preserve">) </w:t>
      </w:r>
      <w:r w:rsidRPr="00EF1469">
        <w:rPr>
          <w:rFonts w:eastAsia="Times New Roman" w:cs="Arial"/>
          <w:color w:val="000000"/>
          <w:lang w:eastAsia="bg-BG"/>
        </w:rPr>
        <w:t xml:space="preserve">се образуват от </w:t>
      </w:r>
      <w:r w:rsidRPr="00EF1469">
        <w:rPr>
          <w:rFonts w:eastAsia="Times New Roman" w:cs="Arial"/>
          <w:color w:val="000000"/>
          <w:lang w:val="en-US"/>
        </w:rPr>
        <w:t>VLDL</w:t>
      </w:r>
      <w:r w:rsidRPr="00EF1469">
        <w:rPr>
          <w:rFonts w:eastAsia="Times New Roman" w:cs="Arial"/>
          <w:color w:val="000000"/>
          <w:lang w:val="ru-RU"/>
        </w:rPr>
        <w:t xml:space="preserve"> </w:t>
      </w:r>
      <w:r w:rsidRPr="00EF1469">
        <w:rPr>
          <w:rFonts w:eastAsia="Times New Roman" w:cs="Arial"/>
          <w:color w:val="000000"/>
          <w:lang w:eastAsia="bg-BG"/>
        </w:rPr>
        <w:t xml:space="preserve">и се катаболизират преди всичко чрез рецептори с висок афинитет към </w:t>
      </w:r>
      <w:r w:rsidRPr="00EF1469">
        <w:rPr>
          <w:rFonts w:eastAsia="Times New Roman" w:cs="Arial"/>
          <w:color w:val="000000"/>
          <w:lang w:val="en-US"/>
        </w:rPr>
        <w:t>LDL</w:t>
      </w:r>
      <w:r w:rsidRPr="00EF1469">
        <w:rPr>
          <w:rFonts w:eastAsia="Times New Roman" w:cs="Arial"/>
          <w:color w:val="000000"/>
          <w:lang w:val="ru-RU"/>
        </w:rPr>
        <w:t xml:space="preserve"> (</w:t>
      </w:r>
      <w:r w:rsidRPr="00EF1469">
        <w:rPr>
          <w:rFonts w:eastAsia="Times New Roman" w:cs="Arial"/>
          <w:color w:val="000000"/>
          <w:lang w:val="en-US"/>
        </w:rPr>
        <w:t>LDL</w:t>
      </w:r>
      <w:r w:rsidRPr="00EF1469">
        <w:rPr>
          <w:rFonts w:eastAsia="Times New Roman" w:cs="Arial"/>
          <w:color w:val="000000"/>
          <w:lang w:val="ru-RU"/>
        </w:rPr>
        <w:t xml:space="preserve"> </w:t>
      </w:r>
      <w:r w:rsidRPr="00EF1469">
        <w:rPr>
          <w:rFonts w:eastAsia="Times New Roman" w:cs="Arial"/>
          <w:color w:val="000000"/>
          <w:lang w:eastAsia="bg-BG"/>
        </w:rPr>
        <w:t>рецептор).</w:t>
      </w:r>
    </w:p>
    <w:p w14:paraId="573BAB8F" w14:textId="77777777" w:rsidR="00EF1469" w:rsidRDefault="00EF1469" w:rsidP="00EF1469">
      <w:pPr>
        <w:spacing w:line="240" w:lineRule="auto"/>
        <w:rPr>
          <w:rFonts w:eastAsia="Times New Roman" w:cs="Arial"/>
          <w:color w:val="000000"/>
          <w:lang w:eastAsia="bg-BG"/>
        </w:rPr>
      </w:pPr>
    </w:p>
    <w:p w14:paraId="7AA6D177" w14:textId="2711216A"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Аторвастатин понижава плазмените нива на холестерола и липопротеините чрез инхибиране на </w:t>
      </w:r>
      <w:r w:rsidRPr="00EF1469">
        <w:rPr>
          <w:rFonts w:eastAsia="Times New Roman" w:cs="Arial"/>
          <w:color w:val="000000"/>
          <w:lang w:val="en-US"/>
        </w:rPr>
        <w:t>HMG</w:t>
      </w:r>
      <w:r w:rsidRPr="00EF1469">
        <w:rPr>
          <w:rFonts w:eastAsia="Times New Roman" w:cs="Arial"/>
          <w:color w:val="000000"/>
          <w:lang w:eastAsia="bg-BG"/>
        </w:rPr>
        <w:t xml:space="preserve">-СоА-редуктазата и последващата биосинтеза на холестерол в черния дроб и увеличава броя на чернодробните рецептори за </w:t>
      </w:r>
      <w:r w:rsidRPr="00EF1469">
        <w:rPr>
          <w:rFonts w:eastAsia="Times New Roman" w:cs="Arial"/>
          <w:color w:val="000000"/>
          <w:lang w:val="en-US"/>
        </w:rPr>
        <w:t>LDL</w:t>
      </w:r>
      <w:r w:rsidRPr="00EF1469">
        <w:rPr>
          <w:rFonts w:eastAsia="Times New Roman" w:cs="Arial"/>
          <w:color w:val="000000"/>
          <w:lang w:val="ru-RU"/>
        </w:rPr>
        <w:t xml:space="preserve"> </w:t>
      </w:r>
      <w:r w:rsidRPr="00EF1469">
        <w:rPr>
          <w:rFonts w:eastAsia="Times New Roman" w:cs="Arial"/>
          <w:color w:val="000000"/>
          <w:lang w:eastAsia="bg-BG"/>
        </w:rPr>
        <w:t xml:space="preserve">върху клетъчната повърхност за усилено усвояване и катаболизъм на </w:t>
      </w:r>
      <w:r w:rsidRPr="00EF1469">
        <w:rPr>
          <w:rFonts w:eastAsia="Times New Roman" w:cs="Arial"/>
          <w:color w:val="000000"/>
          <w:lang w:val="en-US"/>
        </w:rPr>
        <w:t>LDL</w:t>
      </w:r>
      <w:r w:rsidRPr="00EF1469">
        <w:rPr>
          <w:rFonts w:eastAsia="Times New Roman" w:cs="Arial"/>
          <w:color w:val="000000"/>
          <w:lang w:val="ru-RU"/>
        </w:rPr>
        <w:t>.</w:t>
      </w:r>
    </w:p>
    <w:p w14:paraId="2F5AACDF" w14:textId="77777777" w:rsidR="00EF1469" w:rsidRDefault="00EF1469" w:rsidP="00EF1469">
      <w:pPr>
        <w:spacing w:line="240" w:lineRule="auto"/>
        <w:rPr>
          <w:rFonts w:eastAsia="Times New Roman" w:cs="Arial"/>
          <w:color w:val="000000"/>
          <w:lang w:eastAsia="bg-BG"/>
        </w:rPr>
      </w:pPr>
      <w:r w:rsidRPr="00EF1469">
        <w:rPr>
          <w:rFonts w:eastAsia="Times New Roman" w:cs="Arial"/>
          <w:color w:val="000000"/>
          <w:lang w:eastAsia="bg-BG"/>
        </w:rPr>
        <w:t xml:space="preserve">Аторвастатин намалява образуването на </w:t>
      </w:r>
      <w:r w:rsidRPr="00EF1469">
        <w:rPr>
          <w:rFonts w:eastAsia="Times New Roman" w:cs="Arial"/>
          <w:color w:val="000000"/>
          <w:lang w:val="en-US"/>
        </w:rPr>
        <w:t>LDL</w:t>
      </w:r>
      <w:r w:rsidRPr="00EF1469">
        <w:rPr>
          <w:rFonts w:eastAsia="Times New Roman" w:cs="Arial"/>
          <w:color w:val="000000"/>
          <w:lang w:val="ru-RU"/>
        </w:rPr>
        <w:t xml:space="preserve"> </w:t>
      </w:r>
      <w:r w:rsidRPr="00EF1469">
        <w:rPr>
          <w:rFonts w:eastAsia="Times New Roman" w:cs="Arial"/>
          <w:color w:val="000000"/>
          <w:lang w:eastAsia="bg-BG"/>
        </w:rPr>
        <w:t xml:space="preserve">и броя на </w:t>
      </w:r>
      <w:r w:rsidRPr="00EF1469">
        <w:rPr>
          <w:rFonts w:eastAsia="Times New Roman" w:cs="Arial"/>
          <w:color w:val="000000"/>
          <w:lang w:val="en-US"/>
        </w:rPr>
        <w:t>LDL</w:t>
      </w:r>
      <w:r w:rsidRPr="00EF1469">
        <w:rPr>
          <w:rFonts w:eastAsia="Times New Roman" w:cs="Arial"/>
          <w:color w:val="000000"/>
          <w:lang w:eastAsia="bg-BG"/>
        </w:rPr>
        <w:t xml:space="preserve">-частиците. Аторвастатин причинява значително и дълготрайно повишаване на активността на рецепторите за </w:t>
      </w:r>
      <w:r w:rsidRPr="00EF1469">
        <w:rPr>
          <w:rFonts w:eastAsia="Times New Roman" w:cs="Arial"/>
          <w:color w:val="000000"/>
          <w:lang w:val="en-US"/>
        </w:rPr>
        <w:t>LDL</w:t>
      </w:r>
      <w:r w:rsidRPr="00EF1469">
        <w:rPr>
          <w:rFonts w:eastAsia="Times New Roman" w:cs="Arial"/>
          <w:color w:val="000000"/>
          <w:lang w:val="ru-RU"/>
        </w:rPr>
        <w:t xml:space="preserve">, </w:t>
      </w:r>
      <w:r w:rsidRPr="00EF1469">
        <w:rPr>
          <w:rFonts w:eastAsia="Times New Roman" w:cs="Arial"/>
          <w:color w:val="000000"/>
          <w:lang w:eastAsia="bg-BG"/>
        </w:rPr>
        <w:t xml:space="preserve">придружено с благоприятна промяна в качеството на циркулиращите </w:t>
      </w:r>
      <w:r w:rsidRPr="00EF1469">
        <w:rPr>
          <w:rFonts w:eastAsia="Times New Roman" w:cs="Arial"/>
          <w:color w:val="000000"/>
          <w:lang w:val="en-US"/>
        </w:rPr>
        <w:t>LDL</w:t>
      </w:r>
      <w:r w:rsidRPr="00EF1469">
        <w:rPr>
          <w:rFonts w:eastAsia="Times New Roman" w:cs="Arial"/>
          <w:color w:val="000000"/>
          <w:lang w:eastAsia="bg-BG"/>
        </w:rPr>
        <w:t xml:space="preserve">-частици. </w:t>
      </w:r>
    </w:p>
    <w:p w14:paraId="4BAEA376" w14:textId="77777777" w:rsidR="00EF1469" w:rsidRDefault="00EF1469" w:rsidP="00EF1469">
      <w:pPr>
        <w:spacing w:line="240" w:lineRule="auto"/>
        <w:rPr>
          <w:rFonts w:eastAsia="Times New Roman" w:cs="Arial"/>
          <w:color w:val="000000"/>
          <w:lang w:eastAsia="bg-BG"/>
        </w:rPr>
      </w:pPr>
    </w:p>
    <w:p w14:paraId="6CBEC4D4" w14:textId="44A6BD08"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Аторвастатин е ефикасен за понижаване на </w:t>
      </w:r>
      <w:r w:rsidRPr="00EF1469">
        <w:rPr>
          <w:rFonts w:eastAsia="Times New Roman" w:cs="Arial"/>
          <w:color w:val="000000"/>
          <w:lang w:val="en-US"/>
        </w:rPr>
        <w:t>LDL</w:t>
      </w:r>
      <w:r w:rsidRPr="00EF1469">
        <w:rPr>
          <w:rFonts w:eastAsia="Times New Roman" w:cs="Arial"/>
          <w:color w:val="000000"/>
          <w:lang w:eastAsia="bg-BG"/>
        </w:rPr>
        <w:t>-холестерола при пациенти с хомозиготна фамилна хиперхолестеролемия - група болни, които обикновено не се влияят от понижаващи липидите лекарства.</w:t>
      </w:r>
    </w:p>
    <w:p w14:paraId="77935584" w14:textId="77777777" w:rsidR="00EF1469" w:rsidRDefault="00EF1469" w:rsidP="00EF1469">
      <w:pPr>
        <w:spacing w:line="240" w:lineRule="auto"/>
        <w:rPr>
          <w:rFonts w:eastAsia="Times New Roman" w:cs="Arial"/>
          <w:color w:val="000000"/>
          <w:lang w:eastAsia="bg-BG"/>
        </w:rPr>
      </w:pPr>
    </w:p>
    <w:p w14:paraId="6D91E9EE" w14:textId="05C1D19E"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Установено е, че аторвастатин понижава общия холестерол (30-46%), </w:t>
      </w:r>
      <w:r w:rsidRPr="00EF1469">
        <w:rPr>
          <w:rFonts w:eastAsia="Times New Roman" w:cs="Arial"/>
          <w:color w:val="000000"/>
          <w:lang w:val="en-US"/>
        </w:rPr>
        <w:t>LDL</w:t>
      </w:r>
      <w:r w:rsidRPr="00EF1469">
        <w:rPr>
          <w:rFonts w:eastAsia="Times New Roman" w:cs="Arial"/>
          <w:color w:val="000000"/>
          <w:lang w:eastAsia="bg-BG"/>
        </w:rPr>
        <w:t xml:space="preserve">-холестерола (41- 61%), аполипопротеин В (34-50%) и триглицеридите (14-33%), като същевременно води до вариабилни повишения на </w:t>
      </w:r>
      <w:r w:rsidRPr="00EF1469">
        <w:rPr>
          <w:rFonts w:eastAsia="Times New Roman" w:cs="Arial"/>
          <w:color w:val="000000"/>
          <w:lang w:val="en-US"/>
        </w:rPr>
        <w:t>HDL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и аполипопротеин А</w:t>
      </w:r>
      <w:r w:rsidRPr="00EF1469">
        <w:rPr>
          <w:rFonts w:eastAsia="Times New Roman" w:cs="Arial"/>
          <w:color w:val="000000"/>
          <w:vertAlign w:val="subscript"/>
          <w:lang w:eastAsia="bg-BG"/>
        </w:rPr>
        <w:t>1</w:t>
      </w:r>
      <w:r w:rsidRPr="00EF1469">
        <w:rPr>
          <w:rFonts w:eastAsia="Times New Roman" w:cs="Arial"/>
          <w:color w:val="000000"/>
          <w:lang w:eastAsia="bg-BG"/>
        </w:rPr>
        <w:t xml:space="preserve"> в доза-зависимо проучване. Тези резултати се потвърждават при пациенти с хетерозиготна фамилна </w:t>
      </w:r>
      <w:r w:rsidRPr="00EF1469">
        <w:rPr>
          <w:rFonts w:eastAsia="Times New Roman" w:cs="Arial"/>
          <w:color w:val="000000"/>
          <w:lang w:eastAsia="bg-BG"/>
        </w:rPr>
        <w:lastRenderedPageBreak/>
        <w:t>хиперхолестеролемия, нефамилна хиперхолестеролемия и смесена хиперлипидемия, включително пациенти с неинсулинозависим захарен диабет.</w:t>
      </w:r>
    </w:p>
    <w:p w14:paraId="63294298" w14:textId="77777777" w:rsidR="00EF1469" w:rsidRDefault="00EF1469" w:rsidP="00EF1469">
      <w:pPr>
        <w:spacing w:line="240" w:lineRule="auto"/>
        <w:rPr>
          <w:rFonts w:eastAsia="Times New Roman" w:cs="Arial"/>
          <w:color w:val="000000"/>
          <w:lang w:eastAsia="bg-BG"/>
        </w:rPr>
      </w:pPr>
    </w:p>
    <w:p w14:paraId="11C8457A" w14:textId="6A448EDA"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Доказано е, че понижението на общия холестерол, </w:t>
      </w:r>
      <w:r w:rsidRPr="00EF1469">
        <w:rPr>
          <w:rFonts w:eastAsia="Times New Roman" w:cs="Arial"/>
          <w:color w:val="000000"/>
          <w:lang w:val="en-US"/>
        </w:rPr>
        <w:t>LDL</w:t>
      </w:r>
      <w:r w:rsidRPr="00EF1469">
        <w:rPr>
          <w:rFonts w:eastAsia="Times New Roman" w:cs="Arial"/>
          <w:color w:val="000000"/>
          <w:lang w:eastAsia="bg-BG"/>
        </w:rPr>
        <w:t>-холестерола и аполипопротеин В намалява риска от сърдечно-съдови инциденти и сърдечно-съдова смъртност.</w:t>
      </w:r>
    </w:p>
    <w:p w14:paraId="564C96F0" w14:textId="77777777" w:rsidR="00EF1469" w:rsidRDefault="00EF1469" w:rsidP="00EF1469">
      <w:pPr>
        <w:spacing w:line="240" w:lineRule="auto"/>
        <w:rPr>
          <w:rFonts w:eastAsia="Times New Roman" w:cs="Arial"/>
          <w:color w:val="000000"/>
          <w:u w:val="single"/>
          <w:lang w:eastAsia="bg-BG"/>
        </w:rPr>
      </w:pPr>
    </w:p>
    <w:p w14:paraId="4B1E1018" w14:textId="082032E1" w:rsidR="00EF1469" w:rsidRPr="00EF1469" w:rsidRDefault="00EF1469" w:rsidP="00EF1469">
      <w:pPr>
        <w:spacing w:line="240" w:lineRule="auto"/>
        <w:rPr>
          <w:rFonts w:eastAsia="Times New Roman" w:cs="Arial"/>
        </w:rPr>
      </w:pPr>
      <w:r w:rsidRPr="00EF1469">
        <w:rPr>
          <w:rFonts w:eastAsia="Times New Roman" w:cs="Arial"/>
          <w:color w:val="000000"/>
          <w:u w:val="single"/>
          <w:lang w:eastAsia="bg-BG"/>
        </w:rPr>
        <w:t>Хомозиготна фамилна хиперхолестеролемия</w:t>
      </w:r>
    </w:p>
    <w:p w14:paraId="5B5C3A17" w14:textId="64EA35D6"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В мултицентрово осем седмично отворено проучване за милосърдна употреба с факултативен удължен период с различна продължителност, са били включени 335 пациенти, 89 от които са с установена хомозиготна фамилна хиперхолестеролемия. При тези 89 пациенти, средното понижение на </w:t>
      </w:r>
      <w:r w:rsidRPr="00EF1469">
        <w:rPr>
          <w:rFonts w:eastAsia="Times New Roman" w:cs="Arial"/>
          <w:color w:val="000000"/>
          <w:lang w:val="en-US"/>
        </w:rPr>
        <w:t>LDL</w:t>
      </w:r>
      <w:r w:rsidRPr="00EF1469">
        <w:rPr>
          <w:rFonts w:eastAsia="Times New Roman" w:cs="Arial"/>
          <w:color w:val="000000"/>
          <w:lang w:eastAsia="bg-BG"/>
        </w:rPr>
        <w:t xml:space="preserve">-холестерола е приблизително 20%. Аторвастатин е прилаган в дози до 80 </w:t>
      </w:r>
      <w:r w:rsidRPr="00EF1469">
        <w:rPr>
          <w:rFonts w:eastAsia="Times New Roman" w:cs="Arial"/>
          <w:color w:val="000000"/>
          <w:lang w:val="en-US"/>
        </w:rPr>
        <w:t>mg</w:t>
      </w:r>
      <w:r w:rsidRPr="00EF1469">
        <w:rPr>
          <w:rFonts w:eastAsia="Times New Roman" w:cs="Arial"/>
          <w:color w:val="000000"/>
          <w:lang w:eastAsia="bg-BG"/>
        </w:rPr>
        <w:t>/ден.</w:t>
      </w:r>
    </w:p>
    <w:p w14:paraId="717BD38A" w14:textId="77777777" w:rsidR="00EF1469" w:rsidRDefault="00EF1469" w:rsidP="00EF1469">
      <w:pPr>
        <w:spacing w:line="240" w:lineRule="auto"/>
        <w:rPr>
          <w:rFonts w:eastAsia="Times New Roman" w:cs="Arial"/>
          <w:color w:val="000000"/>
          <w:u w:val="single"/>
          <w:lang w:eastAsia="bg-BG"/>
        </w:rPr>
      </w:pPr>
    </w:p>
    <w:p w14:paraId="7C2D683B" w14:textId="53474DAD" w:rsidR="00EF1469" w:rsidRPr="00EF1469" w:rsidRDefault="00EF1469" w:rsidP="00EF1469">
      <w:pPr>
        <w:spacing w:line="240" w:lineRule="auto"/>
        <w:rPr>
          <w:rFonts w:eastAsia="Times New Roman" w:cs="Arial"/>
        </w:rPr>
      </w:pPr>
      <w:r w:rsidRPr="00EF1469">
        <w:rPr>
          <w:rFonts w:eastAsia="Times New Roman" w:cs="Arial"/>
          <w:color w:val="000000"/>
          <w:u w:val="single"/>
          <w:lang w:eastAsia="bg-BG"/>
        </w:rPr>
        <w:t>Атеросклероза</w:t>
      </w:r>
    </w:p>
    <w:p w14:paraId="3B08A1B5" w14:textId="77777777" w:rsidR="00EF1469" w:rsidRPr="00EF1469" w:rsidRDefault="00EF1469" w:rsidP="00EF1469">
      <w:pPr>
        <w:rPr>
          <w:rFonts w:eastAsia="Times New Roman" w:cs="Arial"/>
        </w:rPr>
      </w:pPr>
      <w:r w:rsidRPr="00EF1469">
        <w:rPr>
          <w:rFonts w:eastAsia="Times New Roman" w:cs="Arial"/>
          <w:color w:val="000000"/>
          <w:lang w:eastAsia="bg-BG"/>
        </w:rPr>
        <w:t xml:space="preserve">В клиничното проучване </w:t>
      </w:r>
      <w:r w:rsidRPr="00EF1469">
        <w:rPr>
          <w:rFonts w:eastAsia="Times New Roman" w:cs="Arial"/>
          <w:color w:val="000000"/>
          <w:lang w:val="en-US"/>
        </w:rPr>
        <w:t>REVERSAL</w:t>
      </w:r>
      <w:r w:rsidRPr="00EF1469">
        <w:rPr>
          <w:rFonts w:eastAsia="Times New Roman" w:cs="Arial"/>
          <w:color w:val="000000"/>
        </w:rPr>
        <w:t xml:space="preserve"> (</w:t>
      </w:r>
      <w:r w:rsidRPr="00EF1469">
        <w:rPr>
          <w:rFonts w:eastAsia="Times New Roman" w:cs="Arial"/>
          <w:color w:val="000000"/>
          <w:lang w:val="en-US"/>
        </w:rPr>
        <w:t>Reversing</w:t>
      </w:r>
      <w:r w:rsidRPr="00EF1469">
        <w:rPr>
          <w:rFonts w:eastAsia="Times New Roman" w:cs="Arial"/>
          <w:color w:val="000000"/>
        </w:rPr>
        <w:t xml:space="preserve"> </w:t>
      </w:r>
      <w:r w:rsidRPr="00EF1469">
        <w:rPr>
          <w:rFonts w:eastAsia="Times New Roman" w:cs="Arial"/>
          <w:color w:val="000000"/>
          <w:lang w:val="en-US"/>
        </w:rPr>
        <w:t>Atherosclerosis</w:t>
      </w:r>
      <w:r w:rsidRPr="00EF1469">
        <w:rPr>
          <w:rFonts w:eastAsia="Times New Roman" w:cs="Arial"/>
          <w:color w:val="000000"/>
        </w:rPr>
        <w:t xml:space="preserve"> </w:t>
      </w:r>
      <w:r w:rsidRPr="00EF1469">
        <w:rPr>
          <w:rFonts w:eastAsia="Times New Roman" w:cs="Arial"/>
          <w:color w:val="000000"/>
          <w:lang w:val="en-US"/>
        </w:rPr>
        <w:t>with</w:t>
      </w:r>
      <w:r w:rsidRPr="00EF1469">
        <w:rPr>
          <w:rFonts w:eastAsia="Times New Roman" w:cs="Arial"/>
          <w:color w:val="000000"/>
        </w:rPr>
        <w:t xml:space="preserve"> </w:t>
      </w:r>
      <w:r w:rsidRPr="00EF1469">
        <w:rPr>
          <w:rFonts w:eastAsia="Times New Roman" w:cs="Arial"/>
          <w:color w:val="000000"/>
          <w:lang w:val="en-US"/>
        </w:rPr>
        <w:t>Aggressive</w:t>
      </w:r>
      <w:r w:rsidRPr="00EF1469">
        <w:rPr>
          <w:rFonts w:eastAsia="Times New Roman" w:cs="Arial"/>
          <w:color w:val="000000"/>
        </w:rPr>
        <w:t xml:space="preserve"> </w:t>
      </w:r>
      <w:r w:rsidRPr="00EF1469">
        <w:rPr>
          <w:rFonts w:eastAsia="Times New Roman" w:cs="Arial"/>
          <w:color w:val="000000"/>
          <w:lang w:val="en-US"/>
        </w:rPr>
        <w:t>Lipid</w:t>
      </w:r>
      <w:r w:rsidRPr="00EF1469">
        <w:rPr>
          <w:rFonts w:eastAsia="Times New Roman" w:cs="Arial"/>
          <w:color w:val="000000"/>
        </w:rPr>
        <w:t>-</w:t>
      </w:r>
      <w:r w:rsidRPr="00EF1469">
        <w:rPr>
          <w:rFonts w:eastAsia="Times New Roman" w:cs="Arial"/>
          <w:color w:val="000000"/>
          <w:lang w:val="en-US"/>
        </w:rPr>
        <w:t>Lowering</w:t>
      </w:r>
      <w:r w:rsidRPr="00EF1469">
        <w:rPr>
          <w:rFonts w:eastAsia="Times New Roman" w:cs="Arial"/>
          <w:color w:val="000000"/>
        </w:rPr>
        <w:t xml:space="preserve"> </w:t>
      </w:r>
      <w:r w:rsidRPr="00EF1469">
        <w:rPr>
          <w:rFonts w:eastAsia="Times New Roman" w:cs="Arial"/>
          <w:color w:val="000000"/>
          <w:lang w:val="en-US"/>
        </w:rPr>
        <w:t>Study</w:t>
      </w:r>
      <w:r w:rsidRPr="00EF1469">
        <w:rPr>
          <w:rFonts w:eastAsia="Times New Roman" w:cs="Arial"/>
          <w:color w:val="000000"/>
        </w:rPr>
        <w:t xml:space="preserve"> - </w:t>
      </w:r>
      <w:r w:rsidRPr="00EF1469">
        <w:rPr>
          <w:rFonts w:eastAsia="Times New Roman" w:cs="Arial"/>
          <w:color w:val="000000"/>
          <w:lang w:eastAsia="bg-BG"/>
        </w:rPr>
        <w:t>Реверсия на атеросклерозата чрез агресивно липидно понижаване)</w:t>
      </w:r>
      <w:r w:rsidRPr="00EF1469">
        <w:rPr>
          <w:rFonts w:eastAsia="Times New Roman" w:cs="Arial"/>
          <w:color w:val="000000"/>
        </w:rPr>
        <w:t xml:space="preserve"> </w:t>
      </w:r>
      <w:r w:rsidRPr="00EF1469">
        <w:rPr>
          <w:rFonts w:eastAsia="Times New Roman" w:cs="Arial"/>
          <w:color w:val="000000"/>
          <w:lang w:eastAsia="bg-BG"/>
        </w:rPr>
        <w:t>ефектът на</w:t>
      </w:r>
      <w:r>
        <w:rPr>
          <w:rFonts w:eastAsia="Times New Roman" w:cs="Arial"/>
          <w:color w:val="000000"/>
          <w:lang w:eastAsia="bg-BG"/>
        </w:rPr>
        <w:t xml:space="preserve"> </w:t>
      </w:r>
      <w:r w:rsidRPr="00EF1469">
        <w:rPr>
          <w:rFonts w:eastAsia="Times New Roman" w:cs="Arial"/>
          <w:color w:val="000000"/>
          <w:lang w:eastAsia="bg-BG"/>
        </w:rPr>
        <w:t xml:space="preserve">интензивно понижаване на липидите с аторвастатин 80 </w:t>
      </w:r>
      <w:r w:rsidRPr="00EF1469">
        <w:rPr>
          <w:rFonts w:eastAsia="Times New Roman" w:cs="Arial"/>
          <w:color w:val="000000"/>
          <w:lang w:val="en-US"/>
        </w:rPr>
        <w:t>mg</w:t>
      </w:r>
      <w:r w:rsidRPr="00EF1469">
        <w:rPr>
          <w:rFonts w:eastAsia="Times New Roman" w:cs="Arial"/>
          <w:color w:val="000000"/>
        </w:rPr>
        <w:t xml:space="preserve"> </w:t>
      </w:r>
      <w:r w:rsidRPr="00EF1469">
        <w:rPr>
          <w:rFonts w:eastAsia="Times New Roman" w:cs="Arial"/>
          <w:color w:val="000000"/>
          <w:lang w:eastAsia="bg-BG"/>
        </w:rPr>
        <w:t xml:space="preserve">и стандартно понижаване на липидите с правастатин 40 </w:t>
      </w:r>
      <w:r w:rsidRPr="00EF1469">
        <w:rPr>
          <w:rFonts w:eastAsia="Times New Roman" w:cs="Arial"/>
          <w:color w:val="000000"/>
          <w:lang w:val="en-US"/>
        </w:rPr>
        <w:t>mg</w:t>
      </w:r>
      <w:r w:rsidRPr="00EF1469">
        <w:rPr>
          <w:rFonts w:eastAsia="Times New Roman" w:cs="Arial"/>
          <w:color w:val="000000"/>
        </w:rPr>
        <w:t xml:space="preserve"> </w:t>
      </w:r>
      <w:r w:rsidRPr="00EF1469">
        <w:rPr>
          <w:rFonts w:eastAsia="Times New Roman" w:cs="Arial"/>
          <w:color w:val="000000"/>
          <w:lang w:eastAsia="bg-BG"/>
        </w:rPr>
        <w:t xml:space="preserve">при коронарна атеросклероза е оценен чрез вътресъдово ултразвуково изследване </w:t>
      </w:r>
      <w:r w:rsidRPr="00EF1469">
        <w:rPr>
          <w:rFonts w:eastAsia="Times New Roman" w:cs="Arial"/>
          <w:color w:val="000000"/>
        </w:rPr>
        <w:t>(</w:t>
      </w:r>
      <w:r w:rsidRPr="00EF1469">
        <w:rPr>
          <w:rFonts w:eastAsia="Times New Roman" w:cs="Arial"/>
          <w:color w:val="000000"/>
          <w:lang w:val="en-US"/>
        </w:rPr>
        <w:t>IVUS</w:t>
      </w:r>
      <w:r w:rsidRPr="00EF1469">
        <w:rPr>
          <w:rFonts w:eastAsia="Times New Roman" w:cs="Arial"/>
          <w:color w:val="000000"/>
        </w:rPr>
        <w:t xml:space="preserve">) </w:t>
      </w:r>
      <w:r w:rsidRPr="00EF1469">
        <w:rPr>
          <w:rFonts w:eastAsia="Times New Roman" w:cs="Arial"/>
          <w:color w:val="000000"/>
          <w:lang w:eastAsia="bg-BG"/>
        </w:rPr>
        <w:t xml:space="preserve">по време на ангиография при пациенти с исхемична болест на сърцето (ИБС). В това рандомизирано, двойно-сляпо, мултицентрово, контролирано клинично проучване, </w:t>
      </w:r>
      <w:r w:rsidRPr="00EF1469">
        <w:rPr>
          <w:rFonts w:eastAsia="Times New Roman" w:cs="Arial"/>
          <w:color w:val="000000"/>
          <w:lang w:val="en-US"/>
        </w:rPr>
        <w:t>IVUS</w:t>
      </w:r>
      <w:r w:rsidRPr="00EF1469">
        <w:rPr>
          <w:rFonts w:eastAsia="Times New Roman" w:cs="Arial"/>
          <w:color w:val="000000"/>
          <w:lang w:val="ru-RU"/>
        </w:rPr>
        <w:t xml:space="preserve"> </w:t>
      </w:r>
      <w:r w:rsidRPr="00EF1469">
        <w:rPr>
          <w:rFonts w:eastAsia="Times New Roman" w:cs="Arial"/>
          <w:color w:val="000000"/>
          <w:lang w:eastAsia="bg-BG"/>
        </w:rPr>
        <w:t>е направено в началото на проучването и на 18-ия месец при 502 пациенти. В групата на аторвастатин (</w:t>
      </w:r>
      <w:r w:rsidRPr="00EF1469">
        <w:rPr>
          <w:rFonts w:eastAsia="Times New Roman" w:cs="Arial"/>
          <w:color w:val="000000"/>
          <w:lang w:val="en-US"/>
        </w:rPr>
        <w:t>n</w:t>
      </w:r>
      <w:r w:rsidRPr="00EF1469">
        <w:rPr>
          <w:rFonts w:eastAsia="Times New Roman" w:cs="Arial"/>
          <w:color w:val="000000"/>
          <w:lang w:eastAsia="bg-BG"/>
        </w:rPr>
        <w:t>=253) няма прогресия на атеросклерозата.</w:t>
      </w:r>
    </w:p>
    <w:p w14:paraId="3591A3A8" w14:textId="77777777" w:rsidR="00EF1469" w:rsidRDefault="00EF1469" w:rsidP="00EF1469">
      <w:pPr>
        <w:spacing w:line="240" w:lineRule="auto"/>
        <w:rPr>
          <w:rFonts w:eastAsia="Times New Roman" w:cs="Arial"/>
          <w:color w:val="000000"/>
          <w:lang w:eastAsia="bg-BG"/>
        </w:rPr>
      </w:pPr>
    </w:p>
    <w:p w14:paraId="55305E77" w14:textId="4333CECF" w:rsidR="00EF1469" w:rsidRPr="00EF1469" w:rsidRDefault="00EF1469" w:rsidP="00EF1469">
      <w:pPr>
        <w:spacing w:line="240" w:lineRule="auto"/>
        <w:rPr>
          <w:rFonts w:eastAsia="Times New Roman" w:cs="Arial"/>
        </w:rPr>
      </w:pPr>
      <w:r w:rsidRPr="00EF1469">
        <w:rPr>
          <w:rFonts w:eastAsia="Times New Roman" w:cs="Arial"/>
          <w:color w:val="000000"/>
          <w:lang w:eastAsia="bg-BG"/>
        </w:rPr>
        <w:t>Медианата на процента на промяна в общия обем на атеросклеротичната плака от началото на проучването (първичен критерий на проучването) е -0,4% (р=0,98) в групата на аторвасатин и +2.7% (р=0,001) в групата на правастатин (</w:t>
      </w:r>
      <w:r w:rsidRPr="00EF1469">
        <w:rPr>
          <w:rFonts w:eastAsia="Times New Roman" w:cs="Arial"/>
          <w:color w:val="000000"/>
          <w:lang w:val="en-US"/>
        </w:rPr>
        <w:t>n</w:t>
      </w:r>
      <w:r w:rsidRPr="00EF1469">
        <w:rPr>
          <w:rFonts w:eastAsia="Times New Roman" w:cs="Arial"/>
          <w:color w:val="000000"/>
          <w:lang w:eastAsia="bg-BG"/>
        </w:rPr>
        <w:t>=249). В сравнение с правастатин, ефектите на аторвастатин са статистически значими (р=0,02). Ефектът на интензивното липидно понижаване върху сърдечно-съдовата крайна точка (напр. необходимост от реваскуларизация, нефатален миокарден инфаркт, коронарна смърт) не е изследван в това проучване.</w:t>
      </w:r>
    </w:p>
    <w:p w14:paraId="4C8A1D17" w14:textId="77777777" w:rsidR="00EF1469" w:rsidRDefault="00EF1469" w:rsidP="00EF1469">
      <w:pPr>
        <w:spacing w:line="240" w:lineRule="auto"/>
        <w:rPr>
          <w:rFonts w:eastAsia="Times New Roman" w:cs="Arial"/>
          <w:color w:val="000000"/>
          <w:lang w:eastAsia="bg-BG"/>
        </w:rPr>
      </w:pPr>
    </w:p>
    <w:p w14:paraId="3BA4E089" w14:textId="2F40304F"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В групата на аторвасатин </w:t>
      </w:r>
      <w:r w:rsidRPr="00EF1469">
        <w:rPr>
          <w:rFonts w:eastAsia="Times New Roman" w:cs="Arial"/>
          <w:color w:val="000000"/>
          <w:lang w:val="en-US"/>
        </w:rPr>
        <w:t>LDL</w:t>
      </w:r>
      <w:r w:rsidRPr="00EF1469">
        <w:rPr>
          <w:rFonts w:eastAsia="Times New Roman" w:cs="Arial"/>
          <w:color w:val="000000"/>
          <w:lang w:eastAsia="bg-BG"/>
        </w:rPr>
        <w:t xml:space="preserve">-холестеролът се е понижил до средната стойност от 2,04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w:t>
      </w:r>
      <w:r w:rsidRPr="00EF1469">
        <w:rPr>
          <w:rFonts w:eastAsia="Times New Roman" w:cs="Arial"/>
          <w:color w:val="000000"/>
          <w:lang w:val="en-US"/>
        </w:rPr>
        <w:t>L</w:t>
      </w:r>
      <w:r w:rsidRPr="00EF1469">
        <w:rPr>
          <w:rFonts w:eastAsia="Times New Roman" w:cs="Arial"/>
          <w:color w:val="000000"/>
          <w:lang w:val="ru-RU"/>
        </w:rPr>
        <w:t xml:space="preserve"> </w:t>
      </w:r>
      <w:r w:rsidRPr="00EF1469">
        <w:rPr>
          <w:rFonts w:eastAsia="Times New Roman" w:cs="Arial"/>
          <w:color w:val="000000"/>
          <w:lang w:eastAsia="bg-BG"/>
        </w:rPr>
        <w:t xml:space="preserve">±0,8 (78,9 </w:t>
      </w:r>
      <w:r w:rsidRPr="00EF1469">
        <w:rPr>
          <w:rFonts w:eastAsia="Times New Roman" w:cs="Arial"/>
          <w:color w:val="000000"/>
          <w:lang w:val="en-US"/>
        </w:rPr>
        <w:t>mg</w:t>
      </w:r>
      <w:r w:rsidRPr="00EF1469">
        <w:rPr>
          <w:rFonts w:eastAsia="Times New Roman" w:cs="Arial"/>
          <w:color w:val="000000"/>
          <w:lang w:val="ru-RU"/>
        </w:rPr>
        <w:t>/</w:t>
      </w:r>
      <w:proofErr w:type="spellStart"/>
      <w:r w:rsidRPr="00EF1469">
        <w:rPr>
          <w:rFonts w:eastAsia="Times New Roman" w:cs="Arial"/>
          <w:color w:val="000000"/>
          <w:lang w:val="en-US"/>
        </w:rPr>
        <w:t>dL</w:t>
      </w:r>
      <w:proofErr w:type="spellEnd"/>
      <w:r w:rsidRPr="00EF1469">
        <w:rPr>
          <w:rFonts w:eastAsia="Times New Roman" w:cs="Arial"/>
          <w:color w:val="000000"/>
          <w:lang w:val="ru-RU"/>
        </w:rPr>
        <w:t xml:space="preserve"> </w:t>
      </w:r>
      <w:r w:rsidRPr="00EF1469">
        <w:rPr>
          <w:rFonts w:eastAsia="Times New Roman" w:cs="Arial"/>
          <w:color w:val="000000"/>
          <w:lang w:eastAsia="bg-BG"/>
        </w:rPr>
        <w:t xml:space="preserve">±30) спрямо изходната стойност от 3,98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w:t>
      </w:r>
      <w:r w:rsidRPr="00EF1469">
        <w:rPr>
          <w:rFonts w:eastAsia="Times New Roman" w:cs="Arial"/>
          <w:color w:val="000000"/>
          <w:lang w:val="en-US"/>
        </w:rPr>
        <w:t>L</w:t>
      </w:r>
      <w:r w:rsidRPr="00EF1469">
        <w:rPr>
          <w:rFonts w:eastAsia="Times New Roman" w:cs="Arial"/>
          <w:color w:val="000000"/>
          <w:lang w:val="ru-RU"/>
        </w:rPr>
        <w:t xml:space="preserve"> </w:t>
      </w:r>
      <w:r w:rsidRPr="00EF1469">
        <w:rPr>
          <w:rFonts w:eastAsia="Times New Roman" w:cs="Arial"/>
          <w:color w:val="000000"/>
          <w:lang w:eastAsia="bg-BG"/>
        </w:rPr>
        <w:t xml:space="preserve">±0,7 </w:t>
      </w:r>
      <w:r w:rsidRPr="00EF1469">
        <w:rPr>
          <w:rFonts w:eastAsia="Times New Roman" w:cs="Arial"/>
          <w:color w:val="000000"/>
          <w:lang w:val="ru-RU"/>
        </w:rPr>
        <w:t>(150</w:t>
      </w:r>
      <w:r w:rsidRPr="00EF1469">
        <w:rPr>
          <w:rFonts w:eastAsia="Times New Roman" w:cs="Arial"/>
          <w:color w:val="000000"/>
          <w:lang w:val="en-US"/>
        </w:rPr>
        <w:t>mg</w:t>
      </w:r>
      <w:r w:rsidRPr="00EF1469">
        <w:rPr>
          <w:rFonts w:eastAsia="Times New Roman" w:cs="Arial"/>
          <w:color w:val="000000"/>
          <w:lang w:val="ru-RU"/>
        </w:rPr>
        <w:t>/</w:t>
      </w:r>
      <w:proofErr w:type="spellStart"/>
      <w:r w:rsidRPr="00EF1469">
        <w:rPr>
          <w:rFonts w:eastAsia="Times New Roman" w:cs="Arial"/>
          <w:color w:val="000000"/>
          <w:lang w:val="en-US"/>
        </w:rPr>
        <w:t>dL</w:t>
      </w:r>
      <w:proofErr w:type="spellEnd"/>
      <w:r w:rsidRPr="00EF1469">
        <w:rPr>
          <w:rFonts w:eastAsia="Times New Roman" w:cs="Arial"/>
          <w:color w:val="000000"/>
          <w:lang w:val="ru-RU"/>
        </w:rPr>
        <w:t xml:space="preserve"> </w:t>
      </w:r>
      <w:r w:rsidRPr="00EF1469">
        <w:rPr>
          <w:rFonts w:eastAsia="Times New Roman" w:cs="Arial"/>
          <w:color w:val="000000"/>
          <w:lang w:eastAsia="bg-BG"/>
        </w:rPr>
        <w:t xml:space="preserve">±28), а в групата на правастатин </w:t>
      </w:r>
      <w:r w:rsidRPr="00EF1469">
        <w:rPr>
          <w:rFonts w:eastAsia="Times New Roman" w:cs="Arial"/>
          <w:color w:val="000000"/>
          <w:lang w:val="en-US"/>
        </w:rPr>
        <w:t>LDL</w:t>
      </w:r>
      <w:r w:rsidRPr="00EF1469">
        <w:rPr>
          <w:rFonts w:eastAsia="Times New Roman" w:cs="Arial"/>
          <w:color w:val="000000"/>
          <w:lang w:eastAsia="bg-BG"/>
        </w:rPr>
        <w:t xml:space="preserve">-холестеролът се е понижил до средната стойност от 2,85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w:t>
      </w:r>
      <w:r w:rsidRPr="00EF1469">
        <w:rPr>
          <w:rFonts w:eastAsia="Times New Roman" w:cs="Arial"/>
          <w:color w:val="000000"/>
          <w:lang w:val="en-US"/>
        </w:rPr>
        <w:t>L</w:t>
      </w:r>
      <w:r w:rsidRPr="00EF1469">
        <w:rPr>
          <w:rFonts w:eastAsia="Times New Roman" w:cs="Arial"/>
          <w:color w:val="000000"/>
          <w:lang w:val="ru-RU"/>
        </w:rPr>
        <w:t xml:space="preserve"> </w:t>
      </w:r>
      <w:r w:rsidRPr="00EF1469">
        <w:rPr>
          <w:rFonts w:eastAsia="Times New Roman" w:cs="Arial"/>
          <w:color w:val="000000"/>
          <w:lang w:eastAsia="bg-BG"/>
        </w:rPr>
        <w:t xml:space="preserve">±0,7 (110 </w:t>
      </w:r>
      <w:r w:rsidRPr="00EF1469">
        <w:rPr>
          <w:rFonts w:eastAsia="Times New Roman" w:cs="Arial"/>
          <w:color w:val="000000"/>
          <w:lang w:val="en-US"/>
        </w:rPr>
        <w:t>mg</w:t>
      </w:r>
      <w:r w:rsidRPr="00EF1469">
        <w:rPr>
          <w:rFonts w:eastAsia="Times New Roman" w:cs="Arial"/>
          <w:color w:val="000000"/>
          <w:lang w:val="ru-RU"/>
        </w:rPr>
        <w:t>/</w:t>
      </w:r>
      <w:proofErr w:type="spellStart"/>
      <w:r w:rsidRPr="00EF1469">
        <w:rPr>
          <w:rFonts w:eastAsia="Times New Roman" w:cs="Arial"/>
          <w:color w:val="000000"/>
          <w:lang w:val="en-US"/>
        </w:rPr>
        <w:t>dL</w:t>
      </w:r>
      <w:proofErr w:type="spellEnd"/>
      <w:r w:rsidRPr="00EF1469">
        <w:rPr>
          <w:rFonts w:eastAsia="Times New Roman" w:cs="Arial"/>
          <w:color w:val="000000"/>
          <w:lang w:val="ru-RU"/>
        </w:rPr>
        <w:t xml:space="preserve"> </w:t>
      </w:r>
      <w:r w:rsidRPr="00EF1469">
        <w:rPr>
          <w:rFonts w:eastAsia="Times New Roman" w:cs="Arial"/>
          <w:color w:val="000000"/>
          <w:lang w:eastAsia="bg-BG"/>
        </w:rPr>
        <w:t xml:space="preserve">±26) спрямо изходната стойност от 3,98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w:t>
      </w:r>
      <w:r w:rsidRPr="00EF1469">
        <w:rPr>
          <w:rFonts w:eastAsia="Times New Roman" w:cs="Arial"/>
          <w:color w:val="000000"/>
          <w:lang w:val="en-US"/>
        </w:rPr>
        <w:t>L</w:t>
      </w:r>
      <w:r w:rsidRPr="00EF1469">
        <w:rPr>
          <w:rFonts w:eastAsia="Times New Roman" w:cs="Arial"/>
          <w:color w:val="000000"/>
          <w:lang w:val="ru-RU"/>
        </w:rPr>
        <w:t xml:space="preserve"> </w:t>
      </w:r>
      <w:r w:rsidRPr="00EF1469">
        <w:rPr>
          <w:rFonts w:eastAsia="Times New Roman" w:cs="Arial"/>
          <w:color w:val="000000"/>
          <w:lang w:eastAsia="bg-BG"/>
        </w:rPr>
        <w:t xml:space="preserve">±0,7 (150 </w:t>
      </w:r>
      <w:r w:rsidRPr="00EF1469">
        <w:rPr>
          <w:rFonts w:eastAsia="Times New Roman" w:cs="Arial"/>
          <w:color w:val="000000"/>
          <w:lang w:val="en-US"/>
        </w:rPr>
        <w:t>mg</w:t>
      </w:r>
      <w:r w:rsidRPr="00EF1469">
        <w:rPr>
          <w:rFonts w:eastAsia="Times New Roman" w:cs="Arial"/>
          <w:color w:val="000000"/>
          <w:lang w:val="ru-RU"/>
        </w:rPr>
        <w:t>/</w:t>
      </w:r>
      <w:proofErr w:type="spellStart"/>
      <w:r w:rsidRPr="00EF1469">
        <w:rPr>
          <w:rFonts w:eastAsia="Times New Roman" w:cs="Arial"/>
          <w:color w:val="000000"/>
          <w:lang w:val="en-US"/>
        </w:rPr>
        <w:t>dL</w:t>
      </w:r>
      <w:proofErr w:type="spellEnd"/>
      <w:r w:rsidRPr="00EF1469">
        <w:rPr>
          <w:rFonts w:eastAsia="Times New Roman" w:cs="Arial"/>
          <w:color w:val="000000"/>
          <w:lang w:val="ru-RU"/>
        </w:rPr>
        <w:t xml:space="preserve"> </w:t>
      </w:r>
      <w:r w:rsidRPr="00EF1469">
        <w:rPr>
          <w:rFonts w:eastAsia="Times New Roman" w:cs="Arial"/>
          <w:color w:val="000000"/>
          <w:lang w:eastAsia="bg-BG"/>
        </w:rPr>
        <w:t xml:space="preserve">±26) (р&lt;0,0001). Аторвастатин също така значително е намалил средните стойности на общия холестерол с 34,1% (правастатин: -18,4%, р&lt;0,0001), средните нива на триглицеридите с 20% (правастатин: -6,8%, р&lt;0,0009) и средния аполипопротеин В с 39,1% (правастатин -22.0%, р&lt;0,0001). Аторвастатин е повишил средния </w:t>
      </w:r>
      <w:r w:rsidRPr="00EF1469">
        <w:rPr>
          <w:rFonts w:eastAsia="Times New Roman" w:cs="Arial"/>
          <w:color w:val="000000"/>
          <w:lang w:val="en-US"/>
        </w:rPr>
        <w:t>HDL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 xml:space="preserve">холестерол с 2,9% (правастатин +5,6%, </w:t>
      </w:r>
      <w:r w:rsidRPr="00EF1469">
        <w:rPr>
          <w:rFonts w:eastAsia="Times New Roman" w:cs="Arial"/>
          <w:color w:val="000000"/>
          <w:lang w:val="en-US"/>
        </w:rPr>
        <w:t>p</w:t>
      </w:r>
      <w:r w:rsidRPr="00EF1469">
        <w:rPr>
          <w:rFonts w:eastAsia="Times New Roman" w:cs="Arial"/>
          <w:color w:val="000000"/>
          <w:lang w:val="ru-RU"/>
        </w:rPr>
        <w:t>=</w:t>
      </w:r>
      <w:r w:rsidRPr="00EF1469">
        <w:rPr>
          <w:rFonts w:eastAsia="Times New Roman" w:cs="Arial"/>
          <w:color w:val="000000"/>
          <w:lang w:val="en-US"/>
        </w:rPr>
        <w:t>NS</w:t>
      </w:r>
      <w:r w:rsidRPr="00EF1469">
        <w:rPr>
          <w:rFonts w:eastAsia="Times New Roman" w:cs="Arial"/>
          <w:color w:val="000000"/>
          <w:lang w:val="ru-RU"/>
        </w:rPr>
        <w:t xml:space="preserve">). </w:t>
      </w:r>
      <w:r w:rsidRPr="00EF1469">
        <w:rPr>
          <w:rFonts w:eastAsia="Times New Roman" w:cs="Arial"/>
          <w:color w:val="000000"/>
          <w:lang w:eastAsia="bg-BG"/>
        </w:rPr>
        <w:t>Има средно намаление от 36,4% на С-реактивния протеин в групата на аторвастатин в сравнение с намаление от 5,2% в групата на правастатин (р&lt;0,0001).</w:t>
      </w:r>
    </w:p>
    <w:p w14:paraId="109CF442" w14:textId="77777777" w:rsidR="00EF1469" w:rsidRDefault="00EF1469" w:rsidP="00EF1469">
      <w:pPr>
        <w:spacing w:line="240" w:lineRule="auto"/>
        <w:rPr>
          <w:rFonts w:eastAsia="Times New Roman" w:cs="Arial"/>
          <w:color w:val="000000"/>
          <w:lang w:eastAsia="bg-BG"/>
        </w:rPr>
      </w:pPr>
    </w:p>
    <w:p w14:paraId="3F46B16D" w14:textId="698AE5C0"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Резултатите от проучването са получени при дозировка от 80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Следователно, те не могат да се експлоатират върху по-ниските дозировки.</w:t>
      </w:r>
    </w:p>
    <w:p w14:paraId="4589B263" w14:textId="77777777" w:rsidR="00EF1469" w:rsidRDefault="00EF1469" w:rsidP="00EF1469">
      <w:pPr>
        <w:spacing w:line="240" w:lineRule="auto"/>
        <w:rPr>
          <w:rFonts w:eastAsia="Times New Roman" w:cs="Arial"/>
          <w:color w:val="000000"/>
          <w:lang w:eastAsia="bg-BG"/>
        </w:rPr>
      </w:pPr>
    </w:p>
    <w:p w14:paraId="16116B48" w14:textId="705344F7" w:rsidR="00EF1469" w:rsidRPr="00EF1469" w:rsidRDefault="00EF1469" w:rsidP="00EF1469">
      <w:pPr>
        <w:spacing w:line="240" w:lineRule="auto"/>
        <w:rPr>
          <w:rFonts w:eastAsia="Times New Roman" w:cs="Arial"/>
        </w:rPr>
      </w:pPr>
      <w:r w:rsidRPr="00EF1469">
        <w:rPr>
          <w:rFonts w:eastAsia="Times New Roman" w:cs="Arial"/>
          <w:color w:val="000000"/>
          <w:lang w:eastAsia="bg-BG"/>
        </w:rPr>
        <w:t>Профилите на безопасност и поносимост в двете лекувани групи са били сравними.</w:t>
      </w:r>
    </w:p>
    <w:p w14:paraId="21BAAE7D" w14:textId="77777777" w:rsidR="00EF1469" w:rsidRDefault="00EF1469" w:rsidP="00EF1469">
      <w:pPr>
        <w:spacing w:line="240" w:lineRule="auto"/>
        <w:rPr>
          <w:rFonts w:eastAsia="Times New Roman" w:cs="Arial"/>
          <w:color w:val="000000"/>
          <w:lang w:eastAsia="bg-BG"/>
        </w:rPr>
      </w:pPr>
    </w:p>
    <w:p w14:paraId="354D63FA" w14:textId="4E8D6724" w:rsidR="00EF1469" w:rsidRPr="00EF1469" w:rsidRDefault="00EF1469" w:rsidP="00EF1469">
      <w:pPr>
        <w:spacing w:line="240" w:lineRule="auto"/>
        <w:rPr>
          <w:rFonts w:eastAsia="Times New Roman" w:cs="Arial"/>
        </w:rPr>
      </w:pPr>
      <w:r w:rsidRPr="00EF1469">
        <w:rPr>
          <w:rFonts w:eastAsia="Times New Roman" w:cs="Arial"/>
          <w:color w:val="000000"/>
          <w:lang w:eastAsia="bg-BG"/>
        </w:rPr>
        <w:lastRenderedPageBreak/>
        <w:t>Ефектът от интензивното понижаване на липидите върху основните сърдечно-съдови крайни цели не е изследван в това проучване. Ето защо клиничната значимост на тези „въображаеми“ резултати по отношение на първичната и вторичната профилактика на сърдечно-съдови събития не е известна.</w:t>
      </w:r>
    </w:p>
    <w:p w14:paraId="44F2B0B7" w14:textId="77777777" w:rsidR="00EF1469" w:rsidRDefault="00EF1469" w:rsidP="00EF1469">
      <w:pPr>
        <w:spacing w:line="240" w:lineRule="auto"/>
        <w:rPr>
          <w:rFonts w:eastAsia="Times New Roman" w:cs="Arial"/>
          <w:color w:val="000000"/>
          <w:u w:val="single"/>
          <w:lang w:eastAsia="bg-BG"/>
        </w:rPr>
      </w:pPr>
    </w:p>
    <w:p w14:paraId="750137D9" w14:textId="11C4C628" w:rsidR="00EF1469" w:rsidRPr="00EF1469" w:rsidRDefault="00EF1469" w:rsidP="00EF1469">
      <w:pPr>
        <w:spacing w:line="240" w:lineRule="auto"/>
        <w:rPr>
          <w:rFonts w:eastAsia="Times New Roman" w:cs="Arial"/>
        </w:rPr>
      </w:pPr>
      <w:r w:rsidRPr="00EF1469">
        <w:rPr>
          <w:rFonts w:eastAsia="Times New Roman" w:cs="Arial"/>
          <w:color w:val="000000"/>
          <w:u w:val="single"/>
          <w:lang w:eastAsia="bg-BG"/>
        </w:rPr>
        <w:t>Остър коронарен синдром</w:t>
      </w:r>
    </w:p>
    <w:p w14:paraId="4AC86B5B"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В проучването </w:t>
      </w:r>
      <w:r w:rsidRPr="00EF1469">
        <w:rPr>
          <w:rFonts w:eastAsia="Times New Roman" w:cs="Arial"/>
          <w:color w:val="000000"/>
          <w:lang w:val="en-US"/>
        </w:rPr>
        <w:t>MIRACL</w:t>
      </w:r>
      <w:r w:rsidRPr="00EF1469">
        <w:rPr>
          <w:rFonts w:eastAsia="Times New Roman" w:cs="Arial"/>
          <w:color w:val="000000"/>
        </w:rPr>
        <w:t xml:space="preserve"> </w:t>
      </w:r>
      <w:r w:rsidRPr="00EF1469">
        <w:rPr>
          <w:rFonts w:eastAsia="Times New Roman" w:cs="Arial"/>
          <w:color w:val="000000"/>
          <w:lang w:eastAsia="bg-BG"/>
        </w:rPr>
        <w:t xml:space="preserve">се оценява аторвастатин 80 </w:t>
      </w:r>
      <w:r w:rsidRPr="00EF1469">
        <w:rPr>
          <w:rFonts w:eastAsia="Times New Roman" w:cs="Arial"/>
          <w:color w:val="000000"/>
          <w:lang w:val="en-US"/>
        </w:rPr>
        <w:t>mg</w:t>
      </w:r>
      <w:r w:rsidRPr="00EF1469">
        <w:rPr>
          <w:rFonts w:eastAsia="Times New Roman" w:cs="Arial"/>
          <w:color w:val="000000"/>
        </w:rPr>
        <w:t xml:space="preserve"> </w:t>
      </w:r>
      <w:r w:rsidRPr="00EF1469">
        <w:rPr>
          <w:rFonts w:eastAsia="Times New Roman" w:cs="Arial"/>
          <w:color w:val="000000"/>
          <w:lang w:eastAsia="bg-BG"/>
        </w:rPr>
        <w:t xml:space="preserve">при 3086 пациенти (аторвастатин </w:t>
      </w:r>
      <w:r w:rsidRPr="00EF1469">
        <w:rPr>
          <w:rFonts w:eastAsia="Times New Roman" w:cs="Arial"/>
          <w:color w:val="000000"/>
          <w:lang w:val="en-US"/>
        </w:rPr>
        <w:t>n</w:t>
      </w:r>
      <w:r w:rsidRPr="00EF1469">
        <w:rPr>
          <w:rFonts w:eastAsia="Times New Roman" w:cs="Arial"/>
          <w:color w:val="000000"/>
          <w:lang w:eastAsia="bg-BG"/>
        </w:rPr>
        <w:t xml:space="preserve">=1538; плацебо </w:t>
      </w:r>
      <w:r w:rsidRPr="00EF1469">
        <w:rPr>
          <w:rFonts w:eastAsia="Times New Roman" w:cs="Arial"/>
          <w:color w:val="000000"/>
          <w:lang w:val="en-US"/>
        </w:rPr>
        <w:t>n</w:t>
      </w:r>
      <w:r w:rsidRPr="00EF1469">
        <w:rPr>
          <w:rFonts w:eastAsia="Times New Roman" w:cs="Arial"/>
          <w:color w:val="000000"/>
          <w:lang w:eastAsia="bg-BG"/>
        </w:rPr>
        <w:t xml:space="preserve">=1548) с остър коронарен синдром </w:t>
      </w:r>
      <w:r w:rsidRPr="00EF1469">
        <w:rPr>
          <w:rFonts w:eastAsia="Times New Roman" w:cs="Arial"/>
          <w:color w:val="000000"/>
        </w:rPr>
        <w:t>(</w:t>
      </w:r>
      <w:r w:rsidRPr="00EF1469">
        <w:rPr>
          <w:rFonts w:eastAsia="Times New Roman" w:cs="Arial"/>
          <w:color w:val="000000"/>
          <w:lang w:val="en-US"/>
        </w:rPr>
        <w:t>non</w:t>
      </w:r>
      <w:r w:rsidRPr="00EF1469">
        <w:rPr>
          <w:rFonts w:eastAsia="Times New Roman" w:cs="Arial"/>
          <w:color w:val="000000"/>
        </w:rPr>
        <w:t>-</w:t>
      </w:r>
      <w:r w:rsidRPr="00EF1469">
        <w:rPr>
          <w:rFonts w:eastAsia="Times New Roman" w:cs="Arial"/>
          <w:color w:val="000000"/>
          <w:lang w:val="en-US"/>
        </w:rPr>
        <w:t>Q</w:t>
      </w:r>
      <w:r w:rsidRPr="00EF1469">
        <w:rPr>
          <w:rFonts w:eastAsia="Times New Roman" w:cs="Arial"/>
          <w:color w:val="000000"/>
        </w:rPr>
        <w:t xml:space="preserve"> </w:t>
      </w:r>
      <w:r w:rsidRPr="00EF1469">
        <w:rPr>
          <w:rFonts w:eastAsia="Times New Roman" w:cs="Arial"/>
          <w:color w:val="000000"/>
          <w:lang w:eastAsia="bg-BG"/>
        </w:rPr>
        <w:t xml:space="preserve">миокарден инфаркт или нестабилна ангина пекторис). Лечението е започнато по време на остра фаза след хоспитализиране и е продължило за период от 16 седмици. Лечението с аторвастатин 80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дневно увеличава времето до поява на комбинираната първична крайна точка, определена като смърт, независимо от причината, нефатален миокарден инфаркт, ресусцитиран сърдечен арест или ангина пекторис с данни за исхемия на миокарда, налагаща хоспитализация, показвайки редукция на риска с 16% (р=0,048). Това е предимно вследствие на 26% редукция на рехоспитализацията за ангина пекторис с данни за исхемия на миокарда (р=0,018). Другите вторични крайни цели не достигат статистическа значимост сами по себе си (общо: плацебо: 22,2 %, аторвастатин: 22,4 %).</w:t>
      </w:r>
    </w:p>
    <w:p w14:paraId="1349E611" w14:textId="77777777" w:rsidR="00EF1469" w:rsidRDefault="00EF1469" w:rsidP="00EF1469">
      <w:pPr>
        <w:spacing w:line="240" w:lineRule="auto"/>
        <w:rPr>
          <w:rFonts w:eastAsia="Times New Roman" w:cs="Arial"/>
          <w:color w:val="000000"/>
          <w:lang w:eastAsia="bg-BG"/>
        </w:rPr>
      </w:pPr>
    </w:p>
    <w:p w14:paraId="05CB4EB7" w14:textId="2D72418F"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Профилът на безопасност на аторвастатин в проучването </w:t>
      </w:r>
      <w:r w:rsidRPr="00EF1469">
        <w:rPr>
          <w:rFonts w:eastAsia="Times New Roman" w:cs="Arial"/>
          <w:color w:val="000000"/>
          <w:lang w:val="en-US"/>
        </w:rPr>
        <w:t>MIRACL</w:t>
      </w:r>
      <w:r w:rsidRPr="00EF1469">
        <w:rPr>
          <w:rFonts w:eastAsia="Times New Roman" w:cs="Arial"/>
          <w:color w:val="000000"/>
          <w:lang w:val="ru-RU"/>
        </w:rPr>
        <w:t xml:space="preserve"> </w:t>
      </w:r>
      <w:r w:rsidRPr="00EF1469">
        <w:rPr>
          <w:rFonts w:eastAsia="Times New Roman" w:cs="Arial"/>
          <w:color w:val="000000"/>
          <w:lang w:eastAsia="bg-BG"/>
        </w:rPr>
        <w:t>съответства на описаният в точка 4.8.</w:t>
      </w:r>
    </w:p>
    <w:p w14:paraId="0025599F" w14:textId="77777777" w:rsidR="00EF1469" w:rsidRDefault="00EF1469" w:rsidP="00EF1469">
      <w:pPr>
        <w:spacing w:line="240" w:lineRule="auto"/>
        <w:rPr>
          <w:rFonts w:eastAsia="Times New Roman" w:cs="Arial"/>
          <w:color w:val="000000"/>
          <w:u w:val="single"/>
          <w:lang w:eastAsia="bg-BG"/>
        </w:rPr>
      </w:pPr>
    </w:p>
    <w:p w14:paraId="63976EFC" w14:textId="150BC8DC" w:rsidR="00EF1469" w:rsidRPr="00EF1469" w:rsidRDefault="00EF1469" w:rsidP="00EF1469">
      <w:pPr>
        <w:spacing w:line="240" w:lineRule="auto"/>
        <w:rPr>
          <w:rFonts w:eastAsia="Times New Roman" w:cs="Arial"/>
        </w:rPr>
      </w:pPr>
      <w:r w:rsidRPr="00EF1469">
        <w:rPr>
          <w:rFonts w:eastAsia="Times New Roman" w:cs="Arial"/>
          <w:color w:val="000000"/>
          <w:u w:val="single"/>
          <w:lang w:eastAsia="bg-BG"/>
        </w:rPr>
        <w:t>Профилактика на сърдечно-съдово заболяване</w:t>
      </w:r>
    </w:p>
    <w:p w14:paraId="79EC72EA" w14:textId="77777777" w:rsidR="00EF1469" w:rsidRPr="00EF1469" w:rsidRDefault="00EF1469" w:rsidP="00EF1469">
      <w:pPr>
        <w:rPr>
          <w:rFonts w:eastAsia="Times New Roman" w:cs="Arial"/>
        </w:rPr>
      </w:pPr>
      <w:r w:rsidRPr="00EF1469">
        <w:rPr>
          <w:rFonts w:eastAsia="Times New Roman" w:cs="Arial"/>
          <w:color w:val="000000"/>
          <w:lang w:eastAsia="bg-BG"/>
        </w:rPr>
        <w:t>Ефектът на аторвастатин върху фатална и нефатална исхемична болест на сърцето е осценен в рандомизирано, двойно-сляпо, плацебо-контролирано проучване, Англо-скандинавско проучване за сърдечно-съдов изход - клон с понижаване на липидите (</w:t>
      </w:r>
      <w:r w:rsidRPr="00EF1469">
        <w:rPr>
          <w:rFonts w:eastAsia="Times New Roman" w:cs="Arial"/>
          <w:color w:val="000000"/>
          <w:lang w:val="en-US"/>
        </w:rPr>
        <w:t>Anglo</w:t>
      </w:r>
      <w:r w:rsidRPr="00EF1469">
        <w:rPr>
          <w:rFonts w:eastAsia="Times New Roman" w:cs="Arial"/>
          <w:color w:val="000000"/>
        </w:rPr>
        <w:t>-</w:t>
      </w:r>
      <w:r w:rsidRPr="00EF1469">
        <w:rPr>
          <w:rFonts w:eastAsia="Times New Roman" w:cs="Arial"/>
          <w:color w:val="000000"/>
          <w:lang w:val="en-US"/>
        </w:rPr>
        <w:t>Scandinavian</w:t>
      </w:r>
      <w:r>
        <w:rPr>
          <w:rFonts w:eastAsia="Times New Roman" w:cs="Arial"/>
          <w:color w:val="000000"/>
        </w:rPr>
        <w:t xml:space="preserve"> </w:t>
      </w:r>
      <w:proofErr w:type="spellStart"/>
      <w:r w:rsidRPr="00EF1469">
        <w:rPr>
          <w:rFonts w:eastAsia="Times New Roman" w:cs="Arial"/>
          <w:color w:val="000000"/>
          <w:lang w:val="en-US"/>
        </w:rPr>
        <w:t>Cardial</w:t>
      </w:r>
      <w:proofErr w:type="spellEnd"/>
      <w:r w:rsidRPr="00EF1469">
        <w:rPr>
          <w:rFonts w:eastAsia="Times New Roman" w:cs="Arial"/>
          <w:color w:val="000000"/>
        </w:rPr>
        <w:t xml:space="preserve"> </w:t>
      </w:r>
      <w:r w:rsidRPr="00EF1469">
        <w:rPr>
          <w:rFonts w:eastAsia="Times New Roman" w:cs="Arial"/>
          <w:color w:val="000000"/>
          <w:lang w:val="en-US"/>
        </w:rPr>
        <w:t>Outcomes</w:t>
      </w:r>
      <w:r w:rsidRPr="00EF1469">
        <w:rPr>
          <w:rFonts w:eastAsia="Times New Roman" w:cs="Arial"/>
          <w:color w:val="000000"/>
        </w:rPr>
        <w:t xml:space="preserve"> </w:t>
      </w:r>
      <w:r w:rsidRPr="00EF1469">
        <w:rPr>
          <w:rFonts w:eastAsia="Times New Roman" w:cs="Arial"/>
          <w:color w:val="000000"/>
          <w:lang w:val="en-US"/>
        </w:rPr>
        <w:t>Trial</w:t>
      </w:r>
      <w:r w:rsidRPr="00EF1469">
        <w:rPr>
          <w:rFonts w:eastAsia="Times New Roman" w:cs="Arial"/>
          <w:color w:val="000000"/>
        </w:rPr>
        <w:t xml:space="preserve"> </w:t>
      </w:r>
      <w:r w:rsidRPr="00EF1469">
        <w:rPr>
          <w:rFonts w:eastAsia="Times New Roman" w:cs="Arial"/>
          <w:color w:val="000000"/>
          <w:lang w:val="en-US"/>
        </w:rPr>
        <w:t>Lipid</w:t>
      </w:r>
      <w:r w:rsidRPr="00EF1469">
        <w:rPr>
          <w:rFonts w:eastAsia="Times New Roman" w:cs="Arial"/>
          <w:color w:val="000000"/>
        </w:rPr>
        <w:t xml:space="preserve"> </w:t>
      </w:r>
      <w:r w:rsidRPr="00EF1469">
        <w:rPr>
          <w:rFonts w:eastAsia="Times New Roman" w:cs="Arial"/>
          <w:color w:val="000000"/>
          <w:lang w:val="en-US"/>
        </w:rPr>
        <w:t>Lowering</w:t>
      </w:r>
      <w:r w:rsidRPr="00EF1469">
        <w:rPr>
          <w:rFonts w:eastAsia="Times New Roman" w:cs="Arial"/>
          <w:color w:val="000000"/>
        </w:rPr>
        <w:t xml:space="preserve"> </w:t>
      </w:r>
      <w:r w:rsidRPr="00EF1469">
        <w:rPr>
          <w:rFonts w:eastAsia="Times New Roman" w:cs="Arial"/>
          <w:color w:val="000000"/>
          <w:lang w:val="en-US"/>
        </w:rPr>
        <w:t>Arm</w:t>
      </w:r>
      <w:r w:rsidRPr="00EF1469">
        <w:rPr>
          <w:rFonts w:eastAsia="Times New Roman" w:cs="Arial"/>
          <w:color w:val="000000"/>
        </w:rPr>
        <w:t xml:space="preserve"> (</w:t>
      </w:r>
      <w:r w:rsidRPr="00EF1469">
        <w:rPr>
          <w:rFonts w:eastAsia="Times New Roman" w:cs="Arial"/>
          <w:color w:val="000000"/>
          <w:lang w:val="en-US"/>
        </w:rPr>
        <w:t>ASCOT</w:t>
      </w:r>
      <w:r w:rsidRPr="00EF1469">
        <w:rPr>
          <w:rFonts w:eastAsia="Times New Roman" w:cs="Arial"/>
          <w:color w:val="000000"/>
        </w:rPr>
        <w:t>-</w:t>
      </w:r>
      <w:r w:rsidRPr="00EF1469">
        <w:rPr>
          <w:rFonts w:eastAsia="Times New Roman" w:cs="Arial"/>
          <w:color w:val="000000"/>
          <w:lang w:val="en-US"/>
        </w:rPr>
        <w:t>LLA</w:t>
      </w:r>
      <w:r w:rsidRPr="00EF1469">
        <w:rPr>
          <w:rFonts w:eastAsia="Times New Roman" w:cs="Arial"/>
          <w:color w:val="000000"/>
        </w:rPr>
        <w:t xml:space="preserve">)). </w:t>
      </w:r>
      <w:r w:rsidRPr="00EF1469">
        <w:rPr>
          <w:rFonts w:eastAsia="Times New Roman" w:cs="Arial"/>
          <w:color w:val="000000"/>
          <w:lang w:eastAsia="bg-BG"/>
        </w:rPr>
        <w:t xml:space="preserve">Пациентите са </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 xml:space="preserve">хипертония, </w:t>
      </w:r>
      <w:r w:rsidRPr="00EF1469">
        <w:rPr>
          <w:rFonts w:eastAsia="Times New Roman" w:cs="Arial"/>
          <w:color w:val="000000"/>
          <w:lang w:val="ru-RU"/>
        </w:rPr>
        <w:t xml:space="preserve">40-79- </w:t>
      </w:r>
      <w:r w:rsidRPr="00EF1469">
        <w:rPr>
          <w:rFonts w:eastAsia="Times New Roman" w:cs="Arial"/>
          <w:color w:val="000000"/>
          <w:lang w:eastAsia="bg-BG"/>
        </w:rPr>
        <w:t xml:space="preserve">годишни, без предходен миокарден инфаркт или лечение за стенокардия и с нива на общ холесгерол (ОХ) ≤ 6,5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w:t>
      </w:r>
      <w:r w:rsidRPr="00EF1469">
        <w:rPr>
          <w:rFonts w:eastAsia="Times New Roman" w:cs="Arial"/>
          <w:color w:val="000000"/>
          <w:lang w:val="en-US"/>
        </w:rPr>
        <w:t>l</w:t>
      </w:r>
      <w:r w:rsidRPr="00EF1469">
        <w:rPr>
          <w:rFonts w:eastAsia="Times New Roman" w:cs="Arial"/>
          <w:color w:val="000000"/>
          <w:lang w:val="ru-RU"/>
        </w:rPr>
        <w:t xml:space="preserve"> </w:t>
      </w:r>
      <w:r w:rsidRPr="00EF1469">
        <w:rPr>
          <w:rFonts w:eastAsia="Times New Roman" w:cs="Arial"/>
          <w:color w:val="000000"/>
          <w:lang w:eastAsia="bg-BG"/>
        </w:rPr>
        <w:t xml:space="preserve">(251 </w:t>
      </w:r>
      <w:r w:rsidRPr="00EF1469">
        <w:rPr>
          <w:rFonts w:eastAsia="Times New Roman" w:cs="Arial"/>
          <w:color w:val="000000"/>
          <w:lang w:val="en-US"/>
        </w:rPr>
        <w:t>mg</w:t>
      </w:r>
      <w:r w:rsidRPr="00EF1469">
        <w:rPr>
          <w:rFonts w:eastAsia="Times New Roman" w:cs="Arial"/>
          <w:color w:val="000000"/>
          <w:lang w:val="ru-RU"/>
        </w:rPr>
        <w:t>/</w:t>
      </w:r>
      <w:r w:rsidRPr="00EF1469">
        <w:rPr>
          <w:rFonts w:eastAsia="Times New Roman" w:cs="Arial"/>
          <w:color w:val="000000"/>
          <w:lang w:val="en-US"/>
        </w:rPr>
        <w:t>dl</w:t>
      </w:r>
      <w:r w:rsidRPr="00EF1469">
        <w:rPr>
          <w:rFonts w:eastAsia="Times New Roman" w:cs="Arial"/>
          <w:color w:val="000000"/>
          <w:lang w:val="ru-RU"/>
        </w:rPr>
        <w:t xml:space="preserve">). </w:t>
      </w:r>
      <w:r w:rsidRPr="00EF1469">
        <w:rPr>
          <w:rFonts w:eastAsia="Times New Roman" w:cs="Arial"/>
          <w:color w:val="000000"/>
          <w:lang w:eastAsia="bg-BG"/>
        </w:rPr>
        <w:t xml:space="preserve">Всички пациенти са имали най-малко 3 предварително дефинирани сърдечно-съдови рискови фактори: мъжки пол, възраст ≥ 55 години, пушене, диабет, анамнеза за ИБС при родственик от първа линия, </w:t>
      </w:r>
      <w:r w:rsidRPr="00EF1469">
        <w:rPr>
          <w:rFonts w:eastAsia="Times New Roman" w:cs="Arial"/>
          <w:color w:val="000000"/>
          <w:lang w:val="ru-RU"/>
        </w:rPr>
        <w:t>0</w:t>
      </w:r>
      <w:r w:rsidRPr="00EF1469">
        <w:rPr>
          <w:rFonts w:eastAsia="Times New Roman" w:cs="Arial"/>
          <w:color w:val="000000"/>
          <w:lang w:val="en-US"/>
        </w:rPr>
        <w:t>X</w:t>
      </w:r>
      <w:r w:rsidRPr="00EF1469">
        <w:rPr>
          <w:rFonts w:eastAsia="Times New Roman" w:cs="Arial"/>
          <w:color w:val="000000"/>
          <w:lang w:val="ru-RU"/>
        </w:rPr>
        <w:t>:</w:t>
      </w:r>
      <w:r w:rsidRPr="00EF1469">
        <w:rPr>
          <w:rFonts w:eastAsia="Times New Roman" w:cs="Arial"/>
          <w:color w:val="000000"/>
          <w:lang w:val="en-US"/>
        </w:rPr>
        <w:t>HDL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&gt;</w:t>
      </w:r>
      <w:r w:rsidRPr="00EF1469">
        <w:rPr>
          <w:rFonts w:eastAsia="Times New Roman" w:cs="Arial"/>
          <w:color w:val="000000"/>
          <w:lang w:eastAsia="bg-BG"/>
        </w:rPr>
        <w:t>6, периферно съдово заболяване, левокамерна хипертрофия, предходен мозъчно-съдов инцидент, специфична ЕКГ аномалия, протеинурия/албуминурия. Не всички включени пациенти са преценени като пациенти с висок риск за първи сърдечно-съдов инцидент.</w:t>
      </w:r>
    </w:p>
    <w:p w14:paraId="7B10DC06" w14:textId="77777777" w:rsidR="00EF1469" w:rsidRDefault="00EF1469" w:rsidP="00EF1469">
      <w:pPr>
        <w:spacing w:line="240" w:lineRule="auto"/>
        <w:rPr>
          <w:rFonts w:eastAsia="Times New Roman" w:cs="Arial"/>
          <w:color w:val="000000"/>
          <w:lang w:eastAsia="bg-BG"/>
        </w:rPr>
      </w:pPr>
    </w:p>
    <w:p w14:paraId="7F016507" w14:textId="54772D4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Пациентите са лекувани с антихипертензивна терапия (или схема, основаваща се на амлодипин, или схема, основаваща се на атенолол), в комбинация или с аторвастатин 10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дневно (</w:t>
      </w:r>
      <w:r w:rsidRPr="00EF1469">
        <w:rPr>
          <w:rFonts w:eastAsia="Times New Roman" w:cs="Arial"/>
          <w:color w:val="000000"/>
          <w:lang w:val="en-US"/>
        </w:rPr>
        <w:t>n</w:t>
      </w:r>
      <w:r w:rsidRPr="00EF1469">
        <w:rPr>
          <w:rFonts w:eastAsia="Times New Roman" w:cs="Arial"/>
          <w:color w:val="000000"/>
          <w:lang w:val="ru-RU"/>
        </w:rPr>
        <w:t>=</w:t>
      </w:r>
      <w:r w:rsidRPr="00EF1469">
        <w:rPr>
          <w:rFonts w:eastAsia="Times New Roman" w:cs="Arial"/>
          <w:color w:val="000000"/>
          <w:lang w:eastAsia="bg-BG"/>
        </w:rPr>
        <w:t>5,168) или плацебо (</w:t>
      </w:r>
      <w:r w:rsidRPr="00EF1469">
        <w:rPr>
          <w:rFonts w:eastAsia="Times New Roman" w:cs="Arial"/>
          <w:color w:val="000000"/>
          <w:lang w:val="en-US"/>
        </w:rPr>
        <w:t>n</w:t>
      </w:r>
      <w:r w:rsidRPr="00EF1469">
        <w:rPr>
          <w:rFonts w:eastAsia="Times New Roman" w:cs="Arial"/>
          <w:color w:val="000000"/>
          <w:lang w:eastAsia="bg-BG"/>
        </w:rPr>
        <w:t>=5,137).</w:t>
      </w:r>
    </w:p>
    <w:p w14:paraId="352E7459" w14:textId="77777777" w:rsidR="00EF1469" w:rsidRDefault="00EF1469" w:rsidP="00EF1469">
      <w:pPr>
        <w:spacing w:line="240" w:lineRule="auto"/>
        <w:rPr>
          <w:rFonts w:eastAsia="Times New Roman" w:cs="Arial"/>
          <w:color w:val="000000"/>
          <w:lang w:eastAsia="bg-BG"/>
        </w:rPr>
      </w:pPr>
    </w:p>
    <w:p w14:paraId="738DBEA4" w14:textId="50D5CD36" w:rsidR="00EF1469" w:rsidRPr="00EF1469" w:rsidRDefault="00EF1469" w:rsidP="00EF1469">
      <w:pPr>
        <w:spacing w:line="240" w:lineRule="auto"/>
        <w:rPr>
          <w:rFonts w:eastAsia="Times New Roman" w:cs="Arial"/>
        </w:rPr>
      </w:pPr>
      <w:r w:rsidRPr="00EF1469">
        <w:rPr>
          <w:rFonts w:eastAsia="Times New Roman" w:cs="Arial"/>
          <w:color w:val="000000"/>
          <w:lang w:eastAsia="bg-BG"/>
        </w:rPr>
        <w:t>Ефектът на намаляване на абсолютния и относителния риск при употреба на аторвастатин е бил както следва:</w:t>
      </w:r>
    </w:p>
    <w:tbl>
      <w:tblPr>
        <w:tblStyle w:val="TableGrid"/>
        <w:tblW w:w="0" w:type="auto"/>
        <w:tblLook w:val="04A0" w:firstRow="1" w:lastRow="0" w:firstColumn="1" w:lastColumn="0" w:noHBand="0" w:noVBand="1"/>
      </w:tblPr>
      <w:tblGrid>
        <w:gridCol w:w="2474"/>
        <w:gridCol w:w="1780"/>
        <w:gridCol w:w="1842"/>
        <w:gridCol w:w="1684"/>
        <w:gridCol w:w="1570"/>
      </w:tblGrid>
      <w:tr w:rsidR="00EF1469" w14:paraId="3039C790" w14:textId="77777777" w:rsidTr="00EF1469">
        <w:tc>
          <w:tcPr>
            <w:tcW w:w="2473" w:type="dxa"/>
          </w:tcPr>
          <w:p w14:paraId="2C9A3A2D" w14:textId="500C036A" w:rsidR="00EF1469" w:rsidRPr="00EF1469" w:rsidRDefault="00EF1469" w:rsidP="00EF1469">
            <w:pPr>
              <w:rPr>
                <w:rFonts w:cs="Arial"/>
              </w:rPr>
            </w:pPr>
            <w:r w:rsidRPr="00EF1469">
              <w:rPr>
                <w:b/>
                <w:bCs/>
              </w:rPr>
              <w:t>Инцидент</w:t>
            </w:r>
          </w:p>
        </w:tc>
        <w:tc>
          <w:tcPr>
            <w:tcW w:w="1819" w:type="dxa"/>
          </w:tcPr>
          <w:p w14:paraId="33B69189" w14:textId="77EBD0B9" w:rsidR="00EF1469" w:rsidRPr="00EF1469" w:rsidRDefault="00EF1469" w:rsidP="00EF1469">
            <w:pPr>
              <w:rPr>
                <w:rFonts w:cs="Arial"/>
              </w:rPr>
            </w:pPr>
            <w:r w:rsidRPr="00EF1469">
              <w:rPr>
                <w:b/>
                <w:bCs/>
              </w:rPr>
              <w:t>Относително намаление на риска (%)</w:t>
            </w:r>
          </w:p>
        </w:tc>
        <w:tc>
          <w:tcPr>
            <w:tcW w:w="1863" w:type="dxa"/>
          </w:tcPr>
          <w:p w14:paraId="7DFA0FA7" w14:textId="2CB33388" w:rsidR="00EF1469" w:rsidRPr="00EF1469" w:rsidRDefault="00EF1469" w:rsidP="00EF1469">
            <w:pPr>
              <w:rPr>
                <w:rFonts w:cs="Arial"/>
              </w:rPr>
            </w:pPr>
            <w:r w:rsidRPr="00EF1469">
              <w:rPr>
                <w:b/>
                <w:bCs/>
              </w:rPr>
              <w:t>Брой на инцидентите (аторвастатин спрямо плацебо)</w:t>
            </w:r>
          </w:p>
        </w:tc>
        <w:tc>
          <w:tcPr>
            <w:tcW w:w="1751" w:type="dxa"/>
          </w:tcPr>
          <w:p w14:paraId="7D378688" w14:textId="71CCB8A7" w:rsidR="00EF1469" w:rsidRPr="00EF1469" w:rsidRDefault="00EF1469" w:rsidP="00EF1469">
            <w:pPr>
              <w:rPr>
                <w:rFonts w:cs="Arial"/>
              </w:rPr>
            </w:pPr>
            <w:r w:rsidRPr="00EF1469">
              <w:rPr>
                <w:b/>
                <w:bCs/>
              </w:rPr>
              <w:t>Абсолютно намаление на риска</w:t>
            </w:r>
            <w:r w:rsidRPr="00EF1469">
              <w:rPr>
                <w:b/>
                <w:bCs/>
                <w:vertAlign w:val="superscript"/>
              </w:rPr>
              <w:t>1</w:t>
            </w:r>
            <w:r w:rsidRPr="00EF1469">
              <w:rPr>
                <w:b/>
                <w:bCs/>
              </w:rPr>
              <w:t xml:space="preserve"> (%)</w:t>
            </w:r>
          </w:p>
        </w:tc>
        <w:tc>
          <w:tcPr>
            <w:tcW w:w="1670" w:type="dxa"/>
          </w:tcPr>
          <w:p w14:paraId="5630FBD4" w14:textId="55D4CD1C" w:rsidR="00EF1469" w:rsidRPr="00EF1469" w:rsidRDefault="00EF1469" w:rsidP="00EF1469">
            <w:pPr>
              <w:rPr>
                <w:rFonts w:cs="Arial"/>
              </w:rPr>
            </w:pPr>
            <w:r w:rsidRPr="00EF1469">
              <w:rPr>
                <w:b/>
                <w:bCs/>
              </w:rPr>
              <w:t>Стойност на р</w:t>
            </w:r>
          </w:p>
        </w:tc>
      </w:tr>
      <w:tr w:rsidR="00EF1469" w14:paraId="6CB205A8" w14:textId="77777777" w:rsidTr="00EF1469">
        <w:tc>
          <w:tcPr>
            <w:tcW w:w="2473" w:type="dxa"/>
          </w:tcPr>
          <w:p w14:paraId="33A9A718" w14:textId="5FCDA17B" w:rsidR="00EF1469" w:rsidRPr="00EF1469" w:rsidRDefault="00EF1469" w:rsidP="00EF1469">
            <w:pPr>
              <w:rPr>
                <w:rFonts w:cs="Arial"/>
              </w:rPr>
            </w:pPr>
            <w:r w:rsidRPr="00EF1469">
              <w:t>Фатална ИБС плюс нефатален МИ</w:t>
            </w:r>
          </w:p>
        </w:tc>
        <w:tc>
          <w:tcPr>
            <w:tcW w:w="1819" w:type="dxa"/>
          </w:tcPr>
          <w:p w14:paraId="0E7C1E03" w14:textId="6EB8E49E" w:rsidR="00EF1469" w:rsidRPr="00EF1469" w:rsidRDefault="00EF1469" w:rsidP="00EF1469">
            <w:pPr>
              <w:rPr>
                <w:rFonts w:cs="Arial"/>
              </w:rPr>
            </w:pPr>
            <w:r w:rsidRPr="00EF1469">
              <w:t>36%</w:t>
            </w:r>
          </w:p>
        </w:tc>
        <w:tc>
          <w:tcPr>
            <w:tcW w:w="1863" w:type="dxa"/>
          </w:tcPr>
          <w:p w14:paraId="4A9807D8" w14:textId="462761AE" w:rsidR="00EF1469" w:rsidRPr="00EF1469" w:rsidRDefault="00EF1469" w:rsidP="00EF1469">
            <w:pPr>
              <w:rPr>
                <w:rFonts w:cs="Arial"/>
              </w:rPr>
            </w:pPr>
            <w:r w:rsidRPr="00EF1469">
              <w:t>100 спрямо 154</w:t>
            </w:r>
          </w:p>
        </w:tc>
        <w:tc>
          <w:tcPr>
            <w:tcW w:w="1751" w:type="dxa"/>
          </w:tcPr>
          <w:p w14:paraId="4571D07F" w14:textId="6FDB39C8" w:rsidR="00EF1469" w:rsidRPr="00EF1469" w:rsidRDefault="00EF1469" w:rsidP="00EF1469">
            <w:pPr>
              <w:rPr>
                <w:rFonts w:cs="Arial"/>
              </w:rPr>
            </w:pPr>
            <w:r w:rsidRPr="00EF1469">
              <w:t>1,1%</w:t>
            </w:r>
          </w:p>
        </w:tc>
        <w:tc>
          <w:tcPr>
            <w:tcW w:w="1670" w:type="dxa"/>
          </w:tcPr>
          <w:p w14:paraId="3A58689C" w14:textId="4844AB3C" w:rsidR="00EF1469" w:rsidRPr="00EF1469" w:rsidRDefault="00EF1469" w:rsidP="00EF1469">
            <w:pPr>
              <w:rPr>
                <w:rFonts w:cs="Arial"/>
              </w:rPr>
            </w:pPr>
            <w:r w:rsidRPr="00EF1469">
              <w:t>0,0005</w:t>
            </w:r>
          </w:p>
        </w:tc>
      </w:tr>
      <w:tr w:rsidR="00EF1469" w14:paraId="4EB63D86" w14:textId="77777777" w:rsidTr="00EF1469">
        <w:tc>
          <w:tcPr>
            <w:tcW w:w="2473" w:type="dxa"/>
          </w:tcPr>
          <w:p w14:paraId="048FE7D5" w14:textId="0D6A0720" w:rsidR="00EF1469" w:rsidRPr="00EF1469" w:rsidRDefault="00EF1469" w:rsidP="00EF1469">
            <w:pPr>
              <w:rPr>
                <w:rFonts w:cs="Arial"/>
              </w:rPr>
            </w:pPr>
            <w:r w:rsidRPr="00EF1469">
              <w:lastRenderedPageBreak/>
              <w:t>Общо сърдечно-съдови инциденти и реваскуларизационни процедури</w:t>
            </w:r>
          </w:p>
        </w:tc>
        <w:tc>
          <w:tcPr>
            <w:tcW w:w="1819" w:type="dxa"/>
          </w:tcPr>
          <w:p w14:paraId="1FBD9C24" w14:textId="37A00070" w:rsidR="00EF1469" w:rsidRPr="00EF1469" w:rsidRDefault="00EF1469" w:rsidP="00EF1469">
            <w:pPr>
              <w:rPr>
                <w:rFonts w:cs="Arial"/>
              </w:rPr>
            </w:pPr>
            <w:r w:rsidRPr="00EF1469">
              <w:t>20%</w:t>
            </w:r>
          </w:p>
        </w:tc>
        <w:tc>
          <w:tcPr>
            <w:tcW w:w="1863" w:type="dxa"/>
          </w:tcPr>
          <w:p w14:paraId="481BC8AD" w14:textId="103D89CE" w:rsidR="00EF1469" w:rsidRPr="00EF1469" w:rsidRDefault="00EF1469" w:rsidP="00EF1469">
            <w:pPr>
              <w:rPr>
                <w:rFonts w:cs="Arial"/>
              </w:rPr>
            </w:pPr>
            <w:r w:rsidRPr="00EF1469">
              <w:t>389 спрямо 483</w:t>
            </w:r>
          </w:p>
        </w:tc>
        <w:tc>
          <w:tcPr>
            <w:tcW w:w="1751" w:type="dxa"/>
          </w:tcPr>
          <w:p w14:paraId="6CEE6624" w14:textId="23DC5165" w:rsidR="00EF1469" w:rsidRPr="00EF1469" w:rsidRDefault="00EF1469" w:rsidP="00EF1469">
            <w:pPr>
              <w:rPr>
                <w:rFonts w:cs="Arial"/>
              </w:rPr>
            </w:pPr>
            <w:r w:rsidRPr="00EF1469">
              <w:t>1,9%</w:t>
            </w:r>
          </w:p>
        </w:tc>
        <w:tc>
          <w:tcPr>
            <w:tcW w:w="1670" w:type="dxa"/>
          </w:tcPr>
          <w:p w14:paraId="10D1765B" w14:textId="562B53F3" w:rsidR="00EF1469" w:rsidRPr="00EF1469" w:rsidRDefault="00EF1469" w:rsidP="00EF1469">
            <w:pPr>
              <w:rPr>
                <w:rFonts w:cs="Arial"/>
              </w:rPr>
            </w:pPr>
            <w:r w:rsidRPr="00EF1469">
              <w:t>0,0008</w:t>
            </w:r>
          </w:p>
        </w:tc>
      </w:tr>
      <w:tr w:rsidR="00EF1469" w14:paraId="0F376C1C" w14:textId="77777777" w:rsidTr="00EF1469">
        <w:tc>
          <w:tcPr>
            <w:tcW w:w="2473" w:type="dxa"/>
          </w:tcPr>
          <w:p w14:paraId="40632DEC" w14:textId="57407D53" w:rsidR="00EF1469" w:rsidRPr="00EF1469" w:rsidRDefault="00EF1469" w:rsidP="00EF1469">
            <w:pPr>
              <w:rPr>
                <w:rFonts w:cs="Arial"/>
              </w:rPr>
            </w:pPr>
            <w:r w:rsidRPr="00EF1469">
              <w:t>Общо коронарни инциденти</w:t>
            </w:r>
          </w:p>
        </w:tc>
        <w:tc>
          <w:tcPr>
            <w:tcW w:w="1819" w:type="dxa"/>
          </w:tcPr>
          <w:p w14:paraId="37E59452" w14:textId="6014B024" w:rsidR="00EF1469" w:rsidRPr="00EF1469" w:rsidRDefault="00EF1469" w:rsidP="00EF1469">
            <w:pPr>
              <w:rPr>
                <w:rFonts w:cs="Arial"/>
              </w:rPr>
            </w:pPr>
            <w:r w:rsidRPr="00EF1469">
              <w:t>29%</w:t>
            </w:r>
          </w:p>
        </w:tc>
        <w:tc>
          <w:tcPr>
            <w:tcW w:w="1863" w:type="dxa"/>
          </w:tcPr>
          <w:p w14:paraId="7D77E29B" w14:textId="14B650DD" w:rsidR="00EF1469" w:rsidRPr="00EF1469" w:rsidRDefault="00EF1469" w:rsidP="00EF1469">
            <w:pPr>
              <w:rPr>
                <w:rFonts w:cs="Arial"/>
              </w:rPr>
            </w:pPr>
            <w:r w:rsidRPr="00EF1469">
              <w:t>178 спрямо 247</w:t>
            </w:r>
          </w:p>
        </w:tc>
        <w:tc>
          <w:tcPr>
            <w:tcW w:w="1751" w:type="dxa"/>
          </w:tcPr>
          <w:p w14:paraId="7B3D45D2" w14:textId="3148E476" w:rsidR="00EF1469" w:rsidRPr="00EF1469" w:rsidRDefault="00EF1469" w:rsidP="00EF1469">
            <w:pPr>
              <w:rPr>
                <w:rFonts w:cs="Arial"/>
              </w:rPr>
            </w:pPr>
            <w:r w:rsidRPr="00EF1469">
              <w:t>1,4%</w:t>
            </w:r>
          </w:p>
        </w:tc>
        <w:tc>
          <w:tcPr>
            <w:tcW w:w="1670" w:type="dxa"/>
          </w:tcPr>
          <w:p w14:paraId="78AC90AE" w14:textId="547142DB" w:rsidR="00EF1469" w:rsidRPr="00EF1469" w:rsidRDefault="00EF1469" w:rsidP="00EF1469">
            <w:pPr>
              <w:rPr>
                <w:rFonts w:cs="Arial"/>
              </w:rPr>
            </w:pPr>
            <w:r w:rsidRPr="00EF1469">
              <w:t>0,0006</w:t>
            </w:r>
          </w:p>
        </w:tc>
      </w:tr>
    </w:tbl>
    <w:p w14:paraId="349A93F1" w14:textId="460A3868" w:rsidR="00EF1469" w:rsidRPr="00EF1469" w:rsidRDefault="00EF1469" w:rsidP="00EF1469">
      <w:pPr>
        <w:spacing w:line="240" w:lineRule="auto"/>
        <w:rPr>
          <w:rFonts w:eastAsia="Times New Roman" w:cs="Arial"/>
        </w:rPr>
      </w:pPr>
      <w:r w:rsidRPr="00EF1469">
        <w:rPr>
          <w:rFonts w:eastAsia="Times New Roman" w:cs="Arial"/>
          <w:color w:val="000000"/>
          <w:vertAlign w:val="superscript"/>
          <w:lang w:eastAsia="bg-BG"/>
        </w:rPr>
        <w:t>1</w:t>
      </w:r>
      <w:r w:rsidRPr="00EF1469">
        <w:rPr>
          <w:rFonts w:eastAsia="Times New Roman" w:cs="Arial"/>
          <w:color w:val="000000"/>
          <w:lang w:eastAsia="bg-BG"/>
        </w:rPr>
        <w:t>Въз основа на разликата в общата честота на инцидентите, наблюдавани при средно проследяване от 3,3 години.</w:t>
      </w:r>
    </w:p>
    <w:p w14:paraId="292A6523"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ИБС - исхемична болест на сърцето; МИ - миокарден инфаркт.</w:t>
      </w:r>
    </w:p>
    <w:p w14:paraId="7C542752" w14:textId="77777777" w:rsidR="00EF1469" w:rsidRDefault="00EF1469" w:rsidP="00EF1469">
      <w:pPr>
        <w:spacing w:line="240" w:lineRule="auto"/>
        <w:rPr>
          <w:rFonts w:eastAsia="Times New Roman" w:cs="Arial"/>
          <w:color w:val="000000"/>
          <w:lang w:eastAsia="bg-BG"/>
        </w:rPr>
      </w:pPr>
    </w:p>
    <w:p w14:paraId="5A76A85C" w14:textId="1122BA5C"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Общата смъртност и сърдечно-съдовата смъртност не са били значимо намалени (185 спрямо 212 инцидента, р=0,17 и 74 спрямо 82, р=0,51). В анализа на подгрупата по пол (81% мъже, 19% жени) благоприятен ефект на аторвастатин е бил наблюдаван при мъжете, но не може да се установи при жените, вероятно поради ниската честота на инциденти в женската подгрупа. Общата и сърдечно-съдовата смъртност е числено по-висока при жените (38 спрямо 30 и 17 спрямо 12), но това не е било статистически значимо. Имало е значително терапевтично взаимодействие от страна на основната антихипертензивна терапия. Първичната крайна точка (фатална ИБС плюс нефатален МИ) е значимо редуцирана от аторвастатин при пациенти, лекувани с амлодипин </w:t>
      </w:r>
      <w:r w:rsidRPr="00EF1469">
        <w:rPr>
          <w:rFonts w:eastAsia="Times New Roman" w:cs="Arial"/>
          <w:color w:val="000000"/>
          <w:lang w:val="ru-RU"/>
        </w:rPr>
        <w:t>(</w:t>
      </w:r>
      <w:r w:rsidRPr="00EF1469">
        <w:rPr>
          <w:rFonts w:eastAsia="Times New Roman" w:cs="Arial"/>
          <w:color w:val="000000"/>
          <w:lang w:val="en-US"/>
        </w:rPr>
        <w:t>HR</w:t>
      </w:r>
      <w:r w:rsidRPr="00EF1469">
        <w:rPr>
          <w:rFonts w:eastAsia="Times New Roman" w:cs="Arial"/>
          <w:color w:val="000000"/>
          <w:lang w:val="ru-RU"/>
        </w:rPr>
        <w:t xml:space="preserve"> </w:t>
      </w:r>
      <w:r w:rsidRPr="00EF1469">
        <w:rPr>
          <w:rFonts w:eastAsia="Times New Roman" w:cs="Arial"/>
          <w:color w:val="000000"/>
          <w:lang w:eastAsia="bg-BG"/>
        </w:rPr>
        <w:t xml:space="preserve">0,47 (0,32-0,69), р=0,00008), но не и при тези, лекувани с атенолол </w:t>
      </w:r>
      <w:r w:rsidRPr="00EF1469">
        <w:rPr>
          <w:rFonts w:eastAsia="Times New Roman" w:cs="Arial"/>
          <w:color w:val="000000"/>
          <w:lang w:val="ru-RU"/>
        </w:rPr>
        <w:t>(</w:t>
      </w:r>
      <w:r w:rsidRPr="00EF1469">
        <w:rPr>
          <w:rFonts w:eastAsia="Times New Roman" w:cs="Arial"/>
          <w:color w:val="000000"/>
          <w:lang w:val="en-US"/>
        </w:rPr>
        <w:t>HR</w:t>
      </w:r>
      <w:r w:rsidRPr="00EF1469">
        <w:rPr>
          <w:rFonts w:eastAsia="Times New Roman" w:cs="Arial"/>
          <w:color w:val="000000"/>
          <w:lang w:val="ru-RU"/>
        </w:rPr>
        <w:t xml:space="preserve"> </w:t>
      </w:r>
      <w:r w:rsidRPr="00EF1469">
        <w:rPr>
          <w:rFonts w:eastAsia="Times New Roman" w:cs="Arial"/>
          <w:color w:val="000000"/>
          <w:lang w:eastAsia="bg-BG"/>
        </w:rPr>
        <w:t>0,83 (0,59-1,17), р=0,287).</w:t>
      </w:r>
    </w:p>
    <w:p w14:paraId="0C18E5D2" w14:textId="77777777" w:rsidR="00EF1469" w:rsidRDefault="00EF1469" w:rsidP="00EF1469">
      <w:pPr>
        <w:spacing w:line="240" w:lineRule="auto"/>
        <w:rPr>
          <w:rFonts w:eastAsia="Times New Roman" w:cs="Arial"/>
          <w:color w:val="000000"/>
          <w:lang w:eastAsia="bg-BG"/>
        </w:rPr>
      </w:pPr>
    </w:p>
    <w:p w14:paraId="1525B78D" w14:textId="43757511"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Ефектът на аторвастатин върху фатално и нефатално сърдечно-съдово заболяване е също оценен в рандомизирано, двойно-сляпо, мултицентрово, плацебо-контролирано проучване, “Проучване на аторвастатин при диабет“ </w:t>
      </w:r>
      <w:r w:rsidRPr="00EF1469">
        <w:rPr>
          <w:rFonts w:eastAsia="Times New Roman" w:cs="Arial"/>
          <w:color w:val="000000"/>
        </w:rPr>
        <w:t>(</w:t>
      </w:r>
      <w:r w:rsidRPr="00EF1469">
        <w:rPr>
          <w:rFonts w:eastAsia="Times New Roman" w:cs="Arial"/>
          <w:color w:val="000000"/>
          <w:lang w:val="en-US"/>
        </w:rPr>
        <w:t>Collaborative</w:t>
      </w:r>
      <w:r w:rsidRPr="00EF1469">
        <w:rPr>
          <w:rFonts w:eastAsia="Times New Roman" w:cs="Arial"/>
          <w:color w:val="000000"/>
        </w:rPr>
        <w:t xml:space="preserve"> </w:t>
      </w:r>
      <w:r w:rsidRPr="00EF1469">
        <w:rPr>
          <w:rFonts w:eastAsia="Times New Roman" w:cs="Arial"/>
          <w:color w:val="000000"/>
          <w:lang w:val="en-US"/>
        </w:rPr>
        <w:t>Atorvastatin</w:t>
      </w:r>
      <w:r w:rsidRPr="00EF1469">
        <w:rPr>
          <w:rFonts w:eastAsia="Times New Roman" w:cs="Arial"/>
          <w:color w:val="000000"/>
        </w:rPr>
        <w:t xml:space="preserve"> </w:t>
      </w:r>
      <w:r w:rsidRPr="00EF1469">
        <w:rPr>
          <w:rFonts w:eastAsia="Times New Roman" w:cs="Arial"/>
          <w:color w:val="000000"/>
          <w:lang w:val="en-US"/>
        </w:rPr>
        <w:t>Diabetes</w:t>
      </w:r>
      <w:r w:rsidRPr="00EF1469">
        <w:rPr>
          <w:rFonts w:eastAsia="Times New Roman" w:cs="Arial"/>
          <w:color w:val="000000"/>
        </w:rPr>
        <w:t xml:space="preserve"> </w:t>
      </w:r>
      <w:r w:rsidRPr="00EF1469">
        <w:rPr>
          <w:rFonts w:eastAsia="Times New Roman" w:cs="Arial"/>
          <w:color w:val="000000"/>
          <w:lang w:val="en-US"/>
        </w:rPr>
        <w:t>Study</w:t>
      </w:r>
      <w:r w:rsidRPr="00EF1469">
        <w:rPr>
          <w:rFonts w:eastAsia="Times New Roman" w:cs="Arial"/>
          <w:color w:val="000000"/>
        </w:rPr>
        <w:t xml:space="preserve"> (</w:t>
      </w:r>
      <w:r w:rsidRPr="00EF1469">
        <w:rPr>
          <w:rFonts w:eastAsia="Times New Roman" w:cs="Arial"/>
          <w:color w:val="000000"/>
          <w:lang w:val="en-US"/>
        </w:rPr>
        <w:t>CARDS</w:t>
      </w:r>
      <w:r w:rsidRPr="00EF1469">
        <w:rPr>
          <w:rFonts w:eastAsia="Times New Roman" w:cs="Arial"/>
          <w:color w:val="000000"/>
        </w:rPr>
        <w:t xml:space="preserve">)) </w:t>
      </w:r>
      <w:r w:rsidRPr="00EF1469">
        <w:rPr>
          <w:rFonts w:eastAsia="Times New Roman" w:cs="Arial"/>
          <w:color w:val="000000"/>
          <w:lang w:eastAsia="bg-BG"/>
        </w:rPr>
        <w:t xml:space="preserve">при пациенти </w:t>
      </w:r>
      <w:r w:rsidRPr="00EF1469">
        <w:rPr>
          <w:rFonts w:eastAsia="Times New Roman" w:cs="Arial"/>
          <w:color w:val="000000"/>
          <w:lang w:val="en-US"/>
        </w:rPr>
        <w:t>c</w:t>
      </w:r>
      <w:r w:rsidRPr="00EF1469">
        <w:rPr>
          <w:rFonts w:eastAsia="Times New Roman" w:cs="Arial"/>
          <w:color w:val="000000"/>
        </w:rPr>
        <w:t xml:space="preserve"> </w:t>
      </w:r>
      <w:r w:rsidRPr="00EF1469">
        <w:rPr>
          <w:rFonts w:eastAsia="Times New Roman" w:cs="Arial"/>
          <w:color w:val="000000"/>
          <w:lang w:eastAsia="bg-BG"/>
        </w:rPr>
        <w:t xml:space="preserve">тип </w:t>
      </w:r>
      <w:r w:rsidRPr="00EF1469">
        <w:rPr>
          <w:rFonts w:eastAsia="Times New Roman" w:cs="Arial"/>
          <w:color w:val="000000"/>
        </w:rPr>
        <w:t xml:space="preserve">2 </w:t>
      </w:r>
      <w:r w:rsidRPr="00EF1469">
        <w:rPr>
          <w:rFonts w:eastAsia="Times New Roman" w:cs="Arial"/>
          <w:color w:val="000000"/>
          <w:lang w:eastAsia="bg-BG"/>
        </w:rPr>
        <w:t xml:space="preserve">диабет, 40-75-годишни, без предходна анамнеза за сърдечно-съдово заболяване и с </w:t>
      </w:r>
      <w:r w:rsidRPr="00EF1469">
        <w:rPr>
          <w:rFonts w:eastAsia="Times New Roman" w:cs="Arial"/>
          <w:color w:val="000000"/>
          <w:lang w:val="en-US"/>
        </w:rPr>
        <w:t>LDL</w:t>
      </w:r>
      <w:r w:rsidRPr="00EF1469">
        <w:rPr>
          <w:rFonts w:eastAsia="Times New Roman" w:cs="Arial"/>
          <w:color w:val="000000"/>
        </w:rPr>
        <w:t>-</w:t>
      </w:r>
      <w:r w:rsidRPr="00EF1469">
        <w:rPr>
          <w:rFonts w:eastAsia="Times New Roman" w:cs="Arial"/>
          <w:color w:val="000000"/>
          <w:lang w:val="en-US"/>
        </w:rPr>
        <w:t>C</w:t>
      </w:r>
      <w:r w:rsidRPr="00EF1469">
        <w:rPr>
          <w:rFonts w:eastAsia="Times New Roman" w:cs="Arial"/>
          <w:color w:val="000000"/>
        </w:rPr>
        <w:t xml:space="preserve"> </w:t>
      </w:r>
      <w:r w:rsidRPr="00EF1469">
        <w:rPr>
          <w:rFonts w:eastAsia="Times New Roman" w:cs="Arial"/>
          <w:color w:val="000000"/>
          <w:lang w:eastAsia="bg-BG"/>
        </w:rPr>
        <w:t xml:space="preserve">≤ 4,14 </w:t>
      </w:r>
      <w:proofErr w:type="spellStart"/>
      <w:r w:rsidRPr="00EF1469">
        <w:rPr>
          <w:rFonts w:eastAsia="Times New Roman" w:cs="Arial"/>
          <w:color w:val="000000"/>
          <w:lang w:val="en-US"/>
        </w:rPr>
        <w:t>mmol</w:t>
      </w:r>
      <w:proofErr w:type="spellEnd"/>
      <w:r w:rsidRPr="00EF1469">
        <w:rPr>
          <w:rFonts w:eastAsia="Times New Roman" w:cs="Arial"/>
          <w:color w:val="000000"/>
        </w:rPr>
        <w:t xml:space="preserve">/1 </w:t>
      </w:r>
      <w:r w:rsidRPr="00EF1469">
        <w:rPr>
          <w:rFonts w:eastAsia="Times New Roman" w:cs="Arial"/>
          <w:color w:val="000000"/>
          <w:lang w:eastAsia="bg-BG"/>
        </w:rPr>
        <w:t xml:space="preserve">(160 </w:t>
      </w:r>
      <w:r w:rsidRPr="00EF1469">
        <w:rPr>
          <w:rFonts w:eastAsia="Times New Roman" w:cs="Arial"/>
          <w:color w:val="000000"/>
          <w:lang w:val="en-US"/>
        </w:rPr>
        <w:t>mg</w:t>
      </w:r>
      <w:r w:rsidRPr="00EF1469">
        <w:rPr>
          <w:rFonts w:eastAsia="Times New Roman" w:cs="Arial"/>
          <w:color w:val="000000"/>
        </w:rPr>
        <w:t>/</w:t>
      </w:r>
      <w:r w:rsidRPr="00EF1469">
        <w:rPr>
          <w:rFonts w:eastAsia="Times New Roman" w:cs="Arial"/>
          <w:color w:val="000000"/>
          <w:lang w:val="en-US"/>
        </w:rPr>
        <w:t>dl</w:t>
      </w:r>
      <w:r w:rsidRPr="00EF1469">
        <w:rPr>
          <w:rFonts w:eastAsia="Times New Roman" w:cs="Arial"/>
          <w:color w:val="000000"/>
        </w:rPr>
        <w:t xml:space="preserve">) </w:t>
      </w:r>
      <w:r w:rsidRPr="00EF1469">
        <w:rPr>
          <w:rFonts w:eastAsia="Times New Roman" w:cs="Arial"/>
          <w:color w:val="000000"/>
          <w:lang w:eastAsia="bg-BG"/>
        </w:rPr>
        <w:t xml:space="preserve">и триглицериди ≤6,78 </w:t>
      </w:r>
      <w:proofErr w:type="spellStart"/>
      <w:r w:rsidRPr="00EF1469">
        <w:rPr>
          <w:rFonts w:eastAsia="Times New Roman" w:cs="Arial"/>
          <w:color w:val="000000"/>
          <w:lang w:val="en-US"/>
        </w:rPr>
        <w:t>mmol</w:t>
      </w:r>
      <w:proofErr w:type="spellEnd"/>
      <w:r w:rsidRPr="00EF1469">
        <w:rPr>
          <w:rFonts w:eastAsia="Times New Roman" w:cs="Arial"/>
          <w:color w:val="000000"/>
        </w:rPr>
        <w:t xml:space="preserve">/1 </w:t>
      </w:r>
      <w:r w:rsidRPr="00EF1469">
        <w:rPr>
          <w:rFonts w:eastAsia="Times New Roman" w:cs="Arial"/>
          <w:color w:val="000000"/>
          <w:lang w:eastAsia="bg-BG"/>
        </w:rPr>
        <w:t xml:space="preserve">(600 </w:t>
      </w:r>
      <w:r w:rsidRPr="00EF1469">
        <w:rPr>
          <w:rFonts w:eastAsia="Times New Roman" w:cs="Arial"/>
          <w:color w:val="000000"/>
          <w:lang w:val="en-US"/>
        </w:rPr>
        <w:t>mg</w:t>
      </w:r>
      <w:r w:rsidRPr="00EF1469">
        <w:rPr>
          <w:rFonts w:eastAsia="Times New Roman" w:cs="Arial"/>
          <w:color w:val="000000"/>
        </w:rPr>
        <w:t>/</w:t>
      </w:r>
      <w:r w:rsidRPr="00EF1469">
        <w:rPr>
          <w:rFonts w:eastAsia="Times New Roman" w:cs="Arial"/>
          <w:color w:val="000000"/>
          <w:lang w:val="en-US"/>
        </w:rPr>
        <w:t>dl</w:t>
      </w:r>
      <w:r w:rsidRPr="00EF1469">
        <w:rPr>
          <w:rFonts w:eastAsia="Times New Roman" w:cs="Arial"/>
          <w:color w:val="000000"/>
        </w:rPr>
        <w:t xml:space="preserve">). </w:t>
      </w:r>
      <w:r w:rsidRPr="00EF1469">
        <w:rPr>
          <w:rFonts w:eastAsia="Times New Roman" w:cs="Arial"/>
          <w:color w:val="000000"/>
          <w:lang w:eastAsia="bg-BG"/>
        </w:rPr>
        <w:t>Всички пациенти са имали поне 1 от следните рискови фактори: хипертония, настоящо пушене, ретинопатия, микроалбуминурия или макроалбуминурия.</w:t>
      </w:r>
    </w:p>
    <w:p w14:paraId="438544C4" w14:textId="77777777" w:rsidR="00EF1469" w:rsidRDefault="00EF1469" w:rsidP="00EF1469">
      <w:pPr>
        <w:spacing w:line="240" w:lineRule="auto"/>
        <w:rPr>
          <w:rFonts w:eastAsia="Times New Roman" w:cs="Arial"/>
          <w:color w:val="000000"/>
          <w:lang w:eastAsia="bg-BG"/>
        </w:rPr>
      </w:pPr>
    </w:p>
    <w:p w14:paraId="62FF65CD" w14:textId="32355832"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Пациентите са лекувани с аторвастатин 10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дневно (п=1,428) или плацебо (</w:t>
      </w:r>
      <w:r w:rsidRPr="00EF1469">
        <w:rPr>
          <w:rFonts w:eastAsia="Times New Roman" w:cs="Arial"/>
          <w:color w:val="000000"/>
          <w:lang w:val="en-US"/>
        </w:rPr>
        <w:t>n</w:t>
      </w:r>
      <w:r w:rsidRPr="00EF1469">
        <w:rPr>
          <w:rFonts w:eastAsia="Times New Roman" w:cs="Arial"/>
          <w:color w:val="000000"/>
          <w:lang w:eastAsia="bg-BG"/>
        </w:rPr>
        <w:t>=1,410)</w:t>
      </w:r>
      <w:r w:rsidRPr="00EF1469">
        <w:rPr>
          <w:rFonts w:eastAsia="Times New Roman" w:cs="Arial"/>
          <w:color w:val="000000"/>
          <w:lang w:val="ru-RU"/>
        </w:rPr>
        <w:t xml:space="preserve"> </w:t>
      </w:r>
      <w:r w:rsidRPr="00EF1469">
        <w:rPr>
          <w:rFonts w:eastAsia="Times New Roman" w:cs="Arial"/>
          <w:color w:val="000000"/>
          <w:lang w:eastAsia="bg-BG"/>
        </w:rPr>
        <w:t>при медиана на проследяване от 3,9 години.</w:t>
      </w:r>
    </w:p>
    <w:p w14:paraId="7AF1518B" w14:textId="77777777" w:rsidR="00EF1469" w:rsidRPr="00EF1469" w:rsidRDefault="00EF1469" w:rsidP="00EF1469">
      <w:pPr>
        <w:spacing w:line="240" w:lineRule="auto"/>
        <w:rPr>
          <w:rFonts w:eastAsia="Times New Roman" w:cs="Arial"/>
        </w:rPr>
      </w:pPr>
    </w:p>
    <w:p w14:paraId="3B8A796C" w14:textId="6AABDB6F" w:rsidR="00EF1469" w:rsidRDefault="00EF1469" w:rsidP="00EF1469">
      <w:pPr>
        <w:rPr>
          <w:rFonts w:eastAsia="Times New Roman" w:cs="Arial"/>
          <w:color w:val="000000"/>
          <w:lang w:eastAsia="bg-BG"/>
        </w:rPr>
      </w:pPr>
      <w:r w:rsidRPr="00EF1469">
        <w:rPr>
          <w:rFonts w:eastAsia="Times New Roman" w:cs="Arial"/>
          <w:color w:val="000000"/>
          <w:lang w:eastAsia="bg-BG"/>
        </w:rPr>
        <w:t>Ефектът на намаляване на абсолютния и относителния риск с аторвастатин е бил както следва:</w:t>
      </w:r>
    </w:p>
    <w:tbl>
      <w:tblPr>
        <w:tblStyle w:val="TableGrid"/>
        <w:tblW w:w="0" w:type="auto"/>
        <w:tblLook w:val="04A0" w:firstRow="1" w:lastRow="0" w:firstColumn="1" w:lastColumn="0" w:noHBand="0" w:noVBand="1"/>
      </w:tblPr>
      <w:tblGrid>
        <w:gridCol w:w="1920"/>
        <w:gridCol w:w="1875"/>
        <w:gridCol w:w="1894"/>
        <w:gridCol w:w="1847"/>
        <w:gridCol w:w="1814"/>
      </w:tblGrid>
      <w:tr w:rsidR="00EF1469" w14:paraId="58DCBD09" w14:textId="77777777" w:rsidTr="00EF1469">
        <w:tc>
          <w:tcPr>
            <w:tcW w:w="1920" w:type="dxa"/>
          </w:tcPr>
          <w:p w14:paraId="2EF7A3CB" w14:textId="72F8B1DC" w:rsidR="00EF1469" w:rsidRPr="00EF1469" w:rsidRDefault="00EF1469" w:rsidP="00EF1469">
            <w:pPr>
              <w:rPr>
                <w:rFonts w:cs="Arial"/>
              </w:rPr>
            </w:pPr>
            <w:r w:rsidRPr="00EF1469">
              <w:rPr>
                <w:b/>
                <w:bCs/>
              </w:rPr>
              <w:t>Инцидент</w:t>
            </w:r>
          </w:p>
        </w:tc>
        <w:tc>
          <w:tcPr>
            <w:tcW w:w="1913" w:type="dxa"/>
          </w:tcPr>
          <w:p w14:paraId="6D537B62" w14:textId="49CC3E4E" w:rsidR="00EF1469" w:rsidRPr="00EF1469" w:rsidRDefault="00EF1469" w:rsidP="00EF1469">
            <w:pPr>
              <w:rPr>
                <w:rFonts w:cs="Arial"/>
              </w:rPr>
            </w:pPr>
            <w:r w:rsidRPr="00EF1469">
              <w:rPr>
                <w:b/>
                <w:bCs/>
              </w:rPr>
              <w:t>Относително намаление на риска (%)</w:t>
            </w:r>
          </w:p>
        </w:tc>
        <w:tc>
          <w:tcPr>
            <w:tcW w:w="1915" w:type="dxa"/>
          </w:tcPr>
          <w:p w14:paraId="36B15A3C" w14:textId="3B7F1A11" w:rsidR="00EF1469" w:rsidRPr="00EF1469" w:rsidRDefault="00EF1469" w:rsidP="00EF1469">
            <w:pPr>
              <w:rPr>
                <w:rFonts w:cs="Arial"/>
              </w:rPr>
            </w:pPr>
            <w:r w:rsidRPr="00EF1469">
              <w:rPr>
                <w:b/>
                <w:bCs/>
              </w:rPr>
              <w:t>Брой на инцидентите (аторвастатин спрямо плацебо)</w:t>
            </w:r>
          </w:p>
        </w:tc>
        <w:tc>
          <w:tcPr>
            <w:tcW w:w="1914" w:type="dxa"/>
          </w:tcPr>
          <w:p w14:paraId="4CDF7E8C" w14:textId="1617CEF4" w:rsidR="00EF1469" w:rsidRPr="00EF1469" w:rsidRDefault="00EF1469" w:rsidP="00EF1469">
            <w:pPr>
              <w:rPr>
                <w:rFonts w:cs="Arial"/>
              </w:rPr>
            </w:pPr>
            <w:r w:rsidRPr="00EF1469">
              <w:rPr>
                <w:b/>
                <w:bCs/>
              </w:rPr>
              <w:t>Абсолютно намаление на риска</w:t>
            </w:r>
            <w:r w:rsidRPr="00EF1469">
              <w:rPr>
                <w:b/>
                <w:bCs/>
                <w:vertAlign w:val="superscript"/>
              </w:rPr>
              <w:t>1</w:t>
            </w:r>
            <w:r w:rsidRPr="00EF1469">
              <w:rPr>
                <w:b/>
                <w:bCs/>
              </w:rPr>
              <w:t xml:space="preserve"> (%)</w:t>
            </w:r>
          </w:p>
        </w:tc>
        <w:tc>
          <w:tcPr>
            <w:tcW w:w="1914" w:type="dxa"/>
          </w:tcPr>
          <w:p w14:paraId="35069707" w14:textId="2A6B12C6" w:rsidR="00EF1469" w:rsidRPr="00EF1469" w:rsidRDefault="00EF1469" w:rsidP="00EF1469">
            <w:pPr>
              <w:rPr>
                <w:rFonts w:cs="Arial"/>
              </w:rPr>
            </w:pPr>
            <w:r w:rsidRPr="00EF1469">
              <w:rPr>
                <w:b/>
                <w:bCs/>
              </w:rPr>
              <w:t>Стойност на р</w:t>
            </w:r>
          </w:p>
        </w:tc>
      </w:tr>
      <w:tr w:rsidR="00EF1469" w14:paraId="63B801DB" w14:textId="77777777" w:rsidTr="00EF1469">
        <w:tc>
          <w:tcPr>
            <w:tcW w:w="1920" w:type="dxa"/>
          </w:tcPr>
          <w:p w14:paraId="274CE5C7" w14:textId="68BC0F3E" w:rsidR="00EF1469" w:rsidRPr="00EF1469" w:rsidRDefault="00EF1469" w:rsidP="00EF1469">
            <w:pPr>
              <w:rPr>
                <w:rFonts w:cs="Arial"/>
              </w:rPr>
            </w:pPr>
            <w:r w:rsidRPr="00EF1469">
              <w:t>Големи сърдечно</w:t>
            </w:r>
            <w:r w:rsidRPr="00EF1469">
              <w:softHyphen/>
              <w:t xml:space="preserve">съдови инциденти (фатален и нефатален ОМИ, тих МИ, внезапна ИБС смърт, </w:t>
            </w:r>
            <w:r w:rsidRPr="00EF1469">
              <w:lastRenderedPageBreak/>
              <w:t xml:space="preserve">нестабилна стенокардия, </w:t>
            </w:r>
            <w:r w:rsidRPr="00EF1469">
              <w:rPr>
                <w:lang w:val="en-US"/>
              </w:rPr>
              <w:t>CABG</w:t>
            </w:r>
            <w:r w:rsidRPr="00EF1469">
              <w:rPr>
                <w:lang w:val="ru-RU"/>
              </w:rPr>
              <w:t xml:space="preserve">, </w:t>
            </w:r>
            <w:r w:rsidRPr="00EF1469">
              <w:t>РТСА, реваскулизация, инсулт)</w:t>
            </w:r>
          </w:p>
        </w:tc>
        <w:tc>
          <w:tcPr>
            <w:tcW w:w="1913" w:type="dxa"/>
          </w:tcPr>
          <w:p w14:paraId="4C17BF29" w14:textId="11A1AB26" w:rsidR="00EF1469" w:rsidRPr="00EF1469" w:rsidRDefault="00EF1469" w:rsidP="00EF1469">
            <w:pPr>
              <w:rPr>
                <w:rFonts w:cs="Arial"/>
              </w:rPr>
            </w:pPr>
            <w:r w:rsidRPr="00EF1469">
              <w:lastRenderedPageBreak/>
              <w:t>37%</w:t>
            </w:r>
          </w:p>
        </w:tc>
        <w:tc>
          <w:tcPr>
            <w:tcW w:w="1915" w:type="dxa"/>
          </w:tcPr>
          <w:p w14:paraId="460D66C1" w14:textId="022F7A52" w:rsidR="00EF1469" w:rsidRPr="00EF1469" w:rsidRDefault="00EF1469" w:rsidP="00EF1469">
            <w:pPr>
              <w:rPr>
                <w:rFonts w:cs="Arial"/>
              </w:rPr>
            </w:pPr>
            <w:r w:rsidRPr="00EF1469">
              <w:t>83 спрямо 127</w:t>
            </w:r>
          </w:p>
        </w:tc>
        <w:tc>
          <w:tcPr>
            <w:tcW w:w="1914" w:type="dxa"/>
          </w:tcPr>
          <w:p w14:paraId="0B2BD24F" w14:textId="72744107" w:rsidR="00EF1469" w:rsidRPr="00EF1469" w:rsidRDefault="00EF1469" w:rsidP="00EF1469">
            <w:pPr>
              <w:rPr>
                <w:rFonts w:cs="Arial"/>
              </w:rPr>
            </w:pPr>
            <w:r w:rsidRPr="00EF1469">
              <w:t>3,2%</w:t>
            </w:r>
          </w:p>
        </w:tc>
        <w:tc>
          <w:tcPr>
            <w:tcW w:w="1914" w:type="dxa"/>
          </w:tcPr>
          <w:p w14:paraId="2B2FCC29" w14:textId="70EF8DF2" w:rsidR="00EF1469" w:rsidRPr="00EF1469" w:rsidRDefault="00EF1469" w:rsidP="00EF1469">
            <w:pPr>
              <w:rPr>
                <w:rFonts w:cs="Arial"/>
              </w:rPr>
            </w:pPr>
            <w:r w:rsidRPr="00EF1469">
              <w:t>0,0010</w:t>
            </w:r>
          </w:p>
        </w:tc>
      </w:tr>
      <w:tr w:rsidR="00EF1469" w14:paraId="13493154" w14:textId="77777777" w:rsidTr="00EF1469">
        <w:tc>
          <w:tcPr>
            <w:tcW w:w="1920" w:type="dxa"/>
          </w:tcPr>
          <w:p w14:paraId="31257D1E" w14:textId="77777777" w:rsidR="00EF1469" w:rsidRPr="00EF1469" w:rsidRDefault="00EF1469" w:rsidP="00EF1469">
            <w:r w:rsidRPr="00EF1469">
              <w:t>МИ (фатален и нефатален ОМИ, тих</w:t>
            </w:r>
          </w:p>
          <w:p w14:paraId="252C1AE8" w14:textId="063DB9A6" w:rsidR="00EF1469" w:rsidRPr="00EF1469" w:rsidRDefault="00EF1469" w:rsidP="00EF1469">
            <w:pPr>
              <w:rPr>
                <w:rFonts w:cs="Arial"/>
              </w:rPr>
            </w:pPr>
            <w:r w:rsidRPr="00EF1469">
              <w:t>МИ)</w:t>
            </w:r>
          </w:p>
        </w:tc>
        <w:tc>
          <w:tcPr>
            <w:tcW w:w="1913" w:type="dxa"/>
          </w:tcPr>
          <w:p w14:paraId="281102C9" w14:textId="0907CF4E" w:rsidR="00EF1469" w:rsidRPr="00EF1469" w:rsidRDefault="00EF1469" w:rsidP="00EF1469">
            <w:pPr>
              <w:rPr>
                <w:rFonts w:cs="Arial"/>
              </w:rPr>
            </w:pPr>
            <w:r w:rsidRPr="00EF1469">
              <w:t>42%</w:t>
            </w:r>
          </w:p>
        </w:tc>
        <w:tc>
          <w:tcPr>
            <w:tcW w:w="1915" w:type="dxa"/>
          </w:tcPr>
          <w:p w14:paraId="2FA49DF4" w14:textId="0BA88715" w:rsidR="00EF1469" w:rsidRPr="00EF1469" w:rsidRDefault="00EF1469" w:rsidP="00EF1469">
            <w:pPr>
              <w:rPr>
                <w:rFonts w:cs="Arial"/>
              </w:rPr>
            </w:pPr>
            <w:r w:rsidRPr="00EF1469">
              <w:t>38 спрямо 64</w:t>
            </w:r>
          </w:p>
        </w:tc>
        <w:tc>
          <w:tcPr>
            <w:tcW w:w="1914" w:type="dxa"/>
          </w:tcPr>
          <w:p w14:paraId="594C77AD" w14:textId="5B52D664" w:rsidR="00EF1469" w:rsidRPr="00EF1469" w:rsidRDefault="00EF1469" w:rsidP="00EF1469">
            <w:pPr>
              <w:rPr>
                <w:rFonts w:cs="Arial"/>
              </w:rPr>
            </w:pPr>
            <w:r w:rsidRPr="00EF1469">
              <w:t>1,9%</w:t>
            </w:r>
          </w:p>
        </w:tc>
        <w:tc>
          <w:tcPr>
            <w:tcW w:w="1914" w:type="dxa"/>
          </w:tcPr>
          <w:p w14:paraId="6598001C" w14:textId="13F7A926" w:rsidR="00EF1469" w:rsidRPr="00EF1469" w:rsidRDefault="00EF1469" w:rsidP="00EF1469">
            <w:pPr>
              <w:rPr>
                <w:rFonts w:cs="Arial"/>
              </w:rPr>
            </w:pPr>
            <w:r w:rsidRPr="00EF1469">
              <w:t>0,0070</w:t>
            </w:r>
          </w:p>
        </w:tc>
      </w:tr>
      <w:tr w:rsidR="00EF1469" w14:paraId="69372BB3" w14:textId="77777777" w:rsidTr="00EF1469">
        <w:tc>
          <w:tcPr>
            <w:tcW w:w="1920" w:type="dxa"/>
          </w:tcPr>
          <w:p w14:paraId="79F6205B" w14:textId="1F20E316" w:rsidR="00EF1469" w:rsidRPr="00EF1469" w:rsidRDefault="00EF1469" w:rsidP="00EF1469">
            <w:pPr>
              <w:rPr>
                <w:rFonts w:cs="Arial"/>
              </w:rPr>
            </w:pPr>
            <w:r w:rsidRPr="00EF1469">
              <w:t>Инсулти (фатални и нефатални)</w:t>
            </w:r>
          </w:p>
        </w:tc>
        <w:tc>
          <w:tcPr>
            <w:tcW w:w="1913" w:type="dxa"/>
          </w:tcPr>
          <w:p w14:paraId="72442FC7" w14:textId="4BB47305" w:rsidR="00EF1469" w:rsidRPr="00EF1469" w:rsidRDefault="00EF1469" w:rsidP="00EF1469">
            <w:pPr>
              <w:rPr>
                <w:rFonts w:cs="Arial"/>
              </w:rPr>
            </w:pPr>
            <w:r w:rsidRPr="00EF1469">
              <w:t>48%</w:t>
            </w:r>
          </w:p>
        </w:tc>
        <w:tc>
          <w:tcPr>
            <w:tcW w:w="1915" w:type="dxa"/>
          </w:tcPr>
          <w:p w14:paraId="3CE9D4B6" w14:textId="64AD7136" w:rsidR="00EF1469" w:rsidRPr="00EF1469" w:rsidRDefault="00EF1469" w:rsidP="00EF1469">
            <w:pPr>
              <w:rPr>
                <w:rFonts w:cs="Arial"/>
              </w:rPr>
            </w:pPr>
            <w:r w:rsidRPr="00EF1469">
              <w:t>21 спрямо 39</w:t>
            </w:r>
          </w:p>
        </w:tc>
        <w:tc>
          <w:tcPr>
            <w:tcW w:w="1914" w:type="dxa"/>
          </w:tcPr>
          <w:p w14:paraId="719227DA" w14:textId="6CDD221F" w:rsidR="00EF1469" w:rsidRPr="00EF1469" w:rsidRDefault="00EF1469" w:rsidP="00EF1469">
            <w:pPr>
              <w:rPr>
                <w:rFonts w:cs="Arial"/>
              </w:rPr>
            </w:pPr>
            <w:r w:rsidRPr="00EF1469">
              <w:t>1,3%</w:t>
            </w:r>
          </w:p>
        </w:tc>
        <w:tc>
          <w:tcPr>
            <w:tcW w:w="1914" w:type="dxa"/>
          </w:tcPr>
          <w:p w14:paraId="0F0FB8F4" w14:textId="7A72E29D" w:rsidR="00EF1469" w:rsidRPr="00EF1469" w:rsidRDefault="00EF1469" w:rsidP="00EF1469">
            <w:pPr>
              <w:rPr>
                <w:rFonts w:cs="Arial"/>
              </w:rPr>
            </w:pPr>
            <w:r w:rsidRPr="00EF1469">
              <w:t>0,0163</w:t>
            </w:r>
          </w:p>
        </w:tc>
      </w:tr>
    </w:tbl>
    <w:p w14:paraId="21007C6A" w14:textId="2BB1813E" w:rsidR="00EF1469" w:rsidRPr="00EF1469" w:rsidRDefault="00EF1469" w:rsidP="00EF1469">
      <w:pPr>
        <w:spacing w:line="240" w:lineRule="auto"/>
        <w:rPr>
          <w:rFonts w:eastAsia="Times New Roman" w:cs="Arial"/>
        </w:rPr>
      </w:pPr>
      <w:r w:rsidRPr="00EF1469">
        <w:rPr>
          <w:rFonts w:eastAsia="Times New Roman" w:cs="Arial"/>
          <w:color w:val="000000"/>
          <w:vertAlign w:val="superscript"/>
          <w:lang w:eastAsia="bg-BG"/>
        </w:rPr>
        <w:t>1</w:t>
      </w:r>
      <w:r w:rsidRPr="00EF1469">
        <w:rPr>
          <w:rFonts w:eastAsia="Times New Roman" w:cs="Arial"/>
          <w:color w:val="000000"/>
          <w:lang w:eastAsia="bg-BG"/>
        </w:rPr>
        <w:t>Въз основа на разликата в общата честота на инцидентите, наблюдавани при средно проследяване от 3,9 години.</w:t>
      </w:r>
    </w:p>
    <w:p w14:paraId="2AB1AD60"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ОМИ-остър миокарден инфаркт; </w:t>
      </w:r>
      <w:r w:rsidRPr="00EF1469">
        <w:rPr>
          <w:rFonts w:eastAsia="Times New Roman" w:cs="Arial"/>
          <w:color w:val="000000"/>
          <w:lang w:val="en-US"/>
        </w:rPr>
        <w:t>CABG</w:t>
      </w:r>
      <w:r w:rsidRPr="00EF1469">
        <w:rPr>
          <w:rFonts w:eastAsia="Times New Roman" w:cs="Arial"/>
          <w:color w:val="000000"/>
          <w:lang w:val="ru-RU"/>
        </w:rPr>
        <w:t xml:space="preserve"> </w:t>
      </w:r>
      <w:r w:rsidRPr="00EF1469">
        <w:rPr>
          <w:rFonts w:eastAsia="Times New Roman" w:cs="Arial"/>
          <w:color w:val="000000"/>
          <w:lang w:eastAsia="bg-BG"/>
        </w:rPr>
        <w:t>- коронарен артериален байпас; ИБС - исхемична болест на сърцето; МИ-миокарден инфаркт; РТСА - перкутанна транслуминална коронарна ангиопластика,</w:t>
      </w:r>
    </w:p>
    <w:p w14:paraId="50F74E0C" w14:textId="77777777" w:rsidR="00EF1469" w:rsidRDefault="00EF1469" w:rsidP="00EF1469">
      <w:pPr>
        <w:spacing w:line="240" w:lineRule="auto"/>
        <w:rPr>
          <w:rFonts w:eastAsia="Times New Roman" w:cs="Arial"/>
          <w:color w:val="000000"/>
          <w:lang w:eastAsia="bg-BG"/>
        </w:rPr>
      </w:pPr>
    </w:p>
    <w:p w14:paraId="7D54FE8F" w14:textId="53B7E5CA"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Няма доказателство за разлика в ефекта от лечението според пола, възрастта или изходното ниво на </w:t>
      </w:r>
      <w:r w:rsidRPr="00EF1469">
        <w:rPr>
          <w:rFonts w:eastAsia="Times New Roman" w:cs="Arial"/>
          <w:color w:val="000000"/>
          <w:lang w:val="en-US"/>
        </w:rPr>
        <w:t>LDL</w:t>
      </w:r>
      <w:r w:rsidRPr="00EF1469">
        <w:rPr>
          <w:rFonts w:eastAsia="Times New Roman" w:cs="Arial"/>
          <w:color w:val="000000"/>
          <w:lang w:eastAsia="bg-BG"/>
        </w:rPr>
        <w:t>-холестерола на пациента. Благоприятна тенденция е наблюдавана по отношение на нивото на смъртност (82 смъртни случаи при плацебо групата спрямо 61 в групата на аторвастатин, р=0,0592).</w:t>
      </w:r>
    </w:p>
    <w:p w14:paraId="77C99FCC" w14:textId="77777777" w:rsidR="00EF1469" w:rsidRDefault="00EF1469" w:rsidP="00EF1469">
      <w:pPr>
        <w:spacing w:line="240" w:lineRule="auto"/>
        <w:rPr>
          <w:rFonts w:eastAsia="Times New Roman" w:cs="Arial"/>
          <w:color w:val="000000"/>
          <w:u w:val="single"/>
          <w:lang w:eastAsia="bg-BG"/>
        </w:rPr>
      </w:pPr>
    </w:p>
    <w:p w14:paraId="40B6A71D" w14:textId="3A7A1021" w:rsidR="00EF1469" w:rsidRPr="00EF1469" w:rsidRDefault="00EF1469" w:rsidP="00EF1469">
      <w:pPr>
        <w:spacing w:line="240" w:lineRule="auto"/>
        <w:rPr>
          <w:rFonts w:eastAsia="Times New Roman" w:cs="Arial"/>
        </w:rPr>
      </w:pPr>
      <w:r w:rsidRPr="00EF1469">
        <w:rPr>
          <w:rFonts w:eastAsia="Times New Roman" w:cs="Arial"/>
          <w:color w:val="000000"/>
          <w:u w:val="single"/>
          <w:lang w:eastAsia="bg-BG"/>
        </w:rPr>
        <w:t>Рецидивиращ инсулт</w:t>
      </w:r>
    </w:p>
    <w:p w14:paraId="3A35E46B"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В проучването Предотвратяване на инсулт чрез агресивно намаляване на нивата на холестерола </w:t>
      </w:r>
      <w:r w:rsidRPr="00EF1469">
        <w:rPr>
          <w:rFonts w:eastAsia="Times New Roman" w:cs="Arial"/>
          <w:color w:val="000000"/>
        </w:rPr>
        <w:t>(</w:t>
      </w:r>
      <w:r w:rsidRPr="00EF1469">
        <w:rPr>
          <w:rFonts w:eastAsia="Times New Roman" w:cs="Arial"/>
          <w:color w:val="000000"/>
          <w:lang w:val="en-US"/>
        </w:rPr>
        <w:t>Stroke</w:t>
      </w:r>
      <w:r w:rsidRPr="00EF1469">
        <w:rPr>
          <w:rFonts w:eastAsia="Times New Roman" w:cs="Arial"/>
          <w:color w:val="000000"/>
        </w:rPr>
        <w:t xml:space="preserve"> </w:t>
      </w:r>
      <w:r w:rsidRPr="00EF1469">
        <w:rPr>
          <w:rFonts w:eastAsia="Times New Roman" w:cs="Arial"/>
          <w:color w:val="000000"/>
          <w:lang w:val="en-US"/>
        </w:rPr>
        <w:t>Prevention</w:t>
      </w:r>
      <w:r w:rsidRPr="00EF1469">
        <w:rPr>
          <w:rFonts w:eastAsia="Times New Roman" w:cs="Arial"/>
          <w:color w:val="000000"/>
        </w:rPr>
        <w:t xml:space="preserve"> </w:t>
      </w:r>
      <w:r w:rsidRPr="00EF1469">
        <w:rPr>
          <w:rFonts w:eastAsia="Times New Roman" w:cs="Arial"/>
          <w:color w:val="000000"/>
          <w:lang w:val="en-US"/>
        </w:rPr>
        <w:t>by</w:t>
      </w:r>
      <w:r w:rsidRPr="00EF1469">
        <w:rPr>
          <w:rFonts w:eastAsia="Times New Roman" w:cs="Arial"/>
          <w:color w:val="000000"/>
        </w:rPr>
        <w:t xml:space="preserve"> </w:t>
      </w:r>
      <w:r w:rsidRPr="00EF1469">
        <w:rPr>
          <w:rFonts w:eastAsia="Times New Roman" w:cs="Arial"/>
          <w:color w:val="000000"/>
          <w:lang w:val="en-US"/>
        </w:rPr>
        <w:t>Aggressive</w:t>
      </w:r>
      <w:r w:rsidRPr="00EF1469">
        <w:rPr>
          <w:rFonts w:eastAsia="Times New Roman" w:cs="Arial"/>
          <w:color w:val="000000"/>
        </w:rPr>
        <w:t xml:space="preserve"> </w:t>
      </w:r>
      <w:r w:rsidRPr="00EF1469">
        <w:rPr>
          <w:rFonts w:eastAsia="Times New Roman" w:cs="Arial"/>
          <w:color w:val="000000"/>
          <w:lang w:val="en-US"/>
        </w:rPr>
        <w:t>reduction</w:t>
      </w:r>
      <w:r w:rsidRPr="00EF1469">
        <w:rPr>
          <w:rFonts w:eastAsia="Times New Roman" w:cs="Arial"/>
          <w:color w:val="000000"/>
        </w:rPr>
        <w:t xml:space="preserve"> </w:t>
      </w:r>
      <w:r w:rsidRPr="00EF1469">
        <w:rPr>
          <w:rFonts w:eastAsia="Times New Roman" w:cs="Arial"/>
          <w:color w:val="000000"/>
          <w:lang w:val="en-US"/>
        </w:rPr>
        <w:t>in</w:t>
      </w:r>
      <w:r w:rsidRPr="00EF1469">
        <w:rPr>
          <w:rFonts w:eastAsia="Times New Roman" w:cs="Arial"/>
          <w:color w:val="000000"/>
        </w:rPr>
        <w:t xml:space="preserve"> </w:t>
      </w:r>
      <w:r w:rsidRPr="00EF1469">
        <w:rPr>
          <w:rFonts w:eastAsia="Times New Roman" w:cs="Arial"/>
          <w:color w:val="000000"/>
          <w:lang w:val="en-US"/>
        </w:rPr>
        <w:t>Cholesterol</w:t>
      </w:r>
      <w:r w:rsidRPr="00EF1469">
        <w:rPr>
          <w:rFonts w:eastAsia="Times New Roman" w:cs="Arial"/>
          <w:color w:val="000000"/>
        </w:rPr>
        <w:t xml:space="preserve"> </w:t>
      </w:r>
      <w:r w:rsidRPr="00EF1469">
        <w:rPr>
          <w:rFonts w:eastAsia="Times New Roman" w:cs="Arial"/>
          <w:color w:val="000000"/>
          <w:lang w:val="en-US"/>
        </w:rPr>
        <w:t>Levels</w:t>
      </w:r>
      <w:r w:rsidRPr="00EF1469">
        <w:rPr>
          <w:rFonts w:eastAsia="Times New Roman" w:cs="Arial"/>
          <w:color w:val="000000"/>
        </w:rPr>
        <w:t xml:space="preserve"> (</w:t>
      </w:r>
      <w:r w:rsidRPr="00EF1469">
        <w:rPr>
          <w:rFonts w:eastAsia="Times New Roman" w:cs="Arial"/>
          <w:color w:val="000000"/>
          <w:lang w:val="en-US"/>
        </w:rPr>
        <w:t>SPARCL</w:t>
      </w:r>
      <w:r w:rsidRPr="00EF1469">
        <w:rPr>
          <w:rFonts w:eastAsia="Times New Roman" w:cs="Arial"/>
          <w:color w:val="000000"/>
        </w:rPr>
        <w:t xml:space="preserve">)) </w:t>
      </w:r>
      <w:r w:rsidRPr="00EF1469">
        <w:rPr>
          <w:rFonts w:eastAsia="Times New Roman" w:cs="Arial"/>
          <w:color w:val="000000"/>
          <w:lang w:eastAsia="bg-BG"/>
        </w:rPr>
        <w:t xml:space="preserve">е оценен ефектът на аторвастатин 80 </w:t>
      </w:r>
      <w:r w:rsidRPr="00EF1469">
        <w:rPr>
          <w:rFonts w:eastAsia="Times New Roman" w:cs="Arial"/>
          <w:color w:val="000000"/>
          <w:lang w:val="en-US"/>
        </w:rPr>
        <w:t>mg</w:t>
      </w:r>
      <w:r w:rsidRPr="00EF1469">
        <w:rPr>
          <w:rFonts w:eastAsia="Times New Roman" w:cs="Arial"/>
          <w:color w:val="000000"/>
        </w:rPr>
        <w:t xml:space="preserve"> </w:t>
      </w:r>
      <w:r w:rsidRPr="00EF1469">
        <w:rPr>
          <w:rFonts w:eastAsia="Times New Roman" w:cs="Arial"/>
          <w:color w:val="000000"/>
          <w:lang w:eastAsia="bg-BG"/>
        </w:rPr>
        <w:t xml:space="preserve">дневно или плацебо по отношение появата на инсулт при 4731 пациенти с инсулт или преходна исхемична атака </w:t>
      </w:r>
      <w:r w:rsidRPr="00EF1469">
        <w:rPr>
          <w:rFonts w:eastAsia="Times New Roman" w:cs="Arial"/>
          <w:color w:val="000000"/>
        </w:rPr>
        <w:t>(</w:t>
      </w:r>
      <w:r w:rsidRPr="00EF1469">
        <w:rPr>
          <w:rFonts w:eastAsia="Times New Roman" w:cs="Arial"/>
          <w:color w:val="000000"/>
          <w:lang w:val="en-US"/>
        </w:rPr>
        <w:t>TIA</w:t>
      </w:r>
      <w:r w:rsidRPr="00EF1469">
        <w:rPr>
          <w:rFonts w:eastAsia="Times New Roman" w:cs="Arial"/>
          <w:color w:val="000000"/>
        </w:rPr>
        <w:t xml:space="preserve">) </w:t>
      </w:r>
      <w:r w:rsidRPr="00EF1469">
        <w:rPr>
          <w:rFonts w:eastAsia="Times New Roman" w:cs="Arial"/>
          <w:color w:val="000000"/>
          <w:lang w:eastAsia="bg-BG"/>
        </w:rPr>
        <w:t xml:space="preserve">в рамките на предходните 6 месеца и без анамнеза за ИБС. Пациентите са 60% мъже, 21-92 години (средна възраст 63 години) и изходно ниво на </w:t>
      </w:r>
      <w:r w:rsidRPr="00EF1469">
        <w:rPr>
          <w:rFonts w:eastAsia="Times New Roman" w:cs="Arial"/>
          <w:color w:val="000000"/>
          <w:lang w:val="en-US"/>
        </w:rPr>
        <w:t>LDL</w:t>
      </w:r>
      <w:r w:rsidRPr="00EF1469">
        <w:rPr>
          <w:rFonts w:eastAsia="Times New Roman" w:cs="Arial"/>
          <w:color w:val="000000"/>
          <w:lang w:val="ru-RU"/>
        </w:rPr>
        <w:t xml:space="preserve"> </w:t>
      </w:r>
      <w:r w:rsidRPr="00EF1469">
        <w:rPr>
          <w:rFonts w:eastAsia="Times New Roman" w:cs="Arial"/>
          <w:color w:val="000000"/>
          <w:lang w:eastAsia="bg-BG"/>
        </w:rPr>
        <w:t xml:space="preserve">средно 133 </w:t>
      </w:r>
      <w:r w:rsidRPr="00EF1469">
        <w:rPr>
          <w:rFonts w:eastAsia="Times New Roman" w:cs="Arial"/>
          <w:color w:val="000000"/>
          <w:lang w:val="en-US"/>
        </w:rPr>
        <w:t>mg</w:t>
      </w:r>
      <w:r w:rsidRPr="00EF1469">
        <w:rPr>
          <w:rFonts w:eastAsia="Times New Roman" w:cs="Arial"/>
          <w:color w:val="000000"/>
          <w:lang w:val="ru-RU"/>
        </w:rPr>
        <w:t>/</w:t>
      </w:r>
      <w:r w:rsidRPr="00EF1469">
        <w:rPr>
          <w:rFonts w:eastAsia="Times New Roman" w:cs="Arial"/>
          <w:color w:val="000000"/>
          <w:lang w:val="en-US"/>
        </w:rPr>
        <w:t>dl</w:t>
      </w:r>
      <w:r w:rsidRPr="00EF1469">
        <w:rPr>
          <w:rFonts w:eastAsia="Times New Roman" w:cs="Arial"/>
          <w:color w:val="000000"/>
          <w:lang w:val="ru-RU"/>
        </w:rPr>
        <w:t xml:space="preserve"> </w:t>
      </w:r>
      <w:r w:rsidRPr="00EF1469">
        <w:rPr>
          <w:rFonts w:eastAsia="Times New Roman" w:cs="Arial"/>
          <w:color w:val="000000"/>
          <w:lang w:eastAsia="bg-BG"/>
        </w:rPr>
        <w:t xml:space="preserve">(3,4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 xml:space="preserve">/1). </w:t>
      </w:r>
      <w:r w:rsidRPr="00EF1469">
        <w:rPr>
          <w:rFonts w:eastAsia="Times New Roman" w:cs="Arial"/>
          <w:color w:val="000000"/>
          <w:lang w:eastAsia="bg-BG"/>
        </w:rPr>
        <w:t xml:space="preserve">Средната стойност на </w:t>
      </w:r>
      <w:r w:rsidRPr="00EF1469">
        <w:rPr>
          <w:rFonts w:eastAsia="Times New Roman" w:cs="Arial"/>
          <w:color w:val="000000"/>
          <w:lang w:val="en-US"/>
        </w:rPr>
        <w:t>LDL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 xml:space="preserve">е била 73 </w:t>
      </w:r>
      <w:r w:rsidRPr="00EF1469">
        <w:rPr>
          <w:rFonts w:eastAsia="Times New Roman" w:cs="Arial"/>
          <w:color w:val="000000"/>
          <w:lang w:val="en-US"/>
        </w:rPr>
        <w:t>mg</w:t>
      </w:r>
      <w:r w:rsidRPr="00EF1469">
        <w:rPr>
          <w:rFonts w:eastAsia="Times New Roman" w:cs="Arial"/>
          <w:color w:val="000000"/>
          <w:lang w:val="ru-RU"/>
        </w:rPr>
        <w:t>/</w:t>
      </w:r>
      <w:r w:rsidRPr="00EF1469">
        <w:rPr>
          <w:rFonts w:eastAsia="Times New Roman" w:cs="Arial"/>
          <w:color w:val="000000"/>
          <w:lang w:val="en-US"/>
        </w:rPr>
        <w:t>dl</w:t>
      </w:r>
      <w:r w:rsidRPr="00EF1469">
        <w:rPr>
          <w:rFonts w:eastAsia="Times New Roman" w:cs="Arial"/>
          <w:color w:val="000000"/>
          <w:lang w:val="ru-RU"/>
        </w:rPr>
        <w:t xml:space="preserve"> </w:t>
      </w:r>
      <w:r w:rsidRPr="00EF1469">
        <w:rPr>
          <w:rFonts w:eastAsia="Times New Roman" w:cs="Arial"/>
          <w:color w:val="000000"/>
          <w:lang w:eastAsia="bg-BG"/>
        </w:rPr>
        <w:t xml:space="preserve">(1,9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 xml:space="preserve">/1) </w:t>
      </w:r>
      <w:r w:rsidRPr="00EF1469">
        <w:rPr>
          <w:rFonts w:eastAsia="Times New Roman" w:cs="Arial"/>
          <w:color w:val="000000"/>
          <w:lang w:eastAsia="bg-BG"/>
        </w:rPr>
        <w:t xml:space="preserve">по време на лечението с аторвастатин и 129 </w:t>
      </w:r>
      <w:r w:rsidRPr="00EF1469">
        <w:rPr>
          <w:rFonts w:eastAsia="Times New Roman" w:cs="Arial"/>
          <w:color w:val="000000"/>
          <w:lang w:val="en-US"/>
        </w:rPr>
        <w:t>mg</w:t>
      </w:r>
      <w:r w:rsidRPr="00EF1469">
        <w:rPr>
          <w:rFonts w:eastAsia="Times New Roman" w:cs="Arial"/>
          <w:color w:val="000000"/>
          <w:lang w:val="ru-RU"/>
        </w:rPr>
        <w:t>/</w:t>
      </w:r>
      <w:r w:rsidRPr="00EF1469">
        <w:rPr>
          <w:rFonts w:eastAsia="Times New Roman" w:cs="Arial"/>
          <w:color w:val="000000"/>
          <w:lang w:val="en-US"/>
        </w:rPr>
        <w:t>dl</w:t>
      </w:r>
      <w:r w:rsidRPr="00EF1469">
        <w:rPr>
          <w:rFonts w:eastAsia="Times New Roman" w:cs="Arial"/>
          <w:color w:val="000000"/>
          <w:lang w:val="ru-RU"/>
        </w:rPr>
        <w:t xml:space="preserve"> </w:t>
      </w:r>
      <w:r w:rsidRPr="00EF1469">
        <w:rPr>
          <w:rFonts w:eastAsia="Times New Roman" w:cs="Arial"/>
          <w:color w:val="000000"/>
          <w:lang w:eastAsia="bg-BG"/>
        </w:rPr>
        <w:t xml:space="preserve">(3,3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 xml:space="preserve">/1) </w:t>
      </w:r>
      <w:r w:rsidRPr="00EF1469">
        <w:rPr>
          <w:rFonts w:eastAsia="Times New Roman" w:cs="Arial"/>
          <w:color w:val="000000"/>
          <w:lang w:eastAsia="bg-BG"/>
        </w:rPr>
        <w:t>по време на лечението с плацебо. Медианата на проследяване е 4,9 години.</w:t>
      </w:r>
    </w:p>
    <w:p w14:paraId="76EB569B" w14:textId="77777777" w:rsidR="00EF1469" w:rsidRDefault="00EF1469" w:rsidP="00EF1469">
      <w:pPr>
        <w:spacing w:line="240" w:lineRule="auto"/>
        <w:rPr>
          <w:rFonts w:eastAsia="Times New Roman" w:cs="Arial"/>
          <w:color w:val="000000"/>
          <w:lang w:eastAsia="bg-BG"/>
        </w:rPr>
      </w:pPr>
    </w:p>
    <w:p w14:paraId="4088B164" w14:textId="0D043ED6"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Аторвастатин 80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 xml:space="preserve">е намалил риска от първичната крайна точка фатален и нефатален инсулт с 15% </w:t>
      </w:r>
      <w:r w:rsidRPr="00EF1469">
        <w:rPr>
          <w:rFonts w:eastAsia="Times New Roman" w:cs="Arial"/>
          <w:color w:val="000000"/>
          <w:lang w:val="ru-RU"/>
        </w:rPr>
        <w:t>(</w:t>
      </w:r>
      <w:r w:rsidRPr="00EF1469">
        <w:rPr>
          <w:rFonts w:eastAsia="Times New Roman" w:cs="Arial"/>
          <w:color w:val="000000"/>
          <w:lang w:val="en-US"/>
        </w:rPr>
        <w:t>HR</w:t>
      </w:r>
      <w:r w:rsidRPr="00EF1469">
        <w:rPr>
          <w:rFonts w:eastAsia="Times New Roman" w:cs="Arial"/>
          <w:color w:val="000000"/>
          <w:lang w:val="ru-RU"/>
        </w:rPr>
        <w:t xml:space="preserve"> </w:t>
      </w:r>
      <w:r w:rsidRPr="00EF1469">
        <w:rPr>
          <w:rFonts w:eastAsia="Times New Roman" w:cs="Arial"/>
          <w:color w:val="000000"/>
          <w:lang w:eastAsia="bg-BG"/>
        </w:rPr>
        <w:t xml:space="preserve">0,85; 95% </w:t>
      </w:r>
      <w:r w:rsidRPr="00EF1469">
        <w:rPr>
          <w:rFonts w:eastAsia="Times New Roman" w:cs="Arial"/>
          <w:color w:val="000000"/>
          <w:lang w:val="en-US"/>
        </w:rPr>
        <w:t>CI</w:t>
      </w:r>
      <w:r w:rsidRPr="00EF1469">
        <w:rPr>
          <w:rFonts w:eastAsia="Times New Roman" w:cs="Arial"/>
          <w:color w:val="000000"/>
          <w:lang w:val="ru-RU"/>
        </w:rPr>
        <w:t xml:space="preserve">, </w:t>
      </w:r>
      <w:r w:rsidRPr="00EF1469">
        <w:rPr>
          <w:rFonts w:eastAsia="Times New Roman" w:cs="Arial"/>
          <w:color w:val="000000"/>
          <w:lang w:eastAsia="bg-BG"/>
        </w:rPr>
        <w:t xml:space="preserve">0,72-1,00, Р=0,05 или 0,84; 95% </w:t>
      </w:r>
      <w:r w:rsidRPr="00EF1469">
        <w:rPr>
          <w:rFonts w:eastAsia="Times New Roman" w:cs="Arial"/>
          <w:color w:val="000000"/>
          <w:lang w:val="en-US"/>
        </w:rPr>
        <w:t>CI</w:t>
      </w:r>
      <w:r w:rsidRPr="00EF1469">
        <w:rPr>
          <w:rFonts w:eastAsia="Times New Roman" w:cs="Arial"/>
          <w:color w:val="000000"/>
          <w:lang w:val="ru-RU"/>
        </w:rPr>
        <w:t xml:space="preserve">, </w:t>
      </w:r>
      <w:r w:rsidRPr="00EF1469">
        <w:rPr>
          <w:rFonts w:eastAsia="Times New Roman" w:cs="Arial"/>
          <w:color w:val="000000"/>
          <w:lang w:eastAsia="bg-BG"/>
        </w:rPr>
        <w:t>0,71-0,99; р=0,03 след адаптиране на изходните характеристики) в сравнение с палцебо. Общата смъртност е 9,1% (216/2365) при аторвастатин спрямо 8,9% (211/2366) при плацебо.</w:t>
      </w:r>
    </w:p>
    <w:p w14:paraId="1BB1D360" w14:textId="77777777" w:rsidR="00EF1469" w:rsidRDefault="00EF1469" w:rsidP="00EF1469">
      <w:pPr>
        <w:spacing w:line="240" w:lineRule="auto"/>
        <w:rPr>
          <w:rFonts w:eastAsia="Times New Roman" w:cs="Arial"/>
          <w:color w:val="000000"/>
          <w:lang w:eastAsia="bg-BG"/>
        </w:rPr>
      </w:pPr>
    </w:p>
    <w:p w14:paraId="570A1EF8" w14:textId="3D66615C"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В </w:t>
      </w:r>
      <w:r w:rsidRPr="00EF1469">
        <w:rPr>
          <w:rFonts w:eastAsia="Times New Roman" w:cs="Arial"/>
          <w:color w:val="000000"/>
          <w:lang w:val="en-US"/>
        </w:rPr>
        <w:t>post</w:t>
      </w:r>
      <w:r w:rsidRPr="00EF1469">
        <w:rPr>
          <w:rFonts w:eastAsia="Times New Roman" w:cs="Arial"/>
          <w:color w:val="000000"/>
          <w:lang w:val="ru-RU"/>
        </w:rPr>
        <w:t>-</w:t>
      </w:r>
      <w:r w:rsidRPr="00EF1469">
        <w:rPr>
          <w:rFonts w:eastAsia="Times New Roman" w:cs="Arial"/>
          <w:color w:val="000000"/>
          <w:lang w:val="en-US"/>
        </w:rPr>
        <w:t>hoc</w:t>
      </w:r>
      <w:r w:rsidRPr="00EF1469">
        <w:rPr>
          <w:rFonts w:eastAsia="Times New Roman" w:cs="Arial"/>
          <w:color w:val="000000"/>
          <w:lang w:val="ru-RU"/>
        </w:rPr>
        <w:t xml:space="preserve"> </w:t>
      </w:r>
      <w:r w:rsidRPr="00EF1469">
        <w:rPr>
          <w:rFonts w:eastAsia="Times New Roman" w:cs="Arial"/>
          <w:color w:val="000000"/>
          <w:lang w:eastAsia="bg-BG"/>
        </w:rPr>
        <w:t xml:space="preserve">анализ аторвастатин 80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е намалили честотата на исхемичен инсулт (218/2365, 9,2% спрямо 274/2366, 11,6%, р=0,01) и е повишил честотата на хеморагичен инсулт (55/2365, 2,3% спрямо 33/2366, 1,4%, р=0,02) в сравнение с плацебо.</w:t>
      </w:r>
    </w:p>
    <w:p w14:paraId="5347C942" w14:textId="77777777" w:rsidR="00EF1469" w:rsidRPr="00EF1469" w:rsidRDefault="00EF1469" w:rsidP="00EF1469">
      <w:pPr>
        <w:pStyle w:val="ListParagraph"/>
        <w:numPr>
          <w:ilvl w:val="0"/>
          <w:numId w:val="37"/>
        </w:numPr>
        <w:spacing w:line="240" w:lineRule="auto"/>
        <w:rPr>
          <w:rFonts w:eastAsia="Times New Roman" w:cs="Arial"/>
        </w:rPr>
      </w:pPr>
      <w:r w:rsidRPr="00EF1469">
        <w:rPr>
          <w:rFonts w:eastAsia="Times New Roman" w:cs="Arial"/>
          <w:color w:val="000000"/>
          <w:lang w:eastAsia="bg-BG"/>
        </w:rPr>
        <w:t xml:space="preserve">Рискът от хеморагичен инсулт е повишен при пациентите, които са с предшестващ хеморагичен инсулт при включване в проучването (7/45 при аторвастатин спрямо 2/48 при палцебо; </w:t>
      </w:r>
      <w:r w:rsidRPr="00EF1469">
        <w:rPr>
          <w:rFonts w:eastAsia="Times New Roman" w:cs="Arial"/>
          <w:color w:val="000000"/>
          <w:lang w:val="en-US"/>
        </w:rPr>
        <w:t>HR</w:t>
      </w:r>
      <w:r w:rsidRPr="00EF1469">
        <w:rPr>
          <w:rFonts w:eastAsia="Times New Roman" w:cs="Arial"/>
          <w:color w:val="000000"/>
          <w:lang w:val="ru-RU"/>
        </w:rPr>
        <w:t xml:space="preserve"> </w:t>
      </w:r>
      <w:r w:rsidRPr="00EF1469">
        <w:rPr>
          <w:rFonts w:eastAsia="Times New Roman" w:cs="Arial"/>
          <w:color w:val="000000"/>
          <w:lang w:eastAsia="bg-BG"/>
        </w:rPr>
        <w:t xml:space="preserve">4,06; </w:t>
      </w:r>
      <w:r w:rsidRPr="00EF1469">
        <w:rPr>
          <w:rFonts w:eastAsia="Times New Roman" w:cs="Arial"/>
          <w:color w:val="000000"/>
          <w:lang w:val="en-US"/>
        </w:rPr>
        <w:t>CI</w:t>
      </w:r>
      <w:r w:rsidRPr="00EF1469">
        <w:rPr>
          <w:rFonts w:eastAsia="Times New Roman" w:cs="Arial"/>
          <w:color w:val="000000"/>
          <w:lang w:val="ru-RU"/>
        </w:rPr>
        <w:t xml:space="preserve"> </w:t>
      </w:r>
      <w:r w:rsidRPr="00EF1469">
        <w:rPr>
          <w:rFonts w:eastAsia="Times New Roman" w:cs="Arial"/>
          <w:color w:val="000000"/>
          <w:lang w:eastAsia="bg-BG"/>
        </w:rPr>
        <w:t xml:space="preserve">0,84-19,57) и рискът от исхемичен инсулт е сходен в двете групи (3/45 при аторвастатин спрямо 2/48 при плацебо; </w:t>
      </w:r>
      <w:r w:rsidRPr="00EF1469">
        <w:rPr>
          <w:rFonts w:eastAsia="Times New Roman" w:cs="Arial"/>
          <w:color w:val="000000"/>
          <w:lang w:val="en-US"/>
        </w:rPr>
        <w:t>HR</w:t>
      </w:r>
      <w:r w:rsidRPr="00EF1469">
        <w:rPr>
          <w:rFonts w:eastAsia="Times New Roman" w:cs="Arial"/>
          <w:color w:val="000000"/>
          <w:lang w:val="ru-RU"/>
        </w:rPr>
        <w:t xml:space="preserve"> </w:t>
      </w:r>
      <w:r w:rsidRPr="00EF1469">
        <w:rPr>
          <w:rFonts w:eastAsia="Times New Roman" w:cs="Arial"/>
          <w:color w:val="000000"/>
          <w:lang w:eastAsia="bg-BG"/>
        </w:rPr>
        <w:t xml:space="preserve">1,64; 95% </w:t>
      </w:r>
      <w:r w:rsidRPr="00EF1469">
        <w:rPr>
          <w:rFonts w:eastAsia="Times New Roman" w:cs="Arial"/>
          <w:color w:val="000000"/>
          <w:lang w:val="en-US"/>
        </w:rPr>
        <w:t>CI</w:t>
      </w:r>
      <w:r w:rsidRPr="00EF1469">
        <w:rPr>
          <w:rFonts w:eastAsia="Times New Roman" w:cs="Arial"/>
          <w:color w:val="000000"/>
          <w:lang w:val="ru-RU"/>
        </w:rPr>
        <w:t>, 0,27-9,82)</w:t>
      </w:r>
    </w:p>
    <w:p w14:paraId="5AC8B035" w14:textId="3800EBA8" w:rsidR="00EF1469" w:rsidRPr="00EF1469" w:rsidRDefault="00EF1469" w:rsidP="00EF1469">
      <w:pPr>
        <w:pStyle w:val="ListParagraph"/>
        <w:numPr>
          <w:ilvl w:val="0"/>
          <w:numId w:val="37"/>
        </w:numPr>
        <w:spacing w:line="240" w:lineRule="auto"/>
        <w:rPr>
          <w:rFonts w:eastAsia="Times New Roman" w:cs="Arial"/>
        </w:rPr>
      </w:pPr>
      <w:r w:rsidRPr="00EF1469">
        <w:rPr>
          <w:rFonts w:eastAsia="Times New Roman" w:cs="Arial"/>
          <w:color w:val="000000"/>
          <w:lang w:eastAsia="bg-BG"/>
        </w:rPr>
        <w:t>Рискът от хеморагичен инсулт е повишен при пациенти, които са</w:t>
      </w:r>
      <w:r w:rsidRPr="00EF1469">
        <w:rPr>
          <w:rFonts w:eastAsia="Times New Roman" w:cs="Arial"/>
          <w:color w:val="000000"/>
          <w:lang w:val="ru-RU"/>
        </w:rPr>
        <w:t xml:space="preserve"> </w:t>
      </w:r>
      <w:r w:rsidRPr="00EF1469">
        <w:rPr>
          <w:rFonts w:eastAsia="Times New Roman" w:cs="Arial"/>
          <w:color w:val="000000"/>
          <w:lang w:eastAsia="bg-BG"/>
        </w:rPr>
        <w:t xml:space="preserve">предшестващ лакунарен инфаркт при включване в проучването (20/708 при аторвастатин спрямо 4/701 при плацебо; </w:t>
      </w:r>
      <w:r w:rsidRPr="00EF1469">
        <w:rPr>
          <w:rFonts w:eastAsia="Times New Roman" w:cs="Arial"/>
          <w:color w:val="000000"/>
          <w:lang w:val="en-US"/>
        </w:rPr>
        <w:t>HR</w:t>
      </w:r>
      <w:r w:rsidRPr="00EF1469">
        <w:rPr>
          <w:rFonts w:eastAsia="Times New Roman" w:cs="Arial"/>
          <w:color w:val="000000"/>
          <w:lang w:val="ru-RU"/>
        </w:rPr>
        <w:t xml:space="preserve"> </w:t>
      </w:r>
      <w:r w:rsidRPr="00EF1469">
        <w:rPr>
          <w:rFonts w:eastAsia="Times New Roman" w:cs="Arial"/>
          <w:color w:val="000000"/>
          <w:lang w:eastAsia="bg-BG"/>
        </w:rPr>
        <w:t xml:space="preserve">4,99; 95% </w:t>
      </w:r>
      <w:r w:rsidRPr="00EF1469">
        <w:rPr>
          <w:rFonts w:eastAsia="Times New Roman" w:cs="Arial"/>
          <w:color w:val="000000"/>
          <w:lang w:val="en-US"/>
        </w:rPr>
        <w:t>CI</w:t>
      </w:r>
      <w:r w:rsidRPr="00EF1469">
        <w:rPr>
          <w:rFonts w:eastAsia="Times New Roman" w:cs="Arial"/>
          <w:color w:val="000000"/>
          <w:lang w:val="ru-RU"/>
        </w:rPr>
        <w:t xml:space="preserve">, </w:t>
      </w:r>
      <w:r w:rsidRPr="00EF1469">
        <w:rPr>
          <w:rFonts w:eastAsia="Times New Roman" w:cs="Arial"/>
          <w:color w:val="000000"/>
          <w:lang w:eastAsia="bg-BG"/>
        </w:rPr>
        <w:t xml:space="preserve">1,71-14,6), но рискът от исхемичен инсулт при </w:t>
      </w:r>
      <w:r w:rsidRPr="00EF1469">
        <w:rPr>
          <w:rFonts w:eastAsia="Times New Roman" w:cs="Arial"/>
          <w:color w:val="000000"/>
          <w:lang w:eastAsia="bg-BG"/>
        </w:rPr>
        <w:lastRenderedPageBreak/>
        <w:t>тези</w:t>
      </w:r>
      <w:r>
        <w:rPr>
          <w:rFonts w:eastAsia="Times New Roman" w:cs="Arial"/>
          <w:color w:val="000000"/>
          <w:lang w:eastAsia="bg-BG"/>
        </w:rPr>
        <w:t xml:space="preserve"> </w:t>
      </w:r>
      <w:r w:rsidRPr="00EF1469">
        <w:rPr>
          <w:rFonts w:eastAsia="Times New Roman" w:cs="Arial"/>
          <w:color w:val="000000"/>
          <w:lang w:eastAsia="bg-BG"/>
        </w:rPr>
        <w:t xml:space="preserve">пациенти също е намалял (79/708 при аторвастатин спрямо 102/701 при плацебо; </w:t>
      </w:r>
      <w:r w:rsidRPr="00EF1469">
        <w:rPr>
          <w:rFonts w:eastAsia="Times New Roman" w:cs="Arial"/>
          <w:color w:val="000000"/>
          <w:lang w:val="en-US"/>
        </w:rPr>
        <w:t>HR</w:t>
      </w:r>
      <w:r w:rsidRPr="00EF1469">
        <w:rPr>
          <w:rFonts w:eastAsia="Times New Roman" w:cs="Arial"/>
          <w:color w:val="000000"/>
          <w:lang w:val="ru-RU"/>
        </w:rPr>
        <w:t xml:space="preserve"> </w:t>
      </w:r>
      <w:r w:rsidRPr="00EF1469">
        <w:rPr>
          <w:rFonts w:eastAsia="Times New Roman" w:cs="Arial"/>
          <w:color w:val="000000"/>
          <w:lang w:eastAsia="bg-BG"/>
        </w:rPr>
        <w:t xml:space="preserve">0,76; 95% </w:t>
      </w:r>
      <w:r w:rsidRPr="00EF1469">
        <w:rPr>
          <w:rFonts w:eastAsia="Times New Roman" w:cs="Arial"/>
          <w:color w:val="000000"/>
          <w:lang w:val="en-US"/>
        </w:rPr>
        <w:t>CI</w:t>
      </w:r>
      <w:r w:rsidRPr="00EF1469">
        <w:rPr>
          <w:rFonts w:eastAsia="Times New Roman" w:cs="Arial"/>
          <w:color w:val="000000"/>
          <w:lang w:val="ru-RU"/>
        </w:rPr>
        <w:t xml:space="preserve">, </w:t>
      </w:r>
      <w:r w:rsidRPr="00EF1469">
        <w:rPr>
          <w:rFonts w:eastAsia="Times New Roman" w:cs="Arial"/>
          <w:color w:val="000000"/>
          <w:lang w:eastAsia="bg-BG"/>
        </w:rPr>
        <w:t xml:space="preserve">0,57-1,02). Възможно е крайният риск от инсулт да е повишен при пациентите с преходен лакунарен инфаркт, които получават аторвастатин 80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на ден.</w:t>
      </w:r>
    </w:p>
    <w:p w14:paraId="14B5D4BE" w14:textId="77777777" w:rsidR="00EF1469" w:rsidRDefault="00EF1469" w:rsidP="00EF1469">
      <w:pPr>
        <w:spacing w:line="240" w:lineRule="auto"/>
        <w:rPr>
          <w:rFonts w:eastAsia="Times New Roman" w:cs="Arial"/>
          <w:color w:val="000000"/>
          <w:lang w:eastAsia="bg-BG"/>
        </w:rPr>
      </w:pPr>
    </w:p>
    <w:p w14:paraId="601CC668" w14:textId="165D4F3F" w:rsidR="00EF1469" w:rsidRPr="00EF1469" w:rsidRDefault="00EF1469" w:rsidP="00EF1469">
      <w:pPr>
        <w:spacing w:line="240" w:lineRule="auto"/>
        <w:rPr>
          <w:rFonts w:eastAsia="Times New Roman" w:cs="Arial"/>
        </w:rPr>
      </w:pPr>
      <w:r w:rsidRPr="00EF1469">
        <w:rPr>
          <w:rFonts w:eastAsia="Times New Roman" w:cs="Arial"/>
          <w:color w:val="000000"/>
          <w:lang w:eastAsia="bg-BG"/>
        </w:rPr>
        <w:t>Общата смъртност е 15,6% (7/45) при лечение с аторвастатин спрямо 10,4% (5/48) при прилагане на плацебо в подгрупата пациенти с предходен хеморагичен инсулт. Общата смъртност е 10,9% (77/708) при аторвастатин спрямо 9,1% (64/701) при плацебо в подгрупата пациенти с предходен лакунарен инфаркт.</w:t>
      </w:r>
    </w:p>
    <w:p w14:paraId="1C0B5AED" w14:textId="77777777" w:rsidR="00EF1469" w:rsidRDefault="00EF1469" w:rsidP="00EF1469">
      <w:pPr>
        <w:spacing w:line="240" w:lineRule="auto"/>
        <w:rPr>
          <w:rFonts w:eastAsia="Times New Roman" w:cs="Arial"/>
          <w:color w:val="000000"/>
          <w:u w:val="single"/>
          <w:lang w:eastAsia="bg-BG"/>
        </w:rPr>
      </w:pPr>
    </w:p>
    <w:p w14:paraId="4AF465DD" w14:textId="2C177C61" w:rsidR="00EF1469" w:rsidRPr="00EF1469" w:rsidRDefault="00EF1469" w:rsidP="00EF1469">
      <w:pPr>
        <w:spacing w:line="240" w:lineRule="auto"/>
        <w:rPr>
          <w:rFonts w:eastAsia="Times New Roman" w:cs="Arial"/>
        </w:rPr>
      </w:pPr>
      <w:r w:rsidRPr="00EF1469">
        <w:rPr>
          <w:rFonts w:eastAsia="Times New Roman" w:cs="Arial"/>
          <w:color w:val="000000"/>
          <w:u w:val="single"/>
          <w:lang w:eastAsia="bg-BG"/>
        </w:rPr>
        <w:t>Педиатрична популация</w:t>
      </w:r>
    </w:p>
    <w:p w14:paraId="2FBF42FD" w14:textId="77777777" w:rsidR="00EF1469" w:rsidRDefault="00EF1469" w:rsidP="00EF1469">
      <w:pPr>
        <w:spacing w:line="240" w:lineRule="auto"/>
        <w:rPr>
          <w:rFonts w:eastAsia="Times New Roman" w:cs="Arial"/>
          <w:i/>
          <w:iCs/>
          <w:color w:val="000000"/>
          <w:u w:val="single"/>
          <w:lang w:eastAsia="bg-BG"/>
        </w:rPr>
      </w:pPr>
    </w:p>
    <w:p w14:paraId="1CF4A036" w14:textId="7AABE6B9" w:rsidR="00EF1469" w:rsidRPr="00EF1469" w:rsidRDefault="00EF1469" w:rsidP="00EF1469">
      <w:pPr>
        <w:spacing w:line="240" w:lineRule="auto"/>
        <w:rPr>
          <w:rFonts w:eastAsia="Times New Roman" w:cs="Arial"/>
        </w:rPr>
      </w:pPr>
      <w:r w:rsidRPr="00EF1469">
        <w:rPr>
          <w:rFonts w:eastAsia="Times New Roman" w:cs="Arial"/>
          <w:i/>
          <w:iCs/>
          <w:color w:val="000000"/>
          <w:u w:val="single"/>
          <w:lang w:eastAsia="bg-BG"/>
        </w:rPr>
        <w:t>Хетерозиготна фамилна хиперхолестеролемия при педиатрични пациенти на възраст 6-17 години</w:t>
      </w:r>
    </w:p>
    <w:p w14:paraId="74D8BBC3" w14:textId="77777777" w:rsidR="00EF1469" w:rsidRDefault="00EF1469" w:rsidP="00EF1469">
      <w:pPr>
        <w:spacing w:line="240" w:lineRule="auto"/>
        <w:rPr>
          <w:rFonts w:eastAsia="Times New Roman" w:cs="Arial"/>
          <w:color w:val="000000"/>
          <w:lang w:eastAsia="bg-BG"/>
        </w:rPr>
      </w:pPr>
    </w:p>
    <w:p w14:paraId="6FB2F1AF" w14:textId="5779C072"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Проведено е 8-седмично отворено проучване за оценка на фармакокинетиката, фармакодинамиката, безопасността и поносимостта на аторвастатин при деца и подрастващи с генетично доказана хетерозиготна фамилна хиперхолестеролемия и базови стойности на </w:t>
      </w:r>
      <w:r w:rsidRPr="00EF1469">
        <w:rPr>
          <w:rFonts w:eastAsia="Times New Roman" w:cs="Arial"/>
          <w:color w:val="000000"/>
          <w:lang w:val="en-US"/>
        </w:rPr>
        <w:t>LDL</w:t>
      </w:r>
      <w:r w:rsidRPr="00EF1469">
        <w:rPr>
          <w:rFonts w:eastAsia="Times New Roman" w:cs="Arial"/>
          <w:color w:val="000000"/>
          <w:lang w:val="ru-RU"/>
        </w:rPr>
        <w:t xml:space="preserve">- </w:t>
      </w:r>
      <w:r w:rsidRPr="00EF1469">
        <w:rPr>
          <w:rFonts w:eastAsia="Times New Roman" w:cs="Arial"/>
          <w:color w:val="000000"/>
          <w:lang w:eastAsia="bg-BG"/>
        </w:rPr>
        <w:t xml:space="preserve">С≥4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 xml:space="preserve">/1. </w:t>
      </w:r>
      <w:r w:rsidRPr="00EF1469">
        <w:rPr>
          <w:rFonts w:eastAsia="Times New Roman" w:cs="Arial"/>
          <w:color w:val="000000"/>
          <w:lang w:eastAsia="bg-BG"/>
        </w:rPr>
        <w:t xml:space="preserve">Проучването обхваща 39 деца и подрастващи на възраст от 6 до 17 години, Кохорта А включва 15 деца, на възраст 6-12 години в първи стадий по </w:t>
      </w:r>
      <w:r w:rsidRPr="00EF1469">
        <w:rPr>
          <w:rFonts w:eastAsia="Times New Roman" w:cs="Arial"/>
          <w:color w:val="000000"/>
          <w:lang w:val="en-US"/>
        </w:rPr>
        <w:t>Tanner</w:t>
      </w:r>
      <w:r w:rsidRPr="00EF1469">
        <w:rPr>
          <w:rFonts w:eastAsia="Times New Roman" w:cs="Arial"/>
          <w:color w:val="000000"/>
          <w:lang w:val="ru-RU"/>
        </w:rPr>
        <w:t xml:space="preserve">. </w:t>
      </w:r>
      <w:r w:rsidRPr="00EF1469">
        <w:rPr>
          <w:rFonts w:eastAsia="Times New Roman" w:cs="Arial"/>
          <w:color w:val="000000"/>
          <w:lang w:eastAsia="bg-BG"/>
        </w:rPr>
        <w:t xml:space="preserve">Кохорта Б включва 24 деца на възраст 10-17 години в стадий по </w:t>
      </w:r>
      <w:r w:rsidRPr="00EF1469">
        <w:rPr>
          <w:rFonts w:eastAsia="Times New Roman" w:cs="Arial"/>
          <w:color w:val="000000"/>
          <w:lang w:val="en-US"/>
        </w:rPr>
        <w:t>Tanner</w:t>
      </w:r>
      <w:r w:rsidRPr="00EF1469">
        <w:rPr>
          <w:rFonts w:eastAsia="Times New Roman" w:cs="Arial"/>
          <w:color w:val="000000"/>
          <w:lang w:val="ru-RU"/>
        </w:rPr>
        <w:t xml:space="preserve"> </w:t>
      </w:r>
      <w:r w:rsidRPr="00EF1469">
        <w:rPr>
          <w:rFonts w:eastAsia="Times New Roman" w:cs="Arial"/>
          <w:color w:val="000000"/>
          <w:lang w:eastAsia="bg-BG"/>
        </w:rPr>
        <w:t>≥2.</w:t>
      </w:r>
    </w:p>
    <w:p w14:paraId="15917248" w14:textId="77777777" w:rsidR="00EF1469" w:rsidRDefault="00EF1469" w:rsidP="00EF1469">
      <w:pPr>
        <w:spacing w:line="240" w:lineRule="auto"/>
        <w:rPr>
          <w:rFonts w:eastAsia="Times New Roman" w:cs="Arial"/>
          <w:color w:val="000000"/>
          <w:lang w:eastAsia="bg-BG"/>
        </w:rPr>
      </w:pPr>
    </w:p>
    <w:p w14:paraId="3EEEBE03" w14:textId="0CB1A19B"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Началната доза аторвастатин в кохорта А е 5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 xml:space="preserve">дневно под формата на таблетка за дъвчене и 10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 xml:space="preserve">дневно под формата на филмирана таблетка в кохорта Б. Дадена е възможност началната доза да се удвои, ако не е достигната стойност за </w:t>
      </w:r>
      <w:r w:rsidRPr="00EF1469">
        <w:rPr>
          <w:rFonts w:eastAsia="Times New Roman" w:cs="Arial"/>
          <w:color w:val="000000"/>
          <w:lang w:val="en-US"/>
        </w:rPr>
        <w:t>LDL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 xml:space="preserve">&lt;3,35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 xml:space="preserve">/1 </w:t>
      </w:r>
      <w:r w:rsidRPr="00EF1469">
        <w:rPr>
          <w:rFonts w:eastAsia="Times New Roman" w:cs="Arial"/>
          <w:color w:val="000000"/>
          <w:lang w:eastAsia="bg-BG"/>
        </w:rPr>
        <w:t>на четвърта седмица и ако аторвастатин се понася добре.</w:t>
      </w:r>
    </w:p>
    <w:p w14:paraId="03C737BB" w14:textId="77777777" w:rsidR="00EF1469" w:rsidRDefault="00EF1469" w:rsidP="00EF1469">
      <w:pPr>
        <w:spacing w:line="240" w:lineRule="auto"/>
        <w:rPr>
          <w:rFonts w:eastAsia="Times New Roman" w:cs="Arial"/>
          <w:color w:val="000000"/>
          <w:lang w:eastAsia="bg-BG"/>
        </w:rPr>
      </w:pPr>
    </w:p>
    <w:p w14:paraId="67FC413E" w14:textId="39A82CB0"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Средните стойности за </w:t>
      </w:r>
      <w:r w:rsidRPr="00EF1469">
        <w:rPr>
          <w:rFonts w:eastAsia="Times New Roman" w:cs="Arial"/>
          <w:color w:val="000000"/>
          <w:lang w:val="en-US"/>
        </w:rPr>
        <w:t>LDL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 xml:space="preserve">ТС, </w:t>
      </w:r>
      <w:r w:rsidRPr="00EF1469">
        <w:rPr>
          <w:rFonts w:eastAsia="Times New Roman" w:cs="Arial"/>
          <w:color w:val="000000"/>
          <w:lang w:val="en-US"/>
        </w:rPr>
        <w:t>VLDL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 xml:space="preserve">и Аро В са намалели през втората седмица при всички пациенти. При пациенти, на които дозата е била удвоена, е било наблюдавано допълнително намаление на стойностите на втората седмица при първото измерване след повишаване на дозата. Средният процент на понижаване на стойностите на липидните параметри е бил сходен за двете кохорти без значение дали пациентите са били оставени на тяхната първоначална дозировка или тя е била удвоена. На 8-ма седмица средно процентът на промяна от базовите стойности на </w:t>
      </w:r>
      <w:r w:rsidRPr="00EF1469">
        <w:rPr>
          <w:rFonts w:eastAsia="Times New Roman" w:cs="Arial"/>
          <w:color w:val="000000"/>
          <w:lang w:val="en-US"/>
        </w:rPr>
        <w:t>LDL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и ТС е бил приблизително съответно 40% и 30% над обсега на въздействие.</w:t>
      </w:r>
    </w:p>
    <w:p w14:paraId="4D5026C2" w14:textId="77777777" w:rsidR="00EF1469" w:rsidRDefault="00EF1469" w:rsidP="00EF1469">
      <w:pPr>
        <w:spacing w:line="240" w:lineRule="auto"/>
        <w:rPr>
          <w:rFonts w:eastAsia="Times New Roman" w:cs="Arial"/>
          <w:i/>
          <w:iCs/>
          <w:color w:val="000000"/>
          <w:u w:val="single"/>
          <w:lang w:eastAsia="bg-BG"/>
        </w:rPr>
      </w:pPr>
    </w:p>
    <w:p w14:paraId="535FE4A7" w14:textId="07D9E5C3" w:rsidR="00EF1469" w:rsidRPr="00EF1469" w:rsidRDefault="00EF1469" w:rsidP="00EF1469">
      <w:pPr>
        <w:spacing w:line="240" w:lineRule="auto"/>
        <w:rPr>
          <w:rFonts w:eastAsia="Times New Roman" w:cs="Arial"/>
        </w:rPr>
      </w:pPr>
      <w:r w:rsidRPr="00EF1469">
        <w:rPr>
          <w:rFonts w:eastAsia="Times New Roman" w:cs="Arial"/>
          <w:i/>
          <w:iCs/>
          <w:color w:val="000000"/>
          <w:u w:val="single"/>
          <w:lang w:eastAsia="bg-BG"/>
        </w:rPr>
        <w:t>Хетерозиготна фамилна хиперхолестеролемия при педиатрични пациенти на възраст 10-17 години</w:t>
      </w:r>
    </w:p>
    <w:p w14:paraId="6A777CB1" w14:textId="77777777" w:rsidR="00EF1469" w:rsidRDefault="00EF1469" w:rsidP="00EF1469">
      <w:pPr>
        <w:spacing w:line="240" w:lineRule="auto"/>
        <w:rPr>
          <w:rFonts w:eastAsia="Times New Roman" w:cs="Arial"/>
          <w:color w:val="000000"/>
          <w:lang w:eastAsia="bg-BG"/>
        </w:rPr>
      </w:pPr>
    </w:p>
    <w:p w14:paraId="20D3C18C" w14:textId="16EBADCE"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При двойно-сляпо, плацебо контролирано проучване последвано от отворена фаза на проучването, 187 момчета и момичета след първата менструация, на възраст между 10 и 17 години (средна възраст 14,1 години) с хетерозиготна фамилна хиперхолестеролемия </w:t>
      </w:r>
      <w:r w:rsidRPr="00EF1469">
        <w:rPr>
          <w:rFonts w:eastAsia="Times New Roman" w:cs="Arial"/>
          <w:color w:val="000000"/>
          <w:lang w:val="ru-RU"/>
        </w:rPr>
        <w:t>(</w:t>
      </w:r>
      <w:r w:rsidRPr="00EF1469">
        <w:rPr>
          <w:rFonts w:eastAsia="Times New Roman" w:cs="Arial"/>
          <w:color w:val="000000"/>
          <w:lang w:val="en-US"/>
        </w:rPr>
        <w:t>FH</w:t>
      </w:r>
      <w:r w:rsidRPr="00EF1469">
        <w:rPr>
          <w:rFonts w:eastAsia="Times New Roman" w:cs="Arial"/>
          <w:color w:val="000000"/>
          <w:lang w:val="ru-RU"/>
        </w:rPr>
        <w:t xml:space="preserve">) </w:t>
      </w:r>
      <w:r w:rsidRPr="00EF1469">
        <w:rPr>
          <w:rFonts w:eastAsia="Times New Roman" w:cs="Arial"/>
          <w:color w:val="000000"/>
          <w:lang w:eastAsia="bg-BG"/>
        </w:rPr>
        <w:t>или тежка хиперхолестеролемия са били рандомизирани на лечение с аторвастатин (</w:t>
      </w:r>
      <w:r w:rsidRPr="00EF1469">
        <w:rPr>
          <w:rFonts w:eastAsia="Times New Roman" w:cs="Arial"/>
          <w:color w:val="000000"/>
          <w:lang w:val="en-US"/>
        </w:rPr>
        <w:t>n</w:t>
      </w:r>
      <w:r w:rsidRPr="00EF1469">
        <w:rPr>
          <w:rFonts w:eastAsia="Times New Roman" w:cs="Arial"/>
          <w:color w:val="000000"/>
          <w:lang w:eastAsia="bg-BG"/>
        </w:rPr>
        <w:t>=140) или плацебо (</w:t>
      </w:r>
      <w:r w:rsidRPr="00EF1469">
        <w:rPr>
          <w:rFonts w:eastAsia="Times New Roman" w:cs="Arial"/>
          <w:color w:val="000000"/>
          <w:lang w:val="en-US"/>
        </w:rPr>
        <w:t>n</w:t>
      </w:r>
      <w:r w:rsidRPr="00EF1469">
        <w:rPr>
          <w:rFonts w:eastAsia="Times New Roman" w:cs="Arial"/>
          <w:color w:val="000000"/>
          <w:lang w:eastAsia="bg-BG"/>
        </w:rPr>
        <w:t xml:space="preserve">=47) в продължение на 26 седмици, след което всички приемали аторвастатин в продължение на още 26 седмици. Дозировката на аторвастатин (веднъж дневно) е 10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 xml:space="preserve">за първите 4 седмици и последващо увеличаване до 20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 xml:space="preserve">в случай че нивата на </w:t>
      </w:r>
      <w:r w:rsidRPr="00EF1469">
        <w:rPr>
          <w:rFonts w:eastAsia="Times New Roman" w:cs="Arial"/>
          <w:color w:val="000000"/>
          <w:lang w:val="en-US"/>
        </w:rPr>
        <w:t>LDL</w:t>
      </w:r>
      <w:r w:rsidRPr="00EF1469">
        <w:rPr>
          <w:rFonts w:eastAsia="Times New Roman" w:cs="Arial"/>
          <w:color w:val="000000"/>
          <w:lang w:eastAsia="bg-BG"/>
        </w:rPr>
        <w:t xml:space="preserve">-холестерола са &gt;3,36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w:t>
      </w:r>
      <w:r w:rsidRPr="00EF1469">
        <w:rPr>
          <w:rFonts w:eastAsia="Times New Roman" w:cs="Arial"/>
          <w:color w:val="000000"/>
          <w:lang w:val="en-US"/>
        </w:rPr>
        <w:t>I</w:t>
      </w:r>
      <w:r w:rsidRPr="00EF1469">
        <w:rPr>
          <w:rFonts w:eastAsia="Times New Roman" w:cs="Arial"/>
          <w:color w:val="000000"/>
          <w:lang w:val="ru-RU"/>
        </w:rPr>
        <w:t xml:space="preserve">. </w:t>
      </w:r>
      <w:r w:rsidRPr="00EF1469">
        <w:rPr>
          <w:rFonts w:eastAsia="Times New Roman" w:cs="Arial"/>
          <w:color w:val="000000"/>
          <w:lang w:eastAsia="bg-BG"/>
        </w:rPr>
        <w:t xml:space="preserve">Аторвастатин сигнификантно намалява плазмените нива на общия холестерол, </w:t>
      </w:r>
      <w:r w:rsidRPr="00EF1469">
        <w:rPr>
          <w:rFonts w:eastAsia="Times New Roman" w:cs="Arial"/>
          <w:color w:val="000000"/>
          <w:lang w:val="en-US"/>
        </w:rPr>
        <w:t>LDL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 xml:space="preserve">триглицеридите и аполипопротеин В през първите 26 седмици на двойно- сляпата фаза. Средната достигната стойност на </w:t>
      </w:r>
      <w:r w:rsidRPr="00EF1469">
        <w:rPr>
          <w:rFonts w:eastAsia="Times New Roman" w:cs="Arial"/>
          <w:color w:val="000000"/>
          <w:lang w:val="en-US"/>
        </w:rPr>
        <w:t>LDL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 xml:space="preserve">е </w:t>
      </w:r>
      <w:r w:rsidRPr="00EF1469">
        <w:rPr>
          <w:rFonts w:eastAsia="Times New Roman" w:cs="Arial"/>
          <w:color w:val="000000"/>
          <w:lang w:eastAsia="bg-BG"/>
        </w:rPr>
        <w:lastRenderedPageBreak/>
        <w:t xml:space="preserve">3,38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/1 (</w:t>
      </w:r>
      <w:r w:rsidRPr="00EF1469">
        <w:rPr>
          <w:rFonts w:eastAsia="Times New Roman" w:cs="Arial"/>
          <w:color w:val="000000"/>
          <w:lang w:val="en-US"/>
        </w:rPr>
        <w:t>range</w:t>
      </w:r>
      <w:r w:rsidRPr="00EF1469">
        <w:rPr>
          <w:rFonts w:eastAsia="Times New Roman" w:cs="Arial"/>
          <w:color w:val="000000"/>
          <w:lang w:val="ru-RU"/>
        </w:rPr>
        <w:t xml:space="preserve">; </w:t>
      </w:r>
      <w:r w:rsidRPr="00EF1469">
        <w:rPr>
          <w:rFonts w:eastAsia="Times New Roman" w:cs="Arial"/>
          <w:color w:val="000000"/>
          <w:lang w:eastAsia="bg-BG"/>
        </w:rPr>
        <w:t xml:space="preserve">1,81 - 6,26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w:t>
      </w:r>
      <w:r w:rsidRPr="00EF1469">
        <w:rPr>
          <w:rFonts w:eastAsia="Times New Roman" w:cs="Arial"/>
          <w:color w:val="000000"/>
          <w:lang w:val="en-US"/>
        </w:rPr>
        <w:t>l</w:t>
      </w:r>
      <w:r w:rsidRPr="00EF1469">
        <w:rPr>
          <w:rFonts w:eastAsia="Times New Roman" w:cs="Arial"/>
          <w:color w:val="000000"/>
          <w:lang w:val="ru-RU"/>
        </w:rPr>
        <w:t xml:space="preserve">) </w:t>
      </w:r>
      <w:r w:rsidRPr="00EF1469">
        <w:rPr>
          <w:rFonts w:eastAsia="Times New Roman" w:cs="Arial"/>
          <w:color w:val="000000"/>
          <w:lang w:eastAsia="bg-BG"/>
        </w:rPr>
        <w:t xml:space="preserve">в групата на аторвастатин сравнена с 5,91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/1 (</w:t>
      </w:r>
      <w:r w:rsidRPr="00EF1469">
        <w:rPr>
          <w:rFonts w:eastAsia="Times New Roman" w:cs="Arial"/>
          <w:color w:val="000000"/>
          <w:lang w:val="en-US"/>
        </w:rPr>
        <w:t>range</w:t>
      </w:r>
      <w:r w:rsidRPr="00EF1469">
        <w:rPr>
          <w:rFonts w:eastAsia="Times New Roman" w:cs="Arial"/>
          <w:color w:val="000000"/>
          <w:lang w:val="ru-RU"/>
        </w:rPr>
        <w:t xml:space="preserve">: </w:t>
      </w:r>
      <w:r w:rsidRPr="00EF1469">
        <w:rPr>
          <w:rFonts w:eastAsia="Times New Roman" w:cs="Arial"/>
          <w:color w:val="000000"/>
          <w:lang w:eastAsia="bg-BG"/>
        </w:rPr>
        <w:t xml:space="preserve">3,93 - 9,96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 xml:space="preserve">/1) </w:t>
      </w:r>
      <w:r w:rsidRPr="00EF1469">
        <w:rPr>
          <w:rFonts w:eastAsia="Times New Roman" w:cs="Arial"/>
          <w:color w:val="000000"/>
          <w:lang w:eastAsia="bg-BG"/>
        </w:rPr>
        <w:t>в плацебо групата през 26-седмичната двойно-сляпа фаза.</w:t>
      </w:r>
    </w:p>
    <w:p w14:paraId="2851D552" w14:textId="77777777" w:rsidR="00EF1469" w:rsidRDefault="00EF1469" w:rsidP="00EF1469">
      <w:pPr>
        <w:spacing w:line="240" w:lineRule="auto"/>
        <w:rPr>
          <w:rFonts w:eastAsia="Times New Roman" w:cs="Arial"/>
          <w:color w:val="000000"/>
          <w:lang w:eastAsia="bg-BG"/>
        </w:rPr>
      </w:pPr>
    </w:p>
    <w:p w14:paraId="080141B7" w14:textId="66718334" w:rsidR="00EF1469" w:rsidRDefault="00EF1469" w:rsidP="00EF1469">
      <w:pPr>
        <w:spacing w:line="240" w:lineRule="auto"/>
        <w:rPr>
          <w:rFonts w:eastAsia="Times New Roman" w:cs="Arial"/>
          <w:color w:val="000000"/>
          <w:lang w:val="ru-RU"/>
        </w:rPr>
      </w:pPr>
      <w:r w:rsidRPr="00EF1469">
        <w:rPr>
          <w:rFonts w:eastAsia="Times New Roman" w:cs="Arial"/>
          <w:color w:val="000000"/>
          <w:lang w:eastAsia="bg-BG"/>
        </w:rPr>
        <w:t xml:space="preserve">Допълнително педиатрично проучване на аторвастатин срещу колестипол при пациенти с хиперхолестеролемия на възраст 10-18 години установява, че аторвастатин </w:t>
      </w:r>
      <w:r w:rsidRPr="00EF1469">
        <w:rPr>
          <w:rFonts w:eastAsia="Times New Roman" w:cs="Arial"/>
          <w:color w:val="000000"/>
          <w:lang w:val="ru-RU"/>
        </w:rPr>
        <w:t>(</w:t>
      </w:r>
      <w:r w:rsidRPr="00EF1469">
        <w:rPr>
          <w:rFonts w:eastAsia="Times New Roman" w:cs="Arial"/>
          <w:color w:val="000000"/>
          <w:lang w:val="en-US"/>
        </w:rPr>
        <w:t>N</w:t>
      </w:r>
      <w:r w:rsidRPr="00EF1469">
        <w:rPr>
          <w:rFonts w:eastAsia="Times New Roman" w:cs="Arial"/>
          <w:color w:val="000000"/>
          <w:lang w:val="ru-RU"/>
        </w:rPr>
        <w:t xml:space="preserve">=25) </w:t>
      </w:r>
      <w:r w:rsidRPr="00EF1469">
        <w:rPr>
          <w:rFonts w:eastAsia="Times New Roman" w:cs="Arial"/>
          <w:color w:val="000000"/>
          <w:lang w:eastAsia="bg-BG"/>
        </w:rPr>
        <w:t xml:space="preserve">предизвиква сигнификантно намаление на </w:t>
      </w:r>
      <w:r w:rsidRPr="00EF1469">
        <w:rPr>
          <w:rFonts w:eastAsia="Times New Roman" w:cs="Arial"/>
          <w:color w:val="000000"/>
          <w:lang w:val="en-US"/>
        </w:rPr>
        <w:t>LDL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на 26-та седмица (р&lt;0,05), сравнен с колестипол (</w:t>
      </w:r>
      <w:r w:rsidRPr="00EF1469">
        <w:rPr>
          <w:rFonts w:eastAsia="Times New Roman" w:cs="Arial"/>
          <w:color w:val="000000"/>
          <w:lang w:val="en-US"/>
        </w:rPr>
        <w:t>N</w:t>
      </w:r>
      <w:r w:rsidRPr="00EF1469">
        <w:rPr>
          <w:rFonts w:eastAsia="Times New Roman" w:cs="Arial"/>
          <w:color w:val="000000"/>
          <w:lang w:val="ru-RU"/>
        </w:rPr>
        <w:t>=31).</w:t>
      </w:r>
    </w:p>
    <w:p w14:paraId="2BC3489E" w14:textId="7DC5B05C" w:rsidR="00EF1469" w:rsidRDefault="00EF1469" w:rsidP="00EF1469">
      <w:pPr>
        <w:spacing w:line="240" w:lineRule="auto"/>
        <w:rPr>
          <w:rFonts w:eastAsia="Times New Roman" w:cs="Arial"/>
          <w:color w:val="000000"/>
          <w:lang w:val="ru-RU"/>
        </w:rPr>
      </w:pPr>
    </w:p>
    <w:p w14:paraId="077CAFF1"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Проучване за „милосърдна употреба“ при пациенти с тежка хиперхолестеролемия (включително хомозиготна хиперхолестеролемия), включва 46 педиатрични пациенти, лекувани с аторвастатин титриран в зависимост от отговора (някои пациенти са приемали 80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 xml:space="preserve">аторвастатин дневно). Проучването продължава 3 години: </w:t>
      </w:r>
      <w:r w:rsidRPr="00EF1469">
        <w:rPr>
          <w:rFonts w:eastAsia="Times New Roman" w:cs="Arial"/>
          <w:color w:val="000000"/>
          <w:lang w:val="en-US"/>
        </w:rPr>
        <w:t>LDL</w:t>
      </w:r>
      <w:r w:rsidRPr="00EF1469">
        <w:rPr>
          <w:rFonts w:eastAsia="Times New Roman" w:cs="Arial"/>
          <w:color w:val="000000"/>
          <w:lang w:eastAsia="bg-BG"/>
        </w:rPr>
        <w:t>-холестеролът е намален с 36%.</w:t>
      </w:r>
    </w:p>
    <w:p w14:paraId="794C3424" w14:textId="77777777" w:rsidR="00EF1469" w:rsidRDefault="00EF1469" w:rsidP="00EF1469">
      <w:pPr>
        <w:spacing w:line="240" w:lineRule="auto"/>
        <w:rPr>
          <w:rFonts w:eastAsia="Times New Roman" w:cs="Arial"/>
          <w:color w:val="000000"/>
          <w:lang w:eastAsia="bg-BG"/>
        </w:rPr>
      </w:pPr>
    </w:p>
    <w:p w14:paraId="5576538B" w14:textId="0261B43D" w:rsidR="00EF1469" w:rsidRPr="00EF1469" w:rsidRDefault="00EF1469" w:rsidP="00EF1469">
      <w:pPr>
        <w:spacing w:line="240" w:lineRule="auto"/>
        <w:rPr>
          <w:rFonts w:eastAsia="Times New Roman" w:cs="Arial"/>
        </w:rPr>
      </w:pPr>
      <w:r w:rsidRPr="00EF1469">
        <w:rPr>
          <w:rFonts w:eastAsia="Times New Roman" w:cs="Arial"/>
          <w:color w:val="000000"/>
          <w:lang w:eastAsia="bg-BG"/>
        </w:rPr>
        <w:t>Дългосрочната ефикасност на терапия с аторвастатин в детска възраст за намаляване на заболеваемостта и смъртността в зряла възраст не е установена.</w:t>
      </w:r>
    </w:p>
    <w:p w14:paraId="74D270DD" w14:textId="77777777" w:rsidR="00EF1469" w:rsidRDefault="00EF1469" w:rsidP="00EF1469">
      <w:pPr>
        <w:spacing w:line="240" w:lineRule="auto"/>
        <w:rPr>
          <w:rFonts w:eastAsia="Times New Roman" w:cs="Arial"/>
          <w:color w:val="000000"/>
          <w:lang w:eastAsia="bg-BG"/>
        </w:rPr>
      </w:pPr>
    </w:p>
    <w:p w14:paraId="376FCEAB" w14:textId="7B793AD1" w:rsidR="00EF1469" w:rsidRPr="00EF1469" w:rsidRDefault="00EF1469" w:rsidP="00EF1469">
      <w:pPr>
        <w:spacing w:line="240" w:lineRule="auto"/>
        <w:rPr>
          <w:rFonts w:eastAsia="Times New Roman" w:cs="Arial"/>
        </w:rPr>
      </w:pPr>
      <w:r w:rsidRPr="00EF1469">
        <w:rPr>
          <w:rFonts w:eastAsia="Times New Roman" w:cs="Arial"/>
          <w:color w:val="000000"/>
          <w:lang w:eastAsia="bg-BG"/>
        </w:rPr>
        <w:t>Европейската агенция по лекарствата е отложила задължението за подаване на резултати от проучвания с аторвастатин при деца от 0 до под 6-годишна възраст при лечение на хетерозиготна фамилна хиперхолестеролемия, както и при деца от 0 до под 18-годишна възраст при лечението на хомозиготна фамилна хиперхолестеролемия, комбинирана (смесена) хиперхолестеролемия, първична хиперхолестеролемия и превенцията на сърдечно-съдови събития (вж. точка 4.2 за информация за педиатричната употреба).</w:t>
      </w:r>
    </w:p>
    <w:p w14:paraId="240BA6E5" w14:textId="77777777" w:rsidR="00EF1469" w:rsidRPr="00EF1469" w:rsidRDefault="00EF1469" w:rsidP="00EF1469">
      <w:pPr>
        <w:spacing w:line="240" w:lineRule="auto"/>
        <w:rPr>
          <w:rFonts w:eastAsia="Times New Roman" w:cs="Arial"/>
        </w:rPr>
      </w:pPr>
    </w:p>
    <w:p w14:paraId="35F84B81" w14:textId="4840C1C0" w:rsidR="00CF77F7" w:rsidRDefault="002C50EE" w:rsidP="004A448E">
      <w:pPr>
        <w:pStyle w:val="Heading2"/>
      </w:pPr>
      <w:r>
        <w:t>5.2. Фармакокинетични свойства</w:t>
      </w:r>
    </w:p>
    <w:p w14:paraId="7755B924" w14:textId="2EAC847A" w:rsidR="00EF1469" w:rsidRDefault="00EF1469" w:rsidP="00EF1469"/>
    <w:p w14:paraId="1C5025AB" w14:textId="77777777" w:rsidR="00EF1469" w:rsidRPr="00EF1469" w:rsidRDefault="00EF1469" w:rsidP="00EF1469">
      <w:pPr>
        <w:pStyle w:val="Heading3"/>
        <w:rPr>
          <w:rFonts w:eastAsia="Times New Roman"/>
          <w:u w:val="single"/>
        </w:rPr>
      </w:pPr>
      <w:r w:rsidRPr="00EF1469">
        <w:rPr>
          <w:rFonts w:eastAsia="Times New Roman"/>
          <w:u w:val="single"/>
          <w:lang w:eastAsia="bg-BG"/>
        </w:rPr>
        <w:t>Абсорбция</w:t>
      </w:r>
    </w:p>
    <w:p w14:paraId="49C1CC2A"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Аторвастатин се абсорбира бързо след перорално приложение; максимална плазмена концентрация (С</w:t>
      </w:r>
      <w:r w:rsidRPr="00EF1469">
        <w:rPr>
          <w:rFonts w:eastAsia="Times New Roman" w:cs="Arial"/>
          <w:color w:val="000000"/>
          <w:vertAlign w:val="subscript"/>
          <w:lang w:val="en-US"/>
        </w:rPr>
        <w:t>max</w:t>
      </w:r>
      <w:r w:rsidRPr="00EF1469">
        <w:rPr>
          <w:rFonts w:eastAsia="Times New Roman" w:cs="Arial"/>
          <w:color w:val="000000"/>
          <w:lang w:eastAsia="bg-BG"/>
        </w:rPr>
        <w:t xml:space="preserve">) се постига за 1 до 2 часа. Степента на абсорбция се покачва пропорционално на дозата на аторвастатин. След перорално приложение бионаличността на аторвастатин филмирани таблетки е от 95 до 99% в сравнение с тази на пероралния разтвор. Абсолютната бионаличност на аторвастатин е приблизително 12% и системната наличност на инхибиторната активност за </w:t>
      </w:r>
      <w:r w:rsidRPr="00EF1469">
        <w:rPr>
          <w:rFonts w:eastAsia="Times New Roman" w:cs="Arial"/>
          <w:color w:val="000000"/>
          <w:lang w:val="en-US"/>
        </w:rPr>
        <w:t>HMG</w:t>
      </w:r>
      <w:r w:rsidRPr="00EF1469">
        <w:rPr>
          <w:rFonts w:eastAsia="Times New Roman" w:cs="Arial"/>
          <w:color w:val="000000"/>
          <w:lang w:val="ru-RU"/>
        </w:rPr>
        <w:t>-</w:t>
      </w:r>
      <w:r w:rsidRPr="00EF1469">
        <w:rPr>
          <w:rFonts w:eastAsia="Times New Roman" w:cs="Arial"/>
          <w:color w:val="000000"/>
          <w:lang w:val="en-US"/>
        </w:rPr>
        <w:t>CoA</w:t>
      </w:r>
      <w:r w:rsidRPr="00EF1469">
        <w:rPr>
          <w:rFonts w:eastAsia="Times New Roman" w:cs="Arial"/>
          <w:color w:val="000000"/>
          <w:lang w:val="ru-RU"/>
        </w:rPr>
        <w:t xml:space="preserve"> </w:t>
      </w:r>
      <w:r w:rsidRPr="00EF1469">
        <w:rPr>
          <w:rFonts w:eastAsia="Times New Roman" w:cs="Arial"/>
          <w:color w:val="000000"/>
          <w:lang w:eastAsia="bg-BG"/>
        </w:rPr>
        <w:t xml:space="preserve">редуктазата е приблизително 30%. Ниската системна наличност се отдава на пресистемен клирънс в гастро-интестиналната мукоза и/или на </w:t>
      </w:r>
      <w:r w:rsidRPr="00EF1469">
        <w:rPr>
          <w:rFonts w:eastAsia="Times New Roman" w:cs="Arial"/>
          <w:color w:val="000000"/>
          <w:lang w:val="en-US"/>
        </w:rPr>
        <w:t>first</w:t>
      </w:r>
      <w:r w:rsidRPr="00EF1469">
        <w:rPr>
          <w:rFonts w:eastAsia="Times New Roman" w:cs="Arial"/>
          <w:color w:val="000000"/>
          <w:lang w:val="ru-RU"/>
        </w:rPr>
        <w:t>-</w:t>
      </w:r>
      <w:r w:rsidRPr="00EF1469">
        <w:rPr>
          <w:rFonts w:eastAsia="Times New Roman" w:cs="Arial"/>
          <w:color w:val="000000"/>
          <w:lang w:val="en-US"/>
        </w:rPr>
        <w:t>pass</w:t>
      </w:r>
      <w:r w:rsidRPr="00EF1469">
        <w:rPr>
          <w:rFonts w:eastAsia="Times New Roman" w:cs="Arial"/>
          <w:color w:val="000000"/>
          <w:lang w:val="ru-RU"/>
        </w:rPr>
        <w:t xml:space="preserve"> </w:t>
      </w:r>
      <w:r w:rsidRPr="00EF1469">
        <w:rPr>
          <w:rFonts w:eastAsia="Times New Roman" w:cs="Arial"/>
          <w:color w:val="000000"/>
          <w:lang w:eastAsia="bg-BG"/>
        </w:rPr>
        <w:t>метаболизъм в черния дроб.</w:t>
      </w:r>
    </w:p>
    <w:p w14:paraId="73E5F6A5" w14:textId="77777777" w:rsidR="00EF1469" w:rsidRDefault="00EF1469" w:rsidP="00EF1469">
      <w:pPr>
        <w:spacing w:line="240" w:lineRule="auto"/>
        <w:rPr>
          <w:rFonts w:eastAsia="Times New Roman" w:cs="Arial"/>
          <w:color w:val="000000"/>
          <w:u w:val="single"/>
          <w:lang w:eastAsia="bg-BG"/>
        </w:rPr>
      </w:pPr>
    </w:p>
    <w:p w14:paraId="2AC24632" w14:textId="1BBB1A20" w:rsidR="00EF1469" w:rsidRPr="00EF1469" w:rsidRDefault="00EF1469" w:rsidP="00EF1469">
      <w:pPr>
        <w:pStyle w:val="Heading3"/>
        <w:rPr>
          <w:rFonts w:eastAsia="Times New Roman"/>
          <w:u w:val="single"/>
        </w:rPr>
      </w:pPr>
      <w:r w:rsidRPr="00EF1469">
        <w:rPr>
          <w:rFonts w:eastAsia="Times New Roman"/>
          <w:u w:val="single"/>
          <w:lang w:eastAsia="bg-BG"/>
        </w:rPr>
        <w:t>Разпределение</w:t>
      </w:r>
    </w:p>
    <w:p w14:paraId="7A0BA4F5"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Средният обем на разпределение на аторвастатин е приблизително 381 </w:t>
      </w:r>
      <w:r w:rsidRPr="00EF1469">
        <w:rPr>
          <w:rFonts w:eastAsia="Times New Roman" w:cs="Arial"/>
          <w:color w:val="000000"/>
          <w:lang w:val="en-US"/>
        </w:rPr>
        <w:t>L</w:t>
      </w:r>
      <w:r w:rsidRPr="00EF1469">
        <w:rPr>
          <w:rFonts w:eastAsia="Times New Roman" w:cs="Arial"/>
          <w:color w:val="000000"/>
          <w:lang w:val="ru-RU"/>
        </w:rPr>
        <w:t xml:space="preserve">. </w:t>
      </w:r>
      <w:r w:rsidRPr="00EF1469">
        <w:rPr>
          <w:rFonts w:eastAsia="Times New Roman" w:cs="Arial"/>
          <w:color w:val="000000"/>
          <w:lang w:eastAsia="bg-BG"/>
        </w:rPr>
        <w:t>Аторвастатин се свързва с плазмените протеини в ≥ 98%.</w:t>
      </w:r>
    </w:p>
    <w:p w14:paraId="5D1FA832" w14:textId="77777777" w:rsidR="00EF1469" w:rsidRDefault="00EF1469" w:rsidP="00EF1469">
      <w:pPr>
        <w:spacing w:line="240" w:lineRule="auto"/>
        <w:rPr>
          <w:rFonts w:eastAsia="Times New Roman" w:cs="Arial"/>
          <w:color w:val="000000"/>
          <w:u w:val="single"/>
          <w:lang w:eastAsia="bg-BG"/>
        </w:rPr>
      </w:pPr>
    </w:p>
    <w:p w14:paraId="2BC43F12" w14:textId="5833FA8C" w:rsidR="00EF1469" w:rsidRPr="00EF1469" w:rsidRDefault="00EF1469" w:rsidP="00EF1469">
      <w:pPr>
        <w:pStyle w:val="Heading3"/>
        <w:rPr>
          <w:rFonts w:eastAsia="Times New Roman"/>
          <w:u w:val="single"/>
        </w:rPr>
      </w:pPr>
      <w:r w:rsidRPr="00EF1469">
        <w:rPr>
          <w:rFonts w:eastAsia="Times New Roman"/>
          <w:u w:val="single"/>
          <w:lang w:eastAsia="bg-BG"/>
        </w:rPr>
        <w:t>Биотрансформация</w:t>
      </w:r>
    </w:p>
    <w:p w14:paraId="22B456F4"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Аторвастатин се метаболизира от цитохром </w:t>
      </w:r>
      <w:r w:rsidRPr="00EF1469">
        <w:rPr>
          <w:rFonts w:eastAsia="Times New Roman" w:cs="Arial"/>
          <w:color w:val="000000"/>
          <w:lang w:val="en-US"/>
        </w:rPr>
        <w:t>P</w:t>
      </w:r>
      <w:r w:rsidRPr="00EF1469">
        <w:rPr>
          <w:rFonts w:eastAsia="Times New Roman" w:cs="Arial"/>
          <w:color w:val="000000"/>
          <w:lang w:val="ru-RU"/>
        </w:rPr>
        <w:t xml:space="preserve">-450 </w:t>
      </w:r>
      <w:r w:rsidRPr="00EF1469">
        <w:rPr>
          <w:rFonts w:eastAsia="Times New Roman" w:cs="Arial"/>
          <w:color w:val="000000"/>
          <w:lang w:eastAsia="bg-BG"/>
        </w:rPr>
        <w:t xml:space="preserve">ЗА4 до орто-и парахидроксилирани деривати и различни бета-окислител ни продукти. Освен другите пътища, тези лекарства се метаболизират допълнително чрез глюкурониране. </w:t>
      </w:r>
      <w:r w:rsidRPr="00EF1469">
        <w:rPr>
          <w:rFonts w:eastAsia="Times New Roman" w:cs="Arial"/>
          <w:i/>
          <w:iCs/>
          <w:color w:val="000000"/>
          <w:lang w:val="en-US"/>
        </w:rPr>
        <w:t>In</w:t>
      </w:r>
      <w:r w:rsidRPr="00EF1469">
        <w:rPr>
          <w:rFonts w:eastAsia="Times New Roman" w:cs="Arial"/>
          <w:i/>
          <w:iCs/>
          <w:color w:val="000000"/>
        </w:rPr>
        <w:t xml:space="preserve"> </w:t>
      </w:r>
      <w:r w:rsidRPr="00EF1469">
        <w:rPr>
          <w:rFonts w:eastAsia="Times New Roman" w:cs="Arial"/>
          <w:i/>
          <w:iCs/>
          <w:color w:val="000000"/>
          <w:lang w:val="en-US"/>
        </w:rPr>
        <w:t>vitro</w:t>
      </w:r>
      <w:r w:rsidRPr="00EF1469">
        <w:rPr>
          <w:rFonts w:eastAsia="Times New Roman" w:cs="Arial"/>
          <w:color w:val="000000"/>
        </w:rPr>
        <w:t xml:space="preserve"> </w:t>
      </w:r>
      <w:r w:rsidRPr="00EF1469">
        <w:rPr>
          <w:rFonts w:eastAsia="Times New Roman" w:cs="Arial"/>
          <w:color w:val="000000"/>
          <w:lang w:eastAsia="bg-BG"/>
        </w:rPr>
        <w:t xml:space="preserve">инхибицията на </w:t>
      </w:r>
      <w:r w:rsidRPr="00EF1469">
        <w:rPr>
          <w:rFonts w:eastAsia="Times New Roman" w:cs="Arial"/>
          <w:color w:val="000000"/>
          <w:lang w:val="en-US"/>
        </w:rPr>
        <w:t>HMG</w:t>
      </w:r>
      <w:r w:rsidRPr="00EF1469">
        <w:rPr>
          <w:rFonts w:eastAsia="Times New Roman" w:cs="Arial"/>
          <w:color w:val="000000"/>
        </w:rPr>
        <w:t>-</w:t>
      </w:r>
      <w:r w:rsidRPr="00EF1469">
        <w:rPr>
          <w:rFonts w:eastAsia="Times New Roman" w:cs="Arial"/>
          <w:color w:val="000000"/>
          <w:lang w:val="en-US"/>
        </w:rPr>
        <w:t>CoA</w:t>
      </w:r>
      <w:r w:rsidRPr="00EF1469">
        <w:rPr>
          <w:rFonts w:eastAsia="Times New Roman" w:cs="Arial"/>
          <w:color w:val="000000"/>
        </w:rPr>
        <w:t xml:space="preserve"> </w:t>
      </w:r>
      <w:r w:rsidRPr="00EF1469">
        <w:rPr>
          <w:rFonts w:eastAsia="Times New Roman" w:cs="Arial"/>
          <w:color w:val="000000"/>
          <w:lang w:eastAsia="bg-BG"/>
        </w:rPr>
        <w:t xml:space="preserve">редуктазата от орто- и парахидроксилираните метаболити е еквивалентна на тази от аторвастатин. Приблизително 70% от циркулиращата инхибиторна активност за </w:t>
      </w:r>
      <w:r w:rsidRPr="00EF1469">
        <w:rPr>
          <w:rFonts w:eastAsia="Times New Roman" w:cs="Arial"/>
          <w:color w:val="000000"/>
          <w:lang w:val="en-US"/>
        </w:rPr>
        <w:t>HMG</w:t>
      </w:r>
      <w:r w:rsidRPr="00EF1469">
        <w:rPr>
          <w:rFonts w:eastAsia="Times New Roman" w:cs="Arial"/>
          <w:color w:val="000000"/>
          <w:lang w:val="ru-RU"/>
        </w:rPr>
        <w:t>-</w:t>
      </w:r>
      <w:r w:rsidRPr="00EF1469">
        <w:rPr>
          <w:rFonts w:eastAsia="Times New Roman" w:cs="Arial"/>
          <w:color w:val="000000"/>
          <w:lang w:val="en-US"/>
        </w:rPr>
        <w:t>CoA</w:t>
      </w:r>
      <w:r w:rsidRPr="00EF1469">
        <w:rPr>
          <w:rFonts w:eastAsia="Times New Roman" w:cs="Arial"/>
          <w:color w:val="000000"/>
          <w:lang w:val="ru-RU"/>
        </w:rPr>
        <w:t xml:space="preserve"> </w:t>
      </w:r>
      <w:r w:rsidRPr="00EF1469">
        <w:rPr>
          <w:rFonts w:eastAsia="Times New Roman" w:cs="Arial"/>
          <w:color w:val="000000"/>
          <w:lang w:eastAsia="bg-BG"/>
        </w:rPr>
        <w:t>редуктазата се отдава на активните метаболити.</w:t>
      </w:r>
    </w:p>
    <w:p w14:paraId="4DCDDC3B" w14:textId="77777777" w:rsidR="00EF1469" w:rsidRDefault="00EF1469" w:rsidP="00EF1469">
      <w:pPr>
        <w:spacing w:line="240" w:lineRule="auto"/>
        <w:rPr>
          <w:rFonts w:eastAsia="Times New Roman" w:cs="Arial"/>
          <w:color w:val="000000"/>
          <w:u w:val="single"/>
          <w:lang w:eastAsia="bg-BG"/>
        </w:rPr>
      </w:pPr>
    </w:p>
    <w:p w14:paraId="7B789811" w14:textId="2284701D" w:rsidR="00EF1469" w:rsidRPr="00EF1469" w:rsidRDefault="00EF1469" w:rsidP="00EF1469">
      <w:pPr>
        <w:pStyle w:val="Heading3"/>
        <w:rPr>
          <w:rFonts w:eastAsia="Times New Roman"/>
          <w:u w:val="single"/>
        </w:rPr>
      </w:pPr>
      <w:r w:rsidRPr="00EF1469">
        <w:rPr>
          <w:rFonts w:eastAsia="Times New Roman"/>
          <w:u w:val="single"/>
          <w:lang w:eastAsia="bg-BG"/>
        </w:rPr>
        <w:lastRenderedPageBreak/>
        <w:t>Елиминиране</w:t>
      </w:r>
    </w:p>
    <w:p w14:paraId="5C6EC4AD"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Аторвастатин се излъчва предимно с жлъчката след хепатален и/или екстрахепатален метаболизъм. Изглежда, обаче, че лекарството не претърпява значителна ентерохепатална рециркулация. Средният плазмен полуживот на аторвастатин при хора е приблизително 14 часа. Полуживотът на инхибиторната активност за </w:t>
      </w:r>
      <w:r w:rsidRPr="00EF1469">
        <w:rPr>
          <w:rFonts w:eastAsia="Times New Roman" w:cs="Arial"/>
          <w:color w:val="000000"/>
          <w:lang w:val="en-US"/>
        </w:rPr>
        <w:t>HMG</w:t>
      </w:r>
      <w:r w:rsidRPr="00EF1469">
        <w:rPr>
          <w:rFonts w:eastAsia="Times New Roman" w:cs="Arial"/>
          <w:color w:val="000000"/>
          <w:lang w:val="ru-RU"/>
        </w:rPr>
        <w:t>-</w:t>
      </w:r>
      <w:r w:rsidRPr="00EF1469">
        <w:rPr>
          <w:rFonts w:eastAsia="Times New Roman" w:cs="Arial"/>
          <w:color w:val="000000"/>
          <w:lang w:val="en-US"/>
        </w:rPr>
        <w:t>CoA</w:t>
      </w:r>
      <w:r w:rsidRPr="00EF1469">
        <w:rPr>
          <w:rFonts w:eastAsia="Times New Roman" w:cs="Arial"/>
          <w:color w:val="000000"/>
          <w:lang w:val="ru-RU"/>
        </w:rPr>
        <w:t xml:space="preserve"> </w:t>
      </w:r>
      <w:r w:rsidRPr="00EF1469">
        <w:rPr>
          <w:rFonts w:eastAsia="Times New Roman" w:cs="Arial"/>
          <w:color w:val="000000"/>
          <w:lang w:eastAsia="bg-BG"/>
        </w:rPr>
        <w:t>редуктазата е приблизително 20 до 30 часа поради участието на активните метаболити.</w:t>
      </w:r>
    </w:p>
    <w:p w14:paraId="5FAE3F36" w14:textId="77777777" w:rsidR="00EF1469" w:rsidRDefault="00EF1469" w:rsidP="00EF1469">
      <w:pPr>
        <w:spacing w:line="240" w:lineRule="auto"/>
        <w:rPr>
          <w:rFonts w:eastAsia="Times New Roman" w:cs="Arial"/>
          <w:i/>
          <w:iCs/>
          <w:color w:val="000000"/>
          <w:u w:val="single"/>
          <w:lang w:eastAsia="bg-BG"/>
        </w:rPr>
      </w:pPr>
    </w:p>
    <w:p w14:paraId="207C0E78" w14:textId="6D869926" w:rsidR="00EF1469" w:rsidRPr="00EF1469" w:rsidRDefault="00EF1469" w:rsidP="00EF1469">
      <w:pPr>
        <w:spacing w:line="240" w:lineRule="auto"/>
        <w:rPr>
          <w:rFonts w:eastAsia="Times New Roman" w:cs="Arial"/>
        </w:rPr>
      </w:pPr>
      <w:r w:rsidRPr="00EF1469">
        <w:rPr>
          <w:rFonts w:eastAsia="Times New Roman" w:cs="Arial"/>
          <w:i/>
          <w:iCs/>
          <w:color w:val="000000"/>
          <w:u w:val="single"/>
          <w:lang w:eastAsia="bg-BG"/>
        </w:rPr>
        <w:t>Специални популации</w:t>
      </w:r>
    </w:p>
    <w:p w14:paraId="5243E177" w14:textId="77777777" w:rsidR="00EF1469" w:rsidRPr="00EF1469" w:rsidRDefault="00EF1469" w:rsidP="00EF1469">
      <w:pPr>
        <w:spacing w:line="240" w:lineRule="auto"/>
        <w:rPr>
          <w:rFonts w:eastAsia="Times New Roman" w:cs="Arial"/>
        </w:rPr>
      </w:pPr>
      <w:r w:rsidRPr="00EF1469">
        <w:rPr>
          <w:rFonts w:eastAsia="Times New Roman" w:cs="Arial"/>
          <w:i/>
          <w:iCs/>
          <w:color w:val="000000"/>
          <w:lang w:eastAsia="bg-BG"/>
        </w:rPr>
        <w:t>Пациенти в старческа възраст:</w:t>
      </w:r>
    </w:p>
    <w:p w14:paraId="2B631377" w14:textId="3ABBF6ED" w:rsidR="00EF1469" w:rsidRDefault="00EF1469" w:rsidP="00EF1469">
      <w:pPr>
        <w:rPr>
          <w:rFonts w:eastAsia="Times New Roman" w:cs="Arial"/>
          <w:color w:val="000000"/>
          <w:lang w:eastAsia="bg-BG"/>
        </w:rPr>
      </w:pPr>
      <w:r w:rsidRPr="00EF1469">
        <w:rPr>
          <w:rFonts w:eastAsia="Times New Roman" w:cs="Arial"/>
          <w:color w:val="000000"/>
          <w:lang w:eastAsia="bg-BG"/>
        </w:rPr>
        <w:t>Плазмените концентрации на аторвастатин и неговите активни метаболити са по-високи при здрави хора в старческа възраст, отколкото при млади пациенти, а ефектите по отношение на липидите са сравними с тези при по-млади пациенти.</w:t>
      </w:r>
    </w:p>
    <w:p w14:paraId="57FCA2AF" w14:textId="11FA0372" w:rsidR="00EF1469" w:rsidRDefault="00EF1469" w:rsidP="00EF1469">
      <w:pPr>
        <w:rPr>
          <w:rFonts w:eastAsia="Times New Roman" w:cs="Arial"/>
          <w:color w:val="000000"/>
          <w:lang w:eastAsia="bg-BG"/>
        </w:rPr>
      </w:pPr>
    </w:p>
    <w:p w14:paraId="7161497B" w14:textId="77777777" w:rsidR="00EF1469" w:rsidRPr="00EF1469" w:rsidRDefault="00EF1469" w:rsidP="00EF1469">
      <w:pPr>
        <w:spacing w:line="240" w:lineRule="auto"/>
        <w:rPr>
          <w:rFonts w:eastAsia="Times New Roman" w:cs="Arial"/>
        </w:rPr>
      </w:pPr>
      <w:r w:rsidRPr="00EF1469">
        <w:rPr>
          <w:rFonts w:eastAsia="Times New Roman" w:cs="Arial"/>
          <w:i/>
          <w:iCs/>
          <w:color w:val="000000"/>
          <w:lang w:eastAsia="bg-BG"/>
        </w:rPr>
        <w:t>Педиатрична популация:</w:t>
      </w:r>
    </w:p>
    <w:p w14:paraId="3C4CEC8B"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В отворено, 8-седмично проучване, педиатрични пациенти (на възраст 6-17 години) 1 стадий по </w:t>
      </w:r>
      <w:r w:rsidRPr="00EF1469">
        <w:rPr>
          <w:rFonts w:eastAsia="Times New Roman" w:cs="Arial"/>
          <w:color w:val="000000"/>
          <w:lang w:val="en-US"/>
        </w:rPr>
        <w:t>Tanner</w:t>
      </w:r>
      <w:r w:rsidRPr="00EF1469">
        <w:rPr>
          <w:rFonts w:eastAsia="Times New Roman" w:cs="Arial"/>
          <w:color w:val="000000"/>
          <w:lang w:val="ru-RU"/>
        </w:rPr>
        <w:t xml:space="preserve"> (</w:t>
      </w:r>
      <w:r w:rsidRPr="00EF1469">
        <w:rPr>
          <w:rFonts w:eastAsia="Times New Roman" w:cs="Arial"/>
          <w:color w:val="000000"/>
          <w:lang w:val="en-US"/>
        </w:rPr>
        <w:t>N</w:t>
      </w:r>
      <w:r w:rsidRPr="00EF1469">
        <w:rPr>
          <w:rFonts w:eastAsia="Times New Roman" w:cs="Arial"/>
          <w:color w:val="000000"/>
          <w:lang w:val="ru-RU"/>
        </w:rPr>
        <w:t xml:space="preserve">=15) </w:t>
      </w:r>
      <w:r w:rsidRPr="00EF1469">
        <w:rPr>
          <w:rFonts w:eastAsia="Times New Roman" w:cs="Arial"/>
          <w:color w:val="000000"/>
          <w:lang w:eastAsia="bg-BG"/>
        </w:rPr>
        <w:t xml:space="preserve">и стадий по </w:t>
      </w:r>
      <w:r w:rsidRPr="00EF1469">
        <w:rPr>
          <w:rFonts w:eastAsia="Times New Roman" w:cs="Arial"/>
          <w:color w:val="000000"/>
          <w:lang w:val="en-US"/>
        </w:rPr>
        <w:t>Tanner</w:t>
      </w:r>
      <w:r w:rsidRPr="00EF1469">
        <w:rPr>
          <w:rFonts w:eastAsia="Times New Roman" w:cs="Arial"/>
          <w:color w:val="000000"/>
          <w:lang w:val="ru-RU"/>
        </w:rPr>
        <w:t xml:space="preserve"> </w:t>
      </w:r>
      <w:r w:rsidRPr="00EF1469">
        <w:rPr>
          <w:rFonts w:eastAsia="Times New Roman" w:cs="Arial"/>
          <w:color w:val="000000"/>
          <w:lang w:eastAsia="bg-BG"/>
        </w:rPr>
        <w:t xml:space="preserve">≥2 </w:t>
      </w:r>
      <w:r w:rsidRPr="00EF1469">
        <w:rPr>
          <w:rFonts w:eastAsia="Times New Roman" w:cs="Arial"/>
          <w:color w:val="000000"/>
          <w:lang w:val="ru-RU"/>
        </w:rPr>
        <w:t>(</w:t>
      </w:r>
      <w:r w:rsidRPr="00EF1469">
        <w:rPr>
          <w:rFonts w:eastAsia="Times New Roman" w:cs="Arial"/>
          <w:color w:val="000000"/>
          <w:lang w:val="en-US"/>
        </w:rPr>
        <w:t>N</w:t>
      </w:r>
      <w:r w:rsidRPr="00EF1469">
        <w:rPr>
          <w:rFonts w:eastAsia="Times New Roman" w:cs="Arial"/>
          <w:color w:val="000000"/>
          <w:lang w:val="ru-RU"/>
        </w:rPr>
        <w:t xml:space="preserve">=24) </w:t>
      </w:r>
      <w:r w:rsidRPr="00EF1469">
        <w:rPr>
          <w:rFonts w:eastAsia="Times New Roman" w:cs="Arial"/>
          <w:color w:val="000000"/>
          <w:lang w:eastAsia="bg-BG"/>
        </w:rPr>
        <w:t xml:space="preserve">с хетерозиготна фамилна хиперхолестеролемия и базови стойности на </w:t>
      </w:r>
      <w:r w:rsidRPr="00EF1469">
        <w:rPr>
          <w:rFonts w:eastAsia="Times New Roman" w:cs="Arial"/>
          <w:color w:val="000000"/>
          <w:lang w:val="en-US"/>
        </w:rPr>
        <w:t>LDL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 xml:space="preserve">≥4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 xml:space="preserve">/1 </w:t>
      </w:r>
      <w:r w:rsidRPr="00EF1469">
        <w:rPr>
          <w:rFonts w:eastAsia="Times New Roman" w:cs="Arial"/>
          <w:color w:val="000000"/>
          <w:lang w:eastAsia="bg-BG"/>
        </w:rPr>
        <w:t xml:space="preserve">са лекувани с 5 или 10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 xml:space="preserve">таблетки за дъвчене или съответно 10 или 20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 xml:space="preserve">филмирани таблетки аторвастатин веднъж дневно. Единствената значителна промяна във фармакокинетичния модел на популацията, лекувана с аторвастатин, е телесната маса. Видимият перорален клирънс на аторвастатин при педиатрични пациенти се явява подобен на този при възрастни след алометрично измерване на телесното тегло. Съответно намаление на </w:t>
      </w:r>
      <w:r w:rsidRPr="00EF1469">
        <w:rPr>
          <w:rFonts w:eastAsia="Times New Roman" w:cs="Arial"/>
          <w:color w:val="000000"/>
          <w:lang w:val="en-US"/>
        </w:rPr>
        <w:t>LDL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и ТС е било наблюдавано в диапазона на експозиция на аторвастатин и о-хидроксиаторвастатин.</w:t>
      </w:r>
    </w:p>
    <w:p w14:paraId="7AC93924" w14:textId="77777777" w:rsidR="00EF1469" w:rsidRDefault="00EF1469" w:rsidP="00EF1469">
      <w:pPr>
        <w:spacing w:line="240" w:lineRule="auto"/>
        <w:rPr>
          <w:rFonts w:eastAsia="Times New Roman" w:cs="Arial"/>
          <w:i/>
          <w:iCs/>
          <w:color w:val="000000"/>
          <w:lang w:eastAsia="bg-BG"/>
        </w:rPr>
      </w:pPr>
    </w:p>
    <w:p w14:paraId="6E1B69E2" w14:textId="077DA901" w:rsidR="00EF1469" w:rsidRPr="00EF1469" w:rsidRDefault="00EF1469" w:rsidP="00EF1469">
      <w:pPr>
        <w:spacing w:line="240" w:lineRule="auto"/>
        <w:rPr>
          <w:rFonts w:eastAsia="Times New Roman" w:cs="Arial"/>
        </w:rPr>
      </w:pPr>
      <w:r w:rsidRPr="00EF1469">
        <w:rPr>
          <w:rFonts w:eastAsia="Times New Roman" w:cs="Arial"/>
          <w:i/>
          <w:iCs/>
          <w:color w:val="000000"/>
          <w:lang w:eastAsia="bg-BG"/>
        </w:rPr>
        <w:t>Пол:</w:t>
      </w:r>
    </w:p>
    <w:p w14:paraId="2CB9F7B1"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Концентрациите на аторвастатин и неговите активни метаболити при жените се различават от тези при мъжете (жени: приблизително с 20% по-високи за С</w:t>
      </w:r>
      <w:r w:rsidRPr="00EF1469">
        <w:rPr>
          <w:rFonts w:eastAsia="Times New Roman" w:cs="Arial"/>
          <w:color w:val="000000"/>
          <w:vertAlign w:val="subscript"/>
          <w:lang w:val="en-US"/>
        </w:rPr>
        <w:t>max</w:t>
      </w:r>
      <w:r w:rsidRPr="00EF1469">
        <w:rPr>
          <w:rFonts w:eastAsia="Times New Roman" w:cs="Arial"/>
          <w:color w:val="000000"/>
          <w:lang w:eastAsia="bg-BG"/>
        </w:rPr>
        <w:t xml:space="preserve"> и с около 10% по-ниски за </w:t>
      </w:r>
      <w:r w:rsidRPr="00EF1469">
        <w:rPr>
          <w:rFonts w:eastAsia="Times New Roman" w:cs="Arial"/>
          <w:color w:val="000000"/>
          <w:lang w:val="en-US"/>
        </w:rPr>
        <w:t>AUC</w:t>
      </w:r>
      <w:r w:rsidRPr="00EF1469">
        <w:rPr>
          <w:rFonts w:eastAsia="Times New Roman" w:cs="Arial"/>
          <w:color w:val="000000"/>
          <w:lang w:val="ru-RU"/>
        </w:rPr>
        <w:t xml:space="preserve">). </w:t>
      </w:r>
      <w:r w:rsidRPr="00EF1469">
        <w:rPr>
          <w:rFonts w:eastAsia="Times New Roman" w:cs="Arial"/>
          <w:color w:val="000000"/>
          <w:lang w:eastAsia="bg-BG"/>
        </w:rPr>
        <w:t>Тези разлики нямат клинично значение и няма клинично значими разлики между ефектите по отношение на липидите при мъже и жени.</w:t>
      </w:r>
    </w:p>
    <w:p w14:paraId="29BD2F25" w14:textId="77777777" w:rsidR="00EF1469" w:rsidRDefault="00EF1469" w:rsidP="00EF1469">
      <w:pPr>
        <w:spacing w:line="240" w:lineRule="auto"/>
        <w:rPr>
          <w:rFonts w:eastAsia="Times New Roman" w:cs="Arial"/>
          <w:i/>
          <w:iCs/>
          <w:color w:val="000000"/>
          <w:lang w:eastAsia="bg-BG"/>
        </w:rPr>
      </w:pPr>
    </w:p>
    <w:p w14:paraId="75600D0D" w14:textId="14A2199C" w:rsidR="00EF1469" w:rsidRPr="00EF1469" w:rsidRDefault="00EF1469" w:rsidP="00EF1469">
      <w:pPr>
        <w:spacing w:line="240" w:lineRule="auto"/>
        <w:rPr>
          <w:rFonts w:eastAsia="Times New Roman" w:cs="Arial"/>
        </w:rPr>
      </w:pPr>
      <w:r w:rsidRPr="00EF1469">
        <w:rPr>
          <w:rFonts w:eastAsia="Times New Roman" w:cs="Arial"/>
          <w:i/>
          <w:iCs/>
          <w:color w:val="000000"/>
          <w:lang w:eastAsia="bg-BG"/>
        </w:rPr>
        <w:t>Пациенти с бъбречно увреждане:</w:t>
      </w:r>
    </w:p>
    <w:p w14:paraId="00E19E11"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Бъбречните заболявания нямат влияние върху плазмените концентрации или върху липидните ефекти на аторвастатин и неговите активни метаболити.</w:t>
      </w:r>
    </w:p>
    <w:p w14:paraId="2A1600F7" w14:textId="77777777" w:rsidR="00EF1469" w:rsidRDefault="00EF1469" w:rsidP="00EF1469">
      <w:pPr>
        <w:spacing w:line="240" w:lineRule="auto"/>
        <w:rPr>
          <w:rFonts w:eastAsia="Times New Roman" w:cs="Arial"/>
          <w:i/>
          <w:iCs/>
          <w:color w:val="000000"/>
          <w:lang w:eastAsia="bg-BG"/>
        </w:rPr>
      </w:pPr>
    </w:p>
    <w:p w14:paraId="6A79ACD8" w14:textId="59C65E21" w:rsidR="00EF1469" w:rsidRPr="00EF1469" w:rsidRDefault="00EF1469" w:rsidP="00EF1469">
      <w:pPr>
        <w:spacing w:line="240" w:lineRule="auto"/>
        <w:rPr>
          <w:rFonts w:eastAsia="Times New Roman" w:cs="Arial"/>
        </w:rPr>
      </w:pPr>
      <w:r w:rsidRPr="00EF1469">
        <w:rPr>
          <w:rFonts w:eastAsia="Times New Roman" w:cs="Arial"/>
          <w:i/>
          <w:iCs/>
          <w:color w:val="000000"/>
          <w:lang w:eastAsia="bg-BG"/>
        </w:rPr>
        <w:t>Пациенти с чернодробно увреждане:</w:t>
      </w:r>
    </w:p>
    <w:p w14:paraId="58E8BCED"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Плазмените концентрации на аторвастатин и неговите активни метаболити са значително по- високи (приблизително 16 пъти за С</w:t>
      </w:r>
      <w:r w:rsidRPr="00EF1469">
        <w:rPr>
          <w:rFonts w:eastAsia="Times New Roman" w:cs="Arial"/>
          <w:color w:val="000000"/>
          <w:vertAlign w:val="subscript"/>
          <w:lang w:val="en-US"/>
        </w:rPr>
        <w:t>max</w:t>
      </w:r>
      <w:r w:rsidRPr="00EF1469">
        <w:rPr>
          <w:rFonts w:eastAsia="Times New Roman" w:cs="Arial"/>
          <w:color w:val="000000"/>
          <w:lang w:eastAsia="bg-BG"/>
        </w:rPr>
        <w:t xml:space="preserve"> и 11 пъти за </w:t>
      </w:r>
      <w:r w:rsidRPr="00EF1469">
        <w:rPr>
          <w:rFonts w:eastAsia="Times New Roman" w:cs="Arial"/>
          <w:color w:val="000000"/>
          <w:lang w:val="en-US"/>
        </w:rPr>
        <w:t>AUC</w:t>
      </w:r>
      <w:r w:rsidRPr="00EF1469">
        <w:rPr>
          <w:rFonts w:eastAsia="Times New Roman" w:cs="Arial"/>
          <w:color w:val="000000"/>
          <w:lang w:val="ru-RU"/>
        </w:rPr>
        <w:t xml:space="preserve">) </w:t>
      </w:r>
      <w:r w:rsidRPr="00EF1469">
        <w:rPr>
          <w:rFonts w:eastAsia="Times New Roman" w:cs="Arial"/>
          <w:color w:val="000000"/>
          <w:lang w:eastAsia="bg-BG"/>
        </w:rPr>
        <w:t xml:space="preserve">при пациенти с хронична алкохолна чернодробна болест </w:t>
      </w:r>
      <w:r w:rsidRPr="00EF1469">
        <w:rPr>
          <w:rFonts w:eastAsia="Times New Roman" w:cs="Arial"/>
          <w:color w:val="000000"/>
          <w:lang w:val="ru-RU"/>
        </w:rPr>
        <w:t>(</w:t>
      </w:r>
      <w:r w:rsidRPr="00EF1469">
        <w:rPr>
          <w:rFonts w:eastAsia="Times New Roman" w:cs="Arial"/>
          <w:color w:val="000000"/>
          <w:lang w:val="en-US"/>
        </w:rPr>
        <w:t>Child</w:t>
      </w:r>
      <w:r w:rsidRPr="00EF1469">
        <w:rPr>
          <w:rFonts w:eastAsia="Times New Roman" w:cs="Arial"/>
          <w:color w:val="000000"/>
          <w:lang w:val="ru-RU"/>
        </w:rPr>
        <w:t>-</w:t>
      </w:r>
      <w:r w:rsidRPr="00EF1469">
        <w:rPr>
          <w:rFonts w:eastAsia="Times New Roman" w:cs="Arial"/>
          <w:color w:val="000000"/>
          <w:lang w:val="en-US"/>
        </w:rPr>
        <w:t>Pugh</w:t>
      </w:r>
      <w:r w:rsidRPr="00EF1469">
        <w:rPr>
          <w:rFonts w:eastAsia="Times New Roman" w:cs="Arial"/>
          <w:color w:val="000000"/>
          <w:lang w:val="ru-RU"/>
        </w:rPr>
        <w:t xml:space="preserve"> </w:t>
      </w:r>
      <w:r w:rsidRPr="00EF1469">
        <w:rPr>
          <w:rFonts w:eastAsia="Times New Roman" w:cs="Arial"/>
          <w:color w:val="000000"/>
          <w:lang w:eastAsia="bg-BG"/>
        </w:rPr>
        <w:t>В).</w:t>
      </w:r>
    </w:p>
    <w:p w14:paraId="29547E3E" w14:textId="77777777" w:rsidR="00EF1469" w:rsidRPr="003E77D3" w:rsidRDefault="00EF1469" w:rsidP="00EF1469">
      <w:pPr>
        <w:spacing w:line="240" w:lineRule="auto"/>
        <w:rPr>
          <w:rFonts w:eastAsia="Times New Roman" w:cs="Arial"/>
          <w:i/>
          <w:iCs/>
          <w:color w:val="000000"/>
          <w:lang w:val="ru-RU"/>
        </w:rPr>
      </w:pPr>
    </w:p>
    <w:p w14:paraId="73A4A8F6" w14:textId="292FC991" w:rsidR="00EF1469" w:rsidRPr="00EF1469" w:rsidRDefault="00EF1469" w:rsidP="00EF1469">
      <w:pPr>
        <w:spacing w:line="240" w:lineRule="auto"/>
        <w:rPr>
          <w:rFonts w:eastAsia="Times New Roman" w:cs="Arial"/>
        </w:rPr>
      </w:pPr>
      <w:r w:rsidRPr="00EF1469">
        <w:rPr>
          <w:rFonts w:eastAsia="Times New Roman" w:cs="Arial"/>
          <w:i/>
          <w:iCs/>
          <w:color w:val="000000"/>
          <w:lang w:val="en-US"/>
        </w:rPr>
        <w:t>SLOC</w:t>
      </w:r>
      <w:r w:rsidRPr="00EF1469">
        <w:rPr>
          <w:rFonts w:eastAsia="Times New Roman" w:cs="Arial"/>
          <w:i/>
          <w:iCs/>
          <w:color w:val="000000"/>
          <w:lang w:val="ru-RU"/>
        </w:rPr>
        <w:t>1</w:t>
      </w:r>
      <w:r w:rsidRPr="00EF1469">
        <w:rPr>
          <w:rFonts w:eastAsia="Times New Roman" w:cs="Arial"/>
          <w:i/>
          <w:iCs/>
          <w:color w:val="000000"/>
          <w:lang w:val="en-US"/>
        </w:rPr>
        <w:t>B</w:t>
      </w:r>
      <w:r w:rsidRPr="00EF1469">
        <w:rPr>
          <w:rFonts w:eastAsia="Times New Roman" w:cs="Arial"/>
          <w:i/>
          <w:iCs/>
          <w:color w:val="000000"/>
          <w:lang w:val="ru-RU"/>
        </w:rPr>
        <w:t xml:space="preserve">1 </w:t>
      </w:r>
      <w:r w:rsidRPr="00EF1469">
        <w:rPr>
          <w:rFonts w:eastAsia="Times New Roman" w:cs="Arial"/>
          <w:i/>
          <w:iCs/>
          <w:color w:val="000000"/>
          <w:lang w:eastAsia="bg-BG"/>
        </w:rPr>
        <w:t>полиморфизъм</w:t>
      </w:r>
    </w:p>
    <w:p w14:paraId="0FF4F951" w14:textId="77777777" w:rsidR="00EF1469" w:rsidRDefault="00EF1469" w:rsidP="00EF1469">
      <w:pPr>
        <w:spacing w:line="240" w:lineRule="auto"/>
        <w:rPr>
          <w:rFonts w:eastAsia="Times New Roman" w:cs="Arial"/>
          <w:color w:val="000000"/>
          <w:lang w:eastAsia="bg-BG"/>
        </w:rPr>
      </w:pPr>
    </w:p>
    <w:p w14:paraId="0EF2CF8B" w14:textId="297BDDB4"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Чернодробното захващане на всички </w:t>
      </w:r>
      <w:r w:rsidRPr="00EF1469">
        <w:rPr>
          <w:rFonts w:eastAsia="Times New Roman" w:cs="Arial"/>
          <w:color w:val="000000"/>
          <w:lang w:val="en-US"/>
        </w:rPr>
        <w:t>HMG</w:t>
      </w:r>
      <w:r w:rsidRPr="00EF1469">
        <w:rPr>
          <w:rFonts w:eastAsia="Times New Roman" w:cs="Arial"/>
          <w:color w:val="000000"/>
          <w:lang w:eastAsia="bg-BG"/>
        </w:rPr>
        <w:t xml:space="preserve">-СоА-редуктазни инхибитори, включително аторвастатин се извършва посредством АОТР1В1 транспортен протеин. При пациенти със </w:t>
      </w:r>
      <w:r w:rsidRPr="00EF1469">
        <w:rPr>
          <w:rFonts w:eastAsia="Times New Roman" w:cs="Arial"/>
          <w:color w:val="000000"/>
          <w:lang w:val="en-US"/>
        </w:rPr>
        <w:t>SLCO</w:t>
      </w:r>
      <w:r w:rsidRPr="00EF1469">
        <w:rPr>
          <w:rFonts w:eastAsia="Times New Roman" w:cs="Arial"/>
          <w:color w:val="000000"/>
          <w:lang w:val="ru-RU"/>
        </w:rPr>
        <w:t>1</w:t>
      </w:r>
      <w:r w:rsidRPr="00EF1469">
        <w:rPr>
          <w:rFonts w:eastAsia="Times New Roman" w:cs="Arial"/>
          <w:color w:val="000000"/>
          <w:lang w:val="en-US"/>
        </w:rPr>
        <w:t>B</w:t>
      </w:r>
      <w:r w:rsidRPr="00EF1469">
        <w:rPr>
          <w:rFonts w:eastAsia="Times New Roman" w:cs="Arial"/>
          <w:color w:val="000000"/>
          <w:lang w:val="ru-RU"/>
        </w:rPr>
        <w:t xml:space="preserve">1 </w:t>
      </w:r>
      <w:r w:rsidRPr="00EF1469">
        <w:rPr>
          <w:rFonts w:eastAsia="Times New Roman" w:cs="Arial"/>
          <w:color w:val="000000"/>
          <w:lang w:eastAsia="bg-BG"/>
        </w:rPr>
        <w:t xml:space="preserve">полиморфизъм има риск от повишена експозиция на аторвастатин, което може да доведе до повишен риск от рабдомиолиза (вж. точка 4.4). Полиморфизмът при гена, кодиращ ОАТР1В1 </w:t>
      </w:r>
      <w:r w:rsidRPr="00EF1469">
        <w:rPr>
          <w:rFonts w:eastAsia="Times New Roman" w:cs="Arial"/>
          <w:color w:val="000000"/>
          <w:lang w:val="ru-RU"/>
        </w:rPr>
        <w:t>(</w:t>
      </w:r>
      <w:r w:rsidRPr="00EF1469">
        <w:rPr>
          <w:rFonts w:eastAsia="Times New Roman" w:cs="Arial"/>
          <w:color w:val="000000"/>
          <w:lang w:val="en-US"/>
        </w:rPr>
        <w:t>SLCO</w:t>
      </w:r>
      <w:r w:rsidRPr="00EF1469">
        <w:rPr>
          <w:rFonts w:eastAsia="Times New Roman" w:cs="Arial"/>
          <w:color w:val="000000"/>
          <w:lang w:val="ru-RU"/>
        </w:rPr>
        <w:t>1</w:t>
      </w:r>
      <w:r w:rsidRPr="00EF1469">
        <w:rPr>
          <w:rFonts w:eastAsia="Times New Roman" w:cs="Arial"/>
          <w:color w:val="000000"/>
          <w:lang w:val="en-US"/>
        </w:rPr>
        <w:t>B</w:t>
      </w:r>
      <w:r w:rsidRPr="00EF1469">
        <w:rPr>
          <w:rFonts w:eastAsia="Times New Roman" w:cs="Arial"/>
          <w:color w:val="000000"/>
          <w:lang w:val="ru-RU"/>
        </w:rPr>
        <w:t xml:space="preserve">1 </w:t>
      </w:r>
      <w:r w:rsidRPr="00EF1469">
        <w:rPr>
          <w:rFonts w:eastAsia="Times New Roman" w:cs="Arial"/>
          <w:color w:val="000000"/>
          <w:lang w:eastAsia="bg-BG"/>
        </w:rPr>
        <w:t xml:space="preserve">с.521СС), е свързан с 2,4 пъти по-висока системна наличност на аторвастатин </w:t>
      </w:r>
      <w:r w:rsidRPr="00EF1469">
        <w:rPr>
          <w:rFonts w:eastAsia="Times New Roman" w:cs="Arial"/>
          <w:color w:val="000000"/>
          <w:lang w:val="ru-RU"/>
        </w:rPr>
        <w:t>(</w:t>
      </w:r>
      <w:r w:rsidRPr="00EF1469">
        <w:rPr>
          <w:rFonts w:eastAsia="Times New Roman" w:cs="Arial"/>
          <w:color w:val="000000"/>
          <w:lang w:val="en-US"/>
        </w:rPr>
        <w:t>AUC</w:t>
      </w:r>
      <w:r w:rsidRPr="00EF1469">
        <w:rPr>
          <w:rFonts w:eastAsia="Times New Roman" w:cs="Arial"/>
          <w:color w:val="000000"/>
          <w:lang w:val="ru-RU"/>
        </w:rPr>
        <w:t xml:space="preserve">) </w:t>
      </w:r>
      <w:r w:rsidRPr="00EF1469">
        <w:rPr>
          <w:rFonts w:eastAsia="Times New Roman" w:cs="Arial"/>
          <w:color w:val="000000"/>
          <w:lang w:eastAsia="bg-BG"/>
        </w:rPr>
        <w:t>в сравнение с индивиди без този генотипен вариант (с.521ТТ). При тези пациенти е възможно също генетично да е нарушено чернодробното захващане на аторвастатин. Възможните последствия върху ефикасността са неизвестни.</w:t>
      </w:r>
    </w:p>
    <w:p w14:paraId="3F62E729" w14:textId="77777777" w:rsidR="00EF1469" w:rsidRPr="00EF1469" w:rsidRDefault="00EF1469" w:rsidP="00EF1469">
      <w:pPr>
        <w:rPr>
          <w:rFonts w:cs="Arial"/>
        </w:rPr>
      </w:pPr>
    </w:p>
    <w:p w14:paraId="648E39DA" w14:textId="440D515F" w:rsidR="00CF77F7" w:rsidRDefault="002C50EE" w:rsidP="004A448E">
      <w:pPr>
        <w:pStyle w:val="Heading2"/>
      </w:pPr>
      <w:r>
        <w:lastRenderedPageBreak/>
        <w:t>5.3. Предклинични данни за безопасност</w:t>
      </w:r>
    </w:p>
    <w:p w14:paraId="4DF78526" w14:textId="2BBBE244" w:rsidR="00EF1469" w:rsidRDefault="00EF1469" w:rsidP="00EF1469"/>
    <w:p w14:paraId="55A9931F"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Аторвастатин не е показал мутагенен или кластогенен потенциал в батерия от 4 </w:t>
      </w:r>
      <w:r w:rsidRPr="00EF1469">
        <w:rPr>
          <w:rFonts w:eastAsia="Times New Roman" w:cs="Arial"/>
          <w:color w:val="000000"/>
          <w:lang w:val="en-US"/>
        </w:rPr>
        <w:t>in</w:t>
      </w:r>
      <w:r w:rsidRPr="00EF1469">
        <w:rPr>
          <w:rFonts w:eastAsia="Times New Roman" w:cs="Arial"/>
          <w:color w:val="000000"/>
          <w:lang w:val="ru-RU"/>
        </w:rPr>
        <w:t xml:space="preserve"> </w:t>
      </w:r>
      <w:r w:rsidRPr="00EF1469">
        <w:rPr>
          <w:rFonts w:eastAsia="Times New Roman" w:cs="Arial"/>
          <w:color w:val="000000"/>
          <w:lang w:val="en-US"/>
        </w:rPr>
        <w:t>vitro</w:t>
      </w:r>
      <w:r w:rsidRPr="00EF1469">
        <w:rPr>
          <w:rFonts w:eastAsia="Times New Roman" w:cs="Arial"/>
          <w:color w:val="000000"/>
          <w:lang w:val="ru-RU"/>
        </w:rPr>
        <w:t xml:space="preserve"> </w:t>
      </w:r>
      <w:r w:rsidRPr="00EF1469">
        <w:rPr>
          <w:rFonts w:eastAsia="Times New Roman" w:cs="Arial"/>
          <w:color w:val="000000"/>
          <w:lang w:eastAsia="bg-BG"/>
        </w:rPr>
        <w:t xml:space="preserve">тестове и в един анализ </w:t>
      </w:r>
      <w:r w:rsidRPr="00EF1469">
        <w:rPr>
          <w:rFonts w:eastAsia="Times New Roman" w:cs="Arial"/>
          <w:color w:val="000000"/>
          <w:lang w:val="en-US"/>
        </w:rPr>
        <w:t>in</w:t>
      </w:r>
      <w:r w:rsidRPr="00EF1469">
        <w:rPr>
          <w:rFonts w:eastAsia="Times New Roman" w:cs="Arial"/>
          <w:color w:val="000000"/>
          <w:lang w:val="ru-RU"/>
        </w:rPr>
        <w:t xml:space="preserve"> </w:t>
      </w:r>
      <w:r w:rsidRPr="00EF1469">
        <w:rPr>
          <w:rFonts w:eastAsia="Times New Roman" w:cs="Arial"/>
          <w:color w:val="000000"/>
          <w:lang w:val="en-US"/>
        </w:rPr>
        <w:t>vivo</w:t>
      </w:r>
      <w:r w:rsidRPr="00EF1469">
        <w:rPr>
          <w:rFonts w:eastAsia="Times New Roman" w:cs="Arial"/>
          <w:color w:val="000000"/>
          <w:lang w:val="ru-RU"/>
        </w:rPr>
        <w:t xml:space="preserve">. </w:t>
      </w:r>
      <w:r w:rsidRPr="00EF1469">
        <w:rPr>
          <w:rFonts w:eastAsia="Times New Roman" w:cs="Arial"/>
          <w:color w:val="000000"/>
          <w:lang w:eastAsia="bg-BG"/>
        </w:rPr>
        <w:t xml:space="preserve">Аторвастатин не е канцерогенен за плъхове, но при прилагане на високи дози при мишки (довели до 6-11 пъти по-високи стойности на </w:t>
      </w:r>
      <w:r w:rsidRPr="00EF1469">
        <w:rPr>
          <w:rFonts w:eastAsia="Times New Roman" w:cs="Arial"/>
          <w:color w:val="000000"/>
          <w:lang w:val="en-US"/>
        </w:rPr>
        <w:t>AUC</w:t>
      </w:r>
      <w:r w:rsidRPr="00EF1469">
        <w:rPr>
          <w:rFonts w:eastAsia="Times New Roman" w:cs="Arial"/>
          <w:color w:val="000000"/>
          <w:lang w:val="ru-RU"/>
        </w:rPr>
        <w:t xml:space="preserve"> </w:t>
      </w:r>
      <w:r w:rsidRPr="00EF1469">
        <w:rPr>
          <w:rFonts w:eastAsia="Times New Roman" w:cs="Arial"/>
          <w:color w:val="000000"/>
          <w:lang w:eastAsia="bg-BG"/>
        </w:rPr>
        <w:t>(0 до 24 часа) в сравнение с тези при хора, приемали най-високата препоръчителна доза) са се появили случаи на хепатоцелуларен аденом при мъжките и хепатоцелуларен карцином при женските животни.</w:t>
      </w:r>
    </w:p>
    <w:p w14:paraId="7285B0DD" w14:textId="77777777" w:rsidR="00EF1469" w:rsidRDefault="00EF1469" w:rsidP="00EF1469">
      <w:pPr>
        <w:spacing w:line="240" w:lineRule="auto"/>
        <w:rPr>
          <w:rFonts w:eastAsia="Times New Roman" w:cs="Arial"/>
          <w:color w:val="000000"/>
          <w:lang w:eastAsia="bg-BG"/>
        </w:rPr>
      </w:pPr>
    </w:p>
    <w:p w14:paraId="657DF349" w14:textId="514C2DCB"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Има данни от проучвания при животни, че </w:t>
      </w:r>
      <w:r w:rsidRPr="00EF1469">
        <w:rPr>
          <w:rFonts w:eastAsia="Times New Roman" w:cs="Arial"/>
          <w:color w:val="000000"/>
          <w:lang w:val="en-US"/>
        </w:rPr>
        <w:t>HMG</w:t>
      </w:r>
      <w:r w:rsidRPr="00EF1469">
        <w:rPr>
          <w:rFonts w:eastAsia="Times New Roman" w:cs="Arial"/>
          <w:color w:val="000000"/>
          <w:lang w:eastAsia="bg-BG"/>
        </w:rPr>
        <w:t>-СоА-редуктазните инхибитори може да влияят върху развитието на ембрионите и фетусите. При плъхове, зайци и кучета аторвастатин няма ефект върху фертилитета и не е тератогенен, но при токсични за майката дози, при плъхове и зайци е енаблюдавана фетална токсичност. Развитието на поколението при плъхове е забавено и постнаталното оцеляване намалено при експозиция на майката на високи дози аторвастатин. При плъхове има доказателство за преминаване на лекарството през плацентата. При плъхове плазмените концентрации на аторвастатин са близки до тези в млякото. Не е известно дали аторвастатин и неговите метаболити се екскретират в кърмата.</w:t>
      </w:r>
    </w:p>
    <w:p w14:paraId="61E40DE9" w14:textId="77777777" w:rsidR="00EF1469" w:rsidRPr="00EF1469" w:rsidRDefault="00EF1469" w:rsidP="00EF1469"/>
    <w:p w14:paraId="6A7820AB" w14:textId="0DDF129D" w:rsidR="008A6AF2" w:rsidRDefault="002C50EE" w:rsidP="00395555">
      <w:pPr>
        <w:pStyle w:val="Heading1"/>
      </w:pPr>
      <w:r>
        <w:t>7. ПРИТЕЖАТЕЛ НА РАЗРЕШЕНИЕТО ЗА УПОТРЕБА</w:t>
      </w:r>
    </w:p>
    <w:p w14:paraId="41D9BC1F" w14:textId="5912B5BF" w:rsidR="00EF1469" w:rsidRDefault="00EF1469" w:rsidP="00EF1469"/>
    <w:p w14:paraId="13FD9EA1" w14:textId="77777777" w:rsidR="00EF1469" w:rsidRDefault="00EF1469" w:rsidP="00EF1469">
      <w:r>
        <w:t xml:space="preserve">НОБЕЛ ФАРМА ЕООД </w:t>
      </w:r>
    </w:p>
    <w:p w14:paraId="42EA708A" w14:textId="77777777" w:rsidR="00EF1469" w:rsidRDefault="00EF1469" w:rsidP="00EF1469">
      <w:r>
        <w:t xml:space="preserve">Околовръстен път № 36 </w:t>
      </w:r>
    </w:p>
    <w:p w14:paraId="3DD33AFA" w14:textId="03BB48F4" w:rsidR="00EF1469" w:rsidRPr="00EF1469" w:rsidRDefault="00EF1469" w:rsidP="00EF1469">
      <w:r>
        <w:t>София 1415, България</w:t>
      </w:r>
    </w:p>
    <w:p w14:paraId="7BA1BA64" w14:textId="36EC24F1" w:rsidR="00CF77F7" w:rsidRDefault="002C50EE" w:rsidP="004A448E">
      <w:pPr>
        <w:pStyle w:val="Heading1"/>
      </w:pPr>
      <w:r>
        <w:t>8. НОМЕР НА РАЗРЕШЕНИЕТО ЗА УПОТРЕБА</w:t>
      </w:r>
    </w:p>
    <w:p w14:paraId="1C51FDFB" w14:textId="10894427" w:rsidR="00EF1469" w:rsidRDefault="00EF1469" w:rsidP="00EF1469"/>
    <w:p w14:paraId="7D0847F5" w14:textId="760AB00E" w:rsidR="00EF1469" w:rsidRPr="00EF1469" w:rsidRDefault="00EF1469" w:rsidP="00EF1469">
      <w:r>
        <w:rPr>
          <w:lang w:val="en-US"/>
        </w:rPr>
        <w:t>Per</w:t>
      </w:r>
      <w:r w:rsidRPr="00EF1469">
        <w:rPr>
          <w:lang w:val="ru-RU"/>
        </w:rPr>
        <w:t xml:space="preserve">. </w:t>
      </w:r>
      <w:r>
        <w:t>№201204</w:t>
      </w:r>
      <w:r w:rsidR="003E77D3">
        <w:t>69</w:t>
      </w:r>
      <w:bookmarkStart w:id="2" w:name="_GoBack"/>
      <w:bookmarkEnd w:id="2"/>
    </w:p>
    <w:p w14:paraId="2CCB5832" w14:textId="1856B9D4" w:rsidR="007C605B" w:rsidRDefault="002C50EE" w:rsidP="007C605B">
      <w:pPr>
        <w:pStyle w:val="Heading1"/>
      </w:pPr>
      <w:r>
        <w:t>9. ДАТА НА ПЪРВО РАЗРЕШАВАНЕ/ПОДНОВЯВАНЕ НА РАЗРЕШЕНИЕТО ЗА УПОТРЕБА</w:t>
      </w:r>
    </w:p>
    <w:p w14:paraId="5223C252" w14:textId="40E2A87E" w:rsidR="00EF1469" w:rsidRDefault="00EF1469" w:rsidP="00EF1469"/>
    <w:p w14:paraId="26F0C025" w14:textId="3BF4239E" w:rsidR="00EF1469" w:rsidRPr="00EF1469" w:rsidRDefault="00EF1469" w:rsidP="00EF1469">
      <w:pPr>
        <w:rPr>
          <w:lang w:eastAsia="bg-BG"/>
        </w:rPr>
      </w:pPr>
      <w:r w:rsidRPr="00EF1469">
        <w:rPr>
          <w:lang w:eastAsia="bg-BG"/>
        </w:rPr>
        <w:t>Дата на първо разрешаване: 20.09.2012 г.</w:t>
      </w:r>
    </w:p>
    <w:p w14:paraId="0E9D0119" w14:textId="0245C6D7" w:rsidR="002C50EE" w:rsidRDefault="002C50EE" w:rsidP="002C50EE">
      <w:pPr>
        <w:pStyle w:val="Heading1"/>
      </w:pPr>
      <w:r>
        <w:t>10. ДАТА НА АКТУАЛИЗИРАНЕ НА ТЕКСТА</w:t>
      </w:r>
    </w:p>
    <w:bookmarkEnd w:id="0"/>
    <w:p w14:paraId="51A9334C" w14:textId="77FE02E4" w:rsidR="00EF1469" w:rsidRPr="003E3126" w:rsidRDefault="00EF1469" w:rsidP="00EF1469">
      <w:r>
        <w:t>08/2017</w:t>
      </w:r>
    </w:p>
    <w:sectPr w:rsidR="00EF1469"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3F74E27"/>
    <w:multiLevelType w:val="hybridMultilevel"/>
    <w:tmpl w:val="FC3E9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0B78C7"/>
    <w:multiLevelType w:val="hybridMultilevel"/>
    <w:tmpl w:val="8EEEB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7"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2"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723FEC"/>
    <w:multiLevelType w:val="hybridMultilevel"/>
    <w:tmpl w:val="27C86A2A"/>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8"/>
  </w:num>
  <w:num w:numId="2">
    <w:abstractNumId w:val="0"/>
  </w:num>
  <w:num w:numId="3">
    <w:abstractNumId w:val="14"/>
  </w:num>
  <w:num w:numId="4">
    <w:abstractNumId w:val="3"/>
  </w:num>
  <w:num w:numId="5">
    <w:abstractNumId w:val="1"/>
  </w:num>
  <w:num w:numId="6">
    <w:abstractNumId w:val="17"/>
  </w:num>
  <w:num w:numId="7">
    <w:abstractNumId w:val="12"/>
  </w:num>
  <w:num w:numId="8">
    <w:abstractNumId w:val="16"/>
  </w:num>
  <w:num w:numId="9">
    <w:abstractNumId w:val="2"/>
  </w:num>
  <w:num w:numId="10">
    <w:abstractNumId w:val="5"/>
  </w:num>
  <w:num w:numId="11">
    <w:abstractNumId w:val="31"/>
  </w:num>
  <w:num w:numId="12">
    <w:abstractNumId w:val="15"/>
  </w:num>
  <w:num w:numId="13">
    <w:abstractNumId w:val="20"/>
  </w:num>
  <w:num w:numId="14">
    <w:abstractNumId w:val="13"/>
  </w:num>
  <w:num w:numId="15">
    <w:abstractNumId w:val="30"/>
  </w:num>
  <w:num w:numId="16">
    <w:abstractNumId w:val="11"/>
  </w:num>
  <w:num w:numId="17">
    <w:abstractNumId w:val="25"/>
  </w:num>
  <w:num w:numId="18">
    <w:abstractNumId w:val="8"/>
  </w:num>
  <w:num w:numId="19">
    <w:abstractNumId w:val="27"/>
  </w:num>
  <w:num w:numId="20">
    <w:abstractNumId w:val="24"/>
  </w:num>
  <w:num w:numId="21">
    <w:abstractNumId w:val="18"/>
  </w:num>
  <w:num w:numId="22">
    <w:abstractNumId w:val="26"/>
  </w:num>
  <w:num w:numId="23">
    <w:abstractNumId w:val="19"/>
  </w:num>
  <w:num w:numId="24">
    <w:abstractNumId w:val="10"/>
  </w:num>
  <w:num w:numId="25">
    <w:abstractNumId w:val="23"/>
  </w:num>
  <w:num w:numId="26">
    <w:abstractNumId w:val="22"/>
  </w:num>
  <w:num w:numId="27">
    <w:abstractNumId w:val="33"/>
  </w:num>
  <w:num w:numId="28">
    <w:abstractNumId w:val="7"/>
  </w:num>
  <w:num w:numId="29">
    <w:abstractNumId w:val="21"/>
  </w:num>
  <w:num w:numId="30">
    <w:abstractNumId w:val="36"/>
  </w:num>
  <w:num w:numId="31">
    <w:abstractNumId w:val="6"/>
  </w:num>
  <w:num w:numId="32">
    <w:abstractNumId w:val="35"/>
  </w:num>
  <w:num w:numId="33">
    <w:abstractNumId w:val="29"/>
  </w:num>
  <w:num w:numId="34">
    <w:abstractNumId w:val="34"/>
  </w:num>
  <w:num w:numId="35">
    <w:abstractNumId w:val="32"/>
  </w:num>
  <w:num w:numId="36">
    <w:abstractNumId w:val="9"/>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50EE"/>
    <w:rsid w:val="00340A0A"/>
    <w:rsid w:val="003765DC"/>
    <w:rsid w:val="00395555"/>
    <w:rsid w:val="003E3126"/>
    <w:rsid w:val="003E77D3"/>
    <w:rsid w:val="00426E5F"/>
    <w:rsid w:val="004A448E"/>
    <w:rsid w:val="004D4D6B"/>
    <w:rsid w:val="004F1CE7"/>
    <w:rsid w:val="004F498A"/>
    <w:rsid w:val="00517A5B"/>
    <w:rsid w:val="00593A00"/>
    <w:rsid w:val="005A66D9"/>
    <w:rsid w:val="00605BCA"/>
    <w:rsid w:val="006158A1"/>
    <w:rsid w:val="00617B1F"/>
    <w:rsid w:val="00672487"/>
    <w:rsid w:val="00672600"/>
    <w:rsid w:val="00681D4A"/>
    <w:rsid w:val="00685882"/>
    <w:rsid w:val="0075649D"/>
    <w:rsid w:val="007C605B"/>
    <w:rsid w:val="008134C8"/>
    <w:rsid w:val="00814073"/>
    <w:rsid w:val="00826F0D"/>
    <w:rsid w:val="00893B92"/>
    <w:rsid w:val="008A6AF2"/>
    <w:rsid w:val="008C70A2"/>
    <w:rsid w:val="009773E4"/>
    <w:rsid w:val="009B171C"/>
    <w:rsid w:val="009F1313"/>
    <w:rsid w:val="00A20351"/>
    <w:rsid w:val="00A65A81"/>
    <w:rsid w:val="00AA23EC"/>
    <w:rsid w:val="00AC63CE"/>
    <w:rsid w:val="00AE2107"/>
    <w:rsid w:val="00B275A8"/>
    <w:rsid w:val="00BE2FFB"/>
    <w:rsid w:val="00BF2600"/>
    <w:rsid w:val="00C0049F"/>
    <w:rsid w:val="00C07B84"/>
    <w:rsid w:val="00C33464"/>
    <w:rsid w:val="00C40420"/>
    <w:rsid w:val="00C809A7"/>
    <w:rsid w:val="00C83063"/>
    <w:rsid w:val="00C87E90"/>
    <w:rsid w:val="00CA1B57"/>
    <w:rsid w:val="00CF77F7"/>
    <w:rsid w:val="00D86297"/>
    <w:rsid w:val="00DD466D"/>
    <w:rsid w:val="00EB6364"/>
    <w:rsid w:val="00EF1469"/>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8414</Words>
  <Characters>47962</Characters>
  <Application>Microsoft Office Word</Application>
  <DocSecurity>0</DocSecurity>
  <Lines>399</Lines>
  <Paragraphs>112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2022-04-26T12:34:00Z</dcterms:created>
  <dcterms:modified xsi:type="dcterms:W3CDTF">2022-04-26T12:34:00Z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