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14008A99" w:rsidR="0091385D" w:rsidRDefault="0091385D" w:rsidP="0091385D"/>
    <w:p w14:paraId="0921D4AC"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АТОРВИСТАТ К 10 </w:t>
      </w:r>
      <w:r w:rsidRPr="009A0C07">
        <w:rPr>
          <w:rFonts w:eastAsia="Times New Roman" w:cs="Arial"/>
          <w:color w:val="000000"/>
          <w:lang w:val="en-US"/>
        </w:rPr>
        <w:t xml:space="preserve">mg </w:t>
      </w:r>
      <w:r w:rsidRPr="009A0C07">
        <w:rPr>
          <w:rFonts w:eastAsia="Times New Roman" w:cs="Arial"/>
          <w:color w:val="000000"/>
          <w:lang w:eastAsia="bg-BG"/>
        </w:rPr>
        <w:t>филмирани таблетки</w:t>
      </w:r>
    </w:p>
    <w:p w14:paraId="4E241B86" w14:textId="77777777" w:rsidR="009A0C07" w:rsidRPr="009A0C07" w:rsidRDefault="009A0C07" w:rsidP="009A0C07">
      <w:pPr>
        <w:rPr>
          <w:rFonts w:eastAsia="Times New Roman" w:cs="Arial"/>
          <w:color w:val="000000"/>
          <w:lang w:val="en-US"/>
        </w:rPr>
      </w:pPr>
    </w:p>
    <w:p w14:paraId="73D1D99C" w14:textId="0137A0E5" w:rsidR="0091385D" w:rsidRPr="009A0C07" w:rsidRDefault="009A0C07" w:rsidP="009A0C07">
      <w:pPr>
        <w:rPr>
          <w:rFonts w:cs="Arial"/>
        </w:rPr>
      </w:pPr>
      <w:r w:rsidRPr="009A0C07">
        <w:rPr>
          <w:rFonts w:eastAsia="Times New Roman" w:cs="Arial"/>
          <w:color w:val="000000"/>
          <w:lang w:val="en-US"/>
        </w:rPr>
        <w:t xml:space="preserve">ATORVISTAT </w:t>
      </w:r>
      <w:r w:rsidRPr="009A0C07">
        <w:rPr>
          <w:rFonts w:eastAsia="Times New Roman" w:cs="Arial"/>
          <w:color w:val="000000"/>
          <w:lang w:eastAsia="bg-BG"/>
        </w:rPr>
        <w:t xml:space="preserve">К 10 </w:t>
      </w:r>
      <w:r w:rsidRPr="009A0C07">
        <w:rPr>
          <w:rFonts w:eastAsia="Times New Roman" w:cs="Arial"/>
          <w:color w:val="000000"/>
          <w:lang w:val="en-US"/>
        </w:rPr>
        <w:t>mg film-coated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09C7A846"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Всяка филмирана таблетка съдържа 10 </w:t>
      </w:r>
      <w:r w:rsidRPr="009A0C07">
        <w:rPr>
          <w:rFonts w:eastAsia="Times New Roman" w:cs="Arial"/>
          <w:color w:val="000000"/>
          <w:lang w:val="en-US"/>
        </w:rPr>
        <w:t xml:space="preserve">mg </w:t>
      </w:r>
      <w:r w:rsidRPr="009A0C07">
        <w:rPr>
          <w:rFonts w:eastAsia="Times New Roman" w:cs="Arial"/>
          <w:color w:val="000000"/>
          <w:lang w:eastAsia="bg-BG"/>
        </w:rPr>
        <w:t xml:space="preserve">аторвастатин </w:t>
      </w:r>
      <w:r w:rsidRPr="009A0C07">
        <w:rPr>
          <w:rFonts w:eastAsia="Times New Roman" w:cs="Arial"/>
          <w:color w:val="000000"/>
          <w:lang w:val="en-US"/>
        </w:rPr>
        <w:t xml:space="preserve">(atorvastatin) </w:t>
      </w:r>
      <w:r w:rsidRPr="009A0C07">
        <w:rPr>
          <w:rFonts w:eastAsia="Times New Roman" w:cs="Arial"/>
          <w:color w:val="000000"/>
          <w:lang w:eastAsia="bg-BG"/>
        </w:rPr>
        <w:t>като аторвастатин калций трихидрат.</w:t>
      </w:r>
    </w:p>
    <w:p w14:paraId="632CE7C1" w14:textId="77777777" w:rsidR="009A0C07" w:rsidRPr="009A0C07" w:rsidRDefault="009A0C07" w:rsidP="009A0C07">
      <w:pPr>
        <w:spacing w:line="240" w:lineRule="auto"/>
        <w:rPr>
          <w:rFonts w:eastAsia="Times New Roman" w:cs="Arial"/>
          <w:color w:val="000000"/>
          <w:lang w:eastAsia="bg-BG"/>
        </w:rPr>
      </w:pPr>
    </w:p>
    <w:p w14:paraId="4B8F41F9" w14:textId="0AB880AB"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Помощно вещество с известен ефект:</w:t>
      </w:r>
    </w:p>
    <w:p w14:paraId="51E2BE4E"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10 </w:t>
      </w:r>
      <w:r w:rsidRPr="009A0C07">
        <w:rPr>
          <w:rFonts w:eastAsia="Times New Roman" w:cs="Arial"/>
          <w:color w:val="000000"/>
          <w:lang w:val="en-US"/>
        </w:rPr>
        <w:t xml:space="preserve">mg: </w:t>
      </w:r>
      <w:r w:rsidRPr="009A0C07">
        <w:rPr>
          <w:rFonts w:eastAsia="Times New Roman" w:cs="Arial"/>
          <w:color w:val="000000"/>
          <w:lang w:eastAsia="bg-BG"/>
        </w:rPr>
        <w:t xml:space="preserve">съдържа 38,3 </w:t>
      </w:r>
      <w:r w:rsidRPr="009A0C07">
        <w:rPr>
          <w:rFonts w:eastAsia="Times New Roman" w:cs="Arial"/>
          <w:color w:val="000000"/>
          <w:lang w:val="en-US"/>
        </w:rPr>
        <w:t xml:space="preserve">mg </w:t>
      </w:r>
      <w:r w:rsidRPr="009A0C07">
        <w:rPr>
          <w:rFonts w:eastAsia="Times New Roman" w:cs="Arial"/>
          <w:color w:val="000000"/>
          <w:lang w:eastAsia="bg-BG"/>
        </w:rPr>
        <w:t xml:space="preserve">лактоза монохидрат; 2,8 </w:t>
      </w:r>
      <w:r w:rsidRPr="009A0C07">
        <w:rPr>
          <w:rFonts w:eastAsia="Times New Roman" w:cs="Arial"/>
          <w:color w:val="000000"/>
          <w:lang w:val="en-US"/>
        </w:rPr>
        <w:t xml:space="preserve">mg </w:t>
      </w:r>
      <w:r w:rsidRPr="009A0C07">
        <w:rPr>
          <w:rFonts w:eastAsia="Times New Roman" w:cs="Arial"/>
          <w:color w:val="000000"/>
          <w:lang w:eastAsia="bg-BG"/>
        </w:rPr>
        <w:t>натрий.</w:t>
      </w:r>
    </w:p>
    <w:p w14:paraId="0BD505E1" w14:textId="77777777" w:rsidR="009A0C07" w:rsidRPr="009A0C07" w:rsidRDefault="009A0C07" w:rsidP="009A0C07">
      <w:pPr>
        <w:rPr>
          <w:rFonts w:eastAsia="Times New Roman" w:cs="Arial"/>
          <w:color w:val="000000"/>
          <w:lang w:eastAsia="bg-BG"/>
        </w:rPr>
      </w:pPr>
    </w:p>
    <w:p w14:paraId="729D0A91" w14:textId="4CC3BA75" w:rsidR="0091385D" w:rsidRPr="009A0C07" w:rsidRDefault="009A0C07" w:rsidP="009A0C07">
      <w:pPr>
        <w:rPr>
          <w:rFonts w:cs="Arial"/>
        </w:rPr>
      </w:pPr>
      <w:r w:rsidRPr="009A0C07">
        <w:rPr>
          <w:rFonts w:eastAsia="Times New Roman" w:cs="Arial"/>
          <w:color w:val="000000"/>
          <w:lang w:eastAsia="bg-BG"/>
        </w:rPr>
        <w:t>За пълния списък на помощните вещества вижте точка 6.1.</w:t>
      </w:r>
    </w:p>
    <w:p w14:paraId="03110A50" w14:textId="77777777" w:rsidR="0091385D" w:rsidRPr="0091385D" w:rsidRDefault="0091385D"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6DEEFC0E"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Филмирана таблетка</w:t>
      </w:r>
    </w:p>
    <w:p w14:paraId="4B1227FA" w14:textId="77777777" w:rsidR="009A0C07" w:rsidRPr="009A0C07" w:rsidRDefault="009A0C07" w:rsidP="009A0C07">
      <w:pPr>
        <w:spacing w:line="240" w:lineRule="auto"/>
        <w:rPr>
          <w:rFonts w:eastAsia="Times New Roman" w:cs="Arial"/>
          <w:i/>
          <w:iCs/>
          <w:color w:val="000000"/>
          <w:lang w:eastAsia="bg-BG"/>
        </w:rPr>
      </w:pPr>
    </w:p>
    <w:p w14:paraId="0448A24C" w14:textId="5E1E4A38"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lang w:eastAsia="bg-BG"/>
        </w:rPr>
        <w:t>АТОРВИСТАТ</w:t>
      </w:r>
      <w:r w:rsidRPr="009A0C07">
        <w:rPr>
          <w:rFonts w:eastAsia="Times New Roman" w:cs="Arial"/>
          <w:i/>
          <w:iCs/>
          <w:color w:val="000000"/>
          <w:lang w:val="en-US"/>
        </w:rPr>
        <w:t xml:space="preserve"> </w:t>
      </w:r>
      <w:r w:rsidRPr="009A0C07">
        <w:rPr>
          <w:rFonts w:eastAsia="Times New Roman" w:cs="Arial"/>
          <w:i/>
          <w:iCs/>
          <w:color w:val="000000"/>
          <w:lang w:eastAsia="bg-BG"/>
        </w:rPr>
        <w:t>К</w:t>
      </w:r>
      <w:r w:rsidRPr="009A0C07">
        <w:rPr>
          <w:rFonts w:eastAsia="Times New Roman" w:cs="Arial"/>
          <w:i/>
          <w:iCs/>
          <w:color w:val="000000"/>
          <w:lang w:val="en-US"/>
        </w:rPr>
        <w:t xml:space="preserve"> </w:t>
      </w:r>
      <w:r w:rsidRPr="009A0C07">
        <w:rPr>
          <w:rFonts w:eastAsia="Times New Roman" w:cs="Arial"/>
          <w:i/>
          <w:iCs/>
          <w:color w:val="000000"/>
          <w:lang w:eastAsia="bg-BG"/>
        </w:rPr>
        <w:t xml:space="preserve">10 </w:t>
      </w:r>
      <w:r w:rsidRPr="009A0C07">
        <w:rPr>
          <w:rFonts w:eastAsia="Times New Roman" w:cs="Arial"/>
          <w:i/>
          <w:iCs/>
          <w:color w:val="000000"/>
          <w:lang w:val="en-US"/>
        </w:rPr>
        <w:t>mg:</w:t>
      </w:r>
    </w:p>
    <w:p w14:paraId="2A722862" w14:textId="7186DECD" w:rsidR="009A0C07" w:rsidRPr="009A0C07" w:rsidRDefault="009A0C07" w:rsidP="009A0C07">
      <w:pPr>
        <w:rPr>
          <w:rFonts w:cs="Arial"/>
        </w:rPr>
      </w:pPr>
      <w:r w:rsidRPr="009A0C07">
        <w:rPr>
          <w:rFonts w:eastAsia="Times New Roman" w:cs="Arial"/>
          <w:color w:val="000000"/>
          <w:lang w:eastAsia="bg-BG"/>
        </w:rPr>
        <w:t xml:space="preserve">Бели до почти бели, филмирани елипсовидни таблетки с ширина около 6,1 </w:t>
      </w:r>
      <w:r w:rsidRPr="009A0C07">
        <w:rPr>
          <w:rFonts w:eastAsia="Times New Roman" w:cs="Arial"/>
          <w:color w:val="000000"/>
          <w:lang w:val="en-US"/>
        </w:rPr>
        <w:t xml:space="preserve">mm </w:t>
      </w:r>
      <w:r w:rsidRPr="009A0C07">
        <w:rPr>
          <w:rFonts w:eastAsia="Times New Roman" w:cs="Arial"/>
          <w:color w:val="000000"/>
          <w:lang w:eastAsia="bg-BG"/>
        </w:rPr>
        <w:t xml:space="preserve">и дължина около 8,6 </w:t>
      </w:r>
      <w:r w:rsidRPr="009A0C07">
        <w:rPr>
          <w:rFonts w:eastAsia="Times New Roman" w:cs="Arial"/>
          <w:color w:val="000000"/>
          <w:lang w:val="en-US"/>
        </w:rPr>
        <w:t xml:space="preserve">mm, </w:t>
      </w:r>
      <w:r w:rsidRPr="009A0C07">
        <w:rPr>
          <w:rFonts w:eastAsia="Times New Roman" w:cs="Arial"/>
          <w:color w:val="000000"/>
          <w:lang w:eastAsia="bg-BG"/>
        </w:rPr>
        <w:t>с вдлъбнато релефно означение “А30” от едната страна и гладки от другата страна</w:t>
      </w:r>
    </w:p>
    <w:p w14:paraId="4129ADBB" w14:textId="77777777" w:rsidR="0091385D" w:rsidRPr="0091385D" w:rsidRDefault="0091385D"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0C0557EB"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Хиперхолестеролемия</w:t>
      </w:r>
    </w:p>
    <w:p w14:paraId="11575ED7" w14:textId="77777777" w:rsidR="009A0C07" w:rsidRPr="009A0C07" w:rsidRDefault="009A0C07" w:rsidP="009A0C07">
      <w:pPr>
        <w:spacing w:line="240" w:lineRule="auto"/>
        <w:rPr>
          <w:rFonts w:eastAsia="Times New Roman" w:cs="Arial"/>
          <w:color w:val="000000"/>
          <w:lang w:eastAsia="bg-BG"/>
        </w:rPr>
      </w:pPr>
    </w:p>
    <w:p w14:paraId="440A94C2" w14:textId="007E88EB"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Аторвастатин е показан като допълнение към хранителен режим за намаляване на повишените общ холестерол </w:t>
      </w:r>
      <w:r w:rsidRPr="009A0C07">
        <w:rPr>
          <w:rFonts w:eastAsia="Times New Roman" w:cs="Arial"/>
          <w:color w:val="000000"/>
          <w:lang w:val="en-US"/>
        </w:rPr>
        <w:t>(total-C), LDL</w:t>
      </w:r>
      <w:r w:rsidRPr="009A0C07">
        <w:rPr>
          <w:rFonts w:eastAsia="Times New Roman" w:cs="Arial"/>
          <w:color w:val="000000"/>
          <w:lang w:eastAsia="bg-BG"/>
        </w:rPr>
        <w:t xml:space="preserve">-холестерол </w:t>
      </w:r>
      <w:r w:rsidRPr="009A0C07">
        <w:rPr>
          <w:rFonts w:eastAsia="Times New Roman" w:cs="Arial"/>
          <w:color w:val="000000"/>
          <w:lang w:val="en-US"/>
        </w:rPr>
        <w:t xml:space="preserve">(LDH-C), </w:t>
      </w:r>
      <w:r w:rsidRPr="009A0C07">
        <w:rPr>
          <w:rFonts w:eastAsia="Times New Roman" w:cs="Arial"/>
          <w:color w:val="000000"/>
          <w:lang w:eastAsia="bg-BG"/>
        </w:rPr>
        <w:t>аполипопротеин В и триглицериди при възрастни, юноши и деца на възраст 10 и повече години с първична хиперхолестеролемия, включително фамилна хиперхолестеролемия (хетерозиготен вариант) или комбинирана (смесена) хиперлипидемия (отговаряща на тип IIа и II</w:t>
      </w:r>
      <w:r w:rsidRPr="009A0C07">
        <w:rPr>
          <w:rFonts w:eastAsia="Times New Roman" w:cs="Arial"/>
          <w:color w:val="000000"/>
          <w:lang w:val="en-US"/>
        </w:rPr>
        <w:t>b</w:t>
      </w:r>
      <w:r w:rsidRPr="009A0C07">
        <w:rPr>
          <w:rFonts w:eastAsia="Times New Roman" w:cs="Arial"/>
          <w:color w:val="000000"/>
          <w:lang w:eastAsia="bg-BG"/>
        </w:rPr>
        <w:t xml:space="preserve"> от класификацията на </w:t>
      </w:r>
      <w:r w:rsidRPr="009A0C07">
        <w:rPr>
          <w:rFonts w:eastAsia="Times New Roman" w:cs="Arial"/>
          <w:color w:val="000000"/>
          <w:lang w:val="en-US"/>
        </w:rPr>
        <w:t xml:space="preserve">Fredrickson), </w:t>
      </w:r>
      <w:r w:rsidRPr="009A0C07">
        <w:rPr>
          <w:rFonts w:eastAsia="Times New Roman" w:cs="Arial"/>
          <w:color w:val="000000"/>
          <w:lang w:eastAsia="bg-BG"/>
        </w:rPr>
        <w:t>когато ефектът на хранителния режим и другите нефармакологични методи е недостатъчен.</w:t>
      </w:r>
    </w:p>
    <w:p w14:paraId="6F613D6E" w14:textId="77777777" w:rsidR="009A0C07" w:rsidRPr="009A0C07" w:rsidRDefault="009A0C07" w:rsidP="009A0C07">
      <w:pPr>
        <w:spacing w:line="240" w:lineRule="auto"/>
        <w:rPr>
          <w:rFonts w:eastAsia="Times New Roman" w:cs="Arial"/>
          <w:color w:val="000000"/>
          <w:lang w:eastAsia="bg-BG"/>
        </w:rPr>
      </w:pPr>
    </w:p>
    <w:p w14:paraId="64F9ADC4" w14:textId="0F6D4E4B"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lastRenderedPageBreak/>
        <w:t xml:space="preserve">Аторвастатин е показан също за понижаване на общия холестерол и </w:t>
      </w:r>
      <w:r w:rsidRPr="009A0C07">
        <w:rPr>
          <w:rFonts w:eastAsia="Times New Roman" w:cs="Arial"/>
          <w:color w:val="000000"/>
          <w:lang w:val="en-US"/>
        </w:rPr>
        <w:t xml:space="preserve">LDL-C </w:t>
      </w:r>
      <w:r w:rsidRPr="009A0C07">
        <w:rPr>
          <w:rFonts w:eastAsia="Times New Roman" w:cs="Arial"/>
          <w:color w:val="000000"/>
          <w:lang w:eastAsia="bg-BG"/>
        </w:rPr>
        <w:t xml:space="preserve">при пациенти с хомозиготна фамилна хиперхолестеролемия като допълнение към другите методи за понижаване нивото на липидите (напр. афереза на </w:t>
      </w:r>
      <w:r w:rsidRPr="009A0C07">
        <w:rPr>
          <w:rFonts w:eastAsia="Times New Roman" w:cs="Arial"/>
          <w:color w:val="000000"/>
          <w:lang w:val="en-US"/>
        </w:rPr>
        <w:t xml:space="preserve">LDL) </w:t>
      </w:r>
      <w:r w:rsidRPr="009A0C07">
        <w:rPr>
          <w:rFonts w:eastAsia="Times New Roman" w:cs="Arial"/>
          <w:color w:val="000000"/>
          <w:lang w:eastAsia="bg-BG"/>
        </w:rPr>
        <w:t>или в случаите, когато тези методи не са налични.</w:t>
      </w:r>
    </w:p>
    <w:p w14:paraId="64780842" w14:textId="77777777" w:rsidR="009A0C07" w:rsidRPr="009A0C07" w:rsidRDefault="009A0C07" w:rsidP="009A0C07">
      <w:pPr>
        <w:spacing w:line="240" w:lineRule="auto"/>
        <w:rPr>
          <w:rFonts w:eastAsia="Times New Roman" w:cs="Arial"/>
          <w:i/>
          <w:iCs/>
          <w:color w:val="000000"/>
          <w:u w:val="single"/>
          <w:lang w:eastAsia="bg-BG"/>
        </w:rPr>
      </w:pPr>
    </w:p>
    <w:p w14:paraId="598C297E" w14:textId="5FDE0BD0"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Профилактика на сърдечно-съдово заболяване</w:t>
      </w:r>
    </w:p>
    <w:p w14:paraId="4E54CA0D" w14:textId="77777777" w:rsidR="009A0C07" w:rsidRPr="009A0C07" w:rsidRDefault="009A0C07" w:rsidP="009A0C07">
      <w:pPr>
        <w:rPr>
          <w:rFonts w:eastAsia="Times New Roman" w:cs="Arial"/>
          <w:color w:val="000000"/>
          <w:lang w:eastAsia="bg-BG"/>
        </w:rPr>
      </w:pPr>
    </w:p>
    <w:p w14:paraId="04B2E99C" w14:textId="6BE1BE77" w:rsidR="0091385D" w:rsidRPr="009A0C07" w:rsidRDefault="009A0C07" w:rsidP="009A0C07">
      <w:pPr>
        <w:rPr>
          <w:rFonts w:cs="Arial"/>
        </w:rPr>
      </w:pPr>
      <w:r w:rsidRPr="009A0C07">
        <w:rPr>
          <w:rFonts w:eastAsia="Times New Roman" w:cs="Arial"/>
          <w:color w:val="000000"/>
          <w:lang w:eastAsia="bg-BG"/>
        </w:rPr>
        <w:t>Профилактика на сърдечно-съдови инциденти при пациенти, при които е оценен висок риск за първи сърдечно-съдов инцидент (вж. точка 5.1), като допълнение към корекцията на другите рискови фактори.</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321449A3" w14:textId="77777777" w:rsidR="009A0C07" w:rsidRPr="009A0C07" w:rsidRDefault="009A0C07" w:rsidP="009A0C07">
      <w:pPr>
        <w:pStyle w:val="Heading3"/>
        <w:rPr>
          <w:rFonts w:eastAsia="Times New Roman"/>
          <w:u w:val="single"/>
          <w:lang w:eastAsia="bg-BG"/>
        </w:rPr>
      </w:pPr>
      <w:r w:rsidRPr="009A0C07">
        <w:rPr>
          <w:rFonts w:eastAsia="Times New Roman"/>
          <w:u w:val="single"/>
          <w:lang w:eastAsia="bg-BG"/>
        </w:rPr>
        <w:t>Дозировка</w:t>
      </w:r>
    </w:p>
    <w:p w14:paraId="6A434EC6" w14:textId="77777777" w:rsidR="009A0C07" w:rsidRPr="009A0C07" w:rsidRDefault="009A0C07" w:rsidP="009A0C07">
      <w:pPr>
        <w:spacing w:line="240" w:lineRule="auto"/>
        <w:rPr>
          <w:rFonts w:eastAsia="Times New Roman" w:cs="Arial"/>
          <w:color w:val="000000"/>
          <w:lang w:eastAsia="bg-BG"/>
        </w:rPr>
      </w:pPr>
    </w:p>
    <w:p w14:paraId="4F59BABF" w14:textId="447C2925"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Пациентът трябва да се постави на стандартен хранителен режим за понижаване на холестерола преди приема на аторвастатин и да продължи на този хранителен режим по време на лечението с аторвастатин.</w:t>
      </w:r>
    </w:p>
    <w:p w14:paraId="1EB9D8D9" w14:textId="77777777" w:rsidR="009A0C07" w:rsidRPr="009A0C07" w:rsidRDefault="009A0C07" w:rsidP="009A0C07">
      <w:pPr>
        <w:spacing w:line="240" w:lineRule="auto"/>
        <w:rPr>
          <w:rFonts w:eastAsia="Times New Roman" w:cs="Arial"/>
          <w:color w:val="000000"/>
          <w:lang w:eastAsia="bg-BG"/>
        </w:rPr>
      </w:pPr>
    </w:p>
    <w:p w14:paraId="405E04A2" w14:textId="3331F612"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Дозата трябва да бъде индивидуално определена, в зависимост от изходните нива на </w:t>
      </w:r>
      <w:r w:rsidRPr="009A0C07">
        <w:rPr>
          <w:rFonts w:eastAsia="Times New Roman" w:cs="Arial"/>
          <w:color w:val="000000"/>
          <w:lang w:val="en-US"/>
        </w:rPr>
        <w:t xml:space="preserve">LDL-C, </w:t>
      </w:r>
      <w:r w:rsidRPr="009A0C07">
        <w:rPr>
          <w:rFonts w:eastAsia="Times New Roman" w:cs="Arial"/>
          <w:color w:val="000000"/>
          <w:lang w:eastAsia="bg-BG"/>
        </w:rPr>
        <w:t>целта на терапията и отговора на пациента.</w:t>
      </w:r>
    </w:p>
    <w:p w14:paraId="2ED9659F" w14:textId="77777777" w:rsidR="009A0C07" w:rsidRPr="009A0C07" w:rsidRDefault="009A0C07" w:rsidP="009A0C07">
      <w:pPr>
        <w:spacing w:line="240" w:lineRule="auto"/>
        <w:rPr>
          <w:rFonts w:eastAsia="Times New Roman" w:cs="Arial"/>
          <w:color w:val="000000"/>
          <w:lang w:eastAsia="bg-BG"/>
        </w:rPr>
      </w:pPr>
    </w:p>
    <w:p w14:paraId="71E48D1F" w14:textId="5AC0BB2C"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Обичайната начална доза е 10 </w:t>
      </w:r>
      <w:r w:rsidRPr="009A0C07">
        <w:rPr>
          <w:rFonts w:eastAsia="Times New Roman" w:cs="Arial"/>
          <w:color w:val="000000"/>
          <w:lang w:val="en-US"/>
        </w:rPr>
        <w:t xml:space="preserve">mg </w:t>
      </w:r>
      <w:r w:rsidRPr="009A0C07">
        <w:rPr>
          <w:rFonts w:eastAsia="Times New Roman" w:cs="Arial"/>
          <w:color w:val="000000"/>
          <w:lang w:eastAsia="bg-BG"/>
        </w:rPr>
        <w:t xml:space="preserve">веднъж дневно. Корекция на дозата се извършва през интервали от четири или повече седмици. Максималната доза е 80 </w:t>
      </w:r>
      <w:r w:rsidRPr="009A0C07">
        <w:rPr>
          <w:rFonts w:eastAsia="Times New Roman" w:cs="Arial"/>
          <w:color w:val="000000"/>
          <w:lang w:val="en-US"/>
        </w:rPr>
        <w:t xml:space="preserve">mg </w:t>
      </w:r>
      <w:r w:rsidRPr="009A0C07">
        <w:rPr>
          <w:rFonts w:eastAsia="Times New Roman" w:cs="Arial"/>
          <w:color w:val="000000"/>
          <w:lang w:eastAsia="bg-BG"/>
        </w:rPr>
        <w:t>веднъж дневно.</w:t>
      </w:r>
    </w:p>
    <w:p w14:paraId="0904D28C" w14:textId="77777777" w:rsidR="009A0C07" w:rsidRPr="009A0C07" w:rsidRDefault="009A0C07" w:rsidP="009A0C07">
      <w:pPr>
        <w:spacing w:line="240" w:lineRule="auto"/>
        <w:rPr>
          <w:rFonts w:eastAsia="Times New Roman" w:cs="Arial"/>
          <w:i/>
          <w:iCs/>
          <w:color w:val="000000"/>
          <w:u w:val="single"/>
          <w:lang w:eastAsia="bg-BG"/>
        </w:rPr>
      </w:pPr>
    </w:p>
    <w:p w14:paraId="6806C908" w14:textId="651C480C"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Първична хиперхолестеролемия и комбинирана (смесена) хиперлипидемия</w:t>
      </w:r>
    </w:p>
    <w:p w14:paraId="675B31F6"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Болшинството от пациентите достигат контрол при аторвастатин от 10 </w:t>
      </w:r>
      <w:r w:rsidRPr="009A0C07">
        <w:rPr>
          <w:rFonts w:eastAsia="Times New Roman" w:cs="Arial"/>
          <w:color w:val="000000"/>
          <w:lang w:val="en-US"/>
        </w:rPr>
        <w:t xml:space="preserve">mg </w:t>
      </w:r>
      <w:r w:rsidRPr="009A0C07">
        <w:rPr>
          <w:rFonts w:eastAsia="Times New Roman" w:cs="Arial"/>
          <w:color w:val="000000"/>
          <w:lang w:eastAsia="bg-BG"/>
        </w:rPr>
        <w:t>веднъж дневно.</w:t>
      </w:r>
    </w:p>
    <w:p w14:paraId="3098A673"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Терапевтичен отговор се доказва в рамките на 2 седмици, а максималният терапевтичен отговор се постига обичайно в рамките на 4 седмици. Отговорът се поддържа при продължително лечение.</w:t>
      </w:r>
    </w:p>
    <w:p w14:paraId="49D71793" w14:textId="77777777" w:rsidR="009A0C07" w:rsidRPr="009A0C07" w:rsidRDefault="009A0C07" w:rsidP="009A0C07">
      <w:pPr>
        <w:spacing w:line="240" w:lineRule="auto"/>
        <w:rPr>
          <w:rFonts w:eastAsia="Times New Roman" w:cs="Arial"/>
          <w:i/>
          <w:iCs/>
          <w:color w:val="000000"/>
          <w:u w:val="single"/>
          <w:lang w:eastAsia="bg-BG"/>
        </w:rPr>
      </w:pPr>
    </w:p>
    <w:p w14:paraId="6B365BD2" w14:textId="190E04B3"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Хетерозиготна фамилна хиперхолестеролемия</w:t>
      </w:r>
    </w:p>
    <w:p w14:paraId="1F6D8386"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Лечението на пациентите трябва да започне с аторвастатин 10 </w:t>
      </w:r>
      <w:r w:rsidRPr="009A0C07">
        <w:rPr>
          <w:rFonts w:eastAsia="Times New Roman" w:cs="Arial"/>
          <w:color w:val="000000"/>
          <w:lang w:val="en-US"/>
        </w:rPr>
        <w:t xml:space="preserve">mg </w:t>
      </w:r>
      <w:r w:rsidRPr="009A0C07">
        <w:rPr>
          <w:rFonts w:eastAsia="Times New Roman" w:cs="Arial"/>
          <w:color w:val="000000"/>
          <w:lang w:eastAsia="bg-BG"/>
        </w:rPr>
        <w:t xml:space="preserve">дневно. Дозите трябва да се определят индивидуално и коригират на всеки 4 седмици до достигане на доза от 40 </w:t>
      </w:r>
      <w:r w:rsidRPr="009A0C07">
        <w:rPr>
          <w:rFonts w:eastAsia="Times New Roman" w:cs="Arial"/>
          <w:color w:val="000000"/>
          <w:lang w:val="en-US"/>
        </w:rPr>
        <w:t xml:space="preserve">mg </w:t>
      </w:r>
      <w:r w:rsidRPr="009A0C07">
        <w:rPr>
          <w:rFonts w:eastAsia="Times New Roman" w:cs="Arial"/>
          <w:color w:val="000000"/>
          <w:lang w:eastAsia="bg-BG"/>
        </w:rPr>
        <w:t xml:space="preserve">дневно. След това, дозата може или да се повиши до максимална доза от 80 </w:t>
      </w:r>
      <w:r w:rsidRPr="009A0C07">
        <w:rPr>
          <w:rFonts w:eastAsia="Times New Roman" w:cs="Arial"/>
          <w:color w:val="000000"/>
          <w:lang w:val="en-US"/>
        </w:rPr>
        <w:t xml:space="preserve">mg </w:t>
      </w:r>
      <w:r w:rsidRPr="009A0C07">
        <w:rPr>
          <w:rFonts w:eastAsia="Times New Roman" w:cs="Arial"/>
          <w:color w:val="000000"/>
          <w:lang w:eastAsia="bg-BG"/>
        </w:rPr>
        <w:t xml:space="preserve">дневно или да се комбинира секвестрант на жлъчни киселини с доза от 40 </w:t>
      </w:r>
      <w:r w:rsidRPr="009A0C07">
        <w:rPr>
          <w:rFonts w:eastAsia="Times New Roman" w:cs="Arial"/>
          <w:color w:val="000000"/>
          <w:lang w:val="en-US"/>
        </w:rPr>
        <w:t xml:space="preserve">mg </w:t>
      </w:r>
      <w:r w:rsidRPr="009A0C07">
        <w:rPr>
          <w:rFonts w:eastAsia="Times New Roman" w:cs="Arial"/>
          <w:color w:val="000000"/>
          <w:lang w:eastAsia="bg-BG"/>
        </w:rPr>
        <w:t>аторвастатин веднъж дневно.</w:t>
      </w:r>
    </w:p>
    <w:p w14:paraId="1487F6BD" w14:textId="77777777" w:rsidR="009A0C07" w:rsidRPr="009A0C07" w:rsidRDefault="009A0C07" w:rsidP="009A0C07">
      <w:pPr>
        <w:spacing w:line="240" w:lineRule="auto"/>
        <w:rPr>
          <w:rFonts w:eastAsia="Times New Roman" w:cs="Arial"/>
          <w:i/>
          <w:iCs/>
          <w:color w:val="000000"/>
          <w:u w:val="single"/>
          <w:lang w:eastAsia="bg-BG"/>
        </w:rPr>
      </w:pPr>
    </w:p>
    <w:p w14:paraId="475B6573" w14:textId="5BB0465B"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Хомозиготна фамилна хиперхолестеролемия</w:t>
      </w:r>
    </w:p>
    <w:p w14:paraId="184FC858"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Налични са само ограничени данни (вж. също точка 5.1).</w:t>
      </w:r>
    </w:p>
    <w:p w14:paraId="47C58A18"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Дозата на аторвастатин при пациенти с хомозиготна фамилна хиперхолестеролемия е от 10 </w:t>
      </w:r>
      <w:r w:rsidRPr="009A0C07">
        <w:rPr>
          <w:rFonts w:eastAsia="Times New Roman" w:cs="Arial"/>
          <w:color w:val="000000"/>
          <w:lang w:val="en-US"/>
        </w:rPr>
        <w:t xml:space="preserve">mg </w:t>
      </w:r>
      <w:r w:rsidRPr="009A0C07">
        <w:rPr>
          <w:rFonts w:eastAsia="Times New Roman" w:cs="Arial"/>
          <w:color w:val="000000"/>
          <w:lang w:eastAsia="bg-BG"/>
        </w:rPr>
        <w:t>до</w:t>
      </w:r>
    </w:p>
    <w:p w14:paraId="004FA86B"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80 </w:t>
      </w:r>
      <w:r w:rsidRPr="009A0C07">
        <w:rPr>
          <w:rFonts w:eastAsia="Times New Roman" w:cs="Arial"/>
          <w:color w:val="000000"/>
          <w:lang w:val="en-US"/>
        </w:rPr>
        <w:t xml:space="preserve">mg </w:t>
      </w:r>
      <w:r w:rsidRPr="009A0C07">
        <w:rPr>
          <w:rFonts w:eastAsia="Times New Roman" w:cs="Arial"/>
          <w:color w:val="000000"/>
          <w:lang w:eastAsia="bg-BG"/>
        </w:rPr>
        <w:t xml:space="preserve">дневно (вж. точка 5.1). Аторвастатин трябва да се прилага като допълнение към другите методи за понижаване нивото на липидите (напр. афереза на </w:t>
      </w:r>
      <w:r w:rsidRPr="009A0C07">
        <w:rPr>
          <w:rFonts w:eastAsia="Times New Roman" w:cs="Arial"/>
          <w:color w:val="000000"/>
          <w:lang w:val="en-US"/>
        </w:rPr>
        <w:t xml:space="preserve">LDL) </w:t>
      </w:r>
      <w:r w:rsidRPr="009A0C07">
        <w:rPr>
          <w:rFonts w:eastAsia="Times New Roman" w:cs="Arial"/>
          <w:color w:val="000000"/>
          <w:lang w:eastAsia="bg-BG"/>
        </w:rPr>
        <w:t>или в случаите, когато тези методи не са налични.</w:t>
      </w:r>
    </w:p>
    <w:p w14:paraId="1C072430" w14:textId="77777777" w:rsidR="009A0C07" w:rsidRPr="009A0C07" w:rsidRDefault="009A0C07" w:rsidP="009A0C07">
      <w:pPr>
        <w:spacing w:line="240" w:lineRule="auto"/>
        <w:rPr>
          <w:rFonts w:eastAsia="Times New Roman" w:cs="Arial"/>
          <w:i/>
          <w:iCs/>
          <w:color w:val="000000"/>
          <w:u w:val="single"/>
          <w:lang w:eastAsia="bg-BG"/>
        </w:rPr>
      </w:pPr>
    </w:p>
    <w:p w14:paraId="0AFCC15A" w14:textId="3F1176CB"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Профилактика на сърдечно-съдово заболяване</w:t>
      </w:r>
    </w:p>
    <w:p w14:paraId="1D92612E"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При проучвания за първична профилактика дозата е била 10 </w:t>
      </w:r>
      <w:r w:rsidRPr="009A0C07">
        <w:rPr>
          <w:rFonts w:eastAsia="Times New Roman" w:cs="Arial"/>
          <w:color w:val="000000"/>
          <w:lang w:val="en-US"/>
        </w:rPr>
        <w:t>mg</w:t>
      </w:r>
      <w:r w:rsidRPr="009A0C07">
        <w:rPr>
          <w:rFonts w:eastAsia="Times New Roman" w:cs="Arial"/>
          <w:color w:val="000000"/>
          <w:lang w:eastAsia="bg-BG"/>
        </w:rPr>
        <w:t xml:space="preserve">/ден. Може да са необходими по- високи дози за постигане нивата на </w:t>
      </w:r>
      <w:r w:rsidRPr="009A0C07">
        <w:rPr>
          <w:rFonts w:eastAsia="Times New Roman" w:cs="Arial"/>
          <w:color w:val="000000"/>
          <w:lang w:val="en-US"/>
        </w:rPr>
        <w:t>LDL</w:t>
      </w:r>
      <w:r w:rsidRPr="009A0C07">
        <w:rPr>
          <w:rFonts w:eastAsia="Times New Roman" w:cs="Arial"/>
          <w:color w:val="000000"/>
          <w:lang w:eastAsia="bg-BG"/>
        </w:rPr>
        <w:t>-холестерол, в съответствие с настоящите указания за лечение.</w:t>
      </w:r>
    </w:p>
    <w:p w14:paraId="09D28AC7" w14:textId="77777777" w:rsidR="009A0C07" w:rsidRPr="009A0C07" w:rsidRDefault="009A0C07" w:rsidP="009A0C07">
      <w:pPr>
        <w:spacing w:line="240" w:lineRule="auto"/>
        <w:rPr>
          <w:rFonts w:eastAsia="Times New Roman" w:cs="Arial"/>
          <w:i/>
          <w:iCs/>
          <w:color w:val="000000"/>
          <w:u w:val="single"/>
          <w:lang w:eastAsia="bg-BG"/>
        </w:rPr>
      </w:pPr>
    </w:p>
    <w:p w14:paraId="13A6EE82" w14:textId="59040221"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Бъбречно увреждане</w:t>
      </w:r>
    </w:p>
    <w:p w14:paraId="5E2D0017"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Не се налага коригиране на дозата (вж. точка 4.4).</w:t>
      </w:r>
    </w:p>
    <w:p w14:paraId="063B04BA" w14:textId="77777777" w:rsidR="009A0C07" w:rsidRPr="009A0C07" w:rsidRDefault="009A0C07" w:rsidP="009A0C07">
      <w:pPr>
        <w:spacing w:line="240" w:lineRule="auto"/>
        <w:rPr>
          <w:rFonts w:eastAsia="Times New Roman" w:cs="Arial"/>
          <w:sz w:val="24"/>
          <w:szCs w:val="24"/>
          <w:lang w:eastAsia="bg-BG"/>
        </w:rPr>
      </w:pPr>
    </w:p>
    <w:p w14:paraId="7935BD5A" w14:textId="7F695050"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Чернодробно увреждане</w:t>
      </w:r>
    </w:p>
    <w:p w14:paraId="1DAE0D49"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Аторвастатин трябва да се прилага с повишено внимание при пациенти с чернодробно увреждане (вж. точки 4.4 и 5.2). Аторвастатин е противопоказан при пациенти с активно чернодробно заболяване (вж. точка 4.3).</w:t>
      </w:r>
    </w:p>
    <w:p w14:paraId="111718DE" w14:textId="77777777" w:rsidR="009A0C07" w:rsidRPr="009A0C07" w:rsidRDefault="009A0C07" w:rsidP="009A0C07">
      <w:pPr>
        <w:spacing w:line="240" w:lineRule="auto"/>
        <w:rPr>
          <w:rFonts w:eastAsia="Times New Roman" w:cs="Arial"/>
          <w:i/>
          <w:iCs/>
          <w:color w:val="000000"/>
          <w:u w:val="single"/>
          <w:lang w:eastAsia="bg-BG"/>
        </w:rPr>
      </w:pPr>
    </w:p>
    <w:p w14:paraId="394074D3" w14:textId="330CE76D"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Едновременно приложение с други лекарствени продукти</w:t>
      </w:r>
    </w:p>
    <w:p w14:paraId="78CE8B2E" w14:textId="2D0850B4"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При пациенти, приемащи антивирусни средства за лечение на хепатит С като елбасвир/гразопревир съпътстващо с аторвастатин, дозата на аторвастатин не трябва да превишава 20 </w:t>
      </w:r>
      <w:r w:rsidRPr="009A0C07">
        <w:rPr>
          <w:rFonts w:eastAsia="Times New Roman" w:cs="Arial"/>
          <w:color w:val="000000"/>
          <w:lang w:val="en-US"/>
        </w:rPr>
        <w:t>mg</w:t>
      </w:r>
      <w:r w:rsidRPr="009A0C07">
        <w:rPr>
          <w:rFonts w:eastAsia="Times New Roman" w:cs="Arial"/>
          <w:color w:val="000000"/>
          <w:lang w:eastAsia="bg-BG"/>
        </w:rPr>
        <w:t>/ден (вж. точки 4,4 и 4.5).</w:t>
      </w:r>
    </w:p>
    <w:p w14:paraId="26BE5D52"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Употребата на аторвастатин не се препоръчва на пациенти, приемащи едновременно летермовир с циклоспорин (вж. точки 4.4 и 4.5).</w:t>
      </w:r>
    </w:p>
    <w:p w14:paraId="060D7FA3" w14:textId="77777777" w:rsidR="009A0C07" w:rsidRPr="009A0C07" w:rsidRDefault="009A0C07" w:rsidP="009A0C07">
      <w:pPr>
        <w:spacing w:line="240" w:lineRule="auto"/>
        <w:rPr>
          <w:rFonts w:eastAsia="Times New Roman" w:cs="Arial"/>
          <w:i/>
          <w:iCs/>
          <w:color w:val="000000"/>
          <w:u w:val="single"/>
          <w:lang w:eastAsia="bg-BG"/>
        </w:rPr>
      </w:pPr>
    </w:p>
    <w:p w14:paraId="700EE522" w14:textId="6010F82B"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Пациенти в старческа възраст</w:t>
      </w:r>
    </w:p>
    <w:p w14:paraId="06793B19"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Ефикасността и безопасността при пациенти над 70-годишна възраст, прилагащи препоръчителните дози, са подобни на тези, наблюдавани в общата популация.</w:t>
      </w:r>
    </w:p>
    <w:p w14:paraId="733B4969" w14:textId="77777777" w:rsidR="009A0C07" w:rsidRPr="009A0C07" w:rsidRDefault="009A0C07" w:rsidP="009A0C07">
      <w:pPr>
        <w:spacing w:line="240" w:lineRule="auto"/>
        <w:rPr>
          <w:rFonts w:eastAsia="Times New Roman" w:cs="Arial"/>
          <w:i/>
          <w:iCs/>
          <w:color w:val="000000"/>
          <w:u w:val="single"/>
          <w:lang w:eastAsia="bg-BG"/>
        </w:rPr>
      </w:pPr>
    </w:p>
    <w:p w14:paraId="73DCD75D" w14:textId="4EE646E9"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Педиатрична популация</w:t>
      </w:r>
    </w:p>
    <w:p w14:paraId="2D464F1C" w14:textId="77777777" w:rsidR="009A0C07" w:rsidRPr="009A0C07" w:rsidRDefault="009A0C07" w:rsidP="009A0C07">
      <w:pPr>
        <w:rPr>
          <w:rFonts w:eastAsia="Times New Roman" w:cs="Arial"/>
          <w:i/>
          <w:iCs/>
          <w:color w:val="000000"/>
          <w:lang w:eastAsia="bg-BG"/>
        </w:rPr>
      </w:pPr>
    </w:p>
    <w:p w14:paraId="475300EC" w14:textId="3E21AF13" w:rsidR="0091385D" w:rsidRPr="009A0C07" w:rsidRDefault="009A0C07" w:rsidP="009A0C07">
      <w:pPr>
        <w:rPr>
          <w:rFonts w:cs="Arial"/>
        </w:rPr>
      </w:pPr>
      <w:r w:rsidRPr="009A0C07">
        <w:rPr>
          <w:rFonts w:eastAsia="Times New Roman" w:cs="Arial"/>
          <w:i/>
          <w:iCs/>
          <w:color w:val="000000"/>
          <w:lang w:eastAsia="bg-BG"/>
        </w:rPr>
        <w:t>Хиперхолестеролемия:</w:t>
      </w:r>
    </w:p>
    <w:p w14:paraId="3256FC30"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Приложението при педиатрични пациенти трябва да се извършва само от лекари с опит в лечението на педиатрична хиперлипидемия, а пациентите трябва редовно да се оценяват повторно за отчитане на напредък.</w:t>
      </w:r>
    </w:p>
    <w:p w14:paraId="4E157BA1"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При пациенти с хетерозиготна фамилна хиперхолестеролемия на възраст 10 години и повече години, препоръчителната начална доза аторвастатин е 10 </w:t>
      </w:r>
      <w:r w:rsidRPr="009A0C07">
        <w:rPr>
          <w:rFonts w:eastAsia="Times New Roman" w:cs="Arial"/>
          <w:color w:val="000000"/>
          <w:lang w:val="en-US"/>
        </w:rPr>
        <w:t xml:space="preserve">mg </w:t>
      </w:r>
      <w:r w:rsidRPr="009A0C07">
        <w:rPr>
          <w:rFonts w:eastAsia="Times New Roman" w:cs="Arial"/>
          <w:color w:val="000000"/>
          <w:lang w:eastAsia="bg-BG"/>
        </w:rPr>
        <w:t xml:space="preserve">дневно (вж. точка 5.1). Дозата може да се увеличи до 80 </w:t>
      </w:r>
      <w:r w:rsidRPr="009A0C07">
        <w:rPr>
          <w:rFonts w:eastAsia="Times New Roman" w:cs="Arial"/>
          <w:color w:val="000000"/>
          <w:lang w:val="en-US"/>
        </w:rPr>
        <w:t xml:space="preserve">mg </w:t>
      </w:r>
      <w:r w:rsidRPr="009A0C07">
        <w:rPr>
          <w:rFonts w:eastAsia="Times New Roman" w:cs="Arial"/>
          <w:color w:val="000000"/>
          <w:lang w:eastAsia="bg-BG"/>
        </w:rPr>
        <w:t xml:space="preserve">дневно, в зависимост от отговора и поносимостта. Дозите трябва да бъдат определени индивидуално в съответствие с препоръчаната цел на терапията. Коригиране на дозите трябва да се прави на интервали от 4 седмици или повече. Титрирането на дозата до 80 </w:t>
      </w:r>
      <w:r w:rsidRPr="009A0C07">
        <w:rPr>
          <w:rFonts w:eastAsia="Times New Roman" w:cs="Arial"/>
          <w:color w:val="000000"/>
          <w:lang w:val="en-US"/>
        </w:rPr>
        <w:t xml:space="preserve">mg </w:t>
      </w:r>
      <w:r w:rsidRPr="009A0C07">
        <w:rPr>
          <w:rFonts w:eastAsia="Times New Roman" w:cs="Arial"/>
          <w:color w:val="000000"/>
          <w:lang w:eastAsia="bg-BG"/>
        </w:rPr>
        <w:t>дневно е подкрепено с данни от проучвания при възрастни и от ограничени данни от клинични проучвания при деца с хетерозиготна фамилна хиперхолестеролемия (вж. точки 4.8 и 5.1).</w:t>
      </w:r>
    </w:p>
    <w:p w14:paraId="2934A030"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Налице са ограничени данни от открити проучвания по отношение на безопасността и ефикасността при деца с хетерозиготна фамилна хиперхолестеролемия на възраст между 6 и 10 години.</w:t>
      </w:r>
    </w:p>
    <w:p w14:paraId="62F21CF7"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Аторвастатин не е показан за лечение на пациенти под 10 годишна възраст. Наличните към момента данни са описани в точки 4.8, 5.1 и 5.2, но не може да се направи препоръка за дозировка.</w:t>
      </w:r>
    </w:p>
    <w:p w14:paraId="7D4E0D2A"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Други лекарствени форми/концентрации може да са по-подходящи при тази популация.</w:t>
      </w:r>
    </w:p>
    <w:p w14:paraId="18D91264" w14:textId="77777777" w:rsidR="009A0C07" w:rsidRPr="009A0C07" w:rsidRDefault="009A0C07" w:rsidP="009A0C07">
      <w:pPr>
        <w:spacing w:line="240" w:lineRule="auto"/>
        <w:rPr>
          <w:rFonts w:eastAsia="Times New Roman" w:cs="Arial"/>
          <w:color w:val="000000"/>
          <w:u w:val="single"/>
          <w:lang w:eastAsia="bg-BG"/>
        </w:rPr>
      </w:pPr>
    </w:p>
    <w:p w14:paraId="365BF181" w14:textId="19D844EE" w:rsidR="009A0C07" w:rsidRPr="009A0C07" w:rsidRDefault="009A0C07" w:rsidP="009A0C07">
      <w:pPr>
        <w:pStyle w:val="Heading3"/>
        <w:rPr>
          <w:rFonts w:eastAsia="Times New Roman"/>
          <w:u w:val="single"/>
          <w:lang w:eastAsia="bg-BG"/>
        </w:rPr>
      </w:pPr>
      <w:r w:rsidRPr="009A0C07">
        <w:rPr>
          <w:rFonts w:eastAsia="Times New Roman"/>
          <w:u w:val="single"/>
          <w:lang w:eastAsia="bg-BG"/>
        </w:rPr>
        <w:t>Начин на приложение</w:t>
      </w:r>
    </w:p>
    <w:p w14:paraId="6ACAF645" w14:textId="004CB56A" w:rsidR="0091385D" w:rsidRPr="009A0C07" w:rsidRDefault="009A0C07" w:rsidP="009A0C07">
      <w:pPr>
        <w:rPr>
          <w:rFonts w:cs="Arial"/>
        </w:rPr>
      </w:pPr>
      <w:r w:rsidRPr="009A0C07">
        <w:rPr>
          <w:rFonts w:eastAsia="Times New Roman" w:cs="Arial"/>
          <w:color w:val="000000"/>
          <w:lang w:eastAsia="bg-BG"/>
        </w:rPr>
        <w:t>Аторвастатин е за перорално приложение. Всяка дневна доза аторвастатин се приема наведнъж и може да се прилага по всяко време на деня със или без храна.</w:t>
      </w:r>
    </w:p>
    <w:p w14:paraId="001199AF" w14:textId="77777777" w:rsidR="009A0C07" w:rsidRPr="0091385D" w:rsidRDefault="009A0C07"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1CD88072"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Аторвастатин е противопоказан при пациенти:</w:t>
      </w:r>
    </w:p>
    <w:p w14:paraId="5EF898E6" w14:textId="77777777" w:rsidR="009A0C07" w:rsidRPr="009A0C07" w:rsidRDefault="009A0C07" w:rsidP="009A0C07">
      <w:pPr>
        <w:pStyle w:val="ListParagraph"/>
        <w:numPr>
          <w:ilvl w:val="0"/>
          <w:numId w:val="36"/>
        </w:numPr>
        <w:spacing w:line="240" w:lineRule="auto"/>
        <w:rPr>
          <w:rFonts w:eastAsia="Times New Roman" w:cs="Arial"/>
          <w:sz w:val="24"/>
          <w:szCs w:val="24"/>
          <w:lang w:eastAsia="bg-BG"/>
        </w:rPr>
      </w:pPr>
      <w:r w:rsidRPr="009A0C07">
        <w:rPr>
          <w:rFonts w:eastAsia="Times New Roman" w:cs="Arial"/>
          <w:color w:val="000000"/>
          <w:lang w:eastAsia="bg-BG"/>
        </w:rPr>
        <w:lastRenderedPageBreak/>
        <w:t xml:space="preserve">със свръхчувствителност към активното вещество или към някое от помощните вещества, изброени в точка </w:t>
      </w:r>
      <w:r w:rsidRPr="009A0C07">
        <w:rPr>
          <w:rFonts w:eastAsia="Times New Roman" w:cs="Arial"/>
          <w:i/>
          <w:iCs/>
          <w:color w:val="000000"/>
          <w:lang w:eastAsia="bg-BG"/>
        </w:rPr>
        <w:t>6.</w:t>
      </w:r>
      <w:r w:rsidRPr="009A0C07">
        <w:rPr>
          <w:rFonts w:eastAsia="Times New Roman" w:cs="Arial"/>
          <w:color w:val="000000"/>
          <w:lang w:eastAsia="bg-BG"/>
        </w:rPr>
        <w:t>1</w:t>
      </w:r>
    </w:p>
    <w:p w14:paraId="045CAF37" w14:textId="77777777" w:rsidR="009A0C07" w:rsidRPr="009A0C07" w:rsidRDefault="009A0C07" w:rsidP="009A0C07">
      <w:pPr>
        <w:pStyle w:val="ListParagraph"/>
        <w:numPr>
          <w:ilvl w:val="0"/>
          <w:numId w:val="36"/>
        </w:numPr>
        <w:spacing w:line="240" w:lineRule="auto"/>
        <w:rPr>
          <w:rFonts w:eastAsia="Times New Roman" w:cs="Arial"/>
          <w:sz w:val="24"/>
          <w:szCs w:val="24"/>
          <w:lang w:eastAsia="bg-BG"/>
        </w:rPr>
      </w:pPr>
      <w:r w:rsidRPr="009A0C07">
        <w:rPr>
          <w:rFonts w:eastAsia="Times New Roman" w:cs="Arial"/>
          <w:color w:val="000000"/>
          <w:lang w:eastAsia="bg-BG"/>
        </w:rPr>
        <w:t>с активно чернодробно заболяване или неизяснено персистиращо повишение на серумните трансаминази, надхвърлящо три пъти горната граница на нормата</w:t>
      </w:r>
    </w:p>
    <w:p w14:paraId="12957F05" w14:textId="77777777" w:rsidR="009A0C07" w:rsidRPr="009A0C07" w:rsidRDefault="009A0C07" w:rsidP="009A0C07">
      <w:pPr>
        <w:pStyle w:val="ListParagraph"/>
        <w:numPr>
          <w:ilvl w:val="0"/>
          <w:numId w:val="36"/>
        </w:numPr>
        <w:spacing w:line="240" w:lineRule="auto"/>
        <w:rPr>
          <w:rFonts w:eastAsia="Times New Roman" w:cs="Arial"/>
          <w:sz w:val="24"/>
          <w:szCs w:val="24"/>
          <w:lang w:eastAsia="bg-BG"/>
        </w:rPr>
      </w:pPr>
      <w:r w:rsidRPr="009A0C07">
        <w:rPr>
          <w:rFonts w:eastAsia="Times New Roman" w:cs="Arial"/>
          <w:color w:val="000000"/>
          <w:lang w:eastAsia="bg-BG"/>
        </w:rPr>
        <w:t>по време на бременност, кърмене и при жени с детероден потенциал, неприлагащи подходящи мерки за контрацепция (вж. точка 4.6)</w:t>
      </w:r>
    </w:p>
    <w:p w14:paraId="2309EAB0" w14:textId="580D557D" w:rsidR="0091385D" w:rsidRPr="009A0C07" w:rsidRDefault="009A0C07" w:rsidP="009A0C07">
      <w:pPr>
        <w:pStyle w:val="ListParagraph"/>
        <w:numPr>
          <w:ilvl w:val="0"/>
          <w:numId w:val="36"/>
        </w:numPr>
        <w:spacing w:line="240" w:lineRule="auto"/>
        <w:rPr>
          <w:rFonts w:eastAsia="Times New Roman" w:cs="Arial"/>
          <w:sz w:val="24"/>
          <w:szCs w:val="24"/>
          <w:lang w:eastAsia="bg-BG"/>
        </w:rPr>
      </w:pPr>
      <w:r w:rsidRPr="009A0C07">
        <w:rPr>
          <w:rFonts w:eastAsia="Times New Roman" w:cs="Arial"/>
          <w:color w:val="000000"/>
          <w:u w:val="single"/>
          <w:lang w:eastAsia="bg-BG"/>
        </w:rPr>
        <w:t>лекувани с антивирусните средства за лечение на хепатит С глекапревир/пибрентасвир.</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059FA23F"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u w:val="single"/>
          <w:lang w:eastAsia="bg-BG"/>
        </w:rPr>
        <w:t>Чернодробни увреждания</w:t>
      </w:r>
    </w:p>
    <w:p w14:paraId="581FF8D1"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Преди започване на лечението и периодично след това трябва да се провеждат чернодробни функционални изследвания. Пациенти, които развиват някакви признаци или симптоми, предполагащи чернодробно увреждане, трябва да разполагат с направени чернодробни функционални изследвания. Пациенти, които развиват повишени нива на трансаминазите, трябва да се проследяват до разрешаване на абнормената стойност(и). Когато повишението на трансаминазите, надвишаващо 3 пъти горната граница на нормата се задържи, се препоръчва намаляване на дозата или прекратяване на лечението с аторвастатин (вж. точка 4.8).</w:t>
      </w:r>
    </w:p>
    <w:p w14:paraId="6A21FF75" w14:textId="77777777" w:rsidR="009A0C07" w:rsidRPr="009A0C07" w:rsidRDefault="009A0C07" w:rsidP="009A0C07">
      <w:pPr>
        <w:spacing w:line="240" w:lineRule="auto"/>
        <w:rPr>
          <w:rFonts w:eastAsia="Times New Roman" w:cs="Arial"/>
          <w:color w:val="000000"/>
          <w:lang w:eastAsia="bg-BG"/>
        </w:rPr>
      </w:pPr>
    </w:p>
    <w:p w14:paraId="5D995107" w14:textId="400064A6"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Аторвастатин трябва да се прилага с повишено внимание при пациенти, които консумират значителни количества алкохол и/или имат анамнеза за чернодробно заболяване.</w:t>
      </w:r>
    </w:p>
    <w:p w14:paraId="7F42C805" w14:textId="77777777" w:rsidR="009A0C07" w:rsidRPr="009A0C07" w:rsidRDefault="009A0C07" w:rsidP="009A0C07">
      <w:pPr>
        <w:spacing w:line="240" w:lineRule="auto"/>
        <w:rPr>
          <w:rFonts w:eastAsia="Times New Roman" w:cs="Arial"/>
          <w:color w:val="000000"/>
          <w:u w:val="single"/>
          <w:lang w:eastAsia="bg-BG"/>
        </w:rPr>
      </w:pPr>
    </w:p>
    <w:p w14:paraId="5DC650FC" w14:textId="5506C1B9"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u w:val="single"/>
          <w:lang w:eastAsia="bg-BG"/>
        </w:rPr>
        <w:t>Профилактика на инсулт чрез агресивно намаляване нивата на холестерола</w:t>
      </w:r>
    </w:p>
    <w:p w14:paraId="1C1DAC6A"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При пост-хок анализ на подтиповете инсулт при пациенти без коронарна болест на сърцето </w:t>
      </w:r>
      <w:r w:rsidRPr="009A0C07">
        <w:rPr>
          <w:rFonts w:eastAsia="Times New Roman" w:cs="Arial"/>
          <w:color w:val="000000"/>
          <w:lang w:val="en-US"/>
        </w:rPr>
        <w:t xml:space="preserve">(CHD), </w:t>
      </w:r>
      <w:r w:rsidRPr="009A0C07">
        <w:rPr>
          <w:rFonts w:eastAsia="Times New Roman" w:cs="Arial"/>
          <w:color w:val="000000"/>
          <w:lang w:eastAsia="bg-BG"/>
        </w:rPr>
        <w:t xml:space="preserve">които са претърпели неотдавнашен инсулт или преходен исхемичен пристъп </w:t>
      </w:r>
      <w:r w:rsidRPr="009A0C07">
        <w:rPr>
          <w:rFonts w:eastAsia="Times New Roman" w:cs="Arial"/>
          <w:color w:val="000000"/>
          <w:lang w:val="en-US"/>
        </w:rPr>
        <w:t xml:space="preserve">(TIA), </w:t>
      </w:r>
      <w:r w:rsidRPr="009A0C07">
        <w:rPr>
          <w:rFonts w:eastAsia="Times New Roman" w:cs="Arial"/>
          <w:color w:val="000000"/>
          <w:lang w:eastAsia="bg-BG"/>
        </w:rPr>
        <w:t xml:space="preserve">е имало по-висока честота на хеморагичен инсулт при тези, които са започнали лечение с аторвастатин от 80 </w:t>
      </w:r>
      <w:r w:rsidRPr="009A0C07">
        <w:rPr>
          <w:rFonts w:eastAsia="Times New Roman" w:cs="Arial"/>
          <w:color w:val="000000"/>
          <w:lang w:val="en-US"/>
        </w:rPr>
        <w:t xml:space="preserve">mg, </w:t>
      </w:r>
      <w:r w:rsidRPr="009A0C07">
        <w:rPr>
          <w:rFonts w:eastAsia="Times New Roman" w:cs="Arial"/>
          <w:color w:val="000000"/>
          <w:lang w:eastAsia="bg-BG"/>
        </w:rPr>
        <w:t xml:space="preserve">в сравнение с плацебо. Повишеният риск е бил наблюдаван особено при пациентите с предшестващ проучването хеморагичен инсулт или лакунарен инфаркт. При пациенти с предшестващ хеморагичен инсулт или лакунарен инфаркт, съотношението риск/ползи от прилагането на аторвастатин 80 </w:t>
      </w:r>
      <w:r w:rsidRPr="009A0C07">
        <w:rPr>
          <w:rFonts w:eastAsia="Times New Roman" w:cs="Arial"/>
          <w:color w:val="000000"/>
          <w:lang w:val="en-US"/>
        </w:rPr>
        <w:t xml:space="preserve">mg </w:t>
      </w:r>
      <w:r w:rsidRPr="009A0C07">
        <w:rPr>
          <w:rFonts w:eastAsia="Times New Roman" w:cs="Arial"/>
          <w:color w:val="000000"/>
          <w:lang w:eastAsia="bg-BG"/>
        </w:rPr>
        <w:t>е неустановено и потенциалният риск от хеморагичен инсулт трябва да бъде внимателно оценен преди започване на лечението (вж. точка 5.1).</w:t>
      </w:r>
    </w:p>
    <w:p w14:paraId="73EFE3E5" w14:textId="77777777" w:rsidR="009A0C07" w:rsidRPr="009A0C07" w:rsidRDefault="009A0C07" w:rsidP="009A0C07">
      <w:pPr>
        <w:rPr>
          <w:rFonts w:eastAsia="Times New Roman" w:cs="Arial"/>
          <w:color w:val="000000"/>
          <w:u w:val="single"/>
          <w:lang w:eastAsia="bg-BG"/>
        </w:rPr>
      </w:pPr>
    </w:p>
    <w:p w14:paraId="0B3BEE35" w14:textId="046D6608" w:rsidR="0091385D" w:rsidRPr="009A0C07" w:rsidRDefault="009A0C07" w:rsidP="009A0C07">
      <w:pPr>
        <w:rPr>
          <w:rFonts w:cs="Arial"/>
        </w:rPr>
      </w:pPr>
      <w:r w:rsidRPr="009A0C07">
        <w:rPr>
          <w:rFonts w:eastAsia="Times New Roman" w:cs="Arial"/>
          <w:color w:val="000000"/>
          <w:u w:val="single"/>
          <w:lang w:eastAsia="bg-BG"/>
        </w:rPr>
        <w:t>Ефекти върху скелетната мускулатура</w:t>
      </w:r>
    </w:p>
    <w:p w14:paraId="6A693765"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Аторвастатин, подобно на останалите инхибитори на </w:t>
      </w:r>
      <w:r w:rsidRPr="009A0C07">
        <w:rPr>
          <w:rFonts w:eastAsia="Times New Roman" w:cs="Arial"/>
          <w:color w:val="000000"/>
          <w:lang w:val="en-US"/>
        </w:rPr>
        <w:t xml:space="preserve">HMG-CoA </w:t>
      </w:r>
      <w:r w:rsidRPr="009A0C07">
        <w:rPr>
          <w:rFonts w:eastAsia="Times New Roman" w:cs="Arial"/>
          <w:color w:val="000000"/>
          <w:lang w:eastAsia="bg-BG"/>
        </w:rPr>
        <w:t>редуктаза, може в редки случаи да засегне скелетната мускулатура и да причини миалгия, миозит и миопатия, които могат да прогресират до рабдомиолиза - потенциално животозастрашаващо състояние, характеризиращо се с подчертано повишение на нивата на креатин киназа (СК) (&gt; 10 пъти горната граница на нормата), миоглобинемия и миоглобинурия, които могат да доведат до бъбречна недостатъчност.</w:t>
      </w:r>
    </w:p>
    <w:p w14:paraId="6225D0FF" w14:textId="77777777" w:rsidR="009A0C07" w:rsidRPr="009A0C07" w:rsidRDefault="009A0C07" w:rsidP="009A0C07">
      <w:pPr>
        <w:spacing w:line="240" w:lineRule="auto"/>
        <w:rPr>
          <w:rFonts w:eastAsia="Times New Roman" w:cs="Arial"/>
          <w:color w:val="000000"/>
          <w:lang w:eastAsia="bg-BG"/>
        </w:rPr>
      </w:pPr>
    </w:p>
    <w:p w14:paraId="617F0730" w14:textId="2AF3B2F9"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По време на или след лечение с някои статини много рядко се съобщава за имуно-медиирана некротизираща миопатия (ИМНМ). Клинично ИМНМ се характеризира с персистираща слабост на проксималните мускули и повишени серумни нива на креатинкиназата, които продължават въпреки прекратяването на лечението със статини, положителни </w:t>
      </w:r>
      <w:r w:rsidRPr="009A0C07">
        <w:rPr>
          <w:rFonts w:eastAsia="Times New Roman" w:cs="Arial"/>
          <w:color w:val="000000"/>
          <w:lang w:val="en-US"/>
        </w:rPr>
        <w:t xml:space="preserve">HMG-CoA </w:t>
      </w:r>
      <w:r w:rsidRPr="009A0C07">
        <w:rPr>
          <w:rFonts w:eastAsia="Times New Roman" w:cs="Arial"/>
          <w:color w:val="000000"/>
          <w:lang w:eastAsia="bg-BG"/>
        </w:rPr>
        <w:t>редуктаза - антитела и подобрение при използването на имуносупресивни агенти.</w:t>
      </w:r>
    </w:p>
    <w:p w14:paraId="4BE85438" w14:textId="77777777" w:rsidR="009A0C07" w:rsidRPr="009A0C07" w:rsidRDefault="009A0C07" w:rsidP="009A0C07">
      <w:pPr>
        <w:spacing w:line="240" w:lineRule="auto"/>
        <w:rPr>
          <w:rFonts w:eastAsia="Times New Roman" w:cs="Arial"/>
          <w:i/>
          <w:iCs/>
          <w:color w:val="000000"/>
          <w:u w:val="single"/>
          <w:lang w:eastAsia="bg-BG"/>
        </w:rPr>
      </w:pPr>
    </w:p>
    <w:p w14:paraId="6143B30C" w14:textId="538C6415"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Преди започване на лечението</w:t>
      </w:r>
    </w:p>
    <w:p w14:paraId="7D38C1CD"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Аторвастатин трябва да се предписва с повишено внимание на пациенти с предразполагащи фактори за развитие на рабдомиолиза. Нивото на креатин киназа (СК) трябва да се измерва преди започване на лечението със статини в следните случаи: - бъбречно увреждане - хипотиреоидизъм</w:t>
      </w:r>
    </w:p>
    <w:p w14:paraId="056FCBA3" w14:textId="77777777" w:rsidR="009A0C07" w:rsidRPr="009A0C07" w:rsidRDefault="009A0C07" w:rsidP="009A0C07">
      <w:pPr>
        <w:numPr>
          <w:ilvl w:val="0"/>
          <w:numId w:val="2"/>
        </w:numPr>
        <w:spacing w:line="240" w:lineRule="auto"/>
        <w:rPr>
          <w:rFonts w:eastAsia="Times New Roman" w:cs="Arial"/>
          <w:color w:val="000000"/>
          <w:lang w:eastAsia="bg-BG"/>
        </w:rPr>
      </w:pPr>
      <w:r w:rsidRPr="009A0C07">
        <w:rPr>
          <w:rFonts w:eastAsia="Times New Roman" w:cs="Arial"/>
          <w:color w:val="000000"/>
          <w:lang w:eastAsia="bg-BG"/>
        </w:rPr>
        <w:t>лична или фамилна анамнеза за наследствени мускулни заболявания</w:t>
      </w:r>
    </w:p>
    <w:p w14:paraId="2CE3F0ED" w14:textId="77777777" w:rsidR="009A0C07" w:rsidRPr="009A0C07" w:rsidRDefault="009A0C07" w:rsidP="009A0C07">
      <w:pPr>
        <w:numPr>
          <w:ilvl w:val="0"/>
          <w:numId w:val="2"/>
        </w:numPr>
        <w:spacing w:line="240" w:lineRule="auto"/>
        <w:rPr>
          <w:rFonts w:eastAsia="Times New Roman" w:cs="Arial"/>
          <w:color w:val="000000"/>
          <w:lang w:eastAsia="bg-BG"/>
        </w:rPr>
      </w:pPr>
      <w:r w:rsidRPr="009A0C07">
        <w:rPr>
          <w:rFonts w:eastAsia="Times New Roman" w:cs="Arial"/>
          <w:color w:val="000000"/>
          <w:lang w:eastAsia="bg-BG"/>
        </w:rPr>
        <w:t>предшестваща анамнеза за токсични ефекти на статии или фибрат върху мускулите</w:t>
      </w:r>
    </w:p>
    <w:p w14:paraId="3F9E7D3A" w14:textId="77777777" w:rsidR="009A0C07" w:rsidRPr="009A0C07" w:rsidRDefault="009A0C07" w:rsidP="009A0C07">
      <w:pPr>
        <w:numPr>
          <w:ilvl w:val="0"/>
          <w:numId w:val="2"/>
        </w:numPr>
        <w:spacing w:line="240" w:lineRule="auto"/>
        <w:rPr>
          <w:rFonts w:eastAsia="Times New Roman" w:cs="Arial"/>
          <w:color w:val="000000"/>
          <w:lang w:eastAsia="bg-BG"/>
        </w:rPr>
      </w:pPr>
      <w:r w:rsidRPr="009A0C07">
        <w:rPr>
          <w:rFonts w:eastAsia="Times New Roman" w:cs="Arial"/>
          <w:color w:val="000000"/>
          <w:lang w:eastAsia="bg-BG"/>
        </w:rPr>
        <w:t>предшестваща анамнеза за чернодробно заболяване и/или когато се консумират значителни количества алкохол</w:t>
      </w:r>
    </w:p>
    <w:p w14:paraId="3E36FEB3" w14:textId="77777777" w:rsidR="009A0C07" w:rsidRPr="009A0C07" w:rsidRDefault="009A0C07" w:rsidP="009A0C07">
      <w:pPr>
        <w:numPr>
          <w:ilvl w:val="0"/>
          <w:numId w:val="2"/>
        </w:numPr>
        <w:spacing w:line="240" w:lineRule="auto"/>
        <w:rPr>
          <w:rFonts w:eastAsia="Times New Roman" w:cs="Arial"/>
          <w:color w:val="000000"/>
          <w:lang w:eastAsia="bg-BG"/>
        </w:rPr>
      </w:pPr>
      <w:r w:rsidRPr="009A0C07">
        <w:rPr>
          <w:rFonts w:eastAsia="Times New Roman" w:cs="Arial"/>
          <w:color w:val="000000"/>
          <w:lang w:eastAsia="bg-BG"/>
        </w:rPr>
        <w:t>при пациенти в напреднала възраст (над 70 години), необходимостта от такова измерване трябва да се прецени, според наличието на други предразполагащи фактори за развитие на рабдомиолиза</w:t>
      </w:r>
    </w:p>
    <w:p w14:paraId="5ED5F0B1" w14:textId="77777777" w:rsidR="009A0C07" w:rsidRPr="009A0C07" w:rsidRDefault="009A0C07" w:rsidP="009A0C07">
      <w:pPr>
        <w:numPr>
          <w:ilvl w:val="0"/>
          <w:numId w:val="2"/>
        </w:numPr>
        <w:spacing w:line="240" w:lineRule="auto"/>
        <w:rPr>
          <w:rFonts w:eastAsia="Times New Roman" w:cs="Arial"/>
          <w:color w:val="000000"/>
          <w:lang w:eastAsia="bg-BG"/>
        </w:rPr>
      </w:pPr>
      <w:r w:rsidRPr="009A0C07">
        <w:rPr>
          <w:rFonts w:eastAsia="Times New Roman" w:cs="Arial"/>
          <w:color w:val="000000"/>
          <w:lang w:eastAsia="bg-BG"/>
        </w:rPr>
        <w:t>в случаи, когато може да настъпи повишение на плазмените концентрации, като при взаимодействия (вж. точка 4.5) и специални популации, включително генетични субпопулации (вж. точка 5.2).</w:t>
      </w:r>
    </w:p>
    <w:p w14:paraId="3FDE255B" w14:textId="77777777" w:rsidR="009A0C07" w:rsidRPr="009A0C07" w:rsidRDefault="009A0C07" w:rsidP="009A0C07">
      <w:pPr>
        <w:spacing w:line="240" w:lineRule="auto"/>
        <w:rPr>
          <w:rFonts w:eastAsia="Times New Roman" w:cs="Arial"/>
          <w:color w:val="000000"/>
          <w:lang w:eastAsia="bg-BG"/>
        </w:rPr>
      </w:pPr>
    </w:p>
    <w:p w14:paraId="507FA412" w14:textId="5FCFBEF8"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В тези случаи, рискът от лечението трябва да се прецени спрямо възможните ползи и се препоръчва клинично проследяване.</w:t>
      </w:r>
    </w:p>
    <w:p w14:paraId="257C3083" w14:textId="77777777" w:rsidR="009A0C07" w:rsidRPr="009A0C07" w:rsidRDefault="009A0C07" w:rsidP="009A0C07">
      <w:pPr>
        <w:spacing w:line="240" w:lineRule="auto"/>
        <w:rPr>
          <w:rFonts w:eastAsia="Times New Roman" w:cs="Arial"/>
          <w:color w:val="000000"/>
          <w:lang w:eastAsia="bg-BG"/>
        </w:rPr>
      </w:pPr>
    </w:p>
    <w:p w14:paraId="4BC62459" w14:textId="484BF82A"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Ако нивата на креатин киназа (СК) са значително повишени (&gt; 5 пъти горната граница на нормата), лечението не трябва да се започва.</w:t>
      </w:r>
    </w:p>
    <w:p w14:paraId="31ED7CDF" w14:textId="77777777" w:rsidR="009A0C07" w:rsidRPr="009A0C07" w:rsidRDefault="009A0C07" w:rsidP="009A0C07">
      <w:pPr>
        <w:spacing w:line="240" w:lineRule="auto"/>
        <w:rPr>
          <w:rFonts w:eastAsia="Times New Roman" w:cs="Arial"/>
          <w:i/>
          <w:iCs/>
          <w:color w:val="000000"/>
          <w:u w:val="single"/>
          <w:lang w:eastAsia="bg-BG"/>
        </w:rPr>
      </w:pPr>
    </w:p>
    <w:p w14:paraId="0B6D540F" w14:textId="285DCF7B"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Измерване на креатин киназа</w:t>
      </w:r>
    </w:p>
    <w:p w14:paraId="7C3E823C"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Креатин киназа (СК) не трябва да се измерва след усилени физически упражнения или при наличие на каквато и да е правдоподобна алтернативна причина за повишението на СК, тъй като това може да затрудни обяснението на получените стойности. Ако изходните нива на СК са значително повишени (&gt; 5 пъти горната граница на нормата), нивата трябва да се измерят повторно в рамките на 5 до 7 дни по-късно, за да се потвърдят резултатите.</w:t>
      </w:r>
    </w:p>
    <w:p w14:paraId="6569E91D" w14:textId="77777777" w:rsidR="009A0C07" w:rsidRPr="009A0C07" w:rsidRDefault="009A0C07" w:rsidP="009A0C07">
      <w:pPr>
        <w:spacing w:line="240" w:lineRule="auto"/>
        <w:rPr>
          <w:rFonts w:eastAsia="Times New Roman" w:cs="Arial"/>
          <w:i/>
          <w:iCs/>
          <w:color w:val="000000"/>
          <w:u w:val="single"/>
          <w:lang w:eastAsia="bg-BG"/>
        </w:rPr>
      </w:pPr>
    </w:p>
    <w:p w14:paraId="2AFB159C" w14:textId="4E034E4A" w:rsidR="009A0C07" w:rsidRPr="009A0C07" w:rsidRDefault="009A0C07" w:rsidP="009A0C07">
      <w:pPr>
        <w:spacing w:line="240" w:lineRule="auto"/>
        <w:rPr>
          <w:rFonts w:eastAsia="Times New Roman" w:cs="Arial"/>
          <w:i/>
          <w:iCs/>
          <w:color w:val="000000"/>
          <w:u w:val="single"/>
          <w:lang w:eastAsia="bg-BG"/>
        </w:rPr>
      </w:pPr>
      <w:r w:rsidRPr="009A0C07">
        <w:rPr>
          <w:rFonts w:eastAsia="Times New Roman" w:cs="Arial"/>
          <w:i/>
          <w:iCs/>
          <w:color w:val="000000"/>
          <w:u w:val="single"/>
          <w:lang w:eastAsia="bg-BG"/>
        </w:rPr>
        <w:t>По време на лечението</w:t>
      </w:r>
    </w:p>
    <w:p w14:paraId="68085B85" w14:textId="7D78D643" w:rsidR="009A0C07" w:rsidRPr="009A0C07" w:rsidRDefault="009A0C07" w:rsidP="009A0C07">
      <w:pPr>
        <w:numPr>
          <w:ilvl w:val="0"/>
          <w:numId w:val="2"/>
        </w:numPr>
        <w:spacing w:line="240" w:lineRule="auto"/>
        <w:rPr>
          <w:rFonts w:eastAsia="Times New Roman" w:cs="Arial"/>
          <w:color w:val="000000"/>
          <w:lang w:eastAsia="bg-BG"/>
        </w:rPr>
      </w:pPr>
      <w:r w:rsidRPr="009A0C07">
        <w:rPr>
          <w:rFonts w:eastAsia="Times New Roman" w:cs="Arial"/>
          <w:color w:val="000000"/>
          <w:lang w:eastAsia="bg-BG"/>
        </w:rPr>
        <w:t>Пациентите трябва да бъдат помолени да съобщават своевременно за мускулни болки, крампи или мускулна слабост, особено ако те са съпроводени от неразположение или треска.</w:t>
      </w:r>
    </w:p>
    <w:p w14:paraId="1FC0CB51" w14:textId="77777777" w:rsidR="009A0C07" w:rsidRPr="009A0C07" w:rsidRDefault="009A0C07" w:rsidP="009A0C07">
      <w:pPr>
        <w:spacing w:line="240" w:lineRule="auto"/>
        <w:rPr>
          <w:rFonts w:eastAsia="Times New Roman" w:cs="Arial"/>
          <w:color w:val="000000"/>
          <w:lang w:eastAsia="bg-BG"/>
        </w:rPr>
      </w:pPr>
    </w:p>
    <w:p w14:paraId="23ABE4B8" w14:textId="1084CC41" w:rsidR="009A0C07" w:rsidRPr="009A0C07" w:rsidRDefault="009A0C07" w:rsidP="009A0C07">
      <w:pPr>
        <w:numPr>
          <w:ilvl w:val="0"/>
          <w:numId w:val="2"/>
        </w:numPr>
        <w:spacing w:line="240" w:lineRule="auto"/>
        <w:rPr>
          <w:rFonts w:eastAsia="Times New Roman" w:cs="Arial"/>
          <w:color w:val="000000"/>
          <w:lang w:eastAsia="bg-BG"/>
        </w:rPr>
      </w:pPr>
      <w:r w:rsidRPr="009A0C07">
        <w:rPr>
          <w:rFonts w:eastAsia="Times New Roman" w:cs="Arial"/>
          <w:color w:val="000000"/>
          <w:lang w:eastAsia="bg-BG"/>
        </w:rPr>
        <w:t>Ако тези симптоми се появят, докато пациентът провежда лечение с аторвастатин, трябва да се измерят нивата на СК. Ако се установи, че те са значително повишени (&gt; 5 пъти горната граница на нормата), лечението трябва да се прекрати.</w:t>
      </w:r>
    </w:p>
    <w:p w14:paraId="519CA657" w14:textId="5FC3B416" w:rsidR="009A0C07" w:rsidRPr="009A0C07" w:rsidRDefault="009A0C07" w:rsidP="009A0C07">
      <w:pPr>
        <w:spacing w:line="240" w:lineRule="auto"/>
        <w:rPr>
          <w:rFonts w:eastAsia="Times New Roman" w:cs="Arial"/>
          <w:color w:val="000000"/>
          <w:lang w:eastAsia="bg-BG"/>
        </w:rPr>
      </w:pPr>
    </w:p>
    <w:p w14:paraId="4DAA69A0" w14:textId="77777777" w:rsidR="009A0C07" w:rsidRPr="009A0C07" w:rsidRDefault="009A0C07" w:rsidP="009A0C07">
      <w:pPr>
        <w:numPr>
          <w:ilvl w:val="0"/>
          <w:numId w:val="2"/>
        </w:numPr>
        <w:spacing w:line="240" w:lineRule="auto"/>
        <w:rPr>
          <w:rFonts w:eastAsia="Times New Roman" w:cs="Arial"/>
          <w:color w:val="000000"/>
          <w:lang w:eastAsia="bg-BG"/>
        </w:rPr>
      </w:pPr>
      <w:r w:rsidRPr="009A0C07">
        <w:rPr>
          <w:rFonts w:eastAsia="Times New Roman" w:cs="Arial"/>
          <w:color w:val="000000"/>
          <w:lang w:eastAsia="bg-BG"/>
        </w:rPr>
        <w:t>Ако симптомите от страна на мускулите са тежки и причиняват дневен дискомфорт, дори ако нивата на СК са повишени до ≤ 5 пъти горната граница на нормата, трябва да се обмисли прекратяване на лечението.</w:t>
      </w:r>
    </w:p>
    <w:p w14:paraId="1DA31105" w14:textId="77777777" w:rsidR="009A0C07" w:rsidRPr="009A0C07" w:rsidRDefault="009A0C07" w:rsidP="009A0C07">
      <w:pPr>
        <w:pStyle w:val="ListParagraph"/>
        <w:rPr>
          <w:rFonts w:eastAsia="Times New Roman" w:cs="Arial"/>
          <w:color w:val="000000"/>
          <w:lang w:eastAsia="bg-BG"/>
        </w:rPr>
      </w:pPr>
    </w:p>
    <w:p w14:paraId="24E3E82F" w14:textId="2722A184" w:rsidR="0091385D" w:rsidRDefault="009A0C07" w:rsidP="009A0C07">
      <w:pPr>
        <w:numPr>
          <w:ilvl w:val="0"/>
          <w:numId w:val="2"/>
        </w:numPr>
        <w:spacing w:line="240" w:lineRule="auto"/>
        <w:rPr>
          <w:rFonts w:eastAsia="Times New Roman" w:cs="Arial"/>
          <w:color w:val="000000"/>
          <w:lang w:eastAsia="bg-BG"/>
        </w:rPr>
      </w:pPr>
      <w:r w:rsidRPr="009A0C07">
        <w:rPr>
          <w:rFonts w:eastAsia="Times New Roman" w:cs="Arial"/>
          <w:color w:val="000000"/>
          <w:lang w:eastAsia="bg-BG"/>
        </w:rPr>
        <w:t>Ако симптомите отшумят и нивата на СК спаднат до нормалните, може да се обмисли възобновяване на приема на аторвастатин или въвеждане на алтернативен статии при най-ниска доза и стриктно проследяване.</w:t>
      </w:r>
    </w:p>
    <w:p w14:paraId="318FC7FA" w14:textId="77777777" w:rsidR="009A0C07" w:rsidRPr="009A0C07" w:rsidRDefault="009A0C07" w:rsidP="009A0C07">
      <w:pPr>
        <w:numPr>
          <w:ilvl w:val="0"/>
          <w:numId w:val="2"/>
        </w:numPr>
        <w:spacing w:line="240" w:lineRule="auto"/>
        <w:rPr>
          <w:rFonts w:eastAsia="Times New Roman" w:cs="Arial"/>
          <w:color w:val="000000"/>
          <w:lang w:eastAsia="bg-BG"/>
        </w:rPr>
      </w:pPr>
      <w:r w:rsidRPr="009A0C07">
        <w:rPr>
          <w:rFonts w:eastAsia="Times New Roman" w:cs="Arial"/>
          <w:color w:val="000000"/>
          <w:lang w:eastAsia="bg-BG"/>
        </w:rPr>
        <w:lastRenderedPageBreak/>
        <w:t>Приемът на аторвастатин трябва да се преустанови, ако възникне клинично значимо повишение на нивата на СК (&gt; 10 пъти горната граница на нормата) или в случаите на диагностициране или съмнение за рабдомиолиза.</w:t>
      </w:r>
    </w:p>
    <w:p w14:paraId="04A82F7D" w14:textId="77777777" w:rsidR="009A0C07" w:rsidRPr="009A0C07" w:rsidRDefault="009A0C07" w:rsidP="009A0C07">
      <w:pPr>
        <w:spacing w:line="240" w:lineRule="auto"/>
        <w:rPr>
          <w:rFonts w:eastAsia="Times New Roman" w:cs="Arial"/>
          <w:i/>
          <w:iCs/>
          <w:color w:val="000000"/>
          <w:u w:val="single"/>
          <w:lang w:eastAsia="bg-BG"/>
        </w:rPr>
      </w:pPr>
    </w:p>
    <w:p w14:paraId="73F7858D" w14:textId="7C5C86B1"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Съпътстващо лечение с други лекарствени продукти</w:t>
      </w:r>
    </w:p>
    <w:p w14:paraId="79CB7A37"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Рискът от рабдомиолиза се повишава, когато аторвастатин се прилага едновременно с определени лекарствени продукти, които могат да повишат плазмената концентрация на аторвастатин, като мощни инхибитори на </w:t>
      </w:r>
      <w:r w:rsidRPr="009A0C07">
        <w:rPr>
          <w:rFonts w:eastAsia="Times New Roman" w:cs="Arial"/>
          <w:color w:val="000000"/>
          <w:lang w:val="en-US"/>
        </w:rPr>
        <w:t>CYP3</w:t>
      </w:r>
      <w:r w:rsidRPr="009A0C07">
        <w:rPr>
          <w:rFonts w:eastAsia="Times New Roman" w:cs="Arial"/>
          <w:color w:val="000000"/>
          <w:lang w:eastAsia="bg-BG"/>
        </w:rPr>
        <w:t xml:space="preserve">А4 или транспортни протеини (напр. циклоспорин, телитромицин, кларитромицин, делавирдин, стирипентол, кетоконазол, вориконазол, итраконазол, позаконазол, летермовир или инхибитори на </w:t>
      </w:r>
      <w:r w:rsidRPr="009A0C07">
        <w:rPr>
          <w:rFonts w:eastAsia="Times New Roman" w:cs="Arial"/>
          <w:color w:val="000000"/>
          <w:lang w:val="en-US"/>
        </w:rPr>
        <w:t>HIV</w:t>
      </w:r>
      <w:r w:rsidRPr="009A0C07">
        <w:rPr>
          <w:rFonts w:eastAsia="Times New Roman" w:cs="Arial"/>
          <w:color w:val="000000"/>
          <w:lang w:eastAsia="bg-BG"/>
        </w:rPr>
        <w:t>-протеаза, в това число ритонавир, лопииавир, атазанавир, индинавир, дарунавир, трипранавир/ритонавир др.). Рискът от миопатия може също да се повиши при съпътстващо прилагане на гемфиброзил и други производни на фибриновата киселина (напр. босепревир, телапревир, елбасвир/гразопревир, ледипасвир/ софобувир, еритромицин, ниацин или езетимиб). При възможност, вместо тези лекарствени продукти трябва да се обмислят алтернативни (не-взаимодействащи) терапии.</w:t>
      </w:r>
    </w:p>
    <w:p w14:paraId="017A4C7D" w14:textId="77777777" w:rsidR="009A0C07" w:rsidRPr="009A0C07" w:rsidRDefault="009A0C07" w:rsidP="009A0C07">
      <w:pPr>
        <w:spacing w:line="240" w:lineRule="auto"/>
        <w:rPr>
          <w:rFonts w:eastAsia="Times New Roman" w:cs="Arial"/>
          <w:color w:val="000000"/>
          <w:lang w:eastAsia="bg-BG"/>
        </w:rPr>
      </w:pPr>
    </w:p>
    <w:p w14:paraId="0E1C83E6" w14:textId="43327333"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В случаите когато се налага едновременно прилагане на тези лекарствени продукти с аторвастатин, трябва внимателно да се оцени съотношението полза/риск от съпътстващото лечение. Когато пациентите получават лекарствени продукти, които повишават плазмената концентрация на аторвастатин, се препоръчва по-ниска максимална доза на аторвастатин. В допълнение, в случай на лечение с мощни инхибитори на </w:t>
      </w:r>
      <w:r w:rsidRPr="009A0C07">
        <w:rPr>
          <w:rFonts w:eastAsia="Times New Roman" w:cs="Arial"/>
          <w:color w:val="000000"/>
          <w:lang w:val="en-US"/>
        </w:rPr>
        <w:t>CYP3</w:t>
      </w:r>
      <w:r w:rsidRPr="009A0C07">
        <w:rPr>
          <w:rFonts w:eastAsia="Times New Roman" w:cs="Arial"/>
          <w:color w:val="000000"/>
          <w:lang w:eastAsia="bg-BG"/>
        </w:rPr>
        <w:t>А4, трябва да се обмисли по-ниска начална доза на аторвастатин и се препоръчва адекватно клинично проследяване на тези пациенти (вж. точка 4.5).</w:t>
      </w:r>
    </w:p>
    <w:p w14:paraId="474EB54B" w14:textId="77777777" w:rsidR="009A0C07" w:rsidRPr="009A0C07" w:rsidRDefault="009A0C07" w:rsidP="009A0C07">
      <w:pPr>
        <w:spacing w:line="240" w:lineRule="auto"/>
        <w:rPr>
          <w:rFonts w:eastAsia="Times New Roman" w:cs="Arial"/>
          <w:color w:val="000000"/>
          <w:lang w:eastAsia="bg-BG"/>
        </w:rPr>
      </w:pPr>
    </w:p>
    <w:p w14:paraId="76FCC207" w14:textId="4BD50C89"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Аторвастатин не трябва да се приема едновременно с комплексно действащи съединения на фузидовата киселина или в срок до 7 дни след края на лечението с фузидова киселина. При пациенти, при които употребата на комплексно действаща фузидова киселина се счита за наложително, лечението със статии би трябвало да се преустанови докато продължава лечението с фузидова киселина. Съобщават се случаи на рабдомиолиза (включително смъртни случаи) при пациенти, приемащи едновременно фузидова киселина и статини (вж. раздел 4.5). Пациентите трябва да бъдат предупредени да потърсят незабавно медицинска помощ, ако почувстват симптоми на мускулна слабост, болезненост или чувствителност.</w:t>
      </w:r>
    </w:p>
    <w:p w14:paraId="29377AB6" w14:textId="77777777" w:rsidR="009A0C07" w:rsidRPr="009A0C07" w:rsidRDefault="009A0C07" w:rsidP="009A0C07">
      <w:pPr>
        <w:spacing w:line="240" w:lineRule="auto"/>
        <w:rPr>
          <w:rFonts w:eastAsia="Times New Roman" w:cs="Arial"/>
          <w:color w:val="000000"/>
          <w:lang w:eastAsia="bg-BG"/>
        </w:rPr>
      </w:pPr>
    </w:p>
    <w:p w14:paraId="59AC7E94" w14:textId="318DD52A"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Статиновата терапия може да бъде подновена седем дни след последната доза фузидова киселина.</w:t>
      </w:r>
    </w:p>
    <w:p w14:paraId="40456C1F" w14:textId="77777777" w:rsidR="009A0C07" w:rsidRPr="009A0C07" w:rsidRDefault="009A0C07" w:rsidP="009A0C07">
      <w:pPr>
        <w:spacing w:line="240" w:lineRule="auto"/>
        <w:rPr>
          <w:rFonts w:eastAsia="Times New Roman" w:cs="Arial"/>
          <w:color w:val="000000"/>
          <w:lang w:eastAsia="bg-BG"/>
        </w:rPr>
      </w:pPr>
    </w:p>
    <w:p w14:paraId="4980CD4E" w14:textId="506B5269"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В изключителни случаи, при които се налага продължителен прием на комплексно действаща фузидова киселина, например при лечението на остри инфекции, едновременният прием на Аторвастатин и фузидова киселина следва да се изписва като се разглежда всеки отделния случай и се осъществява постоянен и стриктен медицински контрол.</w:t>
      </w:r>
    </w:p>
    <w:p w14:paraId="55BCF805" w14:textId="77777777" w:rsidR="009A0C07" w:rsidRPr="009A0C07" w:rsidRDefault="009A0C07" w:rsidP="009A0C07">
      <w:pPr>
        <w:spacing w:line="240" w:lineRule="auto"/>
        <w:rPr>
          <w:rFonts w:eastAsia="Times New Roman" w:cs="Arial"/>
          <w:color w:val="000000"/>
          <w:u w:val="single"/>
          <w:lang w:eastAsia="bg-BG"/>
        </w:rPr>
      </w:pPr>
    </w:p>
    <w:p w14:paraId="6D51057F" w14:textId="4251C345"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u w:val="single"/>
          <w:lang w:eastAsia="bg-BG"/>
        </w:rPr>
        <w:t>Педиатрична популация</w:t>
      </w:r>
    </w:p>
    <w:p w14:paraId="584CC302"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В 3-годишно проучване, основано на оценка на цялостното съзряване и развитие, оценка по стадий на </w:t>
      </w:r>
      <w:r w:rsidRPr="009A0C07">
        <w:rPr>
          <w:rFonts w:eastAsia="Times New Roman" w:cs="Arial"/>
          <w:color w:val="000000"/>
          <w:lang w:val="en-US"/>
        </w:rPr>
        <w:t xml:space="preserve">Tanner </w:t>
      </w:r>
      <w:r w:rsidRPr="009A0C07">
        <w:rPr>
          <w:rFonts w:eastAsia="Times New Roman" w:cs="Arial"/>
          <w:color w:val="000000"/>
          <w:lang w:eastAsia="bg-BG"/>
        </w:rPr>
        <w:t>и измерване на височината и теглото, не се наблюдава клинично значим ефект върху развитието и половата зрялост (вж. точка 4.8).</w:t>
      </w:r>
    </w:p>
    <w:p w14:paraId="51DE5935" w14:textId="77777777" w:rsidR="009A0C07" w:rsidRPr="009A0C07" w:rsidRDefault="009A0C07" w:rsidP="009A0C07">
      <w:pPr>
        <w:spacing w:line="240" w:lineRule="auto"/>
        <w:rPr>
          <w:rFonts w:eastAsia="Times New Roman" w:cs="Arial"/>
          <w:color w:val="000000"/>
          <w:u w:val="single"/>
          <w:lang w:eastAsia="bg-BG"/>
        </w:rPr>
      </w:pPr>
    </w:p>
    <w:p w14:paraId="13E216E5" w14:textId="4D83BC5F"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u w:val="single"/>
          <w:lang w:eastAsia="bg-BG"/>
        </w:rPr>
        <w:t>Интерстициална белодробна болест</w:t>
      </w:r>
    </w:p>
    <w:p w14:paraId="639509A2"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lastRenderedPageBreak/>
        <w:t>Единични случаи на интерстициална белодробна болест са съобщавани при някои статини, особено при продължително лечение (вж. точка 4.8). Характерните прояви може да включват диспнея, кашлица без отделяне на секрет и влошаване на общото здравословно състояние (умора, загуба на тегло и треска). Ако има съмнение, че пациентът е развил интерстициална белодробна болест, лечението със статини трябва да се преустанови.</w:t>
      </w:r>
    </w:p>
    <w:p w14:paraId="61A3C0E0" w14:textId="77777777" w:rsidR="009A0C07" w:rsidRPr="009A0C07" w:rsidRDefault="009A0C07" w:rsidP="009A0C07">
      <w:pPr>
        <w:spacing w:line="240" w:lineRule="auto"/>
        <w:rPr>
          <w:rFonts w:eastAsia="Times New Roman" w:cs="Arial"/>
          <w:color w:val="000000"/>
          <w:u w:val="single"/>
          <w:lang w:eastAsia="bg-BG"/>
        </w:rPr>
      </w:pPr>
    </w:p>
    <w:p w14:paraId="679F7FC3" w14:textId="5A113825"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u w:val="single"/>
          <w:lang w:eastAsia="bg-BG"/>
        </w:rPr>
        <w:t>Захарен диабет</w:t>
      </w:r>
    </w:p>
    <w:p w14:paraId="6CF55BF7"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Някои данни предполагат, че статините, като клас, повишават нивата на кръвната захар и при някои пациенти с повишен риск от бъдещ диабет може да доведат до ниво на хипергликемия, при което официално установените грижи за диабетици са подходящи.</w:t>
      </w:r>
    </w:p>
    <w:p w14:paraId="443D1EED" w14:textId="77777777" w:rsidR="009A0C07" w:rsidRPr="009A0C07" w:rsidRDefault="009A0C07" w:rsidP="009A0C07">
      <w:pPr>
        <w:rPr>
          <w:rFonts w:eastAsia="Times New Roman" w:cs="Arial"/>
          <w:sz w:val="24"/>
          <w:szCs w:val="24"/>
          <w:lang w:eastAsia="bg-BG"/>
        </w:rPr>
      </w:pPr>
      <w:r w:rsidRPr="009A0C07">
        <w:rPr>
          <w:rFonts w:eastAsia="Times New Roman" w:cs="Arial"/>
          <w:color w:val="000000"/>
          <w:lang w:eastAsia="bg-BG"/>
        </w:rPr>
        <w:t>Този риск, обаче, се компенсира от понижението на васкуларния риск при прилагане на статини и, следователно, не трябва да бъде причина за спиране на лечението със статини. Рисковите пациенти</w:t>
      </w:r>
      <w:r>
        <w:rPr>
          <w:rFonts w:eastAsia="Times New Roman" w:cs="Arial"/>
          <w:color w:val="000000"/>
          <w:lang w:eastAsia="bg-BG"/>
        </w:rPr>
        <w:t xml:space="preserve"> </w:t>
      </w:r>
      <w:r w:rsidRPr="009A0C07">
        <w:rPr>
          <w:rFonts w:eastAsia="Times New Roman" w:cs="Arial"/>
          <w:color w:val="000000"/>
          <w:lang w:eastAsia="bg-BG"/>
        </w:rPr>
        <w:t xml:space="preserve">(глюкоза на гладно от 5,6 до 6,9 </w:t>
      </w:r>
      <w:r w:rsidRPr="009A0C07">
        <w:rPr>
          <w:rFonts w:eastAsia="Times New Roman" w:cs="Arial"/>
          <w:color w:val="000000"/>
          <w:lang w:val="en-US"/>
        </w:rPr>
        <w:t xml:space="preserve">mmol/l, </w:t>
      </w:r>
      <w:r w:rsidRPr="009A0C07">
        <w:rPr>
          <w:rFonts w:eastAsia="Times New Roman" w:cs="Arial"/>
          <w:color w:val="000000"/>
          <w:lang w:eastAsia="bg-BG"/>
        </w:rPr>
        <w:t xml:space="preserve">индекс на телесна маса </w:t>
      </w:r>
      <w:r w:rsidRPr="009A0C07">
        <w:rPr>
          <w:rFonts w:eastAsia="Times New Roman" w:cs="Arial"/>
          <w:color w:val="000000"/>
          <w:lang w:val="en-US"/>
        </w:rPr>
        <w:t xml:space="preserve">(BMI) </w:t>
      </w:r>
      <w:r w:rsidRPr="009A0C07">
        <w:rPr>
          <w:rFonts w:eastAsia="Times New Roman" w:cs="Arial"/>
          <w:color w:val="000000"/>
          <w:lang w:eastAsia="bg-BG"/>
        </w:rPr>
        <w:t xml:space="preserve">&gt; </w:t>
      </w:r>
      <w:r w:rsidRPr="009A0C07">
        <w:rPr>
          <w:rFonts w:eastAsia="Times New Roman" w:cs="Arial"/>
          <w:color w:val="000000"/>
          <w:lang w:val="en-US"/>
        </w:rPr>
        <w:t>30kg/m</w:t>
      </w:r>
      <w:r w:rsidRPr="009A0C07">
        <w:rPr>
          <w:rFonts w:eastAsia="Times New Roman" w:cs="Arial"/>
          <w:color w:val="000000"/>
          <w:vertAlign w:val="superscript"/>
          <w:lang w:val="en-US"/>
        </w:rPr>
        <w:t>2</w:t>
      </w:r>
      <w:r w:rsidRPr="009A0C07">
        <w:rPr>
          <w:rFonts w:eastAsia="Times New Roman" w:cs="Arial"/>
          <w:color w:val="000000"/>
          <w:lang w:val="en-US"/>
        </w:rPr>
        <w:t xml:space="preserve">, </w:t>
      </w:r>
      <w:r w:rsidRPr="009A0C07">
        <w:rPr>
          <w:rFonts w:eastAsia="Times New Roman" w:cs="Arial"/>
          <w:color w:val="000000"/>
          <w:lang w:eastAsia="bg-BG"/>
        </w:rPr>
        <w:t>повишени триглицериди, хипертония) трябва да се проследяват както клинично, така и биохимично, в съответствие с националните указания.</w:t>
      </w:r>
    </w:p>
    <w:p w14:paraId="64CE34B0" w14:textId="77777777" w:rsidR="009A0C07" w:rsidRPr="009A0C07" w:rsidRDefault="009A0C07" w:rsidP="009A0C07">
      <w:pPr>
        <w:spacing w:line="240" w:lineRule="auto"/>
        <w:rPr>
          <w:rFonts w:eastAsia="Times New Roman" w:cs="Arial"/>
          <w:color w:val="000000"/>
          <w:u w:val="single"/>
          <w:lang w:eastAsia="bg-BG"/>
        </w:rPr>
      </w:pPr>
    </w:p>
    <w:p w14:paraId="77D836F9" w14:textId="26BABC15"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u w:val="single"/>
          <w:lang w:eastAsia="bg-BG"/>
        </w:rPr>
        <w:t>Помощни вещества</w:t>
      </w:r>
    </w:p>
    <w:p w14:paraId="3CC1D63C"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АТОРВИСТАТ К съдържа лактоза. Пациенти с редки наследствени забелязания като галактозна непоносимост, пълен лактазен дефицит иди глюкозо-галакгозна малабсорбция не трябва да приемат този лекарствен продукт.</w:t>
      </w:r>
    </w:p>
    <w:p w14:paraId="7C6FA754" w14:textId="77777777" w:rsidR="009A0C07" w:rsidRPr="009A0C07" w:rsidRDefault="009A0C07" w:rsidP="009A0C07">
      <w:pPr>
        <w:spacing w:line="240" w:lineRule="auto"/>
        <w:rPr>
          <w:rFonts w:eastAsia="Times New Roman" w:cs="Arial"/>
          <w:color w:val="000000"/>
          <w:lang w:eastAsia="bg-BG"/>
        </w:rPr>
      </w:pPr>
    </w:p>
    <w:p w14:paraId="769AFECB" w14:textId="55C83394" w:rsidR="009A0C07" w:rsidRPr="009A0C07" w:rsidRDefault="009A0C07" w:rsidP="009A0C07">
      <w:pPr>
        <w:spacing w:line="240" w:lineRule="auto"/>
        <w:rPr>
          <w:rFonts w:eastAsia="Times New Roman" w:cs="Arial"/>
          <w:color w:val="000000"/>
          <w:lang w:eastAsia="bg-BG"/>
        </w:rPr>
      </w:pPr>
      <w:r w:rsidRPr="009A0C07">
        <w:rPr>
          <w:rFonts w:eastAsia="Times New Roman" w:cs="Arial"/>
          <w:color w:val="000000"/>
          <w:lang w:eastAsia="bg-BG"/>
        </w:rPr>
        <w:t xml:space="preserve">АТОРВИСТАТ К съдържа по-малко от 1 </w:t>
      </w:r>
      <w:r w:rsidRPr="009A0C07">
        <w:rPr>
          <w:rFonts w:eastAsia="Times New Roman" w:cs="Arial"/>
          <w:color w:val="000000"/>
          <w:lang w:val="en-US"/>
        </w:rPr>
        <w:t xml:space="preserve">mmol </w:t>
      </w:r>
      <w:r w:rsidRPr="009A0C07">
        <w:rPr>
          <w:rFonts w:eastAsia="Times New Roman" w:cs="Arial"/>
          <w:color w:val="000000"/>
          <w:lang w:eastAsia="bg-BG"/>
        </w:rPr>
        <w:t xml:space="preserve">натрий (23 </w:t>
      </w:r>
      <w:r w:rsidRPr="009A0C07">
        <w:rPr>
          <w:rFonts w:eastAsia="Times New Roman" w:cs="Arial"/>
          <w:color w:val="000000"/>
          <w:lang w:val="en-US"/>
        </w:rPr>
        <w:t xml:space="preserve">mg) </w:t>
      </w:r>
      <w:r w:rsidRPr="009A0C07">
        <w:rPr>
          <w:rFonts w:eastAsia="Times New Roman" w:cs="Arial"/>
          <w:color w:val="000000"/>
          <w:lang w:eastAsia="bg-BG"/>
        </w:rPr>
        <w:t>на таблетка, т.е. може да се каже, че практически не съдържа натрий.</w:t>
      </w:r>
    </w:p>
    <w:p w14:paraId="35CDD995" w14:textId="18985C84" w:rsidR="009A0C07" w:rsidRPr="0091385D" w:rsidRDefault="009A0C07"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291E9682"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u w:val="single"/>
          <w:lang w:eastAsia="bg-BG"/>
        </w:rPr>
        <w:t>Ефекти на едновременно прилаганите лекарствени продукти върху аторвастатин</w:t>
      </w:r>
    </w:p>
    <w:p w14:paraId="1580B3D3"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Аторвастатин се метаболизира от цитохром Р450 3А4 </w:t>
      </w:r>
      <w:r w:rsidRPr="009A0C07">
        <w:rPr>
          <w:rFonts w:eastAsia="Times New Roman" w:cs="Arial"/>
          <w:color w:val="000000"/>
          <w:lang w:val="en-US"/>
        </w:rPr>
        <w:t xml:space="preserve">(CYP3 </w:t>
      </w:r>
      <w:r w:rsidRPr="009A0C07">
        <w:rPr>
          <w:rFonts w:eastAsia="Times New Roman" w:cs="Arial"/>
          <w:color w:val="000000"/>
          <w:lang w:eastAsia="bg-BG"/>
        </w:rPr>
        <w:t xml:space="preserve">А4) и е субстрат на чернодробните транспортери и на полипептидите, транспортиращи органични аниони 1В1 </w:t>
      </w:r>
      <w:r w:rsidRPr="009A0C07">
        <w:rPr>
          <w:rFonts w:eastAsia="Times New Roman" w:cs="Arial"/>
          <w:color w:val="000000"/>
          <w:lang w:val="en-US"/>
        </w:rPr>
        <w:t xml:space="preserve">(Organic anion-transporting polypeptide </w:t>
      </w:r>
      <w:r w:rsidRPr="009A0C07">
        <w:rPr>
          <w:rFonts w:eastAsia="Times New Roman" w:cs="Arial"/>
          <w:color w:val="000000"/>
          <w:lang w:eastAsia="bg-BG"/>
        </w:rPr>
        <w:t xml:space="preserve">1В1, </w:t>
      </w:r>
      <w:r w:rsidRPr="009A0C07">
        <w:rPr>
          <w:rFonts w:eastAsia="Times New Roman" w:cs="Arial"/>
          <w:color w:val="000000"/>
          <w:lang w:val="en-US"/>
        </w:rPr>
        <w:t xml:space="preserve">OATP1B1) </w:t>
      </w:r>
      <w:r w:rsidRPr="009A0C07">
        <w:rPr>
          <w:rFonts w:eastAsia="Times New Roman" w:cs="Arial"/>
          <w:color w:val="000000"/>
          <w:lang w:eastAsia="bg-BG"/>
        </w:rPr>
        <w:t xml:space="preserve">и </w:t>
      </w:r>
      <w:r w:rsidRPr="009A0C07">
        <w:rPr>
          <w:rFonts w:eastAsia="Times New Roman" w:cs="Arial"/>
          <w:color w:val="000000"/>
          <w:lang w:val="en-US"/>
        </w:rPr>
        <w:t xml:space="preserve">1B3 (OATP1B3). </w:t>
      </w:r>
      <w:r w:rsidRPr="009A0C07">
        <w:rPr>
          <w:rFonts w:eastAsia="Times New Roman" w:cs="Arial"/>
          <w:color w:val="000000"/>
          <w:lang w:eastAsia="bg-BG"/>
        </w:rPr>
        <w:t xml:space="preserve">Метаболитите на аторвастатин са субстрати на ОАТР1В1. Установено е също така, че аторвастатин е субстрат на ефлуксния транспортер Р- гликопротеин </w:t>
      </w:r>
      <w:r w:rsidRPr="009A0C07">
        <w:rPr>
          <w:rFonts w:eastAsia="Times New Roman" w:cs="Arial"/>
          <w:color w:val="000000"/>
          <w:lang w:val="en-US"/>
        </w:rPr>
        <w:t xml:space="preserve">(P-gp) </w:t>
      </w:r>
      <w:r w:rsidRPr="009A0C07">
        <w:rPr>
          <w:rFonts w:eastAsia="Times New Roman" w:cs="Arial"/>
          <w:color w:val="000000"/>
          <w:lang w:eastAsia="bg-BG"/>
        </w:rPr>
        <w:t xml:space="preserve">и на протеина на резистентност на рака на гърдата </w:t>
      </w:r>
      <w:r w:rsidRPr="009A0C07">
        <w:rPr>
          <w:rFonts w:eastAsia="Times New Roman" w:cs="Arial"/>
          <w:color w:val="000000"/>
          <w:lang w:val="en-US"/>
        </w:rPr>
        <w:t xml:space="preserve">(Breast cancer resistance protein, BCRP), </w:t>
      </w:r>
      <w:r w:rsidRPr="009A0C07">
        <w:rPr>
          <w:rFonts w:eastAsia="Times New Roman" w:cs="Arial"/>
          <w:color w:val="000000"/>
          <w:lang w:eastAsia="bg-BG"/>
        </w:rPr>
        <w:t xml:space="preserve">които може да ограничат чревната абсорбция и жлъчния клирънс на аторвастатин (вж. точка 5.2). Едновременното прилагане на лекарствени продукти, които са инхибитори на </w:t>
      </w:r>
      <w:r w:rsidRPr="009A0C07">
        <w:rPr>
          <w:rFonts w:eastAsia="Times New Roman" w:cs="Arial"/>
          <w:color w:val="000000"/>
          <w:lang w:val="en-US"/>
        </w:rPr>
        <w:t xml:space="preserve">CYP3A4 </w:t>
      </w:r>
      <w:r w:rsidRPr="009A0C07">
        <w:rPr>
          <w:rFonts w:eastAsia="Times New Roman" w:cs="Arial"/>
          <w:color w:val="000000"/>
          <w:lang w:eastAsia="bg-BG"/>
        </w:rPr>
        <w:t>или на транспортни протеини може да доведе до повишени плазмени концентрации на аторвастатин и повишен риск от миопатия. Рискът би могъл също да се повиши при едновременно прилагане на аторвастатин с други лекарствени продукти, които притежават потенциал да индуцират миопатия, като производни на фибриновата киселина и езетимиб (вж. точки 4.3 и 4.4).</w:t>
      </w:r>
    </w:p>
    <w:p w14:paraId="7A5D41EC" w14:textId="77777777" w:rsidR="009A0C07" w:rsidRPr="009A0C07" w:rsidRDefault="009A0C07" w:rsidP="009A0C07">
      <w:pPr>
        <w:spacing w:line="240" w:lineRule="auto"/>
        <w:rPr>
          <w:rFonts w:eastAsia="Times New Roman" w:cs="Arial"/>
          <w:i/>
          <w:iCs/>
          <w:color w:val="000000"/>
          <w:u w:val="single"/>
          <w:lang w:eastAsia="bg-BG"/>
        </w:rPr>
      </w:pPr>
    </w:p>
    <w:p w14:paraId="057F5AC8" w14:textId="67E94086"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 xml:space="preserve">Инхибитори на </w:t>
      </w:r>
      <w:r w:rsidRPr="009A0C07">
        <w:rPr>
          <w:rFonts w:eastAsia="Times New Roman" w:cs="Arial"/>
          <w:i/>
          <w:iCs/>
          <w:color w:val="000000"/>
          <w:u w:val="single"/>
          <w:lang w:val="en-US"/>
        </w:rPr>
        <w:t>CYP3A4</w:t>
      </w:r>
    </w:p>
    <w:p w14:paraId="01CA55D2"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Доказано е, че мощните инхибитори на </w:t>
      </w:r>
      <w:r w:rsidRPr="009A0C07">
        <w:rPr>
          <w:rFonts w:eastAsia="Times New Roman" w:cs="Arial"/>
          <w:color w:val="000000"/>
          <w:lang w:val="en-US"/>
        </w:rPr>
        <w:t xml:space="preserve">CYP3A4 </w:t>
      </w:r>
      <w:r w:rsidRPr="009A0C07">
        <w:rPr>
          <w:rFonts w:eastAsia="Times New Roman" w:cs="Arial"/>
          <w:color w:val="000000"/>
          <w:lang w:eastAsia="bg-BG"/>
        </w:rPr>
        <w:t xml:space="preserve">водят до подчертано повишени концентрации на аторвастатин (вж. Таблица 1 и посочената по-долу специфична информация). Едновременното прилагане на мощни инхибитори на </w:t>
      </w:r>
      <w:r w:rsidRPr="009A0C07">
        <w:rPr>
          <w:rFonts w:eastAsia="Times New Roman" w:cs="Arial"/>
          <w:color w:val="000000"/>
          <w:lang w:val="en-US"/>
        </w:rPr>
        <w:t xml:space="preserve">CYP3A4 </w:t>
      </w:r>
      <w:r w:rsidRPr="009A0C07">
        <w:rPr>
          <w:rFonts w:eastAsia="Times New Roman" w:cs="Arial"/>
          <w:color w:val="000000"/>
          <w:lang w:eastAsia="bg-BG"/>
        </w:rPr>
        <w:t xml:space="preserve">(напр. циклоспорин, телитромицин, кларитромицин, делавирдин, стирипентол, кетоконазол, вориконазол, итраконазол, позаконазол, някои антивирусни средства за лечение на хепатит С (напр. елбасвир/гразопревир) и инхибитори на </w:t>
      </w:r>
      <w:r w:rsidRPr="009A0C07">
        <w:rPr>
          <w:rFonts w:eastAsia="Times New Roman" w:cs="Arial"/>
          <w:color w:val="000000"/>
          <w:lang w:val="en-US"/>
        </w:rPr>
        <w:t>HIV</w:t>
      </w:r>
      <w:r w:rsidRPr="009A0C07">
        <w:rPr>
          <w:rFonts w:eastAsia="Times New Roman" w:cs="Arial"/>
          <w:color w:val="000000"/>
          <w:lang w:eastAsia="bg-BG"/>
        </w:rPr>
        <w:t xml:space="preserve">-протеаза, в това число </w:t>
      </w:r>
      <w:r w:rsidRPr="009A0C07">
        <w:rPr>
          <w:rFonts w:eastAsia="Times New Roman" w:cs="Arial"/>
          <w:color w:val="000000"/>
          <w:lang w:eastAsia="bg-BG"/>
        </w:rPr>
        <w:lastRenderedPageBreak/>
        <w:t>ритонавир, лопинавир, атазанавир, индинавир, дарунавир, др.) трябва по възможност да се избягва. В случаите, когато едновременното прилагане на тези лекарствени продукти с аторвастатин не може да се избегне, е необходимо да се обмисли по-ниска начална и максимална дози на аторвастатин и се препоръчва адекватно клинично проследяване на пациента (вж. Таблица 1).</w:t>
      </w:r>
    </w:p>
    <w:p w14:paraId="5CACB003" w14:textId="77777777" w:rsidR="009A0C07" w:rsidRPr="009A0C07" w:rsidRDefault="009A0C07" w:rsidP="009A0C07">
      <w:pPr>
        <w:spacing w:line="240" w:lineRule="auto"/>
        <w:rPr>
          <w:rFonts w:eastAsia="Times New Roman" w:cs="Arial"/>
          <w:color w:val="000000"/>
          <w:lang w:eastAsia="bg-BG"/>
        </w:rPr>
      </w:pPr>
    </w:p>
    <w:p w14:paraId="4A4AFE61" w14:textId="5B40B6AB"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Умерените инхибитори на </w:t>
      </w:r>
      <w:r w:rsidRPr="009A0C07">
        <w:rPr>
          <w:rFonts w:eastAsia="Times New Roman" w:cs="Arial"/>
          <w:color w:val="000000"/>
          <w:lang w:val="en-US"/>
        </w:rPr>
        <w:t xml:space="preserve">CYP3A4 </w:t>
      </w:r>
      <w:r w:rsidRPr="009A0C07">
        <w:rPr>
          <w:rFonts w:eastAsia="Times New Roman" w:cs="Arial"/>
          <w:color w:val="000000"/>
          <w:lang w:eastAsia="bg-BG"/>
        </w:rPr>
        <w:t xml:space="preserve">(напр. еритромицин, дилтиазем, верапамил и флуконазол) могат да повишат плазмените концентрации на аторвастатин (вж. Таблица 1). Повишен риск от миопатия е наблюдаван при прилагане на еритромицин в комбинация със статини. Не са провеждани проучвания за взаимодействията, оценяващи ефектите на амиодарон или верапамил върху аторвастатин. Известно е, че както амиодарон, така и верапамил инхибират активността на </w:t>
      </w:r>
      <w:r w:rsidRPr="009A0C07">
        <w:rPr>
          <w:rFonts w:eastAsia="Times New Roman" w:cs="Arial"/>
          <w:color w:val="000000"/>
          <w:lang w:val="en-US"/>
        </w:rPr>
        <w:t xml:space="preserve">CYP3A4 </w:t>
      </w:r>
      <w:r w:rsidRPr="009A0C07">
        <w:rPr>
          <w:rFonts w:eastAsia="Times New Roman" w:cs="Arial"/>
          <w:color w:val="000000"/>
          <w:lang w:eastAsia="bg-BG"/>
        </w:rPr>
        <w:t xml:space="preserve">и едновременното им прилагане с аторвастатин може да доведе до повишена експозиция към аторвастатин. Ето защо, е необходимо да се обмисли по-ниска максимална доза на аторвастатин и се препоръчва адекватно клинично проследяване на пациента при едновременно прилагане с умерени инхибитори на </w:t>
      </w:r>
      <w:r w:rsidRPr="009A0C07">
        <w:rPr>
          <w:rFonts w:eastAsia="Times New Roman" w:cs="Arial"/>
          <w:color w:val="000000"/>
          <w:lang w:val="en-US"/>
        </w:rPr>
        <w:t xml:space="preserve">CYP3A4. </w:t>
      </w:r>
      <w:r w:rsidRPr="009A0C07">
        <w:rPr>
          <w:rFonts w:eastAsia="Times New Roman" w:cs="Arial"/>
          <w:color w:val="000000"/>
          <w:lang w:eastAsia="bg-BG"/>
        </w:rPr>
        <w:t>Адекватно клинично проследяване се препоръчва и след започване или коригиране на дозата на инхибитора.</w:t>
      </w:r>
    </w:p>
    <w:p w14:paraId="1A0C0C4D" w14:textId="77777777" w:rsidR="009A0C07" w:rsidRPr="009A0C07" w:rsidRDefault="009A0C07" w:rsidP="009A0C07">
      <w:pPr>
        <w:spacing w:line="240" w:lineRule="auto"/>
        <w:rPr>
          <w:rFonts w:eastAsia="Times New Roman" w:cs="Arial"/>
          <w:i/>
          <w:iCs/>
          <w:color w:val="000000"/>
          <w:u w:val="single"/>
          <w:lang w:eastAsia="bg-BG"/>
        </w:rPr>
      </w:pPr>
    </w:p>
    <w:p w14:paraId="3A0DA5B5" w14:textId="2B5FECCC"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 xml:space="preserve">Индуктори на </w:t>
      </w:r>
      <w:r w:rsidRPr="009A0C07">
        <w:rPr>
          <w:rFonts w:eastAsia="Times New Roman" w:cs="Arial"/>
          <w:i/>
          <w:iCs/>
          <w:color w:val="000000"/>
          <w:u w:val="single"/>
          <w:lang w:val="en-US"/>
        </w:rPr>
        <w:t>CYP3A4</w:t>
      </w:r>
    </w:p>
    <w:p w14:paraId="75526B37" w14:textId="77777777" w:rsidR="009A0C07" w:rsidRPr="009A0C07" w:rsidRDefault="009A0C07" w:rsidP="009A0C07">
      <w:pPr>
        <w:rPr>
          <w:rFonts w:eastAsia="Times New Roman" w:cs="Arial"/>
          <w:sz w:val="24"/>
          <w:szCs w:val="24"/>
          <w:lang w:eastAsia="bg-BG"/>
        </w:rPr>
      </w:pPr>
      <w:r w:rsidRPr="009A0C07">
        <w:rPr>
          <w:rFonts w:eastAsia="Times New Roman" w:cs="Arial"/>
          <w:color w:val="000000"/>
          <w:lang w:eastAsia="bg-BG"/>
        </w:rPr>
        <w:t xml:space="preserve">Едновременното прилагане на аторвастатин с индуктори на цитохром Р450 ЗА (напр. ефавиренц, рифампин, жълт кантарион) може да доведе до променливи понижения в плазмените концентрации на аторвастатин. Поради двойния механизъм на действие на рифампин (индуциране на цитохром Р450 ЗА и инхибиране на транспортер </w:t>
      </w:r>
      <w:r w:rsidRPr="009A0C07">
        <w:rPr>
          <w:rFonts w:eastAsia="Times New Roman" w:cs="Arial"/>
          <w:color w:val="000000"/>
          <w:lang w:val="en-US"/>
        </w:rPr>
        <w:t xml:space="preserve">QATP1B1 </w:t>
      </w:r>
      <w:r w:rsidRPr="009A0C07">
        <w:rPr>
          <w:rFonts w:eastAsia="Times New Roman" w:cs="Arial"/>
          <w:color w:val="000000"/>
          <w:lang w:eastAsia="bg-BG"/>
        </w:rPr>
        <w:t>на хепатоцитното поемане), едновременното прилагане на аторвастатин с рифампин се препоръчва, като отлагането на приема на аторвастатин след приема на рифампин е било свързано със значително намаление на плазмените концентрации на аторвастатин. Ефектът на рифампин върху концентрациите на аторвастатин в хепатоцитите, обаче, е неизвестен и ако</w:t>
      </w:r>
      <w:r>
        <w:rPr>
          <w:rFonts w:eastAsia="Times New Roman" w:cs="Arial"/>
          <w:color w:val="000000"/>
          <w:lang w:eastAsia="bg-BG"/>
        </w:rPr>
        <w:t xml:space="preserve"> </w:t>
      </w:r>
      <w:r w:rsidRPr="009A0C07">
        <w:rPr>
          <w:rFonts w:eastAsia="Times New Roman" w:cs="Arial"/>
          <w:color w:val="000000"/>
          <w:lang w:eastAsia="bg-BG"/>
        </w:rPr>
        <w:t>едновременното прилагане не може да се избегне, пациентите трябва да бъдат внимателно проследявани относно ефикасността.</w:t>
      </w:r>
    </w:p>
    <w:p w14:paraId="1EB32C22" w14:textId="77777777" w:rsidR="009A0C07" w:rsidRPr="009A0C07" w:rsidRDefault="009A0C07" w:rsidP="009A0C07">
      <w:pPr>
        <w:spacing w:line="240" w:lineRule="auto"/>
        <w:rPr>
          <w:rFonts w:eastAsia="Times New Roman" w:cs="Arial"/>
          <w:i/>
          <w:iCs/>
          <w:color w:val="000000"/>
          <w:u w:val="single"/>
          <w:lang w:eastAsia="bg-BG"/>
        </w:rPr>
      </w:pPr>
    </w:p>
    <w:p w14:paraId="75E8007B" w14:textId="2FBA71F9"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Инхибитори на транспортерите</w:t>
      </w:r>
    </w:p>
    <w:p w14:paraId="60677747"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Инхибиторите на транспортните протеини могат да повишат системната експозиция на аторвастатин. Циклоспорин и летермовир са инхибитори на транспортерите, включени в диспозицията на аторвастатин като ОАТР1В1/1ВЗ, </w:t>
      </w:r>
      <w:r w:rsidRPr="009A0C07">
        <w:rPr>
          <w:rFonts w:eastAsia="Times New Roman" w:cs="Arial"/>
          <w:color w:val="000000"/>
          <w:lang w:val="en-US"/>
        </w:rPr>
        <w:t xml:space="preserve">P-gp </w:t>
      </w:r>
      <w:r w:rsidRPr="009A0C07">
        <w:rPr>
          <w:rFonts w:eastAsia="Times New Roman" w:cs="Arial"/>
          <w:color w:val="000000"/>
          <w:lang w:eastAsia="bg-BG"/>
        </w:rPr>
        <w:t xml:space="preserve">и </w:t>
      </w:r>
      <w:r w:rsidRPr="009A0C07">
        <w:rPr>
          <w:rFonts w:eastAsia="Times New Roman" w:cs="Arial"/>
          <w:color w:val="000000"/>
          <w:lang w:val="en-US"/>
        </w:rPr>
        <w:t xml:space="preserve">BCRP, </w:t>
      </w:r>
      <w:r w:rsidRPr="009A0C07">
        <w:rPr>
          <w:rFonts w:eastAsia="Times New Roman" w:cs="Arial"/>
          <w:color w:val="000000"/>
          <w:lang w:eastAsia="bg-BG"/>
        </w:rPr>
        <w:t>водещи до повишена системна експозиция на аторвастатин ( вж. Таблица 1). Ефектът от инхибирането на транспортерите на чернодробното поемане върху концентрациите на аторвастатин в хепатоцитите е неизвестен. Ако едновременното прилагане не може да се избегне, се препоръчва намаляване на дозата и клинично проследяване относно ефикасността (вж. Таблица 1).</w:t>
      </w:r>
    </w:p>
    <w:p w14:paraId="7C57BDB9"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Употребата на аторвастатин не се препоръчва при пациенти, приемащи летермовир едновременно с циклоспорин (вж. точка 4.4).</w:t>
      </w:r>
    </w:p>
    <w:p w14:paraId="4F1671D6" w14:textId="77777777" w:rsidR="009A0C07" w:rsidRPr="009A0C07" w:rsidRDefault="009A0C07" w:rsidP="009A0C07">
      <w:pPr>
        <w:spacing w:line="240" w:lineRule="auto"/>
        <w:rPr>
          <w:rFonts w:eastAsia="Times New Roman" w:cs="Arial"/>
          <w:i/>
          <w:iCs/>
          <w:color w:val="000000"/>
          <w:u w:val="single"/>
          <w:lang w:eastAsia="bg-BG"/>
        </w:rPr>
      </w:pPr>
    </w:p>
    <w:p w14:paraId="4D1667BB" w14:textId="5AB0E38D"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Гемфиброзил / производни на фибриновата киселина</w:t>
      </w:r>
    </w:p>
    <w:p w14:paraId="6F963EC8"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Самостоятелното прилагане на фибрати е свързано понякога с нежелани събития, свързани с мускулите, включително рабдомиолиза. Рискът от тези събития може да се повиши при едновременно прилагане на деривати на фибриновата киселина и аторвастатин. Ако едновременното прилагане не може да се избегне, трябва да се използва най-ниската доза на аторвастатин за постигане на терапевтичната цел и пациентите трябва да се проследяват адекватно (вж. точка 4.4).</w:t>
      </w:r>
    </w:p>
    <w:p w14:paraId="1FC6ADC4" w14:textId="77777777" w:rsidR="009A0C07" w:rsidRPr="009A0C07" w:rsidRDefault="009A0C07" w:rsidP="009A0C07">
      <w:pPr>
        <w:spacing w:line="240" w:lineRule="auto"/>
        <w:rPr>
          <w:rFonts w:eastAsia="Times New Roman" w:cs="Arial"/>
          <w:i/>
          <w:iCs/>
          <w:color w:val="000000"/>
          <w:u w:val="single"/>
          <w:lang w:eastAsia="bg-BG"/>
        </w:rPr>
      </w:pPr>
    </w:p>
    <w:p w14:paraId="71F3744A" w14:textId="2B1A01E0"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lastRenderedPageBreak/>
        <w:t>Езетимиб</w:t>
      </w:r>
    </w:p>
    <w:p w14:paraId="23C141FB"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Самостоятелното прилагане на езетимиб е свързано с нежелани събития, свързани с мускулите, включително рабдомиолиза. Рискът от тези събития може, следователно, да се повиши при едновременно прилагане на езетимиб и аторвастатин. Препоръчва се адекватно клинично проследяване на тези пациенти.</w:t>
      </w:r>
    </w:p>
    <w:p w14:paraId="6FA957A7" w14:textId="77777777" w:rsidR="009A0C07" w:rsidRPr="009A0C07" w:rsidRDefault="009A0C07" w:rsidP="009A0C07">
      <w:pPr>
        <w:spacing w:line="240" w:lineRule="auto"/>
        <w:rPr>
          <w:rFonts w:eastAsia="Times New Roman" w:cs="Arial"/>
          <w:i/>
          <w:iCs/>
          <w:color w:val="000000"/>
          <w:u w:val="single"/>
          <w:lang w:eastAsia="bg-BG"/>
        </w:rPr>
      </w:pPr>
    </w:p>
    <w:p w14:paraId="480D00D7" w14:textId="2405054E"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Колестипол</w:t>
      </w:r>
    </w:p>
    <w:p w14:paraId="35E61CF6"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Плазмените концентрации на аторвастатин и неговите активни метаболити са били по-ниски (съотношение на концентрацията на аторвастатин: 0,74), когато колестипол е прилаган едновременно с аторвастатин. Ефектите върху липидите, обаче, са били по-големи, когато аторвастатин и колестипол са прилагани едновременно, отколкото когато всеки един от лекарствените продукти е прилаган самостоятелно.</w:t>
      </w:r>
    </w:p>
    <w:p w14:paraId="0196895C" w14:textId="77777777" w:rsidR="009A0C07" w:rsidRPr="009A0C07" w:rsidRDefault="009A0C07" w:rsidP="009A0C07">
      <w:pPr>
        <w:spacing w:line="240" w:lineRule="auto"/>
        <w:rPr>
          <w:rFonts w:eastAsia="Times New Roman" w:cs="Arial"/>
          <w:i/>
          <w:iCs/>
          <w:color w:val="000000"/>
          <w:u w:val="single"/>
          <w:lang w:eastAsia="bg-BG"/>
        </w:rPr>
      </w:pPr>
    </w:p>
    <w:p w14:paraId="57F1CF93" w14:textId="04E5DE87"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Фузидова киселина</w:t>
      </w:r>
    </w:p>
    <w:p w14:paraId="7D66D4E7" w14:textId="77777777" w:rsidR="009A0C07" w:rsidRPr="009A0C07" w:rsidRDefault="009A0C07" w:rsidP="009A0C07">
      <w:pPr>
        <w:spacing w:line="240" w:lineRule="auto"/>
        <w:rPr>
          <w:rFonts w:eastAsia="Times New Roman" w:cs="Arial"/>
          <w:color w:val="000000"/>
          <w:lang w:eastAsia="bg-BG"/>
        </w:rPr>
      </w:pPr>
    </w:p>
    <w:p w14:paraId="72B51BCE" w14:textId="07204E41"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Рискът от миопатия, включително рабдомиолиза може да бъде увеличен при едновременното приемане на комплексно действаща фузидова киселина със статини. Механизмът на това взаимодействие (дали то е фармакодинамично или фармакокинетично, или и двете) все още не е известен. Съобщават се случаи на рабдомиолиза (включително смъртни случаи) при пациенти, приемащи съвместно тези медикаменти.</w:t>
      </w:r>
    </w:p>
    <w:p w14:paraId="175B98C2" w14:textId="77777777" w:rsidR="009A0C07" w:rsidRPr="009A0C07" w:rsidRDefault="009A0C07" w:rsidP="009A0C07">
      <w:pPr>
        <w:spacing w:line="240" w:lineRule="auto"/>
        <w:rPr>
          <w:rFonts w:eastAsia="Times New Roman" w:cs="Arial"/>
          <w:color w:val="000000"/>
          <w:lang w:eastAsia="bg-BG"/>
        </w:rPr>
      </w:pPr>
    </w:p>
    <w:p w14:paraId="28F8B323" w14:textId="6D0296AF"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Ако е необходимо лечение с комплексно действаща фузидова киселина, лечението с Аторвастатин би трябвало да се прекрати по време на лечението с фузидова киселина. Вижте също раздел 4.4.</w:t>
      </w:r>
    </w:p>
    <w:p w14:paraId="0E226442" w14:textId="77777777" w:rsidR="009A0C07" w:rsidRPr="009A0C07" w:rsidRDefault="009A0C07" w:rsidP="009A0C07">
      <w:pPr>
        <w:spacing w:line="240" w:lineRule="auto"/>
        <w:rPr>
          <w:rFonts w:eastAsia="Times New Roman" w:cs="Arial"/>
          <w:i/>
          <w:iCs/>
          <w:color w:val="000000"/>
          <w:u w:val="single"/>
          <w:lang w:eastAsia="bg-BG"/>
        </w:rPr>
      </w:pPr>
    </w:p>
    <w:p w14:paraId="67FCFE95" w14:textId="30001495"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Колхицин</w:t>
      </w:r>
    </w:p>
    <w:p w14:paraId="68B66E99" w14:textId="77777777" w:rsidR="009A0C07" w:rsidRPr="009A0C07" w:rsidRDefault="009A0C07" w:rsidP="009A0C07">
      <w:pPr>
        <w:spacing w:line="240" w:lineRule="auto"/>
        <w:rPr>
          <w:rFonts w:eastAsia="Times New Roman" w:cs="Arial"/>
          <w:color w:val="000000"/>
          <w:lang w:eastAsia="bg-BG"/>
        </w:rPr>
      </w:pPr>
    </w:p>
    <w:p w14:paraId="6FBF9529" w14:textId="586D006E"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Въпреки че не са провеждани проучвания за взаимодействие между аторвастатин и колхицин, са съобщени случаи на миопатия при едновременното приложение на тези два продукта, поради което трябва да се подхожда е внимание, когато се предписва аторвастатин с колхицин.</w:t>
      </w:r>
    </w:p>
    <w:p w14:paraId="44542DA4" w14:textId="77777777" w:rsidR="009A0C07" w:rsidRPr="009A0C07" w:rsidRDefault="009A0C07" w:rsidP="009A0C07">
      <w:pPr>
        <w:spacing w:line="240" w:lineRule="auto"/>
        <w:rPr>
          <w:rFonts w:eastAsia="Times New Roman" w:cs="Arial"/>
          <w:color w:val="000000"/>
          <w:u w:val="single"/>
          <w:lang w:eastAsia="bg-BG"/>
        </w:rPr>
      </w:pPr>
    </w:p>
    <w:p w14:paraId="23CA297A" w14:textId="39BDE05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u w:val="single"/>
          <w:lang w:eastAsia="bg-BG"/>
        </w:rPr>
        <w:t>Ефекти на аторвастатин върху едновременно прилаганите лекарствени продукти</w:t>
      </w:r>
    </w:p>
    <w:p w14:paraId="63CC4D32" w14:textId="77777777" w:rsidR="009A0C07" w:rsidRPr="009A0C07" w:rsidRDefault="009A0C07" w:rsidP="009A0C07">
      <w:pPr>
        <w:spacing w:line="240" w:lineRule="auto"/>
        <w:rPr>
          <w:rFonts w:eastAsia="Times New Roman" w:cs="Arial"/>
          <w:i/>
          <w:iCs/>
          <w:color w:val="000000"/>
          <w:u w:val="single"/>
          <w:lang w:eastAsia="bg-BG"/>
        </w:rPr>
      </w:pPr>
    </w:p>
    <w:p w14:paraId="1DA5F03C" w14:textId="6C67C3B8"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Дигоксин</w:t>
      </w:r>
    </w:p>
    <w:p w14:paraId="172AE819" w14:textId="01FDE925" w:rsidR="0091385D" w:rsidRPr="009A0C07" w:rsidRDefault="009A0C07" w:rsidP="009A0C07">
      <w:pPr>
        <w:rPr>
          <w:rFonts w:cs="Arial"/>
        </w:rPr>
      </w:pPr>
      <w:r w:rsidRPr="009A0C07">
        <w:rPr>
          <w:rFonts w:eastAsia="Times New Roman" w:cs="Arial"/>
          <w:color w:val="000000"/>
          <w:lang w:eastAsia="bg-BG"/>
        </w:rPr>
        <w:t xml:space="preserve">При едновременно прилагане на многократни дози на дигоксин и 10 </w:t>
      </w:r>
      <w:r w:rsidRPr="009A0C07">
        <w:rPr>
          <w:rFonts w:eastAsia="Times New Roman" w:cs="Arial"/>
          <w:color w:val="000000"/>
          <w:lang w:val="en-US"/>
        </w:rPr>
        <w:t xml:space="preserve">mg </w:t>
      </w:r>
      <w:r w:rsidRPr="009A0C07">
        <w:rPr>
          <w:rFonts w:eastAsia="Times New Roman" w:cs="Arial"/>
          <w:color w:val="000000"/>
          <w:lang w:eastAsia="bg-BG"/>
        </w:rPr>
        <w:t>аторвастатин, плазмените концентрации на дигоксин в равновесното състояние са се повишили леко. Пациентите, приемащи дигоксин трябва да бъдат подходящо проследявани.</w:t>
      </w:r>
    </w:p>
    <w:p w14:paraId="5B2761C5" w14:textId="3A367157" w:rsidR="0091385D" w:rsidRDefault="0091385D" w:rsidP="0091385D"/>
    <w:p w14:paraId="4EB59BB5"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Перорални контрацептиви</w:t>
      </w:r>
    </w:p>
    <w:p w14:paraId="28235422"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Едновременното прилагане на аторвастатин с перорални контрацептиви води до повишаване на плазмените концентрации на норетиндрон и етинилестрадиол.</w:t>
      </w:r>
    </w:p>
    <w:p w14:paraId="35C469FA" w14:textId="77777777" w:rsidR="009A0C07" w:rsidRPr="009A0C07" w:rsidRDefault="009A0C07" w:rsidP="009A0C07">
      <w:pPr>
        <w:spacing w:line="240" w:lineRule="auto"/>
        <w:rPr>
          <w:rFonts w:eastAsia="Times New Roman" w:cs="Arial"/>
          <w:i/>
          <w:iCs/>
          <w:color w:val="000000"/>
          <w:u w:val="single"/>
          <w:lang w:eastAsia="bg-BG"/>
        </w:rPr>
      </w:pPr>
    </w:p>
    <w:p w14:paraId="6E5F6CF9" w14:textId="7337910C" w:rsidR="009A0C07" w:rsidRPr="009A0C07" w:rsidRDefault="009A0C07" w:rsidP="009A0C07">
      <w:pPr>
        <w:spacing w:line="240" w:lineRule="auto"/>
        <w:rPr>
          <w:rFonts w:eastAsia="Times New Roman" w:cs="Arial"/>
          <w:sz w:val="24"/>
          <w:szCs w:val="24"/>
          <w:lang w:eastAsia="bg-BG"/>
        </w:rPr>
      </w:pPr>
      <w:r w:rsidRPr="009A0C07">
        <w:rPr>
          <w:rFonts w:eastAsia="Times New Roman" w:cs="Arial"/>
          <w:i/>
          <w:iCs/>
          <w:color w:val="000000"/>
          <w:u w:val="single"/>
          <w:lang w:eastAsia="bg-BG"/>
        </w:rPr>
        <w:t>Варфарин</w:t>
      </w:r>
    </w:p>
    <w:p w14:paraId="5DE47761"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 xml:space="preserve">В клинично проучване при пациенти, получаващи продължителна терапия с варфарин, едновременното прилагане на аторвастатин 80 </w:t>
      </w:r>
      <w:r w:rsidRPr="009A0C07">
        <w:rPr>
          <w:rFonts w:eastAsia="Times New Roman" w:cs="Arial"/>
          <w:color w:val="000000"/>
          <w:lang w:val="en-US"/>
        </w:rPr>
        <w:t xml:space="preserve">mg </w:t>
      </w:r>
      <w:r w:rsidRPr="009A0C07">
        <w:rPr>
          <w:rFonts w:eastAsia="Times New Roman" w:cs="Arial"/>
          <w:color w:val="000000"/>
          <w:lang w:eastAsia="bg-BG"/>
        </w:rPr>
        <w:t xml:space="preserve">дневно с варфарин е причинило малко намаление от около 1,7 секунди в протромбиновото време през първите 4 дни на лечението, което се е нормализирало в рамките на 15 дни от лечението с аторвастатин. Въпреки, че са съобщавани само много редки случаи на клинично значими </w:t>
      </w:r>
      <w:r w:rsidRPr="009A0C07">
        <w:rPr>
          <w:rFonts w:eastAsia="Times New Roman" w:cs="Arial"/>
          <w:color w:val="000000"/>
          <w:lang w:eastAsia="bg-BG"/>
        </w:rPr>
        <w:lastRenderedPageBreak/>
        <w:t>антикоагулантни взаимодействия, протромбиновото време трябва да се определя преди започване на лечението с аторвастатин при пациенти, приемащи кумаринови антикоагуланти и достатъчно често през ранния период на лечението, за да се гарантира, че няма да настъпи значима промяна на протромбиновото време. След документиране на постоянно протромбиново време, то може да бъде проследявано през интервали, обичайно препоръчвани за пациентите на кумаринови антикоагуланти. Същата процедура трябва да се повтори при промяна на дозата или преустановяване на аторвастатин. Лечението с аторвастатин не е било свързано с кървене или с промени в протромбиновото време при пациенти, които не са приемали антикоагуланти.</w:t>
      </w:r>
    </w:p>
    <w:p w14:paraId="5A4AE766" w14:textId="77777777" w:rsidR="009A0C07" w:rsidRPr="009A0C07" w:rsidRDefault="009A0C07" w:rsidP="009A0C07">
      <w:pPr>
        <w:spacing w:line="240" w:lineRule="auto"/>
        <w:rPr>
          <w:rFonts w:eastAsia="Times New Roman" w:cs="Arial"/>
          <w:color w:val="000000"/>
          <w:u w:val="single"/>
          <w:lang w:eastAsia="bg-BG"/>
        </w:rPr>
      </w:pPr>
    </w:p>
    <w:p w14:paraId="20C4A5DF" w14:textId="27008715"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u w:val="single"/>
          <w:lang w:eastAsia="bg-BG"/>
        </w:rPr>
        <w:t>Педиатрична популация</w:t>
      </w:r>
    </w:p>
    <w:p w14:paraId="331C297D" w14:textId="77777777" w:rsidR="009A0C07" w:rsidRPr="009A0C07" w:rsidRDefault="009A0C07" w:rsidP="009A0C07">
      <w:pPr>
        <w:spacing w:line="240" w:lineRule="auto"/>
        <w:rPr>
          <w:rFonts w:eastAsia="Times New Roman" w:cs="Arial"/>
          <w:sz w:val="24"/>
          <w:szCs w:val="24"/>
          <w:lang w:eastAsia="bg-BG"/>
        </w:rPr>
      </w:pPr>
      <w:r w:rsidRPr="009A0C07">
        <w:rPr>
          <w:rFonts w:eastAsia="Times New Roman" w:cs="Arial"/>
          <w:color w:val="000000"/>
          <w:lang w:eastAsia="bg-BG"/>
        </w:rPr>
        <w:t>Проучвания за взаимодействията са провеждани само при възрастни. Обхватът на взаимодействията при педиатричната популация не е известен. Посочените по-горе взаимодействия при възрастни и предупрежденията в точка 4.4 трябва да бъдат взети предвид при педиатричната популация.</w:t>
      </w:r>
    </w:p>
    <w:p w14:paraId="3048C843" w14:textId="77777777" w:rsidR="009A0C07" w:rsidRPr="009A0C07" w:rsidRDefault="009A0C07" w:rsidP="009A0C07">
      <w:pPr>
        <w:rPr>
          <w:rFonts w:eastAsia="Times New Roman" w:cs="Arial"/>
          <w:color w:val="000000"/>
          <w:u w:val="single"/>
          <w:lang w:eastAsia="bg-BG"/>
        </w:rPr>
      </w:pPr>
    </w:p>
    <w:p w14:paraId="55A6EF9F" w14:textId="08911992" w:rsidR="009A0C07" w:rsidRDefault="009A0C07" w:rsidP="009A0C07">
      <w:pPr>
        <w:rPr>
          <w:rFonts w:eastAsia="Times New Roman" w:cs="Arial"/>
          <w:color w:val="000000"/>
          <w:u w:val="single"/>
          <w:lang w:eastAsia="bg-BG"/>
        </w:rPr>
      </w:pPr>
      <w:r w:rsidRPr="009A0C07">
        <w:rPr>
          <w:rFonts w:eastAsia="Times New Roman" w:cs="Arial"/>
          <w:color w:val="000000"/>
          <w:u w:val="single"/>
          <w:lang w:eastAsia="bg-BG"/>
        </w:rPr>
        <w:t>Таблица 1: Ефекти на едновременно прилаганите лекарствени продукти върху фармакокинетиката на аторвастатин</w:t>
      </w:r>
    </w:p>
    <w:p w14:paraId="418EBDAC" w14:textId="77777777" w:rsidR="009A0C07" w:rsidRPr="009A0C07" w:rsidRDefault="009A0C07" w:rsidP="009A0C07">
      <w:pPr>
        <w:rPr>
          <w:rFonts w:cs="Arial"/>
        </w:rPr>
      </w:pPr>
    </w:p>
    <w:tbl>
      <w:tblPr>
        <w:tblStyle w:val="TableGrid"/>
        <w:tblW w:w="0" w:type="auto"/>
        <w:tblLook w:val="04A0" w:firstRow="1" w:lastRow="0" w:firstColumn="1" w:lastColumn="0" w:noHBand="0" w:noVBand="1"/>
      </w:tblPr>
      <w:tblGrid>
        <w:gridCol w:w="2440"/>
        <w:gridCol w:w="2375"/>
        <w:gridCol w:w="2375"/>
        <w:gridCol w:w="2375"/>
      </w:tblGrid>
      <w:tr w:rsidR="004E51F7" w14:paraId="35D9B24F" w14:textId="77777777" w:rsidTr="004E51F7">
        <w:tc>
          <w:tcPr>
            <w:tcW w:w="2440" w:type="dxa"/>
            <w:vMerge w:val="restart"/>
          </w:tcPr>
          <w:p w14:paraId="0231F2E8" w14:textId="20C3740A" w:rsidR="004E51F7" w:rsidRPr="004E51F7" w:rsidRDefault="004E51F7" w:rsidP="0091385D">
            <w:pPr>
              <w:rPr>
                <w:rFonts w:cs="Arial"/>
              </w:rPr>
            </w:pPr>
            <w:r w:rsidRPr="004E51F7">
              <w:rPr>
                <w:rFonts w:cs="Arial"/>
                <w:b/>
                <w:bCs/>
              </w:rPr>
              <w:t>Едновременно прилаган лекарствен продукт и схема на дозиране</w:t>
            </w:r>
          </w:p>
        </w:tc>
        <w:tc>
          <w:tcPr>
            <w:tcW w:w="7125" w:type="dxa"/>
            <w:gridSpan w:val="3"/>
          </w:tcPr>
          <w:p w14:paraId="5BCF2C0C" w14:textId="052E9688" w:rsidR="004E51F7" w:rsidRPr="004E51F7" w:rsidRDefault="004E51F7" w:rsidP="0091385D">
            <w:pPr>
              <w:rPr>
                <w:rFonts w:cs="Arial"/>
              </w:rPr>
            </w:pPr>
            <w:r w:rsidRPr="004E51F7">
              <w:rPr>
                <w:rFonts w:cs="Arial"/>
                <w:b/>
                <w:bCs/>
              </w:rPr>
              <w:t>Аторвастатин</w:t>
            </w:r>
          </w:p>
        </w:tc>
      </w:tr>
      <w:tr w:rsidR="004E51F7" w14:paraId="0A80C31C" w14:textId="77777777" w:rsidTr="009A0C07">
        <w:tc>
          <w:tcPr>
            <w:tcW w:w="2440" w:type="dxa"/>
            <w:vMerge/>
          </w:tcPr>
          <w:p w14:paraId="7B9A5464" w14:textId="77777777" w:rsidR="004E51F7" w:rsidRPr="004E51F7" w:rsidRDefault="004E51F7" w:rsidP="004E51F7">
            <w:pPr>
              <w:rPr>
                <w:rFonts w:cs="Arial"/>
              </w:rPr>
            </w:pPr>
          </w:p>
        </w:tc>
        <w:tc>
          <w:tcPr>
            <w:tcW w:w="2375" w:type="dxa"/>
          </w:tcPr>
          <w:p w14:paraId="6AA47C68" w14:textId="782B963D" w:rsidR="004E51F7" w:rsidRPr="004E51F7" w:rsidRDefault="004E51F7" w:rsidP="004E51F7">
            <w:pPr>
              <w:rPr>
                <w:rFonts w:cs="Arial"/>
              </w:rPr>
            </w:pPr>
            <w:r w:rsidRPr="004E51F7">
              <w:rPr>
                <w:rFonts w:cs="Arial"/>
                <w:b/>
                <w:bCs/>
              </w:rPr>
              <w:t xml:space="preserve">Доза </w:t>
            </w:r>
            <w:r w:rsidRPr="004E51F7">
              <w:rPr>
                <w:rFonts w:cs="Arial"/>
                <w:b/>
                <w:bCs/>
                <w:lang w:val="en-US"/>
              </w:rPr>
              <w:t>(mg)</w:t>
            </w:r>
          </w:p>
        </w:tc>
        <w:tc>
          <w:tcPr>
            <w:tcW w:w="2375" w:type="dxa"/>
          </w:tcPr>
          <w:p w14:paraId="43459A31" w14:textId="3B2FA642" w:rsidR="004E51F7" w:rsidRPr="004E51F7" w:rsidRDefault="004E51F7" w:rsidP="004E51F7">
            <w:pPr>
              <w:rPr>
                <w:rFonts w:cs="Arial"/>
              </w:rPr>
            </w:pPr>
            <w:r w:rsidRPr="004E51F7">
              <w:rPr>
                <w:rFonts w:cs="Arial"/>
                <w:b/>
                <w:bCs/>
              </w:rPr>
              <w:t xml:space="preserve">Съотношение на </w:t>
            </w:r>
            <w:r w:rsidRPr="004E51F7">
              <w:rPr>
                <w:rFonts w:cs="Arial"/>
                <w:b/>
                <w:bCs/>
                <w:lang w:val="en-US"/>
              </w:rPr>
              <w:t>AUC</w:t>
            </w:r>
            <w:r w:rsidRPr="004E51F7">
              <w:rPr>
                <w:rFonts w:cs="Arial"/>
                <w:b/>
                <w:bCs/>
                <w:vertAlign w:val="superscript"/>
                <w:lang w:val="en-US"/>
              </w:rPr>
              <w:t>&amp;</w:t>
            </w:r>
          </w:p>
        </w:tc>
        <w:tc>
          <w:tcPr>
            <w:tcW w:w="2375" w:type="dxa"/>
          </w:tcPr>
          <w:p w14:paraId="60391FAB" w14:textId="2E0A14CF" w:rsidR="004E51F7" w:rsidRPr="004E51F7" w:rsidRDefault="004E51F7" w:rsidP="004E51F7">
            <w:pPr>
              <w:rPr>
                <w:rFonts w:cs="Arial"/>
              </w:rPr>
            </w:pPr>
            <w:r w:rsidRPr="004E51F7">
              <w:rPr>
                <w:rFonts w:cs="Arial"/>
                <w:b/>
                <w:bCs/>
              </w:rPr>
              <w:t>Клинична препоръка*</w:t>
            </w:r>
          </w:p>
        </w:tc>
      </w:tr>
      <w:tr w:rsidR="009A0C07" w14:paraId="3744FB27" w14:textId="77777777" w:rsidTr="009A0C07">
        <w:tc>
          <w:tcPr>
            <w:tcW w:w="2440" w:type="dxa"/>
          </w:tcPr>
          <w:p w14:paraId="08C9B070" w14:textId="3F06D8AD" w:rsidR="009A0C07" w:rsidRPr="004E51F7" w:rsidRDefault="009A0C07" w:rsidP="009A0C07">
            <w:pPr>
              <w:rPr>
                <w:rFonts w:cs="Arial"/>
              </w:rPr>
            </w:pPr>
            <w:r w:rsidRPr="004E51F7">
              <w:rPr>
                <w:rFonts w:cs="Arial"/>
              </w:rPr>
              <w:t xml:space="preserve">Глекапревир 400 </w:t>
            </w:r>
            <w:r w:rsidRPr="004E51F7">
              <w:rPr>
                <w:rFonts w:cs="Arial"/>
                <w:lang w:val="en-US"/>
              </w:rPr>
              <w:t xml:space="preserve">mg </w:t>
            </w:r>
            <w:r w:rsidRPr="004E51F7">
              <w:rPr>
                <w:rFonts w:cs="Arial"/>
              </w:rPr>
              <w:t xml:space="preserve">веднъж дневно/пибрентасвир 120 </w:t>
            </w:r>
            <w:r w:rsidRPr="004E51F7">
              <w:rPr>
                <w:rFonts w:cs="Arial"/>
                <w:lang w:val="en-US"/>
              </w:rPr>
              <w:t xml:space="preserve">mg </w:t>
            </w:r>
            <w:r w:rsidRPr="004E51F7">
              <w:rPr>
                <w:rFonts w:cs="Arial"/>
              </w:rPr>
              <w:t>веднъж дневно, 7 дни</w:t>
            </w:r>
          </w:p>
        </w:tc>
        <w:tc>
          <w:tcPr>
            <w:tcW w:w="2375" w:type="dxa"/>
          </w:tcPr>
          <w:p w14:paraId="04B33DDE" w14:textId="77777777" w:rsidR="009A0C07" w:rsidRPr="004E51F7" w:rsidRDefault="009A0C07" w:rsidP="009A0C07">
            <w:pPr>
              <w:rPr>
                <w:rFonts w:cs="Arial"/>
              </w:rPr>
            </w:pPr>
            <w:r w:rsidRPr="004E51F7">
              <w:rPr>
                <w:rFonts w:cs="Arial"/>
              </w:rPr>
              <w:t xml:space="preserve">10 </w:t>
            </w:r>
            <w:r w:rsidRPr="004E51F7">
              <w:rPr>
                <w:rFonts w:cs="Arial"/>
                <w:lang w:val="en-US"/>
              </w:rPr>
              <w:t xml:space="preserve">mg </w:t>
            </w:r>
            <w:r w:rsidRPr="004E51F7">
              <w:rPr>
                <w:rFonts w:cs="Arial"/>
              </w:rPr>
              <w:t>веднъж дневно за 7</w:t>
            </w:r>
          </w:p>
          <w:p w14:paraId="3C82730F" w14:textId="6B591908" w:rsidR="009A0C07" w:rsidRPr="004E51F7" w:rsidRDefault="009A0C07" w:rsidP="009A0C07">
            <w:pPr>
              <w:rPr>
                <w:rFonts w:cs="Arial"/>
              </w:rPr>
            </w:pPr>
            <w:r w:rsidRPr="004E51F7">
              <w:rPr>
                <w:rFonts w:cs="Arial"/>
              </w:rPr>
              <w:t>дни</w:t>
            </w:r>
          </w:p>
        </w:tc>
        <w:tc>
          <w:tcPr>
            <w:tcW w:w="2375" w:type="dxa"/>
          </w:tcPr>
          <w:p w14:paraId="7384CD07" w14:textId="54222843" w:rsidR="009A0C07" w:rsidRPr="004E51F7" w:rsidRDefault="009A0C07" w:rsidP="009A0C07">
            <w:pPr>
              <w:rPr>
                <w:rFonts w:cs="Arial"/>
              </w:rPr>
            </w:pPr>
            <w:r w:rsidRPr="004E51F7">
              <w:rPr>
                <w:rFonts w:cs="Arial"/>
              </w:rPr>
              <w:t>8,3</w:t>
            </w:r>
          </w:p>
        </w:tc>
        <w:tc>
          <w:tcPr>
            <w:tcW w:w="2375" w:type="dxa"/>
          </w:tcPr>
          <w:p w14:paraId="48BA89CB" w14:textId="47A34AF8" w:rsidR="009A0C07" w:rsidRPr="004E51F7" w:rsidRDefault="009A0C07" w:rsidP="009A0C07">
            <w:pPr>
              <w:rPr>
                <w:rFonts w:cs="Arial"/>
              </w:rPr>
            </w:pPr>
            <w:r w:rsidRPr="004E51F7">
              <w:rPr>
                <w:rFonts w:cs="Arial"/>
              </w:rPr>
              <w:t xml:space="preserve">Едновременното прилагане с продукти, съдържащи глекапревир или пибрентасвир, е противопоказано (вж. точка 4.3). </w:t>
            </w:r>
          </w:p>
        </w:tc>
      </w:tr>
      <w:tr w:rsidR="009A0C07" w14:paraId="2FFD7D30" w14:textId="77777777" w:rsidTr="009A0C07">
        <w:tc>
          <w:tcPr>
            <w:tcW w:w="2440" w:type="dxa"/>
          </w:tcPr>
          <w:p w14:paraId="6C63C8CE" w14:textId="3D6F82F5" w:rsidR="009A0C07" w:rsidRPr="004E51F7" w:rsidRDefault="009A0C07" w:rsidP="009A0C07">
            <w:pPr>
              <w:rPr>
                <w:rFonts w:cs="Arial"/>
              </w:rPr>
            </w:pPr>
            <w:r w:rsidRPr="004E51F7">
              <w:rPr>
                <w:rFonts w:cs="Arial"/>
              </w:rPr>
              <w:t xml:space="preserve">Типранавир 500 </w:t>
            </w:r>
            <w:r w:rsidRPr="004E51F7">
              <w:rPr>
                <w:rFonts w:cs="Arial"/>
                <w:lang w:val="en-US"/>
              </w:rPr>
              <w:t xml:space="preserve">mg </w:t>
            </w:r>
            <w:r w:rsidRPr="004E51F7">
              <w:rPr>
                <w:rFonts w:cs="Arial"/>
              </w:rPr>
              <w:t xml:space="preserve">два пъти дневно/ Ритонавир 200 </w:t>
            </w:r>
            <w:r w:rsidRPr="004E51F7">
              <w:rPr>
                <w:rFonts w:cs="Arial"/>
                <w:lang w:val="en-US"/>
              </w:rPr>
              <w:t xml:space="preserve">mg </w:t>
            </w:r>
            <w:r w:rsidRPr="004E51F7">
              <w:rPr>
                <w:rFonts w:cs="Arial"/>
              </w:rPr>
              <w:t>два пъти дневно, за 8 дни (от ден 14 до Ден 21)</w:t>
            </w:r>
          </w:p>
        </w:tc>
        <w:tc>
          <w:tcPr>
            <w:tcW w:w="2375" w:type="dxa"/>
          </w:tcPr>
          <w:p w14:paraId="79FFCB11" w14:textId="77777777" w:rsidR="009A0C07" w:rsidRPr="004E51F7" w:rsidRDefault="009A0C07" w:rsidP="009A0C07">
            <w:pPr>
              <w:rPr>
                <w:rFonts w:cs="Arial"/>
              </w:rPr>
            </w:pPr>
            <w:r w:rsidRPr="004E51F7">
              <w:rPr>
                <w:rFonts w:cs="Arial"/>
              </w:rPr>
              <w:t xml:space="preserve">40 </w:t>
            </w:r>
            <w:r w:rsidRPr="004E51F7">
              <w:rPr>
                <w:rFonts w:cs="Arial"/>
                <w:lang w:val="en-US"/>
              </w:rPr>
              <w:t xml:space="preserve">mg </w:t>
            </w:r>
            <w:r w:rsidRPr="004E51F7">
              <w:rPr>
                <w:rFonts w:cs="Arial"/>
              </w:rPr>
              <w:t xml:space="preserve">от ден 1, 10 </w:t>
            </w:r>
            <w:r w:rsidRPr="004E51F7">
              <w:rPr>
                <w:rFonts w:cs="Arial"/>
                <w:lang w:val="en-US"/>
              </w:rPr>
              <w:t xml:space="preserve">mg </w:t>
            </w:r>
            <w:r w:rsidRPr="004E51F7">
              <w:rPr>
                <w:rFonts w:cs="Arial"/>
              </w:rPr>
              <w:t>от ден</w:t>
            </w:r>
          </w:p>
          <w:p w14:paraId="4B1B652C" w14:textId="651E31C0" w:rsidR="009A0C07" w:rsidRPr="004E51F7" w:rsidRDefault="009A0C07" w:rsidP="009A0C07">
            <w:pPr>
              <w:rPr>
                <w:rFonts w:cs="Arial"/>
              </w:rPr>
            </w:pPr>
            <w:r w:rsidRPr="004E51F7">
              <w:rPr>
                <w:rFonts w:cs="Arial"/>
              </w:rPr>
              <w:t>20</w:t>
            </w:r>
          </w:p>
        </w:tc>
        <w:tc>
          <w:tcPr>
            <w:tcW w:w="2375" w:type="dxa"/>
          </w:tcPr>
          <w:p w14:paraId="750516D5" w14:textId="52678637" w:rsidR="009A0C07" w:rsidRPr="004E51F7" w:rsidRDefault="009A0C07" w:rsidP="009A0C07">
            <w:pPr>
              <w:rPr>
                <w:rFonts w:cs="Arial"/>
              </w:rPr>
            </w:pPr>
            <w:r w:rsidRPr="004E51F7">
              <w:rPr>
                <w:rFonts w:cs="Arial"/>
              </w:rPr>
              <w:t>9,4</w:t>
            </w:r>
          </w:p>
        </w:tc>
        <w:tc>
          <w:tcPr>
            <w:tcW w:w="2375" w:type="dxa"/>
            <w:vMerge w:val="restart"/>
          </w:tcPr>
          <w:p w14:paraId="5F49DF04" w14:textId="5E7FE3FC" w:rsidR="009A0C07" w:rsidRPr="004E51F7" w:rsidRDefault="009A0C07" w:rsidP="009A0C07">
            <w:pPr>
              <w:rPr>
                <w:rFonts w:cs="Arial"/>
              </w:rPr>
            </w:pPr>
            <w:r w:rsidRPr="004E51F7">
              <w:rPr>
                <w:rFonts w:cs="Arial"/>
              </w:rPr>
              <w:t xml:space="preserve">В случаите, когато едновременното прилагане с аторвастатин е необходимо, не превишавайте дозата от 10 </w:t>
            </w:r>
            <w:r w:rsidRPr="004E51F7">
              <w:rPr>
                <w:rFonts w:cs="Arial"/>
                <w:lang w:val="en-US"/>
              </w:rPr>
              <w:t xml:space="preserve">mg </w:t>
            </w:r>
            <w:r w:rsidRPr="004E51F7">
              <w:rPr>
                <w:rFonts w:cs="Arial"/>
              </w:rPr>
              <w:t>аторвастатин дневно. Препоръчва се клинично проследяване на тези пациенти.</w:t>
            </w:r>
          </w:p>
        </w:tc>
      </w:tr>
      <w:tr w:rsidR="009A0C07" w14:paraId="649B97E7" w14:textId="77777777" w:rsidTr="009A0C07">
        <w:tc>
          <w:tcPr>
            <w:tcW w:w="2440" w:type="dxa"/>
          </w:tcPr>
          <w:p w14:paraId="2AB86106" w14:textId="6894C24C" w:rsidR="009A0C07" w:rsidRPr="004E51F7" w:rsidRDefault="009A0C07" w:rsidP="009A0C07">
            <w:pPr>
              <w:rPr>
                <w:rFonts w:cs="Arial"/>
              </w:rPr>
            </w:pPr>
            <w:r w:rsidRPr="004E51F7">
              <w:rPr>
                <w:rFonts w:cs="Arial"/>
              </w:rPr>
              <w:t xml:space="preserve">Телапревир 750 </w:t>
            </w:r>
            <w:r w:rsidRPr="004E51F7">
              <w:rPr>
                <w:rFonts w:cs="Arial"/>
                <w:lang w:val="en-US"/>
              </w:rPr>
              <w:t xml:space="preserve">mg, </w:t>
            </w:r>
            <w:r w:rsidRPr="004E51F7">
              <w:rPr>
                <w:rFonts w:cs="Arial"/>
              </w:rPr>
              <w:t>10 дни</w:t>
            </w:r>
          </w:p>
        </w:tc>
        <w:tc>
          <w:tcPr>
            <w:tcW w:w="2375" w:type="dxa"/>
          </w:tcPr>
          <w:p w14:paraId="7E6EDAB3" w14:textId="2DEEC10A" w:rsidR="009A0C07" w:rsidRPr="004E51F7" w:rsidRDefault="009A0C07" w:rsidP="009A0C07">
            <w:pPr>
              <w:rPr>
                <w:rFonts w:cs="Arial"/>
              </w:rPr>
            </w:pPr>
            <w:r w:rsidRPr="004E51F7">
              <w:rPr>
                <w:rFonts w:cs="Arial"/>
              </w:rPr>
              <w:t xml:space="preserve">20 </w:t>
            </w:r>
            <w:r w:rsidRPr="004E51F7">
              <w:rPr>
                <w:rFonts w:cs="Arial"/>
                <w:lang w:val="en-US"/>
              </w:rPr>
              <w:t xml:space="preserve">mg </w:t>
            </w:r>
            <w:r w:rsidRPr="004E51F7">
              <w:rPr>
                <w:rFonts w:cs="Arial"/>
              </w:rPr>
              <w:t>единична доза</w:t>
            </w:r>
          </w:p>
        </w:tc>
        <w:tc>
          <w:tcPr>
            <w:tcW w:w="2375" w:type="dxa"/>
          </w:tcPr>
          <w:p w14:paraId="7DC8F5B7" w14:textId="3B7077E5" w:rsidR="009A0C07" w:rsidRPr="004E51F7" w:rsidRDefault="009A0C07" w:rsidP="009A0C07">
            <w:pPr>
              <w:rPr>
                <w:rFonts w:cs="Arial"/>
              </w:rPr>
            </w:pPr>
            <w:r w:rsidRPr="004E51F7">
              <w:rPr>
                <w:rFonts w:cs="Arial"/>
              </w:rPr>
              <w:t>7,9</w:t>
            </w:r>
          </w:p>
        </w:tc>
        <w:tc>
          <w:tcPr>
            <w:tcW w:w="2375" w:type="dxa"/>
            <w:vMerge/>
          </w:tcPr>
          <w:p w14:paraId="218774E1" w14:textId="77777777" w:rsidR="009A0C07" w:rsidRPr="004E51F7" w:rsidRDefault="009A0C07" w:rsidP="009A0C07">
            <w:pPr>
              <w:rPr>
                <w:rFonts w:cs="Arial"/>
              </w:rPr>
            </w:pPr>
          </w:p>
        </w:tc>
      </w:tr>
      <w:tr w:rsidR="009A0C07" w14:paraId="5B444025" w14:textId="77777777" w:rsidTr="009A0C07">
        <w:tc>
          <w:tcPr>
            <w:tcW w:w="2440" w:type="dxa"/>
          </w:tcPr>
          <w:p w14:paraId="401F73A7" w14:textId="64B46F2B" w:rsidR="009A0C07" w:rsidRPr="004E51F7" w:rsidRDefault="009A0C07" w:rsidP="009A0C07">
            <w:pPr>
              <w:rPr>
                <w:rFonts w:cs="Arial"/>
              </w:rPr>
            </w:pPr>
            <w:r w:rsidRPr="004E51F7">
              <w:rPr>
                <w:rFonts w:cs="Arial"/>
              </w:rPr>
              <w:t xml:space="preserve">Циклоспорин 5,2 </w:t>
            </w:r>
            <w:r w:rsidRPr="004E51F7">
              <w:rPr>
                <w:rFonts w:cs="Arial"/>
                <w:lang w:val="en-US"/>
              </w:rPr>
              <w:t>mg/kg</w:t>
            </w:r>
            <w:r w:rsidRPr="004E51F7">
              <w:rPr>
                <w:rFonts w:cs="Arial"/>
              </w:rPr>
              <w:t>/ден, постоянна доза</w:t>
            </w:r>
          </w:p>
        </w:tc>
        <w:tc>
          <w:tcPr>
            <w:tcW w:w="2375" w:type="dxa"/>
          </w:tcPr>
          <w:p w14:paraId="7919C2CC" w14:textId="77777777" w:rsidR="009A0C07" w:rsidRPr="004E51F7" w:rsidRDefault="009A0C07" w:rsidP="009A0C07">
            <w:pPr>
              <w:rPr>
                <w:rFonts w:cs="Arial"/>
              </w:rPr>
            </w:pPr>
            <w:r w:rsidRPr="004E51F7">
              <w:rPr>
                <w:rFonts w:cs="Arial"/>
              </w:rPr>
              <w:t xml:space="preserve">10 </w:t>
            </w:r>
            <w:r w:rsidRPr="004E51F7">
              <w:rPr>
                <w:rFonts w:cs="Arial"/>
                <w:lang w:val="en-US"/>
              </w:rPr>
              <w:t xml:space="preserve">mg </w:t>
            </w:r>
            <w:r w:rsidRPr="004E51F7">
              <w:rPr>
                <w:rFonts w:cs="Arial"/>
              </w:rPr>
              <w:t>веднъж дневно за 28</w:t>
            </w:r>
          </w:p>
          <w:p w14:paraId="11A49561" w14:textId="6C5307D0" w:rsidR="009A0C07" w:rsidRPr="004E51F7" w:rsidRDefault="009A0C07" w:rsidP="009A0C07">
            <w:pPr>
              <w:rPr>
                <w:rFonts w:cs="Arial"/>
              </w:rPr>
            </w:pPr>
            <w:r w:rsidRPr="004E51F7">
              <w:rPr>
                <w:rFonts w:cs="Arial"/>
              </w:rPr>
              <w:t>ДНИ</w:t>
            </w:r>
          </w:p>
        </w:tc>
        <w:tc>
          <w:tcPr>
            <w:tcW w:w="2375" w:type="dxa"/>
          </w:tcPr>
          <w:p w14:paraId="72035731" w14:textId="485FB292" w:rsidR="009A0C07" w:rsidRPr="004E51F7" w:rsidRDefault="009A0C07" w:rsidP="009A0C07">
            <w:pPr>
              <w:rPr>
                <w:rFonts w:cs="Arial"/>
              </w:rPr>
            </w:pPr>
            <w:r w:rsidRPr="004E51F7">
              <w:rPr>
                <w:rFonts w:cs="Arial"/>
              </w:rPr>
              <w:t>8,7</w:t>
            </w:r>
          </w:p>
        </w:tc>
        <w:tc>
          <w:tcPr>
            <w:tcW w:w="2375" w:type="dxa"/>
            <w:vMerge/>
          </w:tcPr>
          <w:p w14:paraId="0534F268" w14:textId="77777777" w:rsidR="009A0C07" w:rsidRPr="004E51F7" w:rsidRDefault="009A0C07" w:rsidP="009A0C07">
            <w:pPr>
              <w:rPr>
                <w:rFonts w:cs="Arial"/>
              </w:rPr>
            </w:pPr>
          </w:p>
        </w:tc>
      </w:tr>
      <w:tr w:rsidR="009A0C07" w14:paraId="2EB4D517" w14:textId="77777777" w:rsidTr="009A0C07">
        <w:tc>
          <w:tcPr>
            <w:tcW w:w="2440" w:type="dxa"/>
          </w:tcPr>
          <w:p w14:paraId="645DA667" w14:textId="1A525632" w:rsidR="009A0C07" w:rsidRPr="004E51F7" w:rsidRDefault="009A0C07" w:rsidP="009A0C07">
            <w:pPr>
              <w:rPr>
                <w:rFonts w:cs="Arial"/>
              </w:rPr>
            </w:pPr>
            <w:r w:rsidRPr="004E51F7">
              <w:rPr>
                <w:rFonts w:cs="Arial"/>
              </w:rPr>
              <w:t xml:space="preserve">Лопинавир 400 </w:t>
            </w:r>
            <w:r w:rsidRPr="004E51F7">
              <w:rPr>
                <w:rFonts w:cs="Arial"/>
                <w:lang w:val="en-US"/>
              </w:rPr>
              <w:t xml:space="preserve">mg </w:t>
            </w:r>
            <w:r w:rsidRPr="004E51F7">
              <w:rPr>
                <w:rFonts w:cs="Arial"/>
              </w:rPr>
              <w:t xml:space="preserve">два пъти дневно/ Ритонавир 100 </w:t>
            </w:r>
            <w:r w:rsidRPr="004E51F7">
              <w:rPr>
                <w:rFonts w:cs="Arial"/>
                <w:lang w:val="en-US"/>
              </w:rPr>
              <w:t xml:space="preserve">mg </w:t>
            </w:r>
            <w:r w:rsidRPr="004E51F7">
              <w:rPr>
                <w:rFonts w:cs="Arial"/>
              </w:rPr>
              <w:t xml:space="preserve">два пъти дневно, за </w:t>
            </w:r>
            <w:r w:rsidRPr="004E51F7">
              <w:rPr>
                <w:rFonts w:cs="Arial"/>
              </w:rPr>
              <w:lastRenderedPageBreak/>
              <w:t>14 дни</w:t>
            </w:r>
          </w:p>
        </w:tc>
        <w:tc>
          <w:tcPr>
            <w:tcW w:w="2375" w:type="dxa"/>
          </w:tcPr>
          <w:p w14:paraId="63C176C2" w14:textId="77777777" w:rsidR="009A0C07" w:rsidRPr="004E51F7" w:rsidRDefault="009A0C07" w:rsidP="009A0C07">
            <w:pPr>
              <w:rPr>
                <w:rFonts w:cs="Arial"/>
              </w:rPr>
            </w:pPr>
            <w:r w:rsidRPr="004E51F7">
              <w:rPr>
                <w:rFonts w:cs="Arial"/>
              </w:rPr>
              <w:lastRenderedPageBreak/>
              <w:t xml:space="preserve">20 </w:t>
            </w:r>
            <w:r w:rsidRPr="004E51F7">
              <w:rPr>
                <w:rFonts w:cs="Arial"/>
                <w:lang w:val="en-US"/>
              </w:rPr>
              <w:t xml:space="preserve">mg </w:t>
            </w:r>
            <w:r w:rsidRPr="004E51F7">
              <w:rPr>
                <w:rFonts w:cs="Arial"/>
              </w:rPr>
              <w:t>веднъж дневно за 4</w:t>
            </w:r>
          </w:p>
          <w:p w14:paraId="77C5AAE3" w14:textId="0FF5CBF8" w:rsidR="009A0C07" w:rsidRPr="004E51F7" w:rsidRDefault="009A0C07" w:rsidP="009A0C07">
            <w:pPr>
              <w:rPr>
                <w:rFonts w:cs="Arial"/>
              </w:rPr>
            </w:pPr>
            <w:r w:rsidRPr="004E51F7">
              <w:rPr>
                <w:rFonts w:cs="Arial"/>
              </w:rPr>
              <w:t>дни</w:t>
            </w:r>
          </w:p>
        </w:tc>
        <w:tc>
          <w:tcPr>
            <w:tcW w:w="2375" w:type="dxa"/>
          </w:tcPr>
          <w:p w14:paraId="7539AEC3" w14:textId="639E9440" w:rsidR="009A0C07" w:rsidRPr="004E51F7" w:rsidRDefault="009A0C07" w:rsidP="009A0C07">
            <w:pPr>
              <w:rPr>
                <w:rFonts w:cs="Arial"/>
              </w:rPr>
            </w:pPr>
            <w:r w:rsidRPr="004E51F7">
              <w:rPr>
                <w:rFonts w:cs="Arial"/>
              </w:rPr>
              <w:t>5,9</w:t>
            </w:r>
          </w:p>
        </w:tc>
        <w:tc>
          <w:tcPr>
            <w:tcW w:w="2375" w:type="dxa"/>
            <w:vMerge w:val="restart"/>
          </w:tcPr>
          <w:p w14:paraId="40F2690C" w14:textId="7422F151" w:rsidR="009A0C07" w:rsidRPr="004E51F7" w:rsidRDefault="009A0C07" w:rsidP="009A0C07">
            <w:pPr>
              <w:rPr>
                <w:rFonts w:cs="Arial"/>
              </w:rPr>
            </w:pPr>
            <w:r w:rsidRPr="004E51F7">
              <w:rPr>
                <w:rFonts w:cs="Arial"/>
              </w:rPr>
              <w:t>В случаите когато едновремен</w:t>
            </w:r>
            <w:r w:rsidR="004E51F7" w:rsidRPr="004E51F7">
              <w:rPr>
                <w:rFonts w:cs="Arial"/>
              </w:rPr>
              <w:t xml:space="preserve">ното прилагане с аторвастатин е </w:t>
            </w:r>
            <w:r w:rsidRPr="004E51F7">
              <w:rPr>
                <w:rFonts w:cs="Arial"/>
              </w:rPr>
              <w:lastRenderedPageBreak/>
              <w:t xml:space="preserve">необходимо, се препоръчват по-ниски поддържащи дози на аторвастатин. При дози на аторвастатин, надвишаващи 20 </w:t>
            </w:r>
            <w:r w:rsidRPr="004E51F7">
              <w:rPr>
                <w:rFonts w:cs="Arial"/>
                <w:lang w:val="en-US"/>
              </w:rPr>
              <w:t xml:space="preserve">mg, </w:t>
            </w:r>
            <w:r w:rsidRPr="004E51F7">
              <w:rPr>
                <w:rFonts w:cs="Arial"/>
              </w:rPr>
              <w:t>се</w:t>
            </w:r>
            <w:r w:rsidR="004E51F7" w:rsidRPr="004E51F7">
              <w:rPr>
                <w:rFonts w:cs="Arial"/>
              </w:rPr>
              <w:t xml:space="preserve"> препоръчва клинично проследяване на тези пациенти.</w:t>
            </w:r>
          </w:p>
        </w:tc>
      </w:tr>
      <w:tr w:rsidR="009A0C07" w14:paraId="445A06DF" w14:textId="77777777" w:rsidTr="009A0C07">
        <w:tc>
          <w:tcPr>
            <w:tcW w:w="2440" w:type="dxa"/>
          </w:tcPr>
          <w:p w14:paraId="6A5FA420" w14:textId="5AA46FB6" w:rsidR="009A0C07" w:rsidRPr="004E51F7" w:rsidRDefault="009A0C07" w:rsidP="009A0C07">
            <w:pPr>
              <w:rPr>
                <w:rFonts w:cs="Arial"/>
              </w:rPr>
            </w:pPr>
            <w:r w:rsidRPr="004E51F7">
              <w:rPr>
                <w:rFonts w:cs="Arial"/>
              </w:rPr>
              <w:lastRenderedPageBreak/>
              <w:t xml:space="preserve">Кларитромицин 500 </w:t>
            </w:r>
            <w:r w:rsidRPr="004E51F7">
              <w:rPr>
                <w:rFonts w:cs="Arial"/>
                <w:lang w:val="en-US"/>
              </w:rPr>
              <w:t xml:space="preserve">mg </w:t>
            </w:r>
            <w:r w:rsidRPr="004E51F7">
              <w:rPr>
                <w:rFonts w:cs="Arial"/>
              </w:rPr>
              <w:t>два пъти дневно, за 9 дни</w:t>
            </w:r>
          </w:p>
        </w:tc>
        <w:tc>
          <w:tcPr>
            <w:tcW w:w="2375" w:type="dxa"/>
          </w:tcPr>
          <w:p w14:paraId="715E77E6" w14:textId="77777777" w:rsidR="009A0C07" w:rsidRPr="004E51F7" w:rsidRDefault="009A0C07" w:rsidP="009A0C07">
            <w:pPr>
              <w:rPr>
                <w:rFonts w:cs="Arial"/>
              </w:rPr>
            </w:pPr>
            <w:r w:rsidRPr="004E51F7">
              <w:rPr>
                <w:rFonts w:cs="Arial"/>
              </w:rPr>
              <w:t xml:space="preserve">80 </w:t>
            </w:r>
            <w:r w:rsidRPr="004E51F7">
              <w:rPr>
                <w:rFonts w:cs="Arial"/>
                <w:lang w:val="en-US"/>
              </w:rPr>
              <w:t xml:space="preserve">mg </w:t>
            </w:r>
            <w:r w:rsidRPr="004E51F7">
              <w:rPr>
                <w:rFonts w:cs="Arial"/>
              </w:rPr>
              <w:t>веднъж дневно за 8</w:t>
            </w:r>
          </w:p>
          <w:p w14:paraId="7228587B" w14:textId="502AAA24" w:rsidR="009A0C07" w:rsidRPr="004E51F7" w:rsidRDefault="009A0C07" w:rsidP="009A0C07">
            <w:pPr>
              <w:rPr>
                <w:rFonts w:cs="Arial"/>
              </w:rPr>
            </w:pPr>
            <w:r w:rsidRPr="004E51F7">
              <w:rPr>
                <w:rFonts w:cs="Arial"/>
              </w:rPr>
              <w:t>ДНИ</w:t>
            </w:r>
          </w:p>
        </w:tc>
        <w:tc>
          <w:tcPr>
            <w:tcW w:w="2375" w:type="dxa"/>
          </w:tcPr>
          <w:p w14:paraId="10D7665D" w14:textId="0FCDFD06" w:rsidR="009A0C07" w:rsidRPr="004E51F7" w:rsidRDefault="009A0C07" w:rsidP="009A0C07">
            <w:pPr>
              <w:rPr>
                <w:rFonts w:cs="Arial"/>
              </w:rPr>
            </w:pPr>
            <w:r w:rsidRPr="004E51F7">
              <w:rPr>
                <w:rFonts w:cs="Arial"/>
              </w:rPr>
              <w:t>4,4</w:t>
            </w:r>
          </w:p>
        </w:tc>
        <w:tc>
          <w:tcPr>
            <w:tcW w:w="2375" w:type="dxa"/>
            <w:vMerge/>
          </w:tcPr>
          <w:p w14:paraId="327EC50B" w14:textId="77777777" w:rsidR="009A0C07" w:rsidRPr="004E51F7" w:rsidRDefault="009A0C07" w:rsidP="009A0C07">
            <w:pPr>
              <w:rPr>
                <w:rFonts w:cs="Arial"/>
              </w:rPr>
            </w:pPr>
          </w:p>
        </w:tc>
      </w:tr>
      <w:tr w:rsidR="004E51F7" w14:paraId="7370D06F" w14:textId="77777777" w:rsidTr="009A0C07">
        <w:tc>
          <w:tcPr>
            <w:tcW w:w="2440" w:type="dxa"/>
          </w:tcPr>
          <w:p w14:paraId="4CC6649D" w14:textId="6F6FA668" w:rsidR="004E51F7" w:rsidRPr="004E51F7" w:rsidRDefault="004E51F7" w:rsidP="004E51F7">
            <w:pPr>
              <w:rPr>
                <w:rFonts w:cs="Arial"/>
              </w:rPr>
            </w:pPr>
            <w:r w:rsidRPr="004E51F7">
              <w:rPr>
                <w:rFonts w:cs="Arial"/>
              </w:rPr>
              <w:t xml:space="preserve">Саквинавир 400 </w:t>
            </w:r>
            <w:r w:rsidRPr="004E51F7">
              <w:rPr>
                <w:rFonts w:cs="Arial"/>
                <w:lang w:val="en-US"/>
              </w:rPr>
              <w:t xml:space="preserve">mg </w:t>
            </w:r>
            <w:r w:rsidRPr="004E51F7">
              <w:rPr>
                <w:rFonts w:cs="Arial"/>
              </w:rPr>
              <w:t xml:space="preserve">два пъти дневно/ Ритонавир (300 </w:t>
            </w:r>
            <w:r w:rsidRPr="004E51F7">
              <w:rPr>
                <w:rFonts w:cs="Arial"/>
                <w:lang w:val="en-US"/>
              </w:rPr>
              <w:t xml:space="preserve">mg </w:t>
            </w:r>
            <w:r w:rsidRPr="004E51F7">
              <w:rPr>
                <w:rFonts w:cs="Arial"/>
              </w:rPr>
              <w:t xml:space="preserve">два пъти дневно от ден 5 до ден 7, повишена до 400 </w:t>
            </w:r>
            <w:r w:rsidRPr="004E51F7">
              <w:rPr>
                <w:rFonts w:cs="Arial"/>
                <w:lang w:val="en-US"/>
              </w:rPr>
              <w:t xml:space="preserve">mg </w:t>
            </w:r>
            <w:r w:rsidRPr="004E51F7">
              <w:rPr>
                <w:rFonts w:cs="Arial"/>
              </w:rPr>
              <w:t xml:space="preserve">два пъти дневно в ден 8), за дни 4-18, 30 </w:t>
            </w:r>
            <w:r w:rsidRPr="004E51F7">
              <w:rPr>
                <w:rFonts w:cs="Arial"/>
                <w:lang w:val="en-US"/>
              </w:rPr>
              <w:t xml:space="preserve">min </w:t>
            </w:r>
            <w:r w:rsidRPr="004E51F7">
              <w:rPr>
                <w:rFonts w:cs="Arial"/>
              </w:rPr>
              <w:t>след приема на аторвастатин</w:t>
            </w:r>
          </w:p>
        </w:tc>
        <w:tc>
          <w:tcPr>
            <w:tcW w:w="2375" w:type="dxa"/>
          </w:tcPr>
          <w:p w14:paraId="720EBF70" w14:textId="294FD992" w:rsidR="004E51F7" w:rsidRPr="004E51F7" w:rsidRDefault="004E51F7" w:rsidP="004E51F7">
            <w:pPr>
              <w:rPr>
                <w:rFonts w:cs="Arial"/>
              </w:rPr>
            </w:pPr>
            <w:r w:rsidRPr="004E51F7">
              <w:rPr>
                <w:rFonts w:cs="Arial"/>
              </w:rPr>
              <w:t xml:space="preserve">40 </w:t>
            </w:r>
            <w:r w:rsidRPr="004E51F7">
              <w:rPr>
                <w:rFonts w:cs="Arial"/>
                <w:lang w:val="en-US"/>
              </w:rPr>
              <w:t xml:space="preserve">mg </w:t>
            </w:r>
            <w:r w:rsidRPr="004E51F7">
              <w:rPr>
                <w:rFonts w:cs="Arial"/>
              </w:rPr>
              <w:t>веднъж дневно за 4 дни</w:t>
            </w:r>
          </w:p>
        </w:tc>
        <w:tc>
          <w:tcPr>
            <w:tcW w:w="2375" w:type="dxa"/>
          </w:tcPr>
          <w:p w14:paraId="3AD314D0" w14:textId="775A7E31" w:rsidR="004E51F7" w:rsidRPr="004E51F7" w:rsidRDefault="004E51F7" w:rsidP="004E51F7">
            <w:pPr>
              <w:rPr>
                <w:rFonts w:cs="Arial"/>
              </w:rPr>
            </w:pPr>
            <w:r w:rsidRPr="004E51F7">
              <w:rPr>
                <w:rFonts w:cs="Arial"/>
              </w:rPr>
              <w:t>3,9</w:t>
            </w:r>
          </w:p>
        </w:tc>
        <w:tc>
          <w:tcPr>
            <w:tcW w:w="2375" w:type="dxa"/>
            <w:vMerge w:val="restart"/>
          </w:tcPr>
          <w:p w14:paraId="7635BF25" w14:textId="77777777" w:rsidR="004E51F7" w:rsidRPr="004E51F7" w:rsidRDefault="004E51F7" w:rsidP="004E51F7">
            <w:pPr>
              <w:spacing w:line="240" w:lineRule="auto"/>
              <w:rPr>
                <w:rFonts w:eastAsia="Times New Roman" w:cs="Arial"/>
                <w:lang w:eastAsia="bg-BG"/>
              </w:rPr>
            </w:pPr>
            <w:r w:rsidRPr="004E51F7">
              <w:rPr>
                <w:rFonts w:eastAsia="Times New Roman" w:cs="Arial"/>
                <w:color w:val="000000"/>
                <w:lang w:eastAsia="bg-BG"/>
              </w:rPr>
              <w:t xml:space="preserve">В случаите когато едновременното прилагане с аторвастатин е необходимо, се препоръчват по-ниски поддържащи дози на аторвастатин. При дози на аторвастатин, надвишаващи 40 </w:t>
            </w:r>
            <w:r w:rsidRPr="004E51F7">
              <w:rPr>
                <w:rFonts w:eastAsia="Times New Roman" w:cs="Arial"/>
                <w:color w:val="000000"/>
                <w:lang w:val="en-US"/>
              </w:rPr>
              <w:t xml:space="preserve">mg, </w:t>
            </w:r>
            <w:r w:rsidRPr="004E51F7">
              <w:rPr>
                <w:rFonts w:eastAsia="Times New Roman" w:cs="Arial"/>
                <w:color w:val="000000"/>
                <w:lang w:eastAsia="bg-BG"/>
              </w:rPr>
              <w:t>се препоръчва клинично проследяване на тези пациенти.</w:t>
            </w:r>
          </w:p>
          <w:p w14:paraId="4ED24368" w14:textId="77777777" w:rsidR="004E51F7" w:rsidRPr="004E51F7" w:rsidRDefault="004E51F7" w:rsidP="004E51F7">
            <w:pPr>
              <w:rPr>
                <w:rFonts w:cs="Arial"/>
              </w:rPr>
            </w:pPr>
          </w:p>
        </w:tc>
      </w:tr>
      <w:tr w:rsidR="004E51F7" w14:paraId="7D532726" w14:textId="77777777" w:rsidTr="004E51F7">
        <w:tc>
          <w:tcPr>
            <w:tcW w:w="2440" w:type="dxa"/>
            <w:vAlign w:val="bottom"/>
          </w:tcPr>
          <w:p w14:paraId="49F9227E" w14:textId="65A81AEE" w:rsidR="004E51F7" w:rsidRPr="004E51F7" w:rsidRDefault="004E51F7" w:rsidP="004E51F7">
            <w:pPr>
              <w:rPr>
                <w:rFonts w:cs="Arial"/>
              </w:rPr>
            </w:pPr>
            <w:r w:rsidRPr="004E51F7">
              <w:rPr>
                <w:rFonts w:cs="Arial"/>
              </w:rPr>
              <w:t xml:space="preserve">Дарунавир 300 </w:t>
            </w:r>
            <w:r w:rsidRPr="004E51F7">
              <w:rPr>
                <w:rFonts w:cs="Arial"/>
                <w:lang w:val="en-US"/>
              </w:rPr>
              <w:t xml:space="preserve">mg </w:t>
            </w:r>
            <w:r w:rsidRPr="004E51F7">
              <w:rPr>
                <w:rFonts w:cs="Arial"/>
              </w:rPr>
              <w:t xml:space="preserve">два пъти дневно/ Ритонавир 100 </w:t>
            </w:r>
            <w:r w:rsidRPr="004E51F7">
              <w:rPr>
                <w:rFonts w:cs="Arial"/>
                <w:lang w:val="en-US"/>
              </w:rPr>
              <w:t xml:space="preserve">mg </w:t>
            </w:r>
            <w:r w:rsidRPr="004E51F7">
              <w:rPr>
                <w:rFonts w:cs="Arial"/>
              </w:rPr>
              <w:t>два пъти дневно, за 9 дни</w:t>
            </w:r>
          </w:p>
        </w:tc>
        <w:tc>
          <w:tcPr>
            <w:tcW w:w="2375" w:type="dxa"/>
            <w:vAlign w:val="bottom"/>
          </w:tcPr>
          <w:p w14:paraId="75AD1276" w14:textId="7D1E037C" w:rsidR="004E51F7" w:rsidRPr="004E51F7" w:rsidRDefault="004E51F7" w:rsidP="004E51F7">
            <w:pPr>
              <w:rPr>
                <w:rFonts w:cs="Arial"/>
              </w:rPr>
            </w:pPr>
            <w:r w:rsidRPr="004E51F7">
              <w:rPr>
                <w:rFonts w:cs="Arial"/>
              </w:rPr>
              <w:t xml:space="preserve">10 </w:t>
            </w:r>
            <w:r w:rsidRPr="004E51F7">
              <w:rPr>
                <w:rFonts w:cs="Arial"/>
                <w:lang w:val="en-US"/>
              </w:rPr>
              <w:t xml:space="preserve">mg </w:t>
            </w:r>
            <w:r w:rsidRPr="004E51F7">
              <w:rPr>
                <w:rFonts w:cs="Arial"/>
              </w:rPr>
              <w:t>веднъж дневно за 4 ДНИ</w:t>
            </w:r>
          </w:p>
        </w:tc>
        <w:tc>
          <w:tcPr>
            <w:tcW w:w="2375" w:type="dxa"/>
          </w:tcPr>
          <w:p w14:paraId="0BAA3F24" w14:textId="0378A2E3" w:rsidR="004E51F7" w:rsidRPr="004E51F7" w:rsidRDefault="004E51F7" w:rsidP="004E51F7">
            <w:pPr>
              <w:rPr>
                <w:rFonts w:cs="Arial"/>
              </w:rPr>
            </w:pPr>
            <w:r w:rsidRPr="004E51F7">
              <w:rPr>
                <w:rFonts w:cs="Arial"/>
              </w:rPr>
              <w:t>3,3</w:t>
            </w:r>
          </w:p>
        </w:tc>
        <w:tc>
          <w:tcPr>
            <w:tcW w:w="2375" w:type="dxa"/>
            <w:vMerge/>
          </w:tcPr>
          <w:p w14:paraId="1D450EBD" w14:textId="77777777" w:rsidR="004E51F7" w:rsidRPr="004E51F7" w:rsidRDefault="004E51F7" w:rsidP="004E51F7">
            <w:pPr>
              <w:rPr>
                <w:rFonts w:cs="Arial"/>
              </w:rPr>
            </w:pPr>
          </w:p>
        </w:tc>
      </w:tr>
      <w:tr w:rsidR="004E51F7" w14:paraId="730BDABF" w14:textId="77777777" w:rsidTr="004E51F7">
        <w:tc>
          <w:tcPr>
            <w:tcW w:w="2440" w:type="dxa"/>
            <w:vAlign w:val="bottom"/>
          </w:tcPr>
          <w:p w14:paraId="7A11C95F" w14:textId="460D953D" w:rsidR="004E51F7" w:rsidRPr="004E51F7" w:rsidRDefault="004E51F7" w:rsidP="004E51F7">
            <w:pPr>
              <w:rPr>
                <w:rFonts w:cs="Arial"/>
              </w:rPr>
            </w:pPr>
            <w:r w:rsidRPr="004E51F7">
              <w:rPr>
                <w:rFonts w:cs="Arial"/>
              </w:rPr>
              <w:t xml:space="preserve">Итраконазол 200 </w:t>
            </w:r>
            <w:r w:rsidRPr="004E51F7">
              <w:rPr>
                <w:rFonts w:cs="Arial"/>
                <w:lang w:val="en-US"/>
              </w:rPr>
              <w:t xml:space="preserve">mg </w:t>
            </w:r>
            <w:r w:rsidRPr="004E51F7">
              <w:rPr>
                <w:rFonts w:cs="Arial"/>
              </w:rPr>
              <w:t>веднъж дневно, за 4 дни</w:t>
            </w:r>
          </w:p>
        </w:tc>
        <w:tc>
          <w:tcPr>
            <w:tcW w:w="2375" w:type="dxa"/>
            <w:vAlign w:val="bottom"/>
          </w:tcPr>
          <w:p w14:paraId="1767495C" w14:textId="12231689" w:rsidR="004E51F7" w:rsidRPr="004E51F7" w:rsidRDefault="004E51F7" w:rsidP="004E51F7">
            <w:pPr>
              <w:rPr>
                <w:rFonts w:cs="Arial"/>
              </w:rPr>
            </w:pPr>
            <w:r w:rsidRPr="004E51F7">
              <w:rPr>
                <w:rFonts w:cs="Arial"/>
              </w:rPr>
              <w:t xml:space="preserve">40 </w:t>
            </w:r>
            <w:r w:rsidRPr="004E51F7">
              <w:rPr>
                <w:rFonts w:cs="Arial"/>
                <w:lang w:val="en-US"/>
              </w:rPr>
              <w:t xml:space="preserve">mg </w:t>
            </w:r>
            <w:r w:rsidRPr="004E51F7">
              <w:rPr>
                <w:rFonts w:cs="Arial"/>
              </w:rPr>
              <w:t>единична доза</w:t>
            </w:r>
          </w:p>
        </w:tc>
        <w:tc>
          <w:tcPr>
            <w:tcW w:w="2375" w:type="dxa"/>
          </w:tcPr>
          <w:p w14:paraId="70760E09" w14:textId="67244349" w:rsidR="004E51F7" w:rsidRPr="004E51F7" w:rsidRDefault="004E51F7" w:rsidP="004E51F7">
            <w:pPr>
              <w:rPr>
                <w:rFonts w:cs="Arial"/>
              </w:rPr>
            </w:pPr>
            <w:r w:rsidRPr="004E51F7">
              <w:rPr>
                <w:rFonts w:cs="Arial"/>
              </w:rPr>
              <w:t>3,3</w:t>
            </w:r>
          </w:p>
        </w:tc>
        <w:tc>
          <w:tcPr>
            <w:tcW w:w="2375" w:type="dxa"/>
            <w:vMerge/>
          </w:tcPr>
          <w:p w14:paraId="7C055146" w14:textId="77777777" w:rsidR="004E51F7" w:rsidRPr="004E51F7" w:rsidRDefault="004E51F7" w:rsidP="004E51F7">
            <w:pPr>
              <w:rPr>
                <w:rFonts w:cs="Arial"/>
              </w:rPr>
            </w:pPr>
          </w:p>
        </w:tc>
      </w:tr>
      <w:tr w:rsidR="004E51F7" w14:paraId="510CE463" w14:textId="77777777" w:rsidTr="004E51F7">
        <w:tc>
          <w:tcPr>
            <w:tcW w:w="2440" w:type="dxa"/>
            <w:vAlign w:val="bottom"/>
          </w:tcPr>
          <w:p w14:paraId="28D3B604" w14:textId="7536263A" w:rsidR="004E51F7" w:rsidRPr="004E51F7" w:rsidRDefault="004E51F7" w:rsidP="004E51F7">
            <w:pPr>
              <w:rPr>
                <w:rFonts w:cs="Arial"/>
              </w:rPr>
            </w:pPr>
            <w:r w:rsidRPr="004E51F7">
              <w:rPr>
                <w:rFonts w:cs="Arial"/>
              </w:rPr>
              <w:t xml:space="preserve">Фозампренавир 700 </w:t>
            </w:r>
            <w:r w:rsidRPr="004E51F7">
              <w:rPr>
                <w:rFonts w:cs="Arial"/>
                <w:lang w:val="en-US"/>
              </w:rPr>
              <w:t xml:space="preserve">mg </w:t>
            </w:r>
            <w:r w:rsidRPr="004E51F7">
              <w:rPr>
                <w:rFonts w:cs="Arial"/>
              </w:rPr>
              <w:t xml:space="preserve">два пъти дневно/ Ритонавир 100 </w:t>
            </w:r>
            <w:r w:rsidRPr="004E51F7">
              <w:rPr>
                <w:rFonts w:cs="Arial"/>
                <w:lang w:val="en-US"/>
              </w:rPr>
              <w:t xml:space="preserve">mg </w:t>
            </w:r>
            <w:r w:rsidRPr="004E51F7">
              <w:rPr>
                <w:rFonts w:cs="Arial"/>
              </w:rPr>
              <w:t>два пъти дневно, за 14 дни</w:t>
            </w:r>
          </w:p>
        </w:tc>
        <w:tc>
          <w:tcPr>
            <w:tcW w:w="2375" w:type="dxa"/>
            <w:vAlign w:val="bottom"/>
          </w:tcPr>
          <w:p w14:paraId="39656FB0" w14:textId="77777777" w:rsidR="004E51F7" w:rsidRPr="004E51F7" w:rsidRDefault="004E51F7" w:rsidP="004E51F7">
            <w:pPr>
              <w:rPr>
                <w:rFonts w:cs="Arial"/>
              </w:rPr>
            </w:pPr>
            <w:r w:rsidRPr="004E51F7">
              <w:rPr>
                <w:rFonts w:cs="Arial"/>
              </w:rPr>
              <w:t xml:space="preserve">10 </w:t>
            </w:r>
            <w:r w:rsidRPr="004E51F7">
              <w:rPr>
                <w:rFonts w:cs="Arial"/>
                <w:lang w:val="en-US"/>
              </w:rPr>
              <w:t xml:space="preserve">mg </w:t>
            </w:r>
            <w:r w:rsidRPr="004E51F7">
              <w:rPr>
                <w:rFonts w:cs="Arial"/>
              </w:rPr>
              <w:t>веднъж дневно за 4</w:t>
            </w:r>
          </w:p>
          <w:p w14:paraId="5CFA8F31" w14:textId="037A8D15" w:rsidR="004E51F7" w:rsidRPr="004E51F7" w:rsidRDefault="004E51F7" w:rsidP="004E51F7">
            <w:pPr>
              <w:rPr>
                <w:rFonts w:cs="Arial"/>
              </w:rPr>
            </w:pPr>
            <w:r w:rsidRPr="004E51F7">
              <w:rPr>
                <w:rFonts w:cs="Arial"/>
                <w:b/>
                <w:bCs/>
              </w:rPr>
              <w:t>ДНИ</w:t>
            </w:r>
          </w:p>
        </w:tc>
        <w:tc>
          <w:tcPr>
            <w:tcW w:w="2375" w:type="dxa"/>
          </w:tcPr>
          <w:p w14:paraId="13543F8B" w14:textId="0F82FF73" w:rsidR="004E51F7" w:rsidRPr="004E51F7" w:rsidRDefault="004E51F7" w:rsidP="004E51F7">
            <w:pPr>
              <w:rPr>
                <w:rFonts w:cs="Arial"/>
              </w:rPr>
            </w:pPr>
            <w:r w:rsidRPr="004E51F7">
              <w:rPr>
                <w:rFonts w:cs="Arial"/>
              </w:rPr>
              <w:t>2,5</w:t>
            </w:r>
          </w:p>
        </w:tc>
        <w:tc>
          <w:tcPr>
            <w:tcW w:w="2375" w:type="dxa"/>
            <w:vMerge/>
          </w:tcPr>
          <w:p w14:paraId="22166AD3" w14:textId="77777777" w:rsidR="004E51F7" w:rsidRPr="004E51F7" w:rsidRDefault="004E51F7" w:rsidP="004E51F7">
            <w:pPr>
              <w:rPr>
                <w:rFonts w:cs="Arial"/>
              </w:rPr>
            </w:pPr>
          </w:p>
        </w:tc>
      </w:tr>
      <w:tr w:rsidR="004E51F7" w14:paraId="1CAE1E09" w14:textId="77777777" w:rsidTr="004E51F7">
        <w:tc>
          <w:tcPr>
            <w:tcW w:w="2440" w:type="dxa"/>
          </w:tcPr>
          <w:p w14:paraId="76A28B98" w14:textId="2F8EA7AF" w:rsidR="004E51F7" w:rsidRPr="004E51F7" w:rsidRDefault="004E51F7" w:rsidP="004E51F7">
            <w:pPr>
              <w:rPr>
                <w:rFonts w:cs="Arial"/>
              </w:rPr>
            </w:pPr>
            <w:r w:rsidRPr="004E51F7">
              <w:rPr>
                <w:rFonts w:cs="Arial"/>
              </w:rPr>
              <w:t xml:space="preserve">Фозампренавир 1 400 </w:t>
            </w:r>
            <w:r w:rsidRPr="004E51F7">
              <w:rPr>
                <w:rFonts w:cs="Arial"/>
                <w:lang w:val="en-US"/>
              </w:rPr>
              <w:t xml:space="preserve">mg </w:t>
            </w:r>
            <w:r w:rsidRPr="004E51F7">
              <w:rPr>
                <w:rFonts w:cs="Arial"/>
              </w:rPr>
              <w:t>два пъти дневно, за 14 дни</w:t>
            </w:r>
          </w:p>
        </w:tc>
        <w:tc>
          <w:tcPr>
            <w:tcW w:w="2375" w:type="dxa"/>
            <w:vAlign w:val="bottom"/>
          </w:tcPr>
          <w:p w14:paraId="54D23A0F" w14:textId="0EC3B44D" w:rsidR="004E51F7" w:rsidRPr="004E51F7" w:rsidRDefault="004E51F7" w:rsidP="004E51F7">
            <w:pPr>
              <w:rPr>
                <w:rFonts w:cs="Arial"/>
              </w:rPr>
            </w:pPr>
            <w:r w:rsidRPr="004E51F7">
              <w:rPr>
                <w:rFonts w:cs="Arial"/>
              </w:rPr>
              <w:t xml:space="preserve">10 </w:t>
            </w:r>
            <w:r w:rsidRPr="004E51F7">
              <w:rPr>
                <w:rFonts w:cs="Arial"/>
                <w:lang w:val="en-US"/>
              </w:rPr>
              <w:t xml:space="preserve">mg </w:t>
            </w:r>
            <w:r w:rsidRPr="004E51F7">
              <w:rPr>
                <w:rFonts w:cs="Arial"/>
              </w:rPr>
              <w:t>веднъж дневно за 4 дни</w:t>
            </w:r>
          </w:p>
        </w:tc>
        <w:tc>
          <w:tcPr>
            <w:tcW w:w="2375" w:type="dxa"/>
          </w:tcPr>
          <w:p w14:paraId="200A2466" w14:textId="04E8ABA4" w:rsidR="004E51F7" w:rsidRPr="004E51F7" w:rsidRDefault="004E51F7" w:rsidP="004E51F7">
            <w:pPr>
              <w:rPr>
                <w:rFonts w:cs="Arial"/>
              </w:rPr>
            </w:pPr>
            <w:r w:rsidRPr="004E51F7">
              <w:rPr>
                <w:rFonts w:cs="Arial"/>
              </w:rPr>
              <w:t>2,3</w:t>
            </w:r>
          </w:p>
        </w:tc>
        <w:tc>
          <w:tcPr>
            <w:tcW w:w="2375" w:type="dxa"/>
            <w:vMerge/>
          </w:tcPr>
          <w:p w14:paraId="40231374" w14:textId="77777777" w:rsidR="004E51F7" w:rsidRPr="004E51F7" w:rsidRDefault="004E51F7" w:rsidP="004E51F7">
            <w:pPr>
              <w:rPr>
                <w:rFonts w:cs="Arial"/>
              </w:rPr>
            </w:pPr>
          </w:p>
        </w:tc>
      </w:tr>
      <w:tr w:rsidR="004E51F7" w14:paraId="23852B4B" w14:textId="77777777" w:rsidTr="004E51F7">
        <w:tc>
          <w:tcPr>
            <w:tcW w:w="2440" w:type="dxa"/>
          </w:tcPr>
          <w:p w14:paraId="5EC31164" w14:textId="40D20D8B" w:rsidR="004E51F7" w:rsidRPr="004E51F7" w:rsidRDefault="004E51F7" w:rsidP="004E51F7">
            <w:pPr>
              <w:rPr>
                <w:rFonts w:cs="Arial"/>
              </w:rPr>
            </w:pPr>
            <w:r w:rsidRPr="004E51F7">
              <w:rPr>
                <w:rFonts w:cs="Arial"/>
                <w:u w:val="single"/>
              </w:rPr>
              <w:t>Елбасвир 50</w:t>
            </w:r>
            <w:r w:rsidRPr="004E51F7">
              <w:rPr>
                <w:rFonts w:cs="Arial"/>
              </w:rPr>
              <w:t xml:space="preserve"> </w:t>
            </w:r>
            <w:r w:rsidRPr="004E51F7">
              <w:rPr>
                <w:rFonts w:cs="Arial"/>
                <w:lang w:val="en-US"/>
              </w:rPr>
              <w:t xml:space="preserve">mg </w:t>
            </w:r>
            <w:r w:rsidRPr="004E51F7">
              <w:rPr>
                <w:rFonts w:cs="Arial"/>
              </w:rPr>
              <w:t xml:space="preserve">веднъж дневно/гразопревир 200 </w:t>
            </w:r>
            <w:r w:rsidRPr="004E51F7">
              <w:rPr>
                <w:rFonts w:cs="Arial"/>
                <w:lang w:val="en-US"/>
              </w:rPr>
              <w:t xml:space="preserve">mg </w:t>
            </w:r>
            <w:r w:rsidRPr="004E51F7">
              <w:rPr>
                <w:rFonts w:cs="Arial"/>
              </w:rPr>
              <w:t>веднъж дневно, 13 дни</w:t>
            </w:r>
          </w:p>
        </w:tc>
        <w:tc>
          <w:tcPr>
            <w:tcW w:w="2375" w:type="dxa"/>
          </w:tcPr>
          <w:p w14:paraId="7C7F0629" w14:textId="555E5547" w:rsidR="004E51F7" w:rsidRPr="004E51F7" w:rsidRDefault="004E51F7" w:rsidP="004E51F7">
            <w:pPr>
              <w:rPr>
                <w:rFonts w:cs="Arial"/>
              </w:rPr>
            </w:pPr>
            <w:r w:rsidRPr="004E51F7">
              <w:rPr>
                <w:rFonts w:cs="Arial"/>
              </w:rPr>
              <w:t xml:space="preserve">10 </w:t>
            </w:r>
            <w:r w:rsidRPr="004E51F7">
              <w:rPr>
                <w:rFonts w:cs="Arial"/>
                <w:lang w:val="en-US"/>
              </w:rPr>
              <w:t xml:space="preserve">mg </w:t>
            </w:r>
            <w:r w:rsidRPr="004E51F7">
              <w:rPr>
                <w:rFonts w:cs="Arial"/>
              </w:rPr>
              <w:t>единична доза</w:t>
            </w:r>
          </w:p>
        </w:tc>
        <w:tc>
          <w:tcPr>
            <w:tcW w:w="2375" w:type="dxa"/>
          </w:tcPr>
          <w:p w14:paraId="301C551F" w14:textId="1EFA5F15" w:rsidR="004E51F7" w:rsidRPr="004E51F7" w:rsidRDefault="004E51F7" w:rsidP="004E51F7">
            <w:pPr>
              <w:rPr>
                <w:rFonts w:cs="Arial"/>
              </w:rPr>
            </w:pPr>
            <w:r w:rsidRPr="004E51F7">
              <w:rPr>
                <w:rFonts w:cs="Arial"/>
              </w:rPr>
              <w:t>1,95</w:t>
            </w:r>
          </w:p>
        </w:tc>
        <w:tc>
          <w:tcPr>
            <w:tcW w:w="2375" w:type="dxa"/>
            <w:vAlign w:val="bottom"/>
          </w:tcPr>
          <w:p w14:paraId="49FA5469" w14:textId="1CF5B3DE" w:rsidR="004E51F7" w:rsidRPr="004E51F7" w:rsidRDefault="004E51F7" w:rsidP="004E51F7">
            <w:pPr>
              <w:rPr>
                <w:rFonts w:cs="Arial"/>
              </w:rPr>
            </w:pPr>
            <w:r w:rsidRPr="004E51F7">
              <w:rPr>
                <w:rFonts w:cs="Arial"/>
              </w:rPr>
              <w:t xml:space="preserve">Дозата на аторвастатин не трябва да превишава дневна доза от 20 </w:t>
            </w:r>
            <w:r w:rsidRPr="004E51F7">
              <w:rPr>
                <w:rFonts w:cs="Arial"/>
                <w:lang w:val="en-US"/>
              </w:rPr>
              <w:t xml:space="preserve">mg </w:t>
            </w:r>
            <w:r w:rsidRPr="004E51F7">
              <w:rPr>
                <w:rFonts w:cs="Arial"/>
              </w:rPr>
              <w:t xml:space="preserve">при едновременно прилагане на продукти, съдържащи </w:t>
            </w:r>
            <w:r w:rsidRPr="004E51F7">
              <w:rPr>
                <w:rFonts w:cs="Arial"/>
              </w:rPr>
              <w:lastRenderedPageBreak/>
              <w:t>елбасвир или гразопревир</w:t>
            </w:r>
          </w:p>
        </w:tc>
      </w:tr>
      <w:tr w:rsidR="004E51F7" w14:paraId="783872B0" w14:textId="77777777" w:rsidTr="004E51F7">
        <w:tc>
          <w:tcPr>
            <w:tcW w:w="2440" w:type="dxa"/>
          </w:tcPr>
          <w:p w14:paraId="061E7DC0" w14:textId="77777777" w:rsidR="004E51F7" w:rsidRPr="004E51F7" w:rsidRDefault="004E51F7" w:rsidP="004E51F7">
            <w:pPr>
              <w:rPr>
                <w:rFonts w:cs="Arial"/>
              </w:rPr>
            </w:pPr>
            <w:r w:rsidRPr="004E51F7">
              <w:rPr>
                <w:rFonts w:cs="Arial"/>
              </w:rPr>
              <w:lastRenderedPageBreak/>
              <w:t xml:space="preserve">Летермовир 480 </w:t>
            </w:r>
            <w:r w:rsidRPr="004E51F7">
              <w:rPr>
                <w:rFonts w:cs="Arial"/>
                <w:lang w:val="en-US"/>
              </w:rPr>
              <w:t xml:space="preserve">mg </w:t>
            </w:r>
            <w:r w:rsidRPr="004E51F7">
              <w:rPr>
                <w:rFonts w:cs="Arial"/>
              </w:rPr>
              <w:t>нъж дневно, 10</w:t>
            </w:r>
          </w:p>
          <w:p w14:paraId="46DAAC58" w14:textId="5ACAEF69" w:rsidR="004E51F7" w:rsidRPr="004E51F7" w:rsidRDefault="004E51F7" w:rsidP="004E51F7">
            <w:pPr>
              <w:rPr>
                <w:rFonts w:cs="Arial"/>
              </w:rPr>
            </w:pPr>
            <w:r w:rsidRPr="004E51F7">
              <w:rPr>
                <w:rFonts w:cs="Arial"/>
                <w:b/>
                <w:bCs/>
              </w:rPr>
              <w:t>ДНИ</w:t>
            </w:r>
          </w:p>
        </w:tc>
        <w:tc>
          <w:tcPr>
            <w:tcW w:w="2375" w:type="dxa"/>
          </w:tcPr>
          <w:p w14:paraId="4E128C7A" w14:textId="364F85FB" w:rsidR="004E51F7" w:rsidRPr="004E51F7" w:rsidRDefault="004E51F7" w:rsidP="004E51F7">
            <w:pPr>
              <w:rPr>
                <w:rFonts w:cs="Arial"/>
              </w:rPr>
            </w:pPr>
            <w:r w:rsidRPr="004E51F7">
              <w:rPr>
                <w:rFonts w:cs="Arial"/>
              </w:rPr>
              <w:t xml:space="preserve">20 </w:t>
            </w:r>
            <w:r w:rsidRPr="004E51F7">
              <w:rPr>
                <w:rFonts w:cs="Arial"/>
                <w:lang w:val="en-US"/>
              </w:rPr>
              <w:t xml:space="preserve">mg </w:t>
            </w:r>
            <w:r w:rsidRPr="004E51F7">
              <w:rPr>
                <w:rFonts w:cs="Arial"/>
              </w:rPr>
              <w:t>единична доза</w:t>
            </w:r>
          </w:p>
        </w:tc>
        <w:tc>
          <w:tcPr>
            <w:tcW w:w="2375" w:type="dxa"/>
          </w:tcPr>
          <w:p w14:paraId="38A3FC5D" w14:textId="23D3CB2C" w:rsidR="004E51F7" w:rsidRPr="004E51F7" w:rsidRDefault="004E51F7" w:rsidP="004E51F7">
            <w:pPr>
              <w:rPr>
                <w:rFonts w:cs="Arial"/>
              </w:rPr>
            </w:pPr>
            <w:r w:rsidRPr="004E51F7">
              <w:rPr>
                <w:rFonts w:cs="Arial"/>
              </w:rPr>
              <w:t>3.29</w:t>
            </w:r>
          </w:p>
        </w:tc>
        <w:tc>
          <w:tcPr>
            <w:tcW w:w="2375" w:type="dxa"/>
            <w:vAlign w:val="bottom"/>
          </w:tcPr>
          <w:p w14:paraId="06153FAD" w14:textId="0502C6E6" w:rsidR="004E51F7" w:rsidRPr="004E51F7" w:rsidRDefault="004E51F7" w:rsidP="004E51F7">
            <w:pPr>
              <w:rPr>
                <w:rFonts w:cs="Arial"/>
              </w:rPr>
            </w:pPr>
            <w:r w:rsidRPr="004E51F7">
              <w:rPr>
                <w:rFonts w:cs="Arial"/>
              </w:rPr>
              <w:t xml:space="preserve">Дозата на аторвастатин не трябва да превишава дневна доза от 20 </w:t>
            </w:r>
            <w:r w:rsidRPr="004E51F7">
              <w:rPr>
                <w:rFonts w:cs="Arial"/>
                <w:lang w:val="en-US"/>
              </w:rPr>
              <w:t xml:space="preserve">mg </w:t>
            </w:r>
            <w:r w:rsidRPr="004E51F7">
              <w:rPr>
                <w:rFonts w:cs="Arial"/>
              </w:rPr>
              <w:t>при едновременно прилагане на продукти, съдържащи летермовир</w:t>
            </w:r>
          </w:p>
        </w:tc>
      </w:tr>
      <w:tr w:rsidR="004E51F7" w14:paraId="36E0375B" w14:textId="77777777" w:rsidTr="004E51F7">
        <w:tc>
          <w:tcPr>
            <w:tcW w:w="2440" w:type="dxa"/>
          </w:tcPr>
          <w:p w14:paraId="2894B589" w14:textId="0F261A6C" w:rsidR="004E51F7" w:rsidRPr="004E51F7" w:rsidRDefault="004E51F7" w:rsidP="004E51F7">
            <w:pPr>
              <w:rPr>
                <w:rFonts w:cs="Arial"/>
              </w:rPr>
            </w:pPr>
            <w:r w:rsidRPr="004E51F7">
              <w:rPr>
                <w:rFonts w:cs="Arial"/>
              </w:rPr>
              <w:t xml:space="preserve">Нелфинавир 1 250 </w:t>
            </w:r>
            <w:r w:rsidRPr="004E51F7">
              <w:rPr>
                <w:rFonts w:cs="Arial"/>
                <w:lang w:val="en-US"/>
              </w:rPr>
              <w:t xml:space="preserve">mg </w:t>
            </w:r>
            <w:r w:rsidRPr="004E51F7">
              <w:rPr>
                <w:rFonts w:cs="Arial"/>
              </w:rPr>
              <w:t>два пъти дневно, за 14 дни</w:t>
            </w:r>
          </w:p>
        </w:tc>
        <w:tc>
          <w:tcPr>
            <w:tcW w:w="2375" w:type="dxa"/>
            <w:vAlign w:val="bottom"/>
          </w:tcPr>
          <w:p w14:paraId="6C051C50" w14:textId="43D066FE" w:rsidR="004E51F7" w:rsidRPr="004E51F7" w:rsidRDefault="004E51F7" w:rsidP="004E51F7">
            <w:pPr>
              <w:rPr>
                <w:rFonts w:cs="Arial"/>
              </w:rPr>
            </w:pPr>
            <w:r w:rsidRPr="004E51F7">
              <w:rPr>
                <w:rFonts w:cs="Arial"/>
              </w:rPr>
              <w:t xml:space="preserve">10 </w:t>
            </w:r>
            <w:r w:rsidRPr="004E51F7">
              <w:rPr>
                <w:rFonts w:cs="Arial"/>
                <w:lang w:val="en-US"/>
              </w:rPr>
              <w:t xml:space="preserve">mg </w:t>
            </w:r>
            <w:r w:rsidRPr="004E51F7">
              <w:rPr>
                <w:rFonts w:cs="Arial"/>
              </w:rPr>
              <w:t>веднъж дневно за 28 дни</w:t>
            </w:r>
          </w:p>
        </w:tc>
        <w:tc>
          <w:tcPr>
            <w:tcW w:w="2375" w:type="dxa"/>
          </w:tcPr>
          <w:p w14:paraId="1B1C1736" w14:textId="2D0BFC3C" w:rsidR="004E51F7" w:rsidRPr="004E51F7" w:rsidRDefault="004E51F7" w:rsidP="004E51F7">
            <w:pPr>
              <w:rPr>
                <w:rFonts w:cs="Arial"/>
              </w:rPr>
            </w:pPr>
            <w:r w:rsidRPr="004E51F7">
              <w:rPr>
                <w:rFonts w:cs="Arial"/>
              </w:rPr>
              <w:t>1,74</w:t>
            </w:r>
          </w:p>
        </w:tc>
        <w:tc>
          <w:tcPr>
            <w:tcW w:w="2375" w:type="dxa"/>
          </w:tcPr>
          <w:p w14:paraId="1FB326B2" w14:textId="5695197B" w:rsidR="004E51F7" w:rsidRPr="004E51F7" w:rsidRDefault="004E51F7" w:rsidP="004E51F7">
            <w:pPr>
              <w:rPr>
                <w:rFonts w:cs="Arial"/>
              </w:rPr>
            </w:pPr>
            <w:r w:rsidRPr="004E51F7">
              <w:rPr>
                <w:rFonts w:cs="Arial"/>
              </w:rPr>
              <w:t>Няма специфична препоръка.</w:t>
            </w:r>
          </w:p>
        </w:tc>
      </w:tr>
      <w:tr w:rsidR="004E51F7" w14:paraId="166341D4" w14:textId="77777777" w:rsidTr="004E51F7">
        <w:tc>
          <w:tcPr>
            <w:tcW w:w="2440" w:type="dxa"/>
          </w:tcPr>
          <w:p w14:paraId="52B87CD8" w14:textId="3FD85B18" w:rsidR="004E51F7" w:rsidRPr="004E51F7" w:rsidRDefault="004E51F7" w:rsidP="004E51F7">
            <w:pPr>
              <w:rPr>
                <w:rFonts w:cs="Arial"/>
              </w:rPr>
            </w:pPr>
            <w:r w:rsidRPr="004E51F7">
              <w:rPr>
                <w:rFonts w:cs="Arial"/>
              </w:rPr>
              <w:t xml:space="preserve">Сок от грейпфрут, 240 </w:t>
            </w:r>
            <w:r w:rsidRPr="004E51F7">
              <w:rPr>
                <w:rFonts w:cs="Arial"/>
                <w:lang w:val="en-US"/>
              </w:rPr>
              <w:t xml:space="preserve">ml </w:t>
            </w:r>
            <w:r w:rsidRPr="004E51F7">
              <w:rPr>
                <w:rFonts w:cs="Arial"/>
              </w:rPr>
              <w:t>веднъж дневно *</w:t>
            </w:r>
          </w:p>
        </w:tc>
        <w:tc>
          <w:tcPr>
            <w:tcW w:w="2375" w:type="dxa"/>
          </w:tcPr>
          <w:p w14:paraId="0A9A3BB2" w14:textId="6A2B84A1" w:rsidR="004E51F7" w:rsidRPr="004E51F7" w:rsidRDefault="004E51F7" w:rsidP="004E51F7">
            <w:pPr>
              <w:rPr>
                <w:rFonts w:cs="Arial"/>
              </w:rPr>
            </w:pPr>
            <w:r w:rsidRPr="004E51F7">
              <w:rPr>
                <w:rFonts w:cs="Arial"/>
              </w:rPr>
              <w:t xml:space="preserve">40 </w:t>
            </w:r>
            <w:r w:rsidRPr="004E51F7">
              <w:rPr>
                <w:rFonts w:cs="Arial"/>
                <w:lang w:val="en-US"/>
              </w:rPr>
              <w:t xml:space="preserve">mg, </w:t>
            </w:r>
            <w:r w:rsidRPr="004E51F7">
              <w:rPr>
                <w:rFonts w:cs="Arial"/>
              </w:rPr>
              <w:t>единична доза</w:t>
            </w:r>
          </w:p>
        </w:tc>
        <w:tc>
          <w:tcPr>
            <w:tcW w:w="2375" w:type="dxa"/>
          </w:tcPr>
          <w:p w14:paraId="59F0CB3E" w14:textId="228BF752" w:rsidR="004E51F7" w:rsidRPr="004E51F7" w:rsidRDefault="004E51F7" w:rsidP="004E51F7">
            <w:pPr>
              <w:rPr>
                <w:rFonts w:cs="Arial"/>
              </w:rPr>
            </w:pPr>
            <w:r w:rsidRPr="004E51F7">
              <w:rPr>
                <w:rFonts w:cs="Arial"/>
              </w:rPr>
              <w:t>1,37</w:t>
            </w:r>
          </w:p>
        </w:tc>
        <w:tc>
          <w:tcPr>
            <w:tcW w:w="2375" w:type="dxa"/>
            <w:vAlign w:val="bottom"/>
          </w:tcPr>
          <w:p w14:paraId="05B1F07B" w14:textId="30FF58CE" w:rsidR="004E51F7" w:rsidRPr="004E51F7" w:rsidRDefault="004E51F7" w:rsidP="004E51F7">
            <w:pPr>
              <w:rPr>
                <w:rFonts w:cs="Arial"/>
              </w:rPr>
            </w:pPr>
            <w:r w:rsidRPr="004E51F7">
              <w:rPr>
                <w:rFonts w:cs="Arial"/>
              </w:rPr>
              <w:t>Не се препоръчва едновременния прием на големи количества сок от грейпфрут и аторвастатин.</w:t>
            </w:r>
          </w:p>
        </w:tc>
      </w:tr>
      <w:tr w:rsidR="004E51F7" w14:paraId="0FB7711F" w14:textId="77777777" w:rsidTr="004E51F7">
        <w:tc>
          <w:tcPr>
            <w:tcW w:w="2440" w:type="dxa"/>
          </w:tcPr>
          <w:p w14:paraId="78E11CC2" w14:textId="6E9BCEAA" w:rsidR="004E51F7" w:rsidRPr="004E51F7" w:rsidRDefault="004E51F7" w:rsidP="004E51F7">
            <w:pPr>
              <w:rPr>
                <w:rFonts w:cs="Arial"/>
              </w:rPr>
            </w:pPr>
            <w:r w:rsidRPr="004E51F7">
              <w:rPr>
                <w:rFonts w:cs="Arial"/>
              </w:rPr>
              <w:t xml:space="preserve">Дилтиазем 240 </w:t>
            </w:r>
            <w:r w:rsidRPr="004E51F7">
              <w:rPr>
                <w:rFonts w:cs="Arial"/>
                <w:lang w:val="en-US"/>
              </w:rPr>
              <w:t xml:space="preserve">mg </w:t>
            </w:r>
            <w:r w:rsidRPr="004E51F7">
              <w:rPr>
                <w:rFonts w:cs="Arial"/>
              </w:rPr>
              <w:t>веднъж дневно, за 28 дни</w:t>
            </w:r>
          </w:p>
        </w:tc>
        <w:tc>
          <w:tcPr>
            <w:tcW w:w="2375" w:type="dxa"/>
          </w:tcPr>
          <w:p w14:paraId="6F1927E6" w14:textId="6A5453B4" w:rsidR="004E51F7" w:rsidRPr="004E51F7" w:rsidRDefault="004E51F7" w:rsidP="004E51F7">
            <w:pPr>
              <w:rPr>
                <w:rFonts w:cs="Arial"/>
              </w:rPr>
            </w:pPr>
            <w:r w:rsidRPr="004E51F7">
              <w:rPr>
                <w:rFonts w:cs="Arial"/>
              </w:rPr>
              <w:t xml:space="preserve">40 </w:t>
            </w:r>
            <w:r w:rsidRPr="004E51F7">
              <w:rPr>
                <w:rFonts w:cs="Arial"/>
                <w:lang w:val="en-US"/>
              </w:rPr>
              <w:t xml:space="preserve">mg, </w:t>
            </w:r>
            <w:r w:rsidRPr="004E51F7">
              <w:rPr>
                <w:rFonts w:cs="Arial"/>
              </w:rPr>
              <w:t>единична доза</w:t>
            </w:r>
          </w:p>
        </w:tc>
        <w:tc>
          <w:tcPr>
            <w:tcW w:w="2375" w:type="dxa"/>
          </w:tcPr>
          <w:p w14:paraId="331C9246" w14:textId="401C1BA6" w:rsidR="004E51F7" w:rsidRPr="004E51F7" w:rsidRDefault="004E51F7" w:rsidP="004E51F7">
            <w:pPr>
              <w:rPr>
                <w:rFonts w:cs="Arial"/>
              </w:rPr>
            </w:pPr>
            <w:r w:rsidRPr="004E51F7">
              <w:rPr>
                <w:rFonts w:cs="Arial"/>
              </w:rPr>
              <w:t>1,51</w:t>
            </w:r>
          </w:p>
        </w:tc>
        <w:tc>
          <w:tcPr>
            <w:tcW w:w="2375" w:type="dxa"/>
            <w:vAlign w:val="bottom"/>
          </w:tcPr>
          <w:p w14:paraId="6A245AAC" w14:textId="4EFE9780" w:rsidR="004E51F7" w:rsidRPr="004E51F7" w:rsidRDefault="004E51F7" w:rsidP="004E51F7">
            <w:pPr>
              <w:rPr>
                <w:rFonts w:cs="Arial"/>
              </w:rPr>
            </w:pPr>
            <w:r w:rsidRPr="004E51F7">
              <w:rPr>
                <w:rFonts w:cs="Arial"/>
              </w:rPr>
              <w:t>След започване или коригиране на дозата на дилтиазем, се препоръчва адекватно клинично проследяване на тези пациенти.</w:t>
            </w:r>
          </w:p>
        </w:tc>
      </w:tr>
      <w:tr w:rsidR="004E51F7" w14:paraId="4E1F8A64" w14:textId="77777777" w:rsidTr="004E51F7">
        <w:tc>
          <w:tcPr>
            <w:tcW w:w="2440" w:type="dxa"/>
          </w:tcPr>
          <w:p w14:paraId="0B7B76AD" w14:textId="11E36259" w:rsidR="004E51F7" w:rsidRPr="004E51F7" w:rsidRDefault="004E51F7" w:rsidP="004E51F7">
            <w:pPr>
              <w:rPr>
                <w:rFonts w:cs="Arial"/>
              </w:rPr>
            </w:pPr>
            <w:r w:rsidRPr="004E51F7">
              <w:rPr>
                <w:rFonts w:cs="Arial"/>
              </w:rPr>
              <w:t xml:space="preserve">Еритромицин 500 </w:t>
            </w:r>
            <w:r w:rsidRPr="004E51F7">
              <w:rPr>
                <w:rFonts w:cs="Arial"/>
                <w:lang w:val="en-US"/>
              </w:rPr>
              <w:t xml:space="preserve">mg </w:t>
            </w:r>
            <w:r w:rsidRPr="004E51F7">
              <w:rPr>
                <w:rFonts w:cs="Arial"/>
              </w:rPr>
              <w:t>четири пъти дневно, за 7 дни</w:t>
            </w:r>
          </w:p>
        </w:tc>
        <w:tc>
          <w:tcPr>
            <w:tcW w:w="2375" w:type="dxa"/>
          </w:tcPr>
          <w:p w14:paraId="1A84781B" w14:textId="5B40BC02" w:rsidR="004E51F7" w:rsidRPr="004E51F7" w:rsidRDefault="004E51F7" w:rsidP="004E51F7">
            <w:pPr>
              <w:rPr>
                <w:rFonts w:cs="Arial"/>
              </w:rPr>
            </w:pPr>
            <w:r w:rsidRPr="004E51F7">
              <w:rPr>
                <w:rFonts w:cs="Arial"/>
              </w:rPr>
              <w:t xml:space="preserve">10 </w:t>
            </w:r>
            <w:r w:rsidRPr="004E51F7">
              <w:rPr>
                <w:rFonts w:cs="Arial"/>
                <w:lang w:val="en-US"/>
              </w:rPr>
              <w:t xml:space="preserve">mg, </w:t>
            </w:r>
            <w:r w:rsidRPr="004E51F7">
              <w:rPr>
                <w:rFonts w:cs="Arial"/>
              </w:rPr>
              <w:t>единична доза</w:t>
            </w:r>
          </w:p>
        </w:tc>
        <w:tc>
          <w:tcPr>
            <w:tcW w:w="2375" w:type="dxa"/>
          </w:tcPr>
          <w:p w14:paraId="6700728E" w14:textId="5D798419" w:rsidR="004E51F7" w:rsidRPr="004E51F7" w:rsidRDefault="004E51F7" w:rsidP="004E51F7">
            <w:pPr>
              <w:rPr>
                <w:rFonts w:cs="Arial"/>
              </w:rPr>
            </w:pPr>
            <w:r w:rsidRPr="004E51F7">
              <w:rPr>
                <w:rFonts w:cs="Arial"/>
              </w:rPr>
              <w:t>1,33</w:t>
            </w:r>
          </w:p>
        </w:tc>
        <w:tc>
          <w:tcPr>
            <w:tcW w:w="2375" w:type="dxa"/>
            <w:vAlign w:val="bottom"/>
          </w:tcPr>
          <w:p w14:paraId="1737AE1F" w14:textId="19CD9817" w:rsidR="004E51F7" w:rsidRPr="004E51F7" w:rsidRDefault="004E51F7" w:rsidP="004E51F7">
            <w:pPr>
              <w:rPr>
                <w:rFonts w:cs="Arial"/>
              </w:rPr>
            </w:pPr>
            <w:r w:rsidRPr="004E51F7">
              <w:rPr>
                <w:rFonts w:cs="Arial"/>
              </w:rPr>
              <w:t>Препоръчва се по-ниска максимална доза и клинично проследяване на тези пациенти.</w:t>
            </w:r>
          </w:p>
        </w:tc>
      </w:tr>
      <w:tr w:rsidR="004E51F7" w14:paraId="77B0BD67" w14:textId="77777777" w:rsidTr="004E51F7">
        <w:tc>
          <w:tcPr>
            <w:tcW w:w="2440" w:type="dxa"/>
          </w:tcPr>
          <w:p w14:paraId="2B0D01D6" w14:textId="7F505822" w:rsidR="004E51F7" w:rsidRPr="004E51F7" w:rsidRDefault="004E51F7" w:rsidP="004E51F7">
            <w:pPr>
              <w:rPr>
                <w:rFonts w:cs="Arial"/>
              </w:rPr>
            </w:pPr>
            <w:r w:rsidRPr="004E51F7">
              <w:rPr>
                <w:rFonts w:cs="Arial"/>
              </w:rPr>
              <w:t xml:space="preserve">Амлодипин 10 </w:t>
            </w:r>
            <w:r w:rsidRPr="004E51F7">
              <w:rPr>
                <w:rFonts w:cs="Arial"/>
                <w:lang w:val="en-US"/>
              </w:rPr>
              <w:t xml:space="preserve">mg, </w:t>
            </w:r>
            <w:r w:rsidRPr="004E51F7">
              <w:rPr>
                <w:rFonts w:cs="Arial"/>
              </w:rPr>
              <w:t>еднократна доза</w:t>
            </w:r>
          </w:p>
        </w:tc>
        <w:tc>
          <w:tcPr>
            <w:tcW w:w="2375" w:type="dxa"/>
            <w:vAlign w:val="bottom"/>
          </w:tcPr>
          <w:p w14:paraId="2D0C2A9D" w14:textId="48520FE1" w:rsidR="004E51F7" w:rsidRPr="004E51F7" w:rsidRDefault="004E51F7" w:rsidP="004E51F7">
            <w:pPr>
              <w:rPr>
                <w:rFonts w:cs="Arial"/>
              </w:rPr>
            </w:pPr>
            <w:r w:rsidRPr="004E51F7">
              <w:rPr>
                <w:rFonts w:cs="Arial"/>
              </w:rPr>
              <w:t xml:space="preserve">80 </w:t>
            </w:r>
            <w:r w:rsidRPr="004E51F7">
              <w:rPr>
                <w:rFonts w:cs="Arial"/>
                <w:lang w:val="en-US"/>
              </w:rPr>
              <w:t xml:space="preserve">mg, </w:t>
            </w:r>
            <w:r w:rsidRPr="004E51F7">
              <w:rPr>
                <w:rFonts w:cs="Arial"/>
              </w:rPr>
              <w:t>единична доза</w:t>
            </w:r>
          </w:p>
        </w:tc>
        <w:tc>
          <w:tcPr>
            <w:tcW w:w="2375" w:type="dxa"/>
          </w:tcPr>
          <w:p w14:paraId="46CB8188" w14:textId="0F380A93" w:rsidR="004E51F7" w:rsidRPr="004E51F7" w:rsidRDefault="004E51F7" w:rsidP="004E51F7">
            <w:pPr>
              <w:rPr>
                <w:rFonts w:cs="Arial"/>
              </w:rPr>
            </w:pPr>
            <w:r w:rsidRPr="004E51F7">
              <w:rPr>
                <w:rFonts w:cs="Arial"/>
              </w:rPr>
              <w:t>1,18</w:t>
            </w:r>
          </w:p>
        </w:tc>
        <w:tc>
          <w:tcPr>
            <w:tcW w:w="2375" w:type="dxa"/>
            <w:vAlign w:val="bottom"/>
          </w:tcPr>
          <w:p w14:paraId="0835169A" w14:textId="73FA6917" w:rsidR="004E51F7" w:rsidRPr="004E51F7" w:rsidRDefault="004E51F7" w:rsidP="004E51F7">
            <w:pPr>
              <w:rPr>
                <w:rFonts w:cs="Arial"/>
              </w:rPr>
            </w:pPr>
            <w:r w:rsidRPr="004E51F7">
              <w:rPr>
                <w:rFonts w:cs="Arial"/>
              </w:rPr>
              <w:t>Няма специфична препоръка.</w:t>
            </w:r>
          </w:p>
        </w:tc>
      </w:tr>
      <w:tr w:rsidR="004E51F7" w14:paraId="58F46334" w14:textId="77777777" w:rsidTr="004E51F7">
        <w:tc>
          <w:tcPr>
            <w:tcW w:w="2440" w:type="dxa"/>
          </w:tcPr>
          <w:p w14:paraId="525EFFBE" w14:textId="689E8054" w:rsidR="004E51F7" w:rsidRPr="004E51F7" w:rsidRDefault="004E51F7" w:rsidP="004E51F7">
            <w:pPr>
              <w:rPr>
                <w:rFonts w:cs="Arial"/>
              </w:rPr>
            </w:pPr>
            <w:r w:rsidRPr="004E51F7">
              <w:rPr>
                <w:rFonts w:cs="Arial"/>
              </w:rPr>
              <w:t xml:space="preserve">Циметидин 300 </w:t>
            </w:r>
            <w:r w:rsidRPr="004E51F7">
              <w:rPr>
                <w:rFonts w:cs="Arial"/>
                <w:lang w:val="en-US"/>
              </w:rPr>
              <w:t xml:space="preserve">mg </w:t>
            </w:r>
            <w:r w:rsidRPr="004E51F7">
              <w:rPr>
                <w:rFonts w:cs="Arial"/>
              </w:rPr>
              <w:t>четири пъти дневно, за 2 седмици</w:t>
            </w:r>
          </w:p>
        </w:tc>
        <w:tc>
          <w:tcPr>
            <w:tcW w:w="2375" w:type="dxa"/>
            <w:vAlign w:val="bottom"/>
          </w:tcPr>
          <w:p w14:paraId="21860872" w14:textId="23AE02CA" w:rsidR="004E51F7" w:rsidRPr="004E51F7" w:rsidRDefault="004E51F7" w:rsidP="004E51F7">
            <w:pPr>
              <w:rPr>
                <w:rFonts w:cs="Arial"/>
              </w:rPr>
            </w:pPr>
            <w:r w:rsidRPr="004E51F7">
              <w:rPr>
                <w:rFonts w:cs="Arial"/>
              </w:rPr>
              <w:t xml:space="preserve">10 </w:t>
            </w:r>
            <w:r w:rsidRPr="004E51F7">
              <w:rPr>
                <w:rFonts w:cs="Arial"/>
                <w:lang w:val="en-US"/>
              </w:rPr>
              <w:t xml:space="preserve">mg </w:t>
            </w:r>
            <w:r w:rsidRPr="004E51F7">
              <w:rPr>
                <w:rFonts w:cs="Arial"/>
              </w:rPr>
              <w:t>веднъж дневно за 2 седмици</w:t>
            </w:r>
          </w:p>
        </w:tc>
        <w:tc>
          <w:tcPr>
            <w:tcW w:w="2375" w:type="dxa"/>
          </w:tcPr>
          <w:p w14:paraId="2DFED0E3" w14:textId="65ADC4EA" w:rsidR="004E51F7" w:rsidRPr="004E51F7" w:rsidRDefault="004E51F7" w:rsidP="004E51F7">
            <w:pPr>
              <w:rPr>
                <w:rFonts w:cs="Arial"/>
              </w:rPr>
            </w:pPr>
            <w:r w:rsidRPr="004E51F7">
              <w:rPr>
                <w:rFonts w:cs="Arial"/>
              </w:rPr>
              <w:t>1,00</w:t>
            </w:r>
          </w:p>
        </w:tc>
        <w:tc>
          <w:tcPr>
            <w:tcW w:w="2375" w:type="dxa"/>
          </w:tcPr>
          <w:p w14:paraId="23A05548" w14:textId="5668346D" w:rsidR="004E51F7" w:rsidRPr="004E51F7" w:rsidRDefault="004E51F7" w:rsidP="004E51F7">
            <w:pPr>
              <w:rPr>
                <w:rFonts w:cs="Arial"/>
              </w:rPr>
            </w:pPr>
            <w:r w:rsidRPr="004E51F7">
              <w:rPr>
                <w:rFonts w:cs="Arial"/>
              </w:rPr>
              <w:t>Няма специфична препоръка.</w:t>
            </w:r>
          </w:p>
        </w:tc>
      </w:tr>
      <w:tr w:rsidR="004E51F7" w14:paraId="61907A46" w14:textId="77777777" w:rsidTr="009A0C07">
        <w:tc>
          <w:tcPr>
            <w:tcW w:w="2440" w:type="dxa"/>
          </w:tcPr>
          <w:p w14:paraId="328E96A3" w14:textId="02C79DBB" w:rsidR="004E51F7" w:rsidRPr="004E51F7" w:rsidRDefault="004E51F7" w:rsidP="004E51F7">
            <w:pPr>
              <w:rPr>
                <w:rFonts w:cs="Arial"/>
              </w:rPr>
            </w:pPr>
            <w:r w:rsidRPr="004E51F7">
              <w:rPr>
                <w:rFonts w:cs="Arial"/>
              </w:rPr>
              <w:t xml:space="preserve">Колестипол </w:t>
            </w:r>
            <w:r w:rsidRPr="004E51F7">
              <w:rPr>
                <w:rFonts w:cs="Arial"/>
                <w:lang w:val="en-US"/>
              </w:rPr>
              <w:t xml:space="preserve">10 g </w:t>
            </w:r>
            <w:r w:rsidRPr="004E51F7">
              <w:rPr>
                <w:rFonts w:cs="Arial"/>
              </w:rPr>
              <w:t>два пъти дневно, 24 седмици</w:t>
            </w:r>
          </w:p>
        </w:tc>
        <w:tc>
          <w:tcPr>
            <w:tcW w:w="2375" w:type="dxa"/>
          </w:tcPr>
          <w:p w14:paraId="2335AF67" w14:textId="3EFABFDD" w:rsidR="004E51F7" w:rsidRPr="004E51F7" w:rsidRDefault="004E51F7" w:rsidP="004E51F7">
            <w:pPr>
              <w:rPr>
                <w:rFonts w:cs="Arial"/>
              </w:rPr>
            </w:pPr>
            <w:r w:rsidRPr="004E51F7">
              <w:rPr>
                <w:rFonts w:cs="Arial"/>
              </w:rPr>
              <w:t xml:space="preserve">40 </w:t>
            </w:r>
            <w:r w:rsidRPr="004E51F7">
              <w:rPr>
                <w:rFonts w:cs="Arial"/>
                <w:lang w:val="en-US"/>
              </w:rPr>
              <w:t xml:space="preserve">mg </w:t>
            </w:r>
            <w:r w:rsidRPr="004E51F7">
              <w:rPr>
                <w:rFonts w:cs="Arial"/>
              </w:rPr>
              <w:t>веднъж дневно за 8 седмици</w:t>
            </w:r>
          </w:p>
        </w:tc>
        <w:tc>
          <w:tcPr>
            <w:tcW w:w="2375" w:type="dxa"/>
          </w:tcPr>
          <w:p w14:paraId="5D96C122" w14:textId="349F4C38" w:rsidR="004E51F7" w:rsidRPr="004E51F7" w:rsidRDefault="004E51F7" w:rsidP="004E51F7">
            <w:pPr>
              <w:rPr>
                <w:rFonts w:cs="Arial"/>
              </w:rPr>
            </w:pPr>
            <w:r w:rsidRPr="004E51F7">
              <w:rPr>
                <w:rFonts w:cs="Arial"/>
              </w:rPr>
              <w:t>0.74**</w:t>
            </w:r>
          </w:p>
        </w:tc>
        <w:tc>
          <w:tcPr>
            <w:tcW w:w="2375" w:type="dxa"/>
          </w:tcPr>
          <w:p w14:paraId="7B7C1076" w14:textId="4DFDD633" w:rsidR="004E51F7" w:rsidRPr="004E51F7" w:rsidRDefault="004E51F7" w:rsidP="004E51F7">
            <w:pPr>
              <w:rPr>
                <w:rFonts w:cs="Arial"/>
              </w:rPr>
            </w:pPr>
            <w:r w:rsidRPr="004E51F7">
              <w:rPr>
                <w:rFonts w:cs="Arial"/>
              </w:rPr>
              <w:t>Няма специфична препоръка.</w:t>
            </w:r>
          </w:p>
        </w:tc>
      </w:tr>
      <w:tr w:rsidR="004E51F7" w14:paraId="074BC1D0" w14:textId="77777777" w:rsidTr="009A0C07">
        <w:tc>
          <w:tcPr>
            <w:tcW w:w="2440" w:type="dxa"/>
          </w:tcPr>
          <w:p w14:paraId="7EAFAF8F" w14:textId="5E3BBD09" w:rsidR="004E51F7" w:rsidRPr="004E51F7" w:rsidRDefault="004E51F7" w:rsidP="004E51F7">
            <w:pPr>
              <w:rPr>
                <w:rFonts w:cs="Arial"/>
              </w:rPr>
            </w:pPr>
            <w:r w:rsidRPr="004E51F7">
              <w:rPr>
                <w:rFonts w:cs="Arial"/>
              </w:rPr>
              <w:t xml:space="preserve">Антиацидна суспензия на магнезиеви и алуминиеви хидроксиди, 30 </w:t>
            </w:r>
            <w:r w:rsidRPr="004E51F7">
              <w:rPr>
                <w:rFonts w:cs="Arial"/>
                <w:lang w:val="en-US"/>
              </w:rPr>
              <w:t xml:space="preserve">ml </w:t>
            </w:r>
            <w:r w:rsidRPr="004E51F7">
              <w:rPr>
                <w:rFonts w:cs="Arial"/>
              </w:rPr>
              <w:lastRenderedPageBreak/>
              <w:t>четири пъти дневно, за 2 седмици</w:t>
            </w:r>
          </w:p>
        </w:tc>
        <w:tc>
          <w:tcPr>
            <w:tcW w:w="2375" w:type="dxa"/>
          </w:tcPr>
          <w:p w14:paraId="34EF02E0" w14:textId="34CFE10E" w:rsidR="004E51F7" w:rsidRPr="004E51F7" w:rsidRDefault="004E51F7" w:rsidP="004E51F7">
            <w:pPr>
              <w:rPr>
                <w:rFonts w:cs="Arial"/>
              </w:rPr>
            </w:pPr>
            <w:r w:rsidRPr="004E51F7">
              <w:rPr>
                <w:rFonts w:cs="Arial"/>
              </w:rPr>
              <w:lastRenderedPageBreak/>
              <w:t xml:space="preserve">10 </w:t>
            </w:r>
            <w:r w:rsidRPr="004E51F7">
              <w:rPr>
                <w:rFonts w:cs="Arial"/>
                <w:lang w:val="en-US"/>
              </w:rPr>
              <w:t xml:space="preserve">mg </w:t>
            </w:r>
            <w:r w:rsidRPr="004E51F7">
              <w:rPr>
                <w:rFonts w:cs="Arial"/>
              </w:rPr>
              <w:t>веднъж дневно за 4 седмици</w:t>
            </w:r>
          </w:p>
        </w:tc>
        <w:tc>
          <w:tcPr>
            <w:tcW w:w="2375" w:type="dxa"/>
          </w:tcPr>
          <w:p w14:paraId="504E2404" w14:textId="25F9A74F" w:rsidR="004E51F7" w:rsidRPr="004E51F7" w:rsidRDefault="004E51F7" w:rsidP="004E51F7">
            <w:pPr>
              <w:rPr>
                <w:rFonts w:cs="Arial"/>
              </w:rPr>
            </w:pPr>
            <w:r w:rsidRPr="004E51F7">
              <w:rPr>
                <w:rFonts w:cs="Arial"/>
              </w:rPr>
              <w:t>0,66</w:t>
            </w:r>
          </w:p>
        </w:tc>
        <w:tc>
          <w:tcPr>
            <w:tcW w:w="2375" w:type="dxa"/>
          </w:tcPr>
          <w:p w14:paraId="60C882B8" w14:textId="1E0F4F67" w:rsidR="004E51F7" w:rsidRPr="004E51F7" w:rsidRDefault="004E51F7" w:rsidP="004E51F7">
            <w:pPr>
              <w:rPr>
                <w:rFonts w:cs="Arial"/>
              </w:rPr>
            </w:pPr>
            <w:r w:rsidRPr="004E51F7">
              <w:rPr>
                <w:rFonts w:cs="Arial"/>
              </w:rPr>
              <w:t>Няма специфична препоръка.</w:t>
            </w:r>
          </w:p>
        </w:tc>
      </w:tr>
      <w:tr w:rsidR="004E51F7" w14:paraId="49824C51" w14:textId="77777777" w:rsidTr="009A0C07">
        <w:tc>
          <w:tcPr>
            <w:tcW w:w="2440" w:type="dxa"/>
          </w:tcPr>
          <w:p w14:paraId="0056EA6F" w14:textId="759457A4" w:rsidR="004E51F7" w:rsidRPr="004E51F7" w:rsidRDefault="004E51F7" w:rsidP="004E51F7">
            <w:pPr>
              <w:rPr>
                <w:rFonts w:cs="Arial"/>
              </w:rPr>
            </w:pPr>
            <w:r w:rsidRPr="004E51F7">
              <w:rPr>
                <w:rFonts w:cs="Arial"/>
              </w:rPr>
              <w:t xml:space="preserve">Ефавиренц 600 </w:t>
            </w:r>
            <w:r w:rsidRPr="004E51F7">
              <w:rPr>
                <w:rFonts w:cs="Arial"/>
                <w:lang w:val="en-US"/>
              </w:rPr>
              <w:t xml:space="preserve">mg </w:t>
            </w:r>
            <w:r w:rsidRPr="004E51F7">
              <w:rPr>
                <w:rFonts w:cs="Arial"/>
              </w:rPr>
              <w:t>веднъж дневно, за 14 дни</w:t>
            </w:r>
          </w:p>
        </w:tc>
        <w:tc>
          <w:tcPr>
            <w:tcW w:w="2375" w:type="dxa"/>
          </w:tcPr>
          <w:p w14:paraId="216C5BB3" w14:textId="56F31587" w:rsidR="004E51F7" w:rsidRPr="004E51F7" w:rsidRDefault="004E51F7" w:rsidP="004E51F7">
            <w:pPr>
              <w:rPr>
                <w:rFonts w:cs="Arial"/>
              </w:rPr>
            </w:pPr>
            <w:r w:rsidRPr="004E51F7">
              <w:rPr>
                <w:rFonts w:cs="Arial"/>
              </w:rPr>
              <w:t xml:space="preserve">10 </w:t>
            </w:r>
            <w:r w:rsidRPr="004E51F7">
              <w:rPr>
                <w:rFonts w:cs="Arial"/>
                <w:lang w:val="en-US"/>
              </w:rPr>
              <w:t xml:space="preserve">mg </w:t>
            </w:r>
            <w:r w:rsidRPr="004E51F7">
              <w:rPr>
                <w:rFonts w:cs="Arial"/>
              </w:rPr>
              <w:t>за 3 дни</w:t>
            </w:r>
          </w:p>
        </w:tc>
        <w:tc>
          <w:tcPr>
            <w:tcW w:w="2375" w:type="dxa"/>
          </w:tcPr>
          <w:p w14:paraId="55069E6C" w14:textId="468DCC10" w:rsidR="004E51F7" w:rsidRPr="004E51F7" w:rsidRDefault="004E51F7" w:rsidP="004E51F7">
            <w:pPr>
              <w:rPr>
                <w:rFonts w:cs="Arial"/>
              </w:rPr>
            </w:pPr>
            <w:r w:rsidRPr="004E51F7">
              <w:rPr>
                <w:rFonts w:cs="Arial"/>
              </w:rPr>
              <w:t>0,59</w:t>
            </w:r>
          </w:p>
        </w:tc>
        <w:tc>
          <w:tcPr>
            <w:tcW w:w="2375" w:type="dxa"/>
          </w:tcPr>
          <w:p w14:paraId="79F86687" w14:textId="4C65D2F9" w:rsidR="004E51F7" w:rsidRPr="004E51F7" w:rsidRDefault="004E51F7" w:rsidP="004E51F7">
            <w:pPr>
              <w:rPr>
                <w:rFonts w:cs="Arial"/>
              </w:rPr>
            </w:pPr>
            <w:r w:rsidRPr="004E51F7">
              <w:rPr>
                <w:rFonts w:cs="Arial"/>
              </w:rPr>
              <w:t>Няма специфична препоръка.</w:t>
            </w:r>
          </w:p>
        </w:tc>
      </w:tr>
      <w:tr w:rsidR="004E51F7" w14:paraId="78F6BF7D" w14:textId="77777777" w:rsidTr="009A0C07">
        <w:tc>
          <w:tcPr>
            <w:tcW w:w="2440" w:type="dxa"/>
          </w:tcPr>
          <w:p w14:paraId="26B6A242" w14:textId="48DA4A7E" w:rsidR="004E51F7" w:rsidRPr="004E51F7" w:rsidRDefault="004E51F7" w:rsidP="004E51F7">
            <w:pPr>
              <w:rPr>
                <w:rFonts w:cs="Arial"/>
              </w:rPr>
            </w:pPr>
            <w:r w:rsidRPr="004E51F7">
              <w:rPr>
                <w:rFonts w:cs="Arial"/>
              </w:rPr>
              <w:t xml:space="preserve">Рифампин 600 </w:t>
            </w:r>
            <w:r w:rsidRPr="004E51F7">
              <w:rPr>
                <w:rFonts w:cs="Arial"/>
                <w:lang w:val="en-US"/>
              </w:rPr>
              <w:t xml:space="preserve">mg </w:t>
            </w:r>
            <w:r w:rsidRPr="004E51F7">
              <w:rPr>
                <w:rFonts w:cs="Arial"/>
              </w:rPr>
              <w:t>веднъж дневно, за 7 дни (едновременно прилаган)</w:t>
            </w:r>
          </w:p>
        </w:tc>
        <w:tc>
          <w:tcPr>
            <w:tcW w:w="2375" w:type="dxa"/>
          </w:tcPr>
          <w:p w14:paraId="477B87DB" w14:textId="7968A4F4" w:rsidR="004E51F7" w:rsidRPr="004E51F7" w:rsidRDefault="004E51F7" w:rsidP="004E51F7">
            <w:pPr>
              <w:rPr>
                <w:rFonts w:cs="Arial"/>
              </w:rPr>
            </w:pPr>
            <w:r w:rsidRPr="004E51F7">
              <w:rPr>
                <w:rFonts w:cs="Arial"/>
              </w:rPr>
              <w:t xml:space="preserve">40 </w:t>
            </w:r>
            <w:r w:rsidRPr="004E51F7">
              <w:rPr>
                <w:rFonts w:cs="Arial"/>
                <w:lang w:val="en-US"/>
              </w:rPr>
              <w:t xml:space="preserve">mg </w:t>
            </w:r>
            <w:r w:rsidRPr="004E51F7">
              <w:rPr>
                <w:rFonts w:cs="Arial"/>
              </w:rPr>
              <w:t>единична доза</w:t>
            </w:r>
          </w:p>
        </w:tc>
        <w:tc>
          <w:tcPr>
            <w:tcW w:w="2375" w:type="dxa"/>
          </w:tcPr>
          <w:p w14:paraId="6917BA24" w14:textId="3E8D1509" w:rsidR="004E51F7" w:rsidRPr="004E51F7" w:rsidRDefault="004E51F7" w:rsidP="004E51F7">
            <w:pPr>
              <w:rPr>
                <w:rFonts w:cs="Arial"/>
              </w:rPr>
            </w:pPr>
            <w:r w:rsidRPr="004E51F7">
              <w:rPr>
                <w:rFonts w:cs="Arial"/>
              </w:rPr>
              <w:t>1,12</w:t>
            </w:r>
          </w:p>
        </w:tc>
        <w:tc>
          <w:tcPr>
            <w:tcW w:w="2375" w:type="dxa"/>
            <w:vMerge w:val="restart"/>
          </w:tcPr>
          <w:p w14:paraId="4E4CF242" w14:textId="795B68E7" w:rsidR="004E51F7" w:rsidRPr="004E51F7" w:rsidRDefault="004E51F7" w:rsidP="004E51F7">
            <w:pPr>
              <w:rPr>
                <w:rFonts w:cs="Arial"/>
              </w:rPr>
            </w:pPr>
            <w:r w:rsidRPr="004E51F7">
              <w:rPr>
                <w:rFonts w:cs="Arial"/>
              </w:rPr>
              <w:t>Ако едновременното прилагане не може да се избегне, се препоръчва едновременно прилагане на аторвастатин с рифампин при клинично проследяване.</w:t>
            </w:r>
          </w:p>
        </w:tc>
      </w:tr>
      <w:tr w:rsidR="004E51F7" w14:paraId="02D40456" w14:textId="77777777" w:rsidTr="009A0C07">
        <w:tc>
          <w:tcPr>
            <w:tcW w:w="2440" w:type="dxa"/>
          </w:tcPr>
          <w:p w14:paraId="2D1D25BB" w14:textId="456CBF6E" w:rsidR="004E51F7" w:rsidRPr="004E51F7" w:rsidRDefault="004E51F7" w:rsidP="004E51F7">
            <w:pPr>
              <w:rPr>
                <w:rFonts w:cs="Arial"/>
              </w:rPr>
            </w:pPr>
            <w:r w:rsidRPr="004E51F7">
              <w:rPr>
                <w:rFonts w:cs="Arial"/>
              </w:rPr>
              <w:t xml:space="preserve">Рифампин 600 </w:t>
            </w:r>
            <w:r w:rsidRPr="004E51F7">
              <w:rPr>
                <w:rFonts w:cs="Arial"/>
                <w:lang w:val="en-US"/>
              </w:rPr>
              <w:t xml:space="preserve">mg </w:t>
            </w:r>
            <w:r w:rsidRPr="004E51F7">
              <w:rPr>
                <w:rFonts w:cs="Arial"/>
              </w:rPr>
              <w:t>веднъж дневно, за 5 дни (разделени дози)</w:t>
            </w:r>
          </w:p>
        </w:tc>
        <w:tc>
          <w:tcPr>
            <w:tcW w:w="2375" w:type="dxa"/>
          </w:tcPr>
          <w:p w14:paraId="523D5292" w14:textId="77F8AB89" w:rsidR="004E51F7" w:rsidRPr="004E51F7" w:rsidRDefault="004E51F7" w:rsidP="004E51F7">
            <w:pPr>
              <w:rPr>
                <w:rFonts w:cs="Arial"/>
              </w:rPr>
            </w:pPr>
            <w:r w:rsidRPr="004E51F7">
              <w:rPr>
                <w:rFonts w:cs="Arial"/>
              </w:rPr>
              <w:t xml:space="preserve">40 </w:t>
            </w:r>
            <w:r w:rsidRPr="004E51F7">
              <w:rPr>
                <w:rFonts w:cs="Arial"/>
                <w:lang w:val="en-US"/>
              </w:rPr>
              <w:t xml:space="preserve">mg </w:t>
            </w:r>
            <w:r w:rsidRPr="004E51F7">
              <w:rPr>
                <w:rFonts w:cs="Arial"/>
              </w:rPr>
              <w:t>единична доза</w:t>
            </w:r>
          </w:p>
        </w:tc>
        <w:tc>
          <w:tcPr>
            <w:tcW w:w="2375" w:type="dxa"/>
          </w:tcPr>
          <w:p w14:paraId="15958A80" w14:textId="19D9990A" w:rsidR="004E51F7" w:rsidRPr="004E51F7" w:rsidRDefault="004E51F7" w:rsidP="004E51F7">
            <w:pPr>
              <w:rPr>
                <w:rFonts w:cs="Arial"/>
              </w:rPr>
            </w:pPr>
            <w:r w:rsidRPr="004E51F7">
              <w:rPr>
                <w:rFonts w:cs="Arial"/>
              </w:rPr>
              <w:t>0,20</w:t>
            </w:r>
          </w:p>
        </w:tc>
        <w:tc>
          <w:tcPr>
            <w:tcW w:w="2375" w:type="dxa"/>
            <w:vMerge/>
          </w:tcPr>
          <w:p w14:paraId="24EF13B6" w14:textId="77777777" w:rsidR="004E51F7" w:rsidRPr="004E51F7" w:rsidRDefault="004E51F7" w:rsidP="004E51F7">
            <w:pPr>
              <w:rPr>
                <w:rFonts w:cs="Arial"/>
              </w:rPr>
            </w:pPr>
          </w:p>
        </w:tc>
      </w:tr>
      <w:tr w:rsidR="004E51F7" w14:paraId="78BE2887" w14:textId="77777777" w:rsidTr="009A0C07">
        <w:tc>
          <w:tcPr>
            <w:tcW w:w="2440" w:type="dxa"/>
          </w:tcPr>
          <w:p w14:paraId="1AB71B34" w14:textId="27BDD9DF" w:rsidR="004E51F7" w:rsidRPr="004E51F7" w:rsidRDefault="004E51F7" w:rsidP="004E51F7">
            <w:pPr>
              <w:rPr>
                <w:rFonts w:cs="Arial"/>
              </w:rPr>
            </w:pPr>
            <w:r w:rsidRPr="004E51F7">
              <w:rPr>
                <w:rFonts w:cs="Arial"/>
              </w:rPr>
              <w:t xml:space="preserve">Гемфиброзил 600 </w:t>
            </w:r>
            <w:r w:rsidRPr="004E51F7">
              <w:rPr>
                <w:rFonts w:cs="Arial"/>
                <w:lang w:val="en-US"/>
              </w:rPr>
              <w:t xml:space="preserve">mg </w:t>
            </w:r>
            <w:r w:rsidRPr="004E51F7">
              <w:rPr>
                <w:rFonts w:cs="Arial"/>
              </w:rPr>
              <w:t>два пъти дневно, за 7 дни</w:t>
            </w:r>
          </w:p>
        </w:tc>
        <w:tc>
          <w:tcPr>
            <w:tcW w:w="2375" w:type="dxa"/>
          </w:tcPr>
          <w:p w14:paraId="7D9B6A10" w14:textId="395C010D" w:rsidR="004E51F7" w:rsidRPr="004E51F7" w:rsidRDefault="004E51F7" w:rsidP="004E51F7">
            <w:pPr>
              <w:rPr>
                <w:rFonts w:cs="Arial"/>
              </w:rPr>
            </w:pPr>
            <w:r w:rsidRPr="004E51F7">
              <w:rPr>
                <w:rFonts w:cs="Arial"/>
              </w:rPr>
              <w:t xml:space="preserve">40 </w:t>
            </w:r>
            <w:r w:rsidRPr="004E51F7">
              <w:rPr>
                <w:rFonts w:cs="Arial"/>
                <w:lang w:val="en-US"/>
              </w:rPr>
              <w:t xml:space="preserve">mg </w:t>
            </w:r>
            <w:r w:rsidRPr="004E51F7">
              <w:rPr>
                <w:rFonts w:cs="Arial"/>
              </w:rPr>
              <w:t>единична доза</w:t>
            </w:r>
          </w:p>
        </w:tc>
        <w:tc>
          <w:tcPr>
            <w:tcW w:w="2375" w:type="dxa"/>
          </w:tcPr>
          <w:p w14:paraId="4E40E64A" w14:textId="19A11CAD" w:rsidR="004E51F7" w:rsidRPr="004E51F7" w:rsidRDefault="004E51F7" w:rsidP="004E51F7">
            <w:pPr>
              <w:rPr>
                <w:rFonts w:cs="Arial"/>
              </w:rPr>
            </w:pPr>
            <w:r w:rsidRPr="004E51F7">
              <w:rPr>
                <w:rFonts w:cs="Arial"/>
              </w:rPr>
              <w:t>1,35</w:t>
            </w:r>
          </w:p>
        </w:tc>
        <w:tc>
          <w:tcPr>
            <w:tcW w:w="2375" w:type="dxa"/>
          </w:tcPr>
          <w:p w14:paraId="2ACF961A" w14:textId="54D5E13A" w:rsidR="004E51F7" w:rsidRPr="004E51F7" w:rsidRDefault="004E51F7" w:rsidP="004E51F7">
            <w:pPr>
              <w:rPr>
                <w:rFonts w:cs="Arial"/>
              </w:rPr>
            </w:pPr>
            <w:r w:rsidRPr="004E51F7">
              <w:rPr>
                <w:rFonts w:cs="Arial"/>
              </w:rPr>
              <w:t>Препоръчва се по-ниска начална доза и клинично проследяване на тези пациенти.</w:t>
            </w:r>
          </w:p>
        </w:tc>
      </w:tr>
      <w:tr w:rsidR="004E51F7" w14:paraId="37C038B5" w14:textId="77777777" w:rsidTr="009A0C07">
        <w:tc>
          <w:tcPr>
            <w:tcW w:w="2440" w:type="dxa"/>
          </w:tcPr>
          <w:p w14:paraId="3225AF04" w14:textId="2C2E59BE" w:rsidR="004E51F7" w:rsidRPr="004E51F7" w:rsidRDefault="004E51F7" w:rsidP="004E51F7">
            <w:pPr>
              <w:rPr>
                <w:rFonts w:cs="Arial"/>
              </w:rPr>
            </w:pPr>
            <w:r w:rsidRPr="004E51F7">
              <w:rPr>
                <w:rFonts w:cs="Arial"/>
              </w:rPr>
              <w:t xml:space="preserve">Фенофибрат 160 </w:t>
            </w:r>
            <w:r w:rsidRPr="004E51F7">
              <w:rPr>
                <w:rFonts w:cs="Arial"/>
                <w:lang w:val="en-US"/>
              </w:rPr>
              <w:t xml:space="preserve">mg </w:t>
            </w:r>
            <w:r w:rsidRPr="004E51F7">
              <w:rPr>
                <w:rFonts w:cs="Arial"/>
              </w:rPr>
              <w:t>веднъж дневно, за 7 дни</w:t>
            </w:r>
          </w:p>
        </w:tc>
        <w:tc>
          <w:tcPr>
            <w:tcW w:w="2375" w:type="dxa"/>
          </w:tcPr>
          <w:p w14:paraId="6AB7FC8D" w14:textId="0935A88A" w:rsidR="004E51F7" w:rsidRPr="004E51F7" w:rsidRDefault="004E51F7" w:rsidP="004E51F7">
            <w:pPr>
              <w:rPr>
                <w:rFonts w:cs="Arial"/>
              </w:rPr>
            </w:pPr>
            <w:r w:rsidRPr="004E51F7">
              <w:rPr>
                <w:rFonts w:cs="Arial"/>
              </w:rPr>
              <w:t xml:space="preserve">40 </w:t>
            </w:r>
            <w:r w:rsidRPr="004E51F7">
              <w:rPr>
                <w:rFonts w:cs="Arial"/>
                <w:lang w:val="en-US"/>
              </w:rPr>
              <w:t xml:space="preserve">mg </w:t>
            </w:r>
            <w:r w:rsidRPr="004E51F7">
              <w:rPr>
                <w:rFonts w:cs="Arial"/>
              </w:rPr>
              <w:t>единична доза</w:t>
            </w:r>
          </w:p>
        </w:tc>
        <w:tc>
          <w:tcPr>
            <w:tcW w:w="2375" w:type="dxa"/>
          </w:tcPr>
          <w:p w14:paraId="2F608DBB" w14:textId="6A8F79CA" w:rsidR="004E51F7" w:rsidRPr="004E51F7" w:rsidRDefault="004E51F7" w:rsidP="004E51F7">
            <w:pPr>
              <w:rPr>
                <w:rFonts w:cs="Arial"/>
              </w:rPr>
            </w:pPr>
            <w:r w:rsidRPr="004E51F7">
              <w:rPr>
                <w:rFonts w:cs="Arial"/>
              </w:rPr>
              <w:t>1,03</w:t>
            </w:r>
          </w:p>
        </w:tc>
        <w:tc>
          <w:tcPr>
            <w:tcW w:w="2375" w:type="dxa"/>
          </w:tcPr>
          <w:p w14:paraId="262A16FA" w14:textId="1D403B69" w:rsidR="004E51F7" w:rsidRPr="004E51F7" w:rsidRDefault="004E51F7" w:rsidP="004E51F7">
            <w:pPr>
              <w:rPr>
                <w:rFonts w:cs="Arial"/>
              </w:rPr>
            </w:pPr>
            <w:r w:rsidRPr="004E51F7">
              <w:rPr>
                <w:rFonts w:cs="Arial"/>
              </w:rPr>
              <w:t>Препоръчва се по-ниска начална доза и клинично проследяване на тези пациенти.</w:t>
            </w:r>
          </w:p>
        </w:tc>
      </w:tr>
      <w:tr w:rsidR="004E51F7" w14:paraId="36FC4FE0" w14:textId="77777777" w:rsidTr="009A0C07">
        <w:tc>
          <w:tcPr>
            <w:tcW w:w="2440" w:type="dxa"/>
          </w:tcPr>
          <w:p w14:paraId="644C40F5" w14:textId="4433FCBE" w:rsidR="004E51F7" w:rsidRPr="004E51F7" w:rsidRDefault="004E51F7" w:rsidP="004E51F7">
            <w:pPr>
              <w:rPr>
                <w:rFonts w:cs="Arial"/>
              </w:rPr>
            </w:pPr>
            <w:r w:rsidRPr="004E51F7">
              <w:rPr>
                <w:rFonts w:cs="Arial"/>
              </w:rPr>
              <w:t xml:space="preserve">Босепревир 800 </w:t>
            </w:r>
            <w:r w:rsidRPr="004E51F7">
              <w:rPr>
                <w:rFonts w:cs="Arial"/>
                <w:lang w:val="en-US"/>
              </w:rPr>
              <w:t>mg</w:t>
            </w:r>
            <w:r w:rsidRPr="004E51F7">
              <w:rPr>
                <w:rFonts w:cs="Arial"/>
              </w:rPr>
              <w:t>, три пъти дневно, 7 дни</w:t>
            </w:r>
          </w:p>
        </w:tc>
        <w:tc>
          <w:tcPr>
            <w:tcW w:w="2375" w:type="dxa"/>
          </w:tcPr>
          <w:p w14:paraId="5C64E299" w14:textId="1973D772" w:rsidR="004E51F7" w:rsidRPr="004E51F7" w:rsidRDefault="004E51F7" w:rsidP="004E51F7">
            <w:pPr>
              <w:rPr>
                <w:rFonts w:cs="Arial"/>
              </w:rPr>
            </w:pPr>
            <w:r w:rsidRPr="004E51F7">
              <w:rPr>
                <w:rFonts w:cs="Arial"/>
              </w:rPr>
              <w:t xml:space="preserve">40 </w:t>
            </w:r>
            <w:r w:rsidRPr="004E51F7">
              <w:rPr>
                <w:rFonts w:cs="Arial"/>
                <w:lang w:val="en-US"/>
              </w:rPr>
              <w:t xml:space="preserve">mg </w:t>
            </w:r>
            <w:r w:rsidRPr="004E51F7">
              <w:rPr>
                <w:rFonts w:cs="Arial"/>
              </w:rPr>
              <w:t>единична доза</w:t>
            </w:r>
          </w:p>
        </w:tc>
        <w:tc>
          <w:tcPr>
            <w:tcW w:w="2375" w:type="dxa"/>
          </w:tcPr>
          <w:p w14:paraId="2556017E" w14:textId="0C1D02C4" w:rsidR="004E51F7" w:rsidRPr="004E51F7" w:rsidRDefault="004E51F7" w:rsidP="004E51F7">
            <w:pPr>
              <w:rPr>
                <w:rFonts w:cs="Arial"/>
              </w:rPr>
            </w:pPr>
            <w:r w:rsidRPr="004E51F7">
              <w:rPr>
                <w:rFonts w:cs="Arial"/>
              </w:rPr>
              <w:t>2,3</w:t>
            </w:r>
          </w:p>
        </w:tc>
        <w:tc>
          <w:tcPr>
            <w:tcW w:w="2375" w:type="dxa"/>
          </w:tcPr>
          <w:p w14:paraId="6F84068D" w14:textId="4FFFBE38" w:rsidR="004E51F7" w:rsidRPr="004E51F7" w:rsidRDefault="004E51F7" w:rsidP="004E51F7">
            <w:pPr>
              <w:rPr>
                <w:rFonts w:cs="Arial"/>
              </w:rPr>
            </w:pPr>
            <w:r w:rsidRPr="004E51F7">
              <w:rPr>
                <w:rFonts w:cs="Arial"/>
              </w:rPr>
              <w:t xml:space="preserve">Препоръчва се по-ниска начална доза и наблюдение на тези пациенти. Дозата на аторвастатин не трябва да превишава 20 </w:t>
            </w:r>
            <w:r w:rsidRPr="004E51F7">
              <w:rPr>
                <w:rFonts w:cs="Arial"/>
                <w:lang w:val="en-US"/>
              </w:rPr>
              <w:t xml:space="preserve">mg </w:t>
            </w:r>
            <w:r w:rsidRPr="004E51F7">
              <w:rPr>
                <w:rFonts w:cs="Arial"/>
              </w:rPr>
              <w:t>дневно ако се приема едновременно с босепревир</w:t>
            </w:r>
          </w:p>
        </w:tc>
      </w:tr>
    </w:tbl>
    <w:p w14:paraId="5825B8FC" w14:textId="27FA3FC2" w:rsidR="009A0C07" w:rsidRDefault="009A0C07" w:rsidP="0091385D"/>
    <w:p w14:paraId="35E4A32A" w14:textId="77777777"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t>&amp; Представлява съотношение между леченията (лекарствен продукт, прилаган едновременно с аторвастатин спрямо самостоятелно приложение на аторвастатин),</w:t>
      </w:r>
    </w:p>
    <w:p w14:paraId="07BF4F8A" w14:textId="77777777" w:rsidR="004E51F7" w:rsidRPr="004E51F7" w:rsidRDefault="004E51F7" w:rsidP="004E51F7">
      <w:pPr>
        <w:spacing w:line="240" w:lineRule="auto"/>
        <w:rPr>
          <w:rFonts w:eastAsia="Times New Roman" w:cs="Arial"/>
          <w:color w:val="000000"/>
          <w:vertAlign w:val="superscript"/>
          <w:lang w:eastAsia="bg-BG"/>
        </w:rPr>
      </w:pPr>
    </w:p>
    <w:p w14:paraId="1F544E50" w14:textId="48C6A546"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vertAlign w:val="superscript"/>
          <w:lang w:eastAsia="bg-BG"/>
        </w:rPr>
        <w:t>#</w:t>
      </w:r>
      <w:r w:rsidRPr="004E51F7">
        <w:rPr>
          <w:rFonts w:eastAsia="Times New Roman" w:cs="Arial"/>
          <w:color w:val="000000"/>
          <w:lang w:eastAsia="bg-BG"/>
        </w:rPr>
        <w:t xml:space="preserve"> Вижте точки 4.4 и 4.5 относно клиничната значимост,</w:t>
      </w:r>
    </w:p>
    <w:p w14:paraId="30885B72" w14:textId="77777777" w:rsidR="004E51F7" w:rsidRPr="004E51F7" w:rsidRDefault="004E51F7" w:rsidP="004E51F7">
      <w:pPr>
        <w:spacing w:line="240" w:lineRule="auto"/>
        <w:rPr>
          <w:rFonts w:eastAsia="Times New Roman" w:cs="Arial"/>
          <w:color w:val="000000"/>
          <w:lang w:eastAsia="bg-BG"/>
        </w:rPr>
      </w:pPr>
    </w:p>
    <w:p w14:paraId="004D148E" w14:textId="1529E2D0" w:rsidR="004E51F7" w:rsidRPr="004E51F7" w:rsidRDefault="004E51F7" w:rsidP="004E51F7">
      <w:pPr>
        <w:spacing w:line="240" w:lineRule="auto"/>
        <w:rPr>
          <w:rFonts w:eastAsia="Times New Roman" w:cs="Arial"/>
          <w:color w:val="000000"/>
          <w:lang w:eastAsia="bg-BG"/>
        </w:rPr>
      </w:pPr>
      <w:r w:rsidRPr="004E51F7">
        <w:rPr>
          <w:rFonts w:eastAsia="Times New Roman" w:cs="Arial"/>
          <w:color w:val="000000"/>
          <w:lang w:val="en-US" w:eastAsia="bg-BG"/>
        </w:rPr>
        <w:t>*</w:t>
      </w:r>
      <w:r w:rsidRPr="004E51F7">
        <w:rPr>
          <w:rFonts w:eastAsia="Times New Roman" w:cs="Arial"/>
          <w:color w:val="000000"/>
          <w:lang w:eastAsia="bg-BG"/>
        </w:rPr>
        <w:t xml:space="preserve">Съдържа един или повече компоненти, които инхибират </w:t>
      </w:r>
      <w:r w:rsidRPr="004E51F7">
        <w:rPr>
          <w:rFonts w:eastAsia="Times New Roman" w:cs="Arial"/>
          <w:color w:val="000000"/>
          <w:lang w:val="en-US"/>
        </w:rPr>
        <w:t xml:space="preserve">CYP3A4 </w:t>
      </w:r>
      <w:r w:rsidRPr="004E51F7">
        <w:rPr>
          <w:rFonts w:eastAsia="Times New Roman" w:cs="Arial"/>
          <w:color w:val="000000"/>
          <w:lang w:eastAsia="bg-BG"/>
        </w:rPr>
        <w:t xml:space="preserve">и могат да повишат плазмените концентрации на лекарствените продукти, метаболизирани от </w:t>
      </w:r>
      <w:r w:rsidRPr="004E51F7">
        <w:rPr>
          <w:rFonts w:eastAsia="Times New Roman" w:cs="Arial"/>
          <w:color w:val="000000"/>
          <w:lang w:val="en-US"/>
        </w:rPr>
        <w:t xml:space="preserve">CYP3A4. </w:t>
      </w:r>
      <w:r w:rsidRPr="004E51F7">
        <w:rPr>
          <w:rFonts w:eastAsia="Times New Roman" w:cs="Arial"/>
          <w:color w:val="000000"/>
          <w:lang w:eastAsia="bg-BG"/>
        </w:rPr>
        <w:t xml:space="preserve">Приемът на една 240 </w:t>
      </w:r>
      <w:r w:rsidRPr="004E51F7">
        <w:rPr>
          <w:rFonts w:eastAsia="Times New Roman" w:cs="Arial"/>
          <w:color w:val="000000"/>
          <w:lang w:val="en-US"/>
        </w:rPr>
        <w:t>ml</w:t>
      </w:r>
      <w:r w:rsidRPr="004E51F7">
        <w:rPr>
          <w:rFonts w:eastAsia="Times New Roman" w:cs="Arial"/>
          <w:color w:val="000000"/>
          <w:lang w:eastAsia="bg-BG"/>
        </w:rPr>
        <w:t xml:space="preserve">-ова чаша със сок от грейпфрут може също да доведе до 20,4% намаление на </w:t>
      </w:r>
      <w:r w:rsidRPr="004E51F7">
        <w:rPr>
          <w:rFonts w:eastAsia="Times New Roman" w:cs="Arial"/>
          <w:color w:val="000000"/>
          <w:lang w:val="en-US"/>
        </w:rPr>
        <w:t xml:space="preserve">AUC </w:t>
      </w:r>
      <w:r w:rsidRPr="004E51F7">
        <w:rPr>
          <w:rFonts w:eastAsia="Times New Roman" w:cs="Arial"/>
          <w:color w:val="000000"/>
          <w:lang w:eastAsia="bg-BG"/>
        </w:rPr>
        <w:t xml:space="preserve">на активния основен метаболит. Големи количества сок от гейпфрут (над 1,2 1 дневно в продължение на 5 дни) са увеличили 2,5-кратно </w:t>
      </w:r>
      <w:r w:rsidRPr="004E51F7">
        <w:rPr>
          <w:rFonts w:eastAsia="Times New Roman" w:cs="Arial"/>
          <w:color w:val="000000"/>
          <w:lang w:val="en-US"/>
        </w:rPr>
        <w:t xml:space="preserve">AUC </w:t>
      </w:r>
      <w:r w:rsidRPr="004E51F7">
        <w:rPr>
          <w:rFonts w:eastAsia="Times New Roman" w:cs="Arial"/>
          <w:color w:val="000000"/>
          <w:lang w:eastAsia="bg-BG"/>
        </w:rPr>
        <w:t xml:space="preserve">на аторвастатин </w:t>
      </w:r>
      <w:r w:rsidRPr="004E51F7">
        <w:rPr>
          <w:rFonts w:eastAsia="Times New Roman" w:cs="Arial"/>
          <w:color w:val="000000"/>
          <w:lang w:eastAsia="bg-BG"/>
        </w:rPr>
        <w:lastRenderedPageBreak/>
        <w:t xml:space="preserve">и </w:t>
      </w:r>
      <w:r w:rsidRPr="004E51F7">
        <w:rPr>
          <w:rFonts w:eastAsia="Times New Roman" w:cs="Arial"/>
          <w:color w:val="000000"/>
          <w:lang w:val="en-US"/>
        </w:rPr>
        <w:t xml:space="preserve">AUC </w:t>
      </w:r>
      <w:r w:rsidRPr="004E51F7">
        <w:rPr>
          <w:rFonts w:eastAsia="Times New Roman" w:cs="Arial"/>
          <w:color w:val="000000"/>
          <w:lang w:eastAsia="bg-BG"/>
        </w:rPr>
        <w:t xml:space="preserve">на активното вещество (аторвастатин и метаболити) </w:t>
      </w:r>
      <w:r w:rsidRPr="004E51F7">
        <w:rPr>
          <w:rFonts w:eastAsia="Times New Roman" w:cs="Arial"/>
          <w:color w:val="000000"/>
          <w:lang w:val="en-US"/>
        </w:rPr>
        <w:t xml:space="preserve">HMG- CoA </w:t>
      </w:r>
      <w:r w:rsidRPr="004E51F7">
        <w:rPr>
          <w:rFonts w:eastAsia="Times New Roman" w:cs="Arial"/>
          <w:color w:val="000000"/>
          <w:lang w:eastAsia="bg-BG"/>
        </w:rPr>
        <w:t>редуктазни инхибитори 1,3 пъти.</w:t>
      </w:r>
    </w:p>
    <w:p w14:paraId="281A359F" w14:textId="02EEF5F8" w:rsidR="004E51F7" w:rsidRPr="004E51F7" w:rsidRDefault="004E51F7" w:rsidP="004E51F7">
      <w:pPr>
        <w:spacing w:line="240" w:lineRule="auto"/>
        <w:rPr>
          <w:rFonts w:eastAsia="Times New Roman" w:cs="Arial"/>
          <w:color w:val="000000"/>
          <w:lang w:eastAsia="bg-BG"/>
        </w:rPr>
      </w:pPr>
      <w:r w:rsidRPr="004E51F7">
        <w:rPr>
          <w:rFonts w:eastAsia="Times New Roman" w:cs="Arial"/>
          <w:color w:val="000000"/>
          <w:lang w:val="en-US" w:eastAsia="bg-BG"/>
        </w:rPr>
        <w:t>*</w:t>
      </w:r>
      <w:r w:rsidRPr="004E51F7">
        <w:rPr>
          <w:rFonts w:eastAsia="Times New Roman" w:cs="Arial"/>
          <w:color w:val="000000"/>
          <w:lang w:eastAsia="bg-BG"/>
        </w:rPr>
        <w:t>* Съотношение въз основа на единична проба, взета 8-16 часа след дозата.</w:t>
      </w:r>
    </w:p>
    <w:p w14:paraId="3CBD6489" w14:textId="77777777" w:rsidR="004E51F7" w:rsidRPr="004E51F7" w:rsidRDefault="004E51F7" w:rsidP="004E51F7">
      <w:pPr>
        <w:rPr>
          <w:rFonts w:eastAsia="Times New Roman" w:cs="Arial"/>
          <w:color w:val="000000"/>
          <w:u w:val="single"/>
          <w:lang w:eastAsia="bg-BG"/>
        </w:rPr>
      </w:pPr>
    </w:p>
    <w:p w14:paraId="466CC234" w14:textId="4946D099" w:rsidR="004E51F7" w:rsidRPr="004E51F7" w:rsidRDefault="004E51F7" w:rsidP="004E51F7">
      <w:pPr>
        <w:rPr>
          <w:rFonts w:cs="Arial"/>
        </w:rPr>
      </w:pPr>
      <w:r w:rsidRPr="004E51F7">
        <w:rPr>
          <w:rFonts w:eastAsia="Times New Roman" w:cs="Arial"/>
          <w:color w:val="000000"/>
          <w:u w:val="single"/>
          <w:lang w:eastAsia="bg-BG"/>
        </w:rPr>
        <w:t>Таблица 2: Ефекти на аторвастатин въху фармакокинетиката на едновременно прилаганите лекарствени продукти</w:t>
      </w:r>
    </w:p>
    <w:p w14:paraId="2D41D0B7" w14:textId="08582089" w:rsidR="009A0C07" w:rsidRDefault="009A0C07" w:rsidP="0091385D"/>
    <w:tbl>
      <w:tblPr>
        <w:tblStyle w:val="TableGrid"/>
        <w:tblW w:w="0" w:type="auto"/>
        <w:tblLook w:val="04A0" w:firstRow="1" w:lastRow="0" w:firstColumn="1" w:lastColumn="0" w:noHBand="0" w:noVBand="1"/>
      </w:tblPr>
      <w:tblGrid>
        <w:gridCol w:w="2375"/>
        <w:gridCol w:w="2375"/>
        <w:gridCol w:w="2375"/>
        <w:gridCol w:w="2375"/>
      </w:tblGrid>
      <w:tr w:rsidR="004E51F7" w14:paraId="4312A708" w14:textId="77777777" w:rsidTr="004E51F7">
        <w:tc>
          <w:tcPr>
            <w:tcW w:w="2375" w:type="dxa"/>
            <w:vMerge w:val="restart"/>
          </w:tcPr>
          <w:p w14:paraId="07704DF7" w14:textId="19CB93BD" w:rsidR="004E51F7" w:rsidRPr="004E51F7" w:rsidRDefault="004E51F7" w:rsidP="0091385D">
            <w:pPr>
              <w:rPr>
                <w:rFonts w:cs="Arial"/>
              </w:rPr>
            </w:pPr>
            <w:r w:rsidRPr="004E51F7">
              <w:rPr>
                <w:rFonts w:cs="Arial"/>
                <w:b/>
                <w:bCs/>
              </w:rPr>
              <w:t>Аторвастатин и схема на дозиране</w:t>
            </w:r>
          </w:p>
        </w:tc>
        <w:tc>
          <w:tcPr>
            <w:tcW w:w="7125" w:type="dxa"/>
            <w:gridSpan w:val="3"/>
          </w:tcPr>
          <w:p w14:paraId="17521595" w14:textId="4794912E" w:rsidR="004E51F7" w:rsidRPr="004E51F7" w:rsidRDefault="004E51F7" w:rsidP="0091385D">
            <w:pPr>
              <w:rPr>
                <w:rFonts w:cs="Arial"/>
              </w:rPr>
            </w:pPr>
            <w:r w:rsidRPr="004E51F7">
              <w:rPr>
                <w:rFonts w:cs="Arial"/>
                <w:b/>
                <w:bCs/>
              </w:rPr>
              <w:t>Едновременно прилаган лекарствен продукт</w:t>
            </w:r>
          </w:p>
        </w:tc>
      </w:tr>
      <w:tr w:rsidR="004E51F7" w14:paraId="2D6A6378" w14:textId="77777777" w:rsidTr="004E51F7">
        <w:tc>
          <w:tcPr>
            <w:tcW w:w="2375" w:type="dxa"/>
            <w:vMerge/>
          </w:tcPr>
          <w:p w14:paraId="3D9EB6B2" w14:textId="77777777" w:rsidR="004E51F7" w:rsidRPr="004E51F7" w:rsidRDefault="004E51F7" w:rsidP="004E51F7">
            <w:pPr>
              <w:rPr>
                <w:rFonts w:cs="Arial"/>
              </w:rPr>
            </w:pPr>
          </w:p>
        </w:tc>
        <w:tc>
          <w:tcPr>
            <w:tcW w:w="2375" w:type="dxa"/>
          </w:tcPr>
          <w:p w14:paraId="0CD3ADDF" w14:textId="27511C80" w:rsidR="004E51F7" w:rsidRPr="004E51F7" w:rsidRDefault="004E51F7" w:rsidP="004E51F7">
            <w:pPr>
              <w:rPr>
                <w:rFonts w:cs="Arial"/>
              </w:rPr>
            </w:pPr>
            <w:r w:rsidRPr="004E51F7">
              <w:rPr>
                <w:rFonts w:cs="Arial"/>
                <w:b/>
                <w:bCs/>
              </w:rPr>
              <w:t xml:space="preserve">Лекарствен продукт/Доза </w:t>
            </w:r>
            <w:r w:rsidRPr="004E51F7">
              <w:rPr>
                <w:rFonts w:cs="Arial"/>
                <w:b/>
                <w:bCs/>
                <w:lang w:val="en-US"/>
              </w:rPr>
              <w:t>(mg)</w:t>
            </w:r>
          </w:p>
        </w:tc>
        <w:tc>
          <w:tcPr>
            <w:tcW w:w="2375" w:type="dxa"/>
          </w:tcPr>
          <w:p w14:paraId="2FC20A5F" w14:textId="6DBF1E4F" w:rsidR="004E51F7" w:rsidRPr="004E51F7" w:rsidRDefault="004E51F7" w:rsidP="004E51F7">
            <w:pPr>
              <w:rPr>
                <w:rFonts w:cs="Arial"/>
              </w:rPr>
            </w:pPr>
            <w:r w:rsidRPr="004E51F7">
              <w:rPr>
                <w:rFonts w:cs="Arial"/>
              </w:rPr>
              <w:t xml:space="preserve">Съотнош ение на </w:t>
            </w:r>
            <w:r w:rsidRPr="004E51F7">
              <w:rPr>
                <w:rFonts w:cs="Arial"/>
                <w:lang w:val="en-US"/>
              </w:rPr>
              <w:t>AUC&amp;</w:t>
            </w:r>
          </w:p>
        </w:tc>
        <w:tc>
          <w:tcPr>
            <w:tcW w:w="2375" w:type="dxa"/>
          </w:tcPr>
          <w:p w14:paraId="4214A77E" w14:textId="57FAA54C" w:rsidR="004E51F7" w:rsidRPr="004E51F7" w:rsidRDefault="004E51F7" w:rsidP="004E51F7">
            <w:pPr>
              <w:rPr>
                <w:rFonts w:cs="Arial"/>
              </w:rPr>
            </w:pPr>
            <w:r w:rsidRPr="004E51F7">
              <w:rPr>
                <w:rFonts w:cs="Arial"/>
                <w:b/>
                <w:bCs/>
              </w:rPr>
              <w:t>Клинична препоръка</w:t>
            </w:r>
          </w:p>
        </w:tc>
      </w:tr>
      <w:tr w:rsidR="004E51F7" w14:paraId="47274648" w14:textId="77777777" w:rsidTr="004E51F7">
        <w:tc>
          <w:tcPr>
            <w:tcW w:w="2375" w:type="dxa"/>
            <w:vAlign w:val="center"/>
          </w:tcPr>
          <w:p w14:paraId="6576AC23" w14:textId="5D4D36A7" w:rsidR="004E51F7" w:rsidRPr="004E51F7" w:rsidRDefault="004E51F7" w:rsidP="004E51F7">
            <w:pPr>
              <w:rPr>
                <w:rFonts w:cs="Arial"/>
              </w:rPr>
            </w:pPr>
            <w:r w:rsidRPr="004E51F7">
              <w:rPr>
                <w:rFonts w:cs="Arial"/>
              </w:rPr>
              <w:t xml:space="preserve">80 </w:t>
            </w:r>
            <w:r w:rsidRPr="004E51F7">
              <w:rPr>
                <w:rFonts w:cs="Arial"/>
                <w:lang w:val="en-US"/>
              </w:rPr>
              <w:t xml:space="preserve">mg </w:t>
            </w:r>
            <w:r w:rsidRPr="004E51F7">
              <w:rPr>
                <w:rFonts w:cs="Arial"/>
              </w:rPr>
              <w:t>веднъж дневно, за 10 дни</w:t>
            </w:r>
          </w:p>
        </w:tc>
        <w:tc>
          <w:tcPr>
            <w:tcW w:w="2375" w:type="dxa"/>
            <w:vAlign w:val="bottom"/>
          </w:tcPr>
          <w:p w14:paraId="14B6A7BD" w14:textId="76368972" w:rsidR="004E51F7" w:rsidRPr="004E51F7" w:rsidRDefault="004E51F7" w:rsidP="004E51F7">
            <w:pPr>
              <w:rPr>
                <w:rFonts w:cs="Arial"/>
              </w:rPr>
            </w:pPr>
            <w:r w:rsidRPr="004E51F7">
              <w:rPr>
                <w:rFonts w:cs="Arial"/>
              </w:rPr>
              <w:t xml:space="preserve">Дигоксин 0,25 </w:t>
            </w:r>
            <w:r w:rsidRPr="004E51F7">
              <w:rPr>
                <w:rFonts w:cs="Arial"/>
                <w:lang w:val="en-US"/>
              </w:rPr>
              <w:t xml:space="preserve">mg </w:t>
            </w:r>
            <w:r w:rsidRPr="004E51F7">
              <w:rPr>
                <w:rFonts w:cs="Arial"/>
              </w:rPr>
              <w:t>веднъж дневно, за 20 дни</w:t>
            </w:r>
          </w:p>
        </w:tc>
        <w:tc>
          <w:tcPr>
            <w:tcW w:w="2375" w:type="dxa"/>
          </w:tcPr>
          <w:p w14:paraId="3E4DBC27" w14:textId="2543CB7C" w:rsidR="004E51F7" w:rsidRPr="004E51F7" w:rsidRDefault="004E51F7" w:rsidP="004E51F7">
            <w:pPr>
              <w:rPr>
                <w:rFonts w:cs="Arial"/>
              </w:rPr>
            </w:pPr>
            <w:r w:rsidRPr="004E51F7">
              <w:rPr>
                <w:rFonts w:cs="Arial"/>
              </w:rPr>
              <w:t>1,15</w:t>
            </w:r>
          </w:p>
        </w:tc>
        <w:tc>
          <w:tcPr>
            <w:tcW w:w="2375" w:type="dxa"/>
            <w:vAlign w:val="bottom"/>
          </w:tcPr>
          <w:p w14:paraId="4737EA60" w14:textId="34E20B45" w:rsidR="004E51F7" w:rsidRPr="004E51F7" w:rsidRDefault="004E51F7" w:rsidP="004E51F7">
            <w:pPr>
              <w:rPr>
                <w:rFonts w:cs="Arial"/>
              </w:rPr>
            </w:pPr>
            <w:r w:rsidRPr="004E51F7">
              <w:rPr>
                <w:rFonts w:cs="Arial"/>
              </w:rPr>
              <w:t>Пациентите, приемащи дигоксин трябва да бъдат адекватно проследявани.</w:t>
            </w:r>
          </w:p>
        </w:tc>
      </w:tr>
      <w:tr w:rsidR="004E51F7" w14:paraId="3679CDF9" w14:textId="77777777" w:rsidTr="004E51F7">
        <w:tc>
          <w:tcPr>
            <w:tcW w:w="2375" w:type="dxa"/>
            <w:vAlign w:val="center"/>
          </w:tcPr>
          <w:p w14:paraId="39B6D97B" w14:textId="77777777" w:rsidR="004E51F7" w:rsidRPr="004E51F7" w:rsidRDefault="004E51F7" w:rsidP="004E51F7">
            <w:pPr>
              <w:rPr>
                <w:rFonts w:cs="Arial"/>
              </w:rPr>
            </w:pPr>
            <w:r w:rsidRPr="004E51F7">
              <w:rPr>
                <w:rFonts w:cs="Arial"/>
              </w:rPr>
              <w:t xml:space="preserve">40 </w:t>
            </w:r>
            <w:r w:rsidRPr="004E51F7">
              <w:rPr>
                <w:rFonts w:cs="Arial"/>
                <w:lang w:val="en-US"/>
              </w:rPr>
              <w:t xml:space="preserve">mg </w:t>
            </w:r>
            <w:r w:rsidRPr="004E51F7">
              <w:rPr>
                <w:rFonts w:cs="Arial"/>
              </w:rPr>
              <w:t>веднъж дневно, за 22</w:t>
            </w:r>
          </w:p>
          <w:p w14:paraId="48C01717" w14:textId="36C20506" w:rsidR="004E51F7" w:rsidRPr="004E51F7" w:rsidRDefault="004E51F7" w:rsidP="004E51F7">
            <w:pPr>
              <w:rPr>
                <w:rFonts w:cs="Arial"/>
              </w:rPr>
            </w:pPr>
            <w:r w:rsidRPr="004E51F7">
              <w:rPr>
                <w:rFonts w:cs="Arial"/>
                <w:b/>
                <w:bCs/>
              </w:rPr>
              <w:t>ДНИ</w:t>
            </w:r>
          </w:p>
        </w:tc>
        <w:tc>
          <w:tcPr>
            <w:tcW w:w="2375" w:type="dxa"/>
            <w:vAlign w:val="bottom"/>
          </w:tcPr>
          <w:p w14:paraId="4C4779A4" w14:textId="77777777" w:rsidR="004E51F7" w:rsidRPr="004E51F7" w:rsidRDefault="004E51F7" w:rsidP="004E51F7">
            <w:pPr>
              <w:rPr>
                <w:rFonts w:cs="Arial"/>
              </w:rPr>
            </w:pPr>
            <w:r w:rsidRPr="004E51F7">
              <w:rPr>
                <w:rFonts w:cs="Arial"/>
              </w:rPr>
              <w:t>Перорален контрацептив веднъж дневно, за 2 месеца</w:t>
            </w:r>
          </w:p>
          <w:p w14:paraId="0C42AC85" w14:textId="6D1266D6" w:rsidR="004E51F7" w:rsidRPr="004E51F7" w:rsidRDefault="004E51F7" w:rsidP="004E51F7">
            <w:pPr>
              <w:rPr>
                <w:rFonts w:cs="Arial"/>
              </w:rPr>
            </w:pPr>
            <w:r w:rsidRPr="004E51F7">
              <w:rPr>
                <w:rFonts w:cs="Arial"/>
              </w:rPr>
              <w:t xml:space="preserve">- норетиндрон 1 </w:t>
            </w:r>
            <w:r w:rsidRPr="004E51F7">
              <w:rPr>
                <w:rFonts w:cs="Arial"/>
                <w:lang w:val="en-US"/>
              </w:rPr>
              <w:t xml:space="preserve">mg </w:t>
            </w:r>
            <w:r w:rsidRPr="004E51F7">
              <w:rPr>
                <w:rFonts w:cs="Arial"/>
              </w:rPr>
              <w:t>- етинилестрадиол 35 микрограма</w:t>
            </w:r>
          </w:p>
        </w:tc>
        <w:tc>
          <w:tcPr>
            <w:tcW w:w="2375" w:type="dxa"/>
          </w:tcPr>
          <w:p w14:paraId="76000CE9" w14:textId="77777777" w:rsidR="004E51F7" w:rsidRPr="004E51F7" w:rsidRDefault="004E51F7" w:rsidP="004E51F7">
            <w:pPr>
              <w:rPr>
                <w:rFonts w:cs="Arial"/>
              </w:rPr>
            </w:pPr>
            <w:r w:rsidRPr="004E51F7">
              <w:rPr>
                <w:rFonts w:cs="Arial"/>
              </w:rPr>
              <w:t>1,28</w:t>
            </w:r>
          </w:p>
          <w:p w14:paraId="74E111A7" w14:textId="7AFC3982" w:rsidR="004E51F7" w:rsidRPr="004E51F7" w:rsidRDefault="004E51F7" w:rsidP="004E51F7">
            <w:pPr>
              <w:rPr>
                <w:rFonts w:cs="Arial"/>
              </w:rPr>
            </w:pPr>
            <w:r w:rsidRPr="004E51F7">
              <w:rPr>
                <w:rFonts w:cs="Arial"/>
              </w:rPr>
              <w:t>1,19</w:t>
            </w:r>
          </w:p>
        </w:tc>
        <w:tc>
          <w:tcPr>
            <w:tcW w:w="2375" w:type="dxa"/>
            <w:vAlign w:val="center"/>
          </w:tcPr>
          <w:p w14:paraId="796F1B5E" w14:textId="39371B99" w:rsidR="004E51F7" w:rsidRPr="004E51F7" w:rsidRDefault="004E51F7" w:rsidP="004E51F7">
            <w:pPr>
              <w:rPr>
                <w:rFonts w:cs="Arial"/>
              </w:rPr>
            </w:pPr>
            <w:r w:rsidRPr="004E51F7">
              <w:rPr>
                <w:rFonts w:cs="Arial"/>
              </w:rPr>
              <w:t>Няма специфична препоръка.</w:t>
            </w:r>
          </w:p>
        </w:tc>
      </w:tr>
      <w:tr w:rsidR="004E51F7" w14:paraId="345B81AB" w14:textId="77777777" w:rsidTr="004E51F7">
        <w:tc>
          <w:tcPr>
            <w:tcW w:w="2375" w:type="dxa"/>
            <w:vAlign w:val="bottom"/>
          </w:tcPr>
          <w:p w14:paraId="79DFA7CA" w14:textId="122AA1AA" w:rsidR="004E51F7" w:rsidRPr="004E51F7" w:rsidRDefault="004E51F7" w:rsidP="004E51F7">
            <w:pPr>
              <w:rPr>
                <w:rFonts w:cs="Arial"/>
              </w:rPr>
            </w:pPr>
            <w:r w:rsidRPr="004E51F7">
              <w:rPr>
                <w:rFonts w:cs="Arial"/>
              </w:rPr>
              <w:t xml:space="preserve">80 </w:t>
            </w:r>
            <w:r w:rsidRPr="004E51F7">
              <w:rPr>
                <w:rFonts w:cs="Arial"/>
                <w:lang w:val="en-US"/>
              </w:rPr>
              <w:t xml:space="preserve">mg </w:t>
            </w:r>
            <w:r w:rsidRPr="004E51F7">
              <w:rPr>
                <w:rFonts w:cs="Arial"/>
              </w:rPr>
              <w:t>веднъж дневно, за 15 дни</w:t>
            </w:r>
          </w:p>
        </w:tc>
        <w:tc>
          <w:tcPr>
            <w:tcW w:w="2375" w:type="dxa"/>
            <w:vAlign w:val="bottom"/>
          </w:tcPr>
          <w:p w14:paraId="1434E486" w14:textId="0888AB83" w:rsidR="004E51F7" w:rsidRPr="004E51F7" w:rsidRDefault="004E51F7" w:rsidP="004E51F7">
            <w:pPr>
              <w:rPr>
                <w:rFonts w:cs="Arial"/>
              </w:rPr>
            </w:pPr>
            <w:r w:rsidRPr="004E51F7">
              <w:rPr>
                <w:rFonts w:cs="Arial"/>
              </w:rPr>
              <w:t xml:space="preserve">* Феназон, 600 </w:t>
            </w:r>
            <w:r w:rsidRPr="004E51F7">
              <w:rPr>
                <w:rFonts w:cs="Arial"/>
                <w:lang w:val="en-US"/>
              </w:rPr>
              <w:t xml:space="preserve">mg </w:t>
            </w:r>
            <w:r w:rsidRPr="004E51F7">
              <w:rPr>
                <w:rFonts w:cs="Arial"/>
              </w:rPr>
              <w:t>еднократна доза</w:t>
            </w:r>
          </w:p>
        </w:tc>
        <w:tc>
          <w:tcPr>
            <w:tcW w:w="2375" w:type="dxa"/>
          </w:tcPr>
          <w:p w14:paraId="4C2FB123" w14:textId="7E286F44" w:rsidR="004E51F7" w:rsidRPr="004E51F7" w:rsidRDefault="004E51F7" w:rsidP="004E51F7">
            <w:pPr>
              <w:rPr>
                <w:rFonts w:cs="Arial"/>
              </w:rPr>
            </w:pPr>
            <w:r w:rsidRPr="004E51F7">
              <w:rPr>
                <w:rFonts w:cs="Arial"/>
              </w:rPr>
              <w:t>1,03</w:t>
            </w:r>
          </w:p>
        </w:tc>
        <w:tc>
          <w:tcPr>
            <w:tcW w:w="2375" w:type="dxa"/>
            <w:vAlign w:val="bottom"/>
          </w:tcPr>
          <w:p w14:paraId="70418A1F" w14:textId="77777777" w:rsidR="004E51F7" w:rsidRPr="004E51F7" w:rsidRDefault="004E51F7" w:rsidP="004E51F7">
            <w:pPr>
              <w:rPr>
                <w:rFonts w:cs="Arial"/>
              </w:rPr>
            </w:pPr>
            <w:r w:rsidRPr="004E51F7">
              <w:rPr>
                <w:rFonts w:cs="Arial"/>
              </w:rPr>
              <w:t>Няма специфична препоръка.</w:t>
            </w:r>
          </w:p>
          <w:p w14:paraId="5CAB57FE" w14:textId="1D5CC25F" w:rsidR="004E51F7" w:rsidRPr="004E51F7" w:rsidRDefault="004E51F7" w:rsidP="004E51F7">
            <w:pPr>
              <w:rPr>
                <w:rFonts w:cs="Arial"/>
              </w:rPr>
            </w:pPr>
            <w:r w:rsidRPr="004E51F7">
              <w:rPr>
                <w:rFonts w:cs="Arial"/>
              </w:rPr>
              <w:t>..</w:t>
            </w:r>
          </w:p>
        </w:tc>
      </w:tr>
      <w:tr w:rsidR="004E51F7" w14:paraId="602D7728" w14:textId="77777777" w:rsidTr="004E51F7">
        <w:tc>
          <w:tcPr>
            <w:tcW w:w="2375" w:type="dxa"/>
            <w:vAlign w:val="center"/>
          </w:tcPr>
          <w:p w14:paraId="358A4128" w14:textId="0A997AC6" w:rsidR="004E51F7" w:rsidRPr="004E51F7" w:rsidRDefault="004E51F7" w:rsidP="004E51F7">
            <w:pPr>
              <w:rPr>
                <w:rFonts w:cs="Arial"/>
              </w:rPr>
            </w:pPr>
            <w:r w:rsidRPr="004E51F7">
              <w:rPr>
                <w:rFonts w:cs="Arial"/>
              </w:rPr>
              <w:t xml:space="preserve">10 </w:t>
            </w:r>
            <w:r w:rsidRPr="004E51F7">
              <w:rPr>
                <w:rFonts w:cs="Arial"/>
                <w:lang w:val="en-US"/>
              </w:rPr>
              <w:t xml:space="preserve">mg, </w:t>
            </w:r>
            <w:r w:rsidRPr="004E51F7">
              <w:rPr>
                <w:rFonts w:cs="Arial"/>
              </w:rPr>
              <w:t>единична доза</w:t>
            </w:r>
          </w:p>
        </w:tc>
        <w:tc>
          <w:tcPr>
            <w:tcW w:w="2375" w:type="dxa"/>
            <w:vAlign w:val="bottom"/>
          </w:tcPr>
          <w:p w14:paraId="13F272AD" w14:textId="3D07C39D" w:rsidR="004E51F7" w:rsidRPr="004E51F7" w:rsidRDefault="004E51F7" w:rsidP="004E51F7">
            <w:pPr>
              <w:rPr>
                <w:rFonts w:cs="Arial"/>
              </w:rPr>
            </w:pPr>
            <w:r w:rsidRPr="004E51F7">
              <w:rPr>
                <w:rFonts w:cs="Arial"/>
              </w:rPr>
              <w:t xml:space="preserve">Типранавир 500 </w:t>
            </w:r>
            <w:r w:rsidRPr="004E51F7">
              <w:rPr>
                <w:rFonts w:cs="Arial"/>
                <w:lang w:val="en-US"/>
              </w:rPr>
              <w:t xml:space="preserve">mg </w:t>
            </w:r>
            <w:r w:rsidRPr="004E51F7">
              <w:rPr>
                <w:rFonts w:cs="Arial"/>
              </w:rPr>
              <w:t xml:space="preserve">два пъти дневно/ ритонавир 200 </w:t>
            </w:r>
            <w:r w:rsidRPr="004E51F7">
              <w:rPr>
                <w:rFonts w:cs="Arial"/>
                <w:lang w:val="en-US"/>
              </w:rPr>
              <w:t xml:space="preserve">mg </w:t>
            </w:r>
            <w:r w:rsidRPr="004E51F7">
              <w:rPr>
                <w:rFonts w:cs="Arial"/>
              </w:rPr>
              <w:t>два пъти дневно, 7 дни</w:t>
            </w:r>
          </w:p>
        </w:tc>
        <w:tc>
          <w:tcPr>
            <w:tcW w:w="2375" w:type="dxa"/>
          </w:tcPr>
          <w:p w14:paraId="572613D7" w14:textId="6DE83506" w:rsidR="004E51F7" w:rsidRPr="004E51F7" w:rsidRDefault="004E51F7" w:rsidP="004E51F7">
            <w:pPr>
              <w:rPr>
                <w:rFonts w:cs="Arial"/>
              </w:rPr>
            </w:pPr>
            <w:r w:rsidRPr="004E51F7">
              <w:rPr>
                <w:rFonts w:cs="Arial"/>
              </w:rPr>
              <w:t>1,08</w:t>
            </w:r>
          </w:p>
        </w:tc>
        <w:tc>
          <w:tcPr>
            <w:tcW w:w="2375" w:type="dxa"/>
            <w:vAlign w:val="center"/>
          </w:tcPr>
          <w:p w14:paraId="6AD3F366" w14:textId="004722F7" w:rsidR="004E51F7" w:rsidRPr="004E51F7" w:rsidRDefault="004E51F7" w:rsidP="004E51F7">
            <w:pPr>
              <w:rPr>
                <w:rFonts w:cs="Arial"/>
              </w:rPr>
            </w:pPr>
            <w:r w:rsidRPr="004E51F7">
              <w:rPr>
                <w:rFonts w:cs="Arial"/>
              </w:rPr>
              <w:t>Няма специфична препоръка.</w:t>
            </w:r>
          </w:p>
        </w:tc>
      </w:tr>
      <w:tr w:rsidR="004E51F7" w14:paraId="6E856C72" w14:textId="77777777" w:rsidTr="004E51F7">
        <w:tc>
          <w:tcPr>
            <w:tcW w:w="2375" w:type="dxa"/>
            <w:vAlign w:val="center"/>
          </w:tcPr>
          <w:p w14:paraId="4B4110F9" w14:textId="441513E7" w:rsidR="004E51F7" w:rsidRPr="004E51F7" w:rsidRDefault="004E51F7" w:rsidP="004E51F7">
            <w:pPr>
              <w:rPr>
                <w:rFonts w:cs="Arial"/>
              </w:rPr>
            </w:pPr>
            <w:r w:rsidRPr="004E51F7">
              <w:rPr>
                <w:rFonts w:cs="Arial"/>
              </w:rPr>
              <w:t xml:space="preserve">10 </w:t>
            </w:r>
            <w:r w:rsidRPr="004E51F7">
              <w:rPr>
                <w:rFonts w:cs="Arial"/>
                <w:lang w:val="en-US"/>
              </w:rPr>
              <w:t xml:space="preserve">mg, </w:t>
            </w:r>
            <w:r w:rsidRPr="004E51F7">
              <w:rPr>
                <w:rFonts w:cs="Arial"/>
              </w:rPr>
              <w:t>веднъж дневно за 4 дни</w:t>
            </w:r>
          </w:p>
        </w:tc>
        <w:tc>
          <w:tcPr>
            <w:tcW w:w="2375" w:type="dxa"/>
            <w:vAlign w:val="bottom"/>
          </w:tcPr>
          <w:p w14:paraId="1A34F953" w14:textId="77A96B45" w:rsidR="004E51F7" w:rsidRPr="004E51F7" w:rsidRDefault="004E51F7" w:rsidP="004E51F7">
            <w:pPr>
              <w:rPr>
                <w:rFonts w:cs="Arial"/>
              </w:rPr>
            </w:pPr>
            <w:r w:rsidRPr="004E51F7">
              <w:rPr>
                <w:rFonts w:cs="Arial"/>
              </w:rPr>
              <w:t xml:space="preserve">Фосампренавир 1400 </w:t>
            </w:r>
            <w:r w:rsidRPr="004E51F7">
              <w:rPr>
                <w:rFonts w:cs="Arial"/>
                <w:lang w:val="en-US"/>
              </w:rPr>
              <w:t xml:space="preserve">mg </w:t>
            </w:r>
            <w:r w:rsidRPr="004E51F7">
              <w:rPr>
                <w:rFonts w:cs="Arial"/>
              </w:rPr>
              <w:t>два пъти дневно, 14 дни</w:t>
            </w:r>
          </w:p>
        </w:tc>
        <w:tc>
          <w:tcPr>
            <w:tcW w:w="2375" w:type="dxa"/>
          </w:tcPr>
          <w:p w14:paraId="7D4DA8F6" w14:textId="398522F0" w:rsidR="004E51F7" w:rsidRPr="004E51F7" w:rsidRDefault="004E51F7" w:rsidP="004E51F7">
            <w:pPr>
              <w:rPr>
                <w:rFonts w:cs="Arial"/>
              </w:rPr>
            </w:pPr>
            <w:r w:rsidRPr="004E51F7">
              <w:rPr>
                <w:rFonts w:cs="Arial"/>
              </w:rPr>
              <w:t>0,73</w:t>
            </w:r>
          </w:p>
        </w:tc>
        <w:tc>
          <w:tcPr>
            <w:tcW w:w="2375" w:type="dxa"/>
            <w:vAlign w:val="center"/>
          </w:tcPr>
          <w:p w14:paraId="2757CDF8" w14:textId="439A282E" w:rsidR="004E51F7" w:rsidRPr="004E51F7" w:rsidRDefault="004E51F7" w:rsidP="004E51F7">
            <w:pPr>
              <w:rPr>
                <w:rFonts w:cs="Arial"/>
              </w:rPr>
            </w:pPr>
            <w:r w:rsidRPr="004E51F7">
              <w:rPr>
                <w:rFonts w:cs="Arial"/>
              </w:rPr>
              <w:t>Няма специфична препоръка</w:t>
            </w:r>
          </w:p>
        </w:tc>
      </w:tr>
      <w:tr w:rsidR="004E51F7" w14:paraId="1ED94342" w14:textId="77777777" w:rsidTr="004E51F7">
        <w:tc>
          <w:tcPr>
            <w:tcW w:w="2375" w:type="dxa"/>
            <w:vAlign w:val="center"/>
          </w:tcPr>
          <w:p w14:paraId="0F9E4AF3" w14:textId="0C044222" w:rsidR="004E51F7" w:rsidRPr="004E51F7" w:rsidRDefault="004E51F7" w:rsidP="004E51F7">
            <w:pPr>
              <w:rPr>
                <w:rFonts w:cs="Arial"/>
              </w:rPr>
            </w:pPr>
            <w:r w:rsidRPr="004E51F7">
              <w:rPr>
                <w:rFonts w:cs="Arial"/>
              </w:rPr>
              <w:t xml:space="preserve">10 </w:t>
            </w:r>
            <w:r w:rsidRPr="004E51F7">
              <w:rPr>
                <w:rFonts w:cs="Arial"/>
                <w:lang w:val="en-US"/>
              </w:rPr>
              <w:t xml:space="preserve">mg, </w:t>
            </w:r>
            <w:r w:rsidRPr="004E51F7">
              <w:rPr>
                <w:rFonts w:cs="Arial"/>
              </w:rPr>
              <w:t>веднъж дневно за 4 дни</w:t>
            </w:r>
          </w:p>
        </w:tc>
        <w:tc>
          <w:tcPr>
            <w:tcW w:w="2375" w:type="dxa"/>
            <w:vAlign w:val="bottom"/>
          </w:tcPr>
          <w:p w14:paraId="46AE17BB" w14:textId="1A69C887" w:rsidR="004E51F7" w:rsidRPr="004E51F7" w:rsidRDefault="004E51F7" w:rsidP="004E51F7">
            <w:pPr>
              <w:rPr>
                <w:rFonts w:cs="Arial"/>
              </w:rPr>
            </w:pPr>
            <w:r w:rsidRPr="004E51F7">
              <w:rPr>
                <w:rFonts w:cs="Arial"/>
              </w:rPr>
              <w:t xml:space="preserve">Фосампренавир 700 </w:t>
            </w:r>
            <w:r w:rsidRPr="004E51F7">
              <w:rPr>
                <w:rFonts w:cs="Arial"/>
                <w:lang w:val="en-US"/>
              </w:rPr>
              <w:t xml:space="preserve">mg </w:t>
            </w:r>
            <w:r w:rsidRPr="004E51F7">
              <w:rPr>
                <w:rFonts w:cs="Arial"/>
              </w:rPr>
              <w:t xml:space="preserve">два пъти дневно/ ритонавир 100 </w:t>
            </w:r>
            <w:r w:rsidRPr="004E51F7">
              <w:rPr>
                <w:rFonts w:cs="Arial"/>
                <w:lang w:val="en-US"/>
              </w:rPr>
              <w:t xml:space="preserve">mg </w:t>
            </w:r>
            <w:r w:rsidRPr="004E51F7">
              <w:rPr>
                <w:rFonts w:cs="Arial"/>
              </w:rPr>
              <w:t>два пъти дневно, 14 дни</w:t>
            </w:r>
          </w:p>
        </w:tc>
        <w:tc>
          <w:tcPr>
            <w:tcW w:w="2375" w:type="dxa"/>
          </w:tcPr>
          <w:p w14:paraId="1FD13767" w14:textId="673EA308" w:rsidR="004E51F7" w:rsidRPr="004E51F7" w:rsidRDefault="004E51F7" w:rsidP="004E51F7">
            <w:pPr>
              <w:rPr>
                <w:rFonts w:cs="Arial"/>
              </w:rPr>
            </w:pPr>
            <w:r w:rsidRPr="004E51F7">
              <w:rPr>
                <w:rFonts w:cs="Arial"/>
              </w:rPr>
              <w:t>0,99</w:t>
            </w:r>
          </w:p>
        </w:tc>
        <w:tc>
          <w:tcPr>
            <w:tcW w:w="2375" w:type="dxa"/>
            <w:vAlign w:val="bottom"/>
          </w:tcPr>
          <w:p w14:paraId="69014863" w14:textId="77777777" w:rsidR="004E51F7" w:rsidRPr="004E51F7" w:rsidRDefault="004E51F7" w:rsidP="004E51F7">
            <w:pPr>
              <w:rPr>
                <w:rFonts w:cs="Arial"/>
              </w:rPr>
            </w:pPr>
            <w:r w:rsidRPr="004E51F7">
              <w:rPr>
                <w:rFonts w:cs="Arial"/>
              </w:rPr>
              <w:t>Няма специфична препоръка.</w:t>
            </w:r>
          </w:p>
          <w:p w14:paraId="3847356C" w14:textId="7415529C" w:rsidR="004E51F7" w:rsidRPr="004E51F7" w:rsidRDefault="004E51F7" w:rsidP="004E51F7">
            <w:pPr>
              <w:rPr>
                <w:rFonts w:cs="Arial"/>
              </w:rPr>
            </w:pPr>
          </w:p>
        </w:tc>
      </w:tr>
    </w:tbl>
    <w:p w14:paraId="37E4E224" w14:textId="710F1BD0" w:rsidR="004E51F7" w:rsidRDefault="004E51F7" w:rsidP="0091385D"/>
    <w:p w14:paraId="17DABE89" w14:textId="77777777"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t>&amp; Представлява съотношение между леченията (лекарствен продукт, прилаган едновременно с аторвастатин спрямо самостоятелно приложение на аторвастатин).</w:t>
      </w:r>
    </w:p>
    <w:p w14:paraId="75F41B15" w14:textId="77777777" w:rsidR="004E51F7" w:rsidRPr="004E51F7" w:rsidRDefault="004E51F7" w:rsidP="004E51F7">
      <w:pPr>
        <w:spacing w:line="240" w:lineRule="auto"/>
        <w:rPr>
          <w:rFonts w:eastAsia="Times New Roman" w:cs="Arial"/>
          <w:color w:val="000000"/>
          <w:lang w:eastAsia="bg-BG"/>
        </w:rPr>
      </w:pPr>
    </w:p>
    <w:p w14:paraId="3DCC4D89" w14:textId="357C2069"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t>* Едновременното прилагане на многократни дози на аторвастатин и феназон е показало малко или неустановимо повлияване върху кпирънса на феназон.</w:t>
      </w:r>
    </w:p>
    <w:p w14:paraId="4CB37D0F" w14:textId="77777777" w:rsidR="004E51F7" w:rsidRPr="004E51F7" w:rsidRDefault="004E51F7" w:rsidP="004E51F7">
      <w:pPr>
        <w:rPr>
          <w:rFonts w:eastAsia="Times New Roman" w:cs="Arial"/>
          <w:color w:val="000000"/>
          <w:lang w:eastAsia="bg-BG"/>
        </w:rPr>
      </w:pPr>
    </w:p>
    <w:p w14:paraId="6BAADF30" w14:textId="30BFE4A6" w:rsidR="004E51F7" w:rsidRDefault="004E51F7" w:rsidP="004E51F7">
      <w:r w:rsidRPr="004E51F7">
        <w:rPr>
          <w:rFonts w:eastAsia="Times New Roman" w:cs="Arial"/>
          <w:color w:val="000000"/>
          <w:lang w:eastAsia="bg-BG"/>
        </w:rPr>
        <w:t>Увеличението е обозначено с</w:t>
      </w:r>
      <w:r w:rsidRPr="004E51F7">
        <w:rPr>
          <w:rFonts w:eastAsia="Times New Roman" w:cs="Arial"/>
          <w:color w:val="000000"/>
          <w:lang w:val="en-US"/>
        </w:rPr>
        <w:t xml:space="preserve"> "↑"</w:t>
      </w:r>
      <w:r w:rsidRPr="004E51F7">
        <w:rPr>
          <w:rFonts w:eastAsia="Times New Roman" w:cs="Arial"/>
          <w:color w:val="000000"/>
          <w:lang w:eastAsia="bg-BG"/>
        </w:rPr>
        <w:t xml:space="preserve"> а намалението с</w:t>
      </w:r>
      <w:r w:rsidRPr="004E51F7">
        <w:rPr>
          <w:rFonts w:eastAsia="Times New Roman" w:cs="Arial"/>
          <w:color w:val="000000"/>
          <w:lang w:val="en-US"/>
        </w:rPr>
        <w:t xml:space="preserve"> "↓".</w:t>
      </w:r>
    </w:p>
    <w:p w14:paraId="3590A008" w14:textId="77777777" w:rsidR="004E51F7" w:rsidRPr="0091385D" w:rsidRDefault="004E51F7" w:rsidP="0091385D"/>
    <w:p w14:paraId="394A7584" w14:textId="10DEA5B3" w:rsidR="004F498A" w:rsidRDefault="002C50EE" w:rsidP="004A448E">
      <w:pPr>
        <w:pStyle w:val="Heading2"/>
      </w:pPr>
      <w:r>
        <w:lastRenderedPageBreak/>
        <w:t>4.6. Фертилитет, бременност и кърмене</w:t>
      </w:r>
    </w:p>
    <w:p w14:paraId="4887836B" w14:textId="11C96CFA" w:rsidR="0091385D" w:rsidRDefault="0091385D" w:rsidP="0091385D"/>
    <w:p w14:paraId="7DF5EF5D" w14:textId="77777777"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u w:val="single"/>
          <w:lang w:eastAsia="bg-BG"/>
        </w:rPr>
        <w:t>Жени с детероден потенциал</w:t>
      </w:r>
    </w:p>
    <w:p w14:paraId="5EECCBC1" w14:textId="77777777"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t>Жени с детероден потенциал трябва да използват ефективна контрацепция по време на лечението (вж. точка 4.3).</w:t>
      </w:r>
    </w:p>
    <w:p w14:paraId="6792DEEA" w14:textId="77777777" w:rsidR="004E51F7" w:rsidRPr="004E51F7" w:rsidRDefault="004E51F7" w:rsidP="004E51F7">
      <w:pPr>
        <w:spacing w:line="240" w:lineRule="auto"/>
        <w:rPr>
          <w:rFonts w:eastAsia="Times New Roman" w:cs="Arial"/>
          <w:color w:val="000000"/>
          <w:u w:val="single"/>
          <w:lang w:eastAsia="bg-BG"/>
        </w:rPr>
      </w:pPr>
    </w:p>
    <w:p w14:paraId="3D518674" w14:textId="7973B926" w:rsidR="004E51F7" w:rsidRPr="004E51F7" w:rsidRDefault="004E51F7" w:rsidP="004E51F7">
      <w:pPr>
        <w:pStyle w:val="Heading3"/>
        <w:rPr>
          <w:rFonts w:eastAsia="Times New Roman"/>
          <w:u w:val="single"/>
          <w:lang w:eastAsia="bg-BG"/>
        </w:rPr>
      </w:pPr>
      <w:r w:rsidRPr="004E51F7">
        <w:rPr>
          <w:rFonts w:eastAsia="Times New Roman"/>
          <w:u w:val="single"/>
          <w:lang w:eastAsia="bg-BG"/>
        </w:rPr>
        <w:t>Бре</w:t>
      </w:r>
      <w:bookmarkStart w:id="1" w:name="_GoBack"/>
      <w:bookmarkEnd w:id="1"/>
      <w:r w:rsidRPr="004E51F7">
        <w:rPr>
          <w:rFonts w:eastAsia="Times New Roman"/>
          <w:u w:val="single"/>
          <w:lang w:eastAsia="bg-BG"/>
        </w:rPr>
        <w:t>менност</w:t>
      </w:r>
    </w:p>
    <w:p w14:paraId="7B9FD3B9" w14:textId="77777777"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t xml:space="preserve">Аторвастатин е противопоказан по време на бременост (вж. точка 4.3). Безопасността при бременни жени не е доказана. Не са провеждани контролирани клинични проучвания с аторвастатин при бременни жени. Получени са редки съобщения за вродени аномалии след интраутеринна експозиция към инхибитори на </w:t>
      </w:r>
      <w:r w:rsidRPr="004E51F7">
        <w:rPr>
          <w:rFonts w:eastAsia="Times New Roman" w:cs="Arial"/>
          <w:color w:val="000000"/>
          <w:lang w:val="en-US"/>
        </w:rPr>
        <w:t xml:space="preserve">HMG-CoA </w:t>
      </w:r>
      <w:r w:rsidRPr="004E51F7">
        <w:rPr>
          <w:rFonts w:eastAsia="Times New Roman" w:cs="Arial"/>
          <w:color w:val="000000"/>
          <w:lang w:eastAsia="bg-BG"/>
        </w:rPr>
        <w:t>редуктаза. Проучванията при животни показват репродуктивна токсичност (вж. точка 5.3).</w:t>
      </w:r>
    </w:p>
    <w:p w14:paraId="7B849B1F" w14:textId="77777777" w:rsidR="004E51F7" w:rsidRPr="004E51F7" w:rsidRDefault="004E51F7" w:rsidP="004E51F7">
      <w:pPr>
        <w:spacing w:line="240" w:lineRule="auto"/>
        <w:rPr>
          <w:rFonts w:eastAsia="Times New Roman" w:cs="Arial"/>
          <w:color w:val="000000"/>
          <w:lang w:eastAsia="bg-BG"/>
        </w:rPr>
      </w:pPr>
    </w:p>
    <w:p w14:paraId="3D8A5A44" w14:textId="087E9772"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t>Лечението на майката с аторвастатин може да намали феталните нива на мевалонат, който е прекурсор на холестероловия биосинтез. Атеросклерозата е хроничен процес и обичайното преустановяване на липидопонижаващите лекарствени продукти по време на бременност повлиява в малка степен дългосрочния риск, свързан с първична хиперхолестеролемия.</w:t>
      </w:r>
    </w:p>
    <w:p w14:paraId="12E629C3" w14:textId="77777777" w:rsidR="004E51F7" w:rsidRPr="004E51F7" w:rsidRDefault="004E51F7" w:rsidP="004E51F7">
      <w:pPr>
        <w:rPr>
          <w:rFonts w:eastAsia="Times New Roman" w:cs="Arial"/>
          <w:color w:val="000000"/>
          <w:lang w:eastAsia="bg-BG"/>
        </w:rPr>
      </w:pPr>
    </w:p>
    <w:p w14:paraId="776662C5" w14:textId="293FE2A2" w:rsidR="0091385D" w:rsidRPr="004E51F7" w:rsidRDefault="004E51F7" w:rsidP="004E51F7">
      <w:pPr>
        <w:rPr>
          <w:rFonts w:cs="Arial"/>
        </w:rPr>
      </w:pPr>
      <w:r w:rsidRPr="004E51F7">
        <w:rPr>
          <w:rFonts w:eastAsia="Times New Roman" w:cs="Arial"/>
          <w:color w:val="000000"/>
          <w:lang w:eastAsia="bg-BG"/>
        </w:rPr>
        <w:t>Поради тези причини, аторвастатин не трябва да се прилага при жени, които са бременни, правят опити да забременеят или смятат, че може да са бременни. Лечението с аторвастатин трябва да се прекрати за периода на бременността или докато се установи, че жената не е бременна (вж. точка 4.3).</w:t>
      </w:r>
    </w:p>
    <w:p w14:paraId="3E8789C3" w14:textId="22DCC734" w:rsidR="0091385D" w:rsidRPr="004E51F7" w:rsidRDefault="0091385D" w:rsidP="0091385D">
      <w:pPr>
        <w:rPr>
          <w:rFonts w:cs="Arial"/>
        </w:rPr>
      </w:pPr>
    </w:p>
    <w:p w14:paraId="7297B2BF" w14:textId="77777777" w:rsidR="004E51F7" w:rsidRPr="004E51F7" w:rsidRDefault="004E51F7" w:rsidP="004E51F7">
      <w:pPr>
        <w:pStyle w:val="Heading3"/>
        <w:rPr>
          <w:rFonts w:eastAsia="Times New Roman"/>
          <w:u w:val="single"/>
          <w:lang w:eastAsia="bg-BG"/>
        </w:rPr>
      </w:pPr>
      <w:r w:rsidRPr="004E51F7">
        <w:rPr>
          <w:rFonts w:eastAsia="Times New Roman"/>
          <w:u w:val="single"/>
          <w:lang w:eastAsia="bg-BG"/>
        </w:rPr>
        <w:t>Кърмене</w:t>
      </w:r>
    </w:p>
    <w:p w14:paraId="40B12E04" w14:textId="77777777"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t>Не е известно дали аторвастатин или неговите метаболити се екскретират в кърмата. При плъхове, плазмените концентрации на аторвастатин и неговите активни метаболити са подобни на тези в млякото (вж. точка 5.3). Поради потенциала за сериозни нежелани реакции, жените, приемащи аторвастатин, не трябва да кърмят бебетата си (вж. точка 4.3). Аторвастатин е противопоказан в периода на кърмене (вж. точка 4.3).</w:t>
      </w:r>
    </w:p>
    <w:p w14:paraId="6823DC63" w14:textId="77777777" w:rsidR="004E51F7" w:rsidRPr="004E51F7" w:rsidRDefault="004E51F7" w:rsidP="004E51F7">
      <w:pPr>
        <w:spacing w:line="240" w:lineRule="auto"/>
        <w:rPr>
          <w:rFonts w:eastAsia="Times New Roman" w:cs="Arial"/>
          <w:color w:val="000000"/>
          <w:u w:val="single"/>
          <w:lang w:eastAsia="bg-BG"/>
        </w:rPr>
      </w:pPr>
    </w:p>
    <w:p w14:paraId="683F2731" w14:textId="0729C2D3" w:rsidR="004E51F7" w:rsidRPr="004E51F7" w:rsidRDefault="004E51F7" w:rsidP="004E51F7">
      <w:pPr>
        <w:pStyle w:val="Heading3"/>
        <w:rPr>
          <w:rFonts w:eastAsia="Times New Roman"/>
          <w:u w:val="single"/>
          <w:lang w:eastAsia="bg-BG"/>
        </w:rPr>
      </w:pPr>
      <w:r w:rsidRPr="004E51F7">
        <w:rPr>
          <w:rFonts w:eastAsia="Times New Roman"/>
          <w:u w:val="single"/>
          <w:lang w:eastAsia="bg-BG"/>
        </w:rPr>
        <w:t>Фертилитет</w:t>
      </w:r>
    </w:p>
    <w:p w14:paraId="0AD2D38F" w14:textId="59CF778A" w:rsidR="004E51F7" w:rsidRPr="004E51F7" w:rsidRDefault="004E51F7" w:rsidP="004E51F7">
      <w:pPr>
        <w:rPr>
          <w:rFonts w:cs="Arial"/>
        </w:rPr>
      </w:pPr>
      <w:r w:rsidRPr="004E51F7">
        <w:rPr>
          <w:rFonts w:eastAsia="Times New Roman" w:cs="Arial"/>
          <w:color w:val="000000"/>
          <w:lang w:eastAsia="bg-BG"/>
        </w:rPr>
        <w:t>При проучвания с животни аторвастатин не повлиява мъжкия или женски фертилитет (вж. точка 5.3).</w:t>
      </w:r>
    </w:p>
    <w:p w14:paraId="1C894ED0" w14:textId="77777777" w:rsidR="004E51F7" w:rsidRPr="0091385D" w:rsidRDefault="004E51F7"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2B4135A6" w14:textId="7BE61259" w:rsidR="0091385D" w:rsidRPr="004E51F7" w:rsidRDefault="004E51F7" w:rsidP="0091385D">
      <w:pPr>
        <w:rPr>
          <w:rFonts w:cs="Arial"/>
        </w:rPr>
      </w:pPr>
      <w:r w:rsidRPr="004E51F7">
        <w:rPr>
          <w:rFonts w:cs="Arial"/>
        </w:rPr>
        <w:t>Аторвастатин повлиява пренебрежимо способността за шофиране и работа с машини.</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0E9A5924" w14:textId="77777777"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t>В базата данни от плацебо-контролирани клинични проучвания на аторвастатин при 16 066 (8 755 на аторвастатин спрямо 7 311 на плацебо) пациенти, лекувани за период с медиана 53 седмици, 5,2% от пациентите на аторвастатин са преустановили лечението поради нежелани лекарствени реакции, в сравнение с 4,0% от пациентите на плацебо.</w:t>
      </w:r>
    </w:p>
    <w:p w14:paraId="157FA6A0" w14:textId="77777777" w:rsidR="004E51F7" w:rsidRPr="004E51F7" w:rsidRDefault="004E51F7" w:rsidP="004E51F7">
      <w:pPr>
        <w:spacing w:line="240" w:lineRule="auto"/>
        <w:rPr>
          <w:rFonts w:eastAsia="Times New Roman" w:cs="Arial"/>
          <w:color w:val="000000"/>
          <w:lang w:eastAsia="bg-BG"/>
        </w:rPr>
      </w:pPr>
    </w:p>
    <w:p w14:paraId="525A7977" w14:textId="5239FBD9"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t>Въз основа на данните от клинични проучвания и продължителен постмаркетингов опит, следната таблица представя профила на нежеланите реакции за аторвастатин.</w:t>
      </w:r>
    </w:p>
    <w:p w14:paraId="73F2BDB1" w14:textId="77777777"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lastRenderedPageBreak/>
        <w:t>Оценените честоти на реакциите са подредени според следната конвенция: чести (≥ 1/100 до &lt;1/10); нечести (≥</w:t>
      </w:r>
      <w:r w:rsidRPr="004E51F7">
        <w:rPr>
          <w:rFonts w:eastAsia="Times New Roman" w:cs="Arial"/>
          <w:color w:val="000000"/>
          <w:lang w:val="en-US"/>
        </w:rPr>
        <w:t xml:space="preserve"> </w:t>
      </w:r>
      <w:r w:rsidRPr="004E51F7">
        <w:rPr>
          <w:rFonts w:eastAsia="Times New Roman" w:cs="Arial"/>
          <w:color w:val="000000"/>
          <w:lang w:eastAsia="bg-BG"/>
        </w:rPr>
        <w:t>1/1,000 до &lt;1/100); редки (≥ 1/10,000до &lt;1/1,000); много редки (≤1/10 000), с неизвестна честота (не могат да бъдат определени с наличните данни)</w:t>
      </w:r>
    </w:p>
    <w:p w14:paraId="637E8282" w14:textId="77777777" w:rsidR="004E51F7" w:rsidRPr="004E51F7" w:rsidRDefault="004E51F7" w:rsidP="004E51F7">
      <w:pPr>
        <w:spacing w:line="240" w:lineRule="auto"/>
        <w:rPr>
          <w:rFonts w:eastAsia="Times New Roman" w:cs="Arial"/>
          <w:color w:val="000000"/>
          <w:u w:val="single"/>
          <w:lang w:eastAsia="bg-BG"/>
        </w:rPr>
      </w:pPr>
    </w:p>
    <w:p w14:paraId="42642BFB" w14:textId="5D280617"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u w:val="single"/>
          <w:lang w:eastAsia="bg-BG"/>
        </w:rPr>
        <w:t>Инфекции и инфестации</w:t>
      </w:r>
    </w:p>
    <w:p w14:paraId="17F81F9E" w14:textId="77777777"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t>Чести: назофарингит</w:t>
      </w:r>
    </w:p>
    <w:p w14:paraId="4A2F51FF" w14:textId="77777777" w:rsidR="004E51F7" w:rsidRPr="004E51F7" w:rsidRDefault="004E51F7" w:rsidP="004E51F7">
      <w:pPr>
        <w:spacing w:line="240" w:lineRule="auto"/>
        <w:rPr>
          <w:rFonts w:eastAsia="Times New Roman" w:cs="Arial"/>
          <w:color w:val="000000"/>
          <w:u w:val="single"/>
          <w:lang w:eastAsia="bg-BG"/>
        </w:rPr>
      </w:pPr>
    </w:p>
    <w:p w14:paraId="24E1A54D" w14:textId="0761B37C"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u w:val="single"/>
          <w:lang w:eastAsia="bg-BG"/>
        </w:rPr>
        <w:t>Нарушения на кръвта и лимфната система</w:t>
      </w:r>
    </w:p>
    <w:p w14:paraId="7F8F3796" w14:textId="77777777"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t>Редки: тромбоцитопения</w:t>
      </w:r>
    </w:p>
    <w:p w14:paraId="2CBD917A" w14:textId="77777777" w:rsidR="004E51F7" w:rsidRPr="004E51F7" w:rsidRDefault="004E51F7" w:rsidP="004E51F7">
      <w:pPr>
        <w:spacing w:line="240" w:lineRule="auto"/>
        <w:rPr>
          <w:rFonts w:eastAsia="Times New Roman" w:cs="Arial"/>
          <w:color w:val="000000"/>
          <w:u w:val="single"/>
          <w:lang w:eastAsia="bg-BG"/>
        </w:rPr>
      </w:pPr>
    </w:p>
    <w:p w14:paraId="345473AC" w14:textId="14697516"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u w:val="single"/>
          <w:lang w:eastAsia="bg-BG"/>
        </w:rPr>
        <w:t>Нарушения на имунната система</w:t>
      </w:r>
    </w:p>
    <w:p w14:paraId="26E662D4" w14:textId="77777777"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t>Чести: алергични реакции</w:t>
      </w:r>
    </w:p>
    <w:p w14:paraId="6F6A3495" w14:textId="77777777"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t>Много редки; анафилаксия</w:t>
      </w:r>
    </w:p>
    <w:p w14:paraId="586EE846" w14:textId="77777777" w:rsidR="004E51F7" w:rsidRPr="004E51F7" w:rsidRDefault="004E51F7" w:rsidP="004E51F7">
      <w:pPr>
        <w:spacing w:line="240" w:lineRule="auto"/>
        <w:rPr>
          <w:rFonts w:eastAsia="Times New Roman" w:cs="Arial"/>
          <w:color w:val="000000"/>
          <w:u w:val="single"/>
          <w:lang w:eastAsia="bg-BG"/>
        </w:rPr>
      </w:pPr>
    </w:p>
    <w:p w14:paraId="5870229A" w14:textId="7F82CFE8"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u w:val="single"/>
          <w:lang w:eastAsia="bg-BG"/>
        </w:rPr>
        <w:t>Нарушения на метаболизма и храненето</w:t>
      </w:r>
    </w:p>
    <w:p w14:paraId="60EC4C21" w14:textId="77777777"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t>Чести: хипергликемия</w:t>
      </w:r>
    </w:p>
    <w:p w14:paraId="64317430" w14:textId="77777777"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t>Нечести: хипогликемия, увеличено тегло, анорексия</w:t>
      </w:r>
    </w:p>
    <w:p w14:paraId="5159716E" w14:textId="77777777" w:rsidR="004E51F7" w:rsidRPr="004E51F7" w:rsidRDefault="004E51F7" w:rsidP="004E51F7">
      <w:pPr>
        <w:spacing w:line="240" w:lineRule="auto"/>
        <w:rPr>
          <w:rFonts w:eastAsia="Times New Roman" w:cs="Arial"/>
          <w:color w:val="000000"/>
          <w:u w:val="single"/>
          <w:lang w:eastAsia="bg-BG"/>
        </w:rPr>
      </w:pPr>
    </w:p>
    <w:p w14:paraId="58434C59" w14:textId="31D19BF9"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u w:val="single"/>
          <w:lang w:eastAsia="bg-BG"/>
        </w:rPr>
        <w:t>Психични нарушения</w:t>
      </w:r>
    </w:p>
    <w:p w14:paraId="28D4D64A" w14:textId="77777777"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t>Нечести: кошмари, инсомния</w:t>
      </w:r>
    </w:p>
    <w:p w14:paraId="04747708" w14:textId="77777777" w:rsidR="004E51F7" w:rsidRPr="004E51F7" w:rsidRDefault="004E51F7" w:rsidP="004E51F7">
      <w:pPr>
        <w:spacing w:line="240" w:lineRule="auto"/>
        <w:rPr>
          <w:rFonts w:eastAsia="Times New Roman" w:cs="Arial"/>
          <w:color w:val="000000"/>
          <w:u w:val="single"/>
          <w:lang w:eastAsia="bg-BG"/>
        </w:rPr>
      </w:pPr>
    </w:p>
    <w:p w14:paraId="082D9433" w14:textId="6F6157DC"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u w:val="single"/>
          <w:lang w:eastAsia="bg-BG"/>
        </w:rPr>
        <w:t>Нарушения на нервната система</w:t>
      </w:r>
    </w:p>
    <w:p w14:paraId="579B2EA9" w14:textId="77777777"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t>Чести: главоболие</w:t>
      </w:r>
    </w:p>
    <w:p w14:paraId="7759E3D4" w14:textId="77777777"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t>Нечести: замаяност, парастезия, хипоестезия, дисгеузия, амнезия</w:t>
      </w:r>
    </w:p>
    <w:p w14:paraId="4E86456F" w14:textId="77777777"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t>Редки: периферна невропатия</w:t>
      </w:r>
    </w:p>
    <w:p w14:paraId="41B59400" w14:textId="77777777" w:rsidR="004E51F7" w:rsidRPr="004E51F7" w:rsidRDefault="004E51F7" w:rsidP="004E51F7">
      <w:pPr>
        <w:spacing w:line="240" w:lineRule="auto"/>
        <w:rPr>
          <w:rFonts w:eastAsia="Times New Roman" w:cs="Arial"/>
          <w:color w:val="000000"/>
          <w:u w:val="single"/>
          <w:lang w:eastAsia="bg-BG"/>
        </w:rPr>
      </w:pPr>
    </w:p>
    <w:p w14:paraId="10229243" w14:textId="030714CC"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u w:val="single"/>
          <w:lang w:eastAsia="bg-BG"/>
        </w:rPr>
        <w:t>Нарушения на очите</w:t>
      </w:r>
    </w:p>
    <w:p w14:paraId="1951CD23" w14:textId="77777777"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t>Нечести: замъглено виждане</w:t>
      </w:r>
    </w:p>
    <w:p w14:paraId="7237856A" w14:textId="77777777"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t>Редки: зрителни нарушения</w:t>
      </w:r>
    </w:p>
    <w:p w14:paraId="6916E773" w14:textId="77777777" w:rsidR="004E51F7" w:rsidRPr="004E51F7" w:rsidRDefault="004E51F7" w:rsidP="004E51F7">
      <w:pPr>
        <w:spacing w:line="240" w:lineRule="auto"/>
        <w:rPr>
          <w:rFonts w:eastAsia="Times New Roman" w:cs="Arial"/>
          <w:color w:val="000000"/>
          <w:u w:val="single"/>
          <w:lang w:eastAsia="bg-BG"/>
        </w:rPr>
      </w:pPr>
    </w:p>
    <w:p w14:paraId="57061B35" w14:textId="6DFB9F30"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u w:val="single"/>
          <w:lang w:eastAsia="bg-BG"/>
        </w:rPr>
        <w:t>Нарушения на ухото и лабиринта</w:t>
      </w:r>
    </w:p>
    <w:p w14:paraId="204EA915" w14:textId="77777777" w:rsidR="004E51F7" w:rsidRPr="004E51F7" w:rsidRDefault="004E51F7" w:rsidP="004E51F7">
      <w:pPr>
        <w:spacing w:line="240" w:lineRule="auto"/>
        <w:rPr>
          <w:rFonts w:eastAsia="Times New Roman" w:cs="Arial"/>
          <w:sz w:val="24"/>
          <w:szCs w:val="24"/>
          <w:lang w:eastAsia="bg-BG"/>
        </w:rPr>
      </w:pPr>
      <w:r w:rsidRPr="004E51F7">
        <w:rPr>
          <w:rFonts w:eastAsia="Times New Roman" w:cs="Arial"/>
          <w:color w:val="000000"/>
          <w:lang w:eastAsia="bg-BG"/>
        </w:rPr>
        <w:t>Нечести: тинитус</w:t>
      </w:r>
    </w:p>
    <w:p w14:paraId="570508C4" w14:textId="049EB88D" w:rsidR="0091385D" w:rsidRDefault="004E51F7" w:rsidP="004E51F7">
      <w:pPr>
        <w:rPr>
          <w:rFonts w:eastAsia="Times New Roman" w:cs="Arial"/>
          <w:color w:val="000000"/>
          <w:lang w:eastAsia="bg-BG"/>
        </w:rPr>
      </w:pPr>
      <w:r w:rsidRPr="004E51F7">
        <w:rPr>
          <w:rFonts w:eastAsia="Times New Roman" w:cs="Arial"/>
          <w:color w:val="000000"/>
          <w:lang w:eastAsia="bg-BG"/>
        </w:rPr>
        <w:t>Много редки: загуба на слух</w:t>
      </w:r>
    </w:p>
    <w:p w14:paraId="581AB012" w14:textId="12E17AE2" w:rsidR="000F092C" w:rsidRDefault="000F092C" w:rsidP="004E51F7">
      <w:pPr>
        <w:rPr>
          <w:rFonts w:eastAsia="Times New Roman" w:cs="Arial"/>
          <w:color w:val="000000"/>
          <w:lang w:eastAsia="bg-BG"/>
        </w:rPr>
      </w:pPr>
    </w:p>
    <w:p w14:paraId="42DF052C"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u w:val="single"/>
          <w:lang w:eastAsia="bg-BG"/>
        </w:rPr>
        <w:t>Респираторни, гръдни и медиастинални нарушения</w:t>
      </w:r>
    </w:p>
    <w:p w14:paraId="00D64B25"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Чести: фаринголарингеална болка, епистаксис</w:t>
      </w:r>
    </w:p>
    <w:p w14:paraId="4DC34F62" w14:textId="77777777" w:rsidR="000F092C" w:rsidRPr="000F092C" w:rsidRDefault="000F092C" w:rsidP="000F092C">
      <w:pPr>
        <w:spacing w:line="240" w:lineRule="auto"/>
        <w:rPr>
          <w:rFonts w:eastAsia="Times New Roman" w:cs="Arial"/>
          <w:color w:val="000000"/>
          <w:u w:val="single"/>
          <w:lang w:eastAsia="bg-BG"/>
        </w:rPr>
      </w:pPr>
    </w:p>
    <w:p w14:paraId="380D7BF8" w14:textId="0C41A77E"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u w:val="single"/>
          <w:lang w:eastAsia="bg-BG"/>
        </w:rPr>
        <w:t>Стомашно-чревни нарушения</w:t>
      </w:r>
    </w:p>
    <w:p w14:paraId="7859B567"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Чести: констипация, флатуленция, диспепсия, гадене, диария</w:t>
      </w:r>
    </w:p>
    <w:p w14:paraId="249133B2"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Нечести: повръщане, болки в горните и долни отдели на корема, оригване, панкреатит</w:t>
      </w:r>
    </w:p>
    <w:p w14:paraId="35EAD031" w14:textId="77777777" w:rsidR="000F092C" w:rsidRPr="000F092C" w:rsidRDefault="000F092C" w:rsidP="000F092C">
      <w:pPr>
        <w:spacing w:line="240" w:lineRule="auto"/>
        <w:rPr>
          <w:rFonts w:eastAsia="Times New Roman" w:cs="Arial"/>
          <w:color w:val="000000"/>
          <w:u w:val="single"/>
          <w:lang w:eastAsia="bg-BG"/>
        </w:rPr>
      </w:pPr>
    </w:p>
    <w:p w14:paraId="7178F021" w14:textId="6494A780"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u w:val="single"/>
          <w:lang w:eastAsia="bg-BG"/>
        </w:rPr>
        <w:t>Хепато-билиарни нарушения</w:t>
      </w:r>
    </w:p>
    <w:p w14:paraId="47A1123B"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Нечести: хепатит</w:t>
      </w:r>
    </w:p>
    <w:p w14:paraId="09453F2C"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Редки: холестаза</w:t>
      </w:r>
    </w:p>
    <w:p w14:paraId="40953760"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Много редки: чернодробна недостатъчност</w:t>
      </w:r>
    </w:p>
    <w:p w14:paraId="02FAA4E5" w14:textId="77777777" w:rsidR="000F092C" w:rsidRPr="000F092C" w:rsidRDefault="000F092C" w:rsidP="000F092C">
      <w:pPr>
        <w:spacing w:line="240" w:lineRule="auto"/>
        <w:rPr>
          <w:rFonts w:eastAsia="Times New Roman" w:cs="Arial"/>
          <w:color w:val="000000"/>
          <w:u w:val="single"/>
          <w:lang w:eastAsia="bg-BG"/>
        </w:rPr>
      </w:pPr>
    </w:p>
    <w:p w14:paraId="377A4726" w14:textId="746C8A18"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u w:val="single"/>
          <w:lang w:eastAsia="bg-BG"/>
        </w:rPr>
        <w:t>Нарушения на кожата и подкожната тъкан</w:t>
      </w:r>
    </w:p>
    <w:p w14:paraId="69085E82"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Нечести: уртикария, кожен обрив, пруритус, алопеция</w:t>
      </w:r>
    </w:p>
    <w:p w14:paraId="011E9C0A"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Редки: ангионевротичен едем, булозен дерматит, включително еритема мултиформе, синдром на </w:t>
      </w:r>
      <w:r w:rsidRPr="000F092C">
        <w:rPr>
          <w:rFonts w:eastAsia="Times New Roman" w:cs="Arial"/>
          <w:color w:val="000000"/>
          <w:lang w:val="en-US"/>
        </w:rPr>
        <w:t xml:space="preserve">Stevens-Johnson </w:t>
      </w:r>
      <w:r w:rsidRPr="000F092C">
        <w:rPr>
          <w:rFonts w:eastAsia="Times New Roman" w:cs="Arial"/>
          <w:color w:val="000000"/>
          <w:lang w:eastAsia="bg-BG"/>
        </w:rPr>
        <w:t>и токсична епидермална некролиза</w:t>
      </w:r>
    </w:p>
    <w:p w14:paraId="0A6F8C78" w14:textId="77777777" w:rsidR="000F092C" w:rsidRPr="000F092C" w:rsidRDefault="000F092C" w:rsidP="000F092C">
      <w:pPr>
        <w:spacing w:line="240" w:lineRule="auto"/>
        <w:rPr>
          <w:rFonts w:eastAsia="Times New Roman" w:cs="Arial"/>
          <w:color w:val="000000"/>
          <w:u w:val="single"/>
          <w:lang w:eastAsia="bg-BG"/>
        </w:rPr>
      </w:pPr>
    </w:p>
    <w:p w14:paraId="0E54D3F3" w14:textId="5C036CBE"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u w:val="single"/>
          <w:lang w:eastAsia="bg-BG"/>
        </w:rPr>
        <w:lastRenderedPageBreak/>
        <w:t>Нарушения на мускулно-скелетната система и съединителната тъкан</w:t>
      </w:r>
    </w:p>
    <w:p w14:paraId="6753BA1D"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Чести: миалгия, артралгия, болки в крайниците, мускулни спазми, подуване на ставите, болки в гърба Нечести: болки в шията, мускулна слабост</w:t>
      </w:r>
    </w:p>
    <w:p w14:paraId="1217CFA7"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Редки: миопатия, миозит, рабдомиолиза, мускулна руптура, тендинопатия, понякога усложнена с рутпура на сухожилие</w:t>
      </w:r>
    </w:p>
    <w:p w14:paraId="3686050C"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Много редки: лупус-подобен синдром</w:t>
      </w:r>
    </w:p>
    <w:p w14:paraId="4E7C6CDC"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С неизвестна честота: имунно-медиирана некротизираща миопатия (вж. точка 4.4 )</w:t>
      </w:r>
    </w:p>
    <w:p w14:paraId="7B468905" w14:textId="77777777" w:rsidR="000F092C" w:rsidRPr="000F092C" w:rsidRDefault="000F092C" w:rsidP="000F092C">
      <w:pPr>
        <w:spacing w:line="240" w:lineRule="auto"/>
        <w:rPr>
          <w:rFonts w:eastAsia="Times New Roman" w:cs="Arial"/>
          <w:color w:val="000000"/>
          <w:u w:val="single"/>
          <w:lang w:eastAsia="bg-BG"/>
        </w:rPr>
      </w:pPr>
    </w:p>
    <w:p w14:paraId="1669030D" w14:textId="1085E24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u w:val="single"/>
          <w:lang w:eastAsia="bg-BG"/>
        </w:rPr>
        <w:t>Нарушения на възпроизводителната система и гърдата</w:t>
      </w:r>
    </w:p>
    <w:p w14:paraId="55A6B601" w14:textId="5376D2E8"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Много редки: гинекомастия</w:t>
      </w:r>
    </w:p>
    <w:p w14:paraId="3AE602BE" w14:textId="77777777" w:rsidR="000F092C" w:rsidRPr="000F092C" w:rsidRDefault="000F092C" w:rsidP="000F092C">
      <w:pPr>
        <w:spacing w:line="240" w:lineRule="auto"/>
        <w:rPr>
          <w:rFonts w:eastAsia="Times New Roman" w:cs="Arial"/>
          <w:color w:val="000000"/>
          <w:u w:val="single"/>
          <w:lang w:eastAsia="bg-BG"/>
        </w:rPr>
      </w:pPr>
    </w:p>
    <w:p w14:paraId="77A12B9D" w14:textId="50C5449C"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u w:val="single"/>
          <w:lang w:eastAsia="bg-BG"/>
        </w:rPr>
        <w:t>Общи нарушения и ефекти на мястото на приложение</w:t>
      </w:r>
    </w:p>
    <w:p w14:paraId="7D130B69"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Нечести: неразположение, астения, гръдна болка, периферен едем, умора, пирексия</w:t>
      </w:r>
    </w:p>
    <w:p w14:paraId="27C58423" w14:textId="77777777" w:rsidR="000F092C" w:rsidRPr="000F092C" w:rsidRDefault="000F092C" w:rsidP="000F092C">
      <w:pPr>
        <w:spacing w:line="240" w:lineRule="auto"/>
        <w:rPr>
          <w:rFonts w:eastAsia="Times New Roman" w:cs="Arial"/>
          <w:color w:val="000000"/>
          <w:u w:val="single"/>
          <w:lang w:eastAsia="bg-BG"/>
        </w:rPr>
      </w:pPr>
    </w:p>
    <w:p w14:paraId="5EA9B234" w14:textId="251B6A30"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u w:val="single"/>
          <w:lang w:eastAsia="bg-BG"/>
        </w:rPr>
        <w:t>Изследвания</w:t>
      </w:r>
    </w:p>
    <w:p w14:paraId="2F2666DC"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Чести: абнормени стойности на чернодробните функционални тестове, повишено ниво на креатин киназата в кръвта</w:t>
      </w:r>
    </w:p>
    <w:p w14:paraId="6F44C3F6"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Нечести: положителен резултат за бели кръвни клетки в урината</w:t>
      </w:r>
    </w:p>
    <w:p w14:paraId="26A86DF6" w14:textId="77777777" w:rsidR="000F092C" w:rsidRPr="000F092C" w:rsidRDefault="000F092C" w:rsidP="000F092C">
      <w:pPr>
        <w:spacing w:line="240" w:lineRule="auto"/>
        <w:rPr>
          <w:rFonts w:eastAsia="Times New Roman" w:cs="Arial"/>
          <w:color w:val="000000"/>
          <w:lang w:eastAsia="bg-BG"/>
        </w:rPr>
      </w:pPr>
    </w:p>
    <w:p w14:paraId="3C1E9D7E" w14:textId="5F6AFE3E"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Както при други инхибитори на </w:t>
      </w:r>
      <w:r w:rsidRPr="000F092C">
        <w:rPr>
          <w:rFonts w:eastAsia="Times New Roman" w:cs="Arial"/>
          <w:color w:val="000000"/>
          <w:lang w:val="en-US"/>
        </w:rPr>
        <w:t xml:space="preserve">HMG-CoA </w:t>
      </w:r>
      <w:r w:rsidRPr="000F092C">
        <w:rPr>
          <w:rFonts w:eastAsia="Times New Roman" w:cs="Arial"/>
          <w:color w:val="000000"/>
          <w:lang w:eastAsia="bg-BG"/>
        </w:rPr>
        <w:t>редуктаза, при пациенти, получаващи аторвастатин са били съобщени повишени нива на серумните трансаминази. Тези промени са били обикновено леки, преходни и не са налагали прекъсване на лечението. Клинично важни (&gt; 3 пъти горната граница на нормата) повишения на серумните трансаминази са възникнали при 0,8% от пациентите на аторвастатин. Тези повишения са били дозозависими и обратими при всички пациенти.</w:t>
      </w:r>
    </w:p>
    <w:p w14:paraId="602D93A5" w14:textId="77777777" w:rsidR="000F092C" w:rsidRPr="000F092C" w:rsidRDefault="000F092C" w:rsidP="000F092C">
      <w:pPr>
        <w:spacing w:line="240" w:lineRule="auto"/>
        <w:rPr>
          <w:rFonts w:eastAsia="Times New Roman" w:cs="Arial"/>
          <w:color w:val="000000"/>
          <w:lang w:eastAsia="bg-BG"/>
        </w:rPr>
      </w:pPr>
    </w:p>
    <w:p w14:paraId="7D8CBE9D" w14:textId="268F3D40"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Подобно на други инхибитори на </w:t>
      </w:r>
      <w:r w:rsidRPr="000F092C">
        <w:rPr>
          <w:rFonts w:eastAsia="Times New Roman" w:cs="Arial"/>
          <w:color w:val="000000"/>
          <w:lang w:val="en-US"/>
        </w:rPr>
        <w:t xml:space="preserve">HMG-CoA </w:t>
      </w:r>
      <w:r w:rsidRPr="000F092C">
        <w:rPr>
          <w:rFonts w:eastAsia="Times New Roman" w:cs="Arial"/>
          <w:color w:val="000000"/>
          <w:lang w:eastAsia="bg-BG"/>
        </w:rPr>
        <w:t>редуктаза в клинични проучвания, повишени нива на серумната креатин киназа (СК), надхвърлящи 3 пъти горната граница на нормата са възникнали при 2,5% от пациентите на аторвастатин. При 0,4 % от пациентите, лекувани с аторвастатин, са възникнали нива над 10 пъти горната граница на нормата (вж. точка 4.4).</w:t>
      </w:r>
    </w:p>
    <w:p w14:paraId="62E6F155" w14:textId="77777777" w:rsidR="000F092C" w:rsidRPr="000F092C" w:rsidRDefault="000F092C" w:rsidP="000F092C">
      <w:pPr>
        <w:spacing w:line="240" w:lineRule="auto"/>
        <w:rPr>
          <w:rFonts w:eastAsia="Times New Roman" w:cs="Arial"/>
          <w:color w:val="000000"/>
          <w:u w:val="single"/>
          <w:lang w:eastAsia="bg-BG"/>
        </w:rPr>
      </w:pPr>
    </w:p>
    <w:p w14:paraId="1B79970E" w14:textId="4F860126"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u w:val="single"/>
          <w:lang w:eastAsia="bg-BG"/>
        </w:rPr>
        <w:t>Педиатрична популация</w:t>
      </w:r>
    </w:p>
    <w:p w14:paraId="6F33E97E" w14:textId="22A4BE0B" w:rsidR="000F092C" w:rsidRPr="000F092C" w:rsidRDefault="000F092C" w:rsidP="000F092C">
      <w:pPr>
        <w:rPr>
          <w:rFonts w:cs="Arial"/>
        </w:rPr>
      </w:pPr>
      <w:r w:rsidRPr="000F092C">
        <w:rPr>
          <w:rFonts w:eastAsia="Times New Roman" w:cs="Arial"/>
          <w:color w:val="000000"/>
          <w:lang w:eastAsia="bg-BG"/>
        </w:rPr>
        <w:t xml:space="preserve">Пациенти на възраст от 10 до 17-години, лекувани с аторвастатин, са имали профил на безопасност, подобен на този при пациенти, лекувани с плацебо. Най-честите нежелани реакции, наблюдавани и в двете групи, независимо от причинно-следствената връзка, са били инфекциите. В 3-годишно проучване, основаващо се на оценка на общото съзряване и развитие, оценка по стадий на </w:t>
      </w:r>
      <w:r w:rsidRPr="000F092C">
        <w:rPr>
          <w:rFonts w:eastAsia="Times New Roman" w:cs="Arial"/>
          <w:color w:val="000000"/>
          <w:lang w:val="en-US"/>
        </w:rPr>
        <w:t xml:space="preserve">Tanner </w:t>
      </w:r>
      <w:r w:rsidRPr="000F092C">
        <w:rPr>
          <w:rFonts w:eastAsia="Times New Roman" w:cs="Arial"/>
          <w:color w:val="000000"/>
          <w:lang w:eastAsia="bg-BG"/>
        </w:rPr>
        <w:t>и измерване на височина и тегло, не се наблюдава клинично значим ефект върху растежа и половото съзряване. Профилът на безопасност и поносимост при педиатрични пациенти е бил подобен на известния профил на безопасност на аторвастатин при възрастни.</w:t>
      </w:r>
    </w:p>
    <w:p w14:paraId="43E3C48F" w14:textId="4A7E3B6E" w:rsidR="0091385D" w:rsidRDefault="0091385D" w:rsidP="0091385D"/>
    <w:p w14:paraId="21E94A42" w14:textId="77777777" w:rsidR="000F092C" w:rsidRPr="000F092C" w:rsidRDefault="000F092C" w:rsidP="000F092C">
      <w:pPr>
        <w:spacing w:line="240" w:lineRule="auto"/>
        <w:rPr>
          <w:rFonts w:eastAsia="Times New Roman" w:cs="Arial"/>
          <w:lang w:eastAsia="bg-BG"/>
        </w:rPr>
      </w:pPr>
      <w:r w:rsidRPr="000F092C">
        <w:rPr>
          <w:rFonts w:eastAsia="Times New Roman" w:cs="Arial"/>
          <w:color w:val="000000"/>
          <w:lang w:eastAsia="bg-BG"/>
        </w:rPr>
        <w:t>Базата данни за клинична безопасност включва данни за безопасността при 520 пациенти в детска възраст, които са получавали аторвастатин, от които 7 пациенти са били на възраст под 6 години, 121 пациенти на възраст между 6 и 9 години, и 392 пациенти са били между 10 до 17 години. Въз основа на наличните данни може да се заключи, че честотата, видът и тежестта на нежеланите реакции при деца са сходни с тези при възрастните.</w:t>
      </w:r>
    </w:p>
    <w:p w14:paraId="0F8BFB52" w14:textId="77777777" w:rsidR="000F092C" w:rsidRPr="000F092C" w:rsidRDefault="000F092C" w:rsidP="000F092C">
      <w:pPr>
        <w:spacing w:line="240" w:lineRule="auto"/>
        <w:rPr>
          <w:rFonts w:eastAsia="Times New Roman" w:cs="Arial"/>
          <w:color w:val="000000"/>
          <w:u w:val="single"/>
          <w:lang w:eastAsia="bg-BG"/>
        </w:rPr>
      </w:pPr>
    </w:p>
    <w:p w14:paraId="0DD29148" w14:textId="758878B7" w:rsidR="000F092C" w:rsidRPr="000F092C" w:rsidRDefault="000F092C" w:rsidP="000F092C">
      <w:pPr>
        <w:spacing w:line="240" w:lineRule="auto"/>
        <w:rPr>
          <w:rFonts w:eastAsia="Times New Roman" w:cs="Arial"/>
          <w:lang w:eastAsia="bg-BG"/>
        </w:rPr>
      </w:pPr>
      <w:r w:rsidRPr="000F092C">
        <w:rPr>
          <w:rFonts w:eastAsia="Times New Roman" w:cs="Arial"/>
          <w:color w:val="000000"/>
          <w:u w:val="single"/>
          <w:lang w:eastAsia="bg-BG"/>
        </w:rPr>
        <w:t>Следните нежелани събития са съобщени при някои статини:</w:t>
      </w:r>
    </w:p>
    <w:p w14:paraId="36DBB5CF" w14:textId="77777777" w:rsidR="000F092C" w:rsidRDefault="000F092C" w:rsidP="000F092C">
      <w:pPr>
        <w:pStyle w:val="ListParagraph"/>
        <w:numPr>
          <w:ilvl w:val="0"/>
          <w:numId w:val="37"/>
        </w:numPr>
        <w:spacing w:line="240" w:lineRule="auto"/>
        <w:rPr>
          <w:rFonts w:eastAsia="Times New Roman" w:cs="Arial"/>
          <w:color w:val="000000"/>
          <w:lang w:eastAsia="bg-BG"/>
        </w:rPr>
      </w:pPr>
      <w:r w:rsidRPr="000F092C">
        <w:rPr>
          <w:rFonts w:eastAsia="Times New Roman" w:cs="Arial"/>
          <w:color w:val="000000"/>
          <w:lang w:eastAsia="bg-BG"/>
        </w:rPr>
        <w:lastRenderedPageBreak/>
        <w:t>сексуална дисфункция</w:t>
      </w:r>
    </w:p>
    <w:p w14:paraId="04D97966" w14:textId="77777777" w:rsidR="000F092C" w:rsidRDefault="000F092C" w:rsidP="000F092C">
      <w:pPr>
        <w:pStyle w:val="ListParagraph"/>
        <w:numPr>
          <w:ilvl w:val="0"/>
          <w:numId w:val="37"/>
        </w:numPr>
        <w:spacing w:line="240" w:lineRule="auto"/>
        <w:rPr>
          <w:rFonts w:eastAsia="Times New Roman" w:cs="Arial"/>
          <w:color w:val="000000"/>
          <w:lang w:eastAsia="bg-BG"/>
        </w:rPr>
      </w:pPr>
      <w:r w:rsidRPr="000F092C">
        <w:rPr>
          <w:rFonts w:eastAsia="Times New Roman" w:cs="Arial"/>
          <w:color w:val="000000"/>
          <w:lang w:eastAsia="bg-BG"/>
        </w:rPr>
        <w:t>депресия</w:t>
      </w:r>
    </w:p>
    <w:p w14:paraId="3CE35136" w14:textId="77777777" w:rsidR="000F092C" w:rsidRDefault="000F092C" w:rsidP="000F092C">
      <w:pPr>
        <w:pStyle w:val="ListParagraph"/>
        <w:numPr>
          <w:ilvl w:val="0"/>
          <w:numId w:val="37"/>
        </w:numPr>
        <w:spacing w:line="240" w:lineRule="auto"/>
        <w:rPr>
          <w:rFonts w:eastAsia="Times New Roman" w:cs="Arial"/>
          <w:color w:val="000000"/>
          <w:lang w:eastAsia="bg-BG"/>
        </w:rPr>
      </w:pPr>
      <w:r w:rsidRPr="000F092C">
        <w:rPr>
          <w:rFonts w:eastAsia="Times New Roman" w:cs="Arial"/>
          <w:color w:val="000000"/>
          <w:lang w:eastAsia="bg-BG"/>
        </w:rPr>
        <w:t>единични случаи на интерстициална белодробна болест, особено при продължително лечение (вж. точка 4.4)</w:t>
      </w:r>
    </w:p>
    <w:p w14:paraId="1C52A9E5" w14:textId="595F6CF1" w:rsidR="000F092C" w:rsidRPr="000F092C" w:rsidRDefault="000F092C" w:rsidP="000F092C">
      <w:pPr>
        <w:pStyle w:val="ListParagraph"/>
        <w:numPr>
          <w:ilvl w:val="0"/>
          <w:numId w:val="37"/>
        </w:numPr>
        <w:spacing w:line="240" w:lineRule="auto"/>
        <w:rPr>
          <w:rFonts w:eastAsia="Times New Roman" w:cs="Arial"/>
          <w:color w:val="000000"/>
          <w:lang w:eastAsia="bg-BG"/>
        </w:rPr>
      </w:pPr>
      <w:r w:rsidRPr="000F092C">
        <w:rPr>
          <w:rFonts w:eastAsia="Times New Roman" w:cs="Arial"/>
          <w:color w:val="000000"/>
          <w:lang w:eastAsia="bg-BG"/>
        </w:rPr>
        <w:t>захарен диабет: честотата на възникване зависи от наличието или отсъствието на рискови фактори (глюкоза на гладно ≥</w:t>
      </w:r>
      <w:r w:rsidRPr="000F092C">
        <w:rPr>
          <w:rFonts w:eastAsia="Times New Roman" w:cs="Arial"/>
          <w:color w:val="000000"/>
          <w:lang w:val="en-US"/>
        </w:rPr>
        <w:t xml:space="preserve"> </w:t>
      </w:r>
      <w:r w:rsidRPr="000F092C">
        <w:rPr>
          <w:rFonts w:eastAsia="Times New Roman" w:cs="Arial"/>
          <w:color w:val="000000"/>
          <w:lang w:eastAsia="bg-BG"/>
        </w:rPr>
        <w:t xml:space="preserve">5,6 </w:t>
      </w:r>
      <w:r w:rsidRPr="000F092C">
        <w:rPr>
          <w:rFonts w:eastAsia="Times New Roman" w:cs="Arial"/>
          <w:color w:val="000000"/>
          <w:lang w:val="en-US"/>
        </w:rPr>
        <w:t xml:space="preserve">mmol/l, </w:t>
      </w:r>
      <w:r w:rsidRPr="000F092C">
        <w:rPr>
          <w:rFonts w:eastAsia="Times New Roman" w:cs="Arial"/>
          <w:color w:val="000000"/>
          <w:lang w:eastAsia="bg-BG"/>
        </w:rPr>
        <w:t xml:space="preserve">индекс на телесна маса </w:t>
      </w:r>
      <w:r w:rsidRPr="000F092C">
        <w:rPr>
          <w:rFonts w:eastAsia="Times New Roman" w:cs="Arial"/>
          <w:color w:val="000000"/>
          <w:lang w:val="en-US"/>
        </w:rPr>
        <w:t xml:space="preserve">(BMI) </w:t>
      </w:r>
      <w:r w:rsidRPr="000F092C">
        <w:rPr>
          <w:rFonts w:eastAsia="Times New Roman" w:cs="Arial"/>
          <w:color w:val="000000"/>
          <w:lang w:eastAsia="bg-BG"/>
        </w:rPr>
        <w:t xml:space="preserve">&gt; </w:t>
      </w:r>
      <w:r w:rsidRPr="000F092C">
        <w:rPr>
          <w:rFonts w:eastAsia="Times New Roman" w:cs="Arial"/>
          <w:color w:val="000000"/>
          <w:lang w:val="en-US"/>
        </w:rPr>
        <w:t>30kg/m</w:t>
      </w:r>
      <w:r w:rsidRPr="000F092C">
        <w:rPr>
          <w:rFonts w:eastAsia="Times New Roman" w:cs="Arial"/>
          <w:color w:val="000000"/>
          <w:vertAlign w:val="superscript"/>
          <w:lang w:val="en-US"/>
        </w:rPr>
        <w:t>2</w:t>
      </w:r>
      <w:r w:rsidRPr="000F092C">
        <w:rPr>
          <w:rFonts w:eastAsia="Times New Roman" w:cs="Arial"/>
          <w:color w:val="000000"/>
          <w:lang w:val="en-US"/>
        </w:rPr>
        <w:t xml:space="preserve">, </w:t>
      </w:r>
      <w:r w:rsidRPr="000F092C">
        <w:rPr>
          <w:rFonts w:eastAsia="Times New Roman" w:cs="Arial"/>
          <w:color w:val="000000"/>
          <w:lang w:eastAsia="bg-BG"/>
        </w:rPr>
        <w:t>повишени триглицериди, анамнеза за хипертония).</w:t>
      </w:r>
    </w:p>
    <w:p w14:paraId="34993B66" w14:textId="77777777" w:rsidR="000F092C" w:rsidRPr="000F092C" w:rsidRDefault="000F092C" w:rsidP="000F092C">
      <w:pPr>
        <w:spacing w:line="240" w:lineRule="auto"/>
        <w:rPr>
          <w:rFonts w:eastAsia="Times New Roman" w:cs="Arial"/>
          <w:color w:val="000000"/>
          <w:u w:val="single"/>
          <w:lang w:eastAsia="bg-BG"/>
        </w:rPr>
      </w:pPr>
    </w:p>
    <w:p w14:paraId="2A4C7163" w14:textId="11102CF4" w:rsidR="000F092C" w:rsidRPr="000F092C" w:rsidRDefault="000F092C" w:rsidP="000F092C">
      <w:pPr>
        <w:spacing w:line="240" w:lineRule="auto"/>
        <w:rPr>
          <w:rFonts w:eastAsia="Times New Roman" w:cs="Arial"/>
          <w:lang w:eastAsia="bg-BG"/>
        </w:rPr>
      </w:pPr>
      <w:r w:rsidRPr="000F092C">
        <w:rPr>
          <w:rFonts w:eastAsia="Times New Roman" w:cs="Arial"/>
          <w:color w:val="000000"/>
          <w:u w:val="single"/>
          <w:lang w:eastAsia="bg-BG"/>
        </w:rPr>
        <w:t>Съобщаване на подозирани нежелани реакции</w:t>
      </w:r>
    </w:p>
    <w:p w14:paraId="51A6A979" w14:textId="77777777" w:rsidR="000F092C" w:rsidRPr="000F092C" w:rsidRDefault="000F092C" w:rsidP="000F092C">
      <w:pPr>
        <w:spacing w:line="240" w:lineRule="auto"/>
        <w:rPr>
          <w:rFonts w:eastAsia="Times New Roman" w:cs="Arial"/>
          <w:lang w:eastAsia="bg-BG"/>
        </w:rPr>
      </w:pPr>
      <w:r w:rsidRPr="000F092C">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01C05DE1" w14:textId="77777777" w:rsidR="000F092C" w:rsidRPr="000F092C" w:rsidRDefault="000F092C" w:rsidP="000F092C">
      <w:pPr>
        <w:spacing w:line="240" w:lineRule="auto"/>
        <w:rPr>
          <w:rFonts w:eastAsia="Times New Roman" w:cs="Arial"/>
          <w:lang w:eastAsia="bg-BG"/>
        </w:rPr>
      </w:pPr>
      <w:r w:rsidRPr="000F092C">
        <w:rPr>
          <w:rFonts w:eastAsia="Times New Roman" w:cs="Arial"/>
          <w:color w:val="000000"/>
          <w:lang w:eastAsia="bg-BG"/>
        </w:rPr>
        <w:t>Изпълнителна агенция по лекарствата</w:t>
      </w:r>
    </w:p>
    <w:p w14:paraId="4BDE28D3" w14:textId="77777777" w:rsidR="000F092C" w:rsidRPr="000F092C" w:rsidRDefault="000F092C" w:rsidP="000F092C">
      <w:pPr>
        <w:spacing w:line="240" w:lineRule="auto"/>
        <w:rPr>
          <w:rFonts w:eastAsia="Times New Roman" w:cs="Arial"/>
          <w:lang w:eastAsia="bg-BG"/>
        </w:rPr>
      </w:pPr>
      <w:r w:rsidRPr="000F092C">
        <w:rPr>
          <w:rFonts w:eastAsia="Times New Roman" w:cs="Arial"/>
          <w:color w:val="000000"/>
          <w:lang w:eastAsia="bg-BG"/>
        </w:rPr>
        <w:t>ул.,Дамян Груев” № 8</w:t>
      </w:r>
    </w:p>
    <w:p w14:paraId="24D10750" w14:textId="77777777" w:rsidR="000F092C" w:rsidRPr="000F092C" w:rsidRDefault="000F092C" w:rsidP="000F092C">
      <w:pPr>
        <w:spacing w:line="240" w:lineRule="auto"/>
        <w:rPr>
          <w:rFonts w:eastAsia="Times New Roman" w:cs="Arial"/>
          <w:lang w:eastAsia="bg-BG"/>
        </w:rPr>
      </w:pPr>
      <w:r w:rsidRPr="000F092C">
        <w:rPr>
          <w:rFonts w:eastAsia="Times New Roman" w:cs="Arial"/>
          <w:color w:val="000000"/>
          <w:lang w:eastAsia="bg-BG"/>
        </w:rPr>
        <w:t>1303 София</w:t>
      </w:r>
    </w:p>
    <w:p w14:paraId="02125EAF" w14:textId="77777777" w:rsidR="000F092C" w:rsidRPr="000F092C" w:rsidRDefault="000F092C" w:rsidP="000F092C">
      <w:pPr>
        <w:spacing w:line="240" w:lineRule="auto"/>
        <w:rPr>
          <w:rFonts w:eastAsia="Times New Roman" w:cs="Arial"/>
          <w:lang w:eastAsia="bg-BG"/>
        </w:rPr>
      </w:pPr>
      <w:r w:rsidRPr="000F092C">
        <w:rPr>
          <w:rFonts w:eastAsia="Times New Roman" w:cs="Arial"/>
          <w:color w:val="000000"/>
          <w:lang w:eastAsia="bg-BG"/>
        </w:rPr>
        <w:t>Тел.: +35 928903417</w:t>
      </w:r>
    </w:p>
    <w:p w14:paraId="67BACD91" w14:textId="15C71227" w:rsidR="000F092C" w:rsidRPr="000F092C" w:rsidRDefault="000F092C" w:rsidP="000F092C">
      <w:pPr>
        <w:rPr>
          <w:rFonts w:cs="Arial"/>
        </w:rPr>
      </w:pPr>
      <w:r w:rsidRPr="000F092C">
        <w:rPr>
          <w:rFonts w:eastAsia="Times New Roman" w:cs="Arial"/>
          <w:color w:val="000000"/>
          <w:lang w:eastAsia="bg-BG"/>
        </w:rPr>
        <w:t xml:space="preserve">уебсайт: </w:t>
      </w:r>
      <w:hyperlink r:id="rId5" w:history="1">
        <w:r w:rsidRPr="000F092C">
          <w:rPr>
            <w:rFonts w:eastAsia="Times New Roman" w:cs="Arial"/>
            <w:color w:val="000000"/>
            <w:u w:val="single"/>
            <w:lang w:val="en-US"/>
          </w:rPr>
          <w:t>www.bda.bg</w:t>
        </w:r>
      </w:hyperlink>
    </w:p>
    <w:p w14:paraId="66E5D009" w14:textId="77777777" w:rsidR="000F092C" w:rsidRPr="0091385D" w:rsidRDefault="000F092C"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0F0079CB" w14:textId="3E5145EC" w:rsidR="0091385D" w:rsidRDefault="000F092C" w:rsidP="0091385D">
      <w:r>
        <w:t>Няма налично специфично лечение при предозиране с аторвастатин. В случай на предозиране, пациентът трябва да се лекува симптоматично и при необходимост, да се предприемат подходящи поддържащи мерки. Трябва да се направят чернодробни функционални изследвания и да се проследяват нивата на серумната СК. Поради екстензивното свързване на аторвастатин с плазмените протеини, не се очаква хемодиализата да подобри значимо клиърънса на аторвастатин.</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421B75AD"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Фармакотерапевтична група: Липидомодифициращи средства, </w:t>
      </w:r>
      <w:r w:rsidRPr="000F092C">
        <w:rPr>
          <w:rFonts w:eastAsia="Times New Roman" w:cs="Arial"/>
          <w:color w:val="000000"/>
          <w:lang w:val="en-US"/>
        </w:rPr>
        <w:t>HMG</w:t>
      </w:r>
      <w:r w:rsidRPr="000F092C">
        <w:rPr>
          <w:rFonts w:eastAsia="Times New Roman" w:cs="Arial"/>
          <w:color w:val="000000"/>
          <w:lang w:eastAsia="bg-BG"/>
        </w:rPr>
        <w:t>-СоА-редуктазни инхибитори, АТС код: С10АА05</w:t>
      </w:r>
    </w:p>
    <w:p w14:paraId="1A5A7507" w14:textId="77777777" w:rsidR="000F092C" w:rsidRPr="000F092C" w:rsidRDefault="000F092C" w:rsidP="000F092C">
      <w:pPr>
        <w:spacing w:line="240" w:lineRule="auto"/>
        <w:rPr>
          <w:rFonts w:eastAsia="Times New Roman" w:cs="Arial"/>
          <w:color w:val="000000"/>
          <w:lang w:eastAsia="bg-BG"/>
        </w:rPr>
      </w:pPr>
    </w:p>
    <w:p w14:paraId="327E4F55" w14:textId="211E16B9"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Аторвастатин е селективен, конкурентен инхиботор на </w:t>
      </w:r>
      <w:r w:rsidRPr="000F092C">
        <w:rPr>
          <w:rFonts w:eastAsia="Times New Roman" w:cs="Arial"/>
          <w:color w:val="000000"/>
          <w:lang w:val="en-US"/>
        </w:rPr>
        <w:t xml:space="preserve">HMG-CoA </w:t>
      </w:r>
      <w:r w:rsidRPr="000F092C">
        <w:rPr>
          <w:rFonts w:eastAsia="Times New Roman" w:cs="Arial"/>
          <w:color w:val="000000"/>
          <w:lang w:eastAsia="bg-BG"/>
        </w:rPr>
        <w:t xml:space="preserve">редуктаза, скорост-ограничаващия ензим, отговорен за превръщането на З-хидрокси-З-метил-глутарил-коензим А в мевалонат, прекурсор на стеролите, включително холестерол. Триглицеридите и холестерола в черния дроб са включени в състава на липопротеините с много ниска плътност </w:t>
      </w:r>
      <w:r w:rsidRPr="000F092C">
        <w:rPr>
          <w:rFonts w:eastAsia="Times New Roman" w:cs="Arial"/>
          <w:color w:val="000000"/>
          <w:lang w:val="en-US"/>
        </w:rPr>
        <w:t xml:space="preserve">(VLDL) </w:t>
      </w:r>
      <w:r w:rsidRPr="000F092C">
        <w:rPr>
          <w:rFonts w:eastAsia="Times New Roman" w:cs="Arial"/>
          <w:color w:val="000000"/>
          <w:lang w:eastAsia="bg-BG"/>
        </w:rPr>
        <w:t xml:space="preserve">и постъпват в плазмата, достигайки до периферните тъкани. Липопротеините с ниска плътност </w:t>
      </w:r>
      <w:r w:rsidRPr="000F092C">
        <w:rPr>
          <w:rFonts w:eastAsia="Times New Roman" w:cs="Arial"/>
          <w:color w:val="000000"/>
          <w:lang w:val="en-US"/>
        </w:rPr>
        <w:t xml:space="preserve">(LDL) </w:t>
      </w:r>
      <w:r w:rsidRPr="000F092C">
        <w:rPr>
          <w:rFonts w:eastAsia="Times New Roman" w:cs="Arial"/>
          <w:color w:val="000000"/>
          <w:lang w:eastAsia="bg-BG"/>
        </w:rPr>
        <w:t xml:space="preserve">се образуват от </w:t>
      </w:r>
      <w:r w:rsidRPr="000F092C">
        <w:rPr>
          <w:rFonts w:eastAsia="Times New Roman" w:cs="Arial"/>
          <w:color w:val="000000"/>
          <w:lang w:val="en-US"/>
        </w:rPr>
        <w:t xml:space="preserve">VLDL </w:t>
      </w:r>
      <w:r w:rsidRPr="000F092C">
        <w:rPr>
          <w:rFonts w:eastAsia="Times New Roman" w:cs="Arial"/>
          <w:color w:val="000000"/>
          <w:lang w:eastAsia="bg-BG"/>
        </w:rPr>
        <w:t xml:space="preserve">и се включват в катаболизма главно чрез рецепторите с висок афинитет към </w:t>
      </w:r>
      <w:r w:rsidRPr="000F092C">
        <w:rPr>
          <w:rFonts w:eastAsia="Times New Roman" w:cs="Arial"/>
          <w:color w:val="000000"/>
          <w:lang w:val="en-US"/>
        </w:rPr>
        <w:t>LDL (LDL</w:t>
      </w:r>
      <w:r w:rsidRPr="000F092C">
        <w:rPr>
          <w:rFonts w:eastAsia="Times New Roman" w:cs="Arial"/>
          <w:color w:val="000000"/>
          <w:lang w:eastAsia="bg-BG"/>
        </w:rPr>
        <w:t>-рецептори).</w:t>
      </w:r>
    </w:p>
    <w:p w14:paraId="3D1B9830" w14:textId="77777777" w:rsidR="000F092C" w:rsidRPr="000F092C" w:rsidRDefault="000F092C" w:rsidP="000F092C">
      <w:pPr>
        <w:spacing w:line="240" w:lineRule="auto"/>
        <w:rPr>
          <w:rFonts w:eastAsia="Times New Roman" w:cs="Arial"/>
          <w:color w:val="000000"/>
          <w:lang w:eastAsia="bg-BG"/>
        </w:rPr>
      </w:pPr>
    </w:p>
    <w:p w14:paraId="6F7038A6"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Аторвастатин намалява плазмената концентрация на холестерола и серумните концентрации на липопротеините чрез инхибиране на </w:t>
      </w:r>
      <w:r w:rsidRPr="000F092C">
        <w:rPr>
          <w:rFonts w:eastAsia="Times New Roman" w:cs="Arial"/>
          <w:color w:val="000000"/>
          <w:lang w:val="en-US"/>
        </w:rPr>
        <w:t xml:space="preserve">HMG-CoA </w:t>
      </w:r>
      <w:r w:rsidRPr="000F092C">
        <w:rPr>
          <w:rFonts w:eastAsia="Times New Roman" w:cs="Arial"/>
          <w:color w:val="000000"/>
          <w:lang w:eastAsia="bg-BG"/>
        </w:rPr>
        <w:t xml:space="preserve">редуктазата и впоследствие на холестероловия биосинтез в черния дроб, и повишава броя на </w:t>
      </w:r>
      <w:r w:rsidRPr="000F092C">
        <w:rPr>
          <w:rFonts w:eastAsia="Times New Roman" w:cs="Arial"/>
          <w:color w:val="000000"/>
          <w:lang w:eastAsia="bg-BG"/>
        </w:rPr>
        <w:lastRenderedPageBreak/>
        <w:t xml:space="preserve">хепатоцитните </w:t>
      </w:r>
      <w:r w:rsidRPr="000F092C">
        <w:rPr>
          <w:rFonts w:eastAsia="Times New Roman" w:cs="Arial"/>
          <w:color w:val="000000"/>
          <w:lang w:val="en-US"/>
        </w:rPr>
        <w:t>LDL</w:t>
      </w:r>
      <w:r w:rsidRPr="000F092C">
        <w:rPr>
          <w:rFonts w:eastAsia="Times New Roman" w:cs="Arial"/>
          <w:color w:val="000000"/>
          <w:lang w:eastAsia="bg-BG"/>
        </w:rPr>
        <w:t xml:space="preserve">-рецептори върху клетъчната повърхност, като подобрява поемането и катаболизма на </w:t>
      </w:r>
      <w:r w:rsidRPr="000F092C">
        <w:rPr>
          <w:rFonts w:eastAsia="Times New Roman" w:cs="Arial"/>
          <w:color w:val="000000"/>
          <w:lang w:val="en-US"/>
        </w:rPr>
        <w:t>LDL.</w:t>
      </w:r>
    </w:p>
    <w:p w14:paraId="34D664BC" w14:textId="77777777" w:rsidR="000F092C" w:rsidRPr="000F092C" w:rsidRDefault="000F092C" w:rsidP="000F092C">
      <w:pPr>
        <w:spacing w:line="240" w:lineRule="auto"/>
        <w:rPr>
          <w:rFonts w:eastAsia="Times New Roman" w:cs="Arial"/>
          <w:sz w:val="24"/>
          <w:szCs w:val="24"/>
          <w:lang w:eastAsia="bg-BG"/>
        </w:rPr>
      </w:pPr>
    </w:p>
    <w:p w14:paraId="2CD6464A" w14:textId="77777777" w:rsidR="000F092C" w:rsidRPr="000F092C" w:rsidRDefault="000F092C" w:rsidP="000F092C">
      <w:pPr>
        <w:rPr>
          <w:rFonts w:eastAsia="Times New Roman" w:cs="Arial"/>
          <w:sz w:val="24"/>
          <w:szCs w:val="24"/>
          <w:lang w:eastAsia="bg-BG"/>
        </w:rPr>
      </w:pPr>
      <w:r w:rsidRPr="000F092C">
        <w:rPr>
          <w:rFonts w:eastAsia="Times New Roman" w:cs="Arial"/>
          <w:color w:val="000000"/>
          <w:lang w:eastAsia="bg-BG"/>
        </w:rPr>
        <w:t xml:space="preserve">Аторвастатин намалява производството на </w:t>
      </w:r>
      <w:r w:rsidRPr="000F092C">
        <w:rPr>
          <w:rFonts w:eastAsia="Times New Roman" w:cs="Arial"/>
          <w:color w:val="000000"/>
          <w:lang w:val="en-US"/>
        </w:rPr>
        <w:t xml:space="preserve">LDL </w:t>
      </w:r>
      <w:r w:rsidRPr="000F092C">
        <w:rPr>
          <w:rFonts w:eastAsia="Times New Roman" w:cs="Arial"/>
          <w:color w:val="000000"/>
          <w:lang w:eastAsia="bg-BG"/>
        </w:rPr>
        <w:t xml:space="preserve">и броя на </w:t>
      </w:r>
      <w:r w:rsidRPr="000F092C">
        <w:rPr>
          <w:rFonts w:eastAsia="Times New Roman" w:cs="Arial"/>
          <w:color w:val="000000"/>
          <w:lang w:val="en-US"/>
        </w:rPr>
        <w:t>LDL</w:t>
      </w:r>
      <w:r w:rsidRPr="000F092C">
        <w:rPr>
          <w:rFonts w:eastAsia="Times New Roman" w:cs="Arial"/>
          <w:color w:val="000000"/>
          <w:lang w:eastAsia="bg-BG"/>
        </w:rPr>
        <w:t xml:space="preserve">-частиците. Аторвастатин води до цялостно и устойчиво повишаване на </w:t>
      </w:r>
      <w:r w:rsidRPr="000F092C">
        <w:rPr>
          <w:rFonts w:eastAsia="Times New Roman" w:cs="Arial"/>
          <w:color w:val="000000"/>
          <w:lang w:val="en-US"/>
        </w:rPr>
        <w:t>LDL</w:t>
      </w:r>
      <w:r w:rsidRPr="000F092C">
        <w:rPr>
          <w:rFonts w:eastAsia="Times New Roman" w:cs="Arial"/>
          <w:color w:val="000000"/>
          <w:lang w:eastAsia="bg-BG"/>
        </w:rPr>
        <w:t>-рецепторната активност, заедно с благоприятно изменение в</w:t>
      </w:r>
      <w:r w:rsidRPr="000F092C">
        <w:rPr>
          <w:rFonts w:eastAsia="Times New Roman" w:cs="Arial"/>
          <w:color w:val="000000"/>
          <w:lang w:val="en-US" w:eastAsia="bg-BG"/>
        </w:rPr>
        <w:t xml:space="preserve"> </w:t>
      </w:r>
      <w:r w:rsidRPr="000F092C">
        <w:rPr>
          <w:rFonts w:eastAsia="Times New Roman" w:cs="Arial"/>
          <w:color w:val="000000"/>
          <w:lang w:eastAsia="bg-BG"/>
        </w:rPr>
        <w:t xml:space="preserve">качеството на циркулиращите </w:t>
      </w:r>
      <w:r w:rsidRPr="000F092C">
        <w:rPr>
          <w:rFonts w:eastAsia="Times New Roman" w:cs="Arial"/>
          <w:color w:val="000000"/>
          <w:lang w:val="en-US"/>
        </w:rPr>
        <w:t>LDL</w:t>
      </w:r>
      <w:r w:rsidRPr="000F092C">
        <w:rPr>
          <w:rFonts w:eastAsia="Times New Roman" w:cs="Arial"/>
          <w:color w:val="000000"/>
          <w:lang w:eastAsia="bg-BG"/>
        </w:rPr>
        <w:t xml:space="preserve">-частици. Аторвастатин е ефективен при намаляване на </w:t>
      </w:r>
      <w:r w:rsidRPr="000F092C">
        <w:rPr>
          <w:rFonts w:eastAsia="Times New Roman" w:cs="Arial"/>
          <w:color w:val="000000"/>
          <w:lang w:val="en-US"/>
        </w:rPr>
        <w:t xml:space="preserve">LDL-C </w:t>
      </w:r>
      <w:r w:rsidRPr="000F092C">
        <w:rPr>
          <w:rFonts w:eastAsia="Times New Roman" w:cs="Arial"/>
          <w:color w:val="000000"/>
          <w:lang w:eastAsia="bg-BG"/>
        </w:rPr>
        <w:t>при пациенти с хомозиготна фамилна хиперхолестеролемия, група пациенти» която обичайно не се повлиява от липидопонижаващи лекарствени продукти.</w:t>
      </w:r>
    </w:p>
    <w:p w14:paraId="10576867" w14:textId="77777777" w:rsidR="000F092C" w:rsidRPr="000F092C" w:rsidRDefault="000F092C" w:rsidP="000F092C">
      <w:pPr>
        <w:spacing w:line="240" w:lineRule="auto"/>
        <w:rPr>
          <w:rFonts w:eastAsia="Times New Roman" w:cs="Arial"/>
          <w:color w:val="000000"/>
          <w:lang w:eastAsia="bg-BG"/>
        </w:rPr>
      </w:pPr>
    </w:p>
    <w:p w14:paraId="3353476C" w14:textId="7166D071"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В проучване на зависимостта доза-отговор е доказано, че аторвастатин намалява концентрациите на общия холестерол (30% - 46%), </w:t>
      </w:r>
      <w:r w:rsidRPr="000F092C">
        <w:rPr>
          <w:rFonts w:eastAsia="Times New Roman" w:cs="Arial"/>
          <w:color w:val="000000"/>
          <w:lang w:val="en-US"/>
        </w:rPr>
        <w:t xml:space="preserve">LDL-C </w:t>
      </w:r>
      <w:r w:rsidRPr="000F092C">
        <w:rPr>
          <w:rFonts w:eastAsia="Times New Roman" w:cs="Arial"/>
          <w:color w:val="000000"/>
          <w:lang w:eastAsia="bg-BG"/>
        </w:rPr>
        <w:t xml:space="preserve">(41% - 61%), аполипопротеин В (34% - 50%) и триглицеридите (14% - 33%) като води до променливи повишения на </w:t>
      </w:r>
      <w:r w:rsidRPr="000F092C">
        <w:rPr>
          <w:rFonts w:eastAsia="Times New Roman" w:cs="Arial"/>
          <w:color w:val="000000"/>
          <w:lang w:val="en-US"/>
        </w:rPr>
        <w:t xml:space="preserve">HDL-C </w:t>
      </w:r>
      <w:r w:rsidRPr="000F092C">
        <w:rPr>
          <w:rFonts w:eastAsia="Times New Roman" w:cs="Arial"/>
          <w:color w:val="000000"/>
          <w:lang w:eastAsia="bg-BG"/>
        </w:rPr>
        <w:t>и аполипопротеин А1. Тези резултати се отнасят за пациенти с хетерозиготна фамилна хиперхолестеролемия, нефамилни форми на хиперхолестеролемия и смесена хиперлипидемия, включително пациенти с неинсулинозависим захарен диабет.</w:t>
      </w:r>
    </w:p>
    <w:p w14:paraId="1CE7B91A"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Доказано е, че понижаването на нивата на общия холестерол, </w:t>
      </w:r>
      <w:r w:rsidRPr="000F092C">
        <w:rPr>
          <w:rFonts w:eastAsia="Times New Roman" w:cs="Arial"/>
          <w:color w:val="000000"/>
          <w:lang w:val="en-US"/>
        </w:rPr>
        <w:t xml:space="preserve">LDL-C </w:t>
      </w:r>
      <w:r w:rsidRPr="000F092C">
        <w:rPr>
          <w:rFonts w:eastAsia="Times New Roman" w:cs="Arial"/>
          <w:color w:val="000000"/>
          <w:lang w:eastAsia="bg-BG"/>
        </w:rPr>
        <w:t>и аполипопротеин В намалява риска от сърдечно-съдови инциденти и сърдечно-съдовата смъртност.</w:t>
      </w:r>
    </w:p>
    <w:p w14:paraId="611B5A5F" w14:textId="77777777" w:rsidR="000F092C" w:rsidRPr="000F092C" w:rsidRDefault="000F092C" w:rsidP="000F092C">
      <w:pPr>
        <w:spacing w:line="240" w:lineRule="auto"/>
        <w:rPr>
          <w:rFonts w:eastAsia="Times New Roman" w:cs="Arial"/>
          <w:color w:val="000000"/>
          <w:u w:val="single"/>
          <w:lang w:eastAsia="bg-BG"/>
        </w:rPr>
      </w:pPr>
    </w:p>
    <w:p w14:paraId="00B4DD23" w14:textId="6EEBA4BA"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u w:val="single"/>
          <w:lang w:eastAsia="bg-BG"/>
        </w:rPr>
        <w:t>Хомозиготна фамилна хиперхолестеролемия</w:t>
      </w:r>
    </w:p>
    <w:p w14:paraId="35942E27"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В мултицентрово, 8-седмично, отворено, програмирано с милосърдна цел проучване с различна по продължителност избираема фаза на разширение, са били включени 335 пациенти, 89 от които са били идентифицирани като пациенти с хомозиготна фамилна хиперхолестеролемия. От тези 89 пациенти, средното процентно намаление на </w:t>
      </w:r>
      <w:r w:rsidRPr="000F092C">
        <w:rPr>
          <w:rFonts w:eastAsia="Times New Roman" w:cs="Arial"/>
          <w:color w:val="000000"/>
          <w:lang w:val="en-US"/>
        </w:rPr>
        <w:t xml:space="preserve">LDL-C </w:t>
      </w:r>
      <w:r w:rsidRPr="000F092C">
        <w:rPr>
          <w:rFonts w:eastAsia="Times New Roman" w:cs="Arial"/>
          <w:color w:val="000000"/>
          <w:lang w:eastAsia="bg-BG"/>
        </w:rPr>
        <w:t>е било приблизително 20%.</w:t>
      </w:r>
    </w:p>
    <w:p w14:paraId="10BB6EFB"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Аторвастатин е прилаган в дози до 80 </w:t>
      </w:r>
      <w:r w:rsidRPr="000F092C">
        <w:rPr>
          <w:rFonts w:eastAsia="Times New Roman" w:cs="Arial"/>
          <w:color w:val="000000"/>
          <w:lang w:val="en-US"/>
        </w:rPr>
        <w:t>mg</w:t>
      </w:r>
      <w:r w:rsidRPr="000F092C">
        <w:rPr>
          <w:rFonts w:eastAsia="Times New Roman" w:cs="Arial"/>
          <w:color w:val="000000"/>
          <w:lang w:eastAsia="bg-BG"/>
        </w:rPr>
        <w:t>/ден.</w:t>
      </w:r>
    </w:p>
    <w:p w14:paraId="14984E21" w14:textId="77777777" w:rsidR="000F092C" w:rsidRPr="000F092C" w:rsidRDefault="000F092C" w:rsidP="000F092C">
      <w:pPr>
        <w:spacing w:line="240" w:lineRule="auto"/>
        <w:rPr>
          <w:rFonts w:eastAsia="Times New Roman" w:cs="Arial"/>
          <w:color w:val="000000"/>
          <w:u w:val="single"/>
          <w:lang w:eastAsia="bg-BG"/>
        </w:rPr>
      </w:pPr>
    </w:p>
    <w:p w14:paraId="019D45D7" w14:textId="6EDC4D8F"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u w:val="single"/>
          <w:lang w:eastAsia="bg-BG"/>
        </w:rPr>
        <w:t>Атеросклероза</w:t>
      </w:r>
    </w:p>
    <w:p w14:paraId="098CF47E"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В проучването </w:t>
      </w:r>
      <w:r w:rsidRPr="000F092C">
        <w:rPr>
          <w:rFonts w:eastAsia="Times New Roman" w:cs="Arial"/>
          <w:color w:val="000000"/>
          <w:lang w:val="en-US"/>
        </w:rPr>
        <w:t xml:space="preserve">Reversing Atherosclerosis with Aggressive Lipid- Lowering Study (REVERSAL), </w:t>
      </w:r>
      <w:r w:rsidRPr="000F092C">
        <w:rPr>
          <w:rFonts w:eastAsia="Times New Roman" w:cs="Arial"/>
          <w:color w:val="000000"/>
          <w:lang w:eastAsia="bg-BG"/>
        </w:rPr>
        <w:t xml:space="preserve">ефектът от интензивното намаляване на липидите с аторвастатин 80 </w:t>
      </w:r>
      <w:r w:rsidRPr="000F092C">
        <w:rPr>
          <w:rFonts w:eastAsia="Times New Roman" w:cs="Arial"/>
          <w:color w:val="000000"/>
          <w:lang w:val="en-US"/>
        </w:rPr>
        <w:t xml:space="preserve">mg </w:t>
      </w:r>
      <w:r w:rsidRPr="000F092C">
        <w:rPr>
          <w:rFonts w:eastAsia="Times New Roman" w:cs="Arial"/>
          <w:color w:val="000000"/>
          <w:lang w:eastAsia="bg-BG"/>
        </w:rPr>
        <w:t xml:space="preserve">и от стандартното по степен намаляване на липидите с правастатин 40 </w:t>
      </w:r>
      <w:r w:rsidRPr="000F092C">
        <w:rPr>
          <w:rFonts w:eastAsia="Times New Roman" w:cs="Arial"/>
          <w:color w:val="000000"/>
          <w:lang w:val="en-US"/>
        </w:rPr>
        <w:t xml:space="preserve">mg </w:t>
      </w:r>
      <w:r w:rsidRPr="000F092C">
        <w:rPr>
          <w:rFonts w:eastAsia="Times New Roman" w:cs="Arial"/>
          <w:color w:val="000000"/>
          <w:lang w:eastAsia="bg-BG"/>
        </w:rPr>
        <w:t xml:space="preserve">върху коронарната атеросклероза се е оценявал чрез вътресъдово ултразвуково изследване </w:t>
      </w:r>
      <w:r w:rsidRPr="000F092C">
        <w:rPr>
          <w:rFonts w:eastAsia="Times New Roman" w:cs="Arial"/>
          <w:color w:val="000000"/>
          <w:lang w:val="en-US"/>
        </w:rPr>
        <w:t xml:space="preserve">(IVUS), </w:t>
      </w:r>
      <w:r w:rsidRPr="000F092C">
        <w:rPr>
          <w:rFonts w:eastAsia="Times New Roman" w:cs="Arial"/>
          <w:color w:val="000000"/>
          <w:lang w:eastAsia="bg-BG"/>
        </w:rPr>
        <w:t xml:space="preserve">по време на ангиография, при пациенти с коронарна болест на сърцето. В това рандомизирано, двойносляпо, мултицентрово, контролирано клинично проучване, </w:t>
      </w:r>
      <w:r w:rsidRPr="000F092C">
        <w:rPr>
          <w:rFonts w:eastAsia="Times New Roman" w:cs="Arial"/>
          <w:color w:val="000000"/>
          <w:lang w:val="en-US"/>
        </w:rPr>
        <w:t xml:space="preserve">IVUS </w:t>
      </w:r>
      <w:r w:rsidRPr="000F092C">
        <w:rPr>
          <w:rFonts w:eastAsia="Times New Roman" w:cs="Arial"/>
          <w:color w:val="000000"/>
          <w:lang w:eastAsia="bg-BG"/>
        </w:rPr>
        <w:t>е извършено в началото и в 18 месец при 502 пациенти. В групата пациенти, приемащи аторвастатин (</w:t>
      </w:r>
      <w:r w:rsidRPr="000F092C">
        <w:rPr>
          <w:rFonts w:eastAsia="Times New Roman" w:cs="Arial"/>
          <w:color w:val="000000"/>
          <w:lang w:val="en-US"/>
        </w:rPr>
        <w:t>n</w:t>
      </w:r>
      <w:r w:rsidRPr="000F092C">
        <w:rPr>
          <w:rFonts w:eastAsia="Times New Roman" w:cs="Arial"/>
          <w:color w:val="000000"/>
          <w:lang w:eastAsia="bg-BG"/>
        </w:rPr>
        <w:t>=253), е нямало прогресия на атеросклерозата.</w:t>
      </w:r>
    </w:p>
    <w:p w14:paraId="5EE30DE2" w14:textId="77777777" w:rsidR="000F092C" w:rsidRPr="000F092C" w:rsidRDefault="000F092C" w:rsidP="000F092C">
      <w:pPr>
        <w:spacing w:line="240" w:lineRule="auto"/>
        <w:rPr>
          <w:rFonts w:eastAsia="Times New Roman" w:cs="Arial"/>
          <w:color w:val="000000"/>
          <w:lang w:eastAsia="bg-BG"/>
        </w:rPr>
      </w:pPr>
    </w:p>
    <w:p w14:paraId="7F8C3FC4" w14:textId="31FA001C"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Медианната процентна промяна в общия обем на атеромите (първичният критерий в проучването) спрямо изходното ниво, е била 0,4% (р=0,98) в групата на пациентите, приемащи аторвастатин и +2,7% (р=0,001) в групата на пациентите, приемащи правастатин (</w:t>
      </w:r>
      <w:r w:rsidRPr="000F092C">
        <w:rPr>
          <w:rFonts w:eastAsia="Times New Roman" w:cs="Arial"/>
          <w:color w:val="000000"/>
          <w:lang w:val="en-US"/>
        </w:rPr>
        <w:t>n</w:t>
      </w:r>
      <w:r w:rsidRPr="000F092C">
        <w:rPr>
          <w:rFonts w:eastAsia="Times New Roman" w:cs="Arial"/>
          <w:color w:val="000000"/>
          <w:lang w:eastAsia="bg-BG"/>
        </w:rPr>
        <w:t>=249). При сравнение с правастатин, ефектите на аторвастатин са били статистически значими (р=0,02). Ефектът от интензивното понижаване на липидите върху сърдечно-съдовите крайни точки (напр. необходимост от реваскуларизация, нефатален миокарден инфаркт, коронарна смърт) не е бил изследван в това проучване.</w:t>
      </w:r>
    </w:p>
    <w:p w14:paraId="4014897F" w14:textId="77777777" w:rsidR="000F092C" w:rsidRPr="000F092C" w:rsidRDefault="000F092C" w:rsidP="000F092C">
      <w:pPr>
        <w:spacing w:line="240" w:lineRule="auto"/>
        <w:rPr>
          <w:rFonts w:eastAsia="Times New Roman" w:cs="Arial"/>
          <w:color w:val="000000"/>
          <w:lang w:eastAsia="bg-BG"/>
        </w:rPr>
      </w:pPr>
    </w:p>
    <w:p w14:paraId="42773E2C" w14:textId="47987D8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В групата на пациентите, приемащи аторвастатин, </w:t>
      </w:r>
      <w:r w:rsidRPr="000F092C">
        <w:rPr>
          <w:rFonts w:eastAsia="Times New Roman" w:cs="Arial"/>
          <w:color w:val="000000"/>
          <w:lang w:val="en-US"/>
        </w:rPr>
        <w:t xml:space="preserve">LDL-C </w:t>
      </w:r>
      <w:r w:rsidRPr="000F092C">
        <w:rPr>
          <w:rFonts w:eastAsia="Times New Roman" w:cs="Arial"/>
          <w:color w:val="000000"/>
          <w:lang w:eastAsia="bg-BG"/>
        </w:rPr>
        <w:t xml:space="preserve">се е понижил до средна стойност от 2,04 </w:t>
      </w:r>
      <w:r w:rsidRPr="000F092C">
        <w:rPr>
          <w:rFonts w:eastAsia="Times New Roman" w:cs="Arial"/>
          <w:color w:val="000000"/>
          <w:lang w:val="en-US"/>
        </w:rPr>
        <w:t xml:space="preserve">mmol/l </w:t>
      </w:r>
      <w:r w:rsidRPr="000F092C">
        <w:rPr>
          <w:rFonts w:eastAsia="Times New Roman" w:cs="Arial"/>
          <w:color w:val="000000"/>
          <w:lang w:eastAsia="bg-BG"/>
        </w:rPr>
        <w:t xml:space="preserve">± 0,8 (78,9 </w:t>
      </w:r>
      <w:r w:rsidRPr="000F092C">
        <w:rPr>
          <w:rFonts w:eastAsia="Times New Roman" w:cs="Arial"/>
          <w:color w:val="000000"/>
          <w:lang w:val="en-US"/>
        </w:rPr>
        <w:t xml:space="preserve">mg/dl </w:t>
      </w:r>
      <w:r w:rsidRPr="000F092C">
        <w:rPr>
          <w:rFonts w:eastAsia="Times New Roman" w:cs="Arial"/>
          <w:color w:val="000000"/>
          <w:lang w:eastAsia="bg-BG"/>
        </w:rPr>
        <w:t xml:space="preserve">±30) спрямо изходното ниво от 3,89 </w:t>
      </w:r>
      <w:r w:rsidRPr="000F092C">
        <w:rPr>
          <w:rFonts w:eastAsia="Times New Roman" w:cs="Arial"/>
          <w:color w:val="000000"/>
          <w:lang w:val="en-US"/>
        </w:rPr>
        <w:t xml:space="preserve">mmol/l </w:t>
      </w:r>
      <w:r w:rsidRPr="000F092C">
        <w:rPr>
          <w:rFonts w:eastAsia="Times New Roman" w:cs="Arial"/>
          <w:color w:val="000000"/>
          <w:lang w:eastAsia="bg-BG"/>
        </w:rPr>
        <w:t xml:space="preserve">± 0,7 (150 </w:t>
      </w:r>
      <w:r w:rsidRPr="000F092C">
        <w:rPr>
          <w:rFonts w:eastAsia="Times New Roman" w:cs="Arial"/>
          <w:color w:val="000000"/>
          <w:lang w:val="en-US"/>
        </w:rPr>
        <w:t xml:space="preserve">mg/dl </w:t>
      </w:r>
      <w:r w:rsidRPr="000F092C">
        <w:rPr>
          <w:rFonts w:eastAsia="Times New Roman" w:cs="Arial"/>
          <w:color w:val="000000"/>
          <w:lang w:eastAsia="bg-BG"/>
        </w:rPr>
        <w:t xml:space="preserve">± 28), а в групата на пациентите, приемащи правастатин, </w:t>
      </w:r>
      <w:r w:rsidRPr="000F092C">
        <w:rPr>
          <w:rFonts w:eastAsia="Times New Roman" w:cs="Arial"/>
          <w:color w:val="000000"/>
          <w:lang w:val="en-US"/>
        </w:rPr>
        <w:t xml:space="preserve">LDL-C </w:t>
      </w:r>
      <w:r w:rsidRPr="000F092C">
        <w:rPr>
          <w:rFonts w:eastAsia="Times New Roman" w:cs="Arial"/>
          <w:color w:val="000000"/>
          <w:lang w:eastAsia="bg-BG"/>
        </w:rPr>
        <w:t xml:space="preserve">се е понижил до средна стойност от 2,85 </w:t>
      </w:r>
      <w:r w:rsidRPr="000F092C">
        <w:rPr>
          <w:rFonts w:eastAsia="Times New Roman" w:cs="Arial"/>
          <w:color w:val="000000"/>
          <w:lang w:val="en-US"/>
        </w:rPr>
        <w:t xml:space="preserve">mmol/l </w:t>
      </w:r>
      <w:r w:rsidRPr="000F092C">
        <w:rPr>
          <w:rFonts w:eastAsia="Times New Roman" w:cs="Arial"/>
          <w:color w:val="000000"/>
          <w:lang w:eastAsia="bg-BG"/>
        </w:rPr>
        <w:t xml:space="preserve">± 0,7 (110 </w:t>
      </w:r>
      <w:r w:rsidRPr="000F092C">
        <w:rPr>
          <w:rFonts w:eastAsia="Times New Roman" w:cs="Arial"/>
          <w:color w:val="000000"/>
          <w:lang w:val="en-US"/>
        </w:rPr>
        <w:t xml:space="preserve">mg/dl </w:t>
      </w:r>
      <w:r w:rsidRPr="000F092C">
        <w:rPr>
          <w:rFonts w:eastAsia="Times New Roman" w:cs="Arial"/>
          <w:color w:val="000000"/>
          <w:lang w:eastAsia="bg-BG"/>
        </w:rPr>
        <w:t xml:space="preserve">± 26) спрямо изходното ниво от 3,89 </w:t>
      </w:r>
      <w:r w:rsidRPr="000F092C">
        <w:rPr>
          <w:rFonts w:eastAsia="Times New Roman" w:cs="Arial"/>
          <w:color w:val="000000"/>
          <w:lang w:val="en-US"/>
        </w:rPr>
        <w:t xml:space="preserve">mmol/l </w:t>
      </w:r>
      <w:r w:rsidRPr="000F092C">
        <w:rPr>
          <w:rFonts w:eastAsia="Times New Roman" w:cs="Arial"/>
          <w:color w:val="000000"/>
          <w:lang w:eastAsia="bg-BG"/>
        </w:rPr>
        <w:t xml:space="preserve">± 0,7 (150 </w:t>
      </w:r>
      <w:r w:rsidRPr="000F092C">
        <w:rPr>
          <w:rFonts w:eastAsia="Times New Roman" w:cs="Arial"/>
          <w:color w:val="000000"/>
          <w:lang w:val="en-US"/>
        </w:rPr>
        <w:t xml:space="preserve">mg/d </w:t>
      </w:r>
      <w:r w:rsidRPr="000F092C">
        <w:rPr>
          <w:rFonts w:eastAsia="Times New Roman" w:cs="Arial"/>
          <w:color w:val="000000"/>
          <w:lang w:eastAsia="bg-BG"/>
        </w:rPr>
        <w:t xml:space="preserve">± 26) (р&lt;0,0001). Аторвастатин също е намалил значимо общия </w:t>
      </w:r>
      <w:r w:rsidRPr="000F092C">
        <w:rPr>
          <w:rFonts w:eastAsia="Times New Roman" w:cs="Arial"/>
          <w:color w:val="000000"/>
          <w:lang w:eastAsia="bg-BG"/>
        </w:rPr>
        <w:lastRenderedPageBreak/>
        <w:t xml:space="preserve">холестерол (ТС) с 34,1% (правастатин: -18,4%; р&lt;0,0001), средните нива на триглицеридите </w:t>
      </w:r>
      <w:r w:rsidRPr="000F092C">
        <w:rPr>
          <w:rFonts w:eastAsia="Times New Roman" w:cs="Arial"/>
          <w:color w:val="000000"/>
          <w:lang w:val="en-US"/>
        </w:rPr>
        <w:t xml:space="preserve">(TG) </w:t>
      </w:r>
      <w:r w:rsidRPr="000F092C">
        <w:rPr>
          <w:rFonts w:eastAsia="Times New Roman" w:cs="Arial"/>
          <w:color w:val="000000"/>
          <w:lang w:eastAsia="bg-BG"/>
        </w:rPr>
        <w:t xml:space="preserve">с 20%(правастатин: -6,8%; р&lt;0,0009) и средните нива на аполипопротеин В с 39,1% (правастатин: -22,0%; р&lt;0,0001). Аторвастатин е повишил средните нива на </w:t>
      </w:r>
      <w:r w:rsidRPr="000F092C">
        <w:rPr>
          <w:rFonts w:eastAsia="Times New Roman" w:cs="Arial"/>
          <w:color w:val="000000"/>
          <w:lang w:val="en-US"/>
        </w:rPr>
        <w:t xml:space="preserve">HDL-C </w:t>
      </w:r>
      <w:r w:rsidRPr="000F092C">
        <w:rPr>
          <w:rFonts w:eastAsia="Times New Roman" w:cs="Arial"/>
          <w:color w:val="000000"/>
          <w:lang w:eastAsia="bg-BG"/>
        </w:rPr>
        <w:t xml:space="preserve">с 2,9% (правастатин: +5,6%; </w:t>
      </w:r>
      <w:r w:rsidRPr="000F092C">
        <w:rPr>
          <w:rFonts w:eastAsia="Times New Roman" w:cs="Arial"/>
          <w:color w:val="000000"/>
          <w:lang w:val="en-US"/>
        </w:rPr>
        <w:t xml:space="preserve">p=NS). </w:t>
      </w:r>
      <w:r w:rsidRPr="000F092C">
        <w:rPr>
          <w:rFonts w:eastAsia="Times New Roman" w:cs="Arial"/>
          <w:color w:val="000000"/>
          <w:lang w:eastAsia="bg-BG"/>
        </w:rPr>
        <w:t xml:space="preserve">В групата на аторвастатин е имало средно понижение с 36,4% на С-реактивния протеин </w:t>
      </w:r>
      <w:r w:rsidRPr="000F092C">
        <w:rPr>
          <w:rFonts w:eastAsia="Times New Roman" w:cs="Arial"/>
          <w:color w:val="000000"/>
          <w:lang w:val="en-US"/>
        </w:rPr>
        <w:t xml:space="preserve">(CRP), </w:t>
      </w:r>
      <w:r w:rsidRPr="000F092C">
        <w:rPr>
          <w:rFonts w:eastAsia="Times New Roman" w:cs="Arial"/>
          <w:color w:val="000000"/>
          <w:lang w:eastAsia="bg-BG"/>
        </w:rPr>
        <w:t xml:space="preserve">сравнено с 5,2% понижение на </w:t>
      </w:r>
      <w:r w:rsidRPr="000F092C">
        <w:rPr>
          <w:rFonts w:eastAsia="Times New Roman" w:cs="Arial"/>
          <w:color w:val="000000"/>
          <w:lang w:val="en-US"/>
        </w:rPr>
        <w:t xml:space="preserve">CRP </w:t>
      </w:r>
      <w:r w:rsidRPr="000F092C">
        <w:rPr>
          <w:rFonts w:eastAsia="Times New Roman" w:cs="Arial"/>
          <w:color w:val="000000"/>
          <w:lang w:eastAsia="bg-BG"/>
        </w:rPr>
        <w:t>в групата на правастатин (р&lt;0,0001).</w:t>
      </w:r>
    </w:p>
    <w:p w14:paraId="319BDC5F" w14:textId="77777777" w:rsidR="000F092C" w:rsidRPr="000F092C" w:rsidRDefault="000F092C" w:rsidP="000F092C">
      <w:pPr>
        <w:spacing w:line="240" w:lineRule="auto"/>
        <w:rPr>
          <w:rFonts w:eastAsia="Times New Roman" w:cs="Arial"/>
          <w:color w:val="000000"/>
          <w:lang w:eastAsia="bg-BG"/>
        </w:rPr>
      </w:pPr>
    </w:p>
    <w:p w14:paraId="7398F8DF" w14:textId="0A6A7875"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Резултатите от проучването са получени при прилагане на доза от 80 </w:t>
      </w:r>
      <w:r w:rsidRPr="000F092C">
        <w:rPr>
          <w:rFonts w:eastAsia="Times New Roman" w:cs="Arial"/>
          <w:color w:val="000000"/>
          <w:lang w:val="en-US"/>
        </w:rPr>
        <w:t xml:space="preserve">mg. </w:t>
      </w:r>
      <w:r w:rsidRPr="000F092C">
        <w:rPr>
          <w:rFonts w:eastAsia="Times New Roman" w:cs="Arial"/>
          <w:color w:val="000000"/>
          <w:lang w:eastAsia="bg-BG"/>
        </w:rPr>
        <w:t>Ето защо, те не могат да бъдат екстраполирани към по-ниски дози.</w:t>
      </w:r>
    </w:p>
    <w:p w14:paraId="6D8E62A0" w14:textId="77777777" w:rsidR="000F092C" w:rsidRPr="000F092C" w:rsidRDefault="000F092C" w:rsidP="000F092C">
      <w:pPr>
        <w:spacing w:line="240" w:lineRule="auto"/>
        <w:rPr>
          <w:rFonts w:eastAsia="Times New Roman" w:cs="Arial"/>
          <w:color w:val="000000"/>
          <w:lang w:eastAsia="bg-BG"/>
        </w:rPr>
      </w:pPr>
    </w:p>
    <w:p w14:paraId="4E906983" w14:textId="6081C5CE"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Профилите за безопасност и поносимост на двете групи са били сравними.</w:t>
      </w:r>
    </w:p>
    <w:p w14:paraId="181B0B00" w14:textId="77777777" w:rsidR="000F092C" w:rsidRPr="000F092C" w:rsidRDefault="000F092C" w:rsidP="000F092C">
      <w:pPr>
        <w:spacing w:line="240" w:lineRule="auto"/>
        <w:rPr>
          <w:rFonts w:eastAsia="Times New Roman" w:cs="Arial"/>
          <w:color w:val="000000"/>
          <w:lang w:eastAsia="bg-BG"/>
        </w:rPr>
      </w:pPr>
    </w:p>
    <w:p w14:paraId="28252AA0" w14:textId="044CF9E2" w:rsidR="0091385D" w:rsidRPr="000F092C" w:rsidRDefault="000F092C" w:rsidP="000F092C">
      <w:pPr>
        <w:spacing w:line="240" w:lineRule="auto"/>
        <w:rPr>
          <w:rFonts w:eastAsia="Times New Roman" w:cs="Arial"/>
          <w:sz w:val="24"/>
          <w:szCs w:val="24"/>
          <w:lang w:val="en-US" w:eastAsia="bg-BG"/>
        </w:rPr>
      </w:pPr>
      <w:r w:rsidRPr="000F092C">
        <w:rPr>
          <w:rFonts w:eastAsia="Times New Roman" w:cs="Arial"/>
          <w:color w:val="000000"/>
          <w:lang w:eastAsia="bg-BG"/>
        </w:rPr>
        <w:t>Ефектът от интензивното понижаване на липидите с аторвастатин върху главните сърдечно-съдови крайни точки не е бил изследван в това проучване. Ето защо, клиничното значение на тези резултати от образното изследване е неизвестно с оглед на първичната и вторична профилактика на сърдечно</w:t>
      </w:r>
      <w:r w:rsidRPr="000F092C">
        <w:rPr>
          <w:rFonts w:eastAsia="Times New Roman" w:cs="Arial"/>
          <w:color w:val="000000"/>
          <w:lang w:eastAsia="bg-BG"/>
        </w:rPr>
        <w:softHyphen/>
        <w:t>съдовите инциденти.</w:t>
      </w:r>
    </w:p>
    <w:p w14:paraId="36152471" w14:textId="79188E36" w:rsidR="0091385D" w:rsidRDefault="0091385D" w:rsidP="0091385D"/>
    <w:p w14:paraId="501C7E3F"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u w:val="single"/>
          <w:lang w:eastAsia="bg-BG"/>
        </w:rPr>
        <w:t>Остър коронарен синдром</w:t>
      </w:r>
    </w:p>
    <w:p w14:paraId="70241764"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В проучването </w:t>
      </w:r>
      <w:r w:rsidRPr="000F092C">
        <w:rPr>
          <w:rFonts w:eastAsia="Times New Roman" w:cs="Arial"/>
          <w:color w:val="000000"/>
          <w:lang w:val="en-US"/>
        </w:rPr>
        <w:t xml:space="preserve">MIRACL, </w:t>
      </w:r>
      <w:r w:rsidRPr="000F092C">
        <w:rPr>
          <w:rFonts w:eastAsia="Times New Roman" w:cs="Arial"/>
          <w:color w:val="000000"/>
          <w:lang w:eastAsia="bg-BG"/>
        </w:rPr>
        <w:t xml:space="preserve">аторвастатин 80 </w:t>
      </w:r>
      <w:r w:rsidRPr="000F092C">
        <w:rPr>
          <w:rFonts w:eastAsia="Times New Roman" w:cs="Arial"/>
          <w:color w:val="000000"/>
          <w:lang w:val="en-US"/>
        </w:rPr>
        <w:t xml:space="preserve">mg </w:t>
      </w:r>
      <w:r w:rsidRPr="000F092C">
        <w:rPr>
          <w:rFonts w:eastAsia="Times New Roman" w:cs="Arial"/>
          <w:color w:val="000000"/>
          <w:lang w:eastAsia="bg-BG"/>
        </w:rPr>
        <w:t xml:space="preserve">е бил оценяван при 3 086 пациенти (аторвастатин </w:t>
      </w:r>
      <w:r w:rsidRPr="000F092C">
        <w:rPr>
          <w:rFonts w:eastAsia="Times New Roman" w:cs="Arial"/>
          <w:color w:val="000000"/>
          <w:lang w:val="en-US"/>
        </w:rPr>
        <w:t>n</w:t>
      </w:r>
      <w:r w:rsidRPr="000F092C">
        <w:rPr>
          <w:rFonts w:eastAsia="Times New Roman" w:cs="Arial"/>
          <w:color w:val="000000"/>
          <w:lang w:eastAsia="bg-BG"/>
        </w:rPr>
        <w:t xml:space="preserve">=1 538; плацебо </w:t>
      </w:r>
      <w:r w:rsidRPr="000F092C">
        <w:rPr>
          <w:rFonts w:eastAsia="Times New Roman" w:cs="Arial"/>
          <w:color w:val="000000"/>
          <w:lang w:val="en-US"/>
        </w:rPr>
        <w:t>n</w:t>
      </w:r>
      <w:r w:rsidRPr="000F092C">
        <w:rPr>
          <w:rFonts w:eastAsia="Times New Roman" w:cs="Arial"/>
          <w:color w:val="000000"/>
          <w:lang w:eastAsia="bg-BG"/>
        </w:rPr>
        <w:t xml:space="preserve">=1 548) с остър коронарен синдром (миокарден инфаркт </w:t>
      </w:r>
      <w:r w:rsidRPr="000F092C">
        <w:rPr>
          <w:rFonts w:eastAsia="Times New Roman" w:cs="Arial"/>
          <w:color w:val="000000"/>
          <w:lang w:val="en-US"/>
        </w:rPr>
        <w:t xml:space="preserve">(MI) </w:t>
      </w:r>
      <w:r w:rsidRPr="000F092C">
        <w:rPr>
          <w:rFonts w:eastAsia="Times New Roman" w:cs="Arial"/>
          <w:color w:val="000000"/>
          <w:lang w:eastAsia="bg-BG"/>
        </w:rPr>
        <w:t xml:space="preserve">без </w:t>
      </w:r>
      <w:r w:rsidRPr="000F092C">
        <w:rPr>
          <w:rFonts w:eastAsia="Times New Roman" w:cs="Arial"/>
          <w:color w:val="000000"/>
          <w:lang w:val="en-US"/>
        </w:rPr>
        <w:t>Q</w:t>
      </w:r>
      <w:r w:rsidRPr="000F092C">
        <w:rPr>
          <w:rFonts w:eastAsia="Times New Roman" w:cs="Arial"/>
          <w:color w:val="000000"/>
          <w:lang w:eastAsia="bg-BG"/>
        </w:rPr>
        <w:t xml:space="preserve">-зъбец или нестабилна ангина пекторис). Лечението е било започнато по време на острата фаза след хоспитализацията и е продължило за период от 16 седмици. Лечението с аторвастатин 80 </w:t>
      </w:r>
      <w:r w:rsidRPr="000F092C">
        <w:rPr>
          <w:rFonts w:eastAsia="Times New Roman" w:cs="Arial"/>
          <w:color w:val="000000"/>
          <w:lang w:val="en-US"/>
        </w:rPr>
        <w:t>mg</w:t>
      </w:r>
      <w:r w:rsidRPr="000F092C">
        <w:rPr>
          <w:rFonts w:eastAsia="Times New Roman" w:cs="Arial"/>
          <w:color w:val="000000"/>
          <w:lang w:eastAsia="bg-BG"/>
        </w:rPr>
        <w:t xml:space="preserve">/ден е удължило времето до настъпване на комбинираната първична крайна точка, дефинирана като смърт поради каквато и да е причина, нефатален </w:t>
      </w:r>
      <w:r w:rsidRPr="000F092C">
        <w:rPr>
          <w:rFonts w:eastAsia="Times New Roman" w:cs="Arial"/>
          <w:color w:val="000000"/>
          <w:lang w:val="en-US"/>
        </w:rPr>
        <w:t xml:space="preserve">MI, </w:t>
      </w:r>
      <w:r w:rsidRPr="000F092C">
        <w:rPr>
          <w:rFonts w:eastAsia="Times New Roman" w:cs="Arial"/>
          <w:color w:val="000000"/>
          <w:lang w:eastAsia="bg-BG"/>
        </w:rPr>
        <w:t>реанимиран сърдечен арест или ангина пекторис с данни за миокардна исхемия, налагаща хоспитализация, като е показало намаление на риска с 16% (р=0,048). Това се е дължало главно на 26%-то намаление на повторните хоспитализации за ангина пекторис с данни за миокардна исхемия (р=0,018). Останалите вторични крайни точки не са достигнали сами по себе си статистическа значимост (обобщено: плацебо: 22,2%, аторвастатин: 22,4%).</w:t>
      </w:r>
    </w:p>
    <w:p w14:paraId="33A255BC"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Профилът на безопасност на аторвастатин в проучването </w:t>
      </w:r>
      <w:r w:rsidRPr="000F092C">
        <w:rPr>
          <w:rFonts w:eastAsia="Times New Roman" w:cs="Arial"/>
          <w:color w:val="000000"/>
          <w:lang w:val="en-US"/>
        </w:rPr>
        <w:t xml:space="preserve">MIRACL </w:t>
      </w:r>
      <w:r w:rsidRPr="000F092C">
        <w:rPr>
          <w:rFonts w:eastAsia="Times New Roman" w:cs="Arial"/>
          <w:color w:val="000000"/>
          <w:lang w:eastAsia="bg-BG"/>
        </w:rPr>
        <w:t>е съответствал на този, описан в точка 4.8.</w:t>
      </w:r>
    </w:p>
    <w:p w14:paraId="3C80F435" w14:textId="77777777" w:rsidR="000F092C" w:rsidRPr="000F092C" w:rsidRDefault="000F092C" w:rsidP="000F092C">
      <w:pPr>
        <w:spacing w:line="240" w:lineRule="auto"/>
        <w:rPr>
          <w:rFonts w:eastAsia="Times New Roman" w:cs="Arial"/>
          <w:color w:val="000000"/>
          <w:u w:val="single"/>
          <w:lang w:eastAsia="bg-BG"/>
        </w:rPr>
      </w:pPr>
    </w:p>
    <w:p w14:paraId="75BFD141" w14:textId="02F64350"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u w:val="single"/>
          <w:lang w:eastAsia="bg-BG"/>
        </w:rPr>
        <w:t>Профилактика на сърдечно-съдово заболяване</w:t>
      </w:r>
    </w:p>
    <w:p w14:paraId="5ACBA126"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Ефектът на аторвастатин върху фаталната и нефатална коронарна болест на сърцето е бил оценен в рандомизирано, двойносляпо, плацебо-контролирано проучване - </w:t>
      </w:r>
      <w:r w:rsidRPr="000F092C">
        <w:rPr>
          <w:rFonts w:eastAsia="Times New Roman" w:cs="Arial"/>
          <w:color w:val="000000"/>
          <w:lang w:val="en-US"/>
        </w:rPr>
        <w:t xml:space="preserve">Anglo-Scandinavian Cardiac Outcomes Trial Lipid Lowering Arm (ASCOT-LLA). </w:t>
      </w:r>
      <w:r w:rsidRPr="000F092C">
        <w:rPr>
          <w:rFonts w:eastAsia="Times New Roman" w:cs="Arial"/>
          <w:color w:val="000000"/>
          <w:lang w:eastAsia="bg-BG"/>
        </w:rPr>
        <w:t>Пациентите са били хипертоници, на възраст от 40 до 79 години, без предшестващ миокарден инфаркт или проведено лечение за ангина пекторис и с нива на общия холестерол (ТС) ≤</w:t>
      </w:r>
      <w:r w:rsidRPr="000F092C">
        <w:rPr>
          <w:rFonts w:eastAsia="Times New Roman" w:cs="Arial"/>
          <w:color w:val="000000"/>
          <w:lang w:val="en-US"/>
        </w:rPr>
        <w:t xml:space="preserve"> </w:t>
      </w:r>
      <w:r w:rsidRPr="000F092C">
        <w:rPr>
          <w:rFonts w:eastAsia="Times New Roman" w:cs="Arial"/>
          <w:color w:val="000000"/>
          <w:lang w:eastAsia="bg-BG"/>
        </w:rPr>
        <w:t xml:space="preserve">6,5 </w:t>
      </w:r>
      <w:r w:rsidRPr="000F092C">
        <w:rPr>
          <w:rFonts w:eastAsia="Times New Roman" w:cs="Arial"/>
          <w:color w:val="000000"/>
          <w:lang w:val="en-US"/>
        </w:rPr>
        <w:t xml:space="preserve">mmol/l </w:t>
      </w:r>
      <w:r w:rsidRPr="000F092C">
        <w:rPr>
          <w:rFonts w:eastAsia="Times New Roman" w:cs="Arial"/>
          <w:color w:val="000000"/>
          <w:lang w:eastAsia="bg-BG"/>
        </w:rPr>
        <w:t xml:space="preserve">(251 </w:t>
      </w:r>
      <w:r w:rsidRPr="000F092C">
        <w:rPr>
          <w:rFonts w:eastAsia="Times New Roman" w:cs="Arial"/>
          <w:color w:val="000000"/>
          <w:lang w:val="en-US"/>
        </w:rPr>
        <w:t xml:space="preserve">mg/dl). </w:t>
      </w:r>
      <w:r w:rsidRPr="000F092C">
        <w:rPr>
          <w:rFonts w:eastAsia="Times New Roman" w:cs="Arial"/>
          <w:color w:val="000000"/>
          <w:lang w:eastAsia="bg-BG"/>
        </w:rPr>
        <w:t xml:space="preserve">Всички пациенти са имали поне 3 от предварително дефинираните рискови фактори за развитие на сърдечно-съдово заболяване: пол мъжки, възраст ≥ 55 години, тютюнопушене, диабет, анамнеза за коронарна болест на сърцето </w:t>
      </w:r>
      <w:r w:rsidRPr="000F092C">
        <w:rPr>
          <w:rFonts w:eastAsia="Times New Roman" w:cs="Arial"/>
          <w:color w:val="000000"/>
          <w:lang w:val="en-US"/>
        </w:rPr>
        <w:t xml:space="preserve">(CHD), </w:t>
      </w:r>
      <w:r w:rsidRPr="000F092C">
        <w:rPr>
          <w:rFonts w:eastAsia="Times New Roman" w:cs="Arial"/>
          <w:color w:val="000000"/>
          <w:lang w:eastAsia="bg-BG"/>
        </w:rPr>
        <w:t xml:space="preserve">съответстваща на първа степен, съотношение на </w:t>
      </w:r>
      <w:r w:rsidRPr="000F092C">
        <w:rPr>
          <w:rFonts w:eastAsia="Times New Roman" w:cs="Arial"/>
          <w:color w:val="000000"/>
          <w:lang w:val="en-US"/>
        </w:rPr>
        <w:t xml:space="preserve">TC/HDL-C </w:t>
      </w:r>
      <w:r w:rsidRPr="000F092C">
        <w:rPr>
          <w:rFonts w:eastAsia="Times New Roman" w:cs="Arial"/>
          <w:color w:val="000000"/>
          <w:lang w:eastAsia="bg-BG"/>
        </w:rPr>
        <w:t>&gt; 6, периферно съдово заболяване, левокамерна хипертрофия, предшестващ мозъчно-съдов инцидент, специфична аномалия върху ЕКГ, протеинурия/албуминурия. Не всички включени пациенти са били оценени като такива с висок риск от развитие на първи сърдечно-съдов инцидент.</w:t>
      </w:r>
    </w:p>
    <w:p w14:paraId="50F2166E"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Пациентите са били подложени на антихипертензивна терапия (или с амлодипин или с базирана на атенолол схема) и или на аторвастатин 10 </w:t>
      </w:r>
      <w:r w:rsidRPr="000F092C">
        <w:rPr>
          <w:rFonts w:eastAsia="Times New Roman" w:cs="Arial"/>
          <w:color w:val="000000"/>
          <w:lang w:val="en-US"/>
        </w:rPr>
        <w:t xml:space="preserve">mg </w:t>
      </w:r>
      <w:r w:rsidRPr="000F092C">
        <w:rPr>
          <w:rFonts w:eastAsia="Times New Roman" w:cs="Arial"/>
          <w:color w:val="000000"/>
          <w:lang w:eastAsia="bg-BG"/>
        </w:rPr>
        <w:t xml:space="preserve">дневно </w:t>
      </w:r>
      <w:r w:rsidRPr="000F092C">
        <w:rPr>
          <w:rFonts w:eastAsia="Times New Roman" w:cs="Arial"/>
          <w:color w:val="000000"/>
          <w:lang w:val="en-US"/>
        </w:rPr>
        <w:t xml:space="preserve">(n=5 </w:t>
      </w:r>
      <w:r w:rsidRPr="000F092C">
        <w:rPr>
          <w:rFonts w:eastAsia="Times New Roman" w:cs="Arial"/>
          <w:color w:val="000000"/>
          <w:lang w:eastAsia="bg-BG"/>
        </w:rPr>
        <w:t xml:space="preserve">168) или на плацебо </w:t>
      </w:r>
      <w:r w:rsidRPr="000F092C">
        <w:rPr>
          <w:rFonts w:eastAsia="Times New Roman" w:cs="Arial"/>
          <w:color w:val="000000"/>
          <w:lang w:val="en-US"/>
        </w:rPr>
        <w:t xml:space="preserve">(n=5 </w:t>
      </w:r>
      <w:r w:rsidRPr="000F092C">
        <w:rPr>
          <w:rFonts w:eastAsia="Times New Roman" w:cs="Arial"/>
          <w:color w:val="000000"/>
          <w:lang w:eastAsia="bg-BG"/>
        </w:rPr>
        <w:t>137).</w:t>
      </w:r>
    </w:p>
    <w:p w14:paraId="48B3B970" w14:textId="77777777" w:rsidR="000F092C" w:rsidRPr="000F092C" w:rsidRDefault="000F092C" w:rsidP="000F092C">
      <w:pPr>
        <w:rPr>
          <w:rFonts w:eastAsia="Times New Roman" w:cs="Arial"/>
          <w:color w:val="000000"/>
          <w:lang w:eastAsia="bg-BG"/>
        </w:rPr>
      </w:pPr>
    </w:p>
    <w:p w14:paraId="3E1494F2" w14:textId="3A256C2C" w:rsidR="000F092C" w:rsidRPr="000F092C" w:rsidRDefault="000F092C" w:rsidP="000F092C">
      <w:pPr>
        <w:rPr>
          <w:rFonts w:cs="Arial"/>
        </w:rPr>
      </w:pPr>
      <w:r w:rsidRPr="000F092C">
        <w:rPr>
          <w:rFonts w:eastAsia="Times New Roman" w:cs="Arial"/>
          <w:color w:val="000000"/>
          <w:lang w:eastAsia="bg-BG"/>
        </w:rPr>
        <w:lastRenderedPageBreak/>
        <w:t>Ефектът от аторвастатин върху понижението на абсолютния и относителен риск е както следва:</w:t>
      </w:r>
    </w:p>
    <w:p w14:paraId="1EC49CEE" w14:textId="6A4F3FCB" w:rsidR="000F092C" w:rsidRDefault="000F092C" w:rsidP="0091385D"/>
    <w:tbl>
      <w:tblPr>
        <w:tblStyle w:val="TableGrid"/>
        <w:tblW w:w="0" w:type="auto"/>
        <w:tblLook w:val="04A0" w:firstRow="1" w:lastRow="0" w:firstColumn="1" w:lastColumn="0" w:noHBand="0" w:noVBand="1"/>
      </w:tblPr>
      <w:tblGrid>
        <w:gridCol w:w="2473"/>
        <w:gridCol w:w="1843"/>
        <w:gridCol w:w="1852"/>
        <w:gridCol w:w="1771"/>
        <w:gridCol w:w="1637"/>
      </w:tblGrid>
      <w:tr w:rsidR="000F092C" w14:paraId="32D3E3F7" w14:textId="77777777" w:rsidTr="000F092C">
        <w:tc>
          <w:tcPr>
            <w:tcW w:w="1900" w:type="dxa"/>
          </w:tcPr>
          <w:p w14:paraId="1945A02F" w14:textId="2A57B0D3" w:rsidR="000F092C" w:rsidRDefault="000F092C" w:rsidP="000F092C">
            <w:r>
              <w:rPr>
                <w:b/>
                <w:bCs/>
              </w:rPr>
              <w:t>Инцидент</w:t>
            </w:r>
          </w:p>
        </w:tc>
        <w:tc>
          <w:tcPr>
            <w:tcW w:w="1900" w:type="dxa"/>
          </w:tcPr>
          <w:p w14:paraId="1F1EE140" w14:textId="01275012" w:rsidR="000F092C" w:rsidRDefault="000F092C" w:rsidP="000F092C">
            <w:r>
              <w:rPr>
                <w:b/>
                <w:bCs/>
              </w:rPr>
              <w:t>Понижение на относителния риск (%)</w:t>
            </w:r>
          </w:p>
        </w:tc>
        <w:tc>
          <w:tcPr>
            <w:tcW w:w="1900" w:type="dxa"/>
          </w:tcPr>
          <w:p w14:paraId="7EB4143C" w14:textId="5C37659B" w:rsidR="000F092C" w:rsidRDefault="000F092C" w:rsidP="000F092C">
            <w:r>
              <w:rPr>
                <w:b/>
                <w:bCs/>
              </w:rPr>
              <w:t>Брой на инцидентите (аторвастатин спрямо плацебо)</w:t>
            </w:r>
          </w:p>
        </w:tc>
        <w:tc>
          <w:tcPr>
            <w:tcW w:w="1900" w:type="dxa"/>
          </w:tcPr>
          <w:p w14:paraId="5D7946A5" w14:textId="5441C573" w:rsidR="000F092C" w:rsidRDefault="000F092C" w:rsidP="000F092C">
            <w:r>
              <w:rPr>
                <w:b/>
                <w:bCs/>
              </w:rPr>
              <w:t>Понижение на абсолютния риск</w:t>
            </w:r>
            <w:r>
              <w:rPr>
                <w:b/>
                <w:bCs/>
                <w:vertAlign w:val="superscript"/>
              </w:rPr>
              <w:t>1</w:t>
            </w:r>
            <w:r>
              <w:rPr>
                <w:b/>
                <w:bCs/>
              </w:rPr>
              <w:t xml:space="preserve"> (%)</w:t>
            </w:r>
          </w:p>
        </w:tc>
        <w:tc>
          <w:tcPr>
            <w:tcW w:w="1900" w:type="dxa"/>
          </w:tcPr>
          <w:p w14:paraId="109803BB" w14:textId="7A409F6C" w:rsidR="000F092C" w:rsidRDefault="000F092C" w:rsidP="000F092C">
            <w:r>
              <w:rPr>
                <w:b/>
                <w:bCs/>
              </w:rPr>
              <w:t>Р- стойност</w:t>
            </w:r>
          </w:p>
        </w:tc>
      </w:tr>
      <w:tr w:rsidR="000F092C" w14:paraId="2A8C9AD0" w14:textId="77777777" w:rsidTr="000F092C">
        <w:tc>
          <w:tcPr>
            <w:tcW w:w="1900" w:type="dxa"/>
          </w:tcPr>
          <w:p w14:paraId="05DD5C11" w14:textId="1C30D97D" w:rsidR="000F092C" w:rsidRDefault="000F092C" w:rsidP="000F092C">
            <w:r>
              <w:t xml:space="preserve">Фатална </w:t>
            </w:r>
            <w:r>
              <w:rPr>
                <w:lang w:val="en-US"/>
              </w:rPr>
              <w:t xml:space="preserve">CHD </w:t>
            </w:r>
            <w:r>
              <w:t xml:space="preserve">плюс нефатален </w:t>
            </w:r>
            <w:r>
              <w:rPr>
                <w:lang w:val="en-US"/>
              </w:rPr>
              <w:t>MI</w:t>
            </w:r>
          </w:p>
        </w:tc>
        <w:tc>
          <w:tcPr>
            <w:tcW w:w="1900" w:type="dxa"/>
          </w:tcPr>
          <w:p w14:paraId="1821A9C8" w14:textId="19144F94" w:rsidR="000F092C" w:rsidRDefault="000F092C" w:rsidP="000F092C">
            <w:r>
              <w:t>36%</w:t>
            </w:r>
          </w:p>
        </w:tc>
        <w:tc>
          <w:tcPr>
            <w:tcW w:w="1900" w:type="dxa"/>
          </w:tcPr>
          <w:p w14:paraId="5E7B1A92" w14:textId="3B3D98F6" w:rsidR="000F092C" w:rsidRDefault="000F092C" w:rsidP="000F092C">
            <w:r>
              <w:t>100 спрямо 154</w:t>
            </w:r>
          </w:p>
        </w:tc>
        <w:tc>
          <w:tcPr>
            <w:tcW w:w="1900" w:type="dxa"/>
          </w:tcPr>
          <w:p w14:paraId="33B746BB" w14:textId="4521F80C" w:rsidR="000F092C" w:rsidRDefault="000F092C" w:rsidP="000F092C">
            <w:r>
              <w:t>1,1%</w:t>
            </w:r>
          </w:p>
        </w:tc>
        <w:tc>
          <w:tcPr>
            <w:tcW w:w="1900" w:type="dxa"/>
          </w:tcPr>
          <w:p w14:paraId="192138CC" w14:textId="4335C6AA" w:rsidR="000F092C" w:rsidRDefault="000F092C" w:rsidP="000F092C">
            <w:r>
              <w:t>0,0005</w:t>
            </w:r>
          </w:p>
        </w:tc>
      </w:tr>
      <w:tr w:rsidR="000F092C" w14:paraId="308C45EC" w14:textId="77777777" w:rsidTr="000F092C">
        <w:tc>
          <w:tcPr>
            <w:tcW w:w="1900" w:type="dxa"/>
          </w:tcPr>
          <w:p w14:paraId="6F1BF9F2" w14:textId="01134D97" w:rsidR="000F092C" w:rsidRDefault="000F092C" w:rsidP="000F092C">
            <w:r>
              <w:t>Общо сърдечно-съдови инциденти и реваскуларизационни процедури</w:t>
            </w:r>
          </w:p>
        </w:tc>
        <w:tc>
          <w:tcPr>
            <w:tcW w:w="1900" w:type="dxa"/>
          </w:tcPr>
          <w:p w14:paraId="1F50B7B2" w14:textId="5C94478F" w:rsidR="000F092C" w:rsidRDefault="000F092C" w:rsidP="000F092C">
            <w:r>
              <w:t>20%</w:t>
            </w:r>
          </w:p>
        </w:tc>
        <w:tc>
          <w:tcPr>
            <w:tcW w:w="1900" w:type="dxa"/>
          </w:tcPr>
          <w:p w14:paraId="76A3E806" w14:textId="3F8A3183" w:rsidR="000F092C" w:rsidRDefault="000F092C" w:rsidP="000F092C">
            <w:r>
              <w:t>389 спрямо 483</w:t>
            </w:r>
          </w:p>
        </w:tc>
        <w:tc>
          <w:tcPr>
            <w:tcW w:w="1900" w:type="dxa"/>
          </w:tcPr>
          <w:p w14:paraId="09092F82" w14:textId="339A377F" w:rsidR="000F092C" w:rsidRDefault="000F092C" w:rsidP="000F092C">
            <w:r>
              <w:t>1,9%</w:t>
            </w:r>
          </w:p>
        </w:tc>
        <w:tc>
          <w:tcPr>
            <w:tcW w:w="1900" w:type="dxa"/>
          </w:tcPr>
          <w:p w14:paraId="4070557C" w14:textId="3E4FD2DC" w:rsidR="000F092C" w:rsidRDefault="000F092C" w:rsidP="000F092C">
            <w:r>
              <w:t>0,0008</w:t>
            </w:r>
          </w:p>
        </w:tc>
      </w:tr>
      <w:tr w:rsidR="000F092C" w14:paraId="5D9670F2" w14:textId="77777777" w:rsidTr="000F092C">
        <w:tc>
          <w:tcPr>
            <w:tcW w:w="1900" w:type="dxa"/>
          </w:tcPr>
          <w:p w14:paraId="10633A57" w14:textId="175925F4" w:rsidR="000F092C" w:rsidRDefault="000F092C" w:rsidP="000F092C">
            <w:r>
              <w:t>Общо коронарни инциденти</w:t>
            </w:r>
          </w:p>
        </w:tc>
        <w:tc>
          <w:tcPr>
            <w:tcW w:w="1900" w:type="dxa"/>
          </w:tcPr>
          <w:p w14:paraId="49C1D9A5" w14:textId="5211C7EC" w:rsidR="000F092C" w:rsidRDefault="000F092C" w:rsidP="000F092C">
            <w:r>
              <w:t>29%</w:t>
            </w:r>
          </w:p>
        </w:tc>
        <w:tc>
          <w:tcPr>
            <w:tcW w:w="1900" w:type="dxa"/>
          </w:tcPr>
          <w:p w14:paraId="2CC77811" w14:textId="0F2F911D" w:rsidR="000F092C" w:rsidRDefault="000F092C" w:rsidP="000F092C">
            <w:r>
              <w:t>178 спрямо 247</w:t>
            </w:r>
          </w:p>
        </w:tc>
        <w:tc>
          <w:tcPr>
            <w:tcW w:w="1900" w:type="dxa"/>
          </w:tcPr>
          <w:p w14:paraId="7B55F7F1" w14:textId="2EDEB9FD" w:rsidR="000F092C" w:rsidRDefault="000F092C" w:rsidP="000F092C">
            <w:r>
              <w:t>1,4%</w:t>
            </w:r>
          </w:p>
        </w:tc>
        <w:tc>
          <w:tcPr>
            <w:tcW w:w="1900" w:type="dxa"/>
          </w:tcPr>
          <w:p w14:paraId="2C15DB9A" w14:textId="3191D815" w:rsidR="000F092C" w:rsidRDefault="000F092C" w:rsidP="000F092C">
            <w:r>
              <w:t>0,0006</w:t>
            </w:r>
          </w:p>
        </w:tc>
      </w:tr>
    </w:tbl>
    <w:p w14:paraId="7D4F40C9" w14:textId="431B67CF" w:rsidR="000F092C" w:rsidRDefault="000F092C" w:rsidP="0091385D"/>
    <w:p w14:paraId="3327F00F"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vertAlign w:val="superscript"/>
          <w:lang w:eastAsia="bg-BG"/>
        </w:rPr>
        <w:t>1</w:t>
      </w:r>
      <w:r w:rsidRPr="000F092C">
        <w:rPr>
          <w:rFonts w:eastAsia="Times New Roman" w:cs="Arial"/>
          <w:color w:val="000000"/>
          <w:lang w:eastAsia="bg-BG"/>
        </w:rPr>
        <w:t xml:space="preserve"> Въз основа на разликата в необработените честоти на инцидентите, наблюдавани през период на проследяване с медиана 3,3 години.</w:t>
      </w:r>
    </w:p>
    <w:p w14:paraId="1E314BFD"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val="en-US"/>
        </w:rPr>
        <w:t xml:space="preserve">CHD </w:t>
      </w:r>
      <w:r w:rsidRPr="000F092C">
        <w:rPr>
          <w:rFonts w:eastAsia="Times New Roman" w:cs="Arial"/>
          <w:color w:val="000000"/>
          <w:lang w:eastAsia="bg-BG"/>
        </w:rPr>
        <w:t xml:space="preserve">= коронарна болест на сърцето; </w:t>
      </w:r>
      <w:r w:rsidRPr="000F092C">
        <w:rPr>
          <w:rFonts w:eastAsia="Times New Roman" w:cs="Arial"/>
          <w:color w:val="000000"/>
          <w:lang w:val="en-US"/>
        </w:rPr>
        <w:t xml:space="preserve">MI </w:t>
      </w:r>
      <w:r w:rsidRPr="000F092C">
        <w:rPr>
          <w:rFonts w:eastAsia="Times New Roman" w:cs="Arial"/>
          <w:color w:val="000000"/>
          <w:lang w:eastAsia="bg-BG"/>
        </w:rPr>
        <w:t>= миокарден инфаркт</w:t>
      </w:r>
    </w:p>
    <w:p w14:paraId="451EC158" w14:textId="77777777" w:rsidR="000F092C" w:rsidRPr="000F092C" w:rsidRDefault="000F092C" w:rsidP="000F092C">
      <w:pPr>
        <w:rPr>
          <w:rFonts w:eastAsia="Times New Roman" w:cs="Arial"/>
          <w:color w:val="000000"/>
          <w:lang w:eastAsia="bg-BG"/>
        </w:rPr>
      </w:pPr>
    </w:p>
    <w:p w14:paraId="3764D66C" w14:textId="77777777" w:rsidR="000F092C" w:rsidRPr="000F092C" w:rsidRDefault="000F092C" w:rsidP="000F092C">
      <w:pPr>
        <w:rPr>
          <w:rFonts w:eastAsia="Times New Roman" w:cs="Arial"/>
          <w:sz w:val="24"/>
          <w:szCs w:val="24"/>
          <w:lang w:eastAsia="bg-BG"/>
        </w:rPr>
      </w:pPr>
      <w:r w:rsidRPr="000F092C">
        <w:rPr>
          <w:rFonts w:eastAsia="Times New Roman" w:cs="Arial"/>
          <w:color w:val="000000"/>
          <w:lang w:eastAsia="bg-BG"/>
        </w:rPr>
        <w:t xml:space="preserve">Общата смъртност и сърдечно-съдовата смъртност не са били значимо понижени (185 спрямо 212 инцидента, р=0,17 и 74 спрямо 82 инцидента, р=0,51). При подгруповите анализи според пода (81% мъже, 19% жени), благоприятният ефект на аторвастатин е бил наблюдаван при мъжете, но не е могло да бъде установен при жените, вероятно поради ниското ниво на инциденти в подгрупата на жените. Общата и сърдечно-съдова смъртност са били числено по-високи при жените (38 спрямо 30 и 17 спрямо 12), но не са били статистически значими. Имало е значимо лекарствено взаимодействие от страна на изходната антихипертензивна терапия. Първичната крайна точка (фатална коронарна болест на сърцето </w:t>
      </w:r>
      <w:r w:rsidRPr="000F092C">
        <w:rPr>
          <w:rFonts w:eastAsia="Times New Roman" w:cs="Arial"/>
          <w:color w:val="000000"/>
          <w:lang w:val="en-US"/>
        </w:rPr>
        <w:t xml:space="preserve">(CHD) </w:t>
      </w:r>
      <w:r w:rsidRPr="000F092C">
        <w:rPr>
          <w:rFonts w:eastAsia="Times New Roman" w:cs="Arial"/>
          <w:color w:val="000000"/>
          <w:lang w:eastAsia="bg-BG"/>
        </w:rPr>
        <w:t xml:space="preserve">плюс нефатален миокарден инфаркт </w:t>
      </w:r>
      <w:r w:rsidRPr="000F092C">
        <w:rPr>
          <w:rFonts w:eastAsia="Times New Roman" w:cs="Arial"/>
          <w:color w:val="000000"/>
          <w:lang w:val="en-US"/>
        </w:rPr>
        <w:t xml:space="preserve">(MI)) </w:t>
      </w:r>
      <w:r w:rsidRPr="000F092C">
        <w:rPr>
          <w:rFonts w:eastAsia="Times New Roman" w:cs="Arial"/>
          <w:color w:val="000000"/>
          <w:lang w:eastAsia="bg-BG"/>
        </w:rPr>
        <w:t>е била значимо понижена от аторвастатин</w:t>
      </w:r>
      <w:r>
        <w:rPr>
          <w:rFonts w:eastAsia="Times New Roman" w:cs="Arial"/>
          <w:color w:val="000000"/>
          <w:lang w:val="en-US" w:eastAsia="bg-BG"/>
        </w:rPr>
        <w:t xml:space="preserve"> </w:t>
      </w:r>
      <w:r w:rsidRPr="000F092C">
        <w:rPr>
          <w:rFonts w:eastAsia="Times New Roman" w:cs="Arial"/>
          <w:color w:val="000000"/>
          <w:lang w:eastAsia="bg-BG"/>
        </w:rPr>
        <w:t xml:space="preserve">при пациентите, лекувани с амлодипин (коефициент на риска </w:t>
      </w:r>
      <w:r w:rsidRPr="000F092C">
        <w:rPr>
          <w:rFonts w:eastAsia="Times New Roman" w:cs="Arial"/>
          <w:color w:val="000000"/>
          <w:lang w:val="en-US"/>
        </w:rPr>
        <w:t xml:space="preserve">(hazard ratio, HR) </w:t>
      </w:r>
      <w:r w:rsidRPr="000F092C">
        <w:rPr>
          <w:rFonts w:eastAsia="Times New Roman" w:cs="Arial"/>
          <w:color w:val="000000"/>
          <w:lang w:eastAsia="bg-BG"/>
        </w:rPr>
        <w:t xml:space="preserve">0,47 (0,32-0,69); р=0,00008), но не и при тези, лекувани с атенолол (коефициент на риска </w:t>
      </w:r>
      <w:r w:rsidRPr="000F092C">
        <w:rPr>
          <w:rFonts w:eastAsia="Times New Roman" w:cs="Arial"/>
          <w:color w:val="000000"/>
          <w:lang w:val="en-US"/>
        </w:rPr>
        <w:t xml:space="preserve">(hazard ratio, HR) </w:t>
      </w:r>
      <w:r w:rsidRPr="000F092C">
        <w:rPr>
          <w:rFonts w:eastAsia="Times New Roman" w:cs="Arial"/>
          <w:color w:val="000000"/>
          <w:lang w:eastAsia="bg-BG"/>
        </w:rPr>
        <w:t>0,83 (0,</w:t>
      </w:r>
      <w:r w:rsidRPr="000F092C">
        <w:rPr>
          <w:rFonts w:eastAsia="Times New Roman" w:cs="Arial"/>
          <w:i/>
          <w:iCs/>
          <w:color w:val="000000"/>
          <w:lang w:eastAsia="bg-BG"/>
        </w:rPr>
        <w:t xml:space="preserve">59- </w:t>
      </w:r>
      <w:r w:rsidRPr="000F092C">
        <w:rPr>
          <w:rFonts w:eastAsia="Times New Roman" w:cs="Arial"/>
          <w:color w:val="000000"/>
          <w:lang w:eastAsia="bg-BG"/>
        </w:rPr>
        <w:t>1,17); р=0,287).</w:t>
      </w:r>
    </w:p>
    <w:p w14:paraId="7999F3DA" w14:textId="77777777" w:rsidR="000F092C" w:rsidRPr="000F092C" w:rsidRDefault="000F092C" w:rsidP="000F092C">
      <w:pPr>
        <w:spacing w:line="240" w:lineRule="auto"/>
        <w:rPr>
          <w:rFonts w:eastAsia="Times New Roman" w:cs="Arial"/>
          <w:color w:val="000000"/>
          <w:lang w:eastAsia="bg-BG"/>
        </w:rPr>
      </w:pPr>
    </w:p>
    <w:p w14:paraId="3282C221" w14:textId="1D3E499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Ефектът на аторвастатин върху фаталните и нефатални сърдечно-съдови заболявалия е бил също оценен в рандомизирано, двойносляпо, мултицентрово, плацебо-контролирано проучване - </w:t>
      </w:r>
      <w:r w:rsidRPr="000F092C">
        <w:rPr>
          <w:rFonts w:eastAsia="Times New Roman" w:cs="Arial"/>
          <w:color w:val="000000"/>
          <w:lang w:val="en-US"/>
        </w:rPr>
        <w:t xml:space="preserve">Collaborative Atorvastatin Diabetes Study (CARDS) </w:t>
      </w:r>
      <w:r w:rsidRPr="000F092C">
        <w:rPr>
          <w:rFonts w:eastAsia="Times New Roman" w:cs="Arial"/>
          <w:color w:val="000000"/>
          <w:lang w:eastAsia="bg-BG"/>
        </w:rPr>
        <w:t xml:space="preserve">при пациенти </w:t>
      </w:r>
      <w:r w:rsidRPr="000F092C">
        <w:rPr>
          <w:rFonts w:eastAsia="Times New Roman" w:cs="Arial"/>
          <w:color w:val="000000"/>
          <w:lang w:val="en-US"/>
        </w:rPr>
        <w:t xml:space="preserve">c </w:t>
      </w:r>
      <w:r w:rsidRPr="000F092C">
        <w:rPr>
          <w:rFonts w:eastAsia="Times New Roman" w:cs="Arial"/>
          <w:color w:val="000000"/>
          <w:lang w:eastAsia="bg-BG"/>
        </w:rPr>
        <w:t xml:space="preserve">тип </w:t>
      </w:r>
      <w:r w:rsidRPr="000F092C">
        <w:rPr>
          <w:rFonts w:eastAsia="Times New Roman" w:cs="Arial"/>
          <w:color w:val="000000"/>
          <w:lang w:val="en-US"/>
        </w:rPr>
        <w:t xml:space="preserve">2 </w:t>
      </w:r>
      <w:r w:rsidRPr="000F092C">
        <w:rPr>
          <w:rFonts w:eastAsia="Times New Roman" w:cs="Arial"/>
          <w:color w:val="000000"/>
          <w:lang w:eastAsia="bg-BG"/>
        </w:rPr>
        <w:t xml:space="preserve">захарен диабет, на възраст от 40 до 75 години, без анамнеза за предшестващо сърдечно-съдово заболяване и със стойности на </w:t>
      </w:r>
      <w:r w:rsidRPr="000F092C">
        <w:rPr>
          <w:rFonts w:eastAsia="Times New Roman" w:cs="Arial"/>
          <w:color w:val="000000"/>
          <w:lang w:val="en-US"/>
        </w:rPr>
        <w:t xml:space="preserve">LDL-C </w:t>
      </w:r>
      <w:r w:rsidRPr="000F092C">
        <w:rPr>
          <w:rFonts w:eastAsia="Times New Roman" w:cs="Arial"/>
          <w:color w:val="000000"/>
          <w:lang w:eastAsia="bg-BG"/>
        </w:rPr>
        <w:t xml:space="preserve">≤4,14 </w:t>
      </w:r>
      <w:r w:rsidRPr="000F092C">
        <w:rPr>
          <w:rFonts w:eastAsia="Times New Roman" w:cs="Arial"/>
          <w:color w:val="000000"/>
          <w:lang w:val="en-US"/>
        </w:rPr>
        <w:t xml:space="preserve">mmol/l </w:t>
      </w:r>
      <w:r w:rsidRPr="000F092C">
        <w:rPr>
          <w:rFonts w:eastAsia="Times New Roman" w:cs="Arial"/>
          <w:color w:val="000000"/>
          <w:lang w:eastAsia="bg-BG"/>
        </w:rPr>
        <w:t xml:space="preserve">(160 </w:t>
      </w:r>
      <w:r w:rsidRPr="000F092C">
        <w:rPr>
          <w:rFonts w:eastAsia="Times New Roman" w:cs="Arial"/>
          <w:color w:val="000000"/>
          <w:lang w:val="en-US"/>
        </w:rPr>
        <w:t xml:space="preserve">mg/dl) </w:t>
      </w:r>
      <w:r w:rsidRPr="000F092C">
        <w:rPr>
          <w:rFonts w:eastAsia="Times New Roman" w:cs="Arial"/>
          <w:color w:val="000000"/>
          <w:lang w:eastAsia="bg-BG"/>
        </w:rPr>
        <w:t xml:space="preserve">и на триглицеридите </w:t>
      </w:r>
      <w:r w:rsidRPr="000F092C">
        <w:rPr>
          <w:rFonts w:eastAsia="Times New Roman" w:cs="Arial"/>
          <w:color w:val="000000"/>
          <w:lang w:val="en-US"/>
        </w:rPr>
        <w:t xml:space="preserve">(TG) </w:t>
      </w:r>
      <w:r w:rsidRPr="000F092C">
        <w:rPr>
          <w:rFonts w:eastAsia="Times New Roman" w:cs="Arial"/>
          <w:color w:val="000000"/>
          <w:lang w:eastAsia="bg-BG"/>
        </w:rPr>
        <w:t xml:space="preserve">≤ 6,78 </w:t>
      </w:r>
      <w:r w:rsidRPr="000F092C">
        <w:rPr>
          <w:rFonts w:eastAsia="Times New Roman" w:cs="Arial"/>
          <w:color w:val="000000"/>
          <w:lang w:val="en-US"/>
        </w:rPr>
        <w:t xml:space="preserve">mmol/l </w:t>
      </w:r>
      <w:r w:rsidRPr="000F092C">
        <w:rPr>
          <w:rFonts w:eastAsia="Times New Roman" w:cs="Arial"/>
          <w:color w:val="000000"/>
          <w:lang w:eastAsia="bg-BG"/>
        </w:rPr>
        <w:t xml:space="preserve">(600 </w:t>
      </w:r>
      <w:r w:rsidRPr="000F092C">
        <w:rPr>
          <w:rFonts w:eastAsia="Times New Roman" w:cs="Arial"/>
          <w:color w:val="000000"/>
          <w:lang w:val="en-US"/>
        </w:rPr>
        <w:t xml:space="preserve">mg/dl). </w:t>
      </w:r>
      <w:r w:rsidRPr="000F092C">
        <w:rPr>
          <w:rFonts w:eastAsia="Times New Roman" w:cs="Arial"/>
          <w:color w:val="000000"/>
          <w:lang w:eastAsia="bg-BG"/>
        </w:rPr>
        <w:t>Всички пациенти са имали поне един от следните рискови фактори: хипертония, тютюнопушене, ретинопатия, микроалбуминурия или макроалбуминурия.</w:t>
      </w:r>
    </w:p>
    <w:p w14:paraId="31DD5EE8" w14:textId="77777777" w:rsidR="000F092C" w:rsidRPr="000F092C" w:rsidRDefault="000F092C" w:rsidP="000F092C">
      <w:pPr>
        <w:spacing w:line="240" w:lineRule="auto"/>
        <w:rPr>
          <w:rFonts w:eastAsia="Times New Roman" w:cs="Arial"/>
          <w:color w:val="000000"/>
          <w:lang w:eastAsia="bg-BG"/>
        </w:rPr>
      </w:pPr>
    </w:p>
    <w:p w14:paraId="5D5E3E1C" w14:textId="222CF5C6"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Пациентите били лекувани с аторвастатин 10 </w:t>
      </w:r>
      <w:r w:rsidRPr="000F092C">
        <w:rPr>
          <w:rFonts w:eastAsia="Times New Roman" w:cs="Arial"/>
          <w:color w:val="000000"/>
          <w:lang w:val="en-US"/>
        </w:rPr>
        <w:t xml:space="preserve">mg </w:t>
      </w:r>
      <w:r w:rsidRPr="000F092C">
        <w:rPr>
          <w:rFonts w:eastAsia="Times New Roman" w:cs="Arial"/>
          <w:color w:val="000000"/>
          <w:lang w:eastAsia="bg-BG"/>
        </w:rPr>
        <w:t>дневно (</w:t>
      </w:r>
      <w:r w:rsidRPr="000F092C">
        <w:rPr>
          <w:rFonts w:eastAsia="Times New Roman" w:cs="Arial"/>
          <w:color w:val="000000"/>
          <w:lang w:val="en-US"/>
        </w:rPr>
        <w:t>n</w:t>
      </w:r>
      <w:r w:rsidRPr="000F092C">
        <w:rPr>
          <w:rFonts w:eastAsia="Times New Roman" w:cs="Arial"/>
          <w:color w:val="000000"/>
          <w:lang w:eastAsia="bg-BG"/>
        </w:rPr>
        <w:t>=1 428) или плацебо (</w:t>
      </w:r>
      <w:r w:rsidRPr="000F092C">
        <w:rPr>
          <w:rFonts w:eastAsia="Times New Roman" w:cs="Arial"/>
          <w:color w:val="000000"/>
          <w:lang w:val="en-US"/>
        </w:rPr>
        <w:t>n</w:t>
      </w:r>
      <w:r w:rsidRPr="000F092C">
        <w:rPr>
          <w:rFonts w:eastAsia="Times New Roman" w:cs="Arial"/>
          <w:color w:val="000000"/>
          <w:lang w:eastAsia="bg-BG"/>
        </w:rPr>
        <w:t>=1 410) през период на проследяне с медиана 3,9 години.</w:t>
      </w:r>
    </w:p>
    <w:p w14:paraId="44E9C0B8" w14:textId="77777777" w:rsidR="000F092C" w:rsidRPr="000F092C" w:rsidRDefault="000F092C" w:rsidP="000F092C">
      <w:pPr>
        <w:rPr>
          <w:rFonts w:eastAsia="Times New Roman" w:cs="Arial"/>
          <w:color w:val="000000"/>
          <w:lang w:eastAsia="bg-BG"/>
        </w:rPr>
      </w:pPr>
    </w:p>
    <w:p w14:paraId="0D6A434C" w14:textId="148ECA0B" w:rsidR="000F092C" w:rsidRPr="000F092C" w:rsidRDefault="000F092C" w:rsidP="000F092C">
      <w:pPr>
        <w:rPr>
          <w:rFonts w:cs="Arial"/>
          <w:lang w:val="en-US"/>
        </w:rPr>
      </w:pPr>
      <w:r w:rsidRPr="000F092C">
        <w:rPr>
          <w:rFonts w:eastAsia="Times New Roman" w:cs="Arial"/>
          <w:color w:val="000000"/>
          <w:lang w:eastAsia="bg-BG"/>
        </w:rPr>
        <w:t>Ефектът от аторвастатин върху понижението на абсолютния и относителен риск е както следва:</w:t>
      </w:r>
    </w:p>
    <w:p w14:paraId="3AC9C9CB" w14:textId="56931993" w:rsidR="000F092C" w:rsidRDefault="000F092C" w:rsidP="0091385D"/>
    <w:tbl>
      <w:tblPr>
        <w:tblStyle w:val="TableGrid"/>
        <w:tblW w:w="0" w:type="auto"/>
        <w:tblLook w:val="04A0" w:firstRow="1" w:lastRow="0" w:firstColumn="1" w:lastColumn="0" w:noHBand="0" w:noVBand="1"/>
      </w:tblPr>
      <w:tblGrid>
        <w:gridCol w:w="2043"/>
        <w:gridCol w:w="1891"/>
        <w:gridCol w:w="1894"/>
        <w:gridCol w:w="1883"/>
        <w:gridCol w:w="1865"/>
      </w:tblGrid>
      <w:tr w:rsidR="000F092C" w14:paraId="32A12B62" w14:textId="77777777" w:rsidTr="000F092C">
        <w:tc>
          <w:tcPr>
            <w:tcW w:w="1900" w:type="dxa"/>
          </w:tcPr>
          <w:p w14:paraId="4043FF69" w14:textId="49A3D002" w:rsidR="000F092C" w:rsidRDefault="000F092C" w:rsidP="000F092C">
            <w:r>
              <w:rPr>
                <w:b/>
                <w:bCs/>
              </w:rPr>
              <w:t>Инцидент</w:t>
            </w:r>
          </w:p>
        </w:tc>
        <w:tc>
          <w:tcPr>
            <w:tcW w:w="1900" w:type="dxa"/>
          </w:tcPr>
          <w:p w14:paraId="0BAA25A8" w14:textId="2C6FC94D" w:rsidR="000F092C" w:rsidRDefault="000F092C" w:rsidP="000F092C">
            <w:r>
              <w:rPr>
                <w:b/>
                <w:bCs/>
              </w:rPr>
              <w:t>Понижение на относителния риск (%)</w:t>
            </w:r>
          </w:p>
        </w:tc>
        <w:tc>
          <w:tcPr>
            <w:tcW w:w="1900" w:type="dxa"/>
          </w:tcPr>
          <w:p w14:paraId="19734E96" w14:textId="578A4A04" w:rsidR="000F092C" w:rsidRDefault="000F092C" w:rsidP="000F092C">
            <w:r>
              <w:rPr>
                <w:b/>
                <w:bCs/>
              </w:rPr>
              <w:t>Брой на инцидентите (аторвастатин спрямо плацебо)</w:t>
            </w:r>
          </w:p>
        </w:tc>
        <w:tc>
          <w:tcPr>
            <w:tcW w:w="1900" w:type="dxa"/>
          </w:tcPr>
          <w:p w14:paraId="779A9EF0" w14:textId="6F465A62" w:rsidR="000F092C" w:rsidRDefault="000F092C" w:rsidP="000F092C">
            <w:r>
              <w:rPr>
                <w:b/>
                <w:bCs/>
              </w:rPr>
              <w:t>Понижение на абсолютния риск</w:t>
            </w:r>
            <w:r>
              <w:rPr>
                <w:b/>
                <w:bCs/>
                <w:vertAlign w:val="superscript"/>
              </w:rPr>
              <w:t>1</w:t>
            </w:r>
            <w:r>
              <w:rPr>
                <w:b/>
                <w:bCs/>
              </w:rPr>
              <w:t xml:space="preserve"> (%)</w:t>
            </w:r>
          </w:p>
        </w:tc>
        <w:tc>
          <w:tcPr>
            <w:tcW w:w="1900" w:type="dxa"/>
          </w:tcPr>
          <w:p w14:paraId="01D06436" w14:textId="7906671F" w:rsidR="000F092C" w:rsidRDefault="000F092C" w:rsidP="000F092C">
            <w:r>
              <w:rPr>
                <w:b/>
                <w:bCs/>
              </w:rPr>
              <w:t>Р- стойност</w:t>
            </w:r>
          </w:p>
        </w:tc>
      </w:tr>
      <w:tr w:rsidR="000F092C" w14:paraId="1A77F148" w14:textId="77777777" w:rsidTr="000F092C">
        <w:tc>
          <w:tcPr>
            <w:tcW w:w="1900" w:type="dxa"/>
          </w:tcPr>
          <w:p w14:paraId="6C0A182E" w14:textId="05AF047B" w:rsidR="000F092C" w:rsidRDefault="000F092C" w:rsidP="000F092C">
            <w:r>
              <w:t xml:space="preserve">Големи сърдечно-съдови инциденти (фатален и нефатален </w:t>
            </w:r>
            <w:r>
              <w:rPr>
                <w:lang w:val="en-US"/>
              </w:rPr>
              <w:t xml:space="preserve">AMI, </w:t>
            </w:r>
            <w:r>
              <w:t xml:space="preserve">тих </w:t>
            </w:r>
            <w:r>
              <w:rPr>
                <w:lang w:val="en-US"/>
              </w:rPr>
              <w:t xml:space="preserve">MI, </w:t>
            </w:r>
            <w:r>
              <w:t xml:space="preserve">смърт поради остра </w:t>
            </w:r>
            <w:r>
              <w:rPr>
                <w:lang w:val="en-US"/>
              </w:rPr>
              <w:t xml:space="preserve">CHD, </w:t>
            </w:r>
            <w:r>
              <w:t xml:space="preserve">нестабилна ангина пекторис, </w:t>
            </w:r>
            <w:r>
              <w:rPr>
                <w:lang w:val="en-US"/>
              </w:rPr>
              <w:t xml:space="preserve">CABG, </w:t>
            </w:r>
            <w:r>
              <w:t>РТСА, реваскуализация, инсулт)</w:t>
            </w:r>
          </w:p>
        </w:tc>
        <w:tc>
          <w:tcPr>
            <w:tcW w:w="1900" w:type="dxa"/>
          </w:tcPr>
          <w:p w14:paraId="5A4E9BCA" w14:textId="264B8BAC" w:rsidR="000F092C" w:rsidRDefault="000F092C" w:rsidP="000F092C">
            <w:r>
              <w:t>37%</w:t>
            </w:r>
          </w:p>
        </w:tc>
        <w:tc>
          <w:tcPr>
            <w:tcW w:w="1900" w:type="dxa"/>
          </w:tcPr>
          <w:p w14:paraId="14BB709F" w14:textId="3B3A06AC" w:rsidR="000F092C" w:rsidRDefault="000F092C" w:rsidP="000F092C">
            <w:r>
              <w:t>83 спрямо 127</w:t>
            </w:r>
          </w:p>
        </w:tc>
        <w:tc>
          <w:tcPr>
            <w:tcW w:w="1900" w:type="dxa"/>
          </w:tcPr>
          <w:p w14:paraId="75DC4E3D" w14:textId="3C1ECF5F" w:rsidR="000F092C" w:rsidRDefault="000F092C" w:rsidP="000F092C">
            <w:r>
              <w:t>3,2%</w:t>
            </w:r>
          </w:p>
        </w:tc>
        <w:tc>
          <w:tcPr>
            <w:tcW w:w="1900" w:type="dxa"/>
          </w:tcPr>
          <w:p w14:paraId="1FB26922" w14:textId="05065604" w:rsidR="000F092C" w:rsidRDefault="000F092C" w:rsidP="000F092C">
            <w:r>
              <w:t>0,0010</w:t>
            </w:r>
          </w:p>
        </w:tc>
      </w:tr>
      <w:tr w:rsidR="000F092C" w14:paraId="25D64DE1" w14:textId="77777777" w:rsidTr="000F092C">
        <w:tc>
          <w:tcPr>
            <w:tcW w:w="1900" w:type="dxa"/>
          </w:tcPr>
          <w:p w14:paraId="067005EA" w14:textId="5F1E9D82" w:rsidR="000F092C" w:rsidRDefault="000F092C" w:rsidP="000F092C">
            <w:r>
              <w:rPr>
                <w:lang w:val="en-US"/>
              </w:rPr>
              <w:t xml:space="preserve">MI </w:t>
            </w:r>
            <w:r>
              <w:t xml:space="preserve">(фатален и нефатален </w:t>
            </w:r>
            <w:r>
              <w:rPr>
                <w:lang w:val="en-US"/>
              </w:rPr>
              <w:t xml:space="preserve">AMI, </w:t>
            </w:r>
            <w:r>
              <w:t xml:space="preserve">тих </w:t>
            </w:r>
            <w:r>
              <w:rPr>
                <w:lang w:val="en-US"/>
              </w:rPr>
              <w:t>MI)</w:t>
            </w:r>
          </w:p>
        </w:tc>
        <w:tc>
          <w:tcPr>
            <w:tcW w:w="1900" w:type="dxa"/>
          </w:tcPr>
          <w:p w14:paraId="129FA2AD" w14:textId="348D7E10" w:rsidR="000F092C" w:rsidRDefault="000F092C" w:rsidP="000F092C">
            <w:r>
              <w:t>42%</w:t>
            </w:r>
          </w:p>
        </w:tc>
        <w:tc>
          <w:tcPr>
            <w:tcW w:w="1900" w:type="dxa"/>
          </w:tcPr>
          <w:p w14:paraId="113070F6" w14:textId="3329ECA0" w:rsidR="000F092C" w:rsidRDefault="000F092C" w:rsidP="000F092C">
            <w:r>
              <w:t>38 спрямо 64</w:t>
            </w:r>
          </w:p>
        </w:tc>
        <w:tc>
          <w:tcPr>
            <w:tcW w:w="1900" w:type="dxa"/>
          </w:tcPr>
          <w:p w14:paraId="0A6A43FE" w14:textId="6A679488" w:rsidR="000F092C" w:rsidRDefault="000F092C" w:rsidP="000F092C">
            <w:r>
              <w:t>1,9%</w:t>
            </w:r>
          </w:p>
        </w:tc>
        <w:tc>
          <w:tcPr>
            <w:tcW w:w="1900" w:type="dxa"/>
          </w:tcPr>
          <w:p w14:paraId="29BF2AB6" w14:textId="22BA2084" w:rsidR="000F092C" w:rsidRDefault="000F092C" w:rsidP="000F092C">
            <w:r>
              <w:t>0,0070</w:t>
            </w:r>
          </w:p>
        </w:tc>
      </w:tr>
      <w:tr w:rsidR="000F092C" w14:paraId="53E97FC7" w14:textId="77777777" w:rsidTr="000F092C">
        <w:tc>
          <w:tcPr>
            <w:tcW w:w="1900" w:type="dxa"/>
          </w:tcPr>
          <w:p w14:paraId="29766856" w14:textId="597E2C23" w:rsidR="000F092C" w:rsidRDefault="000F092C" w:rsidP="000F092C">
            <w:r>
              <w:t>Инсулт (фатален и нефатален)</w:t>
            </w:r>
          </w:p>
        </w:tc>
        <w:tc>
          <w:tcPr>
            <w:tcW w:w="1900" w:type="dxa"/>
          </w:tcPr>
          <w:p w14:paraId="3E8D7C8A" w14:textId="58701FCB" w:rsidR="000F092C" w:rsidRDefault="000F092C" w:rsidP="000F092C">
            <w:r>
              <w:t>48%</w:t>
            </w:r>
          </w:p>
        </w:tc>
        <w:tc>
          <w:tcPr>
            <w:tcW w:w="1900" w:type="dxa"/>
          </w:tcPr>
          <w:p w14:paraId="54EF970B" w14:textId="608089DB" w:rsidR="000F092C" w:rsidRDefault="000F092C" w:rsidP="000F092C">
            <w:r>
              <w:t>21 спрямо 39</w:t>
            </w:r>
          </w:p>
        </w:tc>
        <w:tc>
          <w:tcPr>
            <w:tcW w:w="1900" w:type="dxa"/>
          </w:tcPr>
          <w:p w14:paraId="068263D5" w14:textId="3E3591F7" w:rsidR="000F092C" w:rsidRDefault="000F092C" w:rsidP="000F092C">
            <w:r>
              <w:t>1,3%</w:t>
            </w:r>
          </w:p>
        </w:tc>
        <w:tc>
          <w:tcPr>
            <w:tcW w:w="1900" w:type="dxa"/>
          </w:tcPr>
          <w:p w14:paraId="533C85E5" w14:textId="282D90CA" w:rsidR="000F092C" w:rsidRDefault="000F092C" w:rsidP="000F092C">
            <w:r>
              <w:t>0,0163</w:t>
            </w:r>
          </w:p>
        </w:tc>
      </w:tr>
    </w:tbl>
    <w:p w14:paraId="64490839" w14:textId="771869F9" w:rsidR="000F092C" w:rsidRDefault="000F092C" w:rsidP="0091385D"/>
    <w:p w14:paraId="2C5D8680"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vertAlign w:val="superscript"/>
          <w:lang w:eastAsia="bg-BG"/>
        </w:rPr>
        <w:t>1</w:t>
      </w:r>
      <w:r w:rsidRPr="000F092C">
        <w:rPr>
          <w:rFonts w:eastAsia="Times New Roman" w:cs="Arial"/>
          <w:color w:val="000000"/>
          <w:lang w:eastAsia="bg-BG"/>
        </w:rPr>
        <w:t xml:space="preserve"> Въз основа на разликата в необработените честоти на инцидентите, наблюдавани през период на проследяване с медиана 3,9 години.</w:t>
      </w:r>
    </w:p>
    <w:p w14:paraId="1AFD95E6"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val="en-US"/>
        </w:rPr>
        <w:t xml:space="preserve">AMI </w:t>
      </w:r>
      <w:r w:rsidRPr="000F092C">
        <w:rPr>
          <w:rFonts w:eastAsia="Times New Roman" w:cs="Arial"/>
          <w:color w:val="000000"/>
          <w:lang w:eastAsia="bg-BG"/>
        </w:rPr>
        <w:t xml:space="preserve">= остър миокарден инфаркт; </w:t>
      </w:r>
      <w:r w:rsidRPr="000F092C">
        <w:rPr>
          <w:rFonts w:eastAsia="Times New Roman" w:cs="Arial"/>
          <w:color w:val="000000"/>
          <w:lang w:val="en-US"/>
        </w:rPr>
        <w:t>CABG =</w:t>
      </w:r>
      <w:r w:rsidRPr="000F092C">
        <w:rPr>
          <w:rFonts w:eastAsia="Times New Roman" w:cs="Arial"/>
          <w:color w:val="000000"/>
          <w:lang w:eastAsia="bg-BG"/>
        </w:rPr>
        <w:t xml:space="preserve"> присаждане на коронарен артериален байпас; </w:t>
      </w:r>
      <w:r w:rsidRPr="000F092C">
        <w:rPr>
          <w:rFonts w:eastAsia="Times New Roman" w:cs="Arial"/>
          <w:color w:val="000000"/>
          <w:lang w:val="en-US"/>
        </w:rPr>
        <w:t>CHD =</w:t>
      </w:r>
      <w:r w:rsidRPr="000F092C">
        <w:rPr>
          <w:rFonts w:eastAsia="Times New Roman" w:cs="Arial"/>
          <w:color w:val="000000"/>
          <w:lang w:eastAsia="bg-BG"/>
        </w:rPr>
        <w:t xml:space="preserve"> коронарна болест на сърцето; </w:t>
      </w:r>
      <w:r w:rsidRPr="000F092C">
        <w:rPr>
          <w:rFonts w:eastAsia="Times New Roman" w:cs="Arial"/>
          <w:color w:val="000000"/>
          <w:lang w:val="en-US"/>
        </w:rPr>
        <w:t xml:space="preserve">MI </w:t>
      </w:r>
      <w:r w:rsidRPr="000F092C">
        <w:rPr>
          <w:rFonts w:eastAsia="Times New Roman" w:cs="Arial"/>
          <w:color w:val="000000"/>
          <w:lang w:eastAsia="bg-BG"/>
        </w:rPr>
        <w:t>= миокарден инфаркт; РТСА = перкутанна транслуминална коронарна ангиопластика.</w:t>
      </w:r>
    </w:p>
    <w:p w14:paraId="31922AAE" w14:textId="77777777" w:rsidR="000F092C" w:rsidRPr="000F092C" w:rsidRDefault="000F092C" w:rsidP="000F092C">
      <w:pPr>
        <w:spacing w:line="240" w:lineRule="auto"/>
        <w:rPr>
          <w:rFonts w:eastAsia="Times New Roman" w:cs="Arial"/>
          <w:color w:val="000000"/>
          <w:lang w:eastAsia="bg-BG"/>
        </w:rPr>
      </w:pPr>
    </w:p>
    <w:p w14:paraId="0D6C5147" w14:textId="01017FD8"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Няма данни за разлика в лечебния ефект в зависимост от пола, възрастта или изходните нива на </w:t>
      </w:r>
      <w:r w:rsidRPr="000F092C">
        <w:rPr>
          <w:rFonts w:eastAsia="Times New Roman" w:cs="Arial"/>
          <w:color w:val="000000"/>
          <w:lang w:val="en-US"/>
        </w:rPr>
        <w:t>LDL</w:t>
      </w:r>
      <w:r w:rsidRPr="000F092C">
        <w:rPr>
          <w:rFonts w:eastAsia="Times New Roman" w:cs="Arial"/>
          <w:color w:val="000000"/>
          <w:lang w:eastAsia="bg-BG"/>
        </w:rPr>
        <w:t>-С. Наблюдавана е благоприятна тенденция по отношение на честотата на смъртните случаи (82 смъртни случая при плацебо групата спрямо 61 в групата на аторвастатин, р=0,0592).</w:t>
      </w:r>
    </w:p>
    <w:p w14:paraId="53DA83DC" w14:textId="77777777" w:rsidR="000F092C" w:rsidRPr="000F092C" w:rsidRDefault="000F092C" w:rsidP="000F092C">
      <w:pPr>
        <w:spacing w:line="240" w:lineRule="auto"/>
        <w:rPr>
          <w:rFonts w:eastAsia="Times New Roman" w:cs="Arial"/>
          <w:color w:val="000000"/>
          <w:u w:val="single"/>
          <w:lang w:eastAsia="bg-BG"/>
        </w:rPr>
      </w:pPr>
    </w:p>
    <w:p w14:paraId="0F76D787" w14:textId="3D507D0F"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u w:val="single"/>
          <w:lang w:eastAsia="bg-BG"/>
        </w:rPr>
        <w:t>Рекурентен инсулт</w:t>
      </w:r>
    </w:p>
    <w:p w14:paraId="5D371B80" w14:textId="7777777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В проучването </w:t>
      </w:r>
      <w:r w:rsidRPr="000F092C">
        <w:rPr>
          <w:rFonts w:eastAsia="Times New Roman" w:cs="Arial"/>
          <w:color w:val="000000"/>
          <w:lang w:val="en-US"/>
        </w:rPr>
        <w:t xml:space="preserve">Stroke Prevention by Aggressive Reduction in Cholesterol Levels (SPARCL), </w:t>
      </w:r>
      <w:r w:rsidRPr="000F092C">
        <w:rPr>
          <w:rFonts w:eastAsia="Times New Roman" w:cs="Arial"/>
          <w:color w:val="000000"/>
          <w:lang w:eastAsia="bg-BG"/>
        </w:rPr>
        <w:t xml:space="preserve">ефектът на аторвастатин </w:t>
      </w:r>
      <w:r w:rsidRPr="000F092C">
        <w:rPr>
          <w:rFonts w:eastAsia="Times New Roman" w:cs="Arial"/>
          <w:color w:val="000000"/>
          <w:lang w:val="en-US"/>
        </w:rPr>
        <w:t xml:space="preserve">80 mg </w:t>
      </w:r>
      <w:r w:rsidRPr="000F092C">
        <w:rPr>
          <w:rFonts w:eastAsia="Times New Roman" w:cs="Arial"/>
          <w:color w:val="000000"/>
          <w:lang w:eastAsia="bg-BG"/>
        </w:rPr>
        <w:t xml:space="preserve">дневно или плацебо върху инсулта е оценяван при 4 731 пациенти, които са преживели инсулт или преходен исхемичен пристъп </w:t>
      </w:r>
      <w:r w:rsidRPr="000F092C">
        <w:rPr>
          <w:rFonts w:eastAsia="Times New Roman" w:cs="Arial"/>
          <w:color w:val="000000"/>
          <w:lang w:val="en-US"/>
        </w:rPr>
        <w:t xml:space="preserve">(TIA) </w:t>
      </w:r>
      <w:r w:rsidRPr="000F092C">
        <w:rPr>
          <w:rFonts w:eastAsia="Times New Roman" w:cs="Arial"/>
          <w:color w:val="000000"/>
          <w:lang w:eastAsia="bg-BG"/>
        </w:rPr>
        <w:t xml:space="preserve">в рамките на предходните 6 месеца и които са нямали анамнеза за коронарна болест на сърцето </w:t>
      </w:r>
      <w:r w:rsidRPr="000F092C">
        <w:rPr>
          <w:rFonts w:eastAsia="Times New Roman" w:cs="Arial"/>
          <w:color w:val="000000"/>
          <w:lang w:val="en-US"/>
        </w:rPr>
        <w:t xml:space="preserve">(CHD). </w:t>
      </w:r>
      <w:r w:rsidRPr="000F092C">
        <w:rPr>
          <w:rFonts w:eastAsia="Times New Roman" w:cs="Arial"/>
          <w:color w:val="000000"/>
          <w:lang w:eastAsia="bg-BG"/>
        </w:rPr>
        <w:t xml:space="preserve">Пациентите са били 60% мъже, на възраст от 21 до 92 години (средна възраст 63 години) и са имали средна стойност на изходното ниво на </w:t>
      </w:r>
      <w:r w:rsidRPr="000F092C">
        <w:rPr>
          <w:rFonts w:eastAsia="Times New Roman" w:cs="Arial"/>
          <w:color w:val="000000"/>
          <w:lang w:val="en-US"/>
        </w:rPr>
        <w:t xml:space="preserve">LDL </w:t>
      </w:r>
      <w:r w:rsidRPr="000F092C">
        <w:rPr>
          <w:rFonts w:eastAsia="Times New Roman" w:cs="Arial"/>
          <w:color w:val="000000"/>
          <w:lang w:eastAsia="bg-BG"/>
        </w:rPr>
        <w:t xml:space="preserve">от 133 </w:t>
      </w:r>
      <w:r w:rsidRPr="000F092C">
        <w:rPr>
          <w:rFonts w:eastAsia="Times New Roman" w:cs="Arial"/>
          <w:color w:val="000000"/>
          <w:lang w:val="en-US"/>
        </w:rPr>
        <w:t xml:space="preserve">mg/dl </w:t>
      </w:r>
      <w:r w:rsidRPr="000F092C">
        <w:rPr>
          <w:rFonts w:eastAsia="Times New Roman" w:cs="Arial"/>
          <w:color w:val="000000"/>
          <w:lang w:eastAsia="bg-BG"/>
        </w:rPr>
        <w:t xml:space="preserve">(3,4 </w:t>
      </w:r>
      <w:r w:rsidRPr="000F092C">
        <w:rPr>
          <w:rFonts w:eastAsia="Times New Roman" w:cs="Arial"/>
          <w:color w:val="000000"/>
          <w:lang w:val="en-US"/>
        </w:rPr>
        <w:t xml:space="preserve">mmol/1). </w:t>
      </w:r>
      <w:r w:rsidRPr="000F092C">
        <w:rPr>
          <w:rFonts w:eastAsia="Times New Roman" w:cs="Arial"/>
          <w:color w:val="000000"/>
          <w:lang w:eastAsia="bg-BG"/>
        </w:rPr>
        <w:t xml:space="preserve">Средната стойност на </w:t>
      </w:r>
      <w:r w:rsidRPr="000F092C">
        <w:rPr>
          <w:rFonts w:eastAsia="Times New Roman" w:cs="Arial"/>
          <w:color w:val="000000"/>
          <w:lang w:val="en-US"/>
        </w:rPr>
        <w:t>LDL</w:t>
      </w:r>
      <w:r w:rsidRPr="000F092C">
        <w:rPr>
          <w:rFonts w:eastAsia="Times New Roman" w:cs="Arial"/>
          <w:color w:val="000000"/>
          <w:lang w:eastAsia="bg-BG"/>
        </w:rPr>
        <w:t xml:space="preserve">-С е била 73 </w:t>
      </w:r>
      <w:r w:rsidRPr="000F092C">
        <w:rPr>
          <w:rFonts w:eastAsia="Times New Roman" w:cs="Arial"/>
          <w:color w:val="000000"/>
          <w:lang w:val="en-US"/>
        </w:rPr>
        <w:t xml:space="preserve">mg/dl </w:t>
      </w:r>
      <w:r w:rsidRPr="000F092C">
        <w:rPr>
          <w:rFonts w:eastAsia="Times New Roman" w:cs="Arial"/>
          <w:color w:val="000000"/>
          <w:lang w:eastAsia="bg-BG"/>
        </w:rPr>
        <w:t xml:space="preserve">(1,9 </w:t>
      </w:r>
      <w:r w:rsidRPr="000F092C">
        <w:rPr>
          <w:rFonts w:eastAsia="Times New Roman" w:cs="Arial"/>
          <w:color w:val="000000"/>
          <w:lang w:val="en-US"/>
        </w:rPr>
        <w:t xml:space="preserve">mmol/l) </w:t>
      </w:r>
      <w:r w:rsidRPr="000F092C">
        <w:rPr>
          <w:rFonts w:eastAsia="Times New Roman" w:cs="Arial"/>
          <w:color w:val="000000"/>
          <w:lang w:eastAsia="bg-BG"/>
        </w:rPr>
        <w:t xml:space="preserve">по време на лечението с аторвастатин и 129 </w:t>
      </w:r>
      <w:r w:rsidRPr="000F092C">
        <w:rPr>
          <w:rFonts w:eastAsia="Times New Roman" w:cs="Arial"/>
          <w:color w:val="000000"/>
          <w:lang w:val="en-US"/>
        </w:rPr>
        <w:t xml:space="preserve">mg/dl </w:t>
      </w:r>
      <w:r w:rsidRPr="000F092C">
        <w:rPr>
          <w:rFonts w:eastAsia="Times New Roman" w:cs="Arial"/>
          <w:color w:val="000000"/>
          <w:lang w:eastAsia="bg-BG"/>
        </w:rPr>
        <w:t xml:space="preserve">(3,3 </w:t>
      </w:r>
      <w:r w:rsidRPr="000F092C">
        <w:rPr>
          <w:rFonts w:eastAsia="Times New Roman" w:cs="Arial"/>
          <w:color w:val="000000"/>
          <w:lang w:val="en-US"/>
        </w:rPr>
        <w:t xml:space="preserve">mmol/l) </w:t>
      </w:r>
      <w:r w:rsidRPr="000F092C">
        <w:rPr>
          <w:rFonts w:eastAsia="Times New Roman" w:cs="Arial"/>
          <w:color w:val="000000"/>
          <w:lang w:eastAsia="bg-BG"/>
        </w:rPr>
        <w:t>по време на лечението с плацебо. Медианата на периода на проследяване е била 4,9 години,</w:t>
      </w:r>
    </w:p>
    <w:p w14:paraId="6996295C" w14:textId="77777777" w:rsidR="000F092C" w:rsidRPr="000F092C" w:rsidRDefault="000F092C" w:rsidP="000F092C">
      <w:pPr>
        <w:rPr>
          <w:rFonts w:eastAsia="Times New Roman" w:cs="Arial"/>
          <w:color w:val="000000"/>
          <w:lang w:eastAsia="bg-BG"/>
        </w:rPr>
      </w:pPr>
    </w:p>
    <w:p w14:paraId="3F81982C" w14:textId="2A4F3A96" w:rsidR="000F092C" w:rsidRPr="000F092C" w:rsidRDefault="000F092C" w:rsidP="00706A37">
      <w:pPr>
        <w:rPr>
          <w:rFonts w:cs="Arial"/>
        </w:rPr>
      </w:pPr>
      <w:r w:rsidRPr="000F092C">
        <w:rPr>
          <w:rFonts w:eastAsia="Times New Roman" w:cs="Arial"/>
          <w:color w:val="000000"/>
          <w:lang w:eastAsia="bg-BG"/>
        </w:rPr>
        <w:t xml:space="preserve">Аторвастатин 80 </w:t>
      </w:r>
      <w:r w:rsidRPr="000F092C">
        <w:rPr>
          <w:rFonts w:eastAsia="Times New Roman" w:cs="Arial"/>
          <w:color w:val="000000"/>
          <w:lang w:val="en-US"/>
        </w:rPr>
        <w:t xml:space="preserve">mg </w:t>
      </w:r>
      <w:r w:rsidRPr="000F092C">
        <w:rPr>
          <w:rFonts w:eastAsia="Times New Roman" w:cs="Arial"/>
          <w:color w:val="000000"/>
          <w:lang w:eastAsia="bg-BG"/>
        </w:rPr>
        <w:t xml:space="preserve">е понижил риска от първичната крайна точка на фатален или нефатален инсулт с 15% (коефициент на риска </w:t>
      </w:r>
      <w:r w:rsidRPr="000F092C">
        <w:rPr>
          <w:rFonts w:eastAsia="Times New Roman" w:cs="Arial"/>
          <w:color w:val="000000"/>
          <w:lang w:val="en-US"/>
        </w:rPr>
        <w:t xml:space="preserve">(HR) </w:t>
      </w:r>
      <w:r w:rsidRPr="000F092C">
        <w:rPr>
          <w:rFonts w:eastAsia="Times New Roman" w:cs="Arial"/>
          <w:color w:val="000000"/>
          <w:lang w:eastAsia="bg-BG"/>
        </w:rPr>
        <w:t xml:space="preserve">0,85; доверителен интервал </w:t>
      </w:r>
      <w:r w:rsidRPr="000F092C">
        <w:rPr>
          <w:rFonts w:eastAsia="Times New Roman" w:cs="Arial"/>
          <w:color w:val="000000"/>
          <w:lang w:val="en-US"/>
        </w:rPr>
        <w:t xml:space="preserve">(CI) </w:t>
      </w:r>
      <w:r w:rsidRPr="000F092C">
        <w:rPr>
          <w:rFonts w:eastAsia="Times New Roman" w:cs="Arial"/>
          <w:color w:val="000000"/>
          <w:lang w:eastAsia="bg-BG"/>
        </w:rPr>
        <w:t xml:space="preserve">95%, 0,72-1,00; р-0,05 или 0,84; доверителен интервал </w:t>
      </w:r>
      <w:r w:rsidRPr="000F092C">
        <w:rPr>
          <w:rFonts w:eastAsia="Times New Roman" w:cs="Arial"/>
          <w:color w:val="000000"/>
          <w:lang w:val="en-US"/>
        </w:rPr>
        <w:t xml:space="preserve">(CI) </w:t>
      </w:r>
      <w:r w:rsidRPr="000F092C">
        <w:rPr>
          <w:rFonts w:eastAsia="Times New Roman" w:cs="Arial"/>
          <w:color w:val="000000"/>
          <w:lang w:eastAsia="bg-BG"/>
        </w:rPr>
        <w:t xml:space="preserve">95%, 0,71-0,99; р-0,03 след </w:t>
      </w:r>
      <w:r w:rsidRPr="000F092C">
        <w:rPr>
          <w:rFonts w:eastAsia="Times New Roman" w:cs="Arial"/>
          <w:color w:val="000000"/>
          <w:lang w:eastAsia="bg-BG"/>
        </w:rPr>
        <w:lastRenderedPageBreak/>
        <w:t>коригиране за изходните фактори), в сравнение</w:t>
      </w:r>
      <w:r w:rsidR="00706A37">
        <w:rPr>
          <w:rFonts w:cs="Arial"/>
          <w:lang w:val="en-US"/>
        </w:rPr>
        <w:t xml:space="preserve"> </w:t>
      </w:r>
      <w:r w:rsidRPr="000F092C">
        <w:rPr>
          <w:rFonts w:eastAsia="Times New Roman" w:cs="Arial"/>
          <w:color w:val="000000"/>
          <w:lang w:eastAsia="bg-BG"/>
        </w:rPr>
        <w:t>с плацебо. Смъртността поради каквато и да причина е била 9,1% (216/2 365) за аторвастатин спрямо 8,9% (211/2 366) за плацебо.</w:t>
      </w:r>
    </w:p>
    <w:p w14:paraId="543553C2" w14:textId="77777777" w:rsidR="000F092C" w:rsidRPr="00706A37" w:rsidRDefault="000F092C" w:rsidP="000F092C">
      <w:pPr>
        <w:spacing w:line="240" w:lineRule="auto"/>
        <w:rPr>
          <w:rFonts w:eastAsia="Times New Roman" w:cs="Arial"/>
          <w:color w:val="000000"/>
          <w:lang w:eastAsia="bg-BG"/>
        </w:rPr>
      </w:pPr>
    </w:p>
    <w:p w14:paraId="69B79524" w14:textId="2BCF8BDC" w:rsidR="000F092C" w:rsidRPr="00706A37" w:rsidRDefault="000F092C" w:rsidP="000F092C">
      <w:pPr>
        <w:spacing w:line="240" w:lineRule="auto"/>
        <w:rPr>
          <w:rFonts w:eastAsia="Times New Roman" w:cs="Arial"/>
          <w:color w:val="000000"/>
          <w:lang w:eastAsia="bg-BG"/>
        </w:rPr>
      </w:pPr>
      <w:r w:rsidRPr="000F092C">
        <w:rPr>
          <w:rFonts w:eastAsia="Times New Roman" w:cs="Arial"/>
          <w:color w:val="000000"/>
          <w:lang w:eastAsia="bg-BG"/>
        </w:rPr>
        <w:t xml:space="preserve">При пост-хок анализа,аторвастатин 80 </w:t>
      </w:r>
      <w:r w:rsidRPr="000F092C">
        <w:rPr>
          <w:rFonts w:eastAsia="Times New Roman" w:cs="Arial"/>
          <w:color w:val="000000"/>
          <w:lang w:val="en-US"/>
        </w:rPr>
        <w:t xml:space="preserve">mg </w:t>
      </w:r>
      <w:r w:rsidRPr="000F092C">
        <w:rPr>
          <w:rFonts w:eastAsia="Times New Roman" w:cs="Arial"/>
          <w:color w:val="000000"/>
          <w:lang w:eastAsia="bg-BG"/>
        </w:rPr>
        <w:t>е понижил честотата на възникване на исхемичен инсулт (218/2 365, 9,2% спрямо 274/2 366,11,6%, р=0,01) и е повишил честотата на възникване на хеморагичен инсулт (55/2 365,2,3% спрямо 33/2 366, 1,4%, р=0,02), в сравнение с плацебо.</w:t>
      </w:r>
    </w:p>
    <w:p w14:paraId="761A258D" w14:textId="77777777" w:rsidR="000F092C" w:rsidRPr="000F092C" w:rsidRDefault="000F092C" w:rsidP="000F092C">
      <w:pPr>
        <w:spacing w:line="240" w:lineRule="auto"/>
        <w:rPr>
          <w:rFonts w:eastAsia="Times New Roman" w:cs="Arial"/>
          <w:sz w:val="24"/>
          <w:szCs w:val="24"/>
          <w:lang w:eastAsia="bg-BG"/>
        </w:rPr>
      </w:pPr>
    </w:p>
    <w:p w14:paraId="42E17905" w14:textId="641F962B" w:rsidR="000F092C" w:rsidRPr="00706A37" w:rsidRDefault="000F092C" w:rsidP="000F092C">
      <w:pPr>
        <w:numPr>
          <w:ilvl w:val="0"/>
          <w:numId w:val="2"/>
        </w:numPr>
        <w:spacing w:line="240" w:lineRule="auto"/>
        <w:rPr>
          <w:rFonts w:eastAsia="Times New Roman" w:cs="Arial"/>
          <w:color w:val="000000"/>
          <w:lang w:eastAsia="bg-BG"/>
        </w:rPr>
      </w:pPr>
      <w:r w:rsidRPr="000F092C">
        <w:rPr>
          <w:rFonts w:eastAsia="Times New Roman" w:cs="Arial"/>
          <w:color w:val="000000"/>
          <w:lang w:eastAsia="bg-BG"/>
        </w:rPr>
        <w:t xml:space="preserve">Рискът от хеморагичен инсулт е бил повишен при пациентите, които са включени в проучването с предшестващ хеморагичен инсулт (7/45 за аторвастатин спрямо 2/48 за плацебо; коефициент на риска </w:t>
      </w:r>
      <w:r w:rsidRPr="000F092C">
        <w:rPr>
          <w:rFonts w:eastAsia="Times New Roman" w:cs="Arial"/>
          <w:color w:val="000000"/>
          <w:lang w:val="en-US"/>
        </w:rPr>
        <w:t xml:space="preserve">(HR) </w:t>
      </w:r>
      <w:r w:rsidRPr="000F092C">
        <w:rPr>
          <w:rFonts w:eastAsia="Times New Roman" w:cs="Arial"/>
          <w:color w:val="000000"/>
          <w:lang w:eastAsia="bg-BG"/>
        </w:rPr>
        <w:t xml:space="preserve">4,06; доверителен интервал </w:t>
      </w:r>
      <w:r w:rsidRPr="000F092C">
        <w:rPr>
          <w:rFonts w:eastAsia="Times New Roman" w:cs="Arial"/>
          <w:color w:val="000000"/>
          <w:lang w:val="en-US"/>
        </w:rPr>
        <w:t xml:space="preserve">(CI) </w:t>
      </w:r>
      <w:r w:rsidRPr="000F092C">
        <w:rPr>
          <w:rFonts w:eastAsia="Times New Roman" w:cs="Arial"/>
          <w:color w:val="000000"/>
          <w:lang w:eastAsia="bg-BG"/>
        </w:rPr>
        <w:t xml:space="preserve">95%, 0,84-19,57) и рискът за исхемичен инсулт е бил подобен между групите (3/45 за аторвастатин спрямо 2/48 за плацебо; коефициент на риска </w:t>
      </w:r>
      <w:r w:rsidRPr="000F092C">
        <w:rPr>
          <w:rFonts w:eastAsia="Times New Roman" w:cs="Arial"/>
          <w:color w:val="000000"/>
          <w:lang w:val="en-US"/>
        </w:rPr>
        <w:t xml:space="preserve">(HR) </w:t>
      </w:r>
      <w:r w:rsidRPr="000F092C">
        <w:rPr>
          <w:rFonts w:eastAsia="Times New Roman" w:cs="Arial"/>
          <w:color w:val="000000"/>
          <w:lang w:eastAsia="bg-BG"/>
        </w:rPr>
        <w:t xml:space="preserve">1,64; доверителен интервал </w:t>
      </w:r>
      <w:r w:rsidRPr="000F092C">
        <w:rPr>
          <w:rFonts w:eastAsia="Times New Roman" w:cs="Arial"/>
          <w:color w:val="000000"/>
          <w:lang w:val="en-US"/>
        </w:rPr>
        <w:t xml:space="preserve">(CI) </w:t>
      </w:r>
      <w:r w:rsidRPr="000F092C">
        <w:rPr>
          <w:rFonts w:eastAsia="Times New Roman" w:cs="Arial"/>
          <w:color w:val="000000"/>
          <w:lang w:eastAsia="bg-BG"/>
        </w:rPr>
        <w:t>95%, 0,27-9,82).</w:t>
      </w:r>
    </w:p>
    <w:p w14:paraId="2AD0EAE1" w14:textId="77777777" w:rsidR="000F092C" w:rsidRPr="000F092C" w:rsidRDefault="000F092C" w:rsidP="000F092C">
      <w:pPr>
        <w:numPr>
          <w:ilvl w:val="0"/>
          <w:numId w:val="2"/>
        </w:numPr>
        <w:spacing w:line="240" w:lineRule="auto"/>
        <w:rPr>
          <w:rFonts w:eastAsia="Times New Roman" w:cs="Arial"/>
          <w:color w:val="000000"/>
          <w:lang w:eastAsia="bg-BG"/>
        </w:rPr>
      </w:pPr>
    </w:p>
    <w:p w14:paraId="5EEC80B8" w14:textId="77777777" w:rsidR="000F092C" w:rsidRPr="000F092C" w:rsidRDefault="000F092C" w:rsidP="000F092C">
      <w:pPr>
        <w:numPr>
          <w:ilvl w:val="0"/>
          <w:numId w:val="2"/>
        </w:numPr>
        <w:spacing w:line="240" w:lineRule="auto"/>
        <w:rPr>
          <w:rFonts w:eastAsia="Times New Roman" w:cs="Arial"/>
          <w:color w:val="000000"/>
          <w:lang w:eastAsia="bg-BG"/>
        </w:rPr>
      </w:pPr>
      <w:r w:rsidRPr="000F092C">
        <w:rPr>
          <w:rFonts w:eastAsia="Times New Roman" w:cs="Arial"/>
          <w:color w:val="000000"/>
          <w:lang w:eastAsia="bg-BG"/>
        </w:rPr>
        <w:t xml:space="preserve">Рискът от хеморагичен инсулт е бил повишен при пациентите, които са включени в проучването с предшестващ лакунарен инфаркт (20/708 за аторвастатин спрямо 4/701 за плацебо; коефициент на риска </w:t>
      </w:r>
      <w:r w:rsidRPr="000F092C">
        <w:rPr>
          <w:rFonts w:eastAsia="Times New Roman" w:cs="Arial"/>
          <w:color w:val="000000"/>
          <w:lang w:val="en-US"/>
        </w:rPr>
        <w:t xml:space="preserve">(HR) </w:t>
      </w:r>
      <w:r w:rsidRPr="000F092C">
        <w:rPr>
          <w:rFonts w:eastAsia="Times New Roman" w:cs="Arial"/>
          <w:color w:val="000000"/>
          <w:lang w:eastAsia="bg-BG"/>
        </w:rPr>
        <w:t xml:space="preserve">4,99; доверителен интервал </w:t>
      </w:r>
      <w:r w:rsidRPr="000F092C">
        <w:rPr>
          <w:rFonts w:eastAsia="Times New Roman" w:cs="Arial"/>
          <w:color w:val="000000"/>
          <w:lang w:val="en-US"/>
        </w:rPr>
        <w:t xml:space="preserve">(CI) </w:t>
      </w:r>
      <w:r w:rsidRPr="000F092C">
        <w:rPr>
          <w:rFonts w:eastAsia="Times New Roman" w:cs="Arial"/>
          <w:color w:val="000000"/>
          <w:lang w:eastAsia="bg-BG"/>
        </w:rPr>
        <w:t xml:space="preserve">95%, 1,71-14,61), но рискът от исхемичен инсулт е бил също намален при тези пациенти (79/708 за аторвастатин спрямо 102/701 за плацебо; коефициент на риска </w:t>
      </w:r>
      <w:r w:rsidRPr="000F092C">
        <w:rPr>
          <w:rFonts w:eastAsia="Times New Roman" w:cs="Arial"/>
          <w:color w:val="000000"/>
          <w:lang w:val="en-US"/>
        </w:rPr>
        <w:t xml:space="preserve">(HR) </w:t>
      </w:r>
      <w:r w:rsidRPr="000F092C">
        <w:rPr>
          <w:rFonts w:eastAsia="Times New Roman" w:cs="Arial"/>
          <w:color w:val="000000"/>
          <w:lang w:eastAsia="bg-BG"/>
        </w:rPr>
        <w:t xml:space="preserve">0,76; доверителен интервал </w:t>
      </w:r>
      <w:r w:rsidRPr="000F092C">
        <w:rPr>
          <w:rFonts w:eastAsia="Times New Roman" w:cs="Arial"/>
          <w:color w:val="000000"/>
          <w:lang w:val="en-US"/>
        </w:rPr>
        <w:t xml:space="preserve">(CI) </w:t>
      </w:r>
      <w:r w:rsidRPr="000F092C">
        <w:rPr>
          <w:rFonts w:eastAsia="Times New Roman" w:cs="Arial"/>
          <w:color w:val="000000"/>
          <w:lang w:eastAsia="bg-BG"/>
        </w:rPr>
        <w:t xml:space="preserve">95%, 0,57-1,02). Възможно е крайният риск от инсулт да се повишава при пациенти с предшестващ лакунарен инфаркт, които получават аторвастатин в доза 80 </w:t>
      </w:r>
      <w:r w:rsidRPr="000F092C">
        <w:rPr>
          <w:rFonts w:eastAsia="Times New Roman" w:cs="Arial"/>
          <w:color w:val="000000"/>
          <w:lang w:val="en-US"/>
        </w:rPr>
        <w:t>mg</w:t>
      </w:r>
      <w:r w:rsidRPr="000F092C">
        <w:rPr>
          <w:rFonts w:eastAsia="Times New Roman" w:cs="Arial"/>
          <w:color w:val="000000"/>
          <w:lang w:eastAsia="bg-BG"/>
        </w:rPr>
        <w:t>/ден.</w:t>
      </w:r>
    </w:p>
    <w:p w14:paraId="1BCE789C" w14:textId="77777777" w:rsidR="000F092C" w:rsidRPr="00706A37" w:rsidRDefault="000F092C" w:rsidP="000F092C">
      <w:pPr>
        <w:spacing w:line="240" w:lineRule="auto"/>
        <w:rPr>
          <w:rFonts w:eastAsia="Times New Roman" w:cs="Arial"/>
          <w:color w:val="000000"/>
          <w:lang w:eastAsia="bg-BG"/>
        </w:rPr>
      </w:pPr>
    </w:p>
    <w:p w14:paraId="3212ECC2" w14:textId="1CDB1557"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Смъртността поради каквато и да е причина е била 15,6% (7/45) за аторвастатин спрямо 10,4% (5/48) в подгрупата на пациентите с предшестващ хеморагичен инсулт. Смъртността поради каквато и да е причина е била 10,9% (77/708) за аторвастатин спрямо 9,1% (64/701) за плацебо в подгрупата на пациентите с предшестващ лакунарен инфаркт.</w:t>
      </w:r>
    </w:p>
    <w:p w14:paraId="1E5B59A9" w14:textId="77777777" w:rsidR="000F092C" w:rsidRPr="00706A37" w:rsidRDefault="000F092C" w:rsidP="000F092C">
      <w:pPr>
        <w:spacing w:line="240" w:lineRule="auto"/>
        <w:rPr>
          <w:rFonts w:eastAsia="Times New Roman" w:cs="Arial"/>
          <w:color w:val="000000"/>
          <w:u w:val="single"/>
          <w:lang w:eastAsia="bg-BG"/>
        </w:rPr>
      </w:pPr>
    </w:p>
    <w:p w14:paraId="1B11A71F" w14:textId="5AF5AF85"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u w:val="single"/>
          <w:lang w:eastAsia="bg-BG"/>
        </w:rPr>
        <w:t>Педиатрична популация</w:t>
      </w:r>
    </w:p>
    <w:p w14:paraId="4B336177" w14:textId="77777777" w:rsidR="000F092C" w:rsidRPr="00706A37" w:rsidRDefault="000F092C" w:rsidP="000F092C">
      <w:pPr>
        <w:spacing w:line="240" w:lineRule="auto"/>
        <w:rPr>
          <w:rFonts w:eastAsia="Times New Roman" w:cs="Arial"/>
          <w:i/>
          <w:iCs/>
          <w:color w:val="000000"/>
          <w:u w:val="single"/>
          <w:lang w:eastAsia="bg-BG"/>
        </w:rPr>
      </w:pPr>
    </w:p>
    <w:p w14:paraId="0F44FF2C" w14:textId="318B61CA" w:rsidR="000F092C" w:rsidRPr="000F092C" w:rsidRDefault="000F092C" w:rsidP="000F092C">
      <w:pPr>
        <w:spacing w:line="240" w:lineRule="auto"/>
        <w:rPr>
          <w:rFonts w:eastAsia="Times New Roman" w:cs="Arial"/>
          <w:sz w:val="24"/>
          <w:szCs w:val="24"/>
          <w:lang w:eastAsia="bg-BG"/>
        </w:rPr>
      </w:pPr>
      <w:r w:rsidRPr="000F092C">
        <w:rPr>
          <w:rFonts w:eastAsia="Times New Roman" w:cs="Arial"/>
          <w:i/>
          <w:iCs/>
          <w:color w:val="000000"/>
          <w:u w:val="single"/>
          <w:lang w:eastAsia="bg-BG"/>
        </w:rPr>
        <w:t xml:space="preserve">Хетерозиготна фамилна хиперхолестеролемия при педиатрични пациенти на възраст 6-17 години </w:t>
      </w:r>
      <w:r w:rsidRPr="000F092C">
        <w:rPr>
          <w:rFonts w:eastAsia="Times New Roman" w:cs="Arial"/>
          <w:color w:val="000000"/>
          <w:lang w:eastAsia="bg-BG"/>
        </w:rPr>
        <w:t xml:space="preserve">Проведено е 8-седмично, отворено проучване за оценяване на фармакокинетиката, фармакодинамиката, безопасността и поносимостта на аторвастатин при деца и юноши с генетично потвърдена хетерозиготна фамилна хиперхолестеролемия и изходни нива на </w:t>
      </w:r>
      <w:r w:rsidRPr="000F092C">
        <w:rPr>
          <w:rFonts w:eastAsia="Times New Roman" w:cs="Arial"/>
          <w:color w:val="000000"/>
          <w:lang w:val="en-US"/>
        </w:rPr>
        <w:t xml:space="preserve">LDL-C </w:t>
      </w:r>
      <w:r w:rsidRPr="000F092C">
        <w:rPr>
          <w:rFonts w:eastAsia="Times New Roman" w:cs="Arial"/>
          <w:color w:val="000000"/>
          <w:lang w:eastAsia="bg-BG"/>
        </w:rPr>
        <w:t xml:space="preserve">≥ 4 </w:t>
      </w:r>
      <w:r w:rsidRPr="000F092C">
        <w:rPr>
          <w:rFonts w:eastAsia="Times New Roman" w:cs="Arial"/>
          <w:color w:val="000000"/>
          <w:lang w:val="en-US"/>
        </w:rPr>
        <w:t xml:space="preserve">mmol/l. </w:t>
      </w:r>
      <w:r w:rsidRPr="000F092C">
        <w:rPr>
          <w:rFonts w:eastAsia="Times New Roman" w:cs="Arial"/>
          <w:color w:val="000000"/>
          <w:lang w:eastAsia="bg-BG"/>
        </w:rPr>
        <w:t xml:space="preserve">Включени са общо 39 деца и юноши на възраст от 6 до 17 години. Група А е включвала 15 деца на възраст от 6 до 12 години, в стадий 1 по </w:t>
      </w:r>
      <w:r w:rsidRPr="000F092C">
        <w:rPr>
          <w:rFonts w:eastAsia="Times New Roman" w:cs="Arial"/>
          <w:color w:val="000000"/>
          <w:lang w:val="en-US"/>
        </w:rPr>
        <w:t xml:space="preserve">Tanner. </w:t>
      </w:r>
      <w:r w:rsidRPr="000F092C">
        <w:rPr>
          <w:rFonts w:eastAsia="Times New Roman" w:cs="Arial"/>
          <w:color w:val="000000"/>
          <w:lang w:eastAsia="bg-BG"/>
        </w:rPr>
        <w:t xml:space="preserve">Група Б е включвала 24 деца на възраст от 10 до 17 години, в стадий по </w:t>
      </w:r>
      <w:r w:rsidRPr="000F092C">
        <w:rPr>
          <w:rFonts w:eastAsia="Times New Roman" w:cs="Arial"/>
          <w:color w:val="000000"/>
          <w:lang w:val="en-US"/>
        </w:rPr>
        <w:t xml:space="preserve">Tanner </w:t>
      </w:r>
      <w:r w:rsidRPr="000F092C">
        <w:rPr>
          <w:rFonts w:eastAsia="Times New Roman" w:cs="Arial"/>
          <w:color w:val="000000"/>
          <w:lang w:eastAsia="bg-BG"/>
        </w:rPr>
        <w:t>≥ 2.</w:t>
      </w:r>
    </w:p>
    <w:p w14:paraId="5F05FEF9" w14:textId="77777777" w:rsidR="000F092C" w:rsidRPr="00706A37" w:rsidRDefault="000F092C" w:rsidP="000F092C">
      <w:pPr>
        <w:spacing w:line="240" w:lineRule="auto"/>
        <w:rPr>
          <w:rFonts w:eastAsia="Times New Roman" w:cs="Arial"/>
          <w:color w:val="000000"/>
          <w:lang w:eastAsia="bg-BG"/>
        </w:rPr>
      </w:pPr>
    </w:p>
    <w:p w14:paraId="64FDE338" w14:textId="0D2EFF54"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Началната доза на аторвастатин е била 5 </w:t>
      </w:r>
      <w:r w:rsidRPr="000F092C">
        <w:rPr>
          <w:rFonts w:eastAsia="Times New Roman" w:cs="Arial"/>
          <w:color w:val="000000"/>
          <w:lang w:val="en-US"/>
        </w:rPr>
        <w:t xml:space="preserve">mg </w:t>
      </w:r>
      <w:r w:rsidRPr="000F092C">
        <w:rPr>
          <w:rFonts w:eastAsia="Times New Roman" w:cs="Arial"/>
          <w:color w:val="000000"/>
          <w:lang w:eastAsia="bg-BG"/>
        </w:rPr>
        <w:t xml:space="preserve">дневно под формата на таблетка за дъвчене при група А и 10 </w:t>
      </w:r>
      <w:r w:rsidRPr="000F092C">
        <w:rPr>
          <w:rFonts w:eastAsia="Times New Roman" w:cs="Arial"/>
          <w:color w:val="000000"/>
          <w:lang w:val="en-US"/>
        </w:rPr>
        <w:t xml:space="preserve">mg </w:t>
      </w:r>
      <w:r w:rsidRPr="000F092C">
        <w:rPr>
          <w:rFonts w:eastAsia="Times New Roman" w:cs="Arial"/>
          <w:color w:val="000000"/>
          <w:lang w:eastAsia="bg-BG"/>
        </w:rPr>
        <w:t xml:space="preserve">дневно под формата на таблетка при група Б. Разрешено е било удвояване на дозата на аторвастатин, ако участникът не е бил постигнал прицелното ниво за </w:t>
      </w:r>
      <w:r w:rsidRPr="000F092C">
        <w:rPr>
          <w:rFonts w:eastAsia="Times New Roman" w:cs="Arial"/>
          <w:color w:val="000000"/>
          <w:lang w:val="en-US"/>
        </w:rPr>
        <w:t>LDL</w:t>
      </w:r>
      <w:r w:rsidRPr="000F092C">
        <w:rPr>
          <w:rFonts w:eastAsia="Times New Roman" w:cs="Arial"/>
          <w:color w:val="000000"/>
          <w:lang w:eastAsia="bg-BG"/>
        </w:rPr>
        <w:t xml:space="preserve">-С от &lt; 3,35 </w:t>
      </w:r>
      <w:r w:rsidRPr="000F092C">
        <w:rPr>
          <w:rFonts w:eastAsia="Times New Roman" w:cs="Arial"/>
          <w:color w:val="000000"/>
          <w:lang w:val="en-US"/>
        </w:rPr>
        <w:t xml:space="preserve">mmol/l </w:t>
      </w:r>
      <w:r w:rsidRPr="000F092C">
        <w:rPr>
          <w:rFonts w:eastAsia="Times New Roman" w:cs="Arial"/>
          <w:color w:val="000000"/>
          <w:lang w:eastAsia="bg-BG"/>
        </w:rPr>
        <w:t>в седмица 4 и ако аторвастатин е бил добре понасян.</w:t>
      </w:r>
    </w:p>
    <w:p w14:paraId="3C0EE4A0" w14:textId="77777777" w:rsidR="000F092C" w:rsidRPr="00706A37" w:rsidRDefault="000F092C" w:rsidP="000F092C">
      <w:pPr>
        <w:spacing w:line="240" w:lineRule="auto"/>
        <w:rPr>
          <w:rFonts w:eastAsia="Times New Roman" w:cs="Arial"/>
          <w:color w:val="000000"/>
          <w:lang w:eastAsia="bg-BG"/>
        </w:rPr>
      </w:pPr>
    </w:p>
    <w:p w14:paraId="7B02C9EF" w14:textId="27567D3A" w:rsidR="000F092C" w:rsidRPr="000F092C" w:rsidRDefault="000F092C" w:rsidP="000F092C">
      <w:pPr>
        <w:spacing w:line="240" w:lineRule="auto"/>
        <w:rPr>
          <w:rFonts w:eastAsia="Times New Roman" w:cs="Arial"/>
          <w:sz w:val="24"/>
          <w:szCs w:val="24"/>
          <w:lang w:eastAsia="bg-BG"/>
        </w:rPr>
      </w:pPr>
      <w:r w:rsidRPr="000F092C">
        <w:rPr>
          <w:rFonts w:eastAsia="Times New Roman" w:cs="Arial"/>
          <w:color w:val="000000"/>
          <w:lang w:eastAsia="bg-BG"/>
        </w:rPr>
        <w:t xml:space="preserve">Средните стойности за </w:t>
      </w:r>
      <w:r w:rsidRPr="000F092C">
        <w:rPr>
          <w:rFonts w:eastAsia="Times New Roman" w:cs="Arial"/>
          <w:color w:val="000000"/>
          <w:lang w:val="en-US"/>
        </w:rPr>
        <w:t>LDL</w:t>
      </w:r>
      <w:r w:rsidRPr="000F092C">
        <w:rPr>
          <w:rFonts w:eastAsia="Times New Roman" w:cs="Arial"/>
          <w:color w:val="000000"/>
          <w:lang w:eastAsia="bg-BG"/>
        </w:rPr>
        <w:t xml:space="preserve">-С, общия холестерол (ТС), </w:t>
      </w:r>
      <w:r w:rsidRPr="000F092C">
        <w:rPr>
          <w:rFonts w:eastAsia="Times New Roman" w:cs="Arial"/>
          <w:color w:val="000000"/>
          <w:lang w:val="en-US"/>
        </w:rPr>
        <w:t>VLDL</w:t>
      </w:r>
      <w:r w:rsidRPr="000F092C">
        <w:rPr>
          <w:rFonts w:eastAsia="Times New Roman" w:cs="Arial"/>
          <w:color w:val="000000"/>
          <w:lang w:eastAsia="bg-BG"/>
        </w:rPr>
        <w:t xml:space="preserve">-С и аполипопротеин В са се понижили в седмица 2 при всички участници. При участниците, чиито дози са били удвоени, допълнителни понижения са наблюдавани още в седмица 2, при първото </w:t>
      </w:r>
      <w:r w:rsidRPr="000F092C">
        <w:rPr>
          <w:rFonts w:eastAsia="Times New Roman" w:cs="Arial"/>
          <w:color w:val="000000"/>
          <w:lang w:eastAsia="bg-BG"/>
        </w:rPr>
        <w:lastRenderedPageBreak/>
        <w:t xml:space="preserve">оценяване след повишаването на дозата. Средните процентни понижения в параметрите на липидите са били подобни при двете групи, независимо от това, дали участниците са останали на началната доза или са удвоили началната си доза. В седмица 8, средната процентна промяна спрямо изходните нива на </w:t>
      </w:r>
      <w:r w:rsidRPr="000F092C">
        <w:rPr>
          <w:rFonts w:eastAsia="Times New Roman" w:cs="Arial"/>
          <w:color w:val="000000"/>
          <w:lang w:val="en-US"/>
        </w:rPr>
        <w:t>LDL</w:t>
      </w:r>
      <w:r w:rsidRPr="000F092C">
        <w:rPr>
          <w:rFonts w:eastAsia="Times New Roman" w:cs="Arial"/>
          <w:color w:val="000000"/>
          <w:lang w:eastAsia="bg-BG"/>
        </w:rPr>
        <w:t>-С и ТС е била, съответно, приблизително 40% и 30%, в рамките на диапазона на експозициите.</w:t>
      </w:r>
    </w:p>
    <w:p w14:paraId="7AF86C0F" w14:textId="77777777" w:rsidR="000F092C" w:rsidRPr="00706A37" w:rsidRDefault="000F092C" w:rsidP="000F092C">
      <w:pPr>
        <w:rPr>
          <w:rFonts w:eastAsia="Times New Roman" w:cs="Arial"/>
          <w:color w:val="000000"/>
          <w:lang w:eastAsia="bg-BG"/>
        </w:rPr>
      </w:pPr>
    </w:p>
    <w:p w14:paraId="5DF415BF" w14:textId="77777777" w:rsidR="00706A37" w:rsidRPr="00706A37" w:rsidRDefault="000F092C" w:rsidP="00706A37">
      <w:pPr>
        <w:rPr>
          <w:rFonts w:eastAsia="Times New Roman" w:cs="Arial"/>
          <w:sz w:val="24"/>
          <w:szCs w:val="24"/>
          <w:lang w:eastAsia="bg-BG"/>
        </w:rPr>
      </w:pPr>
      <w:r w:rsidRPr="00706A37">
        <w:rPr>
          <w:rFonts w:eastAsia="Times New Roman" w:cs="Arial"/>
          <w:color w:val="000000"/>
          <w:lang w:eastAsia="bg-BG"/>
        </w:rPr>
        <w:t xml:space="preserve">Във второ отворено проучване, с едно рамо, 271 момичета и момчета с хетерозиготна фамилна хиперхолестеролемия на възраст 6-15 години са били лекувани с аторвастатин за период от три години. За включване в проучването са били необходими потвърдена хетерозиготна фамилна хиперхолестеролемия и изходна стойност на </w:t>
      </w:r>
      <w:r w:rsidRPr="00706A37">
        <w:rPr>
          <w:rFonts w:eastAsia="Times New Roman" w:cs="Arial"/>
          <w:color w:val="000000"/>
          <w:lang w:val="en-US"/>
        </w:rPr>
        <w:t xml:space="preserve">LDL-C  </w:t>
      </w:r>
      <w:r w:rsidRPr="00706A37">
        <w:rPr>
          <w:rFonts w:eastAsia="Times New Roman" w:cs="Arial"/>
          <w:color w:val="000000"/>
          <w:lang w:eastAsia="bg-BG"/>
        </w:rPr>
        <w:t xml:space="preserve">≥ 4 </w:t>
      </w:r>
      <w:r w:rsidRPr="00706A37">
        <w:rPr>
          <w:rFonts w:eastAsia="Times New Roman" w:cs="Arial"/>
          <w:color w:val="000000"/>
          <w:lang w:val="en-US"/>
        </w:rPr>
        <w:t xml:space="preserve">mmol </w:t>
      </w:r>
      <w:r w:rsidRPr="00706A37">
        <w:rPr>
          <w:rFonts w:eastAsia="Times New Roman" w:cs="Arial"/>
          <w:color w:val="000000"/>
          <w:lang w:eastAsia="bg-BG"/>
        </w:rPr>
        <w:t xml:space="preserve">/ </w:t>
      </w:r>
      <w:r w:rsidRPr="00706A37">
        <w:rPr>
          <w:rFonts w:eastAsia="Times New Roman" w:cs="Arial"/>
          <w:color w:val="000000"/>
          <w:lang w:val="en-US"/>
        </w:rPr>
        <w:t xml:space="preserve">L </w:t>
      </w:r>
      <w:r w:rsidRPr="00706A37">
        <w:rPr>
          <w:rFonts w:eastAsia="Times New Roman" w:cs="Arial"/>
          <w:color w:val="000000"/>
          <w:lang w:eastAsia="bg-BG"/>
        </w:rPr>
        <w:t xml:space="preserve">(приблизително 152 </w:t>
      </w:r>
      <w:r w:rsidRPr="00706A37">
        <w:rPr>
          <w:rFonts w:eastAsia="Times New Roman" w:cs="Arial"/>
          <w:color w:val="000000"/>
          <w:lang w:val="en-US"/>
        </w:rPr>
        <w:t xml:space="preserve">mg </w:t>
      </w:r>
      <w:r w:rsidRPr="00706A37">
        <w:rPr>
          <w:rFonts w:eastAsia="Times New Roman" w:cs="Arial"/>
          <w:color w:val="000000"/>
          <w:lang w:eastAsia="bg-BG"/>
        </w:rPr>
        <w:t xml:space="preserve">/ </w:t>
      </w:r>
      <w:r w:rsidRPr="00706A37">
        <w:rPr>
          <w:rFonts w:eastAsia="Times New Roman" w:cs="Arial"/>
          <w:color w:val="000000"/>
          <w:lang w:val="en-US"/>
        </w:rPr>
        <w:t xml:space="preserve">dL). </w:t>
      </w:r>
      <w:r w:rsidRPr="00706A37">
        <w:rPr>
          <w:rFonts w:eastAsia="Times New Roman" w:cs="Arial"/>
          <w:color w:val="000000"/>
          <w:lang w:eastAsia="bg-BG"/>
        </w:rPr>
        <w:t xml:space="preserve">Проучването включва 139 деца в първи стадий по </w:t>
      </w:r>
      <w:r w:rsidRPr="00706A37">
        <w:rPr>
          <w:rFonts w:eastAsia="Times New Roman" w:cs="Arial"/>
          <w:color w:val="000000"/>
          <w:lang w:val="en-US"/>
        </w:rPr>
        <w:t xml:space="preserve">Tanner </w:t>
      </w:r>
      <w:r w:rsidRPr="00706A37">
        <w:rPr>
          <w:rFonts w:eastAsia="Times New Roman" w:cs="Arial"/>
          <w:color w:val="000000"/>
          <w:lang w:eastAsia="bg-BG"/>
        </w:rPr>
        <w:t xml:space="preserve">(обикновено на възраст от 6 до 10 години). Дозата на аторвастатин (веднъж дневно) е била 5 </w:t>
      </w:r>
      <w:r w:rsidRPr="00706A37">
        <w:rPr>
          <w:rFonts w:eastAsia="Times New Roman" w:cs="Arial"/>
          <w:color w:val="000000"/>
          <w:lang w:val="en-US"/>
        </w:rPr>
        <w:t xml:space="preserve">mg </w:t>
      </w:r>
      <w:r w:rsidRPr="00706A37">
        <w:rPr>
          <w:rFonts w:eastAsia="Times New Roman" w:cs="Arial"/>
          <w:color w:val="000000"/>
          <w:lang w:eastAsia="bg-BG"/>
        </w:rPr>
        <w:t xml:space="preserve">(таблетки за дъвчене) при деца на възраст под 10 години. Деца на възраст 10 и повече години са започнали лечение с 10 </w:t>
      </w:r>
      <w:r w:rsidRPr="00706A37">
        <w:rPr>
          <w:rFonts w:eastAsia="Times New Roman" w:cs="Arial"/>
          <w:color w:val="000000"/>
          <w:lang w:val="en-US"/>
        </w:rPr>
        <w:t xml:space="preserve">mg </w:t>
      </w:r>
      <w:r w:rsidRPr="00706A37">
        <w:rPr>
          <w:rFonts w:eastAsia="Times New Roman" w:cs="Arial"/>
          <w:color w:val="000000"/>
          <w:lang w:eastAsia="bg-BG"/>
        </w:rPr>
        <w:t>аторвастатин (веднъж дневно). Всички деца са могли да получат титриране до по-високи дози, за да постигнат прицелни</w:t>
      </w:r>
      <w:r w:rsidR="00706A37">
        <w:rPr>
          <w:rFonts w:eastAsia="Times New Roman" w:cs="Arial"/>
          <w:color w:val="000000"/>
          <w:lang w:val="en-US" w:eastAsia="bg-BG"/>
        </w:rPr>
        <w:t xml:space="preserve"> </w:t>
      </w:r>
      <w:r w:rsidR="00706A37" w:rsidRPr="00706A37">
        <w:rPr>
          <w:rFonts w:eastAsia="Times New Roman" w:cs="Arial"/>
          <w:color w:val="000000"/>
          <w:lang w:eastAsia="bg-BG"/>
        </w:rPr>
        <w:t xml:space="preserve">стойнсти на </w:t>
      </w:r>
      <w:r w:rsidR="00706A37" w:rsidRPr="00706A37">
        <w:rPr>
          <w:rFonts w:eastAsia="Times New Roman" w:cs="Arial"/>
          <w:color w:val="000000"/>
          <w:lang w:val="en-US"/>
        </w:rPr>
        <w:t xml:space="preserve">LDL-C </w:t>
      </w:r>
      <w:r w:rsidR="00706A37" w:rsidRPr="00706A37">
        <w:rPr>
          <w:rFonts w:eastAsia="Times New Roman" w:cs="Arial"/>
          <w:color w:val="000000"/>
          <w:lang w:eastAsia="bg-BG"/>
        </w:rPr>
        <w:t xml:space="preserve">от &lt;3,35 </w:t>
      </w:r>
      <w:r w:rsidR="00706A37" w:rsidRPr="00706A37">
        <w:rPr>
          <w:rFonts w:eastAsia="Times New Roman" w:cs="Arial"/>
          <w:color w:val="000000"/>
          <w:lang w:val="en-US"/>
        </w:rPr>
        <w:t xml:space="preserve">mmol </w:t>
      </w:r>
      <w:r w:rsidR="00706A37" w:rsidRPr="00706A37">
        <w:rPr>
          <w:rFonts w:eastAsia="Times New Roman" w:cs="Arial"/>
          <w:color w:val="000000"/>
          <w:lang w:eastAsia="bg-BG"/>
        </w:rPr>
        <w:t xml:space="preserve">/ </w:t>
      </w:r>
      <w:r w:rsidR="00706A37" w:rsidRPr="00706A37">
        <w:rPr>
          <w:rFonts w:eastAsia="Times New Roman" w:cs="Arial"/>
          <w:color w:val="000000"/>
          <w:lang w:val="en-US"/>
        </w:rPr>
        <w:t xml:space="preserve">L. </w:t>
      </w:r>
      <w:r w:rsidR="00706A37" w:rsidRPr="00706A37">
        <w:rPr>
          <w:rFonts w:eastAsia="Times New Roman" w:cs="Arial"/>
          <w:color w:val="000000"/>
          <w:lang w:eastAsia="bg-BG"/>
        </w:rPr>
        <w:t xml:space="preserve">Средната доза, адаптирана спрямо теглото за деца на възраст от 6 до 9 години е била 19,6 </w:t>
      </w:r>
      <w:r w:rsidR="00706A37" w:rsidRPr="00706A37">
        <w:rPr>
          <w:rFonts w:eastAsia="Times New Roman" w:cs="Arial"/>
          <w:color w:val="000000"/>
          <w:lang w:val="en-US"/>
        </w:rPr>
        <w:t xml:space="preserve">mg, </w:t>
      </w:r>
      <w:r w:rsidR="00706A37" w:rsidRPr="00706A37">
        <w:rPr>
          <w:rFonts w:eastAsia="Times New Roman" w:cs="Arial"/>
          <w:color w:val="000000"/>
          <w:lang w:eastAsia="bg-BG"/>
        </w:rPr>
        <w:t xml:space="preserve">а за деца на възраст 10 и повече години е била 23,9 </w:t>
      </w:r>
      <w:r w:rsidR="00706A37" w:rsidRPr="00706A37">
        <w:rPr>
          <w:rFonts w:eastAsia="Times New Roman" w:cs="Arial"/>
          <w:color w:val="000000"/>
          <w:lang w:val="en-US"/>
        </w:rPr>
        <w:t>mg.</w:t>
      </w:r>
    </w:p>
    <w:p w14:paraId="66A2A472" w14:textId="77777777" w:rsidR="00706A37" w:rsidRPr="00706A37" w:rsidRDefault="00706A37" w:rsidP="00706A37">
      <w:pPr>
        <w:spacing w:line="240" w:lineRule="auto"/>
        <w:rPr>
          <w:rFonts w:eastAsia="Times New Roman" w:cs="Arial"/>
          <w:color w:val="000000"/>
          <w:lang w:eastAsia="bg-BG"/>
        </w:rPr>
      </w:pPr>
    </w:p>
    <w:p w14:paraId="77F339FE" w14:textId="55F65834" w:rsidR="00706A37" w:rsidRPr="00706A37" w:rsidRDefault="00706A37" w:rsidP="00706A37">
      <w:pPr>
        <w:spacing w:line="240" w:lineRule="auto"/>
        <w:rPr>
          <w:rFonts w:eastAsia="Times New Roman" w:cs="Arial"/>
          <w:sz w:val="24"/>
          <w:szCs w:val="24"/>
          <w:lang w:eastAsia="bg-BG"/>
        </w:rPr>
      </w:pPr>
      <w:r w:rsidRPr="00706A37">
        <w:rPr>
          <w:rFonts w:eastAsia="Times New Roman" w:cs="Arial"/>
          <w:color w:val="000000"/>
          <w:lang w:eastAsia="bg-BG"/>
        </w:rPr>
        <w:t xml:space="preserve">Средната (+/- </w:t>
      </w:r>
      <w:r w:rsidRPr="00706A37">
        <w:rPr>
          <w:rFonts w:eastAsia="Times New Roman" w:cs="Arial"/>
          <w:color w:val="000000"/>
          <w:lang w:val="en-US"/>
        </w:rPr>
        <w:t xml:space="preserve">SD) </w:t>
      </w:r>
      <w:r w:rsidRPr="00706A37">
        <w:rPr>
          <w:rFonts w:eastAsia="Times New Roman" w:cs="Arial"/>
          <w:color w:val="000000"/>
          <w:lang w:eastAsia="bg-BG"/>
        </w:rPr>
        <w:t xml:space="preserve">изходна стойност на </w:t>
      </w:r>
      <w:r w:rsidRPr="00706A37">
        <w:rPr>
          <w:rFonts w:eastAsia="Times New Roman" w:cs="Arial"/>
          <w:color w:val="000000"/>
          <w:lang w:val="en-US"/>
        </w:rPr>
        <w:t xml:space="preserve">LDL-C </w:t>
      </w:r>
      <w:r w:rsidRPr="00706A37">
        <w:rPr>
          <w:rFonts w:eastAsia="Times New Roman" w:cs="Arial"/>
          <w:color w:val="000000"/>
          <w:lang w:eastAsia="bg-BG"/>
        </w:rPr>
        <w:t xml:space="preserve">е била 6,12 (1,26) </w:t>
      </w:r>
      <w:r w:rsidRPr="00706A37">
        <w:rPr>
          <w:rFonts w:eastAsia="Times New Roman" w:cs="Arial"/>
          <w:color w:val="000000"/>
          <w:lang w:val="en-US"/>
        </w:rPr>
        <w:t xml:space="preserve">mmol </w:t>
      </w:r>
      <w:r w:rsidRPr="00706A37">
        <w:rPr>
          <w:rFonts w:eastAsia="Times New Roman" w:cs="Arial"/>
          <w:color w:val="000000"/>
          <w:lang w:eastAsia="bg-BG"/>
        </w:rPr>
        <w:t xml:space="preserve">/ </w:t>
      </w:r>
      <w:r w:rsidRPr="00706A37">
        <w:rPr>
          <w:rFonts w:eastAsia="Times New Roman" w:cs="Arial"/>
          <w:color w:val="000000"/>
          <w:lang w:val="en-US"/>
        </w:rPr>
        <w:t xml:space="preserve">L, </w:t>
      </w:r>
      <w:r w:rsidRPr="00706A37">
        <w:rPr>
          <w:rFonts w:eastAsia="Times New Roman" w:cs="Arial"/>
          <w:color w:val="000000"/>
          <w:lang w:eastAsia="bg-BG"/>
        </w:rPr>
        <w:t xml:space="preserve">което е приблизително 233 (48) </w:t>
      </w:r>
      <w:r w:rsidRPr="00706A37">
        <w:rPr>
          <w:rFonts w:eastAsia="Times New Roman" w:cs="Arial"/>
          <w:color w:val="000000"/>
          <w:lang w:val="en-US"/>
        </w:rPr>
        <w:t xml:space="preserve">mg </w:t>
      </w:r>
      <w:r w:rsidRPr="00706A37">
        <w:rPr>
          <w:rFonts w:eastAsia="Times New Roman" w:cs="Arial"/>
          <w:color w:val="000000"/>
          <w:lang w:eastAsia="bg-BG"/>
        </w:rPr>
        <w:t xml:space="preserve">/ </w:t>
      </w:r>
      <w:r w:rsidRPr="00706A37">
        <w:rPr>
          <w:rFonts w:eastAsia="Times New Roman" w:cs="Arial"/>
          <w:color w:val="000000"/>
          <w:lang w:val="en-US"/>
        </w:rPr>
        <w:t xml:space="preserve">dL. </w:t>
      </w:r>
      <w:r w:rsidRPr="00706A37">
        <w:rPr>
          <w:rFonts w:eastAsia="Times New Roman" w:cs="Arial"/>
          <w:color w:val="000000"/>
          <w:lang w:eastAsia="bg-BG"/>
        </w:rPr>
        <w:t>Вижте Таблица 3 по-долу за окончателни резултати.</w:t>
      </w:r>
    </w:p>
    <w:p w14:paraId="6E11456F" w14:textId="77777777" w:rsidR="00706A37" w:rsidRPr="00706A37" w:rsidRDefault="00706A37" w:rsidP="00706A37">
      <w:pPr>
        <w:rPr>
          <w:rFonts w:eastAsia="Times New Roman" w:cs="Arial"/>
          <w:color w:val="000000"/>
          <w:lang w:eastAsia="bg-BG"/>
        </w:rPr>
      </w:pPr>
    </w:p>
    <w:p w14:paraId="0188F9C3" w14:textId="088B964A" w:rsidR="000F092C" w:rsidRPr="00706A37" w:rsidRDefault="00706A37" w:rsidP="00706A37">
      <w:pPr>
        <w:rPr>
          <w:rFonts w:cs="Arial"/>
          <w:lang w:val="en-US"/>
        </w:rPr>
      </w:pPr>
      <w:r w:rsidRPr="00706A37">
        <w:rPr>
          <w:rFonts w:eastAsia="Times New Roman" w:cs="Arial"/>
          <w:color w:val="000000"/>
          <w:lang w:eastAsia="bg-BG"/>
        </w:rPr>
        <w:t xml:space="preserve">Данните съответстват на липса на ефект върху който и да е от параметрите на растежа и развитието (т.е. височина, тегло, </w:t>
      </w:r>
      <w:r w:rsidRPr="00706A37">
        <w:rPr>
          <w:rFonts w:eastAsia="Times New Roman" w:cs="Arial"/>
          <w:color w:val="000000"/>
          <w:lang w:val="en-US"/>
        </w:rPr>
        <w:t xml:space="preserve">BMI, </w:t>
      </w:r>
      <w:r w:rsidRPr="00706A37">
        <w:rPr>
          <w:rFonts w:eastAsia="Times New Roman" w:cs="Arial"/>
          <w:color w:val="000000"/>
          <w:lang w:eastAsia="bg-BG"/>
        </w:rPr>
        <w:t xml:space="preserve">стадий по Танер, оценка на изследователя върху цялостното съзряване и развитие) при педиатрични пациенти и юноши с хетерозиготна фамилна хиперхолестеролемия, получаващи лечение с аторвастатин по време на 3 годишното проучване. Въз основа на оценката на изследователя не е отчетен ефект по отношение на височина, тегло, </w:t>
      </w:r>
      <w:r w:rsidRPr="00706A37">
        <w:rPr>
          <w:rFonts w:eastAsia="Times New Roman" w:cs="Arial"/>
          <w:color w:val="000000"/>
          <w:lang w:val="en-US"/>
        </w:rPr>
        <w:t xml:space="preserve">BMI </w:t>
      </w:r>
      <w:r w:rsidRPr="00706A37">
        <w:rPr>
          <w:rFonts w:eastAsia="Times New Roman" w:cs="Arial"/>
          <w:color w:val="000000"/>
          <w:lang w:eastAsia="bg-BG"/>
        </w:rPr>
        <w:t>по възраст или по пол при посещение.</w:t>
      </w:r>
    </w:p>
    <w:p w14:paraId="4CD35C93" w14:textId="70422D5B" w:rsidR="000F092C" w:rsidRDefault="000F092C" w:rsidP="0091385D"/>
    <w:tbl>
      <w:tblPr>
        <w:tblStyle w:val="TableGrid"/>
        <w:tblW w:w="0" w:type="auto"/>
        <w:tblLook w:val="04A0" w:firstRow="1" w:lastRow="0" w:firstColumn="1" w:lastColumn="0" w:noHBand="0" w:noVBand="1"/>
      </w:tblPr>
      <w:tblGrid>
        <w:gridCol w:w="1311"/>
        <w:gridCol w:w="1210"/>
        <w:gridCol w:w="1331"/>
        <w:gridCol w:w="1331"/>
        <w:gridCol w:w="1586"/>
        <w:gridCol w:w="1331"/>
        <w:gridCol w:w="1476"/>
      </w:tblGrid>
      <w:tr w:rsidR="00706A37" w14:paraId="090781C9" w14:textId="77777777" w:rsidTr="002E5BCE">
        <w:tc>
          <w:tcPr>
            <w:tcW w:w="9576" w:type="dxa"/>
            <w:gridSpan w:val="7"/>
          </w:tcPr>
          <w:p w14:paraId="39E7B495" w14:textId="0826B81C" w:rsidR="00706A37" w:rsidRDefault="00706A37" w:rsidP="0091385D">
            <w:r>
              <w:rPr>
                <w:b/>
                <w:bCs/>
                <w:sz w:val="20"/>
                <w:szCs w:val="20"/>
              </w:rPr>
              <w:t xml:space="preserve">Таблица 3. </w:t>
            </w:r>
            <w:r>
              <w:t xml:space="preserve">Понижаващи липидите ефекти на аторвастатин при юноши момчета и момичета с хетерозиготна фамилна хиперхолестеролемия </w:t>
            </w:r>
            <w:r>
              <w:rPr>
                <w:lang w:val="en-US"/>
              </w:rPr>
              <w:t xml:space="preserve">(mmol </w:t>
            </w:r>
            <w:r>
              <w:t xml:space="preserve">/ </w:t>
            </w:r>
            <w:r>
              <w:rPr>
                <w:lang w:val="en-US"/>
              </w:rPr>
              <w:t>L)</w:t>
            </w:r>
          </w:p>
        </w:tc>
      </w:tr>
      <w:tr w:rsidR="00706A37" w14:paraId="6E260A37" w14:textId="77777777" w:rsidTr="00706A37">
        <w:tc>
          <w:tcPr>
            <w:tcW w:w="1311" w:type="dxa"/>
            <w:vAlign w:val="bottom"/>
          </w:tcPr>
          <w:p w14:paraId="000AC4B4" w14:textId="38AF49A6" w:rsidR="00706A37" w:rsidRDefault="00706A37" w:rsidP="00706A37">
            <w:r>
              <w:t>Времева точка</w:t>
            </w:r>
          </w:p>
        </w:tc>
        <w:tc>
          <w:tcPr>
            <w:tcW w:w="1210" w:type="dxa"/>
            <w:vAlign w:val="center"/>
          </w:tcPr>
          <w:p w14:paraId="3828E836" w14:textId="37A9279E" w:rsidR="00706A37" w:rsidRDefault="00706A37" w:rsidP="00706A37">
            <w:r>
              <w:rPr>
                <w:lang w:val="en-US"/>
              </w:rPr>
              <w:t>N</w:t>
            </w:r>
          </w:p>
        </w:tc>
        <w:tc>
          <w:tcPr>
            <w:tcW w:w="1331" w:type="dxa"/>
            <w:vAlign w:val="center"/>
          </w:tcPr>
          <w:p w14:paraId="146129A7" w14:textId="6F61A8B8" w:rsidR="00706A37" w:rsidRDefault="00706A37" w:rsidP="00706A37">
            <w:r>
              <w:t xml:space="preserve">ТС </w:t>
            </w:r>
            <w:r>
              <w:rPr>
                <w:lang w:val="en-US"/>
              </w:rPr>
              <w:t>(S.D.)</w:t>
            </w:r>
          </w:p>
        </w:tc>
        <w:tc>
          <w:tcPr>
            <w:tcW w:w="1331" w:type="dxa"/>
            <w:vAlign w:val="center"/>
          </w:tcPr>
          <w:p w14:paraId="6E879819" w14:textId="10929042" w:rsidR="00706A37" w:rsidRDefault="00706A37" w:rsidP="00706A37">
            <w:r>
              <w:rPr>
                <w:lang w:val="en-US"/>
              </w:rPr>
              <w:t>LDL-C (S.D.)</w:t>
            </w:r>
          </w:p>
        </w:tc>
        <w:tc>
          <w:tcPr>
            <w:tcW w:w="1586" w:type="dxa"/>
            <w:vAlign w:val="center"/>
          </w:tcPr>
          <w:p w14:paraId="62E2EC45" w14:textId="61B4FFBA" w:rsidR="00706A37" w:rsidRDefault="00706A37" w:rsidP="00706A37">
            <w:r>
              <w:rPr>
                <w:lang w:val="en-US"/>
              </w:rPr>
              <w:t>IIDL-C (S.D.)</w:t>
            </w:r>
          </w:p>
        </w:tc>
        <w:tc>
          <w:tcPr>
            <w:tcW w:w="1331" w:type="dxa"/>
            <w:vAlign w:val="center"/>
          </w:tcPr>
          <w:p w14:paraId="368EF034" w14:textId="77C374E8" w:rsidR="00706A37" w:rsidRDefault="00706A37" w:rsidP="00706A37">
            <w:r>
              <w:rPr>
                <w:lang w:val="en-US"/>
              </w:rPr>
              <w:t>TG (S.D.)</w:t>
            </w:r>
          </w:p>
        </w:tc>
        <w:tc>
          <w:tcPr>
            <w:tcW w:w="1476" w:type="dxa"/>
            <w:vAlign w:val="center"/>
          </w:tcPr>
          <w:p w14:paraId="24A1CC44" w14:textId="2068EF87" w:rsidR="00706A37" w:rsidRDefault="00706A37" w:rsidP="00706A37">
            <w:r>
              <w:t xml:space="preserve">Аро В </w:t>
            </w:r>
            <w:r>
              <w:rPr>
                <w:lang w:val="en-US"/>
              </w:rPr>
              <w:t>(S.D.)#</w:t>
            </w:r>
          </w:p>
        </w:tc>
      </w:tr>
      <w:tr w:rsidR="00706A37" w14:paraId="26B8DA36" w14:textId="77777777" w:rsidTr="00706A37">
        <w:tc>
          <w:tcPr>
            <w:tcW w:w="1311" w:type="dxa"/>
            <w:vAlign w:val="bottom"/>
          </w:tcPr>
          <w:p w14:paraId="4462E50E" w14:textId="74B9E2A2" w:rsidR="00706A37" w:rsidRDefault="00706A37" w:rsidP="00706A37">
            <w:r>
              <w:t>Изходно ниво</w:t>
            </w:r>
          </w:p>
        </w:tc>
        <w:tc>
          <w:tcPr>
            <w:tcW w:w="1210" w:type="dxa"/>
            <w:vAlign w:val="center"/>
          </w:tcPr>
          <w:p w14:paraId="20FA1458" w14:textId="1A3863D4" w:rsidR="00706A37" w:rsidRDefault="00706A37" w:rsidP="00706A37">
            <w:r>
              <w:t>271</w:t>
            </w:r>
          </w:p>
        </w:tc>
        <w:tc>
          <w:tcPr>
            <w:tcW w:w="1331" w:type="dxa"/>
            <w:vAlign w:val="center"/>
          </w:tcPr>
          <w:p w14:paraId="34EB27AC" w14:textId="005A82FA" w:rsidR="00706A37" w:rsidRDefault="00706A37" w:rsidP="00706A37">
            <w:r>
              <w:t>7.86(1.30)</w:t>
            </w:r>
          </w:p>
        </w:tc>
        <w:tc>
          <w:tcPr>
            <w:tcW w:w="1331" w:type="dxa"/>
            <w:vAlign w:val="center"/>
          </w:tcPr>
          <w:p w14:paraId="3C5DB1B3" w14:textId="2B5F64D2" w:rsidR="00706A37" w:rsidRDefault="00706A37" w:rsidP="00706A37">
            <w:r>
              <w:t>6.12(1.26)</w:t>
            </w:r>
          </w:p>
        </w:tc>
        <w:tc>
          <w:tcPr>
            <w:tcW w:w="1586" w:type="dxa"/>
            <w:vAlign w:val="center"/>
          </w:tcPr>
          <w:p w14:paraId="7176ED0D" w14:textId="05ABA862" w:rsidR="00706A37" w:rsidRDefault="00706A37" w:rsidP="00706A37">
            <w:r>
              <w:t>1.314(0.2663)</w:t>
            </w:r>
          </w:p>
        </w:tc>
        <w:tc>
          <w:tcPr>
            <w:tcW w:w="1331" w:type="dxa"/>
            <w:vAlign w:val="center"/>
          </w:tcPr>
          <w:p w14:paraId="7A71016F" w14:textId="25675C2B" w:rsidR="00706A37" w:rsidRDefault="00706A37" w:rsidP="00706A37">
            <w:r>
              <w:t>0.93(0.47)</w:t>
            </w:r>
          </w:p>
        </w:tc>
        <w:tc>
          <w:tcPr>
            <w:tcW w:w="1476" w:type="dxa"/>
            <w:vAlign w:val="center"/>
          </w:tcPr>
          <w:p w14:paraId="5C50E6F3" w14:textId="0947A9AD" w:rsidR="00706A37" w:rsidRDefault="00706A37" w:rsidP="00706A37">
            <w:r>
              <w:t>1.42(0.28)**</w:t>
            </w:r>
          </w:p>
        </w:tc>
      </w:tr>
      <w:tr w:rsidR="00706A37" w14:paraId="327B7BA9" w14:textId="77777777" w:rsidTr="00706A37">
        <w:tc>
          <w:tcPr>
            <w:tcW w:w="1311" w:type="dxa"/>
          </w:tcPr>
          <w:p w14:paraId="1C980C9B" w14:textId="1D451356" w:rsidR="00706A37" w:rsidRDefault="00706A37" w:rsidP="00706A37">
            <w:r>
              <w:t>Месец 30</w:t>
            </w:r>
          </w:p>
        </w:tc>
        <w:tc>
          <w:tcPr>
            <w:tcW w:w="1210" w:type="dxa"/>
          </w:tcPr>
          <w:p w14:paraId="102858A0" w14:textId="7E039AA3" w:rsidR="00706A37" w:rsidRDefault="00706A37" w:rsidP="00706A37">
            <w:r>
              <w:t>206</w:t>
            </w:r>
          </w:p>
        </w:tc>
        <w:tc>
          <w:tcPr>
            <w:tcW w:w="1331" w:type="dxa"/>
          </w:tcPr>
          <w:p w14:paraId="76DC9C15" w14:textId="6B505B98" w:rsidR="00706A37" w:rsidRDefault="00706A37" w:rsidP="00706A37">
            <w:r>
              <w:t>4.95(0.77) *</w:t>
            </w:r>
          </w:p>
        </w:tc>
        <w:tc>
          <w:tcPr>
            <w:tcW w:w="1331" w:type="dxa"/>
          </w:tcPr>
          <w:p w14:paraId="085CC70C" w14:textId="04D6C424" w:rsidR="00706A37" w:rsidRDefault="00706A37" w:rsidP="00706A37">
            <w:r>
              <w:t>3.25(0.67 )</w:t>
            </w:r>
          </w:p>
        </w:tc>
        <w:tc>
          <w:tcPr>
            <w:tcW w:w="1586" w:type="dxa"/>
          </w:tcPr>
          <w:p w14:paraId="3E2F5E89" w14:textId="77777777" w:rsidR="00706A37" w:rsidRDefault="00706A37" w:rsidP="00706A37">
            <w:r>
              <w:t>1.327(0.279</w:t>
            </w:r>
          </w:p>
          <w:p w14:paraId="6A4CBCBF" w14:textId="3A4A9638" w:rsidR="00706A37" w:rsidRDefault="00706A37" w:rsidP="00706A37">
            <w:r>
              <w:t>6)</w:t>
            </w:r>
          </w:p>
        </w:tc>
        <w:tc>
          <w:tcPr>
            <w:tcW w:w="1331" w:type="dxa"/>
          </w:tcPr>
          <w:p w14:paraId="1CF1DDBB" w14:textId="5A71C420" w:rsidR="00706A37" w:rsidRDefault="00706A37" w:rsidP="00706A37">
            <w:r>
              <w:t>0.79(0.38) *</w:t>
            </w:r>
          </w:p>
        </w:tc>
        <w:tc>
          <w:tcPr>
            <w:tcW w:w="1476" w:type="dxa"/>
          </w:tcPr>
          <w:p w14:paraId="05D40975" w14:textId="597DDB09" w:rsidR="00706A37" w:rsidRDefault="00706A37" w:rsidP="00706A37">
            <w:r>
              <w:t>0.90(0.17) ♦</w:t>
            </w:r>
          </w:p>
        </w:tc>
      </w:tr>
      <w:tr w:rsidR="00706A37" w14:paraId="5D09EEA2" w14:textId="77777777" w:rsidTr="00706A37">
        <w:tc>
          <w:tcPr>
            <w:tcW w:w="1311" w:type="dxa"/>
            <w:vAlign w:val="bottom"/>
          </w:tcPr>
          <w:p w14:paraId="4643D80A" w14:textId="4C48D930" w:rsidR="00706A37" w:rsidRDefault="00706A37" w:rsidP="00706A37">
            <w:r>
              <w:t>Месец 36/ЕТ</w:t>
            </w:r>
          </w:p>
        </w:tc>
        <w:tc>
          <w:tcPr>
            <w:tcW w:w="1210" w:type="dxa"/>
            <w:vAlign w:val="bottom"/>
          </w:tcPr>
          <w:p w14:paraId="33C3C2B6" w14:textId="21C0D603" w:rsidR="00706A37" w:rsidRDefault="00706A37" w:rsidP="00706A37">
            <w:r>
              <w:t>240</w:t>
            </w:r>
          </w:p>
        </w:tc>
        <w:tc>
          <w:tcPr>
            <w:tcW w:w="1331" w:type="dxa"/>
            <w:vAlign w:val="bottom"/>
          </w:tcPr>
          <w:p w14:paraId="78119A1A" w14:textId="7DDF072E" w:rsidR="00706A37" w:rsidRDefault="00706A37" w:rsidP="00706A37">
            <w:r>
              <w:t>5.12(0.86)</w:t>
            </w:r>
          </w:p>
        </w:tc>
        <w:tc>
          <w:tcPr>
            <w:tcW w:w="1331" w:type="dxa"/>
            <w:vAlign w:val="bottom"/>
          </w:tcPr>
          <w:p w14:paraId="5651DD6B" w14:textId="70236499" w:rsidR="00706A37" w:rsidRDefault="00706A37" w:rsidP="00706A37">
            <w:r>
              <w:t>3.45(0.81)</w:t>
            </w:r>
          </w:p>
        </w:tc>
        <w:tc>
          <w:tcPr>
            <w:tcW w:w="1586" w:type="dxa"/>
            <w:vAlign w:val="bottom"/>
          </w:tcPr>
          <w:p w14:paraId="1DA82305" w14:textId="18D72936" w:rsidR="00706A37" w:rsidRDefault="00706A37" w:rsidP="00706A37">
            <w:r>
              <w:t>1.308(0.2739)</w:t>
            </w:r>
          </w:p>
        </w:tc>
        <w:tc>
          <w:tcPr>
            <w:tcW w:w="1331" w:type="dxa"/>
            <w:vAlign w:val="bottom"/>
          </w:tcPr>
          <w:p w14:paraId="565445CA" w14:textId="1154B830" w:rsidR="00706A37" w:rsidRDefault="00706A37" w:rsidP="00706A37">
            <w:r>
              <w:t>0.78(0.41)</w:t>
            </w:r>
          </w:p>
        </w:tc>
        <w:tc>
          <w:tcPr>
            <w:tcW w:w="1476" w:type="dxa"/>
            <w:vAlign w:val="bottom"/>
          </w:tcPr>
          <w:p w14:paraId="7A064174" w14:textId="7A2ACC6C" w:rsidR="00706A37" w:rsidRDefault="00706A37" w:rsidP="00706A37">
            <w:r>
              <w:t>0.93(0.20)***</w:t>
            </w:r>
          </w:p>
        </w:tc>
      </w:tr>
      <w:tr w:rsidR="00706A37" w14:paraId="1C134539" w14:textId="77777777" w:rsidTr="00706A37">
        <w:tc>
          <w:tcPr>
            <w:tcW w:w="9576" w:type="dxa"/>
            <w:gridSpan w:val="7"/>
          </w:tcPr>
          <w:p w14:paraId="561224A6" w14:textId="35981F98" w:rsidR="00706A37" w:rsidRPr="00706A37" w:rsidRDefault="00706A37" w:rsidP="00706A37">
            <w:pPr>
              <w:spacing w:line="240" w:lineRule="auto"/>
              <w:rPr>
                <w:rFonts w:ascii="Times New Roman" w:eastAsia="Times New Roman" w:hAnsi="Times New Roman" w:cs="Times New Roman"/>
                <w:sz w:val="24"/>
                <w:szCs w:val="24"/>
                <w:lang w:eastAsia="bg-BG"/>
              </w:rPr>
            </w:pPr>
            <w:r w:rsidRPr="00706A37">
              <w:rPr>
                <w:rFonts w:ascii="Times New Roman" w:eastAsia="Times New Roman" w:hAnsi="Times New Roman" w:cs="Times New Roman"/>
                <w:color w:val="000000"/>
                <w:lang w:eastAsia="bg-BG"/>
              </w:rPr>
              <w:t xml:space="preserve">ТС = общ холестерол; </w:t>
            </w:r>
            <w:r w:rsidRPr="00706A37">
              <w:rPr>
                <w:rFonts w:ascii="Times New Roman" w:eastAsia="Times New Roman" w:hAnsi="Times New Roman" w:cs="Times New Roman"/>
                <w:color w:val="000000"/>
                <w:lang w:val="en-US"/>
              </w:rPr>
              <w:t xml:space="preserve">LDL-C </w:t>
            </w:r>
            <w:r w:rsidRPr="00706A37">
              <w:rPr>
                <w:rFonts w:ascii="Times New Roman" w:eastAsia="Times New Roman" w:hAnsi="Times New Roman" w:cs="Times New Roman"/>
                <w:color w:val="000000"/>
                <w:lang w:eastAsia="bg-BG"/>
              </w:rPr>
              <w:t xml:space="preserve">= холестерол-липопротеини с ниска плътност ; </w:t>
            </w:r>
            <w:r w:rsidRPr="00706A37">
              <w:rPr>
                <w:rFonts w:ascii="Times New Roman" w:eastAsia="Times New Roman" w:hAnsi="Times New Roman" w:cs="Times New Roman"/>
                <w:color w:val="000000"/>
                <w:lang w:val="en-US"/>
              </w:rPr>
              <w:t xml:space="preserve">HDL-C </w:t>
            </w:r>
            <w:r w:rsidRPr="00706A37">
              <w:rPr>
                <w:rFonts w:ascii="Times New Roman" w:eastAsia="Times New Roman" w:hAnsi="Times New Roman" w:cs="Times New Roman"/>
                <w:color w:val="000000"/>
                <w:lang w:eastAsia="bg-BG"/>
              </w:rPr>
              <w:t xml:space="preserve">= холестерол-С липопротеини с висока плътност; </w:t>
            </w:r>
            <w:r w:rsidRPr="00706A37">
              <w:rPr>
                <w:rFonts w:ascii="Times New Roman" w:eastAsia="Times New Roman" w:hAnsi="Times New Roman" w:cs="Times New Roman"/>
                <w:color w:val="000000"/>
                <w:lang w:val="en-US"/>
              </w:rPr>
              <w:t xml:space="preserve">TG </w:t>
            </w:r>
            <w:r w:rsidRPr="00706A37">
              <w:rPr>
                <w:rFonts w:ascii="Times New Roman" w:eastAsia="Times New Roman" w:hAnsi="Times New Roman" w:cs="Times New Roman"/>
                <w:color w:val="000000"/>
                <w:lang w:eastAsia="bg-BG"/>
              </w:rPr>
              <w:t xml:space="preserve">= триглицериди; Аро В = аполипопротеин В; „Месец 36 / ЕТ“ включва последна взита на лицата, които са излезли от проучването преди планираната крайна точка на 36-я месец, както и пълни 36-месечни данни за лицата, завършили 36-месечното участие; “*” = Месец 30 </w:t>
            </w:r>
            <w:r w:rsidRPr="00706A37">
              <w:rPr>
                <w:rFonts w:ascii="Times New Roman" w:eastAsia="Times New Roman" w:hAnsi="Times New Roman" w:cs="Times New Roman"/>
                <w:color w:val="000000"/>
                <w:lang w:val="en-US"/>
              </w:rPr>
              <w:t xml:space="preserve">N </w:t>
            </w:r>
            <w:r w:rsidRPr="00706A37">
              <w:rPr>
                <w:rFonts w:ascii="Times New Roman" w:eastAsia="Times New Roman" w:hAnsi="Times New Roman" w:cs="Times New Roman"/>
                <w:color w:val="000000"/>
                <w:lang w:eastAsia="bg-BG"/>
              </w:rPr>
              <w:t xml:space="preserve">за този параметър е бил 207; “**” = Изходният </w:t>
            </w:r>
            <w:r w:rsidRPr="00706A37">
              <w:rPr>
                <w:rFonts w:ascii="Times New Roman" w:eastAsia="Times New Roman" w:hAnsi="Times New Roman" w:cs="Times New Roman"/>
                <w:color w:val="000000"/>
                <w:lang w:val="en-US"/>
              </w:rPr>
              <w:t xml:space="preserve">N </w:t>
            </w:r>
            <w:r>
              <w:rPr>
                <w:rFonts w:ascii="Times New Roman" w:eastAsia="Times New Roman" w:hAnsi="Times New Roman" w:cs="Times New Roman"/>
                <w:color w:val="000000"/>
                <w:lang w:eastAsia="bg-BG"/>
              </w:rPr>
              <w:t xml:space="preserve">за този параметър е бил 270; </w:t>
            </w:r>
            <w:r>
              <w:rPr>
                <w:rFonts w:ascii="Times New Roman" w:eastAsia="Times New Roman" w:hAnsi="Times New Roman" w:cs="Times New Roman"/>
                <w:color w:val="000000"/>
                <w:lang w:val="en-US" w:eastAsia="bg-BG"/>
              </w:rPr>
              <w:t>“***”</w:t>
            </w:r>
            <w:r w:rsidRPr="00706A37">
              <w:rPr>
                <w:rFonts w:ascii="Times New Roman" w:eastAsia="Times New Roman" w:hAnsi="Times New Roman" w:cs="Times New Roman"/>
                <w:color w:val="000000"/>
                <w:lang w:eastAsia="bg-BG"/>
              </w:rPr>
              <w:t xml:space="preserve">= месец 36 / ЕТ </w:t>
            </w:r>
            <w:r w:rsidRPr="00706A37">
              <w:rPr>
                <w:rFonts w:ascii="Times New Roman" w:eastAsia="Times New Roman" w:hAnsi="Times New Roman" w:cs="Times New Roman"/>
                <w:color w:val="000000"/>
                <w:lang w:val="en-US"/>
              </w:rPr>
              <w:t xml:space="preserve">N </w:t>
            </w:r>
            <w:r w:rsidRPr="00706A37">
              <w:rPr>
                <w:rFonts w:ascii="Times New Roman" w:eastAsia="Times New Roman" w:hAnsi="Times New Roman" w:cs="Times New Roman"/>
                <w:color w:val="000000"/>
                <w:lang w:eastAsia="bg-BG"/>
              </w:rPr>
              <w:t>за този параметър е бил 243;</w:t>
            </w:r>
            <w:r>
              <w:rPr>
                <w:rFonts w:ascii="Times New Roman" w:eastAsia="Times New Roman" w:hAnsi="Times New Roman" w:cs="Times New Roman"/>
                <w:color w:val="000000"/>
                <w:lang w:val="en-US" w:eastAsia="bg-BG"/>
              </w:rPr>
              <w:t xml:space="preserve"> “#”</w:t>
            </w:r>
            <w:r w:rsidRPr="00706A37">
              <w:rPr>
                <w:rFonts w:ascii="Times New Roman" w:eastAsia="Times New Roman" w:hAnsi="Times New Roman" w:cs="Times New Roman"/>
                <w:color w:val="000000"/>
                <w:lang w:eastAsia="bg-BG"/>
              </w:rPr>
              <w:t xml:space="preserve">= </w:t>
            </w:r>
            <w:r w:rsidRPr="00706A37">
              <w:rPr>
                <w:rFonts w:ascii="Times New Roman" w:eastAsia="Times New Roman" w:hAnsi="Times New Roman" w:cs="Times New Roman"/>
                <w:color w:val="000000"/>
                <w:lang w:val="en-US"/>
              </w:rPr>
              <w:t xml:space="preserve">G </w:t>
            </w:r>
            <w:r w:rsidRPr="00706A37">
              <w:rPr>
                <w:rFonts w:ascii="Times New Roman" w:eastAsia="Times New Roman" w:hAnsi="Times New Roman" w:cs="Times New Roman"/>
                <w:color w:val="000000"/>
                <w:lang w:eastAsia="bg-BG"/>
              </w:rPr>
              <w:t xml:space="preserve">/ </w:t>
            </w:r>
            <w:r w:rsidRPr="00706A37">
              <w:rPr>
                <w:rFonts w:ascii="Times New Roman" w:eastAsia="Times New Roman" w:hAnsi="Times New Roman" w:cs="Times New Roman"/>
                <w:color w:val="000000"/>
                <w:lang w:val="en-US"/>
              </w:rPr>
              <w:t xml:space="preserve">L </w:t>
            </w:r>
            <w:r w:rsidRPr="00706A37">
              <w:rPr>
                <w:rFonts w:ascii="Times New Roman" w:eastAsia="Times New Roman" w:hAnsi="Times New Roman" w:cs="Times New Roman"/>
                <w:color w:val="000000"/>
                <w:lang w:eastAsia="bg-BG"/>
              </w:rPr>
              <w:t>за Аро В.</w:t>
            </w:r>
          </w:p>
          <w:p w14:paraId="7632F5F9" w14:textId="77777777" w:rsidR="00706A37" w:rsidRDefault="00706A37" w:rsidP="0091385D"/>
        </w:tc>
      </w:tr>
    </w:tbl>
    <w:p w14:paraId="35D30075" w14:textId="7AC560D7" w:rsidR="00706A37" w:rsidRDefault="00706A37" w:rsidP="0091385D"/>
    <w:p w14:paraId="7F75FE38" w14:textId="77777777" w:rsidR="00706A37" w:rsidRPr="00706A37" w:rsidRDefault="00706A37" w:rsidP="00706A37">
      <w:pPr>
        <w:spacing w:line="240" w:lineRule="auto"/>
        <w:rPr>
          <w:rFonts w:eastAsia="Times New Roman" w:cs="Arial"/>
          <w:sz w:val="24"/>
          <w:szCs w:val="24"/>
          <w:lang w:eastAsia="bg-BG"/>
        </w:rPr>
      </w:pPr>
      <w:r w:rsidRPr="00706A37">
        <w:rPr>
          <w:rFonts w:eastAsia="Times New Roman" w:cs="Arial"/>
          <w:i/>
          <w:iCs/>
          <w:color w:val="000000"/>
          <w:u w:val="single"/>
          <w:lang w:eastAsia="bg-BG"/>
        </w:rPr>
        <w:t xml:space="preserve">Хетерозиготна фамилна хиперхолестеролемия при педиатрични пациенти на възраст 10-17 години </w:t>
      </w:r>
      <w:r w:rsidRPr="00706A37">
        <w:rPr>
          <w:rFonts w:eastAsia="Times New Roman" w:cs="Arial"/>
          <w:color w:val="000000"/>
          <w:lang w:eastAsia="bg-BG"/>
        </w:rPr>
        <w:t xml:space="preserve">В двойносляпо, плацебо-контролирано проучване, последвано от </w:t>
      </w:r>
      <w:r w:rsidRPr="00706A37">
        <w:rPr>
          <w:rFonts w:eastAsia="Times New Roman" w:cs="Arial"/>
          <w:color w:val="000000"/>
          <w:lang w:eastAsia="bg-BG"/>
        </w:rPr>
        <w:lastRenderedPageBreak/>
        <w:t xml:space="preserve">открита фаза, 187 момчета и момичета с месечен цикъл, на възраст от 10 до 17 години (средна възраст 14,1 години), с хетерозиготна фамилна хиперхолестеролемия </w:t>
      </w:r>
      <w:r w:rsidRPr="00706A37">
        <w:rPr>
          <w:rFonts w:eastAsia="Times New Roman" w:cs="Arial"/>
          <w:color w:val="000000"/>
          <w:lang w:val="en-US"/>
        </w:rPr>
        <w:t xml:space="preserve">(FH) </w:t>
      </w:r>
      <w:r w:rsidRPr="00706A37">
        <w:rPr>
          <w:rFonts w:eastAsia="Times New Roman" w:cs="Arial"/>
          <w:color w:val="000000"/>
          <w:lang w:eastAsia="bg-BG"/>
        </w:rPr>
        <w:t>или тежка хиперхолестеролемия са рандомизирани да получават аторвастатин (</w:t>
      </w:r>
      <w:r w:rsidRPr="00706A37">
        <w:rPr>
          <w:rFonts w:eastAsia="Times New Roman" w:cs="Arial"/>
          <w:color w:val="000000"/>
          <w:lang w:val="en-US"/>
        </w:rPr>
        <w:t>n</w:t>
      </w:r>
      <w:r w:rsidRPr="00706A37">
        <w:rPr>
          <w:rFonts w:eastAsia="Times New Roman" w:cs="Arial"/>
          <w:color w:val="000000"/>
          <w:lang w:eastAsia="bg-BG"/>
        </w:rPr>
        <w:t>=140) или плацебо (</w:t>
      </w:r>
      <w:r w:rsidRPr="00706A37">
        <w:rPr>
          <w:rFonts w:eastAsia="Times New Roman" w:cs="Arial"/>
          <w:color w:val="000000"/>
          <w:lang w:val="en-US"/>
        </w:rPr>
        <w:t>n</w:t>
      </w:r>
      <w:r w:rsidRPr="00706A37">
        <w:rPr>
          <w:rFonts w:eastAsia="Times New Roman" w:cs="Arial"/>
          <w:color w:val="000000"/>
          <w:lang w:eastAsia="bg-BG"/>
        </w:rPr>
        <w:t xml:space="preserve">=47) за 26 седмици и след това всички са получавали аторвастатин за период от 26 седмици. Дозата на аторвастатин (веднъж дневно) е била 10 </w:t>
      </w:r>
      <w:r w:rsidRPr="00706A37">
        <w:rPr>
          <w:rFonts w:eastAsia="Times New Roman" w:cs="Arial"/>
          <w:color w:val="000000"/>
          <w:lang w:val="en-US"/>
        </w:rPr>
        <w:t xml:space="preserve">mg </w:t>
      </w:r>
      <w:r w:rsidRPr="00706A37">
        <w:rPr>
          <w:rFonts w:eastAsia="Times New Roman" w:cs="Arial"/>
          <w:color w:val="000000"/>
          <w:lang w:eastAsia="bg-BG"/>
        </w:rPr>
        <w:t xml:space="preserve">през първите 4 седмици и е била повишена до 20 </w:t>
      </w:r>
      <w:r w:rsidRPr="00706A37">
        <w:rPr>
          <w:rFonts w:eastAsia="Times New Roman" w:cs="Arial"/>
          <w:color w:val="000000"/>
          <w:lang w:val="en-US"/>
        </w:rPr>
        <w:t xml:space="preserve">mg, </w:t>
      </w:r>
      <w:r w:rsidRPr="00706A37">
        <w:rPr>
          <w:rFonts w:eastAsia="Times New Roman" w:cs="Arial"/>
          <w:color w:val="000000"/>
          <w:lang w:eastAsia="bg-BG"/>
        </w:rPr>
        <w:t xml:space="preserve">когато нивото на </w:t>
      </w:r>
      <w:r w:rsidRPr="00706A37">
        <w:rPr>
          <w:rFonts w:eastAsia="Times New Roman" w:cs="Arial"/>
          <w:color w:val="000000"/>
          <w:lang w:val="en-US"/>
        </w:rPr>
        <w:t xml:space="preserve">LDL-C </w:t>
      </w:r>
      <w:r w:rsidRPr="00706A37">
        <w:rPr>
          <w:rFonts w:eastAsia="Times New Roman" w:cs="Arial"/>
          <w:color w:val="000000"/>
          <w:lang w:eastAsia="bg-BG"/>
        </w:rPr>
        <w:t xml:space="preserve">е било &gt; 3,36 </w:t>
      </w:r>
      <w:r w:rsidRPr="00706A37">
        <w:rPr>
          <w:rFonts w:eastAsia="Times New Roman" w:cs="Arial"/>
          <w:color w:val="000000"/>
          <w:lang w:val="en-US"/>
        </w:rPr>
        <w:t xml:space="preserve">mmol/L </w:t>
      </w:r>
      <w:r w:rsidRPr="00706A37">
        <w:rPr>
          <w:rFonts w:eastAsia="Times New Roman" w:cs="Arial"/>
          <w:color w:val="000000"/>
          <w:lang w:eastAsia="bg-BG"/>
        </w:rPr>
        <w:t xml:space="preserve">Аторвастатин значимо е понижил плазмените нива на общия холестерол, </w:t>
      </w:r>
      <w:r w:rsidRPr="00706A37">
        <w:rPr>
          <w:rFonts w:eastAsia="Times New Roman" w:cs="Arial"/>
          <w:color w:val="000000"/>
          <w:lang w:val="en-US"/>
        </w:rPr>
        <w:t xml:space="preserve">LDL-C, </w:t>
      </w:r>
      <w:r w:rsidRPr="00706A37">
        <w:rPr>
          <w:rFonts w:eastAsia="Times New Roman" w:cs="Arial"/>
          <w:color w:val="000000"/>
          <w:lang w:eastAsia="bg-BG"/>
        </w:rPr>
        <w:t xml:space="preserve">триглицеридите и аполипопротеин В по време на 26-седмичната двойносляпа фаза. Средно постигнатата стойност на </w:t>
      </w:r>
      <w:r w:rsidRPr="00706A37">
        <w:rPr>
          <w:rFonts w:eastAsia="Times New Roman" w:cs="Arial"/>
          <w:color w:val="000000"/>
          <w:lang w:val="en-US"/>
        </w:rPr>
        <w:t xml:space="preserve">LDL-C </w:t>
      </w:r>
      <w:r w:rsidRPr="00706A37">
        <w:rPr>
          <w:rFonts w:eastAsia="Times New Roman" w:cs="Arial"/>
          <w:color w:val="000000"/>
          <w:lang w:eastAsia="bg-BG"/>
        </w:rPr>
        <w:t xml:space="preserve">е била 3,38 </w:t>
      </w:r>
      <w:r w:rsidRPr="00706A37">
        <w:rPr>
          <w:rFonts w:eastAsia="Times New Roman" w:cs="Arial"/>
          <w:color w:val="000000"/>
          <w:lang w:val="en-US"/>
        </w:rPr>
        <w:t xml:space="preserve">mmol/1 </w:t>
      </w:r>
      <w:r w:rsidRPr="00706A37">
        <w:rPr>
          <w:rFonts w:eastAsia="Times New Roman" w:cs="Arial"/>
          <w:color w:val="000000"/>
          <w:lang w:eastAsia="bg-BG"/>
        </w:rPr>
        <w:t xml:space="preserve">(диапазон: 1,81-6,26 </w:t>
      </w:r>
      <w:r w:rsidRPr="00706A37">
        <w:rPr>
          <w:rFonts w:eastAsia="Times New Roman" w:cs="Arial"/>
          <w:color w:val="000000"/>
          <w:lang w:val="en-US"/>
        </w:rPr>
        <w:t xml:space="preserve">mmol/1) </w:t>
      </w:r>
      <w:r w:rsidRPr="00706A37">
        <w:rPr>
          <w:rFonts w:eastAsia="Times New Roman" w:cs="Arial"/>
          <w:color w:val="000000"/>
          <w:lang w:eastAsia="bg-BG"/>
        </w:rPr>
        <w:t xml:space="preserve">в групата на аторвастатин и 5,91 </w:t>
      </w:r>
      <w:r w:rsidRPr="00706A37">
        <w:rPr>
          <w:rFonts w:eastAsia="Times New Roman" w:cs="Arial"/>
          <w:color w:val="000000"/>
          <w:lang w:val="en-US"/>
        </w:rPr>
        <w:t xml:space="preserve">mmol/1 </w:t>
      </w:r>
      <w:r w:rsidRPr="00706A37">
        <w:rPr>
          <w:rFonts w:eastAsia="Times New Roman" w:cs="Arial"/>
          <w:color w:val="000000"/>
          <w:lang w:eastAsia="bg-BG"/>
        </w:rPr>
        <w:t xml:space="preserve">(диапазон: 3,93-9,96 </w:t>
      </w:r>
      <w:r w:rsidRPr="00706A37">
        <w:rPr>
          <w:rFonts w:eastAsia="Times New Roman" w:cs="Arial"/>
          <w:color w:val="000000"/>
          <w:lang w:val="en-US"/>
        </w:rPr>
        <w:t xml:space="preserve">mmol/1) </w:t>
      </w:r>
      <w:r w:rsidRPr="00706A37">
        <w:rPr>
          <w:rFonts w:eastAsia="Times New Roman" w:cs="Arial"/>
          <w:color w:val="000000"/>
          <w:lang w:eastAsia="bg-BG"/>
        </w:rPr>
        <w:t>в групата на плацебо по време на 26-седмичната двойносляпа фаза.</w:t>
      </w:r>
    </w:p>
    <w:p w14:paraId="5B4AAC41" w14:textId="77777777" w:rsidR="00706A37" w:rsidRPr="00706A37" w:rsidRDefault="00706A37" w:rsidP="00706A37">
      <w:pPr>
        <w:spacing w:line="240" w:lineRule="auto"/>
        <w:rPr>
          <w:rFonts w:eastAsia="Times New Roman" w:cs="Arial"/>
          <w:color w:val="000000"/>
          <w:lang w:eastAsia="bg-BG"/>
        </w:rPr>
      </w:pPr>
    </w:p>
    <w:p w14:paraId="6CA6A539" w14:textId="4146FC52" w:rsidR="00706A37" w:rsidRPr="00706A37" w:rsidRDefault="00706A37" w:rsidP="00706A37">
      <w:pPr>
        <w:spacing w:line="240" w:lineRule="auto"/>
        <w:rPr>
          <w:rFonts w:eastAsia="Times New Roman" w:cs="Arial"/>
          <w:sz w:val="24"/>
          <w:szCs w:val="24"/>
          <w:lang w:eastAsia="bg-BG"/>
        </w:rPr>
      </w:pPr>
      <w:r w:rsidRPr="00706A37">
        <w:rPr>
          <w:rFonts w:eastAsia="Times New Roman" w:cs="Arial"/>
          <w:color w:val="000000"/>
          <w:lang w:eastAsia="bg-BG"/>
        </w:rPr>
        <w:t>Едно допълнително педиатрично проучване на аторвастатин спрямо колестипол при пациенти с хиперхолестеролемия, на възраст 10-18 години, е показало, че аторвастатин (</w:t>
      </w:r>
      <w:r w:rsidRPr="00706A37">
        <w:rPr>
          <w:rFonts w:eastAsia="Times New Roman" w:cs="Arial"/>
          <w:color w:val="000000"/>
          <w:lang w:val="en-US"/>
        </w:rPr>
        <w:t>n</w:t>
      </w:r>
      <w:r w:rsidRPr="00706A37">
        <w:rPr>
          <w:rFonts w:eastAsia="Times New Roman" w:cs="Arial"/>
          <w:color w:val="000000"/>
          <w:lang w:eastAsia="bg-BG"/>
        </w:rPr>
        <w:t xml:space="preserve">=25) е предизвикал значимо понижение на </w:t>
      </w:r>
      <w:r w:rsidRPr="00706A37">
        <w:rPr>
          <w:rFonts w:eastAsia="Times New Roman" w:cs="Arial"/>
          <w:color w:val="000000"/>
          <w:lang w:val="en-US"/>
        </w:rPr>
        <w:t xml:space="preserve">LDL-C </w:t>
      </w:r>
      <w:r w:rsidRPr="00706A37">
        <w:rPr>
          <w:rFonts w:eastAsia="Times New Roman" w:cs="Arial"/>
          <w:color w:val="000000"/>
          <w:lang w:eastAsia="bg-BG"/>
        </w:rPr>
        <w:t>в седмица 26 (р &lt; 0,05), в сравнение с колестипол (</w:t>
      </w:r>
      <w:r w:rsidRPr="00706A37">
        <w:rPr>
          <w:rFonts w:eastAsia="Times New Roman" w:cs="Arial"/>
          <w:color w:val="000000"/>
          <w:lang w:val="en-US"/>
        </w:rPr>
        <w:t>n</w:t>
      </w:r>
      <w:r w:rsidRPr="00706A37">
        <w:rPr>
          <w:rFonts w:eastAsia="Times New Roman" w:cs="Arial"/>
          <w:color w:val="000000"/>
          <w:lang w:eastAsia="bg-BG"/>
        </w:rPr>
        <w:t>=31).</w:t>
      </w:r>
    </w:p>
    <w:p w14:paraId="61E891CF" w14:textId="77777777" w:rsidR="00706A37" w:rsidRPr="00706A37" w:rsidRDefault="00706A37" w:rsidP="00706A37">
      <w:pPr>
        <w:rPr>
          <w:rFonts w:eastAsia="Times New Roman" w:cs="Arial"/>
          <w:color w:val="000000"/>
          <w:lang w:eastAsia="bg-BG"/>
        </w:rPr>
      </w:pPr>
    </w:p>
    <w:p w14:paraId="01211E3B" w14:textId="322E8DB0" w:rsidR="00706A37" w:rsidRPr="00706A37" w:rsidRDefault="00706A37" w:rsidP="00706A37">
      <w:pPr>
        <w:rPr>
          <w:rFonts w:eastAsia="Times New Roman" w:cs="Arial"/>
          <w:color w:val="000000"/>
          <w:lang w:eastAsia="bg-BG"/>
        </w:rPr>
      </w:pPr>
      <w:r w:rsidRPr="00706A37">
        <w:rPr>
          <w:rFonts w:eastAsia="Times New Roman" w:cs="Arial"/>
          <w:color w:val="000000"/>
          <w:lang w:eastAsia="bg-BG"/>
        </w:rPr>
        <w:t xml:space="preserve">Проучване с милосърдна цел при пациенти с тежка хиперхолестеролемия (включително хомозиготна хиперхолестеролемия) е включвало 46 педиатрични пациенти, лекувани с аторвастатин, титриран в съответствие с отговора (някои участници са получавали 80 </w:t>
      </w:r>
      <w:r w:rsidRPr="00706A37">
        <w:rPr>
          <w:rFonts w:eastAsia="Times New Roman" w:cs="Arial"/>
          <w:color w:val="000000"/>
          <w:lang w:val="en-US"/>
        </w:rPr>
        <w:t xml:space="preserve">mg </w:t>
      </w:r>
      <w:r w:rsidRPr="00706A37">
        <w:rPr>
          <w:rFonts w:eastAsia="Times New Roman" w:cs="Arial"/>
          <w:color w:val="000000"/>
          <w:lang w:eastAsia="bg-BG"/>
        </w:rPr>
        <w:t xml:space="preserve">аторвастатин на ден). Проучването е продължило 3 години. </w:t>
      </w:r>
      <w:r w:rsidRPr="00706A37">
        <w:rPr>
          <w:rFonts w:eastAsia="Times New Roman" w:cs="Arial"/>
          <w:color w:val="000000"/>
          <w:lang w:val="en-US"/>
        </w:rPr>
        <w:t>LDL</w:t>
      </w:r>
      <w:r w:rsidRPr="00706A37">
        <w:rPr>
          <w:rFonts w:eastAsia="Times New Roman" w:cs="Arial"/>
          <w:color w:val="000000"/>
          <w:lang w:eastAsia="bg-BG"/>
        </w:rPr>
        <w:t>-холестеролът е бил понижен с 36%.</w:t>
      </w:r>
    </w:p>
    <w:p w14:paraId="3EFE6A76" w14:textId="3121589F" w:rsidR="00706A37" w:rsidRDefault="00706A37" w:rsidP="00706A37"/>
    <w:p w14:paraId="2D126D60" w14:textId="77777777" w:rsidR="00706A37" w:rsidRPr="00706A37" w:rsidRDefault="00706A37" w:rsidP="00706A37">
      <w:pPr>
        <w:spacing w:line="240" w:lineRule="auto"/>
        <w:rPr>
          <w:rFonts w:eastAsia="Times New Roman" w:cs="Arial"/>
          <w:sz w:val="24"/>
          <w:szCs w:val="24"/>
          <w:lang w:eastAsia="bg-BG"/>
        </w:rPr>
      </w:pPr>
      <w:r w:rsidRPr="00706A37">
        <w:rPr>
          <w:rFonts w:eastAsia="Times New Roman" w:cs="Arial"/>
          <w:color w:val="000000"/>
          <w:lang w:eastAsia="bg-BG"/>
        </w:rPr>
        <w:t>Дългосрочната ефикасност на терапията с аторвастатин в периода на детството, с цел намаляване на заболеваемостта и смъртността в периода на зрялост не е била доказана.</w:t>
      </w:r>
    </w:p>
    <w:p w14:paraId="1A51DD63" w14:textId="77777777" w:rsidR="00706A37" w:rsidRPr="00706A37" w:rsidRDefault="00706A37" w:rsidP="00706A37">
      <w:pPr>
        <w:rPr>
          <w:rFonts w:eastAsia="Times New Roman" w:cs="Arial"/>
          <w:color w:val="000000"/>
          <w:lang w:eastAsia="bg-BG"/>
        </w:rPr>
      </w:pPr>
    </w:p>
    <w:p w14:paraId="67519C9B" w14:textId="4B4B142D" w:rsidR="00706A37" w:rsidRPr="00706A37" w:rsidRDefault="00706A37" w:rsidP="00706A37">
      <w:pPr>
        <w:rPr>
          <w:rFonts w:cs="Arial"/>
        </w:rPr>
      </w:pPr>
      <w:r w:rsidRPr="00706A37">
        <w:rPr>
          <w:rFonts w:eastAsia="Times New Roman" w:cs="Arial"/>
          <w:color w:val="000000"/>
          <w:lang w:eastAsia="bg-BG"/>
        </w:rPr>
        <w:t>Европейската агенция по лекарствата освобождава от задължението за предоставяне на резултатите от проучванията с аторвастатин при деца от 0 до под 6-годишна възраст при лечение на хетерозиготна хиперхолестеролемия и при деца от 0 до под 18-годишна възраст при лечение на хомозиготна фамилна хиперхолестеролемия, комбинирана (смесена) хиперхолестеролемия, първична хиперхолестеролемия и при профилактика на сърдечно-съдови инциденти (вж. точка 4.2 за информация относно употреба в педиатрията).</w:t>
      </w:r>
    </w:p>
    <w:p w14:paraId="1B16A1E9" w14:textId="77777777" w:rsidR="00706A37" w:rsidRPr="0091385D" w:rsidRDefault="00706A37" w:rsidP="00706A37"/>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39F386CE" w14:textId="77777777" w:rsidR="00706A37" w:rsidRPr="00706A37" w:rsidRDefault="00706A37" w:rsidP="00706A37">
      <w:pPr>
        <w:pStyle w:val="Heading3"/>
        <w:rPr>
          <w:rFonts w:eastAsia="Times New Roman"/>
          <w:u w:val="single"/>
          <w:lang w:eastAsia="bg-BG"/>
        </w:rPr>
      </w:pPr>
      <w:r w:rsidRPr="00706A37">
        <w:rPr>
          <w:rFonts w:eastAsia="Times New Roman"/>
          <w:u w:val="single"/>
          <w:lang w:eastAsia="bg-BG"/>
        </w:rPr>
        <w:t>Абсорбция</w:t>
      </w:r>
    </w:p>
    <w:p w14:paraId="4E876121" w14:textId="77777777" w:rsidR="00706A37" w:rsidRPr="00706A37" w:rsidRDefault="00706A37" w:rsidP="00706A37">
      <w:pPr>
        <w:spacing w:line="240" w:lineRule="auto"/>
        <w:rPr>
          <w:rFonts w:eastAsia="Times New Roman" w:cs="Arial"/>
          <w:sz w:val="24"/>
          <w:szCs w:val="24"/>
          <w:lang w:eastAsia="bg-BG"/>
        </w:rPr>
      </w:pPr>
      <w:r w:rsidRPr="00706A37">
        <w:rPr>
          <w:rFonts w:eastAsia="Times New Roman" w:cs="Arial"/>
          <w:color w:val="000000"/>
          <w:lang w:eastAsia="bg-BG"/>
        </w:rPr>
        <w:t>Аторвастатин се абсорбира бързо след перорален прием; максимална плазмена концентрация (С</w:t>
      </w:r>
      <w:r w:rsidRPr="00706A37">
        <w:rPr>
          <w:rFonts w:eastAsia="Times New Roman" w:cs="Arial"/>
          <w:color w:val="000000"/>
          <w:vertAlign w:val="subscript"/>
          <w:lang w:val="en-US"/>
        </w:rPr>
        <w:t>max</w:t>
      </w:r>
      <w:r w:rsidRPr="00706A37">
        <w:rPr>
          <w:rFonts w:eastAsia="Times New Roman" w:cs="Arial"/>
          <w:color w:val="000000"/>
          <w:lang w:eastAsia="bg-BG"/>
        </w:rPr>
        <w:t xml:space="preserve">) се достига след 1 до 2 часа. Степента на абсорбция се увеличава пропорционално на дозата на аторвастатин. След перорален прием, аторвастатин филмирани таблетки имат от </w:t>
      </w:r>
      <w:r w:rsidRPr="00706A37">
        <w:rPr>
          <w:rFonts w:eastAsia="Times New Roman" w:cs="Arial"/>
          <w:i/>
          <w:iCs/>
          <w:color w:val="000000"/>
          <w:lang w:eastAsia="bg-BG"/>
        </w:rPr>
        <w:t>95%</w:t>
      </w:r>
      <w:r w:rsidRPr="00706A37">
        <w:rPr>
          <w:rFonts w:eastAsia="Times New Roman" w:cs="Arial"/>
          <w:color w:val="000000"/>
          <w:lang w:eastAsia="bg-BG"/>
        </w:rPr>
        <w:t xml:space="preserve"> до 99% бионаличност, в сравнение с разтвора за перорално приложение. Абсолютната бионаличност на аторвастатин е приблизително 12%, а системната наличност на инхибиторната активност на </w:t>
      </w:r>
      <w:r w:rsidRPr="00706A37">
        <w:rPr>
          <w:rFonts w:eastAsia="Times New Roman" w:cs="Arial"/>
          <w:color w:val="000000"/>
          <w:lang w:val="en-US"/>
        </w:rPr>
        <w:t xml:space="preserve">HMG-CoA </w:t>
      </w:r>
      <w:r w:rsidRPr="00706A37">
        <w:rPr>
          <w:rFonts w:eastAsia="Times New Roman" w:cs="Arial"/>
          <w:color w:val="000000"/>
          <w:lang w:eastAsia="bg-BG"/>
        </w:rPr>
        <w:t>редуктаза е приблизително 30%. Ниската системна наличност се приписва на пред-системния клирънс в стомашно-чревната мукоза и/или на метаболизма при първо преминаване в черния дроб.</w:t>
      </w:r>
    </w:p>
    <w:p w14:paraId="2D4BDD25" w14:textId="77777777" w:rsidR="00706A37" w:rsidRPr="00706A37" w:rsidRDefault="00706A37" w:rsidP="00706A37">
      <w:pPr>
        <w:spacing w:line="240" w:lineRule="auto"/>
        <w:rPr>
          <w:rFonts w:eastAsia="Times New Roman" w:cs="Arial"/>
          <w:color w:val="000000"/>
          <w:u w:val="single"/>
          <w:lang w:eastAsia="bg-BG"/>
        </w:rPr>
      </w:pPr>
    </w:p>
    <w:p w14:paraId="3AA61617" w14:textId="516BBD59" w:rsidR="00706A37" w:rsidRPr="00706A37" w:rsidRDefault="00706A37" w:rsidP="00706A37">
      <w:pPr>
        <w:pStyle w:val="Heading3"/>
        <w:rPr>
          <w:rFonts w:eastAsia="Times New Roman"/>
          <w:u w:val="single"/>
          <w:lang w:eastAsia="bg-BG"/>
        </w:rPr>
      </w:pPr>
      <w:r w:rsidRPr="00706A37">
        <w:rPr>
          <w:rFonts w:eastAsia="Times New Roman"/>
          <w:u w:val="single"/>
          <w:lang w:eastAsia="bg-BG"/>
        </w:rPr>
        <w:lastRenderedPageBreak/>
        <w:t>Разпределение</w:t>
      </w:r>
    </w:p>
    <w:p w14:paraId="10AA47CD" w14:textId="77777777" w:rsidR="00706A37" w:rsidRPr="00706A37" w:rsidRDefault="00706A37" w:rsidP="00706A37">
      <w:pPr>
        <w:spacing w:line="240" w:lineRule="auto"/>
        <w:rPr>
          <w:rFonts w:eastAsia="Times New Roman" w:cs="Arial"/>
          <w:sz w:val="24"/>
          <w:szCs w:val="24"/>
          <w:lang w:eastAsia="bg-BG"/>
        </w:rPr>
      </w:pPr>
      <w:r w:rsidRPr="00706A37">
        <w:rPr>
          <w:rFonts w:eastAsia="Times New Roman" w:cs="Arial"/>
          <w:color w:val="000000"/>
          <w:lang w:eastAsia="bg-BG"/>
        </w:rPr>
        <w:t>Средният обем на разпределение на аторвастатин е приблизително 3811. Аторвастатин се свързва</w:t>
      </w:r>
    </w:p>
    <w:p w14:paraId="6F9135F9" w14:textId="77777777" w:rsidR="00706A37" w:rsidRPr="00706A37" w:rsidRDefault="00706A37" w:rsidP="00706A37">
      <w:pPr>
        <w:spacing w:line="240" w:lineRule="auto"/>
        <w:rPr>
          <w:rFonts w:eastAsia="Times New Roman" w:cs="Arial"/>
          <w:sz w:val="24"/>
          <w:szCs w:val="24"/>
          <w:lang w:eastAsia="bg-BG"/>
        </w:rPr>
      </w:pPr>
      <w:r w:rsidRPr="00706A37">
        <w:rPr>
          <w:rFonts w:eastAsia="Times New Roman" w:cs="Arial"/>
          <w:color w:val="000000"/>
          <w:lang w:eastAsia="bg-BG"/>
        </w:rPr>
        <w:t>≥ 98% с плазмените протеини.</w:t>
      </w:r>
    </w:p>
    <w:p w14:paraId="1E1F78A1" w14:textId="77777777" w:rsidR="00706A37" w:rsidRPr="00706A37" w:rsidRDefault="00706A37" w:rsidP="00706A37">
      <w:pPr>
        <w:spacing w:line="240" w:lineRule="auto"/>
        <w:rPr>
          <w:rFonts w:eastAsia="Times New Roman" w:cs="Arial"/>
          <w:color w:val="000000"/>
          <w:u w:val="single"/>
          <w:lang w:eastAsia="bg-BG"/>
        </w:rPr>
      </w:pPr>
    </w:p>
    <w:p w14:paraId="30D07BA2" w14:textId="526F97CD" w:rsidR="00706A37" w:rsidRPr="00706A37" w:rsidRDefault="00706A37" w:rsidP="00706A37">
      <w:pPr>
        <w:pStyle w:val="Heading3"/>
        <w:rPr>
          <w:rFonts w:eastAsia="Times New Roman"/>
          <w:u w:val="single"/>
          <w:lang w:eastAsia="bg-BG"/>
        </w:rPr>
      </w:pPr>
      <w:r w:rsidRPr="00706A37">
        <w:rPr>
          <w:rFonts w:eastAsia="Times New Roman"/>
          <w:u w:val="single"/>
          <w:lang w:eastAsia="bg-BG"/>
        </w:rPr>
        <w:t>Биотрансформация</w:t>
      </w:r>
    </w:p>
    <w:p w14:paraId="4923B82A" w14:textId="77777777" w:rsidR="00706A37" w:rsidRPr="00706A37" w:rsidRDefault="00706A37" w:rsidP="00706A37">
      <w:pPr>
        <w:spacing w:line="240" w:lineRule="auto"/>
        <w:rPr>
          <w:rFonts w:eastAsia="Times New Roman" w:cs="Arial"/>
          <w:sz w:val="24"/>
          <w:szCs w:val="24"/>
          <w:lang w:eastAsia="bg-BG"/>
        </w:rPr>
      </w:pPr>
      <w:r w:rsidRPr="00706A37">
        <w:rPr>
          <w:rFonts w:eastAsia="Times New Roman" w:cs="Arial"/>
          <w:color w:val="000000"/>
          <w:lang w:eastAsia="bg-BG"/>
        </w:rPr>
        <w:t xml:space="preserve">Аторвастатин се метаболизира от цитохром Р450 ЗА4 до орто- и парахидросилирани производни и различни продукти на бета-окислението. Освен по други пътища, тези продукти се метаболизират допълнително чрез глюкуронидация. </w:t>
      </w:r>
      <w:r w:rsidRPr="00706A37">
        <w:rPr>
          <w:rFonts w:eastAsia="Times New Roman" w:cs="Arial"/>
          <w:i/>
          <w:iCs/>
          <w:color w:val="000000"/>
          <w:lang w:val="en-US"/>
        </w:rPr>
        <w:t>In vitro</w:t>
      </w:r>
      <w:r w:rsidRPr="00706A37">
        <w:rPr>
          <w:rFonts w:eastAsia="Times New Roman" w:cs="Arial"/>
          <w:color w:val="000000"/>
          <w:lang w:val="en-US"/>
        </w:rPr>
        <w:t xml:space="preserve"> </w:t>
      </w:r>
      <w:r w:rsidRPr="00706A37">
        <w:rPr>
          <w:rFonts w:eastAsia="Times New Roman" w:cs="Arial"/>
          <w:color w:val="000000"/>
          <w:lang w:eastAsia="bg-BG"/>
        </w:rPr>
        <w:t xml:space="preserve">инхибирането на </w:t>
      </w:r>
      <w:r w:rsidRPr="00706A37">
        <w:rPr>
          <w:rFonts w:eastAsia="Times New Roman" w:cs="Arial"/>
          <w:color w:val="000000"/>
          <w:lang w:val="en-US"/>
        </w:rPr>
        <w:t xml:space="preserve">HMG-CoA </w:t>
      </w:r>
      <w:r w:rsidRPr="00706A37">
        <w:rPr>
          <w:rFonts w:eastAsia="Times New Roman" w:cs="Arial"/>
          <w:color w:val="000000"/>
          <w:lang w:eastAsia="bg-BG"/>
        </w:rPr>
        <w:t xml:space="preserve">редуктазата от орто- и парахидроксилираните метаболити е еквивалентно на това на аторвастатин. Приблизително 70% от циркулиращата инхибиторна активност на </w:t>
      </w:r>
      <w:r w:rsidRPr="00706A37">
        <w:rPr>
          <w:rFonts w:eastAsia="Times New Roman" w:cs="Arial"/>
          <w:color w:val="000000"/>
          <w:lang w:val="en-US"/>
        </w:rPr>
        <w:t xml:space="preserve">HMG-CoA </w:t>
      </w:r>
      <w:r w:rsidRPr="00706A37">
        <w:rPr>
          <w:rFonts w:eastAsia="Times New Roman" w:cs="Arial"/>
          <w:color w:val="000000"/>
          <w:lang w:eastAsia="bg-BG"/>
        </w:rPr>
        <w:t>редуктаза се приписва на активните метаболити.</w:t>
      </w:r>
    </w:p>
    <w:p w14:paraId="4F036CA4" w14:textId="77777777" w:rsidR="00706A37" w:rsidRPr="00706A37" w:rsidRDefault="00706A37" w:rsidP="00706A37">
      <w:pPr>
        <w:spacing w:line="240" w:lineRule="auto"/>
        <w:rPr>
          <w:rFonts w:eastAsia="Times New Roman" w:cs="Arial"/>
          <w:color w:val="000000"/>
          <w:u w:val="single"/>
          <w:lang w:eastAsia="bg-BG"/>
        </w:rPr>
      </w:pPr>
    </w:p>
    <w:p w14:paraId="7A5CF394" w14:textId="17526543" w:rsidR="00706A37" w:rsidRPr="00706A37" w:rsidRDefault="00706A37" w:rsidP="00706A37">
      <w:pPr>
        <w:pStyle w:val="Heading3"/>
        <w:rPr>
          <w:rFonts w:eastAsia="Times New Roman"/>
          <w:u w:val="single"/>
          <w:lang w:eastAsia="bg-BG"/>
        </w:rPr>
      </w:pPr>
      <w:r w:rsidRPr="00706A37">
        <w:rPr>
          <w:rFonts w:eastAsia="Times New Roman"/>
          <w:u w:val="single"/>
          <w:lang w:eastAsia="bg-BG"/>
        </w:rPr>
        <w:t>Елиминиране</w:t>
      </w:r>
    </w:p>
    <w:p w14:paraId="5AF96A2D" w14:textId="77777777" w:rsidR="00706A37" w:rsidRPr="00706A37" w:rsidRDefault="00706A37" w:rsidP="00706A37">
      <w:pPr>
        <w:spacing w:line="240" w:lineRule="auto"/>
        <w:rPr>
          <w:rFonts w:eastAsia="Times New Roman" w:cs="Arial"/>
          <w:sz w:val="24"/>
          <w:szCs w:val="24"/>
          <w:lang w:eastAsia="bg-BG"/>
        </w:rPr>
      </w:pPr>
      <w:r w:rsidRPr="00706A37">
        <w:rPr>
          <w:rFonts w:eastAsia="Times New Roman" w:cs="Arial"/>
          <w:color w:val="000000"/>
          <w:lang w:eastAsia="bg-BG"/>
        </w:rPr>
        <w:t xml:space="preserve">Аторвастатин се елиминира главно чрез жлъчката, след хепатален и/или екстрахепатален метаболизъм. Аторвастатин, обаче, изглежда не подлежи на значима ентерохепатална повторна циркулация. Средният полуживот на елиминиране от плазмата на аторвастатин при хора е приблизително 14 часа. Полуживотът на инхибиторната активност на </w:t>
      </w:r>
      <w:r w:rsidRPr="00706A37">
        <w:rPr>
          <w:rFonts w:eastAsia="Times New Roman" w:cs="Arial"/>
          <w:color w:val="000000"/>
          <w:lang w:val="en-US"/>
        </w:rPr>
        <w:t xml:space="preserve">HMG-CoA </w:t>
      </w:r>
      <w:r w:rsidRPr="00706A37">
        <w:rPr>
          <w:rFonts w:eastAsia="Times New Roman" w:cs="Arial"/>
          <w:color w:val="000000"/>
          <w:lang w:eastAsia="bg-BG"/>
        </w:rPr>
        <w:t>редуктаза е приблизително 20 до 30 часа, дължащ се на приноса на активните метаболити.</w:t>
      </w:r>
    </w:p>
    <w:p w14:paraId="2F101716" w14:textId="77777777" w:rsidR="00706A37" w:rsidRPr="00706A37" w:rsidRDefault="00706A37" w:rsidP="00706A37">
      <w:pPr>
        <w:spacing w:line="240" w:lineRule="auto"/>
        <w:rPr>
          <w:rFonts w:eastAsia="Times New Roman" w:cs="Arial"/>
          <w:color w:val="000000"/>
          <w:lang w:eastAsia="bg-BG"/>
        </w:rPr>
      </w:pPr>
    </w:p>
    <w:p w14:paraId="2D6B3277" w14:textId="20E93E84" w:rsidR="00706A37" w:rsidRPr="00706A37" w:rsidRDefault="00706A37" w:rsidP="00706A37">
      <w:pPr>
        <w:spacing w:line="240" w:lineRule="auto"/>
        <w:rPr>
          <w:rFonts w:eastAsia="Times New Roman" w:cs="Arial"/>
          <w:sz w:val="24"/>
          <w:szCs w:val="24"/>
          <w:lang w:eastAsia="bg-BG"/>
        </w:rPr>
      </w:pPr>
      <w:r w:rsidRPr="00706A37">
        <w:rPr>
          <w:rFonts w:eastAsia="Times New Roman" w:cs="Arial"/>
          <w:color w:val="000000"/>
          <w:lang w:eastAsia="bg-BG"/>
        </w:rPr>
        <w:t xml:space="preserve">Аторвастатин е субстрат на чернодробните транспортери и на полипептидите, транспортиращи органични аниони 1В1ХОАТР1В1) и 1ВЗ (ОАТР1ВЗ), Метаболитите на аторвастатин са субстрати на ОАТР1В1. Установено е също така, че аторвастатин е субстрат на ефлуксните транспортери на Р- гликопротеин </w:t>
      </w:r>
      <w:r w:rsidRPr="00706A37">
        <w:rPr>
          <w:rFonts w:eastAsia="Times New Roman" w:cs="Arial"/>
          <w:color w:val="000000"/>
          <w:lang w:val="en-US"/>
        </w:rPr>
        <w:t xml:space="preserve">(P-gp) </w:t>
      </w:r>
      <w:r w:rsidRPr="00706A37">
        <w:rPr>
          <w:rFonts w:eastAsia="Times New Roman" w:cs="Arial"/>
          <w:color w:val="000000"/>
          <w:lang w:eastAsia="bg-BG"/>
        </w:rPr>
        <w:t xml:space="preserve">и на протеина на резистентност на рака на гърдата </w:t>
      </w:r>
      <w:r w:rsidRPr="00706A37">
        <w:rPr>
          <w:rFonts w:eastAsia="Times New Roman" w:cs="Arial"/>
          <w:color w:val="000000"/>
          <w:lang w:val="en-US"/>
        </w:rPr>
        <w:t xml:space="preserve">(BCRP), </w:t>
      </w:r>
      <w:r w:rsidRPr="00706A37">
        <w:rPr>
          <w:rFonts w:eastAsia="Times New Roman" w:cs="Arial"/>
          <w:color w:val="000000"/>
          <w:lang w:eastAsia="bg-BG"/>
        </w:rPr>
        <w:t>които може да ограничат чревната абсорбция и жлъчния клирънс на аторвастатин.</w:t>
      </w:r>
    </w:p>
    <w:p w14:paraId="49356825" w14:textId="77777777" w:rsidR="00706A37" w:rsidRPr="00706A37" w:rsidRDefault="00706A37" w:rsidP="00706A37">
      <w:pPr>
        <w:spacing w:line="240" w:lineRule="auto"/>
        <w:rPr>
          <w:rFonts w:eastAsia="Times New Roman" w:cs="Arial"/>
          <w:b/>
          <w:bCs/>
          <w:color w:val="000000"/>
          <w:lang w:eastAsia="bg-BG"/>
        </w:rPr>
      </w:pPr>
      <w:bookmarkStart w:id="2" w:name="bookmark0"/>
    </w:p>
    <w:p w14:paraId="047BCB36" w14:textId="1CC1931C" w:rsidR="00706A37" w:rsidRPr="00706A37" w:rsidRDefault="00706A37" w:rsidP="00706A37">
      <w:pPr>
        <w:spacing w:line="240" w:lineRule="auto"/>
        <w:rPr>
          <w:rFonts w:eastAsia="Times New Roman" w:cs="Arial"/>
          <w:sz w:val="24"/>
          <w:szCs w:val="24"/>
          <w:lang w:eastAsia="bg-BG"/>
        </w:rPr>
      </w:pPr>
      <w:r w:rsidRPr="00706A37">
        <w:rPr>
          <w:rFonts w:eastAsia="Times New Roman" w:cs="Arial"/>
          <w:b/>
          <w:bCs/>
          <w:color w:val="000000"/>
          <w:lang w:eastAsia="bg-BG"/>
        </w:rPr>
        <w:t>Специални популации</w:t>
      </w:r>
      <w:bookmarkEnd w:id="2"/>
    </w:p>
    <w:p w14:paraId="1C2F9124" w14:textId="77777777" w:rsidR="00706A37" w:rsidRPr="00706A37" w:rsidRDefault="00706A37" w:rsidP="00706A37">
      <w:pPr>
        <w:spacing w:line="240" w:lineRule="auto"/>
        <w:rPr>
          <w:rFonts w:eastAsia="Times New Roman" w:cs="Arial"/>
          <w:sz w:val="24"/>
          <w:szCs w:val="24"/>
          <w:lang w:eastAsia="bg-BG"/>
        </w:rPr>
      </w:pPr>
      <w:r w:rsidRPr="00706A37">
        <w:rPr>
          <w:rFonts w:eastAsia="Times New Roman" w:cs="Arial"/>
          <w:i/>
          <w:iCs/>
          <w:color w:val="000000"/>
          <w:lang w:eastAsia="bg-BG"/>
        </w:rPr>
        <w:t>Пациенти в старческа възраст:</w:t>
      </w:r>
      <w:r w:rsidRPr="00706A37">
        <w:rPr>
          <w:rFonts w:eastAsia="Times New Roman" w:cs="Arial"/>
          <w:color w:val="000000"/>
          <w:lang w:eastAsia="bg-BG"/>
        </w:rPr>
        <w:t xml:space="preserve"> Плазмените концентрации на аторвастатин и неговите активни метаболити са по-високи при здрави индивиди в напреднала възраст, отколкото при млади възрастни, докато ефектът върху липидите е подобен на този, наблюдаван в групи от по-млади пациенти.</w:t>
      </w:r>
    </w:p>
    <w:p w14:paraId="5A6DE62D" w14:textId="77777777" w:rsidR="00706A37" w:rsidRPr="00706A37" w:rsidRDefault="00706A37" w:rsidP="00706A37">
      <w:pPr>
        <w:rPr>
          <w:rFonts w:eastAsia="Times New Roman" w:cs="Arial"/>
          <w:i/>
          <w:iCs/>
          <w:color w:val="000000"/>
          <w:lang w:eastAsia="bg-BG"/>
        </w:rPr>
      </w:pPr>
    </w:p>
    <w:p w14:paraId="09D72C55" w14:textId="77777777" w:rsidR="00706A37" w:rsidRPr="00706A37" w:rsidRDefault="00706A37" w:rsidP="00706A37">
      <w:pPr>
        <w:rPr>
          <w:rFonts w:eastAsia="Times New Roman" w:cs="Arial"/>
          <w:sz w:val="24"/>
          <w:szCs w:val="24"/>
          <w:lang w:eastAsia="bg-BG"/>
        </w:rPr>
      </w:pPr>
      <w:r w:rsidRPr="00706A37">
        <w:rPr>
          <w:rFonts w:eastAsia="Times New Roman" w:cs="Arial"/>
          <w:i/>
          <w:iCs/>
          <w:color w:val="000000"/>
          <w:lang w:eastAsia="bg-BG"/>
        </w:rPr>
        <w:t>Педиатрична популация:</w:t>
      </w:r>
      <w:r w:rsidRPr="00706A37">
        <w:rPr>
          <w:rFonts w:eastAsia="Times New Roman" w:cs="Arial"/>
          <w:color w:val="000000"/>
          <w:lang w:eastAsia="bg-BG"/>
        </w:rPr>
        <w:t xml:space="preserve"> В отворено, 8-седмично проучване, педиатрични пациенти (възраст 6-17 години) в стадий 1 по </w:t>
      </w:r>
      <w:r w:rsidRPr="00706A37">
        <w:rPr>
          <w:rFonts w:eastAsia="Times New Roman" w:cs="Arial"/>
          <w:color w:val="000000"/>
          <w:lang w:val="en-US"/>
        </w:rPr>
        <w:t xml:space="preserve">Tanner </w:t>
      </w:r>
      <w:r w:rsidRPr="00706A37">
        <w:rPr>
          <w:rFonts w:eastAsia="Times New Roman" w:cs="Arial"/>
          <w:color w:val="000000"/>
          <w:lang w:eastAsia="bg-BG"/>
        </w:rPr>
        <w:t>(</w:t>
      </w:r>
      <w:r w:rsidRPr="00706A37">
        <w:rPr>
          <w:rFonts w:eastAsia="Times New Roman" w:cs="Arial"/>
          <w:color w:val="000000"/>
          <w:lang w:val="en-US"/>
        </w:rPr>
        <w:t>n</w:t>
      </w:r>
      <w:r w:rsidRPr="00706A37">
        <w:rPr>
          <w:rFonts w:eastAsia="Times New Roman" w:cs="Arial"/>
          <w:color w:val="000000"/>
          <w:lang w:eastAsia="bg-BG"/>
        </w:rPr>
        <w:t xml:space="preserve">=15) и в стадий по </w:t>
      </w:r>
      <w:r w:rsidRPr="00706A37">
        <w:rPr>
          <w:rFonts w:eastAsia="Times New Roman" w:cs="Arial"/>
          <w:color w:val="000000"/>
          <w:lang w:val="en-US"/>
        </w:rPr>
        <w:t xml:space="preserve">Tanner </w:t>
      </w:r>
      <w:r w:rsidRPr="00706A37">
        <w:rPr>
          <w:rFonts w:eastAsia="Times New Roman" w:cs="Arial"/>
          <w:color w:val="000000"/>
          <w:lang w:eastAsia="bg-BG"/>
        </w:rPr>
        <w:t xml:space="preserve">≥ 2 </w:t>
      </w:r>
      <w:r w:rsidRPr="00706A37">
        <w:rPr>
          <w:rFonts w:eastAsia="Times New Roman" w:cs="Arial"/>
          <w:color w:val="000000"/>
          <w:lang w:val="en-US"/>
        </w:rPr>
        <w:t xml:space="preserve">(n=24), </w:t>
      </w:r>
      <w:r w:rsidRPr="00706A37">
        <w:rPr>
          <w:rFonts w:eastAsia="Times New Roman" w:cs="Arial"/>
          <w:color w:val="000000"/>
          <w:lang w:eastAsia="bg-BG"/>
        </w:rPr>
        <w:t xml:space="preserve">с хетерозиготна фамилна хиперхолестеролемия и изходни нива на </w:t>
      </w:r>
      <w:r w:rsidRPr="00706A37">
        <w:rPr>
          <w:rFonts w:eastAsia="Times New Roman" w:cs="Arial"/>
          <w:color w:val="000000"/>
          <w:lang w:val="en-US"/>
        </w:rPr>
        <w:t xml:space="preserve">LDL-C </w:t>
      </w:r>
      <w:r w:rsidRPr="00706A37">
        <w:rPr>
          <w:rFonts w:eastAsia="Times New Roman" w:cs="Arial"/>
          <w:color w:val="000000"/>
          <w:lang w:eastAsia="bg-BG"/>
        </w:rPr>
        <w:t xml:space="preserve">≥ 4 </w:t>
      </w:r>
      <w:r w:rsidRPr="00706A37">
        <w:rPr>
          <w:rFonts w:eastAsia="Times New Roman" w:cs="Arial"/>
          <w:color w:val="000000"/>
          <w:lang w:val="en-US"/>
        </w:rPr>
        <w:t xml:space="preserve">mmol/l, </w:t>
      </w:r>
      <w:r w:rsidRPr="00706A37">
        <w:rPr>
          <w:rFonts w:eastAsia="Times New Roman" w:cs="Arial"/>
          <w:color w:val="000000"/>
          <w:lang w:eastAsia="bg-BG"/>
        </w:rPr>
        <w:t xml:space="preserve">са били съответно лекувани с 5 или 10 </w:t>
      </w:r>
      <w:r w:rsidRPr="00706A37">
        <w:rPr>
          <w:rFonts w:eastAsia="Times New Roman" w:cs="Arial"/>
          <w:color w:val="000000"/>
          <w:lang w:val="en-US"/>
        </w:rPr>
        <w:t xml:space="preserve">mg </w:t>
      </w:r>
      <w:r w:rsidRPr="00706A37">
        <w:rPr>
          <w:rFonts w:eastAsia="Times New Roman" w:cs="Arial"/>
          <w:color w:val="000000"/>
          <w:lang w:eastAsia="bg-BG"/>
        </w:rPr>
        <w:t xml:space="preserve">аторвастатин под формата на таблетка за дъвчене, или 10 </w:t>
      </w:r>
      <w:r w:rsidRPr="00706A37">
        <w:rPr>
          <w:rFonts w:eastAsia="Times New Roman" w:cs="Arial"/>
          <w:color w:val="000000"/>
          <w:lang w:val="en-US"/>
        </w:rPr>
        <w:t xml:space="preserve">mg </w:t>
      </w:r>
      <w:r w:rsidRPr="00706A37">
        <w:rPr>
          <w:rFonts w:eastAsia="Times New Roman" w:cs="Arial"/>
          <w:color w:val="000000"/>
          <w:lang w:eastAsia="bg-BG"/>
        </w:rPr>
        <w:t xml:space="preserve">или 20 </w:t>
      </w:r>
      <w:r w:rsidRPr="00706A37">
        <w:rPr>
          <w:rFonts w:eastAsia="Times New Roman" w:cs="Arial"/>
          <w:color w:val="000000"/>
          <w:lang w:val="en-US"/>
        </w:rPr>
        <w:t xml:space="preserve">mg </w:t>
      </w:r>
      <w:r w:rsidRPr="00706A37">
        <w:rPr>
          <w:rFonts w:eastAsia="Times New Roman" w:cs="Arial"/>
          <w:color w:val="000000"/>
          <w:lang w:eastAsia="bg-BG"/>
        </w:rPr>
        <w:t>аторвастатин под формата на филмирана таблетка, прилагани веднъж дневно. Телесното тегло е било единственственият значим ковариант във фармакокинетичния модел на лекуваната с аторвастатин популация. Видимият орален клирънс на аторвастатин при педиатричните участници изглежда е бил подобен на този при</w:t>
      </w:r>
      <w:r>
        <w:rPr>
          <w:rFonts w:eastAsia="Times New Roman" w:cs="Arial"/>
          <w:color w:val="000000"/>
          <w:lang w:val="en-US" w:eastAsia="bg-BG"/>
        </w:rPr>
        <w:t xml:space="preserve"> </w:t>
      </w:r>
      <w:r w:rsidRPr="00706A37">
        <w:rPr>
          <w:rFonts w:eastAsia="Times New Roman" w:cs="Arial"/>
          <w:color w:val="000000"/>
          <w:lang w:eastAsia="bg-BG"/>
        </w:rPr>
        <w:t xml:space="preserve">възрастните, когато е бил алометрично изчислен спрямо телесното тегло. Наблюдавани са устойчиви понижения </w:t>
      </w:r>
      <w:r w:rsidRPr="00706A37">
        <w:rPr>
          <w:rFonts w:eastAsia="Times New Roman" w:cs="Arial"/>
          <w:color w:val="000000"/>
          <w:lang w:val="en-US"/>
        </w:rPr>
        <w:t>LDL</w:t>
      </w:r>
      <w:r w:rsidRPr="00706A37">
        <w:rPr>
          <w:rFonts w:eastAsia="Times New Roman" w:cs="Arial"/>
          <w:color w:val="000000"/>
          <w:lang w:eastAsia="bg-BG"/>
        </w:rPr>
        <w:t>-С и общия холестерол (ТС), в рамките на диапазона на експозициите към аторвастатин и о-хидроксиаторвастатин.</w:t>
      </w:r>
    </w:p>
    <w:p w14:paraId="1ECC77BF" w14:textId="77777777" w:rsidR="00706A37" w:rsidRPr="00706A37" w:rsidRDefault="00706A37" w:rsidP="00706A37">
      <w:pPr>
        <w:spacing w:line="240" w:lineRule="auto"/>
        <w:rPr>
          <w:rFonts w:eastAsia="Times New Roman" w:cs="Arial"/>
          <w:sz w:val="24"/>
          <w:szCs w:val="24"/>
          <w:lang w:eastAsia="bg-BG"/>
        </w:rPr>
      </w:pPr>
      <w:r w:rsidRPr="00706A37">
        <w:rPr>
          <w:rFonts w:eastAsia="Times New Roman" w:cs="Arial"/>
          <w:i/>
          <w:iCs/>
          <w:color w:val="000000"/>
          <w:lang w:eastAsia="bg-BG"/>
        </w:rPr>
        <w:t>Пол:</w:t>
      </w:r>
      <w:r w:rsidRPr="00706A37">
        <w:rPr>
          <w:rFonts w:eastAsia="Times New Roman" w:cs="Arial"/>
          <w:color w:val="000000"/>
          <w:lang w:eastAsia="bg-BG"/>
        </w:rPr>
        <w:t xml:space="preserve"> Концентрациите на аторвастатин и неговите активни метаболити при жените се различават от тези при мъжете (жени: приблизително 20% по-висока стойност за С</w:t>
      </w:r>
      <w:r w:rsidRPr="00706A37">
        <w:rPr>
          <w:rFonts w:eastAsia="Times New Roman" w:cs="Arial"/>
          <w:color w:val="000000"/>
          <w:vertAlign w:val="subscript"/>
          <w:lang w:val="en-US"/>
        </w:rPr>
        <w:t>max</w:t>
      </w:r>
      <w:r w:rsidRPr="00706A37">
        <w:rPr>
          <w:rFonts w:eastAsia="Times New Roman" w:cs="Arial"/>
          <w:color w:val="000000"/>
          <w:lang w:eastAsia="bg-BG"/>
        </w:rPr>
        <w:t xml:space="preserve"> и приблизително 10% по-ниска стойност за </w:t>
      </w:r>
      <w:r w:rsidRPr="00706A37">
        <w:rPr>
          <w:rFonts w:eastAsia="Times New Roman" w:cs="Arial"/>
          <w:color w:val="000000"/>
          <w:lang w:val="en-US"/>
        </w:rPr>
        <w:t xml:space="preserve">AUC). </w:t>
      </w:r>
      <w:r w:rsidRPr="00706A37">
        <w:rPr>
          <w:rFonts w:eastAsia="Times New Roman" w:cs="Arial"/>
          <w:color w:val="000000"/>
          <w:lang w:eastAsia="bg-BG"/>
        </w:rPr>
        <w:t>Тези разлики нямат клинично значение и не водят до клинично значими разлики в ефекта върху липидите при мъже и жени.</w:t>
      </w:r>
    </w:p>
    <w:p w14:paraId="47F3D22F" w14:textId="77777777" w:rsidR="00706A37" w:rsidRPr="00706A37" w:rsidRDefault="00706A37" w:rsidP="00706A37">
      <w:pPr>
        <w:spacing w:line="240" w:lineRule="auto"/>
        <w:rPr>
          <w:rFonts w:eastAsia="Times New Roman" w:cs="Arial"/>
          <w:i/>
          <w:iCs/>
          <w:color w:val="000000"/>
          <w:lang w:eastAsia="bg-BG"/>
        </w:rPr>
      </w:pPr>
    </w:p>
    <w:p w14:paraId="251A9D13" w14:textId="296CA49D" w:rsidR="00706A37" w:rsidRPr="00706A37" w:rsidRDefault="00706A37" w:rsidP="00706A37">
      <w:pPr>
        <w:spacing w:line="240" w:lineRule="auto"/>
        <w:rPr>
          <w:rFonts w:eastAsia="Times New Roman" w:cs="Arial"/>
          <w:sz w:val="24"/>
          <w:szCs w:val="24"/>
          <w:lang w:eastAsia="bg-BG"/>
        </w:rPr>
      </w:pPr>
      <w:r w:rsidRPr="00706A37">
        <w:rPr>
          <w:rFonts w:eastAsia="Times New Roman" w:cs="Arial"/>
          <w:i/>
          <w:iCs/>
          <w:color w:val="000000"/>
          <w:lang w:eastAsia="bg-BG"/>
        </w:rPr>
        <w:t>Бъбречно увреждане:</w:t>
      </w:r>
      <w:r w:rsidRPr="00706A37">
        <w:rPr>
          <w:rFonts w:eastAsia="Times New Roman" w:cs="Arial"/>
          <w:color w:val="000000"/>
          <w:lang w:eastAsia="bg-BG"/>
        </w:rPr>
        <w:t xml:space="preserve"> Бъбречните заболявания не повлияват плазмените концентрации или ефекта върху липидите на аторвастатин и неговите активни метаболити.</w:t>
      </w:r>
    </w:p>
    <w:p w14:paraId="3DC0D308" w14:textId="77777777" w:rsidR="00706A37" w:rsidRPr="00706A37" w:rsidRDefault="00706A37" w:rsidP="00706A37">
      <w:pPr>
        <w:spacing w:line="240" w:lineRule="auto"/>
        <w:rPr>
          <w:rFonts w:eastAsia="Times New Roman" w:cs="Arial"/>
          <w:i/>
          <w:iCs/>
          <w:color w:val="000000"/>
          <w:lang w:eastAsia="bg-BG"/>
        </w:rPr>
      </w:pPr>
    </w:p>
    <w:p w14:paraId="0908AEB5" w14:textId="35314214" w:rsidR="00706A37" w:rsidRPr="00706A37" w:rsidRDefault="00706A37" w:rsidP="00706A37">
      <w:pPr>
        <w:spacing w:line="240" w:lineRule="auto"/>
        <w:rPr>
          <w:rFonts w:eastAsia="Times New Roman" w:cs="Arial"/>
          <w:sz w:val="24"/>
          <w:szCs w:val="24"/>
          <w:lang w:eastAsia="bg-BG"/>
        </w:rPr>
      </w:pPr>
      <w:r w:rsidRPr="00706A37">
        <w:rPr>
          <w:rFonts w:eastAsia="Times New Roman" w:cs="Arial"/>
          <w:i/>
          <w:iCs/>
          <w:color w:val="000000"/>
          <w:lang w:eastAsia="bg-BG"/>
        </w:rPr>
        <w:t>Чернодробно увреждане:</w:t>
      </w:r>
      <w:r w:rsidRPr="00706A37">
        <w:rPr>
          <w:rFonts w:eastAsia="Times New Roman" w:cs="Arial"/>
          <w:color w:val="000000"/>
          <w:lang w:eastAsia="bg-BG"/>
        </w:rPr>
        <w:t xml:space="preserve"> Плазмените концентрации на аторвастатин и неговите активни метаболити са подчертано увеличени (приблизително 16-кратно в кривата на С</w:t>
      </w:r>
      <w:r w:rsidRPr="00706A37">
        <w:rPr>
          <w:rFonts w:eastAsia="Times New Roman" w:cs="Arial"/>
          <w:color w:val="000000"/>
          <w:vertAlign w:val="subscript"/>
          <w:lang w:val="en-US"/>
        </w:rPr>
        <w:t>max</w:t>
      </w:r>
      <w:r w:rsidRPr="00706A37">
        <w:rPr>
          <w:rFonts w:eastAsia="Times New Roman" w:cs="Arial"/>
          <w:color w:val="000000"/>
          <w:vertAlign w:val="subscript"/>
          <w:lang w:eastAsia="bg-BG"/>
        </w:rPr>
        <w:t xml:space="preserve"> </w:t>
      </w:r>
      <w:r w:rsidRPr="00706A37">
        <w:rPr>
          <w:rFonts w:eastAsia="Times New Roman" w:cs="Arial"/>
          <w:color w:val="000000"/>
          <w:lang w:eastAsia="bg-BG"/>
        </w:rPr>
        <w:t xml:space="preserve">и приблизително 11-кратно в кривата на </w:t>
      </w:r>
      <w:r w:rsidRPr="00706A37">
        <w:rPr>
          <w:rFonts w:eastAsia="Times New Roman" w:cs="Arial"/>
          <w:color w:val="000000"/>
          <w:lang w:val="en-US"/>
        </w:rPr>
        <w:t xml:space="preserve">AUC) </w:t>
      </w:r>
      <w:r w:rsidRPr="00706A37">
        <w:rPr>
          <w:rFonts w:eastAsia="Times New Roman" w:cs="Arial"/>
          <w:color w:val="000000"/>
          <w:lang w:eastAsia="bg-BG"/>
        </w:rPr>
        <w:t xml:space="preserve">при пациенти с хронично алкохолно чернодробно заболяване </w:t>
      </w:r>
      <w:r w:rsidRPr="00706A37">
        <w:rPr>
          <w:rFonts w:eastAsia="Times New Roman" w:cs="Arial"/>
          <w:color w:val="000000"/>
          <w:lang w:val="en-US"/>
        </w:rPr>
        <w:t xml:space="preserve">(Childs-Pugh </w:t>
      </w:r>
      <w:r w:rsidRPr="00706A37">
        <w:rPr>
          <w:rFonts w:eastAsia="Times New Roman" w:cs="Arial"/>
          <w:color w:val="000000"/>
          <w:lang w:eastAsia="bg-BG"/>
        </w:rPr>
        <w:t>В).</w:t>
      </w:r>
    </w:p>
    <w:p w14:paraId="11EFAD60" w14:textId="77777777" w:rsidR="00706A37" w:rsidRPr="00706A37" w:rsidRDefault="00706A37" w:rsidP="00706A37">
      <w:pPr>
        <w:rPr>
          <w:rFonts w:eastAsia="Times New Roman" w:cs="Arial"/>
          <w:i/>
          <w:iCs/>
          <w:color w:val="000000"/>
          <w:lang w:val="en-US"/>
        </w:rPr>
      </w:pPr>
    </w:p>
    <w:p w14:paraId="148BA3FC" w14:textId="6FD322EC" w:rsidR="0091385D" w:rsidRPr="00706A37" w:rsidRDefault="00706A37" w:rsidP="00706A37">
      <w:pPr>
        <w:rPr>
          <w:rFonts w:cs="Arial"/>
          <w:lang w:val="en-US"/>
        </w:rPr>
      </w:pPr>
      <w:r w:rsidRPr="00706A37">
        <w:rPr>
          <w:rFonts w:eastAsia="Times New Roman" w:cs="Arial"/>
          <w:i/>
          <w:iCs/>
          <w:color w:val="000000"/>
          <w:lang w:val="en-US"/>
        </w:rPr>
        <w:t xml:space="preserve">SLOC1B1 </w:t>
      </w:r>
      <w:r w:rsidRPr="00706A37">
        <w:rPr>
          <w:rFonts w:eastAsia="Times New Roman" w:cs="Arial"/>
          <w:i/>
          <w:iCs/>
          <w:color w:val="000000"/>
          <w:lang w:eastAsia="bg-BG"/>
        </w:rPr>
        <w:t>полиморфизъм:</w:t>
      </w:r>
      <w:r w:rsidRPr="00706A37">
        <w:rPr>
          <w:rFonts w:eastAsia="Times New Roman" w:cs="Arial"/>
          <w:color w:val="000000"/>
          <w:lang w:eastAsia="bg-BG"/>
        </w:rPr>
        <w:t xml:space="preserve"> Чернодробното поемане на всички инхибитори на </w:t>
      </w:r>
      <w:r w:rsidRPr="00706A37">
        <w:rPr>
          <w:rFonts w:eastAsia="Times New Roman" w:cs="Arial"/>
          <w:color w:val="000000"/>
          <w:lang w:val="en-US"/>
        </w:rPr>
        <w:t xml:space="preserve">HMG-CoA </w:t>
      </w:r>
      <w:r w:rsidRPr="00706A37">
        <w:rPr>
          <w:rFonts w:eastAsia="Times New Roman" w:cs="Arial"/>
          <w:color w:val="000000"/>
          <w:lang w:eastAsia="bg-BG"/>
        </w:rPr>
        <w:t xml:space="preserve">редуктаза, в това число аторвастатин, включва участието на транспортера ОАТР1В1. При пациенти с </w:t>
      </w:r>
      <w:r w:rsidRPr="00706A37">
        <w:rPr>
          <w:rFonts w:eastAsia="Times New Roman" w:cs="Arial"/>
          <w:color w:val="000000"/>
          <w:lang w:val="en-US"/>
        </w:rPr>
        <w:t xml:space="preserve">SLOC1B1 </w:t>
      </w:r>
      <w:r w:rsidRPr="00706A37">
        <w:rPr>
          <w:rFonts w:eastAsia="Times New Roman" w:cs="Arial"/>
          <w:color w:val="000000"/>
          <w:lang w:eastAsia="bg-BG"/>
        </w:rPr>
        <w:t xml:space="preserve">полиморфизъм, съществува риск от повишена експозиция на аторвастатин, която може да доведе до повишен риск от рабдомиолиза (вж. точка 4.4). Полиморфизмът в гена, кодиращ ОАТР1В1 </w:t>
      </w:r>
      <w:r w:rsidRPr="00706A37">
        <w:rPr>
          <w:rFonts w:eastAsia="Times New Roman" w:cs="Arial"/>
          <w:color w:val="000000"/>
          <w:lang w:val="en-US"/>
        </w:rPr>
        <w:t xml:space="preserve">(SLCO1B1 </w:t>
      </w:r>
      <w:r w:rsidRPr="00706A37">
        <w:rPr>
          <w:rFonts w:eastAsia="Times New Roman" w:cs="Arial"/>
          <w:color w:val="000000"/>
          <w:lang w:eastAsia="bg-BG"/>
        </w:rPr>
        <w:t xml:space="preserve">с.521СС) е свързан с 2,4-кратно по-висока експозиция </w:t>
      </w:r>
      <w:r w:rsidRPr="00706A37">
        <w:rPr>
          <w:rFonts w:eastAsia="Times New Roman" w:cs="Arial"/>
          <w:color w:val="000000"/>
          <w:lang w:val="en-US"/>
        </w:rPr>
        <w:t xml:space="preserve">(AUC) </w:t>
      </w:r>
      <w:r w:rsidRPr="00706A37">
        <w:rPr>
          <w:rFonts w:eastAsia="Times New Roman" w:cs="Arial"/>
          <w:color w:val="000000"/>
          <w:lang w:eastAsia="bg-BG"/>
        </w:rPr>
        <w:t>на аторвастатин, отколкото при индивидите без този генотипен вариант (с.521ТТ). Генетично увреденото чернодробно поемане на аторвастатин е също възможно при тези пациенти. Възможните последствия за ефикасността са неизвестни.</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4EC9346C" w14:textId="77777777" w:rsidR="00706A37" w:rsidRPr="00706A37" w:rsidRDefault="00706A37" w:rsidP="00706A37">
      <w:pPr>
        <w:spacing w:line="240" w:lineRule="auto"/>
        <w:rPr>
          <w:rFonts w:eastAsia="Times New Roman" w:cs="Arial"/>
          <w:sz w:val="24"/>
          <w:szCs w:val="24"/>
          <w:lang w:eastAsia="bg-BG"/>
        </w:rPr>
      </w:pPr>
      <w:r w:rsidRPr="00706A37">
        <w:rPr>
          <w:rFonts w:eastAsia="Times New Roman" w:cs="Arial"/>
          <w:color w:val="000000"/>
          <w:lang w:eastAsia="bg-BG"/>
        </w:rPr>
        <w:t xml:space="preserve">Аторвастатин е бил отрицателен по отношение на мутагенен и кластогенен потенциал в батерия от 4 </w:t>
      </w:r>
      <w:r w:rsidRPr="00706A37">
        <w:rPr>
          <w:rFonts w:eastAsia="Times New Roman" w:cs="Arial"/>
          <w:i/>
          <w:iCs/>
          <w:color w:val="000000"/>
          <w:lang w:val="en-US"/>
        </w:rPr>
        <w:t>in vitro</w:t>
      </w:r>
      <w:r w:rsidRPr="00706A37">
        <w:rPr>
          <w:rFonts w:eastAsia="Times New Roman" w:cs="Arial"/>
          <w:color w:val="000000"/>
          <w:lang w:val="en-US"/>
        </w:rPr>
        <w:t xml:space="preserve"> </w:t>
      </w:r>
      <w:r w:rsidRPr="00706A37">
        <w:rPr>
          <w:rFonts w:eastAsia="Times New Roman" w:cs="Arial"/>
          <w:color w:val="000000"/>
          <w:lang w:eastAsia="bg-BG"/>
        </w:rPr>
        <w:t xml:space="preserve">изследвания и 1 </w:t>
      </w:r>
      <w:r w:rsidRPr="00706A37">
        <w:rPr>
          <w:rFonts w:eastAsia="Times New Roman" w:cs="Arial"/>
          <w:i/>
          <w:iCs/>
          <w:color w:val="000000"/>
          <w:lang w:val="en-US"/>
        </w:rPr>
        <w:t>in vivo</w:t>
      </w:r>
      <w:r w:rsidRPr="00706A37">
        <w:rPr>
          <w:rFonts w:eastAsia="Times New Roman" w:cs="Arial"/>
          <w:color w:val="000000"/>
          <w:lang w:val="en-US"/>
        </w:rPr>
        <w:t xml:space="preserve"> </w:t>
      </w:r>
      <w:r w:rsidRPr="00706A37">
        <w:rPr>
          <w:rFonts w:eastAsia="Times New Roman" w:cs="Arial"/>
          <w:color w:val="000000"/>
          <w:lang w:eastAsia="bg-BG"/>
        </w:rPr>
        <w:t xml:space="preserve">анализ. Установено е, че аторвастатин не е канцерогенен при плъхове, но високи дози при мишки (предизвикващи 6-11-кратно увеличение на площта под кривата за 24 часа </w:t>
      </w:r>
      <w:r w:rsidRPr="00706A37">
        <w:rPr>
          <w:rFonts w:eastAsia="Times New Roman" w:cs="Arial"/>
          <w:color w:val="000000"/>
          <w:lang w:val="en-US"/>
        </w:rPr>
        <w:t xml:space="preserve">(AUC0-24h), </w:t>
      </w:r>
      <w:r w:rsidRPr="00706A37">
        <w:rPr>
          <w:rFonts w:eastAsia="Times New Roman" w:cs="Arial"/>
          <w:color w:val="000000"/>
          <w:lang w:eastAsia="bg-BG"/>
        </w:rPr>
        <w:t>постигната при хора на най-високата препоръчителна доза) са довели до появата на хепатоцелуларни аденоми при мъжките и хепатоцелуларни карциноми при женските мишки.</w:t>
      </w:r>
    </w:p>
    <w:p w14:paraId="615DDCFC" w14:textId="77777777" w:rsidR="00706A37" w:rsidRPr="00706A37" w:rsidRDefault="00706A37" w:rsidP="00706A37">
      <w:pPr>
        <w:rPr>
          <w:rFonts w:eastAsia="Times New Roman" w:cs="Arial"/>
          <w:color w:val="000000"/>
          <w:lang w:eastAsia="bg-BG"/>
        </w:rPr>
      </w:pPr>
    </w:p>
    <w:p w14:paraId="52E4D01A" w14:textId="793E2D54" w:rsidR="0091385D" w:rsidRPr="00706A37" w:rsidRDefault="00706A37" w:rsidP="00706A37">
      <w:pPr>
        <w:rPr>
          <w:rFonts w:cs="Arial"/>
        </w:rPr>
      </w:pPr>
      <w:r w:rsidRPr="00706A37">
        <w:rPr>
          <w:rFonts w:eastAsia="Times New Roman" w:cs="Arial"/>
          <w:color w:val="000000"/>
          <w:lang w:eastAsia="bg-BG"/>
        </w:rPr>
        <w:t xml:space="preserve">Има данни от експериментални проучвания при животни, че инхибиторите на </w:t>
      </w:r>
      <w:r w:rsidRPr="00706A37">
        <w:rPr>
          <w:rFonts w:eastAsia="Times New Roman" w:cs="Arial"/>
          <w:color w:val="000000"/>
          <w:lang w:val="en-US"/>
        </w:rPr>
        <w:t xml:space="preserve">HMG-CoA </w:t>
      </w:r>
      <w:r w:rsidRPr="00706A37">
        <w:rPr>
          <w:rFonts w:eastAsia="Times New Roman" w:cs="Arial"/>
          <w:color w:val="000000"/>
          <w:lang w:eastAsia="bg-BG"/>
        </w:rPr>
        <w:t>редуктаза могат да засегнат развитието на ембриона или фетуса. При плъхове, зайци и кучета аторвастатин не е оказал ефект върху фертилитета и не е бил тератогенен, обаче, при токсични дози за майката, е била наблюдавана фетална токсичност при плъхове и зайци. Развитието на потомството при плъхове е било забавено, а постнаталното преживяване - намалено, при експозиция на майките към високи дози на аторвастатин. При плъхове има данни за преминаване през плацентата. При плъхове, плазмените концентрации на аторвастатин са подобни на тези в млякото. Не е известно дали аторвастатин или неговите метаболити се екскретират в кърмата.</w:t>
      </w:r>
    </w:p>
    <w:p w14:paraId="20E967BE" w14:textId="77777777" w:rsidR="0091385D" w:rsidRPr="0091385D" w:rsidRDefault="0091385D"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4CF57D43" w14:textId="77777777" w:rsidR="00706A37" w:rsidRPr="00706A37" w:rsidRDefault="00706A37" w:rsidP="00706A37">
      <w:pPr>
        <w:spacing w:line="240" w:lineRule="auto"/>
        <w:rPr>
          <w:rFonts w:eastAsia="Times New Roman" w:cs="Arial"/>
          <w:sz w:val="24"/>
          <w:szCs w:val="24"/>
          <w:lang w:eastAsia="bg-BG"/>
        </w:rPr>
      </w:pPr>
      <w:r w:rsidRPr="00706A37">
        <w:rPr>
          <w:rFonts w:eastAsia="Times New Roman" w:cs="Arial"/>
          <w:color w:val="000000"/>
          <w:lang w:eastAsia="bg-BG"/>
        </w:rPr>
        <w:t>СОФАРМА АД</w:t>
      </w:r>
    </w:p>
    <w:p w14:paraId="3FD825DB" w14:textId="00D33EA6" w:rsidR="0091385D" w:rsidRPr="00706A37" w:rsidRDefault="00706A37" w:rsidP="00706A37">
      <w:pPr>
        <w:rPr>
          <w:rFonts w:cs="Arial"/>
        </w:rPr>
      </w:pPr>
      <w:r w:rsidRPr="00706A37">
        <w:rPr>
          <w:rFonts w:eastAsia="Times New Roman" w:cs="Arial"/>
          <w:color w:val="000000"/>
          <w:lang w:eastAsia="bg-BG"/>
        </w:rPr>
        <w:t>ул. Илиенско шосе 16,</w:t>
      </w:r>
      <w:r w:rsidRPr="00706A37">
        <w:rPr>
          <w:rFonts w:eastAsia="Times New Roman" w:cs="Arial"/>
          <w:color w:val="000000"/>
          <w:lang w:val="en-US"/>
        </w:rPr>
        <w:t xml:space="preserve"> </w:t>
      </w:r>
      <w:r w:rsidRPr="00706A37">
        <w:rPr>
          <w:rFonts w:eastAsia="Times New Roman" w:cs="Arial"/>
          <w:color w:val="000000"/>
          <w:lang w:eastAsia="bg-BG"/>
        </w:rPr>
        <w:t>1220 София, България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6E892CE5" w14:textId="17B0D168" w:rsidR="0091385D" w:rsidRPr="00706A37" w:rsidRDefault="00706A37" w:rsidP="0091385D">
      <w:pPr>
        <w:rPr>
          <w:rFonts w:cs="Arial"/>
        </w:rPr>
      </w:pPr>
      <w:r w:rsidRPr="00706A37">
        <w:rPr>
          <w:rFonts w:cs="Arial"/>
          <w:lang w:val="en-US"/>
        </w:rPr>
        <w:t>Pe</w:t>
      </w:r>
      <w:r w:rsidRPr="00706A37">
        <w:rPr>
          <w:rFonts w:cs="Arial"/>
        </w:rPr>
        <w:t>г</w:t>
      </w:r>
      <w:r w:rsidRPr="00706A37">
        <w:rPr>
          <w:rFonts w:cs="Arial"/>
          <w:lang w:val="en-US"/>
        </w:rPr>
        <w:t xml:space="preserve">. </w:t>
      </w:r>
      <w:r w:rsidRPr="00706A37">
        <w:rPr>
          <w:rFonts w:cs="Arial"/>
        </w:rPr>
        <w:t>№20120480</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497007FA" w14:textId="4F38891B" w:rsidR="0091385D" w:rsidRPr="00706A37" w:rsidRDefault="00706A37" w:rsidP="0091385D">
      <w:pPr>
        <w:rPr>
          <w:rFonts w:cs="Arial"/>
        </w:rPr>
      </w:pPr>
      <w:r w:rsidRPr="00706A37">
        <w:rPr>
          <w:rFonts w:cs="Arial"/>
        </w:rPr>
        <w:t>26.09.2012</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20385A49" w14:textId="77777777" w:rsidR="00706A37" w:rsidRPr="00706A37" w:rsidRDefault="00706A37" w:rsidP="00706A37">
      <w:pPr>
        <w:spacing w:line="240" w:lineRule="auto"/>
        <w:rPr>
          <w:rFonts w:eastAsia="Times New Roman" w:cs="Arial"/>
          <w:sz w:val="24"/>
          <w:szCs w:val="24"/>
          <w:lang w:eastAsia="bg-BG"/>
        </w:rPr>
      </w:pPr>
      <w:r w:rsidRPr="00706A37">
        <w:rPr>
          <w:rFonts w:eastAsia="Times New Roman" w:cs="Arial"/>
          <w:color w:val="000000"/>
          <w:lang w:eastAsia="bg-BG"/>
        </w:rPr>
        <w:t>Януари 2022</w:t>
      </w:r>
    </w:p>
    <w:p w14:paraId="5FD4640D" w14:textId="77777777" w:rsidR="00706A37" w:rsidRPr="00706A37" w:rsidRDefault="00706A37" w:rsidP="00706A37">
      <w:pPr>
        <w:spacing w:line="240" w:lineRule="auto"/>
        <w:rPr>
          <w:rFonts w:eastAsia="Times New Roman" w:cs="Arial"/>
          <w:b/>
          <w:bCs/>
          <w:color w:val="000000"/>
          <w:lang w:eastAsia="bg-BG"/>
        </w:rPr>
      </w:pPr>
    </w:p>
    <w:p w14:paraId="2CEC62BC" w14:textId="75E4A680" w:rsidR="00706A37" w:rsidRPr="00706A37" w:rsidRDefault="00706A37" w:rsidP="00706A37">
      <w:pPr>
        <w:spacing w:line="240" w:lineRule="auto"/>
        <w:rPr>
          <w:rFonts w:eastAsia="Times New Roman" w:cs="Arial"/>
          <w:sz w:val="24"/>
          <w:szCs w:val="24"/>
          <w:lang w:eastAsia="bg-BG"/>
        </w:rPr>
      </w:pPr>
      <w:r w:rsidRPr="00706A37">
        <w:rPr>
          <w:rFonts w:eastAsia="Times New Roman" w:cs="Arial"/>
          <w:b/>
          <w:bCs/>
          <w:color w:val="000000"/>
          <w:lang w:eastAsia="bg-BG"/>
        </w:rPr>
        <w:t>НАЧИН НА ОТПУСКАНЕ</w:t>
      </w:r>
    </w:p>
    <w:p w14:paraId="498F03EA" w14:textId="77777777" w:rsidR="00706A37" w:rsidRPr="00706A37" w:rsidRDefault="00706A37" w:rsidP="00706A37">
      <w:pPr>
        <w:rPr>
          <w:rFonts w:eastAsia="Times New Roman" w:cs="Arial"/>
          <w:color w:val="000000"/>
          <w:lang w:eastAsia="bg-BG"/>
        </w:rPr>
      </w:pPr>
    </w:p>
    <w:p w14:paraId="30276F52" w14:textId="720F21C2" w:rsidR="0091385D" w:rsidRPr="00706A37" w:rsidRDefault="00706A37" w:rsidP="00706A37">
      <w:pPr>
        <w:rPr>
          <w:rFonts w:cs="Arial"/>
        </w:rPr>
      </w:pPr>
      <w:r w:rsidRPr="00706A37">
        <w:rPr>
          <w:rFonts w:eastAsia="Times New Roman" w:cs="Arial"/>
          <w:color w:val="000000"/>
          <w:lang w:eastAsia="bg-BG"/>
        </w:rPr>
        <w:t>По лекарско предписание</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D74DC"/>
    <w:multiLevelType w:val="hybridMultilevel"/>
    <w:tmpl w:val="F72AA9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B9A5C3B"/>
    <w:multiLevelType w:val="hybridMultilevel"/>
    <w:tmpl w:val="08B690BA"/>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A2F8E"/>
    <w:multiLevelType w:val="hybridMultilevel"/>
    <w:tmpl w:val="3B7C98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32"/>
  </w:num>
  <w:num w:numId="12">
    <w:abstractNumId w:val="13"/>
  </w:num>
  <w:num w:numId="13">
    <w:abstractNumId w:val="18"/>
  </w:num>
  <w:num w:numId="14">
    <w:abstractNumId w:val="11"/>
  </w:num>
  <w:num w:numId="15">
    <w:abstractNumId w:val="31"/>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33"/>
  </w:num>
  <w:num w:numId="28">
    <w:abstractNumId w:val="6"/>
  </w:num>
  <w:num w:numId="29">
    <w:abstractNumId w:val="19"/>
  </w:num>
  <w:num w:numId="30">
    <w:abstractNumId w:val="36"/>
  </w:num>
  <w:num w:numId="31">
    <w:abstractNumId w:val="5"/>
  </w:num>
  <w:num w:numId="32">
    <w:abstractNumId w:val="35"/>
  </w:num>
  <w:num w:numId="33">
    <w:abstractNumId w:val="30"/>
  </w:num>
  <w:num w:numId="34">
    <w:abstractNumId w:val="34"/>
  </w:num>
  <w:num w:numId="35">
    <w:abstractNumId w:val="26"/>
  </w:num>
  <w:num w:numId="36">
    <w:abstractNumId w:val="2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F092C"/>
    <w:rsid w:val="00185A46"/>
    <w:rsid w:val="001915B6"/>
    <w:rsid w:val="001D1B23"/>
    <w:rsid w:val="002B3C38"/>
    <w:rsid w:val="002B4DBB"/>
    <w:rsid w:val="002C50EE"/>
    <w:rsid w:val="00340A0A"/>
    <w:rsid w:val="003765DC"/>
    <w:rsid w:val="00395555"/>
    <w:rsid w:val="003E3126"/>
    <w:rsid w:val="00426E5F"/>
    <w:rsid w:val="004A448E"/>
    <w:rsid w:val="004D4D6B"/>
    <w:rsid w:val="004E51F7"/>
    <w:rsid w:val="004F1CE7"/>
    <w:rsid w:val="004F498A"/>
    <w:rsid w:val="00517A5B"/>
    <w:rsid w:val="00593A00"/>
    <w:rsid w:val="005A66D9"/>
    <w:rsid w:val="00605BCA"/>
    <w:rsid w:val="006158A1"/>
    <w:rsid w:val="00617B1F"/>
    <w:rsid w:val="00672487"/>
    <w:rsid w:val="00672600"/>
    <w:rsid w:val="00681D4A"/>
    <w:rsid w:val="00685882"/>
    <w:rsid w:val="00706A37"/>
    <w:rsid w:val="0075649D"/>
    <w:rsid w:val="007C605B"/>
    <w:rsid w:val="008134C8"/>
    <w:rsid w:val="00814073"/>
    <w:rsid w:val="00826F0D"/>
    <w:rsid w:val="00893B92"/>
    <w:rsid w:val="008A6AF2"/>
    <w:rsid w:val="008C70A2"/>
    <w:rsid w:val="0091385D"/>
    <w:rsid w:val="009773E4"/>
    <w:rsid w:val="009A0C07"/>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9768</Words>
  <Characters>55680</Characters>
  <Application>Microsoft Office Word</Application>
  <DocSecurity>0</DocSecurity>
  <Lines>464</Lines>
  <Paragraphs>130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2022-08-02T12:17:00Z</dcterms:created>
  <dcterms:modified xsi:type="dcterms:W3CDTF">2022-08-02T12:17:00Z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