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6199" w14:textId="77777777" w:rsidR="00B21C93" w:rsidRPr="00DF67FB" w:rsidRDefault="00B21C93" w:rsidP="00B21C93">
      <w:pPr>
        <w:jc w:val="center"/>
        <w:rPr>
          <w:rFonts w:ascii="Arial" w:hAnsi="Arial" w:cs="Arial"/>
          <w:sz w:val="32"/>
          <w:szCs w:val="32"/>
        </w:rPr>
      </w:pPr>
      <w:r w:rsidRPr="00DF67FB">
        <w:rPr>
          <w:rFonts w:ascii="Arial" w:hAnsi="Arial" w:cs="Arial"/>
          <w:sz w:val="32"/>
          <w:szCs w:val="32"/>
        </w:rPr>
        <w:t>КРАТКА ХАРАКТЕРИСТИКА НА ПРОДУКТА</w:t>
      </w:r>
    </w:p>
    <w:p w14:paraId="0C423474" w14:textId="77777777" w:rsidR="00B21C93" w:rsidRPr="00941F31" w:rsidRDefault="00B21C93" w:rsidP="00B21C93">
      <w:pPr>
        <w:rPr>
          <w:rFonts w:ascii="Arial" w:hAnsi="Arial" w:cs="Arial"/>
          <w:sz w:val="28"/>
          <w:szCs w:val="28"/>
        </w:rPr>
      </w:pPr>
    </w:p>
    <w:p w14:paraId="62E30202" w14:textId="77777777" w:rsidR="00B21C93" w:rsidRPr="00941F31" w:rsidRDefault="00B21C93" w:rsidP="00B21C93">
      <w:pPr>
        <w:pStyle w:val="Heading1"/>
      </w:pPr>
      <w:r w:rsidRPr="00941F31">
        <w:t>1. ИМЕ НА ЛЕКАРСТВЕНИЯ ПРОДУКТ</w:t>
      </w:r>
    </w:p>
    <w:p w14:paraId="39D0E596" w14:textId="77777777" w:rsidR="00B21C93" w:rsidRPr="00B21C93" w:rsidRDefault="00B21C93" w:rsidP="00B21C93">
      <w:pPr>
        <w:pStyle w:val="BodyText"/>
      </w:pPr>
      <w:r w:rsidRPr="00B21C93">
        <w:t>АВЕЛОКС 400 mg филмирани таблетки</w:t>
      </w:r>
      <w:r w:rsidRPr="00B21C93">
        <w:tab/>
      </w:r>
    </w:p>
    <w:p w14:paraId="1E0483AF" w14:textId="588F6BC1" w:rsidR="00B21C93" w:rsidRDefault="00B21C93" w:rsidP="00B21C93">
      <w:pPr>
        <w:pStyle w:val="BodyText"/>
      </w:pPr>
      <w:r w:rsidRPr="00B21C93">
        <w:t>AVELOX 400 mg film-coated tablets</w:t>
      </w:r>
    </w:p>
    <w:p w14:paraId="1125A209" w14:textId="77777777" w:rsidR="00B21C93" w:rsidRPr="00B21C93" w:rsidRDefault="00B21C93" w:rsidP="00B21C93">
      <w:pPr>
        <w:pStyle w:val="BodyText"/>
      </w:pPr>
    </w:p>
    <w:p w14:paraId="2E3CA266" w14:textId="77777777" w:rsidR="00B21C93" w:rsidRPr="00941F31" w:rsidRDefault="00B21C93" w:rsidP="00B21C93">
      <w:pPr>
        <w:pStyle w:val="Heading2"/>
      </w:pPr>
      <w:r w:rsidRPr="00941F31">
        <w:t>2. КАЧЕСТВЕН И КОЛИЧЕСТВЕН СЪСТАВ</w:t>
      </w:r>
    </w:p>
    <w:p w14:paraId="672EE404" w14:textId="77777777" w:rsidR="00B21C93" w:rsidRPr="00B21C93" w:rsidRDefault="00B21C93" w:rsidP="00B21C93">
      <w:pPr>
        <w:pStyle w:val="BodyText"/>
      </w:pPr>
      <w:r w:rsidRPr="00B21C93">
        <w:t>Една филмирана таблетка съдържа 400 mg моксифлоксацин (moxifloxacin) като хидрохлорид (hydrochloride).</w:t>
      </w:r>
    </w:p>
    <w:p w14:paraId="207D12B8" w14:textId="77777777" w:rsidR="00B21C93" w:rsidRPr="00B21C93" w:rsidRDefault="00B21C93" w:rsidP="00B21C93">
      <w:pPr>
        <w:pStyle w:val="BodyText"/>
      </w:pPr>
    </w:p>
    <w:p w14:paraId="5B63CFE4" w14:textId="77777777" w:rsidR="00B21C93" w:rsidRPr="00B21C93" w:rsidRDefault="00B21C93" w:rsidP="00B21C93">
      <w:pPr>
        <w:pStyle w:val="BodyText"/>
        <w:rPr>
          <w:u w:val="single"/>
        </w:rPr>
      </w:pPr>
      <w:r w:rsidRPr="00B21C93">
        <w:rPr>
          <w:u w:val="single"/>
        </w:rPr>
        <w:t xml:space="preserve">Помощно вещество с известно действие: </w:t>
      </w:r>
    </w:p>
    <w:p w14:paraId="0CEE59CE" w14:textId="43923764" w:rsidR="00B21C93" w:rsidRPr="00B21C93" w:rsidRDefault="00B21C93" w:rsidP="00B21C93">
      <w:pPr>
        <w:pStyle w:val="BodyText"/>
      </w:pPr>
      <w:r w:rsidRPr="00B21C93">
        <w:t>Всяка филмирана таблетка съдържа 68 mg лактоза монохидрат (= 66,56 mg лактоза) (вижте точка 4.4)</w:t>
      </w:r>
    </w:p>
    <w:p w14:paraId="757210C0" w14:textId="77777777" w:rsidR="00B21C93" w:rsidRPr="00941F31" w:rsidRDefault="00B21C93" w:rsidP="00B21C93">
      <w:pPr>
        <w:pStyle w:val="Heading1"/>
        <w:rPr>
          <w:color w:val="000000"/>
          <w:sz w:val="24"/>
          <w:szCs w:val="24"/>
          <w:lang w:eastAsia="bg-BG" w:bidi="bg-BG"/>
        </w:rPr>
      </w:pPr>
      <w:r w:rsidRPr="00941F31">
        <w:t>3. ЛЕКАРСВЕНА ФОРМА</w:t>
      </w:r>
      <w:r w:rsidRPr="00941F31">
        <w:rPr>
          <w:color w:val="000000"/>
          <w:sz w:val="24"/>
          <w:szCs w:val="24"/>
          <w:lang w:eastAsia="bg-BG" w:bidi="bg-BG"/>
        </w:rPr>
        <w:t xml:space="preserve"> </w:t>
      </w:r>
    </w:p>
    <w:p w14:paraId="33F99A26" w14:textId="77777777" w:rsidR="00B21C93" w:rsidRPr="00941F31" w:rsidRDefault="00B21C93" w:rsidP="00B21C93">
      <w:pPr>
        <w:pStyle w:val="BodyText"/>
        <w:rPr>
          <w:rFonts w:cs="Arial"/>
          <w:color w:val="000000"/>
          <w:sz w:val="24"/>
          <w:szCs w:val="24"/>
          <w:lang w:eastAsia="bg-BG" w:bidi="bg-BG"/>
        </w:rPr>
      </w:pPr>
    </w:p>
    <w:p w14:paraId="099B7C26" w14:textId="77777777" w:rsidR="00B21C93" w:rsidRPr="00B21C93" w:rsidRDefault="00B21C93" w:rsidP="00B21C93">
      <w:pPr>
        <w:pStyle w:val="BodyText"/>
      </w:pPr>
      <w:r w:rsidRPr="00B21C93">
        <w:t>Филмирана таблетка</w:t>
      </w:r>
    </w:p>
    <w:p w14:paraId="2CF67734" w14:textId="77777777" w:rsidR="00B21C93" w:rsidRPr="00B21C93" w:rsidRDefault="00B21C93" w:rsidP="00B21C93">
      <w:pPr>
        <w:pStyle w:val="BodyText"/>
      </w:pPr>
      <w:r w:rsidRPr="00B21C93">
        <w:t>Бледо червена филмирана таблетка с продълговата, изпъкнала форма с фасета, с размери 17x7 mm, и означена с “М400” от едната страна и “Bayer” от другата страна.</w:t>
      </w:r>
    </w:p>
    <w:p w14:paraId="0647BE9D" w14:textId="77777777" w:rsidR="00B21C93" w:rsidRPr="00941F31" w:rsidRDefault="00B21C93" w:rsidP="00B21C93">
      <w:pPr>
        <w:pStyle w:val="Heading1"/>
      </w:pPr>
      <w:r w:rsidRPr="00941F31">
        <w:t>4. КЛИНИЧНИ ДАННИ</w:t>
      </w:r>
    </w:p>
    <w:p w14:paraId="096853C5" w14:textId="40A3E73A" w:rsidR="00B21C93" w:rsidRPr="00941F31" w:rsidRDefault="00B21C93" w:rsidP="00B21C93">
      <w:pPr>
        <w:pStyle w:val="Heading2"/>
      </w:pPr>
      <w:r w:rsidRPr="00941F31">
        <w:t>4.1 Терапевтичн</w:t>
      </w:r>
      <w:r w:rsidR="000C3863">
        <w:t>и</w:t>
      </w:r>
      <w:r w:rsidRPr="00941F31">
        <w:t xml:space="preserve"> показания</w:t>
      </w:r>
    </w:p>
    <w:p w14:paraId="02627207" w14:textId="77777777" w:rsidR="00B21C93" w:rsidRPr="00941F31" w:rsidRDefault="00B21C93" w:rsidP="00B21C93">
      <w:pPr>
        <w:pStyle w:val="BodyText"/>
        <w:rPr>
          <w:rFonts w:cs="Arial"/>
          <w:sz w:val="28"/>
          <w:szCs w:val="28"/>
        </w:rPr>
      </w:pPr>
    </w:p>
    <w:p w14:paraId="15BD38A2" w14:textId="77777777" w:rsidR="00B21C93" w:rsidRPr="00941F31" w:rsidRDefault="00B21C93" w:rsidP="002C1234">
      <w:pPr>
        <w:pStyle w:val="BodyText"/>
        <w:rPr>
          <w:lang w:eastAsia="bg-BG" w:bidi="bg-BG"/>
        </w:rPr>
      </w:pPr>
      <w:r w:rsidRPr="00941F31">
        <w:rPr>
          <w:lang w:eastAsia="bg-BG" w:bidi="bg-BG"/>
        </w:rPr>
        <w:t xml:space="preserve"> Авелокс 400 </w:t>
      </w:r>
      <w:r w:rsidRPr="00941F31">
        <w:rPr>
          <w:lang w:bidi="en-US"/>
        </w:rPr>
        <w:t xml:space="preserve">mg </w:t>
      </w:r>
      <w:r w:rsidRPr="00941F31">
        <w:rPr>
          <w:lang w:eastAsia="bg-BG" w:bidi="bg-BG"/>
        </w:rPr>
        <w:t>филмирани таблетки са показани за лечение на следните бактериални инфекции при пациенти на 18-годишна възраст и по-възрастни, причинени от бактерии, чувствителни към моксифлоксацин (вж. точки 4.4,4.8 и 5.1). Моксифлоксацин трябва да се използва само когато се счита за неподходяща употребата на антибактериални средства, които обикновено се препоръчват за първично лечение на тези инфекции или когато лечението на инфекцията с тях е било неуспешно:</w:t>
      </w:r>
    </w:p>
    <w:p w14:paraId="17325A46" w14:textId="7B9CB8E2" w:rsidR="00B21C93" w:rsidRPr="00941F31" w:rsidRDefault="00B21C93" w:rsidP="002C1234">
      <w:pPr>
        <w:pStyle w:val="BodyText"/>
        <w:numPr>
          <w:ilvl w:val="0"/>
          <w:numId w:val="18"/>
        </w:numPr>
      </w:pPr>
      <w:r w:rsidRPr="00941F31">
        <w:rPr>
          <w:lang w:eastAsia="bg-BG" w:bidi="bg-BG"/>
        </w:rPr>
        <w:t>Остър бактериален синузит</w:t>
      </w:r>
    </w:p>
    <w:p w14:paraId="01BDFB7C" w14:textId="77777777" w:rsidR="00B21C93" w:rsidRPr="00941F31" w:rsidRDefault="00B21C93" w:rsidP="00581266">
      <w:pPr>
        <w:pStyle w:val="BodyText"/>
        <w:ind w:left="709"/>
      </w:pPr>
      <w:r w:rsidRPr="00941F31">
        <w:rPr>
          <w:lang w:eastAsia="bg-BG" w:bidi="bg-BG"/>
        </w:rPr>
        <w:t>При остър бактериален синузит Авелокс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70658588" w14:textId="711A37FF" w:rsidR="00B21C93" w:rsidRPr="00941F31" w:rsidRDefault="00B21C93" w:rsidP="002C1234">
      <w:pPr>
        <w:pStyle w:val="BodyText"/>
        <w:numPr>
          <w:ilvl w:val="0"/>
          <w:numId w:val="18"/>
        </w:numPr>
      </w:pPr>
      <w:r w:rsidRPr="00941F31">
        <w:rPr>
          <w:lang w:eastAsia="bg-BG" w:bidi="bg-BG"/>
        </w:rPr>
        <w:t xml:space="preserve">Остра екзацербация на хронична обструктивна белодробна </w:t>
      </w:r>
      <w:r w:rsidRPr="00941F31">
        <w:rPr>
          <w:i/>
          <w:iCs/>
          <w:lang w:eastAsia="bg-BG" w:bidi="bg-BG"/>
        </w:rPr>
        <w:t xml:space="preserve">болест, включително </w:t>
      </w:r>
      <w:r w:rsidRPr="00941F31">
        <w:rPr>
          <w:lang w:eastAsia="bg-BG" w:bidi="bg-BG"/>
        </w:rPr>
        <w:t>бронхит</w:t>
      </w:r>
    </w:p>
    <w:p w14:paraId="45F39903" w14:textId="632A3750" w:rsidR="002C1234" w:rsidRDefault="00B21C93" w:rsidP="00581266">
      <w:pPr>
        <w:pStyle w:val="BodyText"/>
        <w:ind w:left="709"/>
        <w:rPr>
          <w:lang w:eastAsia="bg-BG" w:bidi="bg-BG"/>
        </w:rPr>
      </w:pPr>
      <w:r w:rsidRPr="00941F31">
        <w:rPr>
          <w:lang w:eastAsia="bg-BG" w:bidi="bg-BG"/>
        </w:rPr>
        <w:t>При остра екзацербация на хронична обструктивна белодробна болест, включително бронхит Авелокс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r w:rsidR="002C1234">
        <w:rPr>
          <w:lang w:eastAsia="bg-BG" w:bidi="bg-BG"/>
        </w:rPr>
        <w:t>.</w:t>
      </w:r>
    </w:p>
    <w:p w14:paraId="5726C3A4" w14:textId="29E4DEF7" w:rsidR="00B21C93" w:rsidRPr="00941F31" w:rsidRDefault="00B21C93" w:rsidP="002C1234">
      <w:pPr>
        <w:pStyle w:val="BodyText"/>
        <w:numPr>
          <w:ilvl w:val="0"/>
          <w:numId w:val="18"/>
        </w:numPr>
      </w:pPr>
      <w:r w:rsidRPr="00941F31">
        <w:rPr>
          <w:lang w:eastAsia="bg-BG" w:bidi="bg-BG"/>
        </w:rPr>
        <w:t>Придобита в обществото пневмония, с изключение на тежките форми</w:t>
      </w:r>
    </w:p>
    <w:p w14:paraId="052C4F70" w14:textId="0D3A029A" w:rsidR="00B21C93" w:rsidRPr="00941F31" w:rsidRDefault="00B21C93" w:rsidP="002C1234">
      <w:pPr>
        <w:pStyle w:val="BodyText"/>
        <w:numPr>
          <w:ilvl w:val="0"/>
          <w:numId w:val="18"/>
        </w:numPr>
        <w:rPr>
          <w:lang w:eastAsia="bg-BG" w:bidi="bg-BG"/>
        </w:rPr>
      </w:pPr>
      <w:r w:rsidRPr="00941F31">
        <w:rPr>
          <w:lang w:eastAsia="bg-BG" w:bidi="bg-BG"/>
        </w:rPr>
        <w:t xml:space="preserve">Лека до умерено изразена тазова възпалителна болест (напр. инфекции на женския горен генитален тракт, включително салпингит и ендометрит), с изключение на свързан тубо-овариален или тазов абсцес. Не се препоръчва Авелокс 400 </w:t>
      </w:r>
      <w:r w:rsidRPr="00941F31">
        <w:rPr>
          <w:lang w:bidi="en-US"/>
        </w:rPr>
        <w:t xml:space="preserve">mg </w:t>
      </w:r>
      <w:r w:rsidRPr="00941F31">
        <w:rPr>
          <w:lang w:eastAsia="bg-BG" w:bidi="bg-BG"/>
        </w:rPr>
        <w:t xml:space="preserve">филмирани таблетки да се използват като монотерапия за </w:t>
      </w:r>
      <w:r w:rsidRPr="00941F31">
        <w:rPr>
          <w:lang w:eastAsia="bg-BG" w:bidi="bg-BG"/>
        </w:rPr>
        <w:lastRenderedPageBreak/>
        <w:t xml:space="preserve">лечение на слаба до умерена тазова възпалителна болест, а да се прилагат в комбинация с друго подходящо антибактериално средство (напр. цефалоспорин) поради увеличаване на моксифлоксацин резистентността на </w:t>
      </w:r>
      <w:r w:rsidRPr="00941F31">
        <w:rPr>
          <w:i/>
          <w:iCs/>
          <w:lang w:bidi="en-US"/>
        </w:rPr>
        <w:t>Neisseria gonorrhoeas,</w:t>
      </w:r>
      <w:r w:rsidRPr="00941F31">
        <w:rPr>
          <w:lang w:bidi="en-US"/>
        </w:rPr>
        <w:t xml:space="preserve"> </w:t>
      </w:r>
      <w:r w:rsidRPr="00941F31">
        <w:rPr>
          <w:lang w:eastAsia="bg-BG" w:bidi="bg-BG"/>
        </w:rPr>
        <w:t xml:space="preserve">освен ако моксифлоксацин-резистентна </w:t>
      </w:r>
      <w:r w:rsidRPr="00941F31">
        <w:rPr>
          <w:i/>
          <w:iCs/>
          <w:lang w:bidi="en-US"/>
        </w:rPr>
        <w:t>Neisseria gonorrhoeae</w:t>
      </w:r>
      <w:r w:rsidRPr="00941F31">
        <w:rPr>
          <w:lang w:bidi="en-US"/>
        </w:rPr>
        <w:t xml:space="preserve"> </w:t>
      </w:r>
      <w:r w:rsidRPr="00941F31">
        <w:rPr>
          <w:lang w:eastAsia="bg-BG" w:bidi="bg-BG"/>
        </w:rPr>
        <w:t>може да се изключи (вж. точка 4.4 и 5.1).</w:t>
      </w:r>
    </w:p>
    <w:p w14:paraId="0FF0328A" w14:textId="77777777" w:rsidR="00B21C93" w:rsidRPr="00941F31" w:rsidRDefault="00B21C93" w:rsidP="002C1234">
      <w:pPr>
        <w:pStyle w:val="BodyText"/>
        <w:rPr>
          <w:lang w:eastAsia="bg-BG" w:bidi="bg-BG"/>
        </w:rPr>
      </w:pPr>
    </w:p>
    <w:p w14:paraId="0CCF8A1D" w14:textId="77777777" w:rsidR="00B21C93" w:rsidRPr="00941F31" w:rsidRDefault="00B21C93" w:rsidP="002C1234">
      <w:pPr>
        <w:pStyle w:val="BodyText"/>
        <w:rPr>
          <w:lang w:eastAsia="bg-BG" w:bidi="bg-BG"/>
        </w:rPr>
      </w:pPr>
      <w:r w:rsidRPr="00941F31">
        <w:rPr>
          <w:lang w:eastAsia="bg-BG" w:bidi="bg-BG"/>
        </w:rPr>
        <w:t xml:space="preserve">Авелокс 400 </w:t>
      </w:r>
      <w:r w:rsidRPr="00941F31">
        <w:rPr>
          <w:lang w:bidi="en-US"/>
        </w:rPr>
        <w:t xml:space="preserve">mg </w:t>
      </w:r>
      <w:r w:rsidRPr="00941F31">
        <w:rPr>
          <w:lang w:eastAsia="bg-BG" w:bidi="bg-BG"/>
        </w:rPr>
        <w:t>филмирани таблетки може да се използва за завършване на курс на лечение</w:t>
      </w:r>
      <w:r w:rsidRPr="00941F31">
        <w:t xml:space="preserve"> </w:t>
      </w:r>
      <w:r w:rsidRPr="00941F31">
        <w:rPr>
          <w:lang w:eastAsia="bg-BG" w:bidi="bg-BG"/>
        </w:rPr>
        <w:t>при пациенти, които са показали подобрение по време на първоначалното лечение с интравенозен Авелокс за следните показания:</w:t>
      </w:r>
    </w:p>
    <w:p w14:paraId="10F233EF" w14:textId="77777777" w:rsidR="00B21C93" w:rsidRPr="00941F31" w:rsidRDefault="00B21C93" w:rsidP="00B21C93">
      <w:pPr>
        <w:pStyle w:val="Tableofcontents0"/>
        <w:tabs>
          <w:tab w:val="left" w:pos="9247"/>
        </w:tabs>
        <w:spacing w:after="0" w:line="180" w:lineRule="auto"/>
        <w:rPr>
          <w:rFonts w:ascii="Arial" w:hAnsi="Arial" w:cs="Arial"/>
          <w:color w:val="000000"/>
          <w:sz w:val="24"/>
          <w:szCs w:val="24"/>
          <w:lang w:eastAsia="bg-BG" w:bidi="bg-BG"/>
        </w:rPr>
      </w:pPr>
    </w:p>
    <w:p w14:paraId="36BF108C" w14:textId="77777777" w:rsidR="00B21C93" w:rsidRPr="002C1234" w:rsidRDefault="00B21C93" w:rsidP="00B21C93">
      <w:pPr>
        <w:pStyle w:val="BodyText"/>
        <w:spacing w:after="40"/>
        <w:ind w:left="1240"/>
        <w:rPr>
          <w:rFonts w:cs="Arial"/>
        </w:rPr>
      </w:pPr>
      <w:r w:rsidRPr="00941F31">
        <w:rPr>
          <w:rFonts w:cs="Arial"/>
          <w:color w:val="000000"/>
          <w:sz w:val="24"/>
          <w:szCs w:val="24"/>
          <w:lang w:eastAsia="bg-BG" w:bidi="bg-BG"/>
        </w:rPr>
        <w:t xml:space="preserve">- </w:t>
      </w:r>
      <w:r w:rsidRPr="002C1234">
        <w:rPr>
          <w:rFonts w:cs="Arial"/>
          <w:color w:val="000000"/>
          <w:lang w:eastAsia="bg-BG" w:bidi="bg-BG"/>
        </w:rPr>
        <w:t>Придобита в обществото пневмония</w:t>
      </w:r>
    </w:p>
    <w:p w14:paraId="5AEA9197" w14:textId="77777777" w:rsidR="00B21C93" w:rsidRPr="002C1234" w:rsidRDefault="00B21C93" w:rsidP="00B21C93">
      <w:pPr>
        <w:pStyle w:val="BodyText"/>
        <w:spacing w:after="40"/>
        <w:ind w:left="1240"/>
        <w:rPr>
          <w:rFonts w:cs="Arial"/>
        </w:rPr>
      </w:pPr>
      <w:r w:rsidRPr="002C1234">
        <w:rPr>
          <w:rFonts w:cs="Arial"/>
        </w:rPr>
        <w:t>-</w:t>
      </w:r>
      <w:r w:rsidRPr="002C1234">
        <w:rPr>
          <w:rFonts w:cs="Arial"/>
          <w:color w:val="000000"/>
          <w:lang w:eastAsia="bg-BG" w:bidi="bg-BG"/>
        </w:rPr>
        <w:t xml:space="preserve"> Усложнени инфекции на кожата и кожните структури</w:t>
      </w:r>
    </w:p>
    <w:p w14:paraId="73E039AD" w14:textId="77777777" w:rsidR="00B21C93" w:rsidRPr="002C1234" w:rsidRDefault="00B21C93" w:rsidP="00B21C93">
      <w:pPr>
        <w:pStyle w:val="BodyText"/>
        <w:spacing w:after="300" w:line="265" w:lineRule="exact"/>
        <w:ind w:left="140" w:firstLine="20"/>
        <w:rPr>
          <w:rFonts w:cs="Arial"/>
        </w:rPr>
      </w:pPr>
      <w:r w:rsidRPr="002C1234">
        <w:rPr>
          <w:rFonts w:cs="Arial"/>
          <w:color w:val="000000"/>
          <w:lang w:eastAsia="bg-BG" w:bidi="bg-BG"/>
        </w:rPr>
        <w:t xml:space="preserve">Авелокс 400 </w:t>
      </w:r>
      <w:r w:rsidRPr="002C1234">
        <w:rPr>
          <w:rFonts w:cs="Arial"/>
          <w:color w:val="000000"/>
          <w:lang w:bidi="en-US"/>
        </w:rPr>
        <w:t xml:space="preserve">mg </w:t>
      </w:r>
      <w:r w:rsidRPr="002C1234">
        <w:rPr>
          <w:rFonts w:cs="Arial"/>
          <w:color w:val="000000"/>
          <w:lang w:eastAsia="bg-BG" w:bidi="bg-BG"/>
        </w:rPr>
        <w:t>филмирани таблетки не трябва да се използва за иницииране на терапия за всеки тип инфекция на кожата и кожните структури или при тежка форма на придобита в обществото пневмония.</w:t>
      </w:r>
    </w:p>
    <w:p w14:paraId="7C118A4B" w14:textId="398FCAB6" w:rsidR="00B21C93" w:rsidRPr="002C1234" w:rsidRDefault="00B21C93" w:rsidP="00B21C93">
      <w:pPr>
        <w:pStyle w:val="BodyText"/>
        <w:spacing w:after="300" w:line="256" w:lineRule="exact"/>
        <w:ind w:left="140" w:firstLine="20"/>
        <w:rPr>
          <w:rFonts w:cs="Arial"/>
        </w:rPr>
      </w:pPr>
      <w:r w:rsidRPr="002C1234">
        <w:rPr>
          <w:rFonts w:cs="Arial"/>
          <w:color w:val="000000"/>
          <w:lang w:eastAsia="bg-BG" w:bidi="bg-BG"/>
        </w:rPr>
        <w:t>Трябва да се има предвид официалното ръководство за подходяща употреба на антибактериалните лекарства.</w:t>
      </w:r>
    </w:p>
    <w:p w14:paraId="47F3678A" w14:textId="77777777" w:rsidR="00B21C93" w:rsidRPr="00941F31" w:rsidRDefault="00B21C93" w:rsidP="00B21C93">
      <w:pPr>
        <w:pStyle w:val="Heading2"/>
      </w:pPr>
      <w:r w:rsidRPr="00941F31">
        <w:t>4.2 Дозировка и начин на приложение</w:t>
      </w:r>
    </w:p>
    <w:p w14:paraId="5FD8028E" w14:textId="77777777" w:rsidR="00B21C93" w:rsidRPr="004A0B89" w:rsidRDefault="00B21C93" w:rsidP="004A0B89">
      <w:pPr>
        <w:pStyle w:val="Heading3"/>
        <w:rPr>
          <w:u w:val="single"/>
        </w:rPr>
      </w:pPr>
      <w:r w:rsidRPr="004A0B89">
        <w:rPr>
          <w:u w:val="single"/>
          <w:lang w:eastAsia="bg-BG" w:bidi="bg-BG"/>
        </w:rPr>
        <w:t>Дозировка (възрастни)</w:t>
      </w:r>
    </w:p>
    <w:p w14:paraId="7CE6F13A" w14:textId="77777777" w:rsidR="00B21C93" w:rsidRPr="002C1234" w:rsidRDefault="00B21C93" w:rsidP="00B21C93">
      <w:pPr>
        <w:pStyle w:val="BodyText"/>
        <w:spacing w:after="300" w:line="261" w:lineRule="exact"/>
        <w:ind w:firstLine="140"/>
        <w:rPr>
          <w:rFonts w:cs="Arial"/>
        </w:rPr>
      </w:pPr>
      <w:r w:rsidRPr="002C1234">
        <w:rPr>
          <w:rFonts w:cs="Arial"/>
          <w:color w:val="000000"/>
          <w:lang w:eastAsia="bg-BG" w:bidi="bg-BG"/>
        </w:rPr>
        <w:t xml:space="preserve">Препоръчителната доза е една филмирана таблетка 400 </w:t>
      </w:r>
      <w:r w:rsidRPr="002C1234">
        <w:rPr>
          <w:rFonts w:cs="Arial"/>
          <w:color w:val="000000"/>
          <w:lang w:bidi="en-US"/>
        </w:rPr>
        <w:t xml:space="preserve">mg </w:t>
      </w:r>
      <w:r w:rsidRPr="002C1234">
        <w:rPr>
          <w:rFonts w:cs="Arial"/>
          <w:color w:val="000000"/>
          <w:lang w:eastAsia="bg-BG" w:bidi="bg-BG"/>
        </w:rPr>
        <w:t>един път дневно.</w:t>
      </w:r>
    </w:p>
    <w:p w14:paraId="42C130A3" w14:textId="77777777" w:rsidR="00B21C93" w:rsidRPr="002C1234" w:rsidRDefault="00B21C93" w:rsidP="00B21C93">
      <w:pPr>
        <w:pStyle w:val="BodyText"/>
        <w:spacing w:after="40" w:line="261" w:lineRule="exact"/>
        <w:ind w:firstLine="140"/>
        <w:rPr>
          <w:rFonts w:cs="Arial"/>
        </w:rPr>
      </w:pPr>
      <w:r w:rsidRPr="002C1234">
        <w:rPr>
          <w:rFonts w:cs="Arial"/>
          <w:i/>
          <w:iCs/>
          <w:color w:val="000000"/>
          <w:lang w:eastAsia="bg-BG" w:bidi="bg-BG"/>
        </w:rPr>
        <w:t>Бъбречно/чернодробно увреждане</w:t>
      </w:r>
    </w:p>
    <w:p w14:paraId="0873ACB8" w14:textId="77777777" w:rsidR="00B21C93" w:rsidRPr="002C1234" w:rsidRDefault="00B21C93" w:rsidP="00B21C93">
      <w:pPr>
        <w:pStyle w:val="BodyText"/>
        <w:spacing w:after="40" w:line="261" w:lineRule="exact"/>
        <w:ind w:left="140" w:firstLine="20"/>
        <w:rPr>
          <w:rFonts w:cs="Arial"/>
        </w:rPr>
      </w:pPr>
      <w:r w:rsidRPr="002C1234">
        <w:rPr>
          <w:rFonts w:cs="Arial"/>
          <w:color w:val="000000"/>
          <w:lang w:eastAsia="bg-BG" w:bidi="bg-BG"/>
        </w:rPr>
        <w:t>Не е необходима корекция на дозировката при пациенти с лека до тежка степен увредена бъбречна функция или при пациенти на хронична диализа напр. хемодиализа и продължителна амбулаторно провеждана перитонеална диализа (вж. точка 5.2 за повече детайли).</w:t>
      </w:r>
    </w:p>
    <w:p w14:paraId="58B5B79B" w14:textId="77777777" w:rsidR="00B21C93" w:rsidRPr="002C1234" w:rsidRDefault="00B21C93" w:rsidP="00B21C93">
      <w:pPr>
        <w:pStyle w:val="BodyText"/>
        <w:spacing w:after="300" w:line="261" w:lineRule="exact"/>
        <w:ind w:firstLine="140"/>
        <w:rPr>
          <w:rFonts w:cs="Arial"/>
        </w:rPr>
      </w:pPr>
      <w:r w:rsidRPr="002C1234">
        <w:rPr>
          <w:rFonts w:cs="Arial"/>
          <w:color w:val="000000"/>
          <w:lang w:eastAsia="bg-BG" w:bidi="bg-BG"/>
        </w:rPr>
        <w:t>Няма достатъчно данни за пациенти с нарушена чернодробна функция (вж. точка 4.3).</w:t>
      </w:r>
    </w:p>
    <w:p w14:paraId="4E5187F4" w14:textId="77777777" w:rsidR="00B21C93" w:rsidRPr="002C1234" w:rsidRDefault="00B21C93" w:rsidP="00B21C93">
      <w:pPr>
        <w:pStyle w:val="BodyText"/>
        <w:spacing w:after="40" w:line="263" w:lineRule="exact"/>
        <w:ind w:firstLine="140"/>
        <w:rPr>
          <w:rFonts w:cs="Arial"/>
        </w:rPr>
      </w:pPr>
      <w:r w:rsidRPr="002C1234">
        <w:rPr>
          <w:rFonts w:cs="Arial"/>
          <w:i/>
          <w:iCs/>
          <w:color w:val="000000"/>
          <w:lang w:eastAsia="bg-BG" w:bidi="bg-BG"/>
        </w:rPr>
        <w:t>Други специални популации</w:t>
      </w:r>
    </w:p>
    <w:p w14:paraId="28D982E5" w14:textId="77777777" w:rsidR="00B21C93" w:rsidRPr="002C1234" w:rsidRDefault="00B21C93" w:rsidP="00B21C93">
      <w:pPr>
        <w:pStyle w:val="BodyText"/>
        <w:spacing w:after="360" w:line="263" w:lineRule="exact"/>
        <w:ind w:left="140" w:firstLine="20"/>
        <w:rPr>
          <w:rFonts w:cs="Arial"/>
        </w:rPr>
      </w:pPr>
      <w:r w:rsidRPr="002C1234">
        <w:rPr>
          <w:rFonts w:cs="Arial"/>
          <w:color w:val="000000"/>
          <w:lang w:eastAsia="bg-BG" w:bidi="bg-BG"/>
        </w:rPr>
        <w:t>Не е необходима корекция на дозировката при пациенти в старческа възраст и с ниско телесно тегло.</w:t>
      </w:r>
    </w:p>
    <w:p w14:paraId="3B7F4A35" w14:textId="77777777" w:rsidR="00B21C93" w:rsidRPr="002C1234" w:rsidRDefault="00B21C93" w:rsidP="00B21C93">
      <w:pPr>
        <w:pStyle w:val="BodyText"/>
        <w:spacing w:after="40" w:line="263" w:lineRule="exact"/>
        <w:ind w:firstLine="140"/>
        <w:rPr>
          <w:rFonts w:cs="Arial"/>
        </w:rPr>
      </w:pPr>
      <w:r w:rsidRPr="002C1234">
        <w:rPr>
          <w:rFonts w:cs="Arial"/>
          <w:i/>
          <w:iCs/>
          <w:color w:val="000000"/>
          <w:lang w:eastAsia="bg-BG" w:bidi="bg-BG"/>
        </w:rPr>
        <w:t>Педиатрична популация</w:t>
      </w:r>
    </w:p>
    <w:p w14:paraId="1D4EA3E1" w14:textId="77777777" w:rsidR="00B21C93" w:rsidRPr="002C1234" w:rsidRDefault="00B21C93" w:rsidP="00B21C93">
      <w:pPr>
        <w:pStyle w:val="BodyText"/>
        <w:spacing w:after="300" w:line="263" w:lineRule="exact"/>
        <w:ind w:left="140" w:firstLine="20"/>
        <w:rPr>
          <w:rFonts w:cs="Arial"/>
        </w:rPr>
      </w:pPr>
      <w:r w:rsidRPr="002C1234">
        <w:rPr>
          <w:rFonts w:cs="Arial"/>
          <w:color w:val="000000"/>
          <w:lang w:eastAsia="bg-BG" w:bidi="bg-BG"/>
        </w:rPr>
        <w:t>Моксифлоксацин е противопоказан при деца и юноши (&lt; 18 години). Ефикасността и безопасността на моксифлоксацин при деца и юноши не е установена (вж. точка 4.3).</w:t>
      </w:r>
    </w:p>
    <w:p w14:paraId="6CF1B34C" w14:textId="77777777" w:rsidR="00B21C93" w:rsidRPr="004A0B89" w:rsidRDefault="00B21C93" w:rsidP="004A0B89">
      <w:pPr>
        <w:pStyle w:val="Heading3"/>
        <w:rPr>
          <w:u w:val="single"/>
        </w:rPr>
      </w:pPr>
      <w:r w:rsidRPr="004A0B89">
        <w:rPr>
          <w:u w:val="single"/>
          <w:lang w:eastAsia="bg-BG" w:bidi="bg-BG"/>
        </w:rPr>
        <w:t>Начин на приложение</w:t>
      </w:r>
    </w:p>
    <w:p w14:paraId="0F784C2B" w14:textId="77777777" w:rsidR="00B21C93" w:rsidRPr="002C1234" w:rsidRDefault="00B21C93" w:rsidP="00B21C93">
      <w:pPr>
        <w:pStyle w:val="BodyText"/>
        <w:spacing w:after="300" w:line="259" w:lineRule="exact"/>
        <w:ind w:left="140" w:firstLine="20"/>
        <w:rPr>
          <w:rFonts w:cs="Arial"/>
        </w:rPr>
      </w:pPr>
      <w:r w:rsidRPr="002C1234">
        <w:rPr>
          <w:rFonts w:cs="Arial"/>
          <w:color w:val="000000"/>
          <w:lang w:eastAsia="bg-BG" w:bidi="bg-BG"/>
        </w:rPr>
        <w:t>Филмираните таблетки трябва да се гълтат цели, с достатъчно течност и могат да се приемат независимо от храна.</w:t>
      </w:r>
    </w:p>
    <w:p w14:paraId="150ED448" w14:textId="77777777" w:rsidR="00B21C93" w:rsidRPr="004A0B89" w:rsidRDefault="00B21C93" w:rsidP="004A0B89">
      <w:pPr>
        <w:pStyle w:val="Heading3"/>
        <w:rPr>
          <w:u w:val="single"/>
        </w:rPr>
      </w:pPr>
      <w:r w:rsidRPr="004A0B89">
        <w:rPr>
          <w:u w:val="single"/>
          <w:lang w:eastAsia="bg-BG" w:bidi="bg-BG"/>
        </w:rPr>
        <w:t>Продължителност на приложение</w:t>
      </w:r>
    </w:p>
    <w:p w14:paraId="74F28CA5" w14:textId="77777777" w:rsidR="00B21C93" w:rsidRPr="002C1234" w:rsidRDefault="00B21C93" w:rsidP="00B21C93">
      <w:pPr>
        <w:pStyle w:val="BodyText"/>
        <w:spacing w:after="300" w:line="261" w:lineRule="exact"/>
        <w:ind w:firstLine="140"/>
        <w:rPr>
          <w:rFonts w:cs="Arial"/>
        </w:rPr>
      </w:pPr>
      <w:r w:rsidRPr="002C1234">
        <w:rPr>
          <w:rFonts w:cs="Arial"/>
          <w:color w:val="000000"/>
          <w:lang w:eastAsia="bg-BG" w:bidi="bg-BG"/>
        </w:rPr>
        <w:t xml:space="preserve">Авелокс 400 </w:t>
      </w:r>
      <w:r w:rsidRPr="002C1234">
        <w:rPr>
          <w:rFonts w:cs="Arial"/>
          <w:color w:val="000000"/>
          <w:lang w:bidi="en-US"/>
        </w:rPr>
        <w:t xml:space="preserve">mg </w:t>
      </w:r>
      <w:r w:rsidRPr="002C1234">
        <w:rPr>
          <w:rFonts w:cs="Arial"/>
          <w:color w:val="000000"/>
          <w:lang w:eastAsia="bg-BG" w:bidi="bg-BG"/>
        </w:rPr>
        <w:t>филмирани таблетки трябва да се приемат със следната продължителност:</w:t>
      </w:r>
    </w:p>
    <w:p w14:paraId="180A8284" w14:textId="77777777" w:rsidR="00B21C93" w:rsidRPr="002C1234" w:rsidRDefault="00B21C93" w:rsidP="00B21C93">
      <w:pPr>
        <w:pStyle w:val="BodyText"/>
        <w:tabs>
          <w:tab w:val="left" w:pos="5805"/>
        </w:tabs>
        <w:spacing w:after="40" w:line="261" w:lineRule="exact"/>
        <w:ind w:firstLine="140"/>
        <w:rPr>
          <w:rFonts w:cs="Arial"/>
        </w:rPr>
      </w:pPr>
      <w:r w:rsidRPr="002C1234">
        <w:rPr>
          <w:rFonts w:cs="Arial"/>
          <w:color w:val="000000"/>
          <w:lang w:eastAsia="bg-BG" w:bidi="bg-BG"/>
        </w:rPr>
        <w:lastRenderedPageBreak/>
        <w:t>Остър бактериален синузит (ОБС)</w:t>
      </w:r>
      <w:r w:rsidRPr="002C1234">
        <w:rPr>
          <w:rFonts w:cs="Arial"/>
          <w:color w:val="000000"/>
          <w:lang w:eastAsia="bg-BG" w:bidi="bg-BG"/>
        </w:rPr>
        <w:tab/>
        <w:t>7 дни</w:t>
      </w:r>
    </w:p>
    <w:p w14:paraId="663DBD12" w14:textId="77777777" w:rsidR="00B21C93" w:rsidRPr="002C1234" w:rsidRDefault="00B21C93" w:rsidP="00B21C93">
      <w:pPr>
        <w:pStyle w:val="BodyText"/>
        <w:spacing w:after="40" w:line="261" w:lineRule="exact"/>
        <w:ind w:firstLine="140"/>
        <w:rPr>
          <w:rFonts w:cs="Arial"/>
        </w:rPr>
      </w:pPr>
      <w:r w:rsidRPr="002C1234">
        <w:rPr>
          <w:rFonts w:cs="Arial"/>
          <w:color w:val="000000"/>
          <w:lang w:eastAsia="bg-BG" w:bidi="bg-BG"/>
        </w:rPr>
        <w:t>Остра екзацербация на хронична обструктивна</w:t>
      </w:r>
    </w:p>
    <w:p w14:paraId="698B4170" w14:textId="77777777" w:rsidR="00B21C93" w:rsidRPr="002C1234" w:rsidRDefault="00B21C93" w:rsidP="00B21C93">
      <w:pPr>
        <w:pStyle w:val="BodyText"/>
        <w:tabs>
          <w:tab w:val="left" w:pos="5805"/>
        </w:tabs>
        <w:spacing w:after="40" w:line="261" w:lineRule="exact"/>
        <w:ind w:firstLine="140"/>
        <w:rPr>
          <w:rFonts w:cs="Arial"/>
        </w:rPr>
      </w:pPr>
      <w:r w:rsidRPr="002C1234">
        <w:rPr>
          <w:rFonts w:cs="Arial"/>
          <w:color w:val="000000"/>
          <w:lang w:eastAsia="bg-BG" w:bidi="bg-BG"/>
        </w:rPr>
        <w:t>белодробна болест, включително бронхит</w:t>
      </w:r>
      <w:r w:rsidRPr="002C1234">
        <w:rPr>
          <w:rFonts w:cs="Arial"/>
          <w:color w:val="000000"/>
          <w:lang w:eastAsia="bg-BG" w:bidi="bg-BG"/>
        </w:rPr>
        <w:tab/>
        <w:t>5-10 дни</w:t>
      </w:r>
    </w:p>
    <w:p w14:paraId="1E5A6717" w14:textId="77777777" w:rsidR="00B21C93" w:rsidRPr="002C1234" w:rsidRDefault="00B21C93" w:rsidP="00B21C93">
      <w:pPr>
        <w:pStyle w:val="BodyText"/>
        <w:tabs>
          <w:tab w:val="left" w:pos="5805"/>
        </w:tabs>
        <w:spacing w:after="40" w:line="261" w:lineRule="exact"/>
        <w:ind w:firstLine="140"/>
        <w:rPr>
          <w:rFonts w:cs="Arial"/>
        </w:rPr>
      </w:pPr>
      <w:r w:rsidRPr="002C1234">
        <w:rPr>
          <w:rFonts w:cs="Arial"/>
          <w:color w:val="000000"/>
          <w:lang w:eastAsia="bg-BG" w:bidi="bg-BG"/>
        </w:rPr>
        <w:t>Придобита в обществото пневмония</w:t>
      </w:r>
      <w:r w:rsidRPr="002C1234">
        <w:rPr>
          <w:rFonts w:cs="Arial"/>
          <w:color w:val="000000"/>
          <w:lang w:eastAsia="bg-BG" w:bidi="bg-BG"/>
        </w:rPr>
        <w:tab/>
        <w:t>10 дни</w:t>
      </w:r>
    </w:p>
    <w:p w14:paraId="0D31AB6F" w14:textId="77777777" w:rsidR="00B21C93" w:rsidRPr="002C1234" w:rsidRDefault="00B21C93" w:rsidP="00B21C93">
      <w:pPr>
        <w:pStyle w:val="BodyText"/>
        <w:spacing w:after="300" w:line="261" w:lineRule="exact"/>
        <w:ind w:firstLine="140"/>
        <w:rPr>
          <w:rFonts w:cs="Arial"/>
        </w:rPr>
      </w:pPr>
      <w:r w:rsidRPr="002C1234">
        <w:rPr>
          <w:rFonts w:cs="Arial"/>
          <w:color w:val="000000"/>
          <w:lang w:eastAsia="bg-BG" w:bidi="bg-BG"/>
        </w:rPr>
        <w:t>Лека до умерено изразена тазова възпалителна болест           14 дни</w:t>
      </w:r>
    </w:p>
    <w:p w14:paraId="458A7F24" w14:textId="77777777" w:rsidR="00B21C93" w:rsidRPr="002C1234" w:rsidRDefault="00B21C93" w:rsidP="00B21C93">
      <w:pPr>
        <w:pStyle w:val="BodyText"/>
        <w:spacing w:after="300" w:line="266" w:lineRule="exact"/>
        <w:ind w:left="140" w:firstLine="20"/>
        <w:rPr>
          <w:rFonts w:cs="Arial"/>
        </w:rPr>
      </w:pPr>
      <w:r w:rsidRPr="002C1234">
        <w:rPr>
          <w:rFonts w:cs="Arial"/>
          <w:color w:val="000000"/>
          <w:lang w:eastAsia="bg-BG" w:bidi="bg-BG"/>
        </w:rPr>
        <w:t xml:space="preserve">Авелокс 400 </w:t>
      </w:r>
      <w:r w:rsidRPr="002C1234">
        <w:rPr>
          <w:rFonts w:cs="Arial"/>
          <w:color w:val="000000"/>
          <w:lang w:bidi="en-US"/>
        </w:rPr>
        <w:t xml:space="preserve">mg </w:t>
      </w:r>
      <w:r w:rsidRPr="002C1234">
        <w:rPr>
          <w:rFonts w:cs="Arial"/>
          <w:color w:val="000000"/>
          <w:lang w:eastAsia="bg-BG" w:bidi="bg-BG"/>
        </w:rPr>
        <w:t>филмирани таблетки са изследвани в клинични изпитвания с продължителност на лечението до 14 дни.</w:t>
      </w:r>
    </w:p>
    <w:p w14:paraId="6D3C5C4C" w14:textId="77777777" w:rsidR="00B21C93" w:rsidRPr="002C1234" w:rsidRDefault="00B21C93" w:rsidP="00B21C93">
      <w:pPr>
        <w:pStyle w:val="BodyText"/>
        <w:spacing w:after="40" w:line="260" w:lineRule="exact"/>
        <w:ind w:left="140" w:firstLine="20"/>
        <w:rPr>
          <w:rFonts w:cs="Arial"/>
        </w:rPr>
      </w:pPr>
      <w:r w:rsidRPr="002C1234">
        <w:rPr>
          <w:rFonts w:cs="Arial"/>
          <w:i/>
          <w:iCs/>
          <w:color w:val="000000"/>
          <w:lang w:eastAsia="bg-BG" w:bidi="bg-BG"/>
        </w:rPr>
        <w:t>Секвенциално (интравенозно, последвано от перорално) лечение</w:t>
      </w:r>
    </w:p>
    <w:p w14:paraId="3FADAFBE" w14:textId="77777777" w:rsidR="00B21C93" w:rsidRPr="002C1234" w:rsidRDefault="00B21C93" w:rsidP="00B21C93">
      <w:pPr>
        <w:pStyle w:val="BodyText"/>
        <w:tabs>
          <w:tab w:val="left" w:pos="9140"/>
        </w:tabs>
        <w:spacing w:after="300" w:line="260" w:lineRule="exact"/>
        <w:ind w:left="140" w:firstLine="20"/>
        <w:rPr>
          <w:rFonts w:cs="Arial"/>
        </w:rPr>
      </w:pPr>
      <w:r w:rsidRPr="002C1234">
        <w:rPr>
          <w:rFonts w:cs="Arial"/>
          <w:color w:val="000000"/>
          <w:lang w:eastAsia="bg-BG" w:bidi="bg-BG"/>
        </w:rPr>
        <w:t>В клинични проучвания със секвенциално лечение повечето пациенти преминават от интравенозно към перорално лечение в рамките на 4 дни (придобита в обществото пневмония) или 6 дни (усложнени инфекции на кожата и кожните структури). Препоръчителната обща продължителност на интравенозно и перорално лечение е 7-14 дни за придобита в обществото пневмония и 7-21 дни за усложнени инфекции на кожата и кожните структури.</w:t>
      </w:r>
    </w:p>
    <w:p w14:paraId="053BE7AA" w14:textId="77777777" w:rsidR="00B21C93" w:rsidRPr="00941F31" w:rsidRDefault="00B21C93" w:rsidP="00B21C93">
      <w:pPr>
        <w:pStyle w:val="BodyText"/>
        <w:tabs>
          <w:tab w:val="left" w:pos="7462"/>
          <w:tab w:val="left" w:pos="8686"/>
        </w:tabs>
        <w:spacing w:after="300" w:line="259" w:lineRule="exact"/>
        <w:ind w:left="140" w:firstLine="20"/>
        <w:rPr>
          <w:rFonts w:cs="Arial"/>
          <w:sz w:val="24"/>
          <w:szCs w:val="24"/>
        </w:rPr>
      </w:pPr>
      <w:r w:rsidRPr="002C1234">
        <w:rPr>
          <w:rFonts w:cs="Arial"/>
          <w:color w:val="000000"/>
          <w:lang w:eastAsia="bg-BG" w:bidi="bg-BG"/>
        </w:rPr>
        <w:t xml:space="preserve">Препоръчителната доза (400 </w:t>
      </w:r>
      <w:r w:rsidRPr="002C1234">
        <w:rPr>
          <w:rFonts w:cs="Arial"/>
          <w:color w:val="000000"/>
          <w:lang w:bidi="en-US"/>
        </w:rPr>
        <w:t xml:space="preserve">mg </w:t>
      </w:r>
      <w:r w:rsidRPr="002C1234">
        <w:rPr>
          <w:rFonts w:cs="Arial"/>
          <w:color w:val="000000"/>
          <w:lang w:eastAsia="bg-BG" w:bidi="bg-BG"/>
        </w:rPr>
        <w:t>един път дневно) и продължителността на лечение не трябва да се превишават.</w:t>
      </w:r>
      <w:r w:rsidRPr="002C1234">
        <w:rPr>
          <w:rFonts w:cs="Arial"/>
          <w:color w:val="000000"/>
          <w:lang w:eastAsia="bg-BG" w:bidi="bg-BG"/>
        </w:rPr>
        <w:tab/>
      </w:r>
      <w:r w:rsidRPr="00941F31">
        <w:rPr>
          <w:rFonts w:cs="Arial"/>
          <w:i/>
          <w:iCs/>
          <w:color w:val="000000"/>
          <w:sz w:val="24"/>
          <w:szCs w:val="24"/>
          <w:lang w:eastAsia="bg-BG" w:bidi="bg-BG"/>
        </w:rPr>
        <w:tab/>
      </w:r>
    </w:p>
    <w:p w14:paraId="66331DDA" w14:textId="77777777" w:rsidR="00B21C93" w:rsidRPr="00941F31" w:rsidRDefault="00B21C93" w:rsidP="00B21C93">
      <w:pPr>
        <w:pStyle w:val="Heading2"/>
      </w:pPr>
      <w:r w:rsidRPr="00941F31">
        <w:t>4.3 Противопоказания</w:t>
      </w:r>
    </w:p>
    <w:p w14:paraId="520D1DC5" w14:textId="77777777" w:rsidR="00B21C93" w:rsidRPr="002C1234" w:rsidRDefault="00B21C93" w:rsidP="00B21C93">
      <w:pPr>
        <w:pStyle w:val="BodyText"/>
        <w:numPr>
          <w:ilvl w:val="0"/>
          <w:numId w:val="17"/>
        </w:numPr>
        <w:tabs>
          <w:tab w:val="left" w:pos="461"/>
          <w:tab w:val="left" w:pos="462"/>
        </w:tabs>
        <w:spacing w:after="40" w:line="263" w:lineRule="exact"/>
        <w:ind w:left="460" w:hanging="280"/>
        <w:rPr>
          <w:rFonts w:cs="Arial"/>
        </w:rPr>
      </w:pPr>
      <w:r w:rsidRPr="002C1234">
        <w:rPr>
          <w:rFonts w:cs="Arial"/>
          <w:color w:val="000000"/>
          <w:lang w:eastAsia="bg-BG" w:bidi="bg-BG"/>
        </w:rPr>
        <w:t>Свръхчувствителност към моксифлоксацин, други хинолони или някое от помощните вещества, изброени в точка 6,1;</w:t>
      </w:r>
    </w:p>
    <w:p w14:paraId="5C3BE5C8" w14:textId="77777777" w:rsidR="00B21C93" w:rsidRPr="002C1234" w:rsidRDefault="00B21C93" w:rsidP="00B21C93">
      <w:pPr>
        <w:pStyle w:val="BodyText"/>
        <w:numPr>
          <w:ilvl w:val="0"/>
          <w:numId w:val="17"/>
        </w:numPr>
        <w:tabs>
          <w:tab w:val="left" w:pos="462"/>
          <w:tab w:val="left" w:pos="513"/>
        </w:tabs>
        <w:spacing w:after="40" w:line="263" w:lineRule="exact"/>
        <w:ind w:firstLine="180"/>
        <w:rPr>
          <w:rFonts w:cs="Arial"/>
        </w:rPr>
      </w:pPr>
      <w:r w:rsidRPr="002C1234">
        <w:rPr>
          <w:rFonts w:cs="Arial"/>
          <w:color w:val="000000"/>
          <w:lang w:eastAsia="bg-BG" w:bidi="bg-BG"/>
        </w:rPr>
        <w:t>бременност и кърмене (вж. точка 4.6);</w:t>
      </w:r>
    </w:p>
    <w:p w14:paraId="00EB13FC" w14:textId="77777777" w:rsidR="00B21C93" w:rsidRPr="002C1234" w:rsidRDefault="00B21C93" w:rsidP="00B21C93">
      <w:pPr>
        <w:pStyle w:val="BodyText"/>
        <w:numPr>
          <w:ilvl w:val="0"/>
          <w:numId w:val="17"/>
        </w:numPr>
        <w:tabs>
          <w:tab w:val="left" w:pos="462"/>
          <w:tab w:val="left" w:pos="513"/>
        </w:tabs>
        <w:spacing w:after="40" w:line="263" w:lineRule="exact"/>
        <w:ind w:firstLine="180"/>
        <w:rPr>
          <w:rFonts w:cs="Arial"/>
        </w:rPr>
      </w:pPr>
      <w:r w:rsidRPr="002C1234">
        <w:rPr>
          <w:rFonts w:cs="Arial"/>
          <w:color w:val="000000"/>
          <w:lang w:eastAsia="bg-BG" w:bidi="bg-BG"/>
        </w:rPr>
        <w:t>пациенти под 18-годишна възраст;</w:t>
      </w:r>
    </w:p>
    <w:p w14:paraId="556A545B" w14:textId="77777777" w:rsidR="00B21C93" w:rsidRPr="002C1234" w:rsidRDefault="00B21C93" w:rsidP="00B21C93">
      <w:pPr>
        <w:pStyle w:val="BodyText"/>
        <w:numPr>
          <w:ilvl w:val="0"/>
          <w:numId w:val="17"/>
        </w:numPr>
        <w:tabs>
          <w:tab w:val="left" w:pos="461"/>
          <w:tab w:val="left" w:pos="462"/>
        </w:tabs>
        <w:spacing w:after="340" w:line="263" w:lineRule="exact"/>
        <w:ind w:left="460" w:hanging="280"/>
        <w:rPr>
          <w:rFonts w:cs="Arial"/>
        </w:rPr>
      </w:pPr>
      <w:r w:rsidRPr="002C1234">
        <w:rPr>
          <w:rFonts w:cs="Arial"/>
          <w:color w:val="000000"/>
          <w:lang w:eastAsia="bg-BG" w:bidi="bg-BG"/>
        </w:rPr>
        <w:t>пациенти с анамнестични данни за възпаление на сухожилия/нарушение, свързано с лечение с хинолони.</w:t>
      </w:r>
    </w:p>
    <w:p w14:paraId="6B330E89" w14:textId="77777777" w:rsidR="00B21C93" w:rsidRPr="002C1234" w:rsidRDefault="00B21C93" w:rsidP="00B21C93">
      <w:pPr>
        <w:pStyle w:val="BodyText"/>
        <w:spacing w:after="40" w:line="261" w:lineRule="exact"/>
        <w:ind w:left="180"/>
        <w:rPr>
          <w:rFonts w:cs="Arial"/>
        </w:rPr>
      </w:pPr>
      <w:r w:rsidRPr="002C1234">
        <w:rPr>
          <w:rFonts w:cs="Arial"/>
          <w:color w:val="000000"/>
          <w:lang w:eastAsia="bg-BG" w:bidi="bg-BG"/>
        </w:rPr>
        <w:t xml:space="preserve">В предклинични изпитвания и при хора са наблюдавани промени в сърдечната електрофизиология след приемане на моксифлоксацин, под формата на удължаване на </w:t>
      </w:r>
      <w:r w:rsidRPr="002C1234">
        <w:rPr>
          <w:rFonts w:cs="Arial"/>
          <w:color w:val="000000"/>
          <w:lang w:bidi="en-US"/>
        </w:rPr>
        <w:t xml:space="preserve">QT </w:t>
      </w:r>
      <w:r w:rsidRPr="002C1234">
        <w:rPr>
          <w:rFonts w:cs="Arial"/>
          <w:color w:val="000000"/>
          <w:lang w:eastAsia="bg-BG" w:bidi="bg-BG"/>
        </w:rPr>
        <w:t xml:space="preserve">интервала. Във връзка с безопасността моксифлоксацин е противопоказан при пациенти с: - вродено или документирано придобито състояние на удължен </w:t>
      </w:r>
      <w:r w:rsidRPr="002C1234">
        <w:rPr>
          <w:rFonts w:cs="Arial"/>
          <w:color w:val="000000"/>
          <w:lang w:bidi="en-US"/>
        </w:rPr>
        <w:t xml:space="preserve">QT </w:t>
      </w:r>
      <w:r w:rsidRPr="002C1234">
        <w:rPr>
          <w:rFonts w:cs="Arial"/>
          <w:color w:val="000000"/>
          <w:lang w:eastAsia="bg-BG" w:bidi="bg-BG"/>
        </w:rPr>
        <w:t>интервал;</w:t>
      </w:r>
    </w:p>
    <w:p w14:paraId="20C17D28" w14:textId="4EF48723" w:rsidR="00B21C93" w:rsidRPr="002C1234" w:rsidRDefault="00B21C93" w:rsidP="00B21C93">
      <w:pPr>
        <w:pStyle w:val="BodyText"/>
        <w:numPr>
          <w:ilvl w:val="0"/>
          <w:numId w:val="17"/>
        </w:numPr>
        <w:tabs>
          <w:tab w:val="left" w:pos="462"/>
          <w:tab w:val="left" w:pos="513"/>
        </w:tabs>
        <w:spacing w:after="40" w:line="261" w:lineRule="exact"/>
        <w:ind w:firstLine="180"/>
        <w:rPr>
          <w:rFonts w:cs="Arial"/>
        </w:rPr>
      </w:pPr>
      <w:r w:rsidRPr="002C1234">
        <w:rPr>
          <w:rFonts w:cs="Arial"/>
          <w:color w:val="000000"/>
          <w:lang w:eastAsia="bg-BG" w:bidi="bg-BG"/>
        </w:rPr>
        <w:t>електролитни нарушения, особено некоригирана хипокалиемия;</w:t>
      </w:r>
    </w:p>
    <w:p w14:paraId="39EB23D9" w14:textId="77777777" w:rsidR="00B21C93" w:rsidRPr="002C1234" w:rsidRDefault="00B21C93" w:rsidP="00B21C93">
      <w:pPr>
        <w:pStyle w:val="BodyText"/>
        <w:numPr>
          <w:ilvl w:val="0"/>
          <w:numId w:val="17"/>
        </w:numPr>
        <w:tabs>
          <w:tab w:val="left" w:pos="462"/>
          <w:tab w:val="left" w:pos="513"/>
        </w:tabs>
        <w:spacing w:after="40" w:line="261" w:lineRule="exact"/>
        <w:ind w:firstLine="180"/>
        <w:rPr>
          <w:rFonts w:cs="Arial"/>
        </w:rPr>
      </w:pPr>
      <w:r w:rsidRPr="002C1234">
        <w:rPr>
          <w:rFonts w:cs="Arial"/>
          <w:color w:val="000000"/>
          <w:lang w:eastAsia="bg-BG" w:bidi="bg-BG"/>
        </w:rPr>
        <w:t>клинично значима брадикардия;</w:t>
      </w:r>
    </w:p>
    <w:p w14:paraId="0CCB1E24" w14:textId="77777777" w:rsidR="00B21C93" w:rsidRPr="002C1234" w:rsidRDefault="00B21C93" w:rsidP="00B21C93">
      <w:pPr>
        <w:pStyle w:val="BodyText"/>
        <w:numPr>
          <w:ilvl w:val="0"/>
          <w:numId w:val="17"/>
        </w:numPr>
        <w:tabs>
          <w:tab w:val="left" w:pos="461"/>
          <w:tab w:val="left" w:pos="462"/>
        </w:tabs>
        <w:spacing w:after="80" w:line="261" w:lineRule="exact"/>
        <w:ind w:left="460" w:hanging="280"/>
        <w:rPr>
          <w:rFonts w:cs="Arial"/>
        </w:rPr>
      </w:pPr>
      <w:r w:rsidRPr="002C1234">
        <w:rPr>
          <w:rFonts w:cs="Arial"/>
          <w:color w:val="000000"/>
          <w:lang w:eastAsia="bg-BG" w:bidi="bg-BG"/>
        </w:rPr>
        <w:t>клинично значима сърдечна недостатъчност с намалена лявокамерна фракция на изтласкване;</w:t>
      </w:r>
    </w:p>
    <w:p w14:paraId="67500A8A" w14:textId="77777777" w:rsidR="00B21C93" w:rsidRPr="002C1234" w:rsidRDefault="00B21C93" w:rsidP="00B21C93">
      <w:pPr>
        <w:pStyle w:val="BodyText"/>
        <w:numPr>
          <w:ilvl w:val="0"/>
          <w:numId w:val="17"/>
        </w:numPr>
        <w:tabs>
          <w:tab w:val="left" w:pos="462"/>
          <w:tab w:val="left" w:pos="513"/>
        </w:tabs>
        <w:spacing w:after="40" w:line="261" w:lineRule="exact"/>
        <w:ind w:firstLine="180"/>
        <w:rPr>
          <w:rFonts w:cs="Arial"/>
        </w:rPr>
      </w:pPr>
      <w:r w:rsidRPr="002C1234">
        <w:rPr>
          <w:rFonts w:cs="Arial"/>
          <w:color w:val="000000"/>
          <w:lang w:eastAsia="bg-BG" w:bidi="bg-BG"/>
        </w:rPr>
        <w:t>анамнеза за симптоматични аритмии.</w:t>
      </w:r>
    </w:p>
    <w:p w14:paraId="04B14A92" w14:textId="77777777" w:rsidR="00B21C93" w:rsidRPr="002C1234" w:rsidRDefault="00B21C93" w:rsidP="00B21C93">
      <w:pPr>
        <w:pStyle w:val="BodyText"/>
        <w:spacing w:after="300" w:line="261" w:lineRule="exact"/>
        <w:ind w:left="180"/>
        <w:rPr>
          <w:rFonts w:cs="Arial"/>
        </w:rPr>
      </w:pPr>
      <w:r w:rsidRPr="002C1234">
        <w:rPr>
          <w:rFonts w:cs="Arial"/>
          <w:color w:val="000000"/>
          <w:lang w:eastAsia="bg-BG" w:bidi="bg-BG"/>
        </w:rPr>
        <w:t xml:space="preserve">Моксифлоксацин не трябва да се използва заедно с други лекарства, които удължават </w:t>
      </w:r>
      <w:r w:rsidRPr="002C1234">
        <w:rPr>
          <w:rFonts w:cs="Arial"/>
          <w:color w:val="000000"/>
          <w:lang w:bidi="en-US"/>
        </w:rPr>
        <w:t xml:space="preserve">QT </w:t>
      </w:r>
      <w:r w:rsidRPr="002C1234">
        <w:rPr>
          <w:rFonts w:cs="Arial"/>
          <w:color w:val="000000"/>
          <w:lang w:eastAsia="bg-BG" w:bidi="bg-BG"/>
        </w:rPr>
        <w:t>интервала (вж. точка 4.5).</w:t>
      </w:r>
    </w:p>
    <w:p w14:paraId="20866EE0" w14:textId="77777777" w:rsidR="00B21C93" w:rsidRPr="002C1234" w:rsidRDefault="00B21C93" w:rsidP="00B21C93">
      <w:pPr>
        <w:pStyle w:val="BodyText"/>
        <w:spacing w:after="300" w:line="259" w:lineRule="exact"/>
        <w:rPr>
          <w:rFonts w:cs="Arial"/>
        </w:rPr>
      </w:pPr>
      <w:r w:rsidRPr="002C1234">
        <w:rPr>
          <w:rFonts w:cs="Arial"/>
          <w:color w:val="000000"/>
          <w:lang w:eastAsia="bg-BG" w:bidi="bg-BG"/>
        </w:rPr>
        <w:t xml:space="preserve">Поради ограничените клинични данни, моксифлоксацин е също противопоказан при пациенти с увредена чернодробна функция </w:t>
      </w:r>
      <w:r w:rsidRPr="002C1234">
        <w:rPr>
          <w:rFonts w:cs="Arial"/>
          <w:color w:val="000000"/>
          <w:lang w:bidi="en-US"/>
        </w:rPr>
        <w:t xml:space="preserve">(Child Pugh </w:t>
      </w:r>
      <w:r w:rsidRPr="002C1234">
        <w:rPr>
          <w:rFonts w:cs="Arial"/>
          <w:color w:val="000000"/>
          <w:lang w:eastAsia="bg-BG" w:bidi="bg-BG"/>
        </w:rPr>
        <w:t>С) и при пациенти с повишени трансаминази повече от 5-пъти над горната граница на нормата.</w:t>
      </w:r>
    </w:p>
    <w:p w14:paraId="605844D1" w14:textId="77777777" w:rsidR="00B21C93" w:rsidRPr="00941F31" w:rsidRDefault="00B21C93" w:rsidP="00B21C93">
      <w:pPr>
        <w:pStyle w:val="Heading2"/>
      </w:pPr>
      <w:r w:rsidRPr="00941F31">
        <w:lastRenderedPageBreak/>
        <w:t>4.4 Специални предупреждения и предпазни мерки при употреба</w:t>
      </w:r>
    </w:p>
    <w:p w14:paraId="3554DDAB" w14:textId="77777777" w:rsidR="00B21C93" w:rsidRPr="002C1234" w:rsidRDefault="00B21C93" w:rsidP="00B21C93">
      <w:pPr>
        <w:pStyle w:val="BodyText"/>
        <w:spacing w:after="300" w:line="263" w:lineRule="exact"/>
        <w:rPr>
          <w:rFonts w:cs="Arial"/>
        </w:rPr>
      </w:pPr>
      <w:r w:rsidRPr="002C1234">
        <w:rPr>
          <w:rFonts w:cs="Arial"/>
          <w:color w:val="000000"/>
          <w:lang w:eastAsia="bg-BG" w:bidi="bg-BG"/>
        </w:rPr>
        <w:t>Употребата на моксифлоксацин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 точка 4.8). Лечението на тези пациенти с моксифлоксацин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13C8B780" w14:textId="77777777" w:rsidR="00B21C93" w:rsidRPr="002C1234" w:rsidRDefault="00B21C93" w:rsidP="00B21C93">
      <w:pPr>
        <w:pStyle w:val="BodyText"/>
        <w:spacing w:after="300" w:line="265" w:lineRule="exact"/>
        <w:rPr>
          <w:rFonts w:cs="Arial"/>
        </w:rPr>
      </w:pPr>
      <w:r w:rsidRPr="002C1234">
        <w:rPr>
          <w:rFonts w:cs="Arial"/>
          <w:color w:val="000000"/>
          <w:lang w:eastAsia="bg-BG" w:bidi="bg-BG"/>
        </w:rPr>
        <w:t>Ползата от лечението с моксифлоксацин, особено при не особено тежки инфекции, трябва да бъде внимателно съобразено с информацията, съдържаща се в точка Специални предупреждения и предпазни мерки при употреба.</w:t>
      </w:r>
    </w:p>
    <w:p w14:paraId="16345CD4" w14:textId="7C01517C" w:rsidR="00B21C93" w:rsidRPr="004F14C9" w:rsidRDefault="00B21C93" w:rsidP="004F14C9">
      <w:pPr>
        <w:pStyle w:val="Heading3"/>
        <w:rPr>
          <w:u w:val="single"/>
        </w:rPr>
      </w:pPr>
      <w:r w:rsidRPr="004F14C9">
        <w:rPr>
          <w:u w:val="single"/>
          <w:lang w:eastAsia="bg-BG" w:bidi="bg-BG"/>
        </w:rPr>
        <w:t xml:space="preserve">Удължаване на </w:t>
      </w:r>
      <w:r w:rsidR="00FC3263" w:rsidRPr="004F14C9">
        <w:rPr>
          <w:u w:val="single"/>
          <w:lang w:val="en-US" w:eastAsia="bg-BG" w:bidi="bg-BG"/>
        </w:rPr>
        <w:t>Q</w:t>
      </w:r>
      <w:r w:rsidRPr="004F14C9">
        <w:rPr>
          <w:u w:val="single"/>
          <w:lang w:eastAsia="bg-BG" w:bidi="bg-BG"/>
        </w:rPr>
        <w:t xml:space="preserve">Тс интервала и потенциални клинични състояния свързани с удължаване на </w:t>
      </w:r>
      <w:r w:rsidR="00FC3263" w:rsidRPr="004F14C9">
        <w:rPr>
          <w:u w:val="single"/>
          <w:lang w:val="en-US" w:eastAsia="bg-BG" w:bidi="bg-BG"/>
        </w:rPr>
        <w:t>Q</w:t>
      </w:r>
      <w:r w:rsidRPr="004F14C9">
        <w:rPr>
          <w:u w:val="single"/>
          <w:lang w:eastAsia="bg-BG" w:bidi="bg-BG"/>
        </w:rPr>
        <w:t>Тс интервала</w:t>
      </w:r>
    </w:p>
    <w:p w14:paraId="71D9F4C0" w14:textId="77777777" w:rsidR="00B21C93" w:rsidRPr="002C1234" w:rsidRDefault="00B21C93" w:rsidP="00B21C93">
      <w:pPr>
        <w:pStyle w:val="BodyText"/>
        <w:spacing w:after="40" w:line="253" w:lineRule="exact"/>
        <w:rPr>
          <w:rFonts w:cs="Arial"/>
        </w:rPr>
      </w:pPr>
      <w:r w:rsidRPr="002C1234">
        <w:rPr>
          <w:rFonts w:cs="Arial"/>
          <w:color w:val="000000"/>
          <w:lang w:eastAsia="bg-BG" w:bidi="bg-BG"/>
        </w:rPr>
        <w:t xml:space="preserve">Установено е, че при някои пациенти моксифлоксацин удължава </w:t>
      </w:r>
      <w:r w:rsidRPr="002C1234">
        <w:rPr>
          <w:rFonts w:cs="Arial"/>
          <w:color w:val="000000"/>
          <w:lang w:bidi="en-US"/>
        </w:rPr>
        <w:t xml:space="preserve">QTc </w:t>
      </w:r>
      <w:r w:rsidRPr="002C1234">
        <w:rPr>
          <w:rFonts w:cs="Arial"/>
          <w:color w:val="000000"/>
          <w:lang w:eastAsia="bg-BG" w:bidi="bg-BG"/>
        </w:rPr>
        <w:t xml:space="preserve">интервала на електрокардиограмата. При анализ на ЕКГ изследванията, получени в хода на клинична програма, удължаването на </w:t>
      </w:r>
      <w:r w:rsidRPr="002C1234">
        <w:rPr>
          <w:rFonts w:cs="Arial"/>
          <w:color w:val="000000"/>
          <w:lang w:bidi="en-US"/>
        </w:rPr>
        <w:t xml:space="preserve">QTc </w:t>
      </w:r>
      <w:r w:rsidRPr="002C1234">
        <w:rPr>
          <w:rFonts w:cs="Arial"/>
          <w:color w:val="000000"/>
          <w:lang w:eastAsia="bg-BG" w:bidi="bg-BG"/>
        </w:rPr>
        <w:t xml:space="preserve">при моксифлоксацин е 6 </w:t>
      </w:r>
      <w:r w:rsidRPr="002C1234">
        <w:rPr>
          <w:rFonts w:cs="Arial"/>
          <w:color w:val="000000"/>
          <w:lang w:bidi="en-US"/>
        </w:rPr>
        <w:t xml:space="preserve">msec </w:t>
      </w:r>
      <w:r w:rsidRPr="002C1234">
        <w:rPr>
          <w:rFonts w:cs="Arial"/>
          <w:color w:val="000000"/>
          <w:lang w:eastAsia="bg-BG" w:bidi="bg-BG"/>
        </w:rPr>
        <w:t xml:space="preserve">± 26 </w:t>
      </w:r>
      <w:r w:rsidRPr="002C1234">
        <w:rPr>
          <w:rFonts w:cs="Arial"/>
          <w:color w:val="000000"/>
          <w:lang w:bidi="en-US"/>
        </w:rPr>
        <w:t xml:space="preserve">msec, </w:t>
      </w:r>
      <w:r w:rsidRPr="002C1234">
        <w:rPr>
          <w:rFonts w:cs="Arial"/>
          <w:color w:val="000000"/>
          <w:lang w:eastAsia="bg-BG" w:bidi="bg-BG"/>
        </w:rPr>
        <w:t xml:space="preserve">1,4% в сравнение с началната стойност. Тъй като съществува тенденция жените да имат по-дълъг изходен </w:t>
      </w:r>
      <w:r w:rsidRPr="002C1234">
        <w:rPr>
          <w:rFonts w:cs="Arial"/>
          <w:color w:val="000000"/>
          <w:lang w:bidi="en-US"/>
        </w:rPr>
        <w:t xml:space="preserve">QTc </w:t>
      </w:r>
      <w:r w:rsidRPr="002C1234">
        <w:rPr>
          <w:rFonts w:cs="Arial"/>
          <w:color w:val="000000"/>
          <w:lang w:eastAsia="bg-BG" w:bidi="bg-BG"/>
        </w:rPr>
        <w:t xml:space="preserve">интервал в сравнение с мъжете, е възможно те да са по-чувствителни към лекарства, удължаващи </w:t>
      </w:r>
      <w:r w:rsidRPr="002C1234">
        <w:rPr>
          <w:rFonts w:cs="Arial"/>
          <w:color w:val="000000"/>
          <w:lang w:bidi="en-US"/>
        </w:rPr>
        <w:t xml:space="preserve">QTc </w:t>
      </w:r>
      <w:r w:rsidRPr="002C1234">
        <w:rPr>
          <w:rFonts w:cs="Arial"/>
          <w:color w:val="000000"/>
          <w:lang w:eastAsia="bg-BG" w:bidi="bg-BG"/>
        </w:rPr>
        <w:t xml:space="preserve">интервала. Възможно е пациентите в старческа възраст също да са по- чувствителни към свързани с лекарството ефекти върху </w:t>
      </w:r>
      <w:r w:rsidRPr="002C1234">
        <w:rPr>
          <w:rFonts w:cs="Arial"/>
          <w:color w:val="000000"/>
          <w:lang w:bidi="en-US"/>
        </w:rPr>
        <w:t xml:space="preserve">QT </w:t>
      </w:r>
      <w:r w:rsidRPr="002C1234">
        <w:rPr>
          <w:rFonts w:cs="Arial"/>
          <w:color w:val="000000"/>
          <w:lang w:eastAsia="bg-BG" w:bidi="bg-BG"/>
        </w:rPr>
        <w:t>интервала.</w:t>
      </w:r>
    </w:p>
    <w:p w14:paraId="518F4B61" w14:textId="77777777" w:rsidR="00B21C93" w:rsidRPr="002C1234" w:rsidRDefault="00B21C93" w:rsidP="00B21C93">
      <w:pPr>
        <w:pStyle w:val="BodyText"/>
        <w:spacing w:after="80" w:line="250" w:lineRule="exact"/>
        <w:rPr>
          <w:rFonts w:cs="Arial"/>
        </w:rPr>
      </w:pPr>
      <w:r w:rsidRPr="002C1234">
        <w:rPr>
          <w:rFonts w:cs="Arial"/>
          <w:color w:val="000000"/>
          <w:lang w:eastAsia="bg-BG" w:bidi="bg-BG"/>
        </w:rPr>
        <w:t>Лечение, което намалява нивата на калий, следва да се прилага внимателно при пациенти, получаващи моксифлоксацин (вж. също точка 4.3 и 4.5).</w:t>
      </w:r>
    </w:p>
    <w:p w14:paraId="014BBC28" w14:textId="77777777" w:rsidR="00B21C93" w:rsidRPr="002C1234" w:rsidRDefault="00B21C93" w:rsidP="00B21C93">
      <w:pPr>
        <w:pStyle w:val="BodyText"/>
        <w:spacing w:after="40" w:line="259" w:lineRule="exact"/>
        <w:rPr>
          <w:rFonts w:cs="Arial"/>
        </w:rPr>
      </w:pPr>
      <w:r w:rsidRPr="002C1234">
        <w:rPr>
          <w:rFonts w:cs="Arial"/>
          <w:color w:val="000000"/>
          <w:lang w:eastAsia="bg-BG" w:bidi="bg-BG"/>
        </w:rPr>
        <w:t xml:space="preserve">Моксифлоксацин трябва да се използва внимателно при пациенти с проаритмични състояния (особено жени и пациенти в старческа възраст), като остра исхемия на миокарда или удължаване на </w:t>
      </w:r>
      <w:r w:rsidRPr="002C1234">
        <w:rPr>
          <w:rFonts w:cs="Arial"/>
          <w:color w:val="000000"/>
          <w:lang w:bidi="en-US"/>
        </w:rPr>
        <w:t xml:space="preserve">QT, </w:t>
      </w:r>
      <w:r w:rsidRPr="002C1234">
        <w:rPr>
          <w:rFonts w:cs="Arial"/>
          <w:color w:val="000000"/>
          <w:lang w:eastAsia="bg-BG" w:bidi="bg-BG"/>
        </w:rPr>
        <w:t xml:space="preserve">тъй като това може да доведе до повишен риск от камерни аритмии (вкл. </w:t>
      </w:r>
      <w:r w:rsidRPr="002C1234">
        <w:rPr>
          <w:rFonts w:cs="Arial"/>
          <w:color w:val="000000"/>
          <w:lang w:bidi="en-US"/>
        </w:rPr>
        <w:t xml:space="preserve">torsade de pointes) </w:t>
      </w:r>
      <w:r w:rsidRPr="002C1234">
        <w:rPr>
          <w:rFonts w:cs="Arial"/>
          <w:color w:val="000000"/>
          <w:lang w:eastAsia="bg-BG" w:bidi="bg-BG"/>
        </w:rPr>
        <w:t xml:space="preserve">и сърдечен арест (вж. също точка 4.3). Степента на удължаване </w:t>
      </w:r>
      <w:r w:rsidRPr="002C1234">
        <w:rPr>
          <w:rFonts w:cs="Arial"/>
          <w:smallCaps/>
          <w:color w:val="000000"/>
          <w:lang w:bidi="en-US"/>
        </w:rPr>
        <w:t xml:space="preserve">QT </w:t>
      </w:r>
      <w:r w:rsidRPr="002C1234">
        <w:rPr>
          <w:rFonts w:cs="Arial"/>
          <w:color w:val="000000"/>
          <w:lang w:eastAsia="bg-BG" w:bidi="bg-BG"/>
        </w:rPr>
        <w:t>интервала може да се повиши с повишаване на концентрацията на лекарството. Следоватаелно препоръчителната доза не трябва да се превишава.</w:t>
      </w:r>
    </w:p>
    <w:p w14:paraId="517DFDEE" w14:textId="2605E2DC" w:rsidR="00B21C93" w:rsidRDefault="00B21C93" w:rsidP="00B21C93">
      <w:pPr>
        <w:pStyle w:val="BodyText"/>
        <w:spacing w:after="40" w:line="259" w:lineRule="exact"/>
        <w:rPr>
          <w:rFonts w:cs="Arial"/>
          <w:color w:val="000000"/>
          <w:lang w:eastAsia="bg-BG" w:bidi="bg-BG"/>
        </w:rPr>
      </w:pPr>
      <w:r w:rsidRPr="002C1234">
        <w:rPr>
          <w:rFonts w:cs="Arial"/>
          <w:color w:val="000000"/>
          <w:lang w:eastAsia="bg-BG" w:bidi="bg-BG"/>
        </w:rPr>
        <w:t>При поява на симптоми за сърдечна аритмия по време на терапията с моксифлоксанин лечението трябва да се преустанови и да се направи ЕКГ.</w:t>
      </w:r>
    </w:p>
    <w:p w14:paraId="4ADCD090" w14:textId="77777777" w:rsidR="006F2EC3" w:rsidRPr="002C1234" w:rsidRDefault="006F2EC3" w:rsidP="00B21C93">
      <w:pPr>
        <w:pStyle w:val="BodyText"/>
        <w:spacing w:after="40" w:line="259" w:lineRule="exact"/>
        <w:rPr>
          <w:rFonts w:cs="Arial"/>
        </w:rPr>
      </w:pPr>
    </w:p>
    <w:p w14:paraId="69838487" w14:textId="77777777" w:rsidR="00B21C93" w:rsidRPr="004F14C9" w:rsidRDefault="00B21C93" w:rsidP="004F14C9">
      <w:pPr>
        <w:pStyle w:val="Heading3"/>
        <w:rPr>
          <w:u w:val="single"/>
        </w:rPr>
      </w:pPr>
      <w:r w:rsidRPr="004F14C9">
        <w:rPr>
          <w:u w:val="single"/>
          <w:lang w:eastAsia="bg-BG" w:bidi="bg-BG"/>
        </w:rPr>
        <w:t>Реакции на свръхчувствителност/алергични реакции</w:t>
      </w:r>
    </w:p>
    <w:p w14:paraId="75801804" w14:textId="77777777" w:rsidR="00B21C93" w:rsidRPr="002C1234" w:rsidRDefault="00B21C93" w:rsidP="00B21C93">
      <w:pPr>
        <w:pStyle w:val="BodyText"/>
        <w:spacing w:after="300" w:line="263" w:lineRule="exact"/>
        <w:rPr>
          <w:rFonts w:cs="Arial"/>
        </w:rPr>
      </w:pPr>
      <w:r w:rsidRPr="002C1234">
        <w:rPr>
          <w:rFonts w:cs="Arial"/>
          <w:color w:val="000000"/>
          <w:lang w:eastAsia="bg-BG" w:bidi="bg-BG"/>
        </w:rPr>
        <w:t>Съобщава се за реакции на свръхчувствителност и алергични реакции след първото прилагане, свързани с флуорхинолони, включително моксифлоксацин. Анафилакгичните реакции могат да предизвикат животозастрашаващ шок, дори след първото прилагане. В случаи на клинични прояви на тежки реакции на свръхчувствителност, приемът на моксифлоксацин трябва да се преустанови и трябва да се започне подходящо лечение (напр. лечение на шок).</w:t>
      </w:r>
    </w:p>
    <w:p w14:paraId="4E263DA6" w14:textId="77777777" w:rsidR="00B21C93" w:rsidRPr="004F14C9" w:rsidRDefault="00B21C93" w:rsidP="004F14C9">
      <w:pPr>
        <w:pStyle w:val="Heading3"/>
        <w:rPr>
          <w:u w:val="single"/>
        </w:rPr>
      </w:pPr>
      <w:r w:rsidRPr="004F14C9">
        <w:rPr>
          <w:u w:val="single"/>
          <w:lang w:eastAsia="bg-BG" w:bidi="bg-BG"/>
        </w:rPr>
        <w:t>Тежки чернодробни нарушения</w:t>
      </w:r>
    </w:p>
    <w:p w14:paraId="2C17EE3C" w14:textId="77777777" w:rsidR="00B21C93" w:rsidRPr="002C1234" w:rsidRDefault="00B21C93" w:rsidP="00B21C93">
      <w:pPr>
        <w:pStyle w:val="BodyText"/>
        <w:spacing w:after="40" w:line="263" w:lineRule="exact"/>
        <w:rPr>
          <w:rFonts w:cs="Arial"/>
        </w:rPr>
      </w:pPr>
      <w:r w:rsidRPr="002C1234">
        <w:rPr>
          <w:rFonts w:cs="Arial"/>
          <w:color w:val="000000"/>
          <w:lang w:eastAsia="bg-BG" w:bidi="bg-BG"/>
        </w:rPr>
        <w:t>Докладвани са случаи на фулминантен хепатит, потенциално водещ до животозастрашаваща чернодробна недостатъчност (вкл. случаи с фатален изход) (вж. точка 4.8). Пациентите следва да знаят, че трябва да уведомят своя лекар преди да продължат лечението, ако се появят прояви и симптоми на фулминантен хепатит като бързо развиваща се астения свързана с жълтеница, тъмна урина, склонност към кървене или чернодробна енцефалопатия.</w:t>
      </w:r>
    </w:p>
    <w:p w14:paraId="2D1B40F9" w14:textId="77777777" w:rsidR="00B21C93" w:rsidRPr="002C1234" w:rsidRDefault="00B21C93" w:rsidP="00B21C93">
      <w:pPr>
        <w:pStyle w:val="BodyText"/>
        <w:spacing w:after="300" w:line="263" w:lineRule="exact"/>
        <w:rPr>
          <w:rFonts w:cs="Arial"/>
        </w:rPr>
      </w:pPr>
      <w:r w:rsidRPr="002C1234">
        <w:rPr>
          <w:rFonts w:cs="Arial"/>
          <w:color w:val="000000"/>
          <w:lang w:eastAsia="bg-BG" w:bidi="bg-BG"/>
        </w:rPr>
        <w:lastRenderedPageBreak/>
        <w:t>При поява на индикации за чернодробно увреждане трябва да се направят чернодробни функционални изследвания.</w:t>
      </w:r>
    </w:p>
    <w:p w14:paraId="09986DBF" w14:textId="77777777" w:rsidR="00B21C93" w:rsidRPr="004F14C9" w:rsidRDefault="00B21C93" w:rsidP="004F14C9">
      <w:pPr>
        <w:pStyle w:val="Heading3"/>
        <w:rPr>
          <w:u w:val="single"/>
        </w:rPr>
      </w:pPr>
      <w:r w:rsidRPr="004F14C9">
        <w:rPr>
          <w:u w:val="single"/>
          <w:lang w:eastAsia="bg-BG" w:bidi="bg-BG"/>
        </w:rPr>
        <w:t>Тежки кожни нежелани реакции</w:t>
      </w:r>
    </w:p>
    <w:p w14:paraId="37B6F155" w14:textId="77777777" w:rsidR="00B21C93" w:rsidRPr="002C1234" w:rsidRDefault="00B21C93" w:rsidP="00B21C93">
      <w:pPr>
        <w:pStyle w:val="BodyText"/>
        <w:spacing w:after="340" w:line="261" w:lineRule="exact"/>
        <w:rPr>
          <w:rFonts w:cs="Arial"/>
        </w:rPr>
      </w:pPr>
      <w:r w:rsidRPr="002C1234">
        <w:rPr>
          <w:rFonts w:cs="Arial"/>
          <w:color w:val="000000"/>
          <w:lang w:eastAsia="bg-BG" w:bidi="bg-BG"/>
        </w:rPr>
        <w:t xml:space="preserve">Тежки кожни нежелани реакции </w:t>
      </w:r>
      <w:r w:rsidRPr="002C1234">
        <w:rPr>
          <w:rFonts w:cs="Arial"/>
          <w:color w:val="000000"/>
          <w:lang w:bidi="en-US"/>
        </w:rPr>
        <w:t xml:space="preserve">(severe cutaneous adverse reactions, SCARs), </w:t>
      </w:r>
      <w:r w:rsidRPr="002C1234">
        <w:rPr>
          <w:rFonts w:cs="Arial"/>
          <w:color w:val="000000"/>
          <w:lang w:eastAsia="bg-BG" w:bidi="bg-BG"/>
        </w:rPr>
        <w:t xml:space="preserve">включително токсична епидермална некролиза </w:t>
      </w:r>
      <w:r w:rsidRPr="002C1234">
        <w:rPr>
          <w:rFonts w:cs="Arial"/>
          <w:color w:val="000000"/>
          <w:lang w:bidi="en-US"/>
        </w:rPr>
        <w:t xml:space="preserve">(toxic epidermal necrolysis, TEN: </w:t>
      </w:r>
      <w:r w:rsidRPr="002C1234">
        <w:rPr>
          <w:rFonts w:cs="Arial"/>
          <w:color w:val="000000"/>
          <w:lang w:eastAsia="bg-BG" w:bidi="bg-BG"/>
        </w:rPr>
        <w:t xml:space="preserve">известна още като синдром на </w:t>
      </w:r>
      <w:r w:rsidRPr="002C1234">
        <w:rPr>
          <w:rFonts w:cs="Arial"/>
          <w:color w:val="000000"/>
          <w:lang w:bidi="en-US"/>
        </w:rPr>
        <w:t xml:space="preserve">Lyell), </w:t>
      </w:r>
      <w:r w:rsidRPr="002C1234">
        <w:rPr>
          <w:rFonts w:cs="Arial"/>
          <w:color w:val="000000"/>
          <w:lang w:eastAsia="bg-BG" w:bidi="bg-BG"/>
        </w:rPr>
        <w:t xml:space="preserve">синдром на </w:t>
      </w:r>
      <w:r w:rsidRPr="002C1234">
        <w:rPr>
          <w:rFonts w:cs="Arial"/>
          <w:color w:val="000000"/>
          <w:lang w:bidi="en-US"/>
        </w:rPr>
        <w:t xml:space="preserve">Stevens Johnson (Stevens Johnson syndrome, SJS) </w:t>
      </w:r>
      <w:r w:rsidRPr="002C1234">
        <w:rPr>
          <w:rFonts w:cs="Arial"/>
          <w:color w:val="000000"/>
          <w:lang w:eastAsia="bg-BG" w:bidi="bg-BG"/>
        </w:rPr>
        <w:t xml:space="preserve">и остра генерализирана екзантематозна пустулоза </w:t>
      </w:r>
      <w:r w:rsidRPr="002C1234">
        <w:rPr>
          <w:rFonts w:cs="Arial"/>
          <w:color w:val="000000"/>
          <w:lang w:bidi="en-US"/>
        </w:rPr>
        <w:t xml:space="preserve">(acute generalised exanthematous pustulosis, AGEP), </w:t>
      </w:r>
      <w:r w:rsidRPr="002C1234">
        <w:rPr>
          <w:rFonts w:cs="Arial"/>
          <w:color w:val="000000"/>
          <w:lang w:eastAsia="bg-BG" w:bidi="bg-BG"/>
        </w:rPr>
        <w:t xml:space="preserve">които могат да бъдат животозастрашаващи или с летален изход, са съобщавани при приложение на моксифлоксацин (вж. точка 4.8). Към момента на предписване пациентът трябва да бъде информиран относно признаците и симптомите на тежки кожни реакции, и да бъде внимателно проследяван. Ако се появят признаци и симптоми, показателни за тези реакции, приложението на моксифлоксацин трябва бъде преустановено незабавно, и да се обмисли алтернативно лечение. Ако пациентът е развил сериозна реакция като </w:t>
      </w:r>
      <w:r w:rsidRPr="002C1234">
        <w:rPr>
          <w:rFonts w:cs="Arial"/>
          <w:color w:val="000000"/>
          <w:lang w:bidi="en-US"/>
        </w:rPr>
        <w:t xml:space="preserve">SJS, TEN </w:t>
      </w:r>
      <w:r w:rsidRPr="002C1234">
        <w:rPr>
          <w:rFonts w:cs="Arial"/>
          <w:color w:val="000000"/>
          <w:lang w:eastAsia="bg-BG" w:bidi="bg-BG"/>
        </w:rPr>
        <w:t xml:space="preserve">или </w:t>
      </w:r>
      <w:r w:rsidRPr="002C1234">
        <w:rPr>
          <w:rFonts w:cs="Arial"/>
          <w:color w:val="000000"/>
          <w:lang w:bidi="en-US"/>
        </w:rPr>
        <w:t xml:space="preserve">AGEP </w:t>
      </w:r>
      <w:r w:rsidRPr="002C1234">
        <w:rPr>
          <w:rFonts w:cs="Arial"/>
          <w:color w:val="000000"/>
          <w:lang w:eastAsia="bg-BG" w:bidi="bg-BG"/>
        </w:rPr>
        <w:t>при приложение на моксифлоксацин, лечението с моксифлоксацин при този пациент никога не трябва да се възобновява.</w:t>
      </w:r>
    </w:p>
    <w:p w14:paraId="00552585" w14:textId="77777777" w:rsidR="00B21C93" w:rsidRPr="004F14C9" w:rsidRDefault="00B21C93" w:rsidP="004F14C9">
      <w:pPr>
        <w:pStyle w:val="Heading3"/>
        <w:rPr>
          <w:u w:val="single"/>
        </w:rPr>
      </w:pPr>
      <w:r w:rsidRPr="004F14C9">
        <w:rPr>
          <w:u w:val="single"/>
          <w:lang w:eastAsia="bg-BG" w:bidi="bg-BG"/>
        </w:rPr>
        <w:t>Пациенти, предразположени към гърчове</w:t>
      </w:r>
    </w:p>
    <w:p w14:paraId="5D8D1869" w14:textId="77777777" w:rsidR="00B21C93" w:rsidRPr="002C1234" w:rsidRDefault="00B21C93" w:rsidP="00B21C93">
      <w:pPr>
        <w:pStyle w:val="BodyText"/>
        <w:spacing w:after="300" w:line="258" w:lineRule="exact"/>
        <w:rPr>
          <w:rFonts w:cs="Arial"/>
        </w:rPr>
      </w:pPr>
      <w:r w:rsidRPr="002C1234">
        <w:rPr>
          <w:rFonts w:cs="Arial"/>
          <w:color w:val="000000"/>
          <w:lang w:eastAsia="bg-BG" w:bidi="bg-BG"/>
        </w:rPr>
        <w:t>Известно е, че хинолоните причиняват гърчове. Използването трябва да бъде внимателно при пациенти с нарушения на ЦНС или при наличие на други рискови фактори, които могат да предразполагат към гърчове или снижават прага на възбудимост. В случаи на гърчове лечението с моксифлоксацин трябва да се прекрати и да се вземат подходящи мерки.</w:t>
      </w:r>
    </w:p>
    <w:p w14:paraId="08EE5DB9" w14:textId="77777777" w:rsidR="00B21C93" w:rsidRPr="002C1234" w:rsidRDefault="00B21C93" w:rsidP="00B21C93">
      <w:pPr>
        <w:pStyle w:val="BodyText"/>
        <w:spacing w:after="40" w:line="261" w:lineRule="exact"/>
        <w:rPr>
          <w:rFonts w:cs="Arial"/>
        </w:rPr>
      </w:pPr>
      <w:r w:rsidRPr="002C1234">
        <w:rPr>
          <w:rFonts w:cs="Arial"/>
          <w:color w:val="000000"/>
          <w:lang w:eastAsia="bg-BG" w:bidi="bg-BG"/>
        </w:rPr>
        <w:t>Продължителни, инвалидизиращи и потенциално необратими сериозни нежелани лекарствени реакции</w:t>
      </w:r>
    </w:p>
    <w:p w14:paraId="3B8E4172" w14:textId="77777777" w:rsidR="00B21C93" w:rsidRPr="002C1234" w:rsidRDefault="00B21C93" w:rsidP="00B21C93">
      <w:pPr>
        <w:pStyle w:val="BodyText"/>
        <w:spacing w:after="340" w:line="261" w:lineRule="exact"/>
        <w:rPr>
          <w:rFonts w:cs="Arial"/>
        </w:rPr>
      </w:pPr>
      <w:r w:rsidRPr="002C1234">
        <w:rPr>
          <w:rFonts w:cs="Arial"/>
          <w:color w:val="000000"/>
          <w:lang w:eastAsia="bg-BG" w:bidi="bg-BG"/>
        </w:rPr>
        <w:t>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фактори. Моксифлоксацин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5B7197F1" w14:textId="77777777" w:rsidR="00B21C93" w:rsidRPr="004F14C9" w:rsidRDefault="00B21C93" w:rsidP="004F14C9">
      <w:pPr>
        <w:pStyle w:val="Heading3"/>
        <w:rPr>
          <w:u w:val="single"/>
        </w:rPr>
      </w:pPr>
      <w:r w:rsidRPr="004F14C9">
        <w:rPr>
          <w:u w:val="single"/>
          <w:lang w:eastAsia="bg-BG" w:bidi="bg-BG"/>
        </w:rPr>
        <w:t>Периферна невропатия</w:t>
      </w:r>
    </w:p>
    <w:p w14:paraId="2FDED71D" w14:textId="77777777" w:rsidR="00B21C93" w:rsidRPr="002C1234" w:rsidRDefault="00B21C93" w:rsidP="00B21C93">
      <w:pPr>
        <w:pStyle w:val="BodyText"/>
        <w:tabs>
          <w:tab w:val="left" w:pos="9340"/>
        </w:tabs>
        <w:spacing w:line="263" w:lineRule="exact"/>
        <w:rPr>
          <w:rFonts w:cs="Arial"/>
        </w:rPr>
      </w:pPr>
      <w:r w:rsidRPr="002C1234">
        <w:rPr>
          <w:rFonts w:cs="Arial"/>
          <w:color w:val="000000"/>
          <w:lang w:eastAsia="bg-BG" w:bidi="bg-BG"/>
        </w:rPr>
        <w:t xml:space="preserve">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w:t>
      </w:r>
      <w:r w:rsidRPr="002C1234">
        <w:rPr>
          <w:rFonts w:cs="Arial"/>
          <w:color w:val="000000"/>
          <w:lang w:bidi="en-US"/>
        </w:rPr>
        <w:t>флуорохинолони</w:t>
      </w:r>
      <w:r w:rsidRPr="002C1234">
        <w:rPr>
          <w:rFonts w:cs="Arial"/>
          <w:color w:val="000000"/>
          <w:lang w:eastAsia="bg-BG" w:bidi="bg-BG"/>
        </w:rPr>
        <w:t xml:space="preserve"> Пациентите, които приемат моксифлоксацин, трябва да бъдат посъветвани да информират своя лекар, преди да продължат лечението, ако се появят симптоми на невропатия, като болка,</w:t>
      </w:r>
    </w:p>
    <w:p w14:paraId="12EF2FDB" w14:textId="77777777" w:rsidR="00B21C93" w:rsidRPr="002C1234" w:rsidRDefault="00B21C93" w:rsidP="00B21C93">
      <w:pPr>
        <w:pStyle w:val="BodyText"/>
        <w:tabs>
          <w:tab w:val="left" w:pos="7567"/>
          <w:tab w:val="left" w:pos="9340"/>
        </w:tabs>
        <w:spacing w:after="40" w:line="263" w:lineRule="exact"/>
        <w:rPr>
          <w:rFonts w:cs="Arial"/>
        </w:rPr>
      </w:pPr>
      <w:r w:rsidRPr="002C1234">
        <w:rPr>
          <w:rFonts w:cs="Arial"/>
          <w:color w:val="000000"/>
          <w:lang w:eastAsia="bg-BG" w:bidi="bg-BG"/>
        </w:rPr>
        <w:t>усещане за парене, мравучкане, изтръпване или слабост, за да се предотврати развитието</w:t>
      </w:r>
      <w:r w:rsidRPr="002C1234">
        <w:rPr>
          <w:rFonts w:eastAsia="Arial" w:cs="Arial"/>
          <w:color w:val="000000"/>
          <w:lang w:eastAsia="bg-BG" w:bidi="bg-BG"/>
        </w:rPr>
        <w:t xml:space="preserve"> </w:t>
      </w:r>
      <w:r w:rsidRPr="002C1234">
        <w:rPr>
          <w:rFonts w:cs="Arial"/>
          <w:color w:val="000000"/>
          <w:lang w:eastAsia="bg-BG" w:bidi="bg-BG"/>
        </w:rPr>
        <w:t>потенциално необратимо заболяване (вж. точка 4.8).</w:t>
      </w:r>
    </w:p>
    <w:p w14:paraId="7D0BA07F" w14:textId="77777777" w:rsidR="00B21C93" w:rsidRPr="004F14C9" w:rsidRDefault="00B21C93" w:rsidP="004F14C9">
      <w:pPr>
        <w:pStyle w:val="Heading3"/>
        <w:rPr>
          <w:u w:val="single"/>
        </w:rPr>
      </w:pPr>
      <w:r w:rsidRPr="004F14C9">
        <w:rPr>
          <w:u w:val="single"/>
          <w:lang w:eastAsia="bg-BG" w:bidi="bg-BG"/>
        </w:rPr>
        <w:t>Психични реакции</w:t>
      </w:r>
    </w:p>
    <w:p w14:paraId="42193454" w14:textId="77777777" w:rsidR="00B21C93" w:rsidRPr="002C1234" w:rsidRDefault="00B21C93" w:rsidP="00B21C93">
      <w:pPr>
        <w:pStyle w:val="BodyText"/>
        <w:spacing w:after="360" w:line="261" w:lineRule="exact"/>
        <w:rPr>
          <w:rFonts w:cs="Arial"/>
        </w:rPr>
      </w:pPr>
      <w:r w:rsidRPr="002C1234">
        <w:rPr>
          <w:rFonts w:cs="Arial"/>
          <w:color w:val="000000"/>
          <w:lang w:eastAsia="bg-BG" w:bidi="bg-BG"/>
        </w:rPr>
        <w:t xml:space="preserve">Възможна е поява на психични реакции дори след първото приложение на хинолони, включително моксифлоксацин. В много редки случаи депресия или психотични реакции могат да прогресират до самоубийствени мисли или самонараняващо поведение, като </w:t>
      </w:r>
      <w:r w:rsidRPr="002C1234">
        <w:rPr>
          <w:rFonts w:cs="Arial"/>
          <w:color w:val="000000"/>
          <w:lang w:eastAsia="bg-BG" w:bidi="bg-BG"/>
        </w:rPr>
        <w:lastRenderedPageBreak/>
        <w:t>опити за самоубийство (вж. точка 4.8). В случай че пациентът развие такива реакции лечението с моксифлоксацин трябва да се прекрати и да се вземат подходящи мерки. Препоръчително е моксифлоксацин да се използва с внимание при психотични пациенти или при пациенти с анамнеза за психични заболявания.</w:t>
      </w:r>
    </w:p>
    <w:p w14:paraId="5BF94EA9" w14:textId="77777777" w:rsidR="00B21C93" w:rsidRPr="004F14C9" w:rsidRDefault="00B21C93" w:rsidP="004F14C9">
      <w:pPr>
        <w:pStyle w:val="Heading3"/>
        <w:rPr>
          <w:u w:val="single"/>
        </w:rPr>
      </w:pPr>
      <w:r w:rsidRPr="004F14C9">
        <w:rPr>
          <w:u w:val="single"/>
          <w:lang w:eastAsia="bg-BG" w:bidi="bg-BG"/>
        </w:rPr>
        <w:t>Диария свързана с антибиотик, вкл. колит</w:t>
      </w:r>
    </w:p>
    <w:p w14:paraId="064B8290" w14:textId="77777777" w:rsidR="00B21C93" w:rsidRPr="002C1234" w:rsidRDefault="00B21C93" w:rsidP="00B21C93">
      <w:pPr>
        <w:pStyle w:val="BodyText"/>
        <w:spacing w:after="280" w:line="254" w:lineRule="exact"/>
        <w:rPr>
          <w:rFonts w:cs="Arial"/>
        </w:rPr>
      </w:pPr>
      <w:r w:rsidRPr="002C1234">
        <w:rPr>
          <w:rFonts w:cs="Arial"/>
          <w:color w:val="000000"/>
          <w:lang w:eastAsia="bg-BG" w:bidi="bg-BG"/>
        </w:rPr>
        <w:t xml:space="preserve">Има съобщения за свързана с антибиотика диария </w:t>
      </w:r>
      <w:r w:rsidRPr="002C1234">
        <w:rPr>
          <w:rFonts w:cs="Arial"/>
          <w:color w:val="000000"/>
          <w:lang w:bidi="en-US"/>
        </w:rPr>
        <w:t xml:space="preserve">(AAD) </w:t>
      </w:r>
      <w:r w:rsidRPr="002C1234">
        <w:rPr>
          <w:rFonts w:cs="Arial"/>
          <w:color w:val="000000"/>
          <w:lang w:eastAsia="bg-BG" w:bidi="bg-BG"/>
        </w:rPr>
        <w:t xml:space="preserve">и свързан с антибиотика колит (ААС), включително псевдомембранозен колит и свързана с </w:t>
      </w:r>
      <w:r w:rsidRPr="002C1234">
        <w:rPr>
          <w:rFonts w:cs="Arial"/>
          <w:i/>
          <w:iCs/>
          <w:color w:val="000000"/>
          <w:lang w:bidi="en-US"/>
        </w:rPr>
        <w:t>Clostridium difficile</w:t>
      </w:r>
      <w:r w:rsidRPr="002C1234">
        <w:rPr>
          <w:rFonts w:cs="Arial"/>
          <w:color w:val="000000"/>
          <w:lang w:bidi="en-US"/>
        </w:rPr>
        <w:t xml:space="preserve"> </w:t>
      </w:r>
      <w:r w:rsidRPr="002C1234">
        <w:rPr>
          <w:rFonts w:cs="Arial"/>
          <w:color w:val="000000"/>
          <w:lang w:eastAsia="bg-BG" w:bidi="bg-BG"/>
        </w:rPr>
        <w:t>диария, при използването на широко-спектърни антибиотици, включително моксифлоксацин, които могат да варират по тежест от лека диария до фатален колит. Ето защо е важно да се има предвид тази диагноза при пациенти, които имат тежка диария по време или след използването на моксифлоксацин. Ако се подозира или потвърди свързана с антибиотика диария или свързан с антибиотика колит трябва да се прекрати провежданото в момента лечение с антибактериални средства, включително моксифлоксацин, и незабавно да се предприемат адекватни терапевтични мерки. Допълнително трябва да бъдат предприети подходящи мерки за контрол на инфекцията, за да се намали риска от предаването й. Лекарства, които потискат перисталтиката, са противопоказани при пациенти, които имат тежка диария.</w:t>
      </w:r>
    </w:p>
    <w:p w14:paraId="19DC87A3" w14:textId="77777777" w:rsidR="00B21C93" w:rsidRPr="004F14C9" w:rsidRDefault="00B21C93" w:rsidP="004F14C9">
      <w:pPr>
        <w:pStyle w:val="Heading3"/>
        <w:rPr>
          <w:u w:val="single"/>
        </w:rPr>
      </w:pPr>
      <w:r w:rsidRPr="004F14C9">
        <w:rPr>
          <w:u w:val="single"/>
          <w:lang w:eastAsia="bg-BG" w:bidi="bg-BG"/>
        </w:rPr>
        <w:t>Пациенти с миастения гравис</w:t>
      </w:r>
    </w:p>
    <w:p w14:paraId="3C4C29F8" w14:textId="77777777" w:rsidR="00B21C93" w:rsidRPr="002C1234" w:rsidRDefault="00B21C93" w:rsidP="00B21C93">
      <w:pPr>
        <w:pStyle w:val="BodyText"/>
        <w:spacing w:after="280" w:line="256" w:lineRule="exact"/>
        <w:rPr>
          <w:rFonts w:cs="Arial"/>
        </w:rPr>
      </w:pPr>
      <w:r w:rsidRPr="002C1234">
        <w:rPr>
          <w:rFonts w:cs="Arial"/>
          <w:color w:val="000000"/>
          <w:lang w:eastAsia="bg-BG" w:bidi="bg-BG"/>
        </w:rPr>
        <w:t>Моксифлоксацин трябва да се използва с повишено внимание при пациенти с миастения гравис, понеже може да засили симптомите им.</w:t>
      </w:r>
    </w:p>
    <w:p w14:paraId="50F2D9F2" w14:textId="77777777" w:rsidR="00B21C93" w:rsidRPr="004F14C9" w:rsidRDefault="00B21C93" w:rsidP="004F14C9">
      <w:pPr>
        <w:pStyle w:val="Heading3"/>
        <w:rPr>
          <w:u w:val="single"/>
        </w:rPr>
      </w:pPr>
      <w:r w:rsidRPr="004F14C9">
        <w:rPr>
          <w:u w:val="single"/>
          <w:lang w:eastAsia="bg-BG" w:bidi="bg-BG"/>
        </w:rPr>
        <w:t>Тендинит и разкъсване иа сухожилие</w:t>
      </w:r>
    </w:p>
    <w:p w14:paraId="0FA0045D" w14:textId="77777777" w:rsidR="00B21C93" w:rsidRPr="002C1234" w:rsidRDefault="00B21C93" w:rsidP="00B21C93">
      <w:pPr>
        <w:pStyle w:val="BodyText"/>
        <w:spacing w:after="40" w:line="252" w:lineRule="exact"/>
        <w:rPr>
          <w:rFonts w:cs="Arial"/>
        </w:rPr>
      </w:pPr>
      <w:r w:rsidRPr="002C1234">
        <w:rPr>
          <w:rFonts w:cs="Arial"/>
          <w:color w:val="000000"/>
          <w:lang w:eastAsia="bg-BG" w:bidi="bg-BG"/>
        </w:rPr>
        <w:t>Тендинит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до няколко месеца след прекратяване на лечението.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w:t>
      </w:r>
    </w:p>
    <w:p w14:paraId="08D42966" w14:textId="77777777" w:rsidR="00B21C93" w:rsidRPr="002C1234" w:rsidRDefault="00B21C93" w:rsidP="00B21C93">
      <w:pPr>
        <w:pStyle w:val="BodyText"/>
        <w:spacing w:after="280" w:line="252" w:lineRule="exact"/>
        <w:rPr>
          <w:rFonts w:cs="Arial"/>
        </w:rPr>
      </w:pPr>
      <w:r w:rsidRPr="002C1234">
        <w:rPr>
          <w:rFonts w:cs="Arial"/>
          <w:color w:val="000000"/>
          <w:lang w:eastAsia="bg-BG" w:bidi="bg-BG"/>
        </w:rPr>
        <w:t>При първия признак на тендинит (напр. болезнено подуване, възпаление) лечението с моксифлоксацин трябва да се прекрати и да се обмисли алтернативно лечение. 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тендинопатия.</w:t>
      </w:r>
    </w:p>
    <w:p w14:paraId="4E44D7B7" w14:textId="77777777" w:rsidR="00B21C93" w:rsidRPr="004F14C9" w:rsidRDefault="00B21C93" w:rsidP="004F14C9">
      <w:pPr>
        <w:pStyle w:val="Heading3"/>
        <w:rPr>
          <w:u w:val="single"/>
        </w:rPr>
      </w:pPr>
      <w:r w:rsidRPr="004F14C9">
        <w:rPr>
          <w:u w:val="single"/>
          <w:lang w:eastAsia="bg-BG" w:bidi="bg-BG"/>
        </w:rPr>
        <w:t>Аневризма и дисекация на аортата</w:t>
      </w:r>
    </w:p>
    <w:p w14:paraId="42146105" w14:textId="77777777" w:rsidR="00B21C93" w:rsidRPr="004F14C9" w:rsidRDefault="00B21C93" w:rsidP="00B21C93">
      <w:pPr>
        <w:pStyle w:val="BodyText"/>
        <w:spacing w:after="280" w:line="252" w:lineRule="exact"/>
        <w:rPr>
          <w:rFonts w:cs="Arial"/>
        </w:rPr>
      </w:pPr>
      <w:r w:rsidRPr="004F14C9">
        <w:rPr>
          <w:rFonts w:cs="Arial"/>
          <w:color w:val="000000"/>
          <w:lang w:eastAsia="bg-BG" w:bidi="bg-BG"/>
        </w:rPr>
        <w:t>Епидемиологичните проучвания показват повишен риск от аневризма и дисекапия на аортата след прием на флуорохинолони, особено при по-възрастната популация.</w:t>
      </w:r>
    </w:p>
    <w:p w14:paraId="22DAD8FB" w14:textId="77777777" w:rsidR="00B21C93" w:rsidRPr="004F14C9" w:rsidRDefault="00B21C93" w:rsidP="00B21C93">
      <w:pPr>
        <w:pStyle w:val="BodyText"/>
        <w:spacing w:after="40" w:line="253" w:lineRule="exact"/>
        <w:rPr>
          <w:rFonts w:cs="Arial"/>
        </w:rPr>
      </w:pPr>
      <w:r w:rsidRPr="004F14C9">
        <w:rPr>
          <w:rFonts w:cs="Arial"/>
          <w:color w:val="000000"/>
          <w:lang w:eastAsia="bg-BG" w:bidi="bg-BG"/>
        </w:rPr>
        <w:t xml:space="preserve">Затова флуорохинолоните трябва да се използват само след внимателна оценка на съотношението полза/риск и след разглеждане на други терапевтични възможности при пациенти с положителна фамилна анамнеза за аневризма или при пациенти, диагностицирани с предшестваща аневризма и/или дисекация на аортата или при наличие на други рискови фактори или заболявания, предразполагащи към аневризма и дисекация на аортата (напр. синдром на </w:t>
      </w:r>
      <w:r w:rsidRPr="004F14C9">
        <w:rPr>
          <w:rFonts w:cs="Arial"/>
          <w:color w:val="000000"/>
          <w:lang w:bidi="en-US"/>
        </w:rPr>
        <w:t xml:space="preserve">Marfan, </w:t>
      </w:r>
      <w:r w:rsidRPr="004F14C9">
        <w:rPr>
          <w:rFonts w:cs="Arial"/>
          <w:color w:val="000000"/>
          <w:lang w:eastAsia="bg-BG" w:bidi="bg-BG"/>
        </w:rPr>
        <w:t xml:space="preserve">васкуларен синдром на </w:t>
      </w:r>
      <w:r w:rsidRPr="004F14C9">
        <w:rPr>
          <w:rFonts w:cs="Arial"/>
          <w:color w:val="000000"/>
          <w:lang w:bidi="en-US"/>
        </w:rPr>
        <w:t xml:space="preserve">Ehlers-Danlos, </w:t>
      </w:r>
      <w:r w:rsidRPr="004F14C9">
        <w:rPr>
          <w:rFonts w:cs="Arial"/>
          <w:color w:val="000000"/>
          <w:lang w:eastAsia="bg-BG" w:bidi="bg-BG"/>
        </w:rPr>
        <w:lastRenderedPageBreak/>
        <w:t xml:space="preserve">артериит на </w:t>
      </w:r>
      <w:r w:rsidRPr="004F14C9">
        <w:rPr>
          <w:rFonts w:cs="Arial"/>
          <w:color w:val="000000"/>
          <w:lang w:bidi="en-US"/>
        </w:rPr>
        <w:t xml:space="preserve">Takayasu, </w:t>
      </w:r>
      <w:r w:rsidRPr="004F14C9">
        <w:rPr>
          <w:rFonts w:cs="Arial"/>
          <w:color w:val="000000"/>
          <w:lang w:eastAsia="bg-BG" w:bidi="bg-BG"/>
        </w:rPr>
        <w:t xml:space="preserve">гигантоклетъчен артериит, болест на </w:t>
      </w:r>
      <w:r w:rsidRPr="004F14C9">
        <w:rPr>
          <w:rFonts w:cs="Arial"/>
          <w:color w:val="000000"/>
          <w:lang w:bidi="en-US"/>
        </w:rPr>
        <w:t xml:space="preserve">Behcet, </w:t>
      </w:r>
      <w:r w:rsidRPr="004F14C9">
        <w:rPr>
          <w:rFonts w:cs="Arial"/>
          <w:color w:val="000000"/>
          <w:lang w:eastAsia="bg-BG" w:bidi="bg-BG"/>
        </w:rPr>
        <w:t>хипертония, известна атеросклероза).</w:t>
      </w:r>
    </w:p>
    <w:p w14:paraId="40C2D8B2" w14:textId="77777777" w:rsidR="00B21C93" w:rsidRPr="002C1234" w:rsidRDefault="00B21C93" w:rsidP="00B21C93">
      <w:pPr>
        <w:pStyle w:val="BodyText"/>
        <w:tabs>
          <w:tab w:val="left" w:pos="7493"/>
        </w:tabs>
        <w:spacing w:after="200" w:line="212" w:lineRule="exact"/>
        <w:rPr>
          <w:rFonts w:cs="Arial"/>
          <w:color w:val="000000"/>
          <w:u w:val="single"/>
          <w:lang w:eastAsia="bg-BG" w:bidi="bg-BG"/>
        </w:rPr>
      </w:pPr>
    </w:p>
    <w:p w14:paraId="0DFFF165" w14:textId="77777777" w:rsidR="00B21C93" w:rsidRPr="004F14C9" w:rsidRDefault="00B21C93" w:rsidP="00B21C93">
      <w:pPr>
        <w:pStyle w:val="BodyText"/>
        <w:tabs>
          <w:tab w:val="left" w:pos="7493"/>
        </w:tabs>
        <w:spacing w:after="200" w:line="212" w:lineRule="exact"/>
        <w:rPr>
          <w:rFonts w:cs="Arial"/>
        </w:rPr>
      </w:pPr>
      <w:r w:rsidRPr="004F14C9">
        <w:rPr>
          <w:rFonts w:cs="Arial"/>
          <w:color w:val="000000"/>
          <w:lang w:eastAsia="bg-BG" w:bidi="bg-BG"/>
        </w:rPr>
        <w:t>В случай на внезапна болка в корема, гръдния кош или гърба пациентите трябва да бъдат посъветвани да се консултирал незабавно с лекар в спешно отделение.</w:t>
      </w:r>
    </w:p>
    <w:p w14:paraId="2EDC632B" w14:textId="77777777" w:rsidR="00B21C93" w:rsidRPr="002C1234" w:rsidRDefault="00B21C93" w:rsidP="00B21C93">
      <w:pPr>
        <w:rPr>
          <w:rFonts w:ascii="Arial" w:hAnsi="Arial" w:cs="Arial"/>
        </w:rPr>
      </w:pPr>
    </w:p>
    <w:p w14:paraId="57D53A4B" w14:textId="5E07128B" w:rsidR="00B21C93" w:rsidRPr="001D3845" w:rsidRDefault="00B21C93" w:rsidP="001D3845">
      <w:pPr>
        <w:pStyle w:val="Heading3"/>
        <w:rPr>
          <w:u w:val="single"/>
        </w:rPr>
      </w:pPr>
      <w:r w:rsidRPr="001D3845">
        <w:rPr>
          <w:u w:val="single"/>
          <w:lang w:eastAsia="bg-BG" w:bidi="bg-BG"/>
        </w:rPr>
        <w:t>Па</w:t>
      </w:r>
      <w:r w:rsidR="001D3845" w:rsidRPr="001D3845">
        <w:rPr>
          <w:u w:val="single"/>
          <w:lang w:eastAsia="bg-BG" w:bidi="bg-BG"/>
        </w:rPr>
        <w:t>ци</w:t>
      </w:r>
      <w:r w:rsidRPr="001D3845">
        <w:rPr>
          <w:u w:val="single"/>
          <w:lang w:eastAsia="bg-BG" w:bidi="bg-BG"/>
        </w:rPr>
        <w:t xml:space="preserve">енти </w:t>
      </w:r>
      <w:r w:rsidRPr="001D3845">
        <w:rPr>
          <w:u w:val="single"/>
          <w:lang w:bidi="en-US"/>
        </w:rPr>
        <w:t xml:space="preserve">c </w:t>
      </w:r>
      <w:r w:rsidRPr="001D3845">
        <w:rPr>
          <w:u w:val="single"/>
          <w:lang w:eastAsia="bg-BG" w:bidi="bg-BG"/>
        </w:rPr>
        <w:t>бъбречно нарушение</w:t>
      </w:r>
    </w:p>
    <w:p w14:paraId="2A2A28A3" w14:textId="77777777" w:rsidR="00B21C93" w:rsidRPr="002C1234" w:rsidRDefault="00B21C93" w:rsidP="00B21C93">
      <w:pPr>
        <w:pStyle w:val="BodyText"/>
        <w:rPr>
          <w:rFonts w:cs="Arial"/>
        </w:rPr>
      </w:pPr>
      <w:r w:rsidRPr="002C1234">
        <w:rPr>
          <w:rFonts w:cs="Arial"/>
          <w:color w:val="000000"/>
          <w:lang w:eastAsia="bg-BG" w:bidi="bg-BG"/>
        </w:rPr>
        <w:t>Пациенти в старческа възраст с бъбречни нарушения трябва да използват моксифлоксацин внимателно, ако не могат да поддържат адекватен прием на течности, защото дехидратацията може да повиши риска от бъбречна недостатъчност.</w:t>
      </w:r>
    </w:p>
    <w:p w14:paraId="2E65C371" w14:textId="77777777" w:rsidR="00B21C93" w:rsidRPr="001D3845" w:rsidRDefault="00B21C93" w:rsidP="001D3845">
      <w:pPr>
        <w:pStyle w:val="Heading3"/>
        <w:rPr>
          <w:u w:val="single"/>
        </w:rPr>
      </w:pPr>
      <w:r w:rsidRPr="001D3845">
        <w:rPr>
          <w:u w:val="single"/>
          <w:lang w:eastAsia="bg-BG" w:bidi="bg-BG"/>
        </w:rPr>
        <w:t>Зрителни нарушения</w:t>
      </w:r>
    </w:p>
    <w:p w14:paraId="110791CE" w14:textId="77777777" w:rsidR="00B21C93" w:rsidRPr="002C1234" w:rsidRDefault="00B21C93" w:rsidP="00B21C93">
      <w:pPr>
        <w:pStyle w:val="BodyText"/>
        <w:rPr>
          <w:rFonts w:cs="Arial"/>
        </w:rPr>
      </w:pPr>
      <w:r w:rsidRPr="002C1234">
        <w:rPr>
          <w:rFonts w:cs="Arial"/>
          <w:color w:val="000000"/>
          <w:lang w:eastAsia="bg-BG" w:bidi="bg-BG"/>
        </w:rPr>
        <w:t>При поява на увреждане на зрението или каквито и да е ефекти върху очите, незабавно трябва да се потърси консултация с офталмолог (вж. точка 4.7 и 4.8).</w:t>
      </w:r>
    </w:p>
    <w:p w14:paraId="6A7157D0" w14:textId="77777777" w:rsidR="00B21C93" w:rsidRPr="001D3845" w:rsidRDefault="00B21C93" w:rsidP="001D3845">
      <w:pPr>
        <w:pStyle w:val="Heading3"/>
        <w:rPr>
          <w:u w:val="single"/>
        </w:rPr>
      </w:pPr>
      <w:r w:rsidRPr="001D3845">
        <w:rPr>
          <w:u w:val="single"/>
          <w:lang w:eastAsia="bg-BG" w:bidi="bg-BG"/>
        </w:rPr>
        <w:t>Дисгликемия</w:t>
      </w:r>
    </w:p>
    <w:p w14:paraId="1942A773" w14:textId="77777777" w:rsidR="00B21C93" w:rsidRPr="002C1234" w:rsidRDefault="00B21C93" w:rsidP="00B21C93">
      <w:pPr>
        <w:pStyle w:val="BodyText"/>
        <w:rPr>
          <w:rFonts w:cs="Arial"/>
        </w:rPr>
      </w:pPr>
      <w:r w:rsidRPr="002C1234">
        <w:rPr>
          <w:rFonts w:cs="Arial"/>
          <w:color w:val="000000"/>
          <w:lang w:eastAsia="bg-BG" w:bidi="bg-BG"/>
        </w:rPr>
        <w:t>Както при всички флуорохинолони, има съобщения за нарушения в нивата на кръвната захар, включващи както хипогликемия, така и хипергликемия (вж. точка 4.8). При пациенти на лечение е моксифлоксацин, дисгликемия възниква предимно при възрастни диабетици, на които се прилага съпътстваща терапия с перорални хипогликемични средства (например сулфонилурея) или с инсулин. Съобщавани са случаи на хипогликемична кома. Препоръчва се внимателно проследяване на глюкозата в кръвта при пациенти с диабет.</w:t>
      </w:r>
    </w:p>
    <w:p w14:paraId="2D1E94EF" w14:textId="77777777" w:rsidR="00B21C93" w:rsidRPr="001D3845" w:rsidRDefault="00B21C93" w:rsidP="001D3845">
      <w:pPr>
        <w:pStyle w:val="Heading3"/>
        <w:rPr>
          <w:u w:val="single"/>
        </w:rPr>
      </w:pPr>
      <w:r w:rsidRPr="001D3845">
        <w:rPr>
          <w:u w:val="single"/>
          <w:lang w:eastAsia="bg-BG" w:bidi="bg-BG"/>
        </w:rPr>
        <w:t>Превенция на фоточувствителни реакции</w:t>
      </w:r>
    </w:p>
    <w:p w14:paraId="09446A79" w14:textId="77777777" w:rsidR="00B21C93" w:rsidRPr="002C1234" w:rsidRDefault="00B21C93" w:rsidP="00B21C93">
      <w:pPr>
        <w:pStyle w:val="BodyText"/>
        <w:rPr>
          <w:rFonts w:cs="Arial"/>
        </w:rPr>
      </w:pPr>
      <w:r w:rsidRPr="002C1234">
        <w:rPr>
          <w:rFonts w:cs="Arial"/>
          <w:color w:val="000000"/>
          <w:lang w:eastAsia="bg-BG" w:bidi="bg-BG"/>
        </w:rPr>
        <w:t>Доказано е, че хинолоните предизвикват поява на фоточувствителни реакции при пациенти. Проучвания обаче са доказали, че моксифлоксацин се характеризира с по-малък риск от индуцирането на фоточувствителни реакции. Въпреки това, пациентите трябва да бъдат съветвани да избягват както УВ лъчи, така и продължително излагане и/или силна слънчева светлина по време на лечение с моксифлоксацин.</w:t>
      </w:r>
    </w:p>
    <w:p w14:paraId="20B548AD" w14:textId="77777777" w:rsidR="00B21C93" w:rsidRPr="001D3845" w:rsidRDefault="00B21C93" w:rsidP="001D3845">
      <w:pPr>
        <w:pStyle w:val="Heading3"/>
        <w:rPr>
          <w:u w:val="single"/>
        </w:rPr>
      </w:pPr>
      <w:r w:rsidRPr="001D3845">
        <w:rPr>
          <w:u w:val="single"/>
          <w:lang w:eastAsia="bg-BG" w:bidi="bg-BG"/>
        </w:rPr>
        <w:t>Пациенти с глюкозо-6-фосфат дехидрогеназен дефицит</w:t>
      </w:r>
    </w:p>
    <w:p w14:paraId="65B1C879" w14:textId="77777777" w:rsidR="00B21C93" w:rsidRPr="002C1234" w:rsidRDefault="00B21C93" w:rsidP="00B21C93">
      <w:pPr>
        <w:pStyle w:val="BodyText"/>
        <w:spacing w:after="500"/>
        <w:rPr>
          <w:rFonts w:cs="Arial"/>
        </w:rPr>
      </w:pPr>
      <w:r w:rsidRPr="002C1234">
        <w:rPr>
          <w:rFonts w:cs="Arial"/>
          <w:color w:val="000000"/>
          <w:lang w:eastAsia="bg-BG" w:bidi="bg-BG"/>
        </w:rPr>
        <w:t>Пациенти с фамилна анамнеза или с наличен глюкозо-6-фосфат дехидрогеназен дефицит са предразположени към поява на хемолитични реакции при терапия с хинолони. Следователно, моксифлоксацин трябва да се използва внимателно при тези пациенти.</w:t>
      </w:r>
    </w:p>
    <w:p w14:paraId="7064A990" w14:textId="77777777" w:rsidR="00B21C93" w:rsidRPr="001D3845" w:rsidRDefault="00B21C93" w:rsidP="001D3845">
      <w:pPr>
        <w:pStyle w:val="Heading3"/>
        <w:rPr>
          <w:u w:val="single"/>
        </w:rPr>
      </w:pPr>
      <w:r w:rsidRPr="001D3845">
        <w:rPr>
          <w:u w:val="single"/>
          <w:lang w:eastAsia="bg-BG" w:bidi="bg-BG"/>
        </w:rPr>
        <w:t>Пациенти с тазова възпалителна болест</w:t>
      </w:r>
    </w:p>
    <w:p w14:paraId="60C9F0D2" w14:textId="77777777" w:rsidR="00B21C93" w:rsidRPr="002C1234" w:rsidRDefault="00B21C93" w:rsidP="00B21C93">
      <w:pPr>
        <w:pStyle w:val="BodyText"/>
        <w:rPr>
          <w:rFonts w:cs="Arial"/>
        </w:rPr>
      </w:pPr>
      <w:r w:rsidRPr="002C1234">
        <w:rPr>
          <w:rFonts w:cs="Arial"/>
          <w:color w:val="000000"/>
          <w:lang w:eastAsia="bg-BG" w:bidi="bg-BG"/>
        </w:rPr>
        <w:t xml:space="preserve">При пациенти с усложнена тазова възпалителна болест (напр. свързана с тубо-овариален или тазов абсцес), за които е необходимо интравенозно лечение, лечението с Авелокс 400 </w:t>
      </w:r>
      <w:r w:rsidRPr="002C1234">
        <w:rPr>
          <w:rFonts w:cs="Arial"/>
          <w:color w:val="000000"/>
          <w:lang w:bidi="en-US"/>
        </w:rPr>
        <w:t xml:space="preserve">mg </w:t>
      </w:r>
      <w:r w:rsidRPr="002C1234">
        <w:rPr>
          <w:rFonts w:cs="Arial"/>
          <w:color w:val="000000"/>
          <w:lang w:eastAsia="bg-BG" w:bidi="bg-BG"/>
        </w:rPr>
        <w:t>филмирани таблетки не е препоръчително.</w:t>
      </w:r>
    </w:p>
    <w:p w14:paraId="3E289DB4" w14:textId="77777777" w:rsidR="00B21C93" w:rsidRPr="002C1234" w:rsidRDefault="00B21C93" w:rsidP="00B21C93">
      <w:pPr>
        <w:pStyle w:val="BodyText"/>
        <w:rPr>
          <w:rFonts w:cs="Arial"/>
        </w:rPr>
      </w:pPr>
      <w:r w:rsidRPr="002C1234">
        <w:rPr>
          <w:rFonts w:cs="Arial"/>
          <w:color w:val="000000"/>
          <w:lang w:eastAsia="bg-BG" w:bidi="bg-BG"/>
        </w:rPr>
        <w:t xml:space="preserve">Тазова възпалителна болест може да е причинена от флуорохинолон резистентна </w:t>
      </w:r>
      <w:r w:rsidRPr="002C1234">
        <w:rPr>
          <w:rFonts w:cs="Arial"/>
          <w:i/>
          <w:iCs/>
          <w:color w:val="000000"/>
          <w:lang w:bidi="en-US"/>
        </w:rPr>
        <w:t>Neisseria gonorrhoeae.</w:t>
      </w:r>
      <w:r w:rsidRPr="002C1234">
        <w:rPr>
          <w:rFonts w:cs="Arial"/>
          <w:color w:val="000000"/>
          <w:lang w:bidi="en-US"/>
        </w:rPr>
        <w:t xml:space="preserve"> </w:t>
      </w:r>
      <w:r w:rsidRPr="002C1234">
        <w:rPr>
          <w:rFonts w:cs="Arial"/>
          <w:color w:val="000000"/>
          <w:lang w:eastAsia="bg-BG" w:bidi="bg-BG"/>
        </w:rPr>
        <w:t xml:space="preserve">Следователно в тези случаи моксифлоксацин трябва да се прилага емпирично едновременно с друг подходящ антибиотик (напр. цефалоспорин) освен ако може да се изключи моксифлоксацин-резистентна </w:t>
      </w:r>
      <w:r w:rsidRPr="002C1234">
        <w:rPr>
          <w:rFonts w:cs="Arial"/>
          <w:i/>
          <w:iCs/>
          <w:color w:val="000000"/>
          <w:lang w:bidi="en-US"/>
        </w:rPr>
        <w:t>Neisseria gonorrhoeae.</w:t>
      </w:r>
      <w:r w:rsidRPr="002C1234">
        <w:rPr>
          <w:rFonts w:cs="Arial"/>
          <w:color w:val="000000"/>
          <w:lang w:bidi="en-US"/>
        </w:rPr>
        <w:t xml:space="preserve"> </w:t>
      </w:r>
      <w:r w:rsidRPr="002C1234">
        <w:rPr>
          <w:rFonts w:cs="Arial"/>
          <w:color w:val="000000"/>
          <w:lang w:eastAsia="bg-BG" w:bidi="bg-BG"/>
        </w:rPr>
        <w:t>Ако до 3 дена след започване на лечението не се постигне клинично подобрение, терапията тряба да се преоцени.</w:t>
      </w:r>
    </w:p>
    <w:p w14:paraId="3736CE12" w14:textId="77777777" w:rsidR="00B21C93" w:rsidRPr="001D3845" w:rsidRDefault="00B21C93" w:rsidP="001D3845">
      <w:pPr>
        <w:pStyle w:val="Heading3"/>
        <w:rPr>
          <w:u w:val="single"/>
        </w:rPr>
      </w:pPr>
      <w:r w:rsidRPr="001D3845">
        <w:rPr>
          <w:u w:val="single"/>
          <w:lang w:eastAsia="bg-BG" w:bidi="bg-BG"/>
        </w:rPr>
        <w:lastRenderedPageBreak/>
        <w:t>Пациенти със специални усложнени инфекции на кожата и кожните структури</w:t>
      </w:r>
    </w:p>
    <w:p w14:paraId="4C8C4D8C" w14:textId="77777777" w:rsidR="00B21C93" w:rsidRPr="002C1234" w:rsidRDefault="00B21C93" w:rsidP="00B21C93">
      <w:pPr>
        <w:pStyle w:val="BodyText"/>
        <w:rPr>
          <w:rFonts w:cs="Arial"/>
        </w:rPr>
      </w:pPr>
      <w:r w:rsidRPr="002C1234">
        <w:rPr>
          <w:rFonts w:cs="Arial"/>
          <w:color w:val="000000"/>
          <w:lang w:eastAsia="bg-BG" w:bidi="bg-BG"/>
        </w:rPr>
        <w:t>Клиничната ефикасност на интравенозен моксифлоксацин при лечение на тежки инфекции вследствие на изгаряния, фасциити и инфекции на диабетно стъпало с остеомиелит не е установена.</w:t>
      </w:r>
    </w:p>
    <w:p w14:paraId="3D87D8DD" w14:textId="77777777" w:rsidR="00B21C93" w:rsidRPr="001D3845" w:rsidRDefault="00B21C93" w:rsidP="001D3845">
      <w:pPr>
        <w:pStyle w:val="Heading3"/>
        <w:rPr>
          <w:u w:val="single"/>
        </w:rPr>
      </w:pPr>
      <w:r w:rsidRPr="001D3845">
        <w:rPr>
          <w:u w:val="single"/>
          <w:lang w:eastAsia="bg-BG" w:bidi="bg-BG"/>
        </w:rPr>
        <w:t>Взаимодействие с биологични тестове</w:t>
      </w:r>
    </w:p>
    <w:p w14:paraId="1F976A6F" w14:textId="018E8D80" w:rsidR="00B21C93" w:rsidRDefault="00B21C93" w:rsidP="00B21C93">
      <w:pPr>
        <w:pStyle w:val="BodyText"/>
        <w:rPr>
          <w:rFonts w:cs="Arial"/>
          <w:color w:val="000000"/>
          <w:lang w:eastAsia="bg-BG" w:bidi="bg-BG"/>
        </w:rPr>
      </w:pPr>
      <w:r w:rsidRPr="002C1234">
        <w:rPr>
          <w:rFonts w:cs="Arial"/>
          <w:color w:val="000000"/>
          <w:lang w:eastAsia="bg-BG" w:bidi="bg-BG"/>
        </w:rPr>
        <w:t xml:space="preserve">Лечението е моксифлоксацин може да повлияе на изследване с култура, съдържаща </w:t>
      </w:r>
      <w:r w:rsidRPr="002C1234">
        <w:rPr>
          <w:rFonts w:cs="Arial"/>
          <w:i/>
          <w:iCs/>
          <w:color w:val="000000"/>
          <w:lang w:bidi="en-US"/>
        </w:rPr>
        <w:t>Mycobacterium</w:t>
      </w:r>
      <w:r w:rsidRPr="002C1234">
        <w:rPr>
          <w:rFonts w:cs="Arial"/>
          <w:color w:val="000000"/>
          <w:lang w:bidi="en-US"/>
        </w:rPr>
        <w:t xml:space="preserve"> spp. </w:t>
      </w:r>
      <w:r w:rsidRPr="002C1234">
        <w:rPr>
          <w:rFonts w:cs="Arial"/>
          <w:color w:val="000000"/>
          <w:lang w:eastAsia="bg-BG" w:bidi="bg-BG"/>
        </w:rPr>
        <w:t>като потисне бактериалния растеж и доведе до фалшиво отрицателни резултати в проби, взети от пациенти, получаващи в момента моксифлоксацин.</w:t>
      </w:r>
    </w:p>
    <w:p w14:paraId="54D70638" w14:textId="77777777" w:rsidR="00315D5A" w:rsidRPr="002C1234" w:rsidRDefault="00315D5A" w:rsidP="00B21C93">
      <w:pPr>
        <w:pStyle w:val="BodyText"/>
        <w:rPr>
          <w:rFonts w:cs="Arial"/>
        </w:rPr>
      </w:pPr>
    </w:p>
    <w:p w14:paraId="0EDAD721" w14:textId="77777777" w:rsidR="00B21C93" w:rsidRPr="001D3845" w:rsidRDefault="00B21C93" w:rsidP="001D3845">
      <w:pPr>
        <w:pStyle w:val="Heading3"/>
        <w:rPr>
          <w:u w:val="single"/>
        </w:rPr>
      </w:pPr>
      <w:r w:rsidRPr="001D3845">
        <w:rPr>
          <w:u w:val="single"/>
          <w:lang w:eastAsia="bg-BG" w:bidi="bg-BG"/>
        </w:rPr>
        <w:t xml:space="preserve">Пациенти с </w:t>
      </w:r>
      <w:r w:rsidRPr="001D3845">
        <w:rPr>
          <w:u w:val="single"/>
          <w:lang w:bidi="en-US"/>
        </w:rPr>
        <w:t xml:space="preserve">MRSA (Methicillin-resistant Staphylococcus aureus) </w:t>
      </w:r>
      <w:r w:rsidRPr="001D3845">
        <w:rPr>
          <w:u w:val="single"/>
          <w:lang w:eastAsia="bg-BG" w:bidi="bg-BG"/>
        </w:rPr>
        <w:t>инфекции</w:t>
      </w:r>
    </w:p>
    <w:p w14:paraId="7C7BC64E" w14:textId="77777777" w:rsidR="00B21C93" w:rsidRPr="002C1234" w:rsidRDefault="00B21C93" w:rsidP="00B21C93">
      <w:pPr>
        <w:pStyle w:val="BodyText"/>
        <w:tabs>
          <w:tab w:val="left" w:pos="7740"/>
        </w:tabs>
        <w:spacing w:after="280"/>
        <w:rPr>
          <w:rFonts w:cs="Arial"/>
        </w:rPr>
      </w:pPr>
      <w:r w:rsidRPr="002C1234">
        <w:rPr>
          <w:rFonts w:cs="Arial"/>
          <w:color w:val="000000"/>
          <w:lang w:eastAsia="bg-BG" w:bidi="bg-BG"/>
        </w:rPr>
        <w:t xml:space="preserve">Моксифлоксацин не е показан за лечение на </w:t>
      </w:r>
      <w:r w:rsidRPr="002C1234">
        <w:rPr>
          <w:rFonts w:cs="Arial"/>
          <w:color w:val="000000"/>
          <w:lang w:bidi="en-US"/>
        </w:rPr>
        <w:t xml:space="preserve">MRSA </w:t>
      </w:r>
      <w:r w:rsidRPr="002C1234">
        <w:rPr>
          <w:rFonts w:cs="Arial"/>
          <w:color w:val="000000"/>
          <w:lang w:eastAsia="bg-BG" w:bidi="bg-BG"/>
        </w:rPr>
        <w:t xml:space="preserve">инфекции (метицилин резистентни стафилококус ауреус). В случай на предполагаема или установена инфекция, причинена от </w:t>
      </w:r>
      <w:r w:rsidRPr="002C1234">
        <w:rPr>
          <w:rFonts w:cs="Arial"/>
          <w:color w:val="000000"/>
          <w:lang w:bidi="en-US"/>
        </w:rPr>
        <w:t xml:space="preserve">MRSA, </w:t>
      </w:r>
      <w:r w:rsidRPr="002C1234">
        <w:rPr>
          <w:rFonts w:cs="Arial"/>
          <w:color w:val="000000"/>
          <w:lang w:eastAsia="bg-BG" w:bidi="bg-BG"/>
        </w:rPr>
        <w:t>трябва да се започне лечение с подходящ антибиотик (вж. точка 5.1).</w:t>
      </w:r>
    </w:p>
    <w:p w14:paraId="256062C8" w14:textId="77777777" w:rsidR="002C1234" w:rsidRDefault="002C1234" w:rsidP="00B21C93">
      <w:pPr>
        <w:pStyle w:val="BodyText"/>
        <w:tabs>
          <w:tab w:val="left" w:pos="7549"/>
        </w:tabs>
        <w:spacing w:after="160" w:line="180" w:lineRule="auto"/>
        <w:rPr>
          <w:rFonts w:cs="Arial"/>
          <w:color w:val="000000"/>
          <w:u w:val="single"/>
          <w:lang w:eastAsia="bg-BG" w:bidi="bg-BG"/>
        </w:rPr>
      </w:pPr>
    </w:p>
    <w:p w14:paraId="7553C8C7" w14:textId="7CA01C08" w:rsidR="00B21C93" w:rsidRPr="001D3845" w:rsidRDefault="002C1234" w:rsidP="001D3845">
      <w:pPr>
        <w:pStyle w:val="Heading3"/>
        <w:rPr>
          <w:u w:val="single"/>
        </w:rPr>
      </w:pPr>
      <w:r w:rsidRPr="001D3845">
        <w:rPr>
          <w:u w:val="single"/>
          <w:lang w:eastAsia="bg-BG" w:bidi="bg-BG"/>
        </w:rPr>
        <w:t>П</w:t>
      </w:r>
      <w:r w:rsidR="00B21C93" w:rsidRPr="001D3845">
        <w:rPr>
          <w:u w:val="single"/>
          <w:lang w:eastAsia="bg-BG" w:bidi="bg-BG"/>
        </w:rPr>
        <w:t>едиатрична популация</w:t>
      </w:r>
    </w:p>
    <w:p w14:paraId="2A4A65BE" w14:textId="77777777" w:rsidR="00B21C93" w:rsidRPr="002C1234" w:rsidRDefault="00B21C93" w:rsidP="00B21C93">
      <w:pPr>
        <w:pStyle w:val="BodyText"/>
        <w:rPr>
          <w:rFonts w:cs="Arial"/>
        </w:rPr>
      </w:pPr>
      <w:r w:rsidRPr="002C1234">
        <w:rPr>
          <w:rFonts w:cs="Arial"/>
          <w:color w:val="000000"/>
          <w:lang w:eastAsia="bg-BG" w:bidi="bg-BG"/>
        </w:rPr>
        <w:t>Поради нежеланите реакции върху хрущяла при млади животни (вж. точка 5.3) употребата на моксифлоксацин при деца и подрастващи &lt;18 години е противопоказана (вж. точка 4.3).</w:t>
      </w:r>
    </w:p>
    <w:p w14:paraId="3376267C" w14:textId="77777777" w:rsidR="002C1234" w:rsidRDefault="002C1234" w:rsidP="00B21C93">
      <w:pPr>
        <w:pStyle w:val="BodyText"/>
        <w:rPr>
          <w:rFonts w:cs="Arial"/>
          <w:color w:val="000000"/>
          <w:u w:val="single"/>
          <w:lang w:eastAsia="bg-BG" w:bidi="bg-BG"/>
        </w:rPr>
      </w:pPr>
    </w:p>
    <w:p w14:paraId="032DEFC9" w14:textId="6EC916A2" w:rsidR="00B21C93" w:rsidRPr="001D3845" w:rsidRDefault="00B21C93" w:rsidP="001D3845">
      <w:pPr>
        <w:pStyle w:val="Heading3"/>
        <w:rPr>
          <w:u w:val="single"/>
        </w:rPr>
      </w:pPr>
      <w:r w:rsidRPr="001D3845">
        <w:rPr>
          <w:u w:val="single"/>
          <w:lang w:eastAsia="bg-BG" w:bidi="bg-BG"/>
        </w:rPr>
        <w:t>Информация за помощните вещества</w:t>
      </w:r>
    </w:p>
    <w:p w14:paraId="1454A99F" w14:textId="58167E51" w:rsidR="00B21C93" w:rsidRDefault="00B21C93" w:rsidP="00B21C93">
      <w:pPr>
        <w:pStyle w:val="BodyText"/>
        <w:rPr>
          <w:rFonts w:cs="Arial"/>
          <w:color w:val="000000"/>
          <w:lang w:eastAsia="bg-BG" w:bidi="bg-BG"/>
        </w:rPr>
      </w:pPr>
      <w:r w:rsidRPr="002C1234">
        <w:rPr>
          <w:rFonts w:cs="Arial"/>
          <w:color w:val="000000"/>
          <w:lang w:eastAsia="bg-BG" w:bidi="bg-BG"/>
        </w:rPr>
        <w:t>Пациенти с редки вродени проблеми на галактозна непоносимост, тотален лактозен дефицит или глюкозо-галактозна малабсорбция не трябва да приемат това лекарство.</w:t>
      </w:r>
    </w:p>
    <w:p w14:paraId="71F8C4E9" w14:textId="77777777" w:rsidR="00315D5A" w:rsidRPr="002C1234" w:rsidRDefault="00315D5A" w:rsidP="00B21C93">
      <w:pPr>
        <w:pStyle w:val="BodyText"/>
        <w:rPr>
          <w:rFonts w:cs="Arial"/>
        </w:rPr>
      </w:pPr>
    </w:p>
    <w:p w14:paraId="0EFBE3B4" w14:textId="33001351" w:rsidR="00B21C93" w:rsidRDefault="00B21C93" w:rsidP="00B21C93">
      <w:pPr>
        <w:pStyle w:val="BodyText"/>
        <w:rPr>
          <w:rFonts w:cs="Arial"/>
          <w:color w:val="000000"/>
          <w:lang w:eastAsia="bg-BG" w:bidi="bg-BG"/>
        </w:rPr>
      </w:pPr>
      <w:r w:rsidRPr="002C1234">
        <w:rPr>
          <w:rFonts w:cs="Arial"/>
          <w:color w:val="000000"/>
          <w:lang w:eastAsia="bg-BG" w:bidi="bg-BG"/>
        </w:rPr>
        <w:t xml:space="preserve">Това лекарство съдържа по-малко от 1 </w:t>
      </w:r>
      <w:r w:rsidRPr="002C1234">
        <w:rPr>
          <w:rFonts w:cs="Arial"/>
          <w:color w:val="000000"/>
          <w:lang w:bidi="en-US"/>
        </w:rPr>
        <w:t xml:space="preserve">mmol </w:t>
      </w:r>
      <w:r w:rsidRPr="002C1234">
        <w:rPr>
          <w:rFonts w:cs="Arial"/>
          <w:color w:val="000000"/>
          <w:lang w:eastAsia="bg-BG" w:bidi="bg-BG"/>
        </w:rPr>
        <w:t xml:space="preserve">натрий (23 </w:t>
      </w:r>
      <w:r w:rsidRPr="002C1234">
        <w:rPr>
          <w:rFonts w:cs="Arial"/>
          <w:color w:val="000000"/>
          <w:lang w:bidi="en-US"/>
        </w:rPr>
        <w:t xml:space="preserve">mg) </w:t>
      </w:r>
      <w:r w:rsidRPr="002C1234">
        <w:rPr>
          <w:rFonts w:cs="Arial"/>
          <w:color w:val="000000"/>
          <w:lang w:eastAsia="bg-BG" w:bidi="bg-BG"/>
        </w:rPr>
        <w:t>на филмирана таблетка, т.е. може да се каже, че практически не съдържа натрий.</w:t>
      </w:r>
    </w:p>
    <w:p w14:paraId="24F1E41E" w14:textId="77777777" w:rsidR="002C1234" w:rsidRPr="00941F31" w:rsidRDefault="002C1234" w:rsidP="00B21C93">
      <w:pPr>
        <w:pStyle w:val="BodyText"/>
        <w:rPr>
          <w:rFonts w:cs="Arial"/>
          <w:sz w:val="24"/>
          <w:szCs w:val="24"/>
        </w:rPr>
      </w:pPr>
    </w:p>
    <w:p w14:paraId="705B1793" w14:textId="77777777" w:rsidR="00B21C93" w:rsidRPr="00941F31" w:rsidRDefault="00B21C93" w:rsidP="00B21C93">
      <w:pPr>
        <w:pStyle w:val="Heading2"/>
      </w:pPr>
      <w:r w:rsidRPr="00941F31">
        <w:t>4.5 Взаимодействие с други лекарствени продукти и други форми на взаимодействие</w:t>
      </w:r>
    </w:p>
    <w:p w14:paraId="71A46287" w14:textId="77777777" w:rsidR="00B21C93" w:rsidRPr="002C1234" w:rsidRDefault="00B21C93" w:rsidP="00B21C93">
      <w:pPr>
        <w:pStyle w:val="BodyText"/>
        <w:jc w:val="both"/>
        <w:rPr>
          <w:rFonts w:cs="Arial"/>
        </w:rPr>
      </w:pPr>
      <w:r w:rsidRPr="002C1234">
        <w:rPr>
          <w:rFonts w:cs="Arial"/>
        </w:rPr>
        <w:t xml:space="preserve">Не може да бъде изключен адитивен ефект върху удължаването на </w:t>
      </w:r>
      <w:r w:rsidRPr="002C1234">
        <w:rPr>
          <w:rFonts w:cs="Arial"/>
          <w:lang w:bidi="en-US"/>
        </w:rPr>
        <w:t xml:space="preserve">QT </w:t>
      </w:r>
      <w:r w:rsidRPr="002C1234">
        <w:rPr>
          <w:rFonts w:cs="Arial"/>
        </w:rPr>
        <w:t xml:space="preserve">интервала на моксифлоксацин и други лекарствени продукти, които могат да удължат </w:t>
      </w:r>
      <w:r w:rsidRPr="002C1234">
        <w:rPr>
          <w:rFonts w:cs="Arial"/>
          <w:lang w:bidi="en-US"/>
        </w:rPr>
        <w:t xml:space="preserve">QTc </w:t>
      </w:r>
      <w:r w:rsidRPr="002C1234">
        <w:rPr>
          <w:rFonts w:cs="Arial"/>
        </w:rPr>
        <w:t xml:space="preserve">интервала. Този ефект може да повиши риска от камерни аритмии, включително </w:t>
      </w:r>
      <w:r w:rsidRPr="002C1234">
        <w:rPr>
          <w:rFonts w:cs="Arial"/>
          <w:lang w:bidi="en-US"/>
        </w:rPr>
        <w:t xml:space="preserve">torsade de pointes. </w:t>
      </w:r>
      <w:r w:rsidRPr="002C1234">
        <w:rPr>
          <w:rFonts w:cs="Arial"/>
        </w:rPr>
        <w:t>Поради това е противопоказано едновременното прилагане на моксифлоксацин е някое от следните лекарства (вж. също точка 4.3):</w:t>
      </w:r>
    </w:p>
    <w:p w14:paraId="78182ADB" w14:textId="3460F112" w:rsidR="00315D5A" w:rsidRDefault="00303303" w:rsidP="00B21C93">
      <w:pPr>
        <w:pStyle w:val="BodyText"/>
        <w:numPr>
          <w:ilvl w:val="0"/>
          <w:numId w:val="17"/>
        </w:numPr>
        <w:ind w:left="620" w:firstLine="20"/>
        <w:rPr>
          <w:rFonts w:cs="Arial"/>
        </w:rPr>
      </w:pPr>
      <w:bookmarkStart w:id="0" w:name="_Hlk63045444"/>
      <w:r>
        <w:rPr>
          <w:rFonts w:cs="Arial"/>
        </w:rPr>
        <w:t xml:space="preserve"> </w:t>
      </w:r>
      <w:r w:rsidR="00B21C93" w:rsidRPr="002C1234">
        <w:rPr>
          <w:rFonts w:cs="Arial"/>
        </w:rPr>
        <w:t xml:space="preserve">антиаритмични лекарства от клас </w:t>
      </w:r>
      <w:r w:rsidR="00B21C93" w:rsidRPr="002C1234">
        <w:rPr>
          <w:rFonts w:cs="Arial"/>
          <w:lang w:bidi="en-US"/>
        </w:rPr>
        <w:t xml:space="preserve">IA </w:t>
      </w:r>
      <w:r w:rsidR="00B21C93" w:rsidRPr="002C1234">
        <w:rPr>
          <w:rFonts w:cs="Arial"/>
        </w:rPr>
        <w:t xml:space="preserve">(напр. хинидин, хидрохинидин, дизопирамид) </w:t>
      </w:r>
      <w:bookmarkStart w:id="1" w:name="_Hlk63045454"/>
      <w:bookmarkEnd w:id="0"/>
    </w:p>
    <w:p w14:paraId="4A64C642" w14:textId="36FAB643" w:rsidR="00B21C93" w:rsidRPr="002C1234" w:rsidRDefault="00B21C93" w:rsidP="00B21C93">
      <w:pPr>
        <w:pStyle w:val="BodyText"/>
        <w:numPr>
          <w:ilvl w:val="0"/>
          <w:numId w:val="17"/>
        </w:numPr>
        <w:ind w:left="620" w:firstLine="20"/>
        <w:rPr>
          <w:rFonts w:cs="Arial"/>
        </w:rPr>
      </w:pPr>
      <w:r w:rsidRPr="002C1234">
        <w:rPr>
          <w:rFonts w:cs="Arial"/>
        </w:rPr>
        <w:t xml:space="preserve"> антиаритмични лекарства от клас</w:t>
      </w:r>
      <w:r w:rsidR="00E55BCF">
        <w:rPr>
          <w:rFonts w:cs="Arial"/>
          <w:lang w:val="en-US"/>
        </w:rPr>
        <w:t xml:space="preserve"> III</w:t>
      </w:r>
      <w:r w:rsidRPr="002C1234">
        <w:rPr>
          <w:rFonts w:cs="Arial"/>
        </w:rPr>
        <w:t xml:space="preserve"> (напр. амиодарон, соталол, дофетилид, ибутилид) </w:t>
      </w:r>
      <w:bookmarkEnd w:id="1"/>
    </w:p>
    <w:p w14:paraId="1716BD80" w14:textId="3DD8C3D4" w:rsidR="00B21C93" w:rsidRPr="002C1234" w:rsidRDefault="00303303" w:rsidP="00B21C93">
      <w:pPr>
        <w:pStyle w:val="BodyText"/>
        <w:numPr>
          <w:ilvl w:val="0"/>
          <w:numId w:val="17"/>
        </w:numPr>
        <w:ind w:left="620" w:firstLine="20"/>
        <w:rPr>
          <w:rFonts w:cs="Arial"/>
        </w:rPr>
      </w:pPr>
      <w:r>
        <w:rPr>
          <w:rFonts w:cs="Arial"/>
        </w:rPr>
        <w:t xml:space="preserve"> </w:t>
      </w:r>
      <w:r w:rsidR="00B21C93" w:rsidRPr="002C1234">
        <w:rPr>
          <w:rFonts w:cs="Arial"/>
        </w:rPr>
        <w:t xml:space="preserve">ангипсихотици (напр. фенотиазини, пимозид, сертиндол, халоперцдол, султоприд) </w:t>
      </w:r>
      <w:r w:rsidR="00E55BCF">
        <w:rPr>
          <w:rFonts w:cs="Arial"/>
          <w:lang w:val="en-US"/>
        </w:rPr>
        <w:t>-</w:t>
      </w:r>
      <w:r>
        <w:rPr>
          <w:rFonts w:cs="Arial"/>
        </w:rPr>
        <w:t xml:space="preserve"> </w:t>
      </w:r>
      <w:r w:rsidR="00B21C93" w:rsidRPr="002C1234">
        <w:rPr>
          <w:rFonts w:cs="Arial"/>
        </w:rPr>
        <w:t>трициклични антидепресанти</w:t>
      </w:r>
    </w:p>
    <w:p w14:paraId="5E70A413" w14:textId="69897036" w:rsidR="00B21C93" w:rsidRPr="002C1234" w:rsidRDefault="00303303" w:rsidP="00B21C93">
      <w:pPr>
        <w:pStyle w:val="BodyText"/>
        <w:numPr>
          <w:ilvl w:val="0"/>
          <w:numId w:val="17"/>
        </w:numPr>
        <w:ind w:left="620" w:firstLine="20"/>
        <w:rPr>
          <w:rFonts w:cs="Arial"/>
        </w:rPr>
      </w:pPr>
      <w:r>
        <w:rPr>
          <w:rFonts w:cs="Arial"/>
        </w:rPr>
        <w:t xml:space="preserve"> </w:t>
      </w:r>
      <w:r w:rsidR="00B21C93" w:rsidRPr="002C1234">
        <w:rPr>
          <w:rFonts w:cs="Arial"/>
        </w:rPr>
        <w:t>определени антимикробни средства (саквинавир, спарфлоксацин, еритромицин IV, пентамидин, противомаларийни специално халофантрин)</w:t>
      </w:r>
    </w:p>
    <w:p w14:paraId="22535F2C" w14:textId="77777777" w:rsidR="00B21C93" w:rsidRPr="002C1234" w:rsidRDefault="00B21C93" w:rsidP="00B21C93">
      <w:pPr>
        <w:pStyle w:val="BodyText"/>
        <w:numPr>
          <w:ilvl w:val="0"/>
          <w:numId w:val="17"/>
        </w:numPr>
        <w:ind w:firstLine="620"/>
        <w:rPr>
          <w:rFonts w:cs="Arial"/>
        </w:rPr>
      </w:pPr>
      <w:r w:rsidRPr="002C1234">
        <w:rPr>
          <w:rFonts w:cs="Arial"/>
        </w:rPr>
        <w:t>някои антихистаминови продукти (терфенадин, астемизол, мизоластин)</w:t>
      </w:r>
    </w:p>
    <w:p w14:paraId="7376CE88" w14:textId="58A2BAEE" w:rsidR="00B21C93" w:rsidRPr="002C1234" w:rsidRDefault="00E55BCF" w:rsidP="00303303">
      <w:pPr>
        <w:pStyle w:val="BodyText"/>
        <w:ind w:firstLine="709"/>
        <w:rPr>
          <w:rFonts w:cs="Arial"/>
        </w:rPr>
      </w:pPr>
      <w:r>
        <w:rPr>
          <w:rFonts w:cs="Arial"/>
          <w:lang w:val="en-US"/>
        </w:rPr>
        <w:t>-</w:t>
      </w:r>
      <w:r w:rsidR="00303303">
        <w:rPr>
          <w:rFonts w:cs="Arial"/>
        </w:rPr>
        <w:t xml:space="preserve"> </w:t>
      </w:r>
      <w:r w:rsidR="00B21C93" w:rsidRPr="002C1234">
        <w:rPr>
          <w:rFonts w:cs="Arial"/>
        </w:rPr>
        <w:t>други (цизаприд, винкамин IV, бепридил, дифеманил).</w:t>
      </w:r>
    </w:p>
    <w:p w14:paraId="2FDE3669" w14:textId="77777777" w:rsidR="00B21C93" w:rsidRPr="00941F31" w:rsidRDefault="00B21C93" w:rsidP="00B21C93">
      <w:pPr>
        <w:pStyle w:val="BodyText"/>
        <w:jc w:val="both"/>
        <w:rPr>
          <w:rFonts w:cs="Arial"/>
          <w:sz w:val="24"/>
          <w:szCs w:val="24"/>
        </w:rPr>
      </w:pPr>
    </w:p>
    <w:p w14:paraId="7ADA2F7C" w14:textId="77777777" w:rsidR="00B21C93" w:rsidRPr="002C1234" w:rsidRDefault="00B21C93" w:rsidP="00B21C93">
      <w:pPr>
        <w:pStyle w:val="BodyText"/>
        <w:jc w:val="both"/>
        <w:rPr>
          <w:rFonts w:cs="Arial"/>
        </w:rPr>
      </w:pPr>
      <w:r w:rsidRPr="002C1234">
        <w:rPr>
          <w:rFonts w:cs="Arial"/>
        </w:rPr>
        <w:t xml:space="preserve">Моксифлоксацин трябва да се използва с повишено внимание при пациенти, приемащи лекарства, които могат да понижат нивата на калий (напр. бримкови диуретици и диуретици </w:t>
      </w:r>
      <w:r w:rsidRPr="002C1234">
        <w:rPr>
          <w:rFonts w:cs="Arial"/>
        </w:rPr>
        <w:lastRenderedPageBreak/>
        <w:t>от тиазиден тип, лаксативи и клизми [високи дози], кортикостероиди, амфотерицин В) или лекарства, свързани с клинично значима брадикардия.</w:t>
      </w:r>
    </w:p>
    <w:p w14:paraId="1F5CA3FB" w14:textId="77777777" w:rsidR="00B21C93" w:rsidRPr="002C1234" w:rsidRDefault="00B21C93" w:rsidP="00B21C93">
      <w:pPr>
        <w:pStyle w:val="BodyText"/>
        <w:spacing w:line="252" w:lineRule="auto"/>
        <w:jc w:val="both"/>
        <w:rPr>
          <w:rFonts w:cs="Arial"/>
        </w:rPr>
      </w:pPr>
      <w:r w:rsidRPr="002C1234">
        <w:rPr>
          <w:rFonts w:cs="Arial"/>
        </w:rPr>
        <w:t>Между приема на продукти, съдържащи бивалентни или тривалентни катиони (антиацидни продукти, съдържащи магнезий или алуминий; таблетки диданозин; сукралфат и препарати, съдържащи желязо и цинк) и приема на моксифлоксацин трябва да има интервал от около 6 часа.</w:t>
      </w:r>
    </w:p>
    <w:p w14:paraId="400B9872" w14:textId="77777777" w:rsidR="00B21C93" w:rsidRPr="002C1234" w:rsidRDefault="00B21C93" w:rsidP="00B21C93">
      <w:pPr>
        <w:pStyle w:val="BodyText"/>
        <w:jc w:val="both"/>
        <w:rPr>
          <w:rFonts w:cs="Arial"/>
        </w:rPr>
      </w:pPr>
      <w:r w:rsidRPr="002C1234">
        <w:rPr>
          <w:rFonts w:cs="Arial"/>
        </w:rPr>
        <w:t xml:space="preserve">Едновременното приложение на активен въглен с перорална доза от 400 </w:t>
      </w:r>
      <w:r w:rsidRPr="002C1234">
        <w:rPr>
          <w:rFonts w:cs="Arial"/>
          <w:lang w:bidi="en-US"/>
        </w:rPr>
        <w:t xml:space="preserve">mg </w:t>
      </w:r>
      <w:r w:rsidRPr="002C1234">
        <w:rPr>
          <w:rFonts w:cs="Arial"/>
        </w:rPr>
        <w:t>моксифлоксацин води до изразено потискане на абсорбцията на лекарството и редуцирана системна наличност на лекарството е повече от 80%. Следователно, едновременното използване на тези две лекарства не се препоръчва (освен в случаите на предозиране, вж. точка 4.9).</w:t>
      </w:r>
    </w:p>
    <w:p w14:paraId="17E4131A" w14:textId="77777777" w:rsidR="00B21C93" w:rsidRPr="002C1234" w:rsidRDefault="00B21C93" w:rsidP="00B21C93">
      <w:pPr>
        <w:pStyle w:val="BodyText"/>
        <w:spacing w:line="252" w:lineRule="auto"/>
        <w:jc w:val="both"/>
        <w:rPr>
          <w:rFonts w:cs="Arial"/>
        </w:rPr>
      </w:pPr>
      <w:r w:rsidRPr="002C1234">
        <w:rPr>
          <w:rFonts w:cs="Arial"/>
        </w:rPr>
        <w:t>След повторно дозиране при здрави доброволци, моксифлоксацин повишава С</w:t>
      </w:r>
      <w:r w:rsidRPr="002C1234">
        <w:rPr>
          <w:rFonts w:cs="Arial"/>
          <w:vertAlign w:val="subscript"/>
        </w:rPr>
        <w:t>тах</w:t>
      </w:r>
      <w:r w:rsidRPr="002C1234">
        <w:rPr>
          <w:rFonts w:cs="Arial"/>
        </w:rPr>
        <w:t xml:space="preserve"> на дигоксин с около 30% без да повлиява </w:t>
      </w:r>
      <w:r w:rsidRPr="002C1234">
        <w:rPr>
          <w:rFonts w:cs="Arial"/>
          <w:lang w:bidi="en-US"/>
        </w:rPr>
        <w:t xml:space="preserve">AUC </w:t>
      </w:r>
      <w:r w:rsidRPr="002C1234">
        <w:rPr>
          <w:rFonts w:cs="Arial"/>
        </w:rPr>
        <w:t xml:space="preserve">или </w:t>
      </w:r>
      <w:r w:rsidRPr="002C1234">
        <w:rPr>
          <w:rFonts w:cs="Arial"/>
          <w:lang w:bidi="en-US"/>
        </w:rPr>
        <w:t xml:space="preserve">trough level. </w:t>
      </w:r>
      <w:r w:rsidRPr="002C1234">
        <w:rPr>
          <w:rFonts w:cs="Arial"/>
        </w:rPr>
        <w:t>Не са необходими предпазни мерки при използването на дигоксин.</w:t>
      </w:r>
    </w:p>
    <w:p w14:paraId="23BD7D13" w14:textId="77777777" w:rsidR="00B21C93" w:rsidRPr="002C1234" w:rsidRDefault="00B21C93" w:rsidP="00B21C93">
      <w:pPr>
        <w:pStyle w:val="BodyText"/>
        <w:rPr>
          <w:rFonts w:cs="Arial"/>
        </w:rPr>
      </w:pPr>
      <w:r w:rsidRPr="002C1234">
        <w:rPr>
          <w:rFonts w:cs="Arial"/>
        </w:rPr>
        <w:t>В проучвания, проведени при диабетици доброволци, едновременното приложение на перорален моксифлоксацин и глибенкламид води до намаление с приблизително 21% на пиковата плазмена концентрация на глибенкламид. Комбинацията на глибенкламид и моксифлоксацин може теоретично да доведе до лека и преходна хипергликемия. Обаче наблюдаваните промени във фармакокинетиката на глибенкламид не водят до промени във фармакодинамични параметри (ниво на кръвната захар, инсулин). Следователно, не</w:t>
      </w:r>
    </w:p>
    <w:p w14:paraId="37741752" w14:textId="77777777" w:rsidR="00B21C93" w:rsidRPr="002C1234" w:rsidRDefault="00B21C93" w:rsidP="00B21C93">
      <w:pPr>
        <w:pStyle w:val="BodyText"/>
        <w:rPr>
          <w:rFonts w:cs="Arial"/>
        </w:rPr>
      </w:pPr>
      <w:r w:rsidRPr="002C1234">
        <w:rPr>
          <w:rFonts w:cs="Arial"/>
        </w:rPr>
        <w:t>наблюдавано клинично значимо взаимодействие между глибенкламид и моксифлоксация.</w:t>
      </w:r>
    </w:p>
    <w:p w14:paraId="7BAF8152" w14:textId="77777777" w:rsidR="00B21C93" w:rsidRPr="002C1234" w:rsidRDefault="00B21C93" w:rsidP="00B21C93">
      <w:pPr>
        <w:pStyle w:val="BodyText"/>
        <w:tabs>
          <w:tab w:val="left" w:pos="8291"/>
        </w:tabs>
        <w:rPr>
          <w:rFonts w:cs="Arial"/>
        </w:rPr>
      </w:pPr>
      <w:r w:rsidRPr="002C1234">
        <w:rPr>
          <w:rFonts w:cs="Arial"/>
          <w:i/>
          <w:iCs/>
        </w:rPr>
        <w:t xml:space="preserve">Промени на </w:t>
      </w:r>
      <w:r w:rsidRPr="002C1234">
        <w:rPr>
          <w:rFonts w:cs="Arial"/>
          <w:i/>
          <w:iCs/>
          <w:lang w:bidi="en-US"/>
        </w:rPr>
        <w:t>INR</w:t>
      </w:r>
    </w:p>
    <w:p w14:paraId="17013382" w14:textId="77777777" w:rsidR="00B21C93" w:rsidRPr="002C1234" w:rsidRDefault="00B21C93" w:rsidP="00B21C93">
      <w:pPr>
        <w:pStyle w:val="BodyText"/>
        <w:spacing w:after="300" w:line="264" w:lineRule="exact"/>
        <w:ind w:left="220" w:firstLine="20"/>
        <w:jc w:val="both"/>
        <w:rPr>
          <w:rFonts w:cs="Arial"/>
        </w:rPr>
      </w:pPr>
      <w:r w:rsidRPr="002C1234">
        <w:rPr>
          <w:rFonts w:cs="Arial"/>
        </w:rPr>
        <w:t xml:space="preserve">Докладвани са голям брой случаи на повишаване на пероралната антикоагулантна активност при пациенти, получаващи антибактериални агенти, особено флуорохинолони, макролиди, тетрациклини, котримоксазол и някои цефалоспорини. Факторите, свързани с инфекцията и възпалителния процес, възрастта и общото състояние на пациента са определящи рискови фактори. При тези обстоятелства е трудно да се прецени дали инфекцията или лечението причиняват нарушения в </w:t>
      </w:r>
      <w:r w:rsidRPr="002C1234">
        <w:rPr>
          <w:rFonts w:cs="Arial"/>
          <w:lang w:bidi="en-US"/>
        </w:rPr>
        <w:t xml:space="preserve">INR (international normalized ratio). </w:t>
      </w:r>
      <w:r w:rsidRPr="002C1234">
        <w:rPr>
          <w:rFonts w:cs="Arial"/>
        </w:rPr>
        <w:t xml:space="preserve">Предпазна мярка е по-честото мониториране на </w:t>
      </w:r>
      <w:r w:rsidRPr="002C1234">
        <w:rPr>
          <w:rFonts w:cs="Arial"/>
          <w:lang w:bidi="en-US"/>
        </w:rPr>
        <w:t xml:space="preserve">INR. </w:t>
      </w:r>
      <w:r w:rsidRPr="002C1234">
        <w:rPr>
          <w:rFonts w:cs="Arial"/>
        </w:rPr>
        <w:t>Ако е необходимо, дозировката на антикоагуланта трябва да бъде съответно коригирана.</w:t>
      </w:r>
    </w:p>
    <w:p w14:paraId="2421BA80" w14:textId="77777777" w:rsidR="00B21C93" w:rsidRPr="002C1234" w:rsidRDefault="00B21C93" w:rsidP="00B21C93">
      <w:pPr>
        <w:pStyle w:val="BodyText"/>
        <w:spacing w:after="300" w:line="261" w:lineRule="exact"/>
        <w:ind w:left="220" w:firstLine="20"/>
        <w:jc w:val="both"/>
        <w:rPr>
          <w:rFonts w:cs="Arial"/>
        </w:rPr>
      </w:pPr>
      <w:r w:rsidRPr="002C1234">
        <w:rPr>
          <w:rFonts w:cs="Arial"/>
        </w:rPr>
        <w:t>При клинични изпитвания не са установени взаимодействия след едновременен прием на моксифлоксацин с: ранитидин, пробенецид, перорални контрацептиви, калциеви добавки, парентерално приложен морфин, теофилин, циклоспорин или итраконазол.</w:t>
      </w:r>
    </w:p>
    <w:p w14:paraId="3CFC83C9" w14:textId="77777777" w:rsidR="00B21C93" w:rsidRPr="002C1234" w:rsidRDefault="00B21C93" w:rsidP="00B21C93">
      <w:pPr>
        <w:pStyle w:val="BodyText"/>
        <w:spacing w:after="300" w:line="256" w:lineRule="exact"/>
        <w:ind w:left="220" w:firstLine="20"/>
        <w:jc w:val="both"/>
        <w:rPr>
          <w:rFonts w:cs="Arial"/>
        </w:rPr>
      </w:pPr>
      <w:r w:rsidRPr="002C1234">
        <w:rPr>
          <w:rFonts w:cs="Arial"/>
          <w:i/>
          <w:iCs/>
          <w:lang w:bidi="en-US"/>
        </w:rPr>
        <w:t>In vitro</w:t>
      </w:r>
      <w:r w:rsidRPr="002C1234">
        <w:rPr>
          <w:rFonts w:cs="Arial"/>
          <w:lang w:bidi="en-US"/>
        </w:rPr>
        <w:t xml:space="preserve"> </w:t>
      </w:r>
      <w:r w:rsidRPr="002C1234">
        <w:rPr>
          <w:rFonts w:cs="Arial"/>
        </w:rPr>
        <w:t>изследвания с човешки ензими Р-450 потвърждават тези данни. Според тези резултати е малко вероятно наличие на метаболитно взаимодействие посредством Р-450 ензимите.</w:t>
      </w:r>
    </w:p>
    <w:p w14:paraId="3E589434" w14:textId="77777777" w:rsidR="00B21C93" w:rsidRPr="002C1234" w:rsidRDefault="00B21C93" w:rsidP="00B21C93">
      <w:pPr>
        <w:pStyle w:val="BodyText"/>
        <w:spacing w:after="40" w:line="263" w:lineRule="exact"/>
        <w:ind w:firstLine="220"/>
        <w:rPr>
          <w:rFonts w:cs="Arial"/>
        </w:rPr>
      </w:pPr>
      <w:r w:rsidRPr="002C1234">
        <w:rPr>
          <w:rFonts w:cs="Arial"/>
          <w:u w:val="single"/>
        </w:rPr>
        <w:t>Взаимодействие с храна</w:t>
      </w:r>
    </w:p>
    <w:p w14:paraId="673A7517" w14:textId="77777777" w:rsidR="00B21C93" w:rsidRPr="002C1234" w:rsidRDefault="00B21C93" w:rsidP="00B21C93">
      <w:pPr>
        <w:pStyle w:val="BodyText"/>
        <w:spacing w:after="300" w:line="263" w:lineRule="exact"/>
        <w:ind w:left="220" w:firstLine="20"/>
        <w:rPr>
          <w:rFonts w:cs="Arial"/>
        </w:rPr>
      </w:pPr>
      <w:r w:rsidRPr="002C1234">
        <w:rPr>
          <w:rFonts w:cs="Arial"/>
        </w:rPr>
        <w:t>Не е установена клинично значимо взаимодействие при едновременния прием на моксифлоксацин и храна.</w:t>
      </w:r>
    </w:p>
    <w:p w14:paraId="48AAEA44" w14:textId="77777777" w:rsidR="00B21C93" w:rsidRPr="00941F31" w:rsidRDefault="00B21C93" w:rsidP="00B21C93">
      <w:pPr>
        <w:pStyle w:val="Heading2"/>
      </w:pPr>
      <w:r w:rsidRPr="00941F31">
        <w:t>4.6 Фертилитет, бременност и кърмене</w:t>
      </w:r>
    </w:p>
    <w:p w14:paraId="5FEA16A8" w14:textId="7A659B2B" w:rsidR="00B21C93" w:rsidRPr="002C1234" w:rsidRDefault="00B21C93" w:rsidP="002C1234">
      <w:pPr>
        <w:pStyle w:val="Heading3"/>
        <w:rPr>
          <w:u w:val="single"/>
        </w:rPr>
      </w:pPr>
      <w:r w:rsidRPr="002C1234">
        <w:rPr>
          <w:u w:val="single"/>
        </w:rPr>
        <w:t>Бременност</w:t>
      </w:r>
    </w:p>
    <w:p w14:paraId="639D5C36" w14:textId="77777777" w:rsidR="002C1234" w:rsidRPr="002C1234" w:rsidRDefault="00B21C93" w:rsidP="00B21C93">
      <w:pPr>
        <w:pStyle w:val="BodyText"/>
        <w:spacing w:after="40" w:line="263" w:lineRule="exact"/>
        <w:ind w:firstLine="220"/>
        <w:rPr>
          <w:rFonts w:cs="Arial"/>
        </w:rPr>
      </w:pPr>
      <w:r w:rsidRPr="002C1234">
        <w:rPr>
          <w:rFonts w:cs="Arial"/>
        </w:rPr>
        <w:t>Безопасността на моксифлоксацин по време на бременност при хора не е</w:t>
      </w:r>
      <w:r w:rsidR="002C1234" w:rsidRPr="002C1234">
        <w:rPr>
          <w:rFonts w:cs="Arial"/>
        </w:rPr>
        <w:t xml:space="preserve"> </w:t>
      </w:r>
    </w:p>
    <w:p w14:paraId="327410B6" w14:textId="32A0F32A" w:rsidR="00B21C93" w:rsidRPr="002C1234" w:rsidRDefault="00B21C93" w:rsidP="00B21C93">
      <w:pPr>
        <w:pStyle w:val="BodyText"/>
        <w:spacing w:after="40" w:line="263" w:lineRule="exact"/>
        <w:ind w:firstLine="220"/>
        <w:rPr>
          <w:rFonts w:cs="Arial"/>
        </w:rPr>
      </w:pPr>
      <w:r w:rsidRPr="002C1234">
        <w:rPr>
          <w:rFonts w:cs="Arial"/>
        </w:rPr>
        <w:t>оценявана.</w:t>
      </w:r>
    </w:p>
    <w:p w14:paraId="29B1DC40" w14:textId="77777777" w:rsidR="00B21C93" w:rsidRPr="002C1234" w:rsidRDefault="00B21C93" w:rsidP="00B21C93">
      <w:pPr>
        <w:pStyle w:val="BodyText"/>
        <w:spacing w:after="300" w:line="263" w:lineRule="exact"/>
        <w:ind w:left="220" w:firstLine="20"/>
        <w:jc w:val="both"/>
        <w:rPr>
          <w:rFonts w:cs="Arial"/>
        </w:rPr>
      </w:pPr>
      <w:r w:rsidRPr="002C1234">
        <w:rPr>
          <w:rFonts w:cs="Arial"/>
        </w:rPr>
        <w:t xml:space="preserve">Проучванията при животни показват репродуктивна токсичност (вж. точка 5.3). </w:t>
      </w:r>
      <w:r w:rsidRPr="002C1234">
        <w:rPr>
          <w:rFonts w:cs="Arial"/>
        </w:rPr>
        <w:lastRenderedPageBreak/>
        <w:t>Потенциалният риск при хора не е известен. Поради експерименталния риск от увреждане от флуорохинолони на хрущяла на носещите стави при незрели животни и обратими ставни травми, описани при деца, приемащи някои флуорохинолони, моксифлоксацин не трябва да се използва при бременни жени (вж. точка 4.3).</w:t>
      </w:r>
    </w:p>
    <w:p w14:paraId="275B5DB1" w14:textId="77777777" w:rsidR="00B21C93" w:rsidRPr="002C1234" w:rsidRDefault="00B21C93" w:rsidP="002C1234">
      <w:pPr>
        <w:pStyle w:val="Heading3"/>
        <w:rPr>
          <w:u w:val="single"/>
        </w:rPr>
      </w:pPr>
      <w:r w:rsidRPr="002C1234">
        <w:rPr>
          <w:u w:val="single"/>
        </w:rPr>
        <w:t>Кърмене</w:t>
      </w:r>
    </w:p>
    <w:p w14:paraId="77260BFD" w14:textId="77777777" w:rsidR="00B21C93" w:rsidRPr="002C1234" w:rsidRDefault="00B21C93" w:rsidP="00B21C93">
      <w:pPr>
        <w:pStyle w:val="BodyText"/>
        <w:spacing w:after="300" w:line="256" w:lineRule="exact"/>
        <w:ind w:left="220" w:firstLine="20"/>
        <w:rPr>
          <w:rFonts w:cs="Arial"/>
        </w:rPr>
      </w:pPr>
      <w:r w:rsidRPr="002C1234">
        <w:rPr>
          <w:rFonts w:cs="Arial"/>
        </w:rPr>
        <w:t>Няма налични данни за жени с лактация и кърмачки. Предклиничните данни показват, че малки количества моксифлоксацин се секретират в млякото. Поради липсата на данни при хора и поради експерименталния риск от увреждане от флуорохинолони на хрущяла на носещите стави при незрели животни, кърменето е противопоказано по време на лечение с моксифлоксацин (вж. точка 4.3).</w:t>
      </w:r>
    </w:p>
    <w:p w14:paraId="09A6EE10" w14:textId="77777777" w:rsidR="00B21C93" w:rsidRPr="002C1234" w:rsidRDefault="00B21C93" w:rsidP="002C1234">
      <w:pPr>
        <w:pStyle w:val="Heading3"/>
        <w:rPr>
          <w:u w:val="single"/>
        </w:rPr>
      </w:pPr>
      <w:r w:rsidRPr="002C1234">
        <w:rPr>
          <w:u w:val="single"/>
        </w:rPr>
        <w:t>Фертилитет</w:t>
      </w:r>
    </w:p>
    <w:p w14:paraId="640786BF" w14:textId="77777777" w:rsidR="00B21C93" w:rsidRPr="00941F31" w:rsidRDefault="00B21C93" w:rsidP="00B21C93">
      <w:pPr>
        <w:pStyle w:val="BodyText"/>
        <w:spacing w:after="300" w:line="262" w:lineRule="exact"/>
        <w:ind w:firstLine="220"/>
        <w:rPr>
          <w:rFonts w:cs="Arial"/>
          <w:sz w:val="24"/>
          <w:szCs w:val="24"/>
        </w:rPr>
      </w:pPr>
      <w:r w:rsidRPr="002C1234">
        <w:rPr>
          <w:rFonts w:cs="Arial"/>
        </w:rPr>
        <w:t>Проучвания при животни не показват увреждане на фертилитета (вж. точка 5.3).</w:t>
      </w:r>
    </w:p>
    <w:p w14:paraId="0FC92A4D" w14:textId="77777777" w:rsidR="00B21C93" w:rsidRPr="00941F31" w:rsidRDefault="00B21C93" w:rsidP="00B21C93">
      <w:pPr>
        <w:pStyle w:val="Heading2"/>
      </w:pPr>
      <w:r w:rsidRPr="00941F31">
        <w:t>4.7 Ефекти върху способността за шофиране и работа с машини</w:t>
      </w:r>
    </w:p>
    <w:p w14:paraId="33688871" w14:textId="77777777" w:rsidR="00B21C93" w:rsidRPr="002C1234" w:rsidRDefault="00B21C93" w:rsidP="00B21C93">
      <w:pPr>
        <w:pStyle w:val="BodyText"/>
        <w:spacing w:after="40" w:line="262" w:lineRule="exact"/>
        <w:ind w:left="220" w:firstLine="20"/>
        <w:jc w:val="both"/>
        <w:rPr>
          <w:rFonts w:cs="Arial"/>
        </w:rPr>
      </w:pPr>
      <w:r w:rsidRPr="002C1234">
        <w:rPr>
          <w:rFonts w:cs="Arial"/>
        </w:rPr>
        <w:t>Не са проведени проучвания върху ефектите на моксифлоксацин върху способността за шофиране и работа с машини.</w:t>
      </w:r>
    </w:p>
    <w:p w14:paraId="4C4720EE" w14:textId="77777777" w:rsidR="00B21C93" w:rsidRPr="00941F31" w:rsidRDefault="00B21C93" w:rsidP="00B21C93">
      <w:pPr>
        <w:pStyle w:val="BodyText"/>
        <w:spacing w:after="340" w:line="262" w:lineRule="exact"/>
        <w:ind w:left="220" w:firstLine="20"/>
        <w:rPr>
          <w:rFonts w:cs="Arial"/>
          <w:sz w:val="24"/>
          <w:szCs w:val="24"/>
        </w:rPr>
      </w:pPr>
      <w:r w:rsidRPr="002C1234">
        <w:rPr>
          <w:rFonts w:cs="Arial"/>
        </w:rPr>
        <w:t>Обаче флуорохинолоните, включително моксифлоксацин, могат да доведат до увреждане способността на пациентите да шофират или да работят с машини поради реакции от страна на ЦНС (напр. замайване; остра, преходна загуба на зрение, вж. точка 4.8) или остра и краткотрайна загуба на съзнание (синкоп, вж. точка 4.8). Пациентите би следвало да бъдат съветвани да проверят как реагират на моксифлоксацин преди да шофират или работят с машини</w:t>
      </w:r>
      <w:r w:rsidRPr="00941F31">
        <w:rPr>
          <w:rFonts w:cs="Arial"/>
          <w:sz w:val="24"/>
          <w:szCs w:val="24"/>
        </w:rPr>
        <w:t>.</w:t>
      </w:r>
    </w:p>
    <w:p w14:paraId="5FC7280B" w14:textId="77777777" w:rsidR="00B21C93" w:rsidRPr="00941F31" w:rsidRDefault="00B21C93" w:rsidP="00B21C93">
      <w:pPr>
        <w:pStyle w:val="Heading2"/>
      </w:pPr>
      <w:r w:rsidRPr="00941F31">
        <w:t>4.8 Нежелани лекарствени реакции</w:t>
      </w:r>
    </w:p>
    <w:p w14:paraId="7658292D" w14:textId="77777777" w:rsidR="00B21C93" w:rsidRPr="002C1234" w:rsidRDefault="00B21C93" w:rsidP="00B21C93">
      <w:pPr>
        <w:pStyle w:val="BodyText"/>
        <w:spacing w:after="300" w:line="266" w:lineRule="exact"/>
        <w:rPr>
          <w:rFonts w:cs="Arial"/>
        </w:rPr>
      </w:pPr>
      <w:r w:rsidRPr="002C1234">
        <w:rPr>
          <w:rFonts w:cs="Arial"/>
        </w:rPr>
        <w:t xml:space="preserve">Нежелани реакции, наблюдавани при клинични изпитвания и получени от постмаркетингови съобщения с моксифлоксацин 400 </w:t>
      </w:r>
      <w:r w:rsidRPr="002C1234">
        <w:rPr>
          <w:rFonts w:cs="Arial"/>
          <w:lang w:bidi="en-US"/>
        </w:rPr>
        <w:t xml:space="preserve">mg </w:t>
      </w:r>
      <w:r w:rsidRPr="002C1234">
        <w:rPr>
          <w:rFonts w:cs="Arial"/>
        </w:rPr>
        <w:t>(прилаган перорално и като последваща терапия), групирани по честота:</w:t>
      </w:r>
    </w:p>
    <w:p w14:paraId="2F3094DE" w14:textId="77777777" w:rsidR="00B21C93" w:rsidRPr="002C1234" w:rsidRDefault="00B21C93" w:rsidP="00B21C93">
      <w:pPr>
        <w:pStyle w:val="BodyText"/>
        <w:spacing w:after="300" w:line="263" w:lineRule="exact"/>
        <w:rPr>
          <w:rFonts w:cs="Arial"/>
        </w:rPr>
      </w:pPr>
      <w:r w:rsidRPr="002C1234">
        <w:rPr>
          <w:rFonts w:cs="Arial"/>
        </w:rPr>
        <w:t>Освен гаденето и диарията, всички нежелани реакции са наблюдавани с честота под 3%.</w:t>
      </w:r>
    </w:p>
    <w:p w14:paraId="75CBC350" w14:textId="77777777" w:rsidR="00B21C93" w:rsidRPr="002C1234" w:rsidRDefault="00B21C93" w:rsidP="00B21C93">
      <w:pPr>
        <w:spacing w:after="120"/>
        <w:jc w:val="both"/>
        <w:rPr>
          <w:rFonts w:ascii="Arial" w:hAnsi="Arial" w:cs="Arial"/>
        </w:rPr>
      </w:pPr>
      <w:r w:rsidRPr="002C1234">
        <w:rPr>
          <w:rFonts w:ascii="Arial" w:hAnsi="Arial" w:cs="Arial"/>
        </w:rPr>
        <w:t>При всяко групиране в зависимост от честотата, нежеланите лекарствени реакции се изброяват в низходящ ред по отношение на тяхната сериозност. Честотите са определени като:</w:t>
      </w:r>
    </w:p>
    <w:p w14:paraId="2510DCE2" w14:textId="77777777" w:rsidR="00B21C93" w:rsidRPr="002C1234" w:rsidRDefault="00B21C93" w:rsidP="00B21C93">
      <w:pPr>
        <w:pStyle w:val="ListParagraph"/>
        <w:numPr>
          <w:ilvl w:val="0"/>
          <w:numId w:val="17"/>
        </w:numPr>
        <w:spacing w:after="0" w:line="240" w:lineRule="auto"/>
        <w:rPr>
          <w:rFonts w:ascii="Arial" w:eastAsia="Times New Roman" w:hAnsi="Arial" w:cs="Arial"/>
        </w:rPr>
      </w:pPr>
      <w:r w:rsidRPr="002C1234">
        <w:rPr>
          <w:rFonts w:ascii="Arial" w:eastAsia="Times New Roman" w:hAnsi="Arial" w:cs="Arial"/>
          <w:color w:val="000000"/>
          <w:lang w:eastAsia="bg-BG"/>
        </w:rPr>
        <w:t>чести (</w:t>
      </w:r>
      <w:r w:rsidRPr="002C1234">
        <w:rPr>
          <w:rFonts w:ascii="Arial" w:eastAsia="Times New Roman" w:hAnsi="Arial" w:cs="Arial"/>
          <w:color w:val="000000"/>
        </w:rPr>
        <w:t>≥</w:t>
      </w:r>
      <w:r w:rsidRPr="002C1234">
        <w:rPr>
          <w:rFonts w:ascii="Arial" w:eastAsia="Times New Roman" w:hAnsi="Arial" w:cs="Arial"/>
          <w:color w:val="000000"/>
          <w:lang w:eastAsia="bg-BG"/>
        </w:rPr>
        <w:t xml:space="preserve"> 1/100 до &lt; 1/10), </w:t>
      </w:r>
    </w:p>
    <w:p w14:paraId="12F697A8" w14:textId="77777777" w:rsidR="00B21C93" w:rsidRPr="002C1234" w:rsidRDefault="00B21C93" w:rsidP="00B21C93">
      <w:pPr>
        <w:pStyle w:val="ListParagraph"/>
        <w:numPr>
          <w:ilvl w:val="0"/>
          <w:numId w:val="17"/>
        </w:numPr>
        <w:spacing w:after="0" w:line="240" w:lineRule="auto"/>
        <w:rPr>
          <w:rFonts w:ascii="Arial" w:eastAsia="Times New Roman" w:hAnsi="Arial" w:cs="Arial"/>
        </w:rPr>
      </w:pPr>
      <w:r w:rsidRPr="002C1234">
        <w:rPr>
          <w:rFonts w:ascii="Arial" w:eastAsia="Times New Roman" w:hAnsi="Arial" w:cs="Arial"/>
          <w:color w:val="000000"/>
          <w:lang w:eastAsia="bg-BG"/>
        </w:rPr>
        <w:t>нечести (</w:t>
      </w:r>
      <w:r w:rsidRPr="002C1234">
        <w:rPr>
          <w:rFonts w:ascii="Arial" w:eastAsia="Times New Roman" w:hAnsi="Arial" w:cs="Arial"/>
          <w:color w:val="000000"/>
        </w:rPr>
        <w:t>≥</w:t>
      </w:r>
      <w:r w:rsidRPr="002C1234">
        <w:rPr>
          <w:rFonts w:ascii="Arial" w:eastAsia="Times New Roman" w:hAnsi="Arial" w:cs="Arial"/>
          <w:color w:val="000000"/>
          <w:lang w:eastAsia="bg-BG"/>
        </w:rPr>
        <w:t xml:space="preserve"> 1/1 000 до &lt; 1/100), </w:t>
      </w:r>
    </w:p>
    <w:p w14:paraId="1924BB6F" w14:textId="77777777" w:rsidR="00B21C93" w:rsidRPr="002C1234" w:rsidRDefault="00B21C93" w:rsidP="00B21C93">
      <w:pPr>
        <w:pStyle w:val="ListParagraph"/>
        <w:numPr>
          <w:ilvl w:val="0"/>
          <w:numId w:val="17"/>
        </w:numPr>
        <w:spacing w:after="0" w:line="240" w:lineRule="auto"/>
        <w:rPr>
          <w:rFonts w:ascii="Arial" w:eastAsia="Times New Roman" w:hAnsi="Arial" w:cs="Arial"/>
        </w:rPr>
      </w:pPr>
      <w:r w:rsidRPr="002C1234">
        <w:rPr>
          <w:rFonts w:ascii="Arial" w:eastAsia="Times New Roman" w:hAnsi="Arial" w:cs="Arial"/>
          <w:color w:val="000000"/>
          <w:lang w:eastAsia="bg-BG"/>
        </w:rPr>
        <w:t>редки (</w:t>
      </w:r>
      <w:r w:rsidRPr="002C1234">
        <w:rPr>
          <w:rFonts w:ascii="Arial" w:eastAsia="Times New Roman" w:hAnsi="Arial" w:cs="Arial"/>
          <w:color w:val="000000"/>
        </w:rPr>
        <w:t>≥</w:t>
      </w:r>
      <w:r w:rsidRPr="002C1234">
        <w:rPr>
          <w:rFonts w:ascii="Arial" w:eastAsia="Times New Roman" w:hAnsi="Arial" w:cs="Arial"/>
          <w:color w:val="000000"/>
          <w:lang w:eastAsia="bg-BG"/>
        </w:rPr>
        <w:t xml:space="preserve"> 1/10 000 до &lt; 1/1 000), </w:t>
      </w:r>
    </w:p>
    <w:p w14:paraId="31375C07" w14:textId="77777777" w:rsidR="00B21C93" w:rsidRPr="002C1234" w:rsidRDefault="00B21C93" w:rsidP="00B21C93">
      <w:pPr>
        <w:pStyle w:val="ListParagraph"/>
        <w:numPr>
          <w:ilvl w:val="0"/>
          <w:numId w:val="17"/>
        </w:numPr>
        <w:spacing w:after="0" w:line="240" w:lineRule="auto"/>
        <w:rPr>
          <w:rFonts w:ascii="Arial" w:eastAsia="Times New Roman" w:hAnsi="Arial" w:cs="Arial"/>
        </w:rPr>
      </w:pPr>
      <w:r w:rsidRPr="002C1234">
        <w:rPr>
          <w:rFonts w:ascii="Arial" w:eastAsia="Times New Roman" w:hAnsi="Arial" w:cs="Arial"/>
          <w:color w:val="000000"/>
          <w:lang w:eastAsia="bg-BG"/>
        </w:rPr>
        <w:t>много редки (&lt; 1/10 000),</w:t>
      </w:r>
    </w:p>
    <w:p w14:paraId="28D4CB59" w14:textId="490D5189" w:rsidR="00B21C93" w:rsidRPr="00303303" w:rsidRDefault="00B21C93" w:rsidP="00E33FDA">
      <w:pPr>
        <w:pStyle w:val="ListParagraph"/>
        <w:numPr>
          <w:ilvl w:val="0"/>
          <w:numId w:val="17"/>
        </w:numPr>
        <w:spacing w:after="120" w:line="240" w:lineRule="auto"/>
        <w:jc w:val="both"/>
        <w:rPr>
          <w:rFonts w:ascii="Arial" w:hAnsi="Arial" w:cs="Arial"/>
          <w:sz w:val="28"/>
          <w:szCs w:val="28"/>
        </w:rPr>
      </w:pPr>
      <w:r w:rsidRPr="007D0B0E">
        <w:rPr>
          <w:rFonts w:ascii="Arial" w:eastAsia="Times New Roman" w:hAnsi="Arial" w:cs="Arial"/>
          <w:color w:val="000000"/>
          <w:lang w:eastAsia="bg-BG"/>
        </w:rPr>
        <w:t xml:space="preserve"> с неизвестна честота (от наличните данни не може да бъде направена оценка).</w:t>
      </w:r>
    </w:p>
    <w:p w14:paraId="1EFDD49B" w14:textId="77777777" w:rsidR="00303303" w:rsidRPr="007D0B0E" w:rsidRDefault="00303303" w:rsidP="00303303">
      <w:pPr>
        <w:pStyle w:val="ListParagraph"/>
        <w:spacing w:after="120" w:line="240" w:lineRule="auto"/>
        <w:jc w:val="both"/>
        <w:rPr>
          <w:rFonts w:ascii="Arial" w:hAnsi="Arial" w:cs="Arial"/>
          <w:sz w:val="28"/>
          <w:szCs w:val="28"/>
        </w:rPr>
      </w:pPr>
    </w:p>
    <w:tbl>
      <w:tblPr>
        <w:tblOverlap w:val="never"/>
        <w:tblW w:w="10556" w:type="dxa"/>
        <w:jc w:val="center"/>
        <w:tblLayout w:type="fixed"/>
        <w:tblCellMar>
          <w:left w:w="10" w:type="dxa"/>
          <w:right w:w="10" w:type="dxa"/>
        </w:tblCellMar>
        <w:tblLook w:val="04A0" w:firstRow="1" w:lastRow="0" w:firstColumn="1" w:lastColumn="0" w:noHBand="0" w:noVBand="1"/>
      </w:tblPr>
      <w:tblGrid>
        <w:gridCol w:w="1766"/>
        <w:gridCol w:w="1602"/>
        <w:gridCol w:w="130"/>
        <w:gridCol w:w="1773"/>
        <w:gridCol w:w="2200"/>
        <w:gridCol w:w="1900"/>
        <w:gridCol w:w="1185"/>
      </w:tblGrid>
      <w:tr w:rsidR="00B21C93" w:rsidRPr="002C1234" w14:paraId="0F141317" w14:textId="77777777" w:rsidTr="00B21C93">
        <w:trPr>
          <w:trHeight w:hRule="exact" w:val="1032"/>
          <w:jc w:val="center"/>
        </w:trPr>
        <w:tc>
          <w:tcPr>
            <w:tcW w:w="1766" w:type="dxa"/>
            <w:tcBorders>
              <w:top w:val="single" w:sz="4" w:space="0" w:color="auto"/>
              <w:left w:val="single" w:sz="4" w:space="0" w:color="auto"/>
            </w:tcBorders>
            <w:shd w:val="clear" w:color="auto" w:fill="auto"/>
          </w:tcPr>
          <w:p w14:paraId="0689DB9E" w14:textId="77777777" w:rsidR="00B21C93" w:rsidRPr="002C1234" w:rsidRDefault="00B21C93" w:rsidP="00B21C93">
            <w:pPr>
              <w:pStyle w:val="Other0"/>
              <w:spacing w:before="320" w:after="0" w:line="241" w:lineRule="exact"/>
              <w:rPr>
                <w:rFonts w:ascii="Arial" w:hAnsi="Arial" w:cs="Arial"/>
              </w:rPr>
            </w:pPr>
            <w:r w:rsidRPr="002C1234">
              <w:rPr>
                <w:rFonts w:ascii="Arial" w:hAnsi="Arial" w:cs="Arial"/>
                <w:b/>
                <w:bCs/>
              </w:rPr>
              <w:lastRenderedPageBreak/>
              <w:t xml:space="preserve">Система Орган Клас </w:t>
            </w:r>
            <w:r w:rsidRPr="002C1234">
              <w:rPr>
                <w:rFonts w:ascii="Arial" w:hAnsi="Arial" w:cs="Arial"/>
                <w:b/>
                <w:bCs/>
                <w:lang w:bidi="en-US"/>
              </w:rPr>
              <w:t>(MedDRA)</w:t>
            </w:r>
          </w:p>
        </w:tc>
        <w:tc>
          <w:tcPr>
            <w:tcW w:w="1602" w:type="dxa"/>
            <w:tcBorders>
              <w:top w:val="single" w:sz="4" w:space="0" w:color="auto"/>
              <w:left w:val="single" w:sz="4" w:space="0" w:color="auto"/>
            </w:tcBorders>
            <w:shd w:val="clear" w:color="auto" w:fill="auto"/>
          </w:tcPr>
          <w:p w14:paraId="71BAFE68" w14:textId="77777777" w:rsidR="00B21C93" w:rsidRPr="002C1234" w:rsidRDefault="00B21C93" w:rsidP="00B21C93">
            <w:pPr>
              <w:pStyle w:val="Other0"/>
              <w:spacing w:before="320" w:after="0"/>
              <w:ind w:firstLine="520"/>
              <w:rPr>
                <w:rFonts w:ascii="Arial" w:hAnsi="Arial" w:cs="Arial"/>
              </w:rPr>
            </w:pPr>
            <w:r w:rsidRPr="002C1234">
              <w:rPr>
                <w:rFonts w:ascii="Arial" w:hAnsi="Arial" w:cs="Arial"/>
                <w:b/>
                <w:bCs/>
              </w:rPr>
              <w:t>Чести</w:t>
            </w:r>
          </w:p>
        </w:tc>
        <w:tc>
          <w:tcPr>
            <w:tcW w:w="130" w:type="dxa"/>
            <w:tcBorders>
              <w:top w:val="single" w:sz="4" w:space="0" w:color="auto"/>
              <w:left w:val="single" w:sz="4" w:space="0" w:color="auto"/>
            </w:tcBorders>
            <w:shd w:val="clear" w:color="auto" w:fill="auto"/>
          </w:tcPr>
          <w:p w14:paraId="2DBEDCF6" w14:textId="77777777" w:rsidR="00B21C93" w:rsidRPr="002C1234" w:rsidRDefault="00B21C93" w:rsidP="00B21C93">
            <w:pPr>
              <w:rPr>
                <w:rFonts w:ascii="Arial" w:hAnsi="Arial" w:cs="Arial"/>
              </w:rPr>
            </w:pPr>
          </w:p>
        </w:tc>
        <w:tc>
          <w:tcPr>
            <w:tcW w:w="1773" w:type="dxa"/>
            <w:tcBorders>
              <w:top w:val="single" w:sz="4" w:space="0" w:color="auto"/>
            </w:tcBorders>
            <w:shd w:val="clear" w:color="auto" w:fill="auto"/>
          </w:tcPr>
          <w:p w14:paraId="0E2F828A" w14:textId="77777777" w:rsidR="00B21C93" w:rsidRPr="002C1234" w:rsidRDefault="00B21C93" w:rsidP="00B21C93">
            <w:pPr>
              <w:pStyle w:val="Other0"/>
              <w:spacing w:before="320" w:after="0"/>
              <w:jc w:val="center"/>
              <w:rPr>
                <w:rFonts w:ascii="Arial" w:hAnsi="Arial" w:cs="Arial"/>
              </w:rPr>
            </w:pPr>
            <w:r w:rsidRPr="002C1234">
              <w:rPr>
                <w:rFonts w:ascii="Arial" w:hAnsi="Arial" w:cs="Arial"/>
                <w:b/>
                <w:bCs/>
              </w:rPr>
              <w:t>Нечести</w:t>
            </w:r>
          </w:p>
        </w:tc>
        <w:tc>
          <w:tcPr>
            <w:tcW w:w="2200" w:type="dxa"/>
            <w:tcBorders>
              <w:top w:val="single" w:sz="4" w:space="0" w:color="auto"/>
              <w:left w:val="single" w:sz="4" w:space="0" w:color="auto"/>
            </w:tcBorders>
            <w:shd w:val="clear" w:color="auto" w:fill="auto"/>
          </w:tcPr>
          <w:p w14:paraId="4FAFB250" w14:textId="77777777" w:rsidR="00B21C93" w:rsidRPr="002C1234" w:rsidRDefault="00B21C93" w:rsidP="00B21C93">
            <w:pPr>
              <w:pStyle w:val="Other0"/>
              <w:spacing w:before="320" w:after="0"/>
              <w:ind w:firstLine="820"/>
              <w:rPr>
                <w:rFonts w:ascii="Arial" w:hAnsi="Arial" w:cs="Arial"/>
              </w:rPr>
            </w:pPr>
            <w:r w:rsidRPr="002C1234">
              <w:rPr>
                <w:rFonts w:ascii="Arial" w:hAnsi="Arial" w:cs="Arial"/>
                <w:b/>
                <w:bCs/>
              </w:rPr>
              <w:t>Редки</w:t>
            </w:r>
          </w:p>
        </w:tc>
        <w:tc>
          <w:tcPr>
            <w:tcW w:w="1900" w:type="dxa"/>
            <w:tcBorders>
              <w:top w:val="single" w:sz="4" w:space="0" w:color="auto"/>
              <w:left w:val="single" w:sz="4" w:space="0" w:color="auto"/>
            </w:tcBorders>
            <w:shd w:val="clear" w:color="auto" w:fill="auto"/>
          </w:tcPr>
          <w:p w14:paraId="22587A29" w14:textId="77777777" w:rsidR="00B21C93" w:rsidRPr="002C1234" w:rsidRDefault="00B21C93" w:rsidP="00B21C93">
            <w:pPr>
              <w:pStyle w:val="Other0"/>
              <w:spacing w:before="320" w:after="0"/>
              <w:ind w:firstLine="320"/>
              <w:rPr>
                <w:rFonts w:ascii="Arial" w:hAnsi="Arial" w:cs="Arial"/>
              </w:rPr>
            </w:pPr>
            <w:r w:rsidRPr="002C1234">
              <w:rPr>
                <w:rFonts w:ascii="Arial" w:hAnsi="Arial" w:cs="Arial"/>
                <w:b/>
                <w:bCs/>
              </w:rPr>
              <w:t>Много редки</w:t>
            </w:r>
          </w:p>
        </w:tc>
        <w:tc>
          <w:tcPr>
            <w:tcW w:w="1185" w:type="dxa"/>
            <w:tcBorders>
              <w:top w:val="single" w:sz="4" w:space="0" w:color="auto"/>
              <w:left w:val="single" w:sz="4" w:space="0" w:color="auto"/>
              <w:right w:val="single" w:sz="4" w:space="0" w:color="auto"/>
            </w:tcBorders>
            <w:shd w:val="clear" w:color="auto" w:fill="auto"/>
          </w:tcPr>
          <w:p w14:paraId="37533B3B" w14:textId="77777777" w:rsidR="00B21C93" w:rsidRPr="002C1234" w:rsidRDefault="00B21C93" w:rsidP="00B21C93">
            <w:pPr>
              <w:pStyle w:val="Other0"/>
              <w:spacing w:after="0" w:line="238" w:lineRule="exact"/>
              <w:jc w:val="center"/>
              <w:rPr>
                <w:rFonts w:ascii="Arial" w:hAnsi="Arial" w:cs="Arial"/>
              </w:rPr>
            </w:pPr>
            <w:r w:rsidRPr="002C1234">
              <w:rPr>
                <w:rFonts w:ascii="Arial" w:hAnsi="Arial" w:cs="Arial"/>
                <w:b/>
                <w:bCs/>
              </w:rPr>
              <w:t>С неизвестна честота</w:t>
            </w:r>
          </w:p>
        </w:tc>
      </w:tr>
      <w:tr w:rsidR="00B21C93" w:rsidRPr="002C1234" w14:paraId="790BF492" w14:textId="77777777" w:rsidTr="00B21C93">
        <w:trPr>
          <w:trHeight w:hRule="exact" w:val="1752"/>
          <w:jc w:val="center"/>
        </w:trPr>
        <w:tc>
          <w:tcPr>
            <w:tcW w:w="1766" w:type="dxa"/>
            <w:tcBorders>
              <w:top w:val="single" w:sz="4" w:space="0" w:color="auto"/>
              <w:left w:val="single" w:sz="4" w:space="0" w:color="auto"/>
            </w:tcBorders>
            <w:shd w:val="clear" w:color="auto" w:fill="auto"/>
          </w:tcPr>
          <w:p w14:paraId="102D05DE" w14:textId="77777777" w:rsidR="00B21C93" w:rsidRPr="002C1234" w:rsidRDefault="00B21C93" w:rsidP="00B21C93">
            <w:pPr>
              <w:pStyle w:val="Other0"/>
              <w:spacing w:after="0" w:line="241" w:lineRule="exact"/>
              <w:rPr>
                <w:rFonts w:ascii="Arial" w:hAnsi="Arial" w:cs="Arial"/>
              </w:rPr>
            </w:pPr>
            <w:r w:rsidRPr="002C1234">
              <w:rPr>
                <w:rFonts w:ascii="Arial" w:hAnsi="Arial" w:cs="Arial"/>
                <w:b/>
                <w:bCs/>
              </w:rPr>
              <w:t>Инфекции и инфестации</w:t>
            </w:r>
          </w:p>
        </w:tc>
        <w:tc>
          <w:tcPr>
            <w:tcW w:w="1602" w:type="dxa"/>
            <w:tcBorders>
              <w:top w:val="single" w:sz="4" w:space="0" w:color="auto"/>
              <w:left w:val="single" w:sz="4" w:space="0" w:color="auto"/>
            </w:tcBorders>
            <w:shd w:val="clear" w:color="auto" w:fill="auto"/>
          </w:tcPr>
          <w:p w14:paraId="2A46C514" w14:textId="77777777" w:rsidR="00B21C93" w:rsidRPr="002C1234" w:rsidRDefault="00B21C93" w:rsidP="00B21C93">
            <w:pPr>
              <w:pStyle w:val="Other0"/>
              <w:spacing w:after="0" w:line="242" w:lineRule="exact"/>
              <w:rPr>
                <w:rFonts w:ascii="Arial" w:hAnsi="Arial" w:cs="Arial"/>
              </w:rPr>
            </w:pPr>
            <w:r w:rsidRPr="002C1234">
              <w:rPr>
                <w:rFonts w:ascii="Arial" w:hAnsi="Arial" w:cs="Arial"/>
              </w:rPr>
              <w:t>Суперинфекции с резистентни бактерии или гъби, напр. перорална и вагинална кандидоза</w:t>
            </w:r>
          </w:p>
        </w:tc>
        <w:tc>
          <w:tcPr>
            <w:tcW w:w="1903" w:type="dxa"/>
            <w:gridSpan w:val="2"/>
            <w:tcBorders>
              <w:top w:val="single" w:sz="4" w:space="0" w:color="auto"/>
              <w:left w:val="single" w:sz="4" w:space="0" w:color="auto"/>
            </w:tcBorders>
            <w:shd w:val="clear" w:color="auto" w:fill="auto"/>
          </w:tcPr>
          <w:p w14:paraId="78036947" w14:textId="77777777" w:rsidR="00B21C93" w:rsidRPr="002C1234" w:rsidRDefault="00B21C93" w:rsidP="00B21C93">
            <w:pPr>
              <w:rPr>
                <w:rFonts w:ascii="Arial" w:hAnsi="Arial" w:cs="Arial"/>
              </w:rPr>
            </w:pPr>
          </w:p>
        </w:tc>
        <w:tc>
          <w:tcPr>
            <w:tcW w:w="2200" w:type="dxa"/>
            <w:tcBorders>
              <w:top w:val="single" w:sz="4" w:space="0" w:color="auto"/>
              <w:left w:val="single" w:sz="4" w:space="0" w:color="auto"/>
            </w:tcBorders>
            <w:shd w:val="clear" w:color="auto" w:fill="auto"/>
          </w:tcPr>
          <w:p w14:paraId="35EAC0E7" w14:textId="77777777" w:rsidR="00B21C93" w:rsidRPr="002C1234" w:rsidRDefault="00B21C93" w:rsidP="00B21C93">
            <w:pPr>
              <w:rPr>
                <w:rFonts w:ascii="Arial" w:hAnsi="Arial" w:cs="Arial"/>
              </w:rPr>
            </w:pPr>
          </w:p>
        </w:tc>
        <w:tc>
          <w:tcPr>
            <w:tcW w:w="1900" w:type="dxa"/>
            <w:tcBorders>
              <w:top w:val="single" w:sz="4" w:space="0" w:color="auto"/>
              <w:left w:val="single" w:sz="4" w:space="0" w:color="auto"/>
            </w:tcBorders>
            <w:shd w:val="clear" w:color="auto" w:fill="auto"/>
          </w:tcPr>
          <w:p w14:paraId="09F73E5B" w14:textId="77777777" w:rsidR="00B21C93" w:rsidRPr="002C1234" w:rsidRDefault="00B21C93" w:rsidP="00B21C93">
            <w:pPr>
              <w:rPr>
                <w:rFonts w:ascii="Arial" w:hAnsi="Arial" w:cs="Arial"/>
              </w:rPr>
            </w:pPr>
          </w:p>
        </w:tc>
        <w:tc>
          <w:tcPr>
            <w:tcW w:w="1185" w:type="dxa"/>
            <w:tcBorders>
              <w:top w:val="single" w:sz="4" w:space="0" w:color="auto"/>
              <w:left w:val="single" w:sz="4" w:space="0" w:color="auto"/>
              <w:right w:val="single" w:sz="4" w:space="0" w:color="auto"/>
            </w:tcBorders>
            <w:shd w:val="clear" w:color="auto" w:fill="auto"/>
          </w:tcPr>
          <w:p w14:paraId="6D1FD3C4" w14:textId="77777777" w:rsidR="00B21C93" w:rsidRPr="002C1234" w:rsidRDefault="00B21C93" w:rsidP="00B21C93">
            <w:pPr>
              <w:rPr>
                <w:rFonts w:ascii="Arial" w:hAnsi="Arial" w:cs="Arial"/>
              </w:rPr>
            </w:pPr>
          </w:p>
        </w:tc>
      </w:tr>
      <w:tr w:rsidR="00B21C93" w:rsidRPr="002C1234" w14:paraId="25F15507" w14:textId="77777777" w:rsidTr="00B21C93">
        <w:trPr>
          <w:trHeight w:hRule="exact" w:val="2737"/>
          <w:jc w:val="center"/>
        </w:trPr>
        <w:tc>
          <w:tcPr>
            <w:tcW w:w="1766" w:type="dxa"/>
            <w:tcBorders>
              <w:top w:val="single" w:sz="4" w:space="0" w:color="auto"/>
              <w:left w:val="single" w:sz="4" w:space="0" w:color="auto"/>
            </w:tcBorders>
            <w:shd w:val="clear" w:color="auto" w:fill="auto"/>
          </w:tcPr>
          <w:p w14:paraId="5AB2744E" w14:textId="77777777" w:rsidR="00B21C93" w:rsidRPr="002C1234" w:rsidRDefault="00B21C93" w:rsidP="00B21C93">
            <w:pPr>
              <w:pStyle w:val="Other0"/>
              <w:spacing w:after="0" w:line="242" w:lineRule="exact"/>
              <w:rPr>
                <w:rFonts w:ascii="Arial" w:hAnsi="Arial" w:cs="Arial"/>
              </w:rPr>
            </w:pPr>
            <w:r w:rsidRPr="002C1234">
              <w:rPr>
                <w:rFonts w:ascii="Arial" w:hAnsi="Arial" w:cs="Arial"/>
                <w:b/>
                <w:bCs/>
              </w:rPr>
              <w:t>Нарушения на кръвната и лимфната система</w:t>
            </w:r>
          </w:p>
        </w:tc>
        <w:tc>
          <w:tcPr>
            <w:tcW w:w="1602" w:type="dxa"/>
            <w:tcBorders>
              <w:top w:val="single" w:sz="4" w:space="0" w:color="auto"/>
              <w:left w:val="single" w:sz="4" w:space="0" w:color="auto"/>
            </w:tcBorders>
            <w:shd w:val="clear" w:color="auto" w:fill="auto"/>
          </w:tcPr>
          <w:p w14:paraId="0B24CA80" w14:textId="77777777" w:rsidR="00B21C93" w:rsidRPr="002C1234" w:rsidRDefault="00B21C93" w:rsidP="00B21C93">
            <w:pPr>
              <w:rPr>
                <w:rFonts w:ascii="Arial" w:hAnsi="Arial" w:cs="Arial"/>
              </w:rPr>
            </w:pPr>
          </w:p>
        </w:tc>
        <w:tc>
          <w:tcPr>
            <w:tcW w:w="1903" w:type="dxa"/>
            <w:gridSpan w:val="2"/>
            <w:tcBorders>
              <w:top w:val="single" w:sz="4" w:space="0" w:color="auto"/>
              <w:left w:val="single" w:sz="4" w:space="0" w:color="auto"/>
            </w:tcBorders>
            <w:shd w:val="clear" w:color="auto" w:fill="auto"/>
          </w:tcPr>
          <w:p w14:paraId="1D795523" w14:textId="77777777" w:rsidR="00B21C93" w:rsidRPr="002C1234" w:rsidRDefault="00B21C93" w:rsidP="00B21C93">
            <w:pPr>
              <w:pStyle w:val="Other0"/>
              <w:spacing w:after="0" w:line="241" w:lineRule="exact"/>
              <w:rPr>
                <w:rFonts w:ascii="Arial" w:hAnsi="Arial" w:cs="Arial"/>
              </w:rPr>
            </w:pPr>
            <w:r w:rsidRPr="002C1234">
              <w:rPr>
                <w:rFonts w:ascii="Arial" w:hAnsi="Arial" w:cs="Arial"/>
              </w:rPr>
              <w:t xml:space="preserve">Анемия Левкопения(и) Неутропения Тромбоцитопения Тромбоцитемия Кръвна еозинофилия Удължено протромбиново време / повишен </w:t>
            </w:r>
            <w:r w:rsidRPr="002C1234">
              <w:rPr>
                <w:rFonts w:ascii="Arial" w:hAnsi="Arial" w:cs="Arial"/>
                <w:lang w:bidi="en-US"/>
              </w:rPr>
              <w:t>INR</w:t>
            </w:r>
          </w:p>
        </w:tc>
        <w:tc>
          <w:tcPr>
            <w:tcW w:w="2200" w:type="dxa"/>
            <w:tcBorders>
              <w:top w:val="single" w:sz="4" w:space="0" w:color="auto"/>
              <w:left w:val="single" w:sz="4" w:space="0" w:color="auto"/>
            </w:tcBorders>
            <w:shd w:val="clear" w:color="auto" w:fill="auto"/>
          </w:tcPr>
          <w:p w14:paraId="52C3E1E0" w14:textId="77777777" w:rsidR="00B21C93" w:rsidRPr="002C1234" w:rsidRDefault="00B21C93" w:rsidP="00B21C93">
            <w:pPr>
              <w:rPr>
                <w:rFonts w:ascii="Arial" w:hAnsi="Arial" w:cs="Arial"/>
              </w:rPr>
            </w:pPr>
          </w:p>
        </w:tc>
        <w:tc>
          <w:tcPr>
            <w:tcW w:w="1900" w:type="dxa"/>
            <w:tcBorders>
              <w:top w:val="single" w:sz="4" w:space="0" w:color="auto"/>
              <w:left w:val="single" w:sz="4" w:space="0" w:color="auto"/>
            </w:tcBorders>
            <w:shd w:val="clear" w:color="auto" w:fill="auto"/>
          </w:tcPr>
          <w:p w14:paraId="3FBD3720" w14:textId="77777777" w:rsidR="00B21C93" w:rsidRPr="002C1234" w:rsidRDefault="00B21C93" w:rsidP="00B21C93">
            <w:pPr>
              <w:pStyle w:val="Other0"/>
              <w:spacing w:after="0" w:line="241" w:lineRule="exact"/>
              <w:rPr>
                <w:rFonts w:ascii="Arial" w:hAnsi="Arial" w:cs="Arial"/>
              </w:rPr>
            </w:pPr>
            <w:r w:rsidRPr="002C1234">
              <w:rPr>
                <w:rFonts w:ascii="Arial" w:hAnsi="Arial" w:cs="Arial"/>
              </w:rPr>
              <w:t xml:space="preserve">Повишено ниво </w:t>
            </w:r>
          </w:p>
          <w:p w14:paraId="58F89DEA" w14:textId="77777777" w:rsidR="00B21C93" w:rsidRPr="002C1234" w:rsidRDefault="00B21C93" w:rsidP="00B21C93">
            <w:pPr>
              <w:pStyle w:val="Other0"/>
              <w:spacing w:after="0" w:line="241" w:lineRule="exact"/>
              <w:rPr>
                <w:rFonts w:ascii="Arial" w:hAnsi="Arial" w:cs="Arial"/>
              </w:rPr>
            </w:pPr>
            <w:r w:rsidRPr="002C1234">
              <w:rPr>
                <w:rFonts w:ascii="Arial" w:hAnsi="Arial" w:cs="Arial"/>
              </w:rPr>
              <w:t xml:space="preserve">на протромбин / понижен </w:t>
            </w:r>
            <w:r w:rsidRPr="002C1234">
              <w:rPr>
                <w:rFonts w:ascii="Arial" w:hAnsi="Arial" w:cs="Arial"/>
                <w:lang w:bidi="en-US"/>
              </w:rPr>
              <w:t xml:space="preserve">INR </w:t>
            </w:r>
            <w:r w:rsidRPr="002C1234">
              <w:rPr>
                <w:rFonts w:ascii="Arial" w:hAnsi="Arial" w:cs="Arial"/>
              </w:rPr>
              <w:t>Агранулоцитоза Панцитопения</w:t>
            </w:r>
          </w:p>
        </w:tc>
        <w:tc>
          <w:tcPr>
            <w:tcW w:w="1185" w:type="dxa"/>
            <w:tcBorders>
              <w:top w:val="single" w:sz="4" w:space="0" w:color="auto"/>
              <w:left w:val="single" w:sz="4" w:space="0" w:color="auto"/>
              <w:right w:val="single" w:sz="4" w:space="0" w:color="auto"/>
            </w:tcBorders>
            <w:shd w:val="clear" w:color="auto" w:fill="auto"/>
          </w:tcPr>
          <w:p w14:paraId="54CF0B4C" w14:textId="77777777" w:rsidR="00B21C93" w:rsidRPr="002C1234" w:rsidRDefault="00B21C93" w:rsidP="00B21C93">
            <w:pPr>
              <w:rPr>
                <w:rFonts w:ascii="Arial" w:hAnsi="Arial" w:cs="Arial"/>
              </w:rPr>
            </w:pPr>
          </w:p>
        </w:tc>
      </w:tr>
      <w:tr w:rsidR="00B21C93" w:rsidRPr="002C1234" w14:paraId="01108EA5" w14:textId="77777777" w:rsidTr="00B21C93">
        <w:trPr>
          <w:trHeight w:hRule="exact" w:val="2494"/>
          <w:jc w:val="center"/>
        </w:trPr>
        <w:tc>
          <w:tcPr>
            <w:tcW w:w="1766" w:type="dxa"/>
            <w:tcBorders>
              <w:top w:val="single" w:sz="4" w:space="0" w:color="auto"/>
              <w:left w:val="single" w:sz="4" w:space="0" w:color="auto"/>
            </w:tcBorders>
            <w:shd w:val="clear" w:color="auto" w:fill="auto"/>
          </w:tcPr>
          <w:p w14:paraId="3657AF08" w14:textId="77777777" w:rsidR="00B21C93" w:rsidRPr="002C1234" w:rsidRDefault="00B21C93" w:rsidP="00B21C93">
            <w:pPr>
              <w:pStyle w:val="Other0"/>
              <w:spacing w:after="0" w:line="239" w:lineRule="exact"/>
              <w:rPr>
                <w:rFonts w:ascii="Arial" w:hAnsi="Arial" w:cs="Arial"/>
              </w:rPr>
            </w:pPr>
            <w:r w:rsidRPr="002C1234">
              <w:rPr>
                <w:rFonts w:ascii="Arial" w:hAnsi="Arial" w:cs="Arial"/>
                <w:b/>
                <w:bCs/>
              </w:rPr>
              <w:t>Нарушения на имунната система</w:t>
            </w:r>
          </w:p>
        </w:tc>
        <w:tc>
          <w:tcPr>
            <w:tcW w:w="1602" w:type="dxa"/>
            <w:tcBorders>
              <w:top w:val="single" w:sz="4" w:space="0" w:color="auto"/>
              <w:left w:val="single" w:sz="4" w:space="0" w:color="auto"/>
            </w:tcBorders>
            <w:shd w:val="clear" w:color="auto" w:fill="auto"/>
          </w:tcPr>
          <w:p w14:paraId="5CE2964E" w14:textId="77777777" w:rsidR="00B21C93" w:rsidRPr="002C1234" w:rsidRDefault="00B21C93" w:rsidP="00B21C93">
            <w:pPr>
              <w:rPr>
                <w:rFonts w:ascii="Arial" w:hAnsi="Arial" w:cs="Arial"/>
              </w:rPr>
            </w:pPr>
          </w:p>
        </w:tc>
        <w:tc>
          <w:tcPr>
            <w:tcW w:w="1903" w:type="dxa"/>
            <w:gridSpan w:val="2"/>
            <w:tcBorders>
              <w:top w:val="single" w:sz="4" w:space="0" w:color="auto"/>
              <w:left w:val="single" w:sz="4" w:space="0" w:color="auto"/>
            </w:tcBorders>
            <w:shd w:val="clear" w:color="auto" w:fill="auto"/>
          </w:tcPr>
          <w:p w14:paraId="7BAD045A" w14:textId="77777777" w:rsidR="00B21C93" w:rsidRPr="002C1234" w:rsidRDefault="00B21C93" w:rsidP="00B21C93">
            <w:pPr>
              <w:pStyle w:val="Other0"/>
              <w:spacing w:after="0" w:line="245" w:lineRule="exact"/>
              <w:rPr>
                <w:rFonts w:ascii="Arial" w:hAnsi="Arial" w:cs="Arial"/>
              </w:rPr>
            </w:pPr>
            <w:r w:rsidRPr="002C1234">
              <w:rPr>
                <w:rFonts w:ascii="Arial" w:hAnsi="Arial" w:cs="Arial"/>
              </w:rPr>
              <w:t xml:space="preserve">Алергична </w:t>
            </w:r>
          </w:p>
          <w:p w14:paraId="378CDE9E" w14:textId="77777777" w:rsidR="00B21C93" w:rsidRPr="002C1234" w:rsidRDefault="00B21C93" w:rsidP="00B21C93">
            <w:pPr>
              <w:pStyle w:val="Other0"/>
              <w:spacing w:after="0" w:line="245" w:lineRule="exact"/>
              <w:rPr>
                <w:rFonts w:ascii="Arial" w:hAnsi="Arial" w:cs="Arial"/>
              </w:rPr>
            </w:pPr>
            <w:r w:rsidRPr="002C1234">
              <w:rPr>
                <w:rFonts w:ascii="Arial" w:hAnsi="Arial" w:cs="Arial"/>
              </w:rPr>
              <w:t>реакция (вж. точка 4.4)</w:t>
            </w:r>
          </w:p>
        </w:tc>
        <w:tc>
          <w:tcPr>
            <w:tcW w:w="2200" w:type="dxa"/>
            <w:tcBorders>
              <w:top w:val="single" w:sz="4" w:space="0" w:color="auto"/>
              <w:left w:val="single" w:sz="4" w:space="0" w:color="auto"/>
            </w:tcBorders>
            <w:shd w:val="clear" w:color="auto" w:fill="auto"/>
          </w:tcPr>
          <w:p w14:paraId="324518DC" w14:textId="77777777" w:rsidR="00B21C93" w:rsidRPr="002C1234" w:rsidRDefault="00B21C93" w:rsidP="00B21C93">
            <w:pPr>
              <w:pStyle w:val="Other0"/>
              <w:spacing w:after="0" w:line="242" w:lineRule="exact"/>
              <w:rPr>
                <w:rFonts w:ascii="Arial" w:hAnsi="Arial" w:cs="Arial"/>
              </w:rPr>
            </w:pPr>
            <w:r w:rsidRPr="002C1234">
              <w:rPr>
                <w:rFonts w:ascii="Arial" w:hAnsi="Arial" w:cs="Arial"/>
              </w:rPr>
              <w:t>Анафилаксия вкл. много рядко животозастрашаващ шок (вж. точка 4.4) Алергичен оток / ангиоедем (вкл. оток на ларинкса, потенциално животозастрашаващ, вж. точка 4.4)</w:t>
            </w:r>
          </w:p>
        </w:tc>
        <w:tc>
          <w:tcPr>
            <w:tcW w:w="1900" w:type="dxa"/>
            <w:tcBorders>
              <w:top w:val="single" w:sz="4" w:space="0" w:color="auto"/>
              <w:left w:val="single" w:sz="4" w:space="0" w:color="auto"/>
            </w:tcBorders>
            <w:shd w:val="clear" w:color="auto" w:fill="auto"/>
          </w:tcPr>
          <w:p w14:paraId="1FD77203" w14:textId="77777777" w:rsidR="00B21C93" w:rsidRPr="002C1234" w:rsidRDefault="00B21C93" w:rsidP="00B21C93">
            <w:pPr>
              <w:rPr>
                <w:rFonts w:ascii="Arial" w:hAnsi="Arial" w:cs="Arial"/>
              </w:rPr>
            </w:pPr>
          </w:p>
        </w:tc>
        <w:tc>
          <w:tcPr>
            <w:tcW w:w="1185" w:type="dxa"/>
            <w:tcBorders>
              <w:top w:val="single" w:sz="4" w:space="0" w:color="auto"/>
              <w:left w:val="single" w:sz="4" w:space="0" w:color="auto"/>
              <w:right w:val="single" w:sz="4" w:space="0" w:color="auto"/>
            </w:tcBorders>
            <w:shd w:val="clear" w:color="auto" w:fill="auto"/>
          </w:tcPr>
          <w:p w14:paraId="273D9883" w14:textId="77777777" w:rsidR="00B21C93" w:rsidRPr="002C1234" w:rsidRDefault="00B21C93" w:rsidP="00B21C93">
            <w:pPr>
              <w:rPr>
                <w:rFonts w:ascii="Arial" w:hAnsi="Arial" w:cs="Arial"/>
              </w:rPr>
            </w:pPr>
          </w:p>
        </w:tc>
      </w:tr>
      <w:tr w:rsidR="00B21C93" w:rsidRPr="002C1234" w14:paraId="72619CF4" w14:textId="77777777" w:rsidTr="00B21C93">
        <w:trPr>
          <w:trHeight w:hRule="exact" w:val="1228"/>
          <w:jc w:val="center"/>
        </w:trPr>
        <w:tc>
          <w:tcPr>
            <w:tcW w:w="1766" w:type="dxa"/>
            <w:tcBorders>
              <w:top w:val="single" w:sz="4" w:space="0" w:color="auto"/>
              <w:left w:val="single" w:sz="4" w:space="0" w:color="auto"/>
            </w:tcBorders>
            <w:shd w:val="clear" w:color="auto" w:fill="auto"/>
          </w:tcPr>
          <w:p w14:paraId="733CF421" w14:textId="77777777" w:rsidR="00B21C93" w:rsidRPr="002C1234" w:rsidRDefault="00B21C93" w:rsidP="00B21C93">
            <w:pPr>
              <w:pStyle w:val="Other0"/>
              <w:spacing w:after="0" w:line="234" w:lineRule="exact"/>
              <w:rPr>
                <w:rFonts w:ascii="Arial" w:hAnsi="Arial" w:cs="Arial"/>
              </w:rPr>
            </w:pPr>
            <w:r w:rsidRPr="002C1234">
              <w:rPr>
                <w:rFonts w:ascii="Arial" w:hAnsi="Arial" w:cs="Arial"/>
                <w:b/>
                <w:bCs/>
              </w:rPr>
              <w:t>Нарушения на ендокринната система</w:t>
            </w:r>
          </w:p>
        </w:tc>
        <w:tc>
          <w:tcPr>
            <w:tcW w:w="1602" w:type="dxa"/>
            <w:tcBorders>
              <w:top w:val="single" w:sz="4" w:space="0" w:color="auto"/>
              <w:left w:val="single" w:sz="4" w:space="0" w:color="auto"/>
            </w:tcBorders>
            <w:shd w:val="clear" w:color="auto" w:fill="auto"/>
          </w:tcPr>
          <w:p w14:paraId="046E8BEE" w14:textId="77777777" w:rsidR="00B21C93" w:rsidRPr="002C1234" w:rsidRDefault="00B21C93" w:rsidP="00B21C93">
            <w:pPr>
              <w:rPr>
                <w:rFonts w:ascii="Arial" w:hAnsi="Arial" w:cs="Arial"/>
              </w:rPr>
            </w:pPr>
          </w:p>
        </w:tc>
        <w:tc>
          <w:tcPr>
            <w:tcW w:w="1903" w:type="dxa"/>
            <w:gridSpan w:val="2"/>
            <w:tcBorders>
              <w:top w:val="single" w:sz="4" w:space="0" w:color="auto"/>
              <w:left w:val="single" w:sz="4" w:space="0" w:color="auto"/>
            </w:tcBorders>
            <w:shd w:val="clear" w:color="auto" w:fill="auto"/>
          </w:tcPr>
          <w:p w14:paraId="1FFAE4BB" w14:textId="77777777" w:rsidR="00B21C93" w:rsidRPr="002C1234" w:rsidRDefault="00B21C93" w:rsidP="00B21C93">
            <w:pPr>
              <w:rPr>
                <w:rFonts w:ascii="Arial" w:hAnsi="Arial" w:cs="Arial"/>
              </w:rPr>
            </w:pPr>
          </w:p>
        </w:tc>
        <w:tc>
          <w:tcPr>
            <w:tcW w:w="2200" w:type="dxa"/>
            <w:tcBorders>
              <w:top w:val="single" w:sz="4" w:space="0" w:color="auto"/>
              <w:left w:val="single" w:sz="4" w:space="0" w:color="auto"/>
            </w:tcBorders>
            <w:shd w:val="clear" w:color="auto" w:fill="auto"/>
          </w:tcPr>
          <w:p w14:paraId="7725A768" w14:textId="77777777" w:rsidR="00B21C93" w:rsidRPr="002C1234" w:rsidRDefault="00B21C93" w:rsidP="00B21C93">
            <w:pPr>
              <w:rPr>
                <w:rFonts w:ascii="Arial" w:hAnsi="Arial" w:cs="Arial"/>
              </w:rPr>
            </w:pPr>
          </w:p>
        </w:tc>
        <w:tc>
          <w:tcPr>
            <w:tcW w:w="1900" w:type="dxa"/>
            <w:tcBorders>
              <w:top w:val="single" w:sz="4" w:space="0" w:color="auto"/>
              <w:left w:val="single" w:sz="4" w:space="0" w:color="auto"/>
            </w:tcBorders>
            <w:shd w:val="clear" w:color="auto" w:fill="auto"/>
          </w:tcPr>
          <w:p w14:paraId="7A9439F0" w14:textId="77777777" w:rsidR="00B21C93" w:rsidRPr="002C1234" w:rsidRDefault="00B21C93" w:rsidP="00B21C93">
            <w:pPr>
              <w:pStyle w:val="Other0"/>
              <w:spacing w:after="0" w:line="235" w:lineRule="exact"/>
              <w:rPr>
                <w:rFonts w:ascii="Arial" w:hAnsi="Arial" w:cs="Arial"/>
              </w:rPr>
            </w:pPr>
            <w:r w:rsidRPr="002C1234">
              <w:rPr>
                <w:rFonts w:ascii="Arial" w:hAnsi="Arial" w:cs="Arial"/>
              </w:rPr>
              <w:t xml:space="preserve">Синдром на неадекватна секреция на антидиуретичния хормон </w:t>
            </w:r>
            <w:r w:rsidRPr="002C1234">
              <w:rPr>
                <w:rFonts w:ascii="Arial" w:hAnsi="Arial" w:cs="Arial"/>
                <w:lang w:bidi="en-US"/>
              </w:rPr>
              <w:t>(SIADH)</w:t>
            </w:r>
          </w:p>
        </w:tc>
        <w:tc>
          <w:tcPr>
            <w:tcW w:w="1185" w:type="dxa"/>
            <w:tcBorders>
              <w:top w:val="single" w:sz="4" w:space="0" w:color="auto"/>
              <w:left w:val="single" w:sz="4" w:space="0" w:color="auto"/>
              <w:right w:val="single" w:sz="4" w:space="0" w:color="auto"/>
            </w:tcBorders>
            <w:shd w:val="clear" w:color="auto" w:fill="auto"/>
          </w:tcPr>
          <w:p w14:paraId="237FA174" w14:textId="77777777" w:rsidR="00B21C93" w:rsidRPr="002C1234" w:rsidRDefault="00B21C93" w:rsidP="00B21C93">
            <w:pPr>
              <w:rPr>
                <w:rFonts w:ascii="Arial" w:hAnsi="Arial" w:cs="Arial"/>
              </w:rPr>
            </w:pPr>
          </w:p>
        </w:tc>
      </w:tr>
      <w:tr w:rsidR="00B21C93" w:rsidRPr="002C1234" w14:paraId="3C96F582" w14:textId="77777777" w:rsidTr="00B21C93">
        <w:trPr>
          <w:trHeight w:hRule="exact" w:val="800"/>
          <w:jc w:val="center"/>
        </w:trPr>
        <w:tc>
          <w:tcPr>
            <w:tcW w:w="1766" w:type="dxa"/>
            <w:tcBorders>
              <w:top w:val="single" w:sz="4" w:space="0" w:color="auto"/>
              <w:left w:val="single" w:sz="4" w:space="0" w:color="auto"/>
              <w:bottom w:val="single" w:sz="4" w:space="0" w:color="auto"/>
            </w:tcBorders>
            <w:shd w:val="clear" w:color="auto" w:fill="auto"/>
          </w:tcPr>
          <w:p w14:paraId="25CF373A" w14:textId="77777777" w:rsidR="00B21C93" w:rsidRPr="002C1234" w:rsidRDefault="00B21C93" w:rsidP="00B21C93">
            <w:pPr>
              <w:pStyle w:val="Other0"/>
              <w:spacing w:after="0" w:line="250" w:lineRule="exact"/>
              <w:rPr>
                <w:rFonts w:ascii="Arial" w:hAnsi="Arial" w:cs="Arial"/>
              </w:rPr>
            </w:pPr>
            <w:r w:rsidRPr="002C1234">
              <w:rPr>
                <w:rFonts w:ascii="Arial" w:hAnsi="Arial" w:cs="Arial"/>
                <w:b/>
                <w:bCs/>
              </w:rPr>
              <w:t>Нарушения на метаболизма и храненето</w:t>
            </w:r>
          </w:p>
        </w:tc>
        <w:tc>
          <w:tcPr>
            <w:tcW w:w="1602" w:type="dxa"/>
            <w:tcBorders>
              <w:top w:val="single" w:sz="4" w:space="0" w:color="auto"/>
              <w:left w:val="single" w:sz="4" w:space="0" w:color="auto"/>
              <w:bottom w:val="single" w:sz="4" w:space="0" w:color="auto"/>
            </w:tcBorders>
            <w:shd w:val="clear" w:color="auto" w:fill="auto"/>
          </w:tcPr>
          <w:p w14:paraId="198665D8" w14:textId="77777777" w:rsidR="00B21C93" w:rsidRPr="002C1234" w:rsidRDefault="00B21C93" w:rsidP="00B21C93">
            <w:pPr>
              <w:rPr>
                <w:rFonts w:ascii="Arial" w:hAnsi="Arial" w:cs="Arial"/>
              </w:rPr>
            </w:pPr>
          </w:p>
        </w:tc>
        <w:tc>
          <w:tcPr>
            <w:tcW w:w="1903" w:type="dxa"/>
            <w:gridSpan w:val="2"/>
            <w:tcBorders>
              <w:top w:val="single" w:sz="4" w:space="0" w:color="auto"/>
              <w:left w:val="single" w:sz="4" w:space="0" w:color="auto"/>
              <w:bottom w:val="single" w:sz="4" w:space="0" w:color="auto"/>
            </w:tcBorders>
            <w:shd w:val="clear" w:color="auto" w:fill="auto"/>
          </w:tcPr>
          <w:p w14:paraId="53FDC4AB" w14:textId="77777777" w:rsidR="00B21C93" w:rsidRPr="002C1234" w:rsidRDefault="00B21C93" w:rsidP="00B21C93">
            <w:pPr>
              <w:pStyle w:val="Other0"/>
              <w:spacing w:after="0"/>
              <w:rPr>
                <w:rFonts w:ascii="Arial" w:hAnsi="Arial" w:cs="Arial"/>
              </w:rPr>
            </w:pPr>
            <w:r w:rsidRPr="002C1234">
              <w:rPr>
                <w:rFonts w:ascii="Arial" w:hAnsi="Arial" w:cs="Arial"/>
              </w:rPr>
              <w:t>Хиперлипидемия</w:t>
            </w:r>
          </w:p>
        </w:tc>
        <w:tc>
          <w:tcPr>
            <w:tcW w:w="2200" w:type="dxa"/>
            <w:tcBorders>
              <w:top w:val="single" w:sz="4" w:space="0" w:color="auto"/>
              <w:left w:val="single" w:sz="4" w:space="0" w:color="auto"/>
              <w:bottom w:val="single" w:sz="4" w:space="0" w:color="auto"/>
            </w:tcBorders>
            <w:shd w:val="clear" w:color="auto" w:fill="auto"/>
          </w:tcPr>
          <w:p w14:paraId="496EAC9C" w14:textId="77777777" w:rsidR="00B21C93" w:rsidRPr="002C1234" w:rsidRDefault="00B21C93" w:rsidP="00B21C93">
            <w:pPr>
              <w:pStyle w:val="Other0"/>
              <w:spacing w:after="40"/>
              <w:rPr>
                <w:rFonts w:ascii="Arial" w:hAnsi="Arial" w:cs="Arial"/>
              </w:rPr>
            </w:pPr>
            <w:r w:rsidRPr="002C1234">
              <w:rPr>
                <w:rFonts w:ascii="Arial" w:hAnsi="Arial" w:cs="Arial"/>
              </w:rPr>
              <w:t>Хипергликемия</w:t>
            </w:r>
          </w:p>
          <w:p w14:paraId="35E0CA5E" w14:textId="77777777" w:rsidR="00B21C93" w:rsidRPr="002C1234" w:rsidRDefault="00B21C93" w:rsidP="00B21C93">
            <w:pPr>
              <w:pStyle w:val="Other0"/>
              <w:spacing w:after="0"/>
              <w:rPr>
                <w:rFonts w:ascii="Arial" w:hAnsi="Arial" w:cs="Arial"/>
              </w:rPr>
            </w:pPr>
            <w:r w:rsidRPr="002C1234">
              <w:rPr>
                <w:rFonts w:ascii="Arial" w:hAnsi="Arial" w:cs="Arial"/>
              </w:rPr>
              <w:t>Хиперурикемия</w:t>
            </w:r>
          </w:p>
        </w:tc>
        <w:tc>
          <w:tcPr>
            <w:tcW w:w="1900" w:type="dxa"/>
            <w:tcBorders>
              <w:top w:val="single" w:sz="4" w:space="0" w:color="auto"/>
              <w:left w:val="single" w:sz="4" w:space="0" w:color="auto"/>
              <w:bottom w:val="single" w:sz="4" w:space="0" w:color="auto"/>
            </w:tcBorders>
            <w:shd w:val="clear" w:color="auto" w:fill="auto"/>
          </w:tcPr>
          <w:p w14:paraId="0BC04EFE" w14:textId="77777777" w:rsidR="00B21C93" w:rsidRPr="002C1234" w:rsidRDefault="00B21C93" w:rsidP="00B21C93">
            <w:pPr>
              <w:pStyle w:val="Other0"/>
              <w:spacing w:after="0" w:line="256" w:lineRule="exact"/>
              <w:rPr>
                <w:rFonts w:ascii="Arial" w:hAnsi="Arial" w:cs="Arial"/>
              </w:rPr>
            </w:pPr>
            <w:r w:rsidRPr="002C1234">
              <w:rPr>
                <w:rFonts w:ascii="Arial" w:hAnsi="Arial" w:cs="Arial"/>
              </w:rPr>
              <w:t>Хипогликемия Хипогликемична</w:t>
            </w:r>
          </w:p>
          <w:p w14:paraId="6BA32DC1" w14:textId="77777777" w:rsidR="00B21C93" w:rsidRPr="002C1234" w:rsidRDefault="00B21C93" w:rsidP="00B21C93">
            <w:pPr>
              <w:pStyle w:val="Other0"/>
              <w:spacing w:after="0" w:line="256" w:lineRule="exact"/>
              <w:rPr>
                <w:rFonts w:ascii="Arial" w:hAnsi="Arial" w:cs="Arial"/>
              </w:rPr>
            </w:pPr>
            <w:r w:rsidRPr="002C1234">
              <w:rPr>
                <w:rFonts w:ascii="Arial" w:hAnsi="Arial" w:cs="Arial"/>
              </w:rPr>
              <w:t>кома</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6E1F29E4" w14:textId="77777777" w:rsidR="00B21C93" w:rsidRPr="002C1234" w:rsidRDefault="00B21C93" w:rsidP="00B21C93">
            <w:pPr>
              <w:rPr>
                <w:rFonts w:ascii="Arial" w:hAnsi="Arial" w:cs="Arial"/>
              </w:rPr>
            </w:pPr>
          </w:p>
        </w:tc>
      </w:tr>
    </w:tbl>
    <w:p w14:paraId="06554270" w14:textId="77777777" w:rsidR="00B21C93" w:rsidRPr="002C1234" w:rsidRDefault="00B21C93" w:rsidP="00B21C93">
      <w:pPr>
        <w:spacing w:after="120"/>
        <w:jc w:val="both"/>
        <w:rPr>
          <w:rFonts w:ascii="Arial" w:hAnsi="Arial" w:cs="Arial"/>
        </w:rPr>
      </w:pPr>
    </w:p>
    <w:tbl>
      <w:tblPr>
        <w:tblpPr w:leftFromText="180" w:rightFromText="180" w:horzAnchor="margin" w:tblpXSpec="center" w:tblpY="-580"/>
        <w:tblOverlap w:val="never"/>
        <w:tblW w:w="11310" w:type="dxa"/>
        <w:tblLayout w:type="fixed"/>
        <w:tblCellMar>
          <w:left w:w="10" w:type="dxa"/>
          <w:right w:w="10" w:type="dxa"/>
        </w:tblCellMar>
        <w:tblLook w:val="04A0" w:firstRow="1" w:lastRow="0" w:firstColumn="1" w:lastColumn="0" w:noHBand="0" w:noVBand="1"/>
      </w:tblPr>
      <w:tblGrid>
        <w:gridCol w:w="1887"/>
        <w:gridCol w:w="1739"/>
        <w:gridCol w:w="2022"/>
        <w:gridCol w:w="2361"/>
        <w:gridCol w:w="2038"/>
        <w:gridCol w:w="1263"/>
      </w:tblGrid>
      <w:tr w:rsidR="00B21C93" w:rsidRPr="002C1234" w14:paraId="06B80D07" w14:textId="77777777" w:rsidTr="00B21C93">
        <w:trPr>
          <w:trHeight w:hRule="exact" w:val="993"/>
        </w:trPr>
        <w:tc>
          <w:tcPr>
            <w:tcW w:w="1887" w:type="dxa"/>
            <w:tcBorders>
              <w:top w:val="single" w:sz="4" w:space="0" w:color="auto"/>
              <w:left w:val="single" w:sz="4" w:space="0" w:color="auto"/>
            </w:tcBorders>
            <w:shd w:val="clear" w:color="auto" w:fill="auto"/>
            <w:vAlign w:val="center"/>
          </w:tcPr>
          <w:p w14:paraId="0FE27DBC" w14:textId="77777777" w:rsidR="00B21C93" w:rsidRPr="002C1234" w:rsidRDefault="00B21C93" w:rsidP="00B21C93">
            <w:pPr>
              <w:pStyle w:val="Other0"/>
              <w:spacing w:after="0"/>
              <w:rPr>
                <w:rFonts w:ascii="Arial" w:hAnsi="Arial" w:cs="Arial"/>
              </w:rPr>
            </w:pPr>
            <w:r w:rsidRPr="002C1234">
              <w:rPr>
                <w:rFonts w:ascii="Arial" w:hAnsi="Arial" w:cs="Arial"/>
                <w:b/>
                <w:bCs/>
              </w:rPr>
              <w:lastRenderedPageBreak/>
              <w:t>Система Орган</w:t>
            </w:r>
          </w:p>
          <w:p w14:paraId="7EFE4DDD" w14:textId="77777777" w:rsidR="00B21C93" w:rsidRPr="002C1234" w:rsidRDefault="00B21C93" w:rsidP="00B21C93">
            <w:pPr>
              <w:pStyle w:val="Other0"/>
              <w:spacing w:after="0" w:line="230" w:lineRule="auto"/>
              <w:rPr>
                <w:rFonts w:ascii="Arial" w:hAnsi="Arial" w:cs="Arial"/>
              </w:rPr>
            </w:pPr>
            <w:r w:rsidRPr="002C1234">
              <w:rPr>
                <w:rFonts w:ascii="Arial" w:hAnsi="Arial" w:cs="Arial"/>
                <w:b/>
                <w:bCs/>
              </w:rPr>
              <w:t xml:space="preserve">Клас </w:t>
            </w:r>
            <w:r w:rsidRPr="002C1234">
              <w:rPr>
                <w:rFonts w:ascii="Arial" w:hAnsi="Arial" w:cs="Arial"/>
                <w:b/>
                <w:bCs/>
                <w:lang w:bidi="en-US"/>
              </w:rPr>
              <w:t>(MedDRA)</w:t>
            </w:r>
          </w:p>
        </w:tc>
        <w:tc>
          <w:tcPr>
            <w:tcW w:w="1739" w:type="dxa"/>
            <w:tcBorders>
              <w:top w:val="single" w:sz="4" w:space="0" w:color="auto"/>
              <w:left w:val="single" w:sz="4" w:space="0" w:color="auto"/>
            </w:tcBorders>
            <w:shd w:val="clear" w:color="auto" w:fill="auto"/>
            <w:vAlign w:val="center"/>
          </w:tcPr>
          <w:p w14:paraId="7CFE1CCE" w14:textId="77777777" w:rsidR="00B21C93" w:rsidRPr="002C1234" w:rsidRDefault="00B21C93" w:rsidP="00B21C93">
            <w:pPr>
              <w:pStyle w:val="Other0"/>
              <w:spacing w:after="0"/>
              <w:ind w:firstLine="540"/>
              <w:rPr>
                <w:rFonts w:ascii="Arial" w:hAnsi="Arial" w:cs="Arial"/>
              </w:rPr>
            </w:pPr>
            <w:r w:rsidRPr="002C1234">
              <w:rPr>
                <w:rFonts w:ascii="Arial" w:hAnsi="Arial" w:cs="Arial"/>
                <w:b/>
                <w:bCs/>
              </w:rPr>
              <w:t>Чести</w:t>
            </w:r>
          </w:p>
        </w:tc>
        <w:tc>
          <w:tcPr>
            <w:tcW w:w="2022" w:type="dxa"/>
            <w:tcBorders>
              <w:top w:val="single" w:sz="4" w:space="0" w:color="auto"/>
              <w:left w:val="single" w:sz="4" w:space="0" w:color="auto"/>
            </w:tcBorders>
            <w:shd w:val="clear" w:color="auto" w:fill="auto"/>
            <w:vAlign w:val="center"/>
          </w:tcPr>
          <w:p w14:paraId="3BA3FF0D" w14:textId="77777777" w:rsidR="00B21C93" w:rsidRPr="002C1234" w:rsidRDefault="00B21C93" w:rsidP="00B21C93">
            <w:pPr>
              <w:pStyle w:val="Other0"/>
              <w:spacing w:after="0"/>
              <w:ind w:firstLine="560"/>
              <w:rPr>
                <w:rFonts w:ascii="Arial" w:hAnsi="Arial" w:cs="Arial"/>
              </w:rPr>
            </w:pPr>
            <w:r w:rsidRPr="002C1234">
              <w:rPr>
                <w:rFonts w:ascii="Arial" w:hAnsi="Arial" w:cs="Arial"/>
                <w:b/>
                <w:bCs/>
              </w:rPr>
              <w:t>Нечести</w:t>
            </w:r>
          </w:p>
        </w:tc>
        <w:tc>
          <w:tcPr>
            <w:tcW w:w="2361" w:type="dxa"/>
            <w:tcBorders>
              <w:top w:val="single" w:sz="4" w:space="0" w:color="auto"/>
              <w:left w:val="single" w:sz="4" w:space="0" w:color="auto"/>
            </w:tcBorders>
            <w:shd w:val="clear" w:color="auto" w:fill="auto"/>
            <w:vAlign w:val="center"/>
          </w:tcPr>
          <w:p w14:paraId="1D7C6513" w14:textId="77777777" w:rsidR="00B21C93" w:rsidRPr="002C1234" w:rsidRDefault="00B21C93" w:rsidP="00B21C93">
            <w:pPr>
              <w:pStyle w:val="Other0"/>
              <w:spacing w:after="0"/>
              <w:ind w:firstLine="820"/>
              <w:rPr>
                <w:rFonts w:ascii="Arial" w:hAnsi="Arial" w:cs="Arial"/>
              </w:rPr>
            </w:pPr>
            <w:r w:rsidRPr="002C1234">
              <w:rPr>
                <w:rFonts w:ascii="Arial" w:hAnsi="Arial" w:cs="Arial"/>
                <w:b/>
                <w:bCs/>
              </w:rPr>
              <w:t>Редки</w:t>
            </w:r>
          </w:p>
        </w:tc>
        <w:tc>
          <w:tcPr>
            <w:tcW w:w="2038" w:type="dxa"/>
            <w:tcBorders>
              <w:top w:val="single" w:sz="4" w:space="0" w:color="auto"/>
              <w:left w:val="single" w:sz="4" w:space="0" w:color="auto"/>
            </w:tcBorders>
            <w:shd w:val="clear" w:color="auto" w:fill="auto"/>
            <w:vAlign w:val="center"/>
          </w:tcPr>
          <w:p w14:paraId="483E4B17" w14:textId="77777777" w:rsidR="00B21C93" w:rsidRPr="002C1234" w:rsidRDefault="00B21C93" w:rsidP="00B21C93">
            <w:pPr>
              <w:pStyle w:val="Other0"/>
              <w:spacing w:after="0"/>
              <w:ind w:firstLine="320"/>
              <w:rPr>
                <w:rFonts w:ascii="Arial" w:hAnsi="Arial" w:cs="Arial"/>
              </w:rPr>
            </w:pPr>
            <w:r w:rsidRPr="002C1234">
              <w:rPr>
                <w:rFonts w:ascii="Arial" w:hAnsi="Arial" w:cs="Arial"/>
                <w:b/>
                <w:bCs/>
              </w:rPr>
              <w:t>Много редки</w:t>
            </w:r>
          </w:p>
        </w:tc>
        <w:tc>
          <w:tcPr>
            <w:tcW w:w="1263" w:type="dxa"/>
            <w:tcBorders>
              <w:top w:val="single" w:sz="4" w:space="0" w:color="auto"/>
              <w:left w:val="single" w:sz="4" w:space="0" w:color="auto"/>
              <w:right w:val="single" w:sz="4" w:space="0" w:color="auto"/>
            </w:tcBorders>
            <w:shd w:val="clear" w:color="auto" w:fill="auto"/>
          </w:tcPr>
          <w:p w14:paraId="18D38C3F" w14:textId="77777777" w:rsidR="00B21C93" w:rsidRPr="002C1234" w:rsidRDefault="00B21C93" w:rsidP="00B21C93">
            <w:pPr>
              <w:pStyle w:val="Other0"/>
              <w:spacing w:after="0"/>
              <w:jc w:val="center"/>
              <w:rPr>
                <w:rFonts w:ascii="Arial" w:hAnsi="Arial" w:cs="Arial"/>
              </w:rPr>
            </w:pPr>
            <w:r w:rsidRPr="002C1234">
              <w:rPr>
                <w:rFonts w:ascii="Arial" w:hAnsi="Arial" w:cs="Arial"/>
                <w:b/>
                <w:bCs/>
              </w:rPr>
              <w:t>С неизвестна честота</w:t>
            </w:r>
          </w:p>
        </w:tc>
      </w:tr>
      <w:tr w:rsidR="00B21C93" w:rsidRPr="002C1234" w14:paraId="4F0094A3" w14:textId="77777777" w:rsidTr="0066050E">
        <w:trPr>
          <w:trHeight w:hRule="exact" w:val="3693"/>
        </w:trPr>
        <w:tc>
          <w:tcPr>
            <w:tcW w:w="1887" w:type="dxa"/>
            <w:tcBorders>
              <w:top w:val="single" w:sz="4" w:space="0" w:color="auto"/>
              <w:left w:val="single" w:sz="4" w:space="0" w:color="auto"/>
            </w:tcBorders>
            <w:shd w:val="clear" w:color="auto" w:fill="auto"/>
          </w:tcPr>
          <w:p w14:paraId="5DD88B99" w14:textId="77777777" w:rsidR="00B21C93" w:rsidRPr="002C1234" w:rsidRDefault="00B21C93" w:rsidP="00B21C93">
            <w:pPr>
              <w:pStyle w:val="Other0"/>
              <w:spacing w:after="0" w:line="233" w:lineRule="auto"/>
              <w:rPr>
                <w:rFonts w:ascii="Arial" w:hAnsi="Arial" w:cs="Arial"/>
              </w:rPr>
            </w:pPr>
            <w:r w:rsidRPr="002C1234">
              <w:rPr>
                <w:rFonts w:ascii="Arial" w:hAnsi="Arial" w:cs="Arial"/>
                <w:b/>
                <w:bCs/>
              </w:rPr>
              <w:t>Психични нарушения*</w:t>
            </w:r>
          </w:p>
        </w:tc>
        <w:tc>
          <w:tcPr>
            <w:tcW w:w="1739" w:type="dxa"/>
            <w:tcBorders>
              <w:top w:val="single" w:sz="4" w:space="0" w:color="auto"/>
              <w:left w:val="single" w:sz="4" w:space="0" w:color="auto"/>
            </w:tcBorders>
            <w:shd w:val="clear" w:color="auto" w:fill="auto"/>
          </w:tcPr>
          <w:p w14:paraId="5770666A" w14:textId="77777777" w:rsidR="00B21C93" w:rsidRPr="002C1234" w:rsidRDefault="00B21C93" w:rsidP="00B21C93">
            <w:pPr>
              <w:rPr>
                <w:rFonts w:ascii="Arial" w:hAnsi="Arial" w:cs="Arial"/>
              </w:rPr>
            </w:pPr>
          </w:p>
        </w:tc>
        <w:tc>
          <w:tcPr>
            <w:tcW w:w="2022" w:type="dxa"/>
            <w:tcBorders>
              <w:top w:val="single" w:sz="4" w:space="0" w:color="auto"/>
              <w:left w:val="single" w:sz="4" w:space="0" w:color="auto"/>
            </w:tcBorders>
            <w:shd w:val="clear" w:color="auto" w:fill="auto"/>
          </w:tcPr>
          <w:p w14:paraId="0E15D7B0"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Тревожни реакции Психомоторна хиперактивност/ възбуда</w:t>
            </w:r>
          </w:p>
        </w:tc>
        <w:tc>
          <w:tcPr>
            <w:tcW w:w="2361" w:type="dxa"/>
            <w:tcBorders>
              <w:top w:val="single" w:sz="4" w:space="0" w:color="auto"/>
              <w:left w:val="single" w:sz="4" w:space="0" w:color="auto"/>
            </w:tcBorders>
            <w:shd w:val="clear" w:color="auto" w:fill="auto"/>
            <w:vAlign w:val="bottom"/>
          </w:tcPr>
          <w:p w14:paraId="770032FB"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Емоционална лабилност</w:t>
            </w:r>
          </w:p>
          <w:p w14:paraId="5DB0C24A"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Депресия (в много редки случаи потенциално кулминираща в самонараняващо поведение, като суицидни намерения/мисли или опити за самоубийство вж. точка 4.4) Халюцинации Делириум</w:t>
            </w:r>
          </w:p>
        </w:tc>
        <w:tc>
          <w:tcPr>
            <w:tcW w:w="2038" w:type="dxa"/>
            <w:tcBorders>
              <w:top w:val="single" w:sz="4" w:space="0" w:color="auto"/>
              <w:left w:val="single" w:sz="4" w:space="0" w:color="auto"/>
            </w:tcBorders>
            <w:shd w:val="clear" w:color="auto" w:fill="auto"/>
          </w:tcPr>
          <w:p w14:paraId="611A7B81"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Деперсонализация Психични реакции (потенциално кулминиращи в самонараняващо поведение, като суицидни намерения/мисли или опити за самоубийство вж. точка 4.4)</w:t>
            </w:r>
          </w:p>
        </w:tc>
        <w:tc>
          <w:tcPr>
            <w:tcW w:w="1263" w:type="dxa"/>
            <w:tcBorders>
              <w:top w:val="single" w:sz="4" w:space="0" w:color="auto"/>
              <w:left w:val="single" w:sz="4" w:space="0" w:color="auto"/>
              <w:right w:val="single" w:sz="4" w:space="0" w:color="auto"/>
            </w:tcBorders>
            <w:shd w:val="clear" w:color="auto" w:fill="auto"/>
          </w:tcPr>
          <w:p w14:paraId="5000EFE9" w14:textId="77777777" w:rsidR="00B21C93" w:rsidRPr="002C1234" w:rsidRDefault="00B21C93" w:rsidP="00B21C93">
            <w:pPr>
              <w:rPr>
                <w:rFonts w:ascii="Arial" w:hAnsi="Arial" w:cs="Arial"/>
              </w:rPr>
            </w:pPr>
          </w:p>
        </w:tc>
      </w:tr>
      <w:tr w:rsidR="00B21C93" w:rsidRPr="002C1234" w14:paraId="2D8C8D18" w14:textId="77777777" w:rsidTr="00B21C93">
        <w:trPr>
          <w:trHeight w:hRule="exact" w:val="4441"/>
        </w:trPr>
        <w:tc>
          <w:tcPr>
            <w:tcW w:w="1887" w:type="dxa"/>
            <w:tcBorders>
              <w:top w:val="single" w:sz="4" w:space="0" w:color="auto"/>
              <w:left w:val="single" w:sz="4" w:space="0" w:color="auto"/>
            </w:tcBorders>
            <w:shd w:val="clear" w:color="auto" w:fill="auto"/>
          </w:tcPr>
          <w:p w14:paraId="645306A2" w14:textId="77777777" w:rsidR="00B21C93" w:rsidRPr="002C1234" w:rsidRDefault="00B21C93" w:rsidP="00B21C93">
            <w:pPr>
              <w:pStyle w:val="Other0"/>
              <w:spacing w:after="0" w:line="228" w:lineRule="auto"/>
              <w:rPr>
                <w:rFonts w:ascii="Arial" w:hAnsi="Arial" w:cs="Arial"/>
              </w:rPr>
            </w:pPr>
            <w:r w:rsidRPr="002C1234">
              <w:rPr>
                <w:rFonts w:ascii="Arial" w:hAnsi="Arial" w:cs="Arial"/>
                <w:b/>
                <w:bCs/>
              </w:rPr>
              <w:t>Нарушения на нервната система*</w:t>
            </w:r>
          </w:p>
        </w:tc>
        <w:tc>
          <w:tcPr>
            <w:tcW w:w="1739" w:type="dxa"/>
            <w:tcBorders>
              <w:top w:val="single" w:sz="4" w:space="0" w:color="auto"/>
              <w:left w:val="single" w:sz="4" w:space="0" w:color="auto"/>
            </w:tcBorders>
            <w:shd w:val="clear" w:color="auto" w:fill="auto"/>
          </w:tcPr>
          <w:p w14:paraId="60325163" w14:textId="77777777" w:rsidR="00B21C93" w:rsidRPr="002C1234" w:rsidRDefault="00B21C93" w:rsidP="00B21C93">
            <w:pPr>
              <w:pStyle w:val="Other0"/>
              <w:spacing w:after="0"/>
              <w:rPr>
                <w:rFonts w:ascii="Arial" w:hAnsi="Arial" w:cs="Arial"/>
              </w:rPr>
            </w:pPr>
            <w:r w:rsidRPr="002C1234">
              <w:rPr>
                <w:rFonts w:ascii="Arial" w:hAnsi="Arial" w:cs="Arial"/>
              </w:rPr>
              <w:t>Главоболие</w:t>
            </w:r>
          </w:p>
          <w:p w14:paraId="05692952" w14:textId="77777777" w:rsidR="00B21C93" w:rsidRPr="002C1234" w:rsidRDefault="00B21C93" w:rsidP="00B21C93">
            <w:pPr>
              <w:pStyle w:val="Other0"/>
              <w:spacing w:after="0" w:line="218" w:lineRule="auto"/>
              <w:rPr>
                <w:rFonts w:ascii="Arial" w:hAnsi="Arial" w:cs="Arial"/>
              </w:rPr>
            </w:pPr>
            <w:r w:rsidRPr="002C1234">
              <w:rPr>
                <w:rFonts w:ascii="Arial" w:hAnsi="Arial" w:cs="Arial"/>
              </w:rPr>
              <w:t>Замайване</w:t>
            </w:r>
          </w:p>
        </w:tc>
        <w:tc>
          <w:tcPr>
            <w:tcW w:w="2022" w:type="dxa"/>
            <w:tcBorders>
              <w:top w:val="single" w:sz="4" w:space="0" w:color="auto"/>
              <w:left w:val="single" w:sz="4" w:space="0" w:color="auto"/>
            </w:tcBorders>
            <w:shd w:val="clear" w:color="auto" w:fill="auto"/>
          </w:tcPr>
          <w:p w14:paraId="2E62E6E9" w14:textId="77777777" w:rsidR="00B21C93" w:rsidRPr="002C1234" w:rsidRDefault="00B21C93" w:rsidP="00B21C93">
            <w:pPr>
              <w:pStyle w:val="Other0"/>
              <w:spacing w:after="0" w:line="230" w:lineRule="auto"/>
              <w:rPr>
                <w:rFonts w:ascii="Arial" w:hAnsi="Arial" w:cs="Arial"/>
              </w:rPr>
            </w:pPr>
            <w:r w:rsidRPr="002C1234">
              <w:rPr>
                <w:rFonts w:ascii="Arial" w:hAnsi="Arial" w:cs="Arial"/>
              </w:rPr>
              <w:t>Пар- и дизестезия Нарушен вкус (вкл. в много редки случаи агеузия) Объркване и дезориентация Нарушения на съня (предимно безсъние) Тремор Световъртеж Сънливост</w:t>
            </w:r>
          </w:p>
        </w:tc>
        <w:tc>
          <w:tcPr>
            <w:tcW w:w="2361" w:type="dxa"/>
            <w:tcBorders>
              <w:top w:val="single" w:sz="4" w:space="0" w:color="auto"/>
              <w:left w:val="single" w:sz="4" w:space="0" w:color="auto"/>
            </w:tcBorders>
            <w:shd w:val="clear" w:color="auto" w:fill="auto"/>
            <w:vAlign w:val="bottom"/>
          </w:tcPr>
          <w:p w14:paraId="2341545C" w14:textId="77777777" w:rsidR="00B21C93" w:rsidRPr="002C1234" w:rsidRDefault="00B21C93" w:rsidP="00B21C93">
            <w:pPr>
              <w:pStyle w:val="Other0"/>
              <w:spacing w:after="0" w:line="230" w:lineRule="auto"/>
              <w:rPr>
                <w:rFonts w:ascii="Arial" w:hAnsi="Arial" w:cs="Arial"/>
              </w:rPr>
            </w:pPr>
            <w:r w:rsidRPr="002C1234">
              <w:rPr>
                <w:rFonts w:ascii="Arial" w:hAnsi="Arial" w:cs="Arial"/>
              </w:rPr>
              <w:t xml:space="preserve">Хипоестезия Нарушено обоняние (вкл. аносмия) Абнормни сънища Нарушена координация (вкл. нарушена походка, особено поради замайване или световъртеж) Гърчове, вкл. </w:t>
            </w:r>
            <w:r w:rsidRPr="002C1234">
              <w:rPr>
                <w:rFonts w:ascii="Arial" w:hAnsi="Arial" w:cs="Arial"/>
                <w:lang w:bidi="en-US"/>
              </w:rPr>
              <w:t xml:space="preserve">grand mal </w:t>
            </w:r>
            <w:r w:rsidRPr="002C1234">
              <w:rPr>
                <w:rFonts w:ascii="Arial" w:hAnsi="Arial" w:cs="Arial"/>
              </w:rPr>
              <w:t>конвулсии (вж. точка 4.4) Нарушено внимание Нарушен говор Амнезия Периферна невропатия и полиневропатия</w:t>
            </w:r>
          </w:p>
        </w:tc>
        <w:tc>
          <w:tcPr>
            <w:tcW w:w="2038" w:type="dxa"/>
            <w:tcBorders>
              <w:top w:val="single" w:sz="4" w:space="0" w:color="auto"/>
              <w:left w:val="single" w:sz="4" w:space="0" w:color="auto"/>
            </w:tcBorders>
            <w:shd w:val="clear" w:color="auto" w:fill="auto"/>
          </w:tcPr>
          <w:p w14:paraId="1C4E0D7D" w14:textId="77777777" w:rsidR="00B21C93" w:rsidRPr="002C1234" w:rsidRDefault="00B21C93" w:rsidP="00B21C93">
            <w:pPr>
              <w:pStyle w:val="Other0"/>
              <w:spacing w:after="0"/>
              <w:rPr>
                <w:rFonts w:ascii="Arial" w:hAnsi="Arial" w:cs="Arial"/>
              </w:rPr>
            </w:pPr>
            <w:r w:rsidRPr="002C1234">
              <w:rPr>
                <w:rFonts w:ascii="Arial" w:hAnsi="Arial" w:cs="Arial"/>
              </w:rPr>
              <w:t>Хиперестезия</w:t>
            </w:r>
          </w:p>
        </w:tc>
        <w:tc>
          <w:tcPr>
            <w:tcW w:w="1263" w:type="dxa"/>
            <w:tcBorders>
              <w:top w:val="single" w:sz="4" w:space="0" w:color="auto"/>
              <w:left w:val="single" w:sz="4" w:space="0" w:color="auto"/>
              <w:right w:val="single" w:sz="4" w:space="0" w:color="auto"/>
            </w:tcBorders>
            <w:shd w:val="clear" w:color="auto" w:fill="auto"/>
          </w:tcPr>
          <w:p w14:paraId="7968337F" w14:textId="77777777" w:rsidR="00B21C93" w:rsidRPr="002C1234" w:rsidRDefault="00B21C93" w:rsidP="00B21C93">
            <w:pPr>
              <w:rPr>
                <w:rFonts w:ascii="Arial" w:hAnsi="Arial" w:cs="Arial"/>
              </w:rPr>
            </w:pPr>
          </w:p>
        </w:tc>
      </w:tr>
      <w:tr w:rsidR="00B21C93" w:rsidRPr="002C1234" w14:paraId="40724501" w14:textId="77777777" w:rsidTr="00B21C93">
        <w:trPr>
          <w:trHeight w:hRule="exact" w:val="2581"/>
        </w:trPr>
        <w:tc>
          <w:tcPr>
            <w:tcW w:w="1887" w:type="dxa"/>
            <w:tcBorders>
              <w:top w:val="single" w:sz="4" w:space="0" w:color="auto"/>
              <w:left w:val="single" w:sz="4" w:space="0" w:color="auto"/>
            </w:tcBorders>
            <w:shd w:val="clear" w:color="auto" w:fill="auto"/>
          </w:tcPr>
          <w:p w14:paraId="040D923C" w14:textId="77777777" w:rsidR="00B21C93" w:rsidRPr="002C1234" w:rsidRDefault="00B21C93" w:rsidP="00B21C93">
            <w:pPr>
              <w:pStyle w:val="Other0"/>
              <w:spacing w:after="0" w:line="228" w:lineRule="auto"/>
              <w:rPr>
                <w:rFonts w:ascii="Arial" w:hAnsi="Arial" w:cs="Arial"/>
              </w:rPr>
            </w:pPr>
            <w:r w:rsidRPr="002C1234">
              <w:rPr>
                <w:rFonts w:ascii="Arial" w:hAnsi="Arial" w:cs="Arial"/>
                <w:b/>
                <w:bCs/>
              </w:rPr>
              <w:t>Нарушения на очите*</w:t>
            </w:r>
          </w:p>
        </w:tc>
        <w:tc>
          <w:tcPr>
            <w:tcW w:w="1739" w:type="dxa"/>
            <w:tcBorders>
              <w:top w:val="single" w:sz="4" w:space="0" w:color="auto"/>
              <w:left w:val="single" w:sz="4" w:space="0" w:color="auto"/>
            </w:tcBorders>
            <w:shd w:val="clear" w:color="auto" w:fill="auto"/>
          </w:tcPr>
          <w:p w14:paraId="17AFCA56" w14:textId="77777777" w:rsidR="00B21C93" w:rsidRPr="002C1234" w:rsidRDefault="00B21C93" w:rsidP="00B21C93">
            <w:pPr>
              <w:rPr>
                <w:rFonts w:ascii="Arial" w:hAnsi="Arial" w:cs="Arial"/>
              </w:rPr>
            </w:pPr>
          </w:p>
        </w:tc>
        <w:tc>
          <w:tcPr>
            <w:tcW w:w="2022" w:type="dxa"/>
            <w:tcBorders>
              <w:top w:val="single" w:sz="4" w:space="0" w:color="auto"/>
              <w:left w:val="single" w:sz="4" w:space="0" w:color="auto"/>
            </w:tcBorders>
            <w:shd w:val="clear" w:color="auto" w:fill="auto"/>
          </w:tcPr>
          <w:p w14:paraId="4DF2041B" w14:textId="77777777" w:rsidR="00B21C93" w:rsidRPr="002C1234" w:rsidRDefault="00B21C93" w:rsidP="00B21C93">
            <w:pPr>
              <w:pStyle w:val="Other0"/>
              <w:spacing w:after="0" w:line="228" w:lineRule="auto"/>
              <w:rPr>
                <w:rFonts w:ascii="Arial" w:hAnsi="Arial" w:cs="Arial"/>
              </w:rPr>
            </w:pPr>
            <w:r w:rsidRPr="002C1234">
              <w:rPr>
                <w:rFonts w:ascii="Arial" w:hAnsi="Arial" w:cs="Arial"/>
              </w:rPr>
              <w:t>Визуални смущения вкл. диплопия и замъглено зрение (особено при реакции от страна на ЦНС, вж. точка 4.4)</w:t>
            </w:r>
          </w:p>
        </w:tc>
        <w:tc>
          <w:tcPr>
            <w:tcW w:w="2361" w:type="dxa"/>
            <w:tcBorders>
              <w:top w:val="single" w:sz="4" w:space="0" w:color="auto"/>
              <w:left w:val="single" w:sz="4" w:space="0" w:color="auto"/>
            </w:tcBorders>
            <w:shd w:val="clear" w:color="auto" w:fill="auto"/>
          </w:tcPr>
          <w:p w14:paraId="589468DB" w14:textId="77777777" w:rsidR="00B21C93" w:rsidRPr="002C1234" w:rsidRDefault="00B21C93" w:rsidP="00B21C93">
            <w:pPr>
              <w:pStyle w:val="Other0"/>
              <w:spacing w:after="0"/>
              <w:rPr>
                <w:rFonts w:ascii="Arial" w:hAnsi="Arial" w:cs="Arial"/>
              </w:rPr>
            </w:pPr>
            <w:r w:rsidRPr="002C1234">
              <w:rPr>
                <w:rFonts w:ascii="Arial" w:hAnsi="Arial" w:cs="Arial"/>
              </w:rPr>
              <w:t>Фотофобия</w:t>
            </w:r>
          </w:p>
        </w:tc>
        <w:tc>
          <w:tcPr>
            <w:tcW w:w="2038" w:type="dxa"/>
            <w:tcBorders>
              <w:top w:val="single" w:sz="4" w:space="0" w:color="auto"/>
              <w:left w:val="single" w:sz="4" w:space="0" w:color="auto"/>
            </w:tcBorders>
            <w:shd w:val="clear" w:color="auto" w:fill="auto"/>
            <w:vAlign w:val="bottom"/>
          </w:tcPr>
          <w:p w14:paraId="50878CB9" w14:textId="77777777" w:rsidR="00B21C93" w:rsidRPr="002C1234" w:rsidRDefault="00B21C93" w:rsidP="00B21C93">
            <w:pPr>
              <w:pStyle w:val="Other0"/>
              <w:spacing w:after="0" w:line="230" w:lineRule="auto"/>
              <w:rPr>
                <w:rFonts w:ascii="Arial" w:hAnsi="Arial" w:cs="Arial"/>
              </w:rPr>
            </w:pPr>
            <w:r w:rsidRPr="002C1234">
              <w:rPr>
                <w:rFonts w:ascii="Arial" w:hAnsi="Arial" w:cs="Arial"/>
              </w:rPr>
              <w:t>Краткотрайна загуба на зрение (особено при реакции от страна на ЦНС, вж. точка 4.4 и 4.7) Увеит и двустранна остра трансилюминация на ириса (вж. точка 4.4)</w:t>
            </w:r>
          </w:p>
        </w:tc>
        <w:tc>
          <w:tcPr>
            <w:tcW w:w="1263" w:type="dxa"/>
            <w:tcBorders>
              <w:top w:val="single" w:sz="4" w:space="0" w:color="auto"/>
              <w:left w:val="single" w:sz="4" w:space="0" w:color="auto"/>
              <w:right w:val="single" w:sz="4" w:space="0" w:color="auto"/>
            </w:tcBorders>
            <w:shd w:val="clear" w:color="auto" w:fill="auto"/>
          </w:tcPr>
          <w:p w14:paraId="7B2E7603" w14:textId="77777777" w:rsidR="00B21C93" w:rsidRPr="002C1234" w:rsidRDefault="00B21C93" w:rsidP="00B21C93">
            <w:pPr>
              <w:rPr>
                <w:rFonts w:ascii="Arial" w:hAnsi="Arial" w:cs="Arial"/>
              </w:rPr>
            </w:pPr>
          </w:p>
        </w:tc>
      </w:tr>
      <w:tr w:rsidR="00B21C93" w:rsidRPr="002C1234" w14:paraId="0532A511" w14:textId="77777777" w:rsidTr="00B21C93">
        <w:trPr>
          <w:trHeight w:hRule="exact" w:val="1271"/>
        </w:trPr>
        <w:tc>
          <w:tcPr>
            <w:tcW w:w="1887" w:type="dxa"/>
            <w:tcBorders>
              <w:top w:val="single" w:sz="4" w:space="0" w:color="auto"/>
              <w:left w:val="single" w:sz="4" w:space="0" w:color="auto"/>
              <w:bottom w:val="single" w:sz="4" w:space="0" w:color="auto"/>
            </w:tcBorders>
            <w:shd w:val="clear" w:color="auto" w:fill="auto"/>
          </w:tcPr>
          <w:p w14:paraId="7ACE1133" w14:textId="77777777" w:rsidR="00B21C93" w:rsidRPr="002C1234" w:rsidRDefault="00B21C93" w:rsidP="00B21C93">
            <w:pPr>
              <w:pStyle w:val="Other0"/>
              <w:spacing w:after="0" w:line="226" w:lineRule="auto"/>
              <w:rPr>
                <w:rFonts w:ascii="Arial" w:hAnsi="Arial" w:cs="Arial"/>
              </w:rPr>
            </w:pPr>
            <w:r w:rsidRPr="002C1234">
              <w:rPr>
                <w:rFonts w:ascii="Arial" w:hAnsi="Arial" w:cs="Arial"/>
                <w:b/>
                <w:bCs/>
              </w:rPr>
              <w:t>Нарушения на ухото и лабиринта*</w:t>
            </w:r>
          </w:p>
        </w:tc>
        <w:tc>
          <w:tcPr>
            <w:tcW w:w="1739" w:type="dxa"/>
            <w:tcBorders>
              <w:top w:val="single" w:sz="4" w:space="0" w:color="auto"/>
              <w:left w:val="single" w:sz="4" w:space="0" w:color="auto"/>
              <w:bottom w:val="single" w:sz="4" w:space="0" w:color="auto"/>
            </w:tcBorders>
            <w:shd w:val="clear" w:color="auto" w:fill="auto"/>
          </w:tcPr>
          <w:p w14:paraId="4E76C990" w14:textId="77777777" w:rsidR="00B21C93" w:rsidRPr="002C1234" w:rsidRDefault="00B21C93" w:rsidP="00B21C93">
            <w:pPr>
              <w:rPr>
                <w:rFonts w:ascii="Arial" w:hAnsi="Arial" w:cs="Arial"/>
              </w:rPr>
            </w:pPr>
          </w:p>
        </w:tc>
        <w:tc>
          <w:tcPr>
            <w:tcW w:w="2022" w:type="dxa"/>
            <w:tcBorders>
              <w:top w:val="single" w:sz="4" w:space="0" w:color="auto"/>
              <w:left w:val="single" w:sz="4" w:space="0" w:color="auto"/>
              <w:bottom w:val="single" w:sz="4" w:space="0" w:color="auto"/>
            </w:tcBorders>
            <w:shd w:val="clear" w:color="auto" w:fill="auto"/>
          </w:tcPr>
          <w:p w14:paraId="3E1F72DA" w14:textId="77777777" w:rsidR="00B21C93" w:rsidRPr="002C1234" w:rsidRDefault="00B21C93" w:rsidP="00B21C93">
            <w:pPr>
              <w:rPr>
                <w:rFonts w:ascii="Arial" w:hAnsi="Arial" w:cs="Arial"/>
              </w:rPr>
            </w:pPr>
          </w:p>
        </w:tc>
        <w:tc>
          <w:tcPr>
            <w:tcW w:w="2361" w:type="dxa"/>
            <w:tcBorders>
              <w:top w:val="single" w:sz="4" w:space="0" w:color="auto"/>
              <w:left w:val="single" w:sz="4" w:space="0" w:color="auto"/>
              <w:bottom w:val="single" w:sz="4" w:space="0" w:color="auto"/>
            </w:tcBorders>
            <w:shd w:val="clear" w:color="auto" w:fill="auto"/>
          </w:tcPr>
          <w:p w14:paraId="5785F15B" w14:textId="77777777" w:rsidR="00B21C93" w:rsidRPr="002C1234" w:rsidRDefault="00B21C93" w:rsidP="00B21C93">
            <w:pPr>
              <w:pStyle w:val="Other0"/>
              <w:spacing w:after="0" w:line="228" w:lineRule="auto"/>
              <w:rPr>
                <w:rFonts w:ascii="Arial" w:hAnsi="Arial" w:cs="Arial"/>
              </w:rPr>
            </w:pPr>
            <w:r w:rsidRPr="002C1234">
              <w:rPr>
                <w:rFonts w:ascii="Arial" w:hAnsi="Arial" w:cs="Arial"/>
              </w:rPr>
              <w:t>Шум в ушите Нарушение на слуха вкл. глухота (обикновено обратима)</w:t>
            </w:r>
          </w:p>
        </w:tc>
        <w:tc>
          <w:tcPr>
            <w:tcW w:w="2038" w:type="dxa"/>
            <w:tcBorders>
              <w:top w:val="single" w:sz="4" w:space="0" w:color="auto"/>
              <w:left w:val="single" w:sz="4" w:space="0" w:color="auto"/>
              <w:bottom w:val="single" w:sz="4" w:space="0" w:color="auto"/>
            </w:tcBorders>
            <w:shd w:val="clear" w:color="auto" w:fill="auto"/>
            <w:vAlign w:val="bottom"/>
          </w:tcPr>
          <w:p w14:paraId="488919EF" w14:textId="77777777" w:rsidR="00B21C93" w:rsidRPr="002C1234" w:rsidRDefault="00B21C93" w:rsidP="00B21C93">
            <w:pP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4EB4B28D" w14:textId="77777777" w:rsidR="00B21C93" w:rsidRPr="002C1234" w:rsidRDefault="00B21C93" w:rsidP="00B21C93">
            <w:pPr>
              <w:rPr>
                <w:rFonts w:ascii="Arial" w:hAnsi="Arial" w:cs="Arial"/>
              </w:rPr>
            </w:pPr>
          </w:p>
        </w:tc>
      </w:tr>
    </w:tbl>
    <w:p w14:paraId="02F3287D" w14:textId="77777777" w:rsidR="00B21C93" w:rsidRPr="002C1234" w:rsidRDefault="00B21C93" w:rsidP="00B21C93">
      <w:pPr>
        <w:spacing w:after="120"/>
        <w:jc w:val="both"/>
        <w:rPr>
          <w:rFonts w:ascii="Arial" w:hAnsi="Arial" w:cs="Arial"/>
        </w:rPr>
      </w:pPr>
    </w:p>
    <w:tbl>
      <w:tblPr>
        <w:tblOverlap w:val="never"/>
        <w:tblW w:w="10719" w:type="dxa"/>
        <w:jc w:val="center"/>
        <w:tblLayout w:type="fixed"/>
        <w:tblCellMar>
          <w:left w:w="10" w:type="dxa"/>
          <w:right w:w="10" w:type="dxa"/>
        </w:tblCellMar>
        <w:tblLook w:val="04A0" w:firstRow="1" w:lastRow="0" w:firstColumn="1" w:lastColumn="0" w:noHBand="0" w:noVBand="1"/>
      </w:tblPr>
      <w:tblGrid>
        <w:gridCol w:w="1795"/>
        <w:gridCol w:w="1617"/>
        <w:gridCol w:w="1946"/>
        <w:gridCol w:w="2232"/>
        <w:gridCol w:w="1934"/>
        <w:gridCol w:w="1195"/>
      </w:tblGrid>
      <w:tr w:rsidR="00B21C93" w:rsidRPr="002C1234" w14:paraId="102CA9EB" w14:textId="77777777" w:rsidTr="00B21C93">
        <w:trPr>
          <w:trHeight w:hRule="exact" w:val="904"/>
          <w:jc w:val="center"/>
        </w:trPr>
        <w:tc>
          <w:tcPr>
            <w:tcW w:w="1795" w:type="dxa"/>
            <w:tcBorders>
              <w:top w:val="single" w:sz="4" w:space="0" w:color="auto"/>
              <w:left w:val="single" w:sz="4" w:space="0" w:color="auto"/>
            </w:tcBorders>
            <w:shd w:val="clear" w:color="auto" w:fill="auto"/>
            <w:vAlign w:val="center"/>
          </w:tcPr>
          <w:p w14:paraId="4564F670" w14:textId="77777777" w:rsidR="00B21C93" w:rsidRPr="002C1234" w:rsidRDefault="00B21C93" w:rsidP="00B21C93">
            <w:pPr>
              <w:pStyle w:val="Other0"/>
              <w:spacing w:after="40"/>
              <w:rPr>
                <w:rFonts w:ascii="Arial" w:hAnsi="Arial" w:cs="Arial"/>
              </w:rPr>
            </w:pPr>
            <w:r w:rsidRPr="002C1234">
              <w:rPr>
                <w:rFonts w:ascii="Arial" w:hAnsi="Arial" w:cs="Arial"/>
                <w:b/>
                <w:bCs/>
              </w:rPr>
              <w:lastRenderedPageBreak/>
              <w:t>Система Орган</w:t>
            </w:r>
          </w:p>
          <w:p w14:paraId="4D4EF4EA" w14:textId="77777777" w:rsidR="00B21C93" w:rsidRPr="002C1234" w:rsidRDefault="00B21C93" w:rsidP="00B21C93">
            <w:pPr>
              <w:pStyle w:val="Other0"/>
              <w:spacing w:after="0"/>
              <w:rPr>
                <w:rFonts w:ascii="Arial" w:hAnsi="Arial" w:cs="Arial"/>
              </w:rPr>
            </w:pPr>
            <w:r w:rsidRPr="002C1234">
              <w:rPr>
                <w:rFonts w:ascii="Arial" w:hAnsi="Arial" w:cs="Arial"/>
                <w:b/>
                <w:bCs/>
              </w:rPr>
              <w:t xml:space="preserve">Клас </w:t>
            </w:r>
            <w:r w:rsidRPr="002C1234">
              <w:rPr>
                <w:rFonts w:ascii="Arial" w:hAnsi="Arial" w:cs="Arial"/>
                <w:b/>
                <w:bCs/>
                <w:lang w:bidi="en-US"/>
              </w:rPr>
              <w:t>(MedDRA)</w:t>
            </w:r>
          </w:p>
        </w:tc>
        <w:tc>
          <w:tcPr>
            <w:tcW w:w="1617" w:type="dxa"/>
            <w:vMerge w:val="restart"/>
            <w:tcBorders>
              <w:top w:val="single" w:sz="4" w:space="0" w:color="auto"/>
              <w:left w:val="single" w:sz="4" w:space="0" w:color="auto"/>
            </w:tcBorders>
            <w:shd w:val="clear" w:color="auto" w:fill="auto"/>
            <w:vAlign w:val="center"/>
          </w:tcPr>
          <w:p w14:paraId="691697C3" w14:textId="77777777" w:rsidR="00B21C93" w:rsidRPr="002C1234" w:rsidRDefault="00B21C93" w:rsidP="00B21C93">
            <w:pPr>
              <w:pStyle w:val="Other0"/>
              <w:spacing w:after="0"/>
              <w:ind w:firstLine="540"/>
              <w:rPr>
                <w:rFonts w:ascii="Arial" w:hAnsi="Arial" w:cs="Arial"/>
              </w:rPr>
            </w:pPr>
            <w:r w:rsidRPr="002C1234">
              <w:rPr>
                <w:rFonts w:ascii="Arial" w:hAnsi="Arial" w:cs="Arial"/>
                <w:b/>
                <w:bCs/>
              </w:rPr>
              <w:t>Чести</w:t>
            </w:r>
          </w:p>
        </w:tc>
        <w:tc>
          <w:tcPr>
            <w:tcW w:w="1946" w:type="dxa"/>
            <w:vMerge w:val="restart"/>
            <w:tcBorders>
              <w:top w:val="single" w:sz="4" w:space="0" w:color="auto"/>
              <w:left w:val="single" w:sz="4" w:space="0" w:color="auto"/>
            </w:tcBorders>
            <w:shd w:val="clear" w:color="auto" w:fill="auto"/>
            <w:vAlign w:val="center"/>
          </w:tcPr>
          <w:p w14:paraId="22C8FD1E" w14:textId="77777777" w:rsidR="00B21C93" w:rsidRPr="002C1234" w:rsidRDefault="00B21C93" w:rsidP="00B21C93">
            <w:pPr>
              <w:pStyle w:val="Other0"/>
              <w:spacing w:after="0"/>
              <w:ind w:firstLine="600"/>
              <w:rPr>
                <w:rFonts w:ascii="Arial" w:hAnsi="Arial" w:cs="Arial"/>
              </w:rPr>
            </w:pPr>
            <w:r w:rsidRPr="002C1234">
              <w:rPr>
                <w:rFonts w:ascii="Arial" w:hAnsi="Arial" w:cs="Arial"/>
                <w:b/>
                <w:bCs/>
              </w:rPr>
              <w:t>Нечести</w:t>
            </w:r>
          </w:p>
        </w:tc>
        <w:tc>
          <w:tcPr>
            <w:tcW w:w="2232" w:type="dxa"/>
            <w:vMerge w:val="restart"/>
            <w:tcBorders>
              <w:top w:val="single" w:sz="4" w:space="0" w:color="auto"/>
              <w:left w:val="single" w:sz="4" w:space="0" w:color="auto"/>
            </w:tcBorders>
            <w:shd w:val="clear" w:color="auto" w:fill="auto"/>
            <w:vAlign w:val="center"/>
          </w:tcPr>
          <w:p w14:paraId="13A3233F" w14:textId="77777777" w:rsidR="00B21C93" w:rsidRPr="002C1234" w:rsidRDefault="00B21C93" w:rsidP="00B21C93">
            <w:pPr>
              <w:pStyle w:val="Other0"/>
              <w:spacing w:after="0"/>
              <w:ind w:firstLine="820"/>
              <w:rPr>
                <w:rFonts w:ascii="Arial" w:hAnsi="Arial" w:cs="Arial"/>
              </w:rPr>
            </w:pPr>
            <w:r w:rsidRPr="002C1234">
              <w:rPr>
                <w:rFonts w:ascii="Arial" w:hAnsi="Arial" w:cs="Arial"/>
                <w:b/>
                <w:bCs/>
              </w:rPr>
              <w:t>Редки</w:t>
            </w:r>
          </w:p>
        </w:tc>
        <w:tc>
          <w:tcPr>
            <w:tcW w:w="1934" w:type="dxa"/>
            <w:vMerge w:val="restart"/>
            <w:tcBorders>
              <w:top w:val="single" w:sz="4" w:space="0" w:color="auto"/>
              <w:left w:val="single" w:sz="4" w:space="0" w:color="auto"/>
            </w:tcBorders>
            <w:shd w:val="clear" w:color="auto" w:fill="auto"/>
            <w:vAlign w:val="center"/>
          </w:tcPr>
          <w:p w14:paraId="748BD5F7" w14:textId="77777777" w:rsidR="00B21C93" w:rsidRPr="002C1234" w:rsidRDefault="00B21C93" w:rsidP="00B21C93">
            <w:pPr>
              <w:pStyle w:val="Other0"/>
              <w:spacing w:after="0"/>
              <w:ind w:firstLine="320"/>
              <w:rPr>
                <w:rFonts w:ascii="Arial" w:hAnsi="Arial" w:cs="Arial"/>
              </w:rPr>
            </w:pPr>
            <w:r w:rsidRPr="002C1234">
              <w:rPr>
                <w:rFonts w:ascii="Arial" w:hAnsi="Arial" w:cs="Arial"/>
                <w:b/>
                <w:bCs/>
              </w:rPr>
              <w:t>Много редки</w:t>
            </w:r>
          </w:p>
        </w:tc>
        <w:tc>
          <w:tcPr>
            <w:tcW w:w="1195" w:type="dxa"/>
            <w:vMerge w:val="restart"/>
            <w:tcBorders>
              <w:top w:val="single" w:sz="4" w:space="0" w:color="auto"/>
              <w:left w:val="single" w:sz="4" w:space="0" w:color="auto"/>
              <w:right w:val="single" w:sz="4" w:space="0" w:color="auto"/>
            </w:tcBorders>
            <w:shd w:val="clear" w:color="auto" w:fill="auto"/>
          </w:tcPr>
          <w:p w14:paraId="339C59C5" w14:textId="77777777" w:rsidR="00B21C93" w:rsidRPr="002C1234" w:rsidRDefault="00B21C93" w:rsidP="00B21C93">
            <w:pPr>
              <w:pStyle w:val="Other0"/>
              <w:spacing w:after="0" w:line="239" w:lineRule="exact"/>
              <w:jc w:val="center"/>
              <w:rPr>
                <w:rFonts w:ascii="Arial" w:hAnsi="Arial" w:cs="Arial"/>
              </w:rPr>
            </w:pPr>
            <w:r w:rsidRPr="002C1234">
              <w:rPr>
                <w:rFonts w:ascii="Arial" w:hAnsi="Arial" w:cs="Arial"/>
                <w:b/>
                <w:bCs/>
              </w:rPr>
              <w:t>С неизвестна честота</w:t>
            </w:r>
          </w:p>
        </w:tc>
      </w:tr>
      <w:tr w:rsidR="00B21C93" w:rsidRPr="002C1234" w14:paraId="48B480B4" w14:textId="77777777" w:rsidTr="00B21C93">
        <w:trPr>
          <w:trHeight w:hRule="exact" w:val="144"/>
          <w:jc w:val="center"/>
        </w:trPr>
        <w:tc>
          <w:tcPr>
            <w:tcW w:w="1795" w:type="dxa"/>
            <w:tcBorders>
              <w:left w:val="single" w:sz="4" w:space="0" w:color="auto"/>
            </w:tcBorders>
            <w:shd w:val="clear" w:color="auto" w:fill="auto"/>
          </w:tcPr>
          <w:p w14:paraId="1C7F5D90" w14:textId="77777777" w:rsidR="00B21C93" w:rsidRPr="002C1234" w:rsidRDefault="00B21C93" w:rsidP="00B21C93">
            <w:pPr>
              <w:rPr>
                <w:rFonts w:ascii="Arial" w:hAnsi="Arial" w:cs="Arial"/>
              </w:rPr>
            </w:pPr>
          </w:p>
        </w:tc>
        <w:tc>
          <w:tcPr>
            <w:tcW w:w="1617" w:type="dxa"/>
            <w:vMerge/>
            <w:tcBorders>
              <w:left w:val="single" w:sz="4" w:space="0" w:color="auto"/>
            </w:tcBorders>
            <w:shd w:val="clear" w:color="auto" w:fill="auto"/>
            <w:vAlign w:val="center"/>
          </w:tcPr>
          <w:p w14:paraId="5D3511D6" w14:textId="77777777" w:rsidR="00B21C93" w:rsidRPr="002C1234" w:rsidRDefault="00B21C93" w:rsidP="00B21C93">
            <w:pPr>
              <w:rPr>
                <w:rFonts w:ascii="Arial" w:hAnsi="Arial" w:cs="Arial"/>
              </w:rPr>
            </w:pPr>
          </w:p>
        </w:tc>
        <w:tc>
          <w:tcPr>
            <w:tcW w:w="1946" w:type="dxa"/>
            <w:vMerge/>
            <w:tcBorders>
              <w:left w:val="single" w:sz="4" w:space="0" w:color="auto"/>
            </w:tcBorders>
            <w:shd w:val="clear" w:color="auto" w:fill="auto"/>
            <w:vAlign w:val="center"/>
          </w:tcPr>
          <w:p w14:paraId="57FA253E" w14:textId="77777777" w:rsidR="00B21C93" w:rsidRPr="002C1234" w:rsidRDefault="00B21C93" w:rsidP="00B21C93">
            <w:pPr>
              <w:rPr>
                <w:rFonts w:ascii="Arial" w:hAnsi="Arial" w:cs="Arial"/>
              </w:rPr>
            </w:pPr>
          </w:p>
        </w:tc>
        <w:tc>
          <w:tcPr>
            <w:tcW w:w="2232" w:type="dxa"/>
            <w:vMerge/>
            <w:tcBorders>
              <w:left w:val="single" w:sz="4" w:space="0" w:color="auto"/>
            </w:tcBorders>
            <w:shd w:val="clear" w:color="auto" w:fill="auto"/>
            <w:vAlign w:val="center"/>
          </w:tcPr>
          <w:p w14:paraId="3273A7F2" w14:textId="77777777" w:rsidR="00B21C93" w:rsidRPr="002C1234" w:rsidRDefault="00B21C93" w:rsidP="00B21C93">
            <w:pPr>
              <w:rPr>
                <w:rFonts w:ascii="Arial" w:hAnsi="Arial" w:cs="Arial"/>
              </w:rPr>
            </w:pPr>
          </w:p>
        </w:tc>
        <w:tc>
          <w:tcPr>
            <w:tcW w:w="1934" w:type="dxa"/>
            <w:vMerge/>
            <w:tcBorders>
              <w:left w:val="single" w:sz="4" w:space="0" w:color="auto"/>
            </w:tcBorders>
            <w:shd w:val="clear" w:color="auto" w:fill="auto"/>
            <w:vAlign w:val="center"/>
          </w:tcPr>
          <w:p w14:paraId="19FEC263" w14:textId="77777777" w:rsidR="00B21C93" w:rsidRPr="002C1234" w:rsidRDefault="00B21C93" w:rsidP="00B21C93">
            <w:pPr>
              <w:rPr>
                <w:rFonts w:ascii="Arial" w:hAnsi="Arial" w:cs="Arial"/>
              </w:rPr>
            </w:pPr>
          </w:p>
        </w:tc>
        <w:tc>
          <w:tcPr>
            <w:tcW w:w="1195" w:type="dxa"/>
            <w:vMerge/>
            <w:tcBorders>
              <w:left w:val="single" w:sz="4" w:space="0" w:color="auto"/>
              <w:right w:val="single" w:sz="4" w:space="0" w:color="auto"/>
            </w:tcBorders>
            <w:shd w:val="clear" w:color="auto" w:fill="auto"/>
          </w:tcPr>
          <w:p w14:paraId="5D7410C7" w14:textId="77777777" w:rsidR="00B21C93" w:rsidRPr="002C1234" w:rsidRDefault="00B21C93" w:rsidP="00B21C93">
            <w:pPr>
              <w:rPr>
                <w:rFonts w:ascii="Arial" w:hAnsi="Arial" w:cs="Arial"/>
              </w:rPr>
            </w:pPr>
          </w:p>
        </w:tc>
      </w:tr>
      <w:tr w:rsidR="00B21C93" w:rsidRPr="002C1234" w14:paraId="7287913C" w14:textId="77777777" w:rsidTr="00B21C93">
        <w:trPr>
          <w:trHeight w:hRule="exact" w:val="1854"/>
          <w:jc w:val="center"/>
        </w:trPr>
        <w:tc>
          <w:tcPr>
            <w:tcW w:w="1795" w:type="dxa"/>
            <w:tcBorders>
              <w:top w:val="single" w:sz="4" w:space="0" w:color="auto"/>
              <w:left w:val="single" w:sz="4" w:space="0" w:color="auto"/>
            </w:tcBorders>
            <w:shd w:val="clear" w:color="auto" w:fill="auto"/>
          </w:tcPr>
          <w:p w14:paraId="4FBA4E22" w14:textId="77777777" w:rsidR="00B21C93" w:rsidRPr="002C1234" w:rsidRDefault="00B21C93" w:rsidP="00B21C93">
            <w:pPr>
              <w:pStyle w:val="Other0"/>
              <w:spacing w:after="0" w:line="241" w:lineRule="exact"/>
              <w:rPr>
                <w:rFonts w:ascii="Arial" w:hAnsi="Arial" w:cs="Arial"/>
              </w:rPr>
            </w:pPr>
            <w:r w:rsidRPr="002C1234">
              <w:rPr>
                <w:rFonts w:ascii="Arial" w:hAnsi="Arial" w:cs="Arial"/>
                <w:b/>
                <w:bCs/>
              </w:rPr>
              <w:t>Сърдечни нарушения</w:t>
            </w:r>
          </w:p>
        </w:tc>
        <w:tc>
          <w:tcPr>
            <w:tcW w:w="1617" w:type="dxa"/>
            <w:tcBorders>
              <w:top w:val="single" w:sz="4" w:space="0" w:color="auto"/>
              <w:left w:val="single" w:sz="4" w:space="0" w:color="auto"/>
            </w:tcBorders>
            <w:shd w:val="clear" w:color="auto" w:fill="auto"/>
          </w:tcPr>
          <w:p w14:paraId="395458E6" w14:textId="77777777" w:rsidR="00B21C93" w:rsidRPr="002C1234" w:rsidRDefault="00B21C93" w:rsidP="00B21C93">
            <w:pPr>
              <w:pStyle w:val="Other0"/>
              <w:spacing w:after="0" w:line="245" w:lineRule="exact"/>
              <w:rPr>
                <w:rFonts w:ascii="Arial" w:hAnsi="Arial" w:cs="Arial"/>
              </w:rPr>
            </w:pPr>
            <w:r w:rsidRPr="002C1234">
              <w:rPr>
                <w:rFonts w:ascii="Arial" w:hAnsi="Arial" w:cs="Arial"/>
              </w:rPr>
              <w:t xml:space="preserve">Удължаване на </w:t>
            </w:r>
            <w:r w:rsidRPr="002C1234">
              <w:rPr>
                <w:rFonts w:ascii="Arial" w:hAnsi="Arial" w:cs="Arial"/>
                <w:lang w:bidi="en-US"/>
              </w:rPr>
              <w:t xml:space="preserve">QT </w:t>
            </w:r>
            <w:r w:rsidRPr="002C1234">
              <w:rPr>
                <w:rFonts w:ascii="Arial" w:hAnsi="Arial" w:cs="Arial"/>
              </w:rPr>
              <w:t>при пациенти с хипокалиемия (вж. точка 4.3 и 4.4)</w:t>
            </w:r>
          </w:p>
        </w:tc>
        <w:tc>
          <w:tcPr>
            <w:tcW w:w="1946" w:type="dxa"/>
            <w:tcBorders>
              <w:top w:val="single" w:sz="4" w:space="0" w:color="auto"/>
              <w:left w:val="single" w:sz="4" w:space="0" w:color="auto"/>
            </w:tcBorders>
            <w:shd w:val="clear" w:color="auto" w:fill="auto"/>
            <w:vAlign w:val="bottom"/>
          </w:tcPr>
          <w:p w14:paraId="73E354A1" w14:textId="77777777" w:rsidR="00B21C93" w:rsidRPr="002C1234" w:rsidRDefault="00B21C93" w:rsidP="00B21C93">
            <w:pPr>
              <w:pStyle w:val="Other0"/>
              <w:spacing w:after="0" w:line="249" w:lineRule="exact"/>
              <w:rPr>
                <w:rFonts w:ascii="Arial" w:hAnsi="Arial" w:cs="Arial"/>
              </w:rPr>
            </w:pPr>
            <w:r w:rsidRPr="002C1234">
              <w:rPr>
                <w:rFonts w:ascii="Arial" w:hAnsi="Arial" w:cs="Arial"/>
              </w:rPr>
              <w:t xml:space="preserve">Удължаване на </w:t>
            </w:r>
            <w:r w:rsidRPr="002C1234">
              <w:rPr>
                <w:rFonts w:ascii="Arial" w:hAnsi="Arial" w:cs="Arial"/>
                <w:lang w:bidi="en-US"/>
              </w:rPr>
              <w:t xml:space="preserve">QT </w:t>
            </w:r>
            <w:r w:rsidRPr="002C1234">
              <w:rPr>
                <w:rFonts w:ascii="Arial" w:hAnsi="Arial" w:cs="Arial"/>
              </w:rPr>
              <w:t>(вж. точка 4.4) Палпитации Тахикардия Предсърдно мъждене Стенокардия</w:t>
            </w:r>
          </w:p>
        </w:tc>
        <w:tc>
          <w:tcPr>
            <w:tcW w:w="2232" w:type="dxa"/>
            <w:tcBorders>
              <w:top w:val="single" w:sz="4" w:space="0" w:color="auto"/>
              <w:left w:val="single" w:sz="4" w:space="0" w:color="auto"/>
            </w:tcBorders>
            <w:shd w:val="clear" w:color="auto" w:fill="auto"/>
          </w:tcPr>
          <w:p w14:paraId="27E4D41E" w14:textId="77777777" w:rsidR="00B60001" w:rsidRDefault="00B21C93" w:rsidP="00B21C93">
            <w:pPr>
              <w:pStyle w:val="Other0"/>
              <w:spacing w:after="0" w:line="247" w:lineRule="exact"/>
              <w:rPr>
                <w:rFonts w:ascii="Arial" w:hAnsi="Arial" w:cs="Arial"/>
              </w:rPr>
            </w:pPr>
            <w:r w:rsidRPr="002C1234">
              <w:rPr>
                <w:rFonts w:ascii="Arial" w:hAnsi="Arial" w:cs="Arial"/>
              </w:rPr>
              <w:t xml:space="preserve">Камерни тахиаритмии </w:t>
            </w:r>
          </w:p>
          <w:p w14:paraId="7332A5F6" w14:textId="49A05B8C" w:rsidR="00B21C93" w:rsidRPr="002C1234" w:rsidRDefault="00B21C93" w:rsidP="00B21C93">
            <w:pPr>
              <w:pStyle w:val="Other0"/>
              <w:spacing w:after="0" w:line="247" w:lineRule="exact"/>
              <w:rPr>
                <w:rFonts w:ascii="Arial" w:hAnsi="Arial" w:cs="Arial"/>
              </w:rPr>
            </w:pPr>
            <w:r w:rsidRPr="002C1234">
              <w:rPr>
                <w:rFonts w:ascii="Arial" w:hAnsi="Arial" w:cs="Arial"/>
              </w:rPr>
              <w:t>Синкоп (т.е. остро настъпила и краткотрайна загуба на съзнание)</w:t>
            </w:r>
          </w:p>
        </w:tc>
        <w:tc>
          <w:tcPr>
            <w:tcW w:w="1934" w:type="dxa"/>
            <w:tcBorders>
              <w:top w:val="single" w:sz="4" w:space="0" w:color="auto"/>
              <w:left w:val="single" w:sz="4" w:space="0" w:color="auto"/>
            </w:tcBorders>
            <w:shd w:val="clear" w:color="auto" w:fill="auto"/>
          </w:tcPr>
          <w:p w14:paraId="7915C9C5" w14:textId="77777777" w:rsidR="00B21C93" w:rsidRPr="002C1234" w:rsidRDefault="00B21C93" w:rsidP="00B21C93">
            <w:pPr>
              <w:pStyle w:val="Other0"/>
              <w:spacing w:after="0" w:line="247" w:lineRule="exact"/>
              <w:rPr>
                <w:rFonts w:ascii="Arial" w:hAnsi="Arial" w:cs="Arial"/>
              </w:rPr>
            </w:pPr>
            <w:r w:rsidRPr="002C1234">
              <w:rPr>
                <w:rFonts w:ascii="Arial" w:hAnsi="Arial" w:cs="Arial"/>
              </w:rPr>
              <w:t>Неопределени аритмии</w:t>
            </w:r>
          </w:p>
          <w:p w14:paraId="53EA9110" w14:textId="77777777" w:rsidR="00B21C93" w:rsidRPr="002C1234" w:rsidRDefault="00B21C93" w:rsidP="00B21C93">
            <w:pPr>
              <w:pStyle w:val="Other0"/>
              <w:spacing w:after="0" w:line="247" w:lineRule="exact"/>
              <w:rPr>
                <w:rFonts w:ascii="Arial" w:hAnsi="Arial" w:cs="Arial"/>
              </w:rPr>
            </w:pPr>
            <w:r w:rsidRPr="002C1234">
              <w:rPr>
                <w:rFonts w:ascii="Arial" w:hAnsi="Arial" w:cs="Arial"/>
                <w:lang w:bidi="en-US"/>
              </w:rPr>
              <w:t xml:space="preserve">Torsade de Pointes </w:t>
            </w:r>
            <w:r w:rsidRPr="002C1234">
              <w:rPr>
                <w:rFonts w:ascii="Arial" w:hAnsi="Arial" w:cs="Arial"/>
              </w:rPr>
              <w:t>(вж. точка 4.4) Сърдечен арест (вж. точка 4.4)</w:t>
            </w:r>
          </w:p>
        </w:tc>
        <w:tc>
          <w:tcPr>
            <w:tcW w:w="1195" w:type="dxa"/>
            <w:tcBorders>
              <w:top w:val="single" w:sz="4" w:space="0" w:color="auto"/>
              <w:left w:val="single" w:sz="4" w:space="0" w:color="auto"/>
              <w:right w:val="single" w:sz="4" w:space="0" w:color="auto"/>
            </w:tcBorders>
            <w:shd w:val="clear" w:color="auto" w:fill="auto"/>
          </w:tcPr>
          <w:p w14:paraId="68CBEE73" w14:textId="77777777" w:rsidR="00B21C93" w:rsidRPr="002C1234" w:rsidRDefault="00B21C93" w:rsidP="00B21C93">
            <w:pPr>
              <w:rPr>
                <w:rFonts w:ascii="Arial" w:hAnsi="Arial" w:cs="Arial"/>
              </w:rPr>
            </w:pPr>
          </w:p>
        </w:tc>
      </w:tr>
      <w:tr w:rsidR="00B21C93" w:rsidRPr="002C1234" w14:paraId="76224F81" w14:textId="77777777" w:rsidTr="00B21C93">
        <w:trPr>
          <w:trHeight w:hRule="exact" w:val="522"/>
          <w:jc w:val="center"/>
        </w:trPr>
        <w:tc>
          <w:tcPr>
            <w:tcW w:w="1795" w:type="dxa"/>
            <w:tcBorders>
              <w:top w:val="single" w:sz="4" w:space="0" w:color="auto"/>
              <w:left w:val="single" w:sz="4" w:space="0" w:color="auto"/>
            </w:tcBorders>
            <w:shd w:val="clear" w:color="auto" w:fill="auto"/>
            <w:vAlign w:val="bottom"/>
          </w:tcPr>
          <w:p w14:paraId="55DB945F" w14:textId="77777777" w:rsidR="00B21C93" w:rsidRPr="002C1234" w:rsidRDefault="00B21C93" w:rsidP="00B21C93">
            <w:pPr>
              <w:pStyle w:val="Other0"/>
              <w:spacing w:after="0" w:line="238" w:lineRule="exact"/>
              <w:rPr>
                <w:rFonts w:ascii="Arial" w:hAnsi="Arial" w:cs="Arial"/>
              </w:rPr>
            </w:pPr>
            <w:r w:rsidRPr="002C1234">
              <w:rPr>
                <w:rFonts w:ascii="Arial" w:hAnsi="Arial" w:cs="Arial"/>
                <w:b/>
                <w:bCs/>
              </w:rPr>
              <w:t>Съдови нарушения</w:t>
            </w:r>
          </w:p>
        </w:tc>
        <w:tc>
          <w:tcPr>
            <w:tcW w:w="1617" w:type="dxa"/>
            <w:tcBorders>
              <w:top w:val="single" w:sz="4" w:space="0" w:color="auto"/>
              <w:left w:val="single" w:sz="4" w:space="0" w:color="auto"/>
            </w:tcBorders>
            <w:shd w:val="clear" w:color="auto" w:fill="auto"/>
          </w:tcPr>
          <w:p w14:paraId="63D7D7CD" w14:textId="77777777" w:rsidR="00B21C93" w:rsidRPr="002C1234" w:rsidRDefault="00B21C93" w:rsidP="00B21C93">
            <w:pPr>
              <w:rPr>
                <w:rFonts w:ascii="Arial" w:hAnsi="Arial" w:cs="Arial"/>
              </w:rPr>
            </w:pPr>
          </w:p>
        </w:tc>
        <w:tc>
          <w:tcPr>
            <w:tcW w:w="1946" w:type="dxa"/>
            <w:tcBorders>
              <w:top w:val="single" w:sz="4" w:space="0" w:color="auto"/>
              <w:left w:val="single" w:sz="4" w:space="0" w:color="auto"/>
            </w:tcBorders>
            <w:shd w:val="clear" w:color="auto" w:fill="auto"/>
          </w:tcPr>
          <w:p w14:paraId="6A7EC4C3" w14:textId="77777777" w:rsidR="00B21C93" w:rsidRPr="002C1234" w:rsidRDefault="00B21C93" w:rsidP="00B21C93">
            <w:pPr>
              <w:pStyle w:val="Other0"/>
              <w:spacing w:after="0"/>
              <w:rPr>
                <w:rFonts w:ascii="Arial" w:hAnsi="Arial" w:cs="Arial"/>
              </w:rPr>
            </w:pPr>
            <w:r w:rsidRPr="002C1234">
              <w:rPr>
                <w:rFonts w:ascii="Arial" w:hAnsi="Arial" w:cs="Arial"/>
              </w:rPr>
              <w:t>Вазодилатация</w:t>
            </w:r>
          </w:p>
        </w:tc>
        <w:tc>
          <w:tcPr>
            <w:tcW w:w="2232" w:type="dxa"/>
            <w:tcBorders>
              <w:top w:val="single" w:sz="4" w:space="0" w:color="auto"/>
              <w:left w:val="single" w:sz="4" w:space="0" w:color="auto"/>
            </w:tcBorders>
            <w:shd w:val="clear" w:color="auto" w:fill="auto"/>
            <w:vAlign w:val="bottom"/>
          </w:tcPr>
          <w:p w14:paraId="1C4F5F42" w14:textId="77777777" w:rsidR="00B21C93" w:rsidRPr="002C1234" w:rsidRDefault="00B21C93" w:rsidP="00B21C93">
            <w:pPr>
              <w:pStyle w:val="Other0"/>
              <w:spacing w:after="0" w:line="241" w:lineRule="exact"/>
              <w:rPr>
                <w:rFonts w:ascii="Arial" w:hAnsi="Arial" w:cs="Arial"/>
              </w:rPr>
            </w:pPr>
            <w:r w:rsidRPr="002C1234">
              <w:rPr>
                <w:rFonts w:ascii="Arial" w:hAnsi="Arial" w:cs="Arial"/>
              </w:rPr>
              <w:t>Хипертония Хипотония</w:t>
            </w:r>
          </w:p>
        </w:tc>
        <w:tc>
          <w:tcPr>
            <w:tcW w:w="1934" w:type="dxa"/>
            <w:tcBorders>
              <w:top w:val="single" w:sz="4" w:space="0" w:color="auto"/>
              <w:left w:val="single" w:sz="4" w:space="0" w:color="auto"/>
            </w:tcBorders>
            <w:shd w:val="clear" w:color="auto" w:fill="auto"/>
          </w:tcPr>
          <w:p w14:paraId="2C062877" w14:textId="77777777" w:rsidR="00B21C93" w:rsidRPr="002C1234" w:rsidRDefault="00B21C93" w:rsidP="00B21C93">
            <w:pPr>
              <w:pStyle w:val="Other0"/>
              <w:spacing w:after="0"/>
              <w:rPr>
                <w:rFonts w:ascii="Arial" w:hAnsi="Arial" w:cs="Arial"/>
              </w:rPr>
            </w:pPr>
            <w:r w:rsidRPr="002C1234">
              <w:rPr>
                <w:rFonts w:ascii="Arial" w:hAnsi="Arial" w:cs="Arial"/>
              </w:rPr>
              <w:t>Васкулит</w:t>
            </w:r>
          </w:p>
        </w:tc>
        <w:tc>
          <w:tcPr>
            <w:tcW w:w="1195" w:type="dxa"/>
            <w:tcBorders>
              <w:top w:val="single" w:sz="4" w:space="0" w:color="auto"/>
              <w:left w:val="single" w:sz="4" w:space="0" w:color="auto"/>
              <w:right w:val="single" w:sz="4" w:space="0" w:color="auto"/>
            </w:tcBorders>
            <w:shd w:val="clear" w:color="auto" w:fill="auto"/>
          </w:tcPr>
          <w:p w14:paraId="034B2DA2" w14:textId="77777777" w:rsidR="00B21C93" w:rsidRPr="002C1234" w:rsidRDefault="00B21C93" w:rsidP="00B21C93">
            <w:pPr>
              <w:rPr>
                <w:rFonts w:ascii="Arial" w:hAnsi="Arial" w:cs="Arial"/>
              </w:rPr>
            </w:pPr>
          </w:p>
        </w:tc>
      </w:tr>
      <w:tr w:rsidR="00B21C93" w:rsidRPr="002C1234" w14:paraId="0D41228A" w14:textId="77777777" w:rsidTr="00B21C93">
        <w:trPr>
          <w:trHeight w:hRule="exact" w:val="1033"/>
          <w:jc w:val="center"/>
        </w:trPr>
        <w:tc>
          <w:tcPr>
            <w:tcW w:w="1795" w:type="dxa"/>
            <w:tcBorders>
              <w:top w:val="single" w:sz="4" w:space="0" w:color="auto"/>
              <w:left w:val="single" w:sz="4" w:space="0" w:color="auto"/>
            </w:tcBorders>
            <w:shd w:val="clear" w:color="auto" w:fill="auto"/>
            <w:vAlign w:val="bottom"/>
          </w:tcPr>
          <w:p w14:paraId="1D50F5CA" w14:textId="77777777" w:rsidR="00B21C93" w:rsidRPr="002C1234" w:rsidRDefault="00B21C93" w:rsidP="00B21C93">
            <w:pPr>
              <w:pStyle w:val="Other0"/>
              <w:spacing w:after="0" w:line="245" w:lineRule="exact"/>
              <w:rPr>
                <w:rFonts w:ascii="Arial" w:hAnsi="Arial" w:cs="Arial"/>
              </w:rPr>
            </w:pPr>
            <w:r w:rsidRPr="002C1234">
              <w:rPr>
                <w:rFonts w:ascii="Arial" w:hAnsi="Arial" w:cs="Arial"/>
                <w:b/>
                <w:bCs/>
              </w:rPr>
              <w:t>Респираторни, гръдни и медиастинални нарушения</w:t>
            </w:r>
          </w:p>
        </w:tc>
        <w:tc>
          <w:tcPr>
            <w:tcW w:w="1617" w:type="dxa"/>
            <w:tcBorders>
              <w:top w:val="single" w:sz="4" w:space="0" w:color="auto"/>
              <w:left w:val="single" w:sz="4" w:space="0" w:color="auto"/>
            </w:tcBorders>
            <w:shd w:val="clear" w:color="auto" w:fill="auto"/>
          </w:tcPr>
          <w:p w14:paraId="45F1FC68" w14:textId="77777777" w:rsidR="00B21C93" w:rsidRPr="002C1234" w:rsidRDefault="00B21C93" w:rsidP="00B21C93">
            <w:pPr>
              <w:rPr>
                <w:rFonts w:ascii="Arial" w:hAnsi="Arial" w:cs="Arial"/>
              </w:rPr>
            </w:pPr>
          </w:p>
        </w:tc>
        <w:tc>
          <w:tcPr>
            <w:tcW w:w="1946" w:type="dxa"/>
            <w:tcBorders>
              <w:top w:val="single" w:sz="4" w:space="0" w:color="auto"/>
              <w:left w:val="single" w:sz="4" w:space="0" w:color="auto"/>
            </w:tcBorders>
            <w:shd w:val="clear" w:color="auto" w:fill="auto"/>
            <w:vAlign w:val="bottom"/>
          </w:tcPr>
          <w:p w14:paraId="6F6CFA32" w14:textId="77777777" w:rsidR="00B21C93" w:rsidRPr="002C1234" w:rsidRDefault="00B21C93" w:rsidP="00B21C93">
            <w:pPr>
              <w:pStyle w:val="Other0"/>
              <w:spacing w:after="0" w:line="244" w:lineRule="exact"/>
              <w:rPr>
                <w:rFonts w:ascii="Arial" w:hAnsi="Arial" w:cs="Arial"/>
              </w:rPr>
            </w:pPr>
            <w:r w:rsidRPr="002C1234">
              <w:rPr>
                <w:rFonts w:ascii="Arial" w:hAnsi="Arial" w:cs="Arial"/>
              </w:rPr>
              <w:t>Задух (включително астматични състояния)</w:t>
            </w:r>
          </w:p>
        </w:tc>
        <w:tc>
          <w:tcPr>
            <w:tcW w:w="2232" w:type="dxa"/>
            <w:tcBorders>
              <w:top w:val="single" w:sz="4" w:space="0" w:color="auto"/>
              <w:left w:val="single" w:sz="4" w:space="0" w:color="auto"/>
            </w:tcBorders>
            <w:shd w:val="clear" w:color="auto" w:fill="auto"/>
          </w:tcPr>
          <w:p w14:paraId="42C736E4" w14:textId="77777777" w:rsidR="00B21C93" w:rsidRPr="002C1234" w:rsidRDefault="00B21C93" w:rsidP="00B21C93">
            <w:pPr>
              <w:rPr>
                <w:rFonts w:ascii="Arial" w:hAnsi="Arial" w:cs="Arial"/>
              </w:rPr>
            </w:pPr>
          </w:p>
        </w:tc>
        <w:tc>
          <w:tcPr>
            <w:tcW w:w="1934" w:type="dxa"/>
            <w:tcBorders>
              <w:top w:val="single" w:sz="4" w:space="0" w:color="auto"/>
              <w:left w:val="single" w:sz="4" w:space="0" w:color="auto"/>
            </w:tcBorders>
            <w:shd w:val="clear" w:color="auto" w:fill="auto"/>
          </w:tcPr>
          <w:p w14:paraId="6F91A3DD" w14:textId="77777777" w:rsidR="00B21C93" w:rsidRPr="002C1234" w:rsidRDefault="00B21C93" w:rsidP="00B21C93">
            <w:pPr>
              <w:rPr>
                <w:rFonts w:ascii="Arial" w:hAnsi="Arial" w:cs="Arial"/>
              </w:rPr>
            </w:pPr>
          </w:p>
        </w:tc>
        <w:tc>
          <w:tcPr>
            <w:tcW w:w="1195" w:type="dxa"/>
            <w:tcBorders>
              <w:top w:val="single" w:sz="4" w:space="0" w:color="auto"/>
              <w:left w:val="single" w:sz="4" w:space="0" w:color="auto"/>
              <w:right w:val="single" w:sz="4" w:space="0" w:color="auto"/>
            </w:tcBorders>
            <w:shd w:val="clear" w:color="auto" w:fill="auto"/>
          </w:tcPr>
          <w:p w14:paraId="414849B9" w14:textId="77777777" w:rsidR="00B21C93" w:rsidRPr="002C1234" w:rsidRDefault="00B21C93" w:rsidP="00B21C93">
            <w:pPr>
              <w:rPr>
                <w:rFonts w:ascii="Arial" w:hAnsi="Arial" w:cs="Arial"/>
              </w:rPr>
            </w:pPr>
          </w:p>
        </w:tc>
      </w:tr>
      <w:tr w:rsidR="00B21C93" w:rsidRPr="002C1234" w14:paraId="152C6EFC" w14:textId="77777777" w:rsidTr="00B21C93">
        <w:trPr>
          <w:trHeight w:hRule="exact" w:val="2805"/>
          <w:jc w:val="center"/>
        </w:trPr>
        <w:tc>
          <w:tcPr>
            <w:tcW w:w="1795" w:type="dxa"/>
            <w:tcBorders>
              <w:top w:val="single" w:sz="4" w:space="0" w:color="auto"/>
              <w:left w:val="single" w:sz="4" w:space="0" w:color="auto"/>
            </w:tcBorders>
            <w:shd w:val="clear" w:color="auto" w:fill="auto"/>
          </w:tcPr>
          <w:p w14:paraId="16D6C3EE" w14:textId="77777777" w:rsidR="00B21C93" w:rsidRPr="002C1234" w:rsidRDefault="00B21C93" w:rsidP="00B21C93">
            <w:pPr>
              <w:pStyle w:val="Other0"/>
              <w:spacing w:after="0" w:line="247" w:lineRule="exact"/>
              <w:rPr>
                <w:rFonts w:ascii="Arial" w:hAnsi="Arial" w:cs="Arial"/>
              </w:rPr>
            </w:pPr>
            <w:r w:rsidRPr="002C1234">
              <w:rPr>
                <w:rFonts w:ascii="Arial" w:hAnsi="Arial" w:cs="Arial"/>
                <w:b/>
                <w:bCs/>
              </w:rPr>
              <w:t>Стомашно- чревни нарушения</w:t>
            </w:r>
          </w:p>
        </w:tc>
        <w:tc>
          <w:tcPr>
            <w:tcW w:w="1617" w:type="dxa"/>
            <w:tcBorders>
              <w:top w:val="single" w:sz="4" w:space="0" w:color="auto"/>
              <w:left w:val="single" w:sz="4" w:space="0" w:color="auto"/>
            </w:tcBorders>
            <w:shd w:val="clear" w:color="auto" w:fill="auto"/>
          </w:tcPr>
          <w:p w14:paraId="482732FD" w14:textId="77777777" w:rsidR="00B21C93" w:rsidRPr="002C1234" w:rsidRDefault="00B21C93" w:rsidP="00B21C93">
            <w:pPr>
              <w:pStyle w:val="Other0"/>
              <w:spacing w:after="0" w:line="243" w:lineRule="exact"/>
              <w:rPr>
                <w:rFonts w:ascii="Arial" w:hAnsi="Arial" w:cs="Arial"/>
              </w:rPr>
            </w:pPr>
            <w:r w:rsidRPr="002C1234">
              <w:rPr>
                <w:rFonts w:ascii="Arial" w:hAnsi="Arial" w:cs="Arial"/>
              </w:rPr>
              <w:t>Гадене Повръщане Стомашно- чревна и коремна болка Диария</w:t>
            </w:r>
          </w:p>
        </w:tc>
        <w:tc>
          <w:tcPr>
            <w:tcW w:w="1946" w:type="dxa"/>
            <w:tcBorders>
              <w:top w:val="single" w:sz="4" w:space="0" w:color="auto"/>
              <w:left w:val="single" w:sz="4" w:space="0" w:color="auto"/>
            </w:tcBorders>
            <w:shd w:val="clear" w:color="auto" w:fill="auto"/>
          </w:tcPr>
          <w:p w14:paraId="6F113A3B" w14:textId="77777777" w:rsidR="00B60001" w:rsidRDefault="00B21C93" w:rsidP="00B21C93">
            <w:pPr>
              <w:pStyle w:val="Other0"/>
              <w:spacing w:after="0" w:line="242" w:lineRule="exact"/>
              <w:rPr>
                <w:rFonts w:ascii="Arial" w:hAnsi="Arial" w:cs="Arial"/>
              </w:rPr>
            </w:pPr>
            <w:r w:rsidRPr="002C1234">
              <w:rPr>
                <w:rFonts w:ascii="Arial" w:hAnsi="Arial" w:cs="Arial"/>
              </w:rPr>
              <w:t xml:space="preserve">Намалени апетит и прием на храна Запек </w:t>
            </w:r>
          </w:p>
          <w:p w14:paraId="612631AB" w14:textId="77777777" w:rsidR="00B60001" w:rsidRDefault="00B21C93" w:rsidP="00B21C93">
            <w:pPr>
              <w:pStyle w:val="Other0"/>
              <w:spacing w:after="0" w:line="242" w:lineRule="exact"/>
              <w:rPr>
                <w:rFonts w:ascii="Arial" w:hAnsi="Arial" w:cs="Arial"/>
              </w:rPr>
            </w:pPr>
            <w:r w:rsidRPr="002C1234">
              <w:rPr>
                <w:rFonts w:ascii="Arial" w:hAnsi="Arial" w:cs="Arial"/>
              </w:rPr>
              <w:t>Диспепсия Подуване на корема</w:t>
            </w:r>
          </w:p>
          <w:p w14:paraId="427C3D29" w14:textId="77777777" w:rsidR="00B60001" w:rsidRDefault="00B21C93" w:rsidP="00B21C93">
            <w:pPr>
              <w:pStyle w:val="Other0"/>
              <w:spacing w:after="0" w:line="242" w:lineRule="exact"/>
              <w:rPr>
                <w:rFonts w:ascii="Arial" w:hAnsi="Arial" w:cs="Arial"/>
              </w:rPr>
            </w:pPr>
            <w:r w:rsidRPr="002C1234">
              <w:rPr>
                <w:rFonts w:ascii="Arial" w:hAnsi="Arial" w:cs="Arial"/>
              </w:rPr>
              <w:t xml:space="preserve">Гастрит </w:t>
            </w:r>
          </w:p>
          <w:p w14:paraId="22DBF039" w14:textId="397E6F2F" w:rsidR="00B21C93" w:rsidRPr="002C1234" w:rsidRDefault="00B21C93" w:rsidP="00B21C93">
            <w:pPr>
              <w:pStyle w:val="Other0"/>
              <w:spacing w:after="0" w:line="242" w:lineRule="exact"/>
              <w:rPr>
                <w:rFonts w:ascii="Arial" w:hAnsi="Arial" w:cs="Arial"/>
              </w:rPr>
            </w:pPr>
            <w:r w:rsidRPr="002C1234">
              <w:rPr>
                <w:rFonts w:ascii="Arial" w:hAnsi="Arial" w:cs="Arial"/>
              </w:rPr>
              <w:t>Повишена амилаза</w:t>
            </w:r>
          </w:p>
        </w:tc>
        <w:tc>
          <w:tcPr>
            <w:tcW w:w="2232" w:type="dxa"/>
            <w:tcBorders>
              <w:top w:val="single" w:sz="4" w:space="0" w:color="auto"/>
              <w:left w:val="single" w:sz="4" w:space="0" w:color="auto"/>
            </w:tcBorders>
            <w:shd w:val="clear" w:color="auto" w:fill="auto"/>
            <w:vAlign w:val="bottom"/>
          </w:tcPr>
          <w:p w14:paraId="6A9B8C27" w14:textId="77777777" w:rsidR="00B21C93" w:rsidRPr="002C1234" w:rsidRDefault="00B21C93" w:rsidP="00B21C93">
            <w:pPr>
              <w:pStyle w:val="Other0"/>
              <w:spacing w:after="40" w:line="240" w:lineRule="exact"/>
              <w:rPr>
                <w:rFonts w:ascii="Arial" w:hAnsi="Arial" w:cs="Arial"/>
              </w:rPr>
            </w:pPr>
            <w:r w:rsidRPr="002C1234">
              <w:rPr>
                <w:rFonts w:ascii="Arial" w:hAnsi="Arial" w:cs="Arial"/>
              </w:rPr>
              <w:t>Дисфагия Стоматит Свързан с антибиотици колит (вкл.</w:t>
            </w:r>
          </w:p>
          <w:p w14:paraId="6C5C9F03" w14:textId="77777777" w:rsidR="00B21C93" w:rsidRPr="002C1234" w:rsidRDefault="00B21C93" w:rsidP="00B21C93">
            <w:pPr>
              <w:pStyle w:val="Other0"/>
              <w:spacing w:after="40" w:line="240" w:lineRule="exact"/>
              <w:rPr>
                <w:rFonts w:ascii="Arial" w:hAnsi="Arial" w:cs="Arial"/>
              </w:rPr>
            </w:pPr>
            <w:r w:rsidRPr="002C1234">
              <w:rPr>
                <w:rFonts w:ascii="Arial" w:hAnsi="Arial" w:cs="Arial"/>
              </w:rPr>
              <w:t>псевдомембранозен колит, в много редки случаи свързан с животозастрашаващи усложнения, вж.</w:t>
            </w:r>
          </w:p>
          <w:p w14:paraId="384D370B" w14:textId="77777777" w:rsidR="00B21C93" w:rsidRPr="002C1234" w:rsidRDefault="00B21C93" w:rsidP="00B21C93">
            <w:pPr>
              <w:pStyle w:val="Other0"/>
              <w:spacing w:after="40" w:line="240" w:lineRule="exact"/>
              <w:rPr>
                <w:rFonts w:ascii="Arial" w:hAnsi="Arial" w:cs="Arial"/>
              </w:rPr>
            </w:pPr>
            <w:r w:rsidRPr="002C1234">
              <w:rPr>
                <w:rFonts w:ascii="Arial" w:hAnsi="Arial" w:cs="Arial"/>
              </w:rPr>
              <w:t>точка 4.4)</w:t>
            </w:r>
          </w:p>
        </w:tc>
        <w:tc>
          <w:tcPr>
            <w:tcW w:w="1934" w:type="dxa"/>
            <w:tcBorders>
              <w:top w:val="single" w:sz="4" w:space="0" w:color="auto"/>
              <w:left w:val="single" w:sz="4" w:space="0" w:color="auto"/>
            </w:tcBorders>
            <w:shd w:val="clear" w:color="auto" w:fill="auto"/>
          </w:tcPr>
          <w:p w14:paraId="05456BB4" w14:textId="77777777" w:rsidR="00B21C93" w:rsidRPr="002C1234" w:rsidRDefault="00B21C93" w:rsidP="00B21C93">
            <w:pPr>
              <w:rPr>
                <w:rFonts w:ascii="Arial" w:hAnsi="Arial" w:cs="Arial"/>
              </w:rPr>
            </w:pPr>
          </w:p>
        </w:tc>
        <w:tc>
          <w:tcPr>
            <w:tcW w:w="1195" w:type="dxa"/>
            <w:tcBorders>
              <w:top w:val="single" w:sz="4" w:space="0" w:color="auto"/>
              <w:left w:val="single" w:sz="4" w:space="0" w:color="auto"/>
              <w:right w:val="single" w:sz="4" w:space="0" w:color="auto"/>
            </w:tcBorders>
            <w:shd w:val="clear" w:color="auto" w:fill="auto"/>
          </w:tcPr>
          <w:p w14:paraId="53418F89" w14:textId="77777777" w:rsidR="00B21C93" w:rsidRPr="002C1234" w:rsidRDefault="00B21C93" w:rsidP="00B21C93">
            <w:pPr>
              <w:rPr>
                <w:rFonts w:ascii="Arial" w:hAnsi="Arial" w:cs="Arial"/>
              </w:rPr>
            </w:pPr>
          </w:p>
        </w:tc>
      </w:tr>
      <w:tr w:rsidR="00B21C93" w:rsidRPr="002C1234" w14:paraId="32837107" w14:textId="77777777" w:rsidTr="00B21C93">
        <w:trPr>
          <w:trHeight w:hRule="exact" w:val="2808"/>
          <w:jc w:val="center"/>
        </w:trPr>
        <w:tc>
          <w:tcPr>
            <w:tcW w:w="1795" w:type="dxa"/>
            <w:tcBorders>
              <w:top w:val="single" w:sz="4" w:space="0" w:color="auto"/>
              <w:left w:val="single" w:sz="4" w:space="0" w:color="auto"/>
            </w:tcBorders>
            <w:shd w:val="clear" w:color="auto" w:fill="auto"/>
          </w:tcPr>
          <w:p w14:paraId="64AA88D2" w14:textId="77777777" w:rsidR="00B21C93" w:rsidRPr="002C1234" w:rsidRDefault="00B21C93" w:rsidP="00B21C93">
            <w:pPr>
              <w:pStyle w:val="Other0"/>
              <w:spacing w:after="0" w:line="245" w:lineRule="exact"/>
              <w:rPr>
                <w:rFonts w:ascii="Arial" w:hAnsi="Arial" w:cs="Arial"/>
              </w:rPr>
            </w:pPr>
            <w:r w:rsidRPr="002C1234">
              <w:rPr>
                <w:rFonts w:ascii="Arial" w:hAnsi="Arial" w:cs="Arial"/>
                <w:b/>
                <w:bCs/>
              </w:rPr>
              <w:t>Хепатобилиарни нарушения</w:t>
            </w:r>
          </w:p>
        </w:tc>
        <w:tc>
          <w:tcPr>
            <w:tcW w:w="1617" w:type="dxa"/>
            <w:tcBorders>
              <w:top w:val="single" w:sz="4" w:space="0" w:color="auto"/>
              <w:left w:val="single" w:sz="4" w:space="0" w:color="auto"/>
            </w:tcBorders>
            <w:shd w:val="clear" w:color="auto" w:fill="auto"/>
          </w:tcPr>
          <w:p w14:paraId="7D4FC0DE" w14:textId="77777777" w:rsidR="00B21C93" w:rsidRPr="002C1234" w:rsidRDefault="00B21C93" w:rsidP="00B21C93">
            <w:pPr>
              <w:pStyle w:val="Other0"/>
              <w:spacing w:after="0" w:line="248" w:lineRule="exact"/>
              <w:rPr>
                <w:rFonts w:ascii="Arial" w:hAnsi="Arial" w:cs="Arial"/>
              </w:rPr>
            </w:pPr>
            <w:r w:rsidRPr="002C1234">
              <w:rPr>
                <w:rFonts w:ascii="Arial" w:hAnsi="Arial" w:cs="Arial"/>
              </w:rPr>
              <w:t>Повишени трансаминази</w:t>
            </w:r>
          </w:p>
        </w:tc>
        <w:tc>
          <w:tcPr>
            <w:tcW w:w="1946" w:type="dxa"/>
            <w:tcBorders>
              <w:top w:val="single" w:sz="4" w:space="0" w:color="auto"/>
              <w:left w:val="single" w:sz="4" w:space="0" w:color="auto"/>
            </w:tcBorders>
            <w:shd w:val="clear" w:color="auto" w:fill="auto"/>
            <w:vAlign w:val="bottom"/>
          </w:tcPr>
          <w:p w14:paraId="77A70A05" w14:textId="77777777" w:rsidR="00B21C93" w:rsidRPr="002C1234" w:rsidRDefault="00B21C93" w:rsidP="00B21C93">
            <w:pPr>
              <w:pStyle w:val="Other0"/>
              <w:spacing w:after="0" w:line="241" w:lineRule="exact"/>
              <w:rPr>
                <w:rFonts w:ascii="Arial" w:hAnsi="Arial" w:cs="Arial"/>
              </w:rPr>
            </w:pPr>
            <w:r w:rsidRPr="002C1234">
              <w:rPr>
                <w:rFonts w:ascii="Arial" w:hAnsi="Arial" w:cs="Arial"/>
              </w:rPr>
              <w:t xml:space="preserve">Чернодробно увреждане (вкл. повишена </w:t>
            </w:r>
            <w:r w:rsidRPr="002C1234">
              <w:rPr>
                <w:rFonts w:ascii="Arial" w:hAnsi="Arial" w:cs="Arial"/>
                <w:lang w:bidi="en-US"/>
              </w:rPr>
              <w:t xml:space="preserve">LDH) </w:t>
            </w:r>
            <w:r w:rsidRPr="002C1234">
              <w:rPr>
                <w:rFonts w:ascii="Arial" w:hAnsi="Arial" w:cs="Arial"/>
              </w:rPr>
              <w:t>Повишен билирубин Повишена гама глутамил трансфераза Повишение в кръвта на алкална фосфатаза</w:t>
            </w:r>
          </w:p>
        </w:tc>
        <w:tc>
          <w:tcPr>
            <w:tcW w:w="2232" w:type="dxa"/>
            <w:tcBorders>
              <w:top w:val="single" w:sz="4" w:space="0" w:color="auto"/>
              <w:left w:val="single" w:sz="4" w:space="0" w:color="auto"/>
            </w:tcBorders>
            <w:shd w:val="clear" w:color="auto" w:fill="auto"/>
          </w:tcPr>
          <w:p w14:paraId="5E3847F1" w14:textId="77777777" w:rsidR="00B21C93" w:rsidRPr="002C1234" w:rsidRDefault="00B21C93" w:rsidP="00B21C93">
            <w:pPr>
              <w:pStyle w:val="Other0"/>
              <w:spacing w:after="0" w:line="243" w:lineRule="exact"/>
              <w:rPr>
                <w:rFonts w:ascii="Arial" w:hAnsi="Arial" w:cs="Arial"/>
              </w:rPr>
            </w:pPr>
            <w:r w:rsidRPr="002C1234">
              <w:rPr>
                <w:rFonts w:ascii="Arial" w:hAnsi="Arial" w:cs="Arial"/>
              </w:rPr>
              <w:t>Жълтеница Хепатит (предимно холестатичен)</w:t>
            </w:r>
          </w:p>
        </w:tc>
        <w:tc>
          <w:tcPr>
            <w:tcW w:w="1934" w:type="dxa"/>
            <w:tcBorders>
              <w:top w:val="single" w:sz="4" w:space="0" w:color="auto"/>
              <w:left w:val="single" w:sz="4" w:space="0" w:color="auto"/>
            </w:tcBorders>
            <w:shd w:val="clear" w:color="auto" w:fill="auto"/>
          </w:tcPr>
          <w:p w14:paraId="302CD892" w14:textId="77777777" w:rsidR="00B21C93" w:rsidRPr="002C1234" w:rsidRDefault="00B21C93" w:rsidP="00B21C93">
            <w:pPr>
              <w:pStyle w:val="Other0"/>
              <w:spacing w:after="0" w:line="240" w:lineRule="exact"/>
              <w:rPr>
                <w:rFonts w:ascii="Arial" w:hAnsi="Arial" w:cs="Arial"/>
              </w:rPr>
            </w:pPr>
            <w:r w:rsidRPr="002C1234">
              <w:rPr>
                <w:rFonts w:ascii="Arial" w:hAnsi="Arial" w:cs="Arial"/>
              </w:rPr>
              <w:t>Фулминантен хепатит потенциално водещ до животозастрашава -ща чернодробна недостатъчност (вкл. фатални случаи, вж. точка 4.4)</w:t>
            </w:r>
          </w:p>
        </w:tc>
        <w:tc>
          <w:tcPr>
            <w:tcW w:w="1195" w:type="dxa"/>
            <w:tcBorders>
              <w:top w:val="single" w:sz="4" w:space="0" w:color="auto"/>
              <w:left w:val="single" w:sz="4" w:space="0" w:color="auto"/>
              <w:right w:val="single" w:sz="4" w:space="0" w:color="auto"/>
            </w:tcBorders>
            <w:shd w:val="clear" w:color="auto" w:fill="auto"/>
          </w:tcPr>
          <w:p w14:paraId="437D21B8" w14:textId="77777777" w:rsidR="00B21C93" w:rsidRPr="002C1234" w:rsidRDefault="00B21C93" w:rsidP="00B21C93">
            <w:pPr>
              <w:rPr>
                <w:rFonts w:ascii="Arial" w:hAnsi="Arial" w:cs="Arial"/>
              </w:rPr>
            </w:pPr>
          </w:p>
        </w:tc>
      </w:tr>
      <w:tr w:rsidR="00B21C93" w:rsidRPr="002C1234" w14:paraId="30C233CC" w14:textId="77777777" w:rsidTr="00B21C93">
        <w:trPr>
          <w:trHeight w:hRule="exact" w:val="2562"/>
          <w:jc w:val="center"/>
        </w:trPr>
        <w:tc>
          <w:tcPr>
            <w:tcW w:w="1795" w:type="dxa"/>
            <w:tcBorders>
              <w:top w:val="single" w:sz="4" w:space="0" w:color="auto"/>
              <w:left w:val="single" w:sz="4" w:space="0" w:color="auto"/>
              <w:bottom w:val="single" w:sz="4" w:space="0" w:color="auto"/>
            </w:tcBorders>
            <w:shd w:val="clear" w:color="auto" w:fill="auto"/>
          </w:tcPr>
          <w:p w14:paraId="7793E392" w14:textId="77777777" w:rsidR="00B21C93" w:rsidRPr="002C1234" w:rsidRDefault="00B21C93" w:rsidP="00B21C93">
            <w:pPr>
              <w:pStyle w:val="Other0"/>
              <w:spacing w:after="0" w:line="241" w:lineRule="exact"/>
              <w:rPr>
                <w:rFonts w:ascii="Arial" w:hAnsi="Arial" w:cs="Arial"/>
              </w:rPr>
            </w:pPr>
            <w:r w:rsidRPr="002C1234">
              <w:rPr>
                <w:rFonts w:ascii="Arial" w:hAnsi="Arial" w:cs="Arial"/>
                <w:b/>
                <w:bCs/>
              </w:rPr>
              <w:t>Нарушения на кожата и подкожната тъкан</w:t>
            </w:r>
          </w:p>
        </w:tc>
        <w:tc>
          <w:tcPr>
            <w:tcW w:w="1617" w:type="dxa"/>
            <w:tcBorders>
              <w:top w:val="single" w:sz="4" w:space="0" w:color="auto"/>
              <w:left w:val="single" w:sz="4" w:space="0" w:color="auto"/>
              <w:bottom w:val="single" w:sz="4" w:space="0" w:color="auto"/>
            </w:tcBorders>
            <w:shd w:val="clear" w:color="auto" w:fill="auto"/>
          </w:tcPr>
          <w:p w14:paraId="7F8E438F" w14:textId="77777777" w:rsidR="00B21C93" w:rsidRPr="002C1234" w:rsidRDefault="00B21C93" w:rsidP="00B21C93">
            <w:pPr>
              <w:rPr>
                <w:rFonts w:ascii="Arial" w:hAnsi="Arial" w:cs="Arial"/>
              </w:rPr>
            </w:pPr>
          </w:p>
        </w:tc>
        <w:tc>
          <w:tcPr>
            <w:tcW w:w="1946" w:type="dxa"/>
            <w:tcBorders>
              <w:top w:val="single" w:sz="4" w:space="0" w:color="auto"/>
              <w:left w:val="single" w:sz="4" w:space="0" w:color="auto"/>
              <w:bottom w:val="single" w:sz="4" w:space="0" w:color="auto"/>
            </w:tcBorders>
            <w:shd w:val="clear" w:color="auto" w:fill="auto"/>
          </w:tcPr>
          <w:p w14:paraId="2F7B29F3" w14:textId="77777777" w:rsidR="00B60001" w:rsidRDefault="00B21C93" w:rsidP="00B21C93">
            <w:pPr>
              <w:pStyle w:val="Other0"/>
              <w:spacing w:after="0" w:line="242" w:lineRule="exact"/>
              <w:rPr>
                <w:rFonts w:ascii="Arial" w:hAnsi="Arial" w:cs="Arial"/>
              </w:rPr>
            </w:pPr>
            <w:r w:rsidRPr="002C1234">
              <w:rPr>
                <w:rFonts w:ascii="Arial" w:hAnsi="Arial" w:cs="Arial"/>
              </w:rPr>
              <w:t xml:space="preserve">Сърбеж </w:t>
            </w:r>
          </w:p>
          <w:p w14:paraId="1477FE92" w14:textId="77777777" w:rsidR="00B60001" w:rsidRDefault="00B21C93" w:rsidP="00B21C93">
            <w:pPr>
              <w:pStyle w:val="Other0"/>
              <w:spacing w:after="0" w:line="242" w:lineRule="exact"/>
              <w:rPr>
                <w:rFonts w:ascii="Arial" w:hAnsi="Arial" w:cs="Arial"/>
              </w:rPr>
            </w:pPr>
            <w:r w:rsidRPr="002C1234">
              <w:rPr>
                <w:rFonts w:ascii="Arial" w:hAnsi="Arial" w:cs="Arial"/>
              </w:rPr>
              <w:t>Обрив</w:t>
            </w:r>
          </w:p>
          <w:p w14:paraId="18AB4239" w14:textId="77777777" w:rsidR="00B60001" w:rsidRDefault="00B21C93" w:rsidP="00B21C93">
            <w:pPr>
              <w:pStyle w:val="Other0"/>
              <w:spacing w:after="0" w:line="242" w:lineRule="exact"/>
              <w:rPr>
                <w:rFonts w:ascii="Arial" w:hAnsi="Arial" w:cs="Arial"/>
              </w:rPr>
            </w:pPr>
            <w:r w:rsidRPr="002C1234">
              <w:rPr>
                <w:rFonts w:ascii="Arial" w:hAnsi="Arial" w:cs="Arial"/>
              </w:rPr>
              <w:t xml:space="preserve">Уртикария </w:t>
            </w:r>
          </w:p>
          <w:p w14:paraId="0FC2B7F8" w14:textId="43A128E9" w:rsidR="00B21C93" w:rsidRPr="002C1234" w:rsidRDefault="00B21C93" w:rsidP="00B21C93">
            <w:pPr>
              <w:pStyle w:val="Other0"/>
              <w:spacing w:after="0" w:line="242" w:lineRule="exact"/>
              <w:rPr>
                <w:rFonts w:ascii="Arial" w:hAnsi="Arial" w:cs="Arial"/>
              </w:rPr>
            </w:pPr>
            <w:r w:rsidRPr="002C1234">
              <w:rPr>
                <w:rFonts w:ascii="Arial" w:hAnsi="Arial" w:cs="Arial"/>
              </w:rPr>
              <w:t>Суха кожа</w:t>
            </w:r>
          </w:p>
        </w:tc>
        <w:tc>
          <w:tcPr>
            <w:tcW w:w="2232" w:type="dxa"/>
            <w:tcBorders>
              <w:top w:val="single" w:sz="4" w:space="0" w:color="auto"/>
              <w:left w:val="single" w:sz="4" w:space="0" w:color="auto"/>
              <w:bottom w:val="single" w:sz="4" w:space="0" w:color="auto"/>
            </w:tcBorders>
            <w:shd w:val="clear" w:color="auto" w:fill="auto"/>
          </w:tcPr>
          <w:p w14:paraId="3C1851AD" w14:textId="77777777" w:rsidR="00B21C93" w:rsidRPr="002C1234" w:rsidRDefault="00B21C93" w:rsidP="00B21C93">
            <w:pPr>
              <w:rPr>
                <w:rFonts w:ascii="Arial" w:hAnsi="Arial" w:cs="Arial"/>
              </w:rPr>
            </w:pPr>
          </w:p>
        </w:tc>
        <w:tc>
          <w:tcPr>
            <w:tcW w:w="1934" w:type="dxa"/>
            <w:tcBorders>
              <w:top w:val="single" w:sz="4" w:space="0" w:color="auto"/>
              <w:left w:val="single" w:sz="4" w:space="0" w:color="auto"/>
              <w:bottom w:val="single" w:sz="4" w:space="0" w:color="auto"/>
            </w:tcBorders>
            <w:shd w:val="clear" w:color="auto" w:fill="auto"/>
            <w:vAlign w:val="bottom"/>
          </w:tcPr>
          <w:p w14:paraId="0C02369D" w14:textId="77777777" w:rsidR="00B21C93" w:rsidRPr="002C1234" w:rsidRDefault="00B21C93" w:rsidP="00B21C93">
            <w:pPr>
              <w:pStyle w:val="Other0"/>
              <w:spacing w:after="0" w:line="241" w:lineRule="exact"/>
              <w:rPr>
                <w:rFonts w:ascii="Arial" w:hAnsi="Arial" w:cs="Arial"/>
              </w:rPr>
            </w:pPr>
            <w:r w:rsidRPr="002C1234">
              <w:rPr>
                <w:rFonts w:ascii="Arial" w:hAnsi="Arial" w:cs="Arial"/>
              </w:rPr>
              <w:t xml:space="preserve">Булозни кожни реакции като синдром на </w:t>
            </w:r>
            <w:r w:rsidRPr="002C1234">
              <w:rPr>
                <w:rFonts w:ascii="Arial" w:hAnsi="Arial" w:cs="Arial"/>
                <w:lang w:bidi="en-US"/>
              </w:rPr>
              <w:t xml:space="preserve">Stevens-Johnson </w:t>
            </w:r>
            <w:r w:rsidRPr="002C1234">
              <w:rPr>
                <w:rFonts w:ascii="Arial" w:hAnsi="Arial" w:cs="Arial"/>
              </w:rPr>
              <w:t>или токсична епидермапна некролиза (потенциално животозастрашава -ща, вж. точка 4.4)</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4BF5D391" w14:textId="77777777" w:rsidR="00B21C93" w:rsidRPr="002C1234" w:rsidRDefault="00B21C93" w:rsidP="00B21C93">
            <w:pPr>
              <w:pStyle w:val="Other0"/>
              <w:spacing w:after="0" w:line="241" w:lineRule="exact"/>
              <w:rPr>
                <w:rFonts w:ascii="Arial" w:hAnsi="Arial" w:cs="Arial"/>
              </w:rPr>
            </w:pPr>
            <w:r w:rsidRPr="002C1234">
              <w:rPr>
                <w:rFonts w:ascii="Arial" w:hAnsi="Arial" w:cs="Arial"/>
              </w:rPr>
              <w:t>Остра генерализи</w:t>
            </w:r>
            <w:r w:rsidRPr="002C1234">
              <w:rPr>
                <w:rFonts w:ascii="Arial" w:hAnsi="Arial" w:cs="Arial"/>
              </w:rPr>
              <w:softHyphen/>
              <w:t xml:space="preserve">рана екзантема- тозна пустулоза </w:t>
            </w:r>
            <w:r w:rsidRPr="002C1234">
              <w:rPr>
                <w:rFonts w:ascii="Arial" w:hAnsi="Arial" w:cs="Arial"/>
                <w:lang w:bidi="en-US"/>
              </w:rPr>
              <w:t>(AGEP)</w:t>
            </w:r>
          </w:p>
        </w:tc>
      </w:tr>
    </w:tbl>
    <w:p w14:paraId="2549F5F3" w14:textId="77777777" w:rsidR="00B21C93" w:rsidRPr="002C1234" w:rsidRDefault="00B21C93" w:rsidP="00B21C93">
      <w:pPr>
        <w:spacing w:after="120"/>
        <w:jc w:val="both"/>
        <w:rPr>
          <w:rFonts w:ascii="Arial" w:hAnsi="Arial" w:cs="Arial"/>
        </w:rPr>
      </w:pPr>
    </w:p>
    <w:p w14:paraId="216D20C7" w14:textId="77777777" w:rsidR="00B21C93" w:rsidRPr="002C1234" w:rsidRDefault="00B21C93" w:rsidP="00B21C93">
      <w:pPr>
        <w:spacing w:after="120"/>
        <w:jc w:val="both"/>
        <w:rPr>
          <w:rFonts w:ascii="Arial" w:hAnsi="Arial" w:cs="Arial"/>
        </w:rPr>
      </w:pPr>
    </w:p>
    <w:tbl>
      <w:tblPr>
        <w:tblOverlap w:val="never"/>
        <w:tblW w:w="10993" w:type="dxa"/>
        <w:jc w:val="center"/>
        <w:tblLayout w:type="fixed"/>
        <w:tblCellMar>
          <w:left w:w="10" w:type="dxa"/>
          <w:right w:w="10" w:type="dxa"/>
        </w:tblCellMar>
        <w:tblLook w:val="04A0" w:firstRow="1" w:lastRow="0" w:firstColumn="1" w:lastColumn="0" w:noHBand="0" w:noVBand="1"/>
      </w:tblPr>
      <w:tblGrid>
        <w:gridCol w:w="1837"/>
        <w:gridCol w:w="1710"/>
        <w:gridCol w:w="1946"/>
        <w:gridCol w:w="2290"/>
        <w:gridCol w:w="1980"/>
        <w:gridCol w:w="1230"/>
      </w:tblGrid>
      <w:tr w:rsidR="00B21C93" w:rsidRPr="002C1234" w14:paraId="6A1B3967" w14:textId="77777777" w:rsidTr="00B21C93">
        <w:trPr>
          <w:trHeight w:hRule="exact" w:val="1157"/>
          <w:jc w:val="center"/>
        </w:trPr>
        <w:tc>
          <w:tcPr>
            <w:tcW w:w="1837" w:type="dxa"/>
            <w:tcBorders>
              <w:top w:val="single" w:sz="4" w:space="0" w:color="auto"/>
              <w:left w:val="single" w:sz="4" w:space="0" w:color="auto"/>
            </w:tcBorders>
            <w:shd w:val="clear" w:color="auto" w:fill="auto"/>
          </w:tcPr>
          <w:p w14:paraId="728F404A" w14:textId="77777777" w:rsidR="00B21C93" w:rsidRPr="002C1234" w:rsidRDefault="00B21C93" w:rsidP="00B21C93">
            <w:pPr>
              <w:pStyle w:val="Other0"/>
              <w:spacing w:before="280" w:after="0" w:line="226" w:lineRule="auto"/>
              <w:rPr>
                <w:rFonts w:ascii="Arial" w:hAnsi="Arial" w:cs="Arial"/>
              </w:rPr>
            </w:pPr>
            <w:r w:rsidRPr="002C1234">
              <w:rPr>
                <w:rFonts w:ascii="Arial" w:hAnsi="Arial" w:cs="Arial"/>
                <w:b/>
                <w:bCs/>
              </w:rPr>
              <w:lastRenderedPageBreak/>
              <w:t xml:space="preserve">Система Орган Клас </w:t>
            </w:r>
            <w:r w:rsidRPr="002C1234">
              <w:rPr>
                <w:rFonts w:ascii="Arial" w:hAnsi="Arial" w:cs="Arial"/>
                <w:b/>
                <w:bCs/>
                <w:lang w:bidi="en-US"/>
              </w:rPr>
              <w:t>(MedDRA)</w:t>
            </w:r>
          </w:p>
        </w:tc>
        <w:tc>
          <w:tcPr>
            <w:tcW w:w="1710" w:type="dxa"/>
            <w:tcBorders>
              <w:top w:val="single" w:sz="4" w:space="0" w:color="auto"/>
              <w:left w:val="single" w:sz="4" w:space="0" w:color="auto"/>
            </w:tcBorders>
            <w:shd w:val="clear" w:color="auto" w:fill="auto"/>
          </w:tcPr>
          <w:p w14:paraId="7CA25A74" w14:textId="77777777" w:rsidR="00B21C93" w:rsidRPr="002C1234" w:rsidRDefault="00B21C93" w:rsidP="00B21C93">
            <w:pPr>
              <w:pStyle w:val="Other0"/>
              <w:spacing w:before="280" w:after="0"/>
              <w:jc w:val="center"/>
              <w:rPr>
                <w:rFonts w:ascii="Arial" w:hAnsi="Arial" w:cs="Arial"/>
              </w:rPr>
            </w:pPr>
            <w:r w:rsidRPr="002C1234">
              <w:rPr>
                <w:rFonts w:ascii="Arial" w:hAnsi="Arial" w:cs="Arial"/>
                <w:b/>
                <w:bCs/>
              </w:rPr>
              <w:t>Чести</w:t>
            </w:r>
          </w:p>
        </w:tc>
        <w:tc>
          <w:tcPr>
            <w:tcW w:w="1946" w:type="dxa"/>
            <w:tcBorders>
              <w:top w:val="single" w:sz="4" w:space="0" w:color="auto"/>
              <w:left w:val="single" w:sz="4" w:space="0" w:color="auto"/>
            </w:tcBorders>
            <w:shd w:val="clear" w:color="auto" w:fill="auto"/>
          </w:tcPr>
          <w:p w14:paraId="7B7512D7" w14:textId="77777777" w:rsidR="00B21C93" w:rsidRPr="002C1234" w:rsidRDefault="00B21C93" w:rsidP="00B21C93">
            <w:pPr>
              <w:pStyle w:val="Other0"/>
              <w:spacing w:before="280" w:after="0"/>
              <w:ind w:firstLine="540"/>
              <w:rPr>
                <w:rFonts w:ascii="Arial" w:hAnsi="Arial" w:cs="Arial"/>
              </w:rPr>
            </w:pPr>
            <w:r w:rsidRPr="002C1234">
              <w:rPr>
                <w:rFonts w:ascii="Arial" w:hAnsi="Arial" w:cs="Arial"/>
                <w:b/>
                <w:bCs/>
              </w:rPr>
              <w:t>Нечести</w:t>
            </w:r>
          </w:p>
        </w:tc>
        <w:tc>
          <w:tcPr>
            <w:tcW w:w="2290" w:type="dxa"/>
            <w:tcBorders>
              <w:top w:val="single" w:sz="4" w:space="0" w:color="auto"/>
              <w:left w:val="single" w:sz="4" w:space="0" w:color="auto"/>
            </w:tcBorders>
            <w:shd w:val="clear" w:color="auto" w:fill="auto"/>
          </w:tcPr>
          <w:p w14:paraId="5560C84D" w14:textId="77777777" w:rsidR="00B21C93" w:rsidRPr="002C1234" w:rsidRDefault="00B21C93" w:rsidP="00B21C93">
            <w:pPr>
              <w:pStyle w:val="Other0"/>
              <w:spacing w:before="280" w:after="0"/>
              <w:ind w:firstLine="820"/>
              <w:rPr>
                <w:rFonts w:ascii="Arial" w:hAnsi="Arial" w:cs="Arial"/>
              </w:rPr>
            </w:pPr>
            <w:r w:rsidRPr="002C1234">
              <w:rPr>
                <w:rFonts w:ascii="Arial" w:hAnsi="Arial" w:cs="Arial"/>
                <w:b/>
                <w:bCs/>
              </w:rPr>
              <w:t>Редки</w:t>
            </w:r>
          </w:p>
        </w:tc>
        <w:tc>
          <w:tcPr>
            <w:tcW w:w="1980" w:type="dxa"/>
            <w:tcBorders>
              <w:top w:val="single" w:sz="4" w:space="0" w:color="auto"/>
              <w:left w:val="single" w:sz="4" w:space="0" w:color="auto"/>
            </w:tcBorders>
            <w:shd w:val="clear" w:color="auto" w:fill="auto"/>
          </w:tcPr>
          <w:p w14:paraId="7CF11819" w14:textId="77777777" w:rsidR="00B21C93" w:rsidRPr="002C1234" w:rsidRDefault="00B21C93" w:rsidP="00B21C93">
            <w:pPr>
              <w:pStyle w:val="Other0"/>
              <w:spacing w:before="260" w:after="0"/>
              <w:ind w:firstLine="320"/>
              <w:rPr>
                <w:rFonts w:ascii="Arial" w:hAnsi="Arial" w:cs="Arial"/>
              </w:rPr>
            </w:pPr>
            <w:r w:rsidRPr="002C1234">
              <w:rPr>
                <w:rFonts w:ascii="Arial" w:hAnsi="Arial" w:cs="Arial"/>
                <w:b/>
                <w:bCs/>
              </w:rPr>
              <w:t>Много редки</w:t>
            </w:r>
          </w:p>
        </w:tc>
        <w:tc>
          <w:tcPr>
            <w:tcW w:w="1230" w:type="dxa"/>
            <w:tcBorders>
              <w:top w:val="single" w:sz="4" w:space="0" w:color="auto"/>
              <w:left w:val="single" w:sz="4" w:space="0" w:color="auto"/>
              <w:right w:val="single" w:sz="4" w:space="0" w:color="auto"/>
            </w:tcBorders>
            <w:shd w:val="clear" w:color="auto" w:fill="auto"/>
          </w:tcPr>
          <w:p w14:paraId="48366706" w14:textId="77777777" w:rsidR="00B21C93" w:rsidRPr="002C1234" w:rsidRDefault="00B21C93" w:rsidP="00B21C93">
            <w:pPr>
              <w:pStyle w:val="Other0"/>
              <w:spacing w:after="0" w:line="233" w:lineRule="auto"/>
              <w:jc w:val="center"/>
              <w:rPr>
                <w:rFonts w:ascii="Arial" w:hAnsi="Arial" w:cs="Arial"/>
              </w:rPr>
            </w:pPr>
            <w:r w:rsidRPr="002C1234">
              <w:rPr>
                <w:rFonts w:ascii="Arial" w:hAnsi="Arial" w:cs="Arial"/>
                <w:b/>
                <w:bCs/>
              </w:rPr>
              <w:t>С неизвестна честота</w:t>
            </w:r>
          </w:p>
        </w:tc>
      </w:tr>
      <w:tr w:rsidR="00B21C93" w:rsidRPr="002C1234" w14:paraId="249C9E65" w14:textId="77777777" w:rsidTr="00B21C93">
        <w:trPr>
          <w:trHeight w:hRule="exact" w:val="3049"/>
          <w:jc w:val="center"/>
        </w:trPr>
        <w:tc>
          <w:tcPr>
            <w:tcW w:w="1837" w:type="dxa"/>
            <w:tcBorders>
              <w:top w:val="single" w:sz="4" w:space="0" w:color="auto"/>
              <w:left w:val="single" w:sz="4" w:space="0" w:color="auto"/>
            </w:tcBorders>
            <w:shd w:val="clear" w:color="auto" w:fill="auto"/>
          </w:tcPr>
          <w:p w14:paraId="317617A9" w14:textId="77777777" w:rsidR="00B21C93" w:rsidRPr="002C1234" w:rsidRDefault="00B21C93" w:rsidP="00B21C93">
            <w:pPr>
              <w:pStyle w:val="Other0"/>
              <w:spacing w:after="0" w:line="228" w:lineRule="auto"/>
              <w:rPr>
                <w:rFonts w:ascii="Arial" w:hAnsi="Arial" w:cs="Arial"/>
              </w:rPr>
            </w:pPr>
            <w:r w:rsidRPr="002C1234">
              <w:rPr>
                <w:rFonts w:ascii="Arial" w:hAnsi="Arial" w:cs="Arial"/>
                <w:b/>
                <w:bCs/>
              </w:rPr>
              <w:t>Нарушения на мускулно- скелетната система и съединителната тъкан*</w:t>
            </w:r>
          </w:p>
        </w:tc>
        <w:tc>
          <w:tcPr>
            <w:tcW w:w="1710" w:type="dxa"/>
            <w:tcBorders>
              <w:top w:val="single" w:sz="4" w:space="0" w:color="auto"/>
              <w:left w:val="single" w:sz="4" w:space="0" w:color="auto"/>
            </w:tcBorders>
            <w:shd w:val="clear" w:color="auto" w:fill="auto"/>
          </w:tcPr>
          <w:p w14:paraId="1A766FCF" w14:textId="77777777" w:rsidR="00B21C93" w:rsidRPr="002C1234" w:rsidRDefault="00B21C93" w:rsidP="00B21C93">
            <w:pPr>
              <w:rPr>
                <w:rFonts w:ascii="Arial" w:hAnsi="Arial" w:cs="Arial"/>
              </w:rPr>
            </w:pPr>
          </w:p>
        </w:tc>
        <w:tc>
          <w:tcPr>
            <w:tcW w:w="1946" w:type="dxa"/>
            <w:tcBorders>
              <w:top w:val="single" w:sz="4" w:space="0" w:color="auto"/>
              <w:left w:val="single" w:sz="4" w:space="0" w:color="auto"/>
            </w:tcBorders>
            <w:shd w:val="clear" w:color="auto" w:fill="auto"/>
          </w:tcPr>
          <w:p w14:paraId="4CAC21A1"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Артралгия Миалгия</w:t>
            </w:r>
          </w:p>
        </w:tc>
        <w:tc>
          <w:tcPr>
            <w:tcW w:w="2290" w:type="dxa"/>
            <w:tcBorders>
              <w:top w:val="single" w:sz="4" w:space="0" w:color="auto"/>
              <w:left w:val="single" w:sz="4" w:space="0" w:color="auto"/>
            </w:tcBorders>
            <w:shd w:val="clear" w:color="auto" w:fill="auto"/>
          </w:tcPr>
          <w:p w14:paraId="0292F7A2"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Тендинит (вж. точка 4.4)</w:t>
            </w:r>
          </w:p>
          <w:p w14:paraId="5B32A2AB"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Мускулни крампи</w:t>
            </w:r>
          </w:p>
          <w:p w14:paraId="40976964"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Мускулни спазми</w:t>
            </w:r>
          </w:p>
          <w:p w14:paraId="0BB3080F"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Мускулна слабост</w:t>
            </w:r>
          </w:p>
        </w:tc>
        <w:tc>
          <w:tcPr>
            <w:tcW w:w="1980" w:type="dxa"/>
            <w:tcBorders>
              <w:top w:val="single" w:sz="4" w:space="0" w:color="auto"/>
              <w:left w:val="single" w:sz="4" w:space="0" w:color="auto"/>
            </w:tcBorders>
            <w:shd w:val="clear" w:color="auto" w:fill="auto"/>
          </w:tcPr>
          <w:p w14:paraId="6E48DC0C" w14:textId="77777777" w:rsidR="00B21C93" w:rsidRPr="002C1234" w:rsidRDefault="00B21C93" w:rsidP="00B21C93">
            <w:pPr>
              <w:pStyle w:val="Other0"/>
              <w:spacing w:after="0" w:line="230" w:lineRule="auto"/>
              <w:rPr>
                <w:rFonts w:ascii="Arial" w:hAnsi="Arial" w:cs="Arial"/>
              </w:rPr>
            </w:pPr>
            <w:r w:rsidRPr="002C1234">
              <w:rPr>
                <w:rFonts w:ascii="Arial" w:hAnsi="Arial" w:cs="Arial"/>
              </w:rPr>
              <w:t>Разкъсване на сухожилие (вж. точка 4.4) Артрит Мускулна ригидност Обостряне симптоматиката на миастения гравис (вж. точка 4.4)</w:t>
            </w:r>
          </w:p>
        </w:tc>
        <w:tc>
          <w:tcPr>
            <w:tcW w:w="1230" w:type="dxa"/>
            <w:tcBorders>
              <w:top w:val="single" w:sz="4" w:space="0" w:color="auto"/>
              <w:left w:val="single" w:sz="4" w:space="0" w:color="auto"/>
              <w:right w:val="single" w:sz="4" w:space="0" w:color="auto"/>
            </w:tcBorders>
            <w:shd w:val="clear" w:color="auto" w:fill="auto"/>
          </w:tcPr>
          <w:p w14:paraId="7C2EA5D4"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Рабдомио- лиза</w:t>
            </w:r>
          </w:p>
        </w:tc>
      </w:tr>
      <w:tr w:rsidR="00B21C93" w:rsidRPr="002C1234" w14:paraId="08A53A7C" w14:textId="77777777" w:rsidTr="00B21C93">
        <w:trPr>
          <w:trHeight w:hRule="exact" w:val="1646"/>
          <w:jc w:val="center"/>
        </w:trPr>
        <w:tc>
          <w:tcPr>
            <w:tcW w:w="1837" w:type="dxa"/>
            <w:tcBorders>
              <w:top w:val="single" w:sz="4" w:space="0" w:color="auto"/>
              <w:left w:val="single" w:sz="4" w:space="0" w:color="auto"/>
            </w:tcBorders>
            <w:shd w:val="clear" w:color="auto" w:fill="auto"/>
          </w:tcPr>
          <w:p w14:paraId="27753D38" w14:textId="77777777" w:rsidR="00B21C93" w:rsidRPr="002C1234" w:rsidRDefault="00B21C93" w:rsidP="00B21C93">
            <w:pPr>
              <w:pStyle w:val="Other0"/>
              <w:spacing w:after="0" w:line="228" w:lineRule="auto"/>
              <w:rPr>
                <w:rFonts w:ascii="Arial" w:hAnsi="Arial" w:cs="Arial"/>
              </w:rPr>
            </w:pPr>
            <w:r w:rsidRPr="002C1234">
              <w:rPr>
                <w:rFonts w:ascii="Arial" w:hAnsi="Arial" w:cs="Arial"/>
                <w:b/>
                <w:bCs/>
              </w:rPr>
              <w:t>Нарушения на бъбреците и пикочните пътища</w:t>
            </w:r>
          </w:p>
        </w:tc>
        <w:tc>
          <w:tcPr>
            <w:tcW w:w="1710" w:type="dxa"/>
            <w:tcBorders>
              <w:top w:val="single" w:sz="4" w:space="0" w:color="auto"/>
              <w:left w:val="single" w:sz="4" w:space="0" w:color="auto"/>
            </w:tcBorders>
            <w:shd w:val="clear" w:color="auto" w:fill="auto"/>
          </w:tcPr>
          <w:p w14:paraId="57BA4D7B" w14:textId="77777777" w:rsidR="00B21C93" w:rsidRPr="002C1234" w:rsidRDefault="00B21C93" w:rsidP="00B21C93">
            <w:pPr>
              <w:rPr>
                <w:rFonts w:ascii="Arial" w:hAnsi="Arial" w:cs="Arial"/>
              </w:rPr>
            </w:pPr>
          </w:p>
        </w:tc>
        <w:tc>
          <w:tcPr>
            <w:tcW w:w="1946" w:type="dxa"/>
            <w:tcBorders>
              <w:top w:val="single" w:sz="4" w:space="0" w:color="auto"/>
              <w:left w:val="single" w:sz="4" w:space="0" w:color="auto"/>
            </w:tcBorders>
            <w:shd w:val="clear" w:color="auto" w:fill="auto"/>
          </w:tcPr>
          <w:p w14:paraId="213B541B" w14:textId="77777777" w:rsidR="00B21C93" w:rsidRPr="002C1234" w:rsidRDefault="00B21C93" w:rsidP="00B21C93">
            <w:pPr>
              <w:pStyle w:val="Other0"/>
              <w:spacing w:after="0"/>
              <w:rPr>
                <w:rFonts w:ascii="Arial" w:hAnsi="Arial" w:cs="Arial"/>
              </w:rPr>
            </w:pPr>
            <w:r w:rsidRPr="002C1234">
              <w:rPr>
                <w:rFonts w:ascii="Arial" w:hAnsi="Arial" w:cs="Arial"/>
              </w:rPr>
              <w:t>Дехидратация</w:t>
            </w:r>
          </w:p>
        </w:tc>
        <w:tc>
          <w:tcPr>
            <w:tcW w:w="2290" w:type="dxa"/>
            <w:tcBorders>
              <w:top w:val="single" w:sz="4" w:space="0" w:color="auto"/>
              <w:left w:val="single" w:sz="4" w:space="0" w:color="auto"/>
            </w:tcBorders>
            <w:shd w:val="clear" w:color="auto" w:fill="auto"/>
          </w:tcPr>
          <w:p w14:paraId="7C166346" w14:textId="77777777" w:rsidR="00B21C93" w:rsidRPr="002C1234" w:rsidRDefault="00B21C93" w:rsidP="00B21C93">
            <w:pPr>
              <w:pStyle w:val="Other0"/>
              <w:spacing w:after="0" w:line="226" w:lineRule="auto"/>
              <w:rPr>
                <w:rFonts w:ascii="Arial" w:hAnsi="Arial" w:cs="Arial"/>
              </w:rPr>
            </w:pPr>
            <w:r w:rsidRPr="002C1234">
              <w:rPr>
                <w:rFonts w:ascii="Arial" w:hAnsi="Arial" w:cs="Arial"/>
              </w:rPr>
              <w:t xml:space="preserve">Бъбречно увреждане (вкл. повишени </w:t>
            </w:r>
            <w:r w:rsidRPr="002C1234">
              <w:rPr>
                <w:rFonts w:ascii="Arial" w:hAnsi="Arial" w:cs="Arial"/>
                <w:lang w:bidi="en-US"/>
              </w:rPr>
              <w:t xml:space="preserve">BUN </w:t>
            </w:r>
            <w:r w:rsidRPr="002C1234">
              <w:rPr>
                <w:rFonts w:ascii="Arial" w:hAnsi="Arial" w:cs="Arial"/>
              </w:rPr>
              <w:t>и креатинин) Бъбречна недостатъчност (вж. точка 4.4)</w:t>
            </w:r>
          </w:p>
        </w:tc>
        <w:tc>
          <w:tcPr>
            <w:tcW w:w="1980" w:type="dxa"/>
            <w:tcBorders>
              <w:top w:val="single" w:sz="4" w:space="0" w:color="auto"/>
              <w:left w:val="single" w:sz="4" w:space="0" w:color="auto"/>
            </w:tcBorders>
            <w:shd w:val="clear" w:color="auto" w:fill="auto"/>
          </w:tcPr>
          <w:p w14:paraId="01EB81F9" w14:textId="77777777" w:rsidR="00B21C93" w:rsidRPr="002C1234" w:rsidRDefault="00B21C93" w:rsidP="00B21C93">
            <w:pPr>
              <w:rPr>
                <w:rFonts w:ascii="Arial" w:hAnsi="Arial" w:cs="Arial"/>
              </w:rPr>
            </w:pPr>
          </w:p>
        </w:tc>
        <w:tc>
          <w:tcPr>
            <w:tcW w:w="1230" w:type="dxa"/>
            <w:tcBorders>
              <w:top w:val="single" w:sz="4" w:space="0" w:color="auto"/>
              <w:left w:val="single" w:sz="4" w:space="0" w:color="auto"/>
              <w:right w:val="single" w:sz="4" w:space="0" w:color="auto"/>
            </w:tcBorders>
            <w:shd w:val="clear" w:color="auto" w:fill="auto"/>
          </w:tcPr>
          <w:p w14:paraId="42E5E594" w14:textId="77777777" w:rsidR="00B21C93" w:rsidRPr="002C1234" w:rsidRDefault="00B21C93" w:rsidP="00B21C93">
            <w:pPr>
              <w:rPr>
                <w:rFonts w:ascii="Arial" w:hAnsi="Arial" w:cs="Arial"/>
              </w:rPr>
            </w:pPr>
          </w:p>
        </w:tc>
      </w:tr>
      <w:tr w:rsidR="00B21C93" w:rsidRPr="002C1234" w14:paraId="1ADFF99F" w14:textId="77777777" w:rsidTr="00B21C93">
        <w:trPr>
          <w:trHeight w:hRule="exact" w:val="2792"/>
          <w:jc w:val="center"/>
        </w:trPr>
        <w:tc>
          <w:tcPr>
            <w:tcW w:w="1837" w:type="dxa"/>
            <w:tcBorders>
              <w:top w:val="single" w:sz="4" w:space="0" w:color="auto"/>
              <w:left w:val="single" w:sz="4" w:space="0" w:color="auto"/>
              <w:bottom w:val="single" w:sz="4" w:space="0" w:color="auto"/>
            </w:tcBorders>
            <w:shd w:val="clear" w:color="auto" w:fill="auto"/>
          </w:tcPr>
          <w:p w14:paraId="45C157C0" w14:textId="77777777" w:rsidR="00B21C93" w:rsidRPr="002C1234" w:rsidRDefault="00B21C93" w:rsidP="00B21C93">
            <w:pPr>
              <w:pStyle w:val="Other0"/>
              <w:spacing w:after="0" w:line="233" w:lineRule="auto"/>
              <w:rPr>
                <w:rFonts w:ascii="Arial" w:hAnsi="Arial" w:cs="Arial"/>
              </w:rPr>
            </w:pPr>
            <w:r w:rsidRPr="002C1234">
              <w:rPr>
                <w:rFonts w:ascii="Arial" w:hAnsi="Arial" w:cs="Arial"/>
                <w:b/>
                <w:bCs/>
              </w:rPr>
              <w:t>Общи нарушения и ефекти на мястото на приложение</w:t>
            </w:r>
          </w:p>
        </w:tc>
        <w:tc>
          <w:tcPr>
            <w:tcW w:w="1710" w:type="dxa"/>
            <w:tcBorders>
              <w:top w:val="single" w:sz="4" w:space="0" w:color="auto"/>
              <w:left w:val="single" w:sz="4" w:space="0" w:color="auto"/>
              <w:bottom w:val="single" w:sz="4" w:space="0" w:color="auto"/>
            </w:tcBorders>
            <w:shd w:val="clear" w:color="auto" w:fill="auto"/>
          </w:tcPr>
          <w:p w14:paraId="25503D23" w14:textId="77777777" w:rsidR="00B21C93" w:rsidRPr="002C1234" w:rsidRDefault="00B21C93" w:rsidP="00B21C93">
            <w:pPr>
              <w:rPr>
                <w:rFonts w:ascii="Arial" w:hAnsi="Arial" w:cs="Arial"/>
              </w:rPr>
            </w:pPr>
          </w:p>
        </w:tc>
        <w:tc>
          <w:tcPr>
            <w:tcW w:w="1946" w:type="dxa"/>
            <w:tcBorders>
              <w:top w:val="single" w:sz="4" w:space="0" w:color="auto"/>
              <w:left w:val="single" w:sz="4" w:space="0" w:color="auto"/>
              <w:bottom w:val="single" w:sz="4" w:space="0" w:color="auto"/>
            </w:tcBorders>
            <w:shd w:val="clear" w:color="auto" w:fill="auto"/>
          </w:tcPr>
          <w:p w14:paraId="12464022" w14:textId="77777777" w:rsidR="00B21C93" w:rsidRPr="002C1234" w:rsidRDefault="00B21C93" w:rsidP="00B21C93">
            <w:pPr>
              <w:pStyle w:val="Other0"/>
              <w:spacing w:after="0" w:line="233" w:lineRule="auto"/>
              <w:rPr>
                <w:rFonts w:ascii="Arial" w:hAnsi="Arial" w:cs="Arial"/>
              </w:rPr>
            </w:pPr>
            <w:r w:rsidRPr="002C1234">
              <w:rPr>
                <w:rFonts w:ascii="Arial" w:hAnsi="Arial" w:cs="Arial"/>
              </w:rPr>
              <w:t>Общо неразположение (предимно астения или умора) Болезнени състояния (вкл. болка в гърба, гърдите, таза и крайниците) Изпотяване</w:t>
            </w:r>
          </w:p>
        </w:tc>
        <w:tc>
          <w:tcPr>
            <w:tcW w:w="2290" w:type="dxa"/>
            <w:tcBorders>
              <w:top w:val="single" w:sz="4" w:space="0" w:color="auto"/>
              <w:left w:val="single" w:sz="4" w:space="0" w:color="auto"/>
              <w:bottom w:val="single" w:sz="4" w:space="0" w:color="auto"/>
            </w:tcBorders>
            <w:shd w:val="clear" w:color="auto" w:fill="auto"/>
          </w:tcPr>
          <w:p w14:paraId="2C1718B7" w14:textId="77777777" w:rsidR="00B21C93" w:rsidRPr="002C1234" w:rsidRDefault="00B21C93" w:rsidP="00B21C93">
            <w:pPr>
              <w:pStyle w:val="Other0"/>
              <w:spacing w:after="0"/>
              <w:rPr>
                <w:rFonts w:ascii="Arial" w:hAnsi="Arial" w:cs="Arial"/>
              </w:rPr>
            </w:pPr>
            <w:r w:rsidRPr="002C1234">
              <w:rPr>
                <w:rFonts w:ascii="Arial" w:hAnsi="Arial" w:cs="Arial"/>
              </w:rPr>
              <w:t>Оток</w:t>
            </w:r>
          </w:p>
        </w:tc>
        <w:tc>
          <w:tcPr>
            <w:tcW w:w="1980" w:type="dxa"/>
            <w:tcBorders>
              <w:top w:val="single" w:sz="4" w:space="0" w:color="auto"/>
              <w:left w:val="single" w:sz="4" w:space="0" w:color="auto"/>
              <w:bottom w:val="single" w:sz="4" w:space="0" w:color="auto"/>
            </w:tcBorders>
            <w:shd w:val="clear" w:color="auto" w:fill="auto"/>
          </w:tcPr>
          <w:p w14:paraId="0D1BFF72" w14:textId="77777777" w:rsidR="00B21C93" w:rsidRPr="002C1234" w:rsidRDefault="00B21C93" w:rsidP="00B21C93">
            <w:pPr>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6237F86" w14:textId="77777777" w:rsidR="00B21C93" w:rsidRPr="002C1234" w:rsidRDefault="00B21C93" w:rsidP="00B21C93">
            <w:pPr>
              <w:rPr>
                <w:rFonts w:ascii="Arial" w:hAnsi="Arial" w:cs="Arial"/>
              </w:rPr>
            </w:pPr>
          </w:p>
        </w:tc>
      </w:tr>
    </w:tbl>
    <w:p w14:paraId="1D77F63F" w14:textId="77777777" w:rsidR="00B21C93" w:rsidRPr="00941F31" w:rsidRDefault="00B21C93" w:rsidP="00B21C93">
      <w:pPr>
        <w:spacing w:after="120"/>
        <w:jc w:val="both"/>
        <w:rPr>
          <w:rFonts w:ascii="Arial" w:hAnsi="Arial" w:cs="Arial"/>
          <w:sz w:val="28"/>
          <w:szCs w:val="28"/>
        </w:rPr>
      </w:pPr>
    </w:p>
    <w:p w14:paraId="1E2E8C2E" w14:textId="77777777" w:rsidR="00B21C93" w:rsidRPr="002C1234" w:rsidRDefault="00B21C93" w:rsidP="00B21C93">
      <w:pPr>
        <w:pStyle w:val="BodyText"/>
        <w:jc w:val="both"/>
        <w:rPr>
          <w:rFonts w:cs="Arial"/>
        </w:rPr>
      </w:pPr>
      <w:r w:rsidRPr="002C1234">
        <w:rPr>
          <w:rFonts w:cs="Arial"/>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системо-органни класове и сетива (включително реакции като тендинит, разкъсване на сухожилие, артралгия, болка в крайниците, нарушение на походката, невропатии,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7AC48A83" w14:textId="77777777" w:rsidR="00B21C93" w:rsidRPr="002C1234" w:rsidRDefault="00B21C93" w:rsidP="00B21C93">
      <w:pPr>
        <w:pStyle w:val="BodyText"/>
        <w:rPr>
          <w:rFonts w:cs="Arial"/>
        </w:rPr>
      </w:pPr>
      <w:r w:rsidRPr="002C1234">
        <w:rPr>
          <w:rFonts w:cs="Arial"/>
        </w:rPr>
        <w:t>Много рядко се съобщава за следните нежелани реакции след лечение с други флуорохинолони, които е възможно да се появят и при лечение с моксифлоксацин: повишено вътречерепно налягане (включително псевдотумор церебри), хипернатриемия, хиперкалциемия, хемолитична анемия, реакции на фотосенсибилизация (вж. точка 4.4).</w:t>
      </w:r>
    </w:p>
    <w:p w14:paraId="6102C092" w14:textId="77777777" w:rsidR="00B21C93" w:rsidRPr="002C1234" w:rsidRDefault="00B21C93" w:rsidP="00B21C93">
      <w:pPr>
        <w:pStyle w:val="BodyText"/>
        <w:rPr>
          <w:rFonts w:cs="Arial"/>
        </w:rPr>
      </w:pPr>
      <w:r w:rsidRPr="002C1234">
        <w:rPr>
          <w:rFonts w:cs="Arial"/>
          <w:u w:val="single"/>
        </w:rPr>
        <w:t>Съобщаване на подозирани нежелани реакции</w:t>
      </w:r>
    </w:p>
    <w:p w14:paraId="41A279FB" w14:textId="77777777" w:rsidR="00B21C93" w:rsidRPr="002C1234" w:rsidRDefault="00B21C93" w:rsidP="00B21C93">
      <w:pPr>
        <w:pStyle w:val="BodyText"/>
        <w:tabs>
          <w:tab w:val="left" w:pos="8593"/>
          <w:tab w:val="left" w:leader="underscore" w:pos="8842"/>
        </w:tabs>
        <w:rPr>
          <w:rFonts w:cs="Arial"/>
        </w:rPr>
      </w:pPr>
      <w:r w:rsidRPr="002C1234">
        <w:rPr>
          <w:rFonts w:cs="Arial"/>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w:t>
      </w:r>
      <w:r w:rsidRPr="002C1234">
        <w:rPr>
          <w:rFonts w:cs="Arial"/>
        </w:rPr>
        <w:lastRenderedPageBreak/>
        <w:t>изисква да съобщават всяка подозирана нежелана реакция чрез Изпълнителната агенция по лекарствата</w:t>
      </w:r>
    </w:p>
    <w:p w14:paraId="112E5CF7" w14:textId="77777777" w:rsidR="00B21C93" w:rsidRPr="002C1234" w:rsidRDefault="00B21C93" w:rsidP="00B21C93">
      <w:pPr>
        <w:pStyle w:val="BodyText"/>
        <w:tabs>
          <w:tab w:val="left" w:pos="8593"/>
        </w:tabs>
        <w:rPr>
          <w:rFonts w:cs="Arial"/>
        </w:rPr>
      </w:pPr>
      <w:r w:rsidRPr="002C1234">
        <w:rPr>
          <w:rFonts w:cs="Arial"/>
        </w:rPr>
        <w:t>ул. „Дамян Груев” № 8</w:t>
      </w:r>
    </w:p>
    <w:p w14:paraId="3AB12DD9" w14:textId="77777777" w:rsidR="00B21C93" w:rsidRPr="002C1234" w:rsidRDefault="00B21C93" w:rsidP="00B21C93">
      <w:pPr>
        <w:pStyle w:val="BodyText"/>
        <w:jc w:val="both"/>
        <w:rPr>
          <w:rFonts w:cs="Arial"/>
        </w:rPr>
      </w:pPr>
      <w:r w:rsidRPr="002C1234">
        <w:rPr>
          <w:rFonts w:cs="Arial"/>
        </w:rPr>
        <w:t>1303 София</w:t>
      </w:r>
    </w:p>
    <w:p w14:paraId="3A38A790" w14:textId="77777777" w:rsidR="00B21C93" w:rsidRPr="002C1234" w:rsidRDefault="00B21C93" w:rsidP="00B21C93">
      <w:pPr>
        <w:pStyle w:val="Tableofcontents0"/>
        <w:tabs>
          <w:tab w:val="left" w:pos="7372"/>
        </w:tabs>
        <w:spacing w:after="0"/>
        <w:rPr>
          <w:rFonts w:ascii="Arial" w:hAnsi="Arial" w:cs="Arial"/>
        </w:rPr>
      </w:pPr>
      <w:r w:rsidRPr="002C1234">
        <w:rPr>
          <w:rFonts w:ascii="Arial" w:hAnsi="Arial" w:cs="Arial"/>
        </w:rPr>
        <w:t>Тел.: +35 928903417</w:t>
      </w:r>
    </w:p>
    <w:p w14:paraId="2A810EF7" w14:textId="77777777" w:rsidR="00B21C93" w:rsidRPr="00941F31" w:rsidRDefault="00B21C93" w:rsidP="00B21C93">
      <w:pPr>
        <w:pStyle w:val="Tableofcontents0"/>
        <w:tabs>
          <w:tab w:val="left" w:pos="7372"/>
        </w:tabs>
        <w:spacing w:after="100"/>
        <w:rPr>
          <w:rFonts w:ascii="Arial" w:hAnsi="Arial" w:cs="Arial"/>
          <w:sz w:val="24"/>
          <w:szCs w:val="24"/>
        </w:rPr>
      </w:pPr>
      <w:r w:rsidRPr="002C1234">
        <w:rPr>
          <w:rFonts w:ascii="Arial" w:hAnsi="Arial" w:cs="Arial"/>
        </w:rPr>
        <w:t xml:space="preserve">уебсайт: </w:t>
      </w:r>
      <w:hyperlink r:id="rId7" w:history="1">
        <w:r w:rsidRPr="002C1234">
          <w:rPr>
            <w:rFonts w:ascii="Arial" w:hAnsi="Arial" w:cs="Arial"/>
            <w:lang w:bidi="en-US"/>
          </w:rPr>
          <w:t>www.bda.bg</w:t>
        </w:r>
      </w:hyperlink>
    </w:p>
    <w:p w14:paraId="3427D06E" w14:textId="77777777" w:rsidR="00B21C93" w:rsidRPr="00941F31" w:rsidRDefault="00B21C93" w:rsidP="00B21C93">
      <w:pPr>
        <w:spacing w:after="120"/>
        <w:jc w:val="both"/>
        <w:rPr>
          <w:rFonts w:ascii="Arial" w:hAnsi="Arial" w:cs="Arial"/>
          <w:sz w:val="28"/>
          <w:szCs w:val="28"/>
        </w:rPr>
      </w:pPr>
    </w:p>
    <w:p w14:paraId="7673D65D" w14:textId="77777777" w:rsidR="00B21C93" w:rsidRPr="00941F31" w:rsidRDefault="00B21C93" w:rsidP="00B21C93">
      <w:pPr>
        <w:pStyle w:val="Heading2"/>
      </w:pPr>
      <w:r w:rsidRPr="00941F31">
        <w:t>4.9 Предозиране</w:t>
      </w:r>
    </w:p>
    <w:p w14:paraId="54F395C9" w14:textId="77777777" w:rsidR="00B21C93" w:rsidRPr="002C1234" w:rsidRDefault="00B21C93" w:rsidP="00B21C93">
      <w:pPr>
        <w:pStyle w:val="BodyText"/>
        <w:spacing w:after="500" w:line="252" w:lineRule="auto"/>
        <w:rPr>
          <w:rFonts w:cs="Arial"/>
        </w:rPr>
      </w:pPr>
      <w:r w:rsidRPr="002C1234">
        <w:rPr>
          <w:rFonts w:cs="Arial"/>
        </w:rPr>
        <w:t xml:space="preserve">Няма специфични предпазни мерки, които да се препоръчат след случайно предозиране. В случай на предозиране, следва да се осъществи симптоматично лечение. Трябва да се наблюдава ЕКГ, поради възможността от удължаване на </w:t>
      </w:r>
      <w:r w:rsidRPr="002C1234">
        <w:rPr>
          <w:rFonts w:cs="Arial"/>
          <w:lang w:bidi="en-US"/>
        </w:rPr>
        <w:t xml:space="preserve">QT </w:t>
      </w:r>
      <w:r w:rsidRPr="002C1234">
        <w:rPr>
          <w:rFonts w:cs="Arial"/>
        </w:rPr>
        <w:t xml:space="preserve">интервала. Едновременно приложение на активен въглен с доза 400 </w:t>
      </w:r>
      <w:r w:rsidRPr="002C1234">
        <w:rPr>
          <w:rFonts w:cs="Arial"/>
          <w:lang w:bidi="en-US"/>
        </w:rPr>
        <w:t xml:space="preserve">mg </w:t>
      </w:r>
      <w:r w:rsidRPr="002C1234">
        <w:rPr>
          <w:rFonts w:cs="Arial"/>
        </w:rPr>
        <w:t>перорален моксифлоксацин ще редуцира системната наличност на лекарството с повече от 80%. Използването на активен въглен рано по време на абсорбцията може да е полезно за предпазване от прекомерно повишаване системната експозиция на моксифлоксацин в случаи на перорално предозиране.</w:t>
      </w:r>
    </w:p>
    <w:p w14:paraId="1FC61E5B" w14:textId="77777777" w:rsidR="00B21C93" w:rsidRPr="00941F31" w:rsidRDefault="00B21C93" w:rsidP="00B21C93">
      <w:pPr>
        <w:pStyle w:val="Heading1"/>
      </w:pPr>
      <w:r w:rsidRPr="00941F31">
        <w:t>5. Фармакологични свойства</w:t>
      </w:r>
    </w:p>
    <w:p w14:paraId="0E8756D6" w14:textId="77777777" w:rsidR="00B21C93" w:rsidRPr="00941F31" w:rsidRDefault="00B21C93" w:rsidP="00B21C93">
      <w:pPr>
        <w:pStyle w:val="Heading2"/>
      </w:pPr>
      <w:r w:rsidRPr="00941F31">
        <w:t>5.1 Фармакодинамични свойства</w:t>
      </w:r>
    </w:p>
    <w:p w14:paraId="791B180B" w14:textId="77777777" w:rsidR="00B21C93" w:rsidRPr="002C1234" w:rsidRDefault="00B21C93" w:rsidP="00B21C93">
      <w:pPr>
        <w:pStyle w:val="BodyText"/>
        <w:spacing w:line="252" w:lineRule="auto"/>
        <w:jc w:val="both"/>
        <w:rPr>
          <w:rFonts w:cs="Arial"/>
        </w:rPr>
      </w:pPr>
      <w:r w:rsidRPr="002C1234">
        <w:rPr>
          <w:rFonts w:cs="Arial"/>
        </w:rPr>
        <w:t xml:space="preserve">Фармакотерапевтична група: хинолонови антибактериални средства, флуорохинолони, АТС код: </w:t>
      </w:r>
      <w:r w:rsidRPr="002C1234">
        <w:rPr>
          <w:rFonts w:cs="Arial"/>
          <w:lang w:bidi="en-US"/>
        </w:rPr>
        <w:t xml:space="preserve">J01 </w:t>
      </w:r>
      <w:r w:rsidRPr="002C1234">
        <w:rPr>
          <w:rFonts w:cs="Arial"/>
        </w:rPr>
        <w:t>МА 14.</w:t>
      </w:r>
    </w:p>
    <w:p w14:paraId="1F766911" w14:textId="77777777" w:rsidR="00B21C93" w:rsidRPr="00303303" w:rsidRDefault="00B21C93" w:rsidP="00303303">
      <w:pPr>
        <w:pStyle w:val="Heading3"/>
        <w:rPr>
          <w:u w:val="single"/>
        </w:rPr>
      </w:pPr>
      <w:r w:rsidRPr="00303303">
        <w:rPr>
          <w:u w:val="single"/>
        </w:rPr>
        <w:t>Механизъм на действие</w:t>
      </w:r>
    </w:p>
    <w:p w14:paraId="1CA96973" w14:textId="77777777" w:rsidR="00B21C93" w:rsidRPr="002C1234" w:rsidRDefault="00B21C93" w:rsidP="00B21C93">
      <w:pPr>
        <w:pStyle w:val="BodyText"/>
        <w:jc w:val="both"/>
        <w:rPr>
          <w:rFonts w:cs="Arial"/>
        </w:rPr>
      </w:pPr>
      <w:r w:rsidRPr="002C1234">
        <w:rPr>
          <w:rFonts w:cs="Arial"/>
        </w:rPr>
        <w:t xml:space="preserve">Моксифлоксацин притежава активност </w:t>
      </w:r>
      <w:r w:rsidRPr="002C1234">
        <w:rPr>
          <w:rFonts w:cs="Arial"/>
          <w:i/>
          <w:iCs/>
          <w:lang w:bidi="en-US"/>
        </w:rPr>
        <w:t>in vitro</w:t>
      </w:r>
      <w:r w:rsidRPr="002C1234">
        <w:rPr>
          <w:rFonts w:cs="Arial"/>
          <w:lang w:bidi="en-US"/>
        </w:rPr>
        <w:t xml:space="preserve"> </w:t>
      </w:r>
      <w:r w:rsidRPr="002C1234">
        <w:rPr>
          <w:rFonts w:cs="Arial"/>
        </w:rPr>
        <w:t>срещу голям брой Грам-положителни и Грам- отрицателни патогени.</w:t>
      </w:r>
    </w:p>
    <w:p w14:paraId="2A3F2411" w14:textId="77777777" w:rsidR="00B21C93" w:rsidRPr="002C1234" w:rsidRDefault="00B21C93" w:rsidP="00B21C93">
      <w:pPr>
        <w:pStyle w:val="BodyText"/>
        <w:rPr>
          <w:rFonts w:cs="Arial"/>
        </w:rPr>
      </w:pPr>
      <w:r w:rsidRPr="002C1234">
        <w:rPr>
          <w:rFonts w:cs="Arial"/>
        </w:rPr>
        <w:t xml:space="preserve">Бактерицидното действие на моксифлоксацин е резултат от инхибиране на двете тип II топоизомерази (ДНК гираза и топоизомераза IV), необходими за бактериалната репликация, транскрипция и репарация. Изглежда, че С8-метокси групата допринася за повишената активност и по-нисък подбор на резистентни мутанти на Грам-положителните бактерии, в сравнение с С8-Н групата. Наличието на голям бициклоаминен заместител на С-7 позиция предпазва от ефективен ефлукс, свързано с </w:t>
      </w:r>
      <w:r w:rsidRPr="002C1234">
        <w:rPr>
          <w:rFonts w:cs="Arial"/>
          <w:i/>
          <w:iCs/>
          <w:lang w:bidi="en-US"/>
        </w:rPr>
        <w:t xml:space="preserve">nor </w:t>
      </w:r>
      <w:r w:rsidRPr="002C1234">
        <w:rPr>
          <w:rFonts w:cs="Arial"/>
          <w:i/>
          <w:iCs/>
        </w:rPr>
        <w:t>А</w:t>
      </w:r>
      <w:r w:rsidRPr="002C1234">
        <w:rPr>
          <w:rFonts w:cs="Arial"/>
        </w:rPr>
        <w:t xml:space="preserve"> или </w:t>
      </w:r>
      <w:r w:rsidRPr="002C1234">
        <w:rPr>
          <w:rFonts w:cs="Arial"/>
          <w:i/>
          <w:iCs/>
        </w:rPr>
        <w:t>рт</w:t>
      </w:r>
      <w:r w:rsidRPr="002C1234">
        <w:rPr>
          <w:rFonts w:cs="Arial"/>
          <w:i/>
          <w:iCs/>
          <w:lang w:bidi="en-US"/>
        </w:rPr>
        <w:t>rA</w:t>
      </w:r>
      <w:r w:rsidRPr="002C1234">
        <w:rPr>
          <w:rFonts w:cs="Arial"/>
        </w:rPr>
        <w:t xml:space="preserve"> гени, наблюдавано при определени Грам-положителни бактерии.</w:t>
      </w:r>
    </w:p>
    <w:p w14:paraId="535757FF" w14:textId="77777777" w:rsidR="00B21C93" w:rsidRPr="002C1234" w:rsidRDefault="00B21C93" w:rsidP="00B21C93">
      <w:pPr>
        <w:pStyle w:val="BodyText"/>
        <w:rPr>
          <w:rFonts w:cs="Arial"/>
        </w:rPr>
      </w:pPr>
      <w:r w:rsidRPr="002C1234">
        <w:rPr>
          <w:rFonts w:cs="Arial"/>
        </w:rPr>
        <w:t xml:space="preserve">Фармакодинамични проучвания показват, че моксифлоксацин притежава бактерициден ефект, зависим от концентрацията. Минималните бактерицидни концентрации (МВС) са подобни на минималните инхибиторни концентрации </w:t>
      </w:r>
      <w:r w:rsidRPr="002C1234">
        <w:rPr>
          <w:rFonts w:cs="Arial"/>
          <w:lang w:bidi="en-US"/>
        </w:rPr>
        <w:t>(MIC).</w:t>
      </w:r>
    </w:p>
    <w:p w14:paraId="58D7B7D6" w14:textId="77777777" w:rsidR="00B21C93" w:rsidRPr="00303303" w:rsidRDefault="00B21C93" w:rsidP="00303303">
      <w:pPr>
        <w:pStyle w:val="Heading3"/>
        <w:rPr>
          <w:u w:val="single"/>
        </w:rPr>
      </w:pPr>
      <w:r w:rsidRPr="00303303">
        <w:rPr>
          <w:u w:val="single"/>
        </w:rPr>
        <w:t>Влияние върху чревната флора при хора</w:t>
      </w:r>
    </w:p>
    <w:p w14:paraId="66B483A7" w14:textId="77777777" w:rsidR="00B21C93" w:rsidRPr="002C1234" w:rsidRDefault="00B21C93" w:rsidP="00B21C93">
      <w:pPr>
        <w:pStyle w:val="BodyText"/>
        <w:spacing w:line="254" w:lineRule="auto"/>
        <w:rPr>
          <w:rFonts w:cs="Arial"/>
        </w:rPr>
      </w:pPr>
      <w:r w:rsidRPr="002C1234">
        <w:rPr>
          <w:rFonts w:cs="Arial"/>
        </w:rPr>
        <w:t xml:space="preserve">След приложение на моксифлоксацин при доброволци са наблюдавани следните промени в чревната флора: </w:t>
      </w:r>
      <w:r w:rsidRPr="002C1234">
        <w:rPr>
          <w:rFonts w:cs="Arial"/>
          <w:i/>
          <w:iCs/>
          <w:lang w:bidi="en-US"/>
        </w:rPr>
        <w:t>Escherichia coli, Bacillus spp., Enterococcus</w:t>
      </w:r>
      <w:r w:rsidRPr="002C1234">
        <w:rPr>
          <w:rFonts w:cs="Arial"/>
          <w:lang w:bidi="en-US"/>
        </w:rPr>
        <w:t xml:space="preserve"> spp., </w:t>
      </w:r>
      <w:r w:rsidRPr="002C1234">
        <w:rPr>
          <w:rFonts w:cs="Arial"/>
        </w:rPr>
        <w:t xml:space="preserve">и </w:t>
      </w:r>
      <w:r w:rsidRPr="002C1234">
        <w:rPr>
          <w:rFonts w:cs="Arial"/>
          <w:i/>
          <w:iCs/>
          <w:lang w:bidi="en-US"/>
        </w:rPr>
        <w:t>Klebsiella</w:t>
      </w:r>
      <w:r w:rsidRPr="002C1234">
        <w:rPr>
          <w:rFonts w:cs="Arial"/>
          <w:lang w:bidi="en-US"/>
        </w:rPr>
        <w:t xml:space="preserve"> spp. </w:t>
      </w:r>
      <w:r w:rsidRPr="002C1234">
        <w:rPr>
          <w:rFonts w:cs="Arial"/>
        </w:rPr>
        <w:t xml:space="preserve">са редуцирани, както и анаеробите </w:t>
      </w:r>
      <w:r w:rsidRPr="002C1234">
        <w:rPr>
          <w:rFonts w:cs="Arial"/>
          <w:i/>
          <w:iCs/>
          <w:lang w:bidi="en-US"/>
        </w:rPr>
        <w:t>Bacteroides vulgatus, Bifidobacterium</w:t>
      </w:r>
      <w:r w:rsidRPr="002C1234">
        <w:rPr>
          <w:rFonts w:cs="Arial"/>
          <w:lang w:bidi="en-US"/>
        </w:rPr>
        <w:t xml:space="preserve"> spp., </w:t>
      </w:r>
      <w:r w:rsidRPr="002C1234">
        <w:rPr>
          <w:rFonts w:cs="Arial"/>
          <w:i/>
          <w:iCs/>
          <w:lang w:bidi="en-US"/>
        </w:rPr>
        <w:t>Eubacterium</w:t>
      </w:r>
      <w:r w:rsidRPr="002C1234">
        <w:rPr>
          <w:rFonts w:cs="Arial"/>
          <w:lang w:bidi="en-US"/>
        </w:rPr>
        <w:t xml:space="preserve"> spp. </w:t>
      </w:r>
      <w:r w:rsidRPr="002C1234">
        <w:rPr>
          <w:rFonts w:cs="Arial"/>
        </w:rPr>
        <w:t>и</w:t>
      </w:r>
    </w:p>
    <w:p w14:paraId="362B81A0" w14:textId="77777777" w:rsidR="00B21C93" w:rsidRPr="002C1234" w:rsidRDefault="00B21C93" w:rsidP="00B21C93">
      <w:pPr>
        <w:pStyle w:val="BodyText"/>
        <w:spacing w:line="254" w:lineRule="auto"/>
        <w:rPr>
          <w:rFonts w:cs="Arial"/>
        </w:rPr>
      </w:pPr>
      <w:r w:rsidRPr="002C1234">
        <w:rPr>
          <w:rFonts w:cs="Arial"/>
          <w:i/>
          <w:iCs/>
          <w:lang w:bidi="en-US"/>
        </w:rPr>
        <w:t>Peptostreptococcus</w:t>
      </w:r>
      <w:r w:rsidRPr="002C1234">
        <w:rPr>
          <w:rFonts w:cs="Arial"/>
          <w:lang w:bidi="en-US"/>
        </w:rPr>
        <w:t xml:space="preserve"> spp. </w:t>
      </w:r>
      <w:r w:rsidRPr="002C1234">
        <w:rPr>
          <w:rFonts w:cs="Arial"/>
          <w:i/>
          <w:iCs/>
          <w:lang w:bidi="en-US"/>
        </w:rPr>
        <w:t>Bacteroides fragilis</w:t>
      </w:r>
      <w:r w:rsidRPr="002C1234">
        <w:rPr>
          <w:rFonts w:cs="Arial"/>
          <w:lang w:bidi="en-US"/>
        </w:rPr>
        <w:t xml:space="preserve"> </w:t>
      </w:r>
      <w:r w:rsidRPr="002C1234">
        <w:rPr>
          <w:rFonts w:cs="Arial"/>
        </w:rPr>
        <w:t>е повишил броя си. Тези промени се възстановяват в нормалните стойности до две седмици.</w:t>
      </w:r>
    </w:p>
    <w:p w14:paraId="3E189671" w14:textId="77777777" w:rsidR="00B21C93" w:rsidRPr="00303303" w:rsidRDefault="00B21C93" w:rsidP="00303303">
      <w:pPr>
        <w:pStyle w:val="Heading3"/>
        <w:rPr>
          <w:u w:val="single"/>
        </w:rPr>
      </w:pPr>
      <w:r w:rsidRPr="00303303">
        <w:rPr>
          <w:u w:val="single"/>
        </w:rPr>
        <w:t>Механизъм на резистентност</w:t>
      </w:r>
    </w:p>
    <w:p w14:paraId="5050332F" w14:textId="77777777" w:rsidR="00B21C93" w:rsidRPr="002C1234" w:rsidRDefault="00B21C93" w:rsidP="00B21C93">
      <w:pPr>
        <w:pStyle w:val="BodyText"/>
        <w:rPr>
          <w:rFonts w:cs="Arial"/>
        </w:rPr>
      </w:pPr>
      <w:r w:rsidRPr="002C1234">
        <w:rPr>
          <w:rFonts w:cs="Arial"/>
        </w:rPr>
        <w:t xml:space="preserve">Механизмите на резистентност, които инактивират пеницилини, цефалоспорини, аминогликозиди, макролиди и тетрациклини не взаимодействат с антибактериалната </w:t>
      </w:r>
      <w:r w:rsidRPr="002C1234">
        <w:rPr>
          <w:rFonts w:cs="Arial"/>
        </w:rPr>
        <w:lastRenderedPageBreak/>
        <w:t xml:space="preserve">активност на моксифлоксацин. Други механизми на резистентност, като защитни бариери (общи при </w:t>
      </w:r>
      <w:r w:rsidRPr="002C1234">
        <w:rPr>
          <w:rFonts w:cs="Arial"/>
          <w:i/>
          <w:iCs/>
          <w:lang w:bidi="en-US"/>
        </w:rPr>
        <w:t>Pseudomonas aeruginosa)</w:t>
      </w:r>
      <w:r w:rsidRPr="002C1234">
        <w:rPr>
          <w:rFonts w:cs="Arial"/>
          <w:lang w:bidi="en-US"/>
        </w:rPr>
        <w:t xml:space="preserve"> </w:t>
      </w:r>
      <w:r w:rsidRPr="002C1234">
        <w:rPr>
          <w:rFonts w:cs="Arial"/>
        </w:rPr>
        <w:t>и механизмите на излизане могат да повлияят чувсвителността към моксифлоксацин.</w:t>
      </w:r>
    </w:p>
    <w:p w14:paraId="2FC86C84" w14:textId="77777777" w:rsidR="00B21C93" w:rsidRPr="002C1234" w:rsidRDefault="00B21C93" w:rsidP="00B21C93">
      <w:pPr>
        <w:pStyle w:val="BodyText"/>
        <w:tabs>
          <w:tab w:val="left" w:pos="8744"/>
          <w:tab w:val="left" w:leader="hyphen" w:pos="9101"/>
        </w:tabs>
        <w:rPr>
          <w:rFonts w:cs="Arial"/>
        </w:rPr>
      </w:pPr>
      <w:r w:rsidRPr="002C1234">
        <w:rPr>
          <w:rFonts w:cs="Arial"/>
          <w:i/>
          <w:iCs/>
          <w:lang w:bidi="en-US"/>
        </w:rPr>
        <w:t>In vitro</w:t>
      </w:r>
      <w:r w:rsidRPr="002C1234">
        <w:rPr>
          <w:rFonts w:cs="Arial"/>
          <w:lang w:bidi="en-US"/>
        </w:rPr>
        <w:t xml:space="preserve"> </w:t>
      </w:r>
      <w:r w:rsidRPr="002C1234">
        <w:rPr>
          <w:rFonts w:cs="Arial"/>
        </w:rPr>
        <w:t>резистентност към моксифлаксацин се развива постепенно чрез точкови мутации в двете тип II топоизомерази, ДНК гираза и топоизомераза IV. Моксифлоксацин е субстрат, който трудно преминава чрез механизмите за активно излизане при Грам-положителните микроорганизми.</w:t>
      </w:r>
    </w:p>
    <w:p w14:paraId="36F7C0A5" w14:textId="77777777" w:rsidR="00B21C93" w:rsidRPr="002C1234" w:rsidRDefault="00B21C93" w:rsidP="00B21C93">
      <w:pPr>
        <w:pStyle w:val="BodyText"/>
        <w:tabs>
          <w:tab w:val="left" w:pos="7654"/>
        </w:tabs>
        <w:rPr>
          <w:rFonts w:cs="Arial"/>
        </w:rPr>
      </w:pPr>
      <w:r w:rsidRPr="002C1234">
        <w:rPr>
          <w:rFonts w:cs="Arial"/>
        </w:rPr>
        <w:t>Кръстосана резистентност е наблюдавана с други флуорохинолони. Обаче,</w:t>
      </w:r>
      <w:r w:rsidRPr="002C1234">
        <w:rPr>
          <w:rFonts w:cs="Arial"/>
          <w:lang w:bidi="en-US"/>
        </w:rPr>
        <w:t xml:space="preserve"> </w:t>
      </w:r>
      <w:r w:rsidRPr="002C1234">
        <w:rPr>
          <w:rFonts w:cs="Arial"/>
        </w:rPr>
        <w:t>тъй като  моксифлоксацин инхибира двете топоизомерази II и IV с подобна активност при Грам- положителните бактерии, тези бактерии могат да са резистентни към други хинолони, но чувствителни към моксифлоксацин.</w:t>
      </w:r>
    </w:p>
    <w:p w14:paraId="59A658B9" w14:textId="77777777" w:rsidR="00B21C93" w:rsidRPr="00303303" w:rsidRDefault="00B21C93" w:rsidP="00303303">
      <w:pPr>
        <w:pStyle w:val="Heading3"/>
        <w:rPr>
          <w:u w:val="single"/>
        </w:rPr>
      </w:pPr>
      <w:r w:rsidRPr="00303303">
        <w:rPr>
          <w:u w:val="single"/>
        </w:rPr>
        <w:t>Гранични стойности</w:t>
      </w:r>
    </w:p>
    <w:p w14:paraId="5DA6A8CB" w14:textId="77777777" w:rsidR="00B21C93" w:rsidRPr="002C1234" w:rsidRDefault="00B21C93" w:rsidP="00B21C93">
      <w:pPr>
        <w:spacing w:after="120"/>
        <w:rPr>
          <w:rFonts w:ascii="Arial" w:hAnsi="Arial" w:cs="Arial"/>
        </w:rPr>
      </w:pPr>
      <w:r w:rsidRPr="002C1234">
        <w:rPr>
          <w:rFonts w:ascii="Arial" w:hAnsi="Arial" w:cs="Arial"/>
          <w:lang w:bidi="en-US"/>
        </w:rPr>
        <w:t xml:space="preserve">EUCAST </w:t>
      </w:r>
      <w:r w:rsidRPr="002C1234">
        <w:rPr>
          <w:rFonts w:ascii="Arial" w:hAnsi="Arial" w:cs="Arial"/>
        </w:rPr>
        <w:t xml:space="preserve">клинични гранични стойности на </w:t>
      </w:r>
      <w:r w:rsidRPr="002C1234">
        <w:rPr>
          <w:rFonts w:ascii="Arial" w:hAnsi="Arial" w:cs="Arial"/>
          <w:lang w:bidi="en-US"/>
        </w:rPr>
        <w:t xml:space="preserve">MIC </w:t>
      </w:r>
      <w:r w:rsidRPr="002C1234">
        <w:rPr>
          <w:rFonts w:ascii="Arial" w:hAnsi="Arial" w:cs="Arial"/>
        </w:rPr>
        <w:t>и диск-дифузия тест за моксифлоксацин (01.01.2012):</w:t>
      </w:r>
    </w:p>
    <w:tbl>
      <w:tblPr>
        <w:tblOverlap w:val="never"/>
        <w:tblW w:w="0" w:type="auto"/>
        <w:tblLayout w:type="fixed"/>
        <w:tblCellMar>
          <w:left w:w="10" w:type="dxa"/>
          <w:right w:w="10" w:type="dxa"/>
        </w:tblCellMar>
        <w:tblLook w:val="04A0" w:firstRow="1" w:lastRow="0" w:firstColumn="1" w:lastColumn="0" w:noHBand="0" w:noVBand="1"/>
      </w:tblPr>
      <w:tblGrid>
        <w:gridCol w:w="4212"/>
        <w:gridCol w:w="2099"/>
        <w:gridCol w:w="2898"/>
      </w:tblGrid>
      <w:tr w:rsidR="00B21C93" w:rsidRPr="00941F31" w14:paraId="662BA4FC" w14:textId="77777777" w:rsidTr="00B21C93">
        <w:trPr>
          <w:trHeight w:hRule="exact" w:val="321"/>
        </w:trPr>
        <w:tc>
          <w:tcPr>
            <w:tcW w:w="4212" w:type="dxa"/>
            <w:tcBorders>
              <w:top w:val="single" w:sz="4" w:space="0" w:color="auto"/>
              <w:left w:val="single" w:sz="4" w:space="0" w:color="auto"/>
            </w:tcBorders>
            <w:shd w:val="clear" w:color="auto" w:fill="auto"/>
          </w:tcPr>
          <w:p w14:paraId="5DA649B0" w14:textId="77777777" w:rsidR="00B21C93" w:rsidRPr="002C1234" w:rsidRDefault="00B21C93" w:rsidP="00B21C93">
            <w:pPr>
              <w:pStyle w:val="Other0"/>
              <w:spacing w:after="0"/>
              <w:jc w:val="both"/>
              <w:rPr>
                <w:rFonts w:ascii="Arial" w:hAnsi="Arial" w:cs="Arial"/>
              </w:rPr>
            </w:pPr>
            <w:bookmarkStart w:id="2" w:name="_Hlk63046027"/>
            <w:r w:rsidRPr="002C1234">
              <w:rPr>
                <w:rFonts w:ascii="Arial" w:hAnsi="Arial" w:cs="Arial"/>
                <w:b/>
                <w:bCs/>
              </w:rPr>
              <w:t>Микроорганизъм</w:t>
            </w:r>
          </w:p>
        </w:tc>
        <w:tc>
          <w:tcPr>
            <w:tcW w:w="2099" w:type="dxa"/>
            <w:tcBorders>
              <w:top w:val="single" w:sz="4" w:space="0" w:color="auto"/>
              <w:left w:val="single" w:sz="4" w:space="0" w:color="auto"/>
            </w:tcBorders>
            <w:shd w:val="clear" w:color="auto" w:fill="auto"/>
          </w:tcPr>
          <w:p w14:paraId="4F65CBE3" w14:textId="77777777" w:rsidR="00B21C93" w:rsidRPr="002C1234" w:rsidRDefault="00B21C93" w:rsidP="00B21C93">
            <w:pPr>
              <w:pStyle w:val="Other0"/>
              <w:spacing w:after="0"/>
              <w:rPr>
                <w:rFonts w:ascii="Arial" w:hAnsi="Arial" w:cs="Arial"/>
              </w:rPr>
            </w:pPr>
            <w:r w:rsidRPr="002C1234">
              <w:rPr>
                <w:rFonts w:ascii="Arial" w:hAnsi="Arial" w:cs="Arial"/>
                <w:b/>
                <w:bCs/>
              </w:rPr>
              <w:t>Чувствителен</w:t>
            </w:r>
          </w:p>
        </w:tc>
        <w:tc>
          <w:tcPr>
            <w:tcW w:w="2898" w:type="dxa"/>
            <w:tcBorders>
              <w:top w:val="single" w:sz="4" w:space="0" w:color="auto"/>
              <w:left w:val="single" w:sz="4" w:space="0" w:color="auto"/>
              <w:right w:val="single" w:sz="4" w:space="0" w:color="auto"/>
            </w:tcBorders>
            <w:shd w:val="clear" w:color="auto" w:fill="auto"/>
          </w:tcPr>
          <w:p w14:paraId="0F4BB356" w14:textId="77777777" w:rsidR="00B21C93" w:rsidRPr="002C1234" w:rsidRDefault="00B21C93" w:rsidP="00B21C93">
            <w:pPr>
              <w:pStyle w:val="Other0"/>
              <w:spacing w:after="0"/>
              <w:rPr>
                <w:rFonts w:ascii="Arial" w:hAnsi="Arial" w:cs="Arial"/>
              </w:rPr>
            </w:pPr>
            <w:r w:rsidRPr="002C1234">
              <w:rPr>
                <w:rFonts w:ascii="Arial" w:hAnsi="Arial" w:cs="Arial"/>
                <w:b/>
                <w:bCs/>
              </w:rPr>
              <w:t>Резистентен</w:t>
            </w:r>
          </w:p>
        </w:tc>
      </w:tr>
      <w:tr w:rsidR="00B21C93" w:rsidRPr="00941F31" w14:paraId="555F7246" w14:textId="77777777" w:rsidTr="00B21C93">
        <w:trPr>
          <w:trHeight w:hRule="exact" w:val="597"/>
        </w:trPr>
        <w:tc>
          <w:tcPr>
            <w:tcW w:w="4212" w:type="dxa"/>
            <w:tcBorders>
              <w:top w:val="single" w:sz="4" w:space="0" w:color="auto"/>
              <w:left w:val="single" w:sz="4" w:space="0" w:color="auto"/>
            </w:tcBorders>
            <w:shd w:val="clear" w:color="auto" w:fill="auto"/>
          </w:tcPr>
          <w:p w14:paraId="336540F9" w14:textId="77777777" w:rsidR="00B21C93" w:rsidRPr="002C1234" w:rsidRDefault="00B21C93" w:rsidP="00B21C93">
            <w:pPr>
              <w:pStyle w:val="Other0"/>
              <w:spacing w:after="0"/>
              <w:jc w:val="both"/>
              <w:rPr>
                <w:rFonts w:ascii="Arial" w:hAnsi="Arial" w:cs="Arial"/>
              </w:rPr>
            </w:pPr>
            <w:r w:rsidRPr="002C1234">
              <w:rPr>
                <w:rFonts w:ascii="Arial" w:hAnsi="Arial" w:cs="Arial"/>
                <w:i/>
                <w:iCs/>
                <w:lang w:bidi="en-US"/>
              </w:rPr>
              <w:t>Staphylococcus spp.</w:t>
            </w:r>
          </w:p>
        </w:tc>
        <w:tc>
          <w:tcPr>
            <w:tcW w:w="2099" w:type="dxa"/>
            <w:tcBorders>
              <w:top w:val="single" w:sz="4" w:space="0" w:color="auto"/>
              <w:left w:val="single" w:sz="4" w:space="0" w:color="auto"/>
            </w:tcBorders>
            <w:shd w:val="clear" w:color="auto" w:fill="auto"/>
          </w:tcPr>
          <w:p w14:paraId="4E7A59BD" w14:textId="77777777" w:rsidR="00B21C93" w:rsidRPr="002C1234" w:rsidRDefault="00B21C93" w:rsidP="00B21C93">
            <w:pPr>
              <w:pStyle w:val="Other0"/>
              <w:spacing w:after="40"/>
              <w:rPr>
                <w:rFonts w:ascii="Arial" w:hAnsi="Arial" w:cs="Arial"/>
              </w:rPr>
            </w:pPr>
            <w:r w:rsidRPr="002C1234">
              <w:rPr>
                <w:rFonts w:ascii="Arial" w:hAnsi="Arial" w:cs="Arial"/>
                <w:lang w:bidi="en-US"/>
              </w:rPr>
              <w:t>≤</w:t>
            </w:r>
            <w:r w:rsidRPr="002C1234">
              <w:rPr>
                <w:rFonts w:ascii="Arial" w:hAnsi="Arial" w:cs="Arial"/>
              </w:rPr>
              <w:t xml:space="preserve"> 0,5 </w:t>
            </w:r>
            <w:r w:rsidRPr="002C1234">
              <w:rPr>
                <w:rFonts w:ascii="Arial" w:hAnsi="Arial" w:cs="Arial"/>
                <w:lang w:bidi="en-US"/>
              </w:rPr>
              <w:t>mg/l</w:t>
            </w:r>
          </w:p>
          <w:p w14:paraId="46D173DD" w14:textId="77777777" w:rsidR="00B21C93" w:rsidRPr="002C1234" w:rsidRDefault="00B21C93" w:rsidP="00B21C93">
            <w:pPr>
              <w:pStyle w:val="Other0"/>
              <w:spacing w:after="0"/>
              <w:rPr>
                <w:rFonts w:ascii="Arial" w:hAnsi="Arial" w:cs="Arial"/>
              </w:rPr>
            </w:pPr>
            <w:r w:rsidRPr="002C1234">
              <w:rPr>
                <w:rFonts w:ascii="Arial" w:hAnsi="Arial" w:cs="Arial"/>
                <w:lang w:bidi="en-US"/>
              </w:rPr>
              <w:t>≥</w:t>
            </w:r>
            <w:r w:rsidRPr="002C1234">
              <w:rPr>
                <w:rFonts w:ascii="Arial" w:hAnsi="Arial" w:cs="Arial"/>
              </w:rPr>
              <w:t xml:space="preserve"> 24 </w:t>
            </w:r>
            <w:r w:rsidRPr="002C1234">
              <w:rPr>
                <w:rFonts w:ascii="Arial" w:hAnsi="Arial" w:cs="Arial"/>
                <w:lang w:bidi="en-US"/>
              </w:rPr>
              <w:t>mm</w:t>
            </w:r>
          </w:p>
        </w:tc>
        <w:tc>
          <w:tcPr>
            <w:tcW w:w="2898" w:type="dxa"/>
            <w:tcBorders>
              <w:top w:val="single" w:sz="4" w:space="0" w:color="auto"/>
              <w:left w:val="single" w:sz="4" w:space="0" w:color="auto"/>
              <w:right w:val="single" w:sz="4" w:space="0" w:color="auto"/>
            </w:tcBorders>
            <w:shd w:val="clear" w:color="auto" w:fill="auto"/>
          </w:tcPr>
          <w:p w14:paraId="71036B31" w14:textId="77777777" w:rsidR="00A31160" w:rsidRDefault="00B21C93" w:rsidP="00B21C93">
            <w:pPr>
              <w:pStyle w:val="Other0"/>
              <w:spacing w:after="0"/>
              <w:rPr>
                <w:rFonts w:ascii="Arial" w:hAnsi="Arial" w:cs="Arial"/>
                <w:lang w:bidi="en-US"/>
              </w:rPr>
            </w:pPr>
            <w:r w:rsidRPr="002C1234">
              <w:rPr>
                <w:rFonts w:ascii="Arial" w:hAnsi="Arial" w:cs="Arial"/>
                <w:lang w:bidi="en-US"/>
              </w:rPr>
              <w:t>&gt;1,0 mg/l</w:t>
            </w:r>
          </w:p>
          <w:p w14:paraId="6C56B4B5" w14:textId="2B342D1D" w:rsidR="00B21C93" w:rsidRPr="002C1234" w:rsidRDefault="00B21C93" w:rsidP="00B21C93">
            <w:pPr>
              <w:pStyle w:val="Other0"/>
              <w:spacing w:after="0"/>
              <w:rPr>
                <w:rFonts w:ascii="Arial" w:hAnsi="Arial" w:cs="Arial"/>
              </w:rPr>
            </w:pPr>
            <w:r w:rsidRPr="002C1234">
              <w:rPr>
                <w:rFonts w:ascii="Arial" w:hAnsi="Arial" w:cs="Arial"/>
                <w:lang w:bidi="en-US"/>
              </w:rPr>
              <w:t>&lt; 21 mm</w:t>
            </w:r>
          </w:p>
        </w:tc>
      </w:tr>
      <w:tr w:rsidR="00B21C93" w:rsidRPr="00941F31" w14:paraId="39951424" w14:textId="77777777" w:rsidTr="00B21C93">
        <w:trPr>
          <w:trHeight w:hRule="exact" w:val="597"/>
        </w:trPr>
        <w:tc>
          <w:tcPr>
            <w:tcW w:w="4212" w:type="dxa"/>
            <w:tcBorders>
              <w:top w:val="single" w:sz="4" w:space="0" w:color="auto"/>
              <w:left w:val="single" w:sz="4" w:space="0" w:color="auto"/>
            </w:tcBorders>
            <w:shd w:val="clear" w:color="auto" w:fill="auto"/>
          </w:tcPr>
          <w:p w14:paraId="49AFBE45" w14:textId="77777777" w:rsidR="00B21C93" w:rsidRPr="002C1234" w:rsidRDefault="00B21C93" w:rsidP="00B21C93">
            <w:pPr>
              <w:pStyle w:val="Other0"/>
              <w:spacing w:after="0"/>
              <w:jc w:val="both"/>
              <w:rPr>
                <w:rFonts w:ascii="Arial" w:hAnsi="Arial" w:cs="Arial"/>
              </w:rPr>
            </w:pPr>
            <w:r w:rsidRPr="002C1234">
              <w:rPr>
                <w:rFonts w:ascii="Arial" w:hAnsi="Arial" w:cs="Arial"/>
                <w:i/>
                <w:iCs/>
                <w:lang w:bidi="en-US"/>
              </w:rPr>
              <w:t>S. pneumoniae</w:t>
            </w:r>
          </w:p>
        </w:tc>
        <w:tc>
          <w:tcPr>
            <w:tcW w:w="2099" w:type="dxa"/>
            <w:tcBorders>
              <w:top w:val="single" w:sz="4" w:space="0" w:color="auto"/>
              <w:left w:val="single" w:sz="4" w:space="0" w:color="auto"/>
            </w:tcBorders>
            <w:shd w:val="clear" w:color="auto" w:fill="auto"/>
          </w:tcPr>
          <w:p w14:paraId="00E2BFF7" w14:textId="77777777" w:rsidR="00A31160" w:rsidRDefault="00B21C93" w:rsidP="00B21C93">
            <w:pPr>
              <w:pStyle w:val="Other0"/>
              <w:spacing w:after="0" w:line="252" w:lineRule="auto"/>
              <w:rPr>
                <w:rFonts w:ascii="Arial" w:hAnsi="Arial" w:cs="Arial"/>
                <w:lang w:bidi="en-US"/>
              </w:rPr>
            </w:pPr>
            <w:r w:rsidRPr="002C1234">
              <w:rPr>
                <w:rFonts w:ascii="Arial" w:hAnsi="Arial" w:cs="Arial"/>
                <w:lang w:bidi="en-US"/>
              </w:rPr>
              <w:t>≤</w:t>
            </w:r>
            <w:r w:rsidRPr="002C1234">
              <w:rPr>
                <w:rFonts w:ascii="Arial" w:hAnsi="Arial" w:cs="Arial"/>
              </w:rPr>
              <w:t xml:space="preserve"> 0,5 </w:t>
            </w:r>
            <w:r w:rsidRPr="002C1234">
              <w:rPr>
                <w:rFonts w:ascii="Arial" w:hAnsi="Arial" w:cs="Arial"/>
                <w:lang w:bidi="en-US"/>
              </w:rPr>
              <w:t>mg/l</w:t>
            </w:r>
          </w:p>
          <w:p w14:paraId="76234AE9" w14:textId="0BB3842F" w:rsidR="00B21C93" w:rsidRPr="002C1234" w:rsidRDefault="00B21C93" w:rsidP="00B21C93">
            <w:pPr>
              <w:pStyle w:val="Other0"/>
              <w:spacing w:after="0" w:line="252" w:lineRule="auto"/>
              <w:rPr>
                <w:rFonts w:ascii="Arial" w:hAnsi="Arial" w:cs="Arial"/>
              </w:rPr>
            </w:pPr>
            <w:r w:rsidRPr="002C1234">
              <w:rPr>
                <w:rFonts w:ascii="Arial" w:hAnsi="Arial" w:cs="Arial"/>
                <w:lang w:bidi="en-US"/>
              </w:rPr>
              <w:t xml:space="preserve"> ≥</w:t>
            </w:r>
            <w:r w:rsidRPr="002C1234">
              <w:rPr>
                <w:rFonts w:ascii="Arial" w:hAnsi="Arial" w:cs="Arial"/>
              </w:rPr>
              <w:t xml:space="preserve"> 22 </w:t>
            </w:r>
            <w:r w:rsidRPr="002C1234">
              <w:rPr>
                <w:rFonts w:ascii="Arial" w:hAnsi="Arial" w:cs="Arial"/>
                <w:lang w:bidi="en-US"/>
              </w:rPr>
              <w:t>mm</w:t>
            </w:r>
          </w:p>
        </w:tc>
        <w:tc>
          <w:tcPr>
            <w:tcW w:w="2898" w:type="dxa"/>
            <w:tcBorders>
              <w:top w:val="single" w:sz="4" w:space="0" w:color="auto"/>
              <w:left w:val="single" w:sz="4" w:space="0" w:color="auto"/>
              <w:right w:val="single" w:sz="4" w:space="0" w:color="auto"/>
            </w:tcBorders>
            <w:shd w:val="clear" w:color="auto" w:fill="auto"/>
          </w:tcPr>
          <w:p w14:paraId="42FDB16C" w14:textId="77777777" w:rsidR="00B21C93" w:rsidRPr="002C1234" w:rsidRDefault="00B21C93" w:rsidP="00B21C93">
            <w:pPr>
              <w:pStyle w:val="Other0"/>
              <w:spacing w:after="0"/>
              <w:rPr>
                <w:rFonts w:ascii="Arial" w:hAnsi="Arial" w:cs="Arial"/>
              </w:rPr>
            </w:pPr>
            <w:r w:rsidRPr="002C1234">
              <w:rPr>
                <w:rFonts w:ascii="Arial" w:hAnsi="Arial" w:cs="Arial"/>
                <w:lang w:bidi="en-US"/>
              </w:rPr>
              <w:t>&gt;0,5 mg/l</w:t>
            </w:r>
          </w:p>
          <w:p w14:paraId="198C61EA" w14:textId="77777777" w:rsidR="00B21C93" w:rsidRPr="002C1234" w:rsidRDefault="00B21C93" w:rsidP="00B21C93">
            <w:pPr>
              <w:pStyle w:val="Other0"/>
              <w:spacing w:after="0"/>
              <w:rPr>
                <w:rFonts w:ascii="Arial" w:hAnsi="Arial" w:cs="Arial"/>
              </w:rPr>
            </w:pPr>
            <w:r w:rsidRPr="002C1234">
              <w:rPr>
                <w:rFonts w:ascii="Arial" w:hAnsi="Arial" w:cs="Arial"/>
                <w:lang w:bidi="en-US"/>
              </w:rPr>
              <w:t>&lt;22 mm</w:t>
            </w:r>
          </w:p>
        </w:tc>
      </w:tr>
      <w:tr w:rsidR="00B21C93" w:rsidRPr="00941F31" w14:paraId="292FD3D1" w14:textId="77777777" w:rsidTr="00B21C93">
        <w:trPr>
          <w:trHeight w:hRule="exact" w:val="589"/>
        </w:trPr>
        <w:tc>
          <w:tcPr>
            <w:tcW w:w="4212" w:type="dxa"/>
            <w:tcBorders>
              <w:top w:val="single" w:sz="4" w:space="0" w:color="auto"/>
              <w:left w:val="single" w:sz="4" w:space="0" w:color="auto"/>
            </w:tcBorders>
            <w:shd w:val="clear" w:color="auto" w:fill="auto"/>
          </w:tcPr>
          <w:p w14:paraId="27328385" w14:textId="77777777" w:rsidR="00B21C93" w:rsidRPr="002C1234" w:rsidRDefault="00B21C93" w:rsidP="00B21C93">
            <w:pPr>
              <w:pStyle w:val="Other0"/>
              <w:spacing w:after="0"/>
              <w:jc w:val="both"/>
              <w:rPr>
                <w:rFonts w:ascii="Arial" w:hAnsi="Arial" w:cs="Arial"/>
              </w:rPr>
            </w:pPr>
            <w:r w:rsidRPr="002C1234">
              <w:rPr>
                <w:rFonts w:ascii="Arial" w:hAnsi="Arial" w:cs="Arial"/>
                <w:i/>
                <w:iCs/>
                <w:lang w:bidi="en-US"/>
              </w:rPr>
              <w:t>Streptococcus</w:t>
            </w:r>
            <w:r w:rsidRPr="002C1234">
              <w:rPr>
                <w:rFonts w:ascii="Arial" w:hAnsi="Arial" w:cs="Arial"/>
                <w:lang w:bidi="en-US"/>
              </w:rPr>
              <w:t xml:space="preserve"> </w:t>
            </w:r>
            <w:r w:rsidRPr="002C1234">
              <w:rPr>
                <w:rFonts w:ascii="Arial" w:hAnsi="Arial" w:cs="Arial"/>
              </w:rPr>
              <w:t xml:space="preserve">Групи А, В, </w:t>
            </w:r>
            <w:r w:rsidRPr="002C1234">
              <w:rPr>
                <w:rFonts w:ascii="Arial" w:hAnsi="Arial" w:cs="Arial"/>
                <w:lang w:bidi="en-US"/>
              </w:rPr>
              <w:t>C, G</w:t>
            </w:r>
          </w:p>
        </w:tc>
        <w:tc>
          <w:tcPr>
            <w:tcW w:w="2099" w:type="dxa"/>
            <w:tcBorders>
              <w:top w:val="single" w:sz="4" w:space="0" w:color="auto"/>
              <w:left w:val="single" w:sz="4" w:space="0" w:color="auto"/>
            </w:tcBorders>
            <w:shd w:val="clear" w:color="auto" w:fill="auto"/>
          </w:tcPr>
          <w:p w14:paraId="57EC4202" w14:textId="77777777" w:rsidR="00B21C93" w:rsidRPr="002C1234" w:rsidRDefault="00B21C93" w:rsidP="00B21C93">
            <w:pPr>
              <w:pStyle w:val="Other0"/>
              <w:spacing w:after="0"/>
              <w:rPr>
                <w:rFonts w:ascii="Arial" w:hAnsi="Arial" w:cs="Arial"/>
              </w:rPr>
            </w:pPr>
            <w:r w:rsidRPr="002C1234">
              <w:rPr>
                <w:rFonts w:ascii="Arial" w:hAnsi="Arial" w:cs="Arial"/>
                <w:lang w:bidi="en-US"/>
              </w:rPr>
              <w:t>≤ 0,5 mg/l</w:t>
            </w:r>
          </w:p>
          <w:p w14:paraId="1DAD2583" w14:textId="77777777" w:rsidR="00B21C93" w:rsidRPr="002C1234" w:rsidRDefault="00B21C93" w:rsidP="00B21C93">
            <w:pPr>
              <w:pStyle w:val="Other0"/>
              <w:spacing w:after="0"/>
              <w:rPr>
                <w:rFonts w:ascii="Arial" w:hAnsi="Arial" w:cs="Arial"/>
              </w:rPr>
            </w:pPr>
            <w:r w:rsidRPr="002C1234">
              <w:rPr>
                <w:rFonts w:ascii="Arial" w:hAnsi="Arial" w:cs="Arial"/>
                <w:lang w:bidi="en-US"/>
              </w:rPr>
              <w:t>≥ 18 mm</w:t>
            </w:r>
          </w:p>
        </w:tc>
        <w:tc>
          <w:tcPr>
            <w:tcW w:w="2898" w:type="dxa"/>
            <w:tcBorders>
              <w:top w:val="single" w:sz="4" w:space="0" w:color="auto"/>
              <w:left w:val="single" w:sz="4" w:space="0" w:color="auto"/>
              <w:right w:val="single" w:sz="4" w:space="0" w:color="auto"/>
            </w:tcBorders>
            <w:shd w:val="clear" w:color="auto" w:fill="auto"/>
          </w:tcPr>
          <w:p w14:paraId="1684E3D1" w14:textId="77777777" w:rsidR="00B21C93" w:rsidRPr="002C1234" w:rsidRDefault="00B21C93" w:rsidP="00B21C93">
            <w:pPr>
              <w:pStyle w:val="Other0"/>
              <w:spacing w:after="0"/>
              <w:rPr>
                <w:rFonts w:ascii="Arial" w:hAnsi="Arial" w:cs="Arial"/>
              </w:rPr>
            </w:pPr>
            <w:r w:rsidRPr="002C1234">
              <w:rPr>
                <w:rFonts w:ascii="Arial" w:hAnsi="Arial" w:cs="Arial"/>
                <w:lang w:bidi="en-US"/>
              </w:rPr>
              <w:t>&gt;1,0 mg/l</w:t>
            </w:r>
          </w:p>
          <w:p w14:paraId="03247882" w14:textId="77777777" w:rsidR="00B21C93" w:rsidRPr="002C1234" w:rsidRDefault="00B21C93" w:rsidP="00B21C93">
            <w:pPr>
              <w:pStyle w:val="Other0"/>
              <w:spacing w:after="0"/>
              <w:rPr>
                <w:rFonts w:ascii="Arial" w:hAnsi="Arial" w:cs="Arial"/>
              </w:rPr>
            </w:pPr>
            <w:r w:rsidRPr="002C1234">
              <w:rPr>
                <w:rFonts w:ascii="Arial" w:hAnsi="Arial" w:cs="Arial"/>
                <w:lang w:bidi="en-US"/>
              </w:rPr>
              <w:t>&lt;15 mm</w:t>
            </w:r>
          </w:p>
        </w:tc>
      </w:tr>
      <w:tr w:rsidR="00B21C93" w:rsidRPr="00941F31" w14:paraId="49470499" w14:textId="77777777" w:rsidTr="00B21C93">
        <w:trPr>
          <w:trHeight w:hRule="exact" w:val="604"/>
        </w:trPr>
        <w:tc>
          <w:tcPr>
            <w:tcW w:w="4212" w:type="dxa"/>
            <w:tcBorders>
              <w:top w:val="single" w:sz="4" w:space="0" w:color="auto"/>
              <w:left w:val="single" w:sz="4" w:space="0" w:color="auto"/>
            </w:tcBorders>
            <w:shd w:val="clear" w:color="auto" w:fill="auto"/>
          </w:tcPr>
          <w:p w14:paraId="2ADDC26F" w14:textId="77777777" w:rsidR="00B21C93" w:rsidRPr="002C1234" w:rsidRDefault="00B21C93" w:rsidP="00B21C93">
            <w:pPr>
              <w:pStyle w:val="Other0"/>
              <w:spacing w:after="0"/>
              <w:jc w:val="both"/>
              <w:rPr>
                <w:rFonts w:ascii="Arial" w:hAnsi="Arial" w:cs="Arial"/>
              </w:rPr>
            </w:pPr>
            <w:r w:rsidRPr="002C1234">
              <w:rPr>
                <w:rFonts w:ascii="Arial" w:hAnsi="Arial" w:cs="Arial"/>
                <w:i/>
                <w:iCs/>
                <w:lang w:bidi="en-US"/>
              </w:rPr>
              <w:t>H.influenzae</w:t>
            </w:r>
          </w:p>
        </w:tc>
        <w:tc>
          <w:tcPr>
            <w:tcW w:w="2099" w:type="dxa"/>
            <w:tcBorders>
              <w:top w:val="single" w:sz="4" w:space="0" w:color="auto"/>
              <w:left w:val="single" w:sz="4" w:space="0" w:color="auto"/>
            </w:tcBorders>
            <w:shd w:val="clear" w:color="auto" w:fill="auto"/>
          </w:tcPr>
          <w:p w14:paraId="1878EE13" w14:textId="038EA220" w:rsidR="00B21C93" w:rsidRPr="00A31160" w:rsidRDefault="00B21C93" w:rsidP="00B21C93">
            <w:pPr>
              <w:pStyle w:val="Other0"/>
              <w:spacing w:after="0"/>
              <w:rPr>
                <w:rFonts w:ascii="Arial" w:hAnsi="Arial" w:cs="Arial"/>
                <w:lang w:val="en-US"/>
              </w:rPr>
            </w:pPr>
            <w:r w:rsidRPr="002C1234">
              <w:rPr>
                <w:rFonts w:ascii="Arial" w:hAnsi="Arial" w:cs="Arial"/>
                <w:lang w:bidi="en-US"/>
              </w:rPr>
              <w:t>≤ 0,5 mg/</w:t>
            </w:r>
            <w:r w:rsidR="00A31160">
              <w:rPr>
                <w:rFonts w:ascii="Arial" w:hAnsi="Arial" w:cs="Arial"/>
                <w:lang w:val="en-US" w:bidi="en-US"/>
              </w:rPr>
              <w:t>l</w:t>
            </w:r>
          </w:p>
          <w:p w14:paraId="725208E5" w14:textId="77777777" w:rsidR="00B21C93" w:rsidRPr="002C1234" w:rsidRDefault="00B21C93" w:rsidP="00B21C93">
            <w:pPr>
              <w:pStyle w:val="Other0"/>
              <w:spacing w:after="0"/>
              <w:rPr>
                <w:rFonts w:ascii="Arial" w:hAnsi="Arial" w:cs="Arial"/>
              </w:rPr>
            </w:pPr>
            <w:r w:rsidRPr="002C1234">
              <w:rPr>
                <w:rFonts w:ascii="Arial" w:hAnsi="Arial" w:cs="Arial"/>
                <w:lang w:bidi="en-US"/>
              </w:rPr>
              <w:t>≥ 25 mm</w:t>
            </w:r>
          </w:p>
        </w:tc>
        <w:tc>
          <w:tcPr>
            <w:tcW w:w="2898" w:type="dxa"/>
            <w:tcBorders>
              <w:top w:val="single" w:sz="4" w:space="0" w:color="auto"/>
              <w:left w:val="single" w:sz="4" w:space="0" w:color="auto"/>
              <w:right w:val="single" w:sz="4" w:space="0" w:color="auto"/>
            </w:tcBorders>
            <w:shd w:val="clear" w:color="auto" w:fill="auto"/>
          </w:tcPr>
          <w:p w14:paraId="7913E102" w14:textId="77777777" w:rsidR="00A31160" w:rsidRDefault="00B21C93" w:rsidP="00B21C93">
            <w:pPr>
              <w:pStyle w:val="Other0"/>
              <w:spacing w:after="0"/>
              <w:rPr>
                <w:rFonts w:ascii="Arial" w:hAnsi="Arial" w:cs="Arial"/>
                <w:lang w:bidi="en-US"/>
              </w:rPr>
            </w:pPr>
            <w:r w:rsidRPr="002C1234">
              <w:rPr>
                <w:rFonts w:ascii="Arial" w:hAnsi="Arial" w:cs="Arial"/>
                <w:lang w:bidi="en-US"/>
              </w:rPr>
              <w:t>&gt; 0,5 mg/l</w:t>
            </w:r>
          </w:p>
          <w:p w14:paraId="502C29A8" w14:textId="7DDCDC4D" w:rsidR="00B21C93" w:rsidRPr="002C1234" w:rsidRDefault="00B21C93" w:rsidP="00B21C93">
            <w:pPr>
              <w:pStyle w:val="Other0"/>
              <w:spacing w:after="0"/>
              <w:rPr>
                <w:rFonts w:ascii="Arial" w:hAnsi="Arial" w:cs="Arial"/>
              </w:rPr>
            </w:pPr>
            <w:r w:rsidRPr="002C1234">
              <w:rPr>
                <w:rFonts w:ascii="Arial" w:hAnsi="Arial" w:cs="Arial"/>
                <w:lang w:bidi="en-US"/>
              </w:rPr>
              <w:t>&lt; 25 mm</w:t>
            </w:r>
          </w:p>
        </w:tc>
      </w:tr>
      <w:tr w:rsidR="00B21C93" w:rsidRPr="00941F31" w14:paraId="5AD73886" w14:textId="77777777" w:rsidTr="00B21C93">
        <w:trPr>
          <w:trHeight w:hRule="exact" w:val="589"/>
        </w:trPr>
        <w:tc>
          <w:tcPr>
            <w:tcW w:w="4212" w:type="dxa"/>
            <w:tcBorders>
              <w:top w:val="single" w:sz="4" w:space="0" w:color="auto"/>
              <w:left w:val="single" w:sz="4" w:space="0" w:color="auto"/>
            </w:tcBorders>
            <w:shd w:val="clear" w:color="auto" w:fill="auto"/>
          </w:tcPr>
          <w:p w14:paraId="44883102" w14:textId="77777777" w:rsidR="00B21C93" w:rsidRPr="002C1234" w:rsidRDefault="00B21C93" w:rsidP="00B21C93">
            <w:pPr>
              <w:pStyle w:val="Other0"/>
              <w:spacing w:after="0"/>
              <w:jc w:val="both"/>
              <w:rPr>
                <w:rFonts w:ascii="Arial" w:hAnsi="Arial" w:cs="Arial"/>
              </w:rPr>
            </w:pPr>
            <w:r w:rsidRPr="002C1234">
              <w:rPr>
                <w:rFonts w:ascii="Arial" w:hAnsi="Arial" w:cs="Arial"/>
                <w:i/>
                <w:iCs/>
                <w:lang w:bidi="en-US"/>
              </w:rPr>
              <w:t>M. catarralis</w:t>
            </w:r>
          </w:p>
        </w:tc>
        <w:tc>
          <w:tcPr>
            <w:tcW w:w="2099" w:type="dxa"/>
            <w:tcBorders>
              <w:top w:val="single" w:sz="4" w:space="0" w:color="auto"/>
              <w:left w:val="single" w:sz="4" w:space="0" w:color="auto"/>
            </w:tcBorders>
            <w:shd w:val="clear" w:color="auto" w:fill="auto"/>
          </w:tcPr>
          <w:p w14:paraId="017819A1" w14:textId="77777777" w:rsidR="00A31160" w:rsidRDefault="00B21C93" w:rsidP="00B21C93">
            <w:pPr>
              <w:pStyle w:val="Other0"/>
              <w:spacing w:after="0"/>
              <w:rPr>
                <w:rFonts w:ascii="Arial" w:hAnsi="Arial" w:cs="Arial"/>
                <w:lang w:bidi="en-US"/>
              </w:rPr>
            </w:pPr>
            <w:r w:rsidRPr="002C1234">
              <w:rPr>
                <w:rFonts w:ascii="Arial" w:hAnsi="Arial" w:cs="Arial"/>
                <w:lang w:bidi="en-US"/>
              </w:rPr>
              <w:t>≤0,5 mg/l</w:t>
            </w:r>
          </w:p>
          <w:p w14:paraId="37CCE1E2" w14:textId="11EE63D2" w:rsidR="00B21C93" w:rsidRPr="002C1234" w:rsidRDefault="00B21C93" w:rsidP="00B21C93">
            <w:pPr>
              <w:pStyle w:val="Other0"/>
              <w:spacing w:after="0"/>
              <w:rPr>
                <w:rFonts w:ascii="Arial" w:hAnsi="Arial" w:cs="Arial"/>
              </w:rPr>
            </w:pPr>
            <w:r w:rsidRPr="002C1234">
              <w:rPr>
                <w:rFonts w:ascii="Arial" w:hAnsi="Arial" w:cs="Arial"/>
                <w:lang w:bidi="en-US"/>
              </w:rPr>
              <w:t xml:space="preserve"> ≥ 23 mm</w:t>
            </w:r>
          </w:p>
        </w:tc>
        <w:tc>
          <w:tcPr>
            <w:tcW w:w="2898" w:type="dxa"/>
            <w:tcBorders>
              <w:top w:val="single" w:sz="4" w:space="0" w:color="auto"/>
              <w:left w:val="single" w:sz="4" w:space="0" w:color="auto"/>
              <w:right w:val="single" w:sz="4" w:space="0" w:color="auto"/>
            </w:tcBorders>
            <w:shd w:val="clear" w:color="auto" w:fill="auto"/>
          </w:tcPr>
          <w:p w14:paraId="6580161A" w14:textId="03F2A9FA" w:rsidR="00A31160" w:rsidRPr="00A31160" w:rsidRDefault="00B21C93" w:rsidP="00B21C93">
            <w:pPr>
              <w:pStyle w:val="Other0"/>
              <w:spacing w:after="0"/>
              <w:rPr>
                <w:rFonts w:ascii="Arial" w:hAnsi="Arial" w:cs="Arial"/>
                <w:lang w:val="en-US" w:bidi="en-US"/>
              </w:rPr>
            </w:pPr>
            <w:r w:rsidRPr="002C1234">
              <w:rPr>
                <w:rFonts w:ascii="Arial" w:hAnsi="Arial" w:cs="Arial"/>
                <w:lang w:bidi="en-US"/>
              </w:rPr>
              <w:t>&gt; 0,5 mg/</w:t>
            </w:r>
            <w:r w:rsidR="00A31160">
              <w:rPr>
                <w:rFonts w:ascii="Arial" w:hAnsi="Arial" w:cs="Arial"/>
                <w:lang w:val="en-US" w:bidi="en-US"/>
              </w:rPr>
              <w:t>l</w:t>
            </w:r>
          </w:p>
          <w:p w14:paraId="4A0271DE" w14:textId="777BDAA6" w:rsidR="00B21C93" w:rsidRPr="002C1234" w:rsidRDefault="00B21C93" w:rsidP="00B21C93">
            <w:pPr>
              <w:pStyle w:val="Other0"/>
              <w:spacing w:after="0"/>
              <w:rPr>
                <w:rFonts w:ascii="Arial" w:hAnsi="Arial" w:cs="Arial"/>
              </w:rPr>
            </w:pPr>
            <w:r w:rsidRPr="002C1234">
              <w:rPr>
                <w:rFonts w:ascii="Arial" w:hAnsi="Arial" w:cs="Arial"/>
                <w:lang w:bidi="en-US"/>
              </w:rPr>
              <w:t>&lt; 23 mm</w:t>
            </w:r>
          </w:p>
        </w:tc>
      </w:tr>
      <w:tr w:rsidR="00B21C93" w:rsidRPr="00941F31" w14:paraId="7BF67D72" w14:textId="77777777" w:rsidTr="00B21C93">
        <w:trPr>
          <w:trHeight w:hRule="exact" w:val="597"/>
        </w:trPr>
        <w:tc>
          <w:tcPr>
            <w:tcW w:w="4212" w:type="dxa"/>
            <w:tcBorders>
              <w:top w:val="single" w:sz="4" w:space="0" w:color="auto"/>
              <w:left w:val="single" w:sz="4" w:space="0" w:color="auto"/>
            </w:tcBorders>
            <w:shd w:val="clear" w:color="auto" w:fill="auto"/>
          </w:tcPr>
          <w:p w14:paraId="0DA05595" w14:textId="77777777" w:rsidR="00B21C93" w:rsidRPr="002C1234" w:rsidRDefault="00B21C93" w:rsidP="00B21C93">
            <w:pPr>
              <w:pStyle w:val="Other0"/>
              <w:spacing w:after="0"/>
              <w:jc w:val="both"/>
              <w:rPr>
                <w:rFonts w:ascii="Arial" w:hAnsi="Arial" w:cs="Arial"/>
              </w:rPr>
            </w:pPr>
            <w:r w:rsidRPr="002C1234">
              <w:rPr>
                <w:rFonts w:ascii="Arial" w:hAnsi="Arial" w:cs="Arial"/>
                <w:i/>
                <w:iCs/>
                <w:lang w:bidi="en-US"/>
              </w:rPr>
              <w:t>Enterobacteriaceae</w:t>
            </w:r>
          </w:p>
        </w:tc>
        <w:tc>
          <w:tcPr>
            <w:tcW w:w="2099" w:type="dxa"/>
            <w:tcBorders>
              <w:top w:val="single" w:sz="4" w:space="0" w:color="auto"/>
              <w:left w:val="single" w:sz="4" w:space="0" w:color="auto"/>
            </w:tcBorders>
            <w:shd w:val="clear" w:color="auto" w:fill="auto"/>
          </w:tcPr>
          <w:p w14:paraId="044EE190" w14:textId="77777777" w:rsidR="00A31160" w:rsidRDefault="00B21C93" w:rsidP="00B21C93">
            <w:pPr>
              <w:pStyle w:val="Other0"/>
              <w:spacing w:after="0"/>
              <w:rPr>
                <w:rFonts w:ascii="Arial" w:hAnsi="Arial" w:cs="Arial"/>
                <w:lang w:bidi="en-US"/>
              </w:rPr>
            </w:pPr>
            <w:r w:rsidRPr="002C1234">
              <w:rPr>
                <w:rFonts w:ascii="Arial" w:hAnsi="Arial" w:cs="Arial"/>
                <w:lang w:bidi="en-US"/>
              </w:rPr>
              <w:t xml:space="preserve">≤ 0,5 mg/l </w:t>
            </w:r>
          </w:p>
          <w:p w14:paraId="5AFFF3FE" w14:textId="5EA89451" w:rsidR="00B21C93" w:rsidRPr="002C1234" w:rsidRDefault="00B21C93" w:rsidP="00B21C93">
            <w:pPr>
              <w:pStyle w:val="Other0"/>
              <w:spacing w:after="0"/>
              <w:rPr>
                <w:rFonts w:ascii="Arial" w:hAnsi="Arial" w:cs="Arial"/>
              </w:rPr>
            </w:pPr>
            <w:r w:rsidRPr="002C1234">
              <w:rPr>
                <w:rFonts w:ascii="Arial" w:hAnsi="Arial" w:cs="Arial"/>
                <w:lang w:bidi="en-US"/>
              </w:rPr>
              <w:t>≥ 20 mm</w:t>
            </w:r>
          </w:p>
        </w:tc>
        <w:tc>
          <w:tcPr>
            <w:tcW w:w="2898" w:type="dxa"/>
            <w:tcBorders>
              <w:top w:val="single" w:sz="4" w:space="0" w:color="auto"/>
              <w:left w:val="single" w:sz="4" w:space="0" w:color="auto"/>
              <w:right w:val="single" w:sz="4" w:space="0" w:color="auto"/>
            </w:tcBorders>
            <w:shd w:val="clear" w:color="auto" w:fill="auto"/>
          </w:tcPr>
          <w:p w14:paraId="28404053" w14:textId="43B700DA" w:rsidR="00B21C93" w:rsidRPr="00A31160" w:rsidRDefault="00B21C93" w:rsidP="00B21C93">
            <w:pPr>
              <w:pStyle w:val="Other0"/>
              <w:spacing w:after="0"/>
              <w:rPr>
                <w:rFonts w:ascii="Arial" w:hAnsi="Arial" w:cs="Arial"/>
                <w:lang w:val="en-US"/>
              </w:rPr>
            </w:pPr>
            <w:r w:rsidRPr="002C1234">
              <w:rPr>
                <w:rFonts w:ascii="Arial" w:hAnsi="Arial" w:cs="Arial"/>
                <w:lang w:bidi="en-US"/>
              </w:rPr>
              <w:t>&gt; 1,0 mg/</w:t>
            </w:r>
            <w:r w:rsidR="00A31160">
              <w:rPr>
                <w:rFonts w:ascii="Arial" w:hAnsi="Arial" w:cs="Arial"/>
                <w:lang w:val="en-US" w:bidi="en-US"/>
              </w:rPr>
              <w:t>l</w:t>
            </w:r>
          </w:p>
          <w:p w14:paraId="43F07CF4" w14:textId="77777777" w:rsidR="00B21C93" w:rsidRPr="002C1234" w:rsidRDefault="00B21C93" w:rsidP="00B21C93">
            <w:pPr>
              <w:pStyle w:val="Other0"/>
              <w:spacing w:after="0"/>
              <w:rPr>
                <w:rFonts w:ascii="Arial" w:hAnsi="Arial" w:cs="Arial"/>
              </w:rPr>
            </w:pPr>
            <w:r w:rsidRPr="002C1234">
              <w:rPr>
                <w:rFonts w:ascii="Arial" w:hAnsi="Arial" w:cs="Arial"/>
                <w:lang w:bidi="en-US"/>
              </w:rPr>
              <w:t>&lt;17 mm</w:t>
            </w:r>
          </w:p>
        </w:tc>
      </w:tr>
      <w:tr w:rsidR="00B21C93" w:rsidRPr="00941F31" w14:paraId="69CB2D78" w14:textId="77777777" w:rsidTr="00B21C93">
        <w:trPr>
          <w:trHeight w:hRule="exact" w:val="892"/>
        </w:trPr>
        <w:tc>
          <w:tcPr>
            <w:tcW w:w="4212" w:type="dxa"/>
            <w:tcBorders>
              <w:top w:val="single" w:sz="4" w:space="0" w:color="auto"/>
              <w:left w:val="single" w:sz="4" w:space="0" w:color="auto"/>
            </w:tcBorders>
            <w:shd w:val="clear" w:color="auto" w:fill="auto"/>
          </w:tcPr>
          <w:p w14:paraId="3A377254" w14:textId="77777777" w:rsidR="00B21C93" w:rsidRPr="002C1234" w:rsidRDefault="00B21C93" w:rsidP="00B21C93">
            <w:pPr>
              <w:pStyle w:val="Other0"/>
              <w:spacing w:after="0" w:line="252" w:lineRule="auto"/>
              <w:jc w:val="both"/>
              <w:rPr>
                <w:rFonts w:ascii="Arial" w:hAnsi="Arial" w:cs="Arial"/>
              </w:rPr>
            </w:pPr>
            <w:r w:rsidRPr="002C1234">
              <w:rPr>
                <w:rFonts w:ascii="Arial" w:hAnsi="Arial" w:cs="Arial"/>
              </w:rPr>
              <w:t xml:space="preserve">Гранични стойности, несвързани </w:t>
            </w:r>
            <w:r w:rsidRPr="002C1234">
              <w:rPr>
                <w:rFonts w:ascii="Arial" w:hAnsi="Arial" w:cs="Arial"/>
                <w:lang w:bidi="en-US"/>
              </w:rPr>
              <w:t xml:space="preserve">c </w:t>
            </w:r>
            <w:r w:rsidRPr="002C1234">
              <w:rPr>
                <w:rFonts w:ascii="Arial" w:hAnsi="Arial" w:cs="Arial"/>
              </w:rPr>
              <w:t xml:space="preserve">определен вид </w:t>
            </w:r>
            <w:r w:rsidRPr="002C1234">
              <w:rPr>
                <w:rFonts w:ascii="Arial" w:hAnsi="Arial" w:cs="Arial"/>
                <w:lang w:bidi="en-US"/>
              </w:rPr>
              <w:t>(Non-species related breakpoints)*</w:t>
            </w:r>
          </w:p>
        </w:tc>
        <w:tc>
          <w:tcPr>
            <w:tcW w:w="2099" w:type="dxa"/>
            <w:tcBorders>
              <w:top w:val="single" w:sz="4" w:space="0" w:color="auto"/>
              <w:left w:val="single" w:sz="4" w:space="0" w:color="auto"/>
            </w:tcBorders>
            <w:shd w:val="clear" w:color="auto" w:fill="auto"/>
          </w:tcPr>
          <w:p w14:paraId="7C29DA5A" w14:textId="0AA1C625" w:rsidR="00B21C93" w:rsidRPr="00A31160" w:rsidRDefault="00B21C93" w:rsidP="00B21C93">
            <w:pPr>
              <w:pStyle w:val="Other0"/>
              <w:spacing w:after="0"/>
              <w:rPr>
                <w:rFonts w:ascii="Arial" w:hAnsi="Arial" w:cs="Arial"/>
                <w:lang w:val="en-US"/>
              </w:rPr>
            </w:pPr>
            <w:r w:rsidRPr="002C1234">
              <w:rPr>
                <w:rFonts w:ascii="Arial" w:hAnsi="Arial" w:cs="Arial"/>
                <w:lang w:bidi="en-US"/>
              </w:rPr>
              <w:t>≤ 0,5 mg/</w:t>
            </w:r>
            <w:r w:rsidR="00A31160">
              <w:rPr>
                <w:rFonts w:ascii="Arial" w:hAnsi="Arial" w:cs="Arial"/>
                <w:lang w:val="en-US" w:bidi="en-US"/>
              </w:rPr>
              <w:t>l</w:t>
            </w:r>
          </w:p>
        </w:tc>
        <w:tc>
          <w:tcPr>
            <w:tcW w:w="2898" w:type="dxa"/>
            <w:tcBorders>
              <w:top w:val="single" w:sz="4" w:space="0" w:color="auto"/>
              <w:left w:val="single" w:sz="4" w:space="0" w:color="auto"/>
              <w:right w:val="single" w:sz="4" w:space="0" w:color="auto"/>
            </w:tcBorders>
            <w:shd w:val="clear" w:color="auto" w:fill="auto"/>
          </w:tcPr>
          <w:p w14:paraId="6CAAA6BA" w14:textId="77777777" w:rsidR="00B21C93" w:rsidRPr="002C1234" w:rsidRDefault="00B21C93" w:rsidP="00B21C93">
            <w:pPr>
              <w:pStyle w:val="Other0"/>
              <w:spacing w:after="0"/>
              <w:rPr>
                <w:rFonts w:ascii="Arial" w:hAnsi="Arial" w:cs="Arial"/>
              </w:rPr>
            </w:pPr>
            <w:r w:rsidRPr="002C1234">
              <w:rPr>
                <w:rFonts w:ascii="Arial" w:hAnsi="Arial" w:cs="Arial"/>
                <w:lang w:bidi="en-US"/>
              </w:rPr>
              <w:t>&gt; 1,0 mg/l</w:t>
            </w:r>
          </w:p>
        </w:tc>
      </w:tr>
      <w:tr w:rsidR="00B21C93" w:rsidRPr="00941F31" w14:paraId="32C9E3A5" w14:textId="77777777" w:rsidTr="00B21C93">
        <w:trPr>
          <w:trHeight w:hRule="exact" w:val="2075"/>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14:paraId="329C5732" w14:textId="77777777" w:rsidR="00B21C93" w:rsidRPr="002C1234" w:rsidRDefault="00B21C93" w:rsidP="00B21C93">
            <w:pPr>
              <w:pStyle w:val="Other0"/>
              <w:spacing w:after="0" w:line="252" w:lineRule="auto"/>
              <w:jc w:val="both"/>
              <w:rPr>
                <w:rFonts w:ascii="Arial" w:hAnsi="Arial" w:cs="Arial"/>
              </w:rPr>
            </w:pPr>
            <w:r w:rsidRPr="002C1234">
              <w:rPr>
                <w:rFonts w:ascii="Arial" w:hAnsi="Arial" w:cs="Arial"/>
                <w:lang w:bidi="en-US"/>
              </w:rPr>
              <w:t xml:space="preserve">* </w:t>
            </w:r>
            <w:r w:rsidRPr="002C1234">
              <w:rPr>
                <w:rFonts w:ascii="Arial" w:hAnsi="Arial" w:cs="Arial"/>
              </w:rPr>
              <w:t xml:space="preserve">Гранични стойности, не-свързани с определен вид </w:t>
            </w:r>
            <w:r w:rsidRPr="002C1234">
              <w:rPr>
                <w:rFonts w:ascii="Arial" w:hAnsi="Arial" w:cs="Arial"/>
                <w:lang w:bidi="en-US"/>
              </w:rPr>
              <w:t xml:space="preserve">(Non-species related breakpoints), </w:t>
            </w:r>
            <w:r w:rsidRPr="002C1234">
              <w:rPr>
                <w:rFonts w:ascii="Arial" w:hAnsi="Arial" w:cs="Arial"/>
              </w:rPr>
              <w:t>са определени предимно въз основа на фармакокинетични- те/фармакодинамични данни и са независими от минималните инхибиращи концентрации при отделните микроорганизми. Те се използват само при видове, за които няма видово специфична гранична стойност и не се използват при видове, където критериите за интерпретиране предстои да бъдат определни.</w:t>
            </w:r>
          </w:p>
        </w:tc>
      </w:tr>
      <w:bookmarkEnd w:id="2"/>
    </w:tbl>
    <w:p w14:paraId="062EF98D" w14:textId="77777777" w:rsidR="00B21C93" w:rsidRPr="00941F31" w:rsidRDefault="00B21C93" w:rsidP="00B21C93">
      <w:pPr>
        <w:pStyle w:val="BodyText"/>
        <w:jc w:val="both"/>
        <w:rPr>
          <w:rFonts w:cs="Arial"/>
          <w:sz w:val="24"/>
          <w:szCs w:val="24"/>
          <w:u w:val="single"/>
        </w:rPr>
      </w:pPr>
    </w:p>
    <w:p w14:paraId="53284A12" w14:textId="77777777" w:rsidR="00B21C93" w:rsidRPr="00303303" w:rsidRDefault="00B21C93" w:rsidP="00303303">
      <w:pPr>
        <w:pStyle w:val="Heading3"/>
        <w:rPr>
          <w:u w:val="single"/>
        </w:rPr>
      </w:pPr>
      <w:r w:rsidRPr="00303303">
        <w:rPr>
          <w:u w:val="single"/>
        </w:rPr>
        <w:t>Микробиологична чувствителност</w:t>
      </w:r>
    </w:p>
    <w:p w14:paraId="4BAE890D" w14:textId="77777777" w:rsidR="00B21C93" w:rsidRPr="002C1234" w:rsidRDefault="00B21C93" w:rsidP="00B21C93">
      <w:pPr>
        <w:pStyle w:val="BodyText"/>
        <w:rPr>
          <w:rFonts w:cs="Arial"/>
        </w:rPr>
      </w:pPr>
      <w:r w:rsidRPr="002C1234">
        <w:rPr>
          <w:rFonts w:cs="Arial"/>
        </w:rPr>
        <w:t>Разпространението на придобитата резистентност може да варира в различните географски зони и с времето за избрани видове, желателно е наличие на локална информация за резистентностга, особено когато се лекуват тежки инфекции. При необходимост, трябва да бъде потърсен експертен съвет, когато местната резистентност поставя под въпрос използването на продукта поне при някои видове инфекции.</w:t>
      </w:r>
    </w:p>
    <w:tbl>
      <w:tblPr>
        <w:tblStyle w:val="TableGrid"/>
        <w:tblW w:w="9986" w:type="dxa"/>
        <w:tblLook w:val="0420" w:firstRow="1" w:lastRow="0" w:firstColumn="0" w:lastColumn="0" w:noHBand="0" w:noVBand="1"/>
      </w:tblPr>
      <w:tblGrid>
        <w:gridCol w:w="9986"/>
      </w:tblGrid>
      <w:tr w:rsidR="00B21C93" w:rsidRPr="002C1234" w14:paraId="2291151D" w14:textId="77777777" w:rsidTr="00B21C93">
        <w:trPr>
          <w:trHeight w:val="219"/>
        </w:trPr>
        <w:tc>
          <w:tcPr>
            <w:tcW w:w="9986" w:type="dxa"/>
          </w:tcPr>
          <w:p w14:paraId="01CCA2E0" w14:textId="77777777" w:rsidR="00B21C93" w:rsidRPr="002C1234" w:rsidRDefault="00B21C93" w:rsidP="00B21C93">
            <w:pPr>
              <w:pStyle w:val="BodyText"/>
              <w:tabs>
                <w:tab w:val="left" w:leader="underscore" w:pos="7510"/>
                <w:tab w:val="left" w:leader="underscore" w:pos="8374"/>
                <w:tab w:val="left" w:leader="underscore" w:pos="8480"/>
              </w:tabs>
              <w:spacing w:line="259" w:lineRule="auto"/>
              <w:jc w:val="both"/>
              <w:rPr>
                <w:rFonts w:cs="Arial"/>
              </w:rPr>
            </w:pPr>
            <w:r w:rsidRPr="002C1234">
              <w:rPr>
                <w:rFonts w:cs="Arial"/>
                <w:b/>
                <w:bCs/>
                <w:u w:val="single"/>
              </w:rPr>
              <w:t>Обикновено чувствителни видове</w:t>
            </w:r>
          </w:p>
        </w:tc>
      </w:tr>
      <w:tr w:rsidR="00B21C93" w:rsidRPr="002C1234" w14:paraId="64E5327D" w14:textId="77777777" w:rsidTr="00B21C93">
        <w:trPr>
          <w:trHeight w:val="1970"/>
        </w:trPr>
        <w:tc>
          <w:tcPr>
            <w:tcW w:w="9986" w:type="dxa"/>
          </w:tcPr>
          <w:p w14:paraId="32E3B3AF" w14:textId="77777777" w:rsidR="00B21C93" w:rsidRPr="002C1234" w:rsidRDefault="00B21C93" w:rsidP="00B21C93">
            <w:pPr>
              <w:pStyle w:val="BodyText"/>
              <w:spacing w:line="259" w:lineRule="auto"/>
              <w:rPr>
                <w:rFonts w:cs="Arial"/>
              </w:rPr>
            </w:pPr>
            <w:r w:rsidRPr="002C1234">
              <w:rPr>
                <w:rFonts w:cs="Arial"/>
                <w:u w:val="single"/>
              </w:rPr>
              <w:lastRenderedPageBreak/>
              <w:t>Аеробни Грам-положителни микроорганизми</w:t>
            </w:r>
          </w:p>
          <w:p w14:paraId="64710941" w14:textId="77777777" w:rsidR="00B21C93" w:rsidRPr="002C1234" w:rsidRDefault="00B21C93" w:rsidP="00B21C93">
            <w:pPr>
              <w:pStyle w:val="BodyText"/>
              <w:spacing w:line="259" w:lineRule="auto"/>
              <w:rPr>
                <w:rFonts w:cs="Arial"/>
              </w:rPr>
            </w:pPr>
            <w:r w:rsidRPr="002C1234">
              <w:rPr>
                <w:rFonts w:cs="Arial"/>
                <w:i/>
                <w:iCs/>
                <w:lang w:bidi="en-US"/>
              </w:rPr>
              <w:t>Gardnerella vaginalis</w:t>
            </w:r>
          </w:p>
          <w:p w14:paraId="5F7CE3CB" w14:textId="77777777" w:rsidR="00B21C93" w:rsidRPr="002C1234" w:rsidRDefault="00B21C93" w:rsidP="00B21C93">
            <w:pPr>
              <w:pStyle w:val="BodyText"/>
              <w:rPr>
                <w:rFonts w:cs="Arial"/>
              </w:rPr>
            </w:pPr>
            <w:r w:rsidRPr="002C1234">
              <w:rPr>
                <w:rFonts w:cs="Arial"/>
                <w:i/>
                <w:iCs/>
                <w:lang w:bidi="en-US"/>
              </w:rPr>
              <w:t>Staphylococcus aureus*</w:t>
            </w:r>
            <w:r w:rsidRPr="002C1234">
              <w:rPr>
                <w:rFonts w:cs="Arial"/>
                <w:lang w:bidi="en-US"/>
              </w:rPr>
              <w:t xml:space="preserve"> </w:t>
            </w:r>
            <w:r w:rsidRPr="002C1234">
              <w:rPr>
                <w:rFonts w:cs="Arial"/>
              </w:rPr>
              <w:t>(метицилин-чувствителен)</w:t>
            </w:r>
          </w:p>
          <w:p w14:paraId="553BD323" w14:textId="77777777" w:rsidR="00B21C93" w:rsidRPr="002C1234" w:rsidRDefault="00B21C93" w:rsidP="00B21C93">
            <w:pPr>
              <w:pStyle w:val="BodyText"/>
              <w:rPr>
                <w:rFonts w:cs="Arial"/>
              </w:rPr>
            </w:pPr>
            <w:r w:rsidRPr="002C1234">
              <w:rPr>
                <w:rFonts w:cs="Arial"/>
                <w:i/>
                <w:iCs/>
                <w:lang w:bidi="en-US"/>
              </w:rPr>
              <w:t>Streptococcus agalactiae</w:t>
            </w:r>
            <w:r w:rsidRPr="002C1234">
              <w:rPr>
                <w:rFonts w:cs="Arial"/>
                <w:lang w:bidi="en-US"/>
              </w:rPr>
              <w:t xml:space="preserve"> </w:t>
            </w:r>
            <w:r w:rsidRPr="002C1234">
              <w:rPr>
                <w:rFonts w:cs="Arial"/>
              </w:rPr>
              <w:t>(група В)</w:t>
            </w:r>
          </w:p>
          <w:p w14:paraId="731FD13C" w14:textId="77777777" w:rsidR="00B21C93" w:rsidRPr="002C1234" w:rsidRDefault="00B21C93" w:rsidP="00B21C93">
            <w:pPr>
              <w:pStyle w:val="BodyText"/>
              <w:spacing w:line="259" w:lineRule="auto"/>
              <w:jc w:val="both"/>
              <w:rPr>
                <w:rFonts w:cs="Arial"/>
              </w:rPr>
            </w:pPr>
            <w:r w:rsidRPr="002C1234">
              <w:rPr>
                <w:rFonts w:cs="Arial"/>
                <w:i/>
                <w:iCs/>
                <w:lang w:bidi="en-US"/>
              </w:rPr>
              <w:t xml:space="preserve">Streptococcus milleri </w:t>
            </w:r>
            <w:r w:rsidRPr="002C1234">
              <w:rPr>
                <w:rFonts w:cs="Arial"/>
                <w:i/>
                <w:iCs/>
              </w:rPr>
              <w:t xml:space="preserve">група* </w:t>
            </w:r>
            <w:r w:rsidRPr="002C1234">
              <w:rPr>
                <w:rFonts w:cs="Arial"/>
                <w:i/>
                <w:iCs/>
                <w:lang w:bidi="en-US"/>
              </w:rPr>
              <w:t>(S. anginosus, S. constellatus u S. intermedius)</w:t>
            </w:r>
          </w:p>
          <w:p w14:paraId="26AADDBD" w14:textId="77777777" w:rsidR="00B21C93" w:rsidRPr="002C1234" w:rsidRDefault="00B21C93" w:rsidP="00B21C93">
            <w:pPr>
              <w:pStyle w:val="BodyText"/>
              <w:spacing w:line="259" w:lineRule="auto"/>
              <w:jc w:val="both"/>
              <w:rPr>
                <w:rFonts w:cs="Arial"/>
              </w:rPr>
            </w:pPr>
            <w:r w:rsidRPr="002C1234">
              <w:rPr>
                <w:rFonts w:cs="Arial"/>
                <w:i/>
                <w:iCs/>
                <w:lang w:bidi="en-US"/>
              </w:rPr>
              <w:t>Streptococcus pneumoniae*</w:t>
            </w:r>
          </w:p>
          <w:p w14:paraId="040967B7" w14:textId="77777777" w:rsidR="00B21C93" w:rsidRPr="002C1234" w:rsidRDefault="00B21C93" w:rsidP="00B21C93">
            <w:pPr>
              <w:pStyle w:val="BodyText"/>
              <w:spacing w:line="259" w:lineRule="auto"/>
              <w:rPr>
                <w:rFonts w:cs="Arial"/>
              </w:rPr>
            </w:pPr>
            <w:r w:rsidRPr="002C1234">
              <w:rPr>
                <w:rFonts w:cs="Arial"/>
                <w:i/>
                <w:iCs/>
                <w:lang w:bidi="en-US"/>
              </w:rPr>
              <w:t>Streptococcus pyogenes*</w:t>
            </w:r>
            <w:r w:rsidRPr="002C1234">
              <w:rPr>
                <w:rFonts w:cs="Arial"/>
                <w:lang w:bidi="en-US"/>
              </w:rPr>
              <w:t xml:space="preserve"> </w:t>
            </w:r>
            <w:r w:rsidRPr="002C1234">
              <w:rPr>
                <w:rFonts w:cs="Arial"/>
              </w:rPr>
              <w:t xml:space="preserve">(група </w:t>
            </w:r>
            <w:r w:rsidRPr="002C1234">
              <w:rPr>
                <w:rFonts w:cs="Arial"/>
                <w:lang w:bidi="en-US"/>
              </w:rPr>
              <w:t>A)</w:t>
            </w:r>
          </w:p>
          <w:p w14:paraId="77DC98F7" w14:textId="77777777" w:rsidR="00B21C93" w:rsidRPr="002C1234" w:rsidRDefault="00B21C93" w:rsidP="00B21C93">
            <w:pPr>
              <w:pStyle w:val="BodyText"/>
              <w:tabs>
                <w:tab w:val="left" w:leader="underscore" w:pos="6368"/>
                <w:tab w:val="left" w:leader="underscore" w:pos="7510"/>
                <w:tab w:val="left" w:leader="underscore" w:pos="8738"/>
              </w:tabs>
              <w:spacing w:line="259" w:lineRule="auto"/>
              <w:jc w:val="both"/>
              <w:rPr>
                <w:rFonts w:cs="Arial"/>
              </w:rPr>
            </w:pPr>
            <w:r w:rsidRPr="002C1234">
              <w:rPr>
                <w:rFonts w:cs="Arial"/>
                <w:i/>
                <w:iCs/>
                <w:lang w:bidi="en-US"/>
              </w:rPr>
              <w:t>Streptococcus viridans</w:t>
            </w:r>
            <w:r w:rsidRPr="002C1234">
              <w:rPr>
                <w:rFonts w:cs="Arial"/>
                <w:lang w:bidi="en-US"/>
              </w:rPr>
              <w:t xml:space="preserve"> </w:t>
            </w:r>
            <w:r w:rsidRPr="002C1234">
              <w:rPr>
                <w:rFonts w:cs="Arial"/>
              </w:rPr>
              <w:t xml:space="preserve">група </w:t>
            </w:r>
            <w:r w:rsidRPr="002C1234">
              <w:rPr>
                <w:rFonts w:cs="Arial"/>
                <w:i/>
                <w:iCs/>
                <w:lang w:bidi="en-US"/>
              </w:rPr>
              <w:t xml:space="preserve">(S. viridans, S. mutans, S. mitis, S. sanguinis, S. salivarius, S </w:t>
            </w:r>
            <w:r w:rsidRPr="002C1234">
              <w:rPr>
                <w:rFonts w:cs="Arial"/>
                <w:i/>
                <w:iCs/>
                <w:u w:val="single"/>
                <w:lang w:bidi="en-US"/>
              </w:rPr>
              <w:t>thermophilus)</w:t>
            </w:r>
          </w:p>
        </w:tc>
      </w:tr>
      <w:tr w:rsidR="00B21C93" w:rsidRPr="002C1234" w14:paraId="261A7CDB" w14:textId="77777777" w:rsidTr="00B21C93">
        <w:trPr>
          <w:trHeight w:val="1948"/>
        </w:trPr>
        <w:tc>
          <w:tcPr>
            <w:tcW w:w="9986" w:type="dxa"/>
          </w:tcPr>
          <w:p w14:paraId="47CEE1DE" w14:textId="77777777" w:rsidR="00B21C93" w:rsidRPr="002C1234" w:rsidRDefault="00B21C93" w:rsidP="00B21C93">
            <w:pPr>
              <w:pStyle w:val="BodyText"/>
              <w:spacing w:line="259" w:lineRule="auto"/>
              <w:jc w:val="both"/>
              <w:rPr>
                <w:rFonts w:cs="Arial"/>
              </w:rPr>
            </w:pPr>
            <w:r w:rsidRPr="002C1234">
              <w:rPr>
                <w:rFonts w:cs="Arial"/>
                <w:u w:val="single"/>
              </w:rPr>
              <w:t>Аеробни Грам-отрицателни микроорганизми</w:t>
            </w:r>
          </w:p>
          <w:p w14:paraId="66BBD02C" w14:textId="77777777" w:rsidR="00B21C93" w:rsidRPr="002C1234" w:rsidRDefault="00B21C93" w:rsidP="00B21C93">
            <w:pPr>
              <w:pStyle w:val="BodyText"/>
              <w:spacing w:line="259" w:lineRule="auto"/>
              <w:jc w:val="both"/>
              <w:rPr>
                <w:rFonts w:cs="Arial"/>
              </w:rPr>
            </w:pPr>
            <w:r w:rsidRPr="002C1234">
              <w:rPr>
                <w:rFonts w:cs="Arial"/>
                <w:i/>
                <w:iCs/>
                <w:lang w:bidi="en-US"/>
              </w:rPr>
              <w:t>Acinetobacter baumanii</w:t>
            </w:r>
          </w:p>
          <w:p w14:paraId="4E2E0F9C" w14:textId="77777777" w:rsidR="00B21C93" w:rsidRPr="002C1234" w:rsidRDefault="00B21C93" w:rsidP="00B21C93">
            <w:pPr>
              <w:pStyle w:val="BodyText"/>
              <w:spacing w:line="259" w:lineRule="auto"/>
              <w:jc w:val="both"/>
              <w:rPr>
                <w:rFonts w:cs="Arial"/>
              </w:rPr>
            </w:pPr>
            <w:r w:rsidRPr="002C1234">
              <w:rPr>
                <w:rFonts w:cs="Arial"/>
                <w:i/>
                <w:iCs/>
                <w:lang w:bidi="en-US"/>
              </w:rPr>
              <w:t>Haemophilus influenzae*</w:t>
            </w:r>
          </w:p>
          <w:p w14:paraId="5819B587" w14:textId="77777777" w:rsidR="00B21C93" w:rsidRPr="002C1234" w:rsidRDefault="00B21C93" w:rsidP="00B21C93">
            <w:pPr>
              <w:pStyle w:val="BodyText"/>
              <w:spacing w:line="259" w:lineRule="auto"/>
              <w:jc w:val="both"/>
              <w:rPr>
                <w:rFonts w:cs="Arial"/>
              </w:rPr>
            </w:pPr>
            <w:r w:rsidRPr="002C1234">
              <w:rPr>
                <w:rFonts w:cs="Arial"/>
                <w:i/>
                <w:iCs/>
                <w:lang w:bidi="en-US"/>
              </w:rPr>
              <w:t>Haemophilusparainfluenzae*</w:t>
            </w:r>
          </w:p>
          <w:p w14:paraId="6D55DE6C" w14:textId="77777777" w:rsidR="00B21C93" w:rsidRPr="002C1234" w:rsidRDefault="00B21C93" w:rsidP="00B21C93">
            <w:pPr>
              <w:pStyle w:val="BodyText"/>
              <w:tabs>
                <w:tab w:val="left" w:pos="7510"/>
              </w:tabs>
              <w:spacing w:line="259" w:lineRule="auto"/>
              <w:jc w:val="both"/>
              <w:rPr>
                <w:rFonts w:cs="Arial"/>
              </w:rPr>
            </w:pPr>
            <w:r w:rsidRPr="002C1234">
              <w:rPr>
                <w:rFonts w:cs="Arial"/>
                <w:i/>
                <w:iCs/>
                <w:lang w:bidi="en-US"/>
              </w:rPr>
              <w:t>Legionella pneumophila</w:t>
            </w:r>
          </w:p>
          <w:p w14:paraId="1242C209" w14:textId="77777777" w:rsidR="00B21C93" w:rsidRPr="002C1234" w:rsidRDefault="00B21C93" w:rsidP="00B21C93">
            <w:pPr>
              <w:pStyle w:val="Tableofcontents0"/>
              <w:tabs>
                <w:tab w:val="left" w:leader="underscore" w:pos="7510"/>
              </w:tabs>
              <w:spacing w:after="0" w:line="259" w:lineRule="auto"/>
              <w:jc w:val="both"/>
              <w:rPr>
                <w:rFonts w:ascii="Arial" w:hAnsi="Arial" w:cs="Arial"/>
                <w:i/>
                <w:iCs/>
                <w:u w:val="single"/>
                <w:lang w:bidi="en-US"/>
              </w:rPr>
            </w:pPr>
            <w:r w:rsidRPr="002C1234">
              <w:rPr>
                <w:rFonts w:ascii="Arial" w:hAnsi="Arial" w:cs="Arial"/>
                <w:i/>
                <w:iCs/>
                <w:u w:val="single"/>
                <w:lang w:bidi="en-US"/>
              </w:rPr>
              <w:t>Moraxella(Branhamella) catarrhalis*</w:t>
            </w:r>
          </w:p>
        </w:tc>
      </w:tr>
      <w:tr w:rsidR="00B21C93" w:rsidRPr="002C1234" w14:paraId="1CA41CED" w14:textId="77777777" w:rsidTr="00B21C93">
        <w:trPr>
          <w:trHeight w:val="984"/>
        </w:trPr>
        <w:tc>
          <w:tcPr>
            <w:tcW w:w="9986" w:type="dxa"/>
          </w:tcPr>
          <w:p w14:paraId="6134B021" w14:textId="77777777" w:rsidR="00B21C93" w:rsidRPr="002C1234" w:rsidRDefault="00B21C93" w:rsidP="00B21C93">
            <w:pPr>
              <w:pStyle w:val="Tableofcontents0"/>
              <w:tabs>
                <w:tab w:val="left" w:pos="7510"/>
                <w:tab w:val="left" w:pos="8738"/>
              </w:tabs>
              <w:spacing w:after="0" w:line="259" w:lineRule="auto"/>
              <w:jc w:val="both"/>
              <w:rPr>
                <w:rFonts w:ascii="Arial" w:hAnsi="Arial" w:cs="Arial"/>
              </w:rPr>
            </w:pPr>
            <w:r w:rsidRPr="002C1234">
              <w:rPr>
                <w:rFonts w:ascii="Arial" w:hAnsi="Arial" w:cs="Arial"/>
                <w:u w:val="single"/>
              </w:rPr>
              <w:t>Анаеробни микроорганизми</w:t>
            </w:r>
          </w:p>
          <w:p w14:paraId="3D55C246" w14:textId="77777777" w:rsidR="00B21C93" w:rsidRPr="002C1234" w:rsidRDefault="00B21C93" w:rsidP="00B21C93">
            <w:pPr>
              <w:pStyle w:val="BodyText"/>
              <w:rPr>
                <w:rFonts w:cs="Arial"/>
                <w:i/>
                <w:iCs/>
                <w:lang w:bidi="en-US"/>
              </w:rPr>
            </w:pPr>
            <w:r w:rsidRPr="002C1234">
              <w:rPr>
                <w:rFonts w:cs="Arial"/>
                <w:i/>
                <w:iCs/>
                <w:lang w:bidi="en-US"/>
              </w:rPr>
              <w:t>Fusobacterium spp</w:t>
            </w:r>
          </w:p>
          <w:p w14:paraId="1E0ABA91" w14:textId="77777777" w:rsidR="00B21C93" w:rsidRPr="002C1234" w:rsidRDefault="00B21C93" w:rsidP="00B21C93">
            <w:pPr>
              <w:pStyle w:val="BodyText"/>
              <w:rPr>
                <w:rFonts w:cs="Arial"/>
                <w:i/>
                <w:iCs/>
                <w:lang w:bidi="en-US"/>
              </w:rPr>
            </w:pPr>
            <w:r w:rsidRPr="002C1234">
              <w:rPr>
                <w:rFonts w:cs="Arial"/>
                <w:i/>
                <w:iCs/>
                <w:u w:val="single"/>
                <w:lang w:bidi="en-US"/>
              </w:rPr>
              <w:t>Prevotella spp.</w:t>
            </w:r>
          </w:p>
        </w:tc>
      </w:tr>
    </w:tbl>
    <w:p w14:paraId="5EF6782D" w14:textId="77777777" w:rsidR="00B21C93" w:rsidRPr="002C1234" w:rsidRDefault="00B21C93" w:rsidP="00B21C93">
      <w:pPr>
        <w:spacing w:after="120"/>
        <w:rPr>
          <w:rFonts w:ascii="Arial" w:hAnsi="Arial" w:cs="Arial"/>
        </w:rPr>
      </w:pPr>
    </w:p>
    <w:tbl>
      <w:tblPr>
        <w:tblOverlap w:val="never"/>
        <w:tblW w:w="0" w:type="auto"/>
        <w:tblLayout w:type="fixed"/>
        <w:tblCellMar>
          <w:left w:w="10" w:type="dxa"/>
          <w:right w:w="10" w:type="dxa"/>
        </w:tblCellMar>
        <w:tblLook w:val="04A0" w:firstRow="1" w:lastRow="0" w:firstColumn="1" w:lastColumn="0" w:noHBand="0" w:noVBand="1"/>
      </w:tblPr>
      <w:tblGrid>
        <w:gridCol w:w="9762"/>
      </w:tblGrid>
      <w:tr w:rsidR="00B21C93" w:rsidRPr="002C1234" w14:paraId="0519D14D" w14:textId="77777777" w:rsidTr="00B21C93">
        <w:trPr>
          <w:trHeight w:hRule="exact" w:val="2103"/>
        </w:trPr>
        <w:tc>
          <w:tcPr>
            <w:tcW w:w="9762" w:type="dxa"/>
            <w:tcBorders>
              <w:top w:val="single" w:sz="4" w:space="0" w:color="auto"/>
              <w:left w:val="single" w:sz="4" w:space="0" w:color="auto"/>
              <w:right w:val="single" w:sz="4" w:space="0" w:color="auto"/>
            </w:tcBorders>
            <w:shd w:val="clear" w:color="auto" w:fill="auto"/>
          </w:tcPr>
          <w:p w14:paraId="306D4C83" w14:textId="77777777" w:rsidR="00B21C93" w:rsidRPr="002C1234" w:rsidRDefault="00B21C93" w:rsidP="00B21C93">
            <w:pPr>
              <w:pStyle w:val="Other0"/>
              <w:spacing w:after="0"/>
              <w:rPr>
                <w:rFonts w:ascii="Arial" w:hAnsi="Arial" w:cs="Arial"/>
              </w:rPr>
            </w:pPr>
            <w:r w:rsidRPr="002C1234">
              <w:rPr>
                <w:rFonts w:ascii="Arial" w:hAnsi="Arial" w:cs="Arial"/>
                <w:u w:val="single"/>
              </w:rPr>
              <w:t>''Други“ микроорганизми</w:t>
            </w:r>
          </w:p>
          <w:p w14:paraId="6C1D0239"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Chlamydophila (Chlamydia) pneumoniae*</w:t>
            </w:r>
          </w:p>
          <w:p w14:paraId="2FEB2D3C"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Chlamydia trachomatis*</w:t>
            </w:r>
          </w:p>
          <w:p w14:paraId="6C331942"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Coxiella bumettii</w:t>
            </w:r>
          </w:p>
          <w:p w14:paraId="7F5CD73C"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Mycoplasma genitalium</w:t>
            </w:r>
          </w:p>
          <w:p w14:paraId="27BA061E"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Mycoplasma hominis</w:t>
            </w:r>
          </w:p>
          <w:p w14:paraId="26898757"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Mycoplasma pneumoniae*</w:t>
            </w:r>
          </w:p>
        </w:tc>
      </w:tr>
      <w:tr w:rsidR="00B21C93" w:rsidRPr="002C1234" w14:paraId="0C4A06EB" w14:textId="77777777" w:rsidTr="00B21C93">
        <w:trPr>
          <w:trHeight w:hRule="exact" w:val="315"/>
        </w:trPr>
        <w:tc>
          <w:tcPr>
            <w:tcW w:w="9762" w:type="dxa"/>
            <w:tcBorders>
              <w:top w:val="single" w:sz="4" w:space="0" w:color="auto"/>
              <w:left w:val="single" w:sz="4" w:space="0" w:color="auto"/>
              <w:right w:val="single" w:sz="4" w:space="0" w:color="auto"/>
            </w:tcBorders>
            <w:shd w:val="clear" w:color="auto" w:fill="auto"/>
          </w:tcPr>
          <w:p w14:paraId="4A7F2F65" w14:textId="77777777" w:rsidR="00B21C93" w:rsidRPr="002C1234" w:rsidRDefault="00B21C93" w:rsidP="00B21C93">
            <w:pPr>
              <w:pStyle w:val="Other0"/>
              <w:spacing w:after="0"/>
              <w:rPr>
                <w:rFonts w:ascii="Arial" w:hAnsi="Arial" w:cs="Arial"/>
              </w:rPr>
            </w:pPr>
            <w:r w:rsidRPr="002C1234">
              <w:rPr>
                <w:rFonts w:ascii="Arial" w:hAnsi="Arial" w:cs="Arial"/>
                <w:b/>
                <w:bCs/>
              </w:rPr>
              <w:t>Видове, при които придобитата резистентност може да е проблем</w:t>
            </w:r>
          </w:p>
        </w:tc>
      </w:tr>
      <w:tr w:rsidR="00B21C93" w:rsidRPr="002C1234" w14:paraId="31D427AC" w14:textId="77777777" w:rsidTr="00B21C93">
        <w:trPr>
          <w:trHeight w:hRule="exact" w:val="1186"/>
        </w:trPr>
        <w:tc>
          <w:tcPr>
            <w:tcW w:w="9762" w:type="dxa"/>
            <w:tcBorders>
              <w:top w:val="single" w:sz="4" w:space="0" w:color="auto"/>
              <w:left w:val="single" w:sz="4" w:space="0" w:color="auto"/>
              <w:right w:val="single" w:sz="4" w:space="0" w:color="auto"/>
            </w:tcBorders>
            <w:shd w:val="clear" w:color="auto" w:fill="auto"/>
          </w:tcPr>
          <w:p w14:paraId="0EF814F4" w14:textId="77777777" w:rsidR="00B21C93" w:rsidRPr="002C1234" w:rsidRDefault="00B21C93" w:rsidP="00B21C93">
            <w:pPr>
              <w:pStyle w:val="Other0"/>
              <w:spacing w:after="0"/>
              <w:rPr>
                <w:rFonts w:ascii="Arial" w:hAnsi="Arial" w:cs="Arial"/>
              </w:rPr>
            </w:pPr>
            <w:r w:rsidRPr="002C1234">
              <w:rPr>
                <w:rFonts w:ascii="Arial" w:hAnsi="Arial" w:cs="Arial"/>
                <w:u w:val="single"/>
              </w:rPr>
              <w:t>Аеробни Грам-положителни микроорганизми</w:t>
            </w:r>
          </w:p>
          <w:p w14:paraId="5E48953A"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Enterococcus faecalis*</w:t>
            </w:r>
          </w:p>
          <w:p w14:paraId="2191C1F1"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Enterococcus faecium*</w:t>
            </w:r>
          </w:p>
          <w:p w14:paraId="6FC9F54B"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Staphylococcus aureus</w:t>
            </w:r>
            <w:r w:rsidRPr="002C1234">
              <w:rPr>
                <w:rFonts w:ascii="Arial" w:hAnsi="Arial" w:cs="Arial"/>
                <w:lang w:bidi="en-US"/>
              </w:rPr>
              <w:t xml:space="preserve"> </w:t>
            </w:r>
            <w:r w:rsidRPr="002C1234">
              <w:rPr>
                <w:rFonts w:ascii="Arial" w:hAnsi="Arial" w:cs="Arial"/>
              </w:rPr>
              <w:t>(метицилин-резистентен)</w:t>
            </w:r>
            <w:r w:rsidRPr="002C1234">
              <w:rPr>
                <w:rFonts w:ascii="Arial" w:hAnsi="Arial" w:cs="Arial"/>
                <w:vertAlign w:val="superscript"/>
              </w:rPr>
              <w:t>+</w:t>
            </w:r>
          </w:p>
        </w:tc>
      </w:tr>
      <w:tr w:rsidR="00B21C93" w:rsidRPr="002C1234" w14:paraId="78295B58" w14:textId="77777777" w:rsidTr="00B21C93">
        <w:trPr>
          <w:trHeight w:hRule="exact" w:val="2091"/>
        </w:trPr>
        <w:tc>
          <w:tcPr>
            <w:tcW w:w="9762" w:type="dxa"/>
            <w:tcBorders>
              <w:top w:val="single" w:sz="4" w:space="0" w:color="auto"/>
              <w:left w:val="single" w:sz="4" w:space="0" w:color="auto"/>
              <w:right w:val="single" w:sz="4" w:space="0" w:color="auto"/>
            </w:tcBorders>
            <w:shd w:val="clear" w:color="auto" w:fill="auto"/>
          </w:tcPr>
          <w:p w14:paraId="3302BAD7" w14:textId="77777777" w:rsidR="00B21C93" w:rsidRPr="002C1234" w:rsidRDefault="00B21C93" w:rsidP="00B21C93">
            <w:pPr>
              <w:pStyle w:val="Other0"/>
              <w:spacing w:after="0"/>
              <w:rPr>
                <w:rFonts w:ascii="Arial" w:hAnsi="Arial" w:cs="Arial"/>
              </w:rPr>
            </w:pPr>
            <w:r w:rsidRPr="002C1234">
              <w:rPr>
                <w:rFonts w:ascii="Arial" w:hAnsi="Arial" w:cs="Arial"/>
                <w:u w:val="single"/>
              </w:rPr>
              <w:t>Аеробни Грам-отрицателни микроорганизми</w:t>
            </w:r>
          </w:p>
          <w:p w14:paraId="0AC69D48"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Enterobacter cloacae *</w:t>
            </w:r>
          </w:p>
          <w:p w14:paraId="008C781A"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Escherichia coli*</w:t>
            </w:r>
            <w:r w:rsidRPr="002C1234">
              <w:rPr>
                <w:rFonts w:ascii="Arial" w:hAnsi="Arial" w:cs="Arial"/>
                <w:i/>
                <w:iCs/>
                <w:vertAlign w:val="superscript"/>
                <w:lang w:bidi="en-US"/>
              </w:rPr>
              <w:t>:</w:t>
            </w:r>
            <w:r w:rsidRPr="002C1234">
              <w:rPr>
                <w:rFonts w:ascii="Arial" w:hAnsi="Arial" w:cs="Arial"/>
                <w:i/>
                <w:iCs/>
                <w:lang w:bidi="en-US"/>
              </w:rPr>
              <w:t>'</w:t>
            </w:r>
          </w:p>
          <w:p w14:paraId="27E81F9D"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Klebsiela oxytoca</w:t>
            </w:r>
          </w:p>
          <w:p w14:paraId="0F119D49"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Klebsiella pneumoniae*</w:t>
            </w:r>
          </w:p>
          <w:p w14:paraId="31CBB0EE"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Neisseria gonorrhoeae *</w:t>
            </w:r>
            <w:r w:rsidRPr="002C1234">
              <w:rPr>
                <w:rFonts w:ascii="Arial" w:hAnsi="Arial" w:cs="Arial"/>
                <w:i/>
                <w:iCs/>
                <w:vertAlign w:val="superscript"/>
                <w:lang w:bidi="en-US"/>
              </w:rPr>
              <w:t>+</w:t>
            </w:r>
          </w:p>
          <w:p w14:paraId="6E4F6D84"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Proteus mirabilis*</w:t>
            </w:r>
          </w:p>
        </w:tc>
      </w:tr>
      <w:tr w:rsidR="00B21C93" w:rsidRPr="002C1234" w14:paraId="1D94BEC4" w14:textId="77777777" w:rsidTr="00B21C93">
        <w:trPr>
          <w:trHeight w:hRule="exact" w:val="899"/>
        </w:trPr>
        <w:tc>
          <w:tcPr>
            <w:tcW w:w="9762" w:type="dxa"/>
            <w:tcBorders>
              <w:top w:val="single" w:sz="4" w:space="0" w:color="auto"/>
              <w:left w:val="single" w:sz="4" w:space="0" w:color="auto"/>
              <w:right w:val="single" w:sz="4" w:space="0" w:color="auto"/>
            </w:tcBorders>
            <w:shd w:val="clear" w:color="auto" w:fill="auto"/>
          </w:tcPr>
          <w:p w14:paraId="0E473377" w14:textId="77777777" w:rsidR="009564D3" w:rsidRDefault="00B21C93" w:rsidP="00B21C93">
            <w:pPr>
              <w:pStyle w:val="Other0"/>
              <w:spacing w:after="0"/>
              <w:rPr>
                <w:rFonts w:ascii="Arial" w:hAnsi="Arial" w:cs="Arial"/>
              </w:rPr>
            </w:pPr>
            <w:r w:rsidRPr="002C1234">
              <w:rPr>
                <w:rFonts w:ascii="Arial" w:hAnsi="Arial" w:cs="Arial"/>
              </w:rPr>
              <w:t xml:space="preserve">Анаеробни микроорганизми </w:t>
            </w:r>
          </w:p>
          <w:p w14:paraId="4F037B30" w14:textId="77777777" w:rsidR="009564D3" w:rsidRDefault="00B21C93" w:rsidP="00B21C93">
            <w:pPr>
              <w:pStyle w:val="Other0"/>
              <w:spacing w:after="0"/>
              <w:rPr>
                <w:rFonts w:ascii="Arial" w:hAnsi="Arial" w:cs="Arial"/>
                <w:i/>
                <w:iCs/>
                <w:lang w:bidi="en-US"/>
              </w:rPr>
            </w:pPr>
            <w:r w:rsidRPr="002C1234">
              <w:rPr>
                <w:rFonts w:ascii="Arial" w:hAnsi="Arial" w:cs="Arial"/>
                <w:i/>
                <w:iCs/>
                <w:lang w:bidi="en-US"/>
              </w:rPr>
              <w:t>Bacteroides fragilis *</w:t>
            </w:r>
          </w:p>
          <w:p w14:paraId="65A24743" w14:textId="5399B63B" w:rsidR="00B21C93" w:rsidRPr="002C1234" w:rsidRDefault="00B21C93" w:rsidP="00B21C93">
            <w:pPr>
              <w:pStyle w:val="Other0"/>
              <w:spacing w:after="0"/>
              <w:rPr>
                <w:rFonts w:ascii="Arial" w:hAnsi="Arial" w:cs="Arial"/>
              </w:rPr>
            </w:pPr>
            <w:r w:rsidRPr="002C1234">
              <w:rPr>
                <w:rFonts w:ascii="Arial" w:hAnsi="Arial" w:cs="Arial"/>
                <w:i/>
                <w:iCs/>
                <w:lang w:bidi="en-US"/>
              </w:rPr>
              <w:t>Peptostreptococcus</w:t>
            </w:r>
            <w:r w:rsidRPr="002C1234">
              <w:rPr>
                <w:rFonts w:ascii="Arial" w:hAnsi="Arial" w:cs="Arial"/>
                <w:lang w:bidi="en-US"/>
              </w:rPr>
              <w:t xml:space="preserve"> spp.*</w:t>
            </w:r>
          </w:p>
        </w:tc>
      </w:tr>
      <w:tr w:rsidR="00B21C93" w:rsidRPr="002C1234" w14:paraId="076F1741" w14:textId="77777777" w:rsidTr="00B21C93">
        <w:trPr>
          <w:trHeight w:hRule="exact" w:val="303"/>
        </w:trPr>
        <w:tc>
          <w:tcPr>
            <w:tcW w:w="9762" w:type="dxa"/>
            <w:tcBorders>
              <w:top w:val="single" w:sz="4" w:space="0" w:color="auto"/>
              <w:left w:val="single" w:sz="4" w:space="0" w:color="auto"/>
              <w:right w:val="single" w:sz="4" w:space="0" w:color="auto"/>
            </w:tcBorders>
            <w:shd w:val="clear" w:color="auto" w:fill="auto"/>
          </w:tcPr>
          <w:p w14:paraId="6E672E7B" w14:textId="77777777" w:rsidR="00B21C93" w:rsidRPr="002C1234" w:rsidRDefault="00B21C93" w:rsidP="00B21C93">
            <w:pPr>
              <w:pStyle w:val="Other0"/>
              <w:spacing w:after="0"/>
              <w:rPr>
                <w:rFonts w:ascii="Arial" w:hAnsi="Arial" w:cs="Arial"/>
              </w:rPr>
            </w:pPr>
            <w:r w:rsidRPr="002C1234">
              <w:rPr>
                <w:rFonts w:ascii="Arial" w:hAnsi="Arial" w:cs="Arial"/>
                <w:b/>
                <w:bCs/>
              </w:rPr>
              <w:t>Наследствено резистентни микроорганизми</w:t>
            </w:r>
          </w:p>
        </w:tc>
      </w:tr>
      <w:tr w:rsidR="00B21C93" w:rsidRPr="002C1234" w14:paraId="7148B105" w14:textId="77777777" w:rsidTr="00B21C93">
        <w:trPr>
          <w:trHeight w:hRule="exact" w:val="608"/>
        </w:trPr>
        <w:tc>
          <w:tcPr>
            <w:tcW w:w="9762" w:type="dxa"/>
            <w:tcBorders>
              <w:top w:val="single" w:sz="4" w:space="0" w:color="auto"/>
              <w:left w:val="single" w:sz="4" w:space="0" w:color="auto"/>
              <w:right w:val="single" w:sz="4" w:space="0" w:color="auto"/>
            </w:tcBorders>
            <w:shd w:val="clear" w:color="auto" w:fill="auto"/>
          </w:tcPr>
          <w:p w14:paraId="4BDBC1C0" w14:textId="77777777" w:rsidR="00B21C93" w:rsidRPr="002C1234" w:rsidRDefault="00B21C93" w:rsidP="00B21C93">
            <w:pPr>
              <w:pStyle w:val="Other0"/>
              <w:spacing w:after="0"/>
              <w:rPr>
                <w:rFonts w:ascii="Arial" w:hAnsi="Arial" w:cs="Arial"/>
              </w:rPr>
            </w:pPr>
            <w:r w:rsidRPr="002C1234">
              <w:rPr>
                <w:rFonts w:ascii="Arial" w:hAnsi="Arial" w:cs="Arial"/>
                <w:u w:val="single"/>
              </w:rPr>
              <w:t>Аеробни Грам-отрицателни микроорганизми</w:t>
            </w:r>
          </w:p>
          <w:p w14:paraId="48A4B1E0" w14:textId="77777777" w:rsidR="00B21C93" w:rsidRPr="002C1234" w:rsidRDefault="00B21C93" w:rsidP="00B21C93">
            <w:pPr>
              <w:pStyle w:val="Other0"/>
              <w:spacing w:after="0"/>
              <w:rPr>
                <w:rFonts w:ascii="Arial" w:hAnsi="Arial" w:cs="Arial"/>
              </w:rPr>
            </w:pPr>
            <w:r w:rsidRPr="002C1234">
              <w:rPr>
                <w:rFonts w:ascii="Arial" w:hAnsi="Arial" w:cs="Arial"/>
                <w:i/>
                <w:iCs/>
                <w:lang w:bidi="en-US"/>
              </w:rPr>
              <w:t>Pseudomonas aeruginosa</w:t>
            </w:r>
          </w:p>
        </w:tc>
      </w:tr>
      <w:tr w:rsidR="00B21C93" w:rsidRPr="002C1234" w14:paraId="096CE4F6" w14:textId="77777777" w:rsidTr="00B21C93">
        <w:trPr>
          <w:trHeight w:hRule="exact" w:val="1227"/>
        </w:trPr>
        <w:tc>
          <w:tcPr>
            <w:tcW w:w="9762" w:type="dxa"/>
            <w:tcBorders>
              <w:top w:val="single" w:sz="4" w:space="0" w:color="auto"/>
              <w:left w:val="single" w:sz="4" w:space="0" w:color="auto"/>
              <w:bottom w:val="single" w:sz="4" w:space="0" w:color="auto"/>
              <w:right w:val="single" w:sz="4" w:space="0" w:color="auto"/>
            </w:tcBorders>
            <w:shd w:val="clear" w:color="auto" w:fill="auto"/>
          </w:tcPr>
          <w:p w14:paraId="0CBBF412" w14:textId="77777777" w:rsidR="00B21C93" w:rsidRPr="002C1234" w:rsidRDefault="00B21C93" w:rsidP="00B21C93">
            <w:pPr>
              <w:pStyle w:val="Other0"/>
              <w:spacing w:after="0" w:line="252" w:lineRule="auto"/>
              <w:rPr>
                <w:rFonts w:ascii="Arial" w:hAnsi="Arial" w:cs="Arial"/>
              </w:rPr>
            </w:pPr>
            <w:r w:rsidRPr="002C1234">
              <w:rPr>
                <w:rFonts w:ascii="Arial" w:hAnsi="Arial" w:cs="Arial"/>
              </w:rPr>
              <w:lastRenderedPageBreak/>
              <w:t>* Активността е задоволително демонстрирана при чувствителни щамове в клинични проучвания на одобрени клинични показания.</w:t>
            </w:r>
          </w:p>
          <w:p w14:paraId="218F15B5" w14:textId="77777777" w:rsidR="00B21C93" w:rsidRPr="002C1234" w:rsidRDefault="00B21C93" w:rsidP="00B21C93">
            <w:pPr>
              <w:pStyle w:val="Other0"/>
              <w:spacing w:after="0" w:line="252" w:lineRule="auto"/>
              <w:rPr>
                <w:rFonts w:ascii="Arial" w:hAnsi="Arial" w:cs="Arial"/>
              </w:rPr>
            </w:pPr>
            <w:r w:rsidRPr="002C1234">
              <w:rPr>
                <w:rFonts w:ascii="Arial" w:hAnsi="Arial" w:cs="Arial"/>
              </w:rPr>
              <w:t>#</w:t>
            </w:r>
            <w:r w:rsidRPr="002C1234">
              <w:rPr>
                <w:rFonts w:ascii="Arial" w:hAnsi="Arial" w:cs="Arial"/>
                <w:lang w:bidi="en-US"/>
              </w:rPr>
              <w:t>ESBL</w:t>
            </w:r>
            <w:r w:rsidRPr="002C1234">
              <w:rPr>
                <w:rFonts w:ascii="Arial" w:hAnsi="Arial" w:cs="Arial"/>
              </w:rPr>
              <w:t>-произвеждащи щамове са обикновено резистентни към флуорохинолони</w:t>
            </w:r>
          </w:p>
          <w:p w14:paraId="094078F4" w14:textId="77777777" w:rsidR="00B21C93" w:rsidRPr="002C1234" w:rsidRDefault="00B21C93" w:rsidP="00B21C93">
            <w:pPr>
              <w:pStyle w:val="Other0"/>
              <w:spacing w:after="0" w:line="252" w:lineRule="auto"/>
              <w:rPr>
                <w:rFonts w:ascii="Arial" w:hAnsi="Arial" w:cs="Arial"/>
              </w:rPr>
            </w:pPr>
            <w:r w:rsidRPr="002C1234">
              <w:rPr>
                <w:rFonts w:ascii="Arial" w:hAnsi="Arial" w:cs="Arial"/>
              </w:rPr>
              <w:t>+Честота на резистентност &gt;50% в една или повече страни</w:t>
            </w:r>
          </w:p>
        </w:tc>
      </w:tr>
    </w:tbl>
    <w:p w14:paraId="31986D50" w14:textId="77777777" w:rsidR="00B21C93" w:rsidRPr="00941F31" w:rsidRDefault="00B21C93" w:rsidP="00B21C93">
      <w:pPr>
        <w:spacing w:after="120"/>
        <w:rPr>
          <w:rFonts w:ascii="Arial" w:hAnsi="Arial" w:cs="Arial"/>
          <w:sz w:val="28"/>
          <w:szCs w:val="28"/>
        </w:rPr>
      </w:pPr>
    </w:p>
    <w:p w14:paraId="3FA65587" w14:textId="77777777" w:rsidR="00B21C93" w:rsidRPr="00941F31" w:rsidRDefault="00B21C93" w:rsidP="00B21C93">
      <w:pPr>
        <w:pStyle w:val="Heading2"/>
      </w:pPr>
      <w:r w:rsidRPr="00941F31">
        <w:t>5.2 Фармакокинетични свойств</w:t>
      </w:r>
    </w:p>
    <w:p w14:paraId="6B2BF01C" w14:textId="77777777" w:rsidR="00B21C93" w:rsidRPr="000B0802" w:rsidRDefault="00B21C93" w:rsidP="000B0802">
      <w:pPr>
        <w:pStyle w:val="Heading3"/>
        <w:rPr>
          <w:u w:val="single"/>
        </w:rPr>
      </w:pPr>
      <w:r w:rsidRPr="000B0802">
        <w:rPr>
          <w:u w:val="single"/>
        </w:rPr>
        <w:t>Абсорбция</w:t>
      </w:r>
    </w:p>
    <w:p w14:paraId="0FA75ABC" w14:textId="77777777" w:rsidR="00B21C93" w:rsidRPr="002C1234" w:rsidRDefault="00B21C93" w:rsidP="00B21C93">
      <w:pPr>
        <w:pStyle w:val="BodyText"/>
        <w:rPr>
          <w:rFonts w:cs="Arial"/>
        </w:rPr>
      </w:pPr>
      <w:r w:rsidRPr="002C1234">
        <w:rPr>
          <w:rFonts w:cs="Arial"/>
        </w:rPr>
        <w:t>След перорално приложение моксифлоксацин се абсорбира бързо и почти напълно. Абсолютната бионаличност представлява приблизително 91%.</w:t>
      </w:r>
    </w:p>
    <w:p w14:paraId="22509BD1" w14:textId="77777777" w:rsidR="00B21C93" w:rsidRPr="002C1234" w:rsidRDefault="00B21C93" w:rsidP="00B21C93">
      <w:pPr>
        <w:pStyle w:val="BodyText"/>
        <w:rPr>
          <w:rFonts w:cs="Arial"/>
        </w:rPr>
      </w:pPr>
      <w:r w:rsidRPr="002C1234">
        <w:rPr>
          <w:rFonts w:cs="Arial"/>
        </w:rPr>
        <w:t xml:space="preserve">Фармакокинетиките са линейни в диапазона 50 - 800 </w:t>
      </w:r>
      <w:r w:rsidRPr="002C1234">
        <w:rPr>
          <w:rFonts w:cs="Arial"/>
          <w:lang w:bidi="en-US"/>
        </w:rPr>
        <w:t xml:space="preserve">mg </w:t>
      </w:r>
      <w:r w:rsidRPr="002C1234">
        <w:rPr>
          <w:rFonts w:cs="Arial"/>
        </w:rPr>
        <w:t xml:space="preserve">еднократна доза и до 600 </w:t>
      </w:r>
      <w:r w:rsidRPr="002C1234">
        <w:rPr>
          <w:rFonts w:cs="Arial"/>
          <w:lang w:bidi="en-US"/>
        </w:rPr>
        <w:t xml:space="preserve">mg </w:t>
      </w:r>
      <w:r w:rsidRPr="002C1234">
        <w:rPr>
          <w:rFonts w:cs="Arial"/>
        </w:rPr>
        <w:t xml:space="preserve">един път дневно за повече от 10 дни. След 400 </w:t>
      </w:r>
      <w:r w:rsidRPr="002C1234">
        <w:rPr>
          <w:rFonts w:cs="Arial"/>
          <w:lang w:bidi="en-US"/>
        </w:rPr>
        <w:t xml:space="preserve">mg </w:t>
      </w:r>
      <w:r w:rsidRPr="002C1234">
        <w:rPr>
          <w:rFonts w:cs="Arial"/>
        </w:rPr>
        <w:t xml:space="preserve">перорална доза максималните концентрации от 3,1 </w:t>
      </w:r>
      <w:r w:rsidRPr="002C1234">
        <w:rPr>
          <w:rFonts w:cs="Arial"/>
          <w:lang w:bidi="en-US"/>
        </w:rPr>
        <w:t xml:space="preserve">mg/l </w:t>
      </w:r>
      <w:r w:rsidRPr="002C1234">
        <w:rPr>
          <w:rFonts w:cs="Arial"/>
        </w:rPr>
        <w:t xml:space="preserve">се постигат в рамките на 0,5 - 4 </w:t>
      </w:r>
      <w:r w:rsidRPr="002C1234">
        <w:rPr>
          <w:rFonts w:cs="Arial"/>
          <w:lang w:bidi="en-US"/>
        </w:rPr>
        <w:t xml:space="preserve">h </w:t>
      </w:r>
      <w:r w:rsidRPr="002C1234">
        <w:rPr>
          <w:rFonts w:cs="Arial"/>
        </w:rPr>
        <w:t xml:space="preserve">след приложение. Пиковите и постоянните равновесни плазмени концентрации (400 </w:t>
      </w:r>
      <w:r w:rsidRPr="002C1234">
        <w:rPr>
          <w:rFonts w:cs="Arial"/>
          <w:lang w:bidi="en-US"/>
        </w:rPr>
        <w:t xml:space="preserve">mg </w:t>
      </w:r>
      <w:r w:rsidRPr="002C1234">
        <w:rPr>
          <w:rFonts w:cs="Arial"/>
        </w:rPr>
        <w:t xml:space="preserve">един път дневно) са съответно 3,2 и 0,6 </w:t>
      </w:r>
      <w:r w:rsidRPr="002C1234">
        <w:rPr>
          <w:rFonts w:cs="Arial"/>
          <w:lang w:bidi="en-US"/>
        </w:rPr>
        <w:t xml:space="preserve">mg/l. </w:t>
      </w:r>
      <w:r w:rsidRPr="002C1234">
        <w:rPr>
          <w:rFonts w:cs="Arial"/>
        </w:rPr>
        <w:t>В равновесно състояние експозицията в рамките на интервала на дозиране е приблизително 30% по-висока в сравнение след първата доза.</w:t>
      </w:r>
    </w:p>
    <w:p w14:paraId="53577C07" w14:textId="77777777" w:rsidR="002C1234" w:rsidRDefault="002C1234" w:rsidP="00B21C93">
      <w:pPr>
        <w:pStyle w:val="BodyText"/>
        <w:spacing w:line="252" w:lineRule="auto"/>
        <w:rPr>
          <w:rFonts w:cs="Arial"/>
          <w:u w:val="single"/>
        </w:rPr>
      </w:pPr>
    </w:p>
    <w:p w14:paraId="09765947" w14:textId="73064A26" w:rsidR="00B21C93" w:rsidRPr="000B0802" w:rsidRDefault="00B21C93" w:rsidP="000B0802">
      <w:pPr>
        <w:pStyle w:val="Heading3"/>
        <w:rPr>
          <w:u w:val="single"/>
        </w:rPr>
      </w:pPr>
      <w:r w:rsidRPr="000B0802">
        <w:rPr>
          <w:u w:val="single"/>
        </w:rPr>
        <w:t>Разпределение</w:t>
      </w:r>
    </w:p>
    <w:p w14:paraId="1C4B9CB0" w14:textId="77777777" w:rsidR="00B21C93" w:rsidRPr="002C1234" w:rsidRDefault="00B21C93" w:rsidP="00B21C93">
      <w:pPr>
        <w:pStyle w:val="BodyText"/>
        <w:spacing w:line="252" w:lineRule="auto"/>
        <w:rPr>
          <w:rFonts w:cs="Arial"/>
        </w:rPr>
      </w:pPr>
      <w:r w:rsidRPr="002C1234">
        <w:rPr>
          <w:rFonts w:cs="Arial"/>
        </w:rPr>
        <w:t xml:space="preserve">Моксифлоксацин се разпределя бързо към екстраваскуларното пространство; след доза от 400 </w:t>
      </w:r>
      <w:r w:rsidRPr="002C1234">
        <w:rPr>
          <w:rFonts w:cs="Arial"/>
          <w:lang w:bidi="en-US"/>
        </w:rPr>
        <w:t xml:space="preserve">mg </w:t>
      </w:r>
      <w:r w:rsidRPr="002C1234">
        <w:rPr>
          <w:rFonts w:cs="Arial"/>
        </w:rPr>
        <w:t xml:space="preserve">е установена </w:t>
      </w:r>
      <w:r w:rsidRPr="002C1234">
        <w:rPr>
          <w:rFonts w:cs="Arial"/>
          <w:lang w:bidi="en-US"/>
        </w:rPr>
        <w:t xml:space="preserve">AUC </w:t>
      </w:r>
      <w:r w:rsidRPr="002C1234">
        <w:rPr>
          <w:rFonts w:cs="Arial"/>
        </w:rPr>
        <w:t xml:space="preserve">35 </w:t>
      </w:r>
      <w:r w:rsidRPr="002C1234">
        <w:rPr>
          <w:rFonts w:cs="Arial"/>
          <w:lang w:bidi="en-US"/>
        </w:rPr>
        <w:t xml:space="preserve">mg.h/l. </w:t>
      </w:r>
      <w:r w:rsidRPr="002C1234">
        <w:rPr>
          <w:rFonts w:cs="Arial"/>
        </w:rPr>
        <w:t>Обемът на разпределение (V</w:t>
      </w:r>
      <w:r w:rsidRPr="002C1234">
        <w:rPr>
          <w:rFonts w:cs="Arial"/>
          <w:lang w:bidi="en-US"/>
        </w:rPr>
        <w:t xml:space="preserve">ss) </w:t>
      </w:r>
      <w:r w:rsidRPr="002C1234">
        <w:rPr>
          <w:rFonts w:cs="Arial"/>
        </w:rPr>
        <w:t>в стационарно състояние е приблизително 2</w:t>
      </w:r>
      <w:r w:rsidRPr="002C1234">
        <w:rPr>
          <w:rFonts w:cs="Arial"/>
          <w:lang w:bidi="en-US"/>
        </w:rPr>
        <w:t xml:space="preserve"> l/kg. </w:t>
      </w:r>
      <w:r w:rsidRPr="002C1234">
        <w:rPr>
          <w:rFonts w:cs="Arial"/>
        </w:rPr>
        <w:t xml:space="preserve">Експериментите </w:t>
      </w:r>
      <w:r w:rsidRPr="002C1234">
        <w:rPr>
          <w:rFonts w:cs="Arial"/>
          <w:i/>
          <w:iCs/>
          <w:lang w:bidi="en-US"/>
        </w:rPr>
        <w:t>ex vivo</w:t>
      </w:r>
      <w:r w:rsidRPr="002C1234">
        <w:rPr>
          <w:rFonts w:cs="Arial"/>
          <w:lang w:bidi="en-US"/>
        </w:rPr>
        <w:t xml:space="preserve"> </w:t>
      </w:r>
      <w:r w:rsidRPr="002C1234">
        <w:rPr>
          <w:rFonts w:cs="Arial"/>
        </w:rPr>
        <w:t xml:space="preserve">и </w:t>
      </w:r>
      <w:r w:rsidRPr="002C1234">
        <w:rPr>
          <w:rFonts w:cs="Arial"/>
          <w:i/>
          <w:iCs/>
          <w:lang w:bidi="en-US"/>
        </w:rPr>
        <w:t>in vitro</w:t>
      </w:r>
      <w:r w:rsidRPr="002C1234">
        <w:rPr>
          <w:rFonts w:cs="Arial"/>
          <w:lang w:bidi="en-US"/>
        </w:rPr>
        <w:t xml:space="preserve"> </w:t>
      </w:r>
      <w:r w:rsidRPr="002C1234">
        <w:rPr>
          <w:rFonts w:cs="Arial"/>
        </w:rPr>
        <w:t>показват свързване с протеин приблизително 40-42%, независимо от концентрацията на лекарството. Моксифлоксацин се свързва главно със серумните албумини.</w:t>
      </w:r>
    </w:p>
    <w:p w14:paraId="1BC6BFA4" w14:textId="77777777" w:rsidR="00B21C93" w:rsidRPr="002C1234" w:rsidRDefault="00B21C93" w:rsidP="00B21C93">
      <w:pPr>
        <w:spacing w:after="120"/>
        <w:rPr>
          <w:rFonts w:ascii="Arial" w:hAnsi="Arial" w:cs="Arial"/>
        </w:rPr>
      </w:pPr>
      <w:r w:rsidRPr="002C1234">
        <w:rPr>
          <w:rFonts w:ascii="Arial" w:hAnsi="Arial" w:cs="Arial"/>
        </w:rPr>
        <w:t xml:space="preserve">Следните пикови концентрации (геометрична стойност) са установени след приложение на еднократна перорална доза 400 </w:t>
      </w:r>
      <w:r w:rsidRPr="002C1234">
        <w:rPr>
          <w:rFonts w:ascii="Arial" w:hAnsi="Arial" w:cs="Arial"/>
          <w:lang w:bidi="en-US"/>
        </w:rPr>
        <w:t xml:space="preserve">mg </w:t>
      </w:r>
      <w:r w:rsidRPr="002C1234">
        <w:rPr>
          <w:rFonts w:ascii="Arial" w:hAnsi="Arial" w:cs="Arial"/>
        </w:rPr>
        <w:t>моксифлоксацин:</w:t>
      </w:r>
    </w:p>
    <w:tbl>
      <w:tblPr>
        <w:tblW w:w="0" w:type="auto"/>
        <w:tblLayout w:type="fixed"/>
        <w:tblCellMar>
          <w:left w:w="10" w:type="dxa"/>
          <w:right w:w="10" w:type="dxa"/>
        </w:tblCellMar>
        <w:tblLook w:val="04A0" w:firstRow="1" w:lastRow="0" w:firstColumn="1" w:lastColumn="0" w:noHBand="0" w:noVBand="1"/>
      </w:tblPr>
      <w:tblGrid>
        <w:gridCol w:w="2920"/>
        <w:gridCol w:w="1674"/>
        <w:gridCol w:w="2902"/>
      </w:tblGrid>
      <w:tr w:rsidR="00B21C93" w:rsidRPr="00941F31" w14:paraId="6ABCC057" w14:textId="77777777" w:rsidTr="00B21C93">
        <w:trPr>
          <w:trHeight w:hRule="exact" w:val="590"/>
        </w:trPr>
        <w:tc>
          <w:tcPr>
            <w:tcW w:w="2920" w:type="dxa"/>
            <w:tcBorders>
              <w:top w:val="single" w:sz="4" w:space="0" w:color="auto"/>
              <w:left w:val="single" w:sz="4" w:space="0" w:color="auto"/>
            </w:tcBorders>
            <w:shd w:val="clear" w:color="auto" w:fill="auto"/>
          </w:tcPr>
          <w:p w14:paraId="32B2B6CB" w14:textId="77777777" w:rsidR="00B21C93" w:rsidRPr="002C1234" w:rsidRDefault="00B21C93" w:rsidP="00B21C93">
            <w:pPr>
              <w:pStyle w:val="Other0"/>
              <w:spacing w:after="0"/>
              <w:rPr>
                <w:rFonts w:ascii="Arial" w:hAnsi="Arial" w:cs="Arial"/>
              </w:rPr>
            </w:pPr>
            <w:r w:rsidRPr="002C1234">
              <w:rPr>
                <w:rFonts w:ascii="Arial" w:hAnsi="Arial" w:cs="Arial"/>
                <w:b/>
                <w:bCs/>
              </w:rPr>
              <w:t>Тъкан</w:t>
            </w:r>
          </w:p>
        </w:tc>
        <w:tc>
          <w:tcPr>
            <w:tcW w:w="1674" w:type="dxa"/>
            <w:tcBorders>
              <w:top w:val="single" w:sz="4" w:space="0" w:color="auto"/>
              <w:left w:val="single" w:sz="4" w:space="0" w:color="auto"/>
            </w:tcBorders>
            <w:shd w:val="clear" w:color="auto" w:fill="auto"/>
          </w:tcPr>
          <w:p w14:paraId="0D1B56C7" w14:textId="77777777" w:rsidR="00B21C93" w:rsidRPr="002C1234" w:rsidRDefault="00B21C93" w:rsidP="00B21C93">
            <w:pPr>
              <w:pStyle w:val="Other0"/>
              <w:spacing w:after="0"/>
              <w:rPr>
                <w:rFonts w:ascii="Arial" w:hAnsi="Arial" w:cs="Arial"/>
              </w:rPr>
            </w:pPr>
            <w:r w:rsidRPr="002C1234">
              <w:rPr>
                <w:rFonts w:ascii="Arial" w:hAnsi="Arial" w:cs="Arial"/>
                <w:b/>
                <w:bCs/>
              </w:rPr>
              <w:t>Концентрация</w:t>
            </w:r>
          </w:p>
        </w:tc>
        <w:tc>
          <w:tcPr>
            <w:tcW w:w="2902" w:type="dxa"/>
            <w:tcBorders>
              <w:top w:val="single" w:sz="4" w:space="0" w:color="auto"/>
              <w:left w:val="single" w:sz="4" w:space="0" w:color="auto"/>
              <w:right w:val="single" w:sz="4" w:space="0" w:color="auto"/>
            </w:tcBorders>
            <w:shd w:val="clear" w:color="auto" w:fill="auto"/>
          </w:tcPr>
          <w:p w14:paraId="6CDCB947" w14:textId="77777777" w:rsidR="00B21C93" w:rsidRPr="002C1234" w:rsidRDefault="00B21C93" w:rsidP="00B21C93">
            <w:pPr>
              <w:pStyle w:val="Other0"/>
              <w:spacing w:before="260" w:after="0"/>
              <w:rPr>
                <w:rFonts w:ascii="Arial" w:hAnsi="Arial" w:cs="Arial"/>
              </w:rPr>
            </w:pPr>
            <w:r w:rsidRPr="002C1234">
              <w:rPr>
                <w:rFonts w:ascii="Arial" w:hAnsi="Arial" w:cs="Arial"/>
                <w:b/>
                <w:bCs/>
              </w:rPr>
              <w:t>Място: Плазма отношение</w:t>
            </w:r>
          </w:p>
        </w:tc>
      </w:tr>
      <w:tr w:rsidR="00B21C93" w:rsidRPr="00941F31" w14:paraId="4913E7E3" w14:textId="77777777" w:rsidTr="00B21C93">
        <w:trPr>
          <w:trHeight w:hRule="exact" w:val="270"/>
        </w:trPr>
        <w:tc>
          <w:tcPr>
            <w:tcW w:w="2920" w:type="dxa"/>
            <w:tcBorders>
              <w:top w:val="single" w:sz="4" w:space="0" w:color="auto"/>
              <w:left w:val="single" w:sz="4" w:space="0" w:color="auto"/>
            </w:tcBorders>
            <w:shd w:val="clear" w:color="auto" w:fill="auto"/>
          </w:tcPr>
          <w:p w14:paraId="662BCB01" w14:textId="77777777" w:rsidR="00B21C93" w:rsidRPr="002C1234" w:rsidRDefault="00B21C93" w:rsidP="00B21C93">
            <w:pPr>
              <w:pStyle w:val="Other0"/>
              <w:spacing w:after="0"/>
              <w:rPr>
                <w:rFonts w:ascii="Arial" w:hAnsi="Arial" w:cs="Arial"/>
              </w:rPr>
            </w:pPr>
            <w:r w:rsidRPr="002C1234">
              <w:rPr>
                <w:rFonts w:ascii="Arial" w:hAnsi="Arial" w:cs="Arial"/>
              </w:rPr>
              <w:t>Плазма</w:t>
            </w:r>
          </w:p>
        </w:tc>
        <w:tc>
          <w:tcPr>
            <w:tcW w:w="1674" w:type="dxa"/>
            <w:tcBorders>
              <w:top w:val="single" w:sz="4" w:space="0" w:color="auto"/>
              <w:left w:val="single" w:sz="4" w:space="0" w:color="auto"/>
            </w:tcBorders>
            <w:shd w:val="clear" w:color="auto" w:fill="auto"/>
          </w:tcPr>
          <w:p w14:paraId="3917D9CD" w14:textId="77777777" w:rsidR="00B21C93" w:rsidRPr="002C1234" w:rsidRDefault="00B21C93" w:rsidP="00B21C93">
            <w:pPr>
              <w:pStyle w:val="Other0"/>
              <w:spacing w:after="0"/>
              <w:rPr>
                <w:rFonts w:ascii="Arial" w:hAnsi="Arial" w:cs="Arial"/>
              </w:rPr>
            </w:pPr>
            <w:r w:rsidRPr="002C1234">
              <w:rPr>
                <w:rFonts w:ascii="Arial" w:hAnsi="Arial" w:cs="Arial"/>
              </w:rPr>
              <w:t xml:space="preserve">3,1 </w:t>
            </w:r>
            <w:r w:rsidRPr="002C1234">
              <w:rPr>
                <w:rFonts w:ascii="Arial" w:hAnsi="Arial" w:cs="Arial"/>
                <w:lang w:bidi="en-US"/>
              </w:rPr>
              <w:t>mg/l</w:t>
            </w:r>
          </w:p>
        </w:tc>
        <w:tc>
          <w:tcPr>
            <w:tcW w:w="2902" w:type="dxa"/>
            <w:tcBorders>
              <w:top w:val="single" w:sz="4" w:space="0" w:color="auto"/>
              <w:left w:val="single" w:sz="4" w:space="0" w:color="auto"/>
              <w:right w:val="single" w:sz="4" w:space="0" w:color="auto"/>
            </w:tcBorders>
            <w:shd w:val="clear" w:color="auto" w:fill="auto"/>
          </w:tcPr>
          <w:p w14:paraId="630B71A6" w14:textId="77777777" w:rsidR="00B21C93" w:rsidRPr="002C1234" w:rsidRDefault="00B21C93" w:rsidP="00B21C93">
            <w:pPr>
              <w:pStyle w:val="Other0"/>
              <w:spacing w:before="140" w:after="0"/>
              <w:jc w:val="both"/>
              <w:rPr>
                <w:rFonts w:ascii="Arial" w:hAnsi="Arial" w:cs="Arial"/>
              </w:rPr>
            </w:pPr>
            <w:r w:rsidRPr="002C1234">
              <w:rPr>
                <w:rFonts w:ascii="Arial" w:hAnsi="Arial" w:cs="Arial"/>
                <w:lang w:bidi="en-US"/>
              </w:rPr>
              <w:t>-</w:t>
            </w:r>
          </w:p>
        </w:tc>
      </w:tr>
      <w:tr w:rsidR="00B21C93" w:rsidRPr="00941F31" w14:paraId="7E496B27" w14:textId="77777777" w:rsidTr="00B21C93">
        <w:trPr>
          <w:trHeight w:hRule="exact" w:val="266"/>
        </w:trPr>
        <w:tc>
          <w:tcPr>
            <w:tcW w:w="2920" w:type="dxa"/>
            <w:tcBorders>
              <w:top w:val="single" w:sz="4" w:space="0" w:color="auto"/>
              <w:left w:val="single" w:sz="4" w:space="0" w:color="auto"/>
            </w:tcBorders>
            <w:shd w:val="clear" w:color="auto" w:fill="auto"/>
          </w:tcPr>
          <w:p w14:paraId="1BB3CF9A" w14:textId="77777777" w:rsidR="00B21C93" w:rsidRPr="002C1234" w:rsidRDefault="00B21C93" w:rsidP="00B21C93">
            <w:pPr>
              <w:pStyle w:val="Other0"/>
              <w:spacing w:after="0"/>
              <w:rPr>
                <w:rFonts w:ascii="Arial" w:hAnsi="Arial" w:cs="Arial"/>
              </w:rPr>
            </w:pPr>
            <w:r w:rsidRPr="002C1234">
              <w:rPr>
                <w:rFonts w:ascii="Arial" w:hAnsi="Arial" w:cs="Arial"/>
              </w:rPr>
              <w:t>Слюнка</w:t>
            </w:r>
          </w:p>
        </w:tc>
        <w:tc>
          <w:tcPr>
            <w:tcW w:w="1674" w:type="dxa"/>
            <w:tcBorders>
              <w:top w:val="single" w:sz="4" w:space="0" w:color="auto"/>
              <w:left w:val="single" w:sz="4" w:space="0" w:color="auto"/>
            </w:tcBorders>
            <w:shd w:val="clear" w:color="auto" w:fill="auto"/>
          </w:tcPr>
          <w:p w14:paraId="5C2FFC25" w14:textId="77777777" w:rsidR="00B21C93" w:rsidRPr="002C1234" w:rsidRDefault="00B21C93" w:rsidP="00B21C93">
            <w:pPr>
              <w:pStyle w:val="Other0"/>
              <w:spacing w:after="0"/>
              <w:rPr>
                <w:rFonts w:ascii="Arial" w:hAnsi="Arial" w:cs="Arial"/>
              </w:rPr>
            </w:pPr>
            <w:r w:rsidRPr="002C1234">
              <w:rPr>
                <w:rFonts w:ascii="Arial" w:hAnsi="Arial" w:cs="Arial"/>
              </w:rPr>
              <w:t xml:space="preserve">3,6 </w:t>
            </w:r>
            <w:r w:rsidRPr="002C1234">
              <w:rPr>
                <w:rFonts w:ascii="Arial" w:hAnsi="Arial" w:cs="Arial"/>
                <w:lang w:bidi="en-US"/>
              </w:rPr>
              <w:t>mg/l</w:t>
            </w:r>
          </w:p>
        </w:tc>
        <w:tc>
          <w:tcPr>
            <w:tcW w:w="2902" w:type="dxa"/>
            <w:tcBorders>
              <w:top w:val="single" w:sz="4" w:space="0" w:color="auto"/>
              <w:left w:val="single" w:sz="4" w:space="0" w:color="auto"/>
              <w:right w:val="single" w:sz="4" w:space="0" w:color="auto"/>
            </w:tcBorders>
            <w:shd w:val="clear" w:color="auto" w:fill="auto"/>
          </w:tcPr>
          <w:p w14:paraId="37E8EFEF" w14:textId="77777777" w:rsidR="00B21C93" w:rsidRPr="002C1234" w:rsidRDefault="00B21C93" w:rsidP="00B21C93">
            <w:pPr>
              <w:pStyle w:val="Other0"/>
              <w:spacing w:after="0"/>
              <w:rPr>
                <w:rFonts w:ascii="Arial" w:hAnsi="Arial" w:cs="Arial"/>
              </w:rPr>
            </w:pPr>
            <w:r w:rsidRPr="002C1234">
              <w:rPr>
                <w:rFonts w:ascii="Arial" w:hAnsi="Arial" w:cs="Arial"/>
                <w:lang w:bidi="en-US"/>
              </w:rPr>
              <w:t>0,75-1,3</w:t>
            </w:r>
          </w:p>
        </w:tc>
      </w:tr>
      <w:tr w:rsidR="00B21C93" w:rsidRPr="00941F31" w14:paraId="4F39EA63" w14:textId="77777777" w:rsidTr="00B21C93">
        <w:trPr>
          <w:trHeight w:hRule="exact" w:val="270"/>
        </w:trPr>
        <w:tc>
          <w:tcPr>
            <w:tcW w:w="2920" w:type="dxa"/>
            <w:tcBorders>
              <w:top w:val="single" w:sz="4" w:space="0" w:color="auto"/>
              <w:left w:val="single" w:sz="4" w:space="0" w:color="auto"/>
            </w:tcBorders>
            <w:shd w:val="clear" w:color="auto" w:fill="auto"/>
          </w:tcPr>
          <w:p w14:paraId="61A0B45F" w14:textId="77777777" w:rsidR="00B21C93" w:rsidRPr="002C1234" w:rsidRDefault="00B21C93" w:rsidP="00B21C93">
            <w:pPr>
              <w:pStyle w:val="Other0"/>
              <w:spacing w:after="0"/>
              <w:rPr>
                <w:rFonts w:ascii="Arial" w:hAnsi="Arial" w:cs="Arial"/>
              </w:rPr>
            </w:pPr>
            <w:r w:rsidRPr="002C1234">
              <w:rPr>
                <w:rFonts w:ascii="Arial" w:hAnsi="Arial" w:cs="Arial"/>
              </w:rPr>
              <w:t>Мехурна течност</w:t>
            </w:r>
          </w:p>
        </w:tc>
        <w:tc>
          <w:tcPr>
            <w:tcW w:w="1674" w:type="dxa"/>
            <w:tcBorders>
              <w:top w:val="single" w:sz="4" w:space="0" w:color="auto"/>
              <w:left w:val="single" w:sz="4" w:space="0" w:color="auto"/>
            </w:tcBorders>
            <w:shd w:val="clear" w:color="auto" w:fill="auto"/>
          </w:tcPr>
          <w:p w14:paraId="6D348E6E" w14:textId="77777777" w:rsidR="00B21C93" w:rsidRPr="002C1234" w:rsidRDefault="00B21C93" w:rsidP="00B21C93">
            <w:pPr>
              <w:pStyle w:val="Other0"/>
              <w:spacing w:after="0"/>
              <w:rPr>
                <w:rFonts w:ascii="Arial" w:hAnsi="Arial" w:cs="Arial"/>
              </w:rPr>
            </w:pPr>
            <w:r w:rsidRPr="002C1234">
              <w:rPr>
                <w:rFonts w:ascii="Arial" w:hAnsi="Arial" w:cs="Arial"/>
              </w:rPr>
              <w:t xml:space="preserve">1,6 </w:t>
            </w:r>
            <w:r w:rsidRPr="002C1234">
              <w:rPr>
                <w:rFonts w:ascii="Arial" w:hAnsi="Arial" w:cs="Arial"/>
                <w:lang w:bidi="en-US"/>
              </w:rPr>
              <w:t>mg/l</w:t>
            </w:r>
          </w:p>
        </w:tc>
        <w:tc>
          <w:tcPr>
            <w:tcW w:w="2902" w:type="dxa"/>
            <w:tcBorders>
              <w:top w:val="single" w:sz="4" w:space="0" w:color="auto"/>
              <w:left w:val="single" w:sz="4" w:space="0" w:color="auto"/>
              <w:right w:val="single" w:sz="4" w:space="0" w:color="auto"/>
            </w:tcBorders>
            <w:shd w:val="clear" w:color="auto" w:fill="auto"/>
          </w:tcPr>
          <w:p w14:paraId="1448FDB6" w14:textId="77777777" w:rsidR="00B21C93" w:rsidRPr="002C1234" w:rsidRDefault="00B21C93" w:rsidP="00B21C93">
            <w:pPr>
              <w:pStyle w:val="Other0"/>
              <w:spacing w:after="0"/>
              <w:rPr>
                <w:rFonts w:ascii="Arial" w:hAnsi="Arial" w:cs="Arial"/>
              </w:rPr>
            </w:pPr>
            <w:r w:rsidRPr="002C1234">
              <w:rPr>
                <w:rFonts w:ascii="Arial" w:hAnsi="Arial" w:cs="Arial"/>
                <w:lang w:bidi="en-US"/>
              </w:rPr>
              <w:t>1,7'</w:t>
            </w:r>
          </w:p>
        </w:tc>
      </w:tr>
      <w:tr w:rsidR="00B21C93" w:rsidRPr="00941F31" w14:paraId="291BD30A" w14:textId="77777777" w:rsidTr="00B21C93">
        <w:trPr>
          <w:trHeight w:hRule="exact" w:val="277"/>
        </w:trPr>
        <w:tc>
          <w:tcPr>
            <w:tcW w:w="2920" w:type="dxa"/>
            <w:tcBorders>
              <w:top w:val="single" w:sz="4" w:space="0" w:color="auto"/>
              <w:left w:val="single" w:sz="4" w:space="0" w:color="auto"/>
            </w:tcBorders>
            <w:shd w:val="clear" w:color="auto" w:fill="auto"/>
          </w:tcPr>
          <w:p w14:paraId="7BE1A570" w14:textId="77777777" w:rsidR="00B21C93" w:rsidRPr="002C1234" w:rsidRDefault="00B21C93" w:rsidP="00B21C93">
            <w:pPr>
              <w:pStyle w:val="Other0"/>
              <w:spacing w:after="0"/>
              <w:rPr>
                <w:rFonts w:ascii="Arial" w:hAnsi="Arial" w:cs="Arial"/>
              </w:rPr>
            </w:pPr>
            <w:r w:rsidRPr="002C1234">
              <w:rPr>
                <w:rFonts w:ascii="Arial" w:hAnsi="Arial" w:cs="Arial"/>
              </w:rPr>
              <w:t>Бронхиална мукоза</w:t>
            </w:r>
          </w:p>
        </w:tc>
        <w:tc>
          <w:tcPr>
            <w:tcW w:w="1674" w:type="dxa"/>
            <w:tcBorders>
              <w:top w:val="single" w:sz="4" w:space="0" w:color="auto"/>
              <w:left w:val="single" w:sz="4" w:space="0" w:color="auto"/>
            </w:tcBorders>
            <w:shd w:val="clear" w:color="auto" w:fill="auto"/>
          </w:tcPr>
          <w:p w14:paraId="1A94B2D9" w14:textId="77777777" w:rsidR="00B21C93" w:rsidRPr="002C1234" w:rsidRDefault="00B21C93" w:rsidP="00B21C93">
            <w:pPr>
              <w:pStyle w:val="Other0"/>
              <w:spacing w:after="0"/>
              <w:rPr>
                <w:rFonts w:ascii="Arial" w:hAnsi="Arial" w:cs="Arial"/>
              </w:rPr>
            </w:pPr>
            <w:r w:rsidRPr="002C1234">
              <w:rPr>
                <w:rFonts w:ascii="Arial" w:hAnsi="Arial" w:cs="Arial"/>
              </w:rPr>
              <w:t xml:space="preserve">5,4 </w:t>
            </w:r>
            <w:r w:rsidRPr="002C1234">
              <w:rPr>
                <w:rFonts w:ascii="Arial" w:hAnsi="Arial" w:cs="Arial"/>
                <w:lang w:bidi="en-US"/>
              </w:rPr>
              <w:t>mg/kg</w:t>
            </w:r>
          </w:p>
        </w:tc>
        <w:tc>
          <w:tcPr>
            <w:tcW w:w="2902" w:type="dxa"/>
            <w:tcBorders>
              <w:top w:val="single" w:sz="4" w:space="0" w:color="auto"/>
              <w:left w:val="single" w:sz="4" w:space="0" w:color="auto"/>
              <w:right w:val="single" w:sz="4" w:space="0" w:color="auto"/>
            </w:tcBorders>
            <w:shd w:val="clear" w:color="auto" w:fill="auto"/>
          </w:tcPr>
          <w:p w14:paraId="559DFDBB" w14:textId="77777777" w:rsidR="00B21C93" w:rsidRPr="002C1234" w:rsidRDefault="00B21C93" w:rsidP="00B21C93">
            <w:pPr>
              <w:pStyle w:val="Other0"/>
              <w:spacing w:after="0"/>
              <w:rPr>
                <w:rFonts w:ascii="Arial" w:hAnsi="Arial" w:cs="Arial"/>
              </w:rPr>
            </w:pPr>
            <w:r w:rsidRPr="002C1234">
              <w:rPr>
                <w:rFonts w:ascii="Arial" w:hAnsi="Arial" w:cs="Arial"/>
                <w:lang w:bidi="en-US"/>
              </w:rPr>
              <w:t>1,7 -2,1</w:t>
            </w:r>
          </w:p>
        </w:tc>
      </w:tr>
      <w:tr w:rsidR="00B21C93" w:rsidRPr="00941F31" w14:paraId="759E23E5" w14:textId="77777777" w:rsidTr="00B21C93">
        <w:trPr>
          <w:trHeight w:hRule="exact" w:val="266"/>
        </w:trPr>
        <w:tc>
          <w:tcPr>
            <w:tcW w:w="2920" w:type="dxa"/>
            <w:tcBorders>
              <w:top w:val="single" w:sz="4" w:space="0" w:color="auto"/>
              <w:left w:val="single" w:sz="4" w:space="0" w:color="auto"/>
            </w:tcBorders>
            <w:shd w:val="clear" w:color="auto" w:fill="auto"/>
          </w:tcPr>
          <w:p w14:paraId="2B7BF3E3" w14:textId="77777777" w:rsidR="00B21C93" w:rsidRPr="002C1234" w:rsidRDefault="00B21C93" w:rsidP="00B21C93">
            <w:pPr>
              <w:pStyle w:val="Other0"/>
              <w:spacing w:after="0"/>
              <w:rPr>
                <w:rFonts w:ascii="Arial" w:hAnsi="Arial" w:cs="Arial"/>
              </w:rPr>
            </w:pPr>
            <w:r w:rsidRPr="002C1234">
              <w:rPr>
                <w:rFonts w:ascii="Arial" w:hAnsi="Arial" w:cs="Arial"/>
              </w:rPr>
              <w:t>Алвеоларни макрофаги</w:t>
            </w:r>
          </w:p>
        </w:tc>
        <w:tc>
          <w:tcPr>
            <w:tcW w:w="1674" w:type="dxa"/>
            <w:tcBorders>
              <w:top w:val="single" w:sz="4" w:space="0" w:color="auto"/>
              <w:left w:val="single" w:sz="4" w:space="0" w:color="auto"/>
            </w:tcBorders>
            <w:shd w:val="clear" w:color="auto" w:fill="auto"/>
          </w:tcPr>
          <w:p w14:paraId="4D48095B" w14:textId="77777777" w:rsidR="00B21C93" w:rsidRPr="002C1234" w:rsidRDefault="00B21C93" w:rsidP="00B21C93">
            <w:pPr>
              <w:pStyle w:val="Other0"/>
              <w:spacing w:after="0"/>
              <w:rPr>
                <w:rFonts w:ascii="Arial" w:hAnsi="Arial" w:cs="Arial"/>
              </w:rPr>
            </w:pPr>
            <w:r w:rsidRPr="002C1234">
              <w:rPr>
                <w:rFonts w:ascii="Arial" w:hAnsi="Arial" w:cs="Arial"/>
                <w:lang w:bidi="en-US"/>
              </w:rPr>
              <w:t>56,7 mg/kg</w:t>
            </w:r>
          </w:p>
        </w:tc>
        <w:tc>
          <w:tcPr>
            <w:tcW w:w="2902" w:type="dxa"/>
            <w:tcBorders>
              <w:top w:val="single" w:sz="4" w:space="0" w:color="auto"/>
              <w:left w:val="single" w:sz="4" w:space="0" w:color="auto"/>
              <w:right w:val="single" w:sz="4" w:space="0" w:color="auto"/>
            </w:tcBorders>
            <w:shd w:val="clear" w:color="auto" w:fill="auto"/>
          </w:tcPr>
          <w:p w14:paraId="5F9BC33F" w14:textId="77777777" w:rsidR="00B21C93" w:rsidRPr="002C1234" w:rsidRDefault="00B21C93" w:rsidP="00B21C93">
            <w:pPr>
              <w:pStyle w:val="Other0"/>
              <w:spacing w:after="0"/>
              <w:rPr>
                <w:rFonts w:ascii="Arial" w:hAnsi="Arial" w:cs="Arial"/>
              </w:rPr>
            </w:pPr>
            <w:r w:rsidRPr="002C1234">
              <w:rPr>
                <w:rFonts w:ascii="Arial" w:hAnsi="Arial" w:cs="Arial"/>
                <w:lang w:bidi="en-US"/>
              </w:rPr>
              <w:t>18,6-70,0</w:t>
            </w:r>
          </w:p>
        </w:tc>
      </w:tr>
      <w:tr w:rsidR="00B21C93" w:rsidRPr="00941F31" w14:paraId="78BE7D23" w14:textId="77777777" w:rsidTr="00B21C93">
        <w:trPr>
          <w:trHeight w:hRule="exact" w:val="277"/>
        </w:trPr>
        <w:tc>
          <w:tcPr>
            <w:tcW w:w="2920" w:type="dxa"/>
            <w:tcBorders>
              <w:top w:val="single" w:sz="4" w:space="0" w:color="auto"/>
              <w:left w:val="single" w:sz="4" w:space="0" w:color="auto"/>
            </w:tcBorders>
            <w:shd w:val="clear" w:color="auto" w:fill="auto"/>
          </w:tcPr>
          <w:p w14:paraId="4ED40A7E" w14:textId="77777777" w:rsidR="00B21C93" w:rsidRPr="002C1234" w:rsidRDefault="00B21C93" w:rsidP="00B21C93">
            <w:pPr>
              <w:pStyle w:val="Other0"/>
              <w:spacing w:after="0"/>
              <w:rPr>
                <w:rFonts w:ascii="Arial" w:hAnsi="Arial" w:cs="Arial"/>
              </w:rPr>
            </w:pPr>
            <w:r w:rsidRPr="002C1234">
              <w:rPr>
                <w:rFonts w:ascii="Arial" w:hAnsi="Arial" w:cs="Arial"/>
              </w:rPr>
              <w:t>Течност, покриваща епитела</w:t>
            </w:r>
          </w:p>
        </w:tc>
        <w:tc>
          <w:tcPr>
            <w:tcW w:w="1674" w:type="dxa"/>
            <w:tcBorders>
              <w:top w:val="single" w:sz="4" w:space="0" w:color="auto"/>
              <w:left w:val="single" w:sz="4" w:space="0" w:color="auto"/>
            </w:tcBorders>
            <w:shd w:val="clear" w:color="auto" w:fill="auto"/>
          </w:tcPr>
          <w:p w14:paraId="37A358D1" w14:textId="77777777" w:rsidR="00B21C93" w:rsidRPr="002C1234" w:rsidRDefault="00B21C93" w:rsidP="00B21C93">
            <w:pPr>
              <w:pStyle w:val="Other0"/>
              <w:spacing w:after="0"/>
              <w:rPr>
                <w:rFonts w:ascii="Arial" w:hAnsi="Arial" w:cs="Arial"/>
              </w:rPr>
            </w:pPr>
            <w:r w:rsidRPr="002C1234">
              <w:rPr>
                <w:rFonts w:ascii="Arial" w:hAnsi="Arial" w:cs="Arial"/>
                <w:lang w:bidi="en-US"/>
              </w:rPr>
              <w:t>20,7 mg/1</w:t>
            </w:r>
          </w:p>
        </w:tc>
        <w:tc>
          <w:tcPr>
            <w:tcW w:w="2902" w:type="dxa"/>
            <w:tcBorders>
              <w:top w:val="single" w:sz="4" w:space="0" w:color="auto"/>
              <w:left w:val="single" w:sz="4" w:space="0" w:color="auto"/>
              <w:right w:val="single" w:sz="4" w:space="0" w:color="auto"/>
            </w:tcBorders>
            <w:shd w:val="clear" w:color="auto" w:fill="auto"/>
          </w:tcPr>
          <w:p w14:paraId="109329FD" w14:textId="77777777" w:rsidR="00B21C93" w:rsidRPr="002C1234" w:rsidRDefault="00B21C93" w:rsidP="00B21C93">
            <w:pPr>
              <w:pStyle w:val="Other0"/>
              <w:spacing w:after="0"/>
              <w:rPr>
                <w:rFonts w:ascii="Arial" w:hAnsi="Arial" w:cs="Arial"/>
              </w:rPr>
            </w:pPr>
            <w:r w:rsidRPr="002C1234">
              <w:rPr>
                <w:rFonts w:ascii="Arial" w:hAnsi="Arial" w:cs="Arial"/>
                <w:lang w:bidi="en-US"/>
              </w:rPr>
              <w:t>5-7</w:t>
            </w:r>
          </w:p>
        </w:tc>
      </w:tr>
      <w:tr w:rsidR="00B21C93" w:rsidRPr="00941F31" w14:paraId="5037B2B1" w14:textId="77777777" w:rsidTr="00B21C93">
        <w:trPr>
          <w:trHeight w:hRule="exact" w:val="270"/>
        </w:trPr>
        <w:tc>
          <w:tcPr>
            <w:tcW w:w="2920" w:type="dxa"/>
            <w:tcBorders>
              <w:top w:val="single" w:sz="4" w:space="0" w:color="auto"/>
              <w:left w:val="single" w:sz="4" w:space="0" w:color="auto"/>
            </w:tcBorders>
            <w:shd w:val="clear" w:color="auto" w:fill="auto"/>
          </w:tcPr>
          <w:p w14:paraId="3ED3AAB1" w14:textId="77777777" w:rsidR="00B21C93" w:rsidRPr="002C1234" w:rsidRDefault="00B21C93" w:rsidP="00B21C93">
            <w:pPr>
              <w:pStyle w:val="Other0"/>
              <w:spacing w:after="0"/>
              <w:rPr>
                <w:rFonts w:ascii="Arial" w:hAnsi="Arial" w:cs="Arial"/>
              </w:rPr>
            </w:pPr>
            <w:r w:rsidRPr="002C1234">
              <w:rPr>
                <w:rFonts w:ascii="Arial" w:hAnsi="Arial" w:cs="Arial"/>
              </w:rPr>
              <w:t>Максиларен синус</w:t>
            </w:r>
          </w:p>
        </w:tc>
        <w:tc>
          <w:tcPr>
            <w:tcW w:w="1674" w:type="dxa"/>
            <w:tcBorders>
              <w:top w:val="single" w:sz="4" w:space="0" w:color="auto"/>
              <w:left w:val="single" w:sz="4" w:space="0" w:color="auto"/>
            </w:tcBorders>
            <w:shd w:val="clear" w:color="auto" w:fill="auto"/>
          </w:tcPr>
          <w:p w14:paraId="59480F42" w14:textId="77777777" w:rsidR="00B21C93" w:rsidRPr="002C1234" w:rsidRDefault="00B21C93" w:rsidP="00B21C93">
            <w:pPr>
              <w:pStyle w:val="Other0"/>
              <w:spacing w:after="0"/>
              <w:rPr>
                <w:rFonts w:ascii="Arial" w:hAnsi="Arial" w:cs="Arial"/>
              </w:rPr>
            </w:pPr>
            <w:r w:rsidRPr="002C1234">
              <w:rPr>
                <w:rFonts w:ascii="Arial" w:hAnsi="Arial" w:cs="Arial"/>
                <w:lang w:bidi="en-US"/>
              </w:rPr>
              <w:t>7,5 mg/kg</w:t>
            </w:r>
          </w:p>
        </w:tc>
        <w:tc>
          <w:tcPr>
            <w:tcW w:w="2902" w:type="dxa"/>
            <w:tcBorders>
              <w:top w:val="single" w:sz="4" w:space="0" w:color="auto"/>
              <w:left w:val="single" w:sz="4" w:space="0" w:color="auto"/>
              <w:right w:val="single" w:sz="4" w:space="0" w:color="auto"/>
            </w:tcBorders>
            <w:shd w:val="clear" w:color="auto" w:fill="auto"/>
          </w:tcPr>
          <w:p w14:paraId="3C7E3157" w14:textId="77777777" w:rsidR="00B21C93" w:rsidRPr="002C1234" w:rsidRDefault="00B21C93" w:rsidP="00B21C93">
            <w:pPr>
              <w:pStyle w:val="Other0"/>
              <w:spacing w:after="0"/>
              <w:rPr>
                <w:rFonts w:ascii="Arial" w:hAnsi="Arial" w:cs="Arial"/>
              </w:rPr>
            </w:pPr>
            <w:r w:rsidRPr="002C1234">
              <w:rPr>
                <w:rFonts w:ascii="Arial" w:hAnsi="Arial" w:cs="Arial"/>
                <w:lang w:bidi="en-US"/>
              </w:rPr>
              <w:t>2,0</w:t>
            </w:r>
          </w:p>
        </w:tc>
      </w:tr>
      <w:tr w:rsidR="00B21C93" w:rsidRPr="00941F31" w14:paraId="43E276D7" w14:textId="77777777" w:rsidTr="00B21C93">
        <w:trPr>
          <w:trHeight w:hRule="exact" w:val="274"/>
        </w:trPr>
        <w:tc>
          <w:tcPr>
            <w:tcW w:w="2920" w:type="dxa"/>
            <w:tcBorders>
              <w:top w:val="single" w:sz="4" w:space="0" w:color="auto"/>
              <w:left w:val="single" w:sz="4" w:space="0" w:color="auto"/>
            </w:tcBorders>
            <w:shd w:val="clear" w:color="auto" w:fill="auto"/>
          </w:tcPr>
          <w:p w14:paraId="03CF1336" w14:textId="77777777" w:rsidR="00B21C93" w:rsidRPr="002C1234" w:rsidRDefault="00B21C93" w:rsidP="00B21C93">
            <w:pPr>
              <w:pStyle w:val="Other0"/>
              <w:spacing w:after="0"/>
              <w:rPr>
                <w:rFonts w:ascii="Arial" w:hAnsi="Arial" w:cs="Arial"/>
              </w:rPr>
            </w:pPr>
            <w:r w:rsidRPr="002C1234">
              <w:rPr>
                <w:rFonts w:ascii="Arial" w:hAnsi="Arial" w:cs="Arial"/>
              </w:rPr>
              <w:t>Етмоидален синус</w:t>
            </w:r>
          </w:p>
        </w:tc>
        <w:tc>
          <w:tcPr>
            <w:tcW w:w="1674" w:type="dxa"/>
            <w:tcBorders>
              <w:top w:val="single" w:sz="4" w:space="0" w:color="auto"/>
              <w:left w:val="single" w:sz="4" w:space="0" w:color="auto"/>
            </w:tcBorders>
            <w:shd w:val="clear" w:color="auto" w:fill="auto"/>
          </w:tcPr>
          <w:p w14:paraId="3A20A91A" w14:textId="77777777" w:rsidR="00B21C93" w:rsidRPr="002C1234" w:rsidRDefault="00B21C93" w:rsidP="00B21C93">
            <w:pPr>
              <w:pStyle w:val="Other0"/>
              <w:spacing w:after="0"/>
              <w:rPr>
                <w:rFonts w:ascii="Arial" w:hAnsi="Arial" w:cs="Arial"/>
              </w:rPr>
            </w:pPr>
            <w:r w:rsidRPr="002C1234">
              <w:rPr>
                <w:rFonts w:ascii="Arial" w:hAnsi="Arial" w:cs="Arial"/>
                <w:lang w:bidi="en-US"/>
              </w:rPr>
              <w:t>8,2 mg/kg</w:t>
            </w:r>
          </w:p>
        </w:tc>
        <w:tc>
          <w:tcPr>
            <w:tcW w:w="2902" w:type="dxa"/>
            <w:tcBorders>
              <w:top w:val="single" w:sz="4" w:space="0" w:color="auto"/>
              <w:left w:val="single" w:sz="4" w:space="0" w:color="auto"/>
              <w:right w:val="single" w:sz="4" w:space="0" w:color="auto"/>
            </w:tcBorders>
            <w:shd w:val="clear" w:color="auto" w:fill="auto"/>
          </w:tcPr>
          <w:p w14:paraId="120423EA" w14:textId="77777777" w:rsidR="00B21C93" w:rsidRPr="002C1234" w:rsidRDefault="00B21C93" w:rsidP="00B21C93">
            <w:pPr>
              <w:pStyle w:val="Other0"/>
              <w:spacing w:after="0"/>
              <w:rPr>
                <w:rFonts w:ascii="Arial" w:hAnsi="Arial" w:cs="Arial"/>
              </w:rPr>
            </w:pPr>
            <w:r w:rsidRPr="002C1234">
              <w:rPr>
                <w:rFonts w:ascii="Arial" w:hAnsi="Arial" w:cs="Arial"/>
                <w:lang w:bidi="en-US"/>
              </w:rPr>
              <w:t>2,1</w:t>
            </w:r>
          </w:p>
        </w:tc>
      </w:tr>
      <w:tr w:rsidR="00B21C93" w:rsidRPr="00941F31" w14:paraId="5E75DA0E" w14:textId="77777777" w:rsidTr="00B21C93">
        <w:trPr>
          <w:trHeight w:hRule="exact" w:val="266"/>
        </w:trPr>
        <w:tc>
          <w:tcPr>
            <w:tcW w:w="2920" w:type="dxa"/>
            <w:tcBorders>
              <w:top w:val="single" w:sz="4" w:space="0" w:color="auto"/>
              <w:left w:val="single" w:sz="4" w:space="0" w:color="auto"/>
            </w:tcBorders>
            <w:shd w:val="clear" w:color="auto" w:fill="auto"/>
          </w:tcPr>
          <w:p w14:paraId="61F5DDBC" w14:textId="77777777" w:rsidR="00B21C93" w:rsidRPr="002C1234" w:rsidRDefault="00B21C93" w:rsidP="00B21C93">
            <w:pPr>
              <w:pStyle w:val="Other0"/>
              <w:spacing w:after="0"/>
              <w:rPr>
                <w:rFonts w:ascii="Arial" w:hAnsi="Arial" w:cs="Arial"/>
              </w:rPr>
            </w:pPr>
            <w:r w:rsidRPr="002C1234">
              <w:rPr>
                <w:rFonts w:ascii="Arial" w:hAnsi="Arial" w:cs="Arial"/>
              </w:rPr>
              <w:t>Полипи в носа</w:t>
            </w:r>
          </w:p>
        </w:tc>
        <w:tc>
          <w:tcPr>
            <w:tcW w:w="1674" w:type="dxa"/>
            <w:tcBorders>
              <w:top w:val="single" w:sz="4" w:space="0" w:color="auto"/>
              <w:left w:val="single" w:sz="4" w:space="0" w:color="auto"/>
            </w:tcBorders>
            <w:shd w:val="clear" w:color="auto" w:fill="auto"/>
          </w:tcPr>
          <w:p w14:paraId="30486803" w14:textId="77777777" w:rsidR="00B21C93" w:rsidRPr="002C1234" w:rsidRDefault="00B21C93" w:rsidP="00B21C93">
            <w:pPr>
              <w:pStyle w:val="Other0"/>
              <w:spacing w:after="0"/>
              <w:rPr>
                <w:rFonts w:ascii="Arial" w:hAnsi="Arial" w:cs="Arial"/>
              </w:rPr>
            </w:pPr>
            <w:r w:rsidRPr="002C1234">
              <w:rPr>
                <w:rFonts w:ascii="Arial" w:hAnsi="Arial" w:cs="Arial"/>
                <w:lang w:bidi="en-US"/>
              </w:rPr>
              <w:t>9,1 mg/kg</w:t>
            </w:r>
          </w:p>
        </w:tc>
        <w:tc>
          <w:tcPr>
            <w:tcW w:w="2902" w:type="dxa"/>
            <w:tcBorders>
              <w:top w:val="single" w:sz="4" w:space="0" w:color="auto"/>
              <w:left w:val="single" w:sz="4" w:space="0" w:color="auto"/>
              <w:right w:val="single" w:sz="4" w:space="0" w:color="auto"/>
            </w:tcBorders>
            <w:shd w:val="clear" w:color="auto" w:fill="auto"/>
          </w:tcPr>
          <w:p w14:paraId="64CB1873" w14:textId="77777777" w:rsidR="00B21C93" w:rsidRPr="002C1234" w:rsidRDefault="00B21C93" w:rsidP="00B21C93">
            <w:pPr>
              <w:pStyle w:val="Other0"/>
              <w:spacing w:after="0"/>
              <w:rPr>
                <w:rFonts w:ascii="Arial" w:hAnsi="Arial" w:cs="Arial"/>
              </w:rPr>
            </w:pPr>
            <w:r w:rsidRPr="002C1234">
              <w:rPr>
                <w:rFonts w:ascii="Arial" w:hAnsi="Arial" w:cs="Arial"/>
                <w:lang w:bidi="en-US"/>
              </w:rPr>
              <w:t>2,6</w:t>
            </w:r>
          </w:p>
        </w:tc>
      </w:tr>
      <w:tr w:rsidR="00B21C93" w:rsidRPr="00941F31" w14:paraId="43476618" w14:textId="77777777" w:rsidTr="00B21C93">
        <w:trPr>
          <w:trHeight w:hRule="exact" w:val="270"/>
        </w:trPr>
        <w:tc>
          <w:tcPr>
            <w:tcW w:w="2920" w:type="dxa"/>
            <w:tcBorders>
              <w:top w:val="single" w:sz="4" w:space="0" w:color="auto"/>
              <w:left w:val="single" w:sz="4" w:space="0" w:color="auto"/>
            </w:tcBorders>
            <w:shd w:val="clear" w:color="auto" w:fill="auto"/>
          </w:tcPr>
          <w:p w14:paraId="6A3B229A" w14:textId="77777777" w:rsidR="00B21C93" w:rsidRPr="002C1234" w:rsidRDefault="00B21C93" w:rsidP="00B21C93">
            <w:pPr>
              <w:pStyle w:val="Other0"/>
              <w:spacing w:after="0"/>
              <w:rPr>
                <w:rFonts w:ascii="Arial" w:hAnsi="Arial" w:cs="Arial"/>
              </w:rPr>
            </w:pPr>
            <w:r w:rsidRPr="002C1234">
              <w:rPr>
                <w:rFonts w:ascii="Arial" w:hAnsi="Arial" w:cs="Arial"/>
              </w:rPr>
              <w:t>Интерстициална течност</w:t>
            </w:r>
          </w:p>
        </w:tc>
        <w:tc>
          <w:tcPr>
            <w:tcW w:w="1674" w:type="dxa"/>
            <w:tcBorders>
              <w:top w:val="single" w:sz="4" w:space="0" w:color="auto"/>
              <w:left w:val="single" w:sz="4" w:space="0" w:color="auto"/>
            </w:tcBorders>
            <w:shd w:val="clear" w:color="auto" w:fill="auto"/>
          </w:tcPr>
          <w:p w14:paraId="79AB4DC7" w14:textId="77777777" w:rsidR="00B21C93" w:rsidRPr="002C1234" w:rsidRDefault="00B21C93" w:rsidP="00B21C93">
            <w:pPr>
              <w:pStyle w:val="Other0"/>
              <w:spacing w:after="0"/>
              <w:rPr>
                <w:rFonts w:ascii="Arial" w:hAnsi="Arial" w:cs="Arial"/>
              </w:rPr>
            </w:pPr>
            <w:r w:rsidRPr="002C1234">
              <w:rPr>
                <w:rFonts w:ascii="Arial" w:hAnsi="Arial" w:cs="Arial"/>
                <w:lang w:bidi="en-US"/>
              </w:rPr>
              <w:t>l,0</w:t>
            </w:r>
            <w:r w:rsidRPr="002C1234">
              <w:rPr>
                <w:rFonts w:ascii="Arial" w:hAnsi="Arial" w:cs="Arial"/>
                <w:vertAlign w:val="superscript"/>
                <w:lang w:bidi="en-US"/>
              </w:rPr>
              <w:t>2</w:t>
            </w:r>
            <w:r w:rsidRPr="002C1234">
              <w:rPr>
                <w:rFonts w:ascii="Arial" w:hAnsi="Arial" w:cs="Arial"/>
                <w:lang w:bidi="en-US"/>
              </w:rPr>
              <w:t xml:space="preserve"> mg/1</w:t>
            </w:r>
          </w:p>
        </w:tc>
        <w:tc>
          <w:tcPr>
            <w:tcW w:w="2902" w:type="dxa"/>
            <w:tcBorders>
              <w:top w:val="single" w:sz="4" w:space="0" w:color="auto"/>
              <w:left w:val="single" w:sz="4" w:space="0" w:color="auto"/>
              <w:right w:val="single" w:sz="4" w:space="0" w:color="auto"/>
            </w:tcBorders>
            <w:shd w:val="clear" w:color="auto" w:fill="auto"/>
          </w:tcPr>
          <w:p w14:paraId="3BD3B159" w14:textId="77777777" w:rsidR="00B21C93" w:rsidRPr="002C1234" w:rsidRDefault="00B21C93" w:rsidP="00B21C93">
            <w:pPr>
              <w:pStyle w:val="Other0"/>
              <w:spacing w:after="0"/>
              <w:rPr>
                <w:rFonts w:ascii="Arial" w:hAnsi="Arial" w:cs="Arial"/>
              </w:rPr>
            </w:pPr>
            <w:r w:rsidRPr="002C1234">
              <w:rPr>
                <w:rFonts w:ascii="Arial" w:hAnsi="Arial" w:cs="Arial"/>
                <w:lang w:bidi="en-US"/>
              </w:rPr>
              <w:t>0,8 -1,4</w:t>
            </w:r>
            <w:r w:rsidRPr="002C1234">
              <w:rPr>
                <w:rFonts w:ascii="Arial" w:hAnsi="Arial" w:cs="Arial"/>
                <w:vertAlign w:val="superscript"/>
                <w:lang w:bidi="en-US"/>
              </w:rPr>
              <w:t>2,3</w:t>
            </w:r>
          </w:p>
        </w:tc>
      </w:tr>
      <w:tr w:rsidR="00B21C93" w:rsidRPr="00941F31" w14:paraId="330B15F8" w14:textId="77777777" w:rsidTr="00B21C93">
        <w:trPr>
          <w:trHeight w:hRule="exact" w:val="295"/>
        </w:trPr>
        <w:tc>
          <w:tcPr>
            <w:tcW w:w="2920" w:type="dxa"/>
            <w:tcBorders>
              <w:top w:val="single" w:sz="4" w:space="0" w:color="auto"/>
              <w:left w:val="single" w:sz="4" w:space="0" w:color="auto"/>
              <w:bottom w:val="single" w:sz="4" w:space="0" w:color="auto"/>
            </w:tcBorders>
            <w:shd w:val="clear" w:color="auto" w:fill="auto"/>
          </w:tcPr>
          <w:p w14:paraId="25247A7E" w14:textId="77777777" w:rsidR="00B21C93" w:rsidRPr="002C1234" w:rsidRDefault="00B21C93" w:rsidP="00B21C93">
            <w:pPr>
              <w:pStyle w:val="Other0"/>
              <w:spacing w:after="0"/>
              <w:rPr>
                <w:rFonts w:ascii="Arial" w:hAnsi="Arial" w:cs="Arial"/>
              </w:rPr>
            </w:pPr>
            <w:r w:rsidRPr="002C1234">
              <w:rPr>
                <w:rFonts w:ascii="Arial" w:hAnsi="Arial" w:cs="Arial"/>
              </w:rPr>
              <w:t>Женска полова система*</w:t>
            </w:r>
          </w:p>
        </w:tc>
        <w:tc>
          <w:tcPr>
            <w:tcW w:w="1674" w:type="dxa"/>
            <w:tcBorders>
              <w:top w:val="single" w:sz="4" w:space="0" w:color="auto"/>
              <w:left w:val="single" w:sz="4" w:space="0" w:color="auto"/>
              <w:bottom w:val="single" w:sz="4" w:space="0" w:color="auto"/>
            </w:tcBorders>
            <w:shd w:val="clear" w:color="auto" w:fill="auto"/>
          </w:tcPr>
          <w:p w14:paraId="037BEA1A" w14:textId="77777777" w:rsidR="00B21C93" w:rsidRPr="002C1234" w:rsidRDefault="00B21C93" w:rsidP="00B21C93">
            <w:pPr>
              <w:pStyle w:val="Other0"/>
              <w:spacing w:after="0"/>
              <w:rPr>
                <w:rFonts w:ascii="Arial" w:hAnsi="Arial" w:cs="Arial"/>
              </w:rPr>
            </w:pPr>
            <w:r w:rsidRPr="002C1234">
              <w:rPr>
                <w:rFonts w:ascii="Arial" w:hAnsi="Arial" w:cs="Arial"/>
                <w:lang w:bidi="en-US"/>
              </w:rPr>
              <w:t>10.2</w:t>
            </w:r>
            <w:r w:rsidRPr="002C1234">
              <w:rPr>
                <w:rFonts w:ascii="Arial" w:hAnsi="Arial" w:cs="Arial"/>
                <w:vertAlign w:val="superscript"/>
                <w:lang w:bidi="en-US"/>
              </w:rPr>
              <w:t>4</w:t>
            </w:r>
            <w:r w:rsidRPr="002C1234">
              <w:rPr>
                <w:rFonts w:ascii="Arial" w:hAnsi="Arial" w:cs="Arial"/>
                <w:lang w:bidi="en-US"/>
              </w:rPr>
              <w:t xml:space="preserve"> mg/kg</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3D08F02" w14:textId="77777777" w:rsidR="00B21C93" w:rsidRPr="002C1234" w:rsidRDefault="00B21C93" w:rsidP="00B21C93">
            <w:pPr>
              <w:pStyle w:val="Other0"/>
              <w:spacing w:after="0"/>
              <w:rPr>
                <w:rFonts w:ascii="Arial" w:hAnsi="Arial" w:cs="Arial"/>
              </w:rPr>
            </w:pPr>
            <w:r w:rsidRPr="002C1234">
              <w:rPr>
                <w:rFonts w:ascii="Arial" w:hAnsi="Arial" w:cs="Arial"/>
                <w:lang w:bidi="en-US"/>
              </w:rPr>
              <w:t>1.72</w:t>
            </w:r>
            <w:r w:rsidRPr="002C1234">
              <w:rPr>
                <w:rFonts w:ascii="Arial" w:hAnsi="Arial" w:cs="Arial"/>
                <w:vertAlign w:val="superscript"/>
                <w:lang w:bidi="en-US"/>
              </w:rPr>
              <w:t>4</w:t>
            </w:r>
          </w:p>
        </w:tc>
      </w:tr>
    </w:tbl>
    <w:p w14:paraId="3BB84FAC" w14:textId="77777777" w:rsidR="00206939" w:rsidRDefault="00B21C93" w:rsidP="00B21C93">
      <w:pPr>
        <w:pStyle w:val="Tablecaption0"/>
        <w:rPr>
          <w:rFonts w:ascii="Arial" w:hAnsi="Arial" w:cs="Arial"/>
          <w:lang w:bidi="en-US"/>
        </w:rPr>
      </w:pPr>
      <w:r w:rsidRPr="002C1234">
        <w:rPr>
          <w:rFonts w:ascii="Arial" w:hAnsi="Arial" w:cs="Arial"/>
        </w:rPr>
        <w:t xml:space="preserve">*интравенозно приложение на еднократна доза от 400 </w:t>
      </w:r>
      <w:r w:rsidRPr="002C1234">
        <w:rPr>
          <w:rFonts w:ascii="Arial" w:hAnsi="Arial" w:cs="Arial"/>
          <w:lang w:bidi="en-US"/>
        </w:rPr>
        <w:t xml:space="preserve">mg </w:t>
      </w:r>
    </w:p>
    <w:p w14:paraId="5666D1F8" w14:textId="28D550A1" w:rsidR="00B21C93" w:rsidRPr="002C1234" w:rsidRDefault="00B21C93" w:rsidP="00B21C93">
      <w:pPr>
        <w:pStyle w:val="Tablecaption0"/>
        <w:rPr>
          <w:rFonts w:ascii="Arial" w:hAnsi="Arial" w:cs="Arial"/>
        </w:rPr>
      </w:pPr>
      <w:r w:rsidRPr="002C1234">
        <w:rPr>
          <w:rFonts w:ascii="Arial" w:hAnsi="Arial" w:cs="Arial"/>
        </w:rPr>
        <w:t>1 -10</w:t>
      </w:r>
      <w:r w:rsidRPr="002C1234">
        <w:rPr>
          <w:rFonts w:ascii="Arial" w:hAnsi="Arial" w:cs="Arial"/>
          <w:lang w:bidi="en-US"/>
        </w:rPr>
        <w:t xml:space="preserve"> h  </w:t>
      </w:r>
      <w:r w:rsidR="00206939">
        <w:rPr>
          <w:rFonts w:ascii="Arial" w:hAnsi="Arial" w:cs="Arial"/>
          <w:lang w:val="en-US" w:bidi="en-US"/>
        </w:rPr>
        <w:t>s</w:t>
      </w:r>
      <w:r w:rsidRPr="002C1234">
        <w:rPr>
          <w:rFonts w:ascii="Arial" w:hAnsi="Arial" w:cs="Arial"/>
        </w:rPr>
        <w:t>лед приложение</w:t>
      </w:r>
    </w:p>
    <w:p w14:paraId="4191F9B3" w14:textId="77777777" w:rsidR="00B21C93" w:rsidRPr="002C1234" w:rsidRDefault="00B21C93" w:rsidP="00B21C93">
      <w:pPr>
        <w:pStyle w:val="Tablecaption0"/>
        <w:rPr>
          <w:rFonts w:ascii="Arial" w:hAnsi="Arial" w:cs="Arial"/>
        </w:rPr>
      </w:pPr>
      <w:r w:rsidRPr="002C1234">
        <w:rPr>
          <w:rFonts w:ascii="Arial" w:hAnsi="Arial" w:cs="Arial"/>
        </w:rPr>
        <w:t>2 - несвързана концентрация</w:t>
      </w:r>
    </w:p>
    <w:p w14:paraId="1825235E" w14:textId="77777777" w:rsidR="00B21C93" w:rsidRPr="002C1234" w:rsidRDefault="00B21C93" w:rsidP="00B21C93">
      <w:pPr>
        <w:pStyle w:val="Tablecaption0"/>
        <w:rPr>
          <w:rFonts w:ascii="Arial" w:hAnsi="Arial" w:cs="Arial"/>
        </w:rPr>
      </w:pPr>
      <w:r w:rsidRPr="002C1234">
        <w:rPr>
          <w:rFonts w:ascii="Arial" w:hAnsi="Arial" w:cs="Arial"/>
        </w:rPr>
        <w:t xml:space="preserve">3 - от 3 </w:t>
      </w:r>
      <w:r w:rsidRPr="002C1234">
        <w:rPr>
          <w:rFonts w:ascii="Arial" w:hAnsi="Arial" w:cs="Arial"/>
          <w:lang w:bidi="en-US"/>
        </w:rPr>
        <w:t xml:space="preserve">h </w:t>
      </w:r>
      <w:r w:rsidRPr="002C1234">
        <w:rPr>
          <w:rFonts w:ascii="Arial" w:hAnsi="Arial" w:cs="Arial"/>
        </w:rPr>
        <w:t xml:space="preserve">до 36 </w:t>
      </w:r>
      <w:r w:rsidRPr="002C1234">
        <w:rPr>
          <w:rFonts w:ascii="Arial" w:hAnsi="Arial" w:cs="Arial"/>
          <w:lang w:bidi="en-US"/>
        </w:rPr>
        <w:t xml:space="preserve">h </w:t>
      </w:r>
      <w:r w:rsidRPr="002C1234">
        <w:rPr>
          <w:rFonts w:ascii="Arial" w:hAnsi="Arial" w:cs="Arial"/>
        </w:rPr>
        <w:t>след доза</w:t>
      </w:r>
    </w:p>
    <w:p w14:paraId="63CA90BB" w14:textId="77777777" w:rsidR="00B21C93" w:rsidRPr="00941F31" w:rsidRDefault="00B21C93" w:rsidP="00B21C93">
      <w:pPr>
        <w:pStyle w:val="Tablecaption0"/>
        <w:rPr>
          <w:rFonts w:ascii="Arial" w:hAnsi="Arial" w:cs="Arial"/>
          <w:sz w:val="24"/>
          <w:szCs w:val="24"/>
        </w:rPr>
      </w:pPr>
      <w:r w:rsidRPr="002C1234">
        <w:rPr>
          <w:rFonts w:ascii="Arial" w:hAnsi="Arial" w:cs="Arial"/>
        </w:rPr>
        <w:t>4 - в края на инфузията</w:t>
      </w:r>
    </w:p>
    <w:p w14:paraId="6D1F4FFD" w14:textId="77777777" w:rsidR="00B21C93" w:rsidRPr="00941F31" w:rsidRDefault="00B21C93" w:rsidP="00B21C93">
      <w:pPr>
        <w:pStyle w:val="Tablecaption0"/>
        <w:rPr>
          <w:rFonts w:ascii="Arial" w:hAnsi="Arial" w:cs="Arial"/>
          <w:sz w:val="24"/>
          <w:szCs w:val="24"/>
        </w:rPr>
      </w:pPr>
    </w:p>
    <w:p w14:paraId="736472C4" w14:textId="77777777" w:rsidR="002C1234" w:rsidRPr="000B0802" w:rsidRDefault="00B21C93" w:rsidP="000B0802">
      <w:pPr>
        <w:pStyle w:val="Heading3"/>
        <w:rPr>
          <w:rFonts w:eastAsia="Times New Roman"/>
          <w:u w:val="single"/>
          <w:lang w:eastAsia="bg-BG"/>
        </w:rPr>
      </w:pPr>
      <w:r w:rsidRPr="000B0802">
        <w:rPr>
          <w:rFonts w:eastAsia="Times New Roman"/>
          <w:u w:val="single"/>
          <w:lang w:eastAsia="bg-BG"/>
        </w:rPr>
        <w:lastRenderedPageBreak/>
        <w:t xml:space="preserve">Биотрансформация </w:t>
      </w:r>
    </w:p>
    <w:p w14:paraId="654C98FD" w14:textId="44FE85EB"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color w:val="000000"/>
          <w:u w:val="single"/>
          <w:lang w:eastAsia="bg-BG"/>
        </w:rPr>
        <w:t>М</w:t>
      </w:r>
      <w:r w:rsidRPr="00DE5AE2">
        <w:rPr>
          <w:rFonts w:ascii="Arial" w:eastAsia="Times New Roman" w:hAnsi="Arial" w:cs="Arial"/>
          <w:color w:val="000000"/>
          <w:lang w:eastAsia="bg-BG"/>
        </w:rPr>
        <w:t xml:space="preserve">оксифлоксацин е подложен на биотрансформация фаза II и се екскретира чрез бъбреци и жлъчка/изпражнения като непроменено лекарство, както и под формата на компонент, съдържащ сяра </w:t>
      </w:r>
      <w:r w:rsidRPr="00DE5AE2">
        <w:rPr>
          <w:rFonts w:ascii="Arial" w:eastAsia="Times New Roman" w:hAnsi="Arial" w:cs="Arial"/>
          <w:color w:val="000000"/>
        </w:rPr>
        <w:t xml:space="preserve">(Ml) </w:t>
      </w:r>
      <w:r w:rsidRPr="00DE5AE2">
        <w:rPr>
          <w:rFonts w:ascii="Arial" w:eastAsia="Times New Roman" w:hAnsi="Arial" w:cs="Arial"/>
          <w:color w:val="000000"/>
          <w:lang w:eastAsia="bg-BG"/>
        </w:rPr>
        <w:t xml:space="preserve">и като глюкуронид (M2). </w:t>
      </w:r>
      <w:r w:rsidRPr="00DE5AE2">
        <w:rPr>
          <w:rFonts w:ascii="Arial" w:eastAsia="Times New Roman" w:hAnsi="Arial" w:cs="Arial"/>
          <w:color w:val="000000"/>
        </w:rPr>
        <w:t xml:space="preserve">Ml </w:t>
      </w:r>
      <w:r w:rsidRPr="00DE5AE2">
        <w:rPr>
          <w:rFonts w:ascii="Arial" w:eastAsia="Times New Roman" w:hAnsi="Arial" w:cs="Arial"/>
          <w:color w:val="000000"/>
          <w:lang w:eastAsia="bg-BG"/>
        </w:rPr>
        <w:t>и M2 са единствените метаболити от значение при хората, като и двата са микробиологично неактивни.</w:t>
      </w:r>
    </w:p>
    <w:p w14:paraId="46961A52" w14:textId="77777777"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color w:val="000000"/>
          <w:lang w:eastAsia="bg-BG"/>
        </w:rPr>
        <w:t xml:space="preserve">При клинични проучвания фаза I и </w:t>
      </w:r>
      <w:r w:rsidRPr="00DE5AE2">
        <w:rPr>
          <w:rFonts w:ascii="Arial" w:eastAsia="Times New Roman" w:hAnsi="Arial" w:cs="Arial"/>
          <w:i/>
          <w:iCs/>
          <w:color w:val="000000"/>
        </w:rPr>
        <w:t>in vitro</w:t>
      </w:r>
      <w:r w:rsidRPr="00DE5AE2">
        <w:rPr>
          <w:rFonts w:ascii="Arial" w:eastAsia="Times New Roman" w:hAnsi="Arial" w:cs="Arial"/>
          <w:color w:val="000000"/>
        </w:rPr>
        <w:t xml:space="preserve"> </w:t>
      </w:r>
      <w:r w:rsidRPr="00DE5AE2">
        <w:rPr>
          <w:rFonts w:ascii="Arial" w:eastAsia="Times New Roman" w:hAnsi="Arial" w:cs="Arial"/>
          <w:color w:val="000000"/>
          <w:lang w:eastAsia="bg-BG"/>
        </w:rPr>
        <w:t>проучвания не са наблюдавани метаболитни фармакокинетични взаимодействия с други лекарства, подложени на биотрансформация фаза I, използващи цитохром Р-450 ензими. Няма данни за оксидативен метаболизъм.</w:t>
      </w:r>
    </w:p>
    <w:p w14:paraId="133AF130" w14:textId="77777777" w:rsidR="002C1234" w:rsidRDefault="002C1234" w:rsidP="00B21C93">
      <w:pPr>
        <w:spacing w:after="0" w:line="240" w:lineRule="auto"/>
        <w:rPr>
          <w:rFonts w:ascii="Arial" w:eastAsia="Times New Roman" w:hAnsi="Arial" w:cs="Arial"/>
          <w:color w:val="000000"/>
          <w:u w:val="single"/>
          <w:lang w:eastAsia="bg-BG"/>
        </w:rPr>
      </w:pPr>
    </w:p>
    <w:p w14:paraId="077C91A9" w14:textId="6F93C6B5" w:rsidR="00B21C93" w:rsidRPr="000B0802" w:rsidRDefault="00B21C93" w:rsidP="000B0802">
      <w:pPr>
        <w:pStyle w:val="Heading3"/>
        <w:rPr>
          <w:rFonts w:eastAsia="Times New Roman"/>
          <w:u w:val="single"/>
        </w:rPr>
      </w:pPr>
      <w:r w:rsidRPr="000B0802">
        <w:rPr>
          <w:rFonts w:eastAsia="Times New Roman"/>
          <w:u w:val="single"/>
          <w:lang w:eastAsia="bg-BG"/>
        </w:rPr>
        <w:t>Елиминиране</w:t>
      </w:r>
    </w:p>
    <w:p w14:paraId="50ECBA04" w14:textId="77777777"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color w:val="000000"/>
          <w:lang w:eastAsia="bg-BG"/>
        </w:rPr>
        <w:t>Моксифлоксацин се елиминира от плазмата с краен елиминационеп полуживот приблизително</w:t>
      </w:r>
    </w:p>
    <w:p w14:paraId="24A8F915" w14:textId="77777777"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color w:val="000000"/>
          <w:lang w:eastAsia="bg-BG"/>
        </w:rPr>
        <w:t xml:space="preserve">12 часа. Средният апарентен тотален телесен клирънс след еднократна доза от 400 </w:t>
      </w:r>
      <w:r w:rsidRPr="00DE5AE2">
        <w:rPr>
          <w:rFonts w:ascii="Arial" w:eastAsia="Times New Roman" w:hAnsi="Arial" w:cs="Arial"/>
          <w:color w:val="000000"/>
        </w:rPr>
        <w:t xml:space="preserve">mg </w:t>
      </w:r>
      <w:r w:rsidRPr="00DE5AE2">
        <w:rPr>
          <w:rFonts w:ascii="Arial" w:eastAsia="Times New Roman" w:hAnsi="Arial" w:cs="Arial"/>
          <w:color w:val="000000"/>
          <w:lang w:eastAsia="bg-BG"/>
        </w:rPr>
        <w:t>варира от</w:t>
      </w:r>
    </w:p>
    <w:p w14:paraId="01685501" w14:textId="77777777"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color w:val="000000"/>
          <w:lang w:eastAsia="bg-BG"/>
        </w:rPr>
        <w:t xml:space="preserve">179 до 246 </w:t>
      </w:r>
      <w:r w:rsidRPr="00DE5AE2">
        <w:rPr>
          <w:rFonts w:ascii="Arial" w:eastAsia="Times New Roman" w:hAnsi="Arial" w:cs="Arial"/>
          <w:color w:val="000000"/>
        </w:rPr>
        <w:t xml:space="preserve">ml/min. </w:t>
      </w:r>
      <w:r w:rsidRPr="00DE5AE2">
        <w:rPr>
          <w:rFonts w:ascii="Arial" w:eastAsia="Times New Roman" w:hAnsi="Arial" w:cs="Arial"/>
          <w:color w:val="000000"/>
          <w:lang w:eastAsia="bg-BG"/>
        </w:rPr>
        <w:t xml:space="preserve">Бъбречният клирънс, възлизащ на 24 - 53 </w:t>
      </w:r>
      <w:r w:rsidRPr="00DE5AE2">
        <w:rPr>
          <w:rFonts w:ascii="Arial" w:eastAsia="Times New Roman" w:hAnsi="Arial" w:cs="Arial"/>
          <w:color w:val="000000"/>
        </w:rPr>
        <w:t xml:space="preserve">ml/min </w:t>
      </w:r>
      <w:r w:rsidRPr="00DE5AE2">
        <w:rPr>
          <w:rFonts w:ascii="Arial" w:eastAsia="Times New Roman" w:hAnsi="Arial" w:cs="Arial"/>
          <w:color w:val="000000"/>
          <w:lang w:eastAsia="bg-BG"/>
        </w:rPr>
        <w:t>предполага частична тубулна реабсорбция на лекарството от бъбреците.</w:t>
      </w:r>
    </w:p>
    <w:p w14:paraId="1A91A796" w14:textId="77777777"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color w:val="000000"/>
          <w:lang w:eastAsia="bg-BG"/>
        </w:rPr>
        <w:t xml:space="preserve">След доза от 400 </w:t>
      </w:r>
      <w:r w:rsidRPr="00DE5AE2">
        <w:rPr>
          <w:rFonts w:ascii="Arial" w:eastAsia="Times New Roman" w:hAnsi="Arial" w:cs="Arial"/>
          <w:color w:val="000000"/>
        </w:rPr>
        <w:t xml:space="preserve">mg, </w:t>
      </w:r>
      <w:r w:rsidRPr="00DE5AE2">
        <w:rPr>
          <w:rFonts w:ascii="Arial" w:eastAsia="Times New Roman" w:hAnsi="Arial" w:cs="Arial"/>
          <w:color w:val="000000"/>
          <w:lang w:eastAsia="bg-BG"/>
        </w:rPr>
        <w:t xml:space="preserve">възстановяване в урината (приблизително 19% непроменено лекарство, приблизително 2,5% за </w:t>
      </w:r>
      <w:r w:rsidRPr="00DE5AE2">
        <w:rPr>
          <w:rFonts w:ascii="Arial" w:eastAsia="Times New Roman" w:hAnsi="Arial" w:cs="Arial"/>
          <w:color w:val="000000"/>
        </w:rPr>
        <w:t xml:space="preserve">Ml </w:t>
      </w:r>
      <w:r w:rsidRPr="00DE5AE2">
        <w:rPr>
          <w:rFonts w:ascii="Arial" w:eastAsia="Times New Roman" w:hAnsi="Arial" w:cs="Arial"/>
          <w:color w:val="000000"/>
          <w:lang w:eastAsia="bg-BG"/>
        </w:rPr>
        <w:t xml:space="preserve">и приблизително 14% за M2) и изпражненията (приблизително 25% непроменено лекарство, приблизително 36% за </w:t>
      </w:r>
      <w:r w:rsidRPr="00DE5AE2">
        <w:rPr>
          <w:rFonts w:ascii="Arial" w:eastAsia="Times New Roman" w:hAnsi="Arial" w:cs="Arial"/>
          <w:color w:val="000000"/>
        </w:rPr>
        <w:t xml:space="preserve">M1 </w:t>
      </w:r>
      <w:r w:rsidRPr="00DE5AE2">
        <w:rPr>
          <w:rFonts w:ascii="Arial" w:eastAsia="Times New Roman" w:hAnsi="Arial" w:cs="Arial"/>
          <w:color w:val="000000"/>
          <w:lang w:eastAsia="bg-BG"/>
        </w:rPr>
        <w:t>и не се установява M2), общо приблизително 96%.</w:t>
      </w:r>
    </w:p>
    <w:p w14:paraId="60D6DD03" w14:textId="77777777"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color w:val="000000"/>
          <w:lang w:eastAsia="bg-BG"/>
        </w:rPr>
        <w:t>Едновременното приложение на моксифлоксацин с ранитидин или пробенецид не променя бъбречния клирънс на изходното лекарство.</w:t>
      </w:r>
    </w:p>
    <w:p w14:paraId="2DE9B849" w14:textId="77777777"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i/>
          <w:iCs/>
          <w:color w:val="000000"/>
          <w:lang w:eastAsia="bg-BG"/>
        </w:rPr>
        <w:t>Пациенти в старческа възраст и пациенти с ниско телесно тегло</w:t>
      </w:r>
    </w:p>
    <w:p w14:paraId="7A4F91CC" w14:textId="77777777"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color w:val="000000"/>
          <w:lang w:eastAsia="bg-BG"/>
        </w:rPr>
        <w:t>По-високи плазмени концентрации са наблюдавани при здрави доброволци с ниско телесно тегло (като жени) и при доброволци в старческа възраст.</w:t>
      </w:r>
    </w:p>
    <w:p w14:paraId="51AF6D18" w14:textId="77777777" w:rsidR="002C1234" w:rsidRDefault="002C1234" w:rsidP="00B21C93">
      <w:pPr>
        <w:spacing w:after="0" w:line="240" w:lineRule="auto"/>
        <w:rPr>
          <w:rFonts w:ascii="Arial" w:eastAsia="Times New Roman" w:hAnsi="Arial" w:cs="Arial"/>
          <w:i/>
          <w:iCs/>
          <w:color w:val="000000"/>
          <w:lang w:eastAsia="bg-BG"/>
        </w:rPr>
      </w:pPr>
    </w:p>
    <w:p w14:paraId="599931AC" w14:textId="57437369" w:rsidR="00B21C93" w:rsidRPr="000B0802" w:rsidRDefault="00B21C93" w:rsidP="000B0802">
      <w:pPr>
        <w:pStyle w:val="Heading3"/>
        <w:rPr>
          <w:rFonts w:eastAsia="Times New Roman"/>
          <w:i/>
          <w:iCs/>
        </w:rPr>
      </w:pPr>
      <w:r w:rsidRPr="000B0802">
        <w:rPr>
          <w:rFonts w:eastAsia="Times New Roman"/>
          <w:i/>
          <w:iCs/>
          <w:lang w:eastAsia="bg-BG"/>
        </w:rPr>
        <w:t>Бъбречно увреждане</w:t>
      </w:r>
    </w:p>
    <w:p w14:paraId="65138958" w14:textId="77777777"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color w:val="000000"/>
          <w:lang w:eastAsia="bg-BG"/>
        </w:rPr>
        <w:t xml:space="preserve">Фармакокинетичните свойства на моксифлоксацин не са значително различни при пациенти с бъбречно увреждане (включително креатининов клирънс </w:t>
      </w:r>
      <w:r w:rsidRPr="00DE5AE2">
        <w:rPr>
          <w:rFonts w:ascii="Arial" w:eastAsia="Times New Roman" w:hAnsi="Arial" w:cs="Arial"/>
          <w:color w:val="000000"/>
        </w:rPr>
        <w:t>&gt;20ml/min/l,73m</w:t>
      </w:r>
      <w:r w:rsidRPr="00DE5AE2">
        <w:rPr>
          <w:rFonts w:ascii="Arial" w:eastAsia="Times New Roman" w:hAnsi="Arial" w:cs="Arial"/>
          <w:color w:val="000000"/>
          <w:vertAlign w:val="superscript"/>
        </w:rPr>
        <w:t>2</w:t>
      </w:r>
      <w:r w:rsidRPr="00DE5AE2">
        <w:rPr>
          <w:rFonts w:ascii="Arial" w:eastAsia="Times New Roman" w:hAnsi="Arial" w:cs="Arial"/>
          <w:color w:val="000000"/>
        </w:rPr>
        <w:t xml:space="preserve">). </w:t>
      </w:r>
      <w:r w:rsidRPr="00DE5AE2">
        <w:rPr>
          <w:rFonts w:ascii="Arial" w:eastAsia="Times New Roman" w:hAnsi="Arial" w:cs="Arial"/>
          <w:color w:val="000000"/>
          <w:lang w:eastAsia="bg-BG"/>
        </w:rPr>
        <w:t xml:space="preserve">Тъй като бъбречната функция се намалява, концентрацията на метаболит M2 (глюкуронид) се повишава с фактор 2,5 (при креатининов клирънс </w:t>
      </w:r>
      <w:r w:rsidRPr="00DE5AE2">
        <w:rPr>
          <w:rFonts w:ascii="Arial" w:eastAsia="Times New Roman" w:hAnsi="Arial" w:cs="Arial"/>
          <w:color w:val="000000"/>
        </w:rPr>
        <w:t>&lt;30ml/min/l,73m</w:t>
      </w:r>
      <w:r w:rsidRPr="00DE5AE2">
        <w:rPr>
          <w:rFonts w:ascii="Arial" w:eastAsia="Times New Roman" w:hAnsi="Arial" w:cs="Arial"/>
          <w:color w:val="000000"/>
          <w:vertAlign w:val="superscript"/>
        </w:rPr>
        <w:t>2</w:t>
      </w:r>
      <w:r w:rsidRPr="00DE5AE2">
        <w:rPr>
          <w:rFonts w:ascii="Arial" w:eastAsia="Times New Roman" w:hAnsi="Arial" w:cs="Arial"/>
          <w:color w:val="000000"/>
        </w:rPr>
        <w:t>)</w:t>
      </w:r>
    </w:p>
    <w:p w14:paraId="3988EA75" w14:textId="77777777" w:rsidR="00B21C93" w:rsidRPr="00DE5AE2" w:rsidRDefault="00B21C93" w:rsidP="00B21C93">
      <w:pPr>
        <w:spacing w:after="0" w:line="240" w:lineRule="auto"/>
        <w:rPr>
          <w:rFonts w:ascii="Arial" w:eastAsia="Times New Roman" w:hAnsi="Arial" w:cs="Arial"/>
          <w:sz w:val="24"/>
          <w:szCs w:val="24"/>
        </w:rPr>
      </w:pPr>
    </w:p>
    <w:p w14:paraId="54975D26" w14:textId="77777777" w:rsidR="00B21C93" w:rsidRPr="000B0802" w:rsidRDefault="00B21C93" w:rsidP="000B0802">
      <w:pPr>
        <w:pStyle w:val="Heading3"/>
        <w:rPr>
          <w:i/>
          <w:iCs/>
          <w:lang w:eastAsia="bg-BG"/>
        </w:rPr>
      </w:pPr>
      <w:r w:rsidRPr="000B0802">
        <w:rPr>
          <w:i/>
          <w:iCs/>
          <w:lang w:eastAsia="bg-BG"/>
        </w:rPr>
        <w:t>Чернодробно увреждане</w:t>
      </w:r>
    </w:p>
    <w:p w14:paraId="4DDD620E" w14:textId="77777777" w:rsidR="00B21C93" w:rsidRPr="00DE5AE2" w:rsidRDefault="00B21C93" w:rsidP="00B21C93">
      <w:pPr>
        <w:spacing w:after="0" w:line="240" w:lineRule="auto"/>
        <w:rPr>
          <w:rFonts w:ascii="Arial" w:eastAsia="Times New Roman" w:hAnsi="Arial" w:cs="Arial"/>
          <w:sz w:val="24"/>
          <w:szCs w:val="24"/>
        </w:rPr>
      </w:pPr>
      <w:r w:rsidRPr="00DE5AE2">
        <w:rPr>
          <w:rFonts w:ascii="Arial" w:eastAsia="Times New Roman" w:hAnsi="Arial" w:cs="Arial"/>
          <w:color w:val="000000"/>
          <w:lang w:eastAsia="bg-BG"/>
        </w:rPr>
        <w:t xml:space="preserve">Въз основа на фармакокинетичните проучвания, проведени до сега при пациенти с чернодробна недостатъчност </w:t>
      </w:r>
      <w:r w:rsidRPr="00DE5AE2">
        <w:rPr>
          <w:rFonts w:ascii="Arial" w:eastAsia="Times New Roman" w:hAnsi="Arial" w:cs="Arial"/>
          <w:color w:val="000000"/>
        </w:rPr>
        <w:t xml:space="preserve">(Child Pugh </w:t>
      </w:r>
      <w:r w:rsidRPr="00DE5AE2">
        <w:rPr>
          <w:rFonts w:ascii="Arial" w:eastAsia="Times New Roman" w:hAnsi="Arial" w:cs="Arial"/>
          <w:color w:val="000000"/>
          <w:lang w:eastAsia="bg-BG"/>
        </w:rPr>
        <w:t xml:space="preserve">А, В), не е възможно да се определи дали има различия в сравнение със здрави доброволци. Увредената чернодробна функция е свързана с по-продължителна експозиция на </w:t>
      </w:r>
      <w:r w:rsidRPr="00DE5AE2">
        <w:rPr>
          <w:rFonts w:ascii="Arial" w:eastAsia="Times New Roman" w:hAnsi="Arial" w:cs="Arial"/>
          <w:color w:val="000000"/>
        </w:rPr>
        <w:t xml:space="preserve">Ml </w:t>
      </w:r>
      <w:r w:rsidRPr="00DE5AE2">
        <w:rPr>
          <w:rFonts w:ascii="Arial" w:eastAsia="Times New Roman" w:hAnsi="Arial" w:cs="Arial"/>
          <w:color w:val="000000"/>
          <w:lang w:eastAsia="bg-BG"/>
        </w:rPr>
        <w:t>в плазмата, докато експозицията с изходното лекарство е сравнима с експозицията при здрави доброволци. Няма достатъчно опит с клиничната употреба на моксифлоксацин при пациенти с увредена чернодробна функция.</w:t>
      </w:r>
    </w:p>
    <w:p w14:paraId="41079877" w14:textId="77777777" w:rsidR="00B21C93" w:rsidRPr="00941F31" w:rsidRDefault="00B21C93" w:rsidP="00B21C93">
      <w:pPr>
        <w:spacing w:after="120"/>
        <w:rPr>
          <w:rFonts w:ascii="Arial" w:hAnsi="Arial" w:cs="Arial"/>
          <w:sz w:val="28"/>
          <w:szCs w:val="28"/>
        </w:rPr>
      </w:pPr>
    </w:p>
    <w:p w14:paraId="5B70DDDA" w14:textId="77777777" w:rsidR="00B21C93" w:rsidRPr="00941F31" w:rsidRDefault="00B21C93" w:rsidP="00B21C93">
      <w:pPr>
        <w:pStyle w:val="Heading2"/>
      </w:pPr>
      <w:r w:rsidRPr="00941F31">
        <w:t>5.3 Предклинични данни за безопасност</w:t>
      </w:r>
    </w:p>
    <w:p w14:paraId="13FBDF1F" w14:textId="77777777" w:rsidR="00B21C93" w:rsidRPr="002C1234" w:rsidRDefault="00B21C93" w:rsidP="00B21C93">
      <w:pPr>
        <w:pStyle w:val="BodyText"/>
        <w:spacing w:after="300" w:line="261" w:lineRule="exact"/>
        <w:rPr>
          <w:rFonts w:cs="Arial"/>
        </w:rPr>
      </w:pPr>
      <w:r w:rsidRPr="002C1234">
        <w:rPr>
          <w:rFonts w:cs="Arial"/>
        </w:rPr>
        <w:t xml:space="preserve">Ефектите върху хемопоетичната система (леко понижаване на броя на еритроцитите и тромбоцитите) са наблюдавани при плъхове и маймуни. Както при другите хинолони, хепатотоксичност (повишени чернодробни ензими и вакуолна дегенерация) е наблюдавана при плъхове, маймуни и кучета. При маймуни е наблюдавана токсичност върху ЦНС (гърчове). Тези ефекти са наблюдавани само след лечение с високи дози или </w:t>
      </w:r>
      <w:r w:rsidRPr="002C1234">
        <w:rPr>
          <w:rFonts w:cs="Arial"/>
        </w:rPr>
        <w:lastRenderedPageBreak/>
        <w:t>след продължително лечение с моксифлоксацин.</w:t>
      </w:r>
    </w:p>
    <w:p w14:paraId="40AB6375" w14:textId="77777777" w:rsidR="00B21C93" w:rsidRPr="002C1234" w:rsidRDefault="00B21C93" w:rsidP="00B21C93">
      <w:pPr>
        <w:pStyle w:val="BodyText"/>
        <w:spacing w:after="300" w:line="261" w:lineRule="exact"/>
        <w:rPr>
          <w:rFonts w:cs="Arial"/>
        </w:rPr>
      </w:pPr>
      <w:r w:rsidRPr="002C1234">
        <w:rPr>
          <w:rFonts w:cs="Arial"/>
        </w:rPr>
        <w:t xml:space="preserve">Моксифлоксацин, както другите хинолони, е генотоксичен в </w:t>
      </w:r>
      <w:r w:rsidRPr="002C1234">
        <w:rPr>
          <w:rFonts w:cs="Arial"/>
          <w:i/>
          <w:iCs/>
          <w:lang w:bidi="en-US"/>
        </w:rPr>
        <w:t>in vitro</w:t>
      </w:r>
      <w:r w:rsidRPr="002C1234">
        <w:rPr>
          <w:rFonts w:cs="Arial"/>
          <w:lang w:bidi="en-US"/>
        </w:rPr>
        <w:t xml:space="preserve"> </w:t>
      </w:r>
      <w:r w:rsidRPr="002C1234">
        <w:rPr>
          <w:rFonts w:cs="Arial"/>
        </w:rPr>
        <w:t xml:space="preserve">тестове с използването на бактерии или клетки от бозайници. Понеже тези ефекти могат да се обяснят с взаимодействието с гиразата в бактериите и — при по-високи концентрации - с взаимодействието с топоизомераза II в клетките на бозайници, могат да се определят прагови концентрации за генотоксичност. При </w:t>
      </w:r>
      <w:r w:rsidRPr="002C1234">
        <w:rPr>
          <w:rFonts w:cs="Arial"/>
          <w:i/>
          <w:iCs/>
          <w:lang w:bidi="en-US"/>
        </w:rPr>
        <w:t>in vivo</w:t>
      </w:r>
      <w:r w:rsidRPr="002C1234">
        <w:rPr>
          <w:rFonts w:cs="Arial"/>
          <w:lang w:bidi="en-US"/>
        </w:rPr>
        <w:t xml:space="preserve"> </w:t>
      </w:r>
      <w:r w:rsidRPr="002C1234">
        <w:rPr>
          <w:rFonts w:cs="Arial"/>
        </w:rPr>
        <w:t>тестове няма данни за генотоксичност, независимо от факта, че са използвани много високи дози моксифлоксацин. По този начин могат да се установят достатъчни граници на безопасност на терапевтичната доза при хора. Моксифлоксацин не е канцерогенен в проучвания при плъхове.</w:t>
      </w:r>
    </w:p>
    <w:p w14:paraId="0A134604" w14:textId="77777777" w:rsidR="00B21C93" w:rsidRPr="002C1234" w:rsidRDefault="00B21C93" w:rsidP="00B21C93">
      <w:pPr>
        <w:pStyle w:val="BodyText"/>
        <w:spacing w:after="300" w:line="260" w:lineRule="exact"/>
        <w:rPr>
          <w:rFonts w:cs="Arial"/>
        </w:rPr>
      </w:pPr>
      <w:r w:rsidRPr="002C1234">
        <w:rPr>
          <w:rFonts w:cs="Arial"/>
        </w:rPr>
        <w:t xml:space="preserve">Много хинолони са фоточувствителни и могат да индуцират фототоксични, фотомутагенни и фотоканцерогенни ефекти. Обратно на това, моксифлоксацин е доказано, че няма фототоксични и фотогенотоксични свойства, когато е изследван в обширна програма на </w:t>
      </w:r>
      <w:r w:rsidRPr="002C1234">
        <w:rPr>
          <w:rFonts w:cs="Arial"/>
          <w:i/>
          <w:iCs/>
          <w:lang w:bidi="en-US"/>
        </w:rPr>
        <w:t xml:space="preserve">in vitro </w:t>
      </w:r>
      <w:r w:rsidRPr="002C1234">
        <w:rPr>
          <w:rFonts w:cs="Arial"/>
        </w:rPr>
        <w:t xml:space="preserve">и </w:t>
      </w:r>
      <w:r w:rsidRPr="002C1234">
        <w:rPr>
          <w:rFonts w:cs="Arial"/>
          <w:i/>
          <w:iCs/>
          <w:lang w:bidi="en-US"/>
        </w:rPr>
        <w:t>in vivo</w:t>
      </w:r>
      <w:r w:rsidRPr="002C1234">
        <w:rPr>
          <w:rFonts w:cs="Arial"/>
          <w:lang w:bidi="en-US"/>
        </w:rPr>
        <w:t xml:space="preserve"> </w:t>
      </w:r>
      <w:r w:rsidRPr="002C1234">
        <w:rPr>
          <w:rFonts w:cs="Arial"/>
        </w:rPr>
        <w:t>проучвания. При същите условия други хинолони предизвикват ефекти.</w:t>
      </w:r>
    </w:p>
    <w:p w14:paraId="2071B802" w14:textId="77777777" w:rsidR="00B21C93" w:rsidRPr="002C1234" w:rsidRDefault="00B21C93" w:rsidP="00B21C93">
      <w:pPr>
        <w:pStyle w:val="BodyText"/>
        <w:spacing w:after="300" w:line="261" w:lineRule="exact"/>
        <w:rPr>
          <w:rFonts w:cs="Arial"/>
        </w:rPr>
      </w:pPr>
      <w:r w:rsidRPr="002C1234">
        <w:rPr>
          <w:rFonts w:cs="Arial"/>
        </w:rPr>
        <w:t xml:space="preserve">Във високи концентрации, моксифлоксацин е инхибитор на бързата компонента на бавното възстановяване на калиевата помпа на сърцето и може да причини удължаване на </w:t>
      </w:r>
      <w:r w:rsidRPr="002C1234">
        <w:rPr>
          <w:rFonts w:cs="Arial"/>
          <w:lang w:bidi="en-US"/>
        </w:rPr>
        <w:t xml:space="preserve">QT- </w:t>
      </w:r>
      <w:r w:rsidRPr="002C1234">
        <w:rPr>
          <w:rFonts w:cs="Arial"/>
        </w:rPr>
        <w:t xml:space="preserve">интервала. Токсикологични проучвания при кучета с перорална доза &gt; 90 </w:t>
      </w:r>
      <w:r w:rsidRPr="002C1234">
        <w:rPr>
          <w:rFonts w:cs="Arial"/>
          <w:lang w:bidi="en-US"/>
        </w:rPr>
        <w:t xml:space="preserve">mg/kg, </w:t>
      </w:r>
      <w:r w:rsidRPr="002C1234">
        <w:rPr>
          <w:rFonts w:cs="Arial"/>
        </w:rPr>
        <w:t xml:space="preserve">водещи до плазмени концентрации &gt;16 </w:t>
      </w:r>
      <w:r w:rsidRPr="002C1234">
        <w:rPr>
          <w:rFonts w:cs="Arial"/>
          <w:lang w:bidi="en-US"/>
        </w:rPr>
        <w:t xml:space="preserve">mg/kg </w:t>
      </w:r>
      <w:r w:rsidRPr="002C1234">
        <w:rPr>
          <w:rFonts w:cs="Arial"/>
        </w:rPr>
        <w:t xml:space="preserve">причиняват удължаване на </w:t>
      </w:r>
      <w:r w:rsidRPr="002C1234">
        <w:rPr>
          <w:rFonts w:cs="Arial"/>
          <w:lang w:bidi="en-US"/>
        </w:rPr>
        <w:t>QT</w:t>
      </w:r>
      <w:r w:rsidRPr="002C1234">
        <w:rPr>
          <w:rFonts w:cs="Arial"/>
        </w:rPr>
        <w:t xml:space="preserve">-интервала, но не аритмия. Само след приложение на много високи кумулативни интравенозни дози 50 пъти по-високи от дозата при хора (&gt;300 </w:t>
      </w:r>
      <w:r w:rsidRPr="002C1234">
        <w:rPr>
          <w:rFonts w:cs="Arial"/>
          <w:lang w:bidi="en-US"/>
        </w:rPr>
        <w:t xml:space="preserve">mg/kg), </w:t>
      </w:r>
      <w:r w:rsidRPr="002C1234">
        <w:rPr>
          <w:rFonts w:cs="Arial"/>
        </w:rPr>
        <w:t xml:space="preserve">водещи до плазмени концентрации &gt;200 </w:t>
      </w:r>
      <w:r w:rsidRPr="002C1234">
        <w:rPr>
          <w:rFonts w:cs="Arial"/>
          <w:lang w:bidi="en-US"/>
        </w:rPr>
        <w:t xml:space="preserve">mg/l </w:t>
      </w:r>
      <w:r w:rsidRPr="002C1234">
        <w:rPr>
          <w:rFonts w:cs="Arial"/>
        </w:rPr>
        <w:t xml:space="preserve">(повече от 40-кратно увеличение на терапевтично ниво), са наблюдавани обратими, не-фатални камерни аритмии.Хинолоните са известни, че причиняват увреждания на хрущяла на големите свързващи стави при недоносени животни. Най-ниската перорална доза на моксифлоксацин, причиняваща токсичност на ставите при млади кучета е 4 пъти по-висока от максималната препоръчителната терапевтична доза от 400 </w:t>
      </w:r>
      <w:r w:rsidRPr="002C1234">
        <w:rPr>
          <w:rFonts w:cs="Arial"/>
          <w:lang w:bidi="en-US"/>
        </w:rPr>
        <w:t xml:space="preserve">mg </w:t>
      </w:r>
      <w:r w:rsidRPr="002C1234">
        <w:rPr>
          <w:rFonts w:cs="Arial"/>
        </w:rPr>
        <w:t xml:space="preserve">(за 50 </w:t>
      </w:r>
      <w:r w:rsidRPr="002C1234">
        <w:rPr>
          <w:rFonts w:cs="Arial"/>
          <w:lang w:bidi="en-US"/>
        </w:rPr>
        <w:t xml:space="preserve">kg </w:t>
      </w:r>
      <w:r w:rsidRPr="002C1234">
        <w:rPr>
          <w:rFonts w:cs="Arial"/>
        </w:rPr>
        <w:t xml:space="preserve">телесно тегло) върху база </w:t>
      </w:r>
      <w:r w:rsidRPr="002C1234">
        <w:rPr>
          <w:rFonts w:cs="Arial"/>
          <w:lang w:bidi="en-US"/>
        </w:rPr>
        <w:t xml:space="preserve">mg/kg, </w:t>
      </w:r>
      <w:r w:rsidRPr="002C1234">
        <w:rPr>
          <w:rFonts w:cs="Arial"/>
        </w:rPr>
        <w:t>с плазмени концентрации 2 до 3 пъти по-високи от максималната терапевтична доза.</w:t>
      </w:r>
    </w:p>
    <w:p w14:paraId="45ACF32D" w14:textId="77777777" w:rsidR="00B21C93" w:rsidRPr="002C1234" w:rsidRDefault="00B21C93" w:rsidP="00B21C93">
      <w:pPr>
        <w:pStyle w:val="BodyText"/>
        <w:spacing w:after="120" w:line="259" w:lineRule="exact"/>
        <w:rPr>
          <w:rFonts w:cs="Arial"/>
        </w:rPr>
      </w:pPr>
      <w:r w:rsidRPr="002C1234">
        <w:rPr>
          <w:rFonts w:cs="Arial"/>
        </w:rPr>
        <w:t xml:space="preserve">Изследванията за токсичност при плъхове и маймуни (повторно дозиране до 6 месеца), не показват данни за токсичност за очите. При кучета високите перорални дози (&gt; 60 </w:t>
      </w:r>
      <w:r w:rsidRPr="002C1234">
        <w:rPr>
          <w:rFonts w:cs="Arial"/>
          <w:lang w:bidi="en-US"/>
        </w:rPr>
        <w:t xml:space="preserve">mg/kg), </w:t>
      </w:r>
      <w:r w:rsidRPr="002C1234">
        <w:rPr>
          <w:rFonts w:cs="Arial"/>
        </w:rPr>
        <w:t xml:space="preserve">водещи до плазмени концентрации &gt; 20 </w:t>
      </w:r>
      <w:r w:rsidRPr="002C1234">
        <w:rPr>
          <w:rFonts w:cs="Arial"/>
          <w:lang w:bidi="en-US"/>
        </w:rPr>
        <w:t xml:space="preserve">mg/1, </w:t>
      </w:r>
      <w:r w:rsidRPr="002C1234">
        <w:rPr>
          <w:rFonts w:cs="Arial"/>
        </w:rPr>
        <w:t>причиняват промени в електроретинограмата и в изолирани случаи до атрофия на ретината.</w:t>
      </w:r>
    </w:p>
    <w:p w14:paraId="16F9E602" w14:textId="77777777" w:rsidR="00B21C93" w:rsidRPr="002C1234" w:rsidRDefault="00B21C93" w:rsidP="00B21C93">
      <w:pPr>
        <w:pStyle w:val="BodyText"/>
        <w:spacing w:after="300" w:line="260" w:lineRule="exact"/>
        <w:rPr>
          <w:rFonts w:cs="Arial"/>
        </w:rPr>
      </w:pPr>
      <w:r w:rsidRPr="002C1234">
        <w:rPr>
          <w:rFonts w:cs="Arial"/>
        </w:rPr>
        <w:t>Проучвания върху репродукцията, извършени при плъхове, зайци и маймуни</w:t>
      </w:r>
      <w:r w:rsidRPr="002C1234">
        <w:rPr>
          <w:rFonts w:cs="Arial"/>
          <w:lang w:bidi="en-US"/>
        </w:rPr>
        <w:t xml:space="preserve"> </w:t>
      </w:r>
      <w:r w:rsidRPr="002C1234">
        <w:rPr>
          <w:rFonts w:cs="Arial"/>
        </w:rPr>
        <w:t xml:space="preserve">показват преминаване на моксифлоксацин през плацентата. Проучванията при плъхове (прерорално и интравенозно) и маймуни (перорално) не представят доказателства за тератогенност или увреждане на фертилитета след приложение на моксифлоксацин. Леко повишена честота малформации на прешлени и ребра са наблюдавани при зародишите на зайци, но само при доза </w:t>
      </w:r>
      <w:r w:rsidRPr="002C1234">
        <w:rPr>
          <w:rFonts w:cs="Arial"/>
          <w:lang w:bidi="en-US"/>
        </w:rPr>
        <w:t xml:space="preserve">(20 mg/kg i.v.), </w:t>
      </w:r>
      <w:r w:rsidRPr="002C1234">
        <w:rPr>
          <w:rFonts w:cs="Arial"/>
        </w:rPr>
        <w:t xml:space="preserve">което е свързано с тежка токсичност за майката. Има повишена честотата на абортите при маймуни и зайци с човешки терапевтични плазмени концентрации. При плъхове е установено понижаване на телесното тегло на плода, по-голям брой аборти, леко повишена продължителност на бременността и повишена спонтанна активност при някои от потомството от двата пола, при употреба на дози, които са 63 пъти по-високи от максималната препоръчителна доза в </w:t>
      </w:r>
      <w:r w:rsidRPr="002C1234">
        <w:rPr>
          <w:rFonts w:cs="Arial"/>
          <w:lang w:bidi="en-US"/>
        </w:rPr>
        <w:t xml:space="preserve">mg/kg </w:t>
      </w:r>
      <w:r w:rsidRPr="002C1234">
        <w:rPr>
          <w:rFonts w:cs="Arial"/>
        </w:rPr>
        <w:t>телесно тегло с плазмени концентрации в рамките на терапевтичната доза при хора.</w:t>
      </w:r>
    </w:p>
    <w:p w14:paraId="0BF99A58" w14:textId="77777777" w:rsidR="00B21C93" w:rsidRPr="00196AC7" w:rsidRDefault="00B21C93" w:rsidP="00B21C93">
      <w:pPr>
        <w:pStyle w:val="Heading1"/>
      </w:pPr>
      <w:r w:rsidRPr="00196AC7">
        <w:lastRenderedPageBreak/>
        <w:t>7. Притежател на разрешението за употреба</w:t>
      </w:r>
    </w:p>
    <w:p w14:paraId="01A2DD9E" w14:textId="77777777" w:rsidR="00B21C93" w:rsidRPr="002C1234" w:rsidRDefault="00B21C93" w:rsidP="00B21C93">
      <w:pPr>
        <w:pStyle w:val="BodyText"/>
        <w:spacing w:line="233" w:lineRule="auto"/>
        <w:rPr>
          <w:rFonts w:cs="Arial"/>
        </w:rPr>
      </w:pPr>
      <w:r w:rsidRPr="002C1234">
        <w:rPr>
          <w:rFonts w:cs="Arial"/>
          <w:lang w:bidi="en-US"/>
        </w:rPr>
        <w:t>Bayer AG</w:t>
      </w:r>
    </w:p>
    <w:p w14:paraId="601C99FD" w14:textId="77777777" w:rsidR="00B21C93" w:rsidRPr="002C1234" w:rsidRDefault="00B21C93" w:rsidP="00B21C93">
      <w:pPr>
        <w:pStyle w:val="BodyText"/>
        <w:spacing w:line="233" w:lineRule="auto"/>
        <w:rPr>
          <w:rFonts w:cs="Arial"/>
        </w:rPr>
      </w:pPr>
      <w:r w:rsidRPr="002C1234">
        <w:rPr>
          <w:rFonts w:cs="Arial"/>
          <w:lang w:bidi="en-US"/>
        </w:rPr>
        <w:t xml:space="preserve">Kaiser-Wilhelm-Allee </w:t>
      </w:r>
      <w:r w:rsidRPr="002C1234">
        <w:rPr>
          <w:rFonts w:cs="Arial"/>
        </w:rPr>
        <w:t>1</w:t>
      </w:r>
    </w:p>
    <w:p w14:paraId="444C6377" w14:textId="77777777" w:rsidR="00B21C93" w:rsidRPr="00941F31" w:rsidRDefault="00B21C93" w:rsidP="00B21C93">
      <w:pPr>
        <w:pStyle w:val="BodyText"/>
        <w:spacing w:after="480" w:line="233" w:lineRule="auto"/>
        <w:rPr>
          <w:rFonts w:cs="Arial"/>
          <w:sz w:val="24"/>
          <w:szCs w:val="24"/>
        </w:rPr>
      </w:pPr>
      <w:r w:rsidRPr="002C1234">
        <w:rPr>
          <w:rFonts w:cs="Arial"/>
        </w:rPr>
        <w:t xml:space="preserve">51373 </w:t>
      </w:r>
      <w:r w:rsidRPr="002C1234">
        <w:rPr>
          <w:rFonts w:cs="Arial"/>
          <w:lang w:bidi="en-US"/>
        </w:rPr>
        <w:t xml:space="preserve">Leverkusen, </w:t>
      </w:r>
      <w:r w:rsidRPr="002C1234">
        <w:rPr>
          <w:rFonts w:cs="Arial"/>
        </w:rPr>
        <w:t>Германия</w:t>
      </w:r>
    </w:p>
    <w:p w14:paraId="4190A864" w14:textId="77777777" w:rsidR="00B21C93" w:rsidRPr="00196AC7" w:rsidRDefault="00B21C93" w:rsidP="00B21C93">
      <w:pPr>
        <w:pStyle w:val="Heading1"/>
      </w:pPr>
      <w:r w:rsidRPr="00196AC7">
        <w:t>8. Номер на разрешението за употреба</w:t>
      </w:r>
    </w:p>
    <w:p w14:paraId="6598EE33" w14:textId="77777777" w:rsidR="00B21C93" w:rsidRPr="002C1234" w:rsidRDefault="00B21C93" w:rsidP="00B21C93">
      <w:pPr>
        <w:pStyle w:val="BodyText"/>
        <w:spacing w:after="480" w:line="233" w:lineRule="auto"/>
        <w:rPr>
          <w:rFonts w:cs="Arial"/>
        </w:rPr>
      </w:pPr>
      <w:r w:rsidRPr="002C1234">
        <w:rPr>
          <w:rFonts w:cs="Arial"/>
        </w:rPr>
        <w:t>20000430</w:t>
      </w:r>
    </w:p>
    <w:p w14:paraId="36F70D9E" w14:textId="77777777" w:rsidR="00B21C93" w:rsidRPr="00941F31" w:rsidRDefault="00B21C93" w:rsidP="00B21C93">
      <w:pPr>
        <w:pStyle w:val="Heading1"/>
      </w:pPr>
      <w:r w:rsidRPr="00941F31">
        <w:t>9. ДАТА НА ПЪРВО РАЗРЕШАВАНЕ/ПОДНОВЯВАНЕ НА РАЗРЕШЕНИЕТО ЗА УПОТРЕБА</w:t>
      </w:r>
    </w:p>
    <w:p w14:paraId="3ED2403D" w14:textId="77777777" w:rsidR="00B21C93" w:rsidRPr="002C1234" w:rsidRDefault="00B21C93" w:rsidP="00B21C93">
      <w:pPr>
        <w:pStyle w:val="BodyText"/>
        <w:spacing w:line="233" w:lineRule="auto"/>
        <w:rPr>
          <w:rFonts w:cs="Arial"/>
        </w:rPr>
      </w:pPr>
      <w:r w:rsidRPr="002C1234">
        <w:rPr>
          <w:rFonts w:cs="Arial"/>
        </w:rPr>
        <w:t>Дата на първо разрешаване: 25 юли 2000 г.</w:t>
      </w:r>
    </w:p>
    <w:p w14:paraId="22F735D6" w14:textId="77777777" w:rsidR="00B21C93" w:rsidRPr="002C1234" w:rsidRDefault="00B21C93" w:rsidP="00B21C93">
      <w:pPr>
        <w:pStyle w:val="BodyText"/>
        <w:spacing w:line="233" w:lineRule="auto"/>
        <w:rPr>
          <w:rFonts w:cs="Arial"/>
        </w:rPr>
      </w:pPr>
      <w:r w:rsidRPr="002C1234">
        <w:rPr>
          <w:rFonts w:cs="Arial"/>
        </w:rPr>
        <w:t>Дата на последно подновяване: 05 април 2011 г.</w:t>
      </w:r>
    </w:p>
    <w:p w14:paraId="00D905C6" w14:textId="77777777" w:rsidR="00B21C93" w:rsidRDefault="00B21C93" w:rsidP="00B21C93">
      <w:pPr>
        <w:pStyle w:val="BodyText"/>
        <w:spacing w:after="480" w:line="233" w:lineRule="auto"/>
        <w:rPr>
          <w:rFonts w:cs="Arial"/>
          <w:b/>
          <w:bCs/>
          <w:sz w:val="28"/>
          <w:szCs w:val="28"/>
        </w:rPr>
      </w:pPr>
    </w:p>
    <w:p w14:paraId="20BF24CB" w14:textId="77777777" w:rsidR="00B21C93" w:rsidRPr="00941F31" w:rsidRDefault="00B21C93" w:rsidP="00B21C93">
      <w:pPr>
        <w:pStyle w:val="Heading1"/>
      </w:pPr>
      <w:r w:rsidRPr="00941F31">
        <w:t>10. ДАТА НА АКТУАЛИЗИРАНЕ НА ТЕКСТА</w:t>
      </w:r>
    </w:p>
    <w:p w14:paraId="5FF34B80" w14:textId="77777777" w:rsidR="00B21C93" w:rsidRPr="002C1234" w:rsidRDefault="00B21C93" w:rsidP="00B21C93">
      <w:pPr>
        <w:pStyle w:val="BodyText"/>
        <w:spacing w:after="480" w:line="233" w:lineRule="auto"/>
        <w:rPr>
          <w:rFonts w:cs="Arial"/>
          <w:b/>
          <w:bCs/>
        </w:rPr>
      </w:pPr>
      <w:r w:rsidRPr="002C1234">
        <w:rPr>
          <w:rFonts w:cs="Arial"/>
        </w:rPr>
        <w:t>04/2020</w:t>
      </w:r>
    </w:p>
    <w:p w14:paraId="13A444FB" w14:textId="77777777" w:rsidR="00B21C93" w:rsidRPr="00941F31" w:rsidRDefault="00B21C93" w:rsidP="00B21C93">
      <w:pPr>
        <w:spacing w:after="120"/>
        <w:rPr>
          <w:rFonts w:ascii="Arial" w:hAnsi="Arial" w:cs="Arial"/>
          <w:b/>
          <w:bCs/>
          <w:sz w:val="28"/>
          <w:szCs w:val="28"/>
        </w:rPr>
      </w:pPr>
    </w:p>
    <w:p w14:paraId="1FF71A51" w14:textId="77777777" w:rsidR="00B21C93" w:rsidRPr="00941F31" w:rsidRDefault="00B21C93" w:rsidP="00B21C93">
      <w:pPr>
        <w:spacing w:after="120"/>
        <w:jc w:val="both"/>
        <w:rPr>
          <w:rFonts w:ascii="Arial" w:hAnsi="Arial" w:cs="Arial"/>
          <w:sz w:val="28"/>
          <w:szCs w:val="28"/>
        </w:rPr>
      </w:pPr>
    </w:p>
    <w:p w14:paraId="65B953B0" w14:textId="77777777" w:rsidR="00B21C93" w:rsidRDefault="00B21C93" w:rsidP="00B21C93"/>
    <w:p w14:paraId="423F4C2A" w14:textId="77777777" w:rsidR="00C87E90" w:rsidRPr="00B21C93" w:rsidRDefault="00C87E90" w:rsidP="00B21C93"/>
    <w:sectPr w:rsidR="00C87E90" w:rsidRPr="00B21C93" w:rsidSect="007D0B0E">
      <w:pgSz w:w="12240" w:h="15840" w:code="1"/>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00C9" w14:textId="77777777" w:rsidR="00211D91" w:rsidRDefault="00211D91" w:rsidP="00AA4E6E">
      <w:pPr>
        <w:spacing w:after="0" w:line="240" w:lineRule="auto"/>
      </w:pPr>
      <w:r>
        <w:separator/>
      </w:r>
    </w:p>
  </w:endnote>
  <w:endnote w:type="continuationSeparator" w:id="0">
    <w:p w14:paraId="44335EF3" w14:textId="77777777" w:rsidR="00211D91" w:rsidRDefault="00211D91" w:rsidP="00AA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D59D" w14:textId="77777777" w:rsidR="00211D91" w:rsidRDefault="00211D91" w:rsidP="00AA4E6E">
      <w:pPr>
        <w:spacing w:after="0" w:line="240" w:lineRule="auto"/>
      </w:pPr>
      <w:r>
        <w:separator/>
      </w:r>
    </w:p>
  </w:footnote>
  <w:footnote w:type="continuationSeparator" w:id="0">
    <w:p w14:paraId="3F54CBE0" w14:textId="77777777" w:rsidR="00211D91" w:rsidRDefault="00211D91" w:rsidP="00AA4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591A68"/>
    <w:multiLevelType w:val="multilevel"/>
    <w:tmpl w:val="8D825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D7810"/>
    <w:multiLevelType w:val="hybridMultilevel"/>
    <w:tmpl w:val="6CC65548"/>
    <w:lvl w:ilvl="0" w:tplc="56DEF0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3"/>
  </w:num>
  <w:num w:numId="5">
    <w:abstractNumId w:val="1"/>
  </w:num>
  <w:num w:numId="6">
    <w:abstractNumId w:val="12"/>
  </w:num>
  <w:num w:numId="7">
    <w:abstractNumId w:val="7"/>
  </w:num>
  <w:num w:numId="8">
    <w:abstractNumId w:val="11"/>
  </w:num>
  <w:num w:numId="9">
    <w:abstractNumId w:val="2"/>
  </w:num>
  <w:num w:numId="10">
    <w:abstractNumId w:val="5"/>
  </w:num>
  <w:num w:numId="11">
    <w:abstractNumId w:val="17"/>
  </w:num>
  <w:num w:numId="12">
    <w:abstractNumId w:val="10"/>
  </w:num>
  <w:num w:numId="13">
    <w:abstractNumId w:val="13"/>
  </w:num>
  <w:num w:numId="14">
    <w:abstractNumId w:val="8"/>
  </w:num>
  <w:num w:numId="15">
    <w:abstractNumId w:val="16"/>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B0802"/>
    <w:rsid w:val="000C3863"/>
    <w:rsid w:val="00185A46"/>
    <w:rsid w:val="001D1B23"/>
    <w:rsid w:val="001D3845"/>
    <w:rsid w:val="00206939"/>
    <w:rsid w:val="00211D91"/>
    <w:rsid w:val="002C1234"/>
    <w:rsid w:val="002C50EE"/>
    <w:rsid w:val="00303303"/>
    <w:rsid w:val="00315D5A"/>
    <w:rsid w:val="0039597C"/>
    <w:rsid w:val="003E3126"/>
    <w:rsid w:val="004A0B89"/>
    <w:rsid w:val="004F14C9"/>
    <w:rsid w:val="00517A5B"/>
    <w:rsid w:val="00521787"/>
    <w:rsid w:val="00581266"/>
    <w:rsid w:val="00593A00"/>
    <w:rsid w:val="00605BCA"/>
    <w:rsid w:val="006158A1"/>
    <w:rsid w:val="00617B1F"/>
    <w:rsid w:val="0066050E"/>
    <w:rsid w:val="00672487"/>
    <w:rsid w:val="00672600"/>
    <w:rsid w:val="00681D4A"/>
    <w:rsid w:val="00685882"/>
    <w:rsid w:val="006F2EC3"/>
    <w:rsid w:val="0075649D"/>
    <w:rsid w:val="007D0B0E"/>
    <w:rsid w:val="00814073"/>
    <w:rsid w:val="00826F0D"/>
    <w:rsid w:val="00893B92"/>
    <w:rsid w:val="008C70A2"/>
    <w:rsid w:val="009564D3"/>
    <w:rsid w:val="009773E4"/>
    <w:rsid w:val="00A20351"/>
    <w:rsid w:val="00A31160"/>
    <w:rsid w:val="00AA4E6E"/>
    <w:rsid w:val="00AC63CE"/>
    <w:rsid w:val="00AE2107"/>
    <w:rsid w:val="00B21C93"/>
    <w:rsid w:val="00B275A8"/>
    <w:rsid w:val="00B60001"/>
    <w:rsid w:val="00BF2600"/>
    <w:rsid w:val="00C33464"/>
    <w:rsid w:val="00C83063"/>
    <w:rsid w:val="00C87E90"/>
    <w:rsid w:val="00CF1D2F"/>
    <w:rsid w:val="00DF67FB"/>
    <w:rsid w:val="00E55BCF"/>
    <w:rsid w:val="00EB6364"/>
    <w:rsid w:val="00F37B64"/>
    <w:rsid w:val="00FC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93"/>
    <w:rPr>
      <w:lang w:val="bg-BG"/>
    </w:rPr>
  </w:style>
  <w:style w:type="paragraph" w:styleId="Heading1">
    <w:name w:val="heading 1"/>
    <w:basedOn w:val="Normal"/>
    <w:next w:val="Normal"/>
    <w:link w:val="Heading1Char"/>
    <w:uiPriority w:val="9"/>
    <w:qFormat/>
    <w:rsid w:val="0039597C"/>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39597C"/>
    <w:pPr>
      <w:keepNext/>
      <w:keepLines/>
      <w:spacing w:before="40"/>
      <w:outlineLvl w:val="1"/>
    </w:pPr>
    <w:rPr>
      <w:rFonts w:ascii="Arial" w:eastAsiaTheme="majorEastAsia" w:hAnsi="Arial" w:cstheme="majorBidi"/>
      <w:color w:val="000000" w:themeColor="text1"/>
      <w:sz w:val="26"/>
      <w:szCs w:val="26"/>
    </w:rPr>
  </w:style>
  <w:style w:type="paragraph" w:styleId="Heading3">
    <w:name w:val="heading 3"/>
    <w:basedOn w:val="Normal"/>
    <w:next w:val="Normal"/>
    <w:link w:val="Heading3Char"/>
    <w:uiPriority w:val="9"/>
    <w:unhideWhenUsed/>
    <w:qFormat/>
    <w:rsid w:val="0039597C"/>
    <w:pPr>
      <w:keepNext/>
      <w:keepLines/>
      <w:spacing w:before="40"/>
      <w:outlineLvl w:val="2"/>
    </w:pPr>
    <w:rPr>
      <w:rFonts w:ascii="Arial" w:eastAsiaTheme="majorEastAsia" w:hAnsi="Arial"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lang w:val="bg-BG"/>
    </w:rPr>
  </w:style>
  <w:style w:type="character" w:customStyle="1" w:styleId="Heading3Char">
    <w:name w:val="Heading 3 Char"/>
    <w:basedOn w:val="DefaultParagraphFont"/>
    <w:link w:val="Heading3"/>
    <w:uiPriority w:val="9"/>
    <w:rsid w:val="0039597C"/>
    <w:rPr>
      <w:rFonts w:ascii="Arial" w:eastAsiaTheme="majorEastAsia" w:hAnsi="Arial" w:cstheme="majorBidi"/>
      <w:color w:val="000000" w:themeColor="text1"/>
      <w:sz w:val="24"/>
      <w:szCs w:val="24"/>
      <w:lang w:val="bg-BG"/>
    </w:rPr>
  </w:style>
  <w:style w:type="paragraph" w:styleId="ListParagraph">
    <w:name w:val="List Paragraph"/>
    <w:basedOn w:val="Normal"/>
    <w:uiPriority w:val="34"/>
    <w:qFormat/>
    <w:rsid w:val="00685882"/>
    <w:pPr>
      <w:ind w:left="720"/>
      <w:contextualSpacing/>
    </w:pPr>
  </w:style>
  <w:style w:type="character" w:customStyle="1" w:styleId="Heading1Char">
    <w:name w:val="Heading 1 Char"/>
    <w:basedOn w:val="DefaultParagraphFont"/>
    <w:link w:val="Heading1"/>
    <w:uiPriority w:val="9"/>
    <w:rsid w:val="0039597C"/>
    <w:rPr>
      <w:rFonts w:ascii="Arial" w:eastAsiaTheme="majorEastAsia" w:hAnsi="Arial" w:cstheme="majorBidi"/>
      <w:color w:val="000000" w:themeColor="text1"/>
      <w:sz w:val="32"/>
      <w:szCs w:val="32"/>
      <w:lang w:val="bg-BG"/>
    </w:rPr>
  </w:style>
  <w:style w:type="character" w:customStyle="1" w:styleId="Heading2Char">
    <w:name w:val="Heading 2 Char"/>
    <w:basedOn w:val="DefaultParagraphFont"/>
    <w:link w:val="Heading2"/>
    <w:uiPriority w:val="9"/>
    <w:rsid w:val="0039597C"/>
    <w:rPr>
      <w:rFonts w:ascii="Arial" w:eastAsiaTheme="majorEastAsia" w:hAnsi="Arial" w:cstheme="majorBidi"/>
      <w:color w:val="000000" w:themeColor="text1"/>
      <w:sz w:val="26"/>
      <w:szCs w:val="26"/>
      <w:lang w:val="bg-BG"/>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21C93"/>
    <w:rPr>
      <w:rFonts w:ascii="Arial" w:eastAsia="Times New Roman" w:hAnsi="Arial" w:cs="Times New Roman"/>
      <w:lang w:val="bg-BG"/>
    </w:rPr>
  </w:style>
  <w:style w:type="paragraph" w:styleId="BodyText">
    <w:name w:val="Body Text"/>
    <w:basedOn w:val="Normal"/>
    <w:link w:val="BodyTextChar"/>
    <w:qFormat/>
    <w:rsid w:val="00B21C93"/>
    <w:pPr>
      <w:widowControl w:val="0"/>
      <w:spacing w:after="0" w:line="240" w:lineRule="auto"/>
    </w:pPr>
    <w:rPr>
      <w:rFonts w:ascii="Arial" w:eastAsia="Times New Roman" w:hAnsi="Arial" w:cs="Times New Roman"/>
    </w:rPr>
  </w:style>
  <w:style w:type="character" w:customStyle="1" w:styleId="BodyTextChar1">
    <w:name w:val="Body Text Char1"/>
    <w:basedOn w:val="DefaultParagraphFont"/>
    <w:uiPriority w:val="99"/>
    <w:semiHidden/>
    <w:rsid w:val="00B21C93"/>
  </w:style>
  <w:style w:type="character" w:customStyle="1" w:styleId="Tableofcontents">
    <w:name w:val="Table of contents_"/>
    <w:basedOn w:val="DefaultParagraphFont"/>
    <w:link w:val="Tableofcontents0"/>
    <w:rsid w:val="00B21C93"/>
    <w:rPr>
      <w:rFonts w:ascii="Times New Roman" w:eastAsia="Times New Roman" w:hAnsi="Times New Roman" w:cs="Times New Roman"/>
    </w:rPr>
  </w:style>
  <w:style w:type="paragraph" w:customStyle="1" w:styleId="Tableofcontents0">
    <w:name w:val="Table of contents"/>
    <w:basedOn w:val="Normal"/>
    <w:link w:val="Tableofcontents"/>
    <w:rsid w:val="00B21C93"/>
    <w:pPr>
      <w:widowControl w:val="0"/>
      <w:spacing w:after="130" w:line="240" w:lineRule="auto"/>
    </w:pPr>
    <w:rPr>
      <w:rFonts w:ascii="Times New Roman" w:eastAsia="Times New Roman" w:hAnsi="Times New Roman" w:cs="Times New Roman"/>
    </w:rPr>
  </w:style>
  <w:style w:type="character" w:customStyle="1" w:styleId="Other">
    <w:name w:val="Other_"/>
    <w:basedOn w:val="DefaultParagraphFont"/>
    <w:link w:val="Other0"/>
    <w:rsid w:val="00B21C93"/>
    <w:rPr>
      <w:rFonts w:ascii="Times New Roman" w:eastAsia="Times New Roman" w:hAnsi="Times New Roman" w:cs="Times New Roman"/>
    </w:rPr>
  </w:style>
  <w:style w:type="paragraph" w:customStyle="1" w:styleId="Other0">
    <w:name w:val="Other"/>
    <w:basedOn w:val="Normal"/>
    <w:link w:val="Other"/>
    <w:rsid w:val="00B21C93"/>
    <w:pPr>
      <w:widowControl w:val="0"/>
      <w:spacing w:after="240" w:line="240" w:lineRule="auto"/>
    </w:pPr>
    <w:rPr>
      <w:rFonts w:ascii="Times New Roman" w:eastAsia="Times New Roman" w:hAnsi="Times New Roman" w:cs="Times New Roman"/>
    </w:rPr>
  </w:style>
  <w:style w:type="character" w:customStyle="1" w:styleId="Tablecaption">
    <w:name w:val="Table caption_"/>
    <w:basedOn w:val="DefaultParagraphFont"/>
    <w:link w:val="Tablecaption0"/>
    <w:rsid w:val="00B21C93"/>
    <w:rPr>
      <w:rFonts w:ascii="Times New Roman" w:eastAsia="Times New Roman" w:hAnsi="Times New Roman" w:cs="Times New Roman"/>
    </w:rPr>
  </w:style>
  <w:style w:type="paragraph" w:customStyle="1" w:styleId="Tablecaption0">
    <w:name w:val="Table caption"/>
    <w:basedOn w:val="Normal"/>
    <w:link w:val="Tablecaption"/>
    <w:rsid w:val="00B21C93"/>
    <w:pPr>
      <w:widowControl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A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6E"/>
    <w:rPr>
      <w:lang w:val="bg-BG"/>
    </w:rPr>
  </w:style>
  <w:style w:type="paragraph" w:styleId="Footer">
    <w:name w:val="footer"/>
    <w:basedOn w:val="Normal"/>
    <w:link w:val="FooterChar"/>
    <w:uiPriority w:val="99"/>
    <w:unhideWhenUsed/>
    <w:rsid w:val="00AA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E6E"/>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6781</Words>
  <Characters>38657</Characters>
  <Application>Microsoft Office Word</Application>
  <DocSecurity>0</DocSecurity>
  <Lines>322</Lines>
  <Paragraphs>90</Paragraphs>
  <ScaleCrop>false</ScaleCrop>
  <Company/>
  <LinksUpToDate>false</LinksUpToDate>
  <CharactersWithSpaces>45348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2021-04-18T21:19:00Z</dcterms:created>
  <dcterms:modified xsi:type="dcterms:W3CDTF">2021-12-22T07:14:00Z</dcterms:modified>
</cp:coreProperties>
</file>