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635CC1B7" w:rsidR="002C50EE" w:rsidRDefault="002C50EE" w:rsidP="002C50EE">
      <w:pPr>
        <w:pStyle w:val="Heading1"/>
        <w:jc w:val="center"/>
      </w:pPr>
      <w:bookmarkStart w:id="0" w:name="_Hlk63124480"/>
      <w:r>
        <w:t>КРАТКА ХАРАКТЕРИСТИКА НА ПРОДУКТА</w:t>
      </w:r>
    </w:p>
    <w:p w14:paraId="78808050" w14:textId="77777777" w:rsidR="00CC08B1" w:rsidRPr="00CC08B1" w:rsidRDefault="00CC08B1" w:rsidP="00CC08B1"/>
    <w:p w14:paraId="10B3EAC1" w14:textId="4F41DB96" w:rsidR="00CC08B1" w:rsidRDefault="00DD466D" w:rsidP="00CC08B1">
      <w:pPr>
        <w:pStyle w:val="Heading1"/>
      </w:pPr>
      <w:r>
        <w:t>1.ИМЕ НА ЛЕКАРСТВЕНИЯ ПРОДУКТ</w:t>
      </w:r>
    </w:p>
    <w:p w14:paraId="2C91E847" w14:textId="7488BD03" w:rsidR="00CC08B1" w:rsidRDefault="00CC08B1" w:rsidP="00CC08B1"/>
    <w:p w14:paraId="26D8D5D6" w14:textId="77777777" w:rsidR="00CC08B1" w:rsidRPr="00CC08B1" w:rsidRDefault="00CC08B1" w:rsidP="00CC08B1">
      <w:pPr>
        <w:spacing w:line="240" w:lineRule="auto"/>
        <w:rPr>
          <w:rFonts w:ascii="Times New Roman" w:eastAsia="Times New Roman" w:hAnsi="Times New Roman" w:cs="Times New Roman"/>
          <w:sz w:val="24"/>
          <w:szCs w:val="24"/>
          <w:lang w:val="en-US" w:eastAsia="bg-BG"/>
        </w:rPr>
      </w:pPr>
    </w:p>
    <w:p w14:paraId="679042EA" w14:textId="77777777" w:rsidR="00CC08B1" w:rsidRPr="00CC08B1" w:rsidRDefault="00CC08B1" w:rsidP="00CC08B1">
      <w:pPr>
        <w:spacing w:line="240" w:lineRule="auto"/>
        <w:rPr>
          <w:rFonts w:eastAsia="Times New Roman" w:cs="Arial"/>
          <w:sz w:val="28"/>
          <w:szCs w:val="24"/>
          <w:lang w:val="en-US"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w:t>
      </w:r>
      <w:r w:rsidRPr="00CC08B1">
        <w:rPr>
          <w:rFonts w:eastAsia="Times New Roman" w:cs="Arial"/>
          <w:color w:val="000000"/>
          <w:szCs w:val="20"/>
          <w:lang w:val="en-US"/>
        </w:rPr>
        <w:t xml:space="preserve">AVERNOL </w:t>
      </w:r>
      <w:r w:rsidRPr="00CC08B1">
        <w:rPr>
          <w:rFonts w:eastAsia="Times New Roman" w:cs="Arial"/>
          <w:color w:val="000000"/>
          <w:szCs w:val="20"/>
          <w:lang w:eastAsia="bg-BG"/>
        </w:rPr>
        <w:t xml:space="preserve">6.25 </w:t>
      </w:r>
      <w:r w:rsidRPr="00CC08B1">
        <w:rPr>
          <w:rFonts w:eastAsia="Times New Roman" w:cs="Arial"/>
          <w:color w:val="000000"/>
          <w:szCs w:val="20"/>
          <w:lang w:val="en-US"/>
        </w:rPr>
        <w:t>mg tablets</w:t>
      </w:r>
    </w:p>
    <w:p w14:paraId="3CC81865" w14:textId="2EEC1180" w:rsidR="00CC08B1" w:rsidRPr="00CC08B1" w:rsidRDefault="00CC08B1" w:rsidP="00CC08B1">
      <w:pPr>
        <w:rPr>
          <w:rFonts w:cs="Arial"/>
          <w:sz w:val="24"/>
        </w:rPr>
      </w:pPr>
      <w:bookmarkStart w:id="1" w:name="_GoBack"/>
      <w:bookmarkEnd w:id="1"/>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w:t>
      </w:r>
      <w:r w:rsidRPr="00CC08B1">
        <w:rPr>
          <w:rFonts w:eastAsia="Times New Roman" w:cs="Arial"/>
          <w:color w:val="000000"/>
          <w:szCs w:val="20"/>
          <w:lang w:val="en-US"/>
        </w:rPr>
        <w:t xml:space="preserve">AVERNOL </w:t>
      </w:r>
      <w:r w:rsidRPr="00CC08B1">
        <w:rPr>
          <w:rFonts w:eastAsia="Times New Roman" w:cs="Arial"/>
          <w:color w:val="000000"/>
          <w:szCs w:val="20"/>
          <w:lang w:eastAsia="bg-BG"/>
        </w:rPr>
        <w:t xml:space="preserve">25 </w:t>
      </w:r>
      <w:r w:rsidRPr="00CC08B1">
        <w:rPr>
          <w:rFonts w:eastAsia="Times New Roman" w:cs="Arial"/>
          <w:color w:val="000000"/>
          <w:szCs w:val="20"/>
          <w:lang w:val="en-US"/>
        </w:rPr>
        <w:t>mg tablets</w:t>
      </w:r>
    </w:p>
    <w:p w14:paraId="24962605" w14:textId="77777777" w:rsidR="00CC08B1" w:rsidRPr="00CC08B1" w:rsidRDefault="00CC08B1" w:rsidP="00CC08B1"/>
    <w:p w14:paraId="6920A680" w14:textId="35024D8D" w:rsidR="00C40420" w:rsidRDefault="00DD466D" w:rsidP="004A448E">
      <w:pPr>
        <w:pStyle w:val="Heading1"/>
      </w:pPr>
      <w:r>
        <w:t>2. КАЧЕСТВЕН И КОЛИЧЕСТВЕН СЪСТАВ</w:t>
      </w:r>
    </w:p>
    <w:p w14:paraId="3465DA36" w14:textId="4271281A" w:rsidR="00CC08B1" w:rsidRDefault="00CC08B1" w:rsidP="00CC08B1"/>
    <w:p w14:paraId="5F50D359"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 xml:space="preserve">АВЕРНОЛ 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Всяка таблетка съдържа 6.25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карведилол </w:t>
      </w:r>
      <w:r w:rsidRPr="00CC08B1">
        <w:rPr>
          <w:rFonts w:eastAsia="Times New Roman" w:cs="Arial"/>
          <w:color w:val="000000"/>
          <w:szCs w:val="20"/>
          <w:lang w:val="en-US"/>
        </w:rPr>
        <w:t>(carvedilol).</w:t>
      </w:r>
    </w:p>
    <w:p w14:paraId="0A1C4929" w14:textId="208A1135" w:rsidR="00CC08B1" w:rsidRDefault="00CC08B1" w:rsidP="00CC08B1">
      <w:pPr>
        <w:rPr>
          <w:rFonts w:eastAsia="Times New Roman" w:cs="Arial"/>
          <w:color w:val="000000"/>
          <w:szCs w:val="20"/>
          <w:lang w:val="en-US"/>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w:t>
      </w:r>
      <w:r w:rsidRPr="00CC08B1">
        <w:rPr>
          <w:rFonts w:eastAsia="Times New Roman" w:cs="Arial"/>
          <w:color w:val="000000"/>
          <w:szCs w:val="20"/>
          <w:lang w:val="en-US"/>
        </w:rPr>
        <w:t xml:space="preserve"> </w:t>
      </w:r>
      <w:r w:rsidRPr="00CC08B1">
        <w:rPr>
          <w:rFonts w:eastAsia="Times New Roman" w:cs="Arial"/>
          <w:color w:val="000000"/>
          <w:szCs w:val="20"/>
          <w:lang w:eastAsia="bg-BG"/>
        </w:rPr>
        <w:t xml:space="preserve">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таблетки: Всяка таблетка съдържа 25 </w:t>
      </w:r>
      <w:r w:rsidRPr="00CC08B1">
        <w:rPr>
          <w:rFonts w:eastAsia="Times New Roman" w:cs="Arial"/>
          <w:color w:val="000000"/>
          <w:szCs w:val="20"/>
          <w:lang w:val="en-US"/>
        </w:rPr>
        <w:t xml:space="preserve">mg </w:t>
      </w:r>
      <w:r w:rsidRPr="00CC08B1">
        <w:rPr>
          <w:rFonts w:eastAsia="Times New Roman" w:cs="Arial"/>
          <w:color w:val="000000"/>
          <w:szCs w:val="20"/>
          <w:lang w:eastAsia="bg-BG"/>
        </w:rPr>
        <w:t xml:space="preserve">карведилол </w:t>
      </w:r>
      <w:r w:rsidRPr="00CC08B1">
        <w:rPr>
          <w:rFonts w:eastAsia="Times New Roman" w:cs="Arial"/>
          <w:color w:val="000000"/>
          <w:szCs w:val="20"/>
          <w:lang w:val="en-US"/>
        </w:rPr>
        <w:t>(carvedilol).</w:t>
      </w:r>
    </w:p>
    <w:p w14:paraId="6BC2DF84" w14:textId="77777777" w:rsidR="00CC08B1" w:rsidRPr="00CC08B1" w:rsidRDefault="00CC08B1" w:rsidP="00CC08B1">
      <w:pPr>
        <w:rPr>
          <w:rFonts w:cs="Arial"/>
          <w:sz w:val="24"/>
        </w:rPr>
      </w:pPr>
    </w:p>
    <w:p w14:paraId="614984C4" w14:textId="29052491" w:rsidR="008A6AF2" w:rsidRDefault="00DD466D" w:rsidP="002C50EE">
      <w:pPr>
        <w:pStyle w:val="Heading1"/>
      </w:pPr>
      <w:r>
        <w:t>3. ЛЕКАРСТВЕНА ФОРМА</w:t>
      </w:r>
    </w:p>
    <w:p w14:paraId="685F0685" w14:textId="77777777" w:rsidR="00CC08B1" w:rsidRDefault="00CC08B1" w:rsidP="00CC08B1"/>
    <w:p w14:paraId="5C3B91B3" w14:textId="2E254F46" w:rsidR="00CC08B1" w:rsidRPr="00CC08B1" w:rsidRDefault="00CC08B1" w:rsidP="00CC08B1">
      <w:pPr>
        <w:rPr>
          <w:sz w:val="24"/>
        </w:rPr>
      </w:pPr>
      <w:r w:rsidRPr="00CC08B1">
        <w:rPr>
          <w:szCs w:val="20"/>
        </w:rPr>
        <w:t>Таблетки за перорално приложение.</w:t>
      </w:r>
    </w:p>
    <w:p w14:paraId="490FC2C4" w14:textId="2E05ACD0" w:rsidR="002C50EE" w:rsidRDefault="002C50EE" w:rsidP="002C50EE">
      <w:pPr>
        <w:pStyle w:val="Heading1"/>
      </w:pPr>
      <w:r>
        <w:t>4. КЛИНИЧНИ ДАННИ</w:t>
      </w:r>
    </w:p>
    <w:p w14:paraId="2AC363BB" w14:textId="77777777" w:rsidR="00CC08B1" w:rsidRPr="00CC08B1" w:rsidRDefault="00CC08B1" w:rsidP="00CC08B1"/>
    <w:p w14:paraId="0C8E6903" w14:textId="24D5D14E" w:rsidR="008134C8" w:rsidRDefault="002C50EE" w:rsidP="004A448E">
      <w:pPr>
        <w:pStyle w:val="Heading2"/>
      </w:pPr>
      <w:r>
        <w:t>4.1. Терапевтични показания</w:t>
      </w:r>
    </w:p>
    <w:p w14:paraId="39CB650B" w14:textId="4AF02A51" w:rsidR="00CC08B1" w:rsidRDefault="00CC08B1" w:rsidP="00CC08B1"/>
    <w:p w14:paraId="1FC0E9D7"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АВЕРНОЛ е показан за лечение на хипертония. Освен това е показан като адювантпа терапия към стандартно лечение (диуретици. дигоксин и АСЕ- инхибитори) на стабилна лека, умерена и тежка хронична сърдечна недостатъчност.</w:t>
      </w:r>
    </w:p>
    <w:p w14:paraId="7A943EAA" w14:textId="2970929D" w:rsidR="00CC08B1" w:rsidRDefault="00CC08B1" w:rsidP="00CC08B1">
      <w:pPr>
        <w:rPr>
          <w:rFonts w:eastAsia="Times New Roman" w:cs="Arial"/>
          <w:color w:val="000000"/>
          <w:szCs w:val="20"/>
          <w:lang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е показан също за профилактика па стабилна стенокардия.</w:t>
      </w:r>
    </w:p>
    <w:p w14:paraId="5EB554D8" w14:textId="77777777" w:rsidR="00DC3050" w:rsidRPr="00CC08B1" w:rsidRDefault="00DC3050" w:rsidP="00CC08B1">
      <w:pPr>
        <w:rPr>
          <w:rFonts w:cs="Arial"/>
          <w:sz w:val="24"/>
        </w:rPr>
      </w:pPr>
    </w:p>
    <w:p w14:paraId="30BE2C7B" w14:textId="48703D17" w:rsidR="008134C8" w:rsidRDefault="002C50EE" w:rsidP="004A448E">
      <w:pPr>
        <w:pStyle w:val="Heading2"/>
      </w:pPr>
      <w:r>
        <w:t>4.2. Дозировка и начин на приложение</w:t>
      </w:r>
    </w:p>
    <w:p w14:paraId="14E485E8" w14:textId="1DF1D400" w:rsidR="00CC08B1" w:rsidRDefault="00CC08B1" w:rsidP="00CC08B1"/>
    <w:p w14:paraId="3DD5081F" w14:textId="7777777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таблетки трябва да се приемат с течност.</w:t>
      </w:r>
    </w:p>
    <w:p w14:paraId="615EB8BF" w14:textId="5DD6F943" w:rsidR="00CC08B1" w:rsidRDefault="00CC08B1" w:rsidP="00CC08B1">
      <w:pPr>
        <w:rPr>
          <w:rFonts w:eastAsia="Times New Roman" w:cs="Arial"/>
          <w:color w:val="000000"/>
          <w:szCs w:val="20"/>
          <w:lang w:eastAsia="bg-BG"/>
        </w:rPr>
      </w:pPr>
      <w:r w:rsidRPr="00CC08B1">
        <w:rPr>
          <w:rFonts w:eastAsia="Times New Roman" w:cs="Arial"/>
          <w:color w:val="000000"/>
          <w:szCs w:val="20"/>
          <w:lang w:eastAsia="bg-BG"/>
        </w:rPr>
        <w:t xml:space="preserve">Пациентите с хронична сърдечна недостатъчност трябва да приемат </w:t>
      </w:r>
      <w:r w:rsidRPr="00CC08B1">
        <w:rPr>
          <w:rFonts w:eastAsia="Times New Roman" w:cs="Arial"/>
          <w:color w:val="000000"/>
          <w:szCs w:val="20"/>
          <w:lang w:val="en-US"/>
        </w:rPr>
        <w:t>ABEP</w:t>
      </w:r>
      <w:r w:rsidRPr="00CC08B1">
        <w:rPr>
          <w:rFonts w:eastAsia="Times New Roman" w:cs="Arial"/>
          <w:color w:val="000000"/>
          <w:szCs w:val="20"/>
          <w:lang w:eastAsia="bg-BG"/>
        </w:rPr>
        <w:t>Н</w:t>
      </w:r>
      <w:r w:rsidRPr="00CC08B1">
        <w:rPr>
          <w:rFonts w:eastAsia="Times New Roman" w:cs="Arial"/>
          <w:color w:val="000000"/>
          <w:szCs w:val="20"/>
          <w:lang w:val="en-US"/>
        </w:rPr>
        <w:t>O</w:t>
      </w:r>
      <w:r w:rsidRPr="00CC08B1">
        <w:rPr>
          <w:rFonts w:eastAsia="Times New Roman" w:cs="Arial"/>
          <w:color w:val="000000"/>
          <w:szCs w:val="20"/>
          <w:lang w:eastAsia="bg-BG"/>
        </w:rPr>
        <w:t>Л с храна.</w:t>
      </w:r>
    </w:p>
    <w:p w14:paraId="1B257787" w14:textId="07673702" w:rsidR="00CC08B1" w:rsidRDefault="00CC08B1" w:rsidP="00CC08B1">
      <w:pPr>
        <w:rPr>
          <w:rFonts w:eastAsia="Times New Roman" w:cs="Arial"/>
          <w:color w:val="000000"/>
          <w:szCs w:val="20"/>
          <w:lang w:eastAsia="bg-BG"/>
        </w:rPr>
      </w:pPr>
    </w:p>
    <w:p w14:paraId="3DF60D4D" w14:textId="77777777" w:rsidR="00CC08B1" w:rsidRPr="00CC08B1" w:rsidRDefault="00CC08B1" w:rsidP="00CC08B1">
      <w:pPr>
        <w:spacing w:line="240" w:lineRule="auto"/>
        <w:rPr>
          <w:rFonts w:ascii="Times New Roman" w:eastAsia="Times New Roman" w:hAnsi="Times New Roman" w:cs="Times New Roman"/>
          <w:sz w:val="24"/>
          <w:szCs w:val="24"/>
          <w:lang w:eastAsia="bg-BG"/>
        </w:rPr>
      </w:pPr>
      <w:bookmarkStart w:id="2" w:name="bookmark0"/>
      <w:r w:rsidRPr="00CC08B1">
        <w:rPr>
          <w:rFonts w:ascii="Times New Roman" w:eastAsia="Times New Roman" w:hAnsi="Times New Roman" w:cs="Times New Roman"/>
          <w:b/>
          <w:bCs/>
          <w:color w:val="000000"/>
          <w:sz w:val="24"/>
          <w:szCs w:val="24"/>
          <w:lang w:eastAsia="bg-BG"/>
        </w:rPr>
        <w:t>А. Симтоматична хронична сърдечна недостатъчност</w:t>
      </w:r>
      <w:bookmarkEnd w:id="2"/>
    </w:p>
    <w:p w14:paraId="4EAAE1BD" w14:textId="77777777" w:rsidR="00CC08B1" w:rsidRDefault="00CC08B1" w:rsidP="00CC08B1">
      <w:pPr>
        <w:spacing w:line="240" w:lineRule="auto"/>
        <w:rPr>
          <w:rFonts w:ascii="Times New Roman" w:eastAsia="Times New Roman" w:hAnsi="Times New Roman" w:cs="Times New Roman"/>
          <w:color w:val="000000"/>
          <w:sz w:val="20"/>
          <w:szCs w:val="20"/>
          <w:lang w:eastAsia="bg-BG"/>
        </w:rPr>
      </w:pPr>
    </w:p>
    <w:p w14:paraId="23691865" w14:textId="6296CFB3"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t>Преди започване на лечението е АВЕРНОЛ трябва да се направи внимателна оценка на състоянието на пациента. Започването на лечение трябва да стане под контрола на лекар в болница. Здравен специалист с опит в лечението на сърдечна недостатъчност трябва да оцени клиничния статус на пациента преди всяка последваща промяна на дозата, за да се потвърди, че клиничният статус на пациента се запазва стабилен. При пациенти с влошаваща се сърдечна недостатъчност или с признаци за декомпенсирала или нестабилна сърдечна недостатъчност не трябва да се повишава дозата на карведилол, определена при последната визита.</w:t>
      </w:r>
    </w:p>
    <w:p w14:paraId="62C78F71" w14:textId="77777777" w:rsidR="00CC08B1" w:rsidRPr="00CC08B1" w:rsidRDefault="00CC08B1" w:rsidP="00CC08B1">
      <w:pPr>
        <w:spacing w:line="240" w:lineRule="auto"/>
        <w:rPr>
          <w:rFonts w:eastAsia="Times New Roman" w:cs="Arial"/>
          <w:color w:val="000000"/>
          <w:szCs w:val="20"/>
          <w:lang w:eastAsia="bg-BG"/>
        </w:rPr>
      </w:pPr>
    </w:p>
    <w:p w14:paraId="11D990DE" w14:textId="0CA2F617" w:rsidR="00CC08B1" w:rsidRPr="00CC08B1" w:rsidRDefault="00CC08B1" w:rsidP="00CC08B1">
      <w:pPr>
        <w:spacing w:line="240" w:lineRule="auto"/>
        <w:rPr>
          <w:rFonts w:eastAsia="Times New Roman" w:cs="Arial"/>
          <w:sz w:val="28"/>
          <w:szCs w:val="24"/>
          <w:lang w:eastAsia="bg-BG"/>
        </w:rPr>
      </w:pPr>
      <w:r w:rsidRPr="00CC08B1">
        <w:rPr>
          <w:rFonts w:eastAsia="Times New Roman" w:cs="Arial"/>
          <w:color w:val="000000"/>
          <w:szCs w:val="20"/>
          <w:lang w:eastAsia="bg-BG"/>
        </w:rPr>
        <w:lastRenderedPageBreak/>
        <w:t>Титрирането на дозата трябва да се индивидуализира.</w:t>
      </w:r>
    </w:p>
    <w:p w14:paraId="7A5C6D29" w14:textId="77777777" w:rsidR="00CC08B1" w:rsidRPr="00CC08B1" w:rsidRDefault="00CC08B1" w:rsidP="00CC08B1">
      <w:pPr>
        <w:rPr>
          <w:rFonts w:eastAsia="Times New Roman" w:cs="Arial"/>
          <w:color w:val="000000"/>
          <w:szCs w:val="20"/>
          <w:lang w:eastAsia="bg-BG"/>
        </w:rPr>
      </w:pPr>
    </w:p>
    <w:p w14:paraId="1DB60DB6" w14:textId="3E6C0759" w:rsidR="00CC08B1" w:rsidRDefault="00CC08B1" w:rsidP="00CC08B1">
      <w:pPr>
        <w:rPr>
          <w:rFonts w:eastAsia="Times New Roman" w:cs="Arial"/>
          <w:color w:val="000000"/>
          <w:szCs w:val="20"/>
          <w:lang w:eastAsia="bg-BG"/>
        </w:rPr>
      </w:pPr>
      <w:r w:rsidRPr="00CC08B1">
        <w:rPr>
          <w:rFonts w:eastAsia="Times New Roman" w:cs="Arial"/>
          <w:color w:val="000000"/>
          <w:szCs w:val="20"/>
          <w:lang w:eastAsia="bg-BG"/>
        </w:rPr>
        <w:t>Дозата на диуретиците и/или дигоксина и/или АСЕ-инхибиторите трябва да бъде уточнена преди започване на лечение с ABEPНOЛ.</w:t>
      </w:r>
    </w:p>
    <w:p w14:paraId="5162A4C4" w14:textId="5057DF53" w:rsidR="00CA1080" w:rsidRDefault="00CA1080" w:rsidP="00CC08B1">
      <w:pPr>
        <w:rPr>
          <w:rFonts w:eastAsia="Times New Roman" w:cs="Arial"/>
          <w:color w:val="000000"/>
          <w:szCs w:val="20"/>
          <w:lang w:eastAsia="bg-BG"/>
        </w:rPr>
      </w:pPr>
    </w:p>
    <w:p w14:paraId="1AC6BCAD" w14:textId="77777777"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Възрастни</w:t>
      </w:r>
    </w:p>
    <w:p w14:paraId="5540EECC"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доза за първите две седмици лечение е 3.125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Дозата, ако се понася добре, трябва да се повишава постепенно, винаги през интервали от поне две седмици, до 6.25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последвано от 12.5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и едва след това на 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Дозата трябва да се повишава до най-високите нива, които се понасят от пациента. Препоръчваната максимална дневна доза за всички пациенти с тежка хронична сърдечна недостатъчност и за пациентите с лека до умерена хронична сърдечна недостатъчност с тегло под 85 </w:t>
      </w:r>
      <w:r w:rsidRPr="00CA1080">
        <w:rPr>
          <w:rFonts w:eastAsia="Times New Roman" w:cs="Arial"/>
          <w:color w:val="000000"/>
          <w:lang w:val="en-US"/>
        </w:rPr>
        <w:t xml:space="preserve">kg </w:t>
      </w:r>
      <w:r w:rsidRPr="00CA1080">
        <w:rPr>
          <w:rFonts w:eastAsia="Times New Roman" w:cs="Arial"/>
          <w:color w:val="000000"/>
          <w:lang w:eastAsia="bg-BG"/>
        </w:rPr>
        <w:t xml:space="preserve">(187 </w:t>
      </w:r>
      <w:proofErr w:type="spellStart"/>
      <w:r w:rsidRPr="00CA1080">
        <w:rPr>
          <w:rFonts w:eastAsia="Times New Roman" w:cs="Arial"/>
          <w:color w:val="000000"/>
          <w:lang w:val="en-US"/>
        </w:rPr>
        <w:t>lbs</w:t>
      </w:r>
      <w:proofErr w:type="spellEnd"/>
      <w:r w:rsidRPr="00CA1080">
        <w:rPr>
          <w:rFonts w:eastAsia="Times New Roman" w:cs="Arial"/>
          <w:color w:val="000000"/>
          <w:lang w:val="en-US"/>
        </w:rPr>
        <w:t xml:space="preserve">) </w:t>
      </w:r>
      <w:r w:rsidRPr="00CA1080">
        <w:rPr>
          <w:rFonts w:eastAsia="Times New Roman" w:cs="Arial"/>
          <w:color w:val="000000"/>
          <w:lang w:eastAsia="bg-BG"/>
        </w:rPr>
        <w:t xml:space="preserve">е 25 </w:t>
      </w:r>
      <w:r w:rsidRPr="00CA1080">
        <w:rPr>
          <w:rFonts w:eastAsia="Times New Roman" w:cs="Arial"/>
          <w:color w:val="000000"/>
          <w:lang w:val="en-US"/>
        </w:rPr>
        <w:t xml:space="preserve">mg, </w:t>
      </w:r>
      <w:r w:rsidRPr="00CA1080">
        <w:rPr>
          <w:rFonts w:eastAsia="Times New Roman" w:cs="Arial"/>
          <w:color w:val="000000"/>
          <w:lang w:eastAsia="bg-BG"/>
        </w:rPr>
        <w:t xml:space="preserve">два пъти дневно. За пациенти с лека или умерена хронична сърдечна недостатъчност с тегло над 85 </w:t>
      </w:r>
      <w:r w:rsidRPr="00CA1080">
        <w:rPr>
          <w:rFonts w:eastAsia="Times New Roman" w:cs="Arial"/>
          <w:color w:val="000000"/>
          <w:lang w:val="en-US"/>
        </w:rPr>
        <w:t xml:space="preserve">kg. </w:t>
      </w:r>
      <w:r w:rsidRPr="00CA1080">
        <w:rPr>
          <w:rFonts w:eastAsia="Times New Roman" w:cs="Arial"/>
          <w:color w:val="000000"/>
          <w:lang w:eastAsia="bg-BG"/>
        </w:rPr>
        <w:t xml:space="preserve">препоръчителната максимална доза е 50 </w:t>
      </w:r>
      <w:r w:rsidRPr="00CA1080">
        <w:rPr>
          <w:rFonts w:eastAsia="Times New Roman" w:cs="Arial"/>
          <w:color w:val="000000"/>
          <w:lang w:val="en-US"/>
        </w:rPr>
        <w:t xml:space="preserve">mg </w:t>
      </w:r>
      <w:r w:rsidRPr="00CA1080">
        <w:rPr>
          <w:rFonts w:eastAsia="Times New Roman" w:cs="Arial"/>
          <w:color w:val="000000"/>
          <w:lang w:eastAsia="bg-BG"/>
        </w:rPr>
        <w:t>два пъти дневно.</w:t>
      </w:r>
    </w:p>
    <w:p w14:paraId="525207E9" w14:textId="77777777" w:rsidR="00CA1080" w:rsidRPr="00CA1080" w:rsidRDefault="00CA1080" w:rsidP="00CA1080">
      <w:pPr>
        <w:rPr>
          <w:rFonts w:eastAsia="Times New Roman" w:cs="Arial"/>
          <w:color w:val="000000"/>
          <w:lang w:eastAsia="bg-BG"/>
        </w:rPr>
      </w:pPr>
    </w:p>
    <w:p w14:paraId="2532D899" w14:textId="77777777" w:rsidR="00CA1080" w:rsidRPr="00CA1080" w:rsidRDefault="00CA1080" w:rsidP="00CA1080">
      <w:r w:rsidRPr="00CA1080">
        <w:rPr>
          <w:rFonts w:eastAsia="Times New Roman" w:cs="Arial"/>
          <w:color w:val="000000"/>
          <w:lang w:eastAsia="bg-BG"/>
        </w:rPr>
        <w:t>По време на титруването на дозата нагоре при пациентите със систолично атериално налягане &lt;100</w:t>
      </w:r>
      <w:r w:rsidRPr="00CA1080">
        <w:rPr>
          <w:rFonts w:eastAsia="Times New Roman" w:cs="Arial"/>
          <w:color w:val="000000"/>
          <w:lang w:val="en-US"/>
        </w:rPr>
        <w:t xml:space="preserve">mmHg </w:t>
      </w:r>
      <w:r w:rsidRPr="00CA1080">
        <w:rPr>
          <w:rFonts w:eastAsia="Times New Roman" w:cs="Arial"/>
          <w:color w:val="000000"/>
          <w:lang w:eastAsia="bg-BG"/>
        </w:rPr>
        <w:t>може да се прояви влошаване на бъбречната и/или сърдечната функция. Затова преди всяко повишаване на дозата, тези пациенти подлежат на оценка на бъбречната функция и симптомите за влошаване на сърдечната недостатъчност или вазодилатация. В случай на</w:t>
      </w:r>
      <w:r>
        <w:rPr>
          <w:rFonts w:eastAsia="Times New Roman" w:cs="Arial"/>
          <w:color w:val="000000"/>
          <w:lang w:eastAsia="bg-BG"/>
        </w:rPr>
        <w:t xml:space="preserve"> </w:t>
      </w:r>
      <w:r w:rsidRPr="00CA1080">
        <w:t>преходно влошаване на сърдечната функция, вазодилатация или задържане на течности пациентите могат да бъдат третирани чрез промяна на дозите на диуретиците или АСЕ-инхибиторите или е промяна или временно спиране на лечението с ABEPНOЛ. При тези обстоятелства, докато не се стабилизират симптомите на влошаване на сърдечната недостатъчност или вазодилатацията. дозата на ABEPНOЛ не трябва да се повишава.</w:t>
      </w:r>
    </w:p>
    <w:p w14:paraId="2AAC3874" w14:textId="77777777" w:rsidR="00CA1080" w:rsidRPr="00CA1080" w:rsidRDefault="00CA1080" w:rsidP="00CA1080">
      <w:r w:rsidRPr="00CA1080">
        <w:t xml:space="preserve">В случай па преустановяване па лечението с АВЕРНОЛ за повече от две седмици се препоръчва лечението да бъде започнато отново с доза от 3.125 </w:t>
      </w:r>
      <w:r w:rsidRPr="00CA1080">
        <w:rPr>
          <w:lang w:val="en-US"/>
        </w:rPr>
        <w:t xml:space="preserve">mg </w:t>
      </w:r>
      <w:r w:rsidRPr="00CA1080">
        <w:t>два пъти дневно и тя да бъде повишавана според указанията, посочени по-горе.</w:t>
      </w:r>
    </w:p>
    <w:p w14:paraId="68103C4D" w14:textId="77777777" w:rsidR="00CA1080" w:rsidRPr="00CA1080" w:rsidRDefault="00CA1080" w:rsidP="00CA1080">
      <w:pPr>
        <w:rPr>
          <w:b/>
          <w:bCs/>
          <w:i/>
          <w:iCs/>
        </w:rPr>
      </w:pPr>
    </w:p>
    <w:p w14:paraId="2BFE8FEF" w14:textId="26CB8093" w:rsidR="00CA1080" w:rsidRPr="00CA1080" w:rsidRDefault="00CA1080" w:rsidP="00CA1080">
      <w:r w:rsidRPr="00CA1080">
        <w:rPr>
          <w:b/>
          <w:bCs/>
          <w:i/>
          <w:iCs/>
        </w:rPr>
        <w:t>Пациенти в старческа възраст</w:t>
      </w:r>
    </w:p>
    <w:p w14:paraId="5FE49CD6" w14:textId="77777777" w:rsidR="00CA1080" w:rsidRPr="00CA1080" w:rsidRDefault="00CA1080" w:rsidP="00CA1080">
      <w:r w:rsidRPr="00CA1080">
        <w:t>Дозата за възрастни може да се дава на пациентите в старческа възраст.</w:t>
      </w:r>
    </w:p>
    <w:p w14:paraId="0823C076" w14:textId="77777777" w:rsidR="00CA1080" w:rsidRPr="00CA1080" w:rsidRDefault="00CA1080" w:rsidP="00CA1080">
      <w:pPr>
        <w:rPr>
          <w:b/>
          <w:bCs/>
          <w:i/>
          <w:iCs/>
        </w:rPr>
      </w:pPr>
    </w:p>
    <w:p w14:paraId="6061B5DA" w14:textId="51E638F4" w:rsidR="00CA1080" w:rsidRPr="00CA1080" w:rsidRDefault="00CA1080" w:rsidP="00CA1080">
      <w:r w:rsidRPr="00CA1080">
        <w:rPr>
          <w:b/>
          <w:bCs/>
          <w:i/>
          <w:iCs/>
        </w:rPr>
        <w:t>Деца</w:t>
      </w:r>
    </w:p>
    <w:p w14:paraId="1F8A4C8E" w14:textId="77777777" w:rsidR="00CA1080" w:rsidRPr="00CA1080" w:rsidRDefault="00CA1080" w:rsidP="00CA1080">
      <w:r w:rsidRPr="00CA1080">
        <w:t>ABEPНOЛ не е показан за деца под 18-годишна възраст, тъй като при тази възрастова група не е установена безопасност и ефикасност.</w:t>
      </w:r>
    </w:p>
    <w:p w14:paraId="7FD4E366" w14:textId="77777777" w:rsidR="00CA1080" w:rsidRPr="00CA1080" w:rsidRDefault="00CA1080" w:rsidP="00CA1080">
      <w:pPr>
        <w:rPr>
          <w:b/>
          <w:bCs/>
        </w:rPr>
      </w:pPr>
    </w:p>
    <w:p w14:paraId="17A7ADB1" w14:textId="5E9B1DD8" w:rsidR="00CA1080" w:rsidRPr="00CA1080" w:rsidRDefault="00CA1080" w:rsidP="00CA1080">
      <w:r w:rsidRPr="00CA1080">
        <w:rPr>
          <w:b/>
          <w:bCs/>
        </w:rPr>
        <w:t>В. Хипертония</w:t>
      </w:r>
    </w:p>
    <w:p w14:paraId="16BF2B6E" w14:textId="77777777" w:rsidR="00CA1080" w:rsidRPr="00CA1080" w:rsidRDefault="00CA1080" w:rsidP="00CA1080">
      <w:r w:rsidRPr="00CA1080">
        <w:t>Препоръките са за еднократно дозиране дневно.</w:t>
      </w:r>
    </w:p>
    <w:p w14:paraId="0AAEDB3B" w14:textId="77777777" w:rsidR="00CA1080" w:rsidRPr="00CA1080" w:rsidRDefault="00CA1080" w:rsidP="00CA1080">
      <w:pPr>
        <w:rPr>
          <w:b/>
          <w:bCs/>
          <w:i/>
          <w:iCs/>
        </w:rPr>
      </w:pPr>
    </w:p>
    <w:p w14:paraId="3EF1E36B" w14:textId="2524AA88" w:rsidR="00CA1080" w:rsidRPr="00CA1080" w:rsidRDefault="00CA1080" w:rsidP="00CA1080">
      <w:r w:rsidRPr="00CA1080">
        <w:rPr>
          <w:b/>
          <w:bCs/>
          <w:i/>
          <w:iCs/>
        </w:rPr>
        <w:t>Възрастни</w:t>
      </w:r>
    </w:p>
    <w:p w14:paraId="60AE4C25" w14:textId="77777777" w:rsidR="00CA1080" w:rsidRPr="00CA1080" w:rsidRDefault="00CA1080" w:rsidP="00CA1080">
      <w:r w:rsidRPr="00CA1080">
        <w:t xml:space="preserve">Лечението започва с 12.5 </w:t>
      </w:r>
      <w:r w:rsidRPr="00CA1080">
        <w:rPr>
          <w:lang w:val="en-US"/>
        </w:rPr>
        <w:t xml:space="preserve">mg </w:t>
      </w:r>
      <w:r w:rsidRPr="00CA1080">
        <w:t xml:space="preserve">веднъж дневно за първите два дни. След това препоръчваната доза е 25 </w:t>
      </w:r>
      <w:r w:rsidRPr="00CA1080">
        <w:rPr>
          <w:lang w:val="en-US"/>
        </w:rPr>
        <w:t xml:space="preserve">mg </w:t>
      </w:r>
      <w:r w:rsidRPr="00CA1080">
        <w:t xml:space="preserve">веднъж дневно, която се счита подходяща доза за повечето пациенти. Ако не е така, дозата може да се повиши до препоръчителната максимална доза от 50 </w:t>
      </w:r>
      <w:r w:rsidRPr="00CA1080">
        <w:rPr>
          <w:lang w:val="en-US"/>
        </w:rPr>
        <w:t xml:space="preserve">mg. </w:t>
      </w:r>
      <w:r w:rsidRPr="00CA1080">
        <w:t>дадени еднократно или като две дози дневно.</w:t>
      </w:r>
    </w:p>
    <w:p w14:paraId="06521BFB" w14:textId="77777777" w:rsidR="00CA1080" w:rsidRPr="00CA1080" w:rsidRDefault="00CA1080" w:rsidP="00CA1080"/>
    <w:p w14:paraId="19AC2433" w14:textId="711D2645" w:rsidR="00CA1080" w:rsidRPr="00CA1080" w:rsidRDefault="00CA1080" w:rsidP="00CA1080">
      <w:r w:rsidRPr="00CA1080">
        <w:t>Титрирането на дозата трябва да става на интервали от поне две седмици.</w:t>
      </w:r>
    </w:p>
    <w:p w14:paraId="2F3A567B" w14:textId="77777777" w:rsidR="00CA1080" w:rsidRPr="00CA1080" w:rsidRDefault="00CA1080" w:rsidP="00CA1080">
      <w:pPr>
        <w:rPr>
          <w:b/>
          <w:bCs/>
          <w:i/>
          <w:iCs/>
        </w:rPr>
      </w:pPr>
    </w:p>
    <w:p w14:paraId="7BF57C8F" w14:textId="170829DA" w:rsidR="00CA1080" w:rsidRPr="00CA1080" w:rsidRDefault="00CA1080" w:rsidP="00CA1080">
      <w:r w:rsidRPr="00CA1080">
        <w:rPr>
          <w:b/>
          <w:bCs/>
          <w:i/>
          <w:iCs/>
        </w:rPr>
        <w:lastRenderedPageBreak/>
        <w:t>Пациенти в старческа възраст</w:t>
      </w:r>
    </w:p>
    <w:p w14:paraId="561F511D" w14:textId="2EF85A37" w:rsidR="00CA1080" w:rsidRDefault="00CA1080" w:rsidP="00CA1080">
      <w:r w:rsidRPr="00CA1080">
        <w:t xml:space="preserve">Препоръката за започване на лечение е 12.5 </w:t>
      </w:r>
      <w:r w:rsidRPr="00CA1080">
        <w:rPr>
          <w:lang w:val="en-US"/>
        </w:rPr>
        <w:t xml:space="preserve">mg </w:t>
      </w:r>
      <w:r w:rsidRPr="00CA1080">
        <w:t xml:space="preserve">дневно. Ако отговорът е неадекватен, дозата може да се покачва до препоръчителната дневна максимална доза от 50 </w:t>
      </w:r>
      <w:r w:rsidRPr="00CA1080">
        <w:rPr>
          <w:lang w:val="en-US"/>
        </w:rPr>
        <w:t xml:space="preserve">mg, </w:t>
      </w:r>
      <w:r w:rsidRPr="00CA1080">
        <w:t>дадени еднократно или като две дози.</w:t>
      </w:r>
    </w:p>
    <w:p w14:paraId="08A9C2DB" w14:textId="73A4FAFC" w:rsidR="00CA1080" w:rsidRDefault="00CA1080" w:rsidP="00CA1080"/>
    <w:p w14:paraId="438E475F" w14:textId="77777777"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Деца</w:t>
      </w:r>
    </w:p>
    <w:p w14:paraId="4454CF38"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Безопасността и ефикасността при деца на възраст под 18 години не се установени.</w:t>
      </w:r>
    </w:p>
    <w:p w14:paraId="6B75F2EC" w14:textId="77777777" w:rsidR="00CA1080" w:rsidRPr="00CA1080" w:rsidRDefault="00CA1080" w:rsidP="00CA1080">
      <w:pPr>
        <w:spacing w:line="240" w:lineRule="auto"/>
        <w:rPr>
          <w:rFonts w:eastAsia="Times New Roman" w:cs="Arial"/>
          <w:b/>
          <w:bCs/>
          <w:color w:val="000000"/>
          <w:lang w:eastAsia="bg-BG"/>
        </w:rPr>
      </w:pPr>
    </w:p>
    <w:p w14:paraId="049E6AAB" w14:textId="6316598A" w:rsidR="00CA1080" w:rsidRPr="00CA1080" w:rsidRDefault="00CA1080" w:rsidP="00CA1080">
      <w:pPr>
        <w:spacing w:line="240" w:lineRule="auto"/>
        <w:rPr>
          <w:rFonts w:eastAsia="Times New Roman" w:cs="Arial"/>
          <w:lang w:eastAsia="bg-BG"/>
        </w:rPr>
      </w:pPr>
      <w:r w:rsidRPr="00CA1080">
        <w:rPr>
          <w:rFonts w:eastAsia="Times New Roman" w:cs="Arial"/>
          <w:b/>
          <w:bCs/>
          <w:color w:val="000000"/>
          <w:lang w:eastAsia="bg-BG"/>
        </w:rPr>
        <w:t>С. Стенокардия</w:t>
      </w:r>
    </w:p>
    <w:p w14:paraId="2AE1136B" w14:textId="77777777" w:rsidR="00CA1080" w:rsidRPr="00CA1080" w:rsidRDefault="00CA1080" w:rsidP="00CA1080">
      <w:pPr>
        <w:spacing w:line="240" w:lineRule="auto"/>
        <w:rPr>
          <w:rFonts w:eastAsia="Times New Roman" w:cs="Arial"/>
          <w:b/>
          <w:bCs/>
          <w:i/>
          <w:iCs/>
          <w:color w:val="000000"/>
          <w:lang w:eastAsia="bg-BG"/>
        </w:rPr>
      </w:pPr>
    </w:p>
    <w:p w14:paraId="4C6ED4FF" w14:textId="26F5483D"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Възрастни</w:t>
      </w:r>
    </w:p>
    <w:p w14:paraId="52EE214A"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начална доза е </w:t>
      </w:r>
      <w:r w:rsidRPr="00CA1080">
        <w:rPr>
          <w:rFonts w:eastAsia="Times New Roman" w:cs="Arial"/>
          <w:color w:val="000000"/>
          <w:lang w:val="en-US"/>
        </w:rPr>
        <w:t xml:space="preserve">12.5mg </w:t>
      </w:r>
      <w:r w:rsidRPr="00CA1080">
        <w:rPr>
          <w:rFonts w:eastAsia="Times New Roman" w:cs="Arial"/>
          <w:color w:val="000000"/>
          <w:lang w:eastAsia="bg-BG"/>
        </w:rPr>
        <w:t xml:space="preserve">два пъти дневно, за първите два дни. След това препоръчителната доза е 25 </w:t>
      </w:r>
      <w:r w:rsidRPr="00CA1080">
        <w:rPr>
          <w:rFonts w:eastAsia="Times New Roman" w:cs="Arial"/>
          <w:color w:val="000000"/>
          <w:lang w:val="en-US"/>
        </w:rPr>
        <w:t xml:space="preserve">mg </w:t>
      </w:r>
      <w:r w:rsidRPr="00CA1080">
        <w:rPr>
          <w:rFonts w:eastAsia="Times New Roman" w:cs="Arial"/>
          <w:color w:val="000000"/>
          <w:lang w:eastAsia="bg-BG"/>
        </w:rPr>
        <w:t>два пъти дневно.</w:t>
      </w:r>
    </w:p>
    <w:p w14:paraId="3F72CDFD" w14:textId="77777777" w:rsidR="00CA1080" w:rsidRPr="00CA1080" w:rsidRDefault="00CA1080" w:rsidP="00CA1080">
      <w:pPr>
        <w:spacing w:line="240" w:lineRule="auto"/>
        <w:rPr>
          <w:rFonts w:eastAsia="Times New Roman" w:cs="Arial"/>
          <w:b/>
          <w:bCs/>
          <w:i/>
          <w:iCs/>
          <w:color w:val="000000"/>
          <w:lang w:eastAsia="bg-BG"/>
        </w:rPr>
      </w:pPr>
    </w:p>
    <w:p w14:paraId="147FE7E1" w14:textId="17B2BFBF"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в старческа възраст</w:t>
      </w:r>
    </w:p>
    <w:p w14:paraId="09EF6DF8"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 xml:space="preserve">Препоръчителната максимална дневна доза е 50 </w:t>
      </w:r>
      <w:r w:rsidRPr="00CA1080">
        <w:rPr>
          <w:rFonts w:eastAsia="Times New Roman" w:cs="Arial"/>
          <w:color w:val="000000"/>
          <w:lang w:val="en-US"/>
        </w:rPr>
        <w:t xml:space="preserve">mg. </w:t>
      </w:r>
      <w:r w:rsidRPr="00CA1080">
        <w:rPr>
          <w:rFonts w:eastAsia="Times New Roman" w:cs="Arial"/>
          <w:color w:val="000000"/>
          <w:lang w:eastAsia="bg-BG"/>
        </w:rPr>
        <w:t>дадени като две отделни дози.</w:t>
      </w:r>
    </w:p>
    <w:p w14:paraId="0C9DB131" w14:textId="77777777" w:rsidR="00CA1080" w:rsidRPr="00CA1080" w:rsidRDefault="00CA1080" w:rsidP="00CA1080">
      <w:pPr>
        <w:spacing w:line="240" w:lineRule="auto"/>
        <w:rPr>
          <w:rFonts w:eastAsia="Times New Roman" w:cs="Arial"/>
          <w:b/>
          <w:bCs/>
          <w:i/>
          <w:iCs/>
          <w:color w:val="000000"/>
          <w:lang w:eastAsia="bg-BG"/>
        </w:rPr>
      </w:pPr>
    </w:p>
    <w:p w14:paraId="415A84A8" w14:textId="32554751"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Деца</w:t>
      </w:r>
    </w:p>
    <w:p w14:paraId="489FF866"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Безопасността и ефикасността при деца па възраст под 18 години не се у</w:t>
      </w:r>
      <w:r w:rsidRPr="00CA1080">
        <w:rPr>
          <w:rFonts w:eastAsia="Times New Roman" w:cs="Arial"/>
          <w:color w:val="000000"/>
          <w:lang w:val="en-US"/>
        </w:rPr>
        <w:t>c</w:t>
      </w:r>
      <w:r w:rsidRPr="00CA1080">
        <w:rPr>
          <w:rFonts w:eastAsia="Times New Roman" w:cs="Arial"/>
          <w:color w:val="000000"/>
          <w:lang w:eastAsia="bg-BG"/>
        </w:rPr>
        <w:t>тановени.</w:t>
      </w:r>
    </w:p>
    <w:p w14:paraId="4C9597F1" w14:textId="77777777" w:rsidR="00CA1080" w:rsidRPr="00CA1080" w:rsidRDefault="00CA1080" w:rsidP="00CA1080">
      <w:pPr>
        <w:spacing w:line="240" w:lineRule="auto"/>
        <w:rPr>
          <w:rFonts w:eastAsia="Times New Roman" w:cs="Arial"/>
          <w:b/>
          <w:bCs/>
          <w:i/>
          <w:iCs/>
          <w:color w:val="000000"/>
          <w:lang w:eastAsia="bg-BG"/>
        </w:rPr>
      </w:pPr>
    </w:p>
    <w:p w14:paraId="3C0932F4" w14:textId="18A35236"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със съпътстващо чернодробно заболяване</w:t>
      </w:r>
    </w:p>
    <w:p w14:paraId="47F48292" w14:textId="77777777" w:rsidR="00CA1080" w:rsidRPr="00CA1080" w:rsidRDefault="00CA1080" w:rsidP="00CA1080">
      <w:pPr>
        <w:spacing w:line="240" w:lineRule="auto"/>
        <w:rPr>
          <w:rFonts w:eastAsia="Times New Roman" w:cs="Arial"/>
          <w:lang w:eastAsia="bg-BG"/>
        </w:rPr>
      </w:pPr>
      <w:r w:rsidRPr="00CA1080">
        <w:rPr>
          <w:rFonts w:eastAsia="Times New Roman" w:cs="Arial"/>
          <w:color w:val="000000"/>
          <w:lang w:eastAsia="bg-BG"/>
        </w:rPr>
        <w:t>АВЕРНОЛ е противопоказан при пациенти с чернодробна недостатъчност.</w:t>
      </w:r>
    </w:p>
    <w:p w14:paraId="79B50C8F" w14:textId="77777777" w:rsidR="00CA1080" w:rsidRPr="00CA1080" w:rsidRDefault="00CA1080" w:rsidP="00CA1080">
      <w:pPr>
        <w:spacing w:line="240" w:lineRule="auto"/>
        <w:rPr>
          <w:rFonts w:eastAsia="Times New Roman" w:cs="Arial"/>
          <w:b/>
          <w:bCs/>
          <w:i/>
          <w:iCs/>
          <w:color w:val="000000"/>
          <w:lang w:eastAsia="bg-BG"/>
        </w:rPr>
      </w:pPr>
    </w:p>
    <w:p w14:paraId="0A420345" w14:textId="21F2C67A" w:rsidR="00CA1080" w:rsidRPr="00CA1080" w:rsidRDefault="00CA1080" w:rsidP="00CA1080">
      <w:pPr>
        <w:spacing w:line="240" w:lineRule="auto"/>
        <w:rPr>
          <w:rFonts w:eastAsia="Times New Roman" w:cs="Arial"/>
          <w:lang w:eastAsia="bg-BG"/>
        </w:rPr>
      </w:pPr>
      <w:r w:rsidRPr="00CA1080">
        <w:rPr>
          <w:rFonts w:eastAsia="Times New Roman" w:cs="Arial"/>
          <w:b/>
          <w:bCs/>
          <w:i/>
          <w:iCs/>
          <w:color w:val="000000"/>
          <w:lang w:eastAsia="bg-BG"/>
        </w:rPr>
        <w:t>Пациенти със съпътстваща бъбречна недостатъчност</w:t>
      </w:r>
    </w:p>
    <w:p w14:paraId="1B3D94ED" w14:textId="59234146" w:rsidR="00CA1080" w:rsidRPr="00CA1080" w:rsidRDefault="00CA1080" w:rsidP="00CA1080">
      <w:pPr>
        <w:rPr>
          <w:rFonts w:eastAsia="Times New Roman" w:cs="Arial"/>
          <w:color w:val="000000"/>
          <w:lang w:eastAsia="bg-BG"/>
        </w:rPr>
      </w:pPr>
      <w:r w:rsidRPr="00CA1080">
        <w:rPr>
          <w:rFonts w:eastAsia="Times New Roman" w:cs="Arial"/>
          <w:color w:val="000000"/>
          <w:lang w:eastAsia="bg-BG"/>
        </w:rPr>
        <w:t>Не се налага корекция на дозата докато систоли</w:t>
      </w:r>
      <w:r>
        <w:rPr>
          <w:rFonts w:eastAsia="Times New Roman" w:cs="Arial"/>
          <w:color w:val="000000"/>
          <w:lang w:eastAsia="bg-BG"/>
        </w:rPr>
        <w:t xml:space="preserve">чното артериално налягане е над </w:t>
      </w:r>
      <w:r w:rsidRPr="00CA1080">
        <w:rPr>
          <w:rFonts w:eastAsia="Times New Roman" w:cs="Arial"/>
          <w:color w:val="000000"/>
          <w:lang w:eastAsia="bg-BG"/>
        </w:rPr>
        <w:t>1</w:t>
      </w:r>
      <w:r w:rsidRPr="00CA1080">
        <w:rPr>
          <w:rFonts w:eastAsia="Times New Roman" w:cs="Arial"/>
          <w:color w:val="000000"/>
          <w:lang w:val="en-US"/>
        </w:rPr>
        <w:t xml:space="preserve">00mgHg </w:t>
      </w:r>
      <w:r w:rsidRPr="00CA1080">
        <w:rPr>
          <w:rFonts w:eastAsia="Times New Roman" w:cs="Arial"/>
          <w:color w:val="000000"/>
          <w:lang w:eastAsia="bg-BG"/>
        </w:rPr>
        <w:t xml:space="preserve">(виж раздели </w:t>
      </w:r>
      <w:r w:rsidRPr="00CA1080">
        <w:rPr>
          <w:rFonts w:eastAsia="Times New Roman" w:cs="Arial"/>
          <w:b/>
          <w:bCs/>
          <w:i/>
          <w:iCs/>
          <w:color w:val="000000"/>
          <w:lang w:eastAsia="bg-BG"/>
        </w:rPr>
        <w:t xml:space="preserve">4.4 </w:t>
      </w:r>
      <w:r w:rsidRPr="00CA1080">
        <w:rPr>
          <w:rFonts w:eastAsia="Times New Roman" w:cs="Arial"/>
          <w:i/>
          <w:iCs/>
          <w:color w:val="000000"/>
          <w:lang w:eastAsia="bg-BG"/>
        </w:rPr>
        <w:t>специални предупреждения и предпазни мерки при</w:t>
      </w:r>
      <w:r w:rsidRPr="00CA1080">
        <w:rPr>
          <w:rFonts w:eastAsia="Times New Roman" w:cs="Arial"/>
          <w:b/>
          <w:bCs/>
          <w:i/>
          <w:iCs/>
          <w:color w:val="000000"/>
          <w:lang w:eastAsia="bg-BG"/>
        </w:rPr>
        <w:t xml:space="preserve"> </w:t>
      </w:r>
      <w:r w:rsidRPr="00CA1080">
        <w:rPr>
          <w:rFonts w:eastAsia="Times New Roman" w:cs="Arial"/>
          <w:i/>
          <w:iCs/>
          <w:color w:val="000000"/>
          <w:lang w:eastAsia="bg-BG"/>
        </w:rPr>
        <w:t>употреба</w:t>
      </w:r>
      <w:r w:rsidRPr="00CA1080">
        <w:rPr>
          <w:rFonts w:eastAsia="Times New Roman" w:cs="Arial"/>
          <w:color w:val="000000"/>
          <w:lang w:eastAsia="bg-BG"/>
        </w:rPr>
        <w:t xml:space="preserve"> и </w:t>
      </w:r>
      <w:r w:rsidRPr="00CA1080">
        <w:rPr>
          <w:rFonts w:eastAsia="Times New Roman" w:cs="Arial"/>
          <w:i/>
          <w:iCs/>
          <w:color w:val="000000"/>
          <w:lang w:eastAsia="bg-BG"/>
        </w:rPr>
        <w:t>5.2</w:t>
      </w:r>
      <w:r w:rsidRPr="00CA1080">
        <w:rPr>
          <w:rFonts w:eastAsia="Times New Roman" w:cs="Arial"/>
          <w:b/>
          <w:bCs/>
          <w:i/>
          <w:iCs/>
          <w:color w:val="000000"/>
          <w:lang w:eastAsia="bg-BG"/>
        </w:rPr>
        <w:t xml:space="preserve"> </w:t>
      </w:r>
      <w:r w:rsidRPr="00CA1080">
        <w:rPr>
          <w:rFonts w:eastAsia="Times New Roman" w:cs="Arial"/>
          <w:i/>
          <w:iCs/>
          <w:color w:val="000000"/>
          <w:lang w:eastAsia="bg-BG"/>
        </w:rPr>
        <w:t>Фармакокинетични свойства).</w:t>
      </w:r>
    </w:p>
    <w:p w14:paraId="6BC408DC" w14:textId="77777777" w:rsidR="00CC08B1" w:rsidRPr="00CC08B1" w:rsidRDefault="00CC08B1" w:rsidP="00CC08B1">
      <w:pPr>
        <w:rPr>
          <w:rFonts w:cs="Arial"/>
          <w:sz w:val="24"/>
        </w:rPr>
      </w:pPr>
    </w:p>
    <w:p w14:paraId="28C984E8" w14:textId="59C590DA" w:rsidR="008134C8" w:rsidRDefault="002C50EE" w:rsidP="004A448E">
      <w:pPr>
        <w:pStyle w:val="Heading2"/>
      </w:pPr>
      <w:r>
        <w:t>4.3. Противопоказания</w:t>
      </w:r>
    </w:p>
    <w:p w14:paraId="0B52EBBE" w14:textId="072A84C2" w:rsidR="00CA1080" w:rsidRDefault="00CA1080" w:rsidP="00CA1080"/>
    <w:p w14:paraId="0533CAD1" w14:textId="3673AD22" w:rsidR="00CA1080" w:rsidRPr="00CA1080" w:rsidRDefault="00CA1080" w:rsidP="00CA1080">
      <w:pPr>
        <w:rPr>
          <w:szCs w:val="20"/>
        </w:rPr>
      </w:pPr>
      <w:r w:rsidRPr="00CA1080">
        <w:rPr>
          <w:szCs w:val="20"/>
        </w:rPr>
        <w:t>АВЕРНОЛ не трябва да се прилага на пациенти със свръхчувствителност към карведилол или към някое от помощните вещества на таблетката. Не трябва да се прилага и при пациенти с изразена задръжка на течности или обременяване, изискващо интравенозно инотропно лечение, и на пациенти с обструктивци заболявания на дихателните пътища или чернодробна недостатъчност.</w:t>
      </w:r>
    </w:p>
    <w:p w14:paraId="0EC5C593" w14:textId="5439522C" w:rsidR="00CA1080" w:rsidRPr="00CA1080" w:rsidRDefault="00CA1080" w:rsidP="00CA1080">
      <w:pPr>
        <w:rPr>
          <w:szCs w:val="20"/>
        </w:rPr>
      </w:pPr>
    </w:p>
    <w:p w14:paraId="36123D8C" w14:textId="38333670" w:rsidR="00CA1080" w:rsidRDefault="00CA1080" w:rsidP="00CA1080">
      <w:pPr>
        <w:rPr>
          <w:szCs w:val="20"/>
        </w:rPr>
      </w:pPr>
      <w:r w:rsidRPr="00CA1080">
        <w:rPr>
          <w:szCs w:val="20"/>
        </w:rPr>
        <w:t>АВЕРНОЛ подобно на другите бета-блокери е противопоказан при пациенти е анамнеза за бронхоспазъм или астма, 2</w:t>
      </w:r>
      <w:r w:rsidRPr="00CA1080">
        <w:rPr>
          <w:szCs w:val="20"/>
          <w:vertAlign w:val="superscript"/>
        </w:rPr>
        <w:t>ра</w:t>
      </w:r>
      <w:r w:rsidRPr="00CA1080">
        <w:rPr>
          <w:szCs w:val="20"/>
        </w:rPr>
        <w:t xml:space="preserve"> и 3</w:t>
      </w:r>
      <w:r w:rsidRPr="00CA1080">
        <w:rPr>
          <w:szCs w:val="20"/>
          <w:vertAlign w:val="superscript"/>
        </w:rPr>
        <w:t>та</w:t>
      </w:r>
      <w:r w:rsidRPr="00CA1080">
        <w:rPr>
          <w:szCs w:val="20"/>
        </w:rPr>
        <w:t xml:space="preserve"> степен </w:t>
      </w:r>
      <w:r w:rsidRPr="00CA1080">
        <w:rPr>
          <w:szCs w:val="20"/>
          <w:lang w:val="en-US"/>
        </w:rPr>
        <w:t xml:space="preserve">A-V </w:t>
      </w:r>
      <w:r w:rsidRPr="00CA1080">
        <w:rPr>
          <w:szCs w:val="20"/>
        </w:rPr>
        <w:t xml:space="preserve">сърдечен блок (освен ако не е поставен постоянен пейсмейкър). тежка брадикардия (&lt;50 </w:t>
      </w:r>
      <w:r w:rsidRPr="00CA1080">
        <w:rPr>
          <w:szCs w:val="20"/>
          <w:lang w:val="en-US"/>
        </w:rPr>
        <w:t xml:space="preserve">bpm), </w:t>
      </w:r>
      <w:r w:rsidRPr="00CA1080">
        <w:rPr>
          <w:szCs w:val="20"/>
        </w:rPr>
        <w:t xml:space="preserve">кардиогенен шок, синдром на болния синусов възел (включително синоатриален блок), тежка хипотония (систолично артериално налягане </w:t>
      </w:r>
      <w:r w:rsidRPr="00CA1080">
        <w:rPr>
          <w:szCs w:val="20"/>
          <w:lang w:val="en-US"/>
        </w:rPr>
        <w:t xml:space="preserve">&lt;85mmHg). </w:t>
      </w:r>
      <w:r w:rsidRPr="00CA1080">
        <w:rPr>
          <w:szCs w:val="20"/>
        </w:rPr>
        <w:t>метаболитна ацидоза и феохромоцитом (освен ако не е адекватно контролиран с алфа блокада).</w:t>
      </w:r>
    </w:p>
    <w:p w14:paraId="1FBC38F6" w14:textId="77777777" w:rsidR="00DC3050" w:rsidRPr="00CA1080" w:rsidRDefault="00DC3050" w:rsidP="00CA1080">
      <w:pPr>
        <w:rPr>
          <w:sz w:val="24"/>
        </w:rPr>
      </w:pPr>
    </w:p>
    <w:p w14:paraId="212F509C" w14:textId="321E6021" w:rsidR="004F498A" w:rsidRDefault="002C50EE" w:rsidP="004A448E">
      <w:pPr>
        <w:pStyle w:val="Heading2"/>
      </w:pPr>
      <w:r>
        <w:t>4.4. Специални предупреждения и предпазни мерки при употреба</w:t>
      </w:r>
    </w:p>
    <w:p w14:paraId="525A974C" w14:textId="786B191F" w:rsidR="00CA1080" w:rsidRDefault="00CA1080" w:rsidP="00CA1080"/>
    <w:p w14:paraId="5790BEA2" w14:textId="010C4CEB"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 xml:space="preserve">При пациентите с хронична сърдечна недостатъчност по време на титрирането на АВЕРНОЛ е възможно да се прояви влошаване на сърдечната недостатъчност или задръжка на течности. В подобни случаи, дозата на АВЕРНОЛ не трябва да се повишава </w:t>
      </w:r>
      <w:r w:rsidRPr="00CA1080">
        <w:rPr>
          <w:rFonts w:eastAsia="Times New Roman" w:cs="Arial"/>
          <w:color w:val="000000"/>
          <w:szCs w:val="20"/>
          <w:lang w:eastAsia="bg-BG"/>
        </w:rPr>
        <w:lastRenderedPageBreak/>
        <w:t xml:space="preserve">до възвръщане на клинична стабилност, а трябва да се адаптира и дозата на диуретика. Понякога може да е необходимо да се понижи дозата на АВЕРНОЛ или да бъде временно спрян. Подобни епизоди не изключват възможността за последващо успешно титриране на </w:t>
      </w:r>
      <w:r w:rsidR="00DC3050" w:rsidRPr="00CA1080">
        <w:rPr>
          <w:rFonts w:eastAsia="Times New Roman" w:cs="Arial"/>
          <w:color w:val="000000"/>
          <w:szCs w:val="20"/>
          <w:lang w:eastAsia="bg-BG"/>
        </w:rPr>
        <w:t>АВЕРНОЛ</w:t>
      </w:r>
      <w:r w:rsidRPr="00CA1080">
        <w:rPr>
          <w:rFonts w:eastAsia="Times New Roman" w:cs="Arial"/>
          <w:color w:val="000000"/>
          <w:szCs w:val="20"/>
          <w:lang w:eastAsia="bg-BG"/>
        </w:rPr>
        <w:t>.</w:t>
      </w:r>
    </w:p>
    <w:p w14:paraId="27549F3C" w14:textId="77777777" w:rsidR="00CA1080" w:rsidRPr="00CA1080" w:rsidRDefault="00CA1080" w:rsidP="00CA1080">
      <w:pPr>
        <w:spacing w:line="240" w:lineRule="auto"/>
        <w:rPr>
          <w:rFonts w:eastAsia="Times New Roman" w:cs="Arial"/>
          <w:color w:val="000000"/>
          <w:szCs w:val="20"/>
          <w:lang w:eastAsia="bg-BG"/>
        </w:rPr>
      </w:pPr>
    </w:p>
    <w:p w14:paraId="66EE3A05" w14:textId="45F01B50"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 xml:space="preserve">АВЕРНОЛ трябва да се прилага с внимание при пациенти с хипертония и хронична сърдечна недостатъчност, контролирана с дигоксин, диуретици и/или АСЕ-инхибитори, тъй като и дигоксинът и АВЕРНОЛ могат да забавят </w:t>
      </w:r>
      <w:r w:rsidRPr="00CA1080">
        <w:rPr>
          <w:rFonts w:eastAsia="Times New Roman" w:cs="Arial"/>
          <w:color w:val="000000"/>
          <w:szCs w:val="20"/>
          <w:lang w:val="en-US"/>
        </w:rPr>
        <w:t xml:space="preserve">A-V </w:t>
      </w:r>
      <w:r w:rsidRPr="00CA1080">
        <w:rPr>
          <w:rFonts w:eastAsia="Times New Roman" w:cs="Arial"/>
          <w:color w:val="000000"/>
          <w:szCs w:val="20"/>
          <w:lang w:eastAsia="bg-BG"/>
        </w:rPr>
        <w:t>проводимостта.</w:t>
      </w:r>
    </w:p>
    <w:p w14:paraId="5C34C49B" w14:textId="77777777"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пациенти на инсулин като цяло се предпочитат алтернативи на бета- блокиращите агенти. АВЕРНОЛ. подобно на другите лекарствени продукти с бета-блокираща активност, може да маскира ранните признаци на остра хипогликемия при пациенти със захарен диабет. При пациенти с диабет, употребата на АВЕРНОЛ също може да се свърже с влошаване на контрола на кръвната захар. Затова при диабетици се изисква регулярно проследяване на глюкозата в кръвта, когато се започва лечение с АВЕРНОЛ или се покачва дозата му. а терапията за понижаване па кръвната захар трябва да се променя по съответен начин.</w:t>
      </w:r>
    </w:p>
    <w:p w14:paraId="6F6752A3" w14:textId="77777777" w:rsidR="00CA1080" w:rsidRPr="00CA1080" w:rsidRDefault="00CA1080" w:rsidP="00CA1080">
      <w:pPr>
        <w:spacing w:line="240" w:lineRule="auto"/>
        <w:rPr>
          <w:rFonts w:eastAsia="Times New Roman" w:cs="Arial"/>
          <w:sz w:val="28"/>
          <w:szCs w:val="24"/>
          <w:lang w:eastAsia="bg-BG"/>
        </w:rPr>
      </w:pPr>
    </w:p>
    <w:p w14:paraId="299392E4" w14:textId="77777777" w:rsidR="00CA1080" w:rsidRPr="00CA1080" w:rsidRDefault="00CA1080" w:rsidP="00CA1080">
      <w:pPr>
        <w:rPr>
          <w:rFonts w:eastAsia="Times New Roman" w:cs="Arial"/>
          <w:sz w:val="28"/>
          <w:szCs w:val="24"/>
          <w:lang w:eastAsia="bg-BG"/>
        </w:rPr>
      </w:pPr>
      <w:r w:rsidRPr="00CA1080">
        <w:rPr>
          <w:rFonts w:eastAsia="Times New Roman" w:cs="Arial"/>
          <w:color w:val="000000"/>
          <w:szCs w:val="20"/>
          <w:lang w:eastAsia="bg-BG"/>
        </w:rPr>
        <w:t xml:space="preserve">При пациенти с хронична сърдечна недостатъчност и ниско артериално </w:t>
      </w:r>
      <w:r w:rsidRPr="00CA1080">
        <w:rPr>
          <w:rFonts w:eastAsia="Times New Roman" w:cs="Arial"/>
          <w:color w:val="575D77"/>
          <w:szCs w:val="20"/>
          <w:lang w:eastAsia="bg-BG"/>
        </w:rPr>
        <w:t xml:space="preserve"> </w:t>
      </w:r>
      <w:r w:rsidRPr="00CA1080">
        <w:rPr>
          <w:rFonts w:eastAsia="Times New Roman" w:cs="Arial"/>
          <w:color w:val="000000"/>
          <w:szCs w:val="20"/>
          <w:lang w:eastAsia="bg-BG"/>
        </w:rPr>
        <w:t>налягане (систолично артериално налягане &lt; 100</w:t>
      </w:r>
      <w:r w:rsidRPr="00CA1080">
        <w:rPr>
          <w:rFonts w:eastAsia="Times New Roman" w:cs="Arial"/>
          <w:color w:val="000000"/>
          <w:szCs w:val="20"/>
          <w:lang w:val="en-US"/>
        </w:rPr>
        <w:t>mmHg),</w:t>
      </w:r>
      <w:r w:rsidRPr="00CA1080">
        <w:rPr>
          <w:rFonts w:eastAsia="Times New Roman" w:cs="Arial"/>
          <w:color w:val="000000"/>
          <w:szCs w:val="20"/>
          <w:lang w:eastAsia="bg-BG"/>
        </w:rPr>
        <w:t xml:space="preserve"> исхемично сърдечно</w:t>
      </w:r>
      <w:r>
        <w:rPr>
          <w:rFonts w:eastAsia="Times New Roman" w:cs="Arial"/>
          <w:color w:val="000000"/>
          <w:szCs w:val="20"/>
          <w:lang w:eastAsia="bg-BG"/>
        </w:rPr>
        <w:t xml:space="preserve"> </w:t>
      </w:r>
      <w:r w:rsidRPr="00CA1080">
        <w:rPr>
          <w:rFonts w:eastAsia="Times New Roman" w:cs="Arial"/>
          <w:color w:val="000000"/>
          <w:szCs w:val="20"/>
          <w:lang w:eastAsia="bg-BG"/>
        </w:rPr>
        <w:t>заболяване и дифузна съдова болест и/или съпътстваща бъбречна недостатъчност е наблюдавано обратимо влошаване при лечение с АВЕРНОЛ. При пациенти с хронична сърдечна недостатъчност с подобни рискови фактори трябва да се проследява бъбречната функция но време на покачване на АВЕРНОЛ и ако се влоши бъбречната функция да се спре продукта или да се намали дозата.</w:t>
      </w:r>
    </w:p>
    <w:p w14:paraId="2330D033" w14:textId="77777777" w:rsidR="00CA1080" w:rsidRPr="00CA1080" w:rsidRDefault="00CA1080" w:rsidP="00CA1080">
      <w:pPr>
        <w:spacing w:line="240" w:lineRule="auto"/>
        <w:rPr>
          <w:rFonts w:eastAsia="Times New Roman" w:cs="Arial"/>
          <w:color w:val="000000"/>
          <w:szCs w:val="20"/>
          <w:lang w:eastAsia="bg-BG"/>
        </w:rPr>
      </w:pPr>
    </w:p>
    <w:p w14:paraId="1D77023B" w14:textId="1534BC84"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хора с контактни лещи е възможно намалено образуване на сълзи.</w:t>
      </w:r>
    </w:p>
    <w:p w14:paraId="519DBD73" w14:textId="77777777" w:rsidR="00CA1080" w:rsidRPr="00CA1080" w:rsidRDefault="00CA1080" w:rsidP="00CA1080">
      <w:pPr>
        <w:spacing w:line="240" w:lineRule="auto"/>
        <w:rPr>
          <w:rFonts w:eastAsia="Times New Roman" w:cs="Arial"/>
          <w:color w:val="000000"/>
          <w:szCs w:val="20"/>
          <w:lang w:eastAsia="bg-BG"/>
        </w:rPr>
      </w:pPr>
    </w:p>
    <w:p w14:paraId="799D5D42" w14:textId="22AFE981"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Прекъсването на лечението с АВЕРНОЛ трябва да става постепенно (1-2 седмици) особено при пациенти с исхемична болест на сърцето, тъй като АВЕРНОЛ е с бета-блокиращо действие и е възможна стенокардия.</w:t>
      </w:r>
    </w:p>
    <w:p w14:paraId="77A6CFAC" w14:textId="77777777" w:rsidR="00CA1080" w:rsidRPr="00CA1080" w:rsidRDefault="00CA1080" w:rsidP="00CA1080">
      <w:pPr>
        <w:spacing w:line="240" w:lineRule="auto"/>
        <w:rPr>
          <w:rFonts w:eastAsia="Times New Roman" w:cs="Arial"/>
          <w:color w:val="000000"/>
          <w:szCs w:val="20"/>
          <w:lang w:eastAsia="bg-BG"/>
        </w:rPr>
      </w:pPr>
    </w:p>
    <w:p w14:paraId="250FA64A" w14:textId="2B79B879"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Чистите бета-блокери могат да преципитират или влошат симптомите па артериална недостатъчност. Въпреки това, тъй като АВЕРНОЛ притежава също и алфа-блокиращо действие, този ефект до голяма степен се неутрализира и затова може да се използва от пациенти с периферно съдово заболяване.</w:t>
      </w:r>
    </w:p>
    <w:p w14:paraId="4241B422" w14:textId="77777777" w:rsidR="00CA1080" w:rsidRPr="00CA1080" w:rsidRDefault="00CA1080" w:rsidP="00CA1080">
      <w:pPr>
        <w:spacing w:line="240" w:lineRule="auto"/>
        <w:rPr>
          <w:rFonts w:eastAsia="Times New Roman" w:cs="Arial"/>
          <w:color w:val="000000"/>
          <w:szCs w:val="20"/>
          <w:lang w:eastAsia="bg-BG"/>
        </w:rPr>
      </w:pPr>
    </w:p>
    <w:p w14:paraId="646B1B5B" w14:textId="5579F1E5"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АВЕРНОЛ, подобно на другите средства с бета-блокираща активност, може да маскира симптомите на тиреотоксикоза.</w:t>
      </w:r>
    </w:p>
    <w:p w14:paraId="6FF670D7" w14:textId="77777777" w:rsidR="00CA1080" w:rsidRPr="00CA1080" w:rsidRDefault="00CA1080" w:rsidP="00CA1080">
      <w:pPr>
        <w:spacing w:line="240" w:lineRule="auto"/>
        <w:rPr>
          <w:rFonts w:eastAsia="Times New Roman" w:cs="Arial"/>
          <w:color w:val="000000"/>
          <w:szCs w:val="20"/>
          <w:lang w:eastAsia="bg-BG"/>
        </w:rPr>
      </w:pPr>
    </w:p>
    <w:p w14:paraId="7C054DEB" w14:textId="6DA8634D"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Ако АВЕРНОЛ доведе до брадикардия, с намаление в пулсовата честота до по- малко от 55 удара в минута, дозата на АВЕРНОЛ трябва да се намали.</w:t>
      </w:r>
    </w:p>
    <w:p w14:paraId="155DE5FD" w14:textId="77777777" w:rsidR="00CA1080" w:rsidRPr="00CA1080" w:rsidRDefault="00CA1080" w:rsidP="00CA1080">
      <w:pPr>
        <w:spacing w:line="240" w:lineRule="auto"/>
        <w:rPr>
          <w:rFonts w:eastAsia="Times New Roman" w:cs="Arial"/>
          <w:color w:val="000000"/>
          <w:szCs w:val="20"/>
          <w:lang w:eastAsia="bg-BG"/>
        </w:rPr>
      </w:pPr>
    </w:p>
    <w:p w14:paraId="728B24BB" w14:textId="5C53C949"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АВЕРНОЛ трябва да се прилага с внимание на пациенти с анамнеза за сериозни реакции на свръхчувствителност и при такива подложени па десепсибилизиращо лечение. Бета-блокерите могат да повишат чувствителността към алергени и сериозността на анафилактичните реакции.</w:t>
      </w:r>
    </w:p>
    <w:p w14:paraId="77483316" w14:textId="77777777" w:rsidR="00CA1080" w:rsidRPr="00CA1080" w:rsidRDefault="00CA1080" w:rsidP="00CA1080">
      <w:pPr>
        <w:rPr>
          <w:rFonts w:eastAsia="Times New Roman" w:cs="Arial"/>
          <w:color w:val="000000"/>
          <w:szCs w:val="20"/>
          <w:lang w:eastAsia="bg-BG"/>
        </w:rPr>
      </w:pPr>
    </w:p>
    <w:p w14:paraId="3FAFA449" w14:textId="4E4CE709" w:rsidR="00CA1080" w:rsidRPr="00CA1080" w:rsidRDefault="00CA1080" w:rsidP="00CA1080">
      <w:pPr>
        <w:rPr>
          <w:rFonts w:eastAsia="Times New Roman" w:cs="Arial"/>
          <w:color w:val="000000"/>
          <w:sz w:val="24"/>
          <w:szCs w:val="20"/>
          <w:lang w:eastAsia="bg-BG"/>
        </w:rPr>
      </w:pPr>
      <w:r w:rsidRPr="00CA1080">
        <w:rPr>
          <w:rFonts w:eastAsia="Times New Roman" w:cs="Arial"/>
          <w:color w:val="000000"/>
          <w:szCs w:val="20"/>
          <w:lang w:eastAsia="bg-BG"/>
        </w:rPr>
        <w:t>Може да бъде забелязано обосгряпе на симптомите при пациенти страдащи от Синдром на Рейно (периферно циркулаторно нарушение).</w:t>
      </w:r>
    </w:p>
    <w:p w14:paraId="40A2F079" w14:textId="0AB63324" w:rsidR="00CA1080" w:rsidRDefault="00CA1080" w:rsidP="00CA1080"/>
    <w:p w14:paraId="57BE5F0A" w14:textId="77777777"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lastRenderedPageBreak/>
        <w:t>АВЕРНОЛ трябва да се прилага на пациенти е анамнеза за псориазис. свързван с лечение с бета-блокери, само след сериозна преценка на съотношението риск/полза.</w:t>
      </w:r>
    </w:p>
    <w:p w14:paraId="420B35D0" w14:textId="77777777" w:rsidR="00CA1080" w:rsidRPr="00CA1080" w:rsidRDefault="00CA1080" w:rsidP="00CA1080">
      <w:pPr>
        <w:spacing w:line="240" w:lineRule="auto"/>
        <w:rPr>
          <w:rFonts w:eastAsia="Times New Roman" w:cs="Arial"/>
          <w:color w:val="000000"/>
          <w:szCs w:val="20"/>
          <w:lang w:eastAsia="bg-BG"/>
        </w:rPr>
      </w:pPr>
    </w:p>
    <w:p w14:paraId="3D50E4DD" w14:textId="0A1E28AD"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eastAsia="bg-BG"/>
        </w:rPr>
        <w:t>При пациенти с феохромоцитом преди да се даде някаво бета-блокиращо средство се започва алфа-блокер. Няма опит от приложение па карведилол при това състояние. Затова трябва да се вземат предпазни мерки при приложение на АВЕРНОЛ на пациенти, при които има подозрения за феохромоцитом.</w:t>
      </w:r>
    </w:p>
    <w:p w14:paraId="2BCBF15D" w14:textId="77777777" w:rsidR="00CA1080" w:rsidRPr="00CA1080" w:rsidRDefault="00CA1080" w:rsidP="00CA1080">
      <w:pPr>
        <w:spacing w:line="240" w:lineRule="auto"/>
        <w:rPr>
          <w:rFonts w:eastAsia="Times New Roman" w:cs="Arial"/>
          <w:color w:val="000000"/>
          <w:szCs w:val="20"/>
          <w:lang w:val="en-US"/>
        </w:rPr>
      </w:pPr>
    </w:p>
    <w:p w14:paraId="6368D124" w14:textId="431C328C" w:rsidR="00CA1080" w:rsidRPr="00CA1080" w:rsidRDefault="00CA1080" w:rsidP="00CA1080">
      <w:pPr>
        <w:spacing w:line="240" w:lineRule="auto"/>
        <w:rPr>
          <w:rFonts w:eastAsia="Times New Roman" w:cs="Arial"/>
          <w:sz w:val="28"/>
          <w:szCs w:val="24"/>
          <w:lang w:eastAsia="bg-BG"/>
        </w:rPr>
      </w:pPr>
      <w:r w:rsidRPr="00CA1080">
        <w:rPr>
          <w:rFonts w:eastAsia="Times New Roman" w:cs="Arial"/>
          <w:color w:val="000000"/>
          <w:szCs w:val="20"/>
          <w:lang w:val="en-US"/>
        </w:rPr>
        <w:t>A</w:t>
      </w:r>
      <w:r w:rsidRPr="00CA1080">
        <w:rPr>
          <w:rFonts w:eastAsia="Times New Roman" w:cs="Arial"/>
          <w:color w:val="000000"/>
          <w:szCs w:val="20"/>
          <w:lang w:eastAsia="bg-BG"/>
        </w:rPr>
        <w:t xml:space="preserve">гентите с неселективно бета-блокиращо действие могат да провокират болка в гръдния кош. При пациенти с вариантна ангина на Принцметал. Няма клиничен опит с АВЕРНОЛ при тези пациенти, въпреки че алфа-блокиращата активност на АВЕРНОЛ може да профилактира подобни симптоми. Въпреки гова. при пациенти, при които има подозрения за вариантна ангина на Принцметал. приложението на </w:t>
      </w:r>
      <w:r w:rsidRPr="00CA1080">
        <w:rPr>
          <w:rFonts w:eastAsia="Times New Roman" w:cs="Arial"/>
          <w:color w:val="000000"/>
          <w:szCs w:val="20"/>
          <w:lang w:val="en-US"/>
        </w:rPr>
        <w:t>ABEP</w:t>
      </w:r>
      <w:r w:rsidRPr="00CA1080">
        <w:rPr>
          <w:rFonts w:eastAsia="Times New Roman" w:cs="Arial"/>
          <w:color w:val="000000"/>
          <w:szCs w:val="20"/>
          <w:lang w:eastAsia="bg-BG"/>
        </w:rPr>
        <w:t>НОЛ трябва да става с внимание.</w:t>
      </w:r>
    </w:p>
    <w:p w14:paraId="2DA10DE1" w14:textId="77777777" w:rsidR="00CA1080" w:rsidRPr="00CA1080" w:rsidRDefault="00CA1080" w:rsidP="00CA1080">
      <w:pPr>
        <w:rPr>
          <w:rFonts w:eastAsia="Times New Roman" w:cs="Arial"/>
          <w:color w:val="000000"/>
          <w:szCs w:val="20"/>
          <w:lang w:eastAsia="bg-BG"/>
        </w:rPr>
      </w:pPr>
    </w:p>
    <w:p w14:paraId="0AD492F8" w14:textId="169E4902" w:rsidR="00CA1080" w:rsidRPr="00CA1080" w:rsidRDefault="00CA1080" w:rsidP="00CA1080">
      <w:pPr>
        <w:rPr>
          <w:rFonts w:eastAsia="Times New Roman" w:cs="Arial"/>
          <w:color w:val="000000"/>
          <w:szCs w:val="20"/>
          <w:lang w:eastAsia="bg-BG"/>
        </w:rPr>
      </w:pPr>
      <w:r w:rsidRPr="00CA1080">
        <w:rPr>
          <w:rFonts w:eastAsia="Times New Roman" w:cs="Arial"/>
          <w:color w:val="000000"/>
          <w:szCs w:val="20"/>
          <w:lang w:eastAsia="bg-BG"/>
        </w:rPr>
        <w:t>Може да се прояви респираторен дистрес като резултат на възможно повишение на резистентността на дихателните пътища при пациенти с тенденция към бронхоспастичии реакции. Върху вторичната опаковка и в листовката са включени съответни предупреждения, тъй като АВЕРНОЛ не трябва да се приема от пациенти с анамнеза за хрипове поради астма или други белодробни заболявания.</w:t>
      </w:r>
    </w:p>
    <w:p w14:paraId="51638427" w14:textId="3F8B48DD" w:rsidR="00CA1080" w:rsidRDefault="00CA1080" w:rsidP="00CA1080"/>
    <w:p w14:paraId="5D77146F" w14:textId="77777777" w:rsidR="00FA246A" w:rsidRPr="00CA1080" w:rsidRDefault="00FA246A" w:rsidP="00CA1080"/>
    <w:p w14:paraId="100BDF0F" w14:textId="17280CEA" w:rsidR="00FA246A" w:rsidRDefault="002C50EE" w:rsidP="00FA246A">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768422CE" w14:textId="77777777" w:rsidR="00FA246A" w:rsidRPr="00FA246A" w:rsidRDefault="00FA246A" w:rsidP="00FA246A"/>
    <w:p w14:paraId="00B3D40D" w14:textId="77777777" w:rsidR="00FA246A" w:rsidRPr="00FA246A" w:rsidRDefault="00FA246A" w:rsidP="00FA246A">
      <w:r w:rsidRPr="00FA246A">
        <w:t>Подобно на другите продукти с бета-блокиращо действие АВЕРНОЛ може да засили действията на други едновременно приемани лекарствени продукти с антихипертензивно действие (например алфа1-рецепторни антагонисти) или такива, водещи до хипотония като част от профила им на нежелани реакции.</w:t>
      </w:r>
    </w:p>
    <w:p w14:paraId="3C7BAC7A" w14:textId="77777777" w:rsidR="00FA246A" w:rsidRPr="00FA246A" w:rsidRDefault="00FA246A" w:rsidP="00FA246A"/>
    <w:p w14:paraId="0DDAADCC" w14:textId="4E6CBC2B" w:rsidR="00FA246A" w:rsidRPr="00FA246A" w:rsidRDefault="00FA246A" w:rsidP="00FA246A">
      <w:r w:rsidRPr="00FA246A">
        <w:t>Пациентите, които приемат продукт с β-блокиращи свойства и продукт, който</w:t>
      </w:r>
    </w:p>
    <w:p w14:paraId="5C5534DB" w14:textId="77777777" w:rsidR="00FA246A" w:rsidRPr="00FA246A" w:rsidRDefault="00FA246A" w:rsidP="00FA246A">
      <w:pPr>
        <w:rPr>
          <w:rFonts w:eastAsia="Times New Roman" w:cs="Arial"/>
          <w:sz w:val="28"/>
          <w:szCs w:val="24"/>
          <w:lang w:eastAsia="bg-BG"/>
        </w:rPr>
      </w:pPr>
      <w:r w:rsidRPr="00FA246A">
        <w:t>може да намали катехоламините (например, резерпин и моноамино оксидазни</w:t>
      </w:r>
      <w:r>
        <w:t xml:space="preserve"> </w:t>
      </w:r>
      <w:r w:rsidRPr="00FA246A">
        <w:rPr>
          <w:rFonts w:eastAsia="Times New Roman" w:cs="Arial"/>
          <w:color w:val="000000"/>
          <w:szCs w:val="20"/>
          <w:lang w:eastAsia="bg-BG"/>
        </w:rPr>
        <w:t>инхибитори) трябва да се проследяват отблизо за признаци па хипотония и/или тежка брадикардия.</w:t>
      </w:r>
    </w:p>
    <w:p w14:paraId="6B4C7F1D" w14:textId="77777777" w:rsidR="00FA246A" w:rsidRPr="00FA246A" w:rsidRDefault="00FA246A" w:rsidP="00FA246A">
      <w:pPr>
        <w:spacing w:line="240" w:lineRule="auto"/>
        <w:rPr>
          <w:rFonts w:eastAsia="Times New Roman" w:cs="Arial"/>
          <w:color w:val="000000"/>
          <w:szCs w:val="20"/>
          <w:lang w:eastAsia="bg-BG"/>
        </w:rPr>
      </w:pPr>
    </w:p>
    <w:p w14:paraId="4BD99517" w14:textId="0E51984D"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Когато АВЕРНОЛ е прилаган едновременно с дилтиазем са наблюдавани изолирани случаи на нарушения в проводимостта (рядко с отражение върху хемодинамиката). Затова, подобно на другите лекарствени продукти с бета- блокиращо действие се налага внимателно проследяване на ЕКГ и артериалното налягане при съвместно приложение е калциеви блокери от верапамилов или дилтиаземов тип. или клас I антиаритмични лекарствени продукти. Тези класове лекарствени продукти не трябва да се прилагат интравенозно на пациенти, приемащи едновременно и АВЕРНОЛ.</w:t>
      </w:r>
    </w:p>
    <w:p w14:paraId="78DB0722" w14:textId="77777777" w:rsidR="00FA246A" w:rsidRPr="00FA246A" w:rsidRDefault="00FA246A" w:rsidP="00FA246A">
      <w:pPr>
        <w:spacing w:line="240" w:lineRule="auto"/>
        <w:rPr>
          <w:rFonts w:eastAsia="Times New Roman" w:cs="Arial"/>
          <w:color w:val="000000"/>
          <w:szCs w:val="20"/>
          <w:lang w:eastAsia="bg-BG"/>
        </w:rPr>
      </w:pPr>
    </w:p>
    <w:p w14:paraId="753983E5" w14:textId="70B55DC3"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Действията на инсулина или пероралните хипогликемизиращи продукти може да се засилят. Затова се препоръчва регулярно проследяване на кръвната глюкоза.</w:t>
      </w:r>
    </w:p>
    <w:p w14:paraId="72374705" w14:textId="77777777" w:rsidR="00FA246A" w:rsidRPr="00FA246A" w:rsidRDefault="00FA246A" w:rsidP="00FA246A">
      <w:pPr>
        <w:spacing w:line="240" w:lineRule="auto"/>
        <w:rPr>
          <w:rFonts w:eastAsia="Times New Roman" w:cs="Arial"/>
          <w:color w:val="000000"/>
          <w:szCs w:val="20"/>
          <w:lang w:eastAsia="bg-BG"/>
        </w:rPr>
      </w:pPr>
    </w:p>
    <w:p w14:paraId="3A85E1A7" w14:textId="05ADA8F4"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 xml:space="preserve">Плазмените пива па дигоксин може да се повишат с приблизително 16% при пациенти с хипертония па едновременно лечение с АВЕРНОЛ и дигоксин. Препоръчва се засилено проследяване на нивата на дигоксин. когато АВЕРНОЛ се започва, титрира или спира. </w:t>
      </w:r>
      <w:r w:rsidRPr="00FA246A">
        <w:rPr>
          <w:rFonts w:eastAsia="Times New Roman" w:cs="Arial"/>
          <w:color w:val="000000"/>
          <w:szCs w:val="20"/>
          <w:lang w:eastAsia="bg-BG"/>
        </w:rPr>
        <w:lastRenderedPageBreak/>
        <w:t xml:space="preserve">Съвместното приложение на АВЕРНОЛ и сърдечни гликозиди може да удължи времето за </w:t>
      </w:r>
      <w:r w:rsidRPr="00FA246A">
        <w:rPr>
          <w:rFonts w:eastAsia="Times New Roman" w:cs="Arial"/>
          <w:color w:val="000000"/>
          <w:szCs w:val="20"/>
          <w:lang w:val="en-US"/>
        </w:rPr>
        <w:t xml:space="preserve">AV </w:t>
      </w:r>
      <w:r w:rsidRPr="00FA246A">
        <w:rPr>
          <w:rFonts w:eastAsia="Times New Roman" w:cs="Arial"/>
          <w:color w:val="000000"/>
          <w:szCs w:val="20"/>
          <w:lang w:eastAsia="bg-BG"/>
        </w:rPr>
        <w:t>провеждане.</w:t>
      </w:r>
    </w:p>
    <w:p w14:paraId="6C1F5603" w14:textId="77777777" w:rsidR="00FA246A" w:rsidRPr="00FA246A" w:rsidRDefault="00FA246A" w:rsidP="00FA246A">
      <w:pPr>
        <w:spacing w:line="240" w:lineRule="auto"/>
        <w:rPr>
          <w:rFonts w:eastAsia="Times New Roman" w:cs="Arial"/>
          <w:color w:val="000000"/>
          <w:szCs w:val="20"/>
          <w:lang w:eastAsia="bg-BG"/>
        </w:rPr>
      </w:pPr>
    </w:p>
    <w:p w14:paraId="6CF34F30" w14:textId="77777777"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Когато съвместното лечение с АВЕРНОЛ и клонидин трябва да се преустанови, първо трябва да се преустанови лечението с АВЕРНОЛ. няколко дни преди постепенното понижение на дозата на клопидина.</w:t>
      </w:r>
    </w:p>
    <w:p w14:paraId="0E371817" w14:textId="77777777" w:rsidR="00FA246A" w:rsidRPr="00FA246A" w:rsidRDefault="00FA246A" w:rsidP="00FA246A">
      <w:pPr>
        <w:spacing w:line="240" w:lineRule="auto"/>
        <w:rPr>
          <w:rFonts w:eastAsia="Times New Roman" w:cs="Arial"/>
          <w:sz w:val="28"/>
          <w:szCs w:val="24"/>
          <w:lang w:eastAsia="bg-BG"/>
        </w:rPr>
      </w:pPr>
    </w:p>
    <w:p w14:paraId="3D273AE3" w14:textId="4D31E550" w:rsidR="00FA246A" w:rsidRPr="00FA246A" w:rsidRDefault="00FA246A" w:rsidP="00FA246A">
      <w:pPr>
        <w:spacing w:line="240" w:lineRule="auto"/>
        <w:rPr>
          <w:rFonts w:eastAsia="Times New Roman" w:cs="Arial"/>
          <w:sz w:val="28"/>
          <w:szCs w:val="24"/>
          <w:lang w:eastAsia="bg-BG"/>
        </w:rPr>
      </w:pPr>
      <w:r w:rsidRPr="00FA246A">
        <w:rPr>
          <w:rFonts w:eastAsia="Times New Roman" w:cs="Arial"/>
          <w:color w:val="000000"/>
          <w:szCs w:val="20"/>
          <w:lang w:eastAsia="bg-BG"/>
        </w:rPr>
        <w:t>Необходимо е внимание при пациенти, получаващи индуктори на оксидазите със смесено действие (например, рифампицин), тъй като серумните нива на карведилол може да бъдат намалени, или при пациенти, получаващи инхибитори на оксидазите със смесено действие (например, циметидин). тъй като серумните нива на карведилол може да се повишат.</w:t>
      </w:r>
    </w:p>
    <w:p w14:paraId="250AE537" w14:textId="77777777" w:rsidR="00FA246A" w:rsidRPr="00FA246A" w:rsidRDefault="00FA246A" w:rsidP="00FA246A">
      <w:pPr>
        <w:spacing w:line="240" w:lineRule="auto"/>
        <w:rPr>
          <w:rFonts w:eastAsia="Times New Roman" w:cs="Arial"/>
          <w:sz w:val="28"/>
          <w:szCs w:val="24"/>
          <w:lang w:eastAsia="bg-BG"/>
        </w:rPr>
      </w:pPr>
    </w:p>
    <w:p w14:paraId="667F2B42" w14:textId="17F17319" w:rsidR="00FA246A" w:rsidRDefault="00FA246A" w:rsidP="00FA246A">
      <w:pPr>
        <w:rPr>
          <w:rFonts w:eastAsia="Times New Roman" w:cs="Arial"/>
          <w:color w:val="000000"/>
          <w:szCs w:val="20"/>
          <w:lang w:eastAsia="bg-BG"/>
        </w:rPr>
      </w:pPr>
      <w:r w:rsidRPr="00FA246A">
        <w:rPr>
          <w:rFonts w:eastAsia="Times New Roman" w:cs="Arial"/>
          <w:color w:val="000000"/>
          <w:szCs w:val="20"/>
          <w:lang w:eastAsia="bg-BG"/>
        </w:rPr>
        <w:t>По време на обща анестезия е необходимо внимание към потенциалните негативни инотропни ефекти на карведилол и анестетиците.</w:t>
      </w:r>
    </w:p>
    <w:p w14:paraId="24D9343D" w14:textId="3BB5DDCE" w:rsidR="00FA246A" w:rsidRDefault="00FA246A" w:rsidP="00FA246A">
      <w:pPr>
        <w:rPr>
          <w:rFonts w:eastAsia="Times New Roman" w:cs="Arial"/>
          <w:color w:val="000000"/>
          <w:szCs w:val="20"/>
          <w:lang w:eastAsia="bg-BG"/>
        </w:rPr>
      </w:pPr>
    </w:p>
    <w:p w14:paraId="13A1A4A2" w14:textId="4FEF72C4" w:rsidR="00FA246A" w:rsidRDefault="00FA246A" w:rsidP="00FA246A">
      <w:pPr>
        <w:rPr>
          <w:szCs w:val="20"/>
        </w:rPr>
      </w:pPr>
      <w:r w:rsidRPr="00FA246A">
        <w:rPr>
          <w:szCs w:val="20"/>
        </w:rPr>
        <w:t>Леко повишение в средните концентрации на циклоспорин е наблюдавано след започване на лечение с карведилол при 21 пациенти с бъбречна трансплантация, страдащи от хронично съдово отхвърляне. При около 30 % от пациентите, дозата на циклоспорина е трябвало да се намали, за да се поддържа концентрация на циклоспорин в терапевтични граници, докато при останалите не се е наложила промяна на дозата. Средно дозата на циклоспорин е намалена с около 20 % при тези пациенти. Поради голяма интериндивидуална вариабилност при адаптиране на необходимата доза се препоръчва концентрациите па циклоспорин да се проследяват стриктно след започване на лечение с карведилол и ако е необходимо да се променя дозата на циклоспорина.</w:t>
      </w:r>
    </w:p>
    <w:p w14:paraId="3012A72A" w14:textId="77777777" w:rsidR="00DC3050" w:rsidRPr="00FA246A" w:rsidRDefault="00DC3050" w:rsidP="00FA246A">
      <w:pPr>
        <w:rPr>
          <w:szCs w:val="20"/>
        </w:rPr>
      </w:pPr>
    </w:p>
    <w:p w14:paraId="394A7584" w14:textId="72CADB09" w:rsidR="004F498A" w:rsidRDefault="002C50EE" w:rsidP="004A448E">
      <w:pPr>
        <w:pStyle w:val="Heading2"/>
      </w:pPr>
      <w:r>
        <w:t>4.6. Фертилитет, бременност и кърмене</w:t>
      </w:r>
    </w:p>
    <w:p w14:paraId="6B41D164" w14:textId="570AE389" w:rsidR="00FA246A" w:rsidRDefault="00FA246A" w:rsidP="00FA246A"/>
    <w:p w14:paraId="2A491946" w14:textId="77777777" w:rsidR="00FA246A" w:rsidRPr="00FA246A" w:rsidRDefault="00FA246A" w:rsidP="00FA246A">
      <w:pPr>
        <w:spacing w:line="240" w:lineRule="auto"/>
        <w:rPr>
          <w:rFonts w:eastAsia="Times New Roman" w:cs="Arial"/>
          <w:lang w:eastAsia="bg-BG"/>
        </w:rPr>
      </w:pPr>
      <w:r w:rsidRPr="00DC3050">
        <w:rPr>
          <w:rStyle w:val="Heading3Char"/>
          <w:u w:val="single"/>
        </w:rPr>
        <w:t xml:space="preserve">Бременност: </w:t>
      </w:r>
      <w:r w:rsidRPr="00FA246A">
        <w:rPr>
          <w:rFonts w:eastAsia="Times New Roman" w:cs="Arial"/>
          <w:color w:val="000000"/>
          <w:lang w:eastAsia="bg-BG"/>
        </w:rPr>
        <w:t>АВЕРНОЛ не трябва да се прилага при бременност или кърмене, освен ако очакваната полза не надвишава възможния риск. Опитът с АВЕРНОЛ при бременни жени е недостатъчен.</w:t>
      </w:r>
    </w:p>
    <w:p w14:paraId="515B64ED" w14:textId="77777777" w:rsidR="00FA246A" w:rsidRPr="00FA246A" w:rsidRDefault="00FA246A" w:rsidP="00FA246A">
      <w:pPr>
        <w:spacing w:line="240" w:lineRule="auto"/>
        <w:rPr>
          <w:rFonts w:eastAsia="Times New Roman" w:cs="Arial"/>
          <w:lang w:eastAsia="bg-BG"/>
        </w:rPr>
      </w:pPr>
      <w:r w:rsidRPr="00FA246A">
        <w:rPr>
          <w:rFonts w:eastAsia="Times New Roman" w:cs="Arial"/>
          <w:color w:val="000000"/>
          <w:lang w:eastAsia="bg-BG"/>
        </w:rPr>
        <w:t xml:space="preserve">Според проучванията при животни няма доказателства АВЕРНОЛ </w:t>
      </w:r>
      <w:r w:rsidRPr="00FA246A">
        <w:rPr>
          <w:rFonts w:eastAsia="Times New Roman" w:cs="Arial"/>
          <w:color w:val="575D77"/>
          <w:lang w:eastAsia="bg-BG"/>
        </w:rPr>
        <w:t xml:space="preserve">да </w:t>
      </w:r>
      <w:r w:rsidRPr="00FA246A">
        <w:rPr>
          <w:rFonts w:eastAsia="Times New Roman" w:cs="Arial"/>
          <w:color w:val="000000"/>
          <w:lang w:eastAsia="bg-BG"/>
        </w:rPr>
        <w:t>има някакво тератогенно действие, а ембриотоксичност е наблюдавана при зайци само след големи дози. Значимостта на тези данни при хората е неустановена. Известно е. че бета-блокерите намаляват плацентарната перфузия. което може да доведе до въпрематочна смърт па фетуса или незрялост и преждевременно раждане. В допълнение, според проучванията при животни карведилол преминава плацентарната бариера и затова трябва да се имат предвид възможните последствия от алфа и бета-блокада за фетуса и новороденото при хора. Подобно на другите алфа и бета-блокиращи агенти, действията включват перинатален и неонатален дистрес (брадикардия, хипотония. респираторна депресия, хипогликемия, хипотермия). Съществува и повишен риск от сърдечни и белодробни усложнения за новороденото през постнаталния период.</w:t>
      </w:r>
    </w:p>
    <w:p w14:paraId="3A3BB16A" w14:textId="77777777" w:rsidR="00FA246A" w:rsidRPr="00FA246A" w:rsidRDefault="00FA246A" w:rsidP="00FA246A">
      <w:pPr>
        <w:rPr>
          <w:rFonts w:eastAsia="Times New Roman" w:cs="Arial"/>
          <w:b/>
          <w:bCs/>
          <w:i/>
          <w:iCs/>
          <w:color w:val="000000"/>
          <w:lang w:eastAsia="bg-BG"/>
        </w:rPr>
      </w:pPr>
    </w:p>
    <w:p w14:paraId="1F11F6C4" w14:textId="77777777" w:rsidR="00FA246A" w:rsidRPr="00FA246A" w:rsidRDefault="00FA246A" w:rsidP="00FA246A">
      <w:pPr>
        <w:rPr>
          <w:rFonts w:eastAsia="Times New Roman" w:cs="Arial"/>
          <w:color w:val="000000"/>
          <w:lang w:eastAsia="bg-BG"/>
        </w:rPr>
      </w:pPr>
      <w:r w:rsidRPr="00DC3050">
        <w:rPr>
          <w:rStyle w:val="Heading3Char"/>
          <w:u w:val="single"/>
        </w:rPr>
        <w:t xml:space="preserve">Кърмене: </w:t>
      </w:r>
      <w:r w:rsidRPr="00FA246A">
        <w:rPr>
          <w:rFonts w:eastAsia="Times New Roman" w:cs="Arial"/>
          <w:color w:val="000000"/>
          <w:lang w:eastAsia="bg-BG"/>
        </w:rPr>
        <w:t xml:space="preserve">Карведилол или неговите метаболити се екскретират в </w:t>
      </w:r>
      <w:r w:rsidRPr="00FA246A">
        <w:rPr>
          <w:rFonts w:eastAsia="Times New Roman" w:cs="Arial"/>
          <w:color w:val="575D77"/>
          <w:lang w:eastAsia="bg-BG"/>
        </w:rPr>
        <w:t xml:space="preserve">кърмата. </w:t>
      </w:r>
      <w:r w:rsidRPr="00FA246A">
        <w:rPr>
          <w:rFonts w:eastAsia="Times New Roman" w:cs="Arial"/>
          <w:color w:val="000000"/>
          <w:lang w:eastAsia="bg-BG"/>
        </w:rPr>
        <w:t>според резултатите от проучвания при животни</w:t>
      </w:r>
      <w:r>
        <w:rPr>
          <w:rFonts w:eastAsia="Times New Roman" w:cs="Arial"/>
          <w:color w:val="000000"/>
          <w:lang w:eastAsia="bg-BG"/>
        </w:rPr>
        <w:t xml:space="preserve">. Не е известно дали карведилол </w:t>
      </w:r>
      <w:r w:rsidRPr="00FA246A">
        <w:rPr>
          <w:szCs w:val="20"/>
        </w:rPr>
        <w:t>се екскретира в кърмата при хора. Затова не се препоръчва кърмене по време на лечение с карведилол.</w:t>
      </w:r>
    </w:p>
    <w:p w14:paraId="57C7E27F" w14:textId="77777777" w:rsidR="00FA246A" w:rsidRPr="00FA246A" w:rsidRDefault="00FA246A" w:rsidP="00FA246A"/>
    <w:p w14:paraId="064DF1DE" w14:textId="0F348D14" w:rsidR="00CF77F7" w:rsidRDefault="002C50EE" w:rsidP="004A448E">
      <w:pPr>
        <w:pStyle w:val="Heading2"/>
      </w:pPr>
      <w:r>
        <w:lastRenderedPageBreak/>
        <w:t>4.7. Ефекти върху способността за шофиране и работа с машини</w:t>
      </w:r>
    </w:p>
    <w:p w14:paraId="6E1503DE" w14:textId="3742400E" w:rsidR="00FA246A" w:rsidRDefault="00FA246A" w:rsidP="00FA246A"/>
    <w:p w14:paraId="03A01BDA" w14:textId="3A30F19F" w:rsidR="00FA246A" w:rsidRDefault="00FA246A" w:rsidP="00FA246A">
      <w:pPr>
        <w:rPr>
          <w:szCs w:val="20"/>
        </w:rPr>
      </w:pPr>
      <w:r w:rsidRPr="00FA246A">
        <w:rPr>
          <w:szCs w:val="20"/>
        </w:rPr>
        <w:t>Пациентите приемащи АВЕРНОЛ или други продукти, водещи до промени в артериалното налягане могат да изпитат замайване или подобни симптоми. В този случай пациентите трябва да избягват да шофират, работят с машини или да вземат участие в дейности, които може да се окажат опасни. Това се отнася особено при започване на лечение, промяна па лечението или при употреба па алкохол.</w:t>
      </w:r>
    </w:p>
    <w:p w14:paraId="02B2312A" w14:textId="77777777" w:rsidR="00A01A1C" w:rsidRPr="00FA246A" w:rsidRDefault="00A01A1C" w:rsidP="00FA246A">
      <w:pPr>
        <w:rPr>
          <w:sz w:val="24"/>
        </w:rPr>
      </w:pPr>
    </w:p>
    <w:p w14:paraId="37A3FD9F" w14:textId="76FEF8F0" w:rsidR="00CF77F7" w:rsidRDefault="002C50EE" w:rsidP="004A448E">
      <w:pPr>
        <w:pStyle w:val="Heading2"/>
      </w:pPr>
      <w:r>
        <w:t>4.8. Нежелани лекарствени реакции</w:t>
      </w:r>
    </w:p>
    <w:p w14:paraId="2EA0FDB5" w14:textId="7131DF98" w:rsidR="00FA246A" w:rsidRDefault="00FA246A" w:rsidP="00FA246A"/>
    <w:p w14:paraId="215BB811" w14:textId="3F5804A5" w:rsidR="00FA246A" w:rsidRDefault="00FA246A" w:rsidP="00FA246A">
      <w:pPr>
        <w:rPr>
          <w:szCs w:val="20"/>
        </w:rPr>
      </w:pPr>
      <w:r w:rsidRPr="00FA246A">
        <w:rPr>
          <w:szCs w:val="20"/>
        </w:rPr>
        <w:t>Нежеланите реакции са посочени отделно за хроничната сърдечна недостатъчност поради разлики в съпътстващите заболявания.</w:t>
      </w:r>
    </w:p>
    <w:p w14:paraId="2EB6F8F2" w14:textId="3C792EEF" w:rsidR="00FA246A" w:rsidRDefault="00FA246A" w:rsidP="00FA246A">
      <w:pPr>
        <w:rPr>
          <w:szCs w:val="20"/>
        </w:rPr>
      </w:pPr>
    </w:p>
    <w:p w14:paraId="100A6A8F" w14:textId="54025A29" w:rsidR="00FA246A" w:rsidRPr="00FA246A" w:rsidRDefault="00FA246A" w:rsidP="00FA246A">
      <w:pPr>
        <w:rPr>
          <w:szCs w:val="20"/>
        </w:rPr>
      </w:pPr>
      <w:r>
        <w:rPr>
          <w:b/>
          <w:bCs/>
          <w:u w:val="single"/>
        </w:rPr>
        <w:t>Хронична сърдечна недостатъчност</w:t>
      </w:r>
    </w:p>
    <w:tbl>
      <w:tblPr>
        <w:tblStyle w:val="TableGrid"/>
        <w:tblW w:w="0" w:type="auto"/>
        <w:tblLook w:val="04A0" w:firstRow="1" w:lastRow="0" w:firstColumn="1" w:lastColumn="0" w:noHBand="0" w:noVBand="1"/>
      </w:tblPr>
      <w:tblGrid>
        <w:gridCol w:w="3111"/>
        <w:gridCol w:w="3097"/>
        <w:gridCol w:w="3142"/>
      </w:tblGrid>
      <w:tr w:rsidR="00FA246A" w14:paraId="6D3A7B02" w14:textId="77777777" w:rsidTr="00FA246A">
        <w:tc>
          <w:tcPr>
            <w:tcW w:w="3166" w:type="dxa"/>
          </w:tcPr>
          <w:p w14:paraId="1FC03FE9" w14:textId="1DCB1E96" w:rsidR="00FA246A" w:rsidRPr="00FA246A" w:rsidRDefault="00FA246A" w:rsidP="00FA246A">
            <w:r w:rsidRPr="00FA246A">
              <w:rPr>
                <w:b/>
                <w:bCs/>
                <w:i/>
                <w:iCs/>
              </w:rPr>
              <w:t>Система</w:t>
            </w:r>
          </w:p>
        </w:tc>
        <w:tc>
          <w:tcPr>
            <w:tcW w:w="3167" w:type="dxa"/>
          </w:tcPr>
          <w:p w14:paraId="2D609E0B" w14:textId="14612CB2" w:rsidR="00FA246A" w:rsidRPr="00FA246A" w:rsidRDefault="00FA246A" w:rsidP="00FA246A">
            <w:r w:rsidRPr="00FA246A">
              <w:rPr>
                <w:b/>
                <w:bCs/>
                <w:i/>
                <w:iCs/>
              </w:rPr>
              <w:t>Честота</w:t>
            </w:r>
          </w:p>
        </w:tc>
        <w:tc>
          <w:tcPr>
            <w:tcW w:w="3167" w:type="dxa"/>
          </w:tcPr>
          <w:p w14:paraId="6E9BE203" w14:textId="6EFC7816" w:rsidR="00FA246A" w:rsidRPr="00FA246A" w:rsidRDefault="00FA246A" w:rsidP="00FA246A">
            <w:r w:rsidRPr="00FA246A">
              <w:rPr>
                <w:b/>
                <w:bCs/>
                <w:i/>
                <w:iCs/>
              </w:rPr>
              <w:t>Нежелани реакции</w:t>
            </w:r>
          </w:p>
        </w:tc>
      </w:tr>
      <w:tr w:rsidR="00FA246A" w14:paraId="532329DB" w14:textId="77777777" w:rsidTr="00FA246A">
        <w:tc>
          <w:tcPr>
            <w:tcW w:w="3166" w:type="dxa"/>
          </w:tcPr>
          <w:p w14:paraId="778DE78C" w14:textId="6697D282" w:rsidR="00FA246A" w:rsidRPr="00FA246A" w:rsidRDefault="00FA246A" w:rsidP="00FA246A">
            <w:r w:rsidRPr="00FA246A">
              <w:t>Хематологични</w:t>
            </w:r>
          </w:p>
        </w:tc>
        <w:tc>
          <w:tcPr>
            <w:tcW w:w="3167" w:type="dxa"/>
          </w:tcPr>
          <w:p w14:paraId="6973C26E" w14:textId="77777777" w:rsidR="00FA246A" w:rsidRPr="00FA246A" w:rsidRDefault="00FA246A" w:rsidP="00FA246A">
            <w:r w:rsidRPr="00FA246A">
              <w:t>Редки</w:t>
            </w:r>
          </w:p>
          <w:p w14:paraId="19F8CE63" w14:textId="18F6E3CF" w:rsidR="00FA246A" w:rsidRPr="00FA246A" w:rsidRDefault="00FA246A" w:rsidP="00FA246A">
            <w:r w:rsidRPr="00FA246A">
              <w:t>Изолирани случаи</w:t>
            </w:r>
          </w:p>
        </w:tc>
        <w:tc>
          <w:tcPr>
            <w:tcW w:w="3167" w:type="dxa"/>
          </w:tcPr>
          <w:p w14:paraId="528E3A9D" w14:textId="77777777" w:rsidR="00FA246A" w:rsidRPr="00FA246A" w:rsidRDefault="00FA246A" w:rsidP="00FA246A">
            <w:r w:rsidRPr="00FA246A">
              <w:t>Тромбоцитоиения</w:t>
            </w:r>
          </w:p>
          <w:p w14:paraId="79126E6C" w14:textId="356B7EA4" w:rsidR="00FA246A" w:rsidRPr="00FA246A" w:rsidRDefault="00FA246A" w:rsidP="00FA246A">
            <w:r w:rsidRPr="00FA246A">
              <w:t>Левкопения</w:t>
            </w:r>
          </w:p>
        </w:tc>
      </w:tr>
      <w:tr w:rsidR="00FA246A" w14:paraId="17C03250" w14:textId="77777777" w:rsidTr="00FA246A">
        <w:tc>
          <w:tcPr>
            <w:tcW w:w="3166" w:type="dxa"/>
          </w:tcPr>
          <w:p w14:paraId="0709A3E2" w14:textId="77E618BD" w:rsidR="00FA246A" w:rsidRPr="00FA246A" w:rsidRDefault="00FA246A" w:rsidP="00FA246A">
            <w:r w:rsidRPr="00FA246A">
              <w:t>Метаболитни</w:t>
            </w:r>
          </w:p>
        </w:tc>
        <w:tc>
          <w:tcPr>
            <w:tcW w:w="3167" w:type="dxa"/>
          </w:tcPr>
          <w:p w14:paraId="51500F95" w14:textId="77777777" w:rsidR="00FA246A" w:rsidRPr="00FA246A" w:rsidRDefault="00FA246A" w:rsidP="00FA246A">
            <w:r w:rsidRPr="00FA246A">
              <w:t>Чести</w:t>
            </w:r>
          </w:p>
          <w:p w14:paraId="7AE3FE9C" w14:textId="77777777" w:rsidR="00A01A1C" w:rsidRDefault="00A01A1C" w:rsidP="00FA246A"/>
          <w:p w14:paraId="5F116A89" w14:textId="77777777" w:rsidR="00A01A1C" w:rsidRDefault="00A01A1C" w:rsidP="00FA246A"/>
          <w:p w14:paraId="17E0C91B" w14:textId="1438B8AC" w:rsidR="00FA246A" w:rsidRPr="00FA246A" w:rsidRDefault="00FA246A" w:rsidP="00FA246A">
            <w:r w:rsidRPr="00FA246A">
              <w:t>Чести при пациенти със съпътстващ захарен диабет</w:t>
            </w:r>
          </w:p>
        </w:tc>
        <w:tc>
          <w:tcPr>
            <w:tcW w:w="3167" w:type="dxa"/>
          </w:tcPr>
          <w:p w14:paraId="2C3F72F4" w14:textId="77777777" w:rsidR="00A01A1C" w:rsidRDefault="00FA246A" w:rsidP="00FA246A">
            <w:r w:rsidRPr="00FA246A">
              <w:t xml:space="preserve">Повишение на теглото Хиперхолестеролемия </w:t>
            </w:r>
          </w:p>
          <w:p w14:paraId="71458CD5" w14:textId="77777777" w:rsidR="00A01A1C" w:rsidRDefault="00A01A1C" w:rsidP="00FA246A"/>
          <w:p w14:paraId="54EF0C3F" w14:textId="1929BD08" w:rsidR="00FA246A" w:rsidRPr="00FA246A" w:rsidRDefault="00FA246A" w:rsidP="00FA246A">
            <w:r w:rsidRPr="00FA246A">
              <w:t>Хипергликемия Хипогликемия</w:t>
            </w:r>
          </w:p>
          <w:p w14:paraId="258FC689" w14:textId="71B5AA78" w:rsidR="00FA246A" w:rsidRPr="00FA246A" w:rsidRDefault="00FA246A" w:rsidP="00FA246A">
            <w:r w:rsidRPr="00FA246A">
              <w:t>Влошен контрол на кръвната глюкоза</w:t>
            </w:r>
          </w:p>
        </w:tc>
      </w:tr>
      <w:tr w:rsidR="00FA246A" w14:paraId="26341FDB" w14:textId="77777777" w:rsidTr="00FA246A">
        <w:tc>
          <w:tcPr>
            <w:tcW w:w="3166" w:type="dxa"/>
          </w:tcPr>
          <w:p w14:paraId="6159B8C6" w14:textId="77777777" w:rsidR="00FA246A" w:rsidRPr="00FA246A" w:rsidRDefault="00FA246A" w:rsidP="00FA246A">
            <w:r w:rsidRPr="00FA246A">
              <w:t>Централна</w:t>
            </w:r>
            <w:r w:rsidRPr="00FA246A">
              <w:tab/>
              <w:t>нервна</w:t>
            </w:r>
          </w:p>
          <w:p w14:paraId="4356F7E9" w14:textId="4A127572" w:rsidR="00FA246A" w:rsidRPr="00FA246A" w:rsidRDefault="00FA246A" w:rsidP="00FA246A">
            <w:r w:rsidRPr="00FA246A">
              <w:t>система</w:t>
            </w:r>
          </w:p>
        </w:tc>
        <w:tc>
          <w:tcPr>
            <w:tcW w:w="3167" w:type="dxa"/>
          </w:tcPr>
          <w:p w14:paraId="7A717F1B" w14:textId="4130775F" w:rsidR="00FA246A" w:rsidRPr="00FA246A" w:rsidRDefault="00FA246A" w:rsidP="00FA246A">
            <w:r w:rsidRPr="00FA246A">
              <w:t>Много чести</w:t>
            </w:r>
          </w:p>
        </w:tc>
        <w:tc>
          <w:tcPr>
            <w:tcW w:w="3167" w:type="dxa"/>
          </w:tcPr>
          <w:p w14:paraId="7B6052FF" w14:textId="77777777" w:rsidR="00FA246A" w:rsidRPr="00FA246A" w:rsidRDefault="00FA246A" w:rsidP="00FA246A">
            <w:r w:rsidRPr="00FA246A">
              <w:t>Замаяност, главоболие. Обикновено леки, те се проявяват в началото на лечението</w:t>
            </w:r>
          </w:p>
          <w:p w14:paraId="6F262A5D" w14:textId="395CF886" w:rsidR="00FA246A" w:rsidRPr="00FA246A" w:rsidRDefault="00FA246A" w:rsidP="00FA246A">
            <w:r w:rsidRPr="00FA246A">
              <w:t>Астения (включително умора).</w:t>
            </w:r>
          </w:p>
        </w:tc>
      </w:tr>
      <w:tr w:rsidR="00FA246A" w14:paraId="066EA229" w14:textId="77777777" w:rsidTr="00FA246A">
        <w:tc>
          <w:tcPr>
            <w:tcW w:w="3166" w:type="dxa"/>
          </w:tcPr>
          <w:p w14:paraId="3EB6F822" w14:textId="77777777" w:rsidR="00FA246A" w:rsidRPr="00FA246A" w:rsidRDefault="00FA246A" w:rsidP="00FA246A">
            <w:r w:rsidRPr="00FA246A">
              <w:t>Сърдечно-съдова</w:t>
            </w:r>
          </w:p>
          <w:p w14:paraId="38B6E7F4" w14:textId="0C5A06D3" w:rsidR="00FA246A" w:rsidRPr="00FA246A" w:rsidRDefault="00FA246A" w:rsidP="00FA246A">
            <w:r w:rsidRPr="00FA246A">
              <w:t>система</w:t>
            </w:r>
          </w:p>
        </w:tc>
        <w:tc>
          <w:tcPr>
            <w:tcW w:w="3167" w:type="dxa"/>
          </w:tcPr>
          <w:p w14:paraId="74C4714A" w14:textId="77777777" w:rsidR="00FA246A" w:rsidRPr="00FA246A" w:rsidRDefault="00FA246A" w:rsidP="00FA246A">
            <w:r w:rsidRPr="00FA246A">
              <w:t>Чести</w:t>
            </w:r>
          </w:p>
          <w:p w14:paraId="6A1690D7" w14:textId="77777777" w:rsidR="00A01A1C" w:rsidRDefault="00A01A1C" w:rsidP="00FA246A"/>
          <w:p w14:paraId="13B4FDB2" w14:textId="77777777" w:rsidR="00A01A1C" w:rsidRDefault="00A01A1C" w:rsidP="00FA246A"/>
          <w:p w14:paraId="2BD43821" w14:textId="77777777" w:rsidR="00A01A1C" w:rsidRDefault="00A01A1C" w:rsidP="00FA246A"/>
          <w:p w14:paraId="73A08EFA" w14:textId="77777777" w:rsidR="00A01A1C" w:rsidRDefault="00A01A1C" w:rsidP="00FA246A"/>
          <w:p w14:paraId="3E4E6CCA" w14:textId="77777777" w:rsidR="00A01A1C" w:rsidRDefault="00A01A1C" w:rsidP="00FA246A"/>
          <w:p w14:paraId="44217CF8" w14:textId="77777777" w:rsidR="00A01A1C" w:rsidRDefault="00A01A1C" w:rsidP="00FA246A"/>
          <w:p w14:paraId="26BA628B" w14:textId="77777777" w:rsidR="00A01A1C" w:rsidRDefault="00A01A1C" w:rsidP="00FA246A"/>
          <w:p w14:paraId="11D316DB" w14:textId="77777777" w:rsidR="00A01A1C" w:rsidRDefault="00A01A1C" w:rsidP="00FA246A"/>
          <w:p w14:paraId="7CF67A70" w14:textId="77777777" w:rsidR="00A01A1C" w:rsidRDefault="00A01A1C" w:rsidP="00FA246A"/>
          <w:p w14:paraId="5BED5BD9" w14:textId="6A208761" w:rsidR="00FA246A" w:rsidRPr="00FA246A" w:rsidRDefault="00FA246A" w:rsidP="00FA246A">
            <w:r w:rsidRPr="00FA246A">
              <w:t>Нечести</w:t>
            </w:r>
          </w:p>
        </w:tc>
        <w:tc>
          <w:tcPr>
            <w:tcW w:w="3167" w:type="dxa"/>
          </w:tcPr>
          <w:p w14:paraId="09DE9D70" w14:textId="77777777" w:rsidR="00FA246A" w:rsidRPr="00FA246A" w:rsidRDefault="00FA246A" w:rsidP="00FA246A">
            <w:r w:rsidRPr="00FA246A">
              <w:t>брадикардия, постурална хипотония, хипотония.</w:t>
            </w:r>
          </w:p>
          <w:p w14:paraId="3C4A7C19" w14:textId="081D314F" w:rsidR="00FA246A" w:rsidRPr="00FA246A" w:rsidRDefault="00FA246A" w:rsidP="00FA246A">
            <w:r w:rsidRPr="00FA246A">
              <w:t>отоци (включително генерализирани, периферни, завис</w:t>
            </w:r>
            <w:r w:rsidR="00A01A1C">
              <w:t xml:space="preserve">ими и генитални отоци, отоци на </w:t>
            </w:r>
            <w:r w:rsidRPr="00FA246A">
              <w:t>краката,</w:t>
            </w:r>
          </w:p>
          <w:p w14:paraId="10879D95" w14:textId="3FEE3394" w:rsidR="00FA246A" w:rsidRPr="00FA246A" w:rsidRDefault="00A01A1C" w:rsidP="00FA246A">
            <w:r>
              <w:t xml:space="preserve">хиперволемия </w:t>
            </w:r>
            <w:r w:rsidR="00FA246A" w:rsidRPr="00FA246A">
              <w:t>и</w:t>
            </w:r>
          </w:p>
          <w:p w14:paraId="2153F024" w14:textId="77777777" w:rsidR="00A01A1C" w:rsidRDefault="00A01A1C" w:rsidP="00FA246A">
            <w:r>
              <w:t xml:space="preserve">задръжка на течности). </w:t>
            </w:r>
          </w:p>
          <w:p w14:paraId="5408B97F" w14:textId="77777777" w:rsidR="00A01A1C" w:rsidRDefault="00A01A1C" w:rsidP="00FA246A"/>
          <w:p w14:paraId="3DB51015" w14:textId="2C304D0D" w:rsidR="00FA246A" w:rsidRPr="00FA246A" w:rsidRDefault="00A01A1C" w:rsidP="00FA246A">
            <w:r>
              <w:t xml:space="preserve">Синкоп </w:t>
            </w:r>
            <w:r w:rsidR="00FA246A" w:rsidRPr="00FA246A">
              <w:t>(включително</w:t>
            </w:r>
          </w:p>
          <w:p w14:paraId="3BE9765D" w14:textId="6636BCE2" w:rsidR="00FA246A" w:rsidRPr="00FA246A" w:rsidRDefault="00FA246A" w:rsidP="00FA246A">
            <w:r w:rsidRPr="00FA246A">
              <w:t xml:space="preserve">пресинкоп). </w:t>
            </w:r>
            <w:r w:rsidRPr="00FA246A">
              <w:rPr>
                <w:lang w:val="en-US"/>
              </w:rPr>
              <w:t>AV</w:t>
            </w:r>
            <w:r w:rsidRPr="00FA246A">
              <w:t>-блок и сърдечна недостатъчност но време на покачване на дозата.</w:t>
            </w:r>
          </w:p>
        </w:tc>
      </w:tr>
      <w:tr w:rsidR="00FA246A" w14:paraId="463F1E63" w14:textId="77777777" w:rsidTr="00DA3359">
        <w:tc>
          <w:tcPr>
            <w:tcW w:w="3166" w:type="dxa"/>
          </w:tcPr>
          <w:p w14:paraId="5D4FA03C" w14:textId="30D07E59" w:rsidR="00FA246A" w:rsidRPr="00FA246A" w:rsidRDefault="00A01A1C" w:rsidP="00A01A1C">
            <w:r>
              <w:t>Га</w:t>
            </w:r>
            <w:r w:rsidR="00FA246A" w:rsidRPr="00FA246A">
              <w:t>сто-интестинална система</w:t>
            </w:r>
          </w:p>
        </w:tc>
        <w:tc>
          <w:tcPr>
            <w:tcW w:w="3167" w:type="dxa"/>
          </w:tcPr>
          <w:p w14:paraId="52C3177B" w14:textId="5C5A7535" w:rsidR="00FA246A" w:rsidRPr="00FA246A" w:rsidRDefault="00FA246A" w:rsidP="00FA246A">
            <w:r w:rsidRPr="00FA246A">
              <w:t>Чести</w:t>
            </w:r>
          </w:p>
        </w:tc>
        <w:tc>
          <w:tcPr>
            <w:tcW w:w="3167" w:type="dxa"/>
            <w:vAlign w:val="bottom"/>
          </w:tcPr>
          <w:p w14:paraId="2168A2ED" w14:textId="79BEBA09" w:rsidR="00FA246A" w:rsidRPr="00FA246A" w:rsidRDefault="00A01A1C" w:rsidP="00FA246A">
            <w:r>
              <w:t xml:space="preserve">гадене, диария </w:t>
            </w:r>
            <w:r w:rsidR="00FA246A" w:rsidRPr="00FA246A">
              <w:t>и</w:t>
            </w:r>
            <w:r>
              <w:t xml:space="preserve"> </w:t>
            </w:r>
            <w:r w:rsidR="00FA246A" w:rsidRPr="00FA246A">
              <w:t>повръщане</w:t>
            </w:r>
          </w:p>
        </w:tc>
      </w:tr>
      <w:tr w:rsidR="00A01A1C" w14:paraId="0B33A8D0" w14:textId="77777777" w:rsidTr="00FA246A">
        <w:tc>
          <w:tcPr>
            <w:tcW w:w="3166" w:type="dxa"/>
          </w:tcPr>
          <w:p w14:paraId="7E7D8FF5" w14:textId="2C2C5CC7" w:rsidR="00A01A1C" w:rsidRPr="00A01A1C" w:rsidRDefault="00A01A1C" w:rsidP="00A01A1C">
            <w:r w:rsidRPr="00A01A1C">
              <w:rPr>
                <w:szCs w:val="20"/>
              </w:rPr>
              <w:lastRenderedPageBreak/>
              <w:t>Кожа и кожни придатъци</w:t>
            </w:r>
          </w:p>
        </w:tc>
        <w:tc>
          <w:tcPr>
            <w:tcW w:w="3167" w:type="dxa"/>
          </w:tcPr>
          <w:p w14:paraId="32089B99" w14:textId="77777777" w:rsidR="00A01A1C" w:rsidRPr="00A01A1C" w:rsidRDefault="00A01A1C" w:rsidP="00A01A1C"/>
        </w:tc>
        <w:tc>
          <w:tcPr>
            <w:tcW w:w="3167" w:type="dxa"/>
          </w:tcPr>
          <w:p w14:paraId="3CEFF72A" w14:textId="77777777" w:rsidR="00A01A1C" w:rsidRPr="00A01A1C" w:rsidRDefault="00A01A1C" w:rsidP="00A01A1C">
            <w:r w:rsidRPr="00A01A1C">
              <w:rPr>
                <w:szCs w:val="20"/>
              </w:rPr>
              <w:t>Дерматит и засилено</w:t>
            </w:r>
          </w:p>
          <w:p w14:paraId="0F45FE26" w14:textId="5CE9DAED" w:rsidR="00A01A1C" w:rsidRPr="00A01A1C" w:rsidRDefault="00A01A1C" w:rsidP="00A01A1C">
            <w:r w:rsidRPr="00A01A1C">
              <w:rPr>
                <w:szCs w:val="20"/>
              </w:rPr>
              <w:t>потене</w:t>
            </w:r>
          </w:p>
        </w:tc>
      </w:tr>
      <w:tr w:rsidR="00A01A1C" w14:paraId="01B1594E" w14:textId="77777777" w:rsidTr="00FA246A">
        <w:tc>
          <w:tcPr>
            <w:tcW w:w="3166" w:type="dxa"/>
          </w:tcPr>
          <w:p w14:paraId="57DFDF18" w14:textId="128099AE" w:rsidR="00A01A1C" w:rsidRPr="00A01A1C" w:rsidRDefault="00A01A1C" w:rsidP="00A01A1C">
            <w:r w:rsidRPr="00A01A1C">
              <w:rPr>
                <w:szCs w:val="20"/>
              </w:rPr>
              <w:t>Други</w:t>
            </w:r>
          </w:p>
        </w:tc>
        <w:tc>
          <w:tcPr>
            <w:tcW w:w="3167" w:type="dxa"/>
          </w:tcPr>
          <w:p w14:paraId="6A946B0B" w14:textId="77777777" w:rsidR="00A01A1C" w:rsidRPr="00A01A1C" w:rsidRDefault="00A01A1C" w:rsidP="00A01A1C">
            <w:r w:rsidRPr="00A01A1C">
              <w:rPr>
                <w:szCs w:val="20"/>
              </w:rPr>
              <w:t>Чести</w:t>
            </w:r>
          </w:p>
          <w:p w14:paraId="0252414C" w14:textId="77777777" w:rsidR="00A01A1C" w:rsidRDefault="00A01A1C" w:rsidP="00A01A1C">
            <w:pPr>
              <w:rPr>
                <w:szCs w:val="20"/>
              </w:rPr>
            </w:pPr>
          </w:p>
          <w:p w14:paraId="427E8A03" w14:textId="066C42FB" w:rsidR="00A01A1C" w:rsidRPr="00A01A1C" w:rsidRDefault="00A01A1C" w:rsidP="00A01A1C">
            <w:r w:rsidRPr="00A01A1C">
              <w:rPr>
                <w:szCs w:val="20"/>
              </w:rPr>
              <w:t>Редки</w:t>
            </w:r>
          </w:p>
        </w:tc>
        <w:tc>
          <w:tcPr>
            <w:tcW w:w="3167" w:type="dxa"/>
          </w:tcPr>
          <w:p w14:paraId="32B445A6" w14:textId="77777777" w:rsidR="00A01A1C" w:rsidRPr="00A01A1C" w:rsidRDefault="00A01A1C" w:rsidP="00A01A1C">
            <w:r w:rsidRPr="00A01A1C">
              <w:rPr>
                <w:szCs w:val="20"/>
              </w:rPr>
              <w:t>Нарушение на зрението.</w:t>
            </w:r>
          </w:p>
          <w:p w14:paraId="12453C3D" w14:textId="77777777" w:rsidR="00A01A1C" w:rsidRDefault="00A01A1C" w:rsidP="00A01A1C">
            <w:pPr>
              <w:rPr>
                <w:szCs w:val="20"/>
              </w:rPr>
            </w:pPr>
          </w:p>
          <w:p w14:paraId="48E0BF9B" w14:textId="289FB73C" w:rsidR="00A01A1C" w:rsidRPr="00A01A1C" w:rsidRDefault="00A01A1C" w:rsidP="00A01A1C">
            <w:r w:rsidRPr="00A01A1C">
              <w:rPr>
                <w:szCs w:val="20"/>
              </w:rPr>
              <w:t>Остра</w:t>
            </w:r>
            <w:r w:rsidRPr="00A01A1C">
              <w:rPr>
                <w:szCs w:val="20"/>
              </w:rPr>
              <w:tab/>
              <w:t>бъбречна</w:t>
            </w:r>
          </w:p>
          <w:p w14:paraId="778DAAC2" w14:textId="2E36C690" w:rsidR="00A01A1C" w:rsidRPr="00A01A1C" w:rsidRDefault="00A01A1C" w:rsidP="00A01A1C">
            <w:r>
              <w:rPr>
                <w:szCs w:val="20"/>
              </w:rPr>
              <w:t xml:space="preserve">Недостатъчност </w:t>
            </w:r>
            <w:r w:rsidRPr="00A01A1C">
              <w:rPr>
                <w:szCs w:val="20"/>
              </w:rPr>
              <w:t>и</w:t>
            </w:r>
            <w:r>
              <w:t xml:space="preserve"> </w:t>
            </w:r>
            <w:r w:rsidRPr="00A01A1C">
              <w:rPr>
                <w:szCs w:val="20"/>
              </w:rPr>
              <w:t>нарушение</w:t>
            </w:r>
            <w:r w:rsidRPr="00A01A1C">
              <w:rPr>
                <w:szCs w:val="20"/>
              </w:rPr>
              <w:tab/>
              <w:t>на</w:t>
            </w:r>
          </w:p>
          <w:p w14:paraId="0B817D52" w14:textId="10DCDC2D" w:rsidR="00A01A1C" w:rsidRPr="00A01A1C" w:rsidRDefault="00A01A1C" w:rsidP="00A01A1C">
            <w:r w:rsidRPr="00A01A1C">
              <w:rPr>
                <w:szCs w:val="20"/>
              </w:rPr>
              <w:t>бъбречната функция при пациенти с дифузно съдово заболяване и/или бъбречна недостатъчност</w:t>
            </w:r>
          </w:p>
        </w:tc>
      </w:tr>
    </w:tbl>
    <w:p w14:paraId="2A558332" w14:textId="0914C7EA" w:rsidR="00FA246A" w:rsidRDefault="00FA246A" w:rsidP="00FA246A"/>
    <w:p w14:paraId="64B26162" w14:textId="77777777" w:rsidR="00A01A1C" w:rsidRPr="00A01A1C" w:rsidRDefault="00A01A1C" w:rsidP="00A01A1C">
      <w:pPr>
        <w:spacing w:line="240" w:lineRule="auto"/>
        <w:rPr>
          <w:rFonts w:eastAsia="Times New Roman" w:cs="Arial"/>
          <w:lang w:eastAsia="bg-BG"/>
        </w:rPr>
      </w:pPr>
      <w:r w:rsidRPr="00A01A1C">
        <w:rPr>
          <w:rFonts w:eastAsia="Times New Roman" w:cs="Arial"/>
          <w:color w:val="000000"/>
          <w:lang w:eastAsia="bg-BG"/>
        </w:rPr>
        <w:t>Честотата на нежеланите реакции не е дозозависима, с изключение на замайването, нарушенията на зрението и брадикардията.</w:t>
      </w:r>
    </w:p>
    <w:p w14:paraId="65A28914" w14:textId="77777777" w:rsidR="00A01A1C" w:rsidRPr="00A01A1C" w:rsidRDefault="00A01A1C" w:rsidP="00A01A1C">
      <w:pPr>
        <w:spacing w:line="240" w:lineRule="auto"/>
        <w:rPr>
          <w:rFonts w:eastAsia="Times New Roman" w:cs="Arial"/>
          <w:b/>
          <w:bCs/>
          <w:color w:val="000000"/>
          <w:u w:val="single"/>
          <w:lang w:eastAsia="bg-BG"/>
        </w:rPr>
      </w:pPr>
    </w:p>
    <w:p w14:paraId="2A4EC864" w14:textId="2CA589C1" w:rsidR="00A01A1C" w:rsidRPr="00A01A1C" w:rsidRDefault="00A01A1C" w:rsidP="00A01A1C">
      <w:pPr>
        <w:spacing w:line="240" w:lineRule="auto"/>
        <w:rPr>
          <w:rFonts w:eastAsia="Times New Roman" w:cs="Arial"/>
          <w:lang w:eastAsia="bg-BG"/>
        </w:rPr>
      </w:pPr>
      <w:r w:rsidRPr="00A01A1C">
        <w:rPr>
          <w:rFonts w:eastAsia="Times New Roman" w:cs="Arial"/>
          <w:b/>
          <w:bCs/>
          <w:color w:val="000000"/>
          <w:u w:val="single"/>
          <w:lang w:eastAsia="bg-BG"/>
        </w:rPr>
        <w:t>При хипертония и стенокардия:</w:t>
      </w:r>
    </w:p>
    <w:p w14:paraId="4E35732F" w14:textId="77777777" w:rsidR="00A01A1C" w:rsidRPr="00A01A1C" w:rsidRDefault="00A01A1C" w:rsidP="00A01A1C">
      <w:pPr>
        <w:rPr>
          <w:rFonts w:eastAsia="Times New Roman" w:cs="Arial"/>
          <w:color w:val="000000"/>
          <w:lang w:eastAsia="bg-BG"/>
        </w:rPr>
      </w:pPr>
    </w:p>
    <w:p w14:paraId="7D462390" w14:textId="2771A78C" w:rsidR="00A01A1C" w:rsidRPr="00A01A1C" w:rsidRDefault="00A01A1C" w:rsidP="00A01A1C">
      <w:pPr>
        <w:rPr>
          <w:rFonts w:cs="Arial"/>
        </w:rPr>
      </w:pPr>
      <w:r w:rsidRPr="00A01A1C">
        <w:rPr>
          <w:rFonts w:eastAsia="Times New Roman" w:cs="Arial"/>
          <w:color w:val="000000"/>
          <w:lang w:eastAsia="bg-BG"/>
        </w:rPr>
        <w:t>Профилът е подобен на този, наблюдаван при хронична сърдечна недостатъчност, въпреки че честотата на реакциите е като цяло по-ниска при пациентите с хипертония или стенокардия, лекувани с АВЕРНОЛ.</w:t>
      </w:r>
    </w:p>
    <w:p w14:paraId="1BD724EB" w14:textId="140BAE23" w:rsidR="00FA246A" w:rsidRDefault="00FA246A" w:rsidP="00FA246A"/>
    <w:tbl>
      <w:tblPr>
        <w:tblStyle w:val="TableGrid"/>
        <w:tblW w:w="0" w:type="auto"/>
        <w:tblLook w:val="04A0" w:firstRow="1" w:lastRow="0" w:firstColumn="1" w:lastColumn="0" w:noHBand="0" w:noVBand="1"/>
      </w:tblPr>
      <w:tblGrid>
        <w:gridCol w:w="3116"/>
        <w:gridCol w:w="3117"/>
        <w:gridCol w:w="3117"/>
      </w:tblGrid>
      <w:tr w:rsidR="00953E3B" w14:paraId="1C6E3FED" w14:textId="77777777" w:rsidTr="00953E3B">
        <w:tc>
          <w:tcPr>
            <w:tcW w:w="3116" w:type="dxa"/>
          </w:tcPr>
          <w:p w14:paraId="1F006AAF" w14:textId="217762F5" w:rsidR="00953E3B" w:rsidRPr="00E94397" w:rsidRDefault="00953E3B" w:rsidP="00953E3B">
            <w:pPr>
              <w:rPr>
                <w:rFonts w:cs="Arial"/>
              </w:rPr>
            </w:pPr>
            <w:r w:rsidRPr="00E94397">
              <w:rPr>
                <w:rFonts w:cs="Arial"/>
                <w:b/>
                <w:bCs/>
                <w:i/>
                <w:iCs/>
              </w:rPr>
              <w:t>Система</w:t>
            </w:r>
          </w:p>
        </w:tc>
        <w:tc>
          <w:tcPr>
            <w:tcW w:w="3117" w:type="dxa"/>
          </w:tcPr>
          <w:p w14:paraId="6E09798A" w14:textId="7C1C10B1" w:rsidR="00953E3B" w:rsidRPr="00E94397" w:rsidRDefault="00953E3B" w:rsidP="00953E3B">
            <w:pPr>
              <w:rPr>
                <w:rFonts w:cs="Arial"/>
              </w:rPr>
            </w:pPr>
            <w:r w:rsidRPr="00E94397">
              <w:rPr>
                <w:rFonts w:cs="Arial"/>
                <w:b/>
                <w:bCs/>
                <w:i/>
                <w:iCs/>
              </w:rPr>
              <w:t>Честота</w:t>
            </w:r>
          </w:p>
        </w:tc>
        <w:tc>
          <w:tcPr>
            <w:tcW w:w="3117" w:type="dxa"/>
          </w:tcPr>
          <w:p w14:paraId="7C888549" w14:textId="262FAA4C" w:rsidR="00953E3B" w:rsidRPr="00E94397" w:rsidRDefault="00953E3B" w:rsidP="00953E3B">
            <w:pPr>
              <w:rPr>
                <w:rFonts w:cs="Arial"/>
              </w:rPr>
            </w:pPr>
            <w:r w:rsidRPr="00E94397">
              <w:rPr>
                <w:rFonts w:cs="Arial"/>
                <w:b/>
                <w:bCs/>
                <w:i/>
                <w:iCs/>
              </w:rPr>
              <w:t>Нежелани реакции</w:t>
            </w:r>
          </w:p>
        </w:tc>
      </w:tr>
      <w:tr w:rsidR="00953E3B" w14:paraId="02A18515" w14:textId="77777777" w:rsidTr="00953E3B">
        <w:tc>
          <w:tcPr>
            <w:tcW w:w="3116" w:type="dxa"/>
          </w:tcPr>
          <w:p w14:paraId="6CBD4CB3" w14:textId="77777777" w:rsidR="00953E3B" w:rsidRPr="00E94397" w:rsidRDefault="00953E3B" w:rsidP="00953E3B">
            <w:pPr>
              <w:rPr>
                <w:rFonts w:cs="Arial"/>
              </w:rPr>
            </w:pPr>
            <w:r w:rsidRPr="00E94397">
              <w:rPr>
                <w:rFonts w:cs="Arial"/>
              </w:rPr>
              <w:t>Биохимия</w:t>
            </w:r>
            <w:r w:rsidRPr="00E94397">
              <w:rPr>
                <w:rFonts w:cs="Arial"/>
              </w:rPr>
              <w:tab/>
              <w:t>и</w:t>
            </w:r>
          </w:p>
          <w:p w14:paraId="4C972B0F" w14:textId="35345AED" w:rsidR="00953E3B" w:rsidRPr="00E94397" w:rsidRDefault="00953E3B" w:rsidP="00953E3B">
            <w:pPr>
              <w:rPr>
                <w:rFonts w:cs="Arial"/>
              </w:rPr>
            </w:pPr>
            <w:r w:rsidRPr="00E94397">
              <w:rPr>
                <w:rFonts w:cs="Arial"/>
              </w:rPr>
              <w:t>хематологични</w:t>
            </w:r>
          </w:p>
        </w:tc>
        <w:tc>
          <w:tcPr>
            <w:tcW w:w="3117" w:type="dxa"/>
          </w:tcPr>
          <w:p w14:paraId="5E5BAE9F" w14:textId="3490FF27" w:rsidR="00953E3B" w:rsidRPr="00E94397" w:rsidRDefault="00953E3B" w:rsidP="00953E3B">
            <w:pPr>
              <w:rPr>
                <w:rFonts w:cs="Arial"/>
              </w:rPr>
            </w:pPr>
            <w:r w:rsidRPr="00E94397">
              <w:rPr>
                <w:rFonts w:cs="Arial"/>
              </w:rPr>
              <w:t>Изолирани случаи</w:t>
            </w:r>
          </w:p>
        </w:tc>
        <w:tc>
          <w:tcPr>
            <w:tcW w:w="3117" w:type="dxa"/>
          </w:tcPr>
          <w:p w14:paraId="399958D4" w14:textId="77777777" w:rsidR="00953E3B" w:rsidRPr="00E94397" w:rsidRDefault="00953E3B" w:rsidP="00953E3B">
            <w:pPr>
              <w:rPr>
                <w:rFonts w:cs="Arial"/>
              </w:rPr>
            </w:pPr>
            <w:r w:rsidRPr="00E94397">
              <w:rPr>
                <w:rFonts w:cs="Arial"/>
              </w:rPr>
              <w:t>Промени в серумните трансаминази.</w:t>
            </w:r>
          </w:p>
          <w:p w14:paraId="4AF198CD" w14:textId="77777777" w:rsidR="00953E3B" w:rsidRPr="00E94397" w:rsidRDefault="00953E3B" w:rsidP="00953E3B">
            <w:pPr>
              <w:rPr>
                <w:rFonts w:cs="Arial"/>
              </w:rPr>
            </w:pPr>
            <w:r w:rsidRPr="00E94397">
              <w:rPr>
                <w:rFonts w:cs="Arial"/>
              </w:rPr>
              <w:t>тромбоцитопения</w:t>
            </w:r>
            <w:r w:rsidRPr="00E94397">
              <w:rPr>
                <w:rFonts w:cs="Arial"/>
              </w:rPr>
              <w:tab/>
              <w:t>и</w:t>
            </w:r>
          </w:p>
          <w:p w14:paraId="7E46F13C" w14:textId="317FDDDF" w:rsidR="00953E3B" w:rsidRPr="00E94397" w:rsidRDefault="00953E3B" w:rsidP="00953E3B">
            <w:pPr>
              <w:rPr>
                <w:rFonts w:cs="Arial"/>
              </w:rPr>
            </w:pPr>
            <w:r w:rsidRPr="00E94397">
              <w:rPr>
                <w:rFonts w:cs="Arial"/>
              </w:rPr>
              <w:t>левкопения</w:t>
            </w:r>
          </w:p>
        </w:tc>
      </w:tr>
      <w:tr w:rsidR="00E94397" w14:paraId="1CF36FD6" w14:textId="77777777" w:rsidTr="00A06D49">
        <w:trPr>
          <w:trHeight w:val="2429"/>
        </w:trPr>
        <w:tc>
          <w:tcPr>
            <w:tcW w:w="3116" w:type="dxa"/>
          </w:tcPr>
          <w:p w14:paraId="116F6EFC" w14:textId="77777777" w:rsidR="00E94397" w:rsidRPr="00E94397" w:rsidRDefault="00E94397" w:rsidP="00953E3B">
            <w:pPr>
              <w:rPr>
                <w:rFonts w:cs="Arial"/>
              </w:rPr>
            </w:pPr>
            <w:r w:rsidRPr="00E94397">
              <w:rPr>
                <w:rFonts w:cs="Arial"/>
              </w:rPr>
              <w:t>Централна нервна</w:t>
            </w:r>
          </w:p>
          <w:p w14:paraId="097B3AE4" w14:textId="7B016B25" w:rsidR="00E94397" w:rsidRPr="00E94397" w:rsidRDefault="00E94397" w:rsidP="00953E3B">
            <w:pPr>
              <w:rPr>
                <w:rFonts w:cs="Arial"/>
              </w:rPr>
            </w:pPr>
            <w:r w:rsidRPr="00E94397">
              <w:rPr>
                <w:rFonts w:cs="Arial"/>
              </w:rPr>
              <w:t>система</w:t>
            </w:r>
          </w:p>
        </w:tc>
        <w:tc>
          <w:tcPr>
            <w:tcW w:w="3117" w:type="dxa"/>
          </w:tcPr>
          <w:p w14:paraId="6016B43E" w14:textId="77777777" w:rsidR="00E94397" w:rsidRPr="00E94397" w:rsidRDefault="00E94397" w:rsidP="00953E3B">
            <w:pPr>
              <w:rPr>
                <w:rFonts w:cs="Arial"/>
              </w:rPr>
            </w:pPr>
            <w:r w:rsidRPr="00E94397">
              <w:rPr>
                <w:rFonts w:cs="Arial"/>
              </w:rPr>
              <w:t>Чести</w:t>
            </w:r>
          </w:p>
          <w:p w14:paraId="620D88BC" w14:textId="77777777" w:rsidR="00E94397" w:rsidRDefault="00E94397" w:rsidP="00953E3B">
            <w:pPr>
              <w:rPr>
                <w:rFonts w:cs="Arial"/>
              </w:rPr>
            </w:pPr>
          </w:p>
          <w:p w14:paraId="3C4388D0" w14:textId="77777777" w:rsidR="00E94397" w:rsidRDefault="00E94397" w:rsidP="00953E3B">
            <w:pPr>
              <w:rPr>
                <w:rFonts w:cs="Arial"/>
              </w:rPr>
            </w:pPr>
          </w:p>
          <w:p w14:paraId="05E4585A" w14:textId="77777777" w:rsidR="00E94397" w:rsidRDefault="00E94397" w:rsidP="00953E3B">
            <w:pPr>
              <w:rPr>
                <w:rFonts w:cs="Arial"/>
              </w:rPr>
            </w:pPr>
          </w:p>
          <w:p w14:paraId="241E1E6F" w14:textId="77777777" w:rsidR="00E94397" w:rsidRDefault="00E94397" w:rsidP="00953E3B">
            <w:pPr>
              <w:rPr>
                <w:rFonts w:cs="Arial"/>
              </w:rPr>
            </w:pPr>
          </w:p>
          <w:p w14:paraId="32824278" w14:textId="77777777" w:rsidR="00E94397" w:rsidRDefault="00E94397" w:rsidP="00953E3B">
            <w:pPr>
              <w:rPr>
                <w:rFonts w:cs="Arial"/>
              </w:rPr>
            </w:pPr>
          </w:p>
          <w:p w14:paraId="578F0283" w14:textId="4A3CCDA2" w:rsidR="00E94397" w:rsidRPr="00E94397" w:rsidRDefault="00E94397" w:rsidP="00953E3B">
            <w:pPr>
              <w:rPr>
                <w:rFonts w:cs="Arial"/>
              </w:rPr>
            </w:pPr>
            <w:r w:rsidRPr="00E94397">
              <w:rPr>
                <w:rFonts w:cs="Arial"/>
              </w:rPr>
              <w:t>Нечести</w:t>
            </w:r>
          </w:p>
        </w:tc>
        <w:tc>
          <w:tcPr>
            <w:tcW w:w="3117" w:type="dxa"/>
          </w:tcPr>
          <w:p w14:paraId="280A3D65" w14:textId="77777777" w:rsidR="00E94397" w:rsidRPr="00E94397" w:rsidRDefault="00E94397" w:rsidP="00953E3B">
            <w:pPr>
              <w:rPr>
                <w:rFonts w:cs="Arial"/>
              </w:rPr>
            </w:pPr>
            <w:r w:rsidRPr="00E94397">
              <w:rPr>
                <w:rFonts w:cs="Arial"/>
              </w:rPr>
              <w:t>замаяност, главоболие и</w:t>
            </w:r>
          </w:p>
          <w:p w14:paraId="1BAD27C4" w14:textId="78D6FA64" w:rsidR="00E94397" w:rsidRPr="00E94397" w:rsidRDefault="00E94397" w:rsidP="00953E3B">
            <w:pPr>
              <w:rPr>
                <w:rFonts w:cs="Arial"/>
              </w:rPr>
            </w:pPr>
            <w:r w:rsidRPr="00E94397">
              <w:rPr>
                <w:rFonts w:cs="Arial"/>
              </w:rPr>
              <w:t>умора,</w:t>
            </w:r>
            <w:r w:rsidRPr="00E94397">
              <w:rPr>
                <w:rFonts w:cs="Arial"/>
                <w:lang w:val="en-US"/>
              </w:rPr>
              <w:t xml:space="preserve"> </w:t>
            </w:r>
            <w:r w:rsidRPr="00E94397">
              <w:rPr>
                <w:rFonts w:cs="Arial"/>
              </w:rPr>
              <w:t>които обикновено са</w:t>
            </w:r>
          </w:p>
          <w:p w14:paraId="79F70A8D" w14:textId="7338380C" w:rsidR="00E94397" w:rsidRPr="00E94397" w:rsidRDefault="00E94397" w:rsidP="00953E3B">
            <w:pPr>
              <w:rPr>
                <w:rFonts w:cs="Arial"/>
              </w:rPr>
            </w:pPr>
            <w:r w:rsidRPr="00E94397">
              <w:rPr>
                <w:rFonts w:cs="Arial"/>
              </w:rPr>
              <w:t>леки и</w:t>
            </w:r>
            <w:r w:rsidRPr="00E94397">
              <w:rPr>
                <w:rFonts w:cs="Arial"/>
              </w:rPr>
              <w:tab/>
              <w:t>настъпват</w:t>
            </w:r>
            <w:r w:rsidRPr="00E94397">
              <w:rPr>
                <w:rFonts w:cs="Arial"/>
                <w:lang w:val="en-US"/>
              </w:rPr>
              <w:t xml:space="preserve"> </w:t>
            </w:r>
            <w:r w:rsidRPr="00E94397">
              <w:rPr>
                <w:rFonts w:cs="Arial"/>
              </w:rPr>
              <w:t>обикновено в началото</w:t>
            </w:r>
          </w:p>
          <w:p w14:paraId="4874E038" w14:textId="77777777" w:rsidR="00E94397" w:rsidRDefault="00E94397" w:rsidP="00953E3B">
            <w:pPr>
              <w:rPr>
                <w:rFonts w:cs="Arial"/>
              </w:rPr>
            </w:pPr>
            <w:r w:rsidRPr="00E94397">
              <w:rPr>
                <w:rFonts w:cs="Arial"/>
              </w:rPr>
              <w:t xml:space="preserve">на лечението. </w:t>
            </w:r>
          </w:p>
          <w:p w14:paraId="64713646" w14:textId="77777777" w:rsidR="00E94397" w:rsidRDefault="00E94397" w:rsidP="00953E3B">
            <w:pPr>
              <w:rPr>
                <w:rFonts w:cs="Arial"/>
              </w:rPr>
            </w:pPr>
          </w:p>
          <w:p w14:paraId="24604994" w14:textId="46CA92DE" w:rsidR="00E94397" w:rsidRPr="00E94397" w:rsidRDefault="00E94397" w:rsidP="00953E3B">
            <w:pPr>
              <w:rPr>
                <w:rFonts w:cs="Arial"/>
              </w:rPr>
            </w:pPr>
            <w:r w:rsidRPr="00E94397">
              <w:rPr>
                <w:rFonts w:cs="Arial"/>
              </w:rPr>
              <w:t>Депресивно настроение, нарушения в съня, парестезия, астения</w:t>
            </w:r>
          </w:p>
        </w:tc>
      </w:tr>
      <w:tr w:rsidR="00953E3B" w14:paraId="3D63478A" w14:textId="77777777" w:rsidTr="00953E3B">
        <w:tc>
          <w:tcPr>
            <w:tcW w:w="3116" w:type="dxa"/>
          </w:tcPr>
          <w:p w14:paraId="590C986D" w14:textId="67BD94DA" w:rsidR="00953E3B" w:rsidRPr="00E94397" w:rsidRDefault="00953E3B" w:rsidP="00953E3B">
            <w:pPr>
              <w:rPr>
                <w:rFonts w:cs="Arial"/>
              </w:rPr>
            </w:pPr>
            <w:r w:rsidRPr="00E94397">
              <w:rPr>
                <w:rFonts w:cs="Arial"/>
              </w:rPr>
              <w:t>Метаболитни</w:t>
            </w:r>
          </w:p>
        </w:tc>
        <w:tc>
          <w:tcPr>
            <w:tcW w:w="3117" w:type="dxa"/>
          </w:tcPr>
          <w:p w14:paraId="53407812" w14:textId="77777777" w:rsidR="00953E3B" w:rsidRPr="00E94397" w:rsidRDefault="00953E3B" w:rsidP="00953E3B">
            <w:pPr>
              <w:rPr>
                <w:rFonts w:cs="Arial"/>
              </w:rPr>
            </w:pPr>
          </w:p>
        </w:tc>
        <w:tc>
          <w:tcPr>
            <w:tcW w:w="3117" w:type="dxa"/>
          </w:tcPr>
          <w:p w14:paraId="6B4B28A6" w14:textId="77777777" w:rsidR="00953E3B" w:rsidRPr="00E94397" w:rsidRDefault="00953E3B" w:rsidP="00953E3B">
            <w:pPr>
              <w:rPr>
                <w:rFonts w:cs="Arial"/>
              </w:rPr>
            </w:pPr>
          </w:p>
        </w:tc>
      </w:tr>
      <w:tr w:rsidR="00953E3B" w14:paraId="5DA314AC" w14:textId="77777777" w:rsidTr="00953E3B">
        <w:tc>
          <w:tcPr>
            <w:tcW w:w="3116" w:type="dxa"/>
          </w:tcPr>
          <w:p w14:paraId="47EC624D" w14:textId="77777777" w:rsidR="00953E3B" w:rsidRPr="00E94397" w:rsidRDefault="00953E3B" w:rsidP="00953E3B">
            <w:pPr>
              <w:rPr>
                <w:rFonts w:cs="Arial"/>
              </w:rPr>
            </w:pPr>
            <w:r w:rsidRPr="00E94397">
              <w:rPr>
                <w:rFonts w:cs="Arial"/>
              </w:rPr>
              <w:t>Сърдечно-съдова</w:t>
            </w:r>
          </w:p>
          <w:p w14:paraId="24BC4DE1" w14:textId="5284109E" w:rsidR="00953E3B" w:rsidRPr="00E94397" w:rsidRDefault="00953E3B" w:rsidP="00953E3B">
            <w:pPr>
              <w:rPr>
                <w:rFonts w:cs="Arial"/>
              </w:rPr>
            </w:pPr>
            <w:r w:rsidRPr="00E94397">
              <w:rPr>
                <w:rFonts w:cs="Arial"/>
              </w:rPr>
              <w:t>система</w:t>
            </w:r>
          </w:p>
        </w:tc>
        <w:tc>
          <w:tcPr>
            <w:tcW w:w="3117" w:type="dxa"/>
          </w:tcPr>
          <w:p w14:paraId="2F7E65C6" w14:textId="77777777" w:rsidR="00953E3B" w:rsidRPr="00E94397" w:rsidRDefault="00953E3B" w:rsidP="00953E3B">
            <w:pPr>
              <w:rPr>
                <w:rFonts w:cs="Arial"/>
              </w:rPr>
            </w:pPr>
            <w:r w:rsidRPr="00E94397">
              <w:rPr>
                <w:rFonts w:cs="Arial"/>
              </w:rPr>
              <w:t>Чести</w:t>
            </w:r>
          </w:p>
          <w:p w14:paraId="4F2C6374" w14:textId="77777777" w:rsidR="00953E3B" w:rsidRPr="00E94397" w:rsidRDefault="00953E3B" w:rsidP="00953E3B">
            <w:pPr>
              <w:rPr>
                <w:rFonts w:cs="Arial"/>
              </w:rPr>
            </w:pPr>
          </w:p>
          <w:p w14:paraId="3E453454" w14:textId="77777777" w:rsidR="00953E3B" w:rsidRPr="00E94397" w:rsidRDefault="00953E3B" w:rsidP="00953E3B">
            <w:pPr>
              <w:rPr>
                <w:rFonts w:cs="Arial"/>
              </w:rPr>
            </w:pPr>
          </w:p>
          <w:p w14:paraId="03052979" w14:textId="77777777" w:rsidR="00953E3B" w:rsidRPr="00E94397" w:rsidRDefault="00953E3B" w:rsidP="00953E3B">
            <w:pPr>
              <w:rPr>
                <w:rFonts w:cs="Arial"/>
              </w:rPr>
            </w:pPr>
          </w:p>
          <w:p w14:paraId="670474EC" w14:textId="7FF55D31" w:rsidR="00953E3B" w:rsidRPr="00E94397" w:rsidRDefault="00953E3B" w:rsidP="00953E3B">
            <w:pPr>
              <w:rPr>
                <w:rFonts w:cs="Arial"/>
              </w:rPr>
            </w:pPr>
            <w:r w:rsidRPr="00E94397">
              <w:rPr>
                <w:rFonts w:cs="Arial"/>
              </w:rPr>
              <w:t>Нечести</w:t>
            </w:r>
          </w:p>
        </w:tc>
        <w:tc>
          <w:tcPr>
            <w:tcW w:w="3117" w:type="dxa"/>
          </w:tcPr>
          <w:p w14:paraId="3F4E538F" w14:textId="77777777" w:rsidR="00953E3B" w:rsidRPr="00E94397" w:rsidRDefault="00953E3B" w:rsidP="00953E3B">
            <w:pPr>
              <w:rPr>
                <w:rFonts w:cs="Arial"/>
              </w:rPr>
            </w:pPr>
            <w:r w:rsidRPr="00E94397">
              <w:rPr>
                <w:rFonts w:cs="Arial"/>
              </w:rPr>
              <w:t>Брадикардия. посту</w:t>
            </w:r>
            <w:r w:rsidRPr="00E94397">
              <w:rPr>
                <w:rFonts w:cs="Arial"/>
                <w:lang w:val="en-US"/>
              </w:rPr>
              <w:t>pa</w:t>
            </w:r>
            <w:r w:rsidRPr="00E94397">
              <w:rPr>
                <w:rFonts w:cs="Arial"/>
              </w:rPr>
              <w:t>лн</w:t>
            </w:r>
            <w:r w:rsidRPr="00E94397">
              <w:rPr>
                <w:rFonts w:cs="Arial"/>
                <w:lang w:val="en-US"/>
              </w:rPr>
              <w:t xml:space="preserve">a </w:t>
            </w:r>
            <w:r w:rsidRPr="00E94397">
              <w:rPr>
                <w:rFonts w:cs="Arial"/>
              </w:rPr>
              <w:t>хииотония. особено в началото на лечението.</w:t>
            </w:r>
          </w:p>
          <w:p w14:paraId="7EEBF7D6" w14:textId="77777777" w:rsidR="00953E3B" w:rsidRPr="00E94397" w:rsidRDefault="00953E3B" w:rsidP="00953E3B">
            <w:pPr>
              <w:rPr>
                <w:rFonts w:cs="Arial"/>
              </w:rPr>
            </w:pPr>
          </w:p>
          <w:p w14:paraId="3AE85F21" w14:textId="36D75BDD" w:rsidR="00953E3B" w:rsidRPr="00E94397" w:rsidRDefault="00953E3B" w:rsidP="00953E3B">
            <w:pPr>
              <w:rPr>
                <w:rFonts w:cs="Arial"/>
              </w:rPr>
            </w:pPr>
            <w:r w:rsidRPr="00E94397">
              <w:rPr>
                <w:rFonts w:cs="Arial"/>
              </w:rPr>
              <w:t>Синкоп, хипотония.</w:t>
            </w:r>
          </w:p>
          <w:p w14:paraId="7F964815" w14:textId="3F891ACA" w:rsidR="00953E3B" w:rsidRPr="00E94397" w:rsidRDefault="00953E3B" w:rsidP="00953E3B">
            <w:pPr>
              <w:rPr>
                <w:rFonts w:cs="Arial"/>
              </w:rPr>
            </w:pPr>
            <w:r w:rsidRPr="00E94397">
              <w:rPr>
                <w:rFonts w:cs="Arial"/>
              </w:rPr>
              <w:t>периферни циркулаторни нарушения (студени</w:t>
            </w:r>
          </w:p>
          <w:p w14:paraId="43583854" w14:textId="108131CA" w:rsidR="00953E3B" w:rsidRPr="00E94397" w:rsidRDefault="00953E3B" w:rsidP="00953E3B">
            <w:pPr>
              <w:rPr>
                <w:rFonts w:cs="Arial"/>
              </w:rPr>
            </w:pPr>
            <w:r w:rsidRPr="00E94397">
              <w:rPr>
                <w:rFonts w:cs="Arial"/>
              </w:rPr>
              <w:t xml:space="preserve">крайници. </w:t>
            </w:r>
            <w:r w:rsidRPr="00E94397">
              <w:rPr>
                <w:rFonts w:cs="Arial"/>
                <w:lang w:val="en-US"/>
              </w:rPr>
              <w:t>PVD),</w:t>
            </w:r>
          </w:p>
          <w:p w14:paraId="2A75BB2B" w14:textId="1500013F" w:rsidR="00953E3B" w:rsidRPr="00E94397" w:rsidRDefault="00953E3B" w:rsidP="00953E3B">
            <w:pPr>
              <w:rPr>
                <w:rFonts w:cs="Arial"/>
              </w:rPr>
            </w:pPr>
            <w:r w:rsidRPr="00E94397">
              <w:rPr>
                <w:rFonts w:cs="Arial"/>
              </w:rPr>
              <w:t>обостряне на</w:t>
            </w:r>
          </w:p>
          <w:p w14:paraId="019A337F" w14:textId="458C1B79" w:rsidR="00953E3B" w:rsidRPr="00E94397" w:rsidRDefault="00953E3B" w:rsidP="00953E3B">
            <w:pPr>
              <w:rPr>
                <w:rFonts w:cs="Arial"/>
              </w:rPr>
            </w:pPr>
            <w:r w:rsidRPr="00E94397">
              <w:rPr>
                <w:rFonts w:cs="Arial"/>
              </w:rPr>
              <w:lastRenderedPageBreak/>
              <w:t xml:space="preserve">интермитентно клаудикацио и болест на Рейно). </w:t>
            </w:r>
            <w:r w:rsidRPr="00E94397">
              <w:rPr>
                <w:rFonts w:cs="Arial"/>
                <w:lang w:val="en-US"/>
              </w:rPr>
              <w:t>AV</w:t>
            </w:r>
            <w:r w:rsidRPr="00E94397">
              <w:rPr>
                <w:rFonts w:cs="Arial"/>
              </w:rPr>
              <w:t>-блок.</w:t>
            </w:r>
          </w:p>
          <w:p w14:paraId="13B63E92" w14:textId="77777777" w:rsidR="00953E3B" w:rsidRPr="00E94397" w:rsidRDefault="00953E3B" w:rsidP="00953E3B">
            <w:pPr>
              <w:rPr>
                <w:rFonts w:cs="Arial"/>
              </w:rPr>
            </w:pPr>
            <w:r w:rsidRPr="00E94397">
              <w:rPr>
                <w:rFonts w:cs="Arial"/>
              </w:rPr>
              <w:t>стенокардия (включително болка в гръдния кош), симптоми на</w:t>
            </w:r>
            <w:r w:rsidRPr="00E94397">
              <w:rPr>
                <w:rFonts w:cs="Arial"/>
              </w:rPr>
              <w:tab/>
              <w:t>сърдечна</w:t>
            </w:r>
          </w:p>
          <w:p w14:paraId="518B19B1" w14:textId="7A89BCEE" w:rsidR="00953E3B" w:rsidRPr="00E94397" w:rsidRDefault="00953E3B" w:rsidP="00953E3B">
            <w:pPr>
              <w:rPr>
                <w:rFonts w:cs="Arial"/>
              </w:rPr>
            </w:pPr>
            <w:r w:rsidRPr="00E94397">
              <w:rPr>
                <w:rFonts w:cs="Arial"/>
              </w:rPr>
              <w:t>недостатъчност и</w:t>
            </w:r>
          </w:p>
          <w:p w14:paraId="310666D0" w14:textId="6065788C" w:rsidR="00953E3B" w:rsidRPr="00E94397" w:rsidRDefault="00953E3B" w:rsidP="00953E3B">
            <w:pPr>
              <w:rPr>
                <w:rFonts w:cs="Arial"/>
              </w:rPr>
            </w:pPr>
            <w:r w:rsidRPr="00E94397">
              <w:rPr>
                <w:rFonts w:cs="Arial"/>
              </w:rPr>
              <w:t>периферни отоци.</w:t>
            </w:r>
          </w:p>
        </w:tc>
      </w:tr>
      <w:tr w:rsidR="00E94397" w14:paraId="6853E40F" w14:textId="77777777" w:rsidTr="0060355B">
        <w:trPr>
          <w:trHeight w:val="1150"/>
        </w:trPr>
        <w:tc>
          <w:tcPr>
            <w:tcW w:w="3116" w:type="dxa"/>
          </w:tcPr>
          <w:p w14:paraId="7B260B09"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lastRenderedPageBreak/>
              <w:t>Дихателна система</w:t>
            </w:r>
          </w:p>
          <w:p w14:paraId="545D05E4" w14:textId="56CB4529" w:rsidR="00E94397" w:rsidRPr="00E94397" w:rsidRDefault="00E94397" w:rsidP="00953E3B">
            <w:pPr>
              <w:rPr>
                <w:rFonts w:cs="Arial"/>
              </w:rPr>
            </w:pPr>
          </w:p>
        </w:tc>
        <w:tc>
          <w:tcPr>
            <w:tcW w:w="3117" w:type="dxa"/>
          </w:tcPr>
          <w:p w14:paraId="0DCDE31A"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Чести</w:t>
            </w:r>
          </w:p>
          <w:p w14:paraId="3F8794B1" w14:textId="77777777" w:rsidR="00E94397" w:rsidRPr="00E94397" w:rsidRDefault="00E94397" w:rsidP="00953E3B">
            <w:pPr>
              <w:spacing w:line="240" w:lineRule="auto"/>
              <w:rPr>
                <w:rFonts w:eastAsia="Times New Roman" w:cs="Arial"/>
                <w:color w:val="000000"/>
                <w:lang w:eastAsia="bg-BG"/>
              </w:rPr>
            </w:pPr>
          </w:p>
          <w:p w14:paraId="36AAA700" w14:textId="77777777" w:rsidR="00E94397" w:rsidRPr="00E94397" w:rsidRDefault="00E94397" w:rsidP="00953E3B">
            <w:pPr>
              <w:spacing w:line="240" w:lineRule="auto"/>
              <w:rPr>
                <w:rFonts w:eastAsia="Times New Roman" w:cs="Arial"/>
                <w:color w:val="000000"/>
                <w:lang w:eastAsia="bg-BG"/>
              </w:rPr>
            </w:pPr>
          </w:p>
          <w:p w14:paraId="4A9B0AC4" w14:textId="4F602650"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Редки</w:t>
            </w:r>
          </w:p>
          <w:p w14:paraId="0FB7DBE4" w14:textId="5897E8CF" w:rsidR="00E94397" w:rsidRPr="00E94397" w:rsidRDefault="00E94397" w:rsidP="00FA246A">
            <w:pPr>
              <w:rPr>
                <w:rFonts w:cs="Arial"/>
              </w:rPr>
            </w:pPr>
          </w:p>
        </w:tc>
        <w:tc>
          <w:tcPr>
            <w:tcW w:w="3117" w:type="dxa"/>
          </w:tcPr>
          <w:p w14:paraId="463730EE" w14:textId="77777777" w:rsidR="00E94397" w:rsidRPr="00E94397" w:rsidRDefault="00E94397" w:rsidP="00953E3B">
            <w:pPr>
              <w:spacing w:line="240" w:lineRule="auto"/>
              <w:rPr>
                <w:rFonts w:eastAsia="Times New Roman" w:cs="Arial"/>
                <w:color w:val="000000"/>
                <w:lang w:eastAsia="bg-BG"/>
              </w:rPr>
            </w:pPr>
            <w:r w:rsidRPr="00E94397">
              <w:rPr>
                <w:rFonts w:eastAsia="Times New Roman" w:cs="Arial"/>
                <w:color w:val="000000"/>
                <w:lang w:eastAsia="bg-BG"/>
              </w:rPr>
              <w:t xml:space="preserve">Астма и диспнея при пациенти </w:t>
            </w:r>
            <w:r w:rsidRPr="00953E3B">
              <w:rPr>
                <w:rFonts w:eastAsia="Times New Roman" w:cs="Arial"/>
                <w:color w:val="000000"/>
                <w:lang w:eastAsia="bg-BG"/>
              </w:rPr>
              <w:t>с</w:t>
            </w:r>
            <w:r w:rsidRPr="00E94397">
              <w:rPr>
                <w:rFonts w:eastAsia="Times New Roman" w:cs="Arial"/>
                <w:lang w:eastAsia="bg-BG"/>
              </w:rPr>
              <w:t xml:space="preserve"> </w:t>
            </w:r>
            <w:r w:rsidRPr="00E94397">
              <w:rPr>
                <w:rFonts w:eastAsia="Times New Roman" w:cs="Arial"/>
                <w:color w:val="000000"/>
                <w:lang w:eastAsia="bg-BG"/>
              </w:rPr>
              <w:t xml:space="preserve">предиспозиция. </w:t>
            </w:r>
          </w:p>
          <w:p w14:paraId="5F0F3FE7" w14:textId="77777777" w:rsidR="00E94397" w:rsidRPr="00E94397" w:rsidRDefault="00E94397" w:rsidP="00953E3B">
            <w:pPr>
              <w:spacing w:line="240" w:lineRule="auto"/>
              <w:rPr>
                <w:rFonts w:eastAsia="Times New Roman" w:cs="Arial"/>
                <w:color w:val="000000"/>
                <w:lang w:eastAsia="bg-BG"/>
              </w:rPr>
            </w:pPr>
          </w:p>
          <w:p w14:paraId="1B7B6810" w14:textId="4E5CF426" w:rsidR="00E94397" w:rsidRPr="00E94397" w:rsidRDefault="00E94397" w:rsidP="00953E3B">
            <w:pPr>
              <w:spacing w:line="240" w:lineRule="auto"/>
              <w:rPr>
                <w:rFonts w:eastAsia="Times New Roman" w:cs="Arial"/>
                <w:lang w:eastAsia="bg-BG"/>
              </w:rPr>
            </w:pPr>
            <w:r w:rsidRPr="00E94397">
              <w:rPr>
                <w:rFonts w:eastAsia="Times New Roman" w:cs="Arial"/>
                <w:color w:val="000000"/>
                <w:lang w:eastAsia="bg-BG"/>
              </w:rPr>
              <w:t>Запушен нос. Хрипове и симптоми, наподобяващи грип.</w:t>
            </w:r>
          </w:p>
        </w:tc>
      </w:tr>
      <w:tr w:rsidR="00E94397" w14:paraId="2FD5A04C" w14:textId="77777777" w:rsidTr="00452FD2">
        <w:trPr>
          <w:trHeight w:val="1010"/>
        </w:trPr>
        <w:tc>
          <w:tcPr>
            <w:tcW w:w="3116" w:type="dxa"/>
          </w:tcPr>
          <w:p w14:paraId="4DBFE65A"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Гастро-интестинална</w:t>
            </w:r>
          </w:p>
          <w:p w14:paraId="55F4E6B5" w14:textId="77777777" w:rsidR="00E94397" w:rsidRPr="00953E3B" w:rsidRDefault="00E94397" w:rsidP="00953E3B">
            <w:pPr>
              <w:spacing w:line="240" w:lineRule="auto"/>
              <w:rPr>
                <w:rFonts w:eastAsia="Times New Roman" w:cs="Arial"/>
                <w:lang w:eastAsia="bg-BG"/>
              </w:rPr>
            </w:pPr>
            <w:r w:rsidRPr="00953E3B">
              <w:rPr>
                <w:rFonts w:eastAsia="Times New Roman" w:cs="Arial"/>
                <w:color w:val="000000"/>
                <w:lang w:eastAsia="bg-BG"/>
              </w:rPr>
              <w:t>система</w:t>
            </w:r>
          </w:p>
          <w:p w14:paraId="4A165DD5" w14:textId="77777777" w:rsidR="00E94397" w:rsidRPr="00E94397" w:rsidRDefault="00E94397" w:rsidP="00FA246A">
            <w:pPr>
              <w:rPr>
                <w:rFonts w:cs="Arial"/>
              </w:rPr>
            </w:pPr>
          </w:p>
        </w:tc>
        <w:tc>
          <w:tcPr>
            <w:tcW w:w="3117" w:type="dxa"/>
          </w:tcPr>
          <w:p w14:paraId="3444B50C" w14:textId="77777777" w:rsidR="00E94397" w:rsidRPr="00E94397" w:rsidRDefault="00E94397" w:rsidP="00FA246A">
            <w:pPr>
              <w:rPr>
                <w:rFonts w:cs="Arial"/>
              </w:rPr>
            </w:pPr>
            <w:r w:rsidRPr="00E94397">
              <w:rPr>
                <w:rFonts w:cs="Arial"/>
              </w:rPr>
              <w:t>Чести</w:t>
            </w:r>
          </w:p>
          <w:p w14:paraId="30E0577A" w14:textId="77777777" w:rsidR="00E94397" w:rsidRPr="00E94397" w:rsidRDefault="00E94397" w:rsidP="00E94397">
            <w:pPr>
              <w:rPr>
                <w:rFonts w:cs="Arial"/>
              </w:rPr>
            </w:pPr>
          </w:p>
          <w:p w14:paraId="6A65583D" w14:textId="77777777" w:rsidR="00E94397" w:rsidRPr="00E94397" w:rsidRDefault="00E94397" w:rsidP="00E94397">
            <w:pPr>
              <w:rPr>
                <w:rFonts w:cs="Arial"/>
              </w:rPr>
            </w:pPr>
          </w:p>
          <w:p w14:paraId="3C5EAC1C" w14:textId="77777777" w:rsidR="00E94397" w:rsidRPr="00E94397" w:rsidRDefault="00E94397" w:rsidP="00E94397">
            <w:pPr>
              <w:rPr>
                <w:rFonts w:cs="Arial"/>
              </w:rPr>
            </w:pPr>
          </w:p>
          <w:p w14:paraId="571A8E97" w14:textId="4CF70A9B" w:rsidR="00E94397" w:rsidRPr="00E94397" w:rsidRDefault="00E94397" w:rsidP="00E94397">
            <w:pPr>
              <w:rPr>
                <w:rFonts w:cs="Arial"/>
              </w:rPr>
            </w:pPr>
            <w:r w:rsidRPr="00E94397">
              <w:rPr>
                <w:rFonts w:cs="Arial"/>
              </w:rPr>
              <w:t>Нечести</w:t>
            </w:r>
          </w:p>
        </w:tc>
        <w:tc>
          <w:tcPr>
            <w:tcW w:w="3117" w:type="dxa"/>
          </w:tcPr>
          <w:p w14:paraId="2709E747" w14:textId="77777777" w:rsidR="00E94397" w:rsidRPr="00E94397" w:rsidRDefault="00E94397" w:rsidP="00953E3B">
            <w:pPr>
              <w:spacing w:line="240" w:lineRule="auto"/>
              <w:rPr>
                <w:rFonts w:eastAsia="Times New Roman" w:cs="Arial"/>
                <w:lang w:eastAsia="bg-BG"/>
              </w:rPr>
            </w:pPr>
            <w:r w:rsidRPr="00E94397">
              <w:rPr>
                <w:rFonts w:eastAsia="Times New Roman" w:cs="Arial"/>
                <w:color w:val="000000"/>
                <w:lang w:eastAsia="bg-BG"/>
              </w:rPr>
              <w:t xml:space="preserve">Стомашно-чревно разстройство </w:t>
            </w:r>
            <w:r w:rsidRPr="00953E3B">
              <w:rPr>
                <w:rFonts w:eastAsia="Times New Roman" w:cs="Arial"/>
                <w:color w:val="000000"/>
                <w:lang w:eastAsia="bg-BG"/>
              </w:rPr>
              <w:t>(със</w:t>
            </w:r>
            <w:r w:rsidRPr="00E94397">
              <w:rPr>
                <w:rFonts w:eastAsia="Times New Roman" w:cs="Arial"/>
                <w:lang w:eastAsia="bg-BG"/>
              </w:rPr>
              <w:t xml:space="preserve"> </w:t>
            </w:r>
            <w:r w:rsidRPr="00E94397">
              <w:rPr>
                <w:rFonts w:eastAsia="Times New Roman" w:cs="Arial"/>
                <w:color w:val="000000"/>
                <w:lang w:eastAsia="bg-BG"/>
              </w:rPr>
              <w:t>симптоми като гадене, болка в корема, диария)</w:t>
            </w:r>
          </w:p>
          <w:p w14:paraId="7A69869F" w14:textId="77777777" w:rsidR="00E94397" w:rsidRPr="00E94397" w:rsidRDefault="00E94397" w:rsidP="00E94397">
            <w:pPr>
              <w:rPr>
                <w:rFonts w:cs="Arial"/>
              </w:rPr>
            </w:pPr>
          </w:p>
          <w:p w14:paraId="30DD2B5F" w14:textId="2988A688" w:rsidR="00E94397" w:rsidRPr="00E94397" w:rsidRDefault="00E94397" w:rsidP="00E94397">
            <w:pPr>
              <w:rPr>
                <w:rFonts w:eastAsia="Times New Roman" w:cs="Arial"/>
                <w:lang w:eastAsia="bg-BG"/>
              </w:rPr>
            </w:pPr>
            <w:r w:rsidRPr="00E94397">
              <w:rPr>
                <w:rFonts w:cs="Arial"/>
              </w:rPr>
              <w:t>Запек и повръщане</w:t>
            </w:r>
          </w:p>
        </w:tc>
      </w:tr>
      <w:tr w:rsidR="00E94397" w14:paraId="08C784D7" w14:textId="77777777" w:rsidTr="00953E3B">
        <w:tc>
          <w:tcPr>
            <w:tcW w:w="3116" w:type="dxa"/>
          </w:tcPr>
          <w:p w14:paraId="3C4F809E" w14:textId="01819C85" w:rsidR="00E94397" w:rsidRPr="00E94397" w:rsidRDefault="00E94397" w:rsidP="00E94397">
            <w:pPr>
              <w:rPr>
                <w:rFonts w:cs="Arial"/>
              </w:rPr>
            </w:pPr>
            <w:r w:rsidRPr="00E94397">
              <w:rPr>
                <w:rFonts w:cs="Arial"/>
              </w:rPr>
              <w:t>Кожа и кожни придатъци</w:t>
            </w:r>
          </w:p>
        </w:tc>
        <w:tc>
          <w:tcPr>
            <w:tcW w:w="3117" w:type="dxa"/>
          </w:tcPr>
          <w:p w14:paraId="5105F2A2" w14:textId="645E3BF5" w:rsidR="00E94397" w:rsidRPr="00E94397" w:rsidRDefault="00E94397" w:rsidP="00E94397">
            <w:pPr>
              <w:rPr>
                <w:rFonts w:cs="Arial"/>
              </w:rPr>
            </w:pPr>
            <w:r w:rsidRPr="00E94397">
              <w:rPr>
                <w:rFonts w:cs="Arial"/>
              </w:rPr>
              <w:t>Чести</w:t>
            </w:r>
          </w:p>
        </w:tc>
        <w:tc>
          <w:tcPr>
            <w:tcW w:w="3117" w:type="dxa"/>
          </w:tcPr>
          <w:p w14:paraId="0E2F1534" w14:textId="71FCAE8D" w:rsidR="00E94397" w:rsidRPr="00E94397" w:rsidRDefault="00E94397" w:rsidP="00E94397">
            <w:pPr>
              <w:rPr>
                <w:rFonts w:cs="Arial"/>
              </w:rPr>
            </w:pPr>
            <w:r w:rsidRPr="00E94397">
              <w:rPr>
                <w:rFonts w:cs="Arial"/>
              </w:rPr>
              <w:t>Кожни реакции (напр. алергичен екзантем,</w:t>
            </w:r>
          </w:p>
          <w:p w14:paraId="3F4D19BF" w14:textId="098A3CDE" w:rsidR="00E94397" w:rsidRPr="00E94397" w:rsidRDefault="00E94397" w:rsidP="00E94397">
            <w:pPr>
              <w:rPr>
                <w:rFonts w:cs="Arial"/>
              </w:rPr>
            </w:pPr>
            <w:r w:rsidRPr="00E94397">
              <w:rPr>
                <w:rFonts w:cs="Arial"/>
              </w:rPr>
              <w:t>Дерматит, уртикария, сърбеж.реакции</w:t>
            </w:r>
          </w:p>
          <w:p w14:paraId="0BE19486" w14:textId="33DDD231" w:rsidR="00E94397" w:rsidRPr="00E94397" w:rsidRDefault="00E94397" w:rsidP="00E94397">
            <w:pPr>
              <w:rPr>
                <w:rFonts w:cs="Arial"/>
              </w:rPr>
            </w:pPr>
            <w:r w:rsidRPr="00E94397">
              <w:rPr>
                <w:rFonts w:cs="Arial"/>
              </w:rPr>
              <w:t>подобни на лихен планус и засилено потене).</w:t>
            </w:r>
          </w:p>
          <w:p w14:paraId="680B8DE0" w14:textId="146470D2" w:rsidR="00E94397" w:rsidRPr="00E94397" w:rsidRDefault="00E94397" w:rsidP="00E94397">
            <w:pPr>
              <w:rPr>
                <w:rFonts w:cs="Arial"/>
              </w:rPr>
            </w:pPr>
            <w:r w:rsidRPr="00E94397">
              <w:rPr>
                <w:rFonts w:cs="Arial"/>
              </w:rPr>
              <w:t>Може да се появят псориатични кожни</w:t>
            </w:r>
          </w:p>
          <w:p w14:paraId="6C3A0465" w14:textId="1E4EC93B" w:rsidR="00E94397" w:rsidRPr="00E94397" w:rsidRDefault="00E94397" w:rsidP="00E94397">
            <w:pPr>
              <w:rPr>
                <w:rFonts w:cs="Arial"/>
              </w:rPr>
            </w:pPr>
            <w:r w:rsidRPr="00E94397">
              <w:rPr>
                <w:rFonts w:cs="Arial"/>
              </w:rPr>
              <w:t>лезии или да се обострят съществуващи.</w:t>
            </w:r>
          </w:p>
        </w:tc>
      </w:tr>
      <w:tr w:rsidR="00E94397" w14:paraId="294A8322" w14:textId="77777777" w:rsidTr="00953E3B">
        <w:tc>
          <w:tcPr>
            <w:tcW w:w="3116" w:type="dxa"/>
          </w:tcPr>
          <w:p w14:paraId="693FE02E" w14:textId="4F8AA3C4" w:rsidR="00E94397" w:rsidRPr="00E94397" w:rsidRDefault="00E94397" w:rsidP="00E94397">
            <w:pPr>
              <w:rPr>
                <w:rFonts w:cs="Arial"/>
              </w:rPr>
            </w:pPr>
            <w:r w:rsidRPr="00E94397">
              <w:rPr>
                <w:rFonts w:cs="Arial"/>
              </w:rPr>
              <w:t>Други</w:t>
            </w:r>
          </w:p>
        </w:tc>
        <w:tc>
          <w:tcPr>
            <w:tcW w:w="3117" w:type="dxa"/>
          </w:tcPr>
          <w:p w14:paraId="528827C4" w14:textId="14B96D0C" w:rsidR="00E94397" w:rsidRPr="00E94397" w:rsidRDefault="00E94397" w:rsidP="00E94397">
            <w:pPr>
              <w:rPr>
                <w:rFonts w:cs="Arial"/>
              </w:rPr>
            </w:pPr>
            <w:r w:rsidRPr="00E94397">
              <w:rPr>
                <w:rFonts w:cs="Arial"/>
              </w:rPr>
              <w:t>Чести</w:t>
            </w:r>
          </w:p>
        </w:tc>
        <w:tc>
          <w:tcPr>
            <w:tcW w:w="3117" w:type="dxa"/>
          </w:tcPr>
          <w:p w14:paraId="4C6A68FD" w14:textId="28992CD8" w:rsidR="00E94397" w:rsidRPr="00E94397" w:rsidRDefault="00E94397" w:rsidP="00E94397">
            <w:pPr>
              <w:rPr>
                <w:rFonts w:cs="Arial"/>
              </w:rPr>
            </w:pPr>
            <w:r w:rsidRPr="00E94397">
              <w:rPr>
                <w:rFonts w:cs="Arial"/>
              </w:rPr>
              <w:t>Болка в крайниците, намалено образуване на сълзи.</w:t>
            </w:r>
          </w:p>
        </w:tc>
      </w:tr>
      <w:tr w:rsidR="00E94397" w14:paraId="3229E704" w14:textId="77777777" w:rsidTr="004D5D70">
        <w:tc>
          <w:tcPr>
            <w:tcW w:w="3116" w:type="dxa"/>
          </w:tcPr>
          <w:p w14:paraId="2A95854C" w14:textId="77777777" w:rsidR="00E94397" w:rsidRPr="00E94397" w:rsidRDefault="00E94397" w:rsidP="00E94397">
            <w:pPr>
              <w:rPr>
                <w:rFonts w:cs="Arial"/>
              </w:rPr>
            </w:pPr>
          </w:p>
        </w:tc>
        <w:tc>
          <w:tcPr>
            <w:tcW w:w="3117" w:type="dxa"/>
          </w:tcPr>
          <w:p w14:paraId="45277533" w14:textId="6E06FADE" w:rsidR="00E94397" w:rsidRPr="00E94397" w:rsidRDefault="00E94397" w:rsidP="00E94397">
            <w:pPr>
              <w:rPr>
                <w:rFonts w:cs="Arial"/>
              </w:rPr>
            </w:pPr>
            <w:r w:rsidRPr="00E94397">
              <w:rPr>
                <w:rFonts w:cs="Arial"/>
              </w:rPr>
              <w:t>Нечести</w:t>
            </w:r>
          </w:p>
        </w:tc>
        <w:tc>
          <w:tcPr>
            <w:tcW w:w="3117" w:type="dxa"/>
            <w:vAlign w:val="bottom"/>
          </w:tcPr>
          <w:p w14:paraId="1CD2FCA1" w14:textId="77777777" w:rsidR="00E94397" w:rsidRPr="00E94397" w:rsidRDefault="00E94397" w:rsidP="00E94397">
            <w:pPr>
              <w:rPr>
                <w:rFonts w:cs="Arial"/>
              </w:rPr>
            </w:pPr>
            <w:r w:rsidRPr="00E94397">
              <w:rPr>
                <w:rFonts w:cs="Arial"/>
              </w:rPr>
              <w:t>Случаи на сексуална импотентност</w:t>
            </w:r>
            <w:r w:rsidRPr="00E94397">
              <w:rPr>
                <w:rFonts w:cs="Arial"/>
              </w:rPr>
              <w:tab/>
              <w:t>и</w:t>
            </w:r>
          </w:p>
          <w:p w14:paraId="15C7EF09" w14:textId="65326834" w:rsidR="00E94397" w:rsidRPr="00E94397" w:rsidRDefault="00E94397" w:rsidP="00E94397">
            <w:pPr>
              <w:rPr>
                <w:rFonts w:cs="Arial"/>
              </w:rPr>
            </w:pPr>
            <w:r w:rsidRPr="00E94397">
              <w:rPr>
                <w:rFonts w:cs="Arial"/>
              </w:rPr>
              <w:t>нарушено зрение.</w:t>
            </w:r>
          </w:p>
        </w:tc>
      </w:tr>
      <w:tr w:rsidR="00E94397" w14:paraId="2FDB6D6D" w14:textId="77777777" w:rsidTr="00953E3B">
        <w:tc>
          <w:tcPr>
            <w:tcW w:w="3116" w:type="dxa"/>
          </w:tcPr>
          <w:p w14:paraId="0C904784" w14:textId="77777777" w:rsidR="00E94397" w:rsidRPr="00E94397" w:rsidRDefault="00E94397" w:rsidP="00E94397">
            <w:pPr>
              <w:rPr>
                <w:rFonts w:cs="Arial"/>
              </w:rPr>
            </w:pPr>
          </w:p>
        </w:tc>
        <w:tc>
          <w:tcPr>
            <w:tcW w:w="3117" w:type="dxa"/>
          </w:tcPr>
          <w:p w14:paraId="16145C3C" w14:textId="59D48A2D" w:rsidR="00E94397" w:rsidRPr="00E94397" w:rsidRDefault="00E94397" w:rsidP="00E94397">
            <w:pPr>
              <w:rPr>
                <w:rFonts w:cs="Arial"/>
              </w:rPr>
            </w:pPr>
            <w:r w:rsidRPr="00E94397">
              <w:rPr>
                <w:rFonts w:cs="Arial"/>
              </w:rPr>
              <w:t>Редки</w:t>
            </w:r>
          </w:p>
        </w:tc>
        <w:tc>
          <w:tcPr>
            <w:tcW w:w="3117" w:type="dxa"/>
          </w:tcPr>
          <w:p w14:paraId="26233600" w14:textId="49C5C0C8" w:rsidR="00E94397" w:rsidRPr="00E94397" w:rsidRDefault="00E94397" w:rsidP="00E94397">
            <w:pPr>
              <w:rPr>
                <w:rFonts w:cs="Arial"/>
              </w:rPr>
            </w:pPr>
            <w:r w:rsidRPr="00E94397">
              <w:rPr>
                <w:rFonts w:cs="Arial"/>
              </w:rPr>
              <w:t>Сухота в устата и затруднения при уриниране и очно възпаление.</w:t>
            </w:r>
          </w:p>
        </w:tc>
      </w:tr>
      <w:tr w:rsidR="00E94397" w14:paraId="66B654D3" w14:textId="77777777" w:rsidTr="004D5D70">
        <w:tc>
          <w:tcPr>
            <w:tcW w:w="3116" w:type="dxa"/>
          </w:tcPr>
          <w:p w14:paraId="747F9246" w14:textId="77777777" w:rsidR="00E94397" w:rsidRPr="00E94397" w:rsidRDefault="00E94397" w:rsidP="00E94397">
            <w:pPr>
              <w:rPr>
                <w:rFonts w:cs="Arial"/>
              </w:rPr>
            </w:pPr>
          </w:p>
        </w:tc>
        <w:tc>
          <w:tcPr>
            <w:tcW w:w="3117" w:type="dxa"/>
            <w:vAlign w:val="center"/>
          </w:tcPr>
          <w:p w14:paraId="5D1B78B8" w14:textId="428189BB" w:rsidR="00E94397" w:rsidRPr="00E94397" w:rsidRDefault="00E94397" w:rsidP="00E94397">
            <w:pPr>
              <w:rPr>
                <w:rFonts w:cs="Arial"/>
              </w:rPr>
            </w:pPr>
            <w:r w:rsidRPr="00E94397">
              <w:rPr>
                <w:rFonts w:cs="Arial"/>
              </w:rPr>
              <w:t>Изолирани случаи</w:t>
            </w:r>
          </w:p>
        </w:tc>
        <w:tc>
          <w:tcPr>
            <w:tcW w:w="3117" w:type="dxa"/>
            <w:vAlign w:val="center"/>
          </w:tcPr>
          <w:p w14:paraId="01F31D43" w14:textId="7E8D92F0" w:rsidR="00E94397" w:rsidRPr="00E94397" w:rsidRDefault="00E94397" w:rsidP="00E94397">
            <w:pPr>
              <w:rPr>
                <w:rFonts w:cs="Arial"/>
              </w:rPr>
            </w:pPr>
            <w:r w:rsidRPr="00E94397">
              <w:rPr>
                <w:rFonts w:cs="Arial"/>
              </w:rPr>
              <w:t>Алергични реакции</w:t>
            </w:r>
          </w:p>
        </w:tc>
      </w:tr>
    </w:tbl>
    <w:p w14:paraId="1F243FDF" w14:textId="1CEF70A7" w:rsidR="00953E3B" w:rsidRDefault="00953E3B" w:rsidP="00FA246A"/>
    <w:p w14:paraId="28C17BE7" w14:textId="11403683" w:rsidR="00E94397" w:rsidRPr="00E94397" w:rsidRDefault="00E94397" w:rsidP="00FA246A">
      <w:pPr>
        <w:rPr>
          <w:sz w:val="24"/>
        </w:rPr>
      </w:pPr>
      <w:r w:rsidRPr="00E94397">
        <w:rPr>
          <w:szCs w:val="20"/>
        </w:rPr>
        <w:t>Поради бета-блокиращите свойства също е възможно латентен захарен диабет да стане манифестен. манифестен диабет да се усложни и да се инхибира контра регулация та на кръвната глюкоза.</w:t>
      </w:r>
    </w:p>
    <w:p w14:paraId="7EDC3755" w14:textId="77777777" w:rsidR="00A01A1C" w:rsidRPr="00FA246A" w:rsidRDefault="00A01A1C" w:rsidP="00FA246A"/>
    <w:p w14:paraId="0A023CE0" w14:textId="677803B3" w:rsidR="00CF77F7" w:rsidRDefault="002C50EE" w:rsidP="004A448E">
      <w:pPr>
        <w:pStyle w:val="Heading2"/>
      </w:pPr>
      <w:r>
        <w:t>4.9. Предозиране</w:t>
      </w:r>
    </w:p>
    <w:p w14:paraId="0232C824" w14:textId="7134C5F2" w:rsidR="00E94397" w:rsidRDefault="00E94397" w:rsidP="00E94397"/>
    <w:p w14:paraId="663C6E30" w14:textId="77777777" w:rsidR="00E94397" w:rsidRPr="00DC3050" w:rsidRDefault="00E94397" w:rsidP="00DC3050">
      <w:pPr>
        <w:pStyle w:val="Heading3"/>
        <w:rPr>
          <w:rFonts w:eastAsia="Times New Roman"/>
          <w:u w:val="single"/>
          <w:lang w:eastAsia="bg-BG"/>
        </w:rPr>
      </w:pPr>
      <w:r w:rsidRPr="00DC3050">
        <w:rPr>
          <w:rFonts w:eastAsia="Times New Roman"/>
          <w:u w:val="single"/>
          <w:lang w:eastAsia="bg-BG"/>
        </w:rPr>
        <w:lastRenderedPageBreak/>
        <w:t>Симптоми и признаци</w:t>
      </w:r>
    </w:p>
    <w:p w14:paraId="549D5E75" w14:textId="77777777" w:rsidR="00E94397" w:rsidRPr="00E94397" w:rsidRDefault="00E94397" w:rsidP="00E94397">
      <w:pPr>
        <w:spacing w:line="240" w:lineRule="auto"/>
        <w:rPr>
          <w:rFonts w:eastAsia="Times New Roman" w:cs="Arial"/>
          <w:color w:val="000000"/>
          <w:lang w:eastAsia="bg-BG"/>
        </w:rPr>
      </w:pPr>
    </w:p>
    <w:p w14:paraId="375C235F" w14:textId="417C322A"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Масивното предозиране се очаква да доведе до силни сърдечно-съдови ефекти като хипотония и брадикардия. Могат да последват сърдечна недостатъчност, кардиогенен шок и сърдечен арест, респираторни проблеми, бронхоспазъм. повръщане, замъгляване на съзнанието и генерализирани гърчове.</w:t>
      </w:r>
    </w:p>
    <w:p w14:paraId="37C6E817" w14:textId="77777777" w:rsidR="00E94397" w:rsidRPr="00E94397" w:rsidRDefault="00E94397" w:rsidP="00E94397">
      <w:pPr>
        <w:spacing w:line="240" w:lineRule="auto"/>
        <w:rPr>
          <w:rFonts w:eastAsia="Times New Roman" w:cs="Arial"/>
          <w:b/>
          <w:bCs/>
          <w:i/>
          <w:iCs/>
          <w:color w:val="000000"/>
          <w:lang w:eastAsia="bg-BG"/>
        </w:rPr>
      </w:pPr>
    </w:p>
    <w:p w14:paraId="64C5B79F" w14:textId="343D893E" w:rsidR="00E94397" w:rsidRPr="00DC3050" w:rsidRDefault="00E94397" w:rsidP="00DC3050">
      <w:pPr>
        <w:pStyle w:val="Heading3"/>
        <w:rPr>
          <w:rFonts w:eastAsia="Times New Roman"/>
          <w:u w:val="single"/>
          <w:lang w:eastAsia="bg-BG"/>
        </w:rPr>
      </w:pPr>
      <w:r w:rsidRPr="00DC3050">
        <w:rPr>
          <w:rFonts w:eastAsia="Times New Roman"/>
          <w:u w:val="single"/>
          <w:lang w:eastAsia="bg-BG"/>
        </w:rPr>
        <w:t>Лечение</w:t>
      </w:r>
    </w:p>
    <w:p w14:paraId="160167C1" w14:textId="77777777" w:rsidR="00E94397" w:rsidRPr="00E94397" w:rsidRDefault="00E94397" w:rsidP="00E94397">
      <w:pPr>
        <w:spacing w:line="240" w:lineRule="auto"/>
        <w:rPr>
          <w:rFonts w:eastAsia="Times New Roman" w:cs="Arial"/>
          <w:color w:val="000000"/>
          <w:lang w:eastAsia="bg-BG"/>
        </w:rPr>
      </w:pPr>
    </w:p>
    <w:p w14:paraId="10222CE0" w14:textId="64C288A7"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Може да е полезно да се прибегне до стомашен лаваж или индуциране повръщане през първите няколко часа след поглъщането. В допълнение към общите процедури трябва да се проследяват жизнените показатели и да се коригират, ако е необходимо в интензивно отделение.</w:t>
      </w:r>
    </w:p>
    <w:p w14:paraId="530EF15A" w14:textId="77777777" w:rsidR="00E94397" w:rsidRPr="00E94397" w:rsidRDefault="00E94397" w:rsidP="00E94397">
      <w:pPr>
        <w:spacing w:line="240" w:lineRule="auto"/>
        <w:rPr>
          <w:rFonts w:eastAsia="Times New Roman" w:cs="Arial"/>
          <w:color w:val="000000"/>
          <w:lang w:eastAsia="bg-BG"/>
        </w:rPr>
      </w:pPr>
    </w:p>
    <w:p w14:paraId="0A204640" w14:textId="4EF61EF8" w:rsidR="00E94397" w:rsidRPr="00E94397" w:rsidRDefault="00E94397" w:rsidP="00E94397">
      <w:pPr>
        <w:spacing w:line="240" w:lineRule="auto"/>
        <w:rPr>
          <w:rFonts w:eastAsia="Times New Roman" w:cs="Arial"/>
          <w:lang w:eastAsia="bg-BG"/>
        </w:rPr>
      </w:pPr>
      <w:r w:rsidRPr="00E94397">
        <w:rPr>
          <w:rFonts w:eastAsia="Times New Roman" w:cs="Arial"/>
          <w:color w:val="000000"/>
          <w:lang w:eastAsia="bg-BG"/>
        </w:rPr>
        <w:t xml:space="preserve">Пациентът трябва да се постави легнал. Когато е налична брадикардия трябва да се направят атропин 0.5 </w:t>
      </w:r>
      <w:r w:rsidRPr="00E94397">
        <w:rPr>
          <w:rFonts w:eastAsia="Times New Roman" w:cs="Arial"/>
          <w:color w:val="000000"/>
          <w:lang w:val="en-US"/>
        </w:rPr>
        <w:t xml:space="preserve">mg </w:t>
      </w:r>
      <w:r w:rsidRPr="00E94397">
        <w:rPr>
          <w:rFonts w:eastAsia="Times New Roman" w:cs="Arial"/>
          <w:color w:val="000000"/>
          <w:lang w:eastAsia="bg-BG"/>
        </w:rPr>
        <w:t xml:space="preserve">до 2 </w:t>
      </w:r>
      <w:r w:rsidRPr="00E94397">
        <w:rPr>
          <w:rFonts w:eastAsia="Times New Roman" w:cs="Arial"/>
          <w:color w:val="000000"/>
          <w:lang w:val="en-US"/>
        </w:rPr>
        <w:t xml:space="preserve">mg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и/или глюкагон 1 до 10 </w:t>
      </w:r>
      <w:r w:rsidRPr="00E94397">
        <w:rPr>
          <w:rFonts w:eastAsia="Times New Roman" w:cs="Arial"/>
          <w:color w:val="000000"/>
          <w:lang w:val="en-US"/>
        </w:rPr>
        <w:t xml:space="preserve">mg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(последвано от бавна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инфузия 2 до 5 </w:t>
      </w:r>
      <w:r w:rsidRPr="00E94397">
        <w:rPr>
          <w:rFonts w:eastAsia="Times New Roman" w:cs="Arial"/>
          <w:color w:val="000000"/>
          <w:lang w:val="en-US"/>
        </w:rPr>
        <w:t>mg</w:t>
      </w:r>
      <w:r w:rsidRPr="00E94397">
        <w:rPr>
          <w:rFonts w:eastAsia="Times New Roman" w:cs="Arial"/>
          <w:color w:val="000000"/>
          <w:lang w:eastAsia="bg-BG"/>
        </w:rPr>
        <w:t xml:space="preserve">/час. ако е необходимо). Може да се наложи поставяне на пейемейкър. Сериозната хипотония може да се лекува с приложение на течности интравенозно. Допълнително може да се направи или норспинефрин 5 до 10 </w:t>
      </w:r>
      <w:r w:rsidRPr="00E94397">
        <w:rPr>
          <w:rFonts w:eastAsia="Times New Roman" w:cs="Arial"/>
          <w:color w:val="000000"/>
          <w:lang w:val="en-US"/>
        </w:rPr>
        <w:t xml:space="preserve">micrograms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 xml:space="preserve">(дозата може да бъде повторена според отговора на артериалното налягане), или 5 </w:t>
      </w:r>
      <w:r w:rsidRPr="00E94397">
        <w:rPr>
          <w:rFonts w:eastAsia="Times New Roman" w:cs="Arial"/>
          <w:color w:val="000000"/>
          <w:lang w:val="en-US"/>
        </w:rPr>
        <w:t xml:space="preserve">micrograms/ </w:t>
      </w:r>
      <w:r w:rsidRPr="00E94397">
        <w:rPr>
          <w:rFonts w:eastAsia="Times New Roman" w:cs="Arial"/>
          <w:color w:val="000000"/>
          <w:lang w:eastAsia="bg-BG"/>
        </w:rPr>
        <w:t xml:space="preserve">минута с инфузия ти грирана според артериалното налягане. В случай на бронхоспазъм могат да се прилагат салбутамол или друг бета2-агопист като аерозол, или ако е необходимо интравенозно. Бавно </w:t>
      </w:r>
      <w:proofErr w:type="spellStart"/>
      <w:r w:rsidRPr="00E94397">
        <w:rPr>
          <w:rFonts w:eastAsia="Times New Roman" w:cs="Arial"/>
          <w:color w:val="000000"/>
          <w:lang w:val="en-US"/>
        </w:rPr>
        <w:t>i.v.</w:t>
      </w:r>
      <w:proofErr w:type="spellEnd"/>
      <w:r w:rsidRPr="00E94397">
        <w:rPr>
          <w:rFonts w:eastAsia="Times New Roman" w:cs="Arial"/>
          <w:color w:val="000000"/>
          <w:lang w:val="en-US"/>
        </w:rPr>
        <w:t xml:space="preserve"> </w:t>
      </w:r>
      <w:r w:rsidRPr="00E94397">
        <w:rPr>
          <w:rFonts w:eastAsia="Times New Roman" w:cs="Arial"/>
          <w:color w:val="000000"/>
          <w:lang w:eastAsia="bg-BG"/>
        </w:rPr>
        <w:t>инжектиране на диазепам или клоназепам се препоръчва в случай на гърчове.</w:t>
      </w:r>
    </w:p>
    <w:p w14:paraId="68CB9FB3" w14:textId="77777777" w:rsidR="00E94397" w:rsidRPr="00E94397" w:rsidRDefault="00E94397" w:rsidP="00E94397">
      <w:pPr>
        <w:rPr>
          <w:rFonts w:eastAsia="Times New Roman" w:cs="Arial"/>
          <w:color w:val="000000"/>
          <w:lang w:eastAsia="bg-BG"/>
        </w:rPr>
      </w:pPr>
    </w:p>
    <w:p w14:paraId="109ACFF4" w14:textId="7F4DDAB0" w:rsidR="00E94397" w:rsidRPr="00E94397" w:rsidRDefault="00E94397" w:rsidP="00E94397">
      <w:pPr>
        <w:rPr>
          <w:rFonts w:cs="Arial"/>
        </w:rPr>
      </w:pPr>
      <w:r w:rsidRPr="00E94397">
        <w:rPr>
          <w:rFonts w:eastAsia="Times New Roman" w:cs="Arial"/>
          <w:color w:val="000000"/>
          <w:lang w:eastAsia="bg-BG"/>
        </w:rPr>
        <w:t>Поддържащото лечение, както бе описано, трябва да се продължи за достатъчно дълъг период от време (т.е. докато пациентът се стабилизира) в случаи на тежко предозиране със симптоми на шок. тъй като може да се очаква удължаване на елиминационния полуживот и преразпределение на карведилол от по-дълбоките компартменти.</w:t>
      </w:r>
    </w:p>
    <w:p w14:paraId="0DAD20F8" w14:textId="45D67541" w:rsidR="00FA246A" w:rsidRDefault="00FA246A" w:rsidP="00FA246A"/>
    <w:p w14:paraId="4F5D0A11" w14:textId="77777777" w:rsidR="00FA246A" w:rsidRPr="00FA246A" w:rsidRDefault="00FA246A" w:rsidP="00FA246A"/>
    <w:p w14:paraId="02081B24" w14:textId="7C8FB23E" w:rsidR="00395555" w:rsidRDefault="002C50EE" w:rsidP="008A6AF2">
      <w:pPr>
        <w:pStyle w:val="Heading1"/>
      </w:pPr>
      <w:r>
        <w:t>5. ФАРМАКОЛОГИЧНИ СВОЙСТВА</w:t>
      </w:r>
    </w:p>
    <w:p w14:paraId="7F43BAD9" w14:textId="64641E86" w:rsidR="00E94397" w:rsidRPr="00E94397" w:rsidRDefault="00E94397" w:rsidP="00E94397"/>
    <w:p w14:paraId="3315ECF7" w14:textId="495E9FD1" w:rsidR="00E94397" w:rsidRDefault="002C50EE" w:rsidP="00DC3050">
      <w:pPr>
        <w:pStyle w:val="Heading2"/>
      </w:pPr>
      <w:r>
        <w:t>5.1. Фармакодинамични свойства</w:t>
      </w:r>
    </w:p>
    <w:p w14:paraId="415DF4C6" w14:textId="4E2601F2" w:rsidR="00E94397" w:rsidRDefault="00E94397" w:rsidP="00E94397"/>
    <w:p w14:paraId="32817087"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е вазодилатативен, неселективен бета-блокер с антиоксидантни свойства. Вазодилатацията основно сс медиира чрез алфа I - рецепторен антагонизъм.</w:t>
      </w:r>
    </w:p>
    <w:p w14:paraId="5AFD1614" w14:textId="77777777" w:rsidR="00DC3050" w:rsidRPr="00DC3050" w:rsidRDefault="00DC3050" w:rsidP="00DC3050">
      <w:pPr>
        <w:spacing w:line="240" w:lineRule="auto"/>
        <w:rPr>
          <w:rFonts w:eastAsia="Times New Roman" w:cs="Arial"/>
          <w:color w:val="000000"/>
          <w:lang w:eastAsia="bg-BG"/>
        </w:rPr>
      </w:pPr>
    </w:p>
    <w:p w14:paraId="2AC6A7BD" w14:textId="544E4D6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потиска системата ренин-ангиотенизин- алдостерон чрез бета- блокада и намалява периферната съдова резистентност чрез вазодилатация. Активността па плазмения реиин се намалява, а задръжката па течности е рядка.</w:t>
      </w:r>
    </w:p>
    <w:p w14:paraId="7FA0A598" w14:textId="77777777" w:rsidR="00DC3050" w:rsidRPr="00DC3050" w:rsidRDefault="00DC3050" w:rsidP="00DC3050">
      <w:pPr>
        <w:spacing w:line="240" w:lineRule="auto"/>
        <w:rPr>
          <w:rFonts w:eastAsia="Times New Roman" w:cs="Arial"/>
          <w:color w:val="000000"/>
          <w:lang w:eastAsia="bg-BG"/>
        </w:rPr>
      </w:pPr>
    </w:p>
    <w:p w14:paraId="221DB615" w14:textId="3A44E20B"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няма вътрешна симпатикомимстична активност. Подобно на пронранолола има стабилизиращи мембраните свойства.</w:t>
      </w:r>
    </w:p>
    <w:p w14:paraId="325944CF" w14:textId="77777777" w:rsidR="00DC3050" w:rsidRPr="00DC3050" w:rsidRDefault="00DC3050" w:rsidP="00DC3050">
      <w:pPr>
        <w:spacing w:line="240" w:lineRule="auto"/>
        <w:rPr>
          <w:rFonts w:eastAsia="Times New Roman" w:cs="Arial"/>
          <w:color w:val="000000"/>
          <w:lang w:eastAsia="bg-BG"/>
        </w:rPr>
      </w:pPr>
    </w:p>
    <w:p w14:paraId="68DF14D9" w14:textId="50FDC41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Карведилол е рацемат от два стереоизомера. Бета-блокадата се отдава на </w:t>
      </w:r>
      <w:r w:rsidRPr="00DC3050">
        <w:rPr>
          <w:rFonts w:eastAsia="Times New Roman" w:cs="Arial"/>
          <w:color w:val="000000"/>
          <w:lang w:val="en-US"/>
        </w:rPr>
        <w:t xml:space="preserve">S(-) </w:t>
      </w:r>
      <w:r w:rsidRPr="00DC3050">
        <w:rPr>
          <w:rFonts w:eastAsia="Times New Roman" w:cs="Arial"/>
          <w:color w:val="000000"/>
          <w:lang w:eastAsia="bg-BG"/>
        </w:rPr>
        <w:t>епаптиомера, за разлика от това, двата енантиомера имат еднаква α1-блокираща активност.</w:t>
      </w:r>
    </w:p>
    <w:p w14:paraId="25017F3C" w14:textId="77777777" w:rsidR="00DC3050" w:rsidRPr="00DC3050" w:rsidRDefault="00DC3050" w:rsidP="00DC3050">
      <w:pPr>
        <w:spacing w:line="240" w:lineRule="auto"/>
        <w:rPr>
          <w:rFonts w:eastAsia="Times New Roman" w:cs="Arial"/>
          <w:color w:val="000000"/>
          <w:lang w:eastAsia="bg-BG"/>
        </w:rPr>
      </w:pPr>
    </w:p>
    <w:p w14:paraId="512FC523" w14:textId="25B17C7D"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Карведилол захваща рсактивните кислородни радикали и е антипролиферативно средство. Неговите и на метаболитите му свойства са демонстрирани в </w:t>
      </w:r>
      <w:r w:rsidRPr="00DC3050">
        <w:rPr>
          <w:rFonts w:eastAsia="Times New Roman" w:cs="Arial"/>
          <w:b/>
          <w:bCs/>
          <w:i/>
          <w:iCs/>
          <w:color w:val="000000"/>
          <w:lang w:val="en-US"/>
        </w:rPr>
        <w:t>in vitro</w:t>
      </w:r>
      <w:r w:rsidRPr="00DC3050">
        <w:rPr>
          <w:rFonts w:eastAsia="Times New Roman" w:cs="Arial"/>
          <w:color w:val="000000"/>
          <w:lang w:val="en-US"/>
        </w:rPr>
        <w:t xml:space="preserve"> </w:t>
      </w:r>
      <w:r w:rsidRPr="00DC3050">
        <w:rPr>
          <w:rFonts w:eastAsia="Times New Roman" w:cs="Arial"/>
          <w:color w:val="000000"/>
          <w:lang w:eastAsia="bg-BG"/>
        </w:rPr>
        <w:t xml:space="preserve">и </w:t>
      </w:r>
      <w:r w:rsidRPr="00DC3050">
        <w:rPr>
          <w:rFonts w:eastAsia="Times New Roman" w:cs="Arial"/>
          <w:b/>
          <w:bCs/>
          <w:i/>
          <w:iCs/>
          <w:color w:val="000000"/>
          <w:lang w:val="en-US"/>
        </w:rPr>
        <w:t>in vivo</w:t>
      </w:r>
      <w:r w:rsidRPr="00DC3050">
        <w:rPr>
          <w:rFonts w:eastAsia="Times New Roman" w:cs="Arial"/>
          <w:color w:val="000000"/>
          <w:lang w:val="en-US"/>
        </w:rPr>
        <w:t xml:space="preserve"> </w:t>
      </w:r>
      <w:r w:rsidRPr="00DC3050">
        <w:rPr>
          <w:rFonts w:eastAsia="Times New Roman" w:cs="Arial"/>
          <w:color w:val="000000"/>
          <w:lang w:eastAsia="bg-BG"/>
        </w:rPr>
        <w:t xml:space="preserve">проучвания при животни, а също и в няколко </w:t>
      </w:r>
      <w:r w:rsidRPr="00DC3050">
        <w:rPr>
          <w:rFonts w:eastAsia="Times New Roman" w:cs="Arial"/>
          <w:b/>
          <w:bCs/>
          <w:i/>
          <w:iCs/>
          <w:color w:val="000000"/>
          <w:lang w:val="en-US"/>
        </w:rPr>
        <w:t>in vitro</w:t>
      </w:r>
      <w:r w:rsidRPr="00DC3050">
        <w:rPr>
          <w:rFonts w:eastAsia="Times New Roman" w:cs="Arial"/>
          <w:color w:val="000000"/>
          <w:lang w:val="en-US"/>
        </w:rPr>
        <w:t xml:space="preserve"> </w:t>
      </w:r>
      <w:r w:rsidRPr="00DC3050">
        <w:rPr>
          <w:rFonts w:eastAsia="Times New Roman" w:cs="Arial"/>
          <w:color w:val="000000"/>
          <w:lang w:eastAsia="bg-BG"/>
        </w:rPr>
        <w:t>проучвания с култури от човешки клетки.</w:t>
      </w:r>
    </w:p>
    <w:p w14:paraId="16089DC4" w14:textId="77777777" w:rsidR="00DC3050" w:rsidRPr="00DC3050" w:rsidRDefault="00DC3050" w:rsidP="00DC3050">
      <w:pPr>
        <w:spacing w:line="240" w:lineRule="auto"/>
        <w:rPr>
          <w:rFonts w:eastAsia="Times New Roman" w:cs="Arial"/>
          <w:color w:val="000000"/>
          <w:lang w:eastAsia="bg-BG"/>
        </w:rPr>
      </w:pPr>
    </w:p>
    <w:p w14:paraId="30AAB6AB" w14:textId="457AE0A3"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Балансът па вазодилатация и бета-блокада от карведилол води до следните</w:t>
      </w:r>
    </w:p>
    <w:p w14:paraId="1B730160"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ефекти:</w:t>
      </w:r>
    </w:p>
    <w:p w14:paraId="3415E63C" w14:textId="3D9B7117" w:rsidR="00DC3050" w:rsidRPr="00DC3050" w:rsidRDefault="00DC3050" w:rsidP="00DC3050">
      <w:pPr>
        <w:pStyle w:val="ListParagraph"/>
        <w:numPr>
          <w:ilvl w:val="0"/>
          <w:numId w:val="35"/>
        </w:numPr>
        <w:spacing w:line="240" w:lineRule="auto"/>
        <w:rPr>
          <w:rFonts w:eastAsia="Times New Roman" w:cs="Arial"/>
          <w:lang w:eastAsia="bg-BG"/>
        </w:rPr>
      </w:pPr>
      <w:r w:rsidRPr="00DC3050">
        <w:rPr>
          <w:rFonts w:eastAsia="Times New Roman" w:cs="Arial"/>
          <w:color w:val="000000"/>
          <w:lang w:eastAsia="bg-BG"/>
        </w:rPr>
        <w:t>При пациенти с хипертония намалението на артериалното налягане не се</w:t>
      </w:r>
    </w:p>
    <w:p w14:paraId="472E4EDC"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свързва с съпътстващо повишение на общото периферно съпротивление. Това се</w:t>
      </w:r>
    </w:p>
    <w:p w14:paraId="56941733"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наблюдава при чистите бета-блокери. Леко се намалява сърдечната честота.</w:t>
      </w:r>
    </w:p>
    <w:p w14:paraId="0A4AF219"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Поддържат се бъбречният кръвен поток и бъбречната функция. Поддържа се и</w:t>
      </w:r>
    </w:p>
    <w:p w14:paraId="78365224" w14:textId="77777777"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периферния кръвен поток, затова рядко се наблюдават студени крайници.</w:t>
      </w:r>
    </w:p>
    <w:p w14:paraId="232585C5" w14:textId="79F86EA3" w:rsidR="00DC3050" w:rsidRDefault="00DC3050" w:rsidP="00DC3050">
      <w:pPr>
        <w:rPr>
          <w:rFonts w:eastAsia="Times New Roman" w:cs="Arial"/>
          <w:color w:val="000000"/>
          <w:lang w:eastAsia="bg-BG"/>
        </w:rPr>
      </w:pPr>
      <w:r w:rsidRPr="00DC3050">
        <w:rPr>
          <w:rFonts w:eastAsia="Times New Roman" w:cs="Arial"/>
          <w:color w:val="000000"/>
          <w:lang w:eastAsia="bg-BG"/>
        </w:rPr>
        <w:t>наблюдавани често при другите продукти с бета-блокираща активност.</w:t>
      </w:r>
    </w:p>
    <w:p w14:paraId="4AB969C9" w14:textId="461C268D" w:rsidR="00DC3050" w:rsidRDefault="00DC3050" w:rsidP="00DC3050">
      <w:pPr>
        <w:rPr>
          <w:rFonts w:eastAsia="Times New Roman" w:cs="Arial"/>
          <w:color w:val="000000"/>
          <w:lang w:eastAsia="bg-BG"/>
        </w:rPr>
      </w:pPr>
    </w:p>
    <w:p w14:paraId="2EFF65ED"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АВЕРНОЛ демонстрира анти-исхемични и анти-стенокардни свойства при пациенти със стабилна стенокардия. Според остри хемодинамични проучвания, АВЕРНОЛ намалява пред- и следнатоварването па камерите.</w:t>
      </w:r>
    </w:p>
    <w:p w14:paraId="16F6086C" w14:textId="77777777" w:rsidR="00DC3050" w:rsidRPr="00DC3050" w:rsidRDefault="00DC3050" w:rsidP="00DC3050">
      <w:pPr>
        <w:spacing w:line="240" w:lineRule="auto"/>
        <w:rPr>
          <w:rFonts w:eastAsia="Times New Roman" w:cs="Arial"/>
          <w:color w:val="000000"/>
          <w:szCs w:val="20"/>
          <w:lang w:eastAsia="bg-BG"/>
        </w:rPr>
      </w:pPr>
    </w:p>
    <w:p w14:paraId="77ADCA1C"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Той също демонтрира благоприятни ефекти върху хемодинамиката и подобряването на фракцията на изтласкване и размерите на лява камера при пациенти с левокамерна дисфункция или хронична сърдечна недостатъчност.</w:t>
      </w:r>
    </w:p>
    <w:p w14:paraId="612F7AD2" w14:textId="77777777" w:rsidR="00DC3050" w:rsidRPr="00DC3050" w:rsidRDefault="00DC3050" w:rsidP="00DC3050">
      <w:pPr>
        <w:spacing w:line="240" w:lineRule="auto"/>
        <w:rPr>
          <w:rFonts w:eastAsia="Times New Roman" w:cs="Arial"/>
          <w:color w:val="000000"/>
          <w:szCs w:val="20"/>
          <w:lang w:eastAsia="bg-BG"/>
        </w:rPr>
      </w:pPr>
    </w:p>
    <w:p w14:paraId="7587C4CB"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w:t>
      </w:r>
      <w:r w:rsidRPr="00DC3050">
        <w:rPr>
          <w:rFonts w:eastAsia="Times New Roman" w:cs="Arial"/>
          <w:color w:val="000000"/>
          <w:szCs w:val="20"/>
          <w:lang w:eastAsia="bg-BG"/>
        </w:rPr>
        <w:tab/>
        <w:t xml:space="preserve">2289 пациенти с тежка стабилна хронична сърдечна недостатъчност с исхемичен и неисхемичен произход, на стандартно лечение, участващи в голямо, многоцентрово. двойно сляпо, плацебо контролирано проучване за смъртността </w:t>
      </w:r>
      <w:r w:rsidRPr="00DC3050">
        <w:rPr>
          <w:rFonts w:eastAsia="Times New Roman" w:cs="Arial"/>
          <w:color w:val="000000"/>
          <w:szCs w:val="20"/>
          <w:lang w:val="en-US"/>
        </w:rPr>
        <w:t xml:space="preserve">(COPERNICUS) </w:t>
      </w:r>
      <w:r w:rsidRPr="00DC3050">
        <w:rPr>
          <w:rFonts w:eastAsia="Times New Roman" w:cs="Arial"/>
          <w:color w:val="000000"/>
          <w:szCs w:val="20"/>
          <w:lang w:eastAsia="bg-BG"/>
        </w:rPr>
        <w:t xml:space="preserve">са рандомизирани или на карведилол (1156 пациенти) или плацебо (1133 пациенти). Пациентите са с левокамерна систолна дисфункция с фракция на изтласкване от &lt;20%. Смъртността в резултат на различни причини е понижена с 35% от 19.7% в групата на плацебо до 12.8% в групата на карведилол </w:t>
      </w:r>
      <w:r w:rsidRPr="00DC3050">
        <w:rPr>
          <w:rFonts w:eastAsia="Times New Roman" w:cs="Arial"/>
          <w:color w:val="000000"/>
          <w:szCs w:val="20"/>
          <w:lang w:val="en-US"/>
        </w:rPr>
        <w:t xml:space="preserve">(Cox proportional hazards. </w:t>
      </w:r>
      <w:r w:rsidRPr="00DC3050">
        <w:rPr>
          <w:rFonts w:eastAsia="Times New Roman" w:cs="Arial"/>
          <w:color w:val="000000"/>
          <w:szCs w:val="20"/>
          <w:lang w:eastAsia="bg-BG"/>
        </w:rPr>
        <w:t>р=0.00013).</w:t>
      </w:r>
    </w:p>
    <w:p w14:paraId="74959F45"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 xml:space="preserve">Комбинирани вторични крайни точки за смъртност или хоспитализация поради сърдечната недостатъчност, смъртност или сърдечно-съдова хоспитализация и смъртност или хоспитализация поради всякакви причини са значимо по-ниски в групата на карведилол, в сравнение с плацебо (31%, 27%. и 14% намаление, съответно, </w:t>
      </w:r>
      <w:r w:rsidRPr="00DC3050">
        <w:rPr>
          <w:rFonts w:eastAsia="Times New Roman" w:cs="Arial"/>
          <w:color w:val="575D77"/>
          <w:szCs w:val="20"/>
          <w:lang w:eastAsia="bg-BG"/>
        </w:rPr>
        <w:t>р&lt;0.</w:t>
      </w:r>
      <w:r w:rsidRPr="00DC3050">
        <w:rPr>
          <w:rFonts w:eastAsia="Times New Roman" w:cs="Arial"/>
          <w:color w:val="000000"/>
          <w:szCs w:val="20"/>
          <w:lang w:eastAsia="bg-BG"/>
        </w:rPr>
        <w:t>00004)</w:t>
      </w:r>
    </w:p>
    <w:p w14:paraId="2B0C2044" w14:textId="77777777" w:rsidR="00DC3050" w:rsidRPr="00DC3050" w:rsidRDefault="00DC3050" w:rsidP="00DC3050">
      <w:pPr>
        <w:spacing w:line="240" w:lineRule="auto"/>
        <w:rPr>
          <w:rFonts w:eastAsia="Times New Roman" w:cs="Arial"/>
          <w:color w:val="000000"/>
          <w:szCs w:val="20"/>
          <w:lang w:eastAsia="bg-BG"/>
        </w:rPr>
      </w:pPr>
    </w:p>
    <w:p w14:paraId="0B3E9078" w14:textId="77777777" w:rsidR="00DC3050" w:rsidRPr="00DC3050" w:rsidRDefault="00DC3050" w:rsidP="00DC3050">
      <w:pPr>
        <w:spacing w:line="240" w:lineRule="auto"/>
        <w:rPr>
          <w:rFonts w:eastAsia="Times New Roman" w:cs="Arial"/>
          <w:sz w:val="28"/>
          <w:szCs w:val="24"/>
          <w:lang w:eastAsia="bg-BG"/>
        </w:rPr>
      </w:pPr>
      <w:r w:rsidRPr="00DC3050">
        <w:rPr>
          <w:rFonts w:eastAsia="Times New Roman" w:cs="Arial"/>
          <w:color w:val="000000"/>
          <w:szCs w:val="20"/>
          <w:lang w:eastAsia="bg-BG"/>
        </w:rPr>
        <w:t>Честотата на сериозни нежелани реакции по време на проучването е по-ниска в групата на карведилол (39.0% срещу 45.4%). При започване на лечението честотата на влошаване на сърдечната недостатъчност но време на проучването е по-ниска в групата на карведилол (14.6% срещу 21.6%)</w:t>
      </w:r>
    </w:p>
    <w:p w14:paraId="7A39152C" w14:textId="77777777" w:rsidR="00DC3050" w:rsidRPr="00DC3050" w:rsidRDefault="00DC3050" w:rsidP="00DC3050">
      <w:pPr>
        <w:rPr>
          <w:rFonts w:eastAsia="Times New Roman" w:cs="Arial"/>
          <w:color w:val="000000"/>
          <w:szCs w:val="20"/>
          <w:lang w:eastAsia="bg-BG"/>
        </w:rPr>
      </w:pPr>
    </w:p>
    <w:p w14:paraId="7AEE210E" w14:textId="77777777" w:rsidR="00DC3050" w:rsidRPr="00DC3050" w:rsidRDefault="00DC3050" w:rsidP="00DC3050">
      <w:pPr>
        <w:rPr>
          <w:rFonts w:eastAsia="Times New Roman" w:cs="Arial"/>
          <w:color w:val="000000"/>
          <w:szCs w:val="20"/>
          <w:lang w:eastAsia="bg-BG"/>
        </w:rPr>
      </w:pPr>
      <w:r w:rsidRPr="00DC3050">
        <w:rPr>
          <w:rFonts w:eastAsia="Times New Roman" w:cs="Arial"/>
          <w:color w:val="000000"/>
          <w:szCs w:val="20"/>
          <w:lang w:eastAsia="bg-BG"/>
        </w:rPr>
        <w:t>Електролитите и серумният липиден профил не се повлияват.</w:t>
      </w:r>
    </w:p>
    <w:p w14:paraId="47503956" w14:textId="045E4203" w:rsidR="00DC3050" w:rsidRPr="00E94397" w:rsidRDefault="00DC3050" w:rsidP="00E94397"/>
    <w:p w14:paraId="35F84B81" w14:textId="5EBC4452" w:rsidR="00CF77F7" w:rsidRDefault="002C50EE" w:rsidP="004A448E">
      <w:pPr>
        <w:pStyle w:val="Heading2"/>
      </w:pPr>
      <w:r>
        <w:t>5.2. Фармакокинетични свойства</w:t>
      </w:r>
    </w:p>
    <w:p w14:paraId="7795E603" w14:textId="4CA5F454" w:rsidR="00DC3050" w:rsidRDefault="00DC3050" w:rsidP="00DC3050"/>
    <w:p w14:paraId="48B313CB" w14:textId="77777777" w:rsidR="00DC3050" w:rsidRPr="00DC3050" w:rsidRDefault="00DC3050" w:rsidP="00DC3050">
      <w:pPr>
        <w:rPr>
          <w:rFonts w:eastAsia="Times New Roman" w:cs="Arial"/>
          <w:lang w:eastAsia="bg-BG"/>
        </w:rPr>
      </w:pPr>
      <w:r w:rsidRPr="00DC3050">
        <w:rPr>
          <w:rFonts w:cs="Arial"/>
        </w:rPr>
        <w:t xml:space="preserve">Карведилол има стереоселективна бионаличност, 30% за </w:t>
      </w:r>
      <w:r w:rsidRPr="00DC3050">
        <w:rPr>
          <w:rFonts w:cs="Arial"/>
          <w:lang w:val="en-US"/>
        </w:rPr>
        <w:t>R</w:t>
      </w:r>
      <w:r w:rsidRPr="00DC3050">
        <w:rPr>
          <w:rFonts w:cs="Arial"/>
        </w:rPr>
        <w:t>-формата и 1</w:t>
      </w:r>
      <w:r w:rsidRPr="00DC3050">
        <w:rPr>
          <w:rFonts w:cs="Arial"/>
          <w:color w:val="575D77"/>
        </w:rPr>
        <w:t xml:space="preserve">5% за </w:t>
      </w:r>
      <w:r w:rsidRPr="00DC3050">
        <w:rPr>
          <w:rFonts w:cs="Arial"/>
          <w:color w:val="575D77"/>
          <w:lang w:val="en-US"/>
        </w:rPr>
        <w:t>S-</w:t>
      </w:r>
      <w:r w:rsidRPr="00DC3050">
        <w:rPr>
          <w:rFonts w:cs="Arial"/>
        </w:rPr>
        <w:t xml:space="preserve"> формата. Неговата абсолютна бионаличност е приблизително 25%. Достига</w:t>
      </w:r>
      <w:r w:rsidRPr="00DC3050">
        <w:rPr>
          <w:rFonts w:cs="Arial"/>
          <w:color w:val="575D77"/>
        </w:rPr>
        <w:t xml:space="preserve"> </w:t>
      </w:r>
      <w:r w:rsidRPr="00DC3050">
        <w:rPr>
          <w:rFonts w:cs="Arial"/>
        </w:rPr>
        <w:t>максимални концентрации приблизително 1 час след перорална доза и връзката</w:t>
      </w:r>
      <w:r w:rsidRPr="00DC3050">
        <w:rPr>
          <w:rFonts w:cs="Arial"/>
        </w:rPr>
        <w:t xml:space="preserve"> </w:t>
      </w:r>
      <w:r w:rsidRPr="00DC3050">
        <w:rPr>
          <w:rFonts w:eastAsia="Times New Roman" w:cs="Arial"/>
          <w:color w:val="000000"/>
          <w:lang w:eastAsia="bg-BG"/>
        </w:rPr>
        <w:t xml:space="preserve">между дозата и серумните концентрации е линейна. Въпреки че времето за достигане на максимални серумни концентрации се забавя, храната не повлиява бионаличността или </w:t>
      </w:r>
      <w:r w:rsidRPr="00DC3050">
        <w:rPr>
          <w:rFonts w:eastAsia="Times New Roman" w:cs="Arial"/>
          <w:color w:val="000000"/>
          <w:lang w:eastAsia="bg-BG"/>
        </w:rPr>
        <w:lastRenderedPageBreak/>
        <w:t xml:space="preserve">максималните серумни концентрации. Карведилол е силно липофилен, приблизително 98% до 99% се свързва с плазмените протеини. Обемът па разпределение е приблизително 2 </w:t>
      </w:r>
      <w:r w:rsidRPr="00DC3050">
        <w:rPr>
          <w:rFonts w:eastAsia="Times New Roman" w:cs="Arial"/>
          <w:color w:val="000000"/>
          <w:lang w:val="en-US"/>
        </w:rPr>
        <w:t xml:space="preserve">l/kg </w:t>
      </w:r>
      <w:r w:rsidRPr="00DC3050">
        <w:rPr>
          <w:rFonts w:eastAsia="Times New Roman" w:cs="Arial"/>
          <w:color w:val="000000"/>
          <w:lang w:eastAsia="bg-BG"/>
        </w:rPr>
        <w:t>и се увеличава при пациенти с чернодробна цироза. След псрорално приложение ефектът на първо преминаване е приблизително 60-75%; при животни се наблюдава ен терохепатална циркулация на изходното вещество.</w:t>
      </w:r>
    </w:p>
    <w:p w14:paraId="36EECC59" w14:textId="77777777" w:rsidR="00DC3050" w:rsidRPr="00DC3050" w:rsidRDefault="00DC3050" w:rsidP="00DC3050">
      <w:pPr>
        <w:spacing w:line="240" w:lineRule="auto"/>
        <w:rPr>
          <w:rFonts w:eastAsia="Times New Roman" w:cs="Arial"/>
          <w:color w:val="000000"/>
          <w:lang w:eastAsia="bg-BG"/>
        </w:rPr>
      </w:pPr>
    </w:p>
    <w:p w14:paraId="190B35E1" w14:textId="350C60EA"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Карведилол има значителен ефект на първо преминаване. Метаболитните модели показват интензивен метаболизъм с глюкоронидиране като един от най- важните етапи. Деметилирането и хидроксилирането на феноловия пръстен води до 3 мстаболита с блокираща активност на бета-рецепторите.</w:t>
      </w:r>
    </w:p>
    <w:p w14:paraId="757B4C10" w14:textId="77777777" w:rsidR="00DC3050" w:rsidRPr="00DC3050" w:rsidRDefault="00DC3050" w:rsidP="00DC3050">
      <w:pPr>
        <w:spacing w:line="240" w:lineRule="auto"/>
        <w:rPr>
          <w:rFonts w:eastAsia="Times New Roman" w:cs="Arial"/>
          <w:color w:val="000000"/>
          <w:lang w:eastAsia="bg-BG"/>
        </w:rPr>
      </w:pPr>
    </w:p>
    <w:p w14:paraId="5E1EB820" w14:textId="022235EC"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 xml:space="preserve">Средният елиминационен полуживот варира от 6 до 10 часа. Плазменият клирънс е приблизително </w:t>
      </w:r>
      <w:r w:rsidRPr="00DC3050">
        <w:rPr>
          <w:rFonts w:eastAsia="Times New Roman" w:cs="Arial"/>
          <w:color w:val="000000"/>
          <w:lang w:val="en-US"/>
        </w:rPr>
        <w:t xml:space="preserve">590ml/min. </w:t>
      </w:r>
      <w:r w:rsidRPr="00DC3050">
        <w:rPr>
          <w:rFonts w:eastAsia="Times New Roman" w:cs="Arial"/>
          <w:color w:val="000000"/>
          <w:lang w:eastAsia="bg-BG"/>
        </w:rPr>
        <w:t>Елимирането е основно чрез жлъчката. Основният път на отделяне е с фекалиите. Малка част се елиминира чрез бъбреците под формата на различни метаболи ги.</w:t>
      </w:r>
    </w:p>
    <w:p w14:paraId="31162351" w14:textId="77777777" w:rsidR="00DC3050" w:rsidRPr="00DC3050" w:rsidRDefault="00DC3050" w:rsidP="00DC3050">
      <w:pPr>
        <w:spacing w:line="240" w:lineRule="auto"/>
        <w:rPr>
          <w:rFonts w:eastAsia="Times New Roman" w:cs="Arial"/>
          <w:color w:val="000000"/>
          <w:lang w:eastAsia="bg-BG"/>
        </w:rPr>
      </w:pPr>
    </w:p>
    <w:p w14:paraId="5B8A9717" w14:textId="1621FDE6" w:rsidR="00DC3050" w:rsidRPr="00DC3050" w:rsidRDefault="00DC3050" w:rsidP="00DC3050">
      <w:pPr>
        <w:spacing w:line="240" w:lineRule="auto"/>
        <w:rPr>
          <w:rFonts w:eastAsia="Times New Roman" w:cs="Arial"/>
          <w:lang w:eastAsia="bg-BG"/>
        </w:rPr>
      </w:pPr>
      <w:r w:rsidRPr="00DC3050">
        <w:rPr>
          <w:rFonts w:eastAsia="Times New Roman" w:cs="Arial"/>
          <w:color w:val="000000"/>
          <w:lang w:eastAsia="bg-BG"/>
        </w:rPr>
        <w:t>Възрастта повлиява фармакокинетиката на карведилол. Плазмените нива са приблизително 50% по-високи при пациенти в старческа възраст в сравнение с млади субекти. При пациенти с хронично чернодробно заболяване, бионаличността на карведилол е четири пъти по-висока, а максималните плазмени нива са пет пъти по-високи в сравнение със здрави лица. Тъй като карведилол се екскретира основно чрез фекалиите е малко вероятно значително натрупване при пациенти с бъбречна недостатъчност.</w:t>
      </w:r>
    </w:p>
    <w:p w14:paraId="270890DA" w14:textId="77777777" w:rsidR="00DC3050" w:rsidRPr="00DC3050" w:rsidRDefault="00DC3050" w:rsidP="00DC3050">
      <w:pPr>
        <w:rPr>
          <w:rFonts w:eastAsia="Times New Roman" w:cs="Arial"/>
          <w:color w:val="000000"/>
          <w:lang w:eastAsia="bg-BG"/>
        </w:rPr>
      </w:pPr>
    </w:p>
    <w:p w14:paraId="132C26B6" w14:textId="0EA9C920" w:rsidR="00DC3050" w:rsidRPr="00DC3050" w:rsidRDefault="00DC3050" w:rsidP="00DC3050">
      <w:pPr>
        <w:rPr>
          <w:rFonts w:eastAsia="Times New Roman" w:cs="Arial"/>
          <w:color w:val="000000"/>
          <w:lang w:eastAsia="bg-BG"/>
        </w:rPr>
      </w:pPr>
      <w:r w:rsidRPr="00DC3050">
        <w:rPr>
          <w:rFonts w:eastAsia="Times New Roman" w:cs="Arial"/>
          <w:color w:val="000000"/>
          <w:lang w:eastAsia="bg-BG"/>
        </w:rPr>
        <w:t>Чернодробната недостатъчност причинява намаления на ефекта на първо преминаване и като резултат бионаличността на карведилол при пациенти с чернодробна недостатъчност се повишавало 80%.</w:t>
      </w:r>
    </w:p>
    <w:p w14:paraId="22958082" w14:textId="77777777" w:rsidR="00DC3050" w:rsidRPr="00DC3050" w:rsidRDefault="00DC3050" w:rsidP="00DC3050"/>
    <w:p w14:paraId="648E39DA" w14:textId="78079D4D" w:rsidR="00CF77F7" w:rsidRDefault="002C50EE" w:rsidP="004A448E">
      <w:pPr>
        <w:pStyle w:val="Heading2"/>
      </w:pPr>
      <w:r>
        <w:t>5.3. Предклинични данни за безопасност</w:t>
      </w:r>
    </w:p>
    <w:p w14:paraId="572A925A" w14:textId="173D5872" w:rsidR="00DC3050" w:rsidRDefault="00DC3050" w:rsidP="00DC3050"/>
    <w:p w14:paraId="2776C769" w14:textId="74A71AB7" w:rsidR="00DC3050" w:rsidRPr="00DC3050" w:rsidRDefault="00DC3050" w:rsidP="00DC3050">
      <w:pPr>
        <w:rPr>
          <w:szCs w:val="20"/>
        </w:rPr>
      </w:pPr>
      <w:r w:rsidRPr="00DC3050">
        <w:rPr>
          <w:szCs w:val="20"/>
        </w:rPr>
        <w:t>Проучванията при животни не показват специфични находки. значими за клиничната употреба (въпреки това. вж. “Бременност и кърмене").</w:t>
      </w:r>
    </w:p>
    <w:p w14:paraId="49B8E3B4" w14:textId="77777777" w:rsidR="00DC3050" w:rsidRPr="00DC3050" w:rsidRDefault="00DC3050" w:rsidP="00DC3050"/>
    <w:p w14:paraId="6A7820AB" w14:textId="550448BB" w:rsidR="008A6AF2" w:rsidRDefault="002C50EE" w:rsidP="00395555">
      <w:pPr>
        <w:pStyle w:val="Heading1"/>
      </w:pPr>
      <w:r>
        <w:t>7. ПРИТЕЖАТЕЛ НА РАЗРЕШЕНИЕТО ЗА УПОТРЕБА</w:t>
      </w:r>
    </w:p>
    <w:p w14:paraId="20670DB2" w14:textId="2C851E63" w:rsidR="00DC3050" w:rsidRDefault="00DC3050" w:rsidP="00DC3050"/>
    <w:p w14:paraId="5EEC40D5" w14:textId="77777777" w:rsidR="00DC3050" w:rsidRPr="00DC3050" w:rsidRDefault="00DC3050" w:rsidP="00DC3050">
      <w:pPr>
        <w:spacing w:line="240" w:lineRule="auto"/>
        <w:rPr>
          <w:rFonts w:eastAsia="Times New Roman" w:cs="Arial"/>
          <w:lang w:val="en-US" w:eastAsia="bg-BG"/>
        </w:rPr>
      </w:pPr>
      <w:proofErr w:type="spellStart"/>
      <w:r w:rsidRPr="00DC3050">
        <w:rPr>
          <w:rFonts w:eastAsia="Times New Roman" w:cs="Arial"/>
          <w:color w:val="000000"/>
          <w:lang w:val="en-US"/>
        </w:rPr>
        <w:t>Medochemie</w:t>
      </w:r>
      <w:proofErr w:type="spellEnd"/>
      <w:r w:rsidRPr="00DC3050">
        <w:rPr>
          <w:rFonts w:eastAsia="Times New Roman" w:cs="Arial"/>
          <w:color w:val="000000"/>
          <w:lang w:val="en-US"/>
        </w:rPr>
        <w:t xml:space="preserve"> Ltd.</w:t>
      </w:r>
    </w:p>
    <w:p w14:paraId="288009F1" w14:textId="77777777" w:rsidR="00DC3050" w:rsidRPr="00DC3050" w:rsidRDefault="00DC3050" w:rsidP="00DC3050">
      <w:pPr>
        <w:spacing w:line="240" w:lineRule="auto"/>
        <w:rPr>
          <w:rFonts w:eastAsia="Times New Roman" w:cs="Arial"/>
          <w:lang w:val="en-US" w:eastAsia="bg-BG"/>
        </w:rPr>
      </w:pPr>
      <w:r w:rsidRPr="00DC3050">
        <w:rPr>
          <w:rFonts w:eastAsia="Times New Roman" w:cs="Arial"/>
          <w:color w:val="000000"/>
          <w:lang w:val="en-US"/>
        </w:rPr>
        <w:t>P.O. Box 51409. Cy-3505 Limassol.</w:t>
      </w:r>
    </w:p>
    <w:p w14:paraId="09EB82B3" w14:textId="464F0CF4" w:rsidR="00DC3050" w:rsidRPr="00DC3050" w:rsidRDefault="00DC3050" w:rsidP="00DC3050">
      <w:pPr>
        <w:rPr>
          <w:rFonts w:eastAsia="Times New Roman" w:cs="Arial"/>
          <w:color w:val="000000"/>
          <w:lang w:eastAsia="bg-BG"/>
        </w:rPr>
      </w:pPr>
      <w:r w:rsidRPr="00DC3050">
        <w:rPr>
          <w:rFonts w:eastAsia="Times New Roman" w:cs="Arial"/>
          <w:color w:val="000000"/>
          <w:lang w:eastAsia="bg-BG"/>
        </w:rPr>
        <w:t>Кипър</w:t>
      </w:r>
    </w:p>
    <w:p w14:paraId="61B0D277" w14:textId="77777777" w:rsidR="00DC3050" w:rsidRPr="00DC3050" w:rsidRDefault="00DC3050" w:rsidP="00DC3050"/>
    <w:p w14:paraId="7BA1BA64" w14:textId="578719AA" w:rsidR="00CF77F7" w:rsidRDefault="002C50EE" w:rsidP="004A448E">
      <w:pPr>
        <w:pStyle w:val="Heading1"/>
      </w:pPr>
      <w:r>
        <w:t>8. НОМЕР НА РАЗРЕШЕНИЕТО ЗА УПОТРЕБА</w:t>
      </w:r>
    </w:p>
    <w:p w14:paraId="74F060F4" w14:textId="44C45472" w:rsidR="00DC3050" w:rsidRDefault="00DC3050" w:rsidP="00DC3050"/>
    <w:p w14:paraId="3BC51641" w14:textId="77777777" w:rsidR="00DC3050" w:rsidRPr="00DC3050" w:rsidRDefault="00DC3050" w:rsidP="00DC3050">
      <w:pPr>
        <w:spacing w:line="240" w:lineRule="auto"/>
        <w:rPr>
          <w:rFonts w:eastAsia="Times New Roman" w:cs="Arial"/>
          <w:lang w:val="en-US" w:eastAsia="bg-BG"/>
        </w:rPr>
      </w:pPr>
      <w:r w:rsidRPr="00DC3050">
        <w:rPr>
          <w:rFonts w:eastAsia="Times New Roman" w:cs="Arial"/>
          <w:bCs/>
          <w:color w:val="000000"/>
          <w:lang w:val="en-US"/>
        </w:rPr>
        <w:t>6.25 mg - 20060879</w:t>
      </w:r>
    </w:p>
    <w:p w14:paraId="3AE87128" w14:textId="12F3851F" w:rsidR="00DC3050" w:rsidRPr="00DC3050" w:rsidRDefault="00DC3050" w:rsidP="00DC3050">
      <w:pPr>
        <w:rPr>
          <w:rFonts w:cs="Arial"/>
        </w:rPr>
      </w:pPr>
      <w:r w:rsidRPr="00DC3050">
        <w:rPr>
          <w:rFonts w:eastAsia="Times New Roman" w:cs="Arial"/>
          <w:bCs/>
          <w:color w:val="000000"/>
          <w:lang w:val="en-US"/>
        </w:rPr>
        <w:t>25 mg - 20060880</w:t>
      </w:r>
    </w:p>
    <w:p w14:paraId="2CCB5832" w14:textId="2346B102" w:rsidR="007C605B" w:rsidRDefault="002C50EE" w:rsidP="007C605B">
      <w:pPr>
        <w:pStyle w:val="Heading1"/>
      </w:pPr>
      <w:r>
        <w:lastRenderedPageBreak/>
        <w:t>9. ДАТА НА ПЪРВО РАЗРЕШАВАНЕ/ПОДНОВЯВАНЕ НА РАЗРЕШЕНИЕТО ЗА УПОТРЕБА</w:t>
      </w:r>
    </w:p>
    <w:p w14:paraId="6A015CC9" w14:textId="51517AA9" w:rsidR="00DC3050" w:rsidRDefault="00DC3050" w:rsidP="00DC3050"/>
    <w:p w14:paraId="3DDB97F6" w14:textId="5AD82C45" w:rsidR="00DC3050" w:rsidRPr="00DC3050" w:rsidRDefault="00DC3050" w:rsidP="00DC3050">
      <w:pPr>
        <w:rPr>
          <w:rFonts w:cs="Arial"/>
        </w:rPr>
      </w:pPr>
      <w:r w:rsidRPr="00DC3050">
        <w:rPr>
          <w:rFonts w:cs="Arial"/>
          <w:bCs/>
        </w:rPr>
        <w:t>29.12.2006</w:t>
      </w:r>
    </w:p>
    <w:p w14:paraId="0E9D0119" w14:textId="6BF684B8" w:rsidR="002C50EE" w:rsidRDefault="002C50EE" w:rsidP="002C50EE">
      <w:pPr>
        <w:pStyle w:val="Heading1"/>
      </w:pPr>
      <w:r>
        <w:t>10. ДАТА НА АКТУАЛИЗИРАНЕ НА ТЕКСТА</w:t>
      </w:r>
    </w:p>
    <w:p w14:paraId="6B4E7E34" w14:textId="3D4C785E" w:rsidR="00DC3050" w:rsidRDefault="00DC3050" w:rsidP="00DC3050"/>
    <w:p w14:paraId="39B28225" w14:textId="0FA11276" w:rsidR="00DC3050" w:rsidRPr="00DC3050" w:rsidRDefault="00DC3050" w:rsidP="00DC3050">
      <w:pPr>
        <w:rPr>
          <w:rFonts w:cs="Arial"/>
        </w:rPr>
      </w:pPr>
      <w:r w:rsidRPr="00DC3050">
        <w:rPr>
          <w:rFonts w:cs="Arial"/>
          <w:bCs/>
        </w:rPr>
        <w:t>Май 2011 година</w:t>
      </w:r>
    </w:p>
    <w:bookmarkEnd w:id="0"/>
    <w:p w14:paraId="43FB38A2" w14:textId="5500C507" w:rsidR="007C605B" w:rsidRPr="003E3126" w:rsidRDefault="007C605B" w:rsidP="00CF77F7"/>
    <w:sectPr w:rsidR="007C605B"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E4B2A"/>
    <w:multiLevelType w:val="hybridMultilevel"/>
    <w:tmpl w:val="036A4968"/>
    <w:lvl w:ilvl="0" w:tplc="77845F36">
      <w:start w:val="5"/>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1"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6"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1"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27"/>
  </w:num>
  <w:num w:numId="2">
    <w:abstractNumId w:val="0"/>
  </w:num>
  <w:num w:numId="3">
    <w:abstractNumId w:val="13"/>
  </w:num>
  <w:num w:numId="4">
    <w:abstractNumId w:val="3"/>
  </w:num>
  <w:num w:numId="5">
    <w:abstractNumId w:val="1"/>
  </w:num>
  <w:num w:numId="6">
    <w:abstractNumId w:val="16"/>
  </w:num>
  <w:num w:numId="7">
    <w:abstractNumId w:val="11"/>
  </w:num>
  <w:num w:numId="8">
    <w:abstractNumId w:val="15"/>
  </w:num>
  <w:num w:numId="9">
    <w:abstractNumId w:val="2"/>
  </w:num>
  <w:num w:numId="10">
    <w:abstractNumId w:val="4"/>
  </w:num>
  <w:num w:numId="11">
    <w:abstractNumId w:val="30"/>
  </w:num>
  <w:num w:numId="12">
    <w:abstractNumId w:val="14"/>
  </w:num>
  <w:num w:numId="13">
    <w:abstractNumId w:val="19"/>
  </w:num>
  <w:num w:numId="14">
    <w:abstractNumId w:val="12"/>
  </w:num>
  <w:num w:numId="15">
    <w:abstractNumId w:val="29"/>
  </w:num>
  <w:num w:numId="16">
    <w:abstractNumId w:val="10"/>
  </w:num>
  <w:num w:numId="17">
    <w:abstractNumId w:val="24"/>
  </w:num>
  <w:num w:numId="18">
    <w:abstractNumId w:val="8"/>
  </w:num>
  <w:num w:numId="19">
    <w:abstractNumId w:val="26"/>
  </w:num>
  <w:num w:numId="20">
    <w:abstractNumId w:val="23"/>
  </w:num>
  <w:num w:numId="21">
    <w:abstractNumId w:val="17"/>
  </w:num>
  <w:num w:numId="22">
    <w:abstractNumId w:val="25"/>
  </w:num>
  <w:num w:numId="23">
    <w:abstractNumId w:val="18"/>
  </w:num>
  <w:num w:numId="24">
    <w:abstractNumId w:val="9"/>
  </w:num>
  <w:num w:numId="25">
    <w:abstractNumId w:val="22"/>
  </w:num>
  <w:num w:numId="26">
    <w:abstractNumId w:val="21"/>
  </w:num>
  <w:num w:numId="27">
    <w:abstractNumId w:val="31"/>
  </w:num>
  <w:num w:numId="28">
    <w:abstractNumId w:val="7"/>
  </w:num>
  <w:num w:numId="29">
    <w:abstractNumId w:val="20"/>
  </w:num>
  <w:num w:numId="30">
    <w:abstractNumId w:val="34"/>
  </w:num>
  <w:num w:numId="31">
    <w:abstractNumId w:val="5"/>
  </w:num>
  <w:num w:numId="32">
    <w:abstractNumId w:val="33"/>
  </w:num>
  <w:num w:numId="33">
    <w:abstractNumId w:val="28"/>
  </w:num>
  <w:num w:numId="34">
    <w:abstractNumId w:val="3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185A46"/>
    <w:rsid w:val="001915B6"/>
    <w:rsid w:val="001D1B23"/>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332E"/>
    <w:rsid w:val="0075649D"/>
    <w:rsid w:val="007C605B"/>
    <w:rsid w:val="008134C8"/>
    <w:rsid w:val="00814073"/>
    <w:rsid w:val="00826F0D"/>
    <w:rsid w:val="00893B92"/>
    <w:rsid w:val="008A6AF2"/>
    <w:rsid w:val="008C70A2"/>
    <w:rsid w:val="00953E3B"/>
    <w:rsid w:val="009773E4"/>
    <w:rsid w:val="009B171C"/>
    <w:rsid w:val="009F1313"/>
    <w:rsid w:val="00A01A1C"/>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A1080"/>
    <w:rsid w:val="00CA1B57"/>
    <w:rsid w:val="00CC08B1"/>
    <w:rsid w:val="00CF77F7"/>
    <w:rsid w:val="00D86297"/>
    <w:rsid w:val="00DC3050"/>
    <w:rsid w:val="00DD466D"/>
    <w:rsid w:val="00E94397"/>
    <w:rsid w:val="00EB6364"/>
    <w:rsid w:val="00F37B64"/>
    <w:rsid w:val="00FA246A"/>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3823</Words>
  <Characters>21792</Characters>
  <Application>Microsoft Office Word</Application>
  <DocSecurity>0</DocSecurity>
  <Lines>181</Lines>
  <Paragraphs>51</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Потребител на Windows</cp:lastModifiedBy>
  <cp:revision>2</cp:revision>
  <dcterms:created xsi:type="dcterms:W3CDTF">2022-06-21T13:45:00Z</dcterms:created>
  <dcterms:modified xsi:type="dcterms:W3CDTF">2022-06-21T13:45:00Z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