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635CC1B7" w:rsidR="002C50EE" w:rsidRDefault="002C50EE" w:rsidP="002C50EE">
      <w:pPr>
        <w:pStyle w:val="Heading1"/>
        <w:jc w:val="center"/>
      </w:pPr>
      <w:bookmarkStart w:id="0" w:name="_Hlk63124480"/>
      <w:r>
        <w:t>КРАТКА ХАРАКТЕРИСТИКА НА ПРОДУКТА</w:t>
      </w:r>
    </w:p>
    <w:p w14:paraId="78808050" w14:textId="77777777" w:rsidR="00CC08B1" w:rsidRPr="00CC08B1" w:rsidRDefault="00CC08B1" w:rsidP="00CC08B1"/>
    <w:p w14:paraId="10B3EAC1" w14:textId="4F41DB96" w:rsidR="00CC08B1" w:rsidRDefault="00DD466D" w:rsidP="00CC08B1">
      <w:pPr>
        <w:pStyle w:val="Heading1"/>
      </w:pPr>
      <w:r>
        <w:t>1.ИМЕ НА ЛЕКАРСТВЕНИЯ ПРОДУКТ</w:t>
      </w:r>
    </w:p>
    <w:p w14:paraId="2C91E847" w14:textId="7488BD03" w:rsidR="00CC08B1" w:rsidRDefault="00CC08B1" w:rsidP="00CC08B1"/>
    <w:p w14:paraId="26D8D5D6" w14:textId="77777777" w:rsidR="00CC08B1" w:rsidRPr="00CC08B1" w:rsidRDefault="00CC08B1" w:rsidP="00CC08B1">
      <w:pPr>
        <w:spacing w:line="240" w:lineRule="auto"/>
        <w:rPr>
          <w:rFonts w:ascii="Times New Roman" w:eastAsia="Times New Roman" w:hAnsi="Times New Roman" w:cs="Times New Roman"/>
          <w:sz w:val="24"/>
          <w:szCs w:val="24"/>
          <w:lang w:val="en-US" w:eastAsia="bg-BG"/>
        </w:rPr>
      </w:pPr>
    </w:p>
    <w:p w14:paraId="679042EA" w14:textId="77777777" w:rsidR="00CC08B1" w:rsidRPr="00CC08B1" w:rsidRDefault="00CC08B1" w:rsidP="00CC08B1">
      <w:pPr>
        <w:spacing w:line="240" w:lineRule="auto"/>
        <w:rPr>
          <w:rFonts w:eastAsia="Times New Roman" w:cs="Arial"/>
          <w:sz w:val="28"/>
          <w:szCs w:val="24"/>
          <w:lang w:val="en-US" w:eastAsia="bg-BG"/>
        </w:rPr>
      </w:pPr>
      <w:r w:rsidRPr="00CC08B1">
        <w:rPr>
          <w:rFonts w:eastAsia="Times New Roman" w:cs="Arial"/>
          <w:color w:val="000000"/>
          <w:szCs w:val="20"/>
          <w:lang w:val="en-US"/>
        </w:rPr>
        <w:t>ABEP</w:t>
      </w:r>
      <w:r w:rsidRPr="00CC08B1">
        <w:rPr>
          <w:rFonts w:eastAsia="Times New Roman" w:cs="Arial"/>
          <w:color w:val="000000"/>
          <w:szCs w:val="20"/>
          <w:lang w:eastAsia="bg-BG"/>
        </w:rPr>
        <w:t>Н</w:t>
      </w:r>
      <w:r w:rsidRPr="00CC08B1">
        <w:rPr>
          <w:rFonts w:eastAsia="Times New Roman" w:cs="Arial"/>
          <w:color w:val="000000"/>
          <w:szCs w:val="20"/>
          <w:lang w:val="en-US"/>
        </w:rPr>
        <w:t>O</w:t>
      </w:r>
      <w:r w:rsidRPr="00CC08B1">
        <w:rPr>
          <w:rFonts w:eastAsia="Times New Roman" w:cs="Arial"/>
          <w:color w:val="000000"/>
          <w:szCs w:val="20"/>
          <w:lang w:eastAsia="bg-BG"/>
        </w:rPr>
        <w:t>Л</w:t>
      </w:r>
      <w:r w:rsidRPr="00CC08B1">
        <w:rPr>
          <w:rFonts w:eastAsia="Times New Roman" w:cs="Arial"/>
          <w:color w:val="000000"/>
          <w:szCs w:val="20"/>
          <w:lang w:val="en-US"/>
        </w:rPr>
        <w:t xml:space="preserve"> </w:t>
      </w:r>
      <w:r w:rsidRPr="00CC08B1">
        <w:rPr>
          <w:rFonts w:eastAsia="Times New Roman" w:cs="Arial"/>
          <w:color w:val="000000"/>
          <w:szCs w:val="20"/>
          <w:lang w:eastAsia="bg-BG"/>
        </w:rPr>
        <w:t xml:space="preserve">6.25 </w:t>
      </w:r>
      <w:r w:rsidRPr="00CC08B1">
        <w:rPr>
          <w:rFonts w:eastAsia="Times New Roman" w:cs="Arial"/>
          <w:color w:val="000000"/>
          <w:szCs w:val="20"/>
          <w:lang w:val="en-US"/>
        </w:rPr>
        <w:t xml:space="preserve">mg </w:t>
      </w:r>
      <w:r w:rsidRPr="00CC08B1">
        <w:rPr>
          <w:rFonts w:eastAsia="Times New Roman" w:cs="Arial"/>
          <w:color w:val="000000"/>
          <w:szCs w:val="20"/>
          <w:lang w:eastAsia="bg-BG"/>
        </w:rPr>
        <w:t xml:space="preserve">таблетки/ </w:t>
      </w:r>
      <w:r w:rsidRPr="00CC08B1">
        <w:rPr>
          <w:rFonts w:eastAsia="Times New Roman" w:cs="Arial"/>
          <w:color w:val="000000"/>
          <w:szCs w:val="20"/>
          <w:lang w:val="en-US"/>
        </w:rPr>
        <w:t xml:space="preserve">AVERNOL </w:t>
      </w:r>
      <w:r w:rsidRPr="00CC08B1">
        <w:rPr>
          <w:rFonts w:eastAsia="Times New Roman" w:cs="Arial"/>
          <w:color w:val="000000"/>
          <w:szCs w:val="20"/>
          <w:lang w:eastAsia="bg-BG"/>
        </w:rPr>
        <w:t xml:space="preserve">6.25 </w:t>
      </w:r>
      <w:r w:rsidRPr="00CC08B1">
        <w:rPr>
          <w:rFonts w:eastAsia="Times New Roman" w:cs="Arial"/>
          <w:color w:val="000000"/>
          <w:szCs w:val="20"/>
          <w:lang w:val="en-US"/>
        </w:rPr>
        <w:t>mg tablets</w:t>
      </w:r>
    </w:p>
    <w:p w14:paraId="3CC81865" w14:textId="2EEC1180" w:rsidR="00CC08B1" w:rsidRPr="00CC08B1" w:rsidRDefault="00CC08B1" w:rsidP="00CC08B1">
      <w:pPr>
        <w:rPr>
          <w:rFonts w:cs="Arial"/>
          <w:sz w:val="24"/>
        </w:rPr>
      </w:pPr>
      <w:bookmarkStart w:id="1" w:name="_GoBack"/>
      <w:bookmarkEnd w:id="1"/>
      <w:r w:rsidRPr="00CC08B1">
        <w:rPr>
          <w:rFonts w:eastAsia="Times New Roman" w:cs="Arial"/>
          <w:color w:val="000000"/>
          <w:szCs w:val="20"/>
          <w:lang w:val="en-US"/>
        </w:rPr>
        <w:t>ABEP</w:t>
      </w:r>
      <w:r w:rsidRPr="00CC08B1">
        <w:rPr>
          <w:rFonts w:eastAsia="Times New Roman" w:cs="Arial"/>
          <w:color w:val="000000"/>
          <w:szCs w:val="20"/>
          <w:lang w:eastAsia="bg-BG"/>
        </w:rPr>
        <w:t>Н</w:t>
      </w:r>
      <w:r w:rsidRPr="00CC08B1">
        <w:rPr>
          <w:rFonts w:eastAsia="Times New Roman" w:cs="Arial"/>
          <w:color w:val="000000"/>
          <w:szCs w:val="20"/>
          <w:lang w:val="en-US"/>
        </w:rPr>
        <w:t>O</w:t>
      </w:r>
      <w:r w:rsidRPr="00CC08B1">
        <w:rPr>
          <w:rFonts w:eastAsia="Times New Roman" w:cs="Arial"/>
          <w:color w:val="000000"/>
          <w:szCs w:val="20"/>
          <w:lang w:eastAsia="bg-BG"/>
        </w:rPr>
        <w:t>Л</w:t>
      </w:r>
      <w:r w:rsidRPr="00CC08B1">
        <w:rPr>
          <w:rFonts w:eastAsia="Times New Roman" w:cs="Arial"/>
          <w:color w:val="000000"/>
          <w:szCs w:val="20"/>
          <w:lang w:val="en-US"/>
        </w:rPr>
        <w:t xml:space="preserve"> </w:t>
      </w:r>
      <w:r w:rsidRPr="00CC08B1">
        <w:rPr>
          <w:rFonts w:eastAsia="Times New Roman" w:cs="Arial"/>
          <w:color w:val="000000"/>
          <w:szCs w:val="20"/>
          <w:lang w:eastAsia="bg-BG"/>
        </w:rPr>
        <w:t xml:space="preserve">25 </w:t>
      </w:r>
      <w:r w:rsidRPr="00CC08B1">
        <w:rPr>
          <w:rFonts w:eastAsia="Times New Roman" w:cs="Arial"/>
          <w:color w:val="000000"/>
          <w:szCs w:val="20"/>
          <w:lang w:val="en-US"/>
        </w:rPr>
        <w:t xml:space="preserve">mg </w:t>
      </w:r>
      <w:r w:rsidRPr="00CC08B1">
        <w:rPr>
          <w:rFonts w:eastAsia="Times New Roman" w:cs="Arial"/>
          <w:color w:val="000000"/>
          <w:szCs w:val="20"/>
          <w:lang w:eastAsia="bg-BG"/>
        </w:rPr>
        <w:t xml:space="preserve">таблетки/ </w:t>
      </w:r>
      <w:r w:rsidRPr="00CC08B1">
        <w:rPr>
          <w:rFonts w:eastAsia="Times New Roman" w:cs="Arial"/>
          <w:color w:val="000000"/>
          <w:szCs w:val="20"/>
          <w:lang w:val="en-US"/>
        </w:rPr>
        <w:t xml:space="preserve">AVERNOL </w:t>
      </w:r>
      <w:r w:rsidRPr="00CC08B1">
        <w:rPr>
          <w:rFonts w:eastAsia="Times New Roman" w:cs="Arial"/>
          <w:color w:val="000000"/>
          <w:szCs w:val="20"/>
          <w:lang w:eastAsia="bg-BG"/>
        </w:rPr>
        <w:t xml:space="preserve">25 </w:t>
      </w:r>
      <w:r w:rsidRPr="00CC08B1">
        <w:rPr>
          <w:rFonts w:eastAsia="Times New Roman" w:cs="Arial"/>
          <w:color w:val="000000"/>
          <w:szCs w:val="20"/>
          <w:lang w:val="en-US"/>
        </w:rPr>
        <w:t>mg tablets</w:t>
      </w:r>
    </w:p>
    <w:p w14:paraId="24962605" w14:textId="77777777" w:rsidR="00CC08B1" w:rsidRPr="00CC08B1" w:rsidRDefault="00CC08B1" w:rsidP="00CC08B1"/>
    <w:p w14:paraId="6920A680" w14:textId="35024D8D" w:rsidR="00C40420" w:rsidRDefault="00DD466D" w:rsidP="004A448E">
      <w:pPr>
        <w:pStyle w:val="Heading1"/>
      </w:pPr>
      <w:r>
        <w:t>2. КАЧЕСТВЕН И КОЛИЧЕСТВЕН СЪСТАВ</w:t>
      </w:r>
    </w:p>
    <w:p w14:paraId="3465DA36" w14:textId="4271281A" w:rsidR="00CC08B1" w:rsidRDefault="00CC08B1" w:rsidP="00CC08B1"/>
    <w:p w14:paraId="5F50D359" w14:textId="77777777" w:rsidR="00CC08B1" w:rsidRPr="00CC08B1" w:rsidRDefault="00CC08B1" w:rsidP="00CC08B1">
      <w:pPr>
        <w:spacing w:line="240" w:lineRule="auto"/>
        <w:rPr>
          <w:rFonts w:eastAsia="Times New Roman" w:cs="Arial"/>
          <w:sz w:val="28"/>
          <w:szCs w:val="24"/>
          <w:lang w:eastAsia="bg-BG"/>
        </w:rPr>
      </w:pPr>
      <w:r w:rsidRPr="00CC08B1">
        <w:rPr>
          <w:rFonts w:eastAsia="Times New Roman" w:cs="Arial"/>
          <w:color w:val="000000"/>
          <w:szCs w:val="20"/>
          <w:lang w:eastAsia="bg-BG"/>
        </w:rPr>
        <w:t xml:space="preserve">АВЕРНОЛ 6.25 </w:t>
      </w:r>
      <w:r w:rsidRPr="00CC08B1">
        <w:rPr>
          <w:rFonts w:eastAsia="Times New Roman" w:cs="Arial"/>
          <w:color w:val="000000"/>
          <w:szCs w:val="20"/>
          <w:lang w:val="en-US"/>
        </w:rPr>
        <w:t xml:space="preserve">mg </w:t>
      </w:r>
      <w:r w:rsidRPr="00CC08B1">
        <w:rPr>
          <w:rFonts w:eastAsia="Times New Roman" w:cs="Arial"/>
          <w:color w:val="000000"/>
          <w:szCs w:val="20"/>
          <w:lang w:eastAsia="bg-BG"/>
        </w:rPr>
        <w:t xml:space="preserve">таблетки: Всяка таблетка съдържа 6.25 </w:t>
      </w:r>
      <w:r w:rsidRPr="00CC08B1">
        <w:rPr>
          <w:rFonts w:eastAsia="Times New Roman" w:cs="Arial"/>
          <w:color w:val="000000"/>
          <w:szCs w:val="20"/>
          <w:lang w:val="en-US"/>
        </w:rPr>
        <w:t xml:space="preserve">mg </w:t>
      </w:r>
      <w:r w:rsidRPr="00CC08B1">
        <w:rPr>
          <w:rFonts w:eastAsia="Times New Roman" w:cs="Arial"/>
          <w:color w:val="000000"/>
          <w:szCs w:val="20"/>
          <w:lang w:eastAsia="bg-BG"/>
        </w:rPr>
        <w:t xml:space="preserve">карведилол </w:t>
      </w:r>
      <w:r w:rsidRPr="00CC08B1">
        <w:rPr>
          <w:rFonts w:eastAsia="Times New Roman" w:cs="Arial"/>
          <w:color w:val="000000"/>
          <w:szCs w:val="20"/>
          <w:lang w:val="en-US"/>
        </w:rPr>
        <w:t>(carvedilol).</w:t>
      </w:r>
    </w:p>
    <w:p w14:paraId="0A1C4929" w14:textId="208A1135" w:rsidR="00CC08B1" w:rsidRDefault="00CC08B1" w:rsidP="00CC08B1">
      <w:pPr>
        <w:rPr>
          <w:rFonts w:eastAsia="Times New Roman" w:cs="Arial"/>
          <w:color w:val="000000"/>
          <w:szCs w:val="20"/>
          <w:lang w:val="en-US"/>
        </w:rPr>
      </w:pPr>
      <w:r w:rsidRPr="00CC08B1">
        <w:rPr>
          <w:rFonts w:eastAsia="Times New Roman" w:cs="Arial"/>
          <w:color w:val="000000"/>
          <w:szCs w:val="20"/>
          <w:lang w:val="en-US"/>
        </w:rPr>
        <w:t>ABEP</w:t>
      </w:r>
      <w:r w:rsidRPr="00CC08B1">
        <w:rPr>
          <w:rFonts w:eastAsia="Times New Roman" w:cs="Arial"/>
          <w:color w:val="000000"/>
          <w:szCs w:val="20"/>
          <w:lang w:eastAsia="bg-BG"/>
        </w:rPr>
        <w:t>Н</w:t>
      </w:r>
      <w:r w:rsidRPr="00CC08B1">
        <w:rPr>
          <w:rFonts w:eastAsia="Times New Roman" w:cs="Arial"/>
          <w:color w:val="000000"/>
          <w:szCs w:val="20"/>
          <w:lang w:val="en-US"/>
        </w:rPr>
        <w:t>O</w:t>
      </w:r>
      <w:r w:rsidRPr="00CC08B1">
        <w:rPr>
          <w:rFonts w:eastAsia="Times New Roman" w:cs="Arial"/>
          <w:color w:val="000000"/>
          <w:szCs w:val="20"/>
          <w:lang w:eastAsia="bg-BG"/>
        </w:rPr>
        <w:t>Л</w:t>
      </w:r>
      <w:r w:rsidRPr="00CC08B1">
        <w:rPr>
          <w:rFonts w:eastAsia="Times New Roman" w:cs="Arial"/>
          <w:color w:val="000000"/>
          <w:szCs w:val="20"/>
          <w:lang w:val="en-US"/>
        </w:rPr>
        <w:t xml:space="preserve"> </w:t>
      </w:r>
      <w:r w:rsidRPr="00CC08B1">
        <w:rPr>
          <w:rFonts w:eastAsia="Times New Roman" w:cs="Arial"/>
          <w:color w:val="000000"/>
          <w:szCs w:val="20"/>
          <w:lang w:eastAsia="bg-BG"/>
        </w:rPr>
        <w:t xml:space="preserve">25 </w:t>
      </w:r>
      <w:r w:rsidRPr="00CC08B1">
        <w:rPr>
          <w:rFonts w:eastAsia="Times New Roman" w:cs="Arial"/>
          <w:color w:val="000000"/>
          <w:szCs w:val="20"/>
          <w:lang w:val="en-US"/>
        </w:rPr>
        <w:t xml:space="preserve">mg </w:t>
      </w:r>
      <w:r w:rsidRPr="00CC08B1">
        <w:rPr>
          <w:rFonts w:eastAsia="Times New Roman" w:cs="Arial"/>
          <w:color w:val="000000"/>
          <w:szCs w:val="20"/>
          <w:lang w:eastAsia="bg-BG"/>
        </w:rPr>
        <w:t xml:space="preserve">таблетки: Всяка таблетка съдържа 25 </w:t>
      </w:r>
      <w:r w:rsidRPr="00CC08B1">
        <w:rPr>
          <w:rFonts w:eastAsia="Times New Roman" w:cs="Arial"/>
          <w:color w:val="000000"/>
          <w:szCs w:val="20"/>
          <w:lang w:val="en-US"/>
        </w:rPr>
        <w:t xml:space="preserve">mg </w:t>
      </w:r>
      <w:r w:rsidRPr="00CC08B1">
        <w:rPr>
          <w:rFonts w:eastAsia="Times New Roman" w:cs="Arial"/>
          <w:color w:val="000000"/>
          <w:szCs w:val="20"/>
          <w:lang w:eastAsia="bg-BG"/>
        </w:rPr>
        <w:t xml:space="preserve">карведилол </w:t>
      </w:r>
      <w:r w:rsidRPr="00CC08B1">
        <w:rPr>
          <w:rFonts w:eastAsia="Times New Roman" w:cs="Arial"/>
          <w:color w:val="000000"/>
          <w:szCs w:val="20"/>
          <w:lang w:val="en-US"/>
        </w:rPr>
        <w:t>(carvedilol).</w:t>
      </w:r>
    </w:p>
    <w:p w14:paraId="6BC2DF84" w14:textId="77777777" w:rsidR="00CC08B1" w:rsidRPr="00CC08B1" w:rsidRDefault="00CC08B1" w:rsidP="00CC08B1">
      <w:pPr>
        <w:rPr>
          <w:rFonts w:cs="Arial"/>
          <w:sz w:val="24"/>
        </w:rPr>
      </w:pPr>
    </w:p>
    <w:p w14:paraId="614984C4" w14:textId="29052491" w:rsidR="008A6AF2" w:rsidRDefault="00DD466D" w:rsidP="002C50EE">
      <w:pPr>
        <w:pStyle w:val="Heading1"/>
      </w:pPr>
      <w:r>
        <w:t>3. ЛЕКАРСТВЕНА ФОРМА</w:t>
      </w:r>
    </w:p>
    <w:p w14:paraId="685F0685" w14:textId="77777777" w:rsidR="00CC08B1" w:rsidRDefault="00CC08B1" w:rsidP="00CC08B1"/>
    <w:p w14:paraId="5C3B91B3" w14:textId="2E254F46" w:rsidR="00CC08B1" w:rsidRPr="00CC08B1" w:rsidRDefault="00CC08B1" w:rsidP="00CC08B1">
      <w:pPr>
        <w:rPr>
          <w:sz w:val="24"/>
        </w:rPr>
      </w:pPr>
      <w:r w:rsidRPr="00CC08B1">
        <w:rPr>
          <w:szCs w:val="20"/>
        </w:rPr>
        <w:t>Таблетки за перорално приложение.</w:t>
      </w:r>
    </w:p>
    <w:p w14:paraId="490FC2C4" w14:textId="2E05ACD0" w:rsidR="002C50EE" w:rsidRDefault="002C50EE" w:rsidP="002C50EE">
      <w:pPr>
        <w:pStyle w:val="Heading1"/>
      </w:pPr>
      <w:r>
        <w:t>4. КЛИНИЧНИ ДАННИ</w:t>
      </w:r>
    </w:p>
    <w:p w14:paraId="2AC363BB" w14:textId="77777777" w:rsidR="00CC08B1" w:rsidRPr="00CC08B1" w:rsidRDefault="00CC08B1" w:rsidP="00CC08B1"/>
    <w:p w14:paraId="0C8E6903" w14:textId="24D5D14E" w:rsidR="008134C8" w:rsidRDefault="002C50EE" w:rsidP="004A448E">
      <w:pPr>
        <w:pStyle w:val="Heading2"/>
      </w:pPr>
      <w:r>
        <w:t>4.1. Терапевтични показания</w:t>
      </w:r>
    </w:p>
    <w:p w14:paraId="39CB650B" w14:textId="4AF02A51" w:rsidR="00CC08B1" w:rsidRDefault="00CC08B1" w:rsidP="00CC08B1"/>
    <w:p w14:paraId="1FC0E9D7" w14:textId="77777777" w:rsidR="00CC08B1" w:rsidRPr="00CC08B1" w:rsidRDefault="00CC08B1" w:rsidP="00CC08B1">
      <w:pPr>
        <w:spacing w:line="240" w:lineRule="auto"/>
        <w:rPr>
          <w:rFonts w:eastAsia="Times New Roman" w:cs="Arial"/>
          <w:sz w:val="28"/>
          <w:szCs w:val="24"/>
          <w:lang w:eastAsia="bg-BG"/>
        </w:rPr>
      </w:pPr>
      <w:r w:rsidRPr="00CC08B1">
        <w:rPr>
          <w:rFonts w:eastAsia="Times New Roman" w:cs="Arial"/>
          <w:color w:val="000000"/>
          <w:szCs w:val="20"/>
          <w:lang w:eastAsia="bg-BG"/>
        </w:rPr>
        <w:t>АВЕРНОЛ е показан за лечение на хипертония. Освен това е показан като адювантпа терапия към стандартно лечение (диуретици. дигоксин и АСЕ- инхибитори) на стабилна лека, умерена и тежка хронична сърдечна недостатъчност.</w:t>
      </w:r>
    </w:p>
    <w:p w14:paraId="7A943EAA" w14:textId="2970929D" w:rsidR="00CC08B1" w:rsidRDefault="00CC08B1" w:rsidP="00CC08B1">
      <w:pPr>
        <w:rPr>
          <w:rFonts w:eastAsia="Times New Roman" w:cs="Arial"/>
          <w:color w:val="000000"/>
          <w:szCs w:val="20"/>
          <w:lang w:eastAsia="bg-BG"/>
        </w:rPr>
      </w:pPr>
      <w:r w:rsidRPr="00CC08B1">
        <w:rPr>
          <w:rFonts w:eastAsia="Times New Roman" w:cs="Arial"/>
          <w:color w:val="000000"/>
          <w:szCs w:val="20"/>
          <w:lang w:val="en-US"/>
        </w:rPr>
        <w:t>ABEP</w:t>
      </w:r>
      <w:r w:rsidRPr="00CC08B1">
        <w:rPr>
          <w:rFonts w:eastAsia="Times New Roman" w:cs="Arial"/>
          <w:color w:val="000000"/>
          <w:szCs w:val="20"/>
          <w:lang w:eastAsia="bg-BG"/>
        </w:rPr>
        <w:t>Н</w:t>
      </w:r>
      <w:r w:rsidRPr="00CC08B1">
        <w:rPr>
          <w:rFonts w:eastAsia="Times New Roman" w:cs="Arial"/>
          <w:color w:val="000000"/>
          <w:szCs w:val="20"/>
          <w:lang w:val="en-US"/>
        </w:rPr>
        <w:t>O</w:t>
      </w:r>
      <w:r w:rsidRPr="00CC08B1">
        <w:rPr>
          <w:rFonts w:eastAsia="Times New Roman" w:cs="Arial"/>
          <w:color w:val="000000"/>
          <w:szCs w:val="20"/>
          <w:lang w:eastAsia="bg-BG"/>
        </w:rPr>
        <w:t>Л е показан също за профилактика па стабилна стенокардия.</w:t>
      </w:r>
    </w:p>
    <w:p w14:paraId="5EB554D8" w14:textId="77777777" w:rsidR="00DC3050" w:rsidRPr="00CC08B1" w:rsidRDefault="00DC3050" w:rsidP="00CC08B1">
      <w:pPr>
        <w:rPr>
          <w:rFonts w:cs="Arial"/>
          <w:sz w:val="24"/>
        </w:rPr>
      </w:pPr>
    </w:p>
    <w:p w14:paraId="30BE2C7B" w14:textId="48703D17" w:rsidR="008134C8" w:rsidRDefault="002C50EE" w:rsidP="004A448E">
      <w:pPr>
        <w:pStyle w:val="Heading2"/>
      </w:pPr>
      <w:r>
        <w:t>4.2. Дозировка и начин на приложение</w:t>
      </w:r>
    </w:p>
    <w:p w14:paraId="14E485E8" w14:textId="1DF1D400" w:rsidR="00CC08B1" w:rsidRDefault="00CC08B1" w:rsidP="00CC08B1"/>
    <w:p w14:paraId="3DD5081F" w14:textId="77777777" w:rsidR="00CC08B1" w:rsidRPr="00CC08B1" w:rsidRDefault="00CC08B1" w:rsidP="00CC08B1">
      <w:pPr>
        <w:spacing w:line="240" w:lineRule="auto"/>
        <w:rPr>
          <w:rFonts w:eastAsia="Times New Roman" w:cs="Arial"/>
          <w:sz w:val="28"/>
          <w:szCs w:val="24"/>
          <w:lang w:eastAsia="bg-BG"/>
        </w:rPr>
      </w:pPr>
      <w:r w:rsidRPr="00CC08B1">
        <w:rPr>
          <w:rFonts w:eastAsia="Times New Roman" w:cs="Arial"/>
          <w:color w:val="000000"/>
          <w:szCs w:val="20"/>
          <w:lang w:val="en-US"/>
        </w:rPr>
        <w:t>ABEP</w:t>
      </w:r>
      <w:r w:rsidRPr="00CC08B1">
        <w:rPr>
          <w:rFonts w:eastAsia="Times New Roman" w:cs="Arial"/>
          <w:color w:val="000000"/>
          <w:szCs w:val="20"/>
          <w:lang w:eastAsia="bg-BG"/>
        </w:rPr>
        <w:t>Н</w:t>
      </w:r>
      <w:r w:rsidRPr="00CC08B1">
        <w:rPr>
          <w:rFonts w:eastAsia="Times New Roman" w:cs="Arial"/>
          <w:color w:val="000000"/>
          <w:szCs w:val="20"/>
          <w:lang w:val="en-US"/>
        </w:rPr>
        <w:t>O</w:t>
      </w:r>
      <w:r w:rsidRPr="00CC08B1">
        <w:rPr>
          <w:rFonts w:eastAsia="Times New Roman" w:cs="Arial"/>
          <w:color w:val="000000"/>
          <w:szCs w:val="20"/>
          <w:lang w:eastAsia="bg-BG"/>
        </w:rPr>
        <w:t>Л таблетки трябва да се приемат с течност.</w:t>
      </w:r>
    </w:p>
    <w:p w14:paraId="615EB8BF" w14:textId="5DD6F943" w:rsidR="00CC08B1" w:rsidRDefault="00CC08B1" w:rsidP="00CC08B1">
      <w:pPr>
        <w:rPr>
          <w:rFonts w:eastAsia="Times New Roman" w:cs="Arial"/>
          <w:color w:val="000000"/>
          <w:szCs w:val="20"/>
          <w:lang w:eastAsia="bg-BG"/>
        </w:rPr>
      </w:pPr>
      <w:r w:rsidRPr="00CC08B1">
        <w:rPr>
          <w:rFonts w:eastAsia="Times New Roman" w:cs="Arial"/>
          <w:color w:val="000000"/>
          <w:szCs w:val="20"/>
          <w:lang w:eastAsia="bg-BG"/>
        </w:rPr>
        <w:t xml:space="preserve">Пациентите с хронична сърдечна недостатъчност трябва да приемат </w:t>
      </w:r>
      <w:r w:rsidRPr="00CC08B1">
        <w:rPr>
          <w:rFonts w:eastAsia="Times New Roman" w:cs="Arial"/>
          <w:color w:val="000000"/>
          <w:szCs w:val="20"/>
          <w:lang w:val="en-US"/>
        </w:rPr>
        <w:t>ABEP</w:t>
      </w:r>
      <w:r w:rsidRPr="00CC08B1">
        <w:rPr>
          <w:rFonts w:eastAsia="Times New Roman" w:cs="Arial"/>
          <w:color w:val="000000"/>
          <w:szCs w:val="20"/>
          <w:lang w:eastAsia="bg-BG"/>
        </w:rPr>
        <w:t>Н</w:t>
      </w:r>
      <w:r w:rsidRPr="00CC08B1">
        <w:rPr>
          <w:rFonts w:eastAsia="Times New Roman" w:cs="Arial"/>
          <w:color w:val="000000"/>
          <w:szCs w:val="20"/>
          <w:lang w:val="en-US"/>
        </w:rPr>
        <w:t>O</w:t>
      </w:r>
      <w:r w:rsidRPr="00CC08B1">
        <w:rPr>
          <w:rFonts w:eastAsia="Times New Roman" w:cs="Arial"/>
          <w:color w:val="000000"/>
          <w:szCs w:val="20"/>
          <w:lang w:eastAsia="bg-BG"/>
        </w:rPr>
        <w:t>Л с храна.</w:t>
      </w:r>
    </w:p>
    <w:p w14:paraId="1B257787" w14:textId="07673702" w:rsidR="00CC08B1" w:rsidRDefault="00CC08B1" w:rsidP="00CC08B1">
      <w:pPr>
        <w:rPr>
          <w:rFonts w:eastAsia="Times New Roman" w:cs="Arial"/>
          <w:color w:val="000000"/>
          <w:szCs w:val="20"/>
          <w:lang w:eastAsia="bg-BG"/>
        </w:rPr>
      </w:pPr>
    </w:p>
    <w:p w14:paraId="3DF60D4D" w14:textId="77777777" w:rsidR="00CC08B1" w:rsidRPr="00CC08B1" w:rsidRDefault="00CC08B1" w:rsidP="00CC08B1">
      <w:pPr>
        <w:spacing w:line="240" w:lineRule="auto"/>
        <w:rPr>
          <w:rFonts w:ascii="Times New Roman" w:eastAsia="Times New Roman" w:hAnsi="Times New Roman" w:cs="Times New Roman"/>
          <w:sz w:val="24"/>
          <w:szCs w:val="24"/>
          <w:lang w:eastAsia="bg-BG"/>
        </w:rPr>
      </w:pPr>
      <w:bookmarkStart w:id="2" w:name="bookmark0"/>
      <w:r w:rsidRPr="00CC08B1">
        <w:rPr>
          <w:rFonts w:ascii="Times New Roman" w:eastAsia="Times New Roman" w:hAnsi="Times New Roman" w:cs="Times New Roman"/>
          <w:b/>
          <w:bCs/>
          <w:color w:val="000000"/>
          <w:sz w:val="24"/>
          <w:szCs w:val="24"/>
          <w:lang w:eastAsia="bg-BG"/>
        </w:rPr>
        <w:t>А. Симтоматична хронична сърдечна недостатъчност</w:t>
      </w:r>
      <w:bookmarkEnd w:id="2"/>
    </w:p>
    <w:p w14:paraId="4EAAE1BD" w14:textId="77777777" w:rsidR="00CC08B1" w:rsidRDefault="00CC08B1" w:rsidP="00CC08B1">
      <w:pPr>
        <w:spacing w:line="240" w:lineRule="auto"/>
        <w:rPr>
          <w:rFonts w:ascii="Times New Roman" w:eastAsia="Times New Roman" w:hAnsi="Times New Roman" w:cs="Times New Roman"/>
          <w:color w:val="000000"/>
          <w:sz w:val="20"/>
          <w:szCs w:val="20"/>
          <w:lang w:eastAsia="bg-BG"/>
        </w:rPr>
      </w:pPr>
    </w:p>
    <w:p w14:paraId="23691865" w14:textId="6296CFB3" w:rsidR="00CC08B1" w:rsidRPr="00CC08B1" w:rsidRDefault="00CC08B1" w:rsidP="00CC08B1">
      <w:pPr>
        <w:spacing w:line="240" w:lineRule="auto"/>
        <w:rPr>
          <w:rFonts w:eastAsia="Times New Roman" w:cs="Arial"/>
          <w:sz w:val="28"/>
          <w:szCs w:val="24"/>
          <w:lang w:eastAsia="bg-BG"/>
        </w:rPr>
      </w:pPr>
      <w:r w:rsidRPr="00CC08B1">
        <w:rPr>
          <w:rFonts w:eastAsia="Times New Roman" w:cs="Arial"/>
          <w:color w:val="000000"/>
          <w:szCs w:val="20"/>
          <w:lang w:eastAsia="bg-BG"/>
        </w:rPr>
        <w:t>Преди започване на лечението е АВЕРНОЛ трябва да се направи внимателна оценка на състоянието на пациента. Започването на лечение трябва да стане под контрола на лекар в болница. Здравен специалист с опит в лечението на сърдечна недостатъчност трябва да оцени клиничния статус на пациента преди всяка последваща промяна на дозата, за да се потвърди, че клиничният статус на пациента се запазва стабилен. При пациенти с влошаваща се сърдечна недостатъчност или с признаци за декомпенсирала или нестабилна сърдечна недостатъчност не трябва да се повишава дозата на карведилол, определена при последната визита.</w:t>
      </w:r>
    </w:p>
    <w:p w14:paraId="62C78F71" w14:textId="77777777" w:rsidR="00CC08B1" w:rsidRPr="00CC08B1" w:rsidRDefault="00CC08B1" w:rsidP="00CC08B1">
      <w:pPr>
        <w:spacing w:line="240" w:lineRule="auto"/>
        <w:rPr>
          <w:rFonts w:eastAsia="Times New Roman" w:cs="Arial"/>
          <w:color w:val="000000"/>
          <w:szCs w:val="20"/>
          <w:lang w:eastAsia="bg-BG"/>
        </w:rPr>
      </w:pPr>
    </w:p>
    <w:p w14:paraId="11D990DE" w14:textId="0CA2F617" w:rsidR="00CC08B1" w:rsidRPr="00CC08B1" w:rsidRDefault="00CC08B1" w:rsidP="00CC08B1">
      <w:pPr>
        <w:spacing w:line="240" w:lineRule="auto"/>
        <w:rPr>
          <w:rFonts w:eastAsia="Times New Roman" w:cs="Arial"/>
          <w:sz w:val="28"/>
          <w:szCs w:val="24"/>
          <w:lang w:eastAsia="bg-BG"/>
        </w:rPr>
      </w:pPr>
      <w:r w:rsidRPr="00CC08B1">
        <w:rPr>
          <w:rFonts w:eastAsia="Times New Roman" w:cs="Arial"/>
          <w:color w:val="000000"/>
          <w:szCs w:val="20"/>
          <w:lang w:eastAsia="bg-BG"/>
        </w:rPr>
        <w:lastRenderedPageBreak/>
        <w:t>Титрирането на дозата трябва да се индивидуализира.</w:t>
      </w:r>
    </w:p>
    <w:p w14:paraId="7A5C6D29" w14:textId="77777777" w:rsidR="00CC08B1" w:rsidRPr="00CC08B1" w:rsidRDefault="00CC08B1" w:rsidP="00CC08B1">
      <w:pPr>
        <w:rPr>
          <w:rFonts w:eastAsia="Times New Roman" w:cs="Arial"/>
          <w:color w:val="000000"/>
          <w:szCs w:val="20"/>
          <w:lang w:eastAsia="bg-BG"/>
        </w:rPr>
      </w:pPr>
    </w:p>
    <w:p w14:paraId="1DB60DB6" w14:textId="3E6C0759" w:rsidR="00CC08B1" w:rsidRDefault="00CC08B1" w:rsidP="00CC08B1">
      <w:pPr>
        <w:rPr>
          <w:rFonts w:eastAsia="Times New Roman" w:cs="Arial"/>
          <w:color w:val="000000"/>
          <w:szCs w:val="20"/>
          <w:lang w:eastAsia="bg-BG"/>
        </w:rPr>
      </w:pPr>
      <w:r w:rsidRPr="00CC08B1">
        <w:rPr>
          <w:rFonts w:eastAsia="Times New Roman" w:cs="Arial"/>
          <w:color w:val="000000"/>
          <w:szCs w:val="20"/>
          <w:lang w:eastAsia="bg-BG"/>
        </w:rPr>
        <w:t>Дозата на диуретиците и/или дигоксина и/или АСЕ-инхибиторите трябва да бъде уточнена преди започване на лечение с ABEPНOЛ.</w:t>
      </w:r>
    </w:p>
    <w:p w14:paraId="5162A4C4" w14:textId="5057DF53" w:rsidR="00CA1080" w:rsidRDefault="00CA1080" w:rsidP="00CC08B1">
      <w:pPr>
        <w:rPr>
          <w:rFonts w:eastAsia="Times New Roman" w:cs="Arial"/>
          <w:color w:val="000000"/>
          <w:szCs w:val="20"/>
          <w:lang w:eastAsia="bg-BG"/>
        </w:rPr>
      </w:pPr>
    </w:p>
    <w:p w14:paraId="1AC6BCAD" w14:textId="77777777" w:rsidR="00CA1080" w:rsidRPr="00CA1080" w:rsidRDefault="00CA1080" w:rsidP="00CA1080">
      <w:pPr>
        <w:spacing w:line="240" w:lineRule="auto"/>
        <w:rPr>
          <w:rFonts w:eastAsia="Times New Roman" w:cs="Arial"/>
          <w:lang w:eastAsia="bg-BG"/>
        </w:rPr>
      </w:pPr>
      <w:r w:rsidRPr="00CA1080">
        <w:rPr>
          <w:rFonts w:eastAsia="Times New Roman" w:cs="Arial"/>
          <w:b/>
          <w:bCs/>
          <w:i/>
          <w:iCs/>
          <w:color w:val="000000"/>
          <w:lang w:eastAsia="bg-BG"/>
        </w:rPr>
        <w:t>Възрастни</w:t>
      </w:r>
    </w:p>
    <w:p w14:paraId="5540EECC" w14:textId="77777777" w:rsidR="00CA1080" w:rsidRPr="00CA1080" w:rsidRDefault="00CA1080" w:rsidP="00CA1080">
      <w:pPr>
        <w:spacing w:line="240" w:lineRule="auto"/>
        <w:rPr>
          <w:rFonts w:eastAsia="Times New Roman" w:cs="Arial"/>
          <w:lang w:eastAsia="bg-BG"/>
        </w:rPr>
      </w:pPr>
      <w:r w:rsidRPr="00CA1080">
        <w:rPr>
          <w:rFonts w:eastAsia="Times New Roman" w:cs="Arial"/>
          <w:color w:val="000000"/>
          <w:lang w:eastAsia="bg-BG"/>
        </w:rPr>
        <w:t xml:space="preserve">Препоръчителната доза за първите две седмици лечение е 3.125 </w:t>
      </w:r>
      <w:r w:rsidRPr="00CA1080">
        <w:rPr>
          <w:rFonts w:eastAsia="Times New Roman" w:cs="Arial"/>
          <w:color w:val="000000"/>
          <w:lang w:val="en-US"/>
        </w:rPr>
        <w:t xml:space="preserve">mg </w:t>
      </w:r>
      <w:r w:rsidRPr="00CA1080">
        <w:rPr>
          <w:rFonts w:eastAsia="Times New Roman" w:cs="Arial"/>
          <w:color w:val="000000"/>
          <w:lang w:eastAsia="bg-BG"/>
        </w:rPr>
        <w:t xml:space="preserve">два пъти дневно. Дозата, ако се понася добре, трябва да се повишава постепенно, винаги през интервали от поне две седмици, до 6.25 </w:t>
      </w:r>
      <w:r w:rsidRPr="00CA1080">
        <w:rPr>
          <w:rFonts w:eastAsia="Times New Roman" w:cs="Arial"/>
          <w:color w:val="000000"/>
          <w:lang w:val="en-US"/>
        </w:rPr>
        <w:t xml:space="preserve">mg </w:t>
      </w:r>
      <w:r w:rsidRPr="00CA1080">
        <w:rPr>
          <w:rFonts w:eastAsia="Times New Roman" w:cs="Arial"/>
          <w:color w:val="000000"/>
          <w:lang w:eastAsia="bg-BG"/>
        </w:rPr>
        <w:t xml:space="preserve">два пъти дневно, последвано от 12.5 </w:t>
      </w:r>
      <w:r w:rsidRPr="00CA1080">
        <w:rPr>
          <w:rFonts w:eastAsia="Times New Roman" w:cs="Arial"/>
          <w:color w:val="000000"/>
          <w:lang w:val="en-US"/>
        </w:rPr>
        <w:t xml:space="preserve">mg </w:t>
      </w:r>
      <w:r w:rsidRPr="00CA1080">
        <w:rPr>
          <w:rFonts w:eastAsia="Times New Roman" w:cs="Arial"/>
          <w:color w:val="000000"/>
          <w:lang w:eastAsia="bg-BG"/>
        </w:rPr>
        <w:t xml:space="preserve">два пъти дневно и едва след това на 25 </w:t>
      </w:r>
      <w:r w:rsidRPr="00CA1080">
        <w:rPr>
          <w:rFonts w:eastAsia="Times New Roman" w:cs="Arial"/>
          <w:color w:val="000000"/>
          <w:lang w:val="en-US"/>
        </w:rPr>
        <w:t xml:space="preserve">mg </w:t>
      </w:r>
      <w:r w:rsidRPr="00CA1080">
        <w:rPr>
          <w:rFonts w:eastAsia="Times New Roman" w:cs="Arial"/>
          <w:color w:val="000000"/>
          <w:lang w:eastAsia="bg-BG"/>
        </w:rPr>
        <w:t xml:space="preserve">два пъти дневно. Дозата трябва да се повишава до най-високите нива, които се понасят от пациента. Препоръчваната максимална дневна доза за всички пациенти с тежка хронична сърдечна недостатъчност и за пациентите с лека до умерена хронична сърдечна недостатъчност с тегло под 85 </w:t>
      </w:r>
      <w:r w:rsidRPr="00CA1080">
        <w:rPr>
          <w:rFonts w:eastAsia="Times New Roman" w:cs="Arial"/>
          <w:color w:val="000000"/>
          <w:lang w:val="en-US"/>
        </w:rPr>
        <w:t xml:space="preserve">kg </w:t>
      </w:r>
      <w:r w:rsidRPr="00CA1080">
        <w:rPr>
          <w:rFonts w:eastAsia="Times New Roman" w:cs="Arial"/>
          <w:color w:val="000000"/>
          <w:lang w:eastAsia="bg-BG"/>
        </w:rPr>
        <w:t xml:space="preserve">(187 </w:t>
      </w:r>
      <w:proofErr w:type="spellStart"/>
      <w:r w:rsidRPr="00CA1080">
        <w:rPr>
          <w:rFonts w:eastAsia="Times New Roman" w:cs="Arial"/>
          <w:color w:val="000000"/>
          <w:lang w:val="en-US"/>
        </w:rPr>
        <w:t>lbs</w:t>
      </w:r>
      <w:proofErr w:type="spellEnd"/>
      <w:r w:rsidRPr="00CA1080">
        <w:rPr>
          <w:rFonts w:eastAsia="Times New Roman" w:cs="Arial"/>
          <w:color w:val="000000"/>
          <w:lang w:val="en-US"/>
        </w:rPr>
        <w:t xml:space="preserve">) </w:t>
      </w:r>
      <w:r w:rsidRPr="00CA1080">
        <w:rPr>
          <w:rFonts w:eastAsia="Times New Roman" w:cs="Arial"/>
          <w:color w:val="000000"/>
          <w:lang w:eastAsia="bg-BG"/>
        </w:rPr>
        <w:t xml:space="preserve">е 25 </w:t>
      </w:r>
      <w:r w:rsidRPr="00CA1080">
        <w:rPr>
          <w:rFonts w:eastAsia="Times New Roman" w:cs="Arial"/>
          <w:color w:val="000000"/>
          <w:lang w:val="en-US"/>
        </w:rPr>
        <w:t xml:space="preserve">mg, </w:t>
      </w:r>
      <w:r w:rsidRPr="00CA1080">
        <w:rPr>
          <w:rFonts w:eastAsia="Times New Roman" w:cs="Arial"/>
          <w:color w:val="000000"/>
          <w:lang w:eastAsia="bg-BG"/>
        </w:rPr>
        <w:t xml:space="preserve">два пъти дневно. За пациенти с лека или умерена хронична сърдечна недостатъчност с тегло над 85 </w:t>
      </w:r>
      <w:r w:rsidRPr="00CA1080">
        <w:rPr>
          <w:rFonts w:eastAsia="Times New Roman" w:cs="Arial"/>
          <w:color w:val="000000"/>
          <w:lang w:val="en-US"/>
        </w:rPr>
        <w:t xml:space="preserve">kg. </w:t>
      </w:r>
      <w:r w:rsidRPr="00CA1080">
        <w:rPr>
          <w:rFonts w:eastAsia="Times New Roman" w:cs="Arial"/>
          <w:color w:val="000000"/>
          <w:lang w:eastAsia="bg-BG"/>
        </w:rPr>
        <w:t xml:space="preserve">препоръчителната максимална доза е 50 </w:t>
      </w:r>
      <w:r w:rsidRPr="00CA1080">
        <w:rPr>
          <w:rFonts w:eastAsia="Times New Roman" w:cs="Arial"/>
          <w:color w:val="000000"/>
          <w:lang w:val="en-US"/>
        </w:rPr>
        <w:t xml:space="preserve">mg </w:t>
      </w:r>
      <w:r w:rsidRPr="00CA1080">
        <w:rPr>
          <w:rFonts w:eastAsia="Times New Roman" w:cs="Arial"/>
          <w:color w:val="000000"/>
          <w:lang w:eastAsia="bg-BG"/>
        </w:rPr>
        <w:t>два пъти дневно.</w:t>
      </w:r>
    </w:p>
    <w:p w14:paraId="525207E9" w14:textId="77777777" w:rsidR="00CA1080" w:rsidRPr="00CA1080" w:rsidRDefault="00CA1080" w:rsidP="00CA1080">
      <w:pPr>
        <w:rPr>
          <w:rFonts w:eastAsia="Times New Roman" w:cs="Arial"/>
          <w:color w:val="000000"/>
          <w:lang w:eastAsia="bg-BG"/>
        </w:rPr>
      </w:pPr>
    </w:p>
    <w:p w14:paraId="2532D899" w14:textId="77777777" w:rsidR="00CA1080" w:rsidRPr="00CA1080" w:rsidRDefault="00CA1080" w:rsidP="00CA1080">
      <w:r w:rsidRPr="00CA1080">
        <w:rPr>
          <w:rFonts w:eastAsia="Times New Roman" w:cs="Arial"/>
          <w:color w:val="000000"/>
          <w:lang w:eastAsia="bg-BG"/>
        </w:rPr>
        <w:t>По време на титруването на дозата нагоре при пациентите със систолично атериално налягане &lt;100</w:t>
      </w:r>
      <w:r w:rsidRPr="00CA1080">
        <w:rPr>
          <w:rFonts w:eastAsia="Times New Roman" w:cs="Arial"/>
          <w:color w:val="000000"/>
          <w:lang w:val="en-US"/>
        </w:rPr>
        <w:t xml:space="preserve">mmHg </w:t>
      </w:r>
      <w:r w:rsidRPr="00CA1080">
        <w:rPr>
          <w:rFonts w:eastAsia="Times New Roman" w:cs="Arial"/>
          <w:color w:val="000000"/>
          <w:lang w:eastAsia="bg-BG"/>
        </w:rPr>
        <w:t>може да се прояви влошаване на бъбречната и/или сърдечната функция. Затова преди всяко повишаване на дозата, тези пациенти подлежат на оценка на бъбречната функция и симптомите за влошаване на сърдечната недостатъчност или вазодилатация. В случай на</w:t>
      </w:r>
      <w:r>
        <w:rPr>
          <w:rFonts w:eastAsia="Times New Roman" w:cs="Arial"/>
          <w:color w:val="000000"/>
          <w:lang w:eastAsia="bg-BG"/>
        </w:rPr>
        <w:t xml:space="preserve"> </w:t>
      </w:r>
      <w:r w:rsidRPr="00CA1080">
        <w:t>преходно влошаване на сърдечната функция, вазодилатация или задържане на течности пациентите могат да бъдат третирани чрез промяна на дозите на диуретиците или АСЕ-инхибиторите или е промяна или временно спиране на лечението с ABEPНOЛ. При тези обстоятелства, докато не се стабилизират симптомите на влошаване на сърдечната недостатъчност или вазодилатацията. дозата на ABEPНOЛ не трябва да се повишава.</w:t>
      </w:r>
    </w:p>
    <w:p w14:paraId="2AAC3874" w14:textId="77777777" w:rsidR="00CA1080" w:rsidRPr="00CA1080" w:rsidRDefault="00CA1080" w:rsidP="00CA1080">
      <w:r w:rsidRPr="00CA1080">
        <w:t xml:space="preserve">В случай па преустановяване па лечението с АВЕРНОЛ за повече от две седмици се препоръчва лечението да бъде започнато отново с доза от 3.125 </w:t>
      </w:r>
      <w:r w:rsidRPr="00CA1080">
        <w:rPr>
          <w:lang w:val="en-US"/>
        </w:rPr>
        <w:t xml:space="preserve">mg </w:t>
      </w:r>
      <w:r w:rsidRPr="00CA1080">
        <w:t>два пъти дневно и тя да бъде повишавана според указанията, посочени по-горе.</w:t>
      </w:r>
    </w:p>
    <w:p w14:paraId="68103C4D" w14:textId="77777777" w:rsidR="00CA1080" w:rsidRPr="00CA1080" w:rsidRDefault="00CA1080" w:rsidP="00CA1080">
      <w:pPr>
        <w:rPr>
          <w:b/>
          <w:bCs/>
          <w:i/>
          <w:iCs/>
        </w:rPr>
      </w:pPr>
    </w:p>
    <w:p w14:paraId="2BFE8FEF" w14:textId="26CB8093" w:rsidR="00CA1080" w:rsidRPr="00CA1080" w:rsidRDefault="00CA1080" w:rsidP="00CA1080">
      <w:r w:rsidRPr="00CA1080">
        <w:rPr>
          <w:b/>
          <w:bCs/>
          <w:i/>
          <w:iCs/>
        </w:rPr>
        <w:t>Пациенти в старческа възраст</w:t>
      </w:r>
    </w:p>
    <w:p w14:paraId="5FE49CD6" w14:textId="77777777" w:rsidR="00CA1080" w:rsidRPr="00CA1080" w:rsidRDefault="00CA1080" w:rsidP="00CA1080">
      <w:r w:rsidRPr="00CA1080">
        <w:t>Дозата за възрастни може да се дава на пациентите в старческа възраст.</w:t>
      </w:r>
    </w:p>
    <w:p w14:paraId="0823C076" w14:textId="77777777" w:rsidR="00CA1080" w:rsidRPr="00CA1080" w:rsidRDefault="00CA1080" w:rsidP="00CA1080">
      <w:pPr>
        <w:rPr>
          <w:b/>
          <w:bCs/>
          <w:i/>
          <w:iCs/>
        </w:rPr>
      </w:pPr>
    </w:p>
    <w:p w14:paraId="6061B5DA" w14:textId="51E638F4" w:rsidR="00CA1080" w:rsidRPr="00CA1080" w:rsidRDefault="00CA1080" w:rsidP="00CA1080">
      <w:r w:rsidRPr="00CA1080">
        <w:rPr>
          <w:b/>
          <w:bCs/>
          <w:i/>
          <w:iCs/>
        </w:rPr>
        <w:t>Деца</w:t>
      </w:r>
    </w:p>
    <w:p w14:paraId="1F8A4C8E" w14:textId="77777777" w:rsidR="00CA1080" w:rsidRPr="00CA1080" w:rsidRDefault="00CA1080" w:rsidP="00CA1080">
      <w:r w:rsidRPr="00CA1080">
        <w:t>ABEPНOЛ не е показан за деца под 18-годишна възраст, тъй като при тази възрастова група не е установена безопасност и ефикасност.</w:t>
      </w:r>
    </w:p>
    <w:p w14:paraId="7FD4E366" w14:textId="77777777" w:rsidR="00CA1080" w:rsidRPr="00CA1080" w:rsidRDefault="00CA1080" w:rsidP="00CA1080">
      <w:pPr>
        <w:rPr>
          <w:b/>
          <w:bCs/>
        </w:rPr>
      </w:pPr>
    </w:p>
    <w:p w14:paraId="17A7ADB1" w14:textId="5E9B1DD8" w:rsidR="00CA1080" w:rsidRPr="00CA1080" w:rsidRDefault="00CA1080" w:rsidP="00CA1080">
      <w:r w:rsidRPr="00CA1080">
        <w:rPr>
          <w:b/>
          <w:bCs/>
        </w:rPr>
        <w:t>В. Хипертония</w:t>
      </w:r>
    </w:p>
    <w:p w14:paraId="16BF2B6E" w14:textId="77777777" w:rsidR="00CA1080" w:rsidRPr="00CA1080" w:rsidRDefault="00CA1080" w:rsidP="00CA1080">
      <w:r w:rsidRPr="00CA1080">
        <w:t>Препоръките са за еднократно дозиране дневно.</w:t>
      </w:r>
    </w:p>
    <w:p w14:paraId="0AAEDB3B" w14:textId="77777777" w:rsidR="00CA1080" w:rsidRPr="00CA1080" w:rsidRDefault="00CA1080" w:rsidP="00CA1080">
      <w:pPr>
        <w:rPr>
          <w:b/>
          <w:bCs/>
          <w:i/>
          <w:iCs/>
        </w:rPr>
      </w:pPr>
    </w:p>
    <w:p w14:paraId="3EF1E36B" w14:textId="2524AA88" w:rsidR="00CA1080" w:rsidRPr="00CA1080" w:rsidRDefault="00CA1080" w:rsidP="00CA1080">
      <w:r w:rsidRPr="00CA1080">
        <w:rPr>
          <w:b/>
          <w:bCs/>
          <w:i/>
          <w:iCs/>
        </w:rPr>
        <w:t>Възрастни</w:t>
      </w:r>
    </w:p>
    <w:p w14:paraId="60AE4C25" w14:textId="77777777" w:rsidR="00CA1080" w:rsidRPr="00CA1080" w:rsidRDefault="00CA1080" w:rsidP="00CA1080">
      <w:r w:rsidRPr="00CA1080">
        <w:t xml:space="preserve">Лечението започва с 12.5 </w:t>
      </w:r>
      <w:r w:rsidRPr="00CA1080">
        <w:rPr>
          <w:lang w:val="en-US"/>
        </w:rPr>
        <w:t xml:space="preserve">mg </w:t>
      </w:r>
      <w:r w:rsidRPr="00CA1080">
        <w:t xml:space="preserve">веднъж дневно за първите два дни. След това препоръчваната доза е 25 </w:t>
      </w:r>
      <w:r w:rsidRPr="00CA1080">
        <w:rPr>
          <w:lang w:val="en-US"/>
        </w:rPr>
        <w:t xml:space="preserve">mg </w:t>
      </w:r>
      <w:r w:rsidRPr="00CA1080">
        <w:t xml:space="preserve">веднъж дневно, която се счита подходяща доза за повечето пациенти. Ако не е така, дозата може да се повиши до препоръчителната максимална доза от 50 </w:t>
      </w:r>
      <w:r w:rsidRPr="00CA1080">
        <w:rPr>
          <w:lang w:val="en-US"/>
        </w:rPr>
        <w:t xml:space="preserve">mg. </w:t>
      </w:r>
      <w:r w:rsidRPr="00CA1080">
        <w:t>дадени еднократно или като две дози дневно.</w:t>
      </w:r>
    </w:p>
    <w:p w14:paraId="06521BFB" w14:textId="77777777" w:rsidR="00CA1080" w:rsidRPr="00CA1080" w:rsidRDefault="00CA1080" w:rsidP="00CA1080"/>
    <w:p w14:paraId="19AC2433" w14:textId="711D2645" w:rsidR="00CA1080" w:rsidRPr="00CA1080" w:rsidRDefault="00CA1080" w:rsidP="00CA1080">
      <w:r w:rsidRPr="00CA1080">
        <w:t>Титрирането на дозата трябва да става на интервали от поне две седмици.</w:t>
      </w:r>
    </w:p>
    <w:p w14:paraId="2F3A567B" w14:textId="77777777" w:rsidR="00CA1080" w:rsidRPr="00CA1080" w:rsidRDefault="00CA1080" w:rsidP="00CA1080">
      <w:pPr>
        <w:rPr>
          <w:b/>
          <w:bCs/>
          <w:i/>
          <w:iCs/>
        </w:rPr>
      </w:pPr>
    </w:p>
    <w:p w14:paraId="7BF57C8F" w14:textId="170829DA" w:rsidR="00CA1080" w:rsidRPr="00CA1080" w:rsidRDefault="00CA1080" w:rsidP="00CA1080">
      <w:r w:rsidRPr="00CA1080">
        <w:rPr>
          <w:b/>
          <w:bCs/>
          <w:i/>
          <w:iCs/>
        </w:rPr>
        <w:lastRenderedPageBreak/>
        <w:t>Пациенти в старческа възраст</w:t>
      </w:r>
    </w:p>
    <w:p w14:paraId="561F511D" w14:textId="2EF85A37" w:rsidR="00CA1080" w:rsidRDefault="00CA1080" w:rsidP="00CA1080">
      <w:r w:rsidRPr="00CA1080">
        <w:t xml:space="preserve">Препоръката за започване на лечение е 12.5 </w:t>
      </w:r>
      <w:r w:rsidRPr="00CA1080">
        <w:rPr>
          <w:lang w:val="en-US"/>
        </w:rPr>
        <w:t xml:space="preserve">mg </w:t>
      </w:r>
      <w:r w:rsidRPr="00CA1080">
        <w:t xml:space="preserve">дневно. Ако отговорът е неадекватен, дозата може да се покачва до препоръчителната дневна максимална доза от 50 </w:t>
      </w:r>
      <w:r w:rsidRPr="00CA1080">
        <w:rPr>
          <w:lang w:val="en-US"/>
        </w:rPr>
        <w:t xml:space="preserve">mg, </w:t>
      </w:r>
      <w:r w:rsidRPr="00CA1080">
        <w:t>дадени еднократно или като две дози.</w:t>
      </w:r>
    </w:p>
    <w:p w14:paraId="08A9C2DB" w14:textId="73A4FAFC" w:rsidR="00CA1080" w:rsidRDefault="00CA1080" w:rsidP="00CA1080"/>
    <w:p w14:paraId="438E475F" w14:textId="77777777" w:rsidR="00CA1080" w:rsidRPr="00CA1080" w:rsidRDefault="00CA1080" w:rsidP="00CA1080">
      <w:pPr>
        <w:spacing w:line="240" w:lineRule="auto"/>
        <w:rPr>
          <w:rFonts w:eastAsia="Times New Roman" w:cs="Arial"/>
          <w:lang w:eastAsia="bg-BG"/>
        </w:rPr>
      </w:pPr>
      <w:r w:rsidRPr="00CA1080">
        <w:rPr>
          <w:rFonts w:eastAsia="Times New Roman" w:cs="Arial"/>
          <w:b/>
          <w:bCs/>
          <w:i/>
          <w:iCs/>
          <w:color w:val="000000"/>
          <w:lang w:eastAsia="bg-BG"/>
        </w:rPr>
        <w:t>Деца</w:t>
      </w:r>
    </w:p>
    <w:p w14:paraId="4454CF38" w14:textId="77777777" w:rsidR="00CA1080" w:rsidRPr="00CA1080" w:rsidRDefault="00CA1080" w:rsidP="00CA1080">
      <w:pPr>
        <w:spacing w:line="240" w:lineRule="auto"/>
        <w:rPr>
          <w:rFonts w:eastAsia="Times New Roman" w:cs="Arial"/>
          <w:lang w:eastAsia="bg-BG"/>
        </w:rPr>
      </w:pPr>
      <w:r w:rsidRPr="00CA1080">
        <w:rPr>
          <w:rFonts w:eastAsia="Times New Roman" w:cs="Arial"/>
          <w:color w:val="000000"/>
          <w:lang w:eastAsia="bg-BG"/>
        </w:rPr>
        <w:t>Безопасността и ефикасността при деца на възраст под 18 години не се установени.</w:t>
      </w:r>
    </w:p>
    <w:p w14:paraId="6B75F2EC" w14:textId="77777777" w:rsidR="00CA1080" w:rsidRPr="00CA1080" w:rsidRDefault="00CA1080" w:rsidP="00CA1080">
      <w:pPr>
        <w:spacing w:line="240" w:lineRule="auto"/>
        <w:rPr>
          <w:rFonts w:eastAsia="Times New Roman" w:cs="Arial"/>
          <w:b/>
          <w:bCs/>
          <w:color w:val="000000"/>
          <w:lang w:eastAsia="bg-BG"/>
        </w:rPr>
      </w:pPr>
    </w:p>
    <w:p w14:paraId="049E6AAB" w14:textId="6316598A" w:rsidR="00CA1080" w:rsidRPr="00CA1080" w:rsidRDefault="00CA1080" w:rsidP="00CA1080">
      <w:pPr>
        <w:spacing w:line="240" w:lineRule="auto"/>
        <w:rPr>
          <w:rFonts w:eastAsia="Times New Roman" w:cs="Arial"/>
          <w:lang w:eastAsia="bg-BG"/>
        </w:rPr>
      </w:pPr>
      <w:r w:rsidRPr="00CA1080">
        <w:rPr>
          <w:rFonts w:eastAsia="Times New Roman" w:cs="Arial"/>
          <w:b/>
          <w:bCs/>
          <w:color w:val="000000"/>
          <w:lang w:eastAsia="bg-BG"/>
        </w:rPr>
        <w:t>С. Стенокардия</w:t>
      </w:r>
    </w:p>
    <w:p w14:paraId="2AE1136B" w14:textId="77777777" w:rsidR="00CA1080" w:rsidRPr="00CA1080" w:rsidRDefault="00CA1080" w:rsidP="00CA1080">
      <w:pPr>
        <w:spacing w:line="240" w:lineRule="auto"/>
        <w:rPr>
          <w:rFonts w:eastAsia="Times New Roman" w:cs="Arial"/>
          <w:b/>
          <w:bCs/>
          <w:i/>
          <w:iCs/>
          <w:color w:val="000000"/>
          <w:lang w:eastAsia="bg-BG"/>
        </w:rPr>
      </w:pPr>
    </w:p>
    <w:p w14:paraId="4C6ED4FF" w14:textId="26F5483D" w:rsidR="00CA1080" w:rsidRPr="00CA1080" w:rsidRDefault="00CA1080" w:rsidP="00CA1080">
      <w:pPr>
        <w:spacing w:line="240" w:lineRule="auto"/>
        <w:rPr>
          <w:rFonts w:eastAsia="Times New Roman" w:cs="Arial"/>
          <w:lang w:eastAsia="bg-BG"/>
        </w:rPr>
      </w:pPr>
      <w:r w:rsidRPr="00CA1080">
        <w:rPr>
          <w:rFonts w:eastAsia="Times New Roman" w:cs="Arial"/>
          <w:b/>
          <w:bCs/>
          <w:i/>
          <w:iCs/>
          <w:color w:val="000000"/>
          <w:lang w:eastAsia="bg-BG"/>
        </w:rPr>
        <w:t>Възрастни</w:t>
      </w:r>
    </w:p>
    <w:p w14:paraId="52EE214A" w14:textId="77777777" w:rsidR="00CA1080" w:rsidRPr="00CA1080" w:rsidRDefault="00CA1080" w:rsidP="00CA1080">
      <w:pPr>
        <w:spacing w:line="240" w:lineRule="auto"/>
        <w:rPr>
          <w:rFonts w:eastAsia="Times New Roman" w:cs="Arial"/>
          <w:lang w:eastAsia="bg-BG"/>
        </w:rPr>
      </w:pPr>
      <w:r w:rsidRPr="00CA1080">
        <w:rPr>
          <w:rFonts w:eastAsia="Times New Roman" w:cs="Arial"/>
          <w:color w:val="000000"/>
          <w:lang w:eastAsia="bg-BG"/>
        </w:rPr>
        <w:t xml:space="preserve">Препоръчителната начална доза е </w:t>
      </w:r>
      <w:r w:rsidRPr="00CA1080">
        <w:rPr>
          <w:rFonts w:eastAsia="Times New Roman" w:cs="Arial"/>
          <w:color w:val="000000"/>
          <w:lang w:val="en-US"/>
        </w:rPr>
        <w:t xml:space="preserve">12.5mg </w:t>
      </w:r>
      <w:r w:rsidRPr="00CA1080">
        <w:rPr>
          <w:rFonts w:eastAsia="Times New Roman" w:cs="Arial"/>
          <w:color w:val="000000"/>
          <w:lang w:eastAsia="bg-BG"/>
        </w:rPr>
        <w:t xml:space="preserve">два пъти дневно, за първите два дни. След това препоръчителната доза е 25 </w:t>
      </w:r>
      <w:r w:rsidRPr="00CA1080">
        <w:rPr>
          <w:rFonts w:eastAsia="Times New Roman" w:cs="Arial"/>
          <w:color w:val="000000"/>
          <w:lang w:val="en-US"/>
        </w:rPr>
        <w:t xml:space="preserve">mg </w:t>
      </w:r>
      <w:r w:rsidRPr="00CA1080">
        <w:rPr>
          <w:rFonts w:eastAsia="Times New Roman" w:cs="Arial"/>
          <w:color w:val="000000"/>
          <w:lang w:eastAsia="bg-BG"/>
        </w:rPr>
        <w:t>два пъти дневно.</w:t>
      </w:r>
    </w:p>
    <w:p w14:paraId="3F72CDFD" w14:textId="77777777" w:rsidR="00CA1080" w:rsidRPr="00CA1080" w:rsidRDefault="00CA1080" w:rsidP="00CA1080">
      <w:pPr>
        <w:spacing w:line="240" w:lineRule="auto"/>
        <w:rPr>
          <w:rFonts w:eastAsia="Times New Roman" w:cs="Arial"/>
          <w:b/>
          <w:bCs/>
          <w:i/>
          <w:iCs/>
          <w:color w:val="000000"/>
          <w:lang w:eastAsia="bg-BG"/>
        </w:rPr>
      </w:pPr>
    </w:p>
    <w:p w14:paraId="147FE7E1" w14:textId="17B2BFBF" w:rsidR="00CA1080" w:rsidRPr="00CA1080" w:rsidRDefault="00CA1080" w:rsidP="00CA1080">
      <w:pPr>
        <w:spacing w:line="240" w:lineRule="auto"/>
        <w:rPr>
          <w:rFonts w:eastAsia="Times New Roman" w:cs="Arial"/>
          <w:lang w:eastAsia="bg-BG"/>
        </w:rPr>
      </w:pPr>
      <w:r w:rsidRPr="00CA1080">
        <w:rPr>
          <w:rFonts w:eastAsia="Times New Roman" w:cs="Arial"/>
          <w:b/>
          <w:bCs/>
          <w:i/>
          <w:iCs/>
          <w:color w:val="000000"/>
          <w:lang w:eastAsia="bg-BG"/>
        </w:rPr>
        <w:t>Пациенти в старческа възраст</w:t>
      </w:r>
    </w:p>
    <w:p w14:paraId="09EF6DF8" w14:textId="77777777" w:rsidR="00CA1080" w:rsidRPr="00CA1080" w:rsidRDefault="00CA1080" w:rsidP="00CA1080">
      <w:pPr>
        <w:spacing w:line="240" w:lineRule="auto"/>
        <w:rPr>
          <w:rFonts w:eastAsia="Times New Roman" w:cs="Arial"/>
          <w:lang w:eastAsia="bg-BG"/>
        </w:rPr>
      </w:pPr>
      <w:r w:rsidRPr="00CA1080">
        <w:rPr>
          <w:rFonts w:eastAsia="Times New Roman" w:cs="Arial"/>
          <w:color w:val="000000"/>
          <w:lang w:eastAsia="bg-BG"/>
        </w:rPr>
        <w:t xml:space="preserve">Препоръчителната максимална дневна доза е 50 </w:t>
      </w:r>
      <w:r w:rsidRPr="00CA1080">
        <w:rPr>
          <w:rFonts w:eastAsia="Times New Roman" w:cs="Arial"/>
          <w:color w:val="000000"/>
          <w:lang w:val="en-US"/>
        </w:rPr>
        <w:t xml:space="preserve">mg. </w:t>
      </w:r>
      <w:r w:rsidRPr="00CA1080">
        <w:rPr>
          <w:rFonts w:eastAsia="Times New Roman" w:cs="Arial"/>
          <w:color w:val="000000"/>
          <w:lang w:eastAsia="bg-BG"/>
        </w:rPr>
        <w:t>дадени като две отделни дози.</w:t>
      </w:r>
    </w:p>
    <w:p w14:paraId="0C9DB131" w14:textId="77777777" w:rsidR="00CA1080" w:rsidRPr="00CA1080" w:rsidRDefault="00CA1080" w:rsidP="00CA1080">
      <w:pPr>
        <w:spacing w:line="240" w:lineRule="auto"/>
        <w:rPr>
          <w:rFonts w:eastAsia="Times New Roman" w:cs="Arial"/>
          <w:b/>
          <w:bCs/>
          <w:i/>
          <w:iCs/>
          <w:color w:val="000000"/>
          <w:lang w:eastAsia="bg-BG"/>
        </w:rPr>
      </w:pPr>
    </w:p>
    <w:p w14:paraId="415A84A8" w14:textId="32554751" w:rsidR="00CA1080" w:rsidRPr="00CA1080" w:rsidRDefault="00CA1080" w:rsidP="00CA1080">
      <w:pPr>
        <w:spacing w:line="240" w:lineRule="auto"/>
        <w:rPr>
          <w:rFonts w:eastAsia="Times New Roman" w:cs="Arial"/>
          <w:lang w:eastAsia="bg-BG"/>
        </w:rPr>
      </w:pPr>
      <w:r w:rsidRPr="00CA1080">
        <w:rPr>
          <w:rFonts w:eastAsia="Times New Roman" w:cs="Arial"/>
          <w:b/>
          <w:bCs/>
          <w:i/>
          <w:iCs/>
          <w:color w:val="000000"/>
          <w:lang w:eastAsia="bg-BG"/>
        </w:rPr>
        <w:t>Деца</w:t>
      </w:r>
    </w:p>
    <w:p w14:paraId="489FF866" w14:textId="77777777" w:rsidR="00CA1080" w:rsidRPr="00CA1080" w:rsidRDefault="00CA1080" w:rsidP="00CA1080">
      <w:pPr>
        <w:spacing w:line="240" w:lineRule="auto"/>
        <w:rPr>
          <w:rFonts w:eastAsia="Times New Roman" w:cs="Arial"/>
          <w:lang w:eastAsia="bg-BG"/>
        </w:rPr>
      </w:pPr>
      <w:r w:rsidRPr="00CA1080">
        <w:rPr>
          <w:rFonts w:eastAsia="Times New Roman" w:cs="Arial"/>
          <w:color w:val="000000"/>
          <w:lang w:eastAsia="bg-BG"/>
        </w:rPr>
        <w:t>Безопасността и ефикасността при деца па възраст под 18 години не се у</w:t>
      </w:r>
      <w:r w:rsidRPr="00CA1080">
        <w:rPr>
          <w:rFonts w:eastAsia="Times New Roman" w:cs="Arial"/>
          <w:color w:val="000000"/>
          <w:lang w:val="en-US"/>
        </w:rPr>
        <w:t>c</w:t>
      </w:r>
      <w:r w:rsidRPr="00CA1080">
        <w:rPr>
          <w:rFonts w:eastAsia="Times New Roman" w:cs="Arial"/>
          <w:color w:val="000000"/>
          <w:lang w:eastAsia="bg-BG"/>
        </w:rPr>
        <w:t>тановени.</w:t>
      </w:r>
    </w:p>
    <w:p w14:paraId="4C9597F1" w14:textId="77777777" w:rsidR="00CA1080" w:rsidRPr="00CA1080" w:rsidRDefault="00CA1080" w:rsidP="00CA1080">
      <w:pPr>
        <w:spacing w:line="240" w:lineRule="auto"/>
        <w:rPr>
          <w:rFonts w:eastAsia="Times New Roman" w:cs="Arial"/>
          <w:b/>
          <w:bCs/>
          <w:i/>
          <w:iCs/>
          <w:color w:val="000000"/>
          <w:lang w:eastAsia="bg-BG"/>
        </w:rPr>
      </w:pPr>
    </w:p>
    <w:p w14:paraId="3C0932F4" w14:textId="18A35236" w:rsidR="00CA1080" w:rsidRPr="00CA1080" w:rsidRDefault="00CA1080" w:rsidP="00CA1080">
      <w:pPr>
        <w:spacing w:line="240" w:lineRule="auto"/>
        <w:rPr>
          <w:rFonts w:eastAsia="Times New Roman" w:cs="Arial"/>
          <w:lang w:eastAsia="bg-BG"/>
        </w:rPr>
      </w:pPr>
      <w:r w:rsidRPr="00CA1080">
        <w:rPr>
          <w:rFonts w:eastAsia="Times New Roman" w:cs="Arial"/>
          <w:b/>
          <w:bCs/>
          <w:i/>
          <w:iCs/>
          <w:color w:val="000000"/>
          <w:lang w:eastAsia="bg-BG"/>
        </w:rPr>
        <w:t>Пациенти със съпътстващо чернодробно заболяване</w:t>
      </w:r>
    </w:p>
    <w:p w14:paraId="47F48292" w14:textId="77777777" w:rsidR="00CA1080" w:rsidRPr="00CA1080" w:rsidRDefault="00CA1080" w:rsidP="00CA1080">
      <w:pPr>
        <w:spacing w:line="240" w:lineRule="auto"/>
        <w:rPr>
          <w:rFonts w:eastAsia="Times New Roman" w:cs="Arial"/>
          <w:lang w:eastAsia="bg-BG"/>
        </w:rPr>
      </w:pPr>
      <w:r w:rsidRPr="00CA1080">
        <w:rPr>
          <w:rFonts w:eastAsia="Times New Roman" w:cs="Arial"/>
          <w:color w:val="000000"/>
          <w:lang w:eastAsia="bg-BG"/>
        </w:rPr>
        <w:t>АВЕРНОЛ е противопоказан при пациенти с чернодробна недостатъчност.</w:t>
      </w:r>
    </w:p>
    <w:p w14:paraId="79B50C8F" w14:textId="77777777" w:rsidR="00CA1080" w:rsidRPr="00CA1080" w:rsidRDefault="00CA1080" w:rsidP="00CA1080">
      <w:pPr>
        <w:spacing w:line="240" w:lineRule="auto"/>
        <w:rPr>
          <w:rFonts w:eastAsia="Times New Roman" w:cs="Arial"/>
          <w:b/>
          <w:bCs/>
          <w:i/>
          <w:iCs/>
          <w:color w:val="000000"/>
          <w:lang w:eastAsia="bg-BG"/>
        </w:rPr>
      </w:pPr>
    </w:p>
    <w:p w14:paraId="0A420345" w14:textId="21F2C67A" w:rsidR="00CA1080" w:rsidRPr="00CA1080" w:rsidRDefault="00CA1080" w:rsidP="00CA1080">
      <w:pPr>
        <w:spacing w:line="240" w:lineRule="auto"/>
        <w:rPr>
          <w:rFonts w:eastAsia="Times New Roman" w:cs="Arial"/>
          <w:lang w:eastAsia="bg-BG"/>
        </w:rPr>
      </w:pPr>
      <w:r w:rsidRPr="00CA1080">
        <w:rPr>
          <w:rFonts w:eastAsia="Times New Roman" w:cs="Arial"/>
          <w:b/>
          <w:bCs/>
          <w:i/>
          <w:iCs/>
          <w:color w:val="000000"/>
          <w:lang w:eastAsia="bg-BG"/>
        </w:rPr>
        <w:t>Пациенти със съпътстваща бъбречна недостатъчност</w:t>
      </w:r>
    </w:p>
    <w:p w14:paraId="1B3D94ED" w14:textId="59234146" w:rsidR="00CA1080" w:rsidRPr="00CA1080" w:rsidRDefault="00CA1080" w:rsidP="00CA1080">
      <w:pPr>
        <w:rPr>
          <w:rFonts w:eastAsia="Times New Roman" w:cs="Arial"/>
          <w:color w:val="000000"/>
          <w:lang w:eastAsia="bg-BG"/>
        </w:rPr>
      </w:pPr>
      <w:r w:rsidRPr="00CA1080">
        <w:rPr>
          <w:rFonts w:eastAsia="Times New Roman" w:cs="Arial"/>
          <w:color w:val="000000"/>
          <w:lang w:eastAsia="bg-BG"/>
        </w:rPr>
        <w:t>Не се налага корекция на дозата докато систоли</w:t>
      </w:r>
      <w:r>
        <w:rPr>
          <w:rFonts w:eastAsia="Times New Roman" w:cs="Arial"/>
          <w:color w:val="000000"/>
          <w:lang w:eastAsia="bg-BG"/>
        </w:rPr>
        <w:t xml:space="preserve">чното артериално налягане е над </w:t>
      </w:r>
      <w:r w:rsidRPr="00CA1080">
        <w:rPr>
          <w:rFonts w:eastAsia="Times New Roman" w:cs="Arial"/>
          <w:color w:val="000000"/>
          <w:lang w:eastAsia="bg-BG"/>
        </w:rPr>
        <w:t>1</w:t>
      </w:r>
      <w:r w:rsidRPr="00CA1080">
        <w:rPr>
          <w:rFonts w:eastAsia="Times New Roman" w:cs="Arial"/>
          <w:color w:val="000000"/>
          <w:lang w:val="en-US"/>
        </w:rPr>
        <w:t xml:space="preserve">00mgHg </w:t>
      </w:r>
      <w:r w:rsidRPr="00CA1080">
        <w:rPr>
          <w:rFonts w:eastAsia="Times New Roman" w:cs="Arial"/>
          <w:color w:val="000000"/>
          <w:lang w:eastAsia="bg-BG"/>
        </w:rPr>
        <w:t xml:space="preserve">(виж раздели </w:t>
      </w:r>
      <w:r w:rsidRPr="00CA1080">
        <w:rPr>
          <w:rFonts w:eastAsia="Times New Roman" w:cs="Arial"/>
          <w:b/>
          <w:bCs/>
          <w:i/>
          <w:iCs/>
          <w:color w:val="000000"/>
          <w:lang w:eastAsia="bg-BG"/>
        </w:rPr>
        <w:t xml:space="preserve">4.4 </w:t>
      </w:r>
      <w:r w:rsidRPr="00CA1080">
        <w:rPr>
          <w:rFonts w:eastAsia="Times New Roman" w:cs="Arial"/>
          <w:i/>
          <w:iCs/>
          <w:color w:val="000000"/>
          <w:lang w:eastAsia="bg-BG"/>
        </w:rPr>
        <w:t>специални предупреждения и предпазни мерки при</w:t>
      </w:r>
      <w:r w:rsidRPr="00CA1080">
        <w:rPr>
          <w:rFonts w:eastAsia="Times New Roman" w:cs="Arial"/>
          <w:b/>
          <w:bCs/>
          <w:i/>
          <w:iCs/>
          <w:color w:val="000000"/>
          <w:lang w:eastAsia="bg-BG"/>
        </w:rPr>
        <w:t xml:space="preserve"> </w:t>
      </w:r>
      <w:r w:rsidRPr="00CA1080">
        <w:rPr>
          <w:rFonts w:eastAsia="Times New Roman" w:cs="Arial"/>
          <w:i/>
          <w:iCs/>
          <w:color w:val="000000"/>
          <w:lang w:eastAsia="bg-BG"/>
        </w:rPr>
        <w:t>употреба</w:t>
      </w:r>
      <w:r w:rsidRPr="00CA1080">
        <w:rPr>
          <w:rFonts w:eastAsia="Times New Roman" w:cs="Arial"/>
          <w:color w:val="000000"/>
          <w:lang w:eastAsia="bg-BG"/>
        </w:rPr>
        <w:t xml:space="preserve"> и </w:t>
      </w:r>
      <w:r w:rsidRPr="00CA1080">
        <w:rPr>
          <w:rFonts w:eastAsia="Times New Roman" w:cs="Arial"/>
          <w:i/>
          <w:iCs/>
          <w:color w:val="000000"/>
          <w:lang w:eastAsia="bg-BG"/>
        </w:rPr>
        <w:t>5.2</w:t>
      </w:r>
      <w:r w:rsidRPr="00CA1080">
        <w:rPr>
          <w:rFonts w:eastAsia="Times New Roman" w:cs="Arial"/>
          <w:b/>
          <w:bCs/>
          <w:i/>
          <w:iCs/>
          <w:color w:val="000000"/>
          <w:lang w:eastAsia="bg-BG"/>
        </w:rPr>
        <w:t xml:space="preserve"> </w:t>
      </w:r>
      <w:r w:rsidRPr="00CA1080">
        <w:rPr>
          <w:rFonts w:eastAsia="Times New Roman" w:cs="Arial"/>
          <w:i/>
          <w:iCs/>
          <w:color w:val="000000"/>
          <w:lang w:eastAsia="bg-BG"/>
        </w:rPr>
        <w:t>Фармакокинетични свойства).</w:t>
      </w:r>
    </w:p>
    <w:p w14:paraId="6BC408DC" w14:textId="77777777" w:rsidR="00CC08B1" w:rsidRPr="00CC08B1" w:rsidRDefault="00CC08B1" w:rsidP="00CC08B1">
      <w:pPr>
        <w:rPr>
          <w:rFonts w:cs="Arial"/>
          <w:sz w:val="24"/>
        </w:rPr>
      </w:pPr>
    </w:p>
    <w:p w14:paraId="28C984E8" w14:textId="59C590DA" w:rsidR="008134C8" w:rsidRDefault="002C50EE" w:rsidP="004A448E">
      <w:pPr>
        <w:pStyle w:val="Heading2"/>
      </w:pPr>
      <w:r>
        <w:t>4.3. Противопоказания</w:t>
      </w:r>
    </w:p>
    <w:p w14:paraId="0B52EBBE" w14:textId="072A84C2" w:rsidR="00CA1080" w:rsidRDefault="00CA1080" w:rsidP="00CA1080"/>
    <w:p w14:paraId="0533CAD1" w14:textId="3673AD22" w:rsidR="00CA1080" w:rsidRPr="00CA1080" w:rsidRDefault="00CA1080" w:rsidP="00CA1080">
      <w:pPr>
        <w:rPr>
          <w:szCs w:val="20"/>
        </w:rPr>
      </w:pPr>
      <w:r w:rsidRPr="00CA1080">
        <w:rPr>
          <w:szCs w:val="20"/>
        </w:rPr>
        <w:t>АВЕРНОЛ не трябва да се прилага на пациенти със свръхчувствителност към карведилол или към някое от помощните вещества на таблетката. Не трябва да се прилага и при пациенти с изразена задръжка на течности или обременяване, изискващо интравенозно инотропно лечение, и на пациенти с обструктивци заболявания на дихателните пътища или чернодробна недостатъчност.</w:t>
      </w:r>
    </w:p>
    <w:p w14:paraId="0EC5C593" w14:textId="5439522C" w:rsidR="00CA1080" w:rsidRPr="00CA1080" w:rsidRDefault="00CA1080" w:rsidP="00CA1080">
      <w:pPr>
        <w:rPr>
          <w:szCs w:val="20"/>
        </w:rPr>
      </w:pPr>
    </w:p>
    <w:p w14:paraId="36123D8C" w14:textId="38333670" w:rsidR="00CA1080" w:rsidRDefault="00CA1080" w:rsidP="00CA1080">
      <w:pPr>
        <w:rPr>
          <w:szCs w:val="20"/>
        </w:rPr>
      </w:pPr>
      <w:r w:rsidRPr="00CA1080">
        <w:rPr>
          <w:szCs w:val="20"/>
        </w:rPr>
        <w:t>АВЕРНОЛ подобно на другите бета-блокери е противопоказан при пациенти е анамнеза за бронхоспазъм или астма, 2</w:t>
      </w:r>
      <w:r w:rsidRPr="00CA1080">
        <w:rPr>
          <w:szCs w:val="20"/>
          <w:vertAlign w:val="superscript"/>
        </w:rPr>
        <w:t>ра</w:t>
      </w:r>
      <w:r w:rsidRPr="00CA1080">
        <w:rPr>
          <w:szCs w:val="20"/>
        </w:rPr>
        <w:t xml:space="preserve"> и 3</w:t>
      </w:r>
      <w:r w:rsidRPr="00CA1080">
        <w:rPr>
          <w:szCs w:val="20"/>
          <w:vertAlign w:val="superscript"/>
        </w:rPr>
        <w:t>та</w:t>
      </w:r>
      <w:r w:rsidRPr="00CA1080">
        <w:rPr>
          <w:szCs w:val="20"/>
        </w:rPr>
        <w:t xml:space="preserve"> степен </w:t>
      </w:r>
      <w:r w:rsidRPr="00CA1080">
        <w:rPr>
          <w:szCs w:val="20"/>
          <w:lang w:val="en-US"/>
        </w:rPr>
        <w:t xml:space="preserve">A-V </w:t>
      </w:r>
      <w:r w:rsidRPr="00CA1080">
        <w:rPr>
          <w:szCs w:val="20"/>
        </w:rPr>
        <w:t xml:space="preserve">сърдечен блок (освен ако не е поставен постоянен пейсмейкър). тежка брадикардия (&lt;50 </w:t>
      </w:r>
      <w:r w:rsidRPr="00CA1080">
        <w:rPr>
          <w:szCs w:val="20"/>
          <w:lang w:val="en-US"/>
        </w:rPr>
        <w:t xml:space="preserve">bpm), </w:t>
      </w:r>
      <w:r w:rsidRPr="00CA1080">
        <w:rPr>
          <w:szCs w:val="20"/>
        </w:rPr>
        <w:t xml:space="preserve">кардиогенен шок, синдром на болния синусов възел (включително синоатриален блок), тежка хипотония (систолично артериално налягане </w:t>
      </w:r>
      <w:r w:rsidRPr="00CA1080">
        <w:rPr>
          <w:szCs w:val="20"/>
          <w:lang w:val="en-US"/>
        </w:rPr>
        <w:t xml:space="preserve">&lt;85mmHg). </w:t>
      </w:r>
      <w:r w:rsidRPr="00CA1080">
        <w:rPr>
          <w:szCs w:val="20"/>
        </w:rPr>
        <w:t>метаболитна ацидоза и феохромоцитом (освен ако не е адекватно контролиран с алфа блокада).</w:t>
      </w:r>
    </w:p>
    <w:p w14:paraId="1FBC38F6" w14:textId="77777777" w:rsidR="00DC3050" w:rsidRPr="00CA1080" w:rsidRDefault="00DC3050" w:rsidP="00CA1080">
      <w:pPr>
        <w:rPr>
          <w:sz w:val="24"/>
        </w:rPr>
      </w:pPr>
    </w:p>
    <w:p w14:paraId="212F509C" w14:textId="321E6021" w:rsidR="004F498A" w:rsidRDefault="002C50EE" w:rsidP="004A448E">
      <w:pPr>
        <w:pStyle w:val="Heading2"/>
      </w:pPr>
      <w:r>
        <w:t>4.4. Специални предупреждения и предпазни мерки при употреба</w:t>
      </w:r>
    </w:p>
    <w:p w14:paraId="525A974C" w14:textId="786B191F" w:rsidR="00CA1080" w:rsidRDefault="00CA1080" w:rsidP="00CA1080"/>
    <w:p w14:paraId="5790BEA2" w14:textId="010C4CEB" w:rsidR="00CA1080" w:rsidRPr="00CA1080" w:rsidRDefault="00CA1080" w:rsidP="00CA1080">
      <w:pPr>
        <w:spacing w:line="240" w:lineRule="auto"/>
        <w:rPr>
          <w:rFonts w:eastAsia="Times New Roman" w:cs="Arial"/>
          <w:sz w:val="28"/>
          <w:szCs w:val="24"/>
          <w:lang w:eastAsia="bg-BG"/>
        </w:rPr>
      </w:pPr>
      <w:r w:rsidRPr="00CA1080">
        <w:rPr>
          <w:rFonts w:eastAsia="Times New Roman" w:cs="Arial"/>
          <w:color w:val="000000"/>
          <w:szCs w:val="20"/>
          <w:lang w:eastAsia="bg-BG"/>
        </w:rPr>
        <w:t xml:space="preserve">При пациентите с хронична сърдечна недостатъчност по време на титрирането на АВЕРНОЛ е възможно да се прояви влошаване на сърдечната недостатъчност или задръжка на течности. В подобни случаи, дозата на АВЕРНОЛ не трябва да се повишава </w:t>
      </w:r>
      <w:r w:rsidRPr="00CA1080">
        <w:rPr>
          <w:rFonts w:eastAsia="Times New Roman" w:cs="Arial"/>
          <w:color w:val="000000"/>
          <w:szCs w:val="20"/>
          <w:lang w:eastAsia="bg-BG"/>
        </w:rPr>
        <w:lastRenderedPageBreak/>
        <w:t xml:space="preserve">до възвръщане на клинична стабилност, а трябва да се адаптира и дозата на диуретика. Понякога може да е необходимо да се понижи дозата на АВЕРНОЛ или да бъде временно спрян. Подобни епизоди не изключват възможността за последващо успешно титриране на </w:t>
      </w:r>
      <w:r w:rsidR="00DC3050" w:rsidRPr="00CA1080">
        <w:rPr>
          <w:rFonts w:eastAsia="Times New Roman" w:cs="Arial"/>
          <w:color w:val="000000"/>
          <w:szCs w:val="20"/>
          <w:lang w:eastAsia="bg-BG"/>
        </w:rPr>
        <w:t>АВЕРНОЛ</w:t>
      </w:r>
      <w:r w:rsidRPr="00CA1080">
        <w:rPr>
          <w:rFonts w:eastAsia="Times New Roman" w:cs="Arial"/>
          <w:color w:val="000000"/>
          <w:szCs w:val="20"/>
          <w:lang w:eastAsia="bg-BG"/>
        </w:rPr>
        <w:t>.</w:t>
      </w:r>
    </w:p>
    <w:p w14:paraId="27549F3C" w14:textId="77777777" w:rsidR="00CA1080" w:rsidRPr="00CA1080" w:rsidRDefault="00CA1080" w:rsidP="00CA1080">
      <w:pPr>
        <w:spacing w:line="240" w:lineRule="auto"/>
        <w:rPr>
          <w:rFonts w:eastAsia="Times New Roman" w:cs="Arial"/>
          <w:color w:val="000000"/>
          <w:szCs w:val="20"/>
          <w:lang w:eastAsia="bg-BG"/>
        </w:rPr>
      </w:pPr>
    </w:p>
    <w:p w14:paraId="66EE3A05" w14:textId="45F01B50" w:rsidR="00CA1080" w:rsidRPr="00CA1080" w:rsidRDefault="00CA1080" w:rsidP="00CA1080">
      <w:pPr>
        <w:spacing w:line="240" w:lineRule="auto"/>
        <w:rPr>
          <w:rFonts w:eastAsia="Times New Roman" w:cs="Arial"/>
          <w:sz w:val="28"/>
          <w:szCs w:val="24"/>
          <w:lang w:eastAsia="bg-BG"/>
        </w:rPr>
      </w:pPr>
      <w:r w:rsidRPr="00CA1080">
        <w:rPr>
          <w:rFonts w:eastAsia="Times New Roman" w:cs="Arial"/>
          <w:color w:val="000000"/>
          <w:szCs w:val="20"/>
          <w:lang w:eastAsia="bg-BG"/>
        </w:rPr>
        <w:t xml:space="preserve">АВЕРНОЛ трябва да се прилага с внимание при пациенти с хипертония и хронична сърдечна недостатъчност, контролирана с дигоксин, диуретици и/или АСЕ-инхибитори, тъй като и дигоксинът и АВЕРНОЛ могат да забавят </w:t>
      </w:r>
      <w:r w:rsidRPr="00CA1080">
        <w:rPr>
          <w:rFonts w:eastAsia="Times New Roman" w:cs="Arial"/>
          <w:color w:val="000000"/>
          <w:szCs w:val="20"/>
          <w:lang w:val="en-US"/>
        </w:rPr>
        <w:t xml:space="preserve">A-V </w:t>
      </w:r>
      <w:r w:rsidRPr="00CA1080">
        <w:rPr>
          <w:rFonts w:eastAsia="Times New Roman" w:cs="Arial"/>
          <w:color w:val="000000"/>
          <w:szCs w:val="20"/>
          <w:lang w:eastAsia="bg-BG"/>
        </w:rPr>
        <w:t>проводимостта.</w:t>
      </w:r>
    </w:p>
    <w:p w14:paraId="5C34C49B" w14:textId="77777777" w:rsidR="00CA1080" w:rsidRPr="00CA1080" w:rsidRDefault="00CA1080" w:rsidP="00CA1080">
      <w:pPr>
        <w:spacing w:line="240" w:lineRule="auto"/>
        <w:rPr>
          <w:rFonts w:eastAsia="Times New Roman" w:cs="Arial"/>
          <w:sz w:val="28"/>
          <w:szCs w:val="24"/>
          <w:lang w:eastAsia="bg-BG"/>
        </w:rPr>
      </w:pPr>
      <w:r w:rsidRPr="00CA1080">
        <w:rPr>
          <w:rFonts w:eastAsia="Times New Roman" w:cs="Arial"/>
          <w:color w:val="000000"/>
          <w:szCs w:val="20"/>
          <w:lang w:eastAsia="bg-BG"/>
        </w:rPr>
        <w:t>При пациенти на инсулин като цяло се предпочитат алтернативи на бета- блокиращите агенти. АВЕРНОЛ. подобно на другите лекарствени продукти с бета-блокираща активност, може да маскира ранните признаци на остра хипогликемия при пациенти със захарен диабет. При пациенти с диабет, употребата на АВЕРНОЛ също може да се свърже с влошаване на контрола на кръвната захар. Затова при диабетици се изисква регулярно проследяване на глюкозата в кръвта, когато се започва лечение с АВЕРНОЛ или се покачва дозата му. а терапията за понижаване па кръвната захар трябва да се променя по съответен начин.</w:t>
      </w:r>
    </w:p>
    <w:p w14:paraId="6F6752A3" w14:textId="77777777" w:rsidR="00CA1080" w:rsidRPr="00CA1080" w:rsidRDefault="00CA1080" w:rsidP="00CA1080">
      <w:pPr>
        <w:spacing w:line="240" w:lineRule="auto"/>
        <w:rPr>
          <w:rFonts w:eastAsia="Times New Roman" w:cs="Arial"/>
          <w:sz w:val="28"/>
          <w:szCs w:val="24"/>
          <w:lang w:eastAsia="bg-BG"/>
        </w:rPr>
      </w:pPr>
    </w:p>
    <w:p w14:paraId="299392E4" w14:textId="77777777" w:rsidR="00CA1080" w:rsidRPr="00CA1080" w:rsidRDefault="00CA1080" w:rsidP="00CA1080">
      <w:pPr>
        <w:rPr>
          <w:rFonts w:eastAsia="Times New Roman" w:cs="Arial"/>
          <w:sz w:val="28"/>
          <w:szCs w:val="24"/>
          <w:lang w:eastAsia="bg-BG"/>
        </w:rPr>
      </w:pPr>
      <w:r w:rsidRPr="00CA1080">
        <w:rPr>
          <w:rFonts w:eastAsia="Times New Roman" w:cs="Arial"/>
          <w:color w:val="000000"/>
          <w:szCs w:val="20"/>
          <w:lang w:eastAsia="bg-BG"/>
        </w:rPr>
        <w:t xml:space="preserve">При пациенти с хронична сърдечна недостатъчност и ниско артериално </w:t>
      </w:r>
      <w:r w:rsidRPr="00CA1080">
        <w:rPr>
          <w:rFonts w:eastAsia="Times New Roman" w:cs="Arial"/>
          <w:color w:val="575D77"/>
          <w:szCs w:val="20"/>
          <w:lang w:eastAsia="bg-BG"/>
        </w:rPr>
        <w:t xml:space="preserve"> </w:t>
      </w:r>
      <w:r w:rsidRPr="00CA1080">
        <w:rPr>
          <w:rFonts w:eastAsia="Times New Roman" w:cs="Arial"/>
          <w:color w:val="000000"/>
          <w:szCs w:val="20"/>
          <w:lang w:eastAsia="bg-BG"/>
        </w:rPr>
        <w:t>налягане (систолично артериално налягане &lt; 100</w:t>
      </w:r>
      <w:r w:rsidRPr="00CA1080">
        <w:rPr>
          <w:rFonts w:eastAsia="Times New Roman" w:cs="Arial"/>
          <w:color w:val="000000"/>
          <w:szCs w:val="20"/>
          <w:lang w:val="en-US"/>
        </w:rPr>
        <w:t>mmHg),</w:t>
      </w:r>
      <w:r w:rsidRPr="00CA1080">
        <w:rPr>
          <w:rFonts w:eastAsia="Times New Roman" w:cs="Arial"/>
          <w:color w:val="000000"/>
          <w:szCs w:val="20"/>
          <w:lang w:eastAsia="bg-BG"/>
        </w:rPr>
        <w:t xml:space="preserve"> исхемично сърдечно</w:t>
      </w:r>
      <w:r>
        <w:rPr>
          <w:rFonts w:eastAsia="Times New Roman" w:cs="Arial"/>
          <w:color w:val="000000"/>
          <w:szCs w:val="20"/>
          <w:lang w:eastAsia="bg-BG"/>
        </w:rPr>
        <w:t xml:space="preserve"> </w:t>
      </w:r>
      <w:r w:rsidRPr="00CA1080">
        <w:rPr>
          <w:rFonts w:eastAsia="Times New Roman" w:cs="Arial"/>
          <w:color w:val="000000"/>
          <w:szCs w:val="20"/>
          <w:lang w:eastAsia="bg-BG"/>
        </w:rPr>
        <w:t>заболяване и дифузна съдова болест и/или съпътстваща бъбречна недостатъчност е наблюдавано обратимо влошаване при лечение с АВЕРНОЛ. При пациенти с хронична сърдечна недостатъчност с подобни рискови фактори трябва да се проследява бъбречната функция но време на покачване на АВЕРНОЛ и ако се влоши бъбречната функция да се спре продукта или да се намали дозата.</w:t>
      </w:r>
    </w:p>
    <w:p w14:paraId="2330D033" w14:textId="77777777" w:rsidR="00CA1080" w:rsidRPr="00CA1080" w:rsidRDefault="00CA1080" w:rsidP="00CA1080">
      <w:pPr>
        <w:spacing w:line="240" w:lineRule="auto"/>
        <w:rPr>
          <w:rFonts w:eastAsia="Times New Roman" w:cs="Arial"/>
          <w:color w:val="000000"/>
          <w:szCs w:val="20"/>
          <w:lang w:eastAsia="bg-BG"/>
        </w:rPr>
      </w:pPr>
    </w:p>
    <w:p w14:paraId="1D77023B" w14:textId="1534BC84" w:rsidR="00CA1080" w:rsidRPr="00CA1080" w:rsidRDefault="00CA1080" w:rsidP="00CA1080">
      <w:pPr>
        <w:spacing w:line="240" w:lineRule="auto"/>
        <w:rPr>
          <w:rFonts w:eastAsia="Times New Roman" w:cs="Arial"/>
          <w:sz w:val="28"/>
          <w:szCs w:val="24"/>
          <w:lang w:eastAsia="bg-BG"/>
        </w:rPr>
      </w:pPr>
      <w:r w:rsidRPr="00CA1080">
        <w:rPr>
          <w:rFonts w:eastAsia="Times New Roman" w:cs="Arial"/>
          <w:color w:val="000000"/>
          <w:szCs w:val="20"/>
          <w:lang w:eastAsia="bg-BG"/>
        </w:rPr>
        <w:t>При хора с контактни лещи е възможно намалено образуване на сълзи.</w:t>
      </w:r>
    </w:p>
    <w:p w14:paraId="519DBD73" w14:textId="77777777" w:rsidR="00CA1080" w:rsidRPr="00CA1080" w:rsidRDefault="00CA1080" w:rsidP="00CA1080">
      <w:pPr>
        <w:spacing w:line="240" w:lineRule="auto"/>
        <w:rPr>
          <w:rFonts w:eastAsia="Times New Roman" w:cs="Arial"/>
          <w:color w:val="000000"/>
          <w:szCs w:val="20"/>
          <w:lang w:eastAsia="bg-BG"/>
        </w:rPr>
      </w:pPr>
    </w:p>
    <w:p w14:paraId="799D5D42" w14:textId="22AFE981" w:rsidR="00CA1080" w:rsidRPr="00CA1080" w:rsidRDefault="00CA1080" w:rsidP="00CA1080">
      <w:pPr>
        <w:spacing w:line="240" w:lineRule="auto"/>
        <w:rPr>
          <w:rFonts w:eastAsia="Times New Roman" w:cs="Arial"/>
          <w:sz w:val="28"/>
          <w:szCs w:val="24"/>
          <w:lang w:eastAsia="bg-BG"/>
        </w:rPr>
      </w:pPr>
      <w:r w:rsidRPr="00CA1080">
        <w:rPr>
          <w:rFonts w:eastAsia="Times New Roman" w:cs="Arial"/>
          <w:color w:val="000000"/>
          <w:szCs w:val="20"/>
          <w:lang w:eastAsia="bg-BG"/>
        </w:rPr>
        <w:t>Прекъсването на лечението с АВЕРНОЛ трябва да става постепенно (1-2 седмици) особено при пациенти с исхемична болест на сърцето, тъй като АВЕРНОЛ е с бета-блокиращо действие и е възможна стенокардия.</w:t>
      </w:r>
    </w:p>
    <w:p w14:paraId="77A6CFAC" w14:textId="77777777" w:rsidR="00CA1080" w:rsidRPr="00CA1080" w:rsidRDefault="00CA1080" w:rsidP="00CA1080">
      <w:pPr>
        <w:spacing w:line="240" w:lineRule="auto"/>
        <w:rPr>
          <w:rFonts w:eastAsia="Times New Roman" w:cs="Arial"/>
          <w:color w:val="000000"/>
          <w:szCs w:val="20"/>
          <w:lang w:eastAsia="bg-BG"/>
        </w:rPr>
      </w:pPr>
    </w:p>
    <w:p w14:paraId="250FA64A" w14:textId="2B79B879" w:rsidR="00CA1080" w:rsidRPr="00CA1080" w:rsidRDefault="00CA1080" w:rsidP="00CA1080">
      <w:pPr>
        <w:spacing w:line="240" w:lineRule="auto"/>
        <w:rPr>
          <w:rFonts w:eastAsia="Times New Roman" w:cs="Arial"/>
          <w:sz w:val="28"/>
          <w:szCs w:val="24"/>
          <w:lang w:eastAsia="bg-BG"/>
        </w:rPr>
      </w:pPr>
      <w:r w:rsidRPr="00CA1080">
        <w:rPr>
          <w:rFonts w:eastAsia="Times New Roman" w:cs="Arial"/>
          <w:color w:val="000000"/>
          <w:szCs w:val="20"/>
          <w:lang w:eastAsia="bg-BG"/>
        </w:rPr>
        <w:t>Чистите бета-блокери могат да преципитират или влошат симптомите па артериална недостатъчност. Въпреки това, тъй като АВЕРНОЛ притежава също и алфа-блокиращо действие, този ефект до голяма степен се неутрализира и затова може да се използва от пациенти с периферно съдово заболяване.</w:t>
      </w:r>
    </w:p>
    <w:p w14:paraId="4241B422" w14:textId="77777777" w:rsidR="00CA1080" w:rsidRPr="00CA1080" w:rsidRDefault="00CA1080" w:rsidP="00CA1080">
      <w:pPr>
        <w:spacing w:line="240" w:lineRule="auto"/>
        <w:rPr>
          <w:rFonts w:eastAsia="Times New Roman" w:cs="Arial"/>
          <w:color w:val="000000"/>
          <w:szCs w:val="20"/>
          <w:lang w:eastAsia="bg-BG"/>
        </w:rPr>
      </w:pPr>
    </w:p>
    <w:p w14:paraId="646B1B5B" w14:textId="5579F1E5" w:rsidR="00CA1080" w:rsidRPr="00CA1080" w:rsidRDefault="00CA1080" w:rsidP="00CA1080">
      <w:pPr>
        <w:spacing w:line="240" w:lineRule="auto"/>
        <w:rPr>
          <w:rFonts w:eastAsia="Times New Roman" w:cs="Arial"/>
          <w:sz w:val="28"/>
          <w:szCs w:val="24"/>
          <w:lang w:eastAsia="bg-BG"/>
        </w:rPr>
      </w:pPr>
      <w:r w:rsidRPr="00CA1080">
        <w:rPr>
          <w:rFonts w:eastAsia="Times New Roman" w:cs="Arial"/>
          <w:color w:val="000000"/>
          <w:szCs w:val="20"/>
          <w:lang w:eastAsia="bg-BG"/>
        </w:rPr>
        <w:t>АВЕРНОЛ, подобно на другите средства с бета-блокираща активност, може да маскира симптомите на тиреотоксикоза.</w:t>
      </w:r>
    </w:p>
    <w:p w14:paraId="6FF670D7" w14:textId="77777777" w:rsidR="00CA1080" w:rsidRPr="00CA1080" w:rsidRDefault="00CA1080" w:rsidP="00CA1080">
      <w:pPr>
        <w:spacing w:line="240" w:lineRule="auto"/>
        <w:rPr>
          <w:rFonts w:eastAsia="Times New Roman" w:cs="Arial"/>
          <w:color w:val="000000"/>
          <w:szCs w:val="20"/>
          <w:lang w:eastAsia="bg-BG"/>
        </w:rPr>
      </w:pPr>
    </w:p>
    <w:p w14:paraId="7C054DEB" w14:textId="6DA8634D" w:rsidR="00CA1080" w:rsidRPr="00CA1080" w:rsidRDefault="00CA1080" w:rsidP="00CA1080">
      <w:pPr>
        <w:spacing w:line="240" w:lineRule="auto"/>
        <w:rPr>
          <w:rFonts w:eastAsia="Times New Roman" w:cs="Arial"/>
          <w:sz w:val="28"/>
          <w:szCs w:val="24"/>
          <w:lang w:eastAsia="bg-BG"/>
        </w:rPr>
      </w:pPr>
      <w:r w:rsidRPr="00CA1080">
        <w:rPr>
          <w:rFonts w:eastAsia="Times New Roman" w:cs="Arial"/>
          <w:color w:val="000000"/>
          <w:szCs w:val="20"/>
          <w:lang w:eastAsia="bg-BG"/>
        </w:rPr>
        <w:t>Ако АВЕРНОЛ доведе до брадикардия, с намаление в пулсовата честота до по- малко от 55 удара в минута, дозата на АВЕРНОЛ трябва да се намали.</w:t>
      </w:r>
    </w:p>
    <w:p w14:paraId="155DE5FD" w14:textId="77777777" w:rsidR="00CA1080" w:rsidRPr="00CA1080" w:rsidRDefault="00CA1080" w:rsidP="00CA1080">
      <w:pPr>
        <w:spacing w:line="240" w:lineRule="auto"/>
        <w:rPr>
          <w:rFonts w:eastAsia="Times New Roman" w:cs="Arial"/>
          <w:color w:val="000000"/>
          <w:szCs w:val="20"/>
          <w:lang w:eastAsia="bg-BG"/>
        </w:rPr>
      </w:pPr>
    </w:p>
    <w:p w14:paraId="728B24BB" w14:textId="5C53C949" w:rsidR="00CA1080" w:rsidRPr="00CA1080" w:rsidRDefault="00CA1080" w:rsidP="00CA1080">
      <w:pPr>
        <w:spacing w:line="240" w:lineRule="auto"/>
        <w:rPr>
          <w:rFonts w:eastAsia="Times New Roman" w:cs="Arial"/>
          <w:sz w:val="28"/>
          <w:szCs w:val="24"/>
          <w:lang w:eastAsia="bg-BG"/>
        </w:rPr>
      </w:pPr>
      <w:r w:rsidRPr="00CA1080">
        <w:rPr>
          <w:rFonts w:eastAsia="Times New Roman" w:cs="Arial"/>
          <w:color w:val="000000"/>
          <w:szCs w:val="20"/>
          <w:lang w:eastAsia="bg-BG"/>
        </w:rPr>
        <w:t>АВЕРНОЛ трябва да се прилага с внимание на пациенти с анамнеза за сериозни реакции на свръхчувствителност и при такива подложени па десепсибилизиращо лечение. Бета-блокерите могат да повишат чувствителността към алергени и сериозността на анафилактичните реакции.</w:t>
      </w:r>
    </w:p>
    <w:p w14:paraId="77483316" w14:textId="77777777" w:rsidR="00CA1080" w:rsidRPr="00CA1080" w:rsidRDefault="00CA1080" w:rsidP="00CA1080">
      <w:pPr>
        <w:rPr>
          <w:rFonts w:eastAsia="Times New Roman" w:cs="Arial"/>
          <w:color w:val="000000"/>
          <w:szCs w:val="20"/>
          <w:lang w:eastAsia="bg-BG"/>
        </w:rPr>
      </w:pPr>
    </w:p>
    <w:p w14:paraId="3FAFA449" w14:textId="4E4CE709" w:rsidR="00CA1080" w:rsidRPr="00CA1080" w:rsidRDefault="00CA1080" w:rsidP="00CA1080">
      <w:pPr>
        <w:rPr>
          <w:rFonts w:eastAsia="Times New Roman" w:cs="Arial"/>
          <w:color w:val="000000"/>
          <w:sz w:val="24"/>
          <w:szCs w:val="20"/>
          <w:lang w:eastAsia="bg-BG"/>
        </w:rPr>
      </w:pPr>
      <w:r w:rsidRPr="00CA1080">
        <w:rPr>
          <w:rFonts w:eastAsia="Times New Roman" w:cs="Arial"/>
          <w:color w:val="000000"/>
          <w:szCs w:val="20"/>
          <w:lang w:eastAsia="bg-BG"/>
        </w:rPr>
        <w:t>Може да бъде забелязано обосгряпе на симптомите при пациенти страдащи от Синдром на Рейно (периферно циркулаторно нарушение).</w:t>
      </w:r>
    </w:p>
    <w:p w14:paraId="40A2F079" w14:textId="0AB63324" w:rsidR="00CA1080" w:rsidRDefault="00CA1080" w:rsidP="00CA1080"/>
    <w:p w14:paraId="57BE5F0A" w14:textId="77777777" w:rsidR="00CA1080" w:rsidRPr="00CA1080" w:rsidRDefault="00CA1080" w:rsidP="00CA1080">
      <w:pPr>
        <w:spacing w:line="240" w:lineRule="auto"/>
        <w:rPr>
          <w:rFonts w:eastAsia="Times New Roman" w:cs="Arial"/>
          <w:sz w:val="28"/>
          <w:szCs w:val="24"/>
          <w:lang w:eastAsia="bg-BG"/>
        </w:rPr>
      </w:pPr>
      <w:r w:rsidRPr="00CA1080">
        <w:rPr>
          <w:rFonts w:eastAsia="Times New Roman" w:cs="Arial"/>
          <w:color w:val="000000"/>
          <w:szCs w:val="20"/>
          <w:lang w:eastAsia="bg-BG"/>
        </w:rPr>
        <w:lastRenderedPageBreak/>
        <w:t>АВЕРНОЛ трябва да се прилага на пациенти е анамнеза за псориазис. свързван с лечение с бета-блокери, само след сериозна преценка на съотношението риск/полза.</w:t>
      </w:r>
    </w:p>
    <w:p w14:paraId="420B35D0" w14:textId="77777777" w:rsidR="00CA1080" w:rsidRPr="00CA1080" w:rsidRDefault="00CA1080" w:rsidP="00CA1080">
      <w:pPr>
        <w:spacing w:line="240" w:lineRule="auto"/>
        <w:rPr>
          <w:rFonts w:eastAsia="Times New Roman" w:cs="Arial"/>
          <w:color w:val="000000"/>
          <w:szCs w:val="20"/>
          <w:lang w:eastAsia="bg-BG"/>
        </w:rPr>
      </w:pPr>
    </w:p>
    <w:p w14:paraId="3D50E4DD" w14:textId="0A1E28AD" w:rsidR="00CA1080" w:rsidRPr="00CA1080" w:rsidRDefault="00CA1080" w:rsidP="00CA1080">
      <w:pPr>
        <w:spacing w:line="240" w:lineRule="auto"/>
        <w:rPr>
          <w:rFonts w:eastAsia="Times New Roman" w:cs="Arial"/>
          <w:sz w:val="28"/>
          <w:szCs w:val="24"/>
          <w:lang w:eastAsia="bg-BG"/>
        </w:rPr>
      </w:pPr>
      <w:r w:rsidRPr="00CA1080">
        <w:rPr>
          <w:rFonts w:eastAsia="Times New Roman" w:cs="Arial"/>
          <w:color w:val="000000"/>
          <w:szCs w:val="20"/>
          <w:lang w:eastAsia="bg-BG"/>
        </w:rPr>
        <w:t>При пациенти с феохромоцитом преди да се даде някаво бета-блокиращо средство се започва алфа-блокер. Няма опит от приложение па карведилол при това състояние. Затова трябва да се вземат предпазни мерки при приложение на АВЕРНОЛ на пациенти, при които има подозрения за феохромоцитом.</w:t>
      </w:r>
    </w:p>
    <w:p w14:paraId="2BCBF15D" w14:textId="77777777" w:rsidR="00CA1080" w:rsidRPr="00CA1080" w:rsidRDefault="00CA1080" w:rsidP="00CA1080">
      <w:pPr>
        <w:spacing w:line="240" w:lineRule="auto"/>
        <w:rPr>
          <w:rFonts w:eastAsia="Times New Roman" w:cs="Arial"/>
          <w:color w:val="000000"/>
          <w:szCs w:val="20"/>
          <w:lang w:val="en-US"/>
        </w:rPr>
      </w:pPr>
    </w:p>
    <w:p w14:paraId="6368D124" w14:textId="431C328C" w:rsidR="00CA1080" w:rsidRPr="00CA1080" w:rsidRDefault="00CA1080" w:rsidP="00CA1080">
      <w:pPr>
        <w:spacing w:line="240" w:lineRule="auto"/>
        <w:rPr>
          <w:rFonts w:eastAsia="Times New Roman" w:cs="Arial"/>
          <w:sz w:val="28"/>
          <w:szCs w:val="24"/>
          <w:lang w:eastAsia="bg-BG"/>
        </w:rPr>
      </w:pPr>
      <w:r w:rsidRPr="00CA1080">
        <w:rPr>
          <w:rFonts w:eastAsia="Times New Roman" w:cs="Arial"/>
          <w:color w:val="000000"/>
          <w:szCs w:val="20"/>
          <w:lang w:val="en-US"/>
        </w:rPr>
        <w:t>A</w:t>
      </w:r>
      <w:r w:rsidRPr="00CA1080">
        <w:rPr>
          <w:rFonts w:eastAsia="Times New Roman" w:cs="Arial"/>
          <w:color w:val="000000"/>
          <w:szCs w:val="20"/>
          <w:lang w:eastAsia="bg-BG"/>
        </w:rPr>
        <w:t xml:space="preserve">гентите с неселективно бета-блокиращо действие могат да провокират болка в гръдния кош. При пациенти с вариантна ангина на Принцметал. Няма клиничен опит с АВЕРНОЛ при тези пациенти, въпреки че алфа-блокиращата активност на АВЕРНОЛ може да профилактира подобни симптоми. Въпреки гова. при пациенти, при които има подозрения за вариантна ангина на Принцметал. приложението на </w:t>
      </w:r>
      <w:r w:rsidRPr="00CA1080">
        <w:rPr>
          <w:rFonts w:eastAsia="Times New Roman" w:cs="Arial"/>
          <w:color w:val="000000"/>
          <w:szCs w:val="20"/>
          <w:lang w:val="en-US"/>
        </w:rPr>
        <w:t>ABEP</w:t>
      </w:r>
      <w:r w:rsidRPr="00CA1080">
        <w:rPr>
          <w:rFonts w:eastAsia="Times New Roman" w:cs="Arial"/>
          <w:color w:val="000000"/>
          <w:szCs w:val="20"/>
          <w:lang w:eastAsia="bg-BG"/>
        </w:rPr>
        <w:t>НОЛ трябва да става с внимание.</w:t>
      </w:r>
    </w:p>
    <w:p w14:paraId="2DA10DE1" w14:textId="77777777" w:rsidR="00CA1080" w:rsidRPr="00CA1080" w:rsidRDefault="00CA1080" w:rsidP="00CA1080">
      <w:pPr>
        <w:rPr>
          <w:rFonts w:eastAsia="Times New Roman" w:cs="Arial"/>
          <w:color w:val="000000"/>
          <w:szCs w:val="20"/>
          <w:lang w:eastAsia="bg-BG"/>
        </w:rPr>
      </w:pPr>
    </w:p>
    <w:p w14:paraId="0AD492F8" w14:textId="169E4902" w:rsidR="00CA1080" w:rsidRPr="00CA1080" w:rsidRDefault="00CA1080" w:rsidP="00CA1080">
      <w:pPr>
        <w:rPr>
          <w:rFonts w:eastAsia="Times New Roman" w:cs="Arial"/>
          <w:color w:val="000000"/>
          <w:szCs w:val="20"/>
          <w:lang w:eastAsia="bg-BG"/>
        </w:rPr>
      </w:pPr>
      <w:r w:rsidRPr="00CA1080">
        <w:rPr>
          <w:rFonts w:eastAsia="Times New Roman" w:cs="Arial"/>
          <w:color w:val="000000"/>
          <w:szCs w:val="20"/>
          <w:lang w:eastAsia="bg-BG"/>
        </w:rPr>
        <w:t>Може да се прояви респираторен дистрес като резултат на възможно повишение на резистентността на дихателните пътища при пациенти с тенденция към бронхоспастичии реакции. Върху вторичната опаковка и в листовката са включени съответни предупреждения, тъй като АВЕРНОЛ не трябва да се приема от пациенти с анамнеза за хрипове поради астма или други белодробни заболявания.</w:t>
      </w:r>
    </w:p>
    <w:p w14:paraId="51638427" w14:textId="3F8B48DD" w:rsidR="00CA1080" w:rsidRDefault="00CA1080" w:rsidP="00CA1080"/>
    <w:p w14:paraId="5D77146F" w14:textId="77777777" w:rsidR="00FA246A" w:rsidRPr="00CA1080" w:rsidRDefault="00FA246A" w:rsidP="00CA1080"/>
    <w:p w14:paraId="100BDF0F" w14:textId="17280CEA" w:rsidR="00FA246A" w:rsidRDefault="002C50EE" w:rsidP="00FA246A">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768422CE" w14:textId="77777777" w:rsidR="00FA246A" w:rsidRPr="00FA246A" w:rsidRDefault="00FA246A" w:rsidP="00FA246A"/>
    <w:p w14:paraId="00B3D40D" w14:textId="77777777" w:rsidR="00FA246A" w:rsidRPr="00FA246A" w:rsidRDefault="00FA246A" w:rsidP="00FA246A">
      <w:r w:rsidRPr="00FA246A">
        <w:t>Подобно на другите продукти с бета-блокиращо действие АВЕРНОЛ може да засили действията на други едновременно приемани лекарствени продукти с антихипертензивно действие (например алфа1-рецепторни антагонисти) или такива, водещи до хипотония като част от профила им на нежелани реакции.</w:t>
      </w:r>
    </w:p>
    <w:p w14:paraId="3C7BAC7A" w14:textId="77777777" w:rsidR="00FA246A" w:rsidRPr="00FA246A" w:rsidRDefault="00FA246A" w:rsidP="00FA246A"/>
    <w:p w14:paraId="0DDAADCC" w14:textId="4E6CBC2B" w:rsidR="00FA246A" w:rsidRPr="00FA246A" w:rsidRDefault="00FA246A" w:rsidP="00FA246A">
      <w:r w:rsidRPr="00FA246A">
        <w:t>Пациентите, които приемат продукт с β-блокиращи свойства и продукт, който</w:t>
      </w:r>
    </w:p>
    <w:p w14:paraId="5C5534DB" w14:textId="77777777" w:rsidR="00FA246A" w:rsidRPr="00FA246A" w:rsidRDefault="00FA246A" w:rsidP="00FA246A">
      <w:pPr>
        <w:rPr>
          <w:rFonts w:eastAsia="Times New Roman" w:cs="Arial"/>
          <w:sz w:val="28"/>
          <w:szCs w:val="24"/>
          <w:lang w:eastAsia="bg-BG"/>
        </w:rPr>
      </w:pPr>
      <w:r w:rsidRPr="00FA246A">
        <w:t>може да намали катехоламините (например, резерпин и моноамино оксидазни</w:t>
      </w:r>
      <w:r>
        <w:t xml:space="preserve"> </w:t>
      </w:r>
      <w:r w:rsidRPr="00FA246A">
        <w:rPr>
          <w:rFonts w:eastAsia="Times New Roman" w:cs="Arial"/>
          <w:color w:val="000000"/>
          <w:szCs w:val="20"/>
          <w:lang w:eastAsia="bg-BG"/>
        </w:rPr>
        <w:t>инхибитори) трябва да се проследяват отблизо за признаци па хипотония и/или тежка брадикардия.</w:t>
      </w:r>
    </w:p>
    <w:p w14:paraId="6B4C7F1D" w14:textId="77777777" w:rsidR="00FA246A" w:rsidRPr="00FA246A" w:rsidRDefault="00FA246A" w:rsidP="00FA246A">
      <w:pPr>
        <w:spacing w:line="240" w:lineRule="auto"/>
        <w:rPr>
          <w:rFonts w:eastAsia="Times New Roman" w:cs="Arial"/>
          <w:color w:val="000000"/>
          <w:szCs w:val="20"/>
          <w:lang w:eastAsia="bg-BG"/>
        </w:rPr>
      </w:pPr>
    </w:p>
    <w:p w14:paraId="4BD99517" w14:textId="0E51984D" w:rsidR="00FA246A" w:rsidRPr="00FA246A" w:rsidRDefault="00FA246A" w:rsidP="00FA246A">
      <w:pPr>
        <w:spacing w:line="240" w:lineRule="auto"/>
        <w:rPr>
          <w:rFonts w:eastAsia="Times New Roman" w:cs="Arial"/>
          <w:sz w:val="28"/>
          <w:szCs w:val="24"/>
          <w:lang w:eastAsia="bg-BG"/>
        </w:rPr>
      </w:pPr>
      <w:r w:rsidRPr="00FA246A">
        <w:rPr>
          <w:rFonts w:eastAsia="Times New Roman" w:cs="Arial"/>
          <w:color w:val="000000"/>
          <w:szCs w:val="20"/>
          <w:lang w:eastAsia="bg-BG"/>
        </w:rPr>
        <w:t>Когато АВЕРНОЛ е прилаган едновременно с дилтиазем са наблюдавани изолирани случаи на нарушения в проводимостта (рядко с отражение върху хемодинамиката). Затова, подобно на другите лекарствени продукти с бета- блокиращо действие се налага внимателно проследяване на ЕКГ и артериалното налягане при съвместно приложение е калциеви блокери от верапамилов или дилтиаземов тип. или клас I антиаритмични лекарствени продукти. Тези класове лекарствени продукти не трябва да се прилагат интравенозно на пациенти, приемащи едновременно и АВЕРНОЛ.</w:t>
      </w:r>
    </w:p>
    <w:p w14:paraId="78DB0722" w14:textId="77777777" w:rsidR="00FA246A" w:rsidRPr="00FA246A" w:rsidRDefault="00FA246A" w:rsidP="00FA246A">
      <w:pPr>
        <w:spacing w:line="240" w:lineRule="auto"/>
        <w:rPr>
          <w:rFonts w:eastAsia="Times New Roman" w:cs="Arial"/>
          <w:color w:val="000000"/>
          <w:szCs w:val="20"/>
          <w:lang w:eastAsia="bg-BG"/>
        </w:rPr>
      </w:pPr>
    </w:p>
    <w:p w14:paraId="753983E5" w14:textId="70B55DC3" w:rsidR="00FA246A" w:rsidRPr="00FA246A" w:rsidRDefault="00FA246A" w:rsidP="00FA246A">
      <w:pPr>
        <w:spacing w:line="240" w:lineRule="auto"/>
        <w:rPr>
          <w:rFonts w:eastAsia="Times New Roman" w:cs="Arial"/>
          <w:sz w:val="28"/>
          <w:szCs w:val="24"/>
          <w:lang w:eastAsia="bg-BG"/>
        </w:rPr>
      </w:pPr>
      <w:r w:rsidRPr="00FA246A">
        <w:rPr>
          <w:rFonts w:eastAsia="Times New Roman" w:cs="Arial"/>
          <w:color w:val="000000"/>
          <w:szCs w:val="20"/>
          <w:lang w:eastAsia="bg-BG"/>
        </w:rPr>
        <w:t>Действията на инсулина или пероралните хипогликемизиращи продукти може да се засилят. Затова се препоръчва регулярно проследяване на кръвната глюкоза.</w:t>
      </w:r>
    </w:p>
    <w:p w14:paraId="72374705" w14:textId="77777777" w:rsidR="00FA246A" w:rsidRPr="00FA246A" w:rsidRDefault="00FA246A" w:rsidP="00FA246A">
      <w:pPr>
        <w:spacing w:line="240" w:lineRule="auto"/>
        <w:rPr>
          <w:rFonts w:eastAsia="Times New Roman" w:cs="Arial"/>
          <w:color w:val="000000"/>
          <w:szCs w:val="20"/>
          <w:lang w:eastAsia="bg-BG"/>
        </w:rPr>
      </w:pPr>
    </w:p>
    <w:p w14:paraId="3A85E1A7" w14:textId="05ADA8F4" w:rsidR="00FA246A" w:rsidRPr="00FA246A" w:rsidRDefault="00FA246A" w:rsidP="00FA246A">
      <w:pPr>
        <w:spacing w:line="240" w:lineRule="auto"/>
        <w:rPr>
          <w:rFonts w:eastAsia="Times New Roman" w:cs="Arial"/>
          <w:sz w:val="28"/>
          <w:szCs w:val="24"/>
          <w:lang w:eastAsia="bg-BG"/>
        </w:rPr>
      </w:pPr>
      <w:r w:rsidRPr="00FA246A">
        <w:rPr>
          <w:rFonts w:eastAsia="Times New Roman" w:cs="Arial"/>
          <w:color w:val="000000"/>
          <w:szCs w:val="20"/>
          <w:lang w:eastAsia="bg-BG"/>
        </w:rPr>
        <w:t xml:space="preserve">Плазмените пива па дигоксин може да се повишат с приблизително 16% при пациенти с хипертония па едновременно лечение с АВЕРНОЛ и дигоксин. Препоръчва се засилено проследяване на нивата на дигоксин. когато АВЕРНОЛ се започва, титрира или спира. </w:t>
      </w:r>
      <w:r w:rsidRPr="00FA246A">
        <w:rPr>
          <w:rFonts w:eastAsia="Times New Roman" w:cs="Arial"/>
          <w:color w:val="000000"/>
          <w:szCs w:val="20"/>
          <w:lang w:eastAsia="bg-BG"/>
        </w:rPr>
        <w:lastRenderedPageBreak/>
        <w:t xml:space="preserve">Съвместното приложение на АВЕРНОЛ и сърдечни гликозиди може да удължи времето за </w:t>
      </w:r>
      <w:r w:rsidRPr="00FA246A">
        <w:rPr>
          <w:rFonts w:eastAsia="Times New Roman" w:cs="Arial"/>
          <w:color w:val="000000"/>
          <w:szCs w:val="20"/>
          <w:lang w:val="en-US"/>
        </w:rPr>
        <w:t xml:space="preserve">AV </w:t>
      </w:r>
      <w:r w:rsidRPr="00FA246A">
        <w:rPr>
          <w:rFonts w:eastAsia="Times New Roman" w:cs="Arial"/>
          <w:color w:val="000000"/>
          <w:szCs w:val="20"/>
          <w:lang w:eastAsia="bg-BG"/>
        </w:rPr>
        <w:t>провеждане.</w:t>
      </w:r>
    </w:p>
    <w:p w14:paraId="6C1F5603" w14:textId="77777777" w:rsidR="00FA246A" w:rsidRPr="00FA246A" w:rsidRDefault="00FA246A" w:rsidP="00FA246A">
      <w:pPr>
        <w:spacing w:line="240" w:lineRule="auto"/>
        <w:rPr>
          <w:rFonts w:eastAsia="Times New Roman" w:cs="Arial"/>
          <w:color w:val="000000"/>
          <w:szCs w:val="20"/>
          <w:lang w:eastAsia="bg-BG"/>
        </w:rPr>
      </w:pPr>
    </w:p>
    <w:p w14:paraId="6CF34F30" w14:textId="77777777" w:rsidR="00FA246A" w:rsidRPr="00FA246A" w:rsidRDefault="00FA246A" w:rsidP="00FA246A">
      <w:pPr>
        <w:spacing w:line="240" w:lineRule="auto"/>
        <w:rPr>
          <w:rFonts w:eastAsia="Times New Roman" w:cs="Arial"/>
          <w:sz w:val="28"/>
          <w:szCs w:val="24"/>
          <w:lang w:eastAsia="bg-BG"/>
        </w:rPr>
      </w:pPr>
      <w:r w:rsidRPr="00FA246A">
        <w:rPr>
          <w:rFonts w:eastAsia="Times New Roman" w:cs="Arial"/>
          <w:color w:val="000000"/>
          <w:szCs w:val="20"/>
          <w:lang w:eastAsia="bg-BG"/>
        </w:rPr>
        <w:t>Когато съвместното лечение с АВЕРНОЛ и клонидин трябва да се преустанови, първо трябва да се преустанови лечението с АВЕРНОЛ. няколко дни преди постепенното понижение на дозата на клопидина.</w:t>
      </w:r>
    </w:p>
    <w:p w14:paraId="0E371817" w14:textId="77777777" w:rsidR="00FA246A" w:rsidRPr="00FA246A" w:rsidRDefault="00FA246A" w:rsidP="00FA246A">
      <w:pPr>
        <w:spacing w:line="240" w:lineRule="auto"/>
        <w:rPr>
          <w:rFonts w:eastAsia="Times New Roman" w:cs="Arial"/>
          <w:sz w:val="28"/>
          <w:szCs w:val="24"/>
          <w:lang w:eastAsia="bg-BG"/>
        </w:rPr>
      </w:pPr>
    </w:p>
    <w:p w14:paraId="3D273AE3" w14:textId="4D31E550" w:rsidR="00FA246A" w:rsidRPr="00FA246A" w:rsidRDefault="00FA246A" w:rsidP="00FA246A">
      <w:pPr>
        <w:spacing w:line="240" w:lineRule="auto"/>
        <w:rPr>
          <w:rFonts w:eastAsia="Times New Roman" w:cs="Arial"/>
          <w:sz w:val="28"/>
          <w:szCs w:val="24"/>
          <w:lang w:eastAsia="bg-BG"/>
        </w:rPr>
      </w:pPr>
      <w:r w:rsidRPr="00FA246A">
        <w:rPr>
          <w:rFonts w:eastAsia="Times New Roman" w:cs="Arial"/>
          <w:color w:val="000000"/>
          <w:szCs w:val="20"/>
          <w:lang w:eastAsia="bg-BG"/>
        </w:rPr>
        <w:t>Необходимо е внимание при пациенти, получаващи индуктори на оксидазите със смесено действие (например, рифампицин), тъй като серумните нива на карведилол може да бъдат намалени, или при пациенти, получаващи инхибитори на оксидазите със смесено действие (например, циметидин). тъй като серумните нива на карведилол може да се повишат.</w:t>
      </w:r>
    </w:p>
    <w:p w14:paraId="250AE537" w14:textId="77777777" w:rsidR="00FA246A" w:rsidRPr="00FA246A" w:rsidRDefault="00FA246A" w:rsidP="00FA246A">
      <w:pPr>
        <w:spacing w:line="240" w:lineRule="auto"/>
        <w:rPr>
          <w:rFonts w:eastAsia="Times New Roman" w:cs="Arial"/>
          <w:sz w:val="28"/>
          <w:szCs w:val="24"/>
          <w:lang w:eastAsia="bg-BG"/>
        </w:rPr>
      </w:pPr>
    </w:p>
    <w:p w14:paraId="667F2B42" w14:textId="17F17319" w:rsidR="00FA246A" w:rsidRDefault="00FA246A" w:rsidP="00FA246A">
      <w:pPr>
        <w:rPr>
          <w:rFonts w:eastAsia="Times New Roman" w:cs="Arial"/>
          <w:color w:val="000000"/>
          <w:szCs w:val="20"/>
          <w:lang w:eastAsia="bg-BG"/>
        </w:rPr>
      </w:pPr>
      <w:r w:rsidRPr="00FA246A">
        <w:rPr>
          <w:rFonts w:eastAsia="Times New Roman" w:cs="Arial"/>
          <w:color w:val="000000"/>
          <w:szCs w:val="20"/>
          <w:lang w:eastAsia="bg-BG"/>
        </w:rPr>
        <w:t>По време на обща анестезия е необходимо внимание към потенциалните негативни инотропни ефекти на карведилол и анестетиците.</w:t>
      </w:r>
    </w:p>
    <w:p w14:paraId="24D9343D" w14:textId="3BB5DDCE" w:rsidR="00FA246A" w:rsidRDefault="00FA246A" w:rsidP="00FA246A">
      <w:pPr>
        <w:rPr>
          <w:rFonts w:eastAsia="Times New Roman" w:cs="Arial"/>
          <w:color w:val="000000"/>
          <w:szCs w:val="20"/>
          <w:lang w:eastAsia="bg-BG"/>
        </w:rPr>
      </w:pPr>
    </w:p>
    <w:p w14:paraId="13A1A4A2" w14:textId="4FEF72C4" w:rsidR="00FA246A" w:rsidRDefault="00FA246A" w:rsidP="00FA246A">
      <w:pPr>
        <w:rPr>
          <w:szCs w:val="20"/>
        </w:rPr>
      </w:pPr>
      <w:r w:rsidRPr="00FA246A">
        <w:rPr>
          <w:szCs w:val="20"/>
        </w:rPr>
        <w:t>Леко повишение в средните концентрации на циклоспорин е наблюдавано след започване на лечение с карведилол при 21 пациенти с бъбречна трансплантация, страдащи от хронично съдово отхвърляне. При около 30 % от пациентите, дозата на циклоспорина е трябвало да се намали, за да се поддържа концентрация на циклоспорин в терапевтични граници, докато при останалите не се е наложила промяна на дозата. Средно дозата на циклоспорин е намалена с около 20 % при тези пациенти. Поради голяма интериндивидуална вариабилност при адаптиране на необходимата доза се препоръчва концентрациите па циклоспорин да се проследяват стриктно след започване на лечение с карведилол и ако е необходимо да се променя дозата на циклоспорина.</w:t>
      </w:r>
    </w:p>
    <w:p w14:paraId="3012A72A" w14:textId="77777777" w:rsidR="00DC3050" w:rsidRPr="00FA246A" w:rsidRDefault="00DC3050" w:rsidP="00FA246A">
      <w:pPr>
        <w:rPr>
          <w:szCs w:val="20"/>
        </w:rPr>
      </w:pPr>
    </w:p>
    <w:p w14:paraId="394A7584" w14:textId="72CADB09" w:rsidR="004F498A" w:rsidRDefault="002C50EE" w:rsidP="004A448E">
      <w:pPr>
        <w:pStyle w:val="Heading2"/>
      </w:pPr>
      <w:r>
        <w:t>4.6. Фертилитет, бременност и кърмене</w:t>
      </w:r>
    </w:p>
    <w:p w14:paraId="6B41D164" w14:textId="570AE389" w:rsidR="00FA246A" w:rsidRDefault="00FA246A" w:rsidP="00FA246A"/>
    <w:p w14:paraId="2A491946" w14:textId="77777777" w:rsidR="00FA246A" w:rsidRPr="00FA246A" w:rsidRDefault="00FA246A" w:rsidP="00FA246A">
      <w:pPr>
        <w:spacing w:line="240" w:lineRule="auto"/>
        <w:rPr>
          <w:rFonts w:eastAsia="Times New Roman" w:cs="Arial"/>
          <w:lang w:eastAsia="bg-BG"/>
        </w:rPr>
      </w:pPr>
      <w:r w:rsidRPr="00DC3050">
        <w:rPr>
          <w:rStyle w:val="Heading3Char"/>
          <w:u w:val="single"/>
        </w:rPr>
        <w:t xml:space="preserve">Бременност: </w:t>
      </w:r>
      <w:r w:rsidRPr="00FA246A">
        <w:rPr>
          <w:rFonts w:eastAsia="Times New Roman" w:cs="Arial"/>
          <w:color w:val="000000"/>
          <w:lang w:eastAsia="bg-BG"/>
        </w:rPr>
        <w:t>АВЕРНОЛ не трябва да се прилага при бременност или кърмене, освен ако очакваната полза не надвишава възможния риск. Опитът с АВЕРНОЛ при бременни жени е недостатъчен.</w:t>
      </w:r>
    </w:p>
    <w:p w14:paraId="515B64ED" w14:textId="77777777" w:rsidR="00FA246A" w:rsidRPr="00FA246A" w:rsidRDefault="00FA246A" w:rsidP="00FA246A">
      <w:pPr>
        <w:spacing w:line="240" w:lineRule="auto"/>
        <w:rPr>
          <w:rFonts w:eastAsia="Times New Roman" w:cs="Arial"/>
          <w:lang w:eastAsia="bg-BG"/>
        </w:rPr>
      </w:pPr>
      <w:r w:rsidRPr="00FA246A">
        <w:rPr>
          <w:rFonts w:eastAsia="Times New Roman" w:cs="Arial"/>
          <w:color w:val="000000"/>
          <w:lang w:eastAsia="bg-BG"/>
        </w:rPr>
        <w:t xml:space="preserve">Според проучванията при животни няма доказателства АВЕРНОЛ </w:t>
      </w:r>
      <w:r w:rsidRPr="00FA246A">
        <w:rPr>
          <w:rFonts w:eastAsia="Times New Roman" w:cs="Arial"/>
          <w:color w:val="575D77"/>
          <w:lang w:eastAsia="bg-BG"/>
        </w:rPr>
        <w:t xml:space="preserve">да </w:t>
      </w:r>
      <w:r w:rsidRPr="00FA246A">
        <w:rPr>
          <w:rFonts w:eastAsia="Times New Roman" w:cs="Arial"/>
          <w:color w:val="000000"/>
          <w:lang w:eastAsia="bg-BG"/>
        </w:rPr>
        <w:t>има някакво тератогенно действие, а ембриотоксичност е наблюдавана при зайци само след големи дози. Значимостта на тези данни при хората е неустановена. Известно е. че бета-блокерите намаляват плацентарната перфузия. което може да доведе до въпрематочна смърт па фетуса или незрялост и преждевременно раждане. В допълнение, според проучванията при животни карведилол преминава плацентарната бариера и затова трябва да се имат предвид възможните последствия от алфа и бета-блокада за фетуса и новороденото при хора. Подобно на другите алфа и бета-блокиращи агенти, действията включват перинатален и неонатален дистрес (брадикардия, хипотония. респираторна депресия, хипогликемия, хипотермия). Съществува и повишен риск от сърдечни и белодробни усложнения за новороденото през постнаталния период.</w:t>
      </w:r>
    </w:p>
    <w:p w14:paraId="3A3BB16A" w14:textId="77777777" w:rsidR="00FA246A" w:rsidRPr="00FA246A" w:rsidRDefault="00FA246A" w:rsidP="00FA246A">
      <w:pPr>
        <w:rPr>
          <w:rFonts w:eastAsia="Times New Roman" w:cs="Arial"/>
          <w:b/>
          <w:bCs/>
          <w:i/>
          <w:iCs/>
          <w:color w:val="000000"/>
          <w:lang w:eastAsia="bg-BG"/>
        </w:rPr>
      </w:pPr>
    </w:p>
    <w:p w14:paraId="1F11F6C4" w14:textId="77777777" w:rsidR="00FA246A" w:rsidRPr="00FA246A" w:rsidRDefault="00FA246A" w:rsidP="00FA246A">
      <w:pPr>
        <w:rPr>
          <w:rFonts w:eastAsia="Times New Roman" w:cs="Arial"/>
          <w:color w:val="000000"/>
          <w:lang w:eastAsia="bg-BG"/>
        </w:rPr>
      </w:pPr>
      <w:r w:rsidRPr="00DC3050">
        <w:rPr>
          <w:rStyle w:val="Heading3Char"/>
          <w:u w:val="single"/>
        </w:rPr>
        <w:t xml:space="preserve">Кърмене: </w:t>
      </w:r>
      <w:r w:rsidRPr="00FA246A">
        <w:rPr>
          <w:rFonts w:eastAsia="Times New Roman" w:cs="Arial"/>
          <w:color w:val="000000"/>
          <w:lang w:eastAsia="bg-BG"/>
        </w:rPr>
        <w:t xml:space="preserve">Карведилол или неговите метаболити се екскретират в </w:t>
      </w:r>
      <w:r w:rsidRPr="00FA246A">
        <w:rPr>
          <w:rFonts w:eastAsia="Times New Roman" w:cs="Arial"/>
          <w:color w:val="575D77"/>
          <w:lang w:eastAsia="bg-BG"/>
        </w:rPr>
        <w:t xml:space="preserve">кърмата. </w:t>
      </w:r>
      <w:r w:rsidRPr="00FA246A">
        <w:rPr>
          <w:rFonts w:eastAsia="Times New Roman" w:cs="Arial"/>
          <w:color w:val="000000"/>
          <w:lang w:eastAsia="bg-BG"/>
        </w:rPr>
        <w:t>според резултатите от проучвания при животни</w:t>
      </w:r>
      <w:r>
        <w:rPr>
          <w:rFonts w:eastAsia="Times New Roman" w:cs="Arial"/>
          <w:color w:val="000000"/>
          <w:lang w:eastAsia="bg-BG"/>
        </w:rPr>
        <w:t xml:space="preserve">. Не е известно дали карведилол </w:t>
      </w:r>
      <w:r w:rsidRPr="00FA246A">
        <w:rPr>
          <w:szCs w:val="20"/>
        </w:rPr>
        <w:t>се екскретира в кърмата при хора. Затова не се препоръчва кърмене по време на лечение с карведилол.</w:t>
      </w:r>
    </w:p>
    <w:p w14:paraId="57C7E27F" w14:textId="77777777" w:rsidR="00FA246A" w:rsidRPr="00FA246A" w:rsidRDefault="00FA246A" w:rsidP="00FA246A"/>
    <w:p w14:paraId="064DF1DE" w14:textId="0F348D14" w:rsidR="00CF77F7" w:rsidRDefault="002C50EE" w:rsidP="004A448E">
      <w:pPr>
        <w:pStyle w:val="Heading2"/>
      </w:pPr>
      <w:r>
        <w:lastRenderedPageBreak/>
        <w:t>4.7. Ефекти върху способността за шофиране и работа с машини</w:t>
      </w:r>
    </w:p>
    <w:p w14:paraId="6E1503DE" w14:textId="3742400E" w:rsidR="00FA246A" w:rsidRDefault="00FA246A" w:rsidP="00FA246A"/>
    <w:p w14:paraId="03A01BDA" w14:textId="3A30F19F" w:rsidR="00FA246A" w:rsidRDefault="00FA246A" w:rsidP="00FA246A">
      <w:pPr>
        <w:rPr>
          <w:szCs w:val="20"/>
        </w:rPr>
      </w:pPr>
      <w:r w:rsidRPr="00FA246A">
        <w:rPr>
          <w:szCs w:val="20"/>
        </w:rPr>
        <w:t>Пациентите приемащи АВЕРНОЛ или други продукти, водещи до промени в артериалното налягане могат да изпитат замайване или подобни симптоми. В този случай пациентите трябва да избягват да шофират, работят с машини или да вземат участие в дейности, които може да се окажат опасни. Това се отнася особено при започване на лечение, промяна па лечението или при употреба па алкохол.</w:t>
      </w:r>
    </w:p>
    <w:p w14:paraId="02B2312A" w14:textId="77777777" w:rsidR="00A01A1C" w:rsidRPr="00FA246A" w:rsidRDefault="00A01A1C" w:rsidP="00FA246A">
      <w:pPr>
        <w:rPr>
          <w:sz w:val="24"/>
        </w:rPr>
      </w:pPr>
    </w:p>
    <w:p w14:paraId="37A3FD9F" w14:textId="76FEF8F0" w:rsidR="00CF77F7" w:rsidRDefault="002C50EE" w:rsidP="004A448E">
      <w:pPr>
        <w:pStyle w:val="Heading2"/>
      </w:pPr>
      <w:r>
        <w:t>4.8. Нежелани лекарствени реакции</w:t>
      </w:r>
    </w:p>
    <w:p w14:paraId="2EA0FDB5" w14:textId="7131DF98" w:rsidR="00FA246A" w:rsidRDefault="00FA246A" w:rsidP="00FA246A"/>
    <w:p w14:paraId="215BB811" w14:textId="3F5804A5" w:rsidR="00FA246A" w:rsidRDefault="00FA246A" w:rsidP="00FA246A">
      <w:pPr>
        <w:rPr>
          <w:szCs w:val="20"/>
        </w:rPr>
      </w:pPr>
      <w:r w:rsidRPr="00FA246A">
        <w:rPr>
          <w:szCs w:val="20"/>
        </w:rPr>
        <w:t>Нежеланите реакции са посочени отделно за хроничната сърдечна недостатъчност поради разлики в съпътстващите заболявания.</w:t>
      </w:r>
    </w:p>
    <w:p w14:paraId="2EB6F8F2" w14:textId="3C792EEF" w:rsidR="00FA246A" w:rsidRDefault="00FA246A" w:rsidP="00FA246A">
      <w:pPr>
        <w:rPr>
          <w:szCs w:val="20"/>
        </w:rPr>
      </w:pPr>
    </w:p>
    <w:p w14:paraId="100A6A8F" w14:textId="54025A29" w:rsidR="00FA246A" w:rsidRPr="00FA246A" w:rsidRDefault="00FA246A" w:rsidP="00FA246A">
      <w:pPr>
        <w:rPr>
          <w:szCs w:val="20"/>
        </w:rPr>
      </w:pPr>
      <w:r>
        <w:rPr>
          <w:b/>
          <w:bCs/>
          <w:u w:val="single"/>
        </w:rPr>
        <w:t>Хронична сърдечна недостатъчност</w:t>
      </w:r>
    </w:p>
    <w:tbl>
      <w:tblPr>
        <w:tblStyle w:val="TableGrid"/>
        <w:tblW w:w="0" w:type="auto"/>
        <w:tblLook w:val="04A0" w:firstRow="1" w:lastRow="0" w:firstColumn="1" w:lastColumn="0" w:noHBand="0" w:noVBand="1"/>
      </w:tblPr>
      <w:tblGrid>
        <w:gridCol w:w="3111"/>
        <w:gridCol w:w="3097"/>
        <w:gridCol w:w="3142"/>
      </w:tblGrid>
      <w:tr w:rsidR="00FA246A" w14:paraId="6D3A7B02" w14:textId="77777777" w:rsidTr="00FA246A">
        <w:tc>
          <w:tcPr>
            <w:tcW w:w="3166" w:type="dxa"/>
          </w:tcPr>
          <w:p w14:paraId="1FC03FE9" w14:textId="1DCB1E96" w:rsidR="00FA246A" w:rsidRPr="00FA246A" w:rsidRDefault="00FA246A" w:rsidP="00FA246A">
            <w:r w:rsidRPr="00FA246A">
              <w:rPr>
                <w:b/>
                <w:bCs/>
                <w:i/>
                <w:iCs/>
              </w:rPr>
              <w:t>Система</w:t>
            </w:r>
          </w:p>
        </w:tc>
        <w:tc>
          <w:tcPr>
            <w:tcW w:w="3167" w:type="dxa"/>
          </w:tcPr>
          <w:p w14:paraId="2D609E0B" w14:textId="14612CB2" w:rsidR="00FA246A" w:rsidRPr="00FA246A" w:rsidRDefault="00FA246A" w:rsidP="00FA246A">
            <w:r w:rsidRPr="00FA246A">
              <w:rPr>
                <w:b/>
                <w:bCs/>
                <w:i/>
                <w:iCs/>
              </w:rPr>
              <w:t>Честота</w:t>
            </w:r>
          </w:p>
        </w:tc>
        <w:tc>
          <w:tcPr>
            <w:tcW w:w="3167" w:type="dxa"/>
          </w:tcPr>
          <w:p w14:paraId="6E9BE203" w14:textId="6EFC7816" w:rsidR="00FA246A" w:rsidRPr="00FA246A" w:rsidRDefault="00FA246A" w:rsidP="00FA246A">
            <w:r w:rsidRPr="00FA246A">
              <w:rPr>
                <w:b/>
                <w:bCs/>
                <w:i/>
                <w:iCs/>
              </w:rPr>
              <w:t>Нежелани реакции</w:t>
            </w:r>
          </w:p>
        </w:tc>
      </w:tr>
      <w:tr w:rsidR="00FA246A" w14:paraId="532329DB" w14:textId="77777777" w:rsidTr="00FA246A">
        <w:tc>
          <w:tcPr>
            <w:tcW w:w="3166" w:type="dxa"/>
          </w:tcPr>
          <w:p w14:paraId="778DE78C" w14:textId="6697D282" w:rsidR="00FA246A" w:rsidRPr="00FA246A" w:rsidRDefault="00FA246A" w:rsidP="00FA246A">
            <w:r w:rsidRPr="00FA246A">
              <w:t>Хематологични</w:t>
            </w:r>
          </w:p>
        </w:tc>
        <w:tc>
          <w:tcPr>
            <w:tcW w:w="3167" w:type="dxa"/>
          </w:tcPr>
          <w:p w14:paraId="6973C26E" w14:textId="77777777" w:rsidR="00FA246A" w:rsidRPr="00FA246A" w:rsidRDefault="00FA246A" w:rsidP="00FA246A">
            <w:r w:rsidRPr="00FA246A">
              <w:t>Редки</w:t>
            </w:r>
          </w:p>
          <w:p w14:paraId="19F8CE63" w14:textId="18F6E3CF" w:rsidR="00FA246A" w:rsidRPr="00FA246A" w:rsidRDefault="00FA246A" w:rsidP="00FA246A">
            <w:r w:rsidRPr="00FA246A">
              <w:t>Изолирани случаи</w:t>
            </w:r>
          </w:p>
        </w:tc>
        <w:tc>
          <w:tcPr>
            <w:tcW w:w="3167" w:type="dxa"/>
          </w:tcPr>
          <w:p w14:paraId="528E3A9D" w14:textId="77777777" w:rsidR="00FA246A" w:rsidRPr="00FA246A" w:rsidRDefault="00FA246A" w:rsidP="00FA246A">
            <w:r w:rsidRPr="00FA246A">
              <w:t>Тромбоцитоиения</w:t>
            </w:r>
          </w:p>
          <w:p w14:paraId="79126E6C" w14:textId="356B7EA4" w:rsidR="00FA246A" w:rsidRPr="00FA246A" w:rsidRDefault="00FA246A" w:rsidP="00FA246A">
            <w:r w:rsidRPr="00FA246A">
              <w:t>Левкопения</w:t>
            </w:r>
          </w:p>
        </w:tc>
      </w:tr>
      <w:tr w:rsidR="00FA246A" w14:paraId="17C03250" w14:textId="77777777" w:rsidTr="00FA246A">
        <w:tc>
          <w:tcPr>
            <w:tcW w:w="3166" w:type="dxa"/>
          </w:tcPr>
          <w:p w14:paraId="0709A3E2" w14:textId="77E618BD" w:rsidR="00FA246A" w:rsidRPr="00FA246A" w:rsidRDefault="00FA246A" w:rsidP="00FA246A">
            <w:r w:rsidRPr="00FA246A">
              <w:t>Метаболитни</w:t>
            </w:r>
          </w:p>
        </w:tc>
        <w:tc>
          <w:tcPr>
            <w:tcW w:w="3167" w:type="dxa"/>
          </w:tcPr>
          <w:p w14:paraId="51500F95" w14:textId="77777777" w:rsidR="00FA246A" w:rsidRPr="00FA246A" w:rsidRDefault="00FA246A" w:rsidP="00FA246A">
            <w:r w:rsidRPr="00FA246A">
              <w:t>Чести</w:t>
            </w:r>
          </w:p>
          <w:p w14:paraId="7AE3FE9C" w14:textId="77777777" w:rsidR="00A01A1C" w:rsidRDefault="00A01A1C" w:rsidP="00FA246A"/>
          <w:p w14:paraId="5F116A89" w14:textId="77777777" w:rsidR="00A01A1C" w:rsidRDefault="00A01A1C" w:rsidP="00FA246A"/>
          <w:p w14:paraId="17E0C91B" w14:textId="1438B8AC" w:rsidR="00FA246A" w:rsidRPr="00FA246A" w:rsidRDefault="00FA246A" w:rsidP="00FA246A">
            <w:r w:rsidRPr="00FA246A">
              <w:t>Чести при пациенти със съпътстващ захарен диабет</w:t>
            </w:r>
          </w:p>
        </w:tc>
        <w:tc>
          <w:tcPr>
            <w:tcW w:w="3167" w:type="dxa"/>
          </w:tcPr>
          <w:p w14:paraId="2C3F72F4" w14:textId="77777777" w:rsidR="00A01A1C" w:rsidRDefault="00FA246A" w:rsidP="00FA246A">
            <w:r w:rsidRPr="00FA246A">
              <w:t xml:space="preserve">Повишение на теглото Хиперхолестеролемия </w:t>
            </w:r>
          </w:p>
          <w:p w14:paraId="71458CD5" w14:textId="77777777" w:rsidR="00A01A1C" w:rsidRDefault="00A01A1C" w:rsidP="00FA246A"/>
          <w:p w14:paraId="54EF0C3F" w14:textId="1929BD08" w:rsidR="00FA246A" w:rsidRPr="00FA246A" w:rsidRDefault="00FA246A" w:rsidP="00FA246A">
            <w:r w:rsidRPr="00FA246A">
              <w:t>Хипергликемия Хипогликемия</w:t>
            </w:r>
          </w:p>
          <w:p w14:paraId="258FC689" w14:textId="71B5AA78" w:rsidR="00FA246A" w:rsidRPr="00FA246A" w:rsidRDefault="00FA246A" w:rsidP="00FA246A">
            <w:r w:rsidRPr="00FA246A">
              <w:t>Влошен контрол на кръвната глюкоза</w:t>
            </w:r>
          </w:p>
        </w:tc>
      </w:tr>
      <w:tr w:rsidR="00FA246A" w14:paraId="26341FDB" w14:textId="77777777" w:rsidTr="00FA246A">
        <w:tc>
          <w:tcPr>
            <w:tcW w:w="3166" w:type="dxa"/>
          </w:tcPr>
          <w:p w14:paraId="6159B8C6" w14:textId="77777777" w:rsidR="00FA246A" w:rsidRPr="00FA246A" w:rsidRDefault="00FA246A" w:rsidP="00FA246A">
            <w:r w:rsidRPr="00FA246A">
              <w:t>Централна</w:t>
            </w:r>
            <w:r w:rsidRPr="00FA246A">
              <w:tab/>
              <w:t>нервна</w:t>
            </w:r>
          </w:p>
          <w:p w14:paraId="4356F7E9" w14:textId="4A127572" w:rsidR="00FA246A" w:rsidRPr="00FA246A" w:rsidRDefault="00FA246A" w:rsidP="00FA246A">
            <w:r w:rsidRPr="00FA246A">
              <w:t>система</w:t>
            </w:r>
          </w:p>
        </w:tc>
        <w:tc>
          <w:tcPr>
            <w:tcW w:w="3167" w:type="dxa"/>
          </w:tcPr>
          <w:p w14:paraId="7A717F1B" w14:textId="4130775F" w:rsidR="00FA246A" w:rsidRPr="00FA246A" w:rsidRDefault="00FA246A" w:rsidP="00FA246A">
            <w:r w:rsidRPr="00FA246A">
              <w:t>Много чести</w:t>
            </w:r>
          </w:p>
        </w:tc>
        <w:tc>
          <w:tcPr>
            <w:tcW w:w="3167" w:type="dxa"/>
          </w:tcPr>
          <w:p w14:paraId="7B6052FF" w14:textId="77777777" w:rsidR="00FA246A" w:rsidRPr="00FA246A" w:rsidRDefault="00FA246A" w:rsidP="00FA246A">
            <w:r w:rsidRPr="00FA246A">
              <w:t>Замаяност, главоболие. Обикновено леки, те се проявяват в началото на лечението</w:t>
            </w:r>
          </w:p>
          <w:p w14:paraId="6F262A5D" w14:textId="395CF886" w:rsidR="00FA246A" w:rsidRPr="00FA246A" w:rsidRDefault="00FA246A" w:rsidP="00FA246A">
            <w:r w:rsidRPr="00FA246A">
              <w:t>Астения (включително умора).</w:t>
            </w:r>
          </w:p>
        </w:tc>
      </w:tr>
      <w:tr w:rsidR="00FA246A" w14:paraId="066EA229" w14:textId="77777777" w:rsidTr="00FA246A">
        <w:tc>
          <w:tcPr>
            <w:tcW w:w="3166" w:type="dxa"/>
          </w:tcPr>
          <w:p w14:paraId="3EB6F822" w14:textId="77777777" w:rsidR="00FA246A" w:rsidRPr="00FA246A" w:rsidRDefault="00FA246A" w:rsidP="00FA246A">
            <w:r w:rsidRPr="00FA246A">
              <w:t>Сърдечно-съдова</w:t>
            </w:r>
          </w:p>
          <w:p w14:paraId="38B6E7F4" w14:textId="0C5A06D3" w:rsidR="00FA246A" w:rsidRPr="00FA246A" w:rsidRDefault="00FA246A" w:rsidP="00FA246A">
            <w:r w:rsidRPr="00FA246A">
              <w:t>система</w:t>
            </w:r>
          </w:p>
        </w:tc>
        <w:tc>
          <w:tcPr>
            <w:tcW w:w="3167" w:type="dxa"/>
          </w:tcPr>
          <w:p w14:paraId="74C4714A" w14:textId="77777777" w:rsidR="00FA246A" w:rsidRPr="00FA246A" w:rsidRDefault="00FA246A" w:rsidP="00FA246A">
            <w:r w:rsidRPr="00FA246A">
              <w:t>Чести</w:t>
            </w:r>
          </w:p>
          <w:p w14:paraId="6A1690D7" w14:textId="77777777" w:rsidR="00A01A1C" w:rsidRDefault="00A01A1C" w:rsidP="00FA246A"/>
          <w:p w14:paraId="13B4FDB2" w14:textId="77777777" w:rsidR="00A01A1C" w:rsidRDefault="00A01A1C" w:rsidP="00FA246A"/>
          <w:p w14:paraId="2BD43821" w14:textId="77777777" w:rsidR="00A01A1C" w:rsidRDefault="00A01A1C" w:rsidP="00FA246A"/>
          <w:p w14:paraId="73A08EFA" w14:textId="77777777" w:rsidR="00A01A1C" w:rsidRDefault="00A01A1C" w:rsidP="00FA246A"/>
          <w:p w14:paraId="3E4E6CCA" w14:textId="77777777" w:rsidR="00A01A1C" w:rsidRDefault="00A01A1C" w:rsidP="00FA246A"/>
          <w:p w14:paraId="44217CF8" w14:textId="77777777" w:rsidR="00A01A1C" w:rsidRDefault="00A01A1C" w:rsidP="00FA246A"/>
          <w:p w14:paraId="26BA628B" w14:textId="77777777" w:rsidR="00A01A1C" w:rsidRDefault="00A01A1C" w:rsidP="00FA246A"/>
          <w:p w14:paraId="11D316DB" w14:textId="77777777" w:rsidR="00A01A1C" w:rsidRDefault="00A01A1C" w:rsidP="00FA246A"/>
          <w:p w14:paraId="7CF67A70" w14:textId="77777777" w:rsidR="00A01A1C" w:rsidRDefault="00A01A1C" w:rsidP="00FA246A"/>
          <w:p w14:paraId="5BED5BD9" w14:textId="6A208761" w:rsidR="00FA246A" w:rsidRPr="00FA246A" w:rsidRDefault="00FA246A" w:rsidP="00FA246A">
            <w:r w:rsidRPr="00FA246A">
              <w:t>Нечести</w:t>
            </w:r>
          </w:p>
        </w:tc>
        <w:tc>
          <w:tcPr>
            <w:tcW w:w="3167" w:type="dxa"/>
          </w:tcPr>
          <w:p w14:paraId="09DE9D70" w14:textId="77777777" w:rsidR="00FA246A" w:rsidRPr="00FA246A" w:rsidRDefault="00FA246A" w:rsidP="00FA246A">
            <w:r w:rsidRPr="00FA246A">
              <w:t>брадикардия, постурална хипотония, хипотония.</w:t>
            </w:r>
          </w:p>
          <w:p w14:paraId="3C4A7C19" w14:textId="081D314F" w:rsidR="00FA246A" w:rsidRPr="00FA246A" w:rsidRDefault="00FA246A" w:rsidP="00FA246A">
            <w:r w:rsidRPr="00FA246A">
              <w:t>отоци (включително генерализирани, периферни, завис</w:t>
            </w:r>
            <w:r w:rsidR="00A01A1C">
              <w:t xml:space="preserve">ими и генитални отоци, отоци на </w:t>
            </w:r>
            <w:r w:rsidRPr="00FA246A">
              <w:t>краката,</w:t>
            </w:r>
          </w:p>
          <w:p w14:paraId="10879D95" w14:textId="3FEE3394" w:rsidR="00FA246A" w:rsidRPr="00FA246A" w:rsidRDefault="00A01A1C" w:rsidP="00FA246A">
            <w:r>
              <w:t xml:space="preserve">хиперволемия </w:t>
            </w:r>
            <w:r w:rsidR="00FA246A" w:rsidRPr="00FA246A">
              <w:t>и</w:t>
            </w:r>
          </w:p>
          <w:p w14:paraId="2153F024" w14:textId="77777777" w:rsidR="00A01A1C" w:rsidRDefault="00A01A1C" w:rsidP="00FA246A">
            <w:r>
              <w:t xml:space="preserve">задръжка на течности). </w:t>
            </w:r>
          </w:p>
          <w:p w14:paraId="5408B97F" w14:textId="77777777" w:rsidR="00A01A1C" w:rsidRDefault="00A01A1C" w:rsidP="00FA246A"/>
          <w:p w14:paraId="3DB51015" w14:textId="2C304D0D" w:rsidR="00FA246A" w:rsidRPr="00FA246A" w:rsidRDefault="00A01A1C" w:rsidP="00FA246A">
            <w:r>
              <w:t xml:space="preserve">Синкоп </w:t>
            </w:r>
            <w:r w:rsidR="00FA246A" w:rsidRPr="00FA246A">
              <w:t>(включително</w:t>
            </w:r>
          </w:p>
          <w:p w14:paraId="3BE9765D" w14:textId="6636BCE2" w:rsidR="00FA246A" w:rsidRPr="00FA246A" w:rsidRDefault="00FA246A" w:rsidP="00FA246A">
            <w:r w:rsidRPr="00FA246A">
              <w:t xml:space="preserve">пресинкоп). </w:t>
            </w:r>
            <w:r w:rsidRPr="00FA246A">
              <w:rPr>
                <w:lang w:val="en-US"/>
              </w:rPr>
              <w:t>AV</w:t>
            </w:r>
            <w:r w:rsidRPr="00FA246A">
              <w:t>-блок и сърдечна недостатъчност но време на покачване на дозата.</w:t>
            </w:r>
          </w:p>
        </w:tc>
      </w:tr>
      <w:tr w:rsidR="00FA246A" w14:paraId="463F1E63" w14:textId="77777777" w:rsidTr="00DA3359">
        <w:tc>
          <w:tcPr>
            <w:tcW w:w="3166" w:type="dxa"/>
          </w:tcPr>
          <w:p w14:paraId="5D4FA03C" w14:textId="30D07E59" w:rsidR="00FA246A" w:rsidRPr="00FA246A" w:rsidRDefault="00A01A1C" w:rsidP="00A01A1C">
            <w:r>
              <w:t>Га</w:t>
            </w:r>
            <w:r w:rsidR="00FA246A" w:rsidRPr="00FA246A">
              <w:t>сто-интестинална система</w:t>
            </w:r>
          </w:p>
        </w:tc>
        <w:tc>
          <w:tcPr>
            <w:tcW w:w="3167" w:type="dxa"/>
          </w:tcPr>
          <w:p w14:paraId="52C3177B" w14:textId="5C5A7535" w:rsidR="00FA246A" w:rsidRPr="00FA246A" w:rsidRDefault="00FA246A" w:rsidP="00FA246A">
            <w:r w:rsidRPr="00FA246A">
              <w:t>Чести</w:t>
            </w:r>
          </w:p>
        </w:tc>
        <w:tc>
          <w:tcPr>
            <w:tcW w:w="3167" w:type="dxa"/>
            <w:vAlign w:val="bottom"/>
          </w:tcPr>
          <w:p w14:paraId="2168A2ED" w14:textId="79BEBA09" w:rsidR="00FA246A" w:rsidRPr="00FA246A" w:rsidRDefault="00A01A1C" w:rsidP="00FA246A">
            <w:r>
              <w:t xml:space="preserve">гадене, диария </w:t>
            </w:r>
            <w:r w:rsidR="00FA246A" w:rsidRPr="00FA246A">
              <w:t>и</w:t>
            </w:r>
            <w:r>
              <w:t xml:space="preserve"> </w:t>
            </w:r>
            <w:r w:rsidR="00FA246A" w:rsidRPr="00FA246A">
              <w:t>повръщане</w:t>
            </w:r>
          </w:p>
        </w:tc>
      </w:tr>
      <w:tr w:rsidR="00A01A1C" w14:paraId="0B33A8D0" w14:textId="77777777" w:rsidTr="00FA246A">
        <w:tc>
          <w:tcPr>
            <w:tcW w:w="3166" w:type="dxa"/>
          </w:tcPr>
          <w:p w14:paraId="7E7D8FF5" w14:textId="2C2C5CC7" w:rsidR="00A01A1C" w:rsidRPr="00A01A1C" w:rsidRDefault="00A01A1C" w:rsidP="00A01A1C">
            <w:r w:rsidRPr="00A01A1C">
              <w:rPr>
                <w:szCs w:val="20"/>
              </w:rPr>
              <w:lastRenderedPageBreak/>
              <w:t>Кожа и кожни придатъци</w:t>
            </w:r>
          </w:p>
        </w:tc>
        <w:tc>
          <w:tcPr>
            <w:tcW w:w="3167" w:type="dxa"/>
          </w:tcPr>
          <w:p w14:paraId="32089B99" w14:textId="77777777" w:rsidR="00A01A1C" w:rsidRPr="00A01A1C" w:rsidRDefault="00A01A1C" w:rsidP="00A01A1C"/>
        </w:tc>
        <w:tc>
          <w:tcPr>
            <w:tcW w:w="3167" w:type="dxa"/>
          </w:tcPr>
          <w:p w14:paraId="3CEFF72A" w14:textId="77777777" w:rsidR="00A01A1C" w:rsidRPr="00A01A1C" w:rsidRDefault="00A01A1C" w:rsidP="00A01A1C">
            <w:r w:rsidRPr="00A01A1C">
              <w:rPr>
                <w:szCs w:val="20"/>
              </w:rPr>
              <w:t>Дерматит и засилено</w:t>
            </w:r>
          </w:p>
          <w:p w14:paraId="0F45FE26" w14:textId="5CE9DAED" w:rsidR="00A01A1C" w:rsidRPr="00A01A1C" w:rsidRDefault="00A01A1C" w:rsidP="00A01A1C">
            <w:r w:rsidRPr="00A01A1C">
              <w:rPr>
                <w:szCs w:val="20"/>
              </w:rPr>
              <w:t>потене</w:t>
            </w:r>
          </w:p>
        </w:tc>
      </w:tr>
      <w:tr w:rsidR="00A01A1C" w14:paraId="01B1594E" w14:textId="77777777" w:rsidTr="00FA246A">
        <w:tc>
          <w:tcPr>
            <w:tcW w:w="3166" w:type="dxa"/>
          </w:tcPr>
          <w:p w14:paraId="57DFDF18" w14:textId="128099AE" w:rsidR="00A01A1C" w:rsidRPr="00A01A1C" w:rsidRDefault="00A01A1C" w:rsidP="00A01A1C">
            <w:r w:rsidRPr="00A01A1C">
              <w:rPr>
                <w:szCs w:val="20"/>
              </w:rPr>
              <w:t>Други</w:t>
            </w:r>
          </w:p>
        </w:tc>
        <w:tc>
          <w:tcPr>
            <w:tcW w:w="3167" w:type="dxa"/>
          </w:tcPr>
          <w:p w14:paraId="6A946B0B" w14:textId="77777777" w:rsidR="00A01A1C" w:rsidRPr="00A01A1C" w:rsidRDefault="00A01A1C" w:rsidP="00A01A1C">
            <w:r w:rsidRPr="00A01A1C">
              <w:rPr>
                <w:szCs w:val="20"/>
              </w:rPr>
              <w:t>Чести</w:t>
            </w:r>
          </w:p>
          <w:p w14:paraId="0252414C" w14:textId="77777777" w:rsidR="00A01A1C" w:rsidRDefault="00A01A1C" w:rsidP="00A01A1C">
            <w:pPr>
              <w:rPr>
                <w:szCs w:val="20"/>
              </w:rPr>
            </w:pPr>
          </w:p>
          <w:p w14:paraId="427E8A03" w14:textId="066C42FB" w:rsidR="00A01A1C" w:rsidRPr="00A01A1C" w:rsidRDefault="00A01A1C" w:rsidP="00A01A1C">
            <w:r w:rsidRPr="00A01A1C">
              <w:rPr>
                <w:szCs w:val="20"/>
              </w:rPr>
              <w:t>Редки</w:t>
            </w:r>
          </w:p>
        </w:tc>
        <w:tc>
          <w:tcPr>
            <w:tcW w:w="3167" w:type="dxa"/>
          </w:tcPr>
          <w:p w14:paraId="32B445A6" w14:textId="77777777" w:rsidR="00A01A1C" w:rsidRPr="00A01A1C" w:rsidRDefault="00A01A1C" w:rsidP="00A01A1C">
            <w:r w:rsidRPr="00A01A1C">
              <w:rPr>
                <w:szCs w:val="20"/>
              </w:rPr>
              <w:t>Нарушение на зрението.</w:t>
            </w:r>
          </w:p>
          <w:p w14:paraId="12453C3D" w14:textId="77777777" w:rsidR="00A01A1C" w:rsidRDefault="00A01A1C" w:rsidP="00A01A1C">
            <w:pPr>
              <w:rPr>
                <w:szCs w:val="20"/>
              </w:rPr>
            </w:pPr>
          </w:p>
          <w:p w14:paraId="48E0BF9B" w14:textId="289FB73C" w:rsidR="00A01A1C" w:rsidRPr="00A01A1C" w:rsidRDefault="00A01A1C" w:rsidP="00A01A1C">
            <w:r w:rsidRPr="00A01A1C">
              <w:rPr>
                <w:szCs w:val="20"/>
              </w:rPr>
              <w:t>Остра</w:t>
            </w:r>
            <w:r w:rsidRPr="00A01A1C">
              <w:rPr>
                <w:szCs w:val="20"/>
              </w:rPr>
              <w:tab/>
              <w:t>бъбречна</w:t>
            </w:r>
          </w:p>
          <w:p w14:paraId="778DAAC2" w14:textId="2E36C690" w:rsidR="00A01A1C" w:rsidRPr="00A01A1C" w:rsidRDefault="00A01A1C" w:rsidP="00A01A1C">
            <w:r>
              <w:rPr>
                <w:szCs w:val="20"/>
              </w:rPr>
              <w:t xml:space="preserve">Недостатъчност </w:t>
            </w:r>
            <w:r w:rsidRPr="00A01A1C">
              <w:rPr>
                <w:szCs w:val="20"/>
              </w:rPr>
              <w:t>и</w:t>
            </w:r>
            <w:r>
              <w:t xml:space="preserve"> </w:t>
            </w:r>
            <w:r w:rsidRPr="00A01A1C">
              <w:rPr>
                <w:szCs w:val="20"/>
              </w:rPr>
              <w:t>нарушение</w:t>
            </w:r>
            <w:r w:rsidRPr="00A01A1C">
              <w:rPr>
                <w:szCs w:val="20"/>
              </w:rPr>
              <w:tab/>
              <w:t>на</w:t>
            </w:r>
          </w:p>
          <w:p w14:paraId="0B817D52" w14:textId="10DCDC2D" w:rsidR="00A01A1C" w:rsidRPr="00A01A1C" w:rsidRDefault="00A01A1C" w:rsidP="00A01A1C">
            <w:r w:rsidRPr="00A01A1C">
              <w:rPr>
                <w:szCs w:val="20"/>
              </w:rPr>
              <w:t>бъбречната функция при пациенти с дифузно съдово заболяване и/или бъбречна недостатъчност</w:t>
            </w:r>
          </w:p>
        </w:tc>
      </w:tr>
    </w:tbl>
    <w:p w14:paraId="2A558332" w14:textId="0914C7EA" w:rsidR="00FA246A" w:rsidRDefault="00FA246A" w:rsidP="00FA246A"/>
    <w:p w14:paraId="64B26162" w14:textId="77777777" w:rsidR="00A01A1C" w:rsidRPr="00A01A1C" w:rsidRDefault="00A01A1C" w:rsidP="00A01A1C">
      <w:pPr>
        <w:spacing w:line="240" w:lineRule="auto"/>
        <w:rPr>
          <w:rFonts w:eastAsia="Times New Roman" w:cs="Arial"/>
          <w:lang w:eastAsia="bg-BG"/>
        </w:rPr>
      </w:pPr>
      <w:r w:rsidRPr="00A01A1C">
        <w:rPr>
          <w:rFonts w:eastAsia="Times New Roman" w:cs="Arial"/>
          <w:color w:val="000000"/>
          <w:lang w:eastAsia="bg-BG"/>
        </w:rPr>
        <w:t>Честотата на нежеланите реакции не е дозозависима, с изключение на замайването, нарушенията на зрението и брадикардията.</w:t>
      </w:r>
    </w:p>
    <w:p w14:paraId="65A28914" w14:textId="77777777" w:rsidR="00A01A1C" w:rsidRPr="00A01A1C" w:rsidRDefault="00A01A1C" w:rsidP="00A01A1C">
      <w:pPr>
        <w:spacing w:line="240" w:lineRule="auto"/>
        <w:rPr>
          <w:rFonts w:eastAsia="Times New Roman" w:cs="Arial"/>
          <w:b/>
          <w:bCs/>
          <w:color w:val="000000"/>
          <w:u w:val="single"/>
          <w:lang w:eastAsia="bg-BG"/>
        </w:rPr>
      </w:pPr>
    </w:p>
    <w:p w14:paraId="2A4EC864" w14:textId="2CA589C1" w:rsidR="00A01A1C" w:rsidRPr="00A01A1C" w:rsidRDefault="00A01A1C" w:rsidP="00A01A1C">
      <w:pPr>
        <w:spacing w:line="240" w:lineRule="auto"/>
        <w:rPr>
          <w:rFonts w:eastAsia="Times New Roman" w:cs="Arial"/>
          <w:lang w:eastAsia="bg-BG"/>
        </w:rPr>
      </w:pPr>
      <w:r w:rsidRPr="00A01A1C">
        <w:rPr>
          <w:rFonts w:eastAsia="Times New Roman" w:cs="Arial"/>
          <w:b/>
          <w:bCs/>
          <w:color w:val="000000"/>
          <w:u w:val="single"/>
          <w:lang w:eastAsia="bg-BG"/>
        </w:rPr>
        <w:t>При хипертония и стенокардия:</w:t>
      </w:r>
    </w:p>
    <w:p w14:paraId="4E35732F" w14:textId="77777777" w:rsidR="00A01A1C" w:rsidRPr="00A01A1C" w:rsidRDefault="00A01A1C" w:rsidP="00A01A1C">
      <w:pPr>
        <w:rPr>
          <w:rFonts w:eastAsia="Times New Roman" w:cs="Arial"/>
          <w:color w:val="000000"/>
          <w:lang w:eastAsia="bg-BG"/>
        </w:rPr>
      </w:pPr>
    </w:p>
    <w:p w14:paraId="7D462390" w14:textId="2771A78C" w:rsidR="00A01A1C" w:rsidRPr="00A01A1C" w:rsidRDefault="00A01A1C" w:rsidP="00A01A1C">
      <w:pPr>
        <w:rPr>
          <w:rFonts w:cs="Arial"/>
        </w:rPr>
      </w:pPr>
      <w:r w:rsidRPr="00A01A1C">
        <w:rPr>
          <w:rFonts w:eastAsia="Times New Roman" w:cs="Arial"/>
          <w:color w:val="000000"/>
          <w:lang w:eastAsia="bg-BG"/>
        </w:rPr>
        <w:t>Профилът е подобен на този, наблюдаван при хронична сърдечна недостатъчност, въпреки че честотата на реакциите е като цяло по-ниска при пациентите с хипертония или стенокардия, лекувани с АВЕРНОЛ.</w:t>
      </w:r>
    </w:p>
    <w:p w14:paraId="1BD724EB" w14:textId="140BAE23" w:rsidR="00FA246A" w:rsidRDefault="00FA246A" w:rsidP="00FA246A"/>
    <w:tbl>
      <w:tblPr>
        <w:tblStyle w:val="TableGrid"/>
        <w:tblW w:w="0" w:type="auto"/>
        <w:tblLook w:val="04A0" w:firstRow="1" w:lastRow="0" w:firstColumn="1" w:lastColumn="0" w:noHBand="0" w:noVBand="1"/>
      </w:tblPr>
      <w:tblGrid>
        <w:gridCol w:w="3116"/>
        <w:gridCol w:w="3117"/>
        <w:gridCol w:w="3117"/>
      </w:tblGrid>
      <w:tr w:rsidR="00953E3B" w14:paraId="1C6E3FED" w14:textId="77777777" w:rsidTr="00953E3B">
        <w:tc>
          <w:tcPr>
            <w:tcW w:w="3116" w:type="dxa"/>
          </w:tcPr>
          <w:p w14:paraId="1F006AAF" w14:textId="217762F5" w:rsidR="00953E3B" w:rsidRPr="00E94397" w:rsidRDefault="00953E3B" w:rsidP="00953E3B">
            <w:pPr>
              <w:rPr>
                <w:rFonts w:cs="Arial"/>
              </w:rPr>
            </w:pPr>
            <w:r w:rsidRPr="00E94397">
              <w:rPr>
                <w:rFonts w:cs="Arial"/>
                <w:b/>
                <w:bCs/>
                <w:i/>
                <w:iCs/>
              </w:rPr>
              <w:t>Система</w:t>
            </w:r>
          </w:p>
        </w:tc>
        <w:tc>
          <w:tcPr>
            <w:tcW w:w="3117" w:type="dxa"/>
          </w:tcPr>
          <w:p w14:paraId="6E09798A" w14:textId="7C1C10B1" w:rsidR="00953E3B" w:rsidRPr="00E94397" w:rsidRDefault="00953E3B" w:rsidP="00953E3B">
            <w:pPr>
              <w:rPr>
                <w:rFonts w:cs="Arial"/>
              </w:rPr>
            </w:pPr>
            <w:r w:rsidRPr="00E94397">
              <w:rPr>
                <w:rFonts w:cs="Arial"/>
                <w:b/>
                <w:bCs/>
                <w:i/>
                <w:iCs/>
              </w:rPr>
              <w:t>Честота</w:t>
            </w:r>
          </w:p>
        </w:tc>
        <w:tc>
          <w:tcPr>
            <w:tcW w:w="3117" w:type="dxa"/>
          </w:tcPr>
          <w:p w14:paraId="7C888549" w14:textId="262FAA4C" w:rsidR="00953E3B" w:rsidRPr="00E94397" w:rsidRDefault="00953E3B" w:rsidP="00953E3B">
            <w:pPr>
              <w:rPr>
                <w:rFonts w:cs="Arial"/>
              </w:rPr>
            </w:pPr>
            <w:r w:rsidRPr="00E94397">
              <w:rPr>
                <w:rFonts w:cs="Arial"/>
                <w:b/>
                <w:bCs/>
                <w:i/>
                <w:iCs/>
              </w:rPr>
              <w:t>Нежелани реакции</w:t>
            </w:r>
          </w:p>
        </w:tc>
      </w:tr>
      <w:tr w:rsidR="00953E3B" w14:paraId="02A18515" w14:textId="77777777" w:rsidTr="00953E3B">
        <w:tc>
          <w:tcPr>
            <w:tcW w:w="3116" w:type="dxa"/>
          </w:tcPr>
          <w:p w14:paraId="6CBD4CB3" w14:textId="77777777" w:rsidR="00953E3B" w:rsidRPr="00E94397" w:rsidRDefault="00953E3B" w:rsidP="00953E3B">
            <w:pPr>
              <w:rPr>
                <w:rFonts w:cs="Arial"/>
              </w:rPr>
            </w:pPr>
            <w:r w:rsidRPr="00E94397">
              <w:rPr>
                <w:rFonts w:cs="Arial"/>
              </w:rPr>
              <w:t>Биохимия</w:t>
            </w:r>
            <w:r w:rsidRPr="00E94397">
              <w:rPr>
                <w:rFonts w:cs="Arial"/>
              </w:rPr>
              <w:tab/>
              <w:t>и</w:t>
            </w:r>
          </w:p>
          <w:p w14:paraId="4C972B0F" w14:textId="35345AED" w:rsidR="00953E3B" w:rsidRPr="00E94397" w:rsidRDefault="00953E3B" w:rsidP="00953E3B">
            <w:pPr>
              <w:rPr>
                <w:rFonts w:cs="Arial"/>
              </w:rPr>
            </w:pPr>
            <w:r w:rsidRPr="00E94397">
              <w:rPr>
                <w:rFonts w:cs="Arial"/>
              </w:rPr>
              <w:t>хематологични</w:t>
            </w:r>
          </w:p>
        </w:tc>
        <w:tc>
          <w:tcPr>
            <w:tcW w:w="3117" w:type="dxa"/>
          </w:tcPr>
          <w:p w14:paraId="5E5BAE9F" w14:textId="3490FF27" w:rsidR="00953E3B" w:rsidRPr="00E94397" w:rsidRDefault="00953E3B" w:rsidP="00953E3B">
            <w:pPr>
              <w:rPr>
                <w:rFonts w:cs="Arial"/>
              </w:rPr>
            </w:pPr>
            <w:r w:rsidRPr="00E94397">
              <w:rPr>
                <w:rFonts w:cs="Arial"/>
              </w:rPr>
              <w:t>Изолирани случаи</w:t>
            </w:r>
          </w:p>
        </w:tc>
        <w:tc>
          <w:tcPr>
            <w:tcW w:w="3117" w:type="dxa"/>
          </w:tcPr>
          <w:p w14:paraId="399958D4" w14:textId="77777777" w:rsidR="00953E3B" w:rsidRPr="00E94397" w:rsidRDefault="00953E3B" w:rsidP="00953E3B">
            <w:pPr>
              <w:rPr>
                <w:rFonts w:cs="Arial"/>
              </w:rPr>
            </w:pPr>
            <w:r w:rsidRPr="00E94397">
              <w:rPr>
                <w:rFonts w:cs="Arial"/>
              </w:rPr>
              <w:t>Промени в серумните трансаминази.</w:t>
            </w:r>
          </w:p>
          <w:p w14:paraId="4AF198CD" w14:textId="77777777" w:rsidR="00953E3B" w:rsidRPr="00E94397" w:rsidRDefault="00953E3B" w:rsidP="00953E3B">
            <w:pPr>
              <w:rPr>
                <w:rFonts w:cs="Arial"/>
              </w:rPr>
            </w:pPr>
            <w:r w:rsidRPr="00E94397">
              <w:rPr>
                <w:rFonts w:cs="Arial"/>
              </w:rPr>
              <w:t>тромбоцитопения</w:t>
            </w:r>
            <w:r w:rsidRPr="00E94397">
              <w:rPr>
                <w:rFonts w:cs="Arial"/>
              </w:rPr>
              <w:tab/>
              <w:t>и</w:t>
            </w:r>
          </w:p>
          <w:p w14:paraId="7E46F13C" w14:textId="317FDDDF" w:rsidR="00953E3B" w:rsidRPr="00E94397" w:rsidRDefault="00953E3B" w:rsidP="00953E3B">
            <w:pPr>
              <w:rPr>
                <w:rFonts w:cs="Arial"/>
              </w:rPr>
            </w:pPr>
            <w:r w:rsidRPr="00E94397">
              <w:rPr>
                <w:rFonts w:cs="Arial"/>
              </w:rPr>
              <w:t>левкопения</w:t>
            </w:r>
          </w:p>
        </w:tc>
      </w:tr>
      <w:tr w:rsidR="00E94397" w14:paraId="1CF36FD6" w14:textId="77777777" w:rsidTr="00A06D49">
        <w:trPr>
          <w:trHeight w:val="2429"/>
        </w:trPr>
        <w:tc>
          <w:tcPr>
            <w:tcW w:w="3116" w:type="dxa"/>
          </w:tcPr>
          <w:p w14:paraId="116F6EFC" w14:textId="77777777" w:rsidR="00E94397" w:rsidRPr="00E94397" w:rsidRDefault="00E94397" w:rsidP="00953E3B">
            <w:pPr>
              <w:rPr>
                <w:rFonts w:cs="Arial"/>
              </w:rPr>
            </w:pPr>
            <w:r w:rsidRPr="00E94397">
              <w:rPr>
                <w:rFonts w:cs="Arial"/>
              </w:rPr>
              <w:t>Централна нервна</w:t>
            </w:r>
          </w:p>
          <w:p w14:paraId="097B3AE4" w14:textId="7B016B25" w:rsidR="00E94397" w:rsidRPr="00E94397" w:rsidRDefault="00E94397" w:rsidP="00953E3B">
            <w:pPr>
              <w:rPr>
                <w:rFonts w:cs="Arial"/>
              </w:rPr>
            </w:pPr>
            <w:r w:rsidRPr="00E94397">
              <w:rPr>
                <w:rFonts w:cs="Arial"/>
              </w:rPr>
              <w:t>система</w:t>
            </w:r>
          </w:p>
        </w:tc>
        <w:tc>
          <w:tcPr>
            <w:tcW w:w="3117" w:type="dxa"/>
          </w:tcPr>
          <w:p w14:paraId="6016B43E" w14:textId="77777777" w:rsidR="00E94397" w:rsidRPr="00E94397" w:rsidRDefault="00E94397" w:rsidP="00953E3B">
            <w:pPr>
              <w:rPr>
                <w:rFonts w:cs="Arial"/>
              </w:rPr>
            </w:pPr>
            <w:r w:rsidRPr="00E94397">
              <w:rPr>
                <w:rFonts w:cs="Arial"/>
              </w:rPr>
              <w:t>Чести</w:t>
            </w:r>
          </w:p>
          <w:p w14:paraId="620D88BC" w14:textId="77777777" w:rsidR="00E94397" w:rsidRDefault="00E94397" w:rsidP="00953E3B">
            <w:pPr>
              <w:rPr>
                <w:rFonts w:cs="Arial"/>
              </w:rPr>
            </w:pPr>
          </w:p>
          <w:p w14:paraId="3C4388D0" w14:textId="77777777" w:rsidR="00E94397" w:rsidRDefault="00E94397" w:rsidP="00953E3B">
            <w:pPr>
              <w:rPr>
                <w:rFonts w:cs="Arial"/>
              </w:rPr>
            </w:pPr>
          </w:p>
          <w:p w14:paraId="05E4585A" w14:textId="77777777" w:rsidR="00E94397" w:rsidRDefault="00E94397" w:rsidP="00953E3B">
            <w:pPr>
              <w:rPr>
                <w:rFonts w:cs="Arial"/>
              </w:rPr>
            </w:pPr>
          </w:p>
          <w:p w14:paraId="241E1E6F" w14:textId="77777777" w:rsidR="00E94397" w:rsidRDefault="00E94397" w:rsidP="00953E3B">
            <w:pPr>
              <w:rPr>
                <w:rFonts w:cs="Arial"/>
              </w:rPr>
            </w:pPr>
          </w:p>
          <w:p w14:paraId="32824278" w14:textId="77777777" w:rsidR="00E94397" w:rsidRDefault="00E94397" w:rsidP="00953E3B">
            <w:pPr>
              <w:rPr>
                <w:rFonts w:cs="Arial"/>
              </w:rPr>
            </w:pPr>
          </w:p>
          <w:p w14:paraId="578F0283" w14:textId="4A3CCDA2" w:rsidR="00E94397" w:rsidRPr="00E94397" w:rsidRDefault="00E94397" w:rsidP="00953E3B">
            <w:pPr>
              <w:rPr>
                <w:rFonts w:cs="Arial"/>
              </w:rPr>
            </w:pPr>
            <w:r w:rsidRPr="00E94397">
              <w:rPr>
                <w:rFonts w:cs="Arial"/>
              </w:rPr>
              <w:t>Нечести</w:t>
            </w:r>
          </w:p>
        </w:tc>
        <w:tc>
          <w:tcPr>
            <w:tcW w:w="3117" w:type="dxa"/>
          </w:tcPr>
          <w:p w14:paraId="280A3D65" w14:textId="77777777" w:rsidR="00E94397" w:rsidRPr="00E94397" w:rsidRDefault="00E94397" w:rsidP="00953E3B">
            <w:pPr>
              <w:rPr>
                <w:rFonts w:cs="Arial"/>
              </w:rPr>
            </w:pPr>
            <w:r w:rsidRPr="00E94397">
              <w:rPr>
                <w:rFonts w:cs="Arial"/>
              </w:rPr>
              <w:t>замаяност, главоболие и</w:t>
            </w:r>
          </w:p>
          <w:p w14:paraId="1BAD27C4" w14:textId="78D6FA64" w:rsidR="00E94397" w:rsidRPr="00E94397" w:rsidRDefault="00E94397" w:rsidP="00953E3B">
            <w:pPr>
              <w:rPr>
                <w:rFonts w:cs="Arial"/>
              </w:rPr>
            </w:pPr>
            <w:r w:rsidRPr="00E94397">
              <w:rPr>
                <w:rFonts w:cs="Arial"/>
              </w:rPr>
              <w:t>умора,</w:t>
            </w:r>
            <w:r w:rsidRPr="00E94397">
              <w:rPr>
                <w:rFonts w:cs="Arial"/>
                <w:lang w:val="en-US"/>
              </w:rPr>
              <w:t xml:space="preserve"> </w:t>
            </w:r>
            <w:r w:rsidRPr="00E94397">
              <w:rPr>
                <w:rFonts w:cs="Arial"/>
              </w:rPr>
              <w:t>които обикновено са</w:t>
            </w:r>
          </w:p>
          <w:p w14:paraId="79F70A8D" w14:textId="7338380C" w:rsidR="00E94397" w:rsidRPr="00E94397" w:rsidRDefault="00E94397" w:rsidP="00953E3B">
            <w:pPr>
              <w:rPr>
                <w:rFonts w:cs="Arial"/>
              </w:rPr>
            </w:pPr>
            <w:r w:rsidRPr="00E94397">
              <w:rPr>
                <w:rFonts w:cs="Arial"/>
              </w:rPr>
              <w:t>леки и</w:t>
            </w:r>
            <w:r w:rsidRPr="00E94397">
              <w:rPr>
                <w:rFonts w:cs="Arial"/>
              </w:rPr>
              <w:tab/>
              <w:t>настъпват</w:t>
            </w:r>
            <w:r w:rsidRPr="00E94397">
              <w:rPr>
                <w:rFonts w:cs="Arial"/>
                <w:lang w:val="en-US"/>
              </w:rPr>
              <w:t xml:space="preserve"> </w:t>
            </w:r>
            <w:r w:rsidRPr="00E94397">
              <w:rPr>
                <w:rFonts w:cs="Arial"/>
              </w:rPr>
              <w:t>обикновено в началото</w:t>
            </w:r>
          </w:p>
          <w:p w14:paraId="4874E038" w14:textId="77777777" w:rsidR="00E94397" w:rsidRDefault="00E94397" w:rsidP="00953E3B">
            <w:pPr>
              <w:rPr>
                <w:rFonts w:cs="Arial"/>
              </w:rPr>
            </w:pPr>
            <w:r w:rsidRPr="00E94397">
              <w:rPr>
                <w:rFonts w:cs="Arial"/>
              </w:rPr>
              <w:t xml:space="preserve">на лечението. </w:t>
            </w:r>
          </w:p>
          <w:p w14:paraId="64713646" w14:textId="77777777" w:rsidR="00E94397" w:rsidRDefault="00E94397" w:rsidP="00953E3B">
            <w:pPr>
              <w:rPr>
                <w:rFonts w:cs="Arial"/>
              </w:rPr>
            </w:pPr>
          </w:p>
          <w:p w14:paraId="24604994" w14:textId="46CA92DE" w:rsidR="00E94397" w:rsidRPr="00E94397" w:rsidRDefault="00E94397" w:rsidP="00953E3B">
            <w:pPr>
              <w:rPr>
                <w:rFonts w:cs="Arial"/>
              </w:rPr>
            </w:pPr>
            <w:r w:rsidRPr="00E94397">
              <w:rPr>
                <w:rFonts w:cs="Arial"/>
              </w:rPr>
              <w:t>Депресивно настроение, нарушения в съня, парестезия, астения</w:t>
            </w:r>
          </w:p>
        </w:tc>
      </w:tr>
      <w:tr w:rsidR="00953E3B" w14:paraId="3D63478A" w14:textId="77777777" w:rsidTr="00953E3B">
        <w:tc>
          <w:tcPr>
            <w:tcW w:w="3116" w:type="dxa"/>
          </w:tcPr>
          <w:p w14:paraId="590C986D" w14:textId="67BD94DA" w:rsidR="00953E3B" w:rsidRPr="00E94397" w:rsidRDefault="00953E3B" w:rsidP="00953E3B">
            <w:pPr>
              <w:rPr>
                <w:rFonts w:cs="Arial"/>
              </w:rPr>
            </w:pPr>
            <w:r w:rsidRPr="00E94397">
              <w:rPr>
                <w:rFonts w:cs="Arial"/>
              </w:rPr>
              <w:t>Метаболитни</w:t>
            </w:r>
          </w:p>
        </w:tc>
        <w:tc>
          <w:tcPr>
            <w:tcW w:w="3117" w:type="dxa"/>
          </w:tcPr>
          <w:p w14:paraId="53407812" w14:textId="77777777" w:rsidR="00953E3B" w:rsidRPr="00E94397" w:rsidRDefault="00953E3B" w:rsidP="00953E3B">
            <w:pPr>
              <w:rPr>
                <w:rFonts w:cs="Arial"/>
              </w:rPr>
            </w:pPr>
          </w:p>
        </w:tc>
        <w:tc>
          <w:tcPr>
            <w:tcW w:w="3117" w:type="dxa"/>
          </w:tcPr>
          <w:p w14:paraId="6B4B28A6" w14:textId="77777777" w:rsidR="00953E3B" w:rsidRPr="00E94397" w:rsidRDefault="00953E3B" w:rsidP="00953E3B">
            <w:pPr>
              <w:rPr>
                <w:rFonts w:cs="Arial"/>
              </w:rPr>
            </w:pPr>
          </w:p>
        </w:tc>
      </w:tr>
      <w:tr w:rsidR="00953E3B" w14:paraId="5DA314AC" w14:textId="77777777" w:rsidTr="00953E3B">
        <w:tc>
          <w:tcPr>
            <w:tcW w:w="3116" w:type="dxa"/>
          </w:tcPr>
          <w:p w14:paraId="47EC624D" w14:textId="77777777" w:rsidR="00953E3B" w:rsidRPr="00E94397" w:rsidRDefault="00953E3B" w:rsidP="00953E3B">
            <w:pPr>
              <w:rPr>
                <w:rFonts w:cs="Arial"/>
              </w:rPr>
            </w:pPr>
            <w:r w:rsidRPr="00E94397">
              <w:rPr>
                <w:rFonts w:cs="Arial"/>
              </w:rPr>
              <w:t>Сърдечно-съдова</w:t>
            </w:r>
          </w:p>
          <w:p w14:paraId="24BC4DE1" w14:textId="5284109E" w:rsidR="00953E3B" w:rsidRPr="00E94397" w:rsidRDefault="00953E3B" w:rsidP="00953E3B">
            <w:pPr>
              <w:rPr>
                <w:rFonts w:cs="Arial"/>
              </w:rPr>
            </w:pPr>
            <w:r w:rsidRPr="00E94397">
              <w:rPr>
                <w:rFonts w:cs="Arial"/>
              </w:rPr>
              <w:t>система</w:t>
            </w:r>
          </w:p>
        </w:tc>
        <w:tc>
          <w:tcPr>
            <w:tcW w:w="3117" w:type="dxa"/>
          </w:tcPr>
          <w:p w14:paraId="2F7E65C6" w14:textId="77777777" w:rsidR="00953E3B" w:rsidRPr="00E94397" w:rsidRDefault="00953E3B" w:rsidP="00953E3B">
            <w:pPr>
              <w:rPr>
                <w:rFonts w:cs="Arial"/>
              </w:rPr>
            </w:pPr>
            <w:r w:rsidRPr="00E94397">
              <w:rPr>
                <w:rFonts w:cs="Arial"/>
              </w:rPr>
              <w:t>Чести</w:t>
            </w:r>
          </w:p>
          <w:p w14:paraId="4F2C6374" w14:textId="77777777" w:rsidR="00953E3B" w:rsidRPr="00E94397" w:rsidRDefault="00953E3B" w:rsidP="00953E3B">
            <w:pPr>
              <w:rPr>
                <w:rFonts w:cs="Arial"/>
              </w:rPr>
            </w:pPr>
          </w:p>
          <w:p w14:paraId="3E453454" w14:textId="77777777" w:rsidR="00953E3B" w:rsidRPr="00E94397" w:rsidRDefault="00953E3B" w:rsidP="00953E3B">
            <w:pPr>
              <w:rPr>
                <w:rFonts w:cs="Arial"/>
              </w:rPr>
            </w:pPr>
          </w:p>
          <w:p w14:paraId="03052979" w14:textId="77777777" w:rsidR="00953E3B" w:rsidRPr="00E94397" w:rsidRDefault="00953E3B" w:rsidP="00953E3B">
            <w:pPr>
              <w:rPr>
                <w:rFonts w:cs="Arial"/>
              </w:rPr>
            </w:pPr>
          </w:p>
          <w:p w14:paraId="670474EC" w14:textId="7FF55D31" w:rsidR="00953E3B" w:rsidRPr="00E94397" w:rsidRDefault="00953E3B" w:rsidP="00953E3B">
            <w:pPr>
              <w:rPr>
                <w:rFonts w:cs="Arial"/>
              </w:rPr>
            </w:pPr>
            <w:r w:rsidRPr="00E94397">
              <w:rPr>
                <w:rFonts w:cs="Arial"/>
              </w:rPr>
              <w:t>Нечести</w:t>
            </w:r>
          </w:p>
        </w:tc>
        <w:tc>
          <w:tcPr>
            <w:tcW w:w="3117" w:type="dxa"/>
          </w:tcPr>
          <w:p w14:paraId="3F4E538F" w14:textId="77777777" w:rsidR="00953E3B" w:rsidRPr="00E94397" w:rsidRDefault="00953E3B" w:rsidP="00953E3B">
            <w:pPr>
              <w:rPr>
                <w:rFonts w:cs="Arial"/>
              </w:rPr>
            </w:pPr>
            <w:r w:rsidRPr="00E94397">
              <w:rPr>
                <w:rFonts w:cs="Arial"/>
              </w:rPr>
              <w:t>Брадикардия. посту</w:t>
            </w:r>
            <w:r w:rsidRPr="00E94397">
              <w:rPr>
                <w:rFonts w:cs="Arial"/>
                <w:lang w:val="en-US"/>
              </w:rPr>
              <w:t>pa</w:t>
            </w:r>
            <w:r w:rsidRPr="00E94397">
              <w:rPr>
                <w:rFonts w:cs="Arial"/>
              </w:rPr>
              <w:t>лн</w:t>
            </w:r>
            <w:r w:rsidRPr="00E94397">
              <w:rPr>
                <w:rFonts w:cs="Arial"/>
                <w:lang w:val="en-US"/>
              </w:rPr>
              <w:t xml:space="preserve">a </w:t>
            </w:r>
            <w:r w:rsidRPr="00E94397">
              <w:rPr>
                <w:rFonts w:cs="Arial"/>
              </w:rPr>
              <w:t>хииотония. особено в началото на лечението.</w:t>
            </w:r>
          </w:p>
          <w:p w14:paraId="7EEBF7D6" w14:textId="77777777" w:rsidR="00953E3B" w:rsidRPr="00E94397" w:rsidRDefault="00953E3B" w:rsidP="00953E3B">
            <w:pPr>
              <w:rPr>
                <w:rFonts w:cs="Arial"/>
              </w:rPr>
            </w:pPr>
          </w:p>
          <w:p w14:paraId="3AE85F21" w14:textId="36D75BDD" w:rsidR="00953E3B" w:rsidRPr="00E94397" w:rsidRDefault="00953E3B" w:rsidP="00953E3B">
            <w:pPr>
              <w:rPr>
                <w:rFonts w:cs="Arial"/>
              </w:rPr>
            </w:pPr>
            <w:r w:rsidRPr="00E94397">
              <w:rPr>
                <w:rFonts w:cs="Arial"/>
              </w:rPr>
              <w:t>Синкоп, хипотония.</w:t>
            </w:r>
          </w:p>
          <w:p w14:paraId="7F964815" w14:textId="3F891ACA" w:rsidR="00953E3B" w:rsidRPr="00E94397" w:rsidRDefault="00953E3B" w:rsidP="00953E3B">
            <w:pPr>
              <w:rPr>
                <w:rFonts w:cs="Arial"/>
              </w:rPr>
            </w:pPr>
            <w:r w:rsidRPr="00E94397">
              <w:rPr>
                <w:rFonts w:cs="Arial"/>
              </w:rPr>
              <w:t>периферни циркулаторни нарушения (студени</w:t>
            </w:r>
          </w:p>
          <w:p w14:paraId="43583854" w14:textId="108131CA" w:rsidR="00953E3B" w:rsidRPr="00E94397" w:rsidRDefault="00953E3B" w:rsidP="00953E3B">
            <w:pPr>
              <w:rPr>
                <w:rFonts w:cs="Arial"/>
              </w:rPr>
            </w:pPr>
            <w:r w:rsidRPr="00E94397">
              <w:rPr>
                <w:rFonts w:cs="Arial"/>
              </w:rPr>
              <w:t xml:space="preserve">крайници. </w:t>
            </w:r>
            <w:r w:rsidRPr="00E94397">
              <w:rPr>
                <w:rFonts w:cs="Arial"/>
                <w:lang w:val="en-US"/>
              </w:rPr>
              <w:t>PVD),</w:t>
            </w:r>
          </w:p>
          <w:p w14:paraId="2A75BB2B" w14:textId="1500013F" w:rsidR="00953E3B" w:rsidRPr="00E94397" w:rsidRDefault="00953E3B" w:rsidP="00953E3B">
            <w:pPr>
              <w:rPr>
                <w:rFonts w:cs="Arial"/>
              </w:rPr>
            </w:pPr>
            <w:r w:rsidRPr="00E94397">
              <w:rPr>
                <w:rFonts w:cs="Arial"/>
              </w:rPr>
              <w:t>обостряне на</w:t>
            </w:r>
          </w:p>
          <w:p w14:paraId="019A337F" w14:textId="458C1B79" w:rsidR="00953E3B" w:rsidRPr="00E94397" w:rsidRDefault="00953E3B" w:rsidP="00953E3B">
            <w:pPr>
              <w:rPr>
                <w:rFonts w:cs="Arial"/>
              </w:rPr>
            </w:pPr>
            <w:r w:rsidRPr="00E94397">
              <w:rPr>
                <w:rFonts w:cs="Arial"/>
              </w:rPr>
              <w:lastRenderedPageBreak/>
              <w:t xml:space="preserve">интермитентно клаудикацио и болест на Рейно). </w:t>
            </w:r>
            <w:r w:rsidRPr="00E94397">
              <w:rPr>
                <w:rFonts w:cs="Arial"/>
                <w:lang w:val="en-US"/>
              </w:rPr>
              <w:t>AV</w:t>
            </w:r>
            <w:r w:rsidRPr="00E94397">
              <w:rPr>
                <w:rFonts w:cs="Arial"/>
              </w:rPr>
              <w:t>-блок.</w:t>
            </w:r>
          </w:p>
          <w:p w14:paraId="13B63E92" w14:textId="77777777" w:rsidR="00953E3B" w:rsidRPr="00E94397" w:rsidRDefault="00953E3B" w:rsidP="00953E3B">
            <w:pPr>
              <w:rPr>
                <w:rFonts w:cs="Arial"/>
              </w:rPr>
            </w:pPr>
            <w:r w:rsidRPr="00E94397">
              <w:rPr>
                <w:rFonts w:cs="Arial"/>
              </w:rPr>
              <w:t>стенокардия (включително болка в гръдния кош), симптоми на</w:t>
            </w:r>
            <w:r w:rsidRPr="00E94397">
              <w:rPr>
                <w:rFonts w:cs="Arial"/>
              </w:rPr>
              <w:tab/>
              <w:t>сърдечна</w:t>
            </w:r>
          </w:p>
          <w:p w14:paraId="518B19B1" w14:textId="7A89BCEE" w:rsidR="00953E3B" w:rsidRPr="00E94397" w:rsidRDefault="00953E3B" w:rsidP="00953E3B">
            <w:pPr>
              <w:rPr>
                <w:rFonts w:cs="Arial"/>
              </w:rPr>
            </w:pPr>
            <w:r w:rsidRPr="00E94397">
              <w:rPr>
                <w:rFonts w:cs="Arial"/>
              </w:rPr>
              <w:t>недостатъчност и</w:t>
            </w:r>
          </w:p>
          <w:p w14:paraId="310666D0" w14:textId="6065788C" w:rsidR="00953E3B" w:rsidRPr="00E94397" w:rsidRDefault="00953E3B" w:rsidP="00953E3B">
            <w:pPr>
              <w:rPr>
                <w:rFonts w:cs="Arial"/>
              </w:rPr>
            </w:pPr>
            <w:r w:rsidRPr="00E94397">
              <w:rPr>
                <w:rFonts w:cs="Arial"/>
              </w:rPr>
              <w:t>периферни отоци.</w:t>
            </w:r>
          </w:p>
        </w:tc>
      </w:tr>
      <w:tr w:rsidR="00E94397" w14:paraId="6853E40F" w14:textId="77777777" w:rsidTr="0060355B">
        <w:trPr>
          <w:trHeight w:val="1150"/>
        </w:trPr>
        <w:tc>
          <w:tcPr>
            <w:tcW w:w="3116" w:type="dxa"/>
          </w:tcPr>
          <w:p w14:paraId="7B260B09" w14:textId="77777777" w:rsidR="00E94397" w:rsidRPr="00953E3B" w:rsidRDefault="00E94397" w:rsidP="00953E3B">
            <w:pPr>
              <w:spacing w:line="240" w:lineRule="auto"/>
              <w:rPr>
                <w:rFonts w:eastAsia="Times New Roman" w:cs="Arial"/>
                <w:lang w:eastAsia="bg-BG"/>
              </w:rPr>
            </w:pPr>
            <w:r w:rsidRPr="00953E3B">
              <w:rPr>
                <w:rFonts w:eastAsia="Times New Roman" w:cs="Arial"/>
                <w:color w:val="000000"/>
                <w:lang w:eastAsia="bg-BG"/>
              </w:rPr>
              <w:lastRenderedPageBreak/>
              <w:t>Дихателна система</w:t>
            </w:r>
          </w:p>
          <w:p w14:paraId="545D05E4" w14:textId="56CB4529" w:rsidR="00E94397" w:rsidRPr="00E94397" w:rsidRDefault="00E94397" w:rsidP="00953E3B">
            <w:pPr>
              <w:rPr>
                <w:rFonts w:cs="Arial"/>
              </w:rPr>
            </w:pPr>
          </w:p>
        </w:tc>
        <w:tc>
          <w:tcPr>
            <w:tcW w:w="3117" w:type="dxa"/>
          </w:tcPr>
          <w:p w14:paraId="0DCDE31A" w14:textId="77777777" w:rsidR="00E94397" w:rsidRPr="00953E3B" w:rsidRDefault="00E94397" w:rsidP="00953E3B">
            <w:pPr>
              <w:spacing w:line="240" w:lineRule="auto"/>
              <w:rPr>
                <w:rFonts w:eastAsia="Times New Roman" w:cs="Arial"/>
                <w:lang w:eastAsia="bg-BG"/>
              </w:rPr>
            </w:pPr>
            <w:r w:rsidRPr="00953E3B">
              <w:rPr>
                <w:rFonts w:eastAsia="Times New Roman" w:cs="Arial"/>
                <w:color w:val="000000"/>
                <w:lang w:eastAsia="bg-BG"/>
              </w:rPr>
              <w:t>Чести</w:t>
            </w:r>
          </w:p>
          <w:p w14:paraId="3F8794B1" w14:textId="77777777" w:rsidR="00E94397" w:rsidRPr="00E94397" w:rsidRDefault="00E94397" w:rsidP="00953E3B">
            <w:pPr>
              <w:spacing w:line="240" w:lineRule="auto"/>
              <w:rPr>
                <w:rFonts w:eastAsia="Times New Roman" w:cs="Arial"/>
                <w:color w:val="000000"/>
                <w:lang w:eastAsia="bg-BG"/>
              </w:rPr>
            </w:pPr>
          </w:p>
          <w:p w14:paraId="36AAA700" w14:textId="77777777" w:rsidR="00E94397" w:rsidRPr="00E94397" w:rsidRDefault="00E94397" w:rsidP="00953E3B">
            <w:pPr>
              <w:spacing w:line="240" w:lineRule="auto"/>
              <w:rPr>
                <w:rFonts w:eastAsia="Times New Roman" w:cs="Arial"/>
                <w:color w:val="000000"/>
                <w:lang w:eastAsia="bg-BG"/>
              </w:rPr>
            </w:pPr>
          </w:p>
          <w:p w14:paraId="4A9B0AC4" w14:textId="4F602650" w:rsidR="00E94397" w:rsidRPr="00953E3B" w:rsidRDefault="00E94397" w:rsidP="00953E3B">
            <w:pPr>
              <w:spacing w:line="240" w:lineRule="auto"/>
              <w:rPr>
                <w:rFonts w:eastAsia="Times New Roman" w:cs="Arial"/>
                <w:lang w:eastAsia="bg-BG"/>
              </w:rPr>
            </w:pPr>
            <w:r w:rsidRPr="00953E3B">
              <w:rPr>
                <w:rFonts w:eastAsia="Times New Roman" w:cs="Arial"/>
                <w:color w:val="000000"/>
                <w:lang w:eastAsia="bg-BG"/>
              </w:rPr>
              <w:t>Редки</w:t>
            </w:r>
          </w:p>
          <w:p w14:paraId="0FB7DBE4" w14:textId="5897E8CF" w:rsidR="00E94397" w:rsidRPr="00E94397" w:rsidRDefault="00E94397" w:rsidP="00FA246A">
            <w:pPr>
              <w:rPr>
                <w:rFonts w:cs="Arial"/>
              </w:rPr>
            </w:pPr>
          </w:p>
        </w:tc>
        <w:tc>
          <w:tcPr>
            <w:tcW w:w="3117" w:type="dxa"/>
          </w:tcPr>
          <w:p w14:paraId="463730EE" w14:textId="77777777" w:rsidR="00E94397" w:rsidRPr="00E94397" w:rsidRDefault="00E94397" w:rsidP="00953E3B">
            <w:pPr>
              <w:spacing w:line="240" w:lineRule="auto"/>
              <w:rPr>
                <w:rFonts w:eastAsia="Times New Roman" w:cs="Arial"/>
                <w:color w:val="000000"/>
                <w:lang w:eastAsia="bg-BG"/>
              </w:rPr>
            </w:pPr>
            <w:r w:rsidRPr="00E94397">
              <w:rPr>
                <w:rFonts w:eastAsia="Times New Roman" w:cs="Arial"/>
                <w:color w:val="000000"/>
                <w:lang w:eastAsia="bg-BG"/>
              </w:rPr>
              <w:t xml:space="preserve">Астма и диспнея при пациенти </w:t>
            </w:r>
            <w:r w:rsidRPr="00953E3B">
              <w:rPr>
                <w:rFonts w:eastAsia="Times New Roman" w:cs="Arial"/>
                <w:color w:val="000000"/>
                <w:lang w:eastAsia="bg-BG"/>
              </w:rPr>
              <w:t>с</w:t>
            </w:r>
            <w:r w:rsidRPr="00E94397">
              <w:rPr>
                <w:rFonts w:eastAsia="Times New Roman" w:cs="Arial"/>
                <w:lang w:eastAsia="bg-BG"/>
              </w:rPr>
              <w:t xml:space="preserve"> </w:t>
            </w:r>
            <w:r w:rsidRPr="00E94397">
              <w:rPr>
                <w:rFonts w:eastAsia="Times New Roman" w:cs="Arial"/>
                <w:color w:val="000000"/>
                <w:lang w:eastAsia="bg-BG"/>
              </w:rPr>
              <w:t xml:space="preserve">предиспозиция. </w:t>
            </w:r>
          </w:p>
          <w:p w14:paraId="5F0F3FE7" w14:textId="77777777" w:rsidR="00E94397" w:rsidRPr="00E94397" w:rsidRDefault="00E94397" w:rsidP="00953E3B">
            <w:pPr>
              <w:spacing w:line="240" w:lineRule="auto"/>
              <w:rPr>
                <w:rFonts w:eastAsia="Times New Roman" w:cs="Arial"/>
                <w:color w:val="000000"/>
                <w:lang w:eastAsia="bg-BG"/>
              </w:rPr>
            </w:pPr>
          </w:p>
          <w:p w14:paraId="1B7B6810" w14:textId="4E5CF426" w:rsidR="00E94397" w:rsidRPr="00E94397" w:rsidRDefault="00E94397" w:rsidP="00953E3B">
            <w:pPr>
              <w:spacing w:line="240" w:lineRule="auto"/>
              <w:rPr>
                <w:rFonts w:eastAsia="Times New Roman" w:cs="Arial"/>
                <w:lang w:eastAsia="bg-BG"/>
              </w:rPr>
            </w:pPr>
            <w:r w:rsidRPr="00E94397">
              <w:rPr>
                <w:rFonts w:eastAsia="Times New Roman" w:cs="Arial"/>
                <w:color w:val="000000"/>
                <w:lang w:eastAsia="bg-BG"/>
              </w:rPr>
              <w:t>Запушен нос. Хрипове и симптоми, наподобяващи грип.</w:t>
            </w:r>
          </w:p>
        </w:tc>
      </w:tr>
      <w:tr w:rsidR="00E94397" w14:paraId="2FD5A04C" w14:textId="77777777" w:rsidTr="00452FD2">
        <w:trPr>
          <w:trHeight w:val="1010"/>
        </w:trPr>
        <w:tc>
          <w:tcPr>
            <w:tcW w:w="3116" w:type="dxa"/>
          </w:tcPr>
          <w:p w14:paraId="4DBFE65A" w14:textId="77777777" w:rsidR="00E94397" w:rsidRPr="00953E3B" w:rsidRDefault="00E94397" w:rsidP="00953E3B">
            <w:pPr>
              <w:spacing w:line="240" w:lineRule="auto"/>
              <w:rPr>
                <w:rFonts w:eastAsia="Times New Roman" w:cs="Arial"/>
                <w:lang w:eastAsia="bg-BG"/>
              </w:rPr>
            </w:pPr>
            <w:r w:rsidRPr="00953E3B">
              <w:rPr>
                <w:rFonts w:eastAsia="Times New Roman" w:cs="Arial"/>
                <w:color w:val="000000"/>
                <w:lang w:eastAsia="bg-BG"/>
              </w:rPr>
              <w:t>Гастро-интестинална</w:t>
            </w:r>
          </w:p>
          <w:p w14:paraId="55F4E6B5" w14:textId="77777777" w:rsidR="00E94397" w:rsidRPr="00953E3B" w:rsidRDefault="00E94397" w:rsidP="00953E3B">
            <w:pPr>
              <w:spacing w:line="240" w:lineRule="auto"/>
              <w:rPr>
                <w:rFonts w:eastAsia="Times New Roman" w:cs="Arial"/>
                <w:lang w:eastAsia="bg-BG"/>
              </w:rPr>
            </w:pPr>
            <w:r w:rsidRPr="00953E3B">
              <w:rPr>
                <w:rFonts w:eastAsia="Times New Roman" w:cs="Arial"/>
                <w:color w:val="000000"/>
                <w:lang w:eastAsia="bg-BG"/>
              </w:rPr>
              <w:t>система</w:t>
            </w:r>
          </w:p>
          <w:p w14:paraId="4A165DD5" w14:textId="77777777" w:rsidR="00E94397" w:rsidRPr="00E94397" w:rsidRDefault="00E94397" w:rsidP="00FA246A">
            <w:pPr>
              <w:rPr>
                <w:rFonts w:cs="Arial"/>
              </w:rPr>
            </w:pPr>
          </w:p>
        </w:tc>
        <w:tc>
          <w:tcPr>
            <w:tcW w:w="3117" w:type="dxa"/>
          </w:tcPr>
          <w:p w14:paraId="3444B50C" w14:textId="77777777" w:rsidR="00E94397" w:rsidRPr="00E94397" w:rsidRDefault="00E94397" w:rsidP="00FA246A">
            <w:pPr>
              <w:rPr>
                <w:rFonts w:cs="Arial"/>
              </w:rPr>
            </w:pPr>
            <w:r w:rsidRPr="00E94397">
              <w:rPr>
                <w:rFonts w:cs="Arial"/>
              </w:rPr>
              <w:t>Чести</w:t>
            </w:r>
          </w:p>
          <w:p w14:paraId="30E0577A" w14:textId="77777777" w:rsidR="00E94397" w:rsidRPr="00E94397" w:rsidRDefault="00E94397" w:rsidP="00E94397">
            <w:pPr>
              <w:rPr>
                <w:rFonts w:cs="Arial"/>
              </w:rPr>
            </w:pPr>
          </w:p>
          <w:p w14:paraId="6A65583D" w14:textId="77777777" w:rsidR="00E94397" w:rsidRPr="00E94397" w:rsidRDefault="00E94397" w:rsidP="00E94397">
            <w:pPr>
              <w:rPr>
                <w:rFonts w:cs="Arial"/>
              </w:rPr>
            </w:pPr>
          </w:p>
          <w:p w14:paraId="3C5EAC1C" w14:textId="77777777" w:rsidR="00E94397" w:rsidRPr="00E94397" w:rsidRDefault="00E94397" w:rsidP="00E94397">
            <w:pPr>
              <w:rPr>
                <w:rFonts w:cs="Arial"/>
              </w:rPr>
            </w:pPr>
          </w:p>
          <w:p w14:paraId="571A8E97" w14:textId="4CF70A9B" w:rsidR="00E94397" w:rsidRPr="00E94397" w:rsidRDefault="00E94397" w:rsidP="00E94397">
            <w:pPr>
              <w:rPr>
                <w:rFonts w:cs="Arial"/>
              </w:rPr>
            </w:pPr>
            <w:r w:rsidRPr="00E94397">
              <w:rPr>
                <w:rFonts w:cs="Arial"/>
              </w:rPr>
              <w:t>Нечести</w:t>
            </w:r>
          </w:p>
        </w:tc>
        <w:tc>
          <w:tcPr>
            <w:tcW w:w="3117" w:type="dxa"/>
          </w:tcPr>
          <w:p w14:paraId="2709E747" w14:textId="77777777" w:rsidR="00E94397" w:rsidRPr="00E94397" w:rsidRDefault="00E94397" w:rsidP="00953E3B">
            <w:pPr>
              <w:spacing w:line="240" w:lineRule="auto"/>
              <w:rPr>
                <w:rFonts w:eastAsia="Times New Roman" w:cs="Arial"/>
                <w:lang w:eastAsia="bg-BG"/>
              </w:rPr>
            </w:pPr>
            <w:r w:rsidRPr="00E94397">
              <w:rPr>
                <w:rFonts w:eastAsia="Times New Roman" w:cs="Arial"/>
                <w:color w:val="000000"/>
                <w:lang w:eastAsia="bg-BG"/>
              </w:rPr>
              <w:t xml:space="preserve">Стомашно-чревно разстройство </w:t>
            </w:r>
            <w:r w:rsidRPr="00953E3B">
              <w:rPr>
                <w:rFonts w:eastAsia="Times New Roman" w:cs="Arial"/>
                <w:color w:val="000000"/>
                <w:lang w:eastAsia="bg-BG"/>
              </w:rPr>
              <w:t>(със</w:t>
            </w:r>
            <w:r w:rsidRPr="00E94397">
              <w:rPr>
                <w:rFonts w:eastAsia="Times New Roman" w:cs="Arial"/>
                <w:lang w:eastAsia="bg-BG"/>
              </w:rPr>
              <w:t xml:space="preserve"> </w:t>
            </w:r>
            <w:r w:rsidRPr="00E94397">
              <w:rPr>
                <w:rFonts w:eastAsia="Times New Roman" w:cs="Arial"/>
                <w:color w:val="000000"/>
                <w:lang w:eastAsia="bg-BG"/>
              </w:rPr>
              <w:t>симптоми като гадене, болка в корема, диария)</w:t>
            </w:r>
          </w:p>
          <w:p w14:paraId="7A69869F" w14:textId="77777777" w:rsidR="00E94397" w:rsidRPr="00E94397" w:rsidRDefault="00E94397" w:rsidP="00E94397">
            <w:pPr>
              <w:rPr>
                <w:rFonts w:cs="Arial"/>
              </w:rPr>
            </w:pPr>
          </w:p>
          <w:p w14:paraId="30DD2B5F" w14:textId="2988A688" w:rsidR="00E94397" w:rsidRPr="00E94397" w:rsidRDefault="00E94397" w:rsidP="00E94397">
            <w:pPr>
              <w:rPr>
                <w:rFonts w:eastAsia="Times New Roman" w:cs="Arial"/>
                <w:lang w:eastAsia="bg-BG"/>
              </w:rPr>
            </w:pPr>
            <w:r w:rsidRPr="00E94397">
              <w:rPr>
                <w:rFonts w:cs="Arial"/>
              </w:rPr>
              <w:t>Запек и повръщане</w:t>
            </w:r>
          </w:p>
        </w:tc>
      </w:tr>
      <w:tr w:rsidR="00E94397" w14:paraId="08C784D7" w14:textId="77777777" w:rsidTr="00953E3B">
        <w:tc>
          <w:tcPr>
            <w:tcW w:w="3116" w:type="dxa"/>
          </w:tcPr>
          <w:p w14:paraId="3C4F809E" w14:textId="01819C85" w:rsidR="00E94397" w:rsidRPr="00E94397" w:rsidRDefault="00E94397" w:rsidP="00E94397">
            <w:pPr>
              <w:rPr>
                <w:rFonts w:cs="Arial"/>
              </w:rPr>
            </w:pPr>
            <w:r w:rsidRPr="00E94397">
              <w:rPr>
                <w:rFonts w:cs="Arial"/>
              </w:rPr>
              <w:t>Кожа и кожни придатъци</w:t>
            </w:r>
          </w:p>
        </w:tc>
        <w:tc>
          <w:tcPr>
            <w:tcW w:w="3117" w:type="dxa"/>
          </w:tcPr>
          <w:p w14:paraId="5105F2A2" w14:textId="645E3BF5" w:rsidR="00E94397" w:rsidRPr="00E94397" w:rsidRDefault="00E94397" w:rsidP="00E94397">
            <w:pPr>
              <w:rPr>
                <w:rFonts w:cs="Arial"/>
              </w:rPr>
            </w:pPr>
            <w:r w:rsidRPr="00E94397">
              <w:rPr>
                <w:rFonts w:cs="Arial"/>
              </w:rPr>
              <w:t>Чести</w:t>
            </w:r>
          </w:p>
        </w:tc>
        <w:tc>
          <w:tcPr>
            <w:tcW w:w="3117" w:type="dxa"/>
          </w:tcPr>
          <w:p w14:paraId="0E2F1534" w14:textId="71FCAE8D" w:rsidR="00E94397" w:rsidRPr="00E94397" w:rsidRDefault="00E94397" w:rsidP="00E94397">
            <w:pPr>
              <w:rPr>
                <w:rFonts w:cs="Arial"/>
              </w:rPr>
            </w:pPr>
            <w:r w:rsidRPr="00E94397">
              <w:rPr>
                <w:rFonts w:cs="Arial"/>
              </w:rPr>
              <w:t>Кожни реакции (напр. алергичен екзантем,</w:t>
            </w:r>
          </w:p>
          <w:p w14:paraId="3F4D19BF" w14:textId="098A3CDE" w:rsidR="00E94397" w:rsidRPr="00E94397" w:rsidRDefault="00E94397" w:rsidP="00E94397">
            <w:pPr>
              <w:rPr>
                <w:rFonts w:cs="Arial"/>
              </w:rPr>
            </w:pPr>
            <w:r w:rsidRPr="00E94397">
              <w:rPr>
                <w:rFonts w:cs="Arial"/>
              </w:rPr>
              <w:t>Дерматит, уртикария, сърбеж.реакции</w:t>
            </w:r>
          </w:p>
          <w:p w14:paraId="0BE19486" w14:textId="33DDD231" w:rsidR="00E94397" w:rsidRPr="00E94397" w:rsidRDefault="00E94397" w:rsidP="00E94397">
            <w:pPr>
              <w:rPr>
                <w:rFonts w:cs="Arial"/>
              </w:rPr>
            </w:pPr>
            <w:r w:rsidRPr="00E94397">
              <w:rPr>
                <w:rFonts w:cs="Arial"/>
              </w:rPr>
              <w:t>подобни на лихен планус и засилено потене).</w:t>
            </w:r>
          </w:p>
          <w:p w14:paraId="680B8DE0" w14:textId="146470D2" w:rsidR="00E94397" w:rsidRPr="00E94397" w:rsidRDefault="00E94397" w:rsidP="00E94397">
            <w:pPr>
              <w:rPr>
                <w:rFonts w:cs="Arial"/>
              </w:rPr>
            </w:pPr>
            <w:r w:rsidRPr="00E94397">
              <w:rPr>
                <w:rFonts w:cs="Arial"/>
              </w:rPr>
              <w:t>Може да се появят псориатични кожни</w:t>
            </w:r>
          </w:p>
          <w:p w14:paraId="6C3A0465" w14:textId="1E4EC93B" w:rsidR="00E94397" w:rsidRPr="00E94397" w:rsidRDefault="00E94397" w:rsidP="00E94397">
            <w:pPr>
              <w:rPr>
                <w:rFonts w:cs="Arial"/>
              </w:rPr>
            </w:pPr>
            <w:r w:rsidRPr="00E94397">
              <w:rPr>
                <w:rFonts w:cs="Arial"/>
              </w:rPr>
              <w:t>лезии или да се обострят съществуващи.</w:t>
            </w:r>
          </w:p>
        </w:tc>
      </w:tr>
      <w:tr w:rsidR="00E94397" w14:paraId="294A8322" w14:textId="77777777" w:rsidTr="00953E3B">
        <w:tc>
          <w:tcPr>
            <w:tcW w:w="3116" w:type="dxa"/>
          </w:tcPr>
          <w:p w14:paraId="693FE02E" w14:textId="4F8AA3C4" w:rsidR="00E94397" w:rsidRPr="00E94397" w:rsidRDefault="00E94397" w:rsidP="00E94397">
            <w:pPr>
              <w:rPr>
                <w:rFonts w:cs="Arial"/>
              </w:rPr>
            </w:pPr>
            <w:r w:rsidRPr="00E94397">
              <w:rPr>
                <w:rFonts w:cs="Arial"/>
              </w:rPr>
              <w:t>Други</w:t>
            </w:r>
          </w:p>
        </w:tc>
        <w:tc>
          <w:tcPr>
            <w:tcW w:w="3117" w:type="dxa"/>
          </w:tcPr>
          <w:p w14:paraId="528827C4" w14:textId="14B96D0C" w:rsidR="00E94397" w:rsidRPr="00E94397" w:rsidRDefault="00E94397" w:rsidP="00E94397">
            <w:pPr>
              <w:rPr>
                <w:rFonts w:cs="Arial"/>
              </w:rPr>
            </w:pPr>
            <w:r w:rsidRPr="00E94397">
              <w:rPr>
                <w:rFonts w:cs="Arial"/>
              </w:rPr>
              <w:t>Чести</w:t>
            </w:r>
          </w:p>
        </w:tc>
        <w:tc>
          <w:tcPr>
            <w:tcW w:w="3117" w:type="dxa"/>
          </w:tcPr>
          <w:p w14:paraId="4C6A68FD" w14:textId="28992CD8" w:rsidR="00E94397" w:rsidRPr="00E94397" w:rsidRDefault="00E94397" w:rsidP="00E94397">
            <w:pPr>
              <w:rPr>
                <w:rFonts w:cs="Arial"/>
              </w:rPr>
            </w:pPr>
            <w:r w:rsidRPr="00E94397">
              <w:rPr>
                <w:rFonts w:cs="Arial"/>
              </w:rPr>
              <w:t>Болка в крайниците, намалено образуване на сълзи.</w:t>
            </w:r>
          </w:p>
        </w:tc>
      </w:tr>
      <w:tr w:rsidR="00E94397" w14:paraId="3229E704" w14:textId="77777777" w:rsidTr="004D5D70">
        <w:tc>
          <w:tcPr>
            <w:tcW w:w="3116" w:type="dxa"/>
          </w:tcPr>
          <w:p w14:paraId="2A95854C" w14:textId="77777777" w:rsidR="00E94397" w:rsidRPr="00E94397" w:rsidRDefault="00E94397" w:rsidP="00E94397">
            <w:pPr>
              <w:rPr>
                <w:rFonts w:cs="Arial"/>
              </w:rPr>
            </w:pPr>
          </w:p>
        </w:tc>
        <w:tc>
          <w:tcPr>
            <w:tcW w:w="3117" w:type="dxa"/>
          </w:tcPr>
          <w:p w14:paraId="45277533" w14:textId="6E06FADE" w:rsidR="00E94397" w:rsidRPr="00E94397" w:rsidRDefault="00E94397" w:rsidP="00E94397">
            <w:pPr>
              <w:rPr>
                <w:rFonts w:cs="Arial"/>
              </w:rPr>
            </w:pPr>
            <w:r w:rsidRPr="00E94397">
              <w:rPr>
                <w:rFonts w:cs="Arial"/>
              </w:rPr>
              <w:t>Нечести</w:t>
            </w:r>
          </w:p>
        </w:tc>
        <w:tc>
          <w:tcPr>
            <w:tcW w:w="3117" w:type="dxa"/>
            <w:vAlign w:val="bottom"/>
          </w:tcPr>
          <w:p w14:paraId="1CD2FCA1" w14:textId="77777777" w:rsidR="00E94397" w:rsidRPr="00E94397" w:rsidRDefault="00E94397" w:rsidP="00E94397">
            <w:pPr>
              <w:rPr>
                <w:rFonts w:cs="Arial"/>
              </w:rPr>
            </w:pPr>
            <w:r w:rsidRPr="00E94397">
              <w:rPr>
                <w:rFonts w:cs="Arial"/>
              </w:rPr>
              <w:t>Случаи на сексуална импотентност</w:t>
            </w:r>
            <w:r w:rsidRPr="00E94397">
              <w:rPr>
                <w:rFonts w:cs="Arial"/>
              </w:rPr>
              <w:tab/>
              <w:t>и</w:t>
            </w:r>
          </w:p>
          <w:p w14:paraId="15C7EF09" w14:textId="65326834" w:rsidR="00E94397" w:rsidRPr="00E94397" w:rsidRDefault="00E94397" w:rsidP="00E94397">
            <w:pPr>
              <w:rPr>
                <w:rFonts w:cs="Arial"/>
              </w:rPr>
            </w:pPr>
            <w:r w:rsidRPr="00E94397">
              <w:rPr>
                <w:rFonts w:cs="Arial"/>
              </w:rPr>
              <w:t>нарушено зрение.</w:t>
            </w:r>
          </w:p>
        </w:tc>
      </w:tr>
      <w:tr w:rsidR="00E94397" w14:paraId="2FDB6D6D" w14:textId="77777777" w:rsidTr="00953E3B">
        <w:tc>
          <w:tcPr>
            <w:tcW w:w="3116" w:type="dxa"/>
          </w:tcPr>
          <w:p w14:paraId="0C904784" w14:textId="77777777" w:rsidR="00E94397" w:rsidRPr="00E94397" w:rsidRDefault="00E94397" w:rsidP="00E94397">
            <w:pPr>
              <w:rPr>
                <w:rFonts w:cs="Arial"/>
              </w:rPr>
            </w:pPr>
          </w:p>
        </w:tc>
        <w:tc>
          <w:tcPr>
            <w:tcW w:w="3117" w:type="dxa"/>
          </w:tcPr>
          <w:p w14:paraId="16145C3C" w14:textId="59D48A2D" w:rsidR="00E94397" w:rsidRPr="00E94397" w:rsidRDefault="00E94397" w:rsidP="00E94397">
            <w:pPr>
              <w:rPr>
                <w:rFonts w:cs="Arial"/>
              </w:rPr>
            </w:pPr>
            <w:r w:rsidRPr="00E94397">
              <w:rPr>
                <w:rFonts w:cs="Arial"/>
              </w:rPr>
              <w:t>Редки</w:t>
            </w:r>
          </w:p>
        </w:tc>
        <w:tc>
          <w:tcPr>
            <w:tcW w:w="3117" w:type="dxa"/>
          </w:tcPr>
          <w:p w14:paraId="26233600" w14:textId="49C5C0C8" w:rsidR="00E94397" w:rsidRPr="00E94397" w:rsidRDefault="00E94397" w:rsidP="00E94397">
            <w:pPr>
              <w:rPr>
                <w:rFonts w:cs="Arial"/>
              </w:rPr>
            </w:pPr>
            <w:r w:rsidRPr="00E94397">
              <w:rPr>
                <w:rFonts w:cs="Arial"/>
              </w:rPr>
              <w:t>Сухота в устата и затруднения при уриниране и очно възпаление.</w:t>
            </w:r>
          </w:p>
        </w:tc>
      </w:tr>
      <w:tr w:rsidR="00E94397" w14:paraId="66B654D3" w14:textId="77777777" w:rsidTr="004D5D70">
        <w:tc>
          <w:tcPr>
            <w:tcW w:w="3116" w:type="dxa"/>
          </w:tcPr>
          <w:p w14:paraId="747F9246" w14:textId="77777777" w:rsidR="00E94397" w:rsidRPr="00E94397" w:rsidRDefault="00E94397" w:rsidP="00E94397">
            <w:pPr>
              <w:rPr>
                <w:rFonts w:cs="Arial"/>
              </w:rPr>
            </w:pPr>
          </w:p>
        </w:tc>
        <w:tc>
          <w:tcPr>
            <w:tcW w:w="3117" w:type="dxa"/>
            <w:vAlign w:val="center"/>
          </w:tcPr>
          <w:p w14:paraId="5D1B78B8" w14:textId="428189BB" w:rsidR="00E94397" w:rsidRPr="00E94397" w:rsidRDefault="00E94397" w:rsidP="00E94397">
            <w:pPr>
              <w:rPr>
                <w:rFonts w:cs="Arial"/>
              </w:rPr>
            </w:pPr>
            <w:r w:rsidRPr="00E94397">
              <w:rPr>
                <w:rFonts w:cs="Arial"/>
              </w:rPr>
              <w:t>Изолирани случаи</w:t>
            </w:r>
          </w:p>
        </w:tc>
        <w:tc>
          <w:tcPr>
            <w:tcW w:w="3117" w:type="dxa"/>
            <w:vAlign w:val="center"/>
          </w:tcPr>
          <w:p w14:paraId="01F31D43" w14:textId="7E8D92F0" w:rsidR="00E94397" w:rsidRPr="00E94397" w:rsidRDefault="00E94397" w:rsidP="00E94397">
            <w:pPr>
              <w:rPr>
                <w:rFonts w:cs="Arial"/>
              </w:rPr>
            </w:pPr>
            <w:r w:rsidRPr="00E94397">
              <w:rPr>
                <w:rFonts w:cs="Arial"/>
              </w:rPr>
              <w:t>Алергични реакции</w:t>
            </w:r>
          </w:p>
        </w:tc>
      </w:tr>
    </w:tbl>
    <w:p w14:paraId="1F243FDF" w14:textId="1CEF70A7" w:rsidR="00953E3B" w:rsidRDefault="00953E3B" w:rsidP="00FA246A"/>
    <w:p w14:paraId="28C17BE7" w14:textId="11403683" w:rsidR="00E94397" w:rsidRPr="00E94397" w:rsidRDefault="00E94397" w:rsidP="00FA246A">
      <w:pPr>
        <w:rPr>
          <w:sz w:val="24"/>
        </w:rPr>
      </w:pPr>
      <w:r w:rsidRPr="00E94397">
        <w:rPr>
          <w:szCs w:val="20"/>
        </w:rPr>
        <w:t>Поради бета-блокиращите свойства също е възможно латентен захарен диабет да стане манифестен. манифестен диабет да се усложни и да се инхибира контра регулация та на кръвната глюкоза.</w:t>
      </w:r>
    </w:p>
    <w:p w14:paraId="7EDC3755" w14:textId="77777777" w:rsidR="00A01A1C" w:rsidRPr="00FA246A" w:rsidRDefault="00A01A1C" w:rsidP="00FA246A"/>
    <w:p w14:paraId="0A023CE0" w14:textId="677803B3" w:rsidR="00CF77F7" w:rsidRDefault="002C50EE" w:rsidP="004A448E">
      <w:pPr>
        <w:pStyle w:val="Heading2"/>
      </w:pPr>
      <w:r>
        <w:t>4.9. Предозиране</w:t>
      </w:r>
    </w:p>
    <w:p w14:paraId="0232C824" w14:textId="7134C5F2" w:rsidR="00E94397" w:rsidRDefault="00E94397" w:rsidP="00E94397"/>
    <w:p w14:paraId="663C6E30" w14:textId="77777777" w:rsidR="00E94397" w:rsidRPr="00DC3050" w:rsidRDefault="00E94397" w:rsidP="00DC3050">
      <w:pPr>
        <w:pStyle w:val="Heading3"/>
        <w:rPr>
          <w:rFonts w:eastAsia="Times New Roman"/>
          <w:u w:val="single"/>
          <w:lang w:eastAsia="bg-BG"/>
        </w:rPr>
      </w:pPr>
      <w:r w:rsidRPr="00DC3050">
        <w:rPr>
          <w:rFonts w:eastAsia="Times New Roman"/>
          <w:u w:val="single"/>
          <w:lang w:eastAsia="bg-BG"/>
        </w:rPr>
        <w:lastRenderedPageBreak/>
        <w:t>Симптоми и признаци</w:t>
      </w:r>
    </w:p>
    <w:p w14:paraId="549D5E75" w14:textId="77777777" w:rsidR="00E94397" w:rsidRPr="00E94397" w:rsidRDefault="00E94397" w:rsidP="00E94397">
      <w:pPr>
        <w:spacing w:line="240" w:lineRule="auto"/>
        <w:rPr>
          <w:rFonts w:eastAsia="Times New Roman" w:cs="Arial"/>
          <w:color w:val="000000"/>
          <w:lang w:eastAsia="bg-BG"/>
        </w:rPr>
      </w:pPr>
    </w:p>
    <w:p w14:paraId="375C235F" w14:textId="417C322A" w:rsidR="00E94397" w:rsidRPr="00E94397" w:rsidRDefault="00E94397" w:rsidP="00E94397">
      <w:pPr>
        <w:spacing w:line="240" w:lineRule="auto"/>
        <w:rPr>
          <w:rFonts w:eastAsia="Times New Roman" w:cs="Arial"/>
          <w:lang w:eastAsia="bg-BG"/>
        </w:rPr>
      </w:pPr>
      <w:r w:rsidRPr="00E94397">
        <w:rPr>
          <w:rFonts w:eastAsia="Times New Roman" w:cs="Arial"/>
          <w:color w:val="000000"/>
          <w:lang w:eastAsia="bg-BG"/>
        </w:rPr>
        <w:t>Масивното предозиране се очаква да доведе до силни сърдечно-съдови ефекти като хипотония и брадикардия. Могат да последват сърдечна недостатъчност, кардиогенен шок и сърдечен арест, респираторни проблеми, бронхоспазъм. повръщане, замъгляване на съзнанието и генерализирани гърчове.</w:t>
      </w:r>
    </w:p>
    <w:p w14:paraId="37C6E817" w14:textId="77777777" w:rsidR="00E94397" w:rsidRPr="00E94397" w:rsidRDefault="00E94397" w:rsidP="00E94397">
      <w:pPr>
        <w:spacing w:line="240" w:lineRule="auto"/>
        <w:rPr>
          <w:rFonts w:eastAsia="Times New Roman" w:cs="Arial"/>
          <w:b/>
          <w:bCs/>
          <w:i/>
          <w:iCs/>
          <w:color w:val="000000"/>
          <w:lang w:eastAsia="bg-BG"/>
        </w:rPr>
      </w:pPr>
    </w:p>
    <w:p w14:paraId="64C5B79F" w14:textId="343D893E" w:rsidR="00E94397" w:rsidRPr="00DC3050" w:rsidRDefault="00E94397" w:rsidP="00DC3050">
      <w:pPr>
        <w:pStyle w:val="Heading3"/>
        <w:rPr>
          <w:rFonts w:eastAsia="Times New Roman"/>
          <w:u w:val="single"/>
          <w:lang w:eastAsia="bg-BG"/>
        </w:rPr>
      </w:pPr>
      <w:r w:rsidRPr="00DC3050">
        <w:rPr>
          <w:rFonts w:eastAsia="Times New Roman"/>
          <w:u w:val="single"/>
          <w:lang w:eastAsia="bg-BG"/>
        </w:rPr>
        <w:t>Лечение</w:t>
      </w:r>
    </w:p>
    <w:p w14:paraId="160167C1" w14:textId="77777777" w:rsidR="00E94397" w:rsidRPr="00E94397" w:rsidRDefault="00E94397" w:rsidP="00E94397">
      <w:pPr>
        <w:spacing w:line="240" w:lineRule="auto"/>
        <w:rPr>
          <w:rFonts w:eastAsia="Times New Roman" w:cs="Arial"/>
          <w:color w:val="000000"/>
          <w:lang w:eastAsia="bg-BG"/>
        </w:rPr>
      </w:pPr>
    </w:p>
    <w:p w14:paraId="10222CE0" w14:textId="64C288A7" w:rsidR="00E94397" w:rsidRPr="00E94397" w:rsidRDefault="00E94397" w:rsidP="00E94397">
      <w:pPr>
        <w:spacing w:line="240" w:lineRule="auto"/>
        <w:rPr>
          <w:rFonts w:eastAsia="Times New Roman" w:cs="Arial"/>
          <w:lang w:eastAsia="bg-BG"/>
        </w:rPr>
      </w:pPr>
      <w:r w:rsidRPr="00E94397">
        <w:rPr>
          <w:rFonts w:eastAsia="Times New Roman" w:cs="Arial"/>
          <w:color w:val="000000"/>
          <w:lang w:eastAsia="bg-BG"/>
        </w:rPr>
        <w:t>Може да е полезно да се прибегне до стомашен лаваж или индуциране повръщане през първите няколко часа след поглъщането. В допълнение към общите процедури трябва да се проследяват жизнените показатели и да се коригират, ако е необходимо в интензивно отделение.</w:t>
      </w:r>
    </w:p>
    <w:p w14:paraId="530EF15A" w14:textId="77777777" w:rsidR="00E94397" w:rsidRPr="00E94397" w:rsidRDefault="00E94397" w:rsidP="00E94397">
      <w:pPr>
        <w:spacing w:line="240" w:lineRule="auto"/>
        <w:rPr>
          <w:rFonts w:eastAsia="Times New Roman" w:cs="Arial"/>
          <w:color w:val="000000"/>
          <w:lang w:eastAsia="bg-BG"/>
        </w:rPr>
      </w:pPr>
    </w:p>
    <w:p w14:paraId="0A204640" w14:textId="4EF61EF8" w:rsidR="00E94397" w:rsidRPr="00E94397" w:rsidRDefault="00E94397" w:rsidP="00E94397">
      <w:pPr>
        <w:spacing w:line="240" w:lineRule="auto"/>
        <w:rPr>
          <w:rFonts w:eastAsia="Times New Roman" w:cs="Arial"/>
          <w:lang w:eastAsia="bg-BG"/>
        </w:rPr>
      </w:pPr>
      <w:r w:rsidRPr="00E94397">
        <w:rPr>
          <w:rFonts w:eastAsia="Times New Roman" w:cs="Arial"/>
          <w:color w:val="000000"/>
          <w:lang w:eastAsia="bg-BG"/>
        </w:rPr>
        <w:t xml:space="preserve">Пациентът трябва да се постави легнал. Когато е налична брадикардия трябва да се направят атропин 0.5 </w:t>
      </w:r>
      <w:r w:rsidRPr="00E94397">
        <w:rPr>
          <w:rFonts w:eastAsia="Times New Roman" w:cs="Arial"/>
          <w:color w:val="000000"/>
          <w:lang w:val="en-US"/>
        </w:rPr>
        <w:t xml:space="preserve">mg </w:t>
      </w:r>
      <w:r w:rsidRPr="00E94397">
        <w:rPr>
          <w:rFonts w:eastAsia="Times New Roman" w:cs="Arial"/>
          <w:color w:val="000000"/>
          <w:lang w:eastAsia="bg-BG"/>
        </w:rPr>
        <w:t xml:space="preserve">до 2 </w:t>
      </w:r>
      <w:r w:rsidRPr="00E94397">
        <w:rPr>
          <w:rFonts w:eastAsia="Times New Roman" w:cs="Arial"/>
          <w:color w:val="000000"/>
          <w:lang w:val="en-US"/>
        </w:rPr>
        <w:t xml:space="preserve">mg </w:t>
      </w:r>
      <w:proofErr w:type="spellStart"/>
      <w:r w:rsidRPr="00E94397">
        <w:rPr>
          <w:rFonts w:eastAsia="Times New Roman" w:cs="Arial"/>
          <w:color w:val="000000"/>
          <w:lang w:val="en-US"/>
        </w:rPr>
        <w:t>i.v.</w:t>
      </w:r>
      <w:proofErr w:type="spellEnd"/>
      <w:r w:rsidRPr="00E94397">
        <w:rPr>
          <w:rFonts w:eastAsia="Times New Roman" w:cs="Arial"/>
          <w:color w:val="000000"/>
          <w:lang w:val="en-US"/>
        </w:rPr>
        <w:t xml:space="preserve"> </w:t>
      </w:r>
      <w:r w:rsidRPr="00E94397">
        <w:rPr>
          <w:rFonts w:eastAsia="Times New Roman" w:cs="Arial"/>
          <w:color w:val="000000"/>
          <w:lang w:eastAsia="bg-BG"/>
        </w:rPr>
        <w:t xml:space="preserve">и/или глюкагон 1 до 10 </w:t>
      </w:r>
      <w:r w:rsidRPr="00E94397">
        <w:rPr>
          <w:rFonts w:eastAsia="Times New Roman" w:cs="Arial"/>
          <w:color w:val="000000"/>
          <w:lang w:val="en-US"/>
        </w:rPr>
        <w:t xml:space="preserve">mg </w:t>
      </w:r>
      <w:proofErr w:type="spellStart"/>
      <w:r w:rsidRPr="00E94397">
        <w:rPr>
          <w:rFonts w:eastAsia="Times New Roman" w:cs="Arial"/>
          <w:color w:val="000000"/>
          <w:lang w:val="en-US"/>
        </w:rPr>
        <w:t>i.v.</w:t>
      </w:r>
      <w:proofErr w:type="spellEnd"/>
      <w:r w:rsidRPr="00E94397">
        <w:rPr>
          <w:rFonts w:eastAsia="Times New Roman" w:cs="Arial"/>
          <w:color w:val="000000"/>
          <w:lang w:val="en-US"/>
        </w:rPr>
        <w:t xml:space="preserve"> </w:t>
      </w:r>
      <w:r w:rsidRPr="00E94397">
        <w:rPr>
          <w:rFonts w:eastAsia="Times New Roman" w:cs="Arial"/>
          <w:color w:val="000000"/>
          <w:lang w:eastAsia="bg-BG"/>
        </w:rPr>
        <w:t xml:space="preserve">(последвано от бавна </w:t>
      </w:r>
      <w:proofErr w:type="spellStart"/>
      <w:r w:rsidRPr="00E94397">
        <w:rPr>
          <w:rFonts w:eastAsia="Times New Roman" w:cs="Arial"/>
          <w:color w:val="000000"/>
          <w:lang w:val="en-US"/>
        </w:rPr>
        <w:t>i.v.</w:t>
      </w:r>
      <w:proofErr w:type="spellEnd"/>
      <w:r w:rsidRPr="00E94397">
        <w:rPr>
          <w:rFonts w:eastAsia="Times New Roman" w:cs="Arial"/>
          <w:color w:val="000000"/>
          <w:lang w:val="en-US"/>
        </w:rPr>
        <w:t xml:space="preserve"> </w:t>
      </w:r>
      <w:r w:rsidRPr="00E94397">
        <w:rPr>
          <w:rFonts w:eastAsia="Times New Roman" w:cs="Arial"/>
          <w:color w:val="000000"/>
          <w:lang w:eastAsia="bg-BG"/>
        </w:rPr>
        <w:t xml:space="preserve">инфузия 2 до 5 </w:t>
      </w:r>
      <w:r w:rsidRPr="00E94397">
        <w:rPr>
          <w:rFonts w:eastAsia="Times New Roman" w:cs="Arial"/>
          <w:color w:val="000000"/>
          <w:lang w:val="en-US"/>
        </w:rPr>
        <w:t>mg</w:t>
      </w:r>
      <w:r w:rsidRPr="00E94397">
        <w:rPr>
          <w:rFonts w:eastAsia="Times New Roman" w:cs="Arial"/>
          <w:color w:val="000000"/>
          <w:lang w:eastAsia="bg-BG"/>
        </w:rPr>
        <w:t xml:space="preserve">/час. ако е необходимо). Може да се наложи поставяне на пейемейкър. Сериозната хипотония може да се лекува с приложение на течности интравенозно. Допълнително може да се направи или норспинефрин 5 до 10 </w:t>
      </w:r>
      <w:r w:rsidRPr="00E94397">
        <w:rPr>
          <w:rFonts w:eastAsia="Times New Roman" w:cs="Arial"/>
          <w:color w:val="000000"/>
          <w:lang w:val="en-US"/>
        </w:rPr>
        <w:t xml:space="preserve">micrograms </w:t>
      </w:r>
      <w:proofErr w:type="spellStart"/>
      <w:r w:rsidRPr="00E94397">
        <w:rPr>
          <w:rFonts w:eastAsia="Times New Roman" w:cs="Arial"/>
          <w:color w:val="000000"/>
          <w:lang w:val="en-US"/>
        </w:rPr>
        <w:t>i.v.</w:t>
      </w:r>
      <w:proofErr w:type="spellEnd"/>
      <w:r w:rsidRPr="00E94397">
        <w:rPr>
          <w:rFonts w:eastAsia="Times New Roman" w:cs="Arial"/>
          <w:color w:val="000000"/>
          <w:lang w:val="en-US"/>
        </w:rPr>
        <w:t xml:space="preserve"> </w:t>
      </w:r>
      <w:r w:rsidRPr="00E94397">
        <w:rPr>
          <w:rFonts w:eastAsia="Times New Roman" w:cs="Arial"/>
          <w:color w:val="000000"/>
          <w:lang w:eastAsia="bg-BG"/>
        </w:rPr>
        <w:t xml:space="preserve">(дозата може да бъде повторена според отговора на артериалното налягане), или 5 </w:t>
      </w:r>
      <w:r w:rsidRPr="00E94397">
        <w:rPr>
          <w:rFonts w:eastAsia="Times New Roman" w:cs="Arial"/>
          <w:color w:val="000000"/>
          <w:lang w:val="en-US"/>
        </w:rPr>
        <w:t xml:space="preserve">micrograms/ </w:t>
      </w:r>
      <w:r w:rsidRPr="00E94397">
        <w:rPr>
          <w:rFonts w:eastAsia="Times New Roman" w:cs="Arial"/>
          <w:color w:val="000000"/>
          <w:lang w:eastAsia="bg-BG"/>
        </w:rPr>
        <w:t xml:space="preserve">минута с инфузия ти грирана според артериалното налягане. В случай на бронхоспазъм могат да се прилагат салбутамол или друг бета2-агопист като аерозол, или ако е необходимо интравенозно. Бавно </w:t>
      </w:r>
      <w:proofErr w:type="spellStart"/>
      <w:r w:rsidRPr="00E94397">
        <w:rPr>
          <w:rFonts w:eastAsia="Times New Roman" w:cs="Arial"/>
          <w:color w:val="000000"/>
          <w:lang w:val="en-US"/>
        </w:rPr>
        <w:t>i.v.</w:t>
      </w:r>
      <w:proofErr w:type="spellEnd"/>
      <w:r w:rsidRPr="00E94397">
        <w:rPr>
          <w:rFonts w:eastAsia="Times New Roman" w:cs="Arial"/>
          <w:color w:val="000000"/>
          <w:lang w:val="en-US"/>
        </w:rPr>
        <w:t xml:space="preserve"> </w:t>
      </w:r>
      <w:r w:rsidRPr="00E94397">
        <w:rPr>
          <w:rFonts w:eastAsia="Times New Roman" w:cs="Arial"/>
          <w:color w:val="000000"/>
          <w:lang w:eastAsia="bg-BG"/>
        </w:rPr>
        <w:t>инжектиране на диазепам или клоназепам се препоръчва в случай на гърчове.</w:t>
      </w:r>
    </w:p>
    <w:p w14:paraId="68CB9FB3" w14:textId="77777777" w:rsidR="00E94397" w:rsidRPr="00E94397" w:rsidRDefault="00E94397" w:rsidP="00E94397">
      <w:pPr>
        <w:rPr>
          <w:rFonts w:eastAsia="Times New Roman" w:cs="Arial"/>
          <w:color w:val="000000"/>
          <w:lang w:eastAsia="bg-BG"/>
        </w:rPr>
      </w:pPr>
    </w:p>
    <w:p w14:paraId="109ACFF4" w14:textId="7F4DDAB0" w:rsidR="00E94397" w:rsidRPr="00E94397" w:rsidRDefault="00E94397" w:rsidP="00E94397">
      <w:pPr>
        <w:rPr>
          <w:rFonts w:cs="Arial"/>
        </w:rPr>
      </w:pPr>
      <w:r w:rsidRPr="00E94397">
        <w:rPr>
          <w:rFonts w:eastAsia="Times New Roman" w:cs="Arial"/>
          <w:color w:val="000000"/>
          <w:lang w:eastAsia="bg-BG"/>
        </w:rPr>
        <w:t>Поддържащото лечение, както бе описано, трябва да се продължи за достатъчно дълъг период от време (т.е. докато пациентът се стабилизира) в случаи на тежко предозиране със симптоми на шок. тъй като може да се очаква удължаване на елиминационния полуживот и преразпределение на карведилол от по-дълбоките компартменти.</w:t>
      </w:r>
    </w:p>
    <w:p w14:paraId="0DAD20F8" w14:textId="45D67541" w:rsidR="00FA246A" w:rsidRDefault="00FA246A" w:rsidP="00FA246A"/>
    <w:p w14:paraId="4F5D0A11" w14:textId="77777777" w:rsidR="00FA246A" w:rsidRPr="00FA246A" w:rsidRDefault="00FA246A" w:rsidP="00FA246A"/>
    <w:p w14:paraId="02081B24" w14:textId="7C8FB23E" w:rsidR="00395555" w:rsidRDefault="002C50EE" w:rsidP="008A6AF2">
      <w:pPr>
        <w:pStyle w:val="Heading1"/>
      </w:pPr>
      <w:r>
        <w:t>5. ФАРМАКОЛОГИЧНИ СВОЙСТВА</w:t>
      </w:r>
    </w:p>
    <w:p w14:paraId="7F43BAD9" w14:textId="64641E86" w:rsidR="00E94397" w:rsidRPr="00E94397" w:rsidRDefault="00E94397" w:rsidP="00E94397"/>
    <w:p w14:paraId="3315ECF7" w14:textId="495E9FD1" w:rsidR="00E94397" w:rsidRDefault="002C50EE" w:rsidP="00DC3050">
      <w:pPr>
        <w:pStyle w:val="Heading2"/>
      </w:pPr>
      <w:r>
        <w:t>5.1. Фармакодинамични свойства</w:t>
      </w:r>
    </w:p>
    <w:p w14:paraId="415DF4C6" w14:textId="4E2601F2" w:rsidR="00E94397" w:rsidRDefault="00E94397" w:rsidP="00E94397"/>
    <w:p w14:paraId="32817087" w14:textId="77777777" w:rsidR="00DC3050" w:rsidRPr="00DC3050" w:rsidRDefault="00DC3050" w:rsidP="00DC3050">
      <w:pPr>
        <w:spacing w:line="240" w:lineRule="auto"/>
        <w:rPr>
          <w:rFonts w:eastAsia="Times New Roman" w:cs="Arial"/>
          <w:lang w:eastAsia="bg-BG"/>
        </w:rPr>
      </w:pPr>
      <w:r w:rsidRPr="00DC3050">
        <w:rPr>
          <w:rFonts w:eastAsia="Times New Roman" w:cs="Arial"/>
          <w:color w:val="000000"/>
          <w:lang w:eastAsia="bg-BG"/>
        </w:rPr>
        <w:t>Карведилол е вазодилатативен, неселективен бета-блокер с антиоксидантни свойства. Вазодилатацията основно сс медиира чрез алфа I - рецепторен антагонизъм.</w:t>
      </w:r>
    </w:p>
    <w:p w14:paraId="5AFD1614" w14:textId="77777777" w:rsidR="00DC3050" w:rsidRPr="00DC3050" w:rsidRDefault="00DC3050" w:rsidP="00DC3050">
      <w:pPr>
        <w:spacing w:line="240" w:lineRule="auto"/>
        <w:rPr>
          <w:rFonts w:eastAsia="Times New Roman" w:cs="Arial"/>
          <w:color w:val="000000"/>
          <w:lang w:eastAsia="bg-BG"/>
        </w:rPr>
      </w:pPr>
    </w:p>
    <w:p w14:paraId="2AC6A7BD" w14:textId="544E4D6C" w:rsidR="00DC3050" w:rsidRPr="00DC3050" w:rsidRDefault="00DC3050" w:rsidP="00DC3050">
      <w:pPr>
        <w:spacing w:line="240" w:lineRule="auto"/>
        <w:rPr>
          <w:rFonts w:eastAsia="Times New Roman" w:cs="Arial"/>
          <w:lang w:eastAsia="bg-BG"/>
        </w:rPr>
      </w:pPr>
      <w:r w:rsidRPr="00DC3050">
        <w:rPr>
          <w:rFonts w:eastAsia="Times New Roman" w:cs="Arial"/>
          <w:color w:val="000000"/>
          <w:lang w:eastAsia="bg-BG"/>
        </w:rPr>
        <w:t>Карведилол потиска системата ренин-ангиотенизин- алдостерон чрез бета- блокада и намалява периферната съдова резистентност чрез вазодилатация. Активността па плазмения реиин се намалява, а задръжката па течности е рядка.</w:t>
      </w:r>
    </w:p>
    <w:p w14:paraId="7FA0A598" w14:textId="77777777" w:rsidR="00DC3050" w:rsidRPr="00DC3050" w:rsidRDefault="00DC3050" w:rsidP="00DC3050">
      <w:pPr>
        <w:spacing w:line="240" w:lineRule="auto"/>
        <w:rPr>
          <w:rFonts w:eastAsia="Times New Roman" w:cs="Arial"/>
          <w:color w:val="000000"/>
          <w:lang w:eastAsia="bg-BG"/>
        </w:rPr>
      </w:pPr>
    </w:p>
    <w:p w14:paraId="221DB615" w14:textId="3A44E20B" w:rsidR="00DC3050" w:rsidRPr="00DC3050" w:rsidRDefault="00DC3050" w:rsidP="00DC3050">
      <w:pPr>
        <w:spacing w:line="240" w:lineRule="auto"/>
        <w:rPr>
          <w:rFonts w:eastAsia="Times New Roman" w:cs="Arial"/>
          <w:lang w:eastAsia="bg-BG"/>
        </w:rPr>
      </w:pPr>
      <w:r w:rsidRPr="00DC3050">
        <w:rPr>
          <w:rFonts w:eastAsia="Times New Roman" w:cs="Arial"/>
          <w:color w:val="000000"/>
          <w:lang w:eastAsia="bg-BG"/>
        </w:rPr>
        <w:t>Карведилол няма вътрешна симпатикомимстична активност. Подобно на пронранолола има стабилизиращи мембраните свойства.</w:t>
      </w:r>
    </w:p>
    <w:p w14:paraId="325944CF" w14:textId="77777777" w:rsidR="00DC3050" w:rsidRPr="00DC3050" w:rsidRDefault="00DC3050" w:rsidP="00DC3050">
      <w:pPr>
        <w:spacing w:line="240" w:lineRule="auto"/>
        <w:rPr>
          <w:rFonts w:eastAsia="Times New Roman" w:cs="Arial"/>
          <w:color w:val="000000"/>
          <w:lang w:eastAsia="bg-BG"/>
        </w:rPr>
      </w:pPr>
    </w:p>
    <w:p w14:paraId="68DF14D9" w14:textId="50FDC41C" w:rsidR="00DC3050" w:rsidRPr="00DC3050" w:rsidRDefault="00DC3050" w:rsidP="00DC3050">
      <w:pPr>
        <w:spacing w:line="240" w:lineRule="auto"/>
        <w:rPr>
          <w:rFonts w:eastAsia="Times New Roman" w:cs="Arial"/>
          <w:lang w:eastAsia="bg-BG"/>
        </w:rPr>
      </w:pPr>
      <w:r w:rsidRPr="00DC3050">
        <w:rPr>
          <w:rFonts w:eastAsia="Times New Roman" w:cs="Arial"/>
          <w:color w:val="000000"/>
          <w:lang w:eastAsia="bg-BG"/>
        </w:rPr>
        <w:t xml:space="preserve">Карведилол е рацемат от два стереоизомера. Бета-блокадата се отдава на </w:t>
      </w:r>
      <w:r w:rsidRPr="00DC3050">
        <w:rPr>
          <w:rFonts w:eastAsia="Times New Roman" w:cs="Arial"/>
          <w:color w:val="000000"/>
          <w:lang w:val="en-US"/>
        </w:rPr>
        <w:t xml:space="preserve">S(-) </w:t>
      </w:r>
      <w:r w:rsidRPr="00DC3050">
        <w:rPr>
          <w:rFonts w:eastAsia="Times New Roman" w:cs="Arial"/>
          <w:color w:val="000000"/>
          <w:lang w:eastAsia="bg-BG"/>
        </w:rPr>
        <w:t>епаптиомера, за разлика от това, двата енантиомера имат еднаква α1-блокираща активност.</w:t>
      </w:r>
    </w:p>
    <w:p w14:paraId="25017F3C" w14:textId="77777777" w:rsidR="00DC3050" w:rsidRPr="00DC3050" w:rsidRDefault="00DC3050" w:rsidP="00DC3050">
      <w:pPr>
        <w:spacing w:line="240" w:lineRule="auto"/>
        <w:rPr>
          <w:rFonts w:eastAsia="Times New Roman" w:cs="Arial"/>
          <w:color w:val="000000"/>
          <w:lang w:eastAsia="bg-BG"/>
        </w:rPr>
      </w:pPr>
    </w:p>
    <w:p w14:paraId="512FC523" w14:textId="25B17C7D" w:rsidR="00DC3050" w:rsidRPr="00DC3050" w:rsidRDefault="00DC3050" w:rsidP="00DC3050">
      <w:pPr>
        <w:spacing w:line="240" w:lineRule="auto"/>
        <w:rPr>
          <w:rFonts w:eastAsia="Times New Roman" w:cs="Arial"/>
          <w:lang w:eastAsia="bg-BG"/>
        </w:rPr>
      </w:pPr>
      <w:r w:rsidRPr="00DC3050">
        <w:rPr>
          <w:rFonts w:eastAsia="Times New Roman" w:cs="Arial"/>
          <w:color w:val="000000"/>
          <w:lang w:eastAsia="bg-BG"/>
        </w:rPr>
        <w:t xml:space="preserve">Карведилол захваща рсактивните кислородни радикали и е антипролиферативно средство. Неговите и на метаболитите му свойства са демонстрирани в </w:t>
      </w:r>
      <w:r w:rsidRPr="00DC3050">
        <w:rPr>
          <w:rFonts w:eastAsia="Times New Roman" w:cs="Arial"/>
          <w:b/>
          <w:bCs/>
          <w:i/>
          <w:iCs/>
          <w:color w:val="000000"/>
          <w:lang w:val="en-US"/>
        </w:rPr>
        <w:t>in vitro</w:t>
      </w:r>
      <w:r w:rsidRPr="00DC3050">
        <w:rPr>
          <w:rFonts w:eastAsia="Times New Roman" w:cs="Arial"/>
          <w:color w:val="000000"/>
          <w:lang w:val="en-US"/>
        </w:rPr>
        <w:t xml:space="preserve"> </w:t>
      </w:r>
      <w:r w:rsidRPr="00DC3050">
        <w:rPr>
          <w:rFonts w:eastAsia="Times New Roman" w:cs="Arial"/>
          <w:color w:val="000000"/>
          <w:lang w:eastAsia="bg-BG"/>
        </w:rPr>
        <w:t xml:space="preserve">и </w:t>
      </w:r>
      <w:r w:rsidRPr="00DC3050">
        <w:rPr>
          <w:rFonts w:eastAsia="Times New Roman" w:cs="Arial"/>
          <w:b/>
          <w:bCs/>
          <w:i/>
          <w:iCs/>
          <w:color w:val="000000"/>
          <w:lang w:val="en-US"/>
        </w:rPr>
        <w:t>in vivo</w:t>
      </w:r>
      <w:r w:rsidRPr="00DC3050">
        <w:rPr>
          <w:rFonts w:eastAsia="Times New Roman" w:cs="Arial"/>
          <w:color w:val="000000"/>
          <w:lang w:val="en-US"/>
        </w:rPr>
        <w:t xml:space="preserve"> </w:t>
      </w:r>
      <w:r w:rsidRPr="00DC3050">
        <w:rPr>
          <w:rFonts w:eastAsia="Times New Roman" w:cs="Arial"/>
          <w:color w:val="000000"/>
          <w:lang w:eastAsia="bg-BG"/>
        </w:rPr>
        <w:t xml:space="preserve">проучвания при животни, а също и в няколко </w:t>
      </w:r>
      <w:r w:rsidRPr="00DC3050">
        <w:rPr>
          <w:rFonts w:eastAsia="Times New Roman" w:cs="Arial"/>
          <w:b/>
          <w:bCs/>
          <w:i/>
          <w:iCs/>
          <w:color w:val="000000"/>
          <w:lang w:val="en-US"/>
        </w:rPr>
        <w:t>in vitro</w:t>
      </w:r>
      <w:r w:rsidRPr="00DC3050">
        <w:rPr>
          <w:rFonts w:eastAsia="Times New Roman" w:cs="Arial"/>
          <w:color w:val="000000"/>
          <w:lang w:val="en-US"/>
        </w:rPr>
        <w:t xml:space="preserve"> </w:t>
      </w:r>
      <w:r w:rsidRPr="00DC3050">
        <w:rPr>
          <w:rFonts w:eastAsia="Times New Roman" w:cs="Arial"/>
          <w:color w:val="000000"/>
          <w:lang w:eastAsia="bg-BG"/>
        </w:rPr>
        <w:t>проучвания с култури от човешки клетки.</w:t>
      </w:r>
    </w:p>
    <w:p w14:paraId="16089DC4" w14:textId="77777777" w:rsidR="00DC3050" w:rsidRPr="00DC3050" w:rsidRDefault="00DC3050" w:rsidP="00DC3050">
      <w:pPr>
        <w:spacing w:line="240" w:lineRule="auto"/>
        <w:rPr>
          <w:rFonts w:eastAsia="Times New Roman" w:cs="Arial"/>
          <w:color w:val="000000"/>
          <w:lang w:eastAsia="bg-BG"/>
        </w:rPr>
      </w:pPr>
    </w:p>
    <w:p w14:paraId="30AAB6AB" w14:textId="457AE0A3" w:rsidR="00DC3050" w:rsidRPr="00DC3050" w:rsidRDefault="00DC3050" w:rsidP="00DC3050">
      <w:pPr>
        <w:spacing w:line="240" w:lineRule="auto"/>
        <w:rPr>
          <w:rFonts w:eastAsia="Times New Roman" w:cs="Arial"/>
          <w:lang w:eastAsia="bg-BG"/>
        </w:rPr>
      </w:pPr>
      <w:r w:rsidRPr="00DC3050">
        <w:rPr>
          <w:rFonts w:eastAsia="Times New Roman" w:cs="Arial"/>
          <w:color w:val="000000"/>
          <w:lang w:eastAsia="bg-BG"/>
        </w:rPr>
        <w:t>Балансът па вазодилатация и бета-блокада от карведилол води до следните</w:t>
      </w:r>
    </w:p>
    <w:p w14:paraId="1B730160" w14:textId="77777777" w:rsidR="00DC3050" w:rsidRPr="00DC3050" w:rsidRDefault="00DC3050" w:rsidP="00DC3050">
      <w:pPr>
        <w:spacing w:line="240" w:lineRule="auto"/>
        <w:rPr>
          <w:rFonts w:eastAsia="Times New Roman" w:cs="Arial"/>
          <w:lang w:eastAsia="bg-BG"/>
        </w:rPr>
      </w:pPr>
      <w:r w:rsidRPr="00DC3050">
        <w:rPr>
          <w:rFonts w:eastAsia="Times New Roman" w:cs="Arial"/>
          <w:color w:val="000000"/>
          <w:lang w:eastAsia="bg-BG"/>
        </w:rPr>
        <w:t>ефекти:</w:t>
      </w:r>
    </w:p>
    <w:p w14:paraId="3415E63C" w14:textId="3D9B7117" w:rsidR="00DC3050" w:rsidRPr="00DC3050" w:rsidRDefault="00DC3050" w:rsidP="00DC3050">
      <w:pPr>
        <w:pStyle w:val="ListParagraph"/>
        <w:numPr>
          <w:ilvl w:val="0"/>
          <w:numId w:val="35"/>
        </w:numPr>
        <w:spacing w:line="240" w:lineRule="auto"/>
        <w:rPr>
          <w:rFonts w:eastAsia="Times New Roman" w:cs="Arial"/>
          <w:lang w:eastAsia="bg-BG"/>
        </w:rPr>
      </w:pPr>
      <w:r w:rsidRPr="00DC3050">
        <w:rPr>
          <w:rFonts w:eastAsia="Times New Roman" w:cs="Arial"/>
          <w:color w:val="000000"/>
          <w:lang w:eastAsia="bg-BG"/>
        </w:rPr>
        <w:t>При пациенти с хипертония намалението на артериалното налягане не се</w:t>
      </w:r>
    </w:p>
    <w:p w14:paraId="472E4EDC" w14:textId="77777777" w:rsidR="00DC3050" w:rsidRPr="00DC3050" w:rsidRDefault="00DC3050" w:rsidP="00DC3050">
      <w:pPr>
        <w:spacing w:line="240" w:lineRule="auto"/>
        <w:rPr>
          <w:rFonts w:eastAsia="Times New Roman" w:cs="Arial"/>
          <w:lang w:eastAsia="bg-BG"/>
        </w:rPr>
      </w:pPr>
      <w:r w:rsidRPr="00DC3050">
        <w:rPr>
          <w:rFonts w:eastAsia="Times New Roman" w:cs="Arial"/>
          <w:color w:val="000000"/>
          <w:lang w:eastAsia="bg-BG"/>
        </w:rPr>
        <w:t>свързва с съпътстващо повишение на общото периферно съпротивление. Това се</w:t>
      </w:r>
    </w:p>
    <w:p w14:paraId="56941733" w14:textId="77777777" w:rsidR="00DC3050" w:rsidRPr="00DC3050" w:rsidRDefault="00DC3050" w:rsidP="00DC3050">
      <w:pPr>
        <w:spacing w:line="240" w:lineRule="auto"/>
        <w:rPr>
          <w:rFonts w:eastAsia="Times New Roman" w:cs="Arial"/>
          <w:lang w:eastAsia="bg-BG"/>
        </w:rPr>
      </w:pPr>
      <w:r w:rsidRPr="00DC3050">
        <w:rPr>
          <w:rFonts w:eastAsia="Times New Roman" w:cs="Arial"/>
          <w:color w:val="000000"/>
          <w:lang w:eastAsia="bg-BG"/>
        </w:rPr>
        <w:t>наблюдава при чистите бета-блокери. Леко се намалява сърдечната честота.</w:t>
      </w:r>
    </w:p>
    <w:p w14:paraId="0A4AF219" w14:textId="77777777" w:rsidR="00DC3050" w:rsidRPr="00DC3050" w:rsidRDefault="00DC3050" w:rsidP="00DC3050">
      <w:pPr>
        <w:spacing w:line="240" w:lineRule="auto"/>
        <w:rPr>
          <w:rFonts w:eastAsia="Times New Roman" w:cs="Arial"/>
          <w:lang w:eastAsia="bg-BG"/>
        </w:rPr>
      </w:pPr>
      <w:r w:rsidRPr="00DC3050">
        <w:rPr>
          <w:rFonts w:eastAsia="Times New Roman" w:cs="Arial"/>
          <w:color w:val="000000"/>
          <w:lang w:eastAsia="bg-BG"/>
        </w:rPr>
        <w:t>Поддържат се бъбречният кръвен поток и бъбречната функция. Поддържа се и</w:t>
      </w:r>
    </w:p>
    <w:p w14:paraId="78365224" w14:textId="77777777" w:rsidR="00DC3050" w:rsidRPr="00DC3050" w:rsidRDefault="00DC3050" w:rsidP="00DC3050">
      <w:pPr>
        <w:spacing w:line="240" w:lineRule="auto"/>
        <w:rPr>
          <w:rFonts w:eastAsia="Times New Roman" w:cs="Arial"/>
          <w:lang w:eastAsia="bg-BG"/>
        </w:rPr>
      </w:pPr>
      <w:r w:rsidRPr="00DC3050">
        <w:rPr>
          <w:rFonts w:eastAsia="Times New Roman" w:cs="Arial"/>
          <w:color w:val="000000"/>
          <w:lang w:eastAsia="bg-BG"/>
        </w:rPr>
        <w:t>периферния кръвен поток, затова рядко се наблюдават студени крайници.</w:t>
      </w:r>
    </w:p>
    <w:p w14:paraId="232585C5" w14:textId="79F86EA3" w:rsidR="00DC3050" w:rsidRDefault="00DC3050" w:rsidP="00DC3050">
      <w:pPr>
        <w:rPr>
          <w:rFonts w:eastAsia="Times New Roman" w:cs="Arial"/>
          <w:color w:val="000000"/>
          <w:lang w:eastAsia="bg-BG"/>
        </w:rPr>
      </w:pPr>
      <w:r w:rsidRPr="00DC3050">
        <w:rPr>
          <w:rFonts w:eastAsia="Times New Roman" w:cs="Arial"/>
          <w:color w:val="000000"/>
          <w:lang w:eastAsia="bg-BG"/>
        </w:rPr>
        <w:t>наблюдавани често при другите продукти с бета-блокираща активност.</w:t>
      </w:r>
    </w:p>
    <w:p w14:paraId="4AB969C9" w14:textId="461C268D" w:rsidR="00DC3050" w:rsidRDefault="00DC3050" w:rsidP="00DC3050">
      <w:pPr>
        <w:rPr>
          <w:rFonts w:eastAsia="Times New Roman" w:cs="Arial"/>
          <w:color w:val="000000"/>
          <w:lang w:eastAsia="bg-BG"/>
        </w:rPr>
      </w:pPr>
    </w:p>
    <w:p w14:paraId="2EFF65ED" w14:textId="77777777" w:rsidR="00DC3050" w:rsidRPr="00DC3050" w:rsidRDefault="00DC3050" w:rsidP="00DC3050">
      <w:pPr>
        <w:spacing w:line="240" w:lineRule="auto"/>
        <w:rPr>
          <w:rFonts w:eastAsia="Times New Roman" w:cs="Arial"/>
          <w:sz w:val="28"/>
          <w:szCs w:val="24"/>
          <w:lang w:eastAsia="bg-BG"/>
        </w:rPr>
      </w:pPr>
      <w:r w:rsidRPr="00DC3050">
        <w:rPr>
          <w:rFonts w:eastAsia="Times New Roman" w:cs="Arial"/>
          <w:color w:val="000000"/>
          <w:szCs w:val="20"/>
          <w:lang w:eastAsia="bg-BG"/>
        </w:rPr>
        <w:t>-</w:t>
      </w:r>
      <w:r w:rsidRPr="00DC3050">
        <w:rPr>
          <w:rFonts w:eastAsia="Times New Roman" w:cs="Arial"/>
          <w:color w:val="000000"/>
          <w:szCs w:val="20"/>
          <w:lang w:eastAsia="bg-BG"/>
        </w:rPr>
        <w:tab/>
        <w:t>АВЕРНОЛ демонстрира анти-исхемични и анти-стенокардни свойства при пациенти със стабилна стенокардия. Според остри хемодинамични проучвания, АВЕРНОЛ намалява пред- и следнатоварването па камерите.</w:t>
      </w:r>
    </w:p>
    <w:p w14:paraId="16F6086C" w14:textId="77777777" w:rsidR="00DC3050" w:rsidRPr="00DC3050" w:rsidRDefault="00DC3050" w:rsidP="00DC3050">
      <w:pPr>
        <w:spacing w:line="240" w:lineRule="auto"/>
        <w:rPr>
          <w:rFonts w:eastAsia="Times New Roman" w:cs="Arial"/>
          <w:color w:val="000000"/>
          <w:szCs w:val="20"/>
          <w:lang w:eastAsia="bg-BG"/>
        </w:rPr>
      </w:pPr>
    </w:p>
    <w:p w14:paraId="77ADCA1C" w14:textId="77777777" w:rsidR="00DC3050" w:rsidRPr="00DC3050" w:rsidRDefault="00DC3050" w:rsidP="00DC3050">
      <w:pPr>
        <w:spacing w:line="240" w:lineRule="auto"/>
        <w:rPr>
          <w:rFonts w:eastAsia="Times New Roman" w:cs="Arial"/>
          <w:sz w:val="28"/>
          <w:szCs w:val="24"/>
          <w:lang w:eastAsia="bg-BG"/>
        </w:rPr>
      </w:pPr>
      <w:r w:rsidRPr="00DC3050">
        <w:rPr>
          <w:rFonts w:eastAsia="Times New Roman" w:cs="Arial"/>
          <w:color w:val="000000"/>
          <w:szCs w:val="20"/>
          <w:lang w:eastAsia="bg-BG"/>
        </w:rPr>
        <w:t>-</w:t>
      </w:r>
      <w:r w:rsidRPr="00DC3050">
        <w:rPr>
          <w:rFonts w:eastAsia="Times New Roman" w:cs="Arial"/>
          <w:color w:val="000000"/>
          <w:szCs w:val="20"/>
          <w:lang w:eastAsia="bg-BG"/>
        </w:rPr>
        <w:tab/>
        <w:t>Той също демонтрира благоприятни ефекти върху хемодинамиката и подобряването на фракцията на изтласкване и размерите на лява камера при пациенти с левокамерна дисфункция или хронична сърдечна недостатъчност.</w:t>
      </w:r>
    </w:p>
    <w:p w14:paraId="612F7AD2" w14:textId="77777777" w:rsidR="00DC3050" w:rsidRPr="00DC3050" w:rsidRDefault="00DC3050" w:rsidP="00DC3050">
      <w:pPr>
        <w:spacing w:line="240" w:lineRule="auto"/>
        <w:rPr>
          <w:rFonts w:eastAsia="Times New Roman" w:cs="Arial"/>
          <w:color w:val="000000"/>
          <w:szCs w:val="20"/>
          <w:lang w:eastAsia="bg-BG"/>
        </w:rPr>
      </w:pPr>
    </w:p>
    <w:p w14:paraId="7587C4CB" w14:textId="77777777" w:rsidR="00DC3050" w:rsidRPr="00DC3050" w:rsidRDefault="00DC3050" w:rsidP="00DC3050">
      <w:pPr>
        <w:spacing w:line="240" w:lineRule="auto"/>
        <w:rPr>
          <w:rFonts w:eastAsia="Times New Roman" w:cs="Arial"/>
          <w:sz w:val="28"/>
          <w:szCs w:val="24"/>
          <w:lang w:eastAsia="bg-BG"/>
        </w:rPr>
      </w:pPr>
      <w:r w:rsidRPr="00DC3050">
        <w:rPr>
          <w:rFonts w:eastAsia="Times New Roman" w:cs="Arial"/>
          <w:color w:val="000000"/>
          <w:szCs w:val="20"/>
          <w:lang w:eastAsia="bg-BG"/>
        </w:rPr>
        <w:t>-</w:t>
      </w:r>
      <w:r w:rsidRPr="00DC3050">
        <w:rPr>
          <w:rFonts w:eastAsia="Times New Roman" w:cs="Arial"/>
          <w:color w:val="000000"/>
          <w:szCs w:val="20"/>
          <w:lang w:eastAsia="bg-BG"/>
        </w:rPr>
        <w:tab/>
        <w:t xml:space="preserve">2289 пациенти с тежка стабилна хронична сърдечна недостатъчност с исхемичен и неисхемичен произход, на стандартно лечение, участващи в голямо, многоцентрово. двойно сляпо, плацебо контролирано проучване за смъртността </w:t>
      </w:r>
      <w:r w:rsidRPr="00DC3050">
        <w:rPr>
          <w:rFonts w:eastAsia="Times New Roman" w:cs="Arial"/>
          <w:color w:val="000000"/>
          <w:szCs w:val="20"/>
          <w:lang w:val="en-US"/>
        </w:rPr>
        <w:t xml:space="preserve">(COPERNICUS) </w:t>
      </w:r>
      <w:r w:rsidRPr="00DC3050">
        <w:rPr>
          <w:rFonts w:eastAsia="Times New Roman" w:cs="Arial"/>
          <w:color w:val="000000"/>
          <w:szCs w:val="20"/>
          <w:lang w:eastAsia="bg-BG"/>
        </w:rPr>
        <w:t xml:space="preserve">са рандомизирани или на карведилол (1156 пациенти) или плацебо (1133 пациенти). Пациентите са с левокамерна систолна дисфункция с фракция на изтласкване от &lt;20%. Смъртността в резултат на различни причини е понижена с 35% от 19.7% в групата на плацебо до 12.8% в групата на карведилол </w:t>
      </w:r>
      <w:r w:rsidRPr="00DC3050">
        <w:rPr>
          <w:rFonts w:eastAsia="Times New Roman" w:cs="Arial"/>
          <w:color w:val="000000"/>
          <w:szCs w:val="20"/>
          <w:lang w:val="en-US"/>
        </w:rPr>
        <w:t xml:space="preserve">(Cox proportional hazards. </w:t>
      </w:r>
      <w:r w:rsidRPr="00DC3050">
        <w:rPr>
          <w:rFonts w:eastAsia="Times New Roman" w:cs="Arial"/>
          <w:color w:val="000000"/>
          <w:szCs w:val="20"/>
          <w:lang w:eastAsia="bg-BG"/>
        </w:rPr>
        <w:t>р=0.00013).</w:t>
      </w:r>
    </w:p>
    <w:p w14:paraId="74959F45" w14:textId="77777777" w:rsidR="00DC3050" w:rsidRPr="00DC3050" w:rsidRDefault="00DC3050" w:rsidP="00DC3050">
      <w:pPr>
        <w:spacing w:line="240" w:lineRule="auto"/>
        <w:rPr>
          <w:rFonts w:eastAsia="Times New Roman" w:cs="Arial"/>
          <w:sz w:val="28"/>
          <w:szCs w:val="24"/>
          <w:lang w:eastAsia="bg-BG"/>
        </w:rPr>
      </w:pPr>
      <w:r w:rsidRPr="00DC3050">
        <w:rPr>
          <w:rFonts w:eastAsia="Times New Roman" w:cs="Arial"/>
          <w:color w:val="000000"/>
          <w:szCs w:val="20"/>
          <w:lang w:eastAsia="bg-BG"/>
        </w:rPr>
        <w:t xml:space="preserve">Комбинирани вторични крайни точки за смъртност или хоспитализация поради сърдечната недостатъчност, смъртност или сърдечно-съдова хоспитализация и смъртност или хоспитализация поради всякакви причини са значимо по-ниски в групата на карведилол, в сравнение с плацебо (31%, 27%. и 14% намаление, съответно, </w:t>
      </w:r>
      <w:r w:rsidRPr="00DC3050">
        <w:rPr>
          <w:rFonts w:eastAsia="Times New Roman" w:cs="Arial"/>
          <w:color w:val="575D77"/>
          <w:szCs w:val="20"/>
          <w:lang w:eastAsia="bg-BG"/>
        </w:rPr>
        <w:t>р&lt;0.</w:t>
      </w:r>
      <w:r w:rsidRPr="00DC3050">
        <w:rPr>
          <w:rFonts w:eastAsia="Times New Roman" w:cs="Arial"/>
          <w:color w:val="000000"/>
          <w:szCs w:val="20"/>
          <w:lang w:eastAsia="bg-BG"/>
        </w:rPr>
        <w:t>00004)</w:t>
      </w:r>
    </w:p>
    <w:p w14:paraId="2B0C2044" w14:textId="77777777" w:rsidR="00DC3050" w:rsidRPr="00DC3050" w:rsidRDefault="00DC3050" w:rsidP="00DC3050">
      <w:pPr>
        <w:spacing w:line="240" w:lineRule="auto"/>
        <w:rPr>
          <w:rFonts w:eastAsia="Times New Roman" w:cs="Arial"/>
          <w:color w:val="000000"/>
          <w:szCs w:val="20"/>
          <w:lang w:eastAsia="bg-BG"/>
        </w:rPr>
      </w:pPr>
    </w:p>
    <w:p w14:paraId="0B3E9078" w14:textId="77777777" w:rsidR="00DC3050" w:rsidRPr="00DC3050" w:rsidRDefault="00DC3050" w:rsidP="00DC3050">
      <w:pPr>
        <w:spacing w:line="240" w:lineRule="auto"/>
        <w:rPr>
          <w:rFonts w:eastAsia="Times New Roman" w:cs="Arial"/>
          <w:sz w:val="28"/>
          <w:szCs w:val="24"/>
          <w:lang w:eastAsia="bg-BG"/>
        </w:rPr>
      </w:pPr>
      <w:r w:rsidRPr="00DC3050">
        <w:rPr>
          <w:rFonts w:eastAsia="Times New Roman" w:cs="Arial"/>
          <w:color w:val="000000"/>
          <w:szCs w:val="20"/>
          <w:lang w:eastAsia="bg-BG"/>
        </w:rPr>
        <w:t>Честотата на сериозни нежелани реакции по време на проучването е по-ниска в групата на карведилол (39.0% срещу 45.4%). При започване на лечението честотата на влошаване на сърдечната недостатъчност но време на проучването е по-ниска в групата на карведилол (14.6% срещу 21.6%)</w:t>
      </w:r>
    </w:p>
    <w:p w14:paraId="7A39152C" w14:textId="77777777" w:rsidR="00DC3050" w:rsidRPr="00DC3050" w:rsidRDefault="00DC3050" w:rsidP="00DC3050">
      <w:pPr>
        <w:rPr>
          <w:rFonts w:eastAsia="Times New Roman" w:cs="Arial"/>
          <w:color w:val="000000"/>
          <w:szCs w:val="20"/>
          <w:lang w:eastAsia="bg-BG"/>
        </w:rPr>
      </w:pPr>
    </w:p>
    <w:p w14:paraId="7AEE210E" w14:textId="77777777" w:rsidR="00DC3050" w:rsidRPr="00DC3050" w:rsidRDefault="00DC3050" w:rsidP="00DC3050">
      <w:pPr>
        <w:rPr>
          <w:rFonts w:eastAsia="Times New Roman" w:cs="Arial"/>
          <w:color w:val="000000"/>
          <w:szCs w:val="20"/>
          <w:lang w:eastAsia="bg-BG"/>
        </w:rPr>
      </w:pPr>
      <w:r w:rsidRPr="00DC3050">
        <w:rPr>
          <w:rFonts w:eastAsia="Times New Roman" w:cs="Arial"/>
          <w:color w:val="000000"/>
          <w:szCs w:val="20"/>
          <w:lang w:eastAsia="bg-BG"/>
        </w:rPr>
        <w:t>Електролитите и серумният липиден профил не се повлияват.</w:t>
      </w:r>
    </w:p>
    <w:p w14:paraId="47503956" w14:textId="045E4203" w:rsidR="00DC3050" w:rsidRPr="00E94397" w:rsidRDefault="00DC3050" w:rsidP="00E94397"/>
    <w:p w14:paraId="35F84B81" w14:textId="5EBC4452" w:rsidR="00CF77F7" w:rsidRDefault="002C50EE" w:rsidP="004A448E">
      <w:pPr>
        <w:pStyle w:val="Heading2"/>
      </w:pPr>
      <w:r>
        <w:t>5.2. Фармакокинетични свойства</w:t>
      </w:r>
    </w:p>
    <w:p w14:paraId="7795E603" w14:textId="4CA5F454" w:rsidR="00DC3050" w:rsidRDefault="00DC3050" w:rsidP="00DC3050"/>
    <w:p w14:paraId="48B313CB" w14:textId="77777777" w:rsidR="00DC3050" w:rsidRPr="00DC3050" w:rsidRDefault="00DC3050" w:rsidP="00DC3050">
      <w:pPr>
        <w:rPr>
          <w:rFonts w:eastAsia="Times New Roman" w:cs="Arial"/>
          <w:lang w:eastAsia="bg-BG"/>
        </w:rPr>
      </w:pPr>
      <w:r w:rsidRPr="00DC3050">
        <w:rPr>
          <w:rFonts w:cs="Arial"/>
        </w:rPr>
        <w:t xml:space="preserve">Карведилол има стереоселективна бионаличност, 30% за </w:t>
      </w:r>
      <w:r w:rsidRPr="00DC3050">
        <w:rPr>
          <w:rFonts w:cs="Arial"/>
          <w:lang w:val="en-US"/>
        </w:rPr>
        <w:t>R</w:t>
      </w:r>
      <w:r w:rsidRPr="00DC3050">
        <w:rPr>
          <w:rFonts w:cs="Arial"/>
        </w:rPr>
        <w:t>-формата и 1</w:t>
      </w:r>
      <w:r w:rsidRPr="00DC3050">
        <w:rPr>
          <w:rFonts w:cs="Arial"/>
          <w:color w:val="575D77"/>
        </w:rPr>
        <w:t xml:space="preserve">5% за </w:t>
      </w:r>
      <w:r w:rsidRPr="00DC3050">
        <w:rPr>
          <w:rFonts w:cs="Arial"/>
          <w:color w:val="575D77"/>
          <w:lang w:val="en-US"/>
        </w:rPr>
        <w:t>S-</w:t>
      </w:r>
      <w:r w:rsidRPr="00DC3050">
        <w:rPr>
          <w:rFonts w:cs="Arial"/>
        </w:rPr>
        <w:t xml:space="preserve"> формата. Неговата абсолютна бионаличност е приблизително 25%. Достига</w:t>
      </w:r>
      <w:r w:rsidRPr="00DC3050">
        <w:rPr>
          <w:rFonts w:cs="Arial"/>
          <w:color w:val="575D77"/>
        </w:rPr>
        <w:t xml:space="preserve"> </w:t>
      </w:r>
      <w:r w:rsidRPr="00DC3050">
        <w:rPr>
          <w:rFonts w:cs="Arial"/>
        </w:rPr>
        <w:t>максимални концентрации приблизително 1 час след перорална доза и връзката</w:t>
      </w:r>
      <w:r w:rsidRPr="00DC3050">
        <w:rPr>
          <w:rFonts w:cs="Arial"/>
        </w:rPr>
        <w:t xml:space="preserve"> </w:t>
      </w:r>
      <w:r w:rsidRPr="00DC3050">
        <w:rPr>
          <w:rFonts w:eastAsia="Times New Roman" w:cs="Arial"/>
          <w:color w:val="000000"/>
          <w:lang w:eastAsia="bg-BG"/>
        </w:rPr>
        <w:t xml:space="preserve">между дозата и серумните концентрации е линейна. Въпреки че времето за достигане на максимални серумни концентрации се забавя, храната не повлиява бионаличността или </w:t>
      </w:r>
      <w:r w:rsidRPr="00DC3050">
        <w:rPr>
          <w:rFonts w:eastAsia="Times New Roman" w:cs="Arial"/>
          <w:color w:val="000000"/>
          <w:lang w:eastAsia="bg-BG"/>
        </w:rPr>
        <w:lastRenderedPageBreak/>
        <w:t xml:space="preserve">максималните серумни концентрации. Карведилол е силно липофилен, приблизително 98% до 99% се свързва с плазмените протеини. Обемът па разпределение е приблизително 2 </w:t>
      </w:r>
      <w:r w:rsidRPr="00DC3050">
        <w:rPr>
          <w:rFonts w:eastAsia="Times New Roman" w:cs="Arial"/>
          <w:color w:val="000000"/>
          <w:lang w:val="en-US"/>
        </w:rPr>
        <w:t xml:space="preserve">l/kg </w:t>
      </w:r>
      <w:r w:rsidRPr="00DC3050">
        <w:rPr>
          <w:rFonts w:eastAsia="Times New Roman" w:cs="Arial"/>
          <w:color w:val="000000"/>
          <w:lang w:eastAsia="bg-BG"/>
        </w:rPr>
        <w:t>и се увеличава при пациенти с чернодробна цироза. След псрорално приложение ефектът на първо преминаване е приблизително 60-75%; при животни се наблюдава ен терохепатална циркулация на изходното вещество.</w:t>
      </w:r>
    </w:p>
    <w:p w14:paraId="36EECC59" w14:textId="77777777" w:rsidR="00DC3050" w:rsidRPr="00DC3050" w:rsidRDefault="00DC3050" w:rsidP="00DC3050">
      <w:pPr>
        <w:spacing w:line="240" w:lineRule="auto"/>
        <w:rPr>
          <w:rFonts w:eastAsia="Times New Roman" w:cs="Arial"/>
          <w:color w:val="000000"/>
          <w:lang w:eastAsia="bg-BG"/>
        </w:rPr>
      </w:pPr>
    </w:p>
    <w:p w14:paraId="190B35E1" w14:textId="350C60EA" w:rsidR="00DC3050" w:rsidRPr="00DC3050" w:rsidRDefault="00DC3050" w:rsidP="00DC3050">
      <w:pPr>
        <w:spacing w:line="240" w:lineRule="auto"/>
        <w:rPr>
          <w:rFonts w:eastAsia="Times New Roman" w:cs="Arial"/>
          <w:lang w:eastAsia="bg-BG"/>
        </w:rPr>
      </w:pPr>
      <w:r w:rsidRPr="00DC3050">
        <w:rPr>
          <w:rFonts w:eastAsia="Times New Roman" w:cs="Arial"/>
          <w:color w:val="000000"/>
          <w:lang w:eastAsia="bg-BG"/>
        </w:rPr>
        <w:t>Карведилол има значителен ефект на първо преминаване. Метаболитните модели показват интензивен метаболизъм с глюкоронидиране като един от най- важните етапи. Деметилирането и хидроксилирането на феноловия пръстен води до 3 мстаболита с блокираща активност на бета-рецепторите.</w:t>
      </w:r>
    </w:p>
    <w:p w14:paraId="757B4C10" w14:textId="77777777" w:rsidR="00DC3050" w:rsidRPr="00DC3050" w:rsidRDefault="00DC3050" w:rsidP="00DC3050">
      <w:pPr>
        <w:spacing w:line="240" w:lineRule="auto"/>
        <w:rPr>
          <w:rFonts w:eastAsia="Times New Roman" w:cs="Arial"/>
          <w:color w:val="000000"/>
          <w:lang w:eastAsia="bg-BG"/>
        </w:rPr>
      </w:pPr>
    </w:p>
    <w:p w14:paraId="5E1EB820" w14:textId="022235EC" w:rsidR="00DC3050" w:rsidRPr="00DC3050" w:rsidRDefault="00DC3050" w:rsidP="00DC3050">
      <w:pPr>
        <w:spacing w:line="240" w:lineRule="auto"/>
        <w:rPr>
          <w:rFonts w:eastAsia="Times New Roman" w:cs="Arial"/>
          <w:lang w:eastAsia="bg-BG"/>
        </w:rPr>
      </w:pPr>
      <w:r w:rsidRPr="00DC3050">
        <w:rPr>
          <w:rFonts w:eastAsia="Times New Roman" w:cs="Arial"/>
          <w:color w:val="000000"/>
          <w:lang w:eastAsia="bg-BG"/>
        </w:rPr>
        <w:t xml:space="preserve">Средният елиминационен полуживот варира от 6 до 10 часа. Плазменият клирънс е приблизително </w:t>
      </w:r>
      <w:r w:rsidRPr="00DC3050">
        <w:rPr>
          <w:rFonts w:eastAsia="Times New Roman" w:cs="Arial"/>
          <w:color w:val="000000"/>
          <w:lang w:val="en-US"/>
        </w:rPr>
        <w:t xml:space="preserve">590ml/min. </w:t>
      </w:r>
      <w:r w:rsidRPr="00DC3050">
        <w:rPr>
          <w:rFonts w:eastAsia="Times New Roman" w:cs="Arial"/>
          <w:color w:val="000000"/>
          <w:lang w:eastAsia="bg-BG"/>
        </w:rPr>
        <w:t>Елимирането е основно чрез жлъчката. Основният път на отделяне е с фекалиите. Малка част се елиминира чрез бъбреците под формата на различни метаболи ги.</w:t>
      </w:r>
    </w:p>
    <w:p w14:paraId="31162351" w14:textId="77777777" w:rsidR="00DC3050" w:rsidRPr="00DC3050" w:rsidRDefault="00DC3050" w:rsidP="00DC3050">
      <w:pPr>
        <w:spacing w:line="240" w:lineRule="auto"/>
        <w:rPr>
          <w:rFonts w:eastAsia="Times New Roman" w:cs="Arial"/>
          <w:color w:val="000000"/>
          <w:lang w:eastAsia="bg-BG"/>
        </w:rPr>
      </w:pPr>
    </w:p>
    <w:p w14:paraId="5B8A9717" w14:textId="1621FDE6" w:rsidR="00DC3050" w:rsidRPr="00DC3050" w:rsidRDefault="00DC3050" w:rsidP="00DC3050">
      <w:pPr>
        <w:spacing w:line="240" w:lineRule="auto"/>
        <w:rPr>
          <w:rFonts w:eastAsia="Times New Roman" w:cs="Arial"/>
          <w:lang w:eastAsia="bg-BG"/>
        </w:rPr>
      </w:pPr>
      <w:r w:rsidRPr="00DC3050">
        <w:rPr>
          <w:rFonts w:eastAsia="Times New Roman" w:cs="Arial"/>
          <w:color w:val="000000"/>
          <w:lang w:eastAsia="bg-BG"/>
        </w:rPr>
        <w:t>Възрастта повлиява фармакокинетиката на карведилол. Плазмените нива са приблизително 50% по-високи при пациенти в старческа възраст в сравнение с млади субекти. При пациенти с хронично чернодробно заболяване, бионаличността на карведилол е четири пъти по-висока, а максималните плазмени нива са пет пъти по-високи в сравнение със здрави лица. Тъй като карведилол се екскретира основно чрез фекалиите е малко вероятно значително натрупване при пациенти с бъбречна недостатъчност.</w:t>
      </w:r>
    </w:p>
    <w:p w14:paraId="270890DA" w14:textId="77777777" w:rsidR="00DC3050" w:rsidRPr="00DC3050" w:rsidRDefault="00DC3050" w:rsidP="00DC3050">
      <w:pPr>
        <w:rPr>
          <w:rFonts w:eastAsia="Times New Roman" w:cs="Arial"/>
          <w:color w:val="000000"/>
          <w:lang w:eastAsia="bg-BG"/>
        </w:rPr>
      </w:pPr>
    </w:p>
    <w:p w14:paraId="132C26B6" w14:textId="0EA9C920" w:rsidR="00DC3050" w:rsidRPr="00DC3050" w:rsidRDefault="00DC3050" w:rsidP="00DC3050">
      <w:pPr>
        <w:rPr>
          <w:rFonts w:eastAsia="Times New Roman" w:cs="Arial"/>
          <w:color w:val="000000"/>
          <w:lang w:eastAsia="bg-BG"/>
        </w:rPr>
      </w:pPr>
      <w:r w:rsidRPr="00DC3050">
        <w:rPr>
          <w:rFonts w:eastAsia="Times New Roman" w:cs="Arial"/>
          <w:color w:val="000000"/>
          <w:lang w:eastAsia="bg-BG"/>
        </w:rPr>
        <w:t>Чернодробната недостатъчност причинява намаления на ефекта на първо преминаване и като резултат бионаличността на карведилол при пациенти с чернодробна недостатъчност се повишавало 80%.</w:t>
      </w:r>
    </w:p>
    <w:p w14:paraId="22958082" w14:textId="77777777" w:rsidR="00DC3050" w:rsidRPr="00DC3050" w:rsidRDefault="00DC3050" w:rsidP="00DC3050"/>
    <w:p w14:paraId="648E39DA" w14:textId="78079D4D" w:rsidR="00CF77F7" w:rsidRDefault="002C50EE" w:rsidP="004A448E">
      <w:pPr>
        <w:pStyle w:val="Heading2"/>
      </w:pPr>
      <w:r>
        <w:t>5.3. Предклинични данни за безопасност</w:t>
      </w:r>
    </w:p>
    <w:p w14:paraId="572A925A" w14:textId="173D5872" w:rsidR="00DC3050" w:rsidRDefault="00DC3050" w:rsidP="00DC3050"/>
    <w:p w14:paraId="2776C769" w14:textId="74A71AB7" w:rsidR="00DC3050" w:rsidRPr="00DC3050" w:rsidRDefault="00DC3050" w:rsidP="00DC3050">
      <w:pPr>
        <w:rPr>
          <w:szCs w:val="20"/>
        </w:rPr>
      </w:pPr>
      <w:r w:rsidRPr="00DC3050">
        <w:rPr>
          <w:szCs w:val="20"/>
        </w:rPr>
        <w:t>Проучванията при животни не показват специфични находки. значими за клиничната употреба (въпреки това. вж. “Бременност и кърмене").</w:t>
      </w:r>
    </w:p>
    <w:p w14:paraId="49B8E3B4" w14:textId="77777777" w:rsidR="00DC3050" w:rsidRPr="00DC3050" w:rsidRDefault="00DC3050" w:rsidP="00DC3050"/>
    <w:p w14:paraId="6A7820AB" w14:textId="550448BB" w:rsidR="008A6AF2" w:rsidRDefault="002C50EE" w:rsidP="00395555">
      <w:pPr>
        <w:pStyle w:val="Heading1"/>
      </w:pPr>
      <w:r>
        <w:t>7. ПРИТЕЖАТЕЛ НА РАЗРЕШЕНИЕТО ЗА УПОТРЕБА</w:t>
      </w:r>
    </w:p>
    <w:p w14:paraId="20670DB2" w14:textId="2C851E63" w:rsidR="00DC3050" w:rsidRDefault="00DC3050" w:rsidP="00DC3050"/>
    <w:p w14:paraId="5EEC40D5" w14:textId="77777777" w:rsidR="00DC3050" w:rsidRPr="00DC3050" w:rsidRDefault="00DC3050" w:rsidP="00DC3050">
      <w:pPr>
        <w:spacing w:line="240" w:lineRule="auto"/>
        <w:rPr>
          <w:rFonts w:eastAsia="Times New Roman" w:cs="Arial"/>
          <w:lang w:val="en-US" w:eastAsia="bg-BG"/>
        </w:rPr>
      </w:pPr>
      <w:proofErr w:type="spellStart"/>
      <w:r w:rsidRPr="00DC3050">
        <w:rPr>
          <w:rFonts w:eastAsia="Times New Roman" w:cs="Arial"/>
          <w:color w:val="000000"/>
          <w:lang w:val="en-US"/>
        </w:rPr>
        <w:t>Medochemie</w:t>
      </w:r>
      <w:proofErr w:type="spellEnd"/>
      <w:r w:rsidRPr="00DC3050">
        <w:rPr>
          <w:rFonts w:eastAsia="Times New Roman" w:cs="Arial"/>
          <w:color w:val="000000"/>
          <w:lang w:val="en-US"/>
        </w:rPr>
        <w:t xml:space="preserve"> Ltd.</w:t>
      </w:r>
    </w:p>
    <w:p w14:paraId="288009F1" w14:textId="77777777" w:rsidR="00DC3050" w:rsidRPr="00DC3050" w:rsidRDefault="00DC3050" w:rsidP="00DC3050">
      <w:pPr>
        <w:spacing w:line="240" w:lineRule="auto"/>
        <w:rPr>
          <w:rFonts w:eastAsia="Times New Roman" w:cs="Arial"/>
          <w:lang w:val="en-US" w:eastAsia="bg-BG"/>
        </w:rPr>
      </w:pPr>
      <w:r w:rsidRPr="00DC3050">
        <w:rPr>
          <w:rFonts w:eastAsia="Times New Roman" w:cs="Arial"/>
          <w:color w:val="000000"/>
          <w:lang w:val="en-US"/>
        </w:rPr>
        <w:t>P.O. Box 51409. Cy-3505 Limassol.</w:t>
      </w:r>
    </w:p>
    <w:p w14:paraId="09EB82B3" w14:textId="464F0CF4" w:rsidR="00DC3050" w:rsidRPr="00DC3050" w:rsidRDefault="00DC3050" w:rsidP="00DC3050">
      <w:pPr>
        <w:rPr>
          <w:rFonts w:eastAsia="Times New Roman" w:cs="Arial"/>
          <w:color w:val="000000"/>
          <w:lang w:eastAsia="bg-BG"/>
        </w:rPr>
      </w:pPr>
      <w:r w:rsidRPr="00DC3050">
        <w:rPr>
          <w:rFonts w:eastAsia="Times New Roman" w:cs="Arial"/>
          <w:color w:val="000000"/>
          <w:lang w:eastAsia="bg-BG"/>
        </w:rPr>
        <w:t>Кипър</w:t>
      </w:r>
    </w:p>
    <w:p w14:paraId="61B0D277" w14:textId="77777777" w:rsidR="00DC3050" w:rsidRPr="00DC3050" w:rsidRDefault="00DC3050" w:rsidP="00DC3050"/>
    <w:p w14:paraId="7BA1BA64" w14:textId="578719AA" w:rsidR="00CF77F7" w:rsidRDefault="002C50EE" w:rsidP="004A448E">
      <w:pPr>
        <w:pStyle w:val="Heading1"/>
      </w:pPr>
      <w:r>
        <w:t>8. НОМЕР НА РАЗРЕШЕНИЕТО ЗА УПОТРЕБА</w:t>
      </w:r>
    </w:p>
    <w:p w14:paraId="74F060F4" w14:textId="44C45472" w:rsidR="00DC3050" w:rsidRDefault="00DC3050" w:rsidP="00DC3050"/>
    <w:p w14:paraId="3BC51641" w14:textId="77777777" w:rsidR="00DC3050" w:rsidRPr="00DC3050" w:rsidRDefault="00DC3050" w:rsidP="00DC3050">
      <w:pPr>
        <w:spacing w:line="240" w:lineRule="auto"/>
        <w:rPr>
          <w:rFonts w:eastAsia="Times New Roman" w:cs="Arial"/>
          <w:lang w:val="en-US" w:eastAsia="bg-BG"/>
        </w:rPr>
      </w:pPr>
      <w:r w:rsidRPr="00DC3050">
        <w:rPr>
          <w:rFonts w:eastAsia="Times New Roman" w:cs="Arial"/>
          <w:bCs/>
          <w:color w:val="000000"/>
          <w:lang w:val="en-US"/>
        </w:rPr>
        <w:t>6.25 mg - 20060879</w:t>
      </w:r>
    </w:p>
    <w:p w14:paraId="3AE87128" w14:textId="12F3851F" w:rsidR="00DC3050" w:rsidRPr="00DC3050" w:rsidRDefault="00DC3050" w:rsidP="00DC3050">
      <w:pPr>
        <w:rPr>
          <w:rFonts w:cs="Arial"/>
        </w:rPr>
      </w:pPr>
      <w:r w:rsidRPr="00DC3050">
        <w:rPr>
          <w:rFonts w:eastAsia="Times New Roman" w:cs="Arial"/>
          <w:bCs/>
          <w:color w:val="000000"/>
          <w:lang w:val="en-US"/>
        </w:rPr>
        <w:t>25 mg - 20060880</w:t>
      </w:r>
    </w:p>
    <w:p w14:paraId="2CCB5832" w14:textId="2346B102" w:rsidR="007C605B" w:rsidRDefault="002C50EE" w:rsidP="007C605B">
      <w:pPr>
        <w:pStyle w:val="Heading1"/>
      </w:pPr>
      <w:r>
        <w:lastRenderedPageBreak/>
        <w:t>9. ДАТА НА ПЪРВО РАЗРЕШАВАНЕ/ПОДНОВЯВАНЕ НА РАЗРЕШЕНИЕТО ЗА УПОТРЕБА</w:t>
      </w:r>
    </w:p>
    <w:p w14:paraId="6A015CC9" w14:textId="51517AA9" w:rsidR="00DC3050" w:rsidRDefault="00DC3050" w:rsidP="00DC3050"/>
    <w:p w14:paraId="3DDB97F6" w14:textId="5AD82C45" w:rsidR="00DC3050" w:rsidRPr="00DC3050" w:rsidRDefault="00DC3050" w:rsidP="00DC3050">
      <w:pPr>
        <w:rPr>
          <w:rFonts w:cs="Arial"/>
        </w:rPr>
      </w:pPr>
      <w:r w:rsidRPr="00DC3050">
        <w:rPr>
          <w:rFonts w:cs="Arial"/>
          <w:bCs/>
        </w:rPr>
        <w:t>29.12.2006</w:t>
      </w:r>
    </w:p>
    <w:p w14:paraId="0E9D0119" w14:textId="6BF684B8" w:rsidR="002C50EE" w:rsidRDefault="002C50EE" w:rsidP="002C50EE">
      <w:pPr>
        <w:pStyle w:val="Heading1"/>
      </w:pPr>
      <w:r>
        <w:t>10. ДАТА НА АКТУАЛИЗИРАНЕ НА ТЕКСТА</w:t>
      </w:r>
    </w:p>
    <w:p w14:paraId="6B4E7E34" w14:textId="3D4C785E" w:rsidR="00DC3050" w:rsidRDefault="00DC3050" w:rsidP="00DC3050"/>
    <w:p w14:paraId="39B28225" w14:textId="0FA11276" w:rsidR="00DC3050" w:rsidRPr="00DC3050" w:rsidRDefault="00DC3050" w:rsidP="00DC3050">
      <w:pPr>
        <w:rPr>
          <w:rFonts w:cs="Arial"/>
        </w:rPr>
      </w:pPr>
      <w:r w:rsidRPr="00DC3050">
        <w:rPr>
          <w:rFonts w:cs="Arial"/>
          <w:bCs/>
        </w:rPr>
        <w:t>Май 2011 година</w:t>
      </w:r>
    </w:p>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E4B2A"/>
    <w:multiLevelType w:val="hybridMultilevel"/>
    <w:tmpl w:val="036A4968"/>
    <w:lvl w:ilvl="0" w:tplc="77845F36">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3"/>
  </w:num>
  <w:num w:numId="4">
    <w:abstractNumId w:val="3"/>
  </w:num>
  <w:num w:numId="5">
    <w:abstractNumId w:val="1"/>
  </w:num>
  <w:num w:numId="6">
    <w:abstractNumId w:val="16"/>
  </w:num>
  <w:num w:numId="7">
    <w:abstractNumId w:val="11"/>
  </w:num>
  <w:num w:numId="8">
    <w:abstractNumId w:val="15"/>
  </w:num>
  <w:num w:numId="9">
    <w:abstractNumId w:val="2"/>
  </w:num>
  <w:num w:numId="10">
    <w:abstractNumId w:val="4"/>
  </w:num>
  <w:num w:numId="11">
    <w:abstractNumId w:val="30"/>
  </w:num>
  <w:num w:numId="12">
    <w:abstractNumId w:val="14"/>
  </w:num>
  <w:num w:numId="13">
    <w:abstractNumId w:val="19"/>
  </w:num>
  <w:num w:numId="14">
    <w:abstractNumId w:val="12"/>
  </w:num>
  <w:num w:numId="15">
    <w:abstractNumId w:val="29"/>
  </w:num>
  <w:num w:numId="16">
    <w:abstractNumId w:val="10"/>
  </w:num>
  <w:num w:numId="17">
    <w:abstractNumId w:val="24"/>
  </w:num>
  <w:num w:numId="18">
    <w:abstractNumId w:val="8"/>
  </w:num>
  <w:num w:numId="19">
    <w:abstractNumId w:val="26"/>
  </w:num>
  <w:num w:numId="20">
    <w:abstractNumId w:val="23"/>
  </w:num>
  <w:num w:numId="21">
    <w:abstractNumId w:val="17"/>
  </w:num>
  <w:num w:numId="22">
    <w:abstractNumId w:val="25"/>
  </w:num>
  <w:num w:numId="23">
    <w:abstractNumId w:val="18"/>
  </w:num>
  <w:num w:numId="24">
    <w:abstractNumId w:val="9"/>
  </w:num>
  <w:num w:numId="25">
    <w:abstractNumId w:val="22"/>
  </w:num>
  <w:num w:numId="26">
    <w:abstractNumId w:val="21"/>
  </w:num>
  <w:num w:numId="27">
    <w:abstractNumId w:val="31"/>
  </w:num>
  <w:num w:numId="28">
    <w:abstractNumId w:val="7"/>
  </w:num>
  <w:num w:numId="29">
    <w:abstractNumId w:val="20"/>
  </w:num>
  <w:num w:numId="30">
    <w:abstractNumId w:val="34"/>
  </w:num>
  <w:num w:numId="31">
    <w:abstractNumId w:val="5"/>
  </w:num>
  <w:num w:numId="32">
    <w:abstractNumId w:val="33"/>
  </w:num>
  <w:num w:numId="33">
    <w:abstractNumId w:val="28"/>
  </w:num>
  <w:num w:numId="34">
    <w:abstractNumId w:val="32"/>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332E"/>
    <w:rsid w:val="0075649D"/>
    <w:rsid w:val="007C605B"/>
    <w:rsid w:val="007D4AF8"/>
    <w:rsid w:val="008134C8"/>
    <w:rsid w:val="00814073"/>
    <w:rsid w:val="00826F0D"/>
    <w:rsid w:val="00893B92"/>
    <w:rsid w:val="008A6AF2"/>
    <w:rsid w:val="008C70A2"/>
    <w:rsid w:val="00953E3B"/>
    <w:rsid w:val="009773E4"/>
    <w:rsid w:val="009B171C"/>
    <w:rsid w:val="009F1313"/>
    <w:rsid w:val="00A01A1C"/>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A1080"/>
    <w:rsid w:val="00CA1B57"/>
    <w:rsid w:val="00CC08B1"/>
    <w:rsid w:val="00CF77F7"/>
    <w:rsid w:val="00D86297"/>
    <w:rsid w:val="00DC3050"/>
    <w:rsid w:val="00DD466D"/>
    <w:rsid w:val="00E94397"/>
    <w:rsid w:val="00EB6364"/>
    <w:rsid w:val="00F37B64"/>
    <w:rsid w:val="00FA246A"/>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3823</Words>
  <Characters>21792</Characters>
  <Application>Microsoft Office Word</Application>
  <DocSecurity>0</DocSecurity>
  <Lines>181</Lines>
  <Paragraphs>51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2022-06-21T13:46:00Z</dcterms:created>
  <dcterms:modified xsi:type="dcterms:W3CDTF">2022-06-21T13:46:00Z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