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63480237" w:rsidR="00AA23EC" w:rsidRDefault="00DD466D" w:rsidP="00DD466D">
      <w:pPr>
        <w:pStyle w:val="Heading1"/>
      </w:pPr>
      <w:r>
        <w:t>1.ИМЕ НА ЛЕКАРСТВЕНИЯ ПРОДУКТ</w:t>
      </w:r>
    </w:p>
    <w:p w14:paraId="627D0B79" w14:textId="77777777" w:rsidR="000D10BC" w:rsidRDefault="000D10BC" w:rsidP="000D10BC">
      <w:pPr>
        <w:rPr>
          <w:lang w:eastAsia="bg-BG"/>
        </w:rPr>
      </w:pPr>
    </w:p>
    <w:p w14:paraId="6DD21E0A" w14:textId="77777777" w:rsidR="000D10BC" w:rsidRDefault="000D10BC" w:rsidP="000D10BC">
      <w:pPr>
        <w:rPr>
          <w:lang w:eastAsia="bg-BG"/>
        </w:rPr>
      </w:pPr>
      <w:r w:rsidRPr="000D10BC">
        <w:rPr>
          <w:lang w:eastAsia="bg-BG"/>
        </w:rPr>
        <w:t xml:space="preserve">АКСЕТИН </w:t>
      </w:r>
      <w:r w:rsidRPr="000D10BC">
        <w:rPr>
          <w:lang w:val="en-US"/>
        </w:rPr>
        <w:t xml:space="preserve">1,5 g </w:t>
      </w:r>
      <w:r w:rsidRPr="000D10BC">
        <w:rPr>
          <w:lang w:eastAsia="bg-BG"/>
        </w:rPr>
        <w:t xml:space="preserve">прах за инжекционен разтвор </w:t>
      </w:r>
    </w:p>
    <w:p w14:paraId="6EC4B2F7" w14:textId="722E1B16" w:rsidR="000D10BC" w:rsidRPr="000D10BC" w:rsidRDefault="000D10BC" w:rsidP="000D10BC">
      <w:pPr>
        <w:rPr>
          <w:sz w:val="24"/>
          <w:szCs w:val="24"/>
          <w:lang w:val="en-US"/>
        </w:rPr>
      </w:pPr>
      <w:r w:rsidRPr="000D10BC">
        <w:rPr>
          <w:lang w:val="en-US"/>
        </w:rPr>
        <w:t xml:space="preserve">AXETINE </w:t>
      </w:r>
      <w:r w:rsidRPr="000D10BC">
        <w:rPr>
          <w:lang w:eastAsia="bg-BG"/>
        </w:rPr>
        <w:t>1</w:t>
      </w:r>
      <w:r w:rsidRPr="000D10BC">
        <w:rPr>
          <w:lang w:val="en-US"/>
        </w:rPr>
        <w:t>.5g powder for solution for injection</w:t>
      </w:r>
    </w:p>
    <w:p w14:paraId="5C89DD82" w14:textId="77777777" w:rsidR="000D10BC" w:rsidRPr="000D10BC" w:rsidRDefault="000D10BC" w:rsidP="000D10BC"/>
    <w:p w14:paraId="4D88B710" w14:textId="4E5A050B" w:rsidR="00D86297" w:rsidRDefault="00DD466D" w:rsidP="00AA23EC">
      <w:pPr>
        <w:pStyle w:val="Heading1"/>
      </w:pPr>
      <w:r>
        <w:t>2. КАЧЕСТВЕН И КОЛИЧЕСТВЕН СЪСТАВ</w:t>
      </w:r>
    </w:p>
    <w:p w14:paraId="777F1FD7" w14:textId="77777777" w:rsidR="000D10BC" w:rsidRDefault="000D10BC" w:rsidP="000D10BC">
      <w:pPr>
        <w:rPr>
          <w:lang w:eastAsia="bg-BG"/>
        </w:rPr>
      </w:pPr>
    </w:p>
    <w:p w14:paraId="6E8052A2" w14:textId="5A0FCA59" w:rsidR="000D10BC" w:rsidRPr="000D10BC" w:rsidRDefault="000D10BC" w:rsidP="000D10BC">
      <w:pPr>
        <w:rPr>
          <w:sz w:val="24"/>
          <w:szCs w:val="24"/>
        </w:rPr>
      </w:pPr>
      <w:r w:rsidRPr="000D10BC">
        <w:rPr>
          <w:lang w:eastAsia="bg-BG"/>
        </w:rPr>
        <w:t xml:space="preserve">Всеки флакон съдържа като активно вещество </w:t>
      </w:r>
      <w:proofErr w:type="spellStart"/>
      <w:r w:rsidRPr="000D10BC">
        <w:rPr>
          <w:lang w:eastAsia="bg-BG"/>
        </w:rPr>
        <w:t>цефуроксим</w:t>
      </w:r>
      <w:proofErr w:type="spellEnd"/>
      <w:r w:rsidRPr="000D10BC">
        <w:rPr>
          <w:lang w:eastAsia="bg-BG"/>
        </w:rPr>
        <w:t xml:space="preserve"> натрий </w:t>
      </w:r>
      <w:r w:rsidRPr="000D10BC">
        <w:rPr>
          <w:i/>
          <w:iCs/>
          <w:lang w:val="en-US"/>
        </w:rPr>
        <w:t xml:space="preserve">(cefuroxime sodium), </w:t>
      </w:r>
      <w:r w:rsidRPr="000D10BC">
        <w:rPr>
          <w:lang w:eastAsia="bg-BG"/>
        </w:rPr>
        <w:t xml:space="preserve">еквивалентно на </w:t>
      </w:r>
      <w:proofErr w:type="spellStart"/>
      <w:r w:rsidRPr="000D10BC">
        <w:rPr>
          <w:lang w:eastAsia="bg-BG"/>
        </w:rPr>
        <w:t>цефуроксим</w:t>
      </w:r>
      <w:proofErr w:type="spellEnd"/>
      <w:r w:rsidRPr="000D10BC">
        <w:rPr>
          <w:lang w:eastAsia="bg-BG"/>
        </w:rPr>
        <w:t xml:space="preserve"> 1,5 </w:t>
      </w:r>
      <w:r w:rsidRPr="000D10BC">
        <w:rPr>
          <w:lang w:val="en-US"/>
        </w:rPr>
        <w:t>g.</w:t>
      </w:r>
    </w:p>
    <w:p w14:paraId="5E332777" w14:textId="2AD28F07" w:rsidR="005A66D9" w:rsidRDefault="00DD466D" w:rsidP="00CA1B57">
      <w:pPr>
        <w:pStyle w:val="Heading1"/>
      </w:pPr>
      <w:r>
        <w:t>3. ЛЕКАРСТВЕНА ФОРМА</w:t>
      </w:r>
    </w:p>
    <w:p w14:paraId="4846EF1F" w14:textId="77777777" w:rsidR="000D10BC" w:rsidRDefault="000D10BC" w:rsidP="000D10BC">
      <w:pPr>
        <w:rPr>
          <w:lang w:eastAsia="bg-BG"/>
        </w:rPr>
      </w:pPr>
    </w:p>
    <w:p w14:paraId="6AC5B916" w14:textId="21EAD054" w:rsidR="000D10BC" w:rsidRPr="000D10BC" w:rsidRDefault="000D10BC" w:rsidP="000D10BC">
      <w:pPr>
        <w:rPr>
          <w:sz w:val="24"/>
          <w:szCs w:val="24"/>
        </w:rPr>
      </w:pPr>
      <w:r w:rsidRPr="000D10BC">
        <w:rPr>
          <w:lang w:eastAsia="bg-BG"/>
        </w:rPr>
        <w:t>Бял до леко жълтеникав стерилен прах за инжекционен разтвор.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7AF3F202" w14:textId="77777777" w:rsidR="000D10BC" w:rsidRPr="000D10BC" w:rsidRDefault="000D10BC" w:rsidP="000D10BC">
      <w:pPr>
        <w:rPr>
          <w:sz w:val="24"/>
          <w:szCs w:val="24"/>
        </w:rPr>
      </w:pPr>
      <w:proofErr w:type="spellStart"/>
      <w:r w:rsidRPr="000D10BC">
        <w:rPr>
          <w:lang w:eastAsia="bg-BG"/>
        </w:rPr>
        <w:t>Аксетин</w:t>
      </w:r>
      <w:proofErr w:type="spellEnd"/>
      <w:r w:rsidRPr="000D10BC">
        <w:rPr>
          <w:lang w:eastAsia="bg-BG"/>
        </w:rPr>
        <w:t xml:space="preserve"> 1,5 </w:t>
      </w:r>
      <w:r w:rsidRPr="000D10BC">
        <w:rPr>
          <w:lang w:val="en-US"/>
        </w:rPr>
        <w:t xml:space="preserve">g </w:t>
      </w:r>
      <w:r w:rsidRPr="000D10BC">
        <w:rPr>
          <w:lang w:eastAsia="bg-BG"/>
        </w:rPr>
        <w:t xml:space="preserve">е бактерициден </w:t>
      </w:r>
      <w:proofErr w:type="spellStart"/>
      <w:r w:rsidRPr="000D10BC">
        <w:rPr>
          <w:lang w:eastAsia="bg-BG"/>
        </w:rPr>
        <w:t>цефалоспоринов</w:t>
      </w:r>
      <w:proofErr w:type="spellEnd"/>
      <w:r w:rsidRPr="000D10BC">
        <w:rPr>
          <w:lang w:eastAsia="bg-BG"/>
        </w:rPr>
        <w:t xml:space="preserve"> антибиотик, устойчив срещу повечето </w:t>
      </w:r>
      <w:r w:rsidRPr="000D10BC">
        <w:rPr>
          <w:lang w:val="en-US"/>
        </w:rPr>
        <w:t>β</w:t>
      </w:r>
      <w:r w:rsidRPr="000D10BC">
        <w:rPr>
          <w:lang w:eastAsia="bg-BG"/>
        </w:rPr>
        <w:t xml:space="preserve">- </w:t>
      </w:r>
      <w:proofErr w:type="spellStart"/>
      <w:r w:rsidRPr="000D10BC">
        <w:rPr>
          <w:lang w:eastAsia="bg-BG"/>
        </w:rPr>
        <w:t>лактамази</w:t>
      </w:r>
      <w:proofErr w:type="spellEnd"/>
      <w:r w:rsidRPr="000D10BC">
        <w:rPr>
          <w:lang w:eastAsia="bg-BG"/>
        </w:rPr>
        <w:t xml:space="preserve"> и активен срещу широк спектър Грам-положителни и Грам-отрицателни патогенни микроорганизми.</w:t>
      </w:r>
    </w:p>
    <w:p w14:paraId="23C57AB8" w14:textId="77777777" w:rsidR="000D10BC" w:rsidRDefault="000D10BC" w:rsidP="000D10BC">
      <w:pPr>
        <w:rPr>
          <w:lang w:eastAsia="bg-BG"/>
        </w:rPr>
      </w:pPr>
    </w:p>
    <w:p w14:paraId="7B983294" w14:textId="1E46F8DA" w:rsidR="000D10BC" w:rsidRPr="000D10BC" w:rsidRDefault="000D10BC" w:rsidP="000D10BC">
      <w:pPr>
        <w:rPr>
          <w:sz w:val="24"/>
          <w:szCs w:val="24"/>
        </w:rPr>
      </w:pPr>
      <w:r w:rsidRPr="000D10BC">
        <w:rPr>
          <w:lang w:eastAsia="bg-BG"/>
        </w:rPr>
        <w:t>Той е показан за лечение на инфекции преди изясняване на причинителя или на такива, причинени от чувствителни микроорганизми.</w:t>
      </w:r>
    </w:p>
    <w:p w14:paraId="0DDACF14" w14:textId="77777777" w:rsidR="000D10BC" w:rsidRDefault="000D10BC" w:rsidP="000D10BC">
      <w:pPr>
        <w:rPr>
          <w:lang w:eastAsia="bg-BG"/>
        </w:rPr>
      </w:pPr>
    </w:p>
    <w:p w14:paraId="18D961B6" w14:textId="292F1239" w:rsidR="000D10BC" w:rsidRPr="000D10BC" w:rsidRDefault="000D10BC" w:rsidP="000D10BC">
      <w:pPr>
        <w:rPr>
          <w:sz w:val="24"/>
          <w:szCs w:val="24"/>
        </w:rPr>
      </w:pPr>
      <w:r w:rsidRPr="000D10BC">
        <w:rPr>
          <w:lang w:eastAsia="bg-BG"/>
        </w:rPr>
        <w:t>Показанията включват:</w:t>
      </w:r>
    </w:p>
    <w:p w14:paraId="66864607" w14:textId="77777777" w:rsidR="000D10BC" w:rsidRPr="000D10BC" w:rsidRDefault="000D10BC" w:rsidP="000D10BC">
      <w:pPr>
        <w:pStyle w:val="ListParagraph"/>
        <w:numPr>
          <w:ilvl w:val="0"/>
          <w:numId w:val="26"/>
        </w:numPr>
        <w:rPr>
          <w:i/>
          <w:iCs/>
          <w:lang w:eastAsia="bg-BG"/>
        </w:rPr>
      </w:pPr>
      <w:r w:rsidRPr="000D10BC">
        <w:rPr>
          <w:i/>
          <w:iCs/>
          <w:lang w:eastAsia="bg-BG"/>
        </w:rPr>
        <w:t>инфекции на дихателни пътища:</w:t>
      </w:r>
      <w:r w:rsidRPr="000D10BC">
        <w:rPr>
          <w:lang w:eastAsia="bg-BG"/>
        </w:rPr>
        <w:t xml:space="preserve"> инфектирани </w:t>
      </w:r>
      <w:proofErr w:type="spellStart"/>
      <w:r w:rsidRPr="000D10BC">
        <w:rPr>
          <w:lang w:eastAsia="bg-BG"/>
        </w:rPr>
        <w:t>бронхиектазии</w:t>
      </w:r>
      <w:proofErr w:type="spellEnd"/>
      <w:r w:rsidRPr="000D10BC">
        <w:rPr>
          <w:lang w:eastAsia="bg-BG"/>
        </w:rPr>
        <w:t>, остър бронхит, хроничен бронхит, следоперативни инфекции на гръдния кош, белодробен абсцес и бактериална пневмония;</w:t>
      </w:r>
    </w:p>
    <w:p w14:paraId="48395C40" w14:textId="77777777" w:rsidR="000D10BC" w:rsidRPr="000D10BC" w:rsidRDefault="000D10BC" w:rsidP="000D10BC">
      <w:pPr>
        <w:pStyle w:val="ListParagraph"/>
        <w:numPr>
          <w:ilvl w:val="0"/>
          <w:numId w:val="26"/>
        </w:numPr>
        <w:rPr>
          <w:i/>
          <w:iCs/>
          <w:lang w:eastAsia="bg-BG"/>
        </w:rPr>
      </w:pPr>
      <w:proofErr w:type="spellStart"/>
      <w:r w:rsidRPr="000D10BC">
        <w:rPr>
          <w:i/>
          <w:iCs/>
          <w:lang w:eastAsia="bg-BG"/>
        </w:rPr>
        <w:t>оториноларингологични</w:t>
      </w:r>
      <w:proofErr w:type="spellEnd"/>
      <w:r w:rsidRPr="000D10BC">
        <w:rPr>
          <w:i/>
          <w:iCs/>
          <w:lang w:eastAsia="bg-BG"/>
        </w:rPr>
        <w:t xml:space="preserve"> инфекции:</w:t>
      </w:r>
      <w:r w:rsidRPr="000D10BC">
        <w:rPr>
          <w:lang w:eastAsia="bg-BG"/>
        </w:rPr>
        <w:t xml:space="preserve"> фарингит, </w:t>
      </w:r>
      <w:proofErr w:type="spellStart"/>
      <w:r w:rsidRPr="000D10BC">
        <w:rPr>
          <w:lang w:eastAsia="bg-BG"/>
        </w:rPr>
        <w:t>синуит</w:t>
      </w:r>
      <w:proofErr w:type="spellEnd"/>
      <w:r w:rsidRPr="000D10BC">
        <w:rPr>
          <w:lang w:eastAsia="bg-BG"/>
        </w:rPr>
        <w:t xml:space="preserve">, </w:t>
      </w:r>
      <w:proofErr w:type="spellStart"/>
      <w:r w:rsidRPr="000D10BC">
        <w:rPr>
          <w:lang w:eastAsia="bg-BG"/>
        </w:rPr>
        <w:t>тонзилит</w:t>
      </w:r>
      <w:proofErr w:type="spellEnd"/>
      <w:r w:rsidRPr="000D10BC">
        <w:rPr>
          <w:lang w:eastAsia="bg-BG"/>
        </w:rPr>
        <w:t xml:space="preserve"> и отит на средното ухо;</w:t>
      </w:r>
    </w:p>
    <w:p w14:paraId="5B94D7B1" w14:textId="77777777" w:rsidR="000D10BC" w:rsidRPr="000D10BC" w:rsidRDefault="000D10BC" w:rsidP="000D10BC">
      <w:pPr>
        <w:pStyle w:val="ListParagraph"/>
        <w:numPr>
          <w:ilvl w:val="0"/>
          <w:numId w:val="26"/>
        </w:numPr>
        <w:rPr>
          <w:i/>
          <w:iCs/>
          <w:lang w:eastAsia="bg-BG"/>
        </w:rPr>
      </w:pPr>
      <w:r w:rsidRPr="000D10BC">
        <w:rPr>
          <w:i/>
          <w:iCs/>
          <w:lang w:eastAsia="bg-BG"/>
        </w:rPr>
        <w:t>инфекции на пикочната система :</w:t>
      </w:r>
      <w:r w:rsidRPr="000D10BC">
        <w:rPr>
          <w:lang w:eastAsia="bg-BG"/>
        </w:rPr>
        <w:t xml:space="preserve"> </w:t>
      </w:r>
      <w:proofErr w:type="spellStart"/>
      <w:r w:rsidRPr="000D10BC">
        <w:rPr>
          <w:lang w:eastAsia="bg-BG"/>
        </w:rPr>
        <w:t>асимптоматична</w:t>
      </w:r>
      <w:proofErr w:type="spellEnd"/>
      <w:r w:rsidRPr="000D10BC">
        <w:rPr>
          <w:lang w:eastAsia="bg-BG"/>
        </w:rPr>
        <w:t xml:space="preserve"> </w:t>
      </w:r>
      <w:proofErr w:type="spellStart"/>
      <w:r w:rsidRPr="000D10BC">
        <w:rPr>
          <w:lang w:eastAsia="bg-BG"/>
        </w:rPr>
        <w:t>бактериурия</w:t>
      </w:r>
      <w:proofErr w:type="spellEnd"/>
      <w:r w:rsidRPr="000D10BC">
        <w:rPr>
          <w:lang w:eastAsia="bg-BG"/>
        </w:rPr>
        <w:t xml:space="preserve">, цистит и остър, или хроничен </w:t>
      </w:r>
      <w:proofErr w:type="spellStart"/>
      <w:r w:rsidRPr="000D10BC">
        <w:rPr>
          <w:lang w:eastAsia="bg-BG"/>
        </w:rPr>
        <w:t>пиелонефрит</w:t>
      </w:r>
      <w:proofErr w:type="spellEnd"/>
      <w:r w:rsidRPr="000D10BC">
        <w:rPr>
          <w:lang w:eastAsia="bg-BG"/>
        </w:rPr>
        <w:t>;</w:t>
      </w:r>
    </w:p>
    <w:p w14:paraId="78239656" w14:textId="77777777" w:rsidR="000D10BC" w:rsidRPr="000D10BC" w:rsidRDefault="000D10BC" w:rsidP="000D10BC">
      <w:pPr>
        <w:pStyle w:val="ListParagraph"/>
        <w:numPr>
          <w:ilvl w:val="0"/>
          <w:numId w:val="26"/>
        </w:numPr>
        <w:rPr>
          <w:i/>
          <w:iCs/>
          <w:lang w:eastAsia="bg-BG"/>
        </w:rPr>
      </w:pPr>
      <w:r w:rsidRPr="000D10BC">
        <w:rPr>
          <w:i/>
          <w:iCs/>
          <w:lang w:eastAsia="bg-BG"/>
        </w:rPr>
        <w:t>инфекции на меките тъкани:</w:t>
      </w:r>
      <w:r w:rsidRPr="000D10BC">
        <w:rPr>
          <w:lang w:eastAsia="bg-BG"/>
        </w:rPr>
        <w:t xml:space="preserve"> целулит, </w:t>
      </w:r>
      <w:proofErr w:type="spellStart"/>
      <w:r w:rsidRPr="000D10BC">
        <w:rPr>
          <w:lang w:eastAsia="bg-BG"/>
        </w:rPr>
        <w:t>еризипел</w:t>
      </w:r>
      <w:proofErr w:type="spellEnd"/>
      <w:r w:rsidRPr="000D10BC">
        <w:rPr>
          <w:lang w:eastAsia="bg-BG"/>
        </w:rPr>
        <w:t xml:space="preserve"> и </w:t>
      </w:r>
      <w:proofErr w:type="spellStart"/>
      <w:r w:rsidRPr="000D10BC">
        <w:rPr>
          <w:lang w:eastAsia="bg-BG"/>
        </w:rPr>
        <w:t>раневи</w:t>
      </w:r>
      <w:proofErr w:type="spellEnd"/>
      <w:r w:rsidRPr="000D10BC">
        <w:rPr>
          <w:lang w:eastAsia="bg-BG"/>
        </w:rPr>
        <w:t xml:space="preserve"> инфекции;</w:t>
      </w:r>
    </w:p>
    <w:p w14:paraId="084B56CF" w14:textId="77777777" w:rsidR="000D10BC" w:rsidRPr="000D10BC" w:rsidRDefault="000D10BC" w:rsidP="000D10BC">
      <w:pPr>
        <w:pStyle w:val="ListParagraph"/>
        <w:numPr>
          <w:ilvl w:val="0"/>
          <w:numId w:val="26"/>
        </w:numPr>
        <w:rPr>
          <w:i/>
          <w:iCs/>
          <w:lang w:eastAsia="bg-BG"/>
        </w:rPr>
      </w:pPr>
      <w:r w:rsidRPr="000D10BC">
        <w:rPr>
          <w:i/>
          <w:iCs/>
          <w:lang w:eastAsia="bg-BG"/>
        </w:rPr>
        <w:t>костно-ставни инфекции:</w:t>
      </w:r>
      <w:r w:rsidRPr="000D10BC">
        <w:rPr>
          <w:lang w:eastAsia="bg-BG"/>
        </w:rPr>
        <w:t xml:space="preserve"> септичен артрит и </w:t>
      </w:r>
      <w:proofErr w:type="spellStart"/>
      <w:r w:rsidRPr="000D10BC">
        <w:rPr>
          <w:lang w:eastAsia="bg-BG"/>
        </w:rPr>
        <w:t>остеомиелит</w:t>
      </w:r>
      <w:proofErr w:type="spellEnd"/>
      <w:r w:rsidRPr="000D10BC">
        <w:rPr>
          <w:lang w:eastAsia="bg-BG"/>
        </w:rPr>
        <w:t>;</w:t>
      </w:r>
    </w:p>
    <w:p w14:paraId="4D4DF686" w14:textId="77777777" w:rsidR="000D10BC" w:rsidRPr="000D10BC" w:rsidRDefault="000D10BC" w:rsidP="000D10BC">
      <w:pPr>
        <w:pStyle w:val="ListParagraph"/>
        <w:numPr>
          <w:ilvl w:val="0"/>
          <w:numId w:val="26"/>
        </w:numPr>
        <w:rPr>
          <w:i/>
          <w:iCs/>
          <w:lang w:eastAsia="bg-BG"/>
        </w:rPr>
      </w:pPr>
      <w:proofErr w:type="spellStart"/>
      <w:r w:rsidRPr="000D10BC">
        <w:rPr>
          <w:i/>
          <w:iCs/>
          <w:lang w:eastAsia="bg-BG"/>
        </w:rPr>
        <w:t>акушеро</w:t>
      </w:r>
      <w:proofErr w:type="spellEnd"/>
      <w:r w:rsidRPr="000D10BC">
        <w:rPr>
          <w:i/>
          <w:iCs/>
          <w:lang w:eastAsia="bg-BG"/>
        </w:rPr>
        <w:t>-гинекологични инфекции:</w:t>
      </w:r>
      <w:r w:rsidRPr="000D10BC">
        <w:rPr>
          <w:lang w:eastAsia="bg-BG"/>
        </w:rPr>
        <w:t xml:space="preserve"> тазово-възпалителна болест;</w:t>
      </w:r>
    </w:p>
    <w:p w14:paraId="42F75CC7" w14:textId="77777777" w:rsidR="000D10BC" w:rsidRPr="000D10BC" w:rsidRDefault="000D10BC" w:rsidP="000D10BC">
      <w:pPr>
        <w:pStyle w:val="ListParagraph"/>
        <w:numPr>
          <w:ilvl w:val="0"/>
          <w:numId w:val="26"/>
        </w:numPr>
        <w:rPr>
          <w:i/>
          <w:iCs/>
          <w:lang w:eastAsia="bg-BG"/>
        </w:rPr>
      </w:pPr>
      <w:r w:rsidRPr="000D10BC">
        <w:rPr>
          <w:i/>
          <w:iCs/>
          <w:lang w:eastAsia="bg-BG"/>
        </w:rPr>
        <w:t>гонорея:</w:t>
      </w:r>
      <w:r w:rsidRPr="000D10BC">
        <w:rPr>
          <w:lang w:eastAsia="bg-BG"/>
        </w:rPr>
        <w:t xml:space="preserve"> особено при непоносимост към пеницилини;</w:t>
      </w:r>
    </w:p>
    <w:p w14:paraId="26AF1FED" w14:textId="77777777" w:rsidR="000D10BC" w:rsidRPr="000D10BC" w:rsidRDefault="000D10BC" w:rsidP="000D10BC">
      <w:pPr>
        <w:pStyle w:val="ListParagraph"/>
        <w:numPr>
          <w:ilvl w:val="0"/>
          <w:numId w:val="26"/>
        </w:numPr>
        <w:rPr>
          <w:i/>
          <w:iCs/>
          <w:lang w:eastAsia="bg-BG"/>
        </w:rPr>
      </w:pPr>
      <w:r w:rsidRPr="000D10BC">
        <w:rPr>
          <w:i/>
          <w:iCs/>
          <w:lang w:eastAsia="bg-BG"/>
        </w:rPr>
        <w:t>други инфекции:</w:t>
      </w:r>
      <w:r w:rsidRPr="000D10BC">
        <w:rPr>
          <w:lang w:eastAsia="bg-BG"/>
        </w:rPr>
        <w:t xml:space="preserve"> бактериален менингит, перитонит и </w:t>
      </w:r>
      <w:proofErr w:type="spellStart"/>
      <w:r w:rsidRPr="000D10BC">
        <w:rPr>
          <w:lang w:eastAsia="bg-BG"/>
        </w:rPr>
        <w:t>септицемия</w:t>
      </w:r>
      <w:proofErr w:type="spellEnd"/>
      <w:r w:rsidRPr="000D10BC">
        <w:rPr>
          <w:lang w:eastAsia="bg-BG"/>
        </w:rPr>
        <w:t>.</w:t>
      </w:r>
    </w:p>
    <w:p w14:paraId="2D9ADD78" w14:textId="77777777" w:rsidR="000D10BC" w:rsidRDefault="000D10BC" w:rsidP="000D10BC">
      <w:pPr>
        <w:rPr>
          <w:lang w:eastAsia="bg-BG"/>
        </w:rPr>
      </w:pPr>
    </w:p>
    <w:p w14:paraId="27689493" w14:textId="53B3A3AC" w:rsidR="000D10BC" w:rsidRPr="000D10BC" w:rsidRDefault="000D10BC" w:rsidP="000D10BC">
      <w:pPr>
        <w:rPr>
          <w:sz w:val="24"/>
          <w:szCs w:val="24"/>
        </w:rPr>
      </w:pPr>
      <w:r w:rsidRPr="000D10BC">
        <w:rPr>
          <w:lang w:eastAsia="bg-BG"/>
        </w:rPr>
        <w:t xml:space="preserve">Профилактика срещу инфекции в коремната, тазовата, ортопедичната, сърдечната, белодробната, </w:t>
      </w:r>
      <w:proofErr w:type="spellStart"/>
      <w:r w:rsidRPr="000D10BC">
        <w:rPr>
          <w:lang w:eastAsia="bg-BG"/>
        </w:rPr>
        <w:t>езофагеалната</w:t>
      </w:r>
      <w:proofErr w:type="spellEnd"/>
      <w:r w:rsidRPr="000D10BC">
        <w:rPr>
          <w:lang w:eastAsia="bg-BG"/>
        </w:rPr>
        <w:t xml:space="preserve"> и съдовата хирургия, където има повишен риск от инфекции.</w:t>
      </w:r>
    </w:p>
    <w:p w14:paraId="1996126C" w14:textId="77777777" w:rsidR="000D10BC" w:rsidRDefault="000D10BC" w:rsidP="000D10BC">
      <w:pPr>
        <w:rPr>
          <w:lang w:eastAsia="bg-BG"/>
        </w:rPr>
      </w:pPr>
    </w:p>
    <w:p w14:paraId="72189E32" w14:textId="2FA2F4CC" w:rsidR="000D10BC" w:rsidRPr="000D10BC" w:rsidRDefault="000D10BC" w:rsidP="000D10BC">
      <w:pPr>
        <w:rPr>
          <w:sz w:val="24"/>
          <w:szCs w:val="24"/>
        </w:rPr>
      </w:pPr>
      <w:r w:rsidRPr="000D10BC">
        <w:rPr>
          <w:lang w:eastAsia="bg-BG"/>
        </w:rPr>
        <w:lastRenderedPageBreak/>
        <w:t xml:space="preserve">Ефективен е самостоятелно, но при необходимост може да бъде комбиниран с </w:t>
      </w:r>
      <w:proofErr w:type="spellStart"/>
      <w:r w:rsidRPr="000D10BC">
        <w:rPr>
          <w:lang w:eastAsia="bg-BG"/>
        </w:rPr>
        <w:t>аминогликозиден</w:t>
      </w:r>
      <w:proofErr w:type="spellEnd"/>
      <w:r w:rsidRPr="000D10BC">
        <w:rPr>
          <w:lang w:eastAsia="bg-BG"/>
        </w:rPr>
        <w:t xml:space="preserve"> антибиотик или </w:t>
      </w:r>
      <w:proofErr w:type="spellStart"/>
      <w:r w:rsidRPr="000D10BC">
        <w:rPr>
          <w:lang w:eastAsia="bg-BG"/>
        </w:rPr>
        <w:t>метронидазол</w:t>
      </w:r>
      <w:proofErr w:type="spellEnd"/>
      <w:r w:rsidRPr="000D10BC">
        <w:rPr>
          <w:lang w:eastAsia="bg-BG"/>
        </w:rPr>
        <w:t xml:space="preserve"> (перорално, инжекционно или чрез </w:t>
      </w:r>
      <w:proofErr w:type="spellStart"/>
      <w:r w:rsidRPr="000D10BC">
        <w:rPr>
          <w:lang w:eastAsia="bg-BG"/>
        </w:rPr>
        <w:t>супозитории</w:t>
      </w:r>
      <w:proofErr w:type="spellEnd"/>
      <w:r w:rsidRPr="000D10BC">
        <w:rPr>
          <w:lang w:eastAsia="bg-BG"/>
        </w:rPr>
        <w:t xml:space="preserve">), особено при профилактика на </w:t>
      </w:r>
      <w:proofErr w:type="spellStart"/>
      <w:r w:rsidRPr="000D10BC">
        <w:rPr>
          <w:lang w:eastAsia="bg-BG"/>
        </w:rPr>
        <w:t>колоректални</w:t>
      </w:r>
      <w:proofErr w:type="spellEnd"/>
      <w:r w:rsidRPr="000D10BC">
        <w:rPr>
          <w:lang w:eastAsia="bg-BG"/>
        </w:rPr>
        <w:t xml:space="preserve"> или гинекологични операции.</w:t>
      </w:r>
    </w:p>
    <w:p w14:paraId="6A85F207" w14:textId="77777777" w:rsidR="000D10BC" w:rsidRDefault="000D10BC" w:rsidP="000D10BC">
      <w:pPr>
        <w:rPr>
          <w:lang w:eastAsia="bg-BG"/>
        </w:rPr>
      </w:pPr>
    </w:p>
    <w:p w14:paraId="3579D95A" w14:textId="016A8200" w:rsidR="000D10BC" w:rsidRPr="000D10BC" w:rsidRDefault="000D10BC" w:rsidP="000D10BC">
      <w:pPr>
        <w:rPr>
          <w:sz w:val="24"/>
          <w:szCs w:val="24"/>
        </w:rPr>
      </w:pPr>
      <w:proofErr w:type="spellStart"/>
      <w:r w:rsidRPr="000D10BC">
        <w:rPr>
          <w:lang w:eastAsia="bg-BG"/>
        </w:rPr>
        <w:t>Цефуроксим</w:t>
      </w:r>
      <w:proofErr w:type="spellEnd"/>
      <w:r w:rsidRPr="000D10BC">
        <w:rPr>
          <w:lang w:eastAsia="bg-BG"/>
        </w:rPr>
        <w:t xml:space="preserve"> е наличен също под формата на </w:t>
      </w:r>
      <w:proofErr w:type="spellStart"/>
      <w:r w:rsidRPr="000D10BC">
        <w:rPr>
          <w:lang w:eastAsia="bg-BG"/>
        </w:rPr>
        <w:t>аксетилов</w:t>
      </w:r>
      <w:proofErr w:type="spellEnd"/>
      <w:r w:rsidRPr="000D10BC">
        <w:rPr>
          <w:lang w:eastAsia="bg-BG"/>
        </w:rPr>
        <w:t xml:space="preserve"> естер за перорално приложение. Това улеснява продължаването на приема на един и същ антибиотик, при клинични показания за преминаване от парентерална на перорална терапия. </w:t>
      </w:r>
      <w:proofErr w:type="spellStart"/>
      <w:r w:rsidRPr="000D10BC">
        <w:rPr>
          <w:lang w:eastAsia="bg-BG"/>
        </w:rPr>
        <w:t>Цефуроксим</w:t>
      </w:r>
      <w:proofErr w:type="spellEnd"/>
      <w:r w:rsidRPr="000D10BC">
        <w:rPr>
          <w:lang w:eastAsia="bg-BG"/>
        </w:rPr>
        <w:t xml:space="preserve"> натрий е ефективен за лечение на пневмония и обостряния при хроничен бронхит, когато при</w:t>
      </w:r>
      <w:r>
        <w:rPr>
          <w:lang w:eastAsia="bg-BG"/>
        </w:rPr>
        <w:t xml:space="preserve"> </w:t>
      </w:r>
      <w:r w:rsidRPr="000D10BC">
        <w:t xml:space="preserve">показания за перорална терапия се продължава с </w:t>
      </w:r>
      <w:proofErr w:type="spellStart"/>
      <w:r w:rsidRPr="000D10BC">
        <w:t>цефуроксим</w:t>
      </w:r>
      <w:proofErr w:type="spellEnd"/>
      <w:r w:rsidRPr="000D10BC">
        <w:t xml:space="preserve"> под формата на </w:t>
      </w:r>
      <w:proofErr w:type="spellStart"/>
      <w:r w:rsidRPr="000D10BC">
        <w:t>аксетилов</w:t>
      </w:r>
      <w:proofErr w:type="spellEnd"/>
      <w:r w:rsidRPr="000D10BC">
        <w:t xml:space="preserve"> естер за перорално приложение.</w:t>
      </w:r>
    </w:p>
    <w:p w14:paraId="1D171A12" w14:textId="77777777" w:rsidR="003765DC" w:rsidRPr="003765DC" w:rsidRDefault="003765DC" w:rsidP="003765DC"/>
    <w:p w14:paraId="66024DB0" w14:textId="7BE1BF88" w:rsidR="003765DC" w:rsidRDefault="002C50EE" w:rsidP="002B3C38">
      <w:pPr>
        <w:pStyle w:val="Heading2"/>
      </w:pPr>
      <w:r>
        <w:t>4.2. Дозировка и начин на приложение</w:t>
      </w:r>
    </w:p>
    <w:p w14:paraId="6B663E17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color w:val="000000"/>
          <w:lang w:eastAsia="bg-BG"/>
        </w:rPr>
        <w:t>Аксетин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1,5 </w:t>
      </w:r>
      <w:r w:rsidRPr="00DD6719">
        <w:rPr>
          <w:rFonts w:eastAsia="Times New Roman" w:cs="Arial"/>
          <w:color w:val="000000"/>
          <w:lang w:val="en-US"/>
        </w:rPr>
        <w:t xml:space="preserve">g </w:t>
      </w:r>
      <w:r w:rsidRPr="00DD6719">
        <w:rPr>
          <w:rFonts w:eastAsia="Times New Roman" w:cs="Arial"/>
          <w:color w:val="000000"/>
          <w:lang w:eastAsia="bg-BG"/>
        </w:rPr>
        <w:t>се прилага чрез интрамускулна, бавна интравенозна инжекция или чрез бавна интравенозна инфузия. За подготовка виж “Указания за употреба''</w:t>
      </w:r>
    </w:p>
    <w:p w14:paraId="77068C10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C68F81C" w14:textId="353CC2B6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Обши препоръки за дозиране:</w:t>
      </w:r>
    </w:p>
    <w:p w14:paraId="763B05EB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2031878" w14:textId="513841A4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  <w:r w:rsidRPr="00DD6719">
        <w:rPr>
          <w:rFonts w:eastAsia="Times New Roman" w:cs="Arial"/>
          <w:i/>
          <w:iCs/>
          <w:color w:val="000000"/>
          <w:lang w:eastAsia="bg-BG"/>
        </w:rPr>
        <w:t>:</w:t>
      </w:r>
      <w:r w:rsidRPr="00DD6719">
        <w:rPr>
          <w:rFonts w:eastAsia="Times New Roman" w:cs="Arial"/>
          <w:color w:val="000000"/>
          <w:lang w:eastAsia="bg-BG"/>
        </w:rPr>
        <w:t xml:space="preserve"> Повечето инфекции се повлияват от 750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 xml:space="preserve">3 пъти дневно чрез интрамускулно или интравенозно инжектиране. При тежки инфекции, или животозастрашаващи инфекции, дозата трябва да се повиши до 1,5 </w:t>
      </w:r>
      <w:r w:rsidRPr="00DD6719">
        <w:rPr>
          <w:rFonts w:eastAsia="Times New Roman" w:cs="Arial"/>
          <w:color w:val="000000"/>
          <w:lang w:val="en-US"/>
        </w:rPr>
        <w:t xml:space="preserve">g </w:t>
      </w:r>
      <w:r w:rsidRPr="00DD6719">
        <w:rPr>
          <w:rFonts w:eastAsia="Times New Roman" w:cs="Arial"/>
          <w:color w:val="000000"/>
          <w:lang w:eastAsia="bg-BG"/>
        </w:rPr>
        <w:t xml:space="preserve">на 8 часа интравенозно. Честотата на дозиране може да се увеличи на всеки 6 часа, независимо интрамускулно или интравенозно. Общата дневна доза е от порядъка на 3-6 </w:t>
      </w:r>
      <w:r w:rsidRPr="00DD6719">
        <w:rPr>
          <w:rFonts w:eastAsia="Times New Roman" w:cs="Arial"/>
          <w:color w:val="000000"/>
          <w:lang w:val="en-US"/>
        </w:rPr>
        <w:t xml:space="preserve">g. </w:t>
      </w:r>
      <w:r w:rsidRPr="00DD6719">
        <w:rPr>
          <w:rFonts w:eastAsia="Times New Roman" w:cs="Arial"/>
          <w:color w:val="000000"/>
          <w:lang w:eastAsia="bg-BG"/>
        </w:rPr>
        <w:t xml:space="preserve">При определени клинични показания някои инфекции се повлияват от дози до 1,5 </w:t>
      </w:r>
      <w:r w:rsidRPr="00DD6719">
        <w:rPr>
          <w:rFonts w:eastAsia="Times New Roman" w:cs="Arial"/>
          <w:color w:val="000000"/>
          <w:lang w:val="en-US"/>
        </w:rPr>
        <w:t xml:space="preserve">g </w:t>
      </w:r>
      <w:r w:rsidRPr="00DD6719">
        <w:rPr>
          <w:rFonts w:eastAsia="Times New Roman" w:cs="Arial"/>
          <w:color w:val="000000"/>
          <w:lang w:eastAsia="bg-BG"/>
        </w:rPr>
        <w:t xml:space="preserve">два дневно </w:t>
      </w:r>
      <w:r w:rsidRPr="00DD6719">
        <w:rPr>
          <w:rFonts w:eastAsia="Times New Roman" w:cs="Arial"/>
          <w:color w:val="000000"/>
          <w:lang w:val="en-US"/>
        </w:rPr>
        <w:t>(</w:t>
      </w:r>
      <w:proofErr w:type="spellStart"/>
      <w:r w:rsidRPr="00DD6719">
        <w:rPr>
          <w:rFonts w:eastAsia="Times New Roman" w:cs="Arial"/>
          <w:color w:val="000000"/>
          <w:lang w:val="en-US"/>
        </w:rPr>
        <w:t>i.m.</w:t>
      </w:r>
      <w:proofErr w:type="spellEnd"/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или </w:t>
      </w:r>
      <w:proofErr w:type="spellStart"/>
      <w:r w:rsidRPr="00DD6719">
        <w:rPr>
          <w:rFonts w:eastAsia="Times New Roman" w:cs="Arial"/>
          <w:color w:val="000000"/>
          <w:lang w:val="en-US"/>
        </w:rPr>
        <w:t>i.v.</w:t>
      </w:r>
      <w:proofErr w:type="spellEnd"/>
      <w:r w:rsidRPr="00DD6719">
        <w:rPr>
          <w:rFonts w:eastAsia="Times New Roman" w:cs="Arial"/>
          <w:color w:val="000000"/>
          <w:lang w:val="en-US"/>
        </w:rPr>
        <w:t xml:space="preserve">), </w:t>
      </w:r>
      <w:r w:rsidRPr="00DD6719">
        <w:rPr>
          <w:rFonts w:eastAsia="Times New Roman" w:cs="Arial"/>
          <w:color w:val="000000"/>
          <w:lang w:eastAsia="bg-BG"/>
        </w:rPr>
        <w:t xml:space="preserve">последвано от перорален прием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под формата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аксетилов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естер за перорално приложение.</w:t>
      </w:r>
    </w:p>
    <w:p w14:paraId="4534E898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BCEACAD" w14:textId="1209A22B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Д</w:t>
      </w: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е</w:t>
      </w: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ц</w:t>
      </w: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а (2-11</w:t>
      </w:r>
      <w:r w:rsidRPr="00DD6719">
        <w:rPr>
          <w:rFonts w:eastAsia="Times New Roman" w:cs="Arial"/>
          <w:color w:val="000000"/>
          <w:u w:val="single"/>
          <w:lang w:eastAsia="bg-BG"/>
        </w:rPr>
        <w:t xml:space="preserve"> годишни): </w:t>
      </w:r>
      <w:r w:rsidRPr="00DD6719">
        <w:rPr>
          <w:rFonts w:eastAsia="Times New Roman" w:cs="Arial"/>
          <w:color w:val="000000"/>
          <w:lang w:eastAsia="bg-BG"/>
        </w:rPr>
        <w:t xml:space="preserve">Повечето инфекции ще отговорят задоволително на дневна доза от 60 </w:t>
      </w:r>
      <w:r w:rsidRPr="00DD6719">
        <w:rPr>
          <w:rFonts w:eastAsia="Times New Roman" w:cs="Arial"/>
          <w:color w:val="000000"/>
          <w:lang w:val="en-US"/>
        </w:rPr>
        <w:t xml:space="preserve">mg/kg </w:t>
      </w:r>
      <w:r w:rsidRPr="00DD6719">
        <w:rPr>
          <w:rFonts w:eastAsia="Times New Roman" w:cs="Arial"/>
          <w:color w:val="000000"/>
          <w:lang w:eastAsia="bg-BG"/>
        </w:rPr>
        <w:t xml:space="preserve">телесно тегло дневно, приложени на всеки 8 или 6 часа. Обичайната дневна доза е от порядъка на 30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 xml:space="preserve">-100 </w:t>
      </w:r>
      <w:r w:rsidRPr="00DD6719">
        <w:rPr>
          <w:rFonts w:eastAsia="Times New Roman" w:cs="Arial"/>
          <w:color w:val="000000"/>
          <w:lang w:val="en-US"/>
        </w:rPr>
        <w:t xml:space="preserve">mg/kg </w:t>
      </w:r>
      <w:r w:rsidRPr="00DD6719">
        <w:rPr>
          <w:rFonts w:eastAsia="Times New Roman" w:cs="Arial"/>
          <w:color w:val="000000"/>
          <w:lang w:eastAsia="bg-BG"/>
        </w:rPr>
        <w:t>телесно тегло на ден.</w:t>
      </w:r>
    </w:p>
    <w:p w14:paraId="2BDD3609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2C35711" w14:textId="5C89C1D0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Деиа</w:t>
      </w:r>
      <w:proofErr w:type="spellEnd"/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 xml:space="preserve"> и кърмачета (28 ден - 23 месен)</w:t>
      </w:r>
      <w:r w:rsidRPr="00DD6719">
        <w:rPr>
          <w:rFonts w:eastAsia="Times New Roman" w:cs="Arial"/>
          <w:i/>
          <w:iCs/>
          <w:color w:val="000000"/>
          <w:lang w:eastAsia="bg-BG"/>
        </w:rPr>
        <w:t>:</w:t>
      </w:r>
      <w:r w:rsidRPr="00DD6719">
        <w:rPr>
          <w:rFonts w:eastAsia="Times New Roman" w:cs="Arial"/>
          <w:color w:val="000000"/>
          <w:lang w:eastAsia="bg-BG"/>
        </w:rPr>
        <w:t xml:space="preserve"> Повечето инфекции ще отговорят задоволително на дневна доза от 60 </w:t>
      </w:r>
      <w:r w:rsidRPr="00DD6719">
        <w:rPr>
          <w:rFonts w:eastAsia="Times New Roman" w:cs="Arial"/>
          <w:color w:val="000000"/>
          <w:lang w:val="en-US"/>
        </w:rPr>
        <w:t xml:space="preserve">mg/kg </w:t>
      </w:r>
      <w:r w:rsidRPr="00DD6719">
        <w:rPr>
          <w:rFonts w:eastAsia="Times New Roman" w:cs="Arial"/>
          <w:color w:val="000000"/>
          <w:lang w:eastAsia="bg-BG"/>
        </w:rPr>
        <w:t xml:space="preserve">телесно тегло дневно, приложени като равно разделени дози на всеки 8 или 6 часа. Обичайната дневна доза е от порядъка на 30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 xml:space="preserve">- 100 </w:t>
      </w:r>
      <w:r w:rsidRPr="00DD6719">
        <w:rPr>
          <w:rFonts w:eastAsia="Times New Roman" w:cs="Arial"/>
          <w:color w:val="000000"/>
          <w:lang w:val="en-US"/>
        </w:rPr>
        <w:t xml:space="preserve">mg/kg </w:t>
      </w:r>
      <w:r w:rsidRPr="00DD6719">
        <w:rPr>
          <w:rFonts w:eastAsia="Times New Roman" w:cs="Arial"/>
          <w:color w:val="000000"/>
          <w:lang w:eastAsia="bg-BG"/>
        </w:rPr>
        <w:t>телесно тегло на ден.</w:t>
      </w:r>
    </w:p>
    <w:p w14:paraId="12C3FA1A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AF00882" w14:textId="606EB934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 xml:space="preserve">Новородени (1-27 ден) или недоносени (&lt; 36 </w:t>
      </w:r>
      <w:proofErr w:type="spellStart"/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гестаиионна</w:t>
      </w:r>
      <w:proofErr w:type="spellEnd"/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 xml:space="preserve"> седмица) новородени</w:t>
      </w:r>
      <w:r w:rsidRPr="00DD6719">
        <w:rPr>
          <w:rFonts w:eastAsia="Times New Roman" w:cs="Arial"/>
          <w:i/>
          <w:iCs/>
          <w:color w:val="000000"/>
          <w:lang w:eastAsia="bg-BG"/>
        </w:rPr>
        <w:t>:</w:t>
      </w:r>
      <w:r w:rsidRPr="00DD6719">
        <w:rPr>
          <w:rFonts w:eastAsia="Times New Roman" w:cs="Arial"/>
          <w:color w:val="000000"/>
          <w:lang w:eastAsia="bg-BG"/>
        </w:rPr>
        <w:t xml:space="preserve"> От 30 до 100 </w:t>
      </w:r>
      <w:r w:rsidRPr="00DD6719">
        <w:rPr>
          <w:rFonts w:eastAsia="Times New Roman" w:cs="Arial"/>
          <w:color w:val="000000"/>
          <w:lang w:val="en-US"/>
        </w:rPr>
        <w:t xml:space="preserve">mg/kg </w:t>
      </w:r>
      <w:r w:rsidRPr="00DD6719">
        <w:rPr>
          <w:rFonts w:eastAsia="Times New Roman" w:cs="Arial"/>
          <w:color w:val="000000"/>
          <w:lang w:eastAsia="bg-BG"/>
        </w:rPr>
        <w:t>дневно като равно разделени дози на всеки 12 или 8 часа (виж “Специални предупреждения и предпазни мерки за употреба").</w:t>
      </w:r>
    </w:p>
    <w:p w14:paraId="0B1EBCC7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5833B31" w14:textId="0002EBDA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Пациенти в напреднала възраст:</w:t>
      </w:r>
      <w:r w:rsidRPr="00DD6719">
        <w:rPr>
          <w:rFonts w:eastAsia="Times New Roman" w:cs="Arial"/>
          <w:color w:val="000000"/>
          <w:u w:val="single"/>
          <w:lang w:eastAsia="bg-BG"/>
        </w:rPr>
        <w:t xml:space="preserve"> Н</w:t>
      </w:r>
      <w:r w:rsidRPr="00DD6719">
        <w:rPr>
          <w:rFonts w:eastAsia="Times New Roman" w:cs="Arial"/>
          <w:color w:val="000000"/>
          <w:lang w:eastAsia="bg-BG"/>
        </w:rPr>
        <w:t>е се изисква промяна на дозата само на база възраст.</w:t>
      </w:r>
    </w:p>
    <w:p w14:paraId="59B14077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682AA14" w14:textId="035E74BE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Чернодробна недостатъчност:</w:t>
      </w:r>
      <w:r w:rsidRPr="00DD6719">
        <w:rPr>
          <w:rFonts w:eastAsia="Times New Roman" w:cs="Arial"/>
          <w:color w:val="000000"/>
          <w:u w:val="single"/>
          <w:lang w:eastAsia="bg-BG"/>
        </w:rPr>
        <w:t xml:space="preserve"> Н</w:t>
      </w:r>
      <w:r w:rsidRPr="00DD6719">
        <w:rPr>
          <w:rFonts w:eastAsia="Times New Roman" w:cs="Arial"/>
          <w:color w:val="000000"/>
          <w:lang w:eastAsia="bg-BG"/>
        </w:rPr>
        <w:t>е се изисква промяна на дозата поради чернодробно увреждане.</w:t>
      </w:r>
    </w:p>
    <w:p w14:paraId="6E901E06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DC3B4F4" w14:textId="169F0BB0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Бъбречна недостатъчност:</w:t>
      </w:r>
      <w:r w:rsidRPr="00DD671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чрез бъбреците и се изисква намаление на дозата при пациенти с нарушена бъбречна функция,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клирънс &lt; 20 </w:t>
      </w:r>
      <w:r w:rsidRPr="00DD6719">
        <w:rPr>
          <w:rFonts w:eastAsia="Times New Roman" w:cs="Arial"/>
          <w:color w:val="000000"/>
          <w:lang w:val="en-US"/>
        </w:rPr>
        <w:t xml:space="preserve">ml/min. </w:t>
      </w:r>
      <w:r w:rsidRPr="00DD6719">
        <w:rPr>
          <w:rFonts w:eastAsia="Times New Roman" w:cs="Arial"/>
          <w:color w:val="000000"/>
          <w:lang w:eastAsia="bg-BG"/>
        </w:rPr>
        <w:t>Препоръчват се следните дози:</w:t>
      </w:r>
    </w:p>
    <w:p w14:paraId="1643613B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801DFDE" w14:textId="50562EBF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i/>
          <w:iCs/>
          <w:color w:val="000000"/>
          <w:lang w:eastAsia="bg-BG"/>
        </w:rPr>
        <w:t>Креатининов</w:t>
      </w:r>
      <w:proofErr w:type="spellEnd"/>
      <w:r w:rsidRPr="00DD6719">
        <w:rPr>
          <w:rFonts w:eastAsia="Times New Roman" w:cs="Arial"/>
          <w:i/>
          <w:iCs/>
          <w:color w:val="000000"/>
          <w:lang w:eastAsia="bg-BG"/>
        </w:rPr>
        <w:t xml:space="preserve"> клирънс 10-20 </w:t>
      </w:r>
      <w:r w:rsidRPr="00DD6719">
        <w:rPr>
          <w:rFonts w:eastAsia="Times New Roman" w:cs="Arial"/>
          <w:i/>
          <w:iCs/>
          <w:color w:val="000000"/>
          <w:lang w:val="en-US"/>
        </w:rPr>
        <w:t>ml/min:</w:t>
      </w:r>
      <w:r>
        <w:rPr>
          <w:rFonts w:eastAsia="Times New Roman" w:cs="Arial"/>
          <w:color w:val="000000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750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>на всеки 12 часа</w:t>
      </w:r>
    </w:p>
    <w:p w14:paraId="4AF5F86D" w14:textId="6A98BD0B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i/>
          <w:iCs/>
          <w:color w:val="000000"/>
          <w:lang w:eastAsia="bg-BG"/>
        </w:rPr>
        <w:lastRenderedPageBreak/>
        <w:t>Креатининов</w:t>
      </w:r>
      <w:proofErr w:type="spellEnd"/>
      <w:r w:rsidRPr="00DD6719">
        <w:rPr>
          <w:rFonts w:eastAsia="Times New Roman" w:cs="Arial"/>
          <w:i/>
          <w:iCs/>
          <w:color w:val="000000"/>
          <w:lang w:eastAsia="bg-BG"/>
        </w:rPr>
        <w:t xml:space="preserve"> клирънс &lt; 10 </w:t>
      </w:r>
      <w:r w:rsidRPr="00DD6719">
        <w:rPr>
          <w:rFonts w:eastAsia="Times New Roman" w:cs="Arial"/>
          <w:i/>
          <w:iCs/>
          <w:color w:val="000000"/>
          <w:lang w:val="en-US"/>
        </w:rPr>
        <w:t>ml/min:</w:t>
      </w:r>
      <w:r w:rsidRPr="00DD6719">
        <w:rPr>
          <w:rFonts w:eastAsia="Times New Roman" w:cs="Arial"/>
          <w:color w:val="000000"/>
          <w:lang w:val="en-US"/>
        </w:rPr>
        <w:tab/>
      </w:r>
      <w:r>
        <w:rPr>
          <w:rFonts w:eastAsia="Times New Roman" w:cs="Arial"/>
          <w:color w:val="000000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750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>на всеки 24 часа</w:t>
      </w:r>
    </w:p>
    <w:p w14:paraId="140881A6" w14:textId="77777777" w:rsid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65674EF" w14:textId="11D42E7F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lang w:eastAsia="bg-BG"/>
        </w:rPr>
        <w:t>Хемодиализа: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750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>на всеки 24 часа и допълнително по</w:t>
      </w:r>
      <w:r>
        <w:rPr>
          <w:rFonts w:eastAsia="Times New Roman" w:cs="Arial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750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>след всяка диализа</w:t>
      </w:r>
    </w:p>
    <w:p w14:paraId="2A8A2C59" w14:textId="77777777" w:rsid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DD0DBEC" w14:textId="685BF31A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lang w:eastAsia="bg-BG"/>
        </w:rPr>
        <w:t>Продължителна перитонеална диализа:</w:t>
      </w:r>
      <w:r w:rsidRPr="00DD6719">
        <w:rPr>
          <w:rFonts w:eastAsia="Times New Roman" w:cs="Arial"/>
          <w:color w:val="000000"/>
          <w:lang w:eastAsia="bg-BG"/>
        </w:rPr>
        <w:tab/>
        <w:t xml:space="preserve">750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>на всеки 12 часа</w:t>
      </w:r>
    </w:p>
    <w:p w14:paraId="15DDE2A9" w14:textId="77777777" w:rsid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8DF8914" w14:textId="3E69B53D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lang w:eastAsia="bg-BG"/>
        </w:rPr>
        <w:t>Пациенти с бъбречна недостатъчност при</w:t>
      </w:r>
      <w:r w:rsidRPr="00DD6719">
        <w:rPr>
          <w:rFonts w:eastAsia="Times New Roman" w:cs="Arial"/>
          <w:color w:val="000000"/>
          <w:lang w:eastAsia="bg-BG"/>
        </w:rPr>
        <w:t xml:space="preserve"> </w:t>
      </w:r>
      <w:r w:rsidRPr="00DD6719">
        <w:rPr>
          <w:rFonts w:eastAsia="Times New Roman" w:cs="Arial"/>
          <w:i/>
          <w:iCs/>
          <w:color w:val="000000"/>
          <w:lang w:eastAsia="bg-BG"/>
        </w:rPr>
        <w:t>продължителна</w:t>
      </w:r>
      <w:r w:rsidRPr="00DD6719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DD6719">
        <w:rPr>
          <w:rFonts w:eastAsia="Times New Roman" w:cs="Arial"/>
          <w:i/>
          <w:iCs/>
          <w:color w:val="000000"/>
          <w:lang w:eastAsia="bg-BG"/>
        </w:rPr>
        <w:t>артериовенозна</w:t>
      </w:r>
      <w:proofErr w:type="spellEnd"/>
      <w:r>
        <w:rPr>
          <w:rFonts w:eastAsia="Times New Roman" w:cs="Arial"/>
        </w:rPr>
        <w:t xml:space="preserve"> </w:t>
      </w:r>
      <w:r w:rsidRPr="00DD6719">
        <w:rPr>
          <w:rFonts w:eastAsia="Times New Roman" w:cs="Arial"/>
          <w:i/>
          <w:iCs/>
          <w:color w:val="000000"/>
          <w:lang w:eastAsia="bg-BG"/>
        </w:rPr>
        <w:t>хемодиализа или хемофилтрация с висок поток:</w:t>
      </w:r>
      <w:r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DD6719">
        <w:rPr>
          <w:rFonts w:eastAsia="Times New Roman" w:cs="Arial"/>
          <w:i/>
          <w:iCs/>
          <w:color w:val="000000"/>
          <w:lang w:eastAsia="bg-BG"/>
        </w:rPr>
        <w:t xml:space="preserve">750 </w:t>
      </w:r>
      <w:r w:rsidRPr="00DD6719">
        <w:rPr>
          <w:rFonts w:eastAsia="Times New Roman" w:cs="Arial"/>
          <w:i/>
          <w:iCs/>
          <w:color w:val="000000"/>
          <w:lang w:val="en-US" w:eastAsia="bg-BG"/>
        </w:rPr>
        <w:t xml:space="preserve">mg </w:t>
      </w:r>
      <w:r w:rsidRPr="00DD6719">
        <w:rPr>
          <w:rFonts w:eastAsia="Times New Roman" w:cs="Arial"/>
          <w:i/>
          <w:iCs/>
          <w:color w:val="000000"/>
          <w:lang w:eastAsia="bg-BG"/>
        </w:rPr>
        <w:t>на всеки 12 часа</w:t>
      </w:r>
    </w:p>
    <w:p w14:paraId="58736415" w14:textId="77777777" w:rsid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29A68AF" w14:textId="684C76B8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lang w:eastAsia="bg-BG"/>
        </w:rPr>
        <w:t>Хемофилтрация с нисък поток:</w:t>
      </w:r>
      <w:r w:rsidRPr="00DD6719">
        <w:rPr>
          <w:rFonts w:eastAsia="Times New Roman" w:cs="Arial"/>
          <w:color w:val="000000"/>
          <w:lang w:eastAsia="bg-BG"/>
        </w:rPr>
        <w:tab/>
        <w:t xml:space="preserve">750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>на всеки 24 часа</w:t>
      </w:r>
    </w:p>
    <w:p w14:paraId="136D20A3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AEBFB0" w14:textId="258343D7" w:rsid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D6719">
        <w:rPr>
          <w:rFonts w:eastAsia="Times New Roman" w:cs="Arial"/>
          <w:color w:val="000000"/>
          <w:lang w:eastAsia="bg-BG"/>
        </w:rPr>
        <w:t xml:space="preserve">Освен това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може да се смеси с разтвора за перитонеална диализа (около 250</w:t>
      </w:r>
      <w:r w:rsidRPr="00DD6719">
        <w:rPr>
          <w:rFonts w:eastAsia="Times New Roman" w:cs="Arial"/>
          <w:color w:val="000000"/>
          <w:lang w:val="en-US"/>
        </w:rPr>
        <w:t>mg</w:t>
      </w:r>
      <w:r w:rsidRPr="00DD6719">
        <w:rPr>
          <w:rFonts w:eastAsia="Times New Roman" w:cs="Arial"/>
          <w:color w:val="000000"/>
          <w:lang w:eastAsia="bg-BG"/>
        </w:rPr>
        <w:t xml:space="preserve"> на 21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диализен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разтвор).</w:t>
      </w:r>
    </w:p>
    <w:p w14:paraId="37CE5D55" w14:textId="02DF51A3" w:rsid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68330C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Специфични препоръки за дозиране:</w:t>
      </w:r>
    </w:p>
    <w:p w14:paraId="1CCC05E8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57B17FE" w14:textId="000D6443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Гонорея:</w:t>
      </w:r>
      <w:r w:rsidRPr="00DD6719">
        <w:rPr>
          <w:rFonts w:eastAsia="Times New Roman" w:cs="Arial"/>
          <w:color w:val="000000"/>
          <w:lang w:eastAsia="bg-BG"/>
        </w:rPr>
        <w:t xml:space="preserve"> Единична доза от 1,5 </w:t>
      </w:r>
      <w:r w:rsidRPr="00DD6719">
        <w:rPr>
          <w:rFonts w:eastAsia="Times New Roman" w:cs="Arial"/>
          <w:color w:val="000000"/>
          <w:lang w:val="en-US"/>
        </w:rPr>
        <w:t xml:space="preserve">g </w:t>
      </w:r>
      <w:r w:rsidRPr="00DD6719">
        <w:rPr>
          <w:rFonts w:eastAsia="Times New Roman" w:cs="Arial"/>
          <w:color w:val="000000"/>
          <w:lang w:eastAsia="bg-BG"/>
        </w:rPr>
        <w:t xml:space="preserve">като интрамускулна инжекция. За свеждане до минимум на болката от инжекцията се препоръчва дозата да се приложи като две инжекции с по 750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>в различни места, например в двата хълбока.</w:t>
      </w:r>
    </w:p>
    <w:p w14:paraId="1BDCC8BB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E5453CC" w14:textId="07D1EF7A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Менингит</w:t>
      </w:r>
      <w:r w:rsidRPr="00DD6719">
        <w:rPr>
          <w:rFonts w:eastAsia="Times New Roman" w:cs="Arial"/>
          <w:i/>
          <w:iCs/>
          <w:color w:val="000000"/>
          <w:lang w:eastAsia="bg-BG"/>
        </w:rPr>
        <w:t>:</w:t>
      </w:r>
      <w:r w:rsidRPr="00DD671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може да се използва за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 бактериален менингит, причинен от чувствителни микроорганизми.</w:t>
      </w:r>
    </w:p>
    <w:p w14:paraId="341FA1DC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Възрастни: 3 </w:t>
      </w:r>
      <w:r w:rsidRPr="00DD6719">
        <w:rPr>
          <w:rFonts w:eastAsia="Times New Roman" w:cs="Arial"/>
          <w:color w:val="000000"/>
          <w:lang w:val="en-US"/>
        </w:rPr>
        <w:t xml:space="preserve">g </w:t>
      </w:r>
      <w:r w:rsidRPr="00DD6719">
        <w:rPr>
          <w:rFonts w:eastAsia="Times New Roman" w:cs="Arial"/>
          <w:color w:val="000000"/>
          <w:lang w:eastAsia="bg-BG"/>
        </w:rPr>
        <w:t>интравенозно на всеки 8 часа.</w:t>
      </w:r>
    </w:p>
    <w:p w14:paraId="3C914C5D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Кърмачета и деца: 150 до 250 </w:t>
      </w:r>
      <w:r w:rsidRPr="00DD6719">
        <w:rPr>
          <w:rFonts w:eastAsia="Times New Roman" w:cs="Arial"/>
          <w:color w:val="000000"/>
          <w:lang w:val="en-US"/>
        </w:rPr>
        <w:t xml:space="preserve">mg/kg/24 </w:t>
      </w:r>
      <w:r w:rsidRPr="00DD6719">
        <w:rPr>
          <w:rFonts w:eastAsia="Times New Roman" w:cs="Arial"/>
          <w:color w:val="000000"/>
          <w:lang w:eastAsia="bg-BG"/>
        </w:rPr>
        <w:t>часа интравенозно, приложени в три или четири разделени дози.</w:t>
      </w:r>
    </w:p>
    <w:p w14:paraId="2D2B64A7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Новородени: 100 </w:t>
      </w:r>
      <w:r w:rsidRPr="00DD6719">
        <w:rPr>
          <w:rFonts w:eastAsia="Times New Roman" w:cs="Arial"/>
          <w:color w:val="000000"/>
          <w:lang w:val="en-US"/>
        </w:rPr>
        <w:t xml:space="preserve">mg/kg/24 </w:t>
      </w:r>
      <w:r w:rsidRPr="00DD6719">
        <w:rPr>
          <w:rFonts w:eastAsia="Times New Roman" w:cs="Arial"/>
          <w:color w:val="000000"/>
          <w:lang w:eastAsia="bg-BG"/>
        </w:rPr>
        <w:t>часа интравенозно.</w:t>
      </w:r>
    </w:p>
    <w:p w14:paraId="1E42E82E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4C11E7A" w14:textId="70A5A8A0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u w:val="single"/>
          <w:lang w:eastAsia="bg-BG"/>
        </w:rPr>
        <w:t>Профилактика</w:t>
      </w:r>
      <w:r w:rsidRPr="00DD6719">
        <w:rPr>
          <w:rFonts w:eastAsia="Times New Roman" w:cs="Arial"/>
          <w:i/>
          <w:iCs/>
          <w:color w:val="000000"/>
          <w:lang w:eastAsia="bg-BG"/>
        </w:rPr>
        <w:t>:</w:t>
      </w:r>
    </w:p>
    <w:p w14:paraId="2FBB16EC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Обичайната доза е 1,5 </w:t>
      </w:r>
      <w:r w:rsidRPr="00DD6719">
        <w:rPr>
          <w:rFonts w:eastAsia="Times New Roman" w:cs="Arial"/>
          <w:color w:val="000000"/>
          <w:lang w:val="en-US"/>
        </w:rPr>
        <w:t xml:space="preserve">g </w:t>
      </w:r>
      <w:r w:rsidRPr="00DD6719">
        <w:rPr>
          <w:rFonts w:eastAsia="Times New Roman" w:cs="Arial"/>
          <w:color w:val="000000"/>
          <w:lang w:eastAsia="bg-BG"/>
        </w:rPr>
        <w:t xml:space="preserve">интравенозно при въвеждане в анестезия за коремни, тазови и ортопедични операции, като може да бъде допълнена с две инжекции от 750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 xml:space="preserve">интрамускулно 8 и 16 часа по-късно. При сърдечни, белодробни,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езофагеални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и съдови операции обичайната доза е 1,5 </w:t>
      </w:r>
      <w:r w:rsidRPr="00DD6719">
        <w:rPr>
          <w:rFonts w:eastAsia="Times New Roman" w:cs="Arial"/>
          <w:color w:val="000000"/>
          <w:lang w:val="en-US"/>
        </w:rPr>
        <w:t xml:space="preserve">g </w:t>
      </w:r>
      <w:r w:rsidRPr="00DD6719">
        <w:rPr>
          <w:rFonts w:eastAsia="Times New Roman" w:cs="Arial"/>
          <w:color w:val="000000"/>
          <w:lang w:eastAsia="bg-BG"/>
        </w:rPr>
        <w:t xml:space="preserve">интравенозно при въвеждане в анестезия, продължена със 750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r w:rsidRPr="00DD6719">
        <w:rPr>
          <w:rFonts w:eastAsia="Times New Roman" w:cs="Arial"/>
          <w:color w:val="000000"/>
          <w:lang w:eastAsia="bg-BG"/>
        </w:rPr>
        <w:t>интрамускулно 3 пъти дневно за още 24-48 часа.</w:t>
      </w:r>
    </w:p>
    <w:p w14:paraId="1BFA6948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6B2517" w14:textId="4F94D69F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При пълно ставно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протезиране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, 1,5 </w:t>
      </w:r>
      <w:r w:rsidRPr="00DD6719">
        <w:rPr>
          <w:rFonts w:eastAsia="Times New Roman" w:cs="Arial"/>
          <w:color w:val="000000"/>
          <w:lang w:val="en-US"/>
        </w:rPr>
        <w:t xml:space="preserve">g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прах за инжекционен разтвор, може да се смесят, както са сухи с всяка опаковка метил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метакрилатен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циментов полимер, преди прибавяне на течен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мономер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65ECFC38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7AB687" w14:textId="7353839C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Тежестта на инфекцията и клиничния статус на пациента определят продължителността на лечението, което трябва да бъде удължено за 24-48 часа след като пациента стане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асимптомен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афебрилен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12B92459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Обикновено е ефективен като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, но когато е необходимо и клинично оправдано, може да бъде прилаган в комбинация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аминогликозиди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55929463" w14:textId="77777777" w:rsidR="00DD6719" w:rsidRPr="00DD6719" w:rsidRDefault="00DD6719" w:rsidP="00DD67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63B432DC" w14:textId="417F8EB5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b/>
          <w:bCs/>
          <w:color w:val="000000"/>
          <w:lang w:eastAsia="bg-BG"/>
        </w:rPr>
        <w:t>Преминаване от парентерална към перорална терапия:</w:t>
      </w:r>
      <w:bookmarkEnd w:id="1"/>
    </w:p>
    <w:p w14:paraId="06608FF6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101B89" w14:textId="29503DD3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Пневмония:</w:t>
      </w:r>
    </w:p>
    <w:p w14:paraId="3CD0977C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FD02AD" w14:textId="538BFF5E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натрий 1,5 </w:t>
      </w:r>
      <w:r w:rsidRPr="00DD6719">
        <w:rPr>
          <w:rFonts w:eastAsia="Times New Roman" w:cs="Arial"/>
          <w:color w:val="000000"/>
          <w:lang w:val="en-US"/>
        </w:rPr>
        <w:t xml:space="preserve">g </w:t>
      </w:r>
      <w:r w:rsidRPr="00DD6719">
        <w:rPr>
          <w:rFonts w:eastAsia="Times New Roman" w:cs="Arial"/>
          <w:color w:val="000000"/>
          <w:lang w:eastAsia="bg-BG"/>
        </w:rPr>
        <w:t xml:space="preserve">три пъти дневно </w:t>
      </w:r>
      <w:r w:rsidRPr="00DD6719">
        <w:rPr>
          <w:rFonts w:eastAsia="Times New Roman" w:cs="Arial"/>
          <w:color w:val="000000"/>
          <w:lang w:val="en-US"/>
        </w:rPr>
        <w:t>(</w:t>
      </w:r>
      <w:proofErr w:type="spellStart"/>
      <w:r w:rsidRPr="00DD6719">
        <w:rPr>
          <w:rFonts w:eastAsia="Times New Roman" w:cs="Arial"/>
          <w:color w:val="000000"/>
          <w:lang w:val="en-US"/>
        </w:rPr>
        <w:t>i.v.</w:t>
      </w:r>
      <w:proofErr w:type="spellEnd"/>
      <w:r w:rsidRPr="00DD6719">
        <w:rPr>
          <w:rFonts w:eastAsia="Times New Roman" w:cs="Arial"/>
          <w:color w:val="000000"/>
          <w:lang w:val="en-US"/>
        </w:rPr>
        <w:t xml:space="preserve">), </w:t>
      </w:r>
      <w:r w:rsidRPr="00DD6719">
        <w:rPr>
          <w:rFonts w:eastAsia="Times New Roman" w:cs="Arial"/>
          <w:color w:val="000000"/>
          <w:lang w:eastAsia="bg-BG"/>
        </w:rPr>
        <w:t xml:space="preserve">за 48 до 72 часа, последвано от перорален прием на 500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под формата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аксетилов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естер за перорално приложение, два пъти дневно за 7-10 дни.</w:t>
      </w:r>
    </w:p>
    <w:p w14:paraId="4C6B82F6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5C919E" w14:textId="17A913DB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Тежки обостряния на хроничен бронхит:</w:t>
      </w:r>
    </w:p>
    <w:p w14:paraId="730EBE57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4B7FD4" w14:textId="6EF09D06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750 </w:t>
      </w:r>
      <w:r w:rsidRPr="00DD6719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натрий три пъти дневно </w:t>
      </w:r>
      <w:r w:rsidRPr="00DD6719">
        <w:rPr>
          <w:rFonts w:eastAsia="Times New Roman" w:cs="Arial"/>
          <w:color w:val="000000"/>
          <w:lang w:val="en-US"/>
        </w:rPr>
        <w:t>(</w:t>
      </w:r>
      <w:proofErr w:type="spellStart"/>
      <w:r w:rsidRPr="00DD6719">
        <w:rPr>
          <w:rFonts w:eastAsia="Times New Roman" w:cs="Arial"/>
          <w:color w:val="000000"/>
          <w:lang w:val="en-US"/>
        </w:rPr>
        <w:t>i.v.</w:t>
      </w:r>
      <w:proofErr w:type="spellEnd"/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или </w:t>
      </w:r>
      <w:proofErr w:type="spellStart"/>
      <w:r w:rsidRPr="00DD6719">
        <w:rPr>
          <w:rFonts w:eastAsia="Times New Roman" w:cs="Arial"/>
          <w:color w:val="000000"/>
          <w:lang w:val="en-US"/>
        </w:rPr>
        <w:t>i.m.</w:t>
      </w:r>
      <w:proofErr w:type="spellEnd"/>
      <w:r w:rsidRPr="00DD6719">
        <w:rPr>
          <w:rFonts w:eastAsia="Times New Roman" w:cs="Arial"/>
          <w:color w:val="000000"/>
          <w:lang w:val="en-US"/>
        </w:rPr>
        <w:t xml:space="preserve">) </w:t>
      </w:r>
      <w:r w:rsidRPr="00DD6719">
        <w:rPr>
          <w:rFonts w:eastAsia="Times New Roman" w:cs="Arial"/>
          <w:color w:val="000000"/>
          <w:lang w:eastAsia="bg-BG"/>
        </w:rPr>
        <w:t xml:space="preserve">за 48 до 72 часа, последвани от перорален прием на 500 </w:t>
      </w:r>
      <w:r w:rsidRPr="00DD6719">
        <w:rPr>
          <w:rFonts w:eastAsia="Times New Roman" w:cs="Arial"/>
          <w:color w:val="000000"/>
          <w:lang w:val="en-US"/>
        </w:rPr>
        <w:t xml:space="preserve">g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под формата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аксетилов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естер за перорално приложение, два пъти дневно за 5-10 дни.</w:t>
      </w:r>
    </w:p>
    <w:p w14:paraId="1E7DD03A" w14:textId="77777777" w:rsidR="000D10BC" w:rsidRPr="000D10BC" w:rsidRDefault="000D10BC" w:rsidP="000D10BC"/>
    <w:p w14:paraId="1A261012" w14:textId="712C4624" w:rsidR="003765DC" w:rsidRDefault="002C50EE" w:rsidP="002B3C38">
      <w:pPr>
        <w:pStyle w:val="Heading2"/>
      </w:pPr>
      <w:r>
        <w:t>4.3. Противопоказания</w:t>
      </w:r>
    </w:p>
    <w:p w14:paraId="4A8BC425" w14:textId="1FC4EA5D" w:rsidR="00DD6719" w:rsidRDefault="00DD6719" w:rsidP="00DD6719"/>
    <w:p w14:paraId="089513DA" w14:textId="77777777" w:rsidR="00DD6719" w:rsidRPr="00DD6719" w:rsidRDefault="00DD6719" w:rsidP="00DD6719">
      <w:pPr>
        <w:rPr>
          <w:sz w:val="24"/>
          <w:szCs w:val="24"/>
        </w:rPr>
      </w:pPr>
      <w:r w:rsidRPr="00DD6719">
        <w:rPr>
          <w:lang w:eastAsia="bg-BG"/>
        </w:rPr>
        <w:t xml:space="preserve">Свръхчувствителност активното вещество или към някое от помощните вещества, или към антибиотици от </w:t>
      </w:r>
      <w:proofErr w:type="spellStart"/>
      <w:r w:rsidRPr="00DD6719">
        <w:rPr>
          <w:lang w:eastAsia="bg-BG"/>
        </w:rPr>
        <w:t>цефалоспориновата</w:t>
      </w:r>
      <w:proofErr w:type="spellEnd"/>
      <w:r w:rsidRPr="00DD6719">
        <w:rPr>
          <w:lang w:eastAsia="bg-BG"/>
        </w:rPr>
        <w:t xml:space="preserve"> група.</w:t>
      </w:r>
    </w:p>
    <w:p w14:paraId="605FBCF0" w14:textId="77777777" w:rsidR="00DD6719" w:rsidRPr="00DD6719" w:rsidRDefault="00DD6719" w:rsidP="00DD6719"/>
    <w:p w14:paraId="5EF6E7D6" w14:textId="5A27472B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7F71F298" w14:textId="77777777" w:rsid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B96C973" w14:textId="5657C01D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lang w:eastAsia="bg-BG"/>
        </w:rPr>
        <w:t>Предупреждения:</w:t>
      </w:r>
    </w:p>
    <w:p w14:paraId="428E9F4E" w14:textId="77777777" w:rsidR="00DD6719" w:rsidRPr="00DD6719" w:rsidRDefault="00DD6719" w:rsidP="00DD6719">
      <w:pPr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Въпреки, че обикновено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цефалоспориновите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антибиотици могат да се прилагат безопасно при пациенти, свръхчувствителни към пеницилини, се съобщава за кръстосани реакции на</w:t>
      </w:r>
      <w:r w:rsidRPr="00DD6719">
        <w:rPr>
          <w:rFonts w:eastAsia="Times New Roman" w:cs="Arial"/>
          <w:color w:val="000000"/>
          <w:lang w:eastAsia="bg-BG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свръхчувствителност. Пациентите с анамнеза за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анафилактична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реакция към пеницилини се нуждаят от специални грижи.</w:t>
      </w:r>
    </w:p>
    <w:p w14:paraId="74825663" w14:textId="47D062D0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Високи дози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цефалоспорини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трябва да се прилагат внимателно едновременно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аминогликозиди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бримкови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като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DD6719">
        <w:rPr>
          <w:rFonts w:eastAsia="Times New Roman" w:cs="Arial"/>
          <w:color w:val="000000"/>
          <w:lang w:eastAsia="bg-BG"/>
        </w:rPr>
        <w:t>, тъй като тези комбинации се смята, че могат засегнат неблагоприятно бъбречната функция. При тези пациенти, при пациенти в напреднала възраст и при пациенти с бъбречно увреждане трябва да се проследява състоянието на бъбречната функция.</w:t>
      </w:r>
    </w:p>
    <w:p w14:paraId="0A0047D5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739191D" w14:textId="7393D932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lang w:eastAsia="bg-BG"/>
        </w:rPr>
        <w:t>Предпазни мерки:</w:t>
      </w:r>
    </w:p>
    <w:p w14:paraId="74853ED4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При новородени на термина или недоносени, серумният живот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може да бъде удължен три до пет пъти в сравнение с този при възрастни.</w:t>
      </w:r>
    </w:p>
    <w:p w14:paraId="36C84E4A" w14:textId="479924B1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предимно през бъбреците и се изисква редукция на дозата при пациенти с бъбречна недостатъчност.</w:t>
      </w:r>
    </w:p>
    <w:p w14:paraId="554EB596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704FB7" w14:textId="4D0BB5EA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В много редки случаи, при лечение на менингит при деца,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натрий, както и при други терапевтични схеми, се описва слаба до по-силна загуба на слуха. Описва се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персистиране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 положителните </w:t>
      </w:r>
      <w:r w:rsidRPr="00DD6719">
        <w:rPr>
          <w:rFonts w:eastAsia="Times New Roman" w:cs="Arial"/>
          <w:color w:val="000000"/>
          <w:lang w:val="en-US"/>
        </w:rPr>
        <w:t xml:space="preserve">CSF </w:t>
      </w:r>
      <w:r w:rsidRPr="00DD6719">
        <w:rPr>
          <w:rFonts w:eastAsia="Times New Roman" w:cs="Arial"/>
          <w:color w:val="000000"/>
          <w:lang w:eastAsia="bg-BG"/>
        </w:rPr>
        <w:t xml:space="preserve">култури за </w:t>
      </w:r>
      <w:proofErr w:type="spellStart"/>
      <w:r w:rsidRPr="00DD6719">
        <w:rPr>
          <w:rFonts w:eastAsia="Times New Roman" w:cs="Arial"/>
          <w:color w:val="000000"/>
          <w:lang w:val="en-US"/>
        </w:rPr>
        <w:t>Haemophilus</w:t>
      </w:r>
      <w:proofErr w:type="spellEnd"/>
      <w:r w:rsidRPr="00DD6719">
        <w:rPr>
          <w:rFonts w:eastAsia="Times New Roman" w:cs="Arial"/>
          <w:color w:val="000000"/>
          <w:lang w:val="en-US"/>
        </w:rPr>
        <w:t xml:space="preserve"> influenzae </w:t>
      </w:r>
      <w:r w:rsidRPr="00DD6719">
        <w:rPr>
          <w:rFonts w:eastAsia="Times New Roman" w:cs="Arial"/>
          <w:color w:val="000000"/>
          <w:lang w:eastAsia="bg-BG"/>
        </w:rPr>
        <w:t xml:space="preserve">на 18 и 36 часа след инжектиране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натрий, като това се наблюдава също и при други антибиотични комбинации. Не е установено клиничното значение на тези данни.</w:t>
      </w:r>
    </w:p>
    <w:p w14:paraId="46BFF44B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AEE95D" w14:textId="4AC01A5B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Тежестта на инфекцията, клиничното състояние на пациента и чувствителността на микроорганизма определят кога да се премине от парентерална към перорална терапия. При липса на клинични данни за подобрение за период от 72 часа, трябва да се продължи с парентерално въвеждане на продукта.</w:t>
      </w:r>
    </w:p>
    <w:p w14:paraId="41EA0B4B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3B4C03" w14:textId="0587B2FB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color w:val="000000"/>
          <w:lang w:eastAsia="bg-BG"/>
        </w:rPr>
        <w:t>Цефалоспорините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може да се свържат с намаляване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протромбиновата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активност. Рискови са пациентите с бъбречна или чернодробна недостатъчност, с недохранване, както и пациентите на продължителна антибактериална терапия и тези които преди това са стабилизирани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антикоагулантна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терапия. При рискови пациенти трябва да се проследява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протромбиновото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време и ако е показано да се прилага витамин К.</w:t>
      </w:r>
    </w:p>
    <w:p w14:paraId="38EA62EB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DFBD8C" w14:textId="6B6265DB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lastRenderedPageBreak/>
        <w:t xml:space="preserve">При пациенти с ограничен прием на натрий, трябва да се отбележи, че еквивалент на </w:t>
      </w:r>
      <w:r w:rsidRPr="00DD6719">
        <w:rPr>
          <w:rFonts w:eastAsia="Times New Roman" w:cs="Arial"/>
          <w:color w:val="000000"/>
          <w:lang w:val="en-US"/>
        </w:rPr>
        <w:t xml:space="preserve">1g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съдържа приблизително 2,2 </w:t>
      </w:r>
      <w:r w:rsidRPr="00DD6719">
        <w:rPr>
          <w:rFonts w:eastAsia="Times New Roman" w:cs="Arial"/>
          <w:color w:val="000000"/>
          <w:lang w:val="en-US"/>
        </w:rPr>
        <w:t xml:space="preserve">mmol </w:t>
      </w:r>
      <w:r w:rsidRPr="00DD6719">
        <w:rPr>
          <w:rFonts w:eastAsia="Times New Roman" w:cs="Arial"/>
          <w:color w:val="000000"/>
          <w:lang w:eastAsia="bg-BG"/>
        </w:rPr>
        <w:t>натрий.</w:t>
      </w:r>
    </w:p>
    <w:p w14:paraId="035EEACD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776F04" w14:textId="28ACAC68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Може да се наблюдава абсорбция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цефалоспорините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към повърхността на клетъчната мембрана на червените кръвни клетки, с реакция на антитела срещу лекарствения продукт. Това може да доведе до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позитивиране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 теста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Кумбс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и много рядко до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хемолитична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анемия. Възможно е за тази реакция да се наблюдава кръстосана реактивност с пеницилини.</w:t>
      </w:r>
    </w:p>
    <w:p w14:paraId="0D3AED42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EAA70C" w14:textId="0907D9CB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Пациентите, развили диария могат да имат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псевдомембранозен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колит, който е съобщаван при всички широкоспектърни антибиотици. Тежестта може да е в границите от умерена до животозастрашаваща. Спирането на лекарствения продукт е обичайно задоволително за умерените случаи, по-тежките случаи изискват съответни мерки. За да се потвърди </w:t>
      </w:r>
      <w:r w:rsidRPr="00DD6719">
        <w:rPr>
          <w:rFonts w:eastAsia="Times New Roman" w:cs="Arial"/>
          <w:i/>
          <w:iCs/>
          <w:color w:val="000000"/>
          <w:lang w:val="en-US"/>
        </w:rPr>
        <w:t>Clostridium difficile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>трябва да се използват диагностични средства и да се включи подходяща антибиотична терапия (</w:t>
      </w:r>
      <w:proofErr w:type="spellStart"/>
      <w:r w:rsidRPr="00DD6719">
        <w:rPr>
          <w:rFonts w:eastAsia="Times New Roman" w:cs="Arial"/>
          <w:color w:val="000000"/>
          <w:lang w:eastAsia="bg-BG"/>
        </w:rPr>
        <w:t>ванкомицин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). Не трябва да се прилагат продукти, които могат да причинят фекална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стаза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605DC97E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1752D9" w14:textId="1C07553D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При пациенти с анамнеза за стомашно-чревни заболявалия, особено колит, широкоспектърните антибиотици трябва да се употребяват с внимание.</w:t>
      </w:r>
    </w:p>
    <w:p w14:paraId="3FBBA074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0C4FBD" w14:textId="77777777" w:rsidR="00DD6719" w:rsidRPr="00DD6719" w:rsidRDefault="00DD6719" w:rsidP="00DD6719">
      <w:pPr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Продължителната употреба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може да доведе до свръхрастеж на нечувствителни микроорганизми, в случай на такава суперинфекция, трябва да се вземат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>подходящи мерки. По време на продължително лечение, пациентите трябва да бъдат проследявани с внимание за белези на суперинфекция.</w:t>
      </w:r>
    </w:p>
    <w:p w14:paraId="314ECCCD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5BE92A" w14:textId="66890341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color w:val="000000"/>
          <w:u w:val="single"/>
          <w:lang w:eastAsia="bg-BG"/>
        </w:rPr>
        <w:t>Интракамерно</w:t>
      </w:r>
      <w:proofErr w:type="spellEnd"/>
      <w:r w:rsidRPr="00DD6719">
        <w:rPr>
          <w:rFonts w:eastAsia="Times New Roman" w:cs="Arial"/>
          <w:color w:val="000000"/>
          <w:u w:val="single"/>
          <w:lang w:eastAsia="bg-BG"/>
        </w:rPr>
        <w:t xml:space="preserve"> приложение и нарушение на очите</w:t>
      </w:r>
    </w:p>
    <w:p w14:paraId="36D2205B" w14:textId="3B09BAA6" w:rsidR="00DD6719" w:rsidRPr="00DD6719" w:rsidRDefault="00DD6719" w:rsidP="00DD67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19">
        <w:rPr>
          <w:rFonts w:eastAsia="Times New Roman" w:cs="Arial"/>
          <w:color w:val="000000"/>
          <w:lang w:eastAsia="bg-BG"/>
        </w:rPr>
        <w:t xml:space="preserve">Съставът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Аксетин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не е предназначен за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интракамерно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приложение. Сериозни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офталмологични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нежелани реакции са съобщавани като отделни случаи или в група след неодобрено в показанието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интракамерно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приложение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натрий в състав във флакони, одобрен за интравенозно/ интрамускулно приложение. Тези реакции включват оток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макулата</w:t>
      </w:r>
      <w:proofErr w:type="spellEnd"/>
      <w:r w:rsidRPr="00DD6719">
        <w:rPr>
          <w:rFonts w:eastAsia="Times New Roman" w:cs="Arial"/>
          <w:color w:val="000000"/>
          <w:lang w:eastAsia="bg-BG"/>
        </w:rPr>
        <w:t>, оток на ретината, отлепване на ретината, токсичност за ретината, зрително увреждане, намалена зрителна острота, замъглено зрение, помътняване на роговицата и оток на роговицата.</w:t>
      </w:r>
    </w:p>
    <w:p w14:paraId="2FE22692" w14:textId="36300E83" w:rsidR="00DD6719" w:rsidRPr="00DD6719" w:rsidRDefault="00DD6719" w:rsidP="00DD6719"/>
    <w:p w14:paraId="297352C8" w14:textId="5BF07F81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2D0CDA31" w14:textId="77777777" w:rsid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5FD970F" w14:textId="07965378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lang w:eastAsia="bg-BG"/>
        </w:rPr>
        <w:t>С други лекарствени продукти:</w:t>
      </w:r>
    </w:p>
    <w:p w14:paraId="3DAC107C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C98F303" w14:textId="25F4DC16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i/>
          <w:iCs/>
          <w:color w:val="000000"/>
          <w:lang w:eastAsia="bg-BG"/>
        </w:rPr>
        <w:t>Аминогликозидни</w:t>
      </w:r>
      <w:proofErr w:type="spellEnd"/>
      <w:r w:rsidRPr="00DD6719">
        <w:rPr>
          <w:rFonts w:eastAsia="Times New Roman" w:cs="Arial"/>
          <w:i/>
          <w:iCs/>
          <w:color w:val="000000"/>
          <w:lang w:eastAsia="bg-BG"/>
        </w:rPr>
        <w:t xml:space="preserve"> антибиотици:</w:t>
      </w:r>
      <w:r w:rsidRPr="00DD6719">
        <w:rPr>
          <w:rFonts w:eastAsia="Times New Roman" w:cs="Arial"/>
          <w:color w:val="000000"/>
          <w:lang w:eastAsia="bg-BG"/>
        </w:rPr>
        <w:t xml:space="preserve"> при съвместна употреба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трябва внимание, особено при високи дози, поради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потенцииране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 нефротоксичността. Клиничният опит показва, че е малко вероятно да се появи проблем в препоръчителните дози.</w:t>
      </w:r>
    </w:p>
    <w:p w14:paraId="7D183D4E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F54508C" w14:textId="7F806E66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DD6719">
        <w:rPr>
          <w:rFonts w:eastAsia="Times New Roman" w:cs="Arial"/>
          <w:i/>
          <w:iCs/>
          <w:color w:val="000000"/>
          <w:lang w:eastAsia="bg-BG"/>
        </w:rPr>
        <w:t>Фуроземид</w:t>
      </w:r>
      <w:proofErr w:type="spellEnd"/>
      <w:r w:rsidRPr="00DD6719">
        <w:rPr>
          <w:rFonts w:eastAsia="Times New Roman" w:cs="Arial"/>
          <w:i/>
          <w:iCs/>
          <w:color w:val="000000"/>
          <w:lang w:eastAsia="bg-BG"/>
        </w:rPr>
        <w:t xml:space="preserve"> (и други </w:t>
      </w:r>
      <w:proofErr w:type="spellStart"/>
      <w:r w:rsidRPr="00DD6719">
        <w:rPr>
          <w:rFonts w:eastAsia="Times New Roman" w:cs="Arial"/>
          <w:i/>
          <w:iCs/>
          <w:color w:val="000000"/>
          <w:lang w:eastAsia="bg-BG"/>
        </w:rPr>
        <w:t>бримкови</w:t>
      </w:r>
      <w:proofErr w:type="spellEnd"/>
      <w:r w:rsidRPr="00DD6719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DD6719">
        <w:rPr>
          <w:rFonts w:eastAsia="Times New Roman" w:cs="Arial"/>
          <w:i/>
          <w:iCs/>
          <w:color w:val="000000"/>
          <w:lang w:eastAsia="bg-BG"/>
        </w:rPr>
        <w:t>диуретици</w:t>
      </w:r>
      <w:proofErr w:type="spellEnd"/>
      <w:r w:rsidRPr="00DD6719">
        <w:rPr>
          <w:rFonts w:eastAsia="Times New Roman" w:cs="Arial"/>
          <w:i/>
          <w:iCs/>
          <w:color w:val="000000"/>
          <w:lang w:eastAsia="bg-BG"/>
        </w:rPr>
        <w:t>):</w:t>
      </w:r>
      <w:r w:rsidRPr="00DD6719">
        <w:rPr>
          <w:rFonts w:eastAsia="Times New Roman" w:cs="Arial"/>
          <w:color w:val="000000"/>
          <w:lang w:eastAsia="bg-BG"/>
        </w:rPr>
        <w:t xml:space="preserve"> при съвместна употреба трябва внимание, тъй като може да се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потенциира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нефротоксичността, особено при високи дози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. </w:t>
      </w:r>
    </w:p>
    <w:p w14:paraId="12AFAEC2" w14:textId="30A2C7ED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Клиничният опит показва, че е малко вероятно да се появи проблем в препоръчителните дози.</w:t>
      </w:r>
    </w:p>
    <w:p w14:paraId="38308188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8CFF4E8" w14:textId="6C4BEF84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i/>
          <w:iCs/>
          <w:color w:val="000000"/>
          <w:lang w:eastAsia="bg-BG"/>
        </w:rPr>
        <w:lastRenderedPageBreak/>
        <w:t>Пробенецид</w:t>
      </w:r>
      <w:proofErr w:type="spellEnd"/>
      <w:r w:rsidRPr="00DD6719">
        <w:rPr>
          <w:rFonts w:eastAsia="Times New Roman" w:cs="Arial"/>
          <w:i/>
          <w:iCs/>
          <w:color w:val="000000"/>
          <w:lang w:eastAsia="bg-BG"/>
        </w:rPr>
        <w:t>:</w:t>
      </w:r>
      <w:r w:rsidRPr="00DD6719">
        <w:rPr>
          <w:rFonts w:eastAsia="Times New Roman" w:cs="Arial"/>
          <w:color w:val="000000"/>
          <w:lang w:eastAsia="bg-BG"/>
        </w:rPr>
        <w:t xml:space="preserve"> при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съвмесно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приложение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Пробенецид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, екскрецията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се забавя, което води до повишени максимални серумни нива.</w:t>
      </w:r>
    </w:p>
    <w:p w14:paraId="2DD8AC04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CF35D78" w14:textId="2467669F" w:rsidR="00DD6719" w:rsidRPr="00DD6719" w:rsidRDefault="00DD6719" w:rsidP="00DD6719">
      <w:pPr>
        <w:spacing w:line="240" w:lineRule="auto"/>
        <w:rPr>
          <w:rFonts w:eastAsia="Times New Roman" w:cs="Arial"/>
          <w:b/>
          <w:bCs/>
        </w:rPr>
      </w:pPr>
      <w:r w:rsidRPr="00DD6719">
        <w:rPr>
          <w:rFonts w:eastAsia="Times New Roman" w:cs="Arial"/>
          <w:b/>
          <w:bCs/>
          <w:i/>
          <w:iCs/>
          <w:color w:val="000000"/>
          <w:lang w:eastAsia="bg-BG"/>
        </w:rPr>
        <w:t>Лабораторни тестове :</w:t>
      </w:r>
    </w:p>
    <w:p w14:paraId="7697460D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F55A1BA" w14:textId="758B2855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lang w:eastAsia="bg-BG"/>
        </w:rPr>
        <w:t>Определяне на кръвна/ серумна глюкоза:</w:t>
      </w:r>
      <w:r w:rsidRPr="00DD6719">
        <w:rPr>
          <w:rFonts w:eastAsia="Times New Roman" w:cs="Arial"/>
          <w:color w:val="000000"/>
          <w:lang w:eastAsia="bg-BG"/>
        </w:rPr>
        <w:t xml:space="preserve"> Използването на мед-редукционните тестове (на Бенедикт,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Фелинг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) може да доведе до леко отклонение, но не до фалшиво положителни резултати, характерни за някои други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цефалоспорини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. Препоръчва се да се използват ензимни тестове за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глюкозурия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DD6719">
        <w:rPr>
          <w:rFonts w:eastAsia="Times New Roman" w:cs="Arial"/>
          <w:color w:val="000000"/>
          <w:lang w:eastAsia="bg-BG"/>
        </w:rPr>
        <w:t>глюкозооксидазен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хексокиназен</w:t>
      </w:r>
      <w:proofErr w:type="spellEnd"/>
      <w:r w:rsidRPr="00DD6719">
        <w:rPr>
          <w:rFonts w:eastAsia="Times New Roman" w:cs="Arial"/>
          <w:color w:val="000000"/>
          <w:lang w:eastAsia="bg-BG"/>
        </w:rPr>
        <w:t>).</w:t>
      </w:r>
    </w:p>
    <w:p w14:paraId="1140946F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32A544F" w14:textId="59F1185D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i/>
          <w:iCs/>
          <w:color w:val="000000"/>
          <w:lang w:eastAsia="bg-BG"/>
        </w:rPr>
        <w:t xml:space="preserve">Определяне на </w:t>
      </w:r>
      <w:proofErr w:type="spellStart"/>
      <w:r w:rsidRPr="00DD6719">
        <w:rPr>
          <w:rFonts w:eastAsia="Times New Roman" w:cs="Arial"/>
          <w:i/>
          <w:iCs/>
          <w:color w:val="000000"/>
          <w:lang w:eastAsia="bg-BG"/>
        </w:rPr>
        <w:t>креатинин</w:t>
      </w:r>
      <w:proofErr w:type="spellEnd"/>
      <w:r w:rsidRPr="00DD6719">
        <w:rPr>
          <w:rFonts w:eastAsia="Times New Roman" w:cs="Arial"/>
          <w:i/>
          <w:iCs/>
          <w:color w:val="000000"/>
          <w:lang w:eastAsia="bg-BG"/>
        </w:rPr>
        <w:t>:</w:t>
      </w:r>
      <w:r w:rsidRPr="00DD671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не повлиява резултатите от определянето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креатинин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измерван чрез алкалния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пикратен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метод.</w:t>
      </w:r>
    </w:p>
    <w:p w14:paraId="34585034" w14:textId="77777777" w:rsidR="00DD6719" w:rsidRPr="00DD6719" w:rsidRDefault="00DD6719" w:rsidP="00DD6719"/>
    <w:p w14:paraId="20B09708" w14:textId="611B5B19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AA302D6" w14:textId="77777777" w:rsidR="00DD6719" w:rsidRDefault="00DD6719" w:rsidP="00DD671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4F5055D" w14:textId="697362D2" w:rsidR="00DD6719" w:rsidRPr="00DD6719" w:rsidRDefault="00DD6719" w:rsidP="00DD6719">
      <w:pPr>
        <w:pStyle w:val="Heading3"/>
        <w:rPr>
          <w:rFonts w:eastAsia="Times New Roman"/>
          <w:u w:val="single"/>
        </w:rPr>
      </w:pPr>
      <w:r w:rsidRPr="00DD6719">
        <w:rPr>
          <w:rFonts w:eastAsia="Times New Roman"/>
          <w:u w:val="single"/>
          <w:lang w:eastAsia="bg-BG"/>
        </w:rPr>
        <w:t>Бременност</w:t>
      </w:r>
    </w:p>
    <w:p w14:paraId="06DB8832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При опити с животни не са установени някакви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ембриотоксични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или тератогенни ефекти, но все пак такива проучвания не винаги са показателни за поведението при човека. Няма адекватни и добре контролирани проучвания при хора, и има недостатъчни доказателства за безопасността или липсата на безопасност при хора. Ако се предприеме употребата по време на бременност, трябва да се прави с внимание и само след внимателна оценка на възможната полза за майката срещу непознатия потенциален риск за плода.</w:t>
      </w:r>
    </w:p>
    <w:p w14:paraId="5A44F68C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F049D9D" w14:textId="4FCF2ED8" w:rsidR="00DD6719" w:rsidRPr="00DD6719" w:rsidRDefault="00DD6719" w:rsidP="00DD6719">
      <w:pPr>
        <w:pStyle w:val="Heading3"/>
        <w:rPr>
          <w:rFonts w:eastAsia="Times New Roman"/>
          <w:u w:val="single"/>
        </w:rPr>
      </w:pPr>
      <w:r w:rsidRPr="00DD6719">
        <w:rPr>
          <w:rFonts w:eastAsia="Times New Roman"/>
          <w:u w:val="single"/>
          <w:lang w:eastAsia="bg-BG"/>
        </w:rPr>
        <w:t>Кърмене</w:t>
      </w:r>
    </w:p>
    <w:p w14:paraId="7182AAFE" w14:textId="23A45684" w:rsidR="00DD6719" w:rsidRDefault="00DD6719" w:rsidP="00DD6719">
      <w:pPr>
        <w:rPr>
          <w:rFonts w:eastAsia="Times New Roman" w:cs="Arial"/>
          <w:color w:val="000000"/>
          <w:lang w:eastAsia="bg-BG"/>
        </w:rPr>
      </w:pP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в кърмата. Препоръчително е кърменето да бъде преустановено по време на лечение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7297DEAA" w14:textId="77777777" w:rsidR="00DD6719" w:rsidRPr="00DD6719" w:rsidRDefault="00DD6719" w:rsidP="00DD6719">
      <w:pPr>
        <w:rPr>
          <w:rFonts w:cs="Arial"/>
        </w:rPr>
      </w:pPr>
    </w:p>
    <w:p w14:paraId="13465597" w14:textId="2AB0787A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68A0EDF9" w14:textId="77777777" w:rsidR="00DD6719" w:rsidRDefault="00DD6719" w:rsidP="00DD6719">
      <w:pPr>
        <w:rPr>
          <w:lang w:eastAsia="bg-BG"/>
        </w:rPr>
      </w:pPr>
    </w:p>
    <w:p w14:paraId="140F2252" w14:textId="4746225C" w:rsidR="00DD6719" w:rsidRPr="00DD6719" w:rsidRDefault="00DD6719" w:rsidP="00DD6719">
      <w:pPr>
        <w:rPr>
          <w:sz w:val="24"/>
          <w:szCs w:val="24"/>
        </w:rPr>
      </w:pPr>
      <w:r w:rsidRPr="00DD6719">
        <w:rPr>
          <w:lang w:eastAsia="bg-BG"/>
        </w:rPr>
        <w:t xml:space="preserve">Не е установено влияние на </w:t>
      </w:r>
      <w:proofErr w:type="spellStart"/>
      <w:r w:rsidRPr="00DD6719">
        <w:rPr>
          <w:lang w:eastAsia="bg-BG"/>
        </w:rPr>
        <w:t>цефуроксим</w:t>
      </w:r>
      <w:proofErr w:type="spellEnd"/>
      <w:r w:rsidRPr="00DD6719">
        <w:rPr>
          <w:lang w:eastAsia="bg-BG"/>
        </w:rPr>
        <w:t xml:space="preserve"> върху способността за шофиране и работа с машини.</w:t>
      </w:r>
    </w:p>
    <w:p w14:paraId="4F0AA4A8" w14:textId="77777777" w:rsidR="00DD6719" w:rsidRPr="00DD6719" w:rsidRDefault="00DD6719" w:rsidP="00DD6719"/>
    <w:p w14:paraId="5D66F04B" w14:textId="00D65F66" w:rsidR="003765DC" w:rsidRDefault="002C50EE" w:rsidP="002B3C38">
      <w:pPr>
        <w:pStyle w:val="Heading2"/>
      </w:pPr>
      <w:r>
        <w:t>4.8. Нежелани лекарствени реакции</w:t>
      </w:r>
    </w:p>
    <w:p w14:paraId="74D428E6" w14:textId="77777777" w:rsid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D743DE" w14:textId="008E7968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Нежеланите лекарствени реакции по време на лечение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са много редки (&lt; 1/10 000), и обикновено леки и бързопреходни.</w:t>
      </w:r>
    </w:p>
    <w:p w14:paraId="3B4A5178" w14:textId="77777777" w:rsid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539DA7" w14:textId="0A320083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Използвана е следната класификация за честота:</w:t>
      </w:r>
    </w:p>
    <w:p w14:paraId="37D3C8D7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Много чести: </w:t>
      </w:r>
      <w:r w:rsidRPr="00DD6719">
        <w:rPr>
          <w:rFonts w:eastAsia="Times New Roman" w:cs="Arial"/>
          <w:color w:val="000000"/>
          <w:lang w:val="en-US"/>
        </w:rPr>
        <w:t>≥</w:t>
      </w:r>
      <w:r w:rsidRPr="00DD6719">
        <w:rPr>
          <w:rFonts w:eastAsia="Times New Roman" w:cs="Arial"/>
          <w:color w:val="000000"/>
          <w:lang w:eastAsia="bg-BG"/>
        </w:rPr>
        <w:t xml:space="preserve"> 1/10</w:t>
      </w:r>
    </w:p>
    <w:p w14:paraId="52CCAA49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Чести: </w:t>
      </w:r>
      <w:r w:rsidRPr="00DD6719">
        <w:rPr>
          <w:rFonts w:eastAsia="Times New Roman" w:cs="Arial"/>
          <w:color w:val="000000"/>
          <w:lang w:val="en-US"/>
        </w:rPr>
        <w:t>≥</w:t>
      </w:r>
      <w:r w:rsidRPr="00DD6719">
        <w:rPr>
          <w:rFonts w:eastAsia="Times New Roman" w:cs="Arial"/>
          <w:color w:val="000000"/>
          <w:lang w:eastAsia="bg-BG"/>
        </w:rPr>
        <w:t xml:space="preserve"> 1/100 и &lt;1/10</w:t>
      </w:r>
    </w:p>
    <w:p w14:paraId="10AD859E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Нечести: </w:t>
      </w:r>
      <w:r w:rsidRPr="00DD6719">
        <w:rPr>
          <w:rFonts w:eastAsia="Times New Roman" w:cs="Arial"/>
          <w:color w:val="000000"/>
          <w:lang w:val="en-US"/>
        </w:rPr>
        <w:t>≥</w:t>
      </w:r>
      <w:r w:rsidRPr="00DD6719">
        <w:rPr>
          <w:rFonts w:eastAsia="Times New Roman" w:cs="Arial"/>
          <w:color w:val="000000"/>
          <w:lang w:eastAsia="bg-BG"/>
        </w:rPr>
        <w:t xml:space="preserve"> 1/1000 и &lt;1/100</w:t>
      </w:r>
    </w:p>
    <w:p w14:paraId="6BEBC2BB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Редки: </w:t>
      </w:r>
      <w:r w:rsidRPr="00DD6719">
        <w:rPr>
          <w:rFonts w:eastAsia="Times New Roman" w:cs="Arial"/>
          <w:color w:val="000000"/>
          <w:lang w:val="en-US"/>
        </w:rPr>
        <w:t>≥</w:t>
      </w:r>
      <w:r w:rsidRPr="00DD6719">
        <w:rPr>
          <w:rFonts w:eastAsia="Times New Roman" w:cs="Arial"/>
          <w:color w:val="000000"/>
          <w:lang w:eastAsia="bg-BG"/>
        </w:rPr>
        <w:t xml:space="preserve"> 1/10 000 и &lt;1/1 000</w:t>
      </w:r>
    </w:p>
    <w:p w14:paraId="4E9A72F3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Много редки: &lt;1/10 000.</w:t>
      </w:r>
    </w:p>
    <w:p w14:paraId="15818315" w14:textId="77777777" w:rsidR="00DD6719" w:rsidRPr="00DD6719" w:rsidRDefault="00DD6719" w:rsidP="00DD67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638A73A" w14:textId="7DFE07E3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b/>
          <w:bCs/>
          <w:color w:val="000000"/>
          <w:lang w:eastAsia="bg-BG"/>
        </w:rPr>
        <w:t xml:space="preserve">Инфекции и </w:t>
      </w:r>
      <w:proofErr w:type="spellStart"/>
      <w:r w:rsidRPr="00DD6719">
        <w:rPr>
          <w:rFonts w:eastAsia="Times New Roman" w:cs="Arial"/>
          <w:b/>
          <w:bCs/>
          <w:color w:val="000000"/>
          <w:lang w:eastAsia="bg-BG"/>
        </w:rPr>
        <w:t>инфестацин</w:t>
      </w:r>
      <w:proofErr w:type="spellEnd"/>
      <w:r w:rsidRPr="00DD6719">
        <w:rPr>
          <w:rFonts w:eastAsia="Times New Roman" w:cs="Arial"/>
          <w:b/>
          <w:bCs/>
          <w:color w:val="000000"/>
          <w:lang w:eastAsia="bg-BG"/>
        </w:rPr>
        <w:t>:</w:t>
      </w:r>
    </w:p>
    <w:p w14:paraId="16741279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Редки: свръхрастеж на </w:t>
      </w:r>
      <w:r w:rsidRPr="00DD6719">
        <w:rPr>
          <w:rFonts w:eastAsia="Times New Roman" w:cs="Arial"/>
          <w:i/>
          <w:iCs/>
          <w:color w:val="000000"/>
          <w:lang w:val="en-US"/>
        </w:rPr>
        <w:t>Candida,</w:t>
      </w:r>
    </w:p>
    <w:p w14:paraId="7B54C45C" w14:textId="77777777" w:rsidR="00DD6719" w:rsidRPr="00DD6719" w:rsidRDefault="00DD6719" w:rsidP="00DD67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7DF55A7C" w14:textId="165CA5E3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b/>
          <w:bCs/>
          <w:color w:val="000000"/>
          <w:lang w:eastAsia="bg-BG"/>
        </w:rPr>
        <w:lastRenderedPageBreak/>
        <w:t>Нарушения на кръвта и лимфната система:</w:t>
      </w:r>
      <w:bookmarkEnd w:id="2"/>
    </w:p>
    <w:p w14:paraId="489D3F88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Чести: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еозинофилия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539B213E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Нечести: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, намалена концентрация на хемоглобин, позитивен тест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Кумбс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01572364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Редки: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06F55AF8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Много редки: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хемолитична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анемия.</w:t>
      </w:r>
    </w:p>
    <w:p w14:paraId="0C00D0F3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DAF92F2" w14:textId="32308F93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color w:val="000000"/>
          <w:lang w:eastAsia="bg-BG"/>
        </w:rPr>
        <w:t>Цефалоспорините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са група лекарства, които могат да се фиксират към мембраната на еритроцитите и да реагират с антитела, насочени към продукта. По този начин тези лекарства могат да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позитивират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теста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Кумбс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(могат да повлияят на кръстосаната проба за съвместимост при кръвопреливане) и много рядко да причинят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хемолитична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анемия.</w:t>
      </w:r>
    </w:p>
    <w:p w14:paraId="71C874AA" w14:textId="77777777" w:rsidR="00DD6719" w:rsidRPr="00DD6719" w:rsidRDefault="00DD6719" w:rsidP="00DD67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23A50B65" w14:textId="5FEF1368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b/>
          <w:bCs/>
          <w:color w:val="000000"/>
          <w:lang w:eastAsia="bg-BG"/>
        </w:rPr>
        <w:t>Нарушения на имунната система:</w:t>
      </w:r>
      <w:bookmarkEnd w:id="3"/>
    </w:p>
    <w:p w14:paraId="0DB2E9BD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Реакции на свръхчувствителност:</w:t>
      </w:r>
    </w:p>
    <w:p w14:paraId="23BDB0CC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Нечести: кожен обрив, уртикария и сърбеж.</w:t>
      </w:r>
    </w:p>
    <w:p w14:paraId="3F34359F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Редки: повишена температура.</w:t>
      </w:r>
    </w:p>
    <w:p w14:paraId="50F9FD19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Много редки: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интерстициален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нефрит, анафилаксия, кожен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васкулит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613240DC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16F92A2" w14:textId="14963314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Вижте също „Нарушения на кожата и подкожната тъкан” и „Нарушения на бъбреците и пикочните пътища”.</w:t>
      </w:r>
    </w:p>
    <w:p w14:paraId="4FE74F4C" w14:textId="77777777" w:rsidR="00DD6719" w:rsidRPr="00DD6719" w:rsidRDefault="00DD6719" w:rsidP="00DD67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50590F91" w14:textId="4D2CEF5B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b/>
          <w:bCs/>
          <w:color w:val="000000"/>
          <w:lang w:eastAsia="bg-BG"/>
        </w:rPr>
        <w:t>Стомашно-чревни нарушения:</w:t>
      </w:r>
      <w:bookmarkEnd w:id="4"/>
    </w:p>
    <w:p w14:paraId="03B708CB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Нечести: стомашно-чревни смущения.</w:t>
      </w:r>
    </w:p>
    <w:p w14:paraId="1FD9026E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Много редки: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псевдомембранозен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колит.</w:t>
      </w:r>
    </w:p>
    <w:p w14:paraId="7CCCA208" w14:textId="77777777" w:rsidR="00DD6719" w:rsidRPr="00DD6719" w:rsidRDefault="00DD6719" w:rsidP="00DD67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5" w:name="bookmark8"/>
    </w:p>
    <w:p w14:paraId="633EEFA7" w14:textId="77651B13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b/>
          <w:bCs/>
          <w:color w:val="000000"/>
          <w:lang w:eastAsia="bg-BG"/>
        </w:rPr>
        <w:t>Хепато-билнарни</w:t>
      </w:r>
      <w:proofErr w:type="spellEnd"/>
      <w:r w:rsidRPr="00DD6719">
        <w:rPr>
          <w:rFonts w:eastAsia="Times New Roman" w:cs="Arial"/>
          <w:b/>
          <w:bCs/>
          <w:color w:val="000000"/>
          <w:lang w:eastAsia="bg-BG"/>
        </w:rPr>
        <w:t xml:space="preserve"> нарушения:</w:t>
      </w:r>
      <w:bookmarkEnd w:id="5"/>
    </w:p>
    <w:p w14:paraId="007CD4A1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Чести: преходно покачване на чернодробните ензими.</w:t>
      </w:r>
    </w:p>
    <w:p w14:paraId="4FF5DABC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Нечести: преходно покачване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билирубина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7983B7BE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D54B9F" w14:textId="5171101B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Преходното покачване на чернодробните ензими или серумния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билирубин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настъпва предимно при пациенти със съществуващо вече чернодробно заболяване, но няма доказателства за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хепатотоксично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действие на продукта.</w:t>
      </w:r>
    </w:p>
    <w:p w14:paraId="06FB7285" w14:textId="77777777" w:rsidR="00DD6719" w:rsidRPr="00DD6719" w:rsidRDefault="00DD6719" w:rsidP="00DD67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6" w:name="bookmark10"/>
    </w:p>
    <w:p w14:paraId="02C2D23B" w14:textId="0A7A0AC2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b/>
          <w:bCs/>
          <w:color w:val="000000"/>
          <w:lang w:eastAsia="bg-BG"/>
        </w:rPr>
        <w:t>Нарушения на кожата и подкожната тъкан:</w:t>
      </w:r>
      <w:bookmarkEnd w:id="6"/>
    </w:p>
    <w:p w14:paraId="0707CF25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Много редки: еритема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мултиформе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, токсична епидермална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некролиза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и синдром на Стивънс-Джонсън.</w:t>
      </w:r>
    </w:p>
    <w:p w14:paraId="3B167BC9" w14:textId="2D24450F" w:rsidR="00DD6719" w:rsidRDefault="00DD6719" w:rsidP="00DD6719">
      <w:pPr>
        <w:rPr>
          <w:rFonts w:eastAsia="Times New Roman" w:cs="Arial"/>
          <w:color w:val="000000"/>
          <w:lang w:eastAsia="bg-BG"/>
        </w:rPr>
      </w:pPr>
      <w:r w:rsidRPr="00DD6719">
        <w:rPr>
          <w:rFonts w:eastAsia="Times New Roman" w:cs="Arial"/>
          <w:color w:val="000000"/>
          <w:lang w:eastAsia="bg-BG"/>
        </w:rPr>
        <w:t>Вижте също „Нарушения на имунната система”.</w:t>
      </w:r>
    </w:p>
    <w:p w14:paraId="637A0978" w14:textId="5BCA2333" w:rsidR="00DD6719" w:rsidRDefault="00DD6719" w:rsidP="00DD6719">
      <w:pPr>
        <w:rPr>
          <w:rFonts w:eastAsia="Times New Roman" w:cs="Arial"/>
          <w:color w:val="000000"/>
          <w:lang w:eastAsia="bg-BG"/>
        </w:rPr>
      </w:pPr>
    </w:p>
    <w:p w14:paraId="2AFBF5F0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b/>
          <w:bCs/>
          <w:color w:val="000000"/>
          <w:lang w:eastAsia="bg-BG"/>
        </w:rPr>
        <w:t>Нарушения на бъбреците и пикочните пътища:</w:t>
      </w:r>
    </w:p>
    <w:p w14:paraId="1F16C6F1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Много редки: покачване на серумния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креатинин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, покачване на уреята в кръвта и понижаване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клирънс (виж 4.4.).</w:t>
      </w:r>
    </w:p>
    <w:p w14:paraId="47DABB5B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Вижте също „Нарушения на имунната система”.</w:t>
      </w:r>
    </w:p>
    <w:p w14:paraId="49572412" w14:textId="77777777" w:rsidR="00DD6719" w:rsidRPr="00DD6719" w:rsidRDefault="00DD6719" w:rsidP="00DD67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D52678E" w14:textId="145CDB56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b/>
          <w:bCs/>
          <w:color w:val="000000"/>
          <w:lang w:eastAsia="bg-BG"/>
        </w:rPr>
        <w:t>Общи нарушения и ефекти на мястото на приложение:</w:t>
      </w:r>
    </w:p>
    <w:p w14:paraId="4D5B6FBA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Чести: реакции на мястото на приложение, което може да включва болка и тромбофлебит.</w:t>
      </w:r>
    </w:p>
    <w:p w14:paraId="0454E8C1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DA14CD" w14:textId="2F0F985D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Болката на мястото на приложение на интрамускулна инжекция е по-честа при по-високи дози. Все пак това не трябва да бъде причина за прекъсване на лечението.</w:t>
      </w:r>
    </w:p>
    <w:p w14:paraId="74B536DD" w14:textId="77777777" w:rsidR="00DD6719" w:rsidRPr="00DD6719" w:rsidRDefault="00DD6719" w:rsidP="00DD6719">
      <w:pPr>
        <w:rPr>
          <w:rFonts w:cs="Arial"/>
        </w:rPr>
      </w:pPr>
    </w:p>
    <w:p w14:paraId="42DF9851" w14:textId="2BDADC1A" w:rsidR="003765DC" w:rsidRDefault="002C50EE" w:rsidP="002B3C38">
      <w:pPr>
        <w:pStyle w:val="Heading2"/>
      </w:pPr>
      <w:r>
        <w:lastRenderedPageBreak/>
        <w:t>4.9. Предозиране</w:t>
      </w:r>
    </w:p>
    <w:p w14:paraId="0137C1D0" w14:textId="77777777" w:rsid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7B7B781" w14:textId="4A0371F6" w:rsidR="00DD6719" w:rsidRPr="00DD6719" w:rsidRDefault="00DD6719" w:rsidP="00DD6719">
      <w:pPr>
        <w:pStyle w:val="Heading3"/>
        <w:rPr>
          <w:rFonts w:eastAsia="Times New Roman"/>
          <w:i/>
          <w:iCs/>
        </w:rPr>
      </w:pPr>
      <w:r w:rsidRPr="00DD6719">
        <w:rPr>
          <w:rFonts w:eastAsia="Times New Roman"/>
          <w:i/>
          <w:iCs/>
          <w:lang w:eastAsia="bg-BG"/>
        </w:rPr>
        <w:t>Симптоми:</w:t>
      </w:r>
    </w:p>
    <w:p w14:paraId="6E07B11E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Предозирането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цефалоспорини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може да се предизвика дразнене на ЦНС и гърчове.</w:t>
      </w:r>
    </w:p>
    <w:p w14:paraId="78D6FA12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822C343" w14:textId="0ECA1010" w:rsidR="00DD6719" w:rsidRPr="00DD6719" w:rsidRDefault="00DD6719" w:rsidP="00DD6719">
      <w:pPr>
        <w:pStyle w:val="Heading3"/>
        <w:rPr>
          <w:rFonts w:eastAsia="Times New Roman"/>
          <w:i/>
          <w:iCs/>
        </w:rPr>
      </w:pPr>
      <w:r w:rsidRPr="00DD6719">
        <w:rPr>
          <w:rFonts w:eastAsia="Times New Roman"/>
          <w:i/>
          <w:iCs/>
          <w:lang w:eastAsia="bg-BG"/>
        </w:rPr>
        <w:t>Лечение:</w:t>
      </w:r>
    </w:p>
    <w:p w14:paraId="28A9A274" w14:textId="77777777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 xml:space="preserve">Няма специфичен антидот за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. При проява на гърчове, лечението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трябва да се прекрати. Лечението трябва да е симптоматично и поддържащо, трябва да се приложи съответно антиконвулсивно лечение за гърчовете и пациента да се проследява от близо. Хемодиализата или перитонеална диализа е ефективна за понижението на серумните нива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063A8A05" w14:textId="77777777" w:rsidR="00DD6719" w:rsidRPr="00DD6719" w:rsidRDefault="00DD6719" w:rsidP="00DD6719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5312FB10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58D0285A" w14:textId="77777777" w:rsid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4D3208" w14:textId="3BAC373E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група: втора генерация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цефалоспорини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; АТС код: </w:t>
      </w:r>
      <w:r w:rsidRPr="00DD6719">
        <w:rPr>
          <w:rFonts w:eastAsia="Times New Roman" w:cs="Arial"/>
          <w:color w:val="000000"/>
          <w:lang w:val="en-US"/>
        </w:rPr>
        <w:t>J01DC02</w:t>
      </w:r>
    </w:p>
    <w:p w14:paraId="7AEAA0AD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852763" w14:textId="158A6FAB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е бактерициден,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цефалоспоринов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антибиотик, който е устойчив на повечето бактериални р-</w:t>
      </w:r>
      <w:proofErr w:type="spellStart"/>
      <w:r w:rsidRPr="00DD6719">
        <w:rPr>
          <w:rFonts w:eastAsia="Times New Roman" w:cs="Arial"/>
          <w:color w:val="000000"/>
          <w:lang w:eastAsia="bg-BG"/>
        </w:rPr>
        <w:t>лактамази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и е активен срещу широк спектър Грам-положителни и Грам- отрицателни бактерии, включително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ампицилин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-резистентни или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амксицилин</w:t>
      </w:r>
      <w:proofErr w:type="spellEnd"/>
      <w:r w:rsidRPr="00DD6719">
        <w:rPr>
          <w:rFonts w:eastAsia="Times New Roman" w:cs="Arial"/>
          <w:color w:val="000000"/>
          <w:lang w:eastAsia="bg-BG"/>
        </w:rPr>
        <w:t>-резистентни щамове.</w:t>
      </w:r>
    </w:p>
    <w:p w14:paraId="3B44C992" w14:textId="76D4FF7D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инхибира синтезата на бактериалната клетъчната стена на активно делящите се клетки чрез свързване към един или повече пеницилин свързващи протеини. Тези протеини се свързват с бактериалната клетъчна мембрана и играят роля в синтеза на клетъчната стена. Резултатът е дефектна клетъчна стена, която е осмотично нестабилна. Хипотеза е, че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цефалоспорините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намаляват наличността на инхибитор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муреин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хидролизата, ензим ангажиран в деленето на клетките. Ако не е инхибиран, ензимът може да разруши интегритета на клетъчната стена с резултат лезия на бактериалната клетка.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натрий е устойчив на повечето </w:t>
      </w:r>
      <w:r w:rsidRPr="00DD6719">
        <w:rPr>
          <w:rFonts w:eastAsia="Times New Roman" w:cs="Arial"/>
          <w:color w:val="000000"/>
          <w:lang w:val="en-US"/>
        </w:rPr>
        <w:t>β</w:t>
      </w:r>
      <w:r w:rsidRPr="00DD6719">
        <w:rPr>
          <w:rFonts w:eastAsia="Times New Roman" w:cs="Arial"/>
          <w:color w:val="000000"/>
          <w:lang w:eastAsia="bg-BG"/>
        </w:rPr>
        <w:t>-</w:t>
      </w:r>
      <w:proofErr w:type="spellStart"/>
      <w:r w:rsidRPr="00DD6719">
        <w:rPr>
          <w:rFonts w:eastAsia="Times New Roman" w:cs="Arial"/>
          <w:color w:val="000000"/>
          <w:lang w:eastAsia="bg-BG"/>
        </w:rPr>
        <w:t>лактамази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5E72D7FD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F5C040" w14:textId="3DDCE610" w:rsidR="00DD6719" w:rsidRPr="00DD6719" w:rsidRDefault="00DD6719" w:rsidP="00DD6719">
      <w:pPr>
        <w:spacing w:line="240" w:lineRule="auto"/>
        <w:rPr>
          <w:rFonts w:eastAsia="Times New Roman" w:cs="Arial"/>
        </w:rPr>
      </w:pPr>
      <w:r w:rsidRPr="00DD6719">
        <w:rPr>
          <w:rFonts w:eastAsia="Times New Roman" w:cs="Arial"/>
          <w:color w:val="000000"/>
          <w:lang w:eastAsia="bg-BG"/>
        </w:rPr>
        <w:t>Микробиология:</w:t>
      </w:r>
    </w:p>
    <w:p w14:paraId="6F0F6D31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DD4BC3" w14:textId="0E97C28E" w:rsidR="00DD6719" w:rsidRPr="00DD6719" w:rsidRDefault="00DD6719" w:rsidP="00DD6719">
      <w:pPr>
        <w:spacing w:line="240" w:lineRule="auto"/>
        <w:rPr>
          <w:rFonts w:eastAsia="Times New Roman" w:cs="Arial"/>
        </w:rPr>
      </w:pP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е активен </w:t>
      </w:r>
      <w:r w:rsidRPr="00DD6719">
        <w:rPr>
          <w:rFonts w:eastAsia="Times New Roman" w:cs="Arial"/>
          <w:i/>
          <w:iCs/>
          <w:color w:val="000000"/>
          <w:lang w:val="en-US"/>
        </w:rPr>
        <w:t>in vitro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>срещу следните микроорганизми:</w:t>
      </w:r>
    </w:p>
    <w:p w14:paraId="157397EB" w14:textId="77777777" w:rsidR="00DD6719" w:rsidRPr="00DD6719" w:rsidRDefault="00DD6719" w:rsidP="00DD6719">
      <w:pPr>
        <w:rPr>
          <w:rFonts w:eastAsia="Times New Roman" w:cs="Arial"/>
          <w:color w:val="000000"/>
          <w:lang w:eastAsia="bg-BG"/>
        </w:rPr>
      </w:pPr>
    </w:p>
    <w:p w14:paraId="1A367EFD" w14:textId="44A8F4F0" w:rsidR="00DD6719" w:rsidRDefault="00DD6719" w:rsidP="00DD6719">
      <w:pPr>
        <w:rPr>
          <w:rFonts w:eastAsia="Times New Roman" w:cs="Arial"/>
          <w:i/>
          <w:iCs/>
          <w:color w:val="000000"/>
          <w:lang w:val="en-US"/>
        </w:rPr>
      </w:pPr>
      <w:r w:rsidRPr="00DD6719">
        <w:rPr>
          <w:rFonts w:eastAsia="Times New Roman" w:cs="Arial"/>
          <w:color w:val="000000"/>
          <w:lang w:eastAsia="bg-BG"/>
        </w:rPr>
        <w:t xml:space="preserve">Грам-отрицателни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аероби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: </w:t>
      </w:r>
      <w:r w:rsidRPr="00DD6719">
        <w:rPr>
          <w:rFonts w:eastAsia="Times New Roman" w:cs="Arial"/>
          <w:i/>
          <w:iCs/>
          <w:color w:val="000000"/>
          <w:lang w:val="en-US"/>
        </w:rPr>
        <w:t xml:space="preserve">Enterobacter sp., Escherichia coli, </w:t>
      </w:r>
      <w:proofErr w:type="spellStart"/>
      <w:r w:rsidRPr="00DD6719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DD6719">
        <w:rPr>
          <w:rFonts w:eastAsia="Times New Roman" w:cs="Arial"/>
          <w:i/>
          <w:iCs/>
          <w:color w:val="000000"/>
          <w:lang w:val="en-US"/>
        </w:rPr>
        <w:t xml:space="preserve"> influenzae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>(</w:t>
      </w:r>
      <w:proofErr w:type="spellStart"/>
      <w:r w:rsidRPr="00DD6719">
        <w:rPr>
          <w:rFonts w:eastAsia="Times New Roman" w:cs="Arial"/>
          <w:color w:val="000000"/>
          <w:lang w:eastAsia="bg-BG"/>
        </w:rPr>
        <w:t>вкл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ампицилин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-резистентни щамове), </w:t>
      </w:r>
      <w:proofErr w:type="spellStart"/>
      <w:r w:rsidRPr="00DD6719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DD6719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DD6719">
        <w:rPr>
          <w:rFonts w:eastAsia="Times New Roman" w:cs="Arial"/>
          <w:i/>
          <w:iCs/>
          <w:color w:val="000000"/>
          <w:lang w:val="en-US"/>
        </w:rPr>
        <w:t>parainfiuenzae</w:t>
      </w:r>
      <w:proofErr w:type="spellEnd"/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(вкл.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ампицилин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-резистентни щамове), </w:t>
      </w:r>
      <w:r w:rsidRPr="00DD6719">
        <w:rPr>
          <w:rFonts w:eastAsia="Times New Roman" w:cs="Arial"/>
          <w:i/>
          <w:iCs/>
          <w:color w:val="000000"/>
          <w:lang w:val="en-US"/>
        </w:rPr>
        <w:t>Moraxella (</w:t>
      </w:r>
      <w:proofErr w:type="spellStart"/>
      <w:r w:rsidRPr="00DD6719">
        <w:rPr>
          <w:rFonts w:eastAsia="Times New Roman" w:cs="Arial"/>
          <w:i/>
          <w:iCs/>
          <w:color w:val="000000"/>
          <w:lang w:val="en-US"/>
        </w:rPr>
        <w:t>Branhamella</w:t>
      </w:r>
      <w:proofErr w:type="spellEnd"/>
      <w:r w:rsidRPr="00DD6719">
        <w:rPr>
          <w:rFonts w:eastAsia="Times New Roman" w:cs="Arial"/>
          <w:i/>
          <w:iCs/>
          <w:color w:val="000000"/>
          <w:lang w:val="en-US"/>
        </w:rPr>
        <w:t>) catarrhalis, Klebsiella spp.,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включително и </w:t>
      </w:r>
      <w:r w:rsidRPr="00DD6719">
        <w:rPr>
          <w:rFonts w:eastAsia="Times New Roman" w:cs="Arial"/>
          <w:i/>
          <w:iCs/>
          <w:color w:val="000000"/>
          <w:lang w:val="en-US"/>
        </w:rPr>
        <w:t>K. pneumoniae, Neisseria spp.,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включително </w:t>
      </w:r>
      <w:r w:rsidRPr="00DD6719">
        <w:rPr>
          <w:rFonts w:eastAsia="Times New Roman" w:cs="Arial"/>
          <w:i/>
          <w:iCs/>
          <w:color w:val="000000"/>
          <w:lang w:val="en-US"/>
        </w:rPr>
        <w:t>N. Gonorrhoeae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(включително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пеницилаза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продуциращи 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непродуциращи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щамове), </w:t>
      </w:r>
      <w:r w:rsidRPr="00DD6719">
        <w:rPr>
          <w:rFonts w:eastAsia="Times New Roman" w:cs="Arial"/>
          <w:i/>
          <w:iCs/>
          <w:color w:val="000000"/>
          <w:lang w:val="en-US"/>
        </w:rPr>
        <w:t xml:space="preserve">Proteus mirabilis, Proteus </w:t>
      </w:r>
      <w:proofErr w:type="spellStart"/>
      <w:r w:rsidRPr="00DD6719">
        <w:rPr>
          <w:rFonts w:eastAsia="Times New Roman" w:cs="Arial"/>
          <w:i/>
          <w:iCs/>
          <w:color w:val="000000"/>
          <w:lang w:val="en-US"/>
        </w:rPr>
        <w:t>rettgeri</w:t>
      </w:r>
      <w:proofErr w:type="spellEnd"/>
      <w:r w:rsidRPr="00DD6719">
        <w:rPr>
          <w:rFonts w:eastAsia="Times New Roman" w:cs="Arial"/>
          <w:i/>
          <w:iCs/>
          <w:color w:val="000000"/>
          <w:lang w:val="en-US"/>
        </w:rPr>
        <w:t>, Salmonella spp.,</w:t>
      </w:r>
      <w:r w:rsidRPr="00DD6719">
        <w:rPr>
          <w:rFonts w:eastAsia="Times New Roman" w:cs="Arial"/>
          <w:i/>
          <w:iCs/>
          <w:color w:val="000000"/>
          <w:lang w:eastAsia="bg-BG"/>
        </w:rPr>
        <w:t xml:space="preserve"> включително</w:t>
      </w:r>
      <w:r w:rsidRPr="00DD6719">
        <w:rPr>
          <w:rFonts w:eastAsia="Times New Roman" w:cs="Arial"/>
          <w:smallCaps/>
          <w:color w:val="000000"/>
          <w:lang w:val="en-US"/>
        </w:rPr>
        <w:t xml:space="preserve"> </w:t>
      </w:r>
      <w:r w:rsidRPr="00DD6719">
        <w:rPr>
          <w:rFonts w:eastAsia="Times New Roman" w:cs="Arial"/>
          <w:i/>
          <w:iCs/>
          <w:color w:val="000000"/>
          <w:lang w:val="en-US"/>
        </w:rPr>
        <w:t>Salmonella typhi, Salmonella typhimurium, Providencia spp.</w:t>
      </w:r>
    </w:p>
    <w:p w14:paraId="20C978C6" w14:textId="6C2B18BF" w:rsidR="00DD6719" w:rsidRDefault="00DD6719" w:rsidP="00DD6719">
      <w:pPr>
        <w:rPr>
          <w:rFonts w:eastAsia="Times New Roman" w:cs="Arial"/>
          <w:i/>
          <w:iCs/>
          <w:color w:val="000000"/>
          <w:lang w:val="en-US"/>
        </w:rPr>
      </w:pPr>
    </w:p>
    <w:p w14:paraId="00A0BDB0" w14:textId="77777777" w:rsidR="00DD6719" w:rsidRPr="00DD6719" w:rsidRDefault="00DD6719" w:rsidP="00DD6719">
      <w:pPr>
        <w:spacing w:line="240" w:lineRule="auto"/>
        <w:rPr>
          <w:rFonts w:eastAsia="Times New Roman" w:cs="Arial"/>
          <w:lang w:val="en-US"/>
        </w:rPr>
      </w:pPr>
      <w:r w:rsidRPr="00DD6719">
        <w:rPr>
          <w:rFonts w:eastAsia="Times New Roman" w:cs="Arial"/>
          <w:color w:val="000000"/>
          <w:lang w:eastAsia="bg-BG"/>
        </w:rPr>
        <w:t xml:space="preserve">Грам-положителни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аероби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: </w:t>
      </w:r>
      <w:r w:rsidRPr="00DD6719">
        <w:rPr>
          <w:rFonts w:eastAsia="Times New Roman" w:cs="Arial"/>
          <w:i/>
          <w:iCs/>
          <w:color w:val="000000"/>
          <w:lang w:val="en-US"/>
        </w:rPr>
        <w:t>Staphylococcus aureus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и </w:t>
      </w:r>
      <w:r w:rsidRPr="00DD6719">
        <w:rPr>
          <w:rFonts w:eastAsia="Times New Roman" w:cs="Arial"/>
          <w:i/>
          <w:iCs/>
          <w:color w:val="000000"/>
          <w:lang w:val="en-US"/>
        </w:rPr>
        <w:t xml:space="preserve">Staphylococcus epidermidis </w:t>
      </w:r>
      <w:r w:rsidRPr="00DD6719">
        <w:rPr>
          <w:rFonts w:eastAsia="Times New Roman" w:cs="Arial"/>
          <w:color w:val="000000"/>
          <w:lang w:eastAsia="bg-BG"/>
        </w:rPr>
        <w:t xml:space="preserve">(включително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пеницилаза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продуциращи щамове, но без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метицилин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-резистентни щамове) и някои щамове стрептококи - </w:t>
      </w:r>
      <w:r w:rsidRPr="00DD6719">
        <w:rPr>
          <w:rFonts w:eastAsia="Times New Roman" w:cs="Arial"/>
          <w:i/>
          <w:iCs/>
          <w:color w:val="000000"/>
          <w:lang w:val="en-US"/>
        </w:rPr>
        <w:t>Streptococcus pyogenes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(и други </w:t>
      </w:r>
      <w:r w:rsidRPr="00DD6719">
        <w:rPr>
          <w:rFonts w:eastAsia="Times New Roman" w:cs="Arial"/>
          <w:color w:val="000000"/>
          <w:lang w:val="en-US"/>
        </w:rPr>
        <w:t>β</w:t>
      </w:r>
      <w:r w:rsidRPr="00DD6719">
        <w:rPr>
          <w:rFonts w:eastAsia="Times New Roman" w:cs="Arial"/>
          <w:color w:val="000000"/>
          <w:lang w:eastAsia="bg-BG"/>
        </w:rPr>
        <w:t>-</w:t>
      </w:r>
      <w:proofErr w:type="spellStart"/>
      <w:r w:rsidRPr="00DD6719">
        <w:rPr>
          <w:rFonts w:eastAsia="Times New Roman" w:cs="Arial"/>
          <w:color w:val="000000"/>
          <w:lang w:eastAsia="bg-BG"/>
        </w:rPr>
        <w:t>хемолитични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стрептококи), </w:t>
      </w:r>
      <w:r w:rsidRPr="00DD6719">
        <w:rPr>
          <w:rFonts w:eastAsia="Times New Roman" w:cs="Arial"/>
          <w:i/>
          <w:iCs/>
          <w:color w:val="000000"/>
          <w:lang w:val="en-US"/>
        </w:rPr>
        <w:t>Streptococcus pneumoniae, Streptococcus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група В </w:t>
      </w:r>
      <w:r w:rsidRPr="00DD6719">
        <w:rPr>
          <w:rFonts w:eastAsia="Times New Roman" w:cs="Arial"/>
          <w:i/>
          <w:iCs/>
          <w:color w:val="000000"/>
          <w:lang w:val="en-US"/>
        </w:rPr>
        <w:t>(Streptococcus agalactiae)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и </w:t>
      </w:r>
      <w:r w:rsidRPr="00DD6719">
        <w:rPr>
          <w:rFonts w:eastAsia="Times New Roman" w:cs="Arial"/>
          <w:i/>
          <w:iCs/>
          <w:color w:val="000000"/>
          <w:lang w:val="en-US"/>
        </w:rPr>
        <w:t>Streptococcus mitis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(група </w:t>
      </w:r>
      <w:proofErr w:type="spellStart"/>
      <w:r w:rsidRPr="00DD6719">
        <w:rPr>
          <w:rFonts w:eastAsia="Times New Roman" w:cs="Arial"/>
          <w:i/>
          <w:iCs/>
          <w:color w:val="000000"/>
          <w:lang w:val="en-US"/>
        </w:rPr>
        <w:t>viridans</w:t>
      </w:r>
      <w:proofErr w:type="spellEnd"/>
      <w:r w:rsidRPr="00DD6719">
        <w:rPr>
          <w:rFonts w:eastAsia="Times New Roman" w:cs="Arial"/>
          <w:i/>
          <w:iCs/>
          <w:color w:val="000000"/>
          <w:lang w:val="en-US"/>
        </w:rPr>
        <w:t>); Bordetella pertussis.</w:t>
      </w:r>
    </w:p>
    <w:p w14:paraId="4B90A580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199AC4E" w14:textId="528ECE64" w:rsidR="00DD6719" w:rsidRPr="00DD6719" w:rsidRDefault="00DD6719" w:rsidP="00DD6719">
      <w:pPr>
        <w:spacing w:line="240" w:lineRule="auto"/>
        <w:rPr>
          <w:rFonts w:eastAsia="Times New Roman" w:cs="Arial"/>
          <w:lang w:val="en-US"/>
        </w:rPr>
      </w:pPr>
      <w:r w:rsidRPr="00DD6719">
        <w:rPr>
          <w:rFonts w:eastAsia="Times New Roman" w:cs="Arial"/>
          <w:color w:val="000000"/>
          <w:lang w:eastAsia="bg-BG"/>
        </w:rPr>
        <w:lastRenderedPageBreak/>
        <w:t>Анаеробни организми:</w:t>
      </w:r>
    </w:p>
    <w:p w14:paraId="6F73FBFC" w14:textId="6F2D3E01" w:rsidR="00DD6719" w:rsidRPr="00DD6719" w:rsidRDefault="00DD6719" w:rsidP="00DD6719">
      <w:pPr>
        <w:spacing w:line="240" w:lineRule="auto"/>
        <w:rPr>
          <w:rFonts w:eastAsia="Times New Roman" w:cs="Arial"/>
          <w:lang w:val="en-US"/>
        </w:rPr>
      </w:pPr>
      <w:r w:rsidRPr="00DD6719">
        <w:rPr>
          <w:rFonts w:eastAsia="Times New Roman" w:cs="Arial"/>
          <w:color w:val="000000"/>
          <w:lang w:eastAsia="bg-BG"/>
        </w:rPr>
        <w:t xml:space="preserve">Грам-положителни и Грам-отрицателни </w:t>
      </w:r>
      <w:r w:rsidRPr="00DD6719">
        <w:rPr>
          <w:rFonts w:eastAsia="Times New Roman" w:cs="Arial"/>
          <w:color w:val="000000"/>
          <w:lang w:val="en-US"/>
        </w:rPr>
        <w:t xml:space="preserve">cocci </w:t>
      </w:r>
      <w:r w:rsidRPr="00DD6719">
        <w:rPr>
          <w:rFonts w:eastAsia="Times New Roman" w:cs="Arial"/>
          <w:color w:val="000000"/>
          <w:lang w:eastAsia="bg-BG"/>
        </w:rPr>
        <w:t xml:space="preserve">(вкл. </w:t>
      </w:r>
      <w:proofErr w:type="spellStart"/>
      <w:r w:rsidRPr="00DD6719">
        <w:rPr>
          <w:rFonts w:eastAsia="Times New Roman" w:cs="Arial"/>
          <w:i/>
          <w:iCs/>
          <w:color w:val="000000"/>
          <w:lang w:val="en-US"/>
        </w:rPr>
        <w:t>Peptococcus</w:t>
      </w:r>
      <w:proofErr w:type="spellEnd"/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DD6719">
        <w:rPr>
          <w:rFonts w:eastAsia="Times New Roman" w:cs="Arial"/>
          <w:i/>
          <w:iCs/>
          <w:color w:val="000000"/>
          <w:lang w:val="en-US"/>
        </w:rPr>
        <w:t>Peptostreptoccus</w:t>
      </w:r>
      <w:proofErr w:type="spellEnd"/>
      <w:r w:rsidRPr="00DD6719">
        <w:rPr>
          <w:rFonts w:eastAsia="Times New Roman" w:cs="Arial"/>
          <w:i/>
          <w:iCs/>
          <w:color w:val="000000"/>
          <w:lang w:val="en-US"/>
        </w:rPr>
        <w:t xml:space="preserve"> species). </w:t>
      </w:r>
      <w:r w:rsidRPr="00DD6719">
        <w:rPr>
          <w:rFonts w:eastAsia="Times New Roman" w:cs="Arial"/>
          <w:color w:val="000000"/>
          <w:lang w:eastAsia="bg-BG"/>
        </w:rPr>
        <w:t xml:space="preserve">Грам-положителни бацили (вкл. повечето </w:t>
      </w:r>
      <w:r w:rsidRPr="00DD6719">
        <w:rPr>
          <w:rFonts w:eastAsia="Times New Roman" w:cs="Arial"/>
          <w:i/>
          <w:iCs/>
          <w:color w:val="000000"/>
          <w:lang w:val="en-US"/>
        </w:rPr>
        <w:t>Clostridium species)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и Грам-отрицателни бацили (вкл. </w:t>
      </w:r>
      <w:r w:rsidRPr="00DD6719">
        <w:rPr>
          <w:rFonts w:eastAsia="Times New Roman" w:cs="Arial"/>
          <w:i/>
          <w:iCs/>
          <w:color w:val="000000"/>
          <w:lang w:val="en-US"/>
        </w:rPr>
        <w:t>Bacteroides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и </w:t>
      </w:r>
      <w:r w:rsidRPr="00DD6719">
        <w:rPr>
          <w:rFonts w:eastAsia="Times New Roman" w:cs="Arial"/>
          <w:i/>
          <w:iCs/>
          <w:color w:val="000000"/>
          <w:lang w:val="en-US"/>
        </w:rPr>
        <w:t>Fusobacterium species).</w:t>
      </w:r>
    </w:p>
    <w:p w14:paraId="4F96DB1C" w14:textId="77777777" w:rsidR="00DD6719" w:rsidRPr="00DD6719" w:rsidRDefault="00DD6719" w:rsidP="00DD6719">
      <w:pPr>
        <w:spacing w:line="240" w:lineRule="auto"/>
        <w:rPr>
          <w:rFonts w:eastAsia="Times New Roman" w:cs="Arial"/>
          <w:lang w:val="en-US"/>
        </w:rPr>
      </w:pPr>
      <w:r w:rsidRPr="00DD6719">
        <w:rPr>
          <w:rFonts w:eastAsia="Times New Roman" w:cs="Arial"/>
          <w:i/>
          <w:iCs/>
          <w:color w:val="000000"/>
          <w:lang w:val="en-US"/>
        </w:rPr>
        <w:t>Propionibacterium spp.</w:t>
      </w:r>
    </w:p>
    <w:p w14:paraId="2E1ED063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609A42" w14:textId="0400CF56" w:rsidR="00DD6719" w:rsidRPr="00DD6719" w:rsidRDefault="00DD6719" w:rsidP="00DD6719">
      <w:pPr>
        <w:spacing w:line="240" w:lineRule="auto"/>
        <w:rPr>
          <w:rFonts w:eastAsia="Times New Roman" w:cs="Arial"/>
          <w:lang w:val="en-US"/>
        </w:rPr>
      </w:pPr>
      <w:r w:rsidRPr="00DD6719">
        <w:rPr>
          <w:rFonts w:eastAsia="Times New Roman" w:cs="Arial"/>
          <w:color w:val="000000"/>
          <w:lang w:eastAsia="bg-BG"/>
        </w:rPr>
        <w:t>Други микроорганизми:</w:t>
      </w:r>
    </w:p>
    <w:p w14:paraId="3A0AD50E" w14:textId="77777777" w:rsidR="00DD6719" w:rsidRPr="00DD6719" w:rsidRDefault="00DD6719" w:rsidP="00DD6719">
      <w:pPr>
        <w:spacing w:line="240" w:lineRule="auto"/>
        <w:rPr>
          <w:rFonts w:eastAsia="Times New Roman" w:cs="Arial"/>
          <w:lang w:val="en-US"/>
        </w:rPr>
      </w:pPr>
      <w:r w:rsidRPr="00DD6719">
        <w:rPr>
          <w:rFonts w:eastAsia="Times New Roman" w:cs="Arial"/>
          <w:i/>
          <w:iCs/>
          <w:color w:val="000000"/>
          <w:lang w:val="en-US"/>
        </w:rPr>
        <w:t>Borrelia burgdorferi.</w:t>
      </w:r>
    </w:p>
    <w:p w14:paraId="28AD0DB8" w14:textId="77777777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9C5652" w14:textId="6E28A774" w:rsidR="00DD6719" w:rsidRPr="00DD6719" w:rsidRDefault="00DD6719" w:rsidP="00DD6719">
      <w:pPr>
        <w:spacing w:line="240" w:lineRule="auto"/>
        <w:rPr>
          <w:rFonts w:eastAsia="Times New Roman" w:cs="Arial"/>
          <w:lang w:val="en-US"/>
        </w:rPr>
      </w:pPr>
      <w:r w:rsidRPr="00DD6719">
        <w:rPr>
          <w:rFonts w:eastAsia="Times New Roman" w:cs="Arial"/>
          <w:color w:val="000000"/>
          <w:lang w:eastAsia="bg-BG"/>
        </w:rPr>
        <w:t xml:space="preserve">Резистентни щамове: </w:t>
      </w:r>
      <w:r w:rsidRPr="00DD6719">
        <w:rPr>
          <w:rFonts w:eastAsia="Times New Roman" w:cs="Arial"/>
          <w:i/>
          <w:iCs/>
          <w:color w:val="000000"/>
          <w:lang w:val="en-US"/>
        </w:rPr>
        <w:t xml:space="preserve">Acinetobacter </w:t>
      </w:r>
      <w:proofErr w:type="spellStart"/>
      <w:r w:rsidRPr="00DD6719">
        <w:rPr>
          <w:rFonts w:eastAsia="Times New Roman" w:cs="Arial"/>
          <w:i/>
          <w:iCs/>
          <w:color w:val="000000"/>
          <w:lang w:val="en-US"/>
        </w:rPr>
        <w:t>calcoaceticus</w:t>
      </w:r>
      <w:proofErr w:type="spellEnd"/>
      <w:r w:rsidRPr="00DD6719">
        <w:rPr>
          <w:rFonts w:eastAsia="Times New Roman" w:cs="Arial"/>
          <w:i/>
          <w:iCs/>
          <w:color w:val="000000"/>
          <w:lang w:val="en-US"/>
        </w:rPr>
        <w:t>, Campylobacter spp., Clostridium difficile, Legionella sp., Listeria monocytogenes, Pseudomonas spp.,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резистентни към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метицилин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щамове на </w:t>
      </w:r>
      <w:r w:rsidRPr="00DD6719">
        <w:rPr>
          <w:rFonts w:eastAsia="Times New Roman" w:cs="Arial"/>
          <w:i/>
          <w:iCs/>
          <w:color w:val="000000"/>
          <w:lang w:val="en-US"/>
        </w:rPr>
        <w:t>Staphylococcus aureus</w:t>
      </w:r>
      <w:r w:rsidRPr="00DD6719">
        <w:rPr>
          <w:rFonts w:eastAsia="Times New Roman" w:cs="Arial"/>
          <w:color w:val="000000"/>
          <w:lang w:val="en-US"/>
        </w:rPr>
        <w:t xml:space="preserve"> u </w:t>
      </w:r>
      <w:r w:rsidRPr="00DD6719">
        <w:rPr>
          <w:rFonts w:eastAsia="Times New Roman" w:cs="Arial"/>
          <w:i/>
          <w:iCs/>
          <w:color w:val="000000"/>
          <w:lang w:val="en-US"/>
        </w:rPr>
        <w:t>Staphylococcus epidermidis.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Някои щамове от </w:t>
      </w:r>
      <w:r w:rsidRPr="00DD6719">
        <w:rPr>
          <w:rFonts w:eastAsia="Times New Roman" w:cs="Arial"/>
          <w:i/>
          <w:iCs/>
          <w:color w:val="000000"/>
          <w:lang w:val="en-US"/>
        </w:rPr>
        <w:t>Bacteroides fragilis, Citrobacter sp., Serratia sp.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>са също резистентни.</w:t>
      </w:r>
    </w:p>
    <w:p w14:paraId="5C96106B" w14:textId="77777777" w:rsidR="00DD6719" w:rsidRPr="00DD6719" w:rsidRDefault="00DD6719" w:rsidP="00DD6719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239346D5" w14:textId="64111A44" w:rsidR="00DD6719" w:rsidRPr="00DD6719" w:rsidRDefault="00DD6719" w:rsidP="00DD6719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D6719">
        <w:rPr>
          <w:rFonts w:eastAsia="Times New Roman" w:cs="Arial"/>
          <w:i/>
          <w:iCs/>
          <w:color w:val="000000"/>
          <w:lang w:val="en-US"/>
        </w:rPr>
        <w:t>In vitro</w:t>
      </w:r>
      <w:r w:rsidRPr="00DD6719">
        <w:rPr>
          <w:rFonts w:eastAsia="Times New Roman" w:cs="Arial"/>
          <w:color w:val="000000"/>
          <w:lang w:val="en-US"/>
        </w:rPr>
        <w:t xml:space="preserve"> </w:t>
      </w:r>
      <w:r w:rsidRPr="00DD6719">
        <w:rPr>
          <w:rFonts w:eastAsia="Times New Roman" w:cs="Arial"/>
          <w:color w:val="000000"/>
          <w:lang w:eastAsia="bg-BG"/>
        </w:rPr>
        <w:t xml:space="preserve">действието на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в комбинация с </w:t>
      </w:r>
      <w:proofErr w:type="spellStart"/>
      <w:r w:rsidRPr="00DD6719">
        <w:rPr>
          <w:rFonts w:eastAsia="Times New Roman" w:cs="Arial"/>
          <w:color w:val="000000"/>
          <w:lang w:eastAsia="bg-BG"/>
        </w:rPr>
        <w:t>аминогликозидни</w:t>
      </w:r>
      <w:proofErr w:type="spellEnd"/>
      <w:r w:rsidRPr="00DD6719">
        <w:rPr>
          <w:rFonts w:eastAsia="Times New Roman" w:cs="Arial"/>
          <w:color w:val="000000"/>
          <w:lang w:eastAsia="bg-BG"/>
        </w:rPr>
        <w:t xml:space="preserve"> антибиотици е адитивно, с отделни данни за </w:t>
      </w:r>
      <w:proofErr w:type="spellStart"/>
      <w:r w:rsidRPr="00DD6719">
        <w:rPr>
          <w:rFonts w:eastAsia="Times New Roman" w:cs="Arial"/>
          <w:color w:val="000000"/>
          <w:lang w:eastAsia="bg-BG"/>
        </w:rPr>
        <w:t>синергизъм</w:t>
      </w:r>
      <w:proofErr w:type="spellEnd"/>
      <w:r w:rsidRPr="00DD6719">
        <w:rPr>
          <w:rFonts w:eastAsia="Times New Roman" w:cs="Arial"/>
          <w:color w:val="000000"/>
          <w:lang w:eastAsia="bg-BG"/>
        </w:rPr>
        <w:t>.</w:t>
      </w:r>
    </w:p>
    <w:p w14:paraId="4C6148E7" w14:textId="77777777" w:rsidR="00DD6719" w:rsidRPr="00DD6719" w:rsidRDefault="00DD6719" w:rsidP="00DD6719">
      <w:pPr>
        <w:rPr>
          <w:rFonts w:cs="Arial"/>
        </w:rPr>
      </w:pPr>
    </w:p>
    <w:p w14:paraId="4D7DA0E3" w14:textId="7DF357DF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5DA4D257" w14:textId="77777777" w:rsidR="006A61C1" w:rsidRPr="006A61C1" w:rsidRDefault="006A61C1" w:rsidP="006A61C1">
      <w:pPr>
        <w:spacing w:line="240" w:lineRule="auto"/>
        <w:rPr>
          <w:rFonts w:eastAsia="Times New Roman" w:cs="Arial"/>
        </w:rPr>
      </w:pPr>
      <w:r w:rsidRPr="006A61C1">
        <w:rPr>
          <w:rFonts w:eastAsia="Times New Roman" w:cs="Arial"/>
          <w:color w:val="000000"/>
          <w:lang w:eastAsia="bg-BG"/>
        </w:rPr>
        <w:t>Максималната серумна концентрация след интрамускулно приложение се достига за около 30 до 45 минути.</w:t>
      </w:r>
    </w:p>
    <w:p w14:paraId="17263E9B" w14:textId="77777777" w:rsidR="006A61C1" w:rsidRPr="006A61C1" w:rsidRDefault="006A61C1" w:rsidP="006A61C1">
      <w:pPr>
        <w:spacing w:line="240" w:lineRule="auto"/>
        <w:rPr>
          <w:rFonts w:eastAsia="Times New Roman" w:cs="Arial"/>
        </w:rPr>
      </w:pPr>
      <w:r w:rsidRPr="006A61C1">
        <w:rPr>
          <w:rFonts w:eastAsia="Times New Roman" w:cs="Arial"/>
          <w:color w:val="000000"/>
          <w:lang w:eastAsia="bg-BG"/>
        </w:rPr>
        <w:t>След интрамускулно или интравенозно приложение плазмения полуживот е приблизително 70 минути.</w:t>
      </w:r>
    </w:p>
    <w:p w14:paraId="313C8279" w14:textId="77777777" w:rsidR="006A61C1" w:rsidRPr="006A61C1" w:rsidRDefault="006A61C1" w:rsidP="006A61C1">
      <w:pPr>
        <w:spacing w:line="240" w:lineRule="auto"/>
        <w:rPr>
          <w:rFonts w:eastAsia="Times New Roman" w:cs="Arial"/>
        </w:rPr>
      </w:pPr>
      <w:r w:rsidRPr="006A61C1">
        <w:rPr>
          <w:rFonts w:eastAsia="Times New Roman" w:cs="Arial"/>
          <w:color w:val="000000"/>
          <w:lang w:eastAsia="bg-BG"/>
        </w:rPr>
        <w:t xml:space="preserve">Почти цялата доза </w:t>
      </w:r>
      <w:proofErr w:type="spellStart"/>
      <w:r w:rsidRPr="006A61C1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(85-90% </w:t>
      </w:r>
      <w:proofErr w:type="spellStart"/>
      <w:r w:rsidRPr="006A61C1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) се </w:t>
      </w:r>
      <w:proofErr w:type="spellStart"/>
      <w:r w:rsidRPr="006A61C1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в урината като непроменено лекарство, приблизително 50% чрез </w:t>
      </w:r>
      <w:proofErr w:type="spellStart"/>
      <w:r w:rsidRPr="006A61C1">
        <w:rPr>
          <w:rFonts w:eastAsia="Times New Roman" w:cs="Arial"/>
          <w:color w:val="000000"/>
          <w:lang w:eastAsia="bg-BG"/>
        </w:rPr>
        <w:t>глумерулна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филтрация, и 50% през бъбречните </w:t>
      </w:r>
      <w:proofErr w:type="spellStart"/>
      <w:r w:rsidRPr="006A61C1">
        <w:rPr>
          <w:rFonts w:eastAsia="Times New Roman" w:cs="Arial"/>
          <w:color w:val="000000"/>
          <w:lang w:eastAsia="bg-BG"/>
        </w:rPr>
        <w:t>тубули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, около 90% през началните 6 часа, с фактическо 100% отделяне за 24 часа. Съвместно с орален </w:t>
      </w:r>
      <w:proofErr w:type="spellStart"/>
      <w:r w:rsidRPr="006A61C1">
        <w:rPr>
          <w:rFonts w:eastAsia="Times New Roman" w:cs="Arial"/>
          <w:color w:val="000000"/>
          <w:lang w:eastAsia="bg-BG"/>
        </w:rPr>
        <w:t>Пробенецид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се стига до 40% редукция на бъбречната </w:t>
      </w:r>
      <w:proofErr w:type="spellStart"/>
      <w:r w:rsidRPr="006A61C1">
        <w:rPr>
          <w:rFonts w:eastAsia="Times New Roman" w:cs="Arial"/>
          <w:color w:val="000000"/>
          <w:lang w:eastAsia="bg-BG"/>
        </w:rPr>
        <w:t>тубулна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екскреция с последващо увеличение на върховите серумни нива и серумния полуживот от около 30%.</w:t>
      </w:r>
    </w:p>
    <w:p w14:paraId="6B5C2CA8" w14:textId="77777777" w:rsidR="006A61C1" w:rsidRPr="006A61C1" w:rsidRDefault="006A61C1" w:rsidP="006A61C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661E57" w14:textId="36FB8CFA" w:rsidR="006A61C1" w:rsidRPr="006A61C1" w:rsidRDefault="006A61C1" w:rsidP="006A61C1">
      <w:pPr>
        <w:spacing w:line="240" w:lineRule="auto"/>
        <w:rPr>
          <w:rFonts w:eastAsia="Times New Roman" w:cs="Arial"/>
        </w:rPr>
      </w:pPr>
      <w:r w:rsidRPr="006A61C1">
        <w:rPr>
          <w:rFonts w:eastAsia="Times New Roman" w:cs="Arial"/>
          <w:color w:val="000000"/>
          <w:lang w:eastAsia="bg-BG"/>
        </w:rPr>
        <w:t xml:space="preserve">Като последица на начина на екскреция, високи концентрации </w:t>
      </w:r>
      <w:proofErr w:type="spellStart"/>
      <w:r w:rsidRPr="006A61C1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могат да се достигнат в урината, доза от 750 </w:t>
      </w:r>
      <w:r w:rsidRPr="006A61C1">
        <w:rPr>
          <w:rFonts w:eastAsia="Times New Roman" w:cs="Arial"/>
          <w:color w:val="000000"/>
          <w:lang w:val="en-US"/>
        </w:rPr>
        <w:t xml:space="preserve">mg </w:t>
      </w:r>
      <w:r w:rsidRPr="006A61C1">
        <w:rPr>
          <w:rFonts w:eastAsia="Times New Roman" w:cs="Arial"/>
          <w:color w:val="000000"/>
          <w:lang w:eastAsia="bg-BG"/>
        </w:rPr>
        <w:t xml:space="preserve">интрамускулно води до средни концентрации в урината от 1300 </w:t>
      </w:r>
      <w:proofErr w:type="spellStart"/>
      <w:r w:rsidRPr="006A61C1">
        <w:rPr>
          <w:rFonts w:eastAsia="Times New Roman" w:cs="Arial"/>
          <w:color w:val="000000"/>
          <w:lang w:val="en-US"/>
        </w:rPr>
        <w:t>μg</w:t>
      </w:r>
      <w:proofErr w:type="spellEnd"/>
      <w:r w:rsidRPr="006A61C1">
        <w:rPr>
          <w:rFonts w:eastAsia="Times New Roman" w:cs="Arial"/>
          <w:color w:val="000000"/>
          <w:lang w:val="en-US"/>
        </w:rPr>
        <w:t xml:space="preserve">/ml </w:t>
      </w:r>
      <w:r w:rsidRPr="006A61C1">
        <w:rPr>
          <w:rFonts w:eastAsia="Times New Roman" w:cs="Arial"/>
          <w:color w:val="000000"/>
          <w:lang w:eastAsia="bg-BG"/>
        </w:rPr>
        <w:t xml:space="preserve">за 8 часа. Интравенозно приложение на дози от 750 </w:t>
      </w:r>
      <w:r w:rsidRPr="006A61C1">
        <w:rPr>
          <w:rFonts w:eastAsia="Times New Roman" w:cs="Arial"/>
          <w:color w:val="000000"/>
          <w:lang w:val="en-US"/>
        </w:rPr>
        <w:t xml:space="preserve">mg </w:t>
      </w:r>
      <w:r w:rsidRPr="006A61C1">
        <w:rPr>
          <w:rFonts w:eastAsia="Times New Roman" w:cs="Arial"/>
          <w:color w:val="000000"/>
          <w:lang w:eastAsia="bg-BG"/>
        </w:rPr>
        <w:t xml:space="preserve">и 1,5 </w:t>
      </w:r>
      <w:r w:rsidRPr="006A61C1">
        <w:rPr>
          <w:rFonts w:eastAsia="Times New Roman" w:cs="Arial"/>
          <w:color w:val="000000"/>
          <w:lang w:val="en-US"/>
        </w:rPr>
        <w:t xml:space="preserve">g </w:t>
      </w:r>
      <w:r w:rsidRPr="006A61C1">
        <w:rPr>
          <w:rFonts w:eastAsia="Times New Roman" w:cs="Arial"/>
          <w:color w:val="000000"/>
          <w:lang w:eastAsia="bg-BG"/>
        </w:rPr>
        <w:t xml:space="preserve">дава средни нива в урината от 1150 </w:t>
      </w:r>
      <w:proofErr w:type="spellStart"/>
      <w:r w:rsidRPr="006A61C1">
        <w:rPr>
          <w:rFonts w:eastAsia="Times New Roman" w:cs="Arial"/>
          <w:color w:val="000000"/>
          <w:lang w:val="en-US"/>
        </w:rPr>
        <w:t>μg</w:t>
      </w:r>
      <w:proofErr w:type="spellEnd"/>
      <w:r w:rsidRPr="006A61C1">
        <w:rPr>
          <w:rFonts w:eastAsia="Times New Roman" w:cs="Arial"/>
          <w:color w:val="000000"/>
          <w:lang w:val="en-US"/>
        </w:rPr>
        <w:t xml:space="preserve">/ml </w:t>
      </w:r>
      <w:r w:rsidRPr="006A61C1">
        <w:rPr>
          <w:rFonts w:eastAsia="Times New Roman" w:cs="Arial"/>
          <w:color w:val="000000"/>
          <w:lang w:eastAsia="bg-BG"/>
        </w:rPr>
        <w:t xml:space="preserve">и 2500 </w:t>
      </w:r>
      <w:proofErr w:type="spellStart"/>
      <w:r w:rsidRPr="006A61C1">
        <w:rPr>
          <w:rFonts w:eastAsia="Times New Roman" w:cs="Arial"/>
          <w:color w:val="000000"/>
          <w:lang w:val="en-US"/>
        </w:rPr>
        <w:t>μg</w:t>
      </w:r>
      <w:proofErr w:type="spellEnd"/>
      <w:r w:rsidRPr="006A61C1">
        <w:rPr>
          <w:rFonts w:eastAsia="Times New Roman" w:cs="Arial"/>
          <w:color w:val="000000"/>
          <w:lang w:val="en-US"/>
        </w:rPr>
        <w:t xml:space="preserve">/ml, </w:t>
      </w:r>
      <w:r w:rsidRPr="006A61C1">
        <w:rPr>
          <w:rFonts w:eastAsia="Times New Roman" w:cs="Arial"/>
          <w:color w:val="000000"/>
          <w:lang w:eastAsia="bg-BG"/>
        </w:rPr>
        <w:t>съответно.</w:t>
      </w:r>
    </w:p>
    <w:p w14:paraId="5DA6ED42" w14:textId="77777777" w:rsidR="006A61C1" w:rsidRPr="006A61C1" w:rsidRDefault="006A61C1" w:rsidP="006A61C1">
      <w:pPr>
        <w:spacing w:line="240" w:lineRule="auto"/>
        <w:rPr>
          <w:rFonts w:eastAsia="Times New Roman" w:cs="Arial"/>
        </w:rPr>
      </w:pPr>
      <w:r w:rsidRPr="006A61C1">
        <w:rPr>
          <w:rFonts w:eastAsia="Times New Roman" w:cs="Arial"/>
          <w:color w:val="000000"/>
          <w:lang w:eastAsia="bg-BG"/>
        </w:rPr>
        <w:t>При нормални възрастни средният елиминационен полуживот е 1,1 часа -1,3 часа, той е удължено при новородени като може да бъде 3-5 пъти по-висок от този за възрастни, при напреднала възраст достига до 1,7 часа - 2,3 часа, и при бъбречно увреждане се удължава, където се изисква редукция на дозата.</w:t>
      </w:r>
    </w:p>
    <w:p w14:paraId="0FB53D40" w14:textId="77777777" w:rsidR="006A61C1" w:rsidRPr="006A61C1" w:rsidRDefault="006A61C1" w:rsidP="006A61C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E8EE57" w14:textId="5C71AAE0" w:rsidR="006A61C1" w:rsidRPr="006A61C1" w:rsidRDefault="006A61C1" w:rsidP="006A61C1">
      <w:pPr>
        <w:spacing w:line="240" w:lineRule="auto"/>
        <w:rPr>
          <w:rFonts w:eastAsia="Times New Roman" w:cs="Arial"/>
        </w:rPr>
      </w:pPr>
      <w:proofErr w:type="spellStart"/>
      <w:r w:rsidRPr="006A61C1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е приблизително 50% свързан с плазмените протеини и плазмените концентрации се намаляват с диализа.</w:t>
      </w:r>
    </w:p>
    <w:p w14:paraId="1FC4D024" w14:textId="77777777" w:rsidR="006A61C1" w:rsidRPr="006A61C1" w:rsidRDefault="006A61C1" w:rsidP="006A61C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7EFF2B" w14:textId="10948416" w:rsidR="006A61C1" w:rsidRDefault="006A61C1" w:rsidP="006A61C1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6A61C1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е широко разпределен в тялото, с високи концентрации в урината, а концентрации на </w:t>
      </w:r>
      <w:proofErr w:type="spellStart"/>
      <w:r w:rsidRPr="006A61C1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надвишаващи минималните </w:t>
      </w:r>
      <w:proofErr w:type="spellStart"/>
      <w:r w:rsidRPr="006A61C1">
        <w:rPr>
          <w:rFonts w:eastAsia="Times New Roman" w:cs="Arial"/>
          <w:color w:val="000000"/>
          <w:lang w:eastAsia="bg-BG"/>
        </w:rPr>
        <w:t>инхибиторни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нива за най-</w:t>
      </w:r>
      <w:r w:rsidRPr="006A61C1">
        <w:rPr>
          <w:rFonts w:eastAsia="Times New Roman" w:cs="Arial"/>
          <w:color w:val="000000"/>
          <w:u w:val="single"/>
          <w:lang w:eastAsia="bg-BG"/>
        </w:rPr>
        <w:t xml:space="preserve">често </w:t>
      </w:r>
      <w:r w:rsidRPr="006A61C1">
        <w:rPr>
          <w:rFonts w:eastAsia="Times New Roman" w:cs="Arial"/>
          <w:color w:val="000000"/>
          <w:lang w:eastAsia="bg-BG"/>
        </w:rPr>
        <w:t xml:space="preserve">срещаните патогени се достигат в костите, воднистата течност на окото, храчка, </w:t>
      </w:r>
      <w:proofErr w:type="spellStart"/>
      <w:r w:rsidRPr="006A61C1">
        <w:rPr>
          <w:rFonts w:eastAsia="Times New Roman" w:cs="Arial"/>
          <w:color w:val="000000"/>
          <w:lang w:eastAsia="bg-BG"/>
        </w:rPr>
        <w:t>синовиална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течност, пот. Терапевтични концентрации се достигат в </w:t>
      </w:r>
      <w:proofErr w:type="spellStart"/>
      <w:r w:rsidRPr="006A61C1">
        <w:rPr>
          <w:rFonts w:eastAsia="Times New Roman" w:cs="Arial"/>
          <w:color w:val="000000"/>
          <w:lang w:eastAsia="bg-BG"/>
        </w:rPr>
        <w:t>цереброспиналната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течност само, ако са възпалени </w:t>
      </w:r>
      <w:proofErr w:type="spellStart"/>
      <w:r w:rsidRPr="006A61C1">
        <w:rPr>
          <w:rFonts w:eastAsia="Times New Roman" w:cs="Arial"/>
          <w:color w:val="000000"/>
          <w:lang w:eastAsia="bg-BG"/>
        </w:rPr>
        <w:t>менингите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6A61C1">
        <w:rPr>
          <w:rFonts w:eastAsia="Times New Roman" w:cs="Arial"/>
          <w:color w:val="000000"/>
          <w:lang w:eastAsia="bg-BG"/>
        </w:rPr>
        <w:t>Цефуроксим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преминава </w:t>
      </w:r>
      <w:proofErr w:type="spellStart"/>
      <w:r w:rsidRPr="006A61C1">
        <w:rPr>
          <w:rFonts w:eastAsia="Times New Roman" w:cs="Arial"/>
          <w:color w:val="000000"/>
          <w:lang w:eastAsia="bg-BG"/>
        </w:rPr>
        <w:t>плацентарната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бариера и</w:t>
      </w:r>
      <w:r>
        <w:rPr>
          <w:rFonts w:eastAsia="Times New Roman" w:cs="Arial"/>
        </w:rPr>
        <w:t xml:space="preserve"> </w:t>
      </w:r>
      <w:proofErr w:type="spellStart"/>
      <w:r w:rsidRPr="006A61C1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6A61C1">
        <w:rPr>
          <w:rFonts w:eastAsia="Times New Roman" w:cs="Arial"/>
          <w:color w:val="000000"/>
          <w:lang w:eastAsia="bg-BG"/>
        </w:rPr>
        <w:t xml:space="preserve"> в кърмата</w:t>
      </w:r>
    </w:p>
    <w:p w14:paraId="2C9BF32B" w14:textId="77777777" w:rsidR="006A61C1" w:rsidRPr="006A61C1" w:rsidRDefault="006A61C1" w:rsidP="006A61C1">
      <w:pPr>
        <w:spacing w:line="240" w:lineRule="auto"/>
        <w:rPr>
          <w:rFonts w:eastAsia="Times New Roman" w:cs="Arial"/>
        </w:rPr>
      </w:pPr>
    </w:p>
    <w:p w14:paraId="1BDBE06B" w14:textId="3CF409DE" w:rsidR="004D4D6B" w:rsidRDefault="002C50EE" w:rsidP="002B3C38">
      <w:pPr>
        <w:pStyle w:val="Heading2"/>
      </w:pPr>
      <w:r>
        <w:t>5.3. Предклинични данни за безопасност</w:t>
      </w:r>
    </w:p>
    <w:p w14:paraId="4B693122" w14:textId="77777777" w:rsidR="006A61C1" w:rsidRDefault="006A61C1" w:rsidP="006A61C1"/>
    <w:p w14:paraId="792B637C" w14:textId="54228585" w:rsidR="006A61C1" w:rsidRPr="006A61C1" w:rsidRDefault="006A61C1" w:rsidP="006A61C1">
      <w:r>
        <w:lastRenderedPageBreak/>
        <w:t>Няма значими данни за предписващия, които не са отразени на друго място в КХП.</w:t>
      </w:r>
    </w:p>
    <w:p w14:paraId="6940F72E" w14:textId="1D8EBBD2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21C0233F" w14:textId="77777777" w:rsidR="006A61C1" w:rsidRDefault="006A61C1" w:rsidP="006A61C1">
      <w:proofErr w:type="spellStart"/>
      <w:r>
        <w:t>Medochemie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., </w:t>
      </w:r>
    </w:p>
    <w:p w14:paraId="7EF07B13" w14:textId="46AACE7B" w:rsidR="006A61C1" w:rsidRDefault="006A61C1" w:rsidP="006A61C1">
      <w:r>
        <w:rPr>
          <w:lang w:eastAsia="bg-BG"/>
        </w:rPr>
        <w:t xml:space="preserve">1-10 </w:t>
      </w:r>
      <w:proofErr w:type="spellStart"/>
      <w:r>
        <w:t>Constantinoupoleos</w:t>
      </w:r>
      <w:proofErr w:type="spellEnd"/>
      <w:r>
        <w:t xml:space="preserve">, </w:t>
      </w:r>
    </w:p>
    <w:p w14:paraId="34DC6A67" w14:textId="27D7053B" w:rsidR="006A61C1" w:rsidRDefault="006A61C1" w:rsidP="006A61C1">
      <w:r>
        <w:t>P.O. B</w:t>
      </w:r>
      <w:proofErr w:type="spellStart"/>
      <w:r>
        <w:t>ox</w:t>
      </w:r>
      <w:proofErr w:type="spellEnd"/>
      <w:r>
        <w:t xml:space="preserve"> 51409, </w:t>
      </w:r>
    </w:p>
    <w:p w14:paraId="79CC25E7" w14:textId="77777777" w:rsidR="006A61C1" w:rsidRDefault="006A61C1" w:rsidP="006A61C1">
      <w:proofErr w:type="spellStart"/>
      <w:r>
        <w:t>Limassol</w:t>
      </w:r>
      <w:proofErr w:type="spellEnd"/>
      <w:r>
        <w:t xml:space="preserve">, CY-3505, </w:t>
      </w:r>
    </w:p>
    <w:p w14:paraId="07C8324C" w14:textId="06EAD3CD" w:rsidR="006A61C1" w:rsidRPr="006A61C1" w:rsidRDefault="006A61C1" w:rsidP="006A61C1">
      <w:r>
        <w:rPr>
          <w:lang w:eastAsia="bg-BG"/>
        </w:rPr>
        <w:t>Кипър</w:t>
      </w:r>
    </w:p>
    <w:p w14:paraId="04840D59" w14:textId="6314E434" w:rsidR="002C50EE" w:rsidRDefault="002C50EE" w:rsidP="002C50EE">
      <w:pPr>
        <w:pStyle w:val="Heading1"/>
      </w:pPr>
      <w:r>
        <w:t>8. НОМЕР НА РАЗРЕШЕНИЕТО ЗА УПОТРЕБА</w:t>
      </w:r>
    </w:p>
    <w:p w14:paraId="2CFAEF98" w14:textId="77777777" w:rsidR="006A61C1" w:rsidRDefault="006A61C1" w:rsidP="006A61C1"/>
    <w:p w14:paraId="33838133" w14:textId="2DA84F67" w:rsidR="006A61C1" w:rsidRPr="006A61C1" w:rsidRDefault="006A61C1" w:rsidP="006A61C1">
      <w:proofErr w:type="spellStart"/>
      <w:r>
        <w:t>Per</w:t>
      </w:r>
      <w:proofErr w:type="spellEnd"/>
      <w:r>
        <w:t>. №: 20040101</w:t>
      </w:r>
    </w:p>
    <w:p w14:paraId="5900CBF3" w14:textId="31C67781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1FE25A15" w14:textId="77777777" w:rsidR="006A61C1" w:rsidRDefault="006A61C1" w:rsidP="006A61C1">
      <w:pPr>
        <w:rPr>
          <w:lang w:eastAsia="bg-BG"/>
        </w:rPr>
      </w:pPr>
    </w:p>
    <w:p w14:paraId="1FC6FAF1" w14:textId="1C4861F3" w:rsidR="006A61C1" w:rsidRPr="006A61C1" w:rsidRDefault="006A61C1" w:rsidP="006A61C1">
      <w:pPr>
        <w:rPr>
          <w:sz w:val="24"/>
          <w:szCs w:val="24"/>
        </w:rPr>
      </w:pPr>
      <w:r w:rsidRPr="006A61C1">
        <w:rPr>
          <w:lang w:eastAsia="bg-BG"/>
        </w:rPr>
        <w:t>Дата на първо разрешаване: 08 март 2004 г.</w:t>
      </w:r>
    </w:p>
    <w:p w14:paraId="25E36F2D" w14:textId="2F95AE31" w:rsidR="006A61C1" w:rsidRPr="006A61C1" w:rsidRDefault="006A61C1" w:rsidP="006A61C1">
      <w:r w:rsidRPr="006A61C1">
        <w:rPr>
          <w:lang w:eastAsia="bg-BG"/>
        </w:rPr>
        <w:t>Дата на последно подновяване: 03 юли 2009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4EF485BA" w:rsidR="00C87E90" w:rsidRPr="003E3126" w:rsidRDefault="006A61C1" w:rsidP="006A61C1">
      <w:r>
        <w:t>02/2018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6276B70"/>
    <w:multiLevelType w:val="hybridMultilevel"/>
    <w:tmpl w:val="DA60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25"/>
  </w:num>
  <w:num w:numId="12">
    <w:abstractNumId w:val="12"/>
  </w:num>
  <w:num w:numId="13">
    <w:abstractNumId w:val="17"/>
  </w:num>
  <w:num w:numId="14">
    <w:abstractNumId w:val="10"/>
  </w:num>
  <w:num w:numId="15">
    <w:abstractNumId w:val="24"/>
  </w:num>
  <w:num w:numId="16">
    <w:abstractNumId w:val="7"/>
  </w:num>
  <w:num w:numId="17">
    <w:abstractNumId w:val="20"/>
  </w:num>
  <w:num w:numId="18">
    <w:abstractNumId w:val="5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16"/>
  </w:num>
  <w:num w:numId="24">
    <w:abstractNumId w:val="6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0D10BC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6A61C1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DD6719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2021-09-15T09:39:00Z</dcterms:created>
  <dcterms:modified xsi:type="dcterms:W3CDTF">2021-09-15T09:39:00Z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