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6169212C" w:rsidR="00F53FB7" w:rsidRDefault="00DD466D" w:rsidP="00A93499">
      <w:pPr>
        <w:pStyle w:val="Heading1"/>
      </w:pPr>
      <w:r>
        <w:t>1.ИМЕ НА ЛЕКАРСТВЕНИЯ ПРОДУКТ</w:t>
      </w:r>
    </w:p>
    <w:p w14:paraId="192A848E" w14:textId="0F2C00D3" w:rsidR="005A7FB7" w:rsidRDefault="005A7FB7" w:rsidP="005A7FB7"/>
    <w:p w14:paraId="15AA7E49" w14:textId="77777777" w:rsidR="005A7FB7" w:rsidRPr="005A7FB7" w:rsidRDefault="005A7FB7" w:rsidP="005A7FB7">
      <w:pPr>
        <w:rPr>
          <w:sz w:val="24"/>
          <w:szCs w:val="24"/>
          <w:lang w:eastAsia="bg-BG"/>
        </w:rPr>
      </w:pPr>
      <w:r w:rsidRPr="005A7FB7">
        <w:rPr>
          <w:lang w:eastAsia="bg-BG"/>
        </w:rPr>
        <w:t xml:space="preserve">АКСЕТИН 250 </w:t>
      </w:r>
      <w:r w:rsidRPr="005A7FB7">
        <w:rPr>
          <w:lang w:val="en-US"/>
        </w:rPr>
        <w:t xml:space="preserve">mg </w:t>
      </w:r>
      <w:r w:rsidRPr="005A7FB7">
        <w:rPr>
          <w:lang w:eastAsia="bg-BG"/>
        </w:rPr>
        <w:t>филмирани таблетки</w:t>
      </w:r>
    </w:p>
    <w:p w14:paraId="48BB8412" w14:textId="77777777" w:rsidR="005A7FB7" w:rsidRPr="005A7FB7" w:rsidRDefault="005A7FB7" w:rsidP="005A7FB7">
      <w:pPr>
        <w:rPr>
          <w:sz w:val="24"/>
          <w:szCs w:val="24"/>
          <w:lang w:eastAsia="bg-BG"/>
        </w:rPr>
      </w:pPr>
      <w:r w:rsidRPr="005A7FB7">
        <w:rPr>
          <w:lang w:val="en-US"/>
        </w:rPr>
        <w:t xml:space="preserve">AXETINE </w:t>
      </w:r>
      <w:r w:rsidRPr="005A7FB7">
        <w:rPr>
          <w:lang w:eastAsia="bg-BG"/>
        </w:rPr>
        <w:t xml:space="preserve">250 </w:t>
      </w:r>
      <w:r w:rsidRPr="005A7FB7">
        <w:rPr>
          <w:lang w:val="en-US"/>
        </w:rPr>
        <w:t>mg film-coated tablets</w:t>
      </w:r>
    </w:p>
    <w:p w14:paraId="5CC6804D" w14:textId="77777777" w:rsidR="005A7FB7" w:rsidRPr="005A7FB7" w:rsidRDefault="005A7FB7" w:rsidP="005A7FB7">
      <w:pPr>
        <w:rPr>
          <w:sz w:val="24"/>
          <w:szCs w:val="24"/>
          <w:lang w:eastAsia="bg-BG"/>
        </w:rPr>
      </w:pPr>
      <w:r w:rsidRPr="005A7FB7">
        <w:rPr>
          <w:lang w:eastAsia="bg-BG"/>
        </w:rPr>
        <w:t xml:space="preserve">АКСЕТИН 500 </w:t>
      </w:r>
      <w:r w:rsidRPr="005A7FB7">
        <w:rPr>
          <w:lang w:val="en-US"/>
        </w:rPr>
        <w:t xml:space="preserve">mg </w:t>
      </w:r>
      <w:r w:rsidRPr="005A7FB7">
        <w:rPr>
          <w:lang w:eastAsia="bg-BG"/>
        </w:rPr>
        <w:t>филмирани таблетки</w:t>
      </w:r>
    </w:p>
    <w:p w14:paraId="4634FB0A" w14:textId="77777777" w:rsidR="005A7FB7" w:rsidRPr="005A7FB7" w:rsidRDefault="005A7FB7" w:rsidP="005A7FB7">
      <w:pPr>
        <w:rPr>
          <w:sz w:val="24"/>
          <w:szCs w:val="24"/>
          <w:lang w:eastAsia="bg-BG"/>
        </w:rPr>
      </w:pPr>
      <w:r w:rsidRPr="005A7FB7">
        <w:rPr>
          <w:lang w:val="en-US"/>
        </w:rPr>
        <w:t xml:space="preserve">AXETINE </w:t>
      </w:r>
      <w:r w:rsidRPr="005A7FB7">
        <w:rPr>
          <w:lang w:eastAsia="bg-BG"/>
        </w:rPr>
        <w:t xml:space="preserve">500 </w:t>
      </w:r>
      <w:r w:rsidRPr="005A7FB7">
        <w:rPr>
          <w:lang w:val="en-US"/>
        </w:rPr>
        <w:t>mg film-coated tablets</w:t>
      </w:r>
    </w:p>
    <w:p w14:paraId="26284BD6" w14:textId="77777777" w:rsidR="005A7FB7" w:rsidRPr="005A7FB7" w:rsidRDefault="005A7FB7" w:rsidP="005A7FB7"/>
    <w:p w14:paraId="0DF202EC" w14:textId="1292381E" w:rsidR="00F53FB7" w:rsidRDefault="00DD466D" w:rsidP="00A93499">
      <w:pPr>
        <w:pStyle w:val="Heading1"/>
      </w:pPr>
      <w:r>
        <w:t>2. КАЧЕСТВЕН И КОЛИЧЕСТВЕН СЪСТАВ</w:t>
      </w:r>
    </w:p>
    <w:p w14:paraId="0E7F8BA7" w14:textId="4E1D3459" w:rsidR="005A7FB7" w:rsidRDefault="005A7FB7" w:rsidP="005A7FB7"/>
    <w:p w14:paraId="4339D9D7" w14:textId="77777777" w:rsidR="005A7FB7" w:rsidRPr="005A7FB7" w:rsidRDefault="005A7FB7" w:rsidP="005A7FB7">
      <w:pPr>
        <w:rPr>
          <w:sz w:val="24"/>
          <w:szCs w:val="24"/>
          <w:lang w:eastAsia="bg-BG"/>
        </w:rPr>
      </w:pPr>
      <w:r w:rsidRPr="005A7FB7">
        <w:rPr>
          <w:lang w:eastAsia="bg-BG"/>
        </w:rPr>
        <w:t xml:space="preserve">АКСЕТИН 250 </w:t>
      </w:r>
      <w:r w:rsidRPr="005A7FB7">
        <w:rPr>
          <w:lang w:val="en-US"/>
        </w:rPr>
        <w:t xml:space="preserve">mg </w:t>
      </w:r>
      <w:r w:rsidRPr="005A7FB7">
        <w:rPr>
          <w:lang w:eastAsia="bg-BG"/>
        </w:rPr>
        <w:t xml:space="preserve">филмирани таблетки съдържат 250 </w:t>
      </w:r>
      <w:r w:rsidRPr="005A7FB7">
        <w:rPr>
          <w:lang w:val="en-US"/>
        </w:rPr>
        <w:t xml:space="preserve">mg </w:t>
      </w:r>
      <w:r w:rsidRPr="005A7FB7">
        <w:rPr>
          <w:lang w:eastAsia="bg-BG"/>
        </w:rPr>
        <w:t xml:space="preserve">цефуроксим </w:t>
      </w:r>
      <w:r w:rsidRPr="005A7FB7">
        <w:rPr>
          <w:i/>
          <w:iCs/>
          <w:lang w:val="en-US"/>
        </w:rPr>
        <w:t>(</w:t>
      </w:r>
      <w:proofErr w:type="spellStart"/>
      <w:r w:rsidRPr="005A7FB7">
        <w:rPr>
          <w:i/>
          <w:iCs/>
          <w:lang w:val="en-US"/>
        </w:rPr>
        <w:t>cefuraxime</w:t>
      </w:r>
      <w:proofErr w:type="spellEnd"/>
      <w:r w:rsidRPr="005A7FB7">
        <w:rPr>
          <w:i/>
          <w:iCs/>
          <w:lang w:val="en-US"/>
        </w:rPr>
        <w:t>)</w:t>
      </w:r>
      <w:r w:rsidRPr="005A7FB7">
        <w:rPr>
          <w:lang w:val="en-US"/>
        </w:rPr>
        <w:t xml:space="preserve"> </w:t>
      </w:r>
      <w:r w:rsidRPr="005A7FB7">
        <w:rPr>
          <w:lang w:eastAsia="bg-BG"/>
        </w:rPr>
        <w:t xml:space="preserve">като цефуроксим аксетил </w:t>
      </w:r>
      <w:r w:rsidRPr="005A7FB7">
        <w:rPr>
          <w:i/>
          <w:iCs/>
          <w:lang w:val="en-US"/>
        </w:rPr>
        <w:t>(</w:t>
      </w:r>
      <w:proofErr w:type="spellStart"/>
      <w:r w:rsidRPr="005A7FB7">
        <w:rPr>
          <w:i/>
          <w:iCs/>
          <w:lang w:val="en-US"/>
        </w:rPr>
        <w:t>cefuraxime</w:t>
      </w:r>
      <w:proofErr w:type="spellEnd"/>
      <w:r w:rsidRPr="005A7FB7">
        <w:rPr>
          <w:i/>
          <w:iCs/>
          <w:lang w:val="en-US"/>
        </w:rPr>
        <w:t xml:space="preserve"> </w:t>
      </w:r>
      <w:proofErr w:type="spellStart"/>
      <w:r w:rsidRPr="005A7FB7">
        <w:rPr>
          <w:i/>
          <w:iCs/>
          <w:lang w:val="en-US"/>
        </w:rPr>
        <w:t>axetil</w:t>
      </w:r>
      <w:proofErr w:type="spellEnd"/>
      <w:r w:rsidRPr="005A7FB7">
        <w:rPr>
          <w:i/>
          <w:iCs/>
          <w:lang w:val="en-US"/>
        </w:rPr>
        <w:t>).</w:t>
      </w:r>
    </w:p>
    <w:p w14:paraId="1D66D3C4" w14:textId="77777777" w:rsidR="005A7FB7" w:rsidRPr="005A7FB7" w:rsidRDefault="005A7FB7" w:rsidP="005A7FB7">
      <w:pPr>
        <w:rPr>
          <w:sz w:val="24"/>
          <w:szCs w:val="24"/>
          <w:lang w:eastAsia="bg-BG"/>
        </w:rPr>
      </w:pPr>
      <w:r w:rsidRPr="005A7FB7">
        <w:rPr>
          <w:lang w:eastAsia="bg-BG"/>
        </w:rPr>
        <w:t xml:space="preserve">АКСЕТИН 500 </w:t>
      </w:r>
      <w:r w:rsidRPr="005A7FB7">
        <w:rPr>
          <w:lang w:val="en-US"/>
        </w:rPr>
        <w:t xml:space="preserve">mg </w:t>
      </w:r>
      <w:r w:rsidRPr="005A7FB7">
        <w:rPr>
          <w:lang w:eastAsia="bg-BG"/>
        </w:rPr>
        <w:t xml:space="preserve">филмирани таблетки съдържат 500 </w:t>
      </w:r>
      <w:r w:rsidRPr="005A7FB7">
        <w:rPr>
          <w:lang w:val="en-US"/>
        </w:rPr>
        <w:t xml:space="preserve">mg </w:t>
      </w:r>
      <w:r w:rsidRPr="005A7FB7">
        <w:rPr>
          <w:lang w:eastAsia="bg-BG"/>
        </w:rPr>
        <w:t xml:space="preserve">цефуроксим </w:t>
      </w:r>
      <w:r w:rsidRPr="005A7FB7">
        <w:rPr>
          <w:i/>
          <w:iCs/>
          <w:lang w:val="en-US"/>
        </w:rPr>
        <w:t>(</w:t>
      </w:r>
      <w:proofErr w:type="spellStart"/>
      <w:r w:rsidRPr="005A7FB7">
        <w:rPr>
          <w:i/>
          <w:iCs/>
          <w:lang w:val="en-US"/>
        </w:rPr>
        <w:t>cefuraxime</w:t>
      </w:r>
      <w:proofErr w:type="spellEnd"/>
      <w:r w:rsidRPr="005A7FB7">
        <w:rPr>
          <w:i/>
          <w:iCs/>
          <w:lang w:val="en-US"/>
        </w:rPr>
        <w:t>)</w:t>
      </w:r>
      <w:r w:rsidRPr="005A7FB7">
        <w:rPr>
          <w:lang w:val="en-US"/>
        </w:rPr>
        <w:t xml:space="preserve"> </w:t>
      </w:r>
      <w:r w:rsidRPr="005A7FB7">
        <w:rPr>
          <w:lang w:eastAsia="bg-BG"/>
        </w:rPr>
        <w:t xml:space="preserve">като цефуроксим аксетил </w:t>
      </w:r>
      <w:r w:rsidRPr="005A7FB7">
        <w:rPr>
          <w:i/>
          <w:iCs/>
          <w:lang w:val="en-US"/>
        </w:rPr>
        <w:t>(</w:t>
      </w:r>
      <w:proofErr w:type="spellStart"/>
      <w:r w:rsidRPr="005A7FB7">
        <w:rPr>
          <w:i/>
          <w:iCs/>
          <w:lang w:val="en-US"/>
        </w:rPr>
        <w:t>cefuraxime</w:t>
      </w:r>
      <w:proofErr w:type="spellEnd"/>
      <w:r w:rsidRPr="005A7FB7">
        <w:rPr>
          <w:i/>
          <w:iCs/>
          <w:lang w:val="en-US"/>
        </w:rPr>
        <w:t xml:space="preserve"> </w:t>
      </w:r>
      <w:proofErr w:type="spellStart"/>
      <w:r w:rsidRPr="005A7FB7">
        <w:rPr>
          <w:i/>
          <w:iCs/>
          <w:lang w:val="en-US"/>
        </w:rPr>
        <w:t>axetil</w:t>
      </w:r>
      <w:proofErr w:type="spellEnd"/>
      <w:r w:rsidRPr="005A7FB7">
        <w:rPr>
          <w:i/>
          <w:iCs/>
          <w:lang w:val="en-US"/>
        </w:rPr>
        <w:t>).</w:t>
      </w:r>
    </w:p>
    <w:p w14:paraId="27412511" w14:textId="77777777" w:rsidR="005A7FB7" w:rsidRDefault="005A7FB7" w:rsidP="005A7FB7">
      <w:pPr>
        <w:rPr>
          <w:lang w:eastAsia="bg-BG"/>
        </w:rPr>
      </w:pPr>
    </w:p>
    <w:p w14:paraId="0CD6C4B2" w14:textId="40AF7C52" w:rsidR="005A7FB7" w:rsidRPr="005A7FB7" w:rsidRDefault="005A7FB7" w:rsidP="005A7FB7">
      <w:pPr>
        <w:rPr>
          <w:sz w:val="24"/>
          <w:szCs w:val="24"/>
          <w:lang w:eastAsia="bg-BG"/>
        </w:rPr>
      </w:pPr>
      <w:r w:rsidRPr="005A7FB7">
        <w:rPr>
          <w:lang w:eastAsia="bg-BG"/>
        </w:rPr>
        <w:t>Помощно вещество с известно действие: пропилен гликол.</w:t>
      </w:r>
    </w:p>
    <w:p w14:paraId="516E1A64" w14:textId="77777777" w:rsidR="005A7FB7" w:rsidRPr="005A7FB7" w:rsidRDefault="005A7FB7" w:rsidP="005A7FB7"/>
    <w:p w14:paraId="4CABB9ED" w14:textId="0EECDA95" w:rsidR="00F53FB7" w:rsidRDefault="00DD466D" w:rsidP="00A93499">
      <w:pPr>
        <w:pStyle w:val="Heading1"/>
      </w:pPr>
      <w:r>
        <w:t>3. ЛЕКАРСТВЕНА ФОРМА</w:t>
      </w:r>
    </w:p>
    <w:p w14:paraId="2F8A3842" w14:textId="649D034E" w:rsidR="005A7FB7" w:rsidRDefault="005A7FB7" w:rsidP="005A7FB7"/>
    <w:p w14:paraId="02981E46"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Филмирана таблетка</w:t>
      </w:r>
    </w:p>
    <w:p w14:paraId="20CE0D9E"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 xml:space="preserve">АКСЕТИН 250 </w:t>
      </w:r>
      <w:r w:rsidRPr="005A7FB7">
        <w:rPr>
          <w:rFonts w:eastAsia="Times New Roman" w:cs="Arial"/>
          <w:color w:val="000000"/>
          <w:lang w:val="en-US"/>
        </w:rPr>
        <w:t xml:space="preserve">mg </w:t>
      </w:r>
      <w:r w:rsidRPr="005A7FB7">
        <w:rPr>
          <w:rFonts w:eastAsia="Times New Roman" w:cs="Arial"/>
          <w:color w:val="000000"/>
          <w:lang w:eastAsia="bg-BG"/>
        </w:rPr>
        <w:t xml:space="preserve">филмирани таблетки: бели с форма на капсула филмирани таблетки, с делител на черта едностранно и диаметър на ядрото 14 </w:t>
      </w:r>
      <w:r w:rsidRPr="005A7FB7">
        <w:rPr>
          <w:rFonts w:eastAsia="Times New Roman" w:cs="Arial"/>
          <w:color w:val="000000"/>
          <w:lang w:val="en-US"/>
        </w:rPr>
        <w:t>mm.</w:t>
      </w:r>
    </w:p>
    <w:p w14:paraId="1BED23FF"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 xml:space="preserve">АКСЕТИН 500 </w:t>
      </w:r>
      <w:r w:rsidRPr="005A7FB7">
        <w:rPr>
          <w:rFonts w:eastAsia="Times New Roman" w:cs="Arial"/>
          <w:color w:val="000000"/>
          <w:lang w:val="en-US"/>
        </w:rPr>
        <w:t xml:space="preserve">mg: </w:t>
      </w:r>
      <w:r w:rsidRPr="005A7FB7">
        <w:rPr>
          <w:rFonts w:eastAsia="Times New Roman" w:cs="Arial"/>
          <w:color w:val="000000"/>
          <w:lang w:eastAsia="bg-BG"/>
        </w:rPr>
        <w:t xml:space="preserve">бели с форма на капсула филмирани таблетки, с делителна черта едностранно и диаметър на ядрото 19 </w:t>
      </w:r>
      <w:r w:rsidRPr="005A7FB7">
        <w:rPr>
          <w:rFonts w:eastAsia="Times New Roman" w:cs="Arial"/>
          <w:color w:val="000000"/>
          <w:lang w:val="en-US"/>
        </w:rPr>
        <w:t>mm.</w:t>
      </w:r>
    </w:p>
    <w:p w14:paraId="2BA5D1A3" w14:textId="77777777" w:rsidR="005A7FB7" w:rsidRPr="005A7FB7" w:rsidRDefault="005A7FB7" w:rsidP="005A7FB7">
      <w:pPr>
        <w:spacing w:line="240" w:lineRule="auto"/>
        <w:rPr>
          <w:rFonts w:eastAsia="Times New Roman" w:cs="Arial"/>
          <w:color w:val="000000"/>
          <w:lang w:eastAsia="bg-BG"/>
        </w:rPr>
      </w:pPr>
    </w:p>
    <w:p w14:paraId="738A9D97" w14:textId="73C36FD2"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Делителната черта е само за улесняване на счупването с цел по-лесно поглъщане, а не за разделяне на равни дози.</w:t>
      </w:r>
    </w:p>
    <w:p w14:paraId="7694C48A" w14:textId="77777777" w:rsidR="005A7FB7" w:rsidRPr="005A7FB7" w:rsidRDefault="005A7FB7" w:rsidP="005A7FB7"/>
    <w:p w14:paraId="490FC2C4" w14:textId="6899DE43" w:rsidR="002C50EE" w:rsidRDefault="002C50EE" w:rsidP="002C50EE">
      <w:pPr>
        <w:pStyle w:val="Heading1"/>
      </w:pPr>
      <w:r>
        <w:t>4. КЛИНИЧНИ ДАННИ</w:t>
      </w:r>
    </w:p>
    <w:p w14:paraId="1AEF7FB6" w14:textId="2FB32AA3" w:rsidR="00A428B7" w:rsidRDefault="002C50EE" w:rsidP="00340E8D">
      <w:pPr>
        <w:pStyle w:val="Heading2"/>
      </w:pPr>
      <w:r>
        <w:t>4.1. Терапевтични показания</w:t>
      </w:r>
    </w:p>
    <w:p w14:paraId="077783F6" w14:textId="0F0E388E" w:rsidR="005A7FB7" w:rsidRDefault="005A7FB7" w:rsidP="005A7FB7"/>
    <w:p w14:paraId="78A5E65B"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Цефуроксим аксетил е показан за лечение на инфекциите, посочени по-долу при възрастни и деца на възраст на и над 3 месеца (вижте точка 4.4 и точка 5.1):</w:t>
      </w:r>
    </w:p>
    <w:p w14:paraId="64C10BA4" w14:textId="77777777" w:rsidR="005A7FB7" w:rsidRDefault="005A7FB7" w:rsidP="005A7FB7">
      <w:pPr>
        <w:spacing w:line="240" w:lineRule="auto"/>
        <w:rPr>
          <w:rFonts w:eastAsia="Times New Roman" w:cs="Arial"/>
          <w:color w:val="000000"/>
          <w:lang w:eastAsia="bg-BG"/>
        </w:rPr>
      </w:pPr>
    </w:p>
    <w:p w14:paraId="330D6044" w14:textId="77777777" w:rsidR="005A7FB7" w:rsidRDefault="005A7FB7" w:rsidP="005A7FB7">
      <w:pPr>
        <w:pStyle w:val="ListParagraph"/>
        <w:numPr>
          <w:ilvl w:val="0"/>
          <w:numId w:val="40"/>
        </w:numPr>
        <w:spacing w:line="240" w:lineRule="auto"/>
        <w:rPr>
          <w:rFonts w:eastAsia="Times New Roman" w:cs="Arial"/>
          <w:color w:val="000000"/>
          <w:lang w:eastAsia="bg-BG"/>
        </w:rPr>
      </w:pPr>
      <w:r w:rsidRPr="005A7FB7">
        <w:rPr>
          <w:rFonts w:eastAsia="Times New Roman" w:cs="Arial"/>
          <w:color w:val="000000"/>
          <w:lang w:eastAsia="bg-BG"/>
        </w:rPr>
        <w:t>Остър стрептококов тонзилит и фарингит;</w:t>
      </w:r>
    </w:p>
    <w:p w14:paraId="2DD727C1" w14:textId="77777777" w:rsidR="005A7FB7" w:rsidRDefault="005A7FB7" w:rsidP="005A7FB7">
      <w:pPr>
        <w:pStyle w:val="ListParagraph"/>
        <w:numPr>
          <w:ilvl w:val="0"/>
          <w:numId w:val="40"/>
        </w:numPr>
        <w:spacing w:line="240" w:lineRule="auto"/>
        <w:rPr>
          <w:rFonts w:eastAsia="Times New Roman" w:cs="Arial"/>
          <w:color w:val="000000"/>
          <w:lang w:eastAsia="bg-BG"/>
        </w:rPr>
      </w:pPr>
      <w:r w:rsidRPr="005A7FB7">
        <w:rPr>
          <w:rFonts w:eastAsia="Times New Roman" w:cs="Arial"/>
          <w:color w:val="000000"/>
          <w:lang w:eastAsia="bg-BG"/>
        </w:rPr>
        <w:t>Остър бактериален синузит;</w:t>
      </w:r>
    </w:p>
    <w:p w14:paraId="6F36FB3E" w14:textId="77777777" w:rsidR="005A7FB7" w:rsidRDefault="005A7FB7" w:rsidP="005A7FB7">
      <w:pPr>
        <w:pStyle w:val="ListParagraph"/>
        <w:numPr>
          <w:ilvl w:val="0"/>
          <w:numId w:val="40"/>
        </w:numPr>
        <w:spacing w:line="240" w:lineRule="auto"/>
        <w:rPr>
          <w:rFonts w:eastAsia="Times New Roman" w:cs="Arial"/>
          <w:color w:val="000000"/>
          <w:lang w:eastAsia="bg-BG"/>
        </w:rPr>
      </w:pPr>
      <w:r w:rsidRPr="005A7FB7">
        <w:rPr>
          <w:rFonts w:eastAsia="Times New Roman" w:cs="Arial"/>
          <w:color w:val="000000"/>
          <w:lang w:eastAsia="bg-BG"/>
        </w:rPr>
        <w:t>Остър отит на средното ухо;</w:t>
      </w:r>
    </w:p>
    <w:p w14:paraId="7C59BE7F" w14:textId="77777777" w:rsidR="005A7FB7" w:rsidRDefault="005A7FB7" w:rsidP="005A7FB7">
      <w:pPr>
        <w:pStyle w:val="ListParagraph"/>
        <w:numPr>
          <w:ilvl w:val="0"/>
          <w:numId w:val="40"/>
        </w:numPr>
        <w:spacing w:line="240" w:lineRule="auto"/>
        <w:rPr>
          <w:rFonts w:eastAsia="Times New Roman" w:cs="Arial"/>
          <w:color w:val="000000"/>
          <w:lang w:eastAsia="bg-BG"/>
        </w:rPr>
      </w:pPr>
      <w:r w:rsidRPr="005A7FB7">
        <w:rPr>
          <w:rFonts w:eastAsia="Times New Roman" w:cs="Arial"/>
          <w:color w:val="000000"/>
          <w:lang w:eastAsia="bg-BG"/>
        </w:rPr>
        <w:t>Остри екзацербации на хроничен бронхит;</w:t>
      </w:r>
    </w:p>
    <w:p w14:paraId="78FC2EA8" w14:textId="77777777" w:rsidR="005A7FB7" w:rsidRDefault="005A7FB7" w:rsidP="005A7FB7">
      <w:pPr>
        <w:pStyle w:val="ListParagraph"/>
        <w:numPr>
          <w:ilvl w:val="0"/>
          <w:numId w:val="40"/>
        </w:numPr>
        <w:spacing w:line="240" w:lineRule="auto"/>
        <w:rPr>
          <w:rFonts w:eastAsia="Times New Roman" w:cs="Arial"/>
          <w:color w:val="000000"/>
          <w:lang w:eastAsia="bg-BG"/>
        </w:rPr>
      </w:pPr>
      <w:r w:rsidRPr="005A7FB7">
        <w:rPr>
          <w:rFonts w:eastAsia="Times New Roman" w:cs="Arial"/>
          <w:color w:val="000000"/>
          <w:lang w:eastAsia="bg-BG"/>
        </w:rPr>
        <w:t>Цистит;</w:t>
      </w:r>
    </w:p>
    <w:p w14:paraId="579D4378" w14:textId="77777777" w:rsidR="005A7FB7" w:rsidRDefault="005A7FB7" w:rsidP="005A7FB7">
      <w:pPr>
        <w:pStyle w:val="ListParagraph"/>
        <w:numPr>
          <w:ilvl w:val="0"/>
          <w:numId w:val="40"/>
        </w:numPr>
        <w:spacing w:line="240" w:lineRule="auto"/>
        <w:rPr>
          <w:rFonts w:eastAsia="Times New Roman" w:cs="Arial"/>
          <w:color w:val="000000"/>
          <w:lang w:eastAsia="bg-BG"/>
        </w:rPr>
      </w:pPr>
      <w:r w:rsidRPr="005A7FB7">
        <w:rPr>
          <w:rFonts w:eastAsia="Times New Roman" w:cs="Arial"/>
          <w:color w:val="000000"/>
          <w:lang w:eastAsia="bg-BG"/>
        </w:rPr>
        <w:t>Пиелонефрит;</w:t>
      </w:r>
    </w:p>
    <w:p w14:paraId="220ED9A7" w14:textId="77777777" w:rsidR="005A7FB7" w:rsidRDefault="005A7FB7" w:rsidP="005A7FB7">
      <w:pPr>
        <w:pStyle w:val="ListParagraph"/>
        <w:numPr>
          <w:ilvl w:val="0"/>
          <w:numId w:val="40"/>
        </w:numPr>
        <w:spacing w:line="240" w:lineRule="auto"/>
        <w:rPr>
          <w:rFonts w:eastAsia="Times New Roman" w:cs="Arial"/>
          <w:color w:val="000000"/>
          <w:lang w:eastAsia="bg-BG"/>
        </w:rPr>
      </w:pPr>
      <w:r w:rsidRPr="005A7FB7">
        <w:rPr>
          <w:rFonts w:eastAsia="Times New Roman" w:cs="Arial"/>
          <w:color w:val="000000"/>
          <w:lang w:eastAsia="bg-BG"/>
        </w:rPr>
        <w:t>Неусложнени инфекции на кожата и меките тъкани;</w:t>
      </w:r>
    </w:p>
    <w:p w14:paraId="55689699" w14:textId="224DE9CB" w:rsidR="005A7FB7" w:rsidRPr="005A7FB7" w:rsidRDefault="005A7FB7" w:rsidP="005A7FB7">
      <w:pPr>
        <w:pStyle w:val="ListParagraph"/>
        <w:numPr>
          <w:ilvl w:val="0"/>
          <w:numId w:val="40"/>
        </w:numPr>
        <w:spacing w:line="240" w:lineRule="auto"/>
        <w:rPr>
          <w:rFonts w:eastAsia="Times New Roman" w:cs="Arial"/>
          <w:color w:val="000000"/>
          <w:lang w:eastAsia="bg-BG"/>
        </w:rPr>
      </w:pPr>
      <w:r w:rsidRPr="005A7FB7">
        <w:rPr>
          <w:rFonts w:eastAsia="Times New Roman" w:cs="Arial"/>
          <w:color w:val="000000"/>
          <w:lang w:eastAsia="bg-BG"/>
        </w:rPr>
        <w:lastRenderedPageBreak/>
        <w:t>Лечение на ранни прояви на Лаймска болест.</w:t>
      </w:r>
    </w:p>
    <w:p w14:paraId="28664EDD"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Трябва да се имат предвид официалните указания за правилно приложение на антибактериални продукти.</w:t>
      </w:r>
    </w:p>
    <w:p w14:paraId="2F9C5E4D" w14:textId="77777777" w:rsidR="005A7FB7" w:rsidRPr="005A7FB7" w:rsidRDefault="005A7FB7" w:rsidP="005A7FB7"/>
    <w:p w14:paraId="4EC58B12" w14:textId="04CF32FC" w:rsidR="00A428B7" w:rsidRDefault="002C50EE" w:rsidP="00340E8D">
      <w:pPr>
        <w:pStyle w:val="Heading2"/>
      </w:pPr>
      <w:r>
        <w:t>4.2. Дозировка и начин на приложение</w:t>
      </w:r>
    </w:p>
    <w:p w14:paraId="1BE396FC" w14:textId="0524062F" w:rsidR="005A7FB7" w:rsidRDefault="005A7FB7" w:rsidP="005A7FB7"/>
    <w:p w14:paraId="49967D3E" w14:textId="77777777" w:rsidR="005A7FB7" w:rsidRPr="005A7FB7" w:rsidRDefault="005A7FB7" w:rsidP="005A7FB7">
      <w:pPr>
        <w:pStyle w:val="Heading3"/>
        <w:rPr>
          <w:rFonts w:eastAsia="Times New Roman"/>
          <w:u w:val="single"/>
          <w:lang w:eastAsia="bg-BG"/>
        </w:rPr>
      </w:pPr>
      <w:r w:rsidRPr="005A7FB7">
        <w:rPr>
          <w:rFonts w:eastAsia="Times New Roman"/>
          <w:u w:val="single"/>
          <w:lang w:eastAsia="bg-BG"/>
        </w:rPr>
        <w:t>Дозировка</w:t>
      </w:r>
    </w:p>
    <w:p w14:paraId="520DFB3C" w14:textId="5505D58F" w:rsidR="005A7FB7" w:rsidRPr="005A7FB7" w:rsidRDefault="005A7FB7" w:rsidP="005A7FB7">
      <w:pPr>
        <w:rPr>
          <w:rFonts w:eastAsia="Times New Roman" w:cs="Arial"/>
          <w:color w:val="000000"/>
          <w:lang w:eastAsia="bg-BG"/>
        </w:rPr>
      </w:pPr>
      <w:r w:rsidRPr="005A7FB7">
        <w:rPr>
          <w:rFonts w:eastAsia="Times New Roman" w:cs="Arial"/>
          <w:color w:val="000000"/>
          <w:lang w:eastAsia="bg-BG"/>
        </w:rPr>
        <w:t>Обичайният курс на лечение е седем дни (може да варира от пет до десет</w:t>
      </w:r>
      <w:r w:rsidRPr="005A7FB7">
        <w:rPr>
          <w:rFonts w:eastAsia="Times New Roman" w:cs="Arial"/>
          <w:color w:val="000000"/>
          <w:lang w:val="en-US"/>
        </w:rPr>
        <w:t xml:space="preserve"> </w:t>
      </w:r>
      <w:r w:rsidRPr="005A7FB7">
        <w:rPr>
          <w:rFonts w:eastAsia="Times New Roman" w:cs="Arial"/>
          <w:color w:val="000000"/>
          <w:lang w:eastAsia="bg-BG"/>
        </w:rPr>
        <w:t>дни).</w:t>
      </w:r>
    </w:p>
    <w:p w14:paraId="5BDEA677" w14:textId="07A50311" w:rsidR="005A7FB7" w:rsidRPr="005A7FB7" w:rsidRDefault="005A7FB7" w:rsidP="005A7FB7">
      <w:pPr>
        <w:rPr>
          <w:rFonts w:eastAsia="Times New Roman" w:cs="Arial"/>
          <w:color w:val="000000"/>
          <w:lang w:eastAsia="bg-BG"/>
        </w:rPr>
      </w:pPr>
    </w:p>
    <w:p w14:paraId="607362DD" w14:textId="00F476EA" w:rsidR="005A7FB7" w:rsidRDefault="005A7FB7" w:rsidP="005A7FB7">
      <w:pPr>
        <w:rPr>
          <w:rFonts w:cs="Arial"/>
          <w:i/>
          <w:iCs/>
          <w:u w:val="single"/>
        </w:rPr>
      </w:pPr>
      <w:r w:rsidRPr="005A7FB7">
        <w:rPr>
          <w:rFonts w:cs="Arial"/>
          <w:i/>
          <w:iCs/>
          <w:u w:val="single"/>
        </w:rPr>
        <w:t>Таблица 1. Възрастни и деца (≥40 кг)</w:t>
      </w:r>
    </w:p>
    <w:tbl>
      <w:tblPr>
        <w:tblStyle w:val="TableGrid"/>
        <w:tblW w:w="0" w:type="auto"/>
        <w:tblLook w:val="04A0" w:firstRow="1" w:lastRow="0" w:firstColumn="1" w:lastColumn="0" w:noHBand="0" w:noVBand="1"/>
      </w:tblPr>
      <w:tblGrid>
        <w:gridCol w:w="4679"/>
        <w:gridCol w:w="4671"/>
      </w:tblGrid>
      <w:tr w:rsidR="005A7FB7" w14:paraId="3B4FE154" w14:textId="77777777" w:rsidTr="005A7FB7">
        <w:tc>
          <w:tcPr>
            <w:tcW w:w="4750" w:type="dxa"/>
          </w:tcPr>
          <w:p w14:paraId="19B4F5C1" w14:textId="2B816F52" w:rsidR="005A7FB7" w:rsidRPr="005A7FB7" w:rsidRDefault="005A7FB7" w:rsidP="005A7FB7">
            <w:pPr>
              <w:rPr>
                <w:rFonts w:cs="Arial"/>
              </w:rPr>
            </w:pPr>
            <w:r w:rsidRPr="005A7FB7">
              <w:t>Показание</w:t>
            </w:r>
          </w:p>
        </w:tc>
        <w:tc>
          <w:tcPr>
            <w:tcW w:w="4750" w:type="dxa"/>
          </w:tcPr>
          <w:p w14:paraId="4E44AA8E" w14:textId="1F986865" w:rsidR="005A7FB7" w:rsidRPr="005A7FB7" w:rsidRDefault="005A7FB7" w:rsidP="005A7FB7">
            <w:pPr>
              <w:rPr>
                <w:rFonts w:cs="Arial"/>
              </w:rPr>
            </w:pPr>
            <w:r w:rsidRPr="005A7FB7">
              <w:t>Дозировка</w:t>
            </w:r>
          </w:p>
        </w:tc>
      </w:tr>
      <w:tr w:rsidR="005A7FB7" w14:paraId="1AE80F0E" w14:textId="77777777" w:rsidTr="005A7FB7">
        <w:tc>
          <w:tcPr>
            <w:tcW w:w="4750" w:type="dxa"/>
          </w:tcPr>
          <w:p w14:paraId="028421E5" w14:textId="34E9A8BC" w:rsidR="005A7FB7" w:rsidRPr="005A7FB7" w:rsidRDefault="005A7FB7" w:rsidP="005A7FB7">
            <w:pPr>
              <w:rPr>
                <w:rFonts w:cs="Arial"/>
              </w:rPr>
            </w:pPr>
            <w:r w:rsidRPr="005A7FB7">
              <w:t>Остър тонзилит и фарингит, остър бактериален синузит</w:t>
            </w:r>
          </w:p>
        </w:tc>
        <w:tc>
          <w:tcPr>
            <w:tcW w:w="4750" w:type="dxa"/>
          </w:tcPr>
          <w:p w14:paraId="22150185" w14:textId="02FAF710" w:rsidR="005A7FB7" w:rsidRPr="005A7FB7" w:rsidRDefault="005A7FB7" w:rsidP="005A7FB7">
            <w:pPr>
              <w:rPr>
                <w:rFonts w:cs="Arial"/>
              </w:rPr>
            </w:pPr>
            <w:r w:rsidRPr="005A7FB7">
              <w:t xml:space="preserve">250 </w:t>
            </w:r>
            <w:r w:rsidRPr="005A7FB7">
              <w:rPr>
                <w:lang w:val="en-US"/>
              </w:rPr>
              <w:t xml:space="preserve">mg </w:t>
            </w:r>
            <w:r w:rsidRPr="005A7FB7">
              <w:t>два пъти дневно</w:t>
            </w:r>
          </w:p>
        </w:tc>
      </w:tr>
      <w:tr w:rsidR="005A7FB7" w14:paraId="2B35C600" w14:textId="77777777" w:rsidTr="005A7FB7">
        <w:tc>
          <w:tcPr>
            <w:tcW w:w="4750" w:type="dxa"/>
          </w:tcPr>
          <w:p w14:paraId="53965E5B" w14:textId="70E4CE37" w:rsidR="005A7FB7" w:rsidRPr="005A7FB7" w:rsidRDefault="005A7FB7" w:rsidP="005A7FB7">
            <w:pPr>
              <w:rPr>
                <w:rFonts w:cs="Arial"/>
              </w:rPr>
            </w:pPr>
            <w:r w:rsidRPr="005A7FB7">
              <w:t>Остър отит на средното ухо</w:t>
            </w:r>
          </w:p>
        </w:tc>
        <w:tc>
          <w:tcPr>
            <w:tcW w:w="4750" w:type="dxa"/>
          </w:tcPr>
          <w:p w14:paraId="4AAEB3D5" w14:textId="14C81709" w:rsidR="005A7FB7" w:rsidRPr="005A7FB7" w:rsidRDefault="005A7FB7" w:rsidP="005A7FB7">
            <w:pPr>
              <w:rPr>
                <w:rFonts w:cs="Arial"/>
              </w:rPr>
            </w:pPr>
            <w:r w:rsidRPr="005A7FB7">
              <w:t xml:space="preserve">500 </w:t>
            </w:r>
            <w:r w:rsidRPr="005A7FB7">
              <w:rPr>
                <w:lang w:val="en-US"/>
              </w:rPr>
              <w:t xml:space="preserve">mg </w:t>
            </w:r>
            <w:r w:rsidRPr="005A7FB7">
              <w:t>два пъти дневно</w:t>
            </w:r>
          </w:p>
        </w:tc>
      </w:tr>
      <w:tr w:rsidR="005A7FB7" w14:paraId="162FF7DE" w14:textId="77777777" w:rsidTr="005A7FB7">
        <w:tc>
          <w:tcPr>
            <w:tcW w:w="4750" w:type="dxa"/>
          </w:tcPr>
          <w:p w14:paraId="48F9BCC0" w14:textId="5B2872D5" w:rsidR="005A7FB7" w:rsidRPr="005A7FB7" w:rsidRDefault="005A7FB7" w:rsidP="005A7FB7">
            <w:pPr>
              <w:rPr>
                <w:rFonts w:cs="Arial"/>
              </w:rPr>
            </w:pPr>
            <w:r w:rsidRPr="005A7FB7">
              <w:t>Остри екзацербации на хроничен бронхит</w:t>
            </w:r>
          </w:p>
        </w:tc>
        <w:tc>
          <w:tcPr>
            <w:tcW w:w="4750" w:type="dxa"/>
          </w:tcPr>
          <w:p w14:paraId="2FCAE7EB" w14:textId="39CA48EB" w:rsidR="005A7FB7" w:rsidRPr="005A7FB7" w:rsidRDefault="005A7FB7" w:rsidP="005A7FB7">
            <w:pPr>
              <w:rPr>
                <w:rFonts w:cs="Arial"/>
              </w:rPr>
            </w:pPr>
            <w:r w:rsidRPr="005A7FB7">
              <w:t xml:space="preserve">500 </w:t>
            </w:r>
            <w:r w:rsidRPr="005A7FB7">
              <w:rPr>
                <w:lang w:val="en-US"/>
              </w:rPr>
              <w:t xml:space="preserve">mg </w:t>
            </w:r>
            <w:r w:rsidRPr="005A7FB7">
              <w:t>два пъти дневно</w:t>
            </w:r>
          </w:p>
        </w:tc>
      </w:tr>
      <w:tr w:rsidR="005A7FB7" w14:paraId="6B5F2CE4" w14:textId="77777777" w:rsidTr="005A7FB7">
        <w:tc>
          <w:tcPr>
            <w:tcW w:w="4750" w:type="dxa"/>
          </w:tcPr>
          <w:p w14:paraId="4944BCCA" w14:textId="205C3CA9" w:rsidR="005A7FB7" w:rsidRPr="005A7FB7" w:rsidRDefault="005A7FB7" w:rsidP="005A7FB7">
            <w:pPr>
              <w:rPr>
                <w:rFonts w:cs="Arial"/>
              </w:rPr>
            </w:pPr>
            <w:r w:rsidRPr="005A7FB7">
              <w:t>Цистит</w:t>
            </w:r>
          </w:p>
        </w:tc>
        <w:tc>
          <w:tcPr>
            <w:tcW w:w="4750" w:type="dxa"/>
          </w:tcPr>
          <w:p w14:paraId="6D0B739D" w14:textId="0D8FD858" w:rsidR="005A7FB7" w:rsidRPr="005A7FB7" w:rsidRDefault="005A7FB7" w:rsidP="005A7FB7">
            <w:pPr>
              <w:rPr>
                <w:rFonts w:cs="Arial"/>
              </w:rPr>
            </w:pPr>
            <w:r w:rsidRPr="005A7FB7">
              <w:t xml:space="preserve">250 </w:t>
            </w:r>
            <w:r w:rsidRPr="005A7FB7">
              <w:rPr>
                <w:lang w:val="en-US"/>
              </w:rPr>
              <w:t xml:space="preserve">mg </w:t>
            </w:r>
            <w:r w:rsidRPr="005A7FB7">
              <w:t>два пъти дневно</w:t>
            </w:r>
          </w:p>
        </w:tc>
      </w:tr>
      <w:tr w:rsidR="005A7FB7" w14:paraId="5D58B436" w14:textId="77777777" w:rsidTr="005A7FB7">
        <w:tc>
          <w:tcPr>
            <w:tcW w:w="4750" w:type="dxa"/>
          </w:tcPr>
          <w:p w14:paraId="3D4A2588" w14:textId="626B5D3E" w:rsidR="005A7FB7" w:rsidRPr="005A7FB7" w:rsidRDefault="005A7FB7" w:rsidP="005A7FB7">
            <w:pPr>
              <w:rPr>
                <w:rFonts w:cs="Arial"/>
              </w:rPr>
            </w:pPr>
            <w:r w:rsidRPr="005A7FB7">
              <w:t>Пиелонефрит</w:t>
            </w:r>
          </w:p>
        </w:tc>
        <w:tc>
          <w:tcPr>
            <w:tcW w:w="4750" w:type="dxa"/>
          </w:tcPr>
          <w:p w14:paraId="608EB23D" w14:textId="4BE4F2FB" w:rsidR="005A7FB7" w:rsidRPr="005A7FB7" w:rsidRDefault="005A7FB7" w:rsidP="005A7FB7">
            <w:pPr>
              <w:rPr>
                <w:rFonts w:cs="Arial"/>
              </w:rPr>
            </w:pPr>
            <w:r w:rsidRPr="005A7FB7">
              <w:t xml:space="preserve">250 </w:t>
            </w:r>
            <w:r w:rsidRPr="005A7FB7">
              <w:rPr>
                <w:lang w:val="en-US"/>
              </w:rPr>
              <w:t xml:space="preserve">mg </w:t>
            </w:r>
            <w:r w:rsidRPr="005A7FB7">
              <w:t>два пъти дневно</w:t>
            </w:r>
          </w:p>
        </w:tc>
      </w:tr>
      <w:tr w:rsidR="005A7FB7" w14:paraId="7DBF94A6" w14:textId="77777777" w:rsidTr="005A7FB7">
        <w:tc>
          <w:tcPr>
            <w:tcW w:w="4750" w:type="dxa"/>
          </w:tcPr>
          <w:p w14:paraId="2F066498" w14:textId="294A70C2" w:rsidR="005A7FB7" w:rsidRPr="005A7FB7" w:rsidRDefault="005A7FB7" w:rsidP="005A7FB7">
            <w:pPr>
              <w:rPr>
                <w:rFonts w:cs="Arial"/>
              </w:rPr>
            </w:pPr>
            <w:r w:rsidRPr="005A7FB7">
              <w:t>Неусложнени инфекции на кожата и меките тъкани</w:t>
            </w:r>
          </w:p>
        </w:tc>
        <w:tc>
          <w:tcPr>
            <w:tcW w:w="4750" w:type="dxa"/>
          </w:tcPr>
          <w:p w14:paraId="234DE10E" w14:textId="27D499B2" w:rsidR="005A7FB7" w:rsidRPr="005A7FB7" w:rsidRDefault="005A7FB7" w:rsidP="005A7FB7">
            <w:pPr>
              <w:rPr>
                <w:rFonts w:cs="Arial"/>
              </w:rPr>
            </w:pPr>
            <w:r w:rsidRPr="005A7FB7">
              <w:t xml:space="preserve">250 </w:t>
            </w:r>
            <w:r w:rsidRPr="005A7FB7">
              <w:rPr>
                <w:lang w:val="en-US"/>
              </w:rPr>
              <w:t xml:space="preserve">mg </w:t>
            </w:r>
            <w:r w:rsidRPr="005A7FB7">
              <w:t>два пъти дневно</w:t>
            </w:r>
          </w:p>
        </w:tc>
      </w:tr>
      <w:tr w:rsidR="005A7FB7" w14:paraId="78378929" w14:textId="77777777" w:rsidTr="005A7FB7">
        <w:tc>
          <w:tcPr>
            <w:tcW w:w="4750" w:type="dxa"/>
          </w:tcPr>
          <w:p w14:paraId="39B697D8" w14:textId="221905A0" w:rsidR="005A7FB7" w:rsidRPr="005A7FB7" w:rsidRDefault="005A7FB7" w:rsidP="005A7FB7">
            <w:pPr>
              <w:rPr>
                <w:rFonts w:cs="Arial"/>
              </w:rPr>
            </w:pPr>
            <w:r w:rsidRPr="005A7FB7">
              <w:t>Лаймска болест</w:t>
            </w:r>
          </w:p>
        </w:tc>
        <w:tc>
          <w:tcPr>
            <w:tcW w:w="4750" w:type="dxa"/>
          </w:tcPr>
          <w:p w14:paraId="2CEC16E8" w14:textId="34F99B4D" w:rsidR="005A7FB7" w:rsidRPr="005A7FB7" w:rsidRDefault="005A7FB7" w:rsidP="005A7FB7">
            <w:pPr>
              <w:rPr>
                <w:rFonts w:cs="Arial"/>
              </w:rPr>
            </w:pPr>
            <w:r w:rsidRPr="005A7FB7">
              <w:t xml:space="preserve">500 </w:t>
            </w:r>
            <w:r w:rsidRPr="005A7FB7">
              <w:rPr>
                <w:lang w:val="en-US"/>
              </w:rPr>
              <w:t xml:space="preserve">mg </w:t>
            </w:r>
            <w:r w:rsidRPr="005A7FB7">
              <w:t>два пъти дневно за 14 дни (между 10 и 21 дни)</w:t>
            </w:r>
          </w:p>
        </w:tc>
      </w:tr>
    </w:tbl>
    <w:p w14:paraId="3D828CAE" w14:textId="1B2B5417" w:rsidR="005A7FB7" w:rsidRDefault="005A7FB7" w:rsidP="005A7FB7">
      <w:pPr>
        <w:rPr>
          <w:rFonts w:cs="Arial"/>
        </w:rPr>
      </w:pPr>
    </w:p>
    <w:p w14:paraId="6845C99A" w14:textId="1E13E0BC" w:rsidR="005A7FB7" w:rsidRPr="005A7FB7" w:rsidRDefault="005A7FB7" w:rsidP="005A7FB7">
      <w:pPr>
        <w:rPr>
          <w:u w:val="single"/>
        </w:rPr>
      </w:pPr>
      <w:r w:rsidRPr="005A7FB7">
        <w:rPr>
          <w:u w:val="single"/>
        </w:rPr>
        <w:t>Таблица 2. Деца (&lt;40 кг)</w:t>
      </w:r>
    </w:p>
    <w:tbl>
      <w:tblPr>
        <w:tblStyle w:val="TableGrid"/>
        <w:tblW w:w="0" w:type="auto"/>
        <w:tblLook w:val="04A0" w:firstRow="1" w:lastRow="0" w:firstColumn="1" w:lastColumn="0" w:noHBand="0" w:noVBand="1"/>
      </w:tblPr>
      <w:tblGrid>
        <w:gridCol w:w="4677"/>
        <w:gridCol w:w="4673"/>
      </w:tblGrid>
      <w:tr w:rsidR="005A7FB7" w14:paraId="6E9B9AC8" w14:textId="77777777" w:rsidTr="005A7FB7">
        <w:tc>
          <w:tcPr>
            <w:tcW w:w="4750" w:type="dxa"/>
          </w:tcPr>
          <w:p w14:paraId="56F64C65" w14:textId="2AF3F82B" w:rsidR="005A7FB7" w:rsidRPr="005A7FB7" w:rsidRDefault="005A7FB7" w:rsidP="005A7FB7">
            <w:pPr>
              <w:rPr>
                <w:rFonts w:cs="Arial"/>
              </w:rPr>
            </w:pPr>
            <w:r w:rsidRPr="005A7FB7">
              <w:t>Показание</w:t>
            </w:r>
          </w:p>
        </w:tc>
        <w:tc>
          <w:tcPr>
            <w:tcW w:w="4750" w:type="dxa"/>
          </w:tcPr>
          <w:p w14:paraId="41DDA1F9" w14:textId="6C844C28" w:rsidR="005A7FB7" w:rsidRPr="005A7FB7" w:rsidRDefault="005A7FB7" w:rsidP="005A7FB7">
            <w:pPr>
              <w:rPr>
                <w:rFonts w:cs="Arial"/>
              </w:rPr>
            </w:pPr>
            <w:r w:rsidRPr="005A7FB7">
              <w:t>Дозировка</w:t>
            </w:r>
          </w:p>
        </w:tc>
      </w:tr>
      <w:tr w:rsidR="005A7FB7" w14:paraId="66C96E17" w14:textId="77777777" w:rsidTr="005A7FB7">
        <w:tc>
          <w:tcPr>
            <w:tcW w:w="4750" w:type="dxa"/>
          </w:tcPr>
          <w:p w14:paraId="628DD5E0" w14:textId="2A6A7FC3" w:rsidR="005A7FB7" w:rsidRPr="005A7FB7" w:rsidRDefault="005A7FB7" w:rsidP="005A7FB7">
            <w:pPr>
              <w:rPr>
                <w:rFonts w:cs="Arial"/>
              </w:rPr>
            </w:pPr>
            <w:r w:rsidRPr="005A7FB7">
              <w:t>Остър тонзилит и фарингит, остър бактериален синузит</w:t>
            </w:r>
          </w:p>
        </w:tc>
        <w:tc>
          <w:tcPr>
            <w:tcW w:w="4750" w:type="dxa"/>
          </w:tcPr>
          <w:p w14:paraId="7652EFE0" w14:textId="52B41E9A" w:rsidR="005A7FB7" w:rsidRPr="005A7FB7" w:rsidRDefault="005A7FB7" w:rsidP="005A7FB7">
            <w:pPr>
              <w:rPr>
                <w:rFonts w:cs="Arial"/>
              </w:rPr>
            </w:pPr>
            <w:r w:rsidRPr="005A7FB7">
              <w:t xml:space="preserve">10 </w:t>
            </w:r>
            <w:r w:rsidRPr="005A7FB7">
              <w:rPr>
                <w:lang w:val="en-US"/>
              </w:rPr>
              <w:t xml:space="preserve">mg/ kg </w:t>
            </w:r>
            <w:r w:rsidRPr="005A7FB7">
              <w:t xml:space="preserve">два пъти дневно до максимално 125 </w:t>
            </w:r>
            <w:r w:rsidRPr="005A7FB7">
              <w:rPr>
                <w:lang w:val="en-US"/>
              </w:rPr>
              <w:t xml:space="preserve">mg </w:t>
            </w:r>
            <w:r w:rsidRPr="005A7FB7">
              <w:t>два пъти дневно</w:t>
            </w:r>
          </w:p>
        </w:tc>
      </w:tr>
      <w:tr w:rsidR="005A7FB7" w14:paraId="04147007" w14:textId="77777777" w:rsidTr="005A7FB7">
        <w:tc>
          <w:tcPr>
            <w:tcW w:w="4750" w:type="dxa"/>
          </w:tcPr>
          <w:p w14:paraId="58916329" w14:textId="6306CDB7" w:rsidR="005A7FB7" w:rsidRPr="005A7FB7" w:rsidRDefault="005A7FB7" w:rsidP="005A7FB7">
            <w:pPr>
              <w:rPr>
                <w:rFonts w:cs="Arial"/>
              </w:rPr>
            </w:pPr>
            <w:r w:rsidRPr="005A7FB7">
              <w:t>Деца на възраст на и над 2 години с отит на средното ухо или, когато е приложимо с по- тежки инфекции</w:t>
            </w:r>
          </w:p>
        </w:tc>
        <w:tc>
          <w:tcPr>
            <w:tcW w:w="4750" w:type="dxa"/>
          </w:tcPr>
          <w:p w14:paraId="5C9610EE" w14:textId="170EC22B" w:rsidR="005A7FB7" w:rsidRPr="005A7FB7" w:rsidRDefault="005A7FB7" w:rsidP="005A7FB7">
            <w:pPr>
              <w:rPr>
                <w:rFonts w:cs="Arial"/>
              </w:rPr>
            </w:pPr>
            <w:r w:rsidRPr="005A7FB7">
              <w:t xml:space="preserve">15 </w:t>
            </w:r>
            <w:r w:rsidRPr="005A7FB7">
              <w:rPr>
                <w:lang w:val="en-US"/>
              </w:rPr>
              <w:t xml:space="preserve">mg/ kg </w:t>
            </w:r>
            <w:r w:rsidRPr="005A7FB7">
              <w:t xml:space="preserve">два пъти дневно до максимално 250 </w:t>
            </w:r>
            <w:r w:rsidRPr="005A7FB7">
              <w:rPr>
                <w:lang w:val="en-US"/>
              </w:rPr>
              <w:t xml:space="preserve">mg </w:t>
            </w:r>
            <w:r w:rsidRPr="005A7FB7">
              <w:t>два пъти дневно</w:t>
            </w:r>
          </w:p>
        </w:tc>
      </w:tr>
      <w:tr w:rsidR="005A7FB7" w14:paraId="2831F421" w14:textId="77777777" w:rsidTr="005A7FB7">
        <w:tc>
          <w:tcPr>
            <w:tcW w:w="4750" w:type="dxa"/>
          </w:tcPr>
          <w:p w14:paraId="1F1A6FCC" w14:textId="2C3BB98C" w:rsidR="005A7FB7" w:rsidRPr="005A7FB7" w:rsidRDefault="005A7FB7" w:rsidP="005A7FB7">
            <w:pPr>
              <w:rPr>
                <w:rFonts w:cs="Arial"/>
              </w:rPr>
            </w:pPr>
            <w:r w:rsidRPr="005A7FB7">
              <w:t>Цистит</w:t>
            </w:r>
          </w:p>
        </w:tc>
        <w:tc>
          <w:tcPr>
            <w:tcW w:w="4750" w:type="dxa"/>
          </w:tcPr>
          <w:p w14:paraId="543FA1E0" w14:textId="0A4A061B" w:rsidR="005A7FB7" w:rsidRPr="005A7FB7" w:rsidRDefault="005A7FB7" w:rsidP="005A7FB7">
            <w:pPr>
              <w:rPr>
                <w:rFonts w:cs="Arial"/>
              </w:rPr>
            </w:pPr>
            <w:r w:rsidRPr="005A7FB7">
              <w:t xml:space="preserve">15 </w:t>
            </w:r>
            <w:r w:rsidRPr="005A7FB7">
              <w:rPr>
                <w:lang w:val="en-US"/>
              </w:rPr>
              <w:t xml:space="preserve">mg/ kg </w:t>
            </w:r>
            <w:r w:rsidRPr="005A7FB7">
              <w:t xml:space="preserve">два пъти дневно до максимално 250 </w:t>
            </w:r>
            <w:r w:rsidRPr="005A7FB7">
              <w:rPr>
                <w:lang w:val="en-US"/>
              </w:rPr>
              <w:t xml:space="preserve">mg </w:t>
            </w:r>
            <w:r w:rsidRPr="005A7FB7">
              <w:t>два пъти дневно</w:t>
            </w:r>
          </w:p>
        </w:tc>
      </w:tr>
      <w:tr w:rsidR="005A7FB7" w14:paraId="224C8CEB" w14:textId="77777777" w:rsidTr="005A7FB7">
        <w:tc>
          <w:tcPr>
            <w:tcW w:w="4750" w:type="dxa"/>
          </w:tcPr>
          <w:p w14:paraId="1F6F6318" w14:textId="54D8EFE8" w:rsidR="005A7FB7" w:rsidRPr="005A7FB7" w:rsidRDefault="005A7FB7" w:rsidP="005A7FB7">
            <w:pPr>
              <w:rPr>
                <w:rFonts w:cs="Arial"/>
              </w:rPr>
            </w:pPr>
            <w:r w:rsidRPr="005A7FB7">
              <w:t>Пиелонефрит</w:t>
            </w:r>
          </w:p>
        </w:tc>
        <w:tc>
          <w:tcPr>
            <w:tcW w:w="4750" w:type="dxa"/>
          </w:tcPr>
          <w:p w14:paraId="0F393FAD" w14:textId="217876AB" w:rsidR="005A7FB7" w:rsidRPr="005A7FB7" w:rsidRDefault="005A7FB7" w:rsidP="005A7FB7">
            <w:pPr>
              <w:rPr>
                <w:rFonts w:cs="Arial"/>
              </w:rPr>
            </w:pPr>
            <w:r w:rsidRPr="005A7FB7">
              <w:t xml:space="preserve">15 </w:t>
            </w:r>
            <w:r w:rsidRPr="005A7FB7">
              <w:rPr>
                <w:lang w:val="en-US"/>
              </w:rPr>
              <w:t xml:space="preserve">mg/ kg </w:t>
            </w:r>
            <w:r w:rsidRPr="005A7FB7">
              <w:t xml:space="preserve">два пъти дневно до максимално 250 </w:t>
            </w:r>
            <w:r w:rsidRPr="005A7FB7">
              <w:rPr>
                <w:lang w:val="en-US"/>
              </w:rPr>
              <w:t xml:space="preserve">mg </w:t>
            </w:r>
            <w:r w:rsidRPr="005A7FB7">
              <w:t>два пъти дневно за 10 до 14 дни</w:t>
            </w:r>
          </w:p>
        </w:tc>
      </w:tr>
      <w:tr w:rsidR="005A7FB7" w14:paraId="0FD5BE41" w14:textId="77777777" w:rsidTr="005A7FB7">
        <w:tc>
          <w:tcPr>
            <w:tcW w:w="4750" w:type="dxa"/>
          </w:tcPr>
          <w:p w14:paraId="6DC6C845" w14:textId="256D3A5E" w:rsidR="005A7FB7" w:rsidRPr="005A7FB7" w:rsidRDefault="005A7FB7" w:rsidP="005A7FB7">
            <w:pPr>
              <w:rPr>
                <w:rFonts w:cs="Arial"/>
              </w:rPr>
            </w:pPr>
            <w:r w:rsidRPr="005A7FB7">
              <w:t>Неусложнени инфекции на кожата и меките тъкани</w:t>
            </w:r>
          </w:p>
        </w:tc>
        <w:tc>
          <w:tcPr>
            <w:tcW w:w="4750" w:type="dxa"/>
          </w:tcPr>
          <w:p w14:paraId="7DFDE20B" w14:textId="6A64DD1F" w:rsidR="005A7FB7" w:rsidRPr="005A7FB7" w:rsidRDefault="005A7FB7" w:rsidP="005A7FB7">
            <w:pPr>
              <w:rPr>
                <w:rFonts w:cs="Arial"/>
              </w:rPr>
            </w:pPr>
            <w:r w:rsidRPr="005A7FB7">
              <w:t xml:space="preserve">15 </w:t>
            </w:r>
            <w:r w:rsidRPr="005A7FB7">
              <w:rPr>
                <w:lang w:val="en-US"/>
              </w:rPr>
              <w:t xml:space="preserve">mg/ kg </w:t>
            </w:r>
            <w:r w:rsidRPr="005A7FB7">
              <w:t xml:space="preserve">два пъти дневно до максимално 250 </w:t>
            </w:r>
            <w:r w:rsidRPr="005A7FB7">
              <w:rPr>
                <w:lang w:val="en-US"/>
              </w:rPr>
              <w:t xml:space="preserve">mg </w:t>
            </w:r>
            <w:r w:rsidRPr="005A7FB7">
              <w:t>два пъти дневно</w:t>
            </w:r>
          </w:p>
        </w:tc>
      </w:tr>
      <w:tr w:rsidR="005A7FB7" w14:paraId="0A111938" w14:textId="77777777" w:rsidTr="005A7FB7">
        <w:tc>
          <w:tcPr>
            <w:tcW w:w="4750" w:type="dxa"/>
          </w:tcPr>
          <w:p w14:paraId="15F079A4" w14:textId="3A83D836" w:rsidR="005A7FB7" w:rsidRPr="005A7FB7" w:rsidRDefault="005A7FB7" w:rsidP="005A7FB7">
            <w:pPr>
              <w:rPr>
                <w:rFonts w:cs="Arial"/>
              </w:rPr>
            </w:pPr>
            <w:r w:rsidRPr="005A7FB7">
              <w:t>Лаймска болест</w:t>
            </w:r>
          </w:p>
        </w:tc>
        <w:tc>
          <w:tcPr>
            <w:tcW w:w="4750" w:type="dxa"/>
          </w:tcPr>
          <w:p w14:paraId="45773AA1" w14:textId="6F0A634F" w:rsidR="005A7FB7" w:rsidRPr="005A7FB7" w:rsidRDefault="005A7FB7" w:rsidP="005A7FB7">
            <w:pPr>
              <w:rPr>
                <w:rFonts w:cs="Arial"/>
              </w:rPr>
            </w:pPr>
            <w:r w:rsidRPr="005A7FB7">
              <w:t xml:space="preserve">15 </w:t>
            </w:r>
            <w:r w:rsidRPr="005A7FB7">
              <w:rPr>
                <w:lang w:val="en-US"/>
              </w:rPr>
              <w:t xml:space="preserve">mg/ kg </w:t>
            </w:r>
            <w:r w:rsidRPr="005A7FB7">
              <w:t xml:space="preserve">два пъти дневно до максимално 250 </w:t>
            </w:r>
            <w:r w:rsidRPr="005A7FB7">
              <w:rPr>
                <w:lang w:val="en-US"/>
              </w:rPr>
              <w:t xml:space="preserve">mg </w:t>
            </w:r>
            <w:r w:rsidRPr="005A7FB7">
              <w:t>два пъти дневно за 14 дни (10 до 21 дни)</w:t>
            </w:r>
          </w:p>
        </w:tc>
      </w:tr>
    </w:tbl>
    <w:p w14:paraId="752FD2A6" w14:textId="77777777" w:rsidR="005A7FB7" w:rsidRDefault="005A7FB7" w:rsidP="005A7FB7">
      <w:pPr>
        <w:spacing w:line="240" w:lineRule="auto"/>
        <w:rPr>
          <w:rFonts w:eastAsia="Times New Roman" w:cs="Arial"/>
          <w:color w:val="000000"/>
          <w:lang w:eastAsia="bg-BG"/>
        </w:rPr>
      </w:pPr>
    </w:p>
    <w:p w14:paraId="47A45AF4" w14:textId="11A15468"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Няма опит с приложение на цефуроксим аксетил при деца на възраст под 3 месеца.</w:t>
      </w:r>
    </w:p>
    <w:p w14:paraId="6F1EF4C6" w14:textId="77777777" w:rsidR="005A7FB7" w:rsidRDefault="005A7FB7" w:rsidP="005A7FB7">
      <w:pPr>
        <w:spacing w:line="240" w:lineRule="auto"/>
        <w:rPr>
          <w:rFonts w:eastAsia="Times New Roman" w:cs="Arial"/>
          <w:i/>
          <w:iCs/>
          <w:color w:val="000000"/>
          <w:lang w:eastAsia="bg-BG"/>
        </w:rPr>
      </w:pPr>
    </w:p>
    <w:p w14:paraId="0742179D" w14:textId="60B732A6" w:rsidR="005A7FB7" w:rsidRPr="005A7FB7" w:rsidRDefault="005A7FB7" w:rsidP="005A7FB7">
      <w:pPr>
        <w:spacing w:line="240" w:lineRule="auto"/>
        <w:rPr>
          <w:rFonts w:eastAsia="Times New Roman" w:cs="Arial"/>
          <w:lang w:eastAsia="bg-BG"/>
        </w:rPr>
      </w:pPr>
      <w:r w:rsidRPr="005A7FB7">
        <w:rPr>
          <w:rFonts w:eastAsia="Times New Roman" w:cs="Arial"/>
          <w:i/>
          <w:iCs/>
          <w:color w:val="000000"/>
          <w:lang w:eastAsia="bg-BG"/>
        </w:rPr>
        <w:t>Бъбречно увреждане</w:t>
      </w:r>
    </w:p>
    <w:p w14:paraId="0D9094C4" w14:textId="40AA35B5"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Безопасността и ефикасността на цефуроксим аксетил при пациенти с бъбречна недостатъчност не са установени.</w:t>
      </w:r>
    </w:p>
    <w:p w14:paraId="7EA7D58D"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 xml:space="preserve">Цефуроксим се екскретира главно чрез бъбреците. При пациенти със значително нарушена бъбречна функция се препоръчва дозата цефуроксим да бъде понижена, за да </w:t>
      </w:r>
      <w:r w:rsidRPr="005A7FB7">
        <w:rPr>
          <w:rFonts w:eastAsia="Times New Roman" w:cs="Arial"/>
          <w:color w:val="000000"/>
          <w:lang w:eastAsia="bg-BG"/>
        </w:rPr>
        <w:lastRenderedPageBreak/>
        <w:t>се компенсира забавената екскреция. Цефуроксим се елиминира ефективно чрез диализа.</w:t>
      </w:r>
    </w:p>
    <w:p w14:paraId="4B0CAF34" w14:textId="77777777" w:rsidR="005A7FB7" w:rsidRDefault="005A7FB7" w:rsidP="005A7FB7">
      <w:pPr>
        <w:rPr>
          <w:rFonts w:eastAsia="Times New Roman" w:cs="Arial"/>
          <w:i/>
          <w:iCs/>
          <w:color w:val="000000"/>
          <w:lang w:eastAsia="bg-BG"/>
        </w:rPr>
      </w:pPr>
    </w:p>
    <w:p w14:paraId="7BA150EE" w14:textId="46B12556" w:rsidR="005A7FB7" w:rsidRDefault="005A7FB7" w:rsidP="005A7FB7">
      <w:pPr>
        <w:rPr>
          <w:rFonts w:eastAsia="Times New Roman" w:cs="Arial"/>
          <w:i/>
          <w:iCs/>
          <w:color w:val="000000"/>
          <w:lang w:eastAsia="bg-BG"/>
        </w:rPr>
      </w:pPr>
      <w:r w:rsidRPr="005A7FB7">
        <w:rPr>
          <w:rFonts w:eastAsia="Times New Roman" w:cs="Arial"/>
          <w:i/>
          <w:iCs/>
          <w:color w:val="000000"/>
          <w:lang w:eastAsia="bg-BG"/>
        </w:rPr>
        <w:t>Препоръчителни дози АКСЕТИН при бъбречно увреждане</w:t>
      </w:r>
    </w:p>
    <w:tbl>
      <w:tblPr>
        <w:tblStyle w:val="TableGrid"/>
        <w:tblW w:w="0" w:type="auto"/>
        <w:tblLook w:val="04A0" w:firstRow="1" w:lastRow="0" w:firstColumn="1" w:lastColumn="0" w:noHBand="0" w:noVBand="1"/>
      </w:tblPr>
      <w:tblGrid>
        <w:gridCol w:w="3113"/>
        <w:gridCol w:w="3111"/>
        <w:gridCol w:w="3126"/>
      </w:tblGrid>
      <w:tr w:rsidR="005A7FB7" w14:paraId="7141A674" w14:textId="77777777" w:rsidTr="005A7FB7">
        <w:tc>
          <w:tcPr>
            <w:tcW w:w="3166" w:type="dxa"/>
          </w:tcPr>
          <w:p w14:paraId="4F819958" w14:textId="70357DC8" w:rsidR="005A7FB7" w:rsidRPr="005A7FB7" w:rsidRDefault="005A7FB7" w:rsidP="005A7FB7">
            <w:pPr>
              <w:rPr>
                <w:rFonts w:cs="Arial"/>
              </w:rPr>
            </w:pPr>
            <w:r w:rsidRPr="005A7FB7">
              <w:t>Креатннинов клирънс</w:t>
            </w:r>
          </w:p>
        </w:tc>
        <w:tc>
          <w:tcPr>
            <w:tcW w:w="3167" w:type="dxa"/>
          </w:tcPr>
          <w:p w14:paraId="39E4AF38" w14:textId="537EBA81" w:rsidR="005A7FB7" w:rsidRPr="005A7FB7" w:rsidRDefault="005A7FB7" w:rsidP="005A7FB7">
            <w:pPr>
              <w:rPr>
                <w:rFonts w:cs="Arial"/>
              </w:rPr>
            </w:pPr>
            <w:r>
              <w:rPr>
                <w:lang w:val="en-US"/>
              </w:rPr>
              <w:t>T1/2</w:t>
            </w:r>
            <w:r w:rsidRPr="005A7FB7">
              <w:t>(часове)</w:t>
            </w:r>
          </w:p>
        </w:tc>
        <w:tc>
          <w:tcPr>
            <w:tcW w:w="3167" w:type="dxa"/>
          </w:tcPr>
          <w:p w14:paraId="1522C08D" w14:textId="3582FF6D" w:rsidR="005A7FB7" w:rsidRPr="005A7FB7" w:rsidRDefault="005A7FB7" w:rsidP="005A7FB7">
            <w:pPr>
              <w:rPr>
                <w:rFonts w:cs="Arial"/>
              </w:rPr>
            </w:pPr>
            <w:r w:rsidRPr="005A7FB7">
              <w:t>Препоръчителна доза</w:t>
            </w:r>
          </w:p>
        </w:tc>
      </w:tr>
      <w:tr w:rsidR="005A7FB7" w14:paraId="42C3660C" w14:textId="77777777" w:rsidTr="005A7FB7">
        <w:tc>
          <w:tcPr>
            <w:tcW w:w="3166" w:type="dxa"/>
          </w:tcPr>
          <w:p w14:paraId="7D8DD85A" w14:textId="77777777" w:rsidR="005A7FB7" w:rsidRPr="005A7FB7" w:rsidRDefault="005A7FB7" w:rsidP="005A7FB7"/>
          <w:p w14:paraId="7E9BAA0C" w14:textId="45B1FA25" w:rsidR="005A7FB7" w:rsidRPr="005A7FB7" w:rsidRDefault="005A7FB7" w:rsidP="005A7FB7">
            <w:pPr>
              <w:rPr>
                <w:rFonts w:cs="Arial"/>
              </w:rPr>
            </w:pPr>
            <w:r w:rsidRPr="005A7FB7">
              <w:rPr>
                <w:i/>
                <w:iCs/>
                <w:u w:val="single"/>
              </w:rPr>
              <w:t>≥</w:t>
            </w:r>
            <w:r w:rsidRPr="005A7FB7">
              <w:t xml:space="preserve">30 </w:t>
            </w:r>
            <w:r w:rsidRPr="005A7FB7">
              <w:rPr>
                <w:lang w:val="en-US"/>
              </w:rPr>
              <w:t>mL/min/1</w:t>
            </w:r>
            <w:r w:rsidRPr="005A7FB7">
              <w:t xml:space="preserve">.73 </w:t>
            </w:r>
            <w:r w:rsidRPr="005A7FB7">
              <w:rPr>
                <w:lang w:val="en-US"/>
              </w:rPr>
              <w:t>m</w:t>
            </w:r>
            <w:r w:rsidRPr="005A7FB7">
              <w:rPr>
                <w:vertAlign w:val="superscript"/>
                <w:lang w:val="en-US"/>
              </w:rPr>
              <w:t>2</w:t>
            </w:r>
          </w:p>
        </w:tc>
        <w:tc>
          <w:tcPr>
            <w:tcW w:w="3167" w:type="dxa"/>
          </w:tcPr>
          <w:p w14:paraId="34D77C94" w14:textId="57D6243F" w:rsidR="005A7FB7" w:rsidRPr="005A7FB7" w:rsidRDefault="005A7FB7" w:rsidP="005A7FB7">
            <w:pPr>
              <w:rPr>
                <w:rFonts w:cs="Arial"/>
              </w:rPr>
            </w:pPr>
            <w:r w:rsidRPr="005A7FB7">
              <w:t>1,4-2-4</w:t>
            </w:r>
          </w:p>
        </w:tc>
        <w:tc>
          <w:tcPr>
            <w:tcW w:w="3167" w:type="dxa"/>
          </w:tcPr>
          <w:p w14:paraId="49D31B19" w14:textId="4D3977AD" w:rsidR="005A7FB7" w:rsidRPr="005A7FB7" w:rsidRDefault="005A7FB7" w:rsidP="005A7FB7">
            <w:pPr>
              <w:rPr>
                <w:rFonts w:cs="Arial"/>
              </w:rPr>
            </w:pPr>
            <w:r w:rsidRPr="005A7FB7">
              <w:t xml:space="preserve">Не е необходимо адаптиране на дозата (обичайна доза от 125 </w:t>
            </w:r>
            <w:r w:rsidRPr="005A7FB7">
              <w:rPr>
                <w:lang w:val="en-US"/>
              </w:rPr>
              <w:t xml:space="preserve">mg </w:t>
            </w:r>
            <w:r w:rsidRPr="005A7FB7">
              <w:t xml:space="preserve">до 500 </w:t>
            </w:r>
            <w:r w:rsidRPr="005A7FB7">
              <w:rPr>
                <w:lang w:val="en-US"/>
              </w:rPr>
              <w:t xml:space="preserve">mg </w:t>
            </w:r>
            <w:r w:rsidRPr="005A7FB7">
              <w:t>два пъти дневно)</w:t>
            </w:r>
          </w:p>
        </w:tc>
      </w:tr>
      <w:tr w:rsidR="005A7FB7" w14:paraId="2E771225" w14:textId="77777777" w:rsidTr="005A7FB7">
        <w:tc>
          <w:tcPr>
            <w:tcW w:w="3166" w:type="dxa"/>
          </w:tcPr>
          <w:p w14:paraId="30B10C2E" w14:textId="77777777" w:rsidR="005A7FB7" w:rsidRPr="005A7FB7" w:rsidRDefault="005A7FB7" w:rsidP="005A7FB7"/>
          <w:p w14:paraId="5D2EBDA3" w14:textId="132CFC82" w:rsidR="005A7FB7" w:rsidRPr="005A7FB7" w:rsidRDefault="005A7FB7" w:rsidP="005A7FB7">
            <w:pPr>
              <w:rPr>
                <w:rFonts w:cs="Arial"/>
              </w:rPr>
            </w:pPr>
            <w:r w:rsidRPr="005A7FB7">
              <w:t xml:space="preserve">10-29 </w:t>
            </w:r>
            <w:r w:rsidRPr="005A7FB7">
              <w:rPr>
                <w:lang w:val="en-US"/>
              </w:rPr>
              <w:t>mL/min/1.</w:t>
            </w:r>
            <w:r w:rsidRPr="005A7FB7">
              <w:t xml:space="preserve">73 </w:t>
            </w:r>
            <w:r w:rsidRPr="005A7FB7">
              <w:rPr>
                <w:lang w:val="en-US"/>
              </w:rPr>
              <w:t>m</w:t>
            </w:r>
            <w:r w:rsidRPr="005A7FB7">
              <w:rPr>
                <w:vertAlign w:val="superscript"/>
                <w:lang w:val="en-US"/>
              </w:rPr>
              <w:t>2</w:t>
            </w:r>
          </w:p>
        </w:tc>
        <w:tc>
          <w:tcPr>
            <w:tcW w:w="3167" w:type="dxa"/>
          </w:tcPr>
          <w:p w14:paraId="652E09E7" w14:textId="3FDFB8C1" w:rsidR="005A7FB7" w:rsidRPr="005A7FB7" w:rsidRDefault="005A7FB7" w:rsidP="005A7FB7">
            <w:pPr>
              <w:rPr>
                <w:rFonts w:cs="Arial"/>
              </w:rPr>
            </w:pPr>
            <w:r w:rsidRPr="005A7FB7">
              <w:t>4.6</w:t>
            </w:r>
          </w:p>
        </w:tc>
        <w:tc>
          <w:tcPr>
            <w:tcW w:w="3167" w:type="dxa"/>
          </w:tcPr>
          <w:p w14:paraId="323ECE24" w14:textId="04BFA06E" w:rsidR="005A7FB7" w:rsidRPr="005A7FB7" w:rsidRDefault="005A7FB7" w:rsidP="005A7FB7">
            <w:pPr>
              <w:rPr>
                <w:rFonts w:cs="Arial"/>
              </w:rPr>
            </w:pPr>
            <w:r w:rsidRPr="005A7FB7">
              <w:t>Обичайна индивидуална доза, прилагана на всеки 24 часа</w:t>
            </w:r>
          </w:p>
        </w:tc>
      </w:tr>
      <w:tr w:rsidR="005A7FB7" w14:paraId="1E97CEFA" w14:textId="77777777" w:rsidTr="005A7FB7">
        <w:tc>
          <w:tcPr>
            <w:tcW w:w="3166" w:type="dxa"/>
          </w:tcPr>
          <w:p w14:paraId="467A470B" w14:textId="77777777" w:rsidR="005A7FB7" w:rsidRPr="005A7FB7" w:rsidRDefault="005A7FB7" w:rsidP="005A7FB7"/>
          <w:p w14:paraId="28FFF1D4" w14:textId="5C045BD8" w:rsidR="005A7FB7" w:rsidRPr="005A7FB7" w:rsidRDefault="005A7FB7" w:rsidP="005A7FB7">
            <w:pPr>
              <w:rPr>
                <w:rFonts w:cs="Arial"/>
              </w:rPr>
            </w:pPr>
            <w:r w:rsidRPr="005A7FB7">
              <w:t xml:space="preserve">&lt;10 </w:t>
            </w:r>
            <w:r w:rsidRPr="005A7FB7">
              <w:rPr>
                <w:lang w:val="en-US"/>
              </w:rPr>
              <w:t>mL/min/1</w:t>
            </w:r>
            <w:r w:rsidRPr="005A7FB7">
              <w:t xml:space="preserve">.73 </w:t>
            </w:r>
            <w:r w:rsidRPr="005A7FB7">
              <w:rPr>
                <w:lang w:val="en-US"/>
              </w:rPr>
              <w:t>m</w:t>
            </w:r>
            <w:r w:rsidRPr="005A7FB7">
              <w:rPr>
                <w:vertAlign w:val="superscript"/>
                <w:lang w:val="en-US"/>
              </w:rPr>
              <w:t>2</w:t>
            </w:r>
          </w:p>
        </w:tc>
        <w:tc>
          <w:tcPr>
            <w:tcW w:w="3167" w:type="dxa"/>
          </w:tcPr>
          <w:p w14:paraId="7DED2A6D" w14:textId="2E44480F" w:rsidR="005A7FB7" w:rsidRPr="005A7FB7" w:rsidRDefault="005A7FB7" w:rsidP="005A7FB7">
            <w:pPr>
              <w:rPr>
                <w:rFonts w:cs="Arial"/>
              </w:rPr>
            </w:pPr>
            <w:r w:rsidRPr="005A7FB7">
              <w:t>16.8</w:t>
            </w:r>
          </w:p>
        </w:tc>
        <w:tc>
          <w:tcPr>
            <w:tcW w:w="3167" w:type="dxa"/>
          </w:tcPr>
          <w:p w14:paraId="0E81A4B1" w14:textId="0C8D3215" w:rsidR="005A7FB7" w:rsidRPr="005A7FB7" w:rsidRDefault="005A7FB7" w:rsidP="005A7FB7">
            <w:pPr>
              <w:rPr>
                <w:rFonts w:cs="Arial"/>
              </w:rPr>
            </w:pPr>
            <w:r w:rsidRPr="005A7FB7">
              <w:t>Обичайна индивидуална доза, прилагана на всеки 48 часа</w:t>
            </w:r>
            <w:r w:rsidRPr="005A7FB7">
              <w:tab/>
            </w:r>
            <w:r w:rsidRPr="005A7FB7">
              <w:tab/>
            </w:r>
          </w:p>
        </w:tc>
      </w:tr>
      <w:tr w:rsidR="005A7FB7" w14:paraId="5C7BD511" w14:textId="77777777" w:rsidTr="005A7FB7">
        <w:tc>
          <w:tcPr>
            <w:tcW w:w="3166" w:type="dxa"/>
          </w:tcPr>
          <w:p w14:paraId="40EC1AE5" w14:textId="1FC6FFCF" w:rsidR="005A7FB7" w:rsidRPr="005A7FB7" w:rsidRDefault="005A7FB7" w:rsidP="005A7FB7">
            <w:pPr>
              <w:rPr>
                <w:rFonts w:cs="Arial"/>
              </w:rPr>
            </w:pPr>
            <w:r w:rsidRPr="005A7FB7">
              <w:t>Пациенти на хемодиализа</w:t>
            </w:r>
          </w:p>
        </w:tc>
        <w:tc>
          <w:tcPr>
            <w:tcW w:w="3167" w:type="dxa"/>
          </w:tcPr>
          <w:p w14:paraId="3CD0A75F" w14:textId="30507A2C" w:rsidR="005A7FB7" w:rsidRPr="005A7FB7" w:rsidRDefault="005A7FB7" w:rsidP="005A7FB7">
            <w:pPr>
              <w:rPr>
                <w:rFonts w:cs="Arial"/>
              </w:rPr>
            </w:pPr>
            <w:r w:rsidRPr="005A7FB7">
              <w:t>2-4</w:t>
            </w:r>
          </w:p>
        </w:tc>
        <w:tc>
          <w:tcPr>
            <w:tcW w:w="3167" w:type="dxa"/>
          </w:tcPr>
          <w:p w14:paraId="2BB1BBBC" w14:textId="1A6BB8E3" w:rsidR="005A7FB7" w:rsidRPr="005A7FB7" w:rsidRDefault="005A7FB7" w:rsidP="005A7FB7">
            <w:pPr>
              <w:rPr>
                <w:rFonts w:cs="Arial"/>
              </w:rPr>
            </w:pPr>
            <w:r w:rsidRPr="005A7FB7">
              <w:t>Допълнителна обичайна индивидуална доза трябва да бъде приложена в края на всяка</w:t>
            </w:r>
          </w:p>
        </w:tc>
      </w:tr>
    </w:tbl>
    <w:p w14:paraId="14F237FA" w14:textId="3FC5CA98" w:rsidR="005A7FB7" w:rsidRDefault="005A7FB7" w:rsidP="005A7FB7">
      <w:pPr>
        <w:rPr>
          <w:rFonts w:cs="Arial"/>
        </w:rPr>
      </w:pPr>
    </w:p>
    <w:p w14:paraId="2A7BFCE8" w14:textId="4E6694AD" w:rsidR="005A7FB7" w:rsidRDefault="005A7FB7" w:rsidP="005A7FB7">
      <w:pPr>
        <w:rPr>
          <w:i/>
          <w:iCs/>
        </w:rPr>
      </w:pPr>
      <w:r w:rsidRPr="005A7FB7">
        <w:rPr>
          <w:i/>
          <w:iCs/>
        </w:rPr>
        <w:t>Чернодробно увреждане</w:t>
      </w:r>
    </w:p>
    <w:p w14:paraId="127FCAE8"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Няма данни при пациенти с чернодробно увреждане. Тъй като цефуроксим се екскретира главно чрез бъбреците, не се очаква наличието на чернодробна дисфункция да окаже влияние върху фармакокинетичните ефекти на цефуроксим.</w:t>
      </w:r>
    </w:p>
    <w:p w14:paraId="6B276F48" w14:textId="77777777" w:rsidR="005A7FB7" w:rsidRPr="005A7FB7" w:rsidRDefault="005A7FB7" w:rsidP="005A7FB7">
      <w:pPr>
        <w:spacing w:line="240" w:lineRule="auto"/>
        <w:rPr>
          <w:rFonts w:eastAsia="Times New Roman" w:cs="Arial"/>
          <w:color w:val="000000"/>
          <w:u w:val="single"/>
          <w:lang w:eastAsia="bg-BG"/>
        </w:rPr>
      </w:pPr>
    </w:p>
    <w:p w14:paraId="4B97D017" w14:textId="242644BB" w:rsidR="005A7FB7" w:rsidRPr="005A7FB7" w:rsidRDefault="005A7FB7" w:rsidP="005A7FB7">
      <w:pPr>
        <w:pStyle w:val="Heading3"/>
        <w:rPr>
          <w:rFonts w:eastAsia="Times New Roman"/>
          <w:u w:val="single"/>
          <w:lang w:eastAsia="bg-BG"/>
        </w:rPr>
      </w:pPr>
      <w:r w:rsidRPr="005A7FB7">
        <w:rPr>
          <w:rFonts w:eastAsia="Times New Roman"/>
          <w:u w:val="single"/>
          <w:lang w:eastAsia="bg-BG"/>
        </w:rPr>
        <w:t>Начин на приложение</w:t>
      </w:r>
    </w:p>
    <w:p w14:paraId="1A16E9D6"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Перорално приложение.</w:t>
      </w:r>
    </w:p>
    <w:p w14:paraId="7C15644C"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АКСЕТИН таблетки трябва да бъдат приемани след хранене за оптимална абсорбция.</w:t>
      </w:r>
    </w:p>
    <w:p w14:paraId="5BB5A23B"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АКСЕТИН таблетки не трябва да бъдат разтрошавани и поради това не са подходящи за пациенти, които не могат да поглъщат таблетки. При деца могат да се използват други форми на цефуроксим аксетил.</w:t>
      </w:r>
    </w:p>
    <w:p w14:paraId="50629B18" w14:textId="77777777" w:rsidR="005A7FB7" w:rsidRPr="005A7FB7" w:rsidRDefault="005A7FB7" w:rsidP="005A7FB7">
      <w:pPr>
        <w:rPr>
          <w:i/>
          <w:iCs/>
        </w:rPr>
      </w:pPr>
    </w:p>
    <w:p w14:paraId="40FD3EFF" w14:textId="77777777" w:rsidR="005A7FB7" w:rsidRPr="005A7FB7" w:rsidRDefault="005A7FB7" w:rsidP="005A7FB7"/>
    <w:p w14:paraId="6158ADF5" w14:textId="58872A0D" w:rsidR="00A428B7" w:rsidRDefault="002C50EE" w:rsidP="00340E8D">
      <w:pPr>
        <w:pStyle w:val="Heading2"/>
      </w:pPr>
      <w:r>
        <w:t>4.3. Противопоказания</w:t>
      </w:r>
    </w:p>
    <w:p w14:paraId="54652138" w14:textId="46B83BC8" w:rsidR="005A7FB7" w:rsidRDefault="005A7FB7" w:rsidP="005A7FB7"/>
    <w:p w14:paraId="6DB24A70" w14:textId="77777777" w:rsidR="005A7FB7" w:rsidRDefault="005A7FB7" w:rsidP="005A7FB7">
      <w:pPr>
        <w:pStyle w:val="ListParagraph"/>
        <w:numPr>
          <w:ilvl w:val="0"/>
          <w:numId w:val="41"/>
        </w:numPr>
        <w:rPr>
          <w:lang w:eastAsia="bg-BG"/>
        </w:rPr>
      </w:pPr>
      <w:r w:rsidRPr="005A7FB7">
        <w:rPr>
          <w:lang w:eastAsia="bg-BG"/>
        </w:rPr>
        <w:t>Свръхчувствителност към цефуроксим или към някое от помощните вещества, изброени в точка 6.1.</w:t>
      </w:r>
    </w:p>
    <w:p w14:paraId="2D650975" w14:textId="77777777" w:rsidR="005A7FB7" w:rsidRDefault="005A7FB7" w:rsidP="005A7FB7">
      <w:pPr>
        <w:pStyle w:val="ListParagraph"/>
        <w:numPr>
          <w:ilvl w:val="0"/>
          <w:numId w:val="41"/>
        </w:numPr>
        <w:rPr>
          <w:lang w:eastAsia="bg-BG"/>
        </w:rPr>
      </w:pPr>
      <w:r w:rsidRPr="005A7FB7">
        <w:rPr>
          <w:lang w:eastAsia="bg-BG"/>
        </w:rPr>
        <w:t>Пациенти с известна свръхчувствителност към цефалоспоринови антибиотици.</w:t>
      </w:r>
    </w:p>
    <w:p w14:paraId="2B4225E1" w14:textId="652DE989" w:rsidR="005A7FB7" w:rsidRPr="005A7FB7" w:rsidRDefault="005A7FB7" w:rsidP="005A7FB7">
      <w:pPr>
        <w:pStyle w:val="ListParagraph"/>
        <w:numPr>
          <w:ilvl w:val="0"/>
          <w:numId w:val="41"/>
        </w:numPr>
        <w:rPr>
          <w:lang w:eastAsia="bg-BG"/>
        </w:rPr>
      </w:pPr>
      <w:r w:rsidRPr="005A7FB7">
        <w:rPr>
          <w:lang w:eastAsia="bg-BG"/>
        </w:rPr>
        <w:t>Анамнеза за тежка свръхчувствителност (например анафилакгична реакция) към друг тип бета-лактамни антибактериални агенти (пеницилини, монобактами и карбапенеми).</w:t>
      </w:r>
    </w:p>
    <w:p w14:paraId="24DA4AB7" w14:textId="77777777" w:rsidR="005A7FB7" w:rsidRPr="005A7FB7" w:rsidRDefault="005A7FB7" w:rsidP="005A7FB7"/>
    <w:p w14:paraId="45176B5B" w14:textId="18289B6F" w:rsidR="00A428B7" w:rsidRDefault="002C50EE" w:rsidP="00340E8D">
      <w:pPr>
        <w:pStyle w:val="Heading2"/>
      </w:pPr>
      <w:r>
        <w:t>4.4. Специални предупреждения и предпазни мерки при употреба</w:t>
      </w:r>
    </w:p>
    <w:p w14:paraId="68DFA134" w14:textId="6638245A" w:rsidR="005A7FB7" w:rsidRDefault="005A7FB7" w:rsidP="005A7FB7"/>
    <w:p w14:paraId="3BAA4402"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u w:val="single"/>
          <w:lang w:eastAsia="bg-BG"/>
        </w:rPr>
        <w:t>Реакции на свръхчувствителност</w:t>
      </w:r>
    </w:p>
    <w:p w14:paraId="0DFFD613"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 xml:space="preserve">Специално внимание е необходимо при пациенти с анамнеза за алергична реакция към пеницилини или към други бета-лактамни антибиотици поради риск от кръстосана </w:t>
      </w:r>
      <w:r w:rsidRPr="005A7FB7">
        <w:rPr>
          <w:rFonts w:eastAsia="Times New Roman" w:cs="Arial"/>
          <w:color w:val="000000"/>
          <w:lang w:eastAsia="bg-BG"/>
        </w:rPr>
        <w:lastRenderedPageBreak/>
        <w:t>чувствителност. Подобно на всички бета-лактамни антибактериални средства има съобщения за сериозни и понякога фатални реакции на свръхчувствителност. В случай на развитие на тежка реакция на свръхчувствителност, лечението с цефуроксим трябва да се преустанови незабавно и да се предприемат подходящи мерки за спешно лечение.</w:t>
      </w:r>
    </w:p>
    <w:p w14:paraId="2AC4461C"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Преди започване на лечението трябва да се установи дали пациентът има анамнеза за тежки реакции на свръхчувствителност към цефуроксим, към други цефалоспорини или към други типове бета-лактамни средства. Цефуроксим трябва да се прилага с повишено внимание при пациенти с анамнеза за нетежки реакции на свръхчувствителност към други бета- лактамни средства.</w:t>
      </w:r>
    </w:p>
    <w:p w14:paraId="1A248C9B" w14:textId="77777777" w:rsidR="005A7FB7" w:rsidRDefault="005A7FB7" w:rsidP="005A7FB7">
      <w:pPr>
        <w:spacing w:line="240" w:lineRule="auto"/>
        <w:rPr>
          <w:rFonts w:eastAsia="Times New Roman" w:cs="Arial"/>
          <w:color w:val="000000"/>
          <w:u w:val="single"/>
          <w:lang w:eastAsia="bg-BG"/>
        </w:rPr>
      </w:pPr>
    </w:p>
    <w:p w14:paraId="46C26448" w14:textId="23FC1E56" w:rsidR="005A7FB7" w:rsidRPr="005A7FB7" w:rsidRDefault="005A7FB7" w:rsidP="005A7FB7">
      <w:pPr>
        <w:spacing w:line="240" w:lineRule="auto"/>
        <w:rPr>
          <w:rFonts w:eastAsia="Times New Roman" w:cs="Arial"/>
          <w:lang w:eastAsia="bg-BG"/>
        </w:rPr>
      </w:pPr>
      <w:r w:rsidRPr="005A7FB7">
        <w:rPr>
          <w:rFonts w:eastAsia="Times New Roman" w:cs="Arial"/>
          <w:color w:val="000000"/>
          <w:u w:val="single"/>
          <w:lang w:eastAsia="bg-BG"/>
        </w:rPr>
        <w:t>Реакпия на Яриш-Херксхаймер</w:t>
      </w:r>
    </w:p>
    <w:p w14:paraId="2A8DFC45"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 xml:space="preserve">Реакция на Яриш-Херксхаймер е наблюдавана след лечение на Лаймска болест с цефуроксим аксетил. Тази реакция е пряк резултат от бактерицидното действие на цефуроксим аксетил върху причинителя на Лаймска болест, спирохетата </w:t>
      </w:r>
      <w:r w:rsidRPr="005A7FB7">
        <w:rPr>
          <w:rFonts w:eastAsia="Times New Roman" w:cs="Arial"/>
          <w:i/>
          <w:iCs/>
          <w:color w:val="000000"/>
          <w:lang w:val="en-US"/>
        </w:rPr>
        <w:t>Borrelia burgdorferi.</w:t>
      </w:r>
      <w:r w:rsidRPr="005A7FB7">
        <w:rPr>
          <w:rFonts w:eastAsia="Times New Roman" w:cs="Arial"/>
          <w:color w:val="000000"/>
          <w:lang w:val="en-US"/>
        </w:rPr>
        <w:t xml:space="preserve"> </w:t>
      </w:r>
      <w:r w:rsidRPr="005A7FB7">
        <w:rPr>
          <w:rFonts w:eastAsia="Times New Roman" w:cs="Arial"/>
          <w:color w:val="000000"/>
          <w:lang w:eastAsia="bg-BG"/>
        </w:rPr>
        <w:t>Пациентите трябва да бъдат предупредени, че това е честа и обикновено самоограничаваща се реакция вследствие на антибиотично лечение на Лаймска болест (вижте точка 4.8).</w:t>
      </w:r>
    </w:p>
    <w:p w14:paraId="4426022A" w14:textId="77777777" w:rsidR="005A7FB7" w:rsidRDefault="005A7FB7" w:rsidP="005A7FB7">
      <w:pPr>
        <w:spacing w:line="240" w:lineRule="auto"/>
        <w:rPr>
          <w:rFonts w:eastAsia="Times New Roman" w:cs="Arial"/>
          <w:color w:val="000000"/>
          <w:u w:val="single"/>
          <w:lang w:eastAsia="bg-BG"/>
        </w:rPr>
      </w:pPr>
    </w:p>
    <w:p w14:paraId="24139BF0" w14:textId="0732D51A" w:rsidR="005A7FB7" w:rsidRPr="005A7FB7" w:rsidRDefault="005A7FB7" w:rsidP="005A7FB7">
      <w:pPr>
        <w:spacing w:line="240" w:lineRule="auto"/>
        <w:rPr>
          <w:rFonts w:eastAsia="Times New Roman" w:cs="Arial"/>
          <w:lang w:eastAsia="bg-BG"/>
        </w:rPr>
      </w:pPr>
      <w:r w:rsidRPr="005A7FB7">
        <w:rPr>
          <w:rFonts w:eastAsia="Times New Roman" w:cs="Arial"/>
          <w:color w:val="000000"/>
          <w:u w:val="single"/>
          <w:lang w:eastAsia="bg-BG"/>
        </w:rPr>
        <w:t>Сврьхрастеж на нечувствителни микроорганизми</w:t>
      </w:r>
    </w:p>
    <w:p w14:paraId="1F521ADC"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 xml:space="preserve">Както при други антибиотици, приложението на цефуроксим аксетил може да доведе до сврьхрастеж на </w:t>
      </w:r>
      <w:r w:rsidRPr="005A7FB7">
        <w:rPr>
          <w:rFonts w:eastAsia="Times New Roman" w:cs="Arial"/>
          <w:color w:val="000000"/>
          <w:lang w:val="en-US"/>
        </w:rPr>
        <w:t xml:space="preserve">Candida. </w:t>
      </w:r>
      <w:r w:rsidRPr="005A7FB7">
        <w:rPr>
          <w:rFonts w:eastAsia="Times New Roman" w:cs="Arial"/>
          <w:color w:val="000000"/>
          <w:lang w:eastAsia="bg-BG"/>
        </w:rPr>
        <w:t xml:space="preserve">Продължителното приложение може също да доведе до сврьхрастеж на други нечувствителни микроорганизми (например ентерококи и </w:t>
      </w:r>
      <w:r w:rsidRPr="005A7FB7">
        <w:rPr>
          <w:rFonts w:eastAsia="Times New Roman" w:cs="Arial"/>
          <w:i/>
          <w:iCs/>
          <w:color w:val="000000"/>
          <w:lang w:val="en-US"/>
        </w:rPr>
        <w:t>Clostridium difficile),</w:t>
      </w:r>
      <w:r w:rsidRPr="005A7FB7">
        <w:rPr>
          <w:rFonts w:eastAsia="Times New Roman" w:cs="Arial"/>
          <w:color w:val="000000"/>
          <w:lang w:val="en-US"/>
        </w:rPr>
        <w:t xml:space="preserve"> </w:t>
      </w:r>
      <w:r w:rsidRPr="005A7FB7">
        <w:rPr>
          <w:rFonts w:eastAsia="Times New Roman" w:cs="Arial"/>
          <w:color w:val="000000"/>
          <w:lang w:eastAsia="bg-BG"/>
        </w:rPr>
        <w:t>което може да наложи спиране на лечението (вижте точка 4.8).</w:t>
      </w:r>
    </w:p>
    <w:p w14:paraId="36486DD4" w14:textId="77777777" w:rsidR="005A7FB7" w:rsidRPr="005A7FB7" w:rsidRDefault="005A7FB7" w:rsidP="005A7FB7">
      <w:pPr>
        <w:rPr>
          <w:rFonts w:eastAsia="Times New Roman" w:cs="Arial"/>
          <w:lang w:eastAsia="bg-BG"/>
        </w:rPr>
      </w:pPr>
      <w:r w:rsidRPr="005A7FB7">
        <w:rPr>
          <w:rFonts w:eastAsia="Times New Roman" w:cs="Arial"/>
          <w:color w:val="000000"/>
          <w:lang w:eastAsia="bg-BG"/>
        </w:rPr>
        <w:t>Псевдомембранозен колит, свръзан с прием на антибактериални средства, се съобщава при почти всички антибактериални агенти, включително и цефуроксим, като по тежест той може да варира от лек до животозастращаващ. Тази диагноза трябва да се има предвид при пациенти с диария по време на и след приложение на цефуроксим (вижте точка 4.8). В тези случаи трябва да се обмисли спиране на лечението с цефуроксим и приложение на</w:t>
      </w:r>
      <w:r w:rsidRPr="005A7FB7">
        <w:rPr>
          <w:rFonts w:eastAsia="Times New Roman" w:cs="Arial"/>
          <w:color w:val="000000"/>
          <w:lang w:val="en-US" w:eastAsia="bg-BG"/>
        </w:rPr>
        <w:t xml:space="preserve"> </w:t>
      </w:r>
      <w:r w:rsidRPr="005A7FB7">
        <w:rPr>
          <w:rFonts w:eastAsia="Times New Roman" w:cs="Arial"/>
          <w:color w:val="000000"/>
          <w:lang w:eastAsia="bg-BG"/>
        </w:rPr>
        <w:t xml:space="preserve">специфично лечение за </w:t>
      </w:r>
      <w:r w:rsidRPr="005A7FB7">
        <w:rPr>
          <w:rFonts w:eastAsia="Times New Roman" w:cs="Arial"/>
          <w:i/>
          <w:iCs/>
          <w:color w:val="000000"/>
          <w:lang w:val="en-US"/>
        </w:rPr>
        <w:t>Clostridium difficile.</w:t>
      </w:r>
      <w:r w:rsidRPr="005A7FB7">
        <w:rPr>
          <w:rFonts w:eastAsia="Times New Roman" w:cs="Arial"/>
          <w:color w:val="000000"/>
          <w:lang w:val="en-US"/>
        </w:rPr>
        <w:t xml:space="preserve"> </w:t>
      </w:r>
      <w:r w:rsidRPr="005A7FB7">
        <w:rPr>
          <w:rFonts w:eastAsia="Times New Roman" w:cs="Arial"/>
          <w:color w:val="000000"/>
          <w:lang w:eastAsia="bg-BG"/>
        </w:rPr>
        <w:t>Трябва да се приложат лекарствени продукти, които засилват перисталтиката (вижте точка 4.8).</w:t>
      </w:r>
    </w:p>
    <w:p w14:paraId="567E8325" w14:textId="77777777" w:rsidR="005A7FB7" w:rsidRDefault="005A7FB7" w:rsidP="005A7FB7">
      <w:pPr>
        <w:spacing w:line="240" w:lineRule="auto"/>
        <w:rPr>
          <w:rFonts w:eastAsia="Times New Roman" w:cs="Arial"/>
          <w:color w:val="000000"/>
          <w:u w:val="single"/>
          <w:lang w:eastAsia="bg-BG"/>
        </w:rPr>
      </w:pPr>
    </w:p>
    <w:p w14:paraId="13AA20C8" w14:textId="012DD62F" w:rsidR="005A7FB7" w:rsidRPr="005A7FB7" w:rsidRDefault="005A7FB7" w:rsidP="005A7FB7">
      <w:pPr>
        <w:spacing w:line="240" w:lineRule="auto"/>
        <w:rPr>
          <w:rFonts w:eastAsia="Times New Roman" w:cs="Arial"/>
          <w:lang w:eastAsia="bg-BG"/>
        </w:rPr>
      </w:pPr>
      <w:r w:rsidRPr="005A7FB7">
        <w:rPr>
          <w:rFonts w:eastAsia="Times New Roman" w:cs="Arial"/>
          <w:color w:val="000000"/>
          <w:u w:val="single"/>
          <w:lang w:eastAsia="bg-BG"/>
        </w:rPr>
        <w:t>Повлияване на резултатите от диагностични тестове</w:t>
      </w:r>
    </w:p>
    <w:p w14:paraId="00B84611"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Развиването на положителен Тест на Кумбс, свързано с приложение на цефуроксим, може да повлияе на кръстосаната проба за съвместимост при кръвопреливане (вижте точка 4.8).</w:t>
      </w:r>
    </w:p>
    <w:p w14:paraId="3864B080" w14:textId="4E79F384"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Тъй като при ферицианиден тест могат да се получат фалшиво отрицателни резултати се препоръчва за изследване на нивата на глюкоза в кръвта/ плазмата при пациенти на цефуроксим аксетил употребата или на глюкозооксидазния, или на хексокиназния метод.</w:t>
      </w:r>
    </w:p>
    <w:p w14:paraId="61340A8D" w14:textId="77777777" w:rsidR="005A7FB7" w:rsidRDefault="005A7FB7" w:rsidP="005A7FB7">
      <w:pPr>
        <w:spacing w:line="240" w:lineRule="auto"/>
        <w:rPr>
          <w:rFonts w:eastAsia="Times New Roman" w:cs="Arial"/>
          <w:color w:val="000000"/>
          <w:lang w:eastAsia="bg-BG"/>
        </w:rPr>
      </w:pPr>
    </w:p>
    <w:p w14:paraId="09D3EC6E" w14:textId="401E3069"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АКСЕТИН съдържа пропилей гликол, който може да причини симптоми, наподобяващи тези при употреба на алкохол.</w:t>
      </w:r>
    </w:p>
    <w:p w14:paraId="12D77015" w14:textId="2221F34E" w:rsidR="005A7FB7" w:rsidRPr="005A7FB7" w:rsidRDefault="005A7FB7" w:rsidP="005A7FB7">
      <w:pPr>
        <w:rPr>
          <w:lang w:val="en-US"/>
        </w:rPr>
      </w:pPr>
    </w:p>
    <w:p w14:paraId="3A35B3F5" w14:textId="2485BE55" w:rsidR="00A428B7" w:rsidRDefault="002C50EE" w:rsidP="00340E8D">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39E38710" w14:textId="68C155E3" w:rsidR="005A7FB7" w:rsidRDefault="005A7FB7" w:rsidP="005A7FB7"/>
    <w:p w14:paraId="5CF00B25"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Лекарствата, които водят до понижена киселинност в стомаха могат да доведат до по-ниска бионаличност на цефуроксим аксетил в сравнение с бионаличността, постигана при прием на гладно, и също така, да елиминират ефекта на подобряване на абсорбцията при прием след хранене.</w:t>
      </w:r>
    </w:p>
    <w:p w14:paraId="7FE86DF2"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lastRenderedPageBreak/>
        <w:t>Цефуроксим аксетил може да повлияе стомашно-чревната флора, което да доведе до по- ниска резорбция на естрогени и намалена ефикасност на комбинираните перорални контрацептиви.</w:t>
      </w:r>
    </w:p>
    <w:p w14:paraId="12CECA9D"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Цефуроксим се екскретира чрез гломерулна филтрация и тубулна секреция. Не се препоръчва едновременно приложение с пробенецид. Едновременното приложение с пробенецид значително повишава пиковата концентрация, площта под кривата серумна концентрация/ време и елиминационния полуживот на цефуроксим.</w:t>
      </w:r>
    </w:p>
    <w:p w14:paraId="223F9984"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 xml:space="preserve">Едновременното приложение с перорални антикоагуланти може да доведе до повишаване на международното нормализирано съотношение </w:t>
      </w:r>
      <w:r w:rsidRPr="005A7FB7">
        <w:rPr>
          <w:rFonts w:eastAsia="Times New Roman" w:cs="Arial"/>
          <w:color w:val="000000"/>
          <w:lang w:val="en-US"/>
        </w:rPr>
        <w:t>(INR).</w:t>
      </w:r>
    </w:p>
    <w:p w14:paraId="5C08E6F1" w14:textId="77777777" w:rsidR="005A7FB7" w:rsidRPr="005A7FB7" w:rsidRDefault="005A7FB7" w:rsidP="005A7FB7"/>
    <w:p w14:paraId="6085D4F7" w14:textId="3D7BB4BB" w:rsidR="00A428B7" w:rsidRDefault="002C50EE" w:rsidP="00340E8D">
      <w:pPr>
        <w:pStyle w:val="Heading2"/>
      </w:pPr>
      <w:r>
        <w:t>4.6. Фертилитет, бременност и кърмене</w:t>
      </w:r>
    </w:p>
    <w:p w14:paraId="4DD14D37" w14:textId="718C044E" w:rsidR="005A7FB7" w:rsidRDefault="005A7FB7" w:rsidP="005A7FB7"/>
    <w:p w14:paraId="6AF4DF54" w14:textId="77777777" w:rsidR="005A7FB7" w:rsidRPr="005A7FB7" w:rsidRDefault="005A7FB7" w:rsidP="005A7FB7">
      <w:pPr>
        <w:pStyle w:val="Heading3"/>
        <w:rPr>
          <w:rFonts w:eastAsia="Times New Roman"/>
          <w:u w:val="single"/>
          <w:lang w:eastAsia="bg-BG"/>
        </w:rPr>
      </w:pPr>
      <w:r w:rsidRPr="005A7FB7">
        <w:rPr>
          <w:rFonts w:eastAsia="Times New Roman"/>
          <w:u w:val="single"/>
          <w:lang w:eastAsia="bg-BG"/>
        </w:rPr>
        <w:t>Бременност</w:t>
      </w:r>
    </w:p>
    <w:p w14:paraId="4F288F74"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Има ограничени данни от употребата на цефуроксим при бременни жени. Проучванията при животни не показват вредни ефекти върху бременността, ембрионалното и феталното развитие, раждането и постнаталното развитие. АКСЕТИН трябва да се предписва на бременни жени само ако ползата надвишава риска.</w:t>
      </w:r>
    </w:p>
    <w:p w14:paraId="67A7C045" w14:textId="77777777" w:rsidR="005A7FB7" w:rsidRDefault="005A7FB7" w:rsidP="005A7FB7">
      <w:pPr>
        <w:spacing w:line="240" w:lineRule="auto"/>
        <w:rPr>
          <w:rFonts w:eastAsia="Times New Roman" w:cs="Arial"/>
          <w:color w:val="000000"/>
          <w:u w:val="single"/>
          <w:lang w:eastAsia="bg-BG"/>
        </w:rPr>
      </w:pPr>
    </w:p>
    <w:p w14:paraId="62142B62" w14:textId="5F735C46" w:rsidR="005A7FB7" w:rsidRPr="005A7FB7" w:rsidRDefault="005A7FB7" w:rsidP="005A7FB7">
      <w:pPr>
        <w:pStyle w:val="Heading3"/>
        <w:rPr>
          <w:rFonts w:eastAsia="Times New Roman"/>
          <w:u w:val="single"/>
          <w:lang w:eastAsia="bg-BG"/>
        </w:rPr>
      </w:pPr>
      <w:r w:rsidRPr="005A7FB7">
        <w:rPr>
          <w:rFonts w:eastAsia="Times New Roman"/>
          <w:u w:val="single"/>
          <w:lang w:eastAsia="bg-BG"/>
        </w:rPr>
        <w:t>Кърмене</w:t>
      </w:r>
    </w:p>
    <w:p w14:paraId="3AD12B10"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Цефуроксим се екскретира в кърмата при хора в малки количества. Не се очакват нежелани реакции при терапевтични дози, въпреки че не може да се изключи риск от развитие на диария и гъбична инфекция на лигавиците. Развиването на тези реакции може да наложи спиране на кърменето. Трябва да се има предвид възможността за сенсибилизация. Цефуроксим трябва да се прилага при кърмачки само след оценка на съотношението полза/ риск от лекуващия лекар.</w:t>
      </w:r>
    </w:p>
    <w:p w14:paraId="6231436C" w14:textId="77777777" w:rsidR="005A7FB7" w:rsidRDefault="005A7FB7" w:rsidP="005A7FB7">
      <w:pPr>
        <w:spacing w:line="240" w:lineRule="auto"/>
        <w:rPr>
          <w:rFonts w:eastAsia="Times New Roman" w:cs="Arial"/>
          <w:color w:val="000000"/>
          <w:u w:val="single"/>
          <w:lang w:eastAsia="bg-BG"/>
        </w:rPr>
      </w:pPr>
    </w:p>
    <w:p w14:paraId="056DE433" w14:textId="298804EA" w:rsidR="005A7FB7" w:rsidRPr="005A7FB7" w:rsidRDefault="005A7FB7" w:rsidP="005A7FB7">
      <w:pPr>
        <w:pStyle w:val="Heading3"/>
        <w:rPr>
          <w:rFonts w:eastAsia="Times New Roman"/>
          <w:u w:val="single"/>
          <w:lang w:eastAsia="bg-BG"/>
        </w:rPr>
      </w:pPr>
      <w:r w:rsidRPr="005A7FB7">
        <w:rPr>
          <w:rFonts w:eastAsia="Times New Roman"/>
          <w:u w:val="single"/>
          <w:lang w:eastAsia="bg-BG"/>
        </w:rPr>
        <w:t>Фертилитет</w:t>
      </w:r>
    </w:p>
    <w:p w14:paraId="238E0F8F" w14:textId="4403DB21" w:rsidR="005A7FB7" w:rsidRDefault="005A7FB7" w:rsidP="005A7FB7">
      <w:pPr>
        <w:rPr>
          <w:rFonts w:eastAsia="Times New Roman" w:cs="Arial"/>
          <w:color w:val="000000"/>
          <w:lang w:eastAsia="bg-BG"/>
        </w:rPr>
      </w:pPr>
      <w:r w:rsidRPr="005A7FB7">
        <w:rPr>
          <w:rFonts w:eastAsia="Times New Roman" w:cs="Arial"/>
          <w:color w:val="000000"/>
          <w:lang w:eastAsia="bg-BG"/>
        </w:rPr>
        <w:t>Няма данни за ефектите на цефуроксим аксетил върху фертилитета при хора. Репродуктивните проучвания при животни не са показали ефекти върху фертилитета.</w:t>
      </w:r>
    </w:p>
    <w:p w14:paraId="62FA6BD6" w14:textId="77777777" w:rsidR="005A7FB7" w:rsidRPr="005A7FB7" w:rsidRDefault="005A7FB7" w:rsidP="005A7FB7">
      <w:pPr>
        <w:rPr>
          <w:rFonts w:cs="Arial"/>
        </w:rPr>
      </w:pPr>
    </w:p>
    <w:p w14:paraId="4CE899F3" w14:textId="5D39421B" w:rsidR="00A428B7" w:rsidRDefault="002C50EE" w:rsidP="00340E8D">
      <w:pPr>
        <w:pStyle w:val="Heading2"/>
      </w:pPr>
      <w:r>
        <w:t>4.7. Ефекти върху способността за шофиране и работа с машини</w:t>
      </w:r>
    </w:p>
    <w:p w14:paraId="78A9F633" w14:textId="2B56EE0D" w:rsidR="005A7FB7" w:rsidRDefault="005A7FB7" w:rsidP="005A7FB7"/>
    <w:p w14:paraId="55024989" w14:textId="77777777" w:rsidR="005A7FB7" w:rsidRPr="005A7FB7" w:rsidRDefault="005A7FB7" w:rsidP="005A7FB7">
      <w:pPr>
        <w:rPr>
          <w:sz w:val="24"/>
          <w:szCs w:val="24"/>
          <w:lang w:eastAsia="bg-BG"/>
        </w:rPr>
      </w:pPr>
      <w:r w:rsidRPr="005A7FB7">
        <w:rPr>
          <w:lang w:eastAsia="bg-BG"/>
        </w:rPr>
        <w:t>Не са провеждани проучвания на ефектите на цефуроксим върху способността за шофиране и работа с машини. Въпреки това, тъй като лекарството може да причини замаяност, пациентите трябва да бъдат предупредени да бъдат внимателни при шофиране и работа с машини.</w:t>
      </w:r>
    </w:p>
    <w:p w14:paraId="40F73560" w14:textId="77777777" w:rsidR="005A7FB7" w:rsidRPr="005A7FB7" w:rsidRDefault="005A7FB7" w:rsidP="005A7FB7"/>
    <w:p w14:paraId="6D9C6606" w14:textId="67604585" w:rsidR="00A428B7" w:rsidRDefault="002C50EE" w:rsidP="00340E8D">
      <w:pPr>
        <w:pStyle w:val="Heading2"/>
      </w:pPr>
      <w:r>
        <w:t>4.8. Нежелани лекарствени реакции</w:t>
      </w:r>
    </w:p>
    <w:p w14:paraId="7357F58D" w14:textId="10741431" w:rsidR="005A7FB7" w:rsidRDefault="005A7FB7" w:rsidP="005A7FB7"/>
    <w:p w14:paraId="242026B8"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 xml:space="preserve">Най-честите нежелани реакции са сврьхрастеж на </w:t>
      </w:r>
      <w:r w:rsidRPr="005A7FB7">
        <w:rPr>
          <w:rFonts w:eastAsia="Times New Roman" w:cs="Arial"/>
          <w:i/>
          <w:iCs/>
          <w:color w:val="000000"/>
          <w:lang w:val="en-US"/>
        </w:rPr>
        <w:t>Candida,</w:t>
      </w:r>
      <w:r w:rsidRPr="005A7FB7">
        <w:rPr>
          <w:rFonts w:eastAsia="Times New Roman" w:cs="Arial"/>
          <w:color w:val="000000"/>
          <w:lang w:val="en-US"/>
        </w:rPr>
        <w:t xml:space="preserve"> </w:t>
      </w:r>
      <w:r w:rsidRPr="005A7FB7">
        <w:rPr>
          <w:rFonts w:eastAsia="Times New Roman" w:cs="Arial"/>
          <w:color w:val="000000"/>
          <w:lang w:eastAsia="bg-BG"/>
        </w:rPr>
        <w:t>еозинофилия, главоболие, замаяност, стомашно-чревни нарушения и преходно повишение на чернодробните ензими. Категоризирането по честота на нежеланите реакции по-долу е приблизително, тъй като за повечето реакции не са налични подходящи данни за изчисляване на честотата (например, такива от плацебо-контролирани клинични проучвания). В допълнение, честотата на нежеланите реакции, свързани с цефуроксим аксетил, може да варира в зависимост от индикацията.</w:t>
      </w:r>
    </w:p>
    <w:p w14:paraId="007A178C"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 xml:space="preserve">Данните от обширни клинични проучвания са използвани за определяне на честотата на нежеланите лекарствени реакции в категориите от много чести до редки. Честотите на </w:t>
      </w:r>
      <w:r w:rsidRPr="005A7FB7">
        <w:rPr>
          <w:rFonts w:eastAsia="Times New Roman" w:cs="Arial"/>
          <w:color w:val="000000"/>
          <w:lang w:eastAsia="bg-BG"/>
        </w:rPr>
        <w:lastRenderedPageBreak/>
        <w:t>всички други нежелани лекарствени реакции (т.е. тези, проявяващи се при &lt;1/10 000 души) са установени главно въз основа на постмаркетингови данни и честотата им зависи от честотата на съобщаване на нежелани реакции, а не от реалната честота. Няма данни от плацебо-контролирани проучвания. Когато честотата на нежеланите реакции се изчислява от данни от клинични проучвания, това се основава на свързани с лекарството данни (по преценка на изследователя). При всяко групиране по честота нежеланите реакции са изброени в низходящ ред по отношение на тяхната</w:t>
      </w:r>
    </w:p>
    <w:p w14:paraId="66E5F9E6"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 xml:space="preserve">Свързаните с лечението нежелани лекарствени реакции, всички степени, са изброени по- долу съгласно системо-органните класове, честотата и степента на тежест по </w:t>
      </w:r>
      <w:r w:rsidRPr="005A7FB7">
        <w:rPr>
          <w:rFonts w:eastAsia="Times New Roman" w:cs="Arial"/>
          <w:color w:val="000000"/>
          <w:lang w:val="en-US"/>
        </w:rPr>
        <w:t xml:space="preserve">MedDRA. </w:t>
      </w:r>
      <w:r w:rsidRPr="005A7FB7">
        <w:rPr>
          <w:rFonts w:eastAsia="Times New Roman" w:cs="Arial"/>
          <w:color w:val="000000"/>
          <w:lang w:eastAsia="bg-BG"/>
        </w:rPr>
        <w:t>Използвана е следната класификация на честотата: много чести ≥1/10; чести ≥1/100 до &lt; 1/10, нечести ≥1/1 000 до &lt; 1/100; редки ≥1/10 000 до &lt; 1/1 000; много редки &lt; 1/10 000 и с неизвестна честота (честотата не може да бъде установена от наличните данни).</w:t>
      </w:r>
    </w:p>
    <w:p w14:paraId="503759EA" w14:textId="2988B3D3" w:rsidR="005A7FB7" w:rsidRDefault="005A7FB7" w:rsidP="005A7FB7"/>
    <w:tbl>
      <w:tblPr>
        <w:tblStyle w:val="TableGrid"/>
        <w:tblW w:w="0" w:type="auto"/>
        <w:tblLook w:val="04A0" w:firstRow="1" w:lastRow="0" w:firstColumn="1" w:lastColumn="0" w:noHBand="0" w:noVBand="1"/>
      </w:tblPr>
      <w:tblGrid>
        <w:gridCol w:w="3105"/>
        <w:gridCol w:w="1786"/>
        <w:gridCol w:w="2100"/>
        <w:gridCol w:w="2359"/>
      </w:tblGrid>
      <w:tr w:rsidR="005A7FB7" w14:paraId="252BA083" w14:textId="77777777" w:rsidTr="005A7FB7">
        <w:tc>
          <w:tcPr>
            <w:tcW w:w="3331" w:type="dxa"/>
          </w:tcPr>
          <w:p w14:paraId="08FAC8B7" w14:textId="5DC7EB51" w:rsidR="005A7FB7" w:rsidRPr="005A7FB7" w:rsidRDefault="005A7FB7" w:rsidP="005A7FB7">
            <w:r w:rsidRPr="005A7FB7">
              <w:t>Система орган клас</w:t>
            </w:r>
          </w:p>
        </w:tc>
        <w:tc>
          <w:tcPr>
            <w:tcW w:w="1786" w:type="dxa"/>
          </w:tcPr>
          <w:p w14:paraId="17F2DB97" w14:textId="599B5A64" w:rsidR="005A7FB7" w:rsidRPr="005A7FB7" w:rsidRDefault="005A7FB7" w:rsidP="005A7FB7">
            <w:r w:rsidRPr="005A7FB7">
              <w:t>Чести</w:t>
            </w:r>
          </w:p>
        </w:tc>
        <w:tc>
          <w:tcPr>
            <w:tcW w:w="2100" w:type="dxa"/>
          </w:tcPr>
          <w:p w14:paraId="5ADEF1CB" w14:textId="37E7919C" w:rsidR="005A7FB7" w:rsidRPr="005A7FB7" w:rsidRDefault="005A7FB7" w:rsidP="005A7FB7">
            <w:r w:rsidRPr="005A7FB7">
              <w:t>Нечести</w:t>
            </w:r>
          </w:p>
        </w:tc>
        <w:tc>
          <w:tcPr>
            <w:tcW w:w="2359" w:type="dxa"/>
          </w:tcPr>
          <w:p w14:paraId="35EECC97" w14:textId="49C9DAFF" w:rsidR="005A7FB7" w:rsidRPr="005A7FB7" w:rsidRDefault="005A7FB7" w:rsidP="005A7FB7">
            <w:r w:rsidRPr="005A7FB7">
              <w:t>С неизвестна честота</w:t>
            </w:r>
          </w:p>
        </w:tc>
      </w:tr>
      <w:tr w:rsidR="005A7FB7" w14:paraId="74B16C89" w14:textId="77777777" w:rsidTr="005A7FB7">
        <w:tc>
          <w:tcPr>
            <w:tcW w:w="3331" w:type="dxa"/>
          </w:tcPr>
          <w:p w14:paraId="15B98B66" w14:textId="5FE353DC" w:rsidR="005A7FB7" w:rsidRPr="005A7FB7" w:rsidRDefault="005A7FB7" w:rsidP="005A7FB7">
            <w:r w:rsidRPr="005A7FB7">
              <w:rPr>
                <w:u w:val="single"/>
              </w:rPr>
              <w:t>Инфекции</w:t>
            </w:r>
            <w:r w:rsidRPr="005A7FB7">
              <w:tab/>
              <w:t>и</w:t>
            </w:r>
          </w:p>
        </w:tc>
        <w:tc>
          <w:tcPr>
            <w:tcW w:w="1786" w:type="dxa"/>
          </w:tcPr>
          <w:p w14:paraId="0A257850" w14:textId="2F14F5FD" w:rsidR="005A7FB7" w:rsidRPr="005A7FB7" w:rsidRDefault="005A7FB7" w:rsidP="005A7FB7">
            <w:r w:rsidRPr="005A7FB7">
              <w:t xml:space="preserve">Свръхрастеж на </w:t>
            </w:r>
            <w:r w:rsidRPr="005A7FB7">
              <w:rPr>
                <w:i/>
                <w:iCs/>
                <w:lang w:val="en-US"/>
              </w:rPr>
              <w:t>Candida</w:t>
            </w:r>
          </w:p>
        </w:tc>
        <w:tc>
          <w:tcPr>
            <w:tcW w:w="2100" w:type="dxa"/>
          </w:tcPr>
          <w:p w14:paraId="5A8547A3" w14:textId="77777777" w:rsidR="005A7FB7" w:rsidRPr="005A7FB7" w:rsidRDefault="005A7FB7" w:rsidP="005A7FB7"/>
        </w:tc>
        <w:tc>
          <w:tcPr>
            <w:tcW w:w="2359" w:type="dxa"/>
          </w:tcPr>
          <w:p w14:paraId="522DC74C" w14:textId="77777777" w:rsidR="005A7FB7" w:rsidRPr="005A7FB7" w:rsidRDefault="005A7FB7" w:rsidP="005A7FB7">
            <w:r w:rsidRPr="005A7FB7">
              <w:t>Свръхрастеж</w:t>
            </w:r>
            <w:r w:rsidRPr="005A7FB7">
              <w:tab/>
              <w:t>на</w:t>
            </w:r>
          </w:p>
          <w:p w14:paraId="461A295B" w14:textId="41438706" w:rsidR="005A7FB7" w:rsidRPr="005A7FB7" w:rsidRDefault="005A7FB7" w:rsidP="005A7FB7">
            <w:r w:rsidRPr="005A7FB7">
              <w:rPr>
                <w:i/>
                <w:iCs/>
                <w:lang w:val="en-US"/>
              </w:rPr>
              <w:t>Clostridium difficile</w:t>
            </w:r>
          </w:p>
        </w:tc>
      </w:tr>
      <w:tr w:rsidR="005A7FB7" w14:paraId="42859BB9" w14:textId="77777777" w:rsidTr="005A7FB7">
        <w:tc>
          <w:tcPr>
            <w:tcW w:w="3331" w:type="dxa"/>
          </w:tcPr>
          <w:p w14:paraId="559DB3DC" w14:textId="569FD7E8" w:rsidR="005A7FB7" w:rsidRPr="005A7FB7" w:rsidRDefault="005A7FB7" w:rsidP="005A7FB7">
            <w:r w:rsidRPr="005A7FB7">
              <w:rPr>
                <w:u w:val="single"/>
              </w:rPr>
              <w:t>Нарушения на кръвта и лимфната систма</w:t>
            </w:r>
          </w:p>
        </w:tc>
        <w:tc>
          <w:tcPr>
            <w:tcW w:w="1786" w:type="dxa"/>
          </w:tcPr>
          <w:p w14:paraId="1E09F4F0" w14:textId="4D2ABA3E" w:rsidR="005A7FB7" w:rsidRPr="005A7FB7" w:rsidRDefault="005A7FB7" w:rsidP="005A7FB7">
            <w:r w:rsidRPr="005A7FB7">
              <w:t>Еозинофилия</w:t>
            </w:r>
          </w:p>
        </w:tc>
        <w:tc>
          <w:tcPr>
            <w:tcW w:w="2100" w:type="dxa"/>
          </w:tcPr>
          <w:p w14:paraId="7F0651E2" w14:textId="7B37C9FE" w:rsidR="005A7FB7" w:rsidRPr="005A7FB7" w:rsidRDefault="005A7FB7" w:rsidP="005A7FB7">
            <w:r w:rsidRPr="005A7FB7">
              <w:t>Положителни резултати от Тест на Кумбс, тромбоцитопения, левкопения (понякога тежка)</w:t>
            </w:r>
          </w:p>
        </w:tc>
        <w:tc>
          <w:tcPr>
            <w:tcW w:w="2359" w:type="dxa"/>
          </w:tcPr>
          <w:p w14:paraId="30803BDF" w14:textId="264CFD93" w:rsidR="005A7FB7" w:rsidRPr="005A7FB7" w:rsidRDefault="005A7FB7" w:rsidP="005A7FB7">
            <w:r w:rsidRPr="005A7FB7">
              <w:t>Хемолитична анемия</w:t>
            </w:r>
          </w:p>
        </w:tc>
      </w:tr>
      <w:tr w:rsidR="005A7FB7" w14:paraId="2AC365F4" w14:textId="77777777" w:rsidTr="005A7FB7">
        <w:tc>
          <w:tcPr>
            <w:tcW w:w="3331" w:type="dxa"/>
          </w:tcPr>
          <w:p w14:paraId="72A8C43F" w14:textId="77777777" w:rsidR="005A7FB7" w:rsidRPr="005A7FB7" w:rsidRDefault="005A7FB7" w:rsidP="005A7FB7">
            <w:r w:rsidRPr="005A7FB7">
              <w:rPr>
                <w:u w:val="single"/>
              </w:rPr>
              <w:t>Нарушения на</w:t>
            </w:r>
          </w:p>
          <w:p w14:paraId="1AB3ED83" w14:textId="4F7D888A" w:rsidR="005A7FB7" w:rsidRPr="005A7FB7" w:rsidRDefault="005A7FB7" w:rsidP="005A7FB7">
            <w:r w:rsidRPr="005A7FB7">
              <w:rPr>
                <w:u w:val="single"/>
              </w:rPr>
              <w:t>имунната система</w:t>
            </w:r>
          </w:p>
        </w:tc>
        <w:tc>
          <w:tcPr>
            <w:tcW w:w="1786" w:type="dxa"/>
          </w:tcPr>
          <w:p w14:paraId="03AB8440" w14:textId="77777777" w:rsidR="005A7FB7" w:rsidRPr="005A7FB7" w:rsidRDefault="005A7FB7" w:rsidP="005A7FB7"/>
        </w:tc>
        <w:tc>
          <w:tcPr>
            <w:tcW w:w="2100" w:type="dxa"/>
          </w:tcPr>
          <w:p w14:paraId="65FD2D91" w14:textId="77777777" w:rsidR="005A7FB7" w:rsidRPr="005A7FB7" w:rsidRDefault="005A7FB7" w:rsidP="005A7FB7"/>
        </w:tc>
        <w:tc>
          <w:tcPr>
            <w:tcW w:w="2359" w:type="dxa"/>
          </w:tcPr>
          <w:p w14:paraId="1DEC0674" w14:textId="77777777" w:rsidR="005A7FB7" w:rsidRPr="005A7FB7" w:rsidRDefault="005A7FB7" w:rsidP="005A7FB7">
            <w:r w:rsidRPr="005A7FB7">
              <w:t>Лекарствена треска, серумна</w:t>
            </w:r>
            <w:r w:rsidRPr="005A7FB7">
              <w:tab/>
              <w:t>болест,</w:t>
            </w:r>
          </w:p>
          <w:p w14:paraId="3CC9F4DC" w14:textId="02C04E56" w:rsidR="005A7FB7" w:rsidRPr="005A7FB7" w:rsidRDefault="005A7FB7" w:rsidP="005A7FB7">
            <w:r w:rsidRPr="005A7FB7">
              <w:t>анафилактични реакции, реакция на Яриш-Херксхаймер</w:t>
            </w:r>
          </w:p>
        </w:tc>
      </w:tr>
      <w:tr w:rsidR="005A7FB7" w14:paraId="600EE924" w14:textId="77777777" w:rsidTr="005A7FB7">
        <w:tc>
          <w:tcPr>
            <w:tcW w:w="3331" w:type="dxa"/>
          </w:tcPr>
          <w:p w14:paraId="2689E394" w14:textId="77777777" w:rsidR="005A7FB7" w:rsidRPr="005A7FB7" w:rsidRDefault="005A7FB7" w:rsidP="005A7FB7">
            <w:r w:rsidRPr="005A7FB7">
              <w:rPr>
                <w:u w:val="single"/>
              </w:rPr>
              <w:t>Нарушения на</w:t>
            </w:r>
          </w:p>
          <w:p w14:paraId="252B06CD" w14:textId="12EC704C" w:rsidR="005A7FB7" w:rsidRPr="005A7FB7" w:rsidRDefault="005A7FB7" w:rsidP="005A7FB7">
            <w:r w:rsidRPr="005A7FB7">
              <w:rPr>
                <w:u w:val="single"/>
              </w:rPr>
              <w:t>нервната система</w:t>
            </w:r>
          </w:p>
        </w:tc>
        <w:tc>
          <w:tcPr>
            <w:tcW w:w="1786" w:type="dxa"/>
          </w:tcPr>
          <w:p w14:paraId="7EB0B30C" w14:textId="139CE1B0" w:rsidR="005A7FB7" w:rsidRPr="005A7FB7" w:rsidRDefault="005A7FB7" w:rsidP="005A7FB7">
            <w:r w:rsidRPr="005A7FB7">
              <w:t>Главоболие, замаяност</w:t>
            </w:r>
          </w:p>
        </w:tc>
        <w:tc>
          <w:tcPr>
            <w:tcW w:w="2100" w:type="dxa"/>
          </w:tcPr>
          <w:p w14:paraId="5BD1C5A0" w14:textId="77777777" w:rsidR="005A7FB7" w:rsidRPr="005A7FB7" w:rsidRDefault="005A7FB7" w:rsidP="005A7FB7"/>
        </w:tc>
        <w:tc>
          <w:tcPr>
            <w:tcW w:w="2359" w:type="dxa"/>
          </w:tcPr>
          <w:p w14:paraId="1997651E" w14:textId="77777777" w:rsidR="005A7FB7" w:rsidRPr="005A7FB7" w:rsidRDefault="005A7FB7" w:rsidP="005A7FB7"/>
        </w:tc>
      </w:tr>
      <w:tr w:rsidR="005A7FB7" w14:paraId="6C23F48B" w14:textId="77777777" w:rsidTr="005A7FB7">
        <w:tc>
          <w:tcPr>
            <w:tcW w:w="3331" w:type="dxa"/>
          </w:tcPr>
          <w:p w14:paraId="37130197" w14:textId="048ADAC2" w:rsidR="005A7FB7" w:rsidRPr="005A7FB7" w:rsidRDefault="005A7FB7" w:rsidP="005A7FB7">
            <w:r w:rsidRPr="005A7FB7">
              <w:rPr>
                <w:u w:val="single"/>
              </w:rPr>
              <w:t xml:space="preserve">Стомашно-чревни </w:t>
            </w:r>
            <w:r w:rsidRPr="005A7FB7">
              <w:t>на</w:t>
            </w:r>
            <w:r w:rsidRPr="005A7FB7">
              <w:rPr>
                <w:u w:val="single"/>
              </w:rPr>
              <w:t>рушения</w:t>
            </w:r>
          </w:p>
        </w:tc>
        <w:tc>
          <w:tcPr>
            <w:tcW w:w="1786" w:type="dxa"/>
          </w:tcPr>
          <w:p w14:paraId="6F30CCD4" w14:textId="5DF6F255" w:rsidR="005A7FB7" w:rsidRPr="005A7FB7" w:rsidRDefault="005A7FB7" w:rsidP="005A7FB7">
            <w:r w:rsidRPr="005A7FB7">
              <w:t>Диария, гадене, болка в корема</w:t>
            </w:r>
          </w:p>
        </w:tc>
        <w:tc>
          <w:tcPr>
            <w:tcW w:w="2100" w:type="dxa"/>
          </w:tcPr>
          <w:p w14:paraId="3E2ECC17" w14:textId="65BB8703" w:rsidR="005A7FB7" w:rsidRPr="005A7FB7" w:rsidRDefault="005A7FB7" w:rsidP="005A7FB7">
            <w:r w:rsidRPr="005A7FB7">
              <w:t>Повръщане</w:t>
            </w:r>
          </w:p>
        </w:tc>
        <w:tc>
          <w:tcPr>
            <w:tcW w:w="2359" w:type="dxa"/>
          </w:tcPr>
          <w:p w14:paraId="24585790" w14:textId="663759A6" w:rsidR="005A7FB7" w:rsidRPr="005A7FB7" w:rsidRDefault="005A7FB7" w:rsidP="005A7FB7">
            <w:r w:rsidRPr="005A7FB7">
              <w:t>Псевдомембранозен колит</w:t>
            </w:r>
          </w:p>
        </w:tc>
      </w:tr>
      <w:tr w:rsidR="005A7FB7" w14:paraId="4E6B42DB" w14:textId="77777777" w:rsidTr="005A7FB7">
        <w:tc>
          <w:tcPr>
            <w:tcW w:w="3331" w:type="dxa"/>
          </w:tcPr>
          <w:p w14:paraId="3A697268" w14:textId="74773428" w:rsidR="005A7FB7" w:rsidRPr="005A7FB7" w:rsidRDefault="005A7FB7" w:rsidP="005A7FB7">
            <w:r w:rsidRPr="005A7FB7">
              <w:rPr>
                <w:u w:val="single"/>
              </w:rPr>
              <w:t>Хепатобилиарни нарушения</w:t>
            </w:r>
          </w:p>
        </w:tc>
        <w:tc>
          <w:tcPr>
            <w:tcW w:w="1786" w:type="dxa"/>
          </w:tcPr>
          <w:p w14:paraId="1C18D03B" w14:textId="77777777" w:rsidR="005A7FB7" w:rsidRPr="005A7FB7" w:rsidRDefault="005A7FB7" w:rsidP="005A7FB7">
            <w:r w:rsidRPr="005A7FB7">
              <w:t>Преходно повишение на нивата</w:t>
            </w:r>
            <w:r w:rsidRPr="005A7FB7">
              <w:tab/>
              <w:t>на</w:t>
            </w:r>
          </w:p>
          <w:p w14:paraId="7A56C7A2" w14:textId="7EF917E9" w:rsidR="005A7FB7" w:rsidRPr="005A7FB7" w:rsidRDefault="005A7FB7" w:rsidP="005A7FB7">
            <w:r w:rsidRPr="005A7FB7">
              <w:t>чернодробните ензими</w:t>
            </w:r>
          </w:p>
        </w:tc>
        <w:tc>
          <w:tcPr>
            <w:tcW w:w="2100" w:type="dxa"/>
          </w:tcPr>
          <w:p w14:paraId="6E359978" w14:textId="77777777" w:rsidR="005A7FB7" w:rsidRPr="005A7FB7" w:rsidRDefault="005A7FB7" w:rsidP="005A7FB7"/>
        </w:tc>
        <w:tc>
          <w:tcPr>
            <w:tcW w:w="2359" w:type="dxa"/>
          </w:tcPr>
          <w:p w14:paraId="194D881B" w14:textId="3517337E" w:rsidR="005A7FB7" w:rsidRPr="005A7FB7" w:rsidRDefault="005A7FB7" w:rsidP="005A7FB7">
            <w:r w:rsidRPr="005A7FB7">
              <w:t>Жългеница (предимно холестатична) хепатит</w:t>
            </w:r>
          </w:p>
        </w:tc>
      </w:tr>
      <w:tr w:rsidR="005A7FB7" w14:paraId="77071D27" w14:textId="77777777" w:rsidTr="005A7FB7">
        <w:tc>
          <w:tcPr>
            <w:tcW w:w="3331" w:type="dxa"/>
          </w:tcPr>
          <w:p w14:paraId="03F0BD9A" w14:textId="1C4B053A" w:rsidR="005A7FB7" w:rsidRPr="005A7FB7" w:rsidRDefault="005A7FB7" w:rsidP="005A7FB7">
            <w:pPr>
              <w:rPr>
                <w:lang w:val="en-US"/>
              </w:rPr>
            </w:pPr>
            <w:r w:rsidRPr="005A7FB7">
              <w:rPr>
                <w:u w:val="single"/>
              </w:rPr>
              <w:t>Нарушения на кожата</w:t>
            </w:r>
            <w:r>
              <w:rPr>
                <w:u w:val="single"/>
                <w:lang w:val="en-US"/>
              </w:rPr>
              <w:t xml:space="preserve"> </w:t>
            </w:r>
            <w:r w:rsidRPr="005A7FB7">
              <w:t>и подкожната тъкан</w:t>
            </w:r>
          </w:p>
        </w:tc>
        <w:tc>
          <w:tcPr>
            <w:tcW w:w="1786" w:type="dxa"/>
          </w:tcPr>
          <w:p w14:paraId="45A681F4" w14:textId="77777777" w:rsidR="005A7FB7" w:rsidRPr="005A7FB7" w:rsidRDefault="005A7FB7" w:rsidP="005A7FB7"/>
        </w:tc>
        <w:tc>
          <w:tcPr>
            <w:tcW w:w="2100" w:type="dxa"/>
          </w:tcPr>
          <w:p w14:paraId="1FD452A5" w14:textId="043501C9" w:rsidR="005A7FB7" w:rsidRPr="005A7FB7" w:rsidRDefault="005A7FB7" w:rsidP="005A7FB7">
            <w:r w:rsidRPr="005A7FB7">
              <w:t>Кожни обриви</w:t>
            </w:r>
          </w:p>
        </w:tc>
        <w:tc>
          <w:tcPr>
            <w:tcW w:w="2359" w:type="dxa"/>
          </w:tcPr>
          <w:p w14:paraId="225EF112" w14:textId="77777777" w:rsidR="005A7FB7" w:rsidRPr="005A7FB7" w:rsidRDefault="005A7FB7" w:rsidP="005A7FB7">
            <w:pPr>
              <w:rPr>
                <w:rFonts w:eastAsia="Times New Roman" w:cs="Arial"/>
                <w:lang w:eastAsia="bg-BG"/>
              </w:rPr>
            </w:pPr>
            <w:r w:rsidRPr="005A7FB7">
              <w:rPr>
                <w:rFonts w:cs="Arial"/>
              </w:rPr>
              <w:t>Уртикария, пруритус,</w:t>
            </w:r>
            <w:r w:rsidRPr="005A7FB7">
              <w:rPr>
                <w:rFonts w:cs="Arial"/>
                <w:lang w:val="en-US"/>
              </w:rPr>
              <w:t xml:space="preserve"> </w:t>
            </w:r>
            <w:r w:rsidRPr="005A7FB7">
              <w:rPr>
                <w:rFonts w:eastAsia="Times New Roman" w:cs="Arial"/>
                <w:color w:val="000000"/>
                <w:lang w:eastAsia="bg-BG"/>
              </w:rPr>
              <w:t xml:space="preserve">еритема мултиформе, синдром на Стивънс- Джонсън, токсична епидермална некролиза (екзантематозна </w:t>
            </w:r>
            <w:r w:rsidRPr="005A7FB7">
              <w:rPr>
                <w:rFonts w:eastAsia="Times New Roman" w:cs="Arial"/>
                <w:color w:val="000000"/>
                <w:lang w:eastAsia="bg-BG"/>
              </w:rPr>
              <w:lastRenderedPageBreak/>
              <w:t>некролиза)</w:t>
            </w:r>
            <w:r w:rsidRPr="005A7FB7">
              <w:rPr>
                <w:rFonts w:eastAsia="Times New Roman" w:cs="Arial"/>
                <w:color w:val="000000"/>
                <w:lang w:eastAsia="bg-BG"/>
              </w:rPr>
              <w:tab/>
              <w:t>(вижте</w:t>
            </w:r>
          </w:p>
          <w:p w14:paraId="2F52FF9B" w14:textId="77777777" w:rsidR="005A7FB7" w:rsidRPr="005A7FB7" w:rsidRDefault="005A7FB7" w:rsidP="005A7FB7">
            <w:pPr>
              <w:spacing w:line="240" w:lineRule="auto"/>
              <w:rPr>
                <w:rFonts w:eastAsia="Times New Roman" w:cs="Arial"/>
                <w:lang w:eastAsia="bg-BG"/>
              </w:rPr>
            </w:pPr>
            <w:r w:rsidRPr="005A7FB7">
              <w:rPr>
                <w:rFonts w:eastAsia="Times New Roman" w:cs="Arial"/>
                <w:i/>
                <w:iCs/>
                <w:color w:val="000000"/>
                <w:lang w:eastAsia="bg-BG"/>
              </w:rPr>
              <w:t>Нарушения</w:t>
            </w:r>
            <w:r w:rsidRPr="005A7FB7">
              <w:rPr>
                <w:rFonts w:eastAsia="Times New Roman" w:cs="Arial"/>
                <w:i/>
                <w:iCs/>
                <w:color w:val="000000"/>
                <w:lang w:eastAsia="bg-BG"/>
              </w:rPr>
              <w:tab/>
              <w:t>на</w:t>
            </w:r>
          </w:p>
          <w:p w14:paraId="2F735816" w14:textId="66215AA6" w:rsidR="005A7FB7" w:rsidRPr="005A7FB7" w:rsidRDefault="005A7FB7" w:rsidP="005A7FB7">
            <w:pPr>
              <w:spacing w:line="240" w:lineRule="auto"/>
              <w:rPr>
                <w:rFonts w:eastAsia="Times New Roman" w:cs="Arial"/>
                <w:lang w:eastAsia="bg-BG"/>
              </w:rPr>
            </w:pPr>
            <w:r w:rsidRPr="005A7FB7">
              <w:rPr>
                <w:rFonts w:eastAsia="Times New Roman" w:cs="Arial"/>
                <w:i/>
                <w:iCs/>
                <w:color w:val="000000"/>
                <w:lang w:eastAsia="bg-BG"/>
              </w:rPr>
              <w:t xml:space="preserve">имунната система), </w:t>
            </w:r>
            <w:r w:rsidRPr="005A7FB7">
              <w:rPr>
                <w:rFonts w:eastAsia="Times New Roman" w:cs="Arial"/>
                <w:color w:val="000000"/>
                <w:lang w:eastAsia="bg-BG"/>
              </w:rPr>
              <w:t>ангионевротичен оток</w:t>
            </w:r>
          </w:p>
        </w:tc>
      </w:tr>
      <w:tr w:rsidR="005A7FB7" w14:paraId="1C54F53E" w14:textId="77777777" w:rsidTr="00044E21">
        <w:tc>
          <w:tcPr>
            <w:tcW w:w="9576" w:type="dxa"/>
            <w:gridSpan w:val="4"/>
          </w:tcPr>
          <w:p w14:paraId="0E4AE69B" w14:textId="77777777" w:rsidR="005A7FB7" w:rsidRPr="005A7FB7" w:rsidRDefault="005A7FB7" w:rsidP="005A7FB7">
            <w:pPr>
              <w:spacing w:line="240" w:lineRule="auto"/>
              <w:rPr>
                <w:rFonts w:eastAsia="Times New Roman" w:cs="Arial"/>
                <w:lang w:eastAsia="bg-BG"/>
              </w:rPr>
            </w:pPr>
            <w:r w:rsidRPr="005A7FB7">
              <w:rPr>
                <w:rFonts w:eastAsia="Times New Roman" w:cs="Arial"/>
                <w:i/>
                <w:iCs/>
                <w:color w:val="000000"/>
                <w:lang w:eastAsia="bg-BG"/>
              </w:rPr>
              <w:lastRenderedPageBreak/>
              <w:t>Описание на избрани нежелани реакции</w:t>
            </w:r>
          </w:p>
          <w:p w14:paraId="6A7D82AD"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Цефалоспорините като клас имат свойството да се абсорбират върху повърхността на мембраните на човешките кръвни клетки и да реагират с антитела, насочени към лекарството, в резултат на което да позитивират теста на Кумбс (което може да повлияе на кръстосаната проба за съвместимост при кръвопреливане) и много рядко да причинят хемолитична анемия.</w:t>
            </w:r>
          </w:p>
          <w:p w14:paraId="79E33429" w14:textId="5EA17141"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Наблюдавани са преходни повишения на серумните нива на чернодробните ензими, които обикновено са обратими.</w:t>
            </w:r>
          </w:p>
        </w:tc>
      </w:tr>
    </w:tbl>
    <w:p w14:paraId="7FC1B7AD" w14:textId="77777777" w:rsidR="005A7FB7" w:rsidRDefault="005A7FB7" w:rsidP="005A7FB7">
      <w:pPr>
        <w:rPr>
          <w:lang w:eastAsia="bg-BG"/>
        </w:rPr>
      </w:pPr>
    </w:p>
    <w:p w14:paraId="12B87F0C" w14:textId="1E3C0613" w:rsidR="005A7FB7" w:rsidRPr="005A7FB7" w:rsidRDefault="005A7FB7" w:rsidP="005A7FB7">
      <w:pPr>
        <w:rPr>
          <w:rFonts w:cs="Arial"/>
          <w:lang w:eastAsia="bg-BG"/>
        </w:rPr>
      </w:pPr>
      <w:r w:rsidRPr="005A7FB7">
        <w:rPr>
          <w:rFonts w:cs="Arial"/>
          <w:lang w:eastAsia="bg-BG"/>
        </w:rPr>
        <w:t>Педиатрична популация</w:t>
      </w:r>
    </w:p>
    <w:p w14:paraId="4AEEB03F" w14:textId="77777777" w:rsidR="005A7FB7" w:rsidRPr="005A7FB7" w:rsidRDefault="005A7FB7" w:rsidP="005A7FB7">
      <w:pPr>
        <w:rPr>
          <w:rFonts w:cs="Arial"/>
          <w:lang w:eastAsia="bg-BG"/>
        </w:rPr>
      </w:pPr>
      <w:r w:rsidRPr="005A7FB7">
        <w:rPr>
          <w:rFonts w:cs="Arial"/>
          <w:lang w:eastAsia="bg-BG"/>
        </w:rPr>
        <w:t>Профилът на безопасност на цефуроксим аксетил при деца е сходен с този при възрастни.</w:t>
      </w:r>
    </w:p>
    <w:p w14:paraId="4D24F79C" w14:textId="77777777" w:rsidR="005A7FB7" w:rsidRPr="005A7FB7" w:rsidRDefault="005A7FB7" w:rsidP="005A7FB7">
      <w:pPr>
        <w:rPr>
          <w:rFonts w:cs="Arial"/>
          <w:u w:val="single"/>
          <w:lang w:eastAsia="bg-BG"/>
        </w:rPr>
      </w:pPr>
    </w:p>
    <w:p w14:paraId="41EC4644" w14:textId="1FFD2298" w:rsidR="005A7FB7" w:rsidRPr="005A7FB7" w:rsidRDefault="005A7FB7" w:rsidP="005A7FB7">
      <w:pPr>
        <w:rPr>
          <w:rFonts w:cs="Arial"/>
          <w:lang w:eastAsia="bg-BG"/>
        </w:rPr>
      </w:pPr>
      <w:r w:rsidRPr="005A7FB7">
        <w:rPr>
          <w:rFonts w:cs="Arial"/>
          <w:u w:val="single"/>
          <w:lang w:eastAsia="bg-BG"/>
        </w:rPr>
        <w:t>Съобщаване на подозирани нежелани реакции</w:t>
      </w:r>
    </w:p>
    <w:p w14:paraId="20506F54" w14:textId="77777777" w:rsidR="005A7FB7" w:rsidRPr="005A7FB7" w:rsidRDefault="005A7FB7" w:rsidP="005A7FB7">
      <w:pPr>
        <w:rPr>
          <w:rFonts w:cs="Arial"/>
          <w:lang w:eastAsia="bg-BG"/>
        </w:rPr>
      </w:pPr>
      <w:r w:rsidRPr="005A7FB7">
        <w:rPr>
          <w:rFonts w:cs="Arial"/>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 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48CBAE13" w14:textId="77777777" w:rsidR="005A7FB7" w:rsidRPr="005A7FB7" w:rsidRDefault="005A7FB7" w:rsidP="005A7FB7">
      <w:pPr>
        <w:rPr>
          <w:rFonts w:cs="Arial"/>
          <w:lang w:eastAsia="bg-BG"/>
        </w:rPr>
      </w:pPr>
      <w:r w:rsidRPr="005A7FB7">
        <w:rPr>
          <w:rFonts w:cs="Arial"/>
          <w:lang w:eastAsia="bg-BG"/>
        </w:rPr>
        <w:t>Изпълнителна агенция по лекарствата</w:t>
      </w:r>
    </w:p>
    <w:p w14:paraId="48E1F075" w14:textId="77777777" w:rsidR="005A7FB7" w:rsidRPr="005A7FB7" w:rsidRDefault="005A7FB7" w:rsidP="005A7FB7">
      <w:pPr>
        <w:rPr>
          <w:rFonts w:cs="Arial"/>
          <w:lang w:eastAsia="bg-BG"/>
        </w:rPr>
      </w:pPr>
      <w:r w:rsidRPr="005A7FB7">
        <w:rPr>
          <w:rFonts w:cs="Arial"/>
          <w:lang w:eastAsia="bg-BG"/>
        </w:rPr>
        <w:t>ул., Дамян Груев” № 8,</w:t>
      </w:r>
    </w:p>
    <w:p w14:paraId="1ED2A561" w14:textId="77777777" w:rsidR="005A7FB7" w:rsidRPr="005A7FB7" w:rsidRDefault="005A7FB7" w:rsidP="005A7FB7">
      <w:pPr>
        <w:rPr>
          <w:rFonts w:cs="Arial"/>
          <w:lang w:eastAsia="bg-BG"/>
        </w:rPr>
      </w:pPr>
      <w:r w:rsidRPr="005A7FB7">
        <w:rPr>
          <w:rFonts w:cs="Arial"/>
          <w:lang w:eastAsia="bg-BG"/>
        </w:rPr>
        <w:t>1303 София,</w:t>
      </w:r>
    </w:p>
    <w:p w14:paraId="121F2ACC" w14:textId="77777777" w:rsidR="005A7FB7" w:rsidRPr="005A7FB7" w:rsidRDefault="005A7FB7" w:rsidP="005A7FB7">
      <w:pPr>
        <w:rPr>
          <w:rFonts w:cs="Arial"/>
          <w:lang w:eastAsia="bg-BG"/>
        </w:rPr>
      </w:pPr>
      <w:r w:rsidRPr="005A7FB7">
        <w:rPr>
          <w:rFonts w:cs="Arial"/>
          <w:lang w:eastAsia="bg-BG"/>
        </w:rPr>
        <w:t>тел.:+359 2 8903417</w:t>
      </w:r>
    </w:p>
    <w:p w14:paraId="50B97C32" w14:textId="77777777" w:rsidR="005A7FB7" w:rsidRPr="005A7FB7" w:rsidRDefault="005A7FB7" w:rsidP="005A7FB7">
      <w:pPr>
        <w:rPr>
          <w:rFonts w:cs="Arial"/>
          <w:lang w:eastAsia="bg-BG"/>
        </w:rPr>
      </w:pPr>
      <w:r w:rsidRPr="005A7FB7">
        <w:rPr>
          <w:rFonts w:cs="Arial"/>
          <w:lang w:eastAsia="bg-BG"/>
        </w:rPr>
        <w:t xml:space="preserve">уебсайт: </w:t>
      </w:r>
      <w:hyperlink r:id="rId5" w:history="1">
        <w:r w:rsidRPr="005A7FB7">
          <w:rPr>
            <w:rFonts w:cs="Arial"/>
            <w:u w:val="single"/>
            <w:lang w:val="en-US"/>
          </w:rPr>
          <w:t>www.bda.bg</w:t>
        </w:r>
      </w:hyperlink>
    </w:p>
    <w:p w14:paraId="7C6779CB" w14:textId="77777777" w:rsidR="005A7FB7" w:rsidRPr="005A7FB7" w:rsidRDefault="005A7FB7" w:rsidP="005A7FB7"/>
    <w:p w14:paraId="378A0F20" w14:textId="08BF966B" w:rsidR="001D095A" w:rsidRDefault="002C50EE" w:rsidP="00340E8D">
      <w:pPr>
        <w:pStyle w:val="Heading2"/>
      </w:pPr>
      <w:r>
        <w:t>4.9. Предозиране</w:t>
      </w:r>
    </w:p>
    <w:p w14:paraId="38FA321B" w14:textId="7161083A" w:rsidR="005A7FB7" w:rsidRDefault="005A7FB7" w:rsidP="005A7FB7"/>
    <w:p w14:paraId="7794FE19" w14:textId="77777777" w:rsidR="005A7FB7" w:rsidRPr="005A7FB7" w:rsidRDefault="005A7FB7" w:rsidP="005A7FB7">
      <w:pPr>
        <w:rPr>
          <w:sz w:val="24"/>
          <w:szCs w:val="24"/>
          <w:lang w:eastAsia="bg-BG"/>
        </w:rPr>
      </w:pPr>
      <w:r w:rsidRPr="005A7FB7">
        <w:rPr>
          <w:lang w:eastAsia="bg-BG"/>
        </w:rPr>
        <w:t>Предозирането може да доведе до неврологични последици, включително енцефалопатия, гърчове и кома. Симптоми на предозиране могат да се появят, ако дозата не е понижена по подходящ начин при пациенти с бъбречно увреждане (вижте точка 4.2 и точка 4.4). Серумните нива на цефуроксим може да се понижат чрез хемодиализа и перитонеална диализа.</w:t>
      </w:r>
    </w:p>
    <w:p w14:paraId="328591C8" w14:textId="77777777" w:rsidR="005A7FB7" w:rsidRPr="005A7FB7" w:rsidRDefault="005A7FB7" w:rsidP="005A7FB7"/>
    <w:p w14:paraId="02081B24" w14:textId="36FE76F4" w:rsidR="00395555" w:rsidRPr="00395555" w:rsidRDefault="002C50EE" w:rsidP="008A6AF2">
      <w:pPr>
        <w:pStyle w:val="Heading1"/>
      </w:pPr>
      <w:r>
        <w:t>5. ФАРМАКОЛОГИЧНИ СВОЙСТВА</w:t>
      </w:r>
    </w:p>
    <w:p w14:paraId="1A152A95" w14:textId="3CFECD65" w:rsidR="001D095A" w:rsidRDefault="002C50EE" w:rsidP="00340E8D">
      <w:pPr>
        <w:pStyle w:val="Heading2"/>
      </w:pPr>
      <w:r>
        <w:t>5.1. Фармакодинамични свойства</w:t>
      </w:r>
    </w:p>
    <w:p w14:paraId="161A81E5" w14:textId="11F5FEBE" w:rsidR="005A7FB7" w:rsidRDefault="005A7FB7" w:rsidP="005A7FB7"/>
    <w:p w14:paraId="32B4EA5A"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 xml:space="preserve">Фармакотерапевтична група: антибактериални продукти за системно приложение, втора генерация цефалоспорини; АТС код: </w:t>
      </w:r>
      <w:r w:rsidRPr="005A7FB7">
        <w:rPr>
          <w:rFonts w:eastAsia="Times New Roman" w:cs="Arial"/>
          <w:color w:val="000000"/>
          <w:lang w:val="en-US"/>
        </w:rPr>
        <w:t xml:space="preserve">J01DC </w:t>
      </w:r>
      <w:r w:rsidRPr="005A7FB7">
        <w:rPr>
          <w:rFonts w:eastAsia="Times New Roman" w:cs="Arial"/>
          <w:color w:val="000000"/>
          <w:lang w:eastAsia="bg-BG"/>
        </w:rPr>
        <w:t>02</w:t>
      </w:r>
    </w:p>
    <w:p w14:paraId="211C16A4" w14:textId="77777777" w:rsidR="005A7FB7" w:rsidRPr="005A7FB7" w:rsidRDefault="005A7FB7" w:rsidP="005A7FB7">
      <w:pPr>
        <w:spacing w:line="240" w:lineRule="auto"/>
        <w:rPr>
          <w:rFonts w:eastAsia="Times New Roman" w:cs="Arial"/>
          <w:color w:val="000000"/>
          <w:u w:val="single"/>
          <w:lang w:eastAsia="bg-BG"/>
        </w:rPr>
      </w:pPr>
    </w:p>
    <w:p w14:paraId="618F498C" w14:textId="54A6E13F" w:rsidR="005A7FB7" w:rsidRPr="005A7FB7" w:rsidRDefault="005A7FB7" w:rsidP="005A7FB7">
      <w:pPr>
        <w:spacing w:line="240" w:lineRule="auto"/>
        <w:rPr>
          <w:rFonts w:eastAsia="Times New Roman" w:cs="Arial"/>
          <w:lang w:eastAsia="bg-BG"/>
        </w:rPr>
      </w:pPr>
      <w:r w:rsidRPr="005A7FB7">
        <w:rPr>
          <w:rFonts w:eastAsia="Times New Roman" w:cs="Arial"/>
          <w:color w:val="000000"/>
          <w:u w:val="single"/>
          <w:lang w:eastAsia="bg-BG"/>
        </w:rPr>
        <w:t>Механизъм на действие</w:t>
      </w:r>
    </w:p>
    <w:p w14:paraId="253A7C9E" w14:textId="4D9D4281" w:rsidR="005A7FB7" w:rsidRPr="005A7FB7" w:rsidRDefault="005A7FB7" w:rsidP="005A7FB7">
      <w:pPr>
        <w:rPr>
          <w:rFonts w:eastAsia="Times New Roman" w:cs="Arial"/>
          <w:color w:val="000000"/>
          <w:lang w:eastAsia="bg-BG"/>
        </w:rPr>
      </w:pPr>
      <w:r w:rsidRPr="005A7FB7">
        <w:rPr>
          <w:rFonts w:eastAsia="Times New Roman" w:cs="Arial"/>
          <w:color w:val="000000"/>
          <w:lang w:eastAsia="bg-BG"/>
        </w:rPr>
        <w:lastRenderedPageBreak/>
        <w:t>Цефоруксим аксетил се хидролизира чрез естеразни ензими до активния антибиотик цефуроксим.</w:t>
      </w:r>
    </w:p>
    <w:p w14:paraId="250D4028" w14:textId="08630A96" w:rsidR="005A7FB7" w:rsidRPr="005A7FB7" w:rsidRDefault="005A7FB7" w:rsidP="005A7FB7">
      <w:pPr>
        <w:rPr>
          <w:rFonts w:eastAsia="Times New Roman" w:cs="Arial"/>
          <w:color w:val="000000"/>
          <w:lang w:eastAsia="bg-BG"/>
        </w:rPr>
      </w:pPr>
    </w:p>
    <w:p w14:paraId="01687901"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Цефуроксим инхибира синтеза на бактериалната клетъчна стена чрез свързване с пеницилин-свързващите протеини (РВР). Това води до прекъсване на биосинтезата на клетъчната стена (пептидогликани) и след това до клетъчна лиза и смърт на клетката.</w:t>
      </w:r>
    </w:p>
    <w:p w14:paraId="5F7254A2" w14:textId="77777777" w:rsidR="005A7FB7" w:rsidRDefault="005A7FB7" w:rsidP="005A7FB7">
      <w:pPr>
        <w:spacing w:line="240" w:lineRule="auto"/>
        <w:rPr>
          <w:rFonts w:eastAsia="Times New Roman" w:cs="Arial"/>
          <w:color w:val="000000"/>
          <w:u w:val="single"/>
          <w:lang w:eastAsia="bg-BG"/>
        </w:rPr>
      </w:pPr>
    </w:p>
    <w:p w14:paraId="1FF6C1F4" w14:textId="10B3DEAD" w:rsidR="005A7FB7" w:rsidRPr="005A7FB7" w:rsidRDefault="005A7FB7" w:rsidP="005A7FB7">
      <w:pPr>
        <w:spacing w:line="240" w:lineRule="auto"/>
        <w:rPr>
          <w:rFonts w:eastAsia="Times New Roman" w:cs="Arial"/>
          <w:lang w:eastAsia="bg-BG"/>
        </w:rPr>
      </w:pPr>
      <w:r w:rsidRPr="005A7FB7">
        <w:rPr>
          <w:rFonts w:eastAsia="Times New Roman" w:cs="Arial"/>
          <w:color w:val="000000"/>
          <w:u w:val="single"/>
          <w:lang w:eastAsia="bg-BG"/>
        </w:rPr>
        <w:t>Механизъм на резистентност</w:t>
      </w:r>
    </w:p>
    <w:p w14:paraId="587B7605"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Бактериалната резистентност към цефуроксим може да се дължи на един или повече от следните механизми:</w:t>
      </w:r>
    </w:p>
    <w:p w14:paraId="71A9189B" w14:textId="77777777" w:rsidR="005A7FB7" w:rsidRPr="005A7FB7" w:rsidRDefault="005A7FB7" w:rsidP="005A7FB7">
      <w:pPr>
        <w:pStyle w:val="ListParagraph"/>
        <w:numPr>
          <w:ilvl w:val="0"/>
          <w:numId w:val="42"/>
        </w:numPr>
        <w:spacing w:line="240" w:lineRule="auto"/>
        <w:rPr>
          <w:rFonts w:eastAsia="Times New Roman" w:cs="Arial"/>
          <w:lang w:eastAsia="bg-BG"/>
        </w:rPr>
      </w:pPr>
      <w:r w:rsidRPr="005A7FB7">
        <w:rPr>
          <w:rFonts w:eastAsia="Times New Roman" w:cs="Arial"/>
          <w:color w:val="000000"/>
          <w:lang w:eastAsia="bg-BG"/>
        </w:rPr>
        <w:t xml:space="preserve">хидролиза чрез бета-лактамази; включително (но не ограничено до) беталактамази с разширен спектър </w:t>
      </w:r>
      <w:r w:rsidRPr="005A7FB7">
        <w:rPr>
          <w:rFonts w:eastAsia="Times New Roman" w:cs="Arial"/>
          <w:color w:val="000000"/>
          <w:lang w:val="en-US"/>
        </w:rPr>
        <w:t xml:space="preserve">(ESBL), </w:t>
      </w:r>
      <w:r w:rsidRPr="005A7FB7">
        <w:rPr>
          <w:rFonts w:eastAsia="Times New Roman" w:cs="Arial"/>
          <w:color w:val="000000"/>
          <w:lang w:eastAsia="bg-BG"/>
        </w:rPr>
        <w:t>както и АтрС ензими, които могат да се индуцират или трайно да се активират от потиснато състояние при определени аеробни Грам-отрицателни бактериални щамове;</w:t>
      </w:r>
    </w:p>
    <w:p w14:paraId="29967A7B" w14:textId="77777777" w:rsidR="005A7FB7" w:rsidRPr="005A7FB7" w:rsidRDefault="005A7FB7" w:rsidP="005A7FB7">
      <w:pPr>
        <w:pStyle w:val="ListParagraph"/>
        <w:numPr>
          <w:ilvl w:val="0"/>
          <w:numId w:val="42"/>
        </w:numPr>
        <w:spacing w:line="240" w:lineRule="auto"/>
        <w:rPr>
          <w:rFonts w:eastAsia="Times New Roman" w:cs="Arial"/>
          <w:lang w:eastAsia="bg-BG"/>
        </w:rPr>
      </w:pPr>
      <w:r w:rsidRPr="005A7FB7">
        <w:rPr>
          <w:rFonts w:eastAsia="Times New Roman" w:cs="Arial"/>
          <w:color w:val="000000"/>
          <w:lang w:eastAsia="bg-BG"/>
        </w:rPr>
        <w:t>намален афинитет на пеницилин-свързващите протеини към цефуроксим;</w:t>
      </w:r>
    </w:p>
    <w:p w14:paraId="395DC777" w14:textId="77777777" w:rsidR="005A7FB7" w:rsidRPr="005A7FB7" w:rsidRDefault="005A7FB7" w:rsidP="005A7FB7">
      <w:pPr>
        <w:pStyle w:val="ListParagraph"/>
        <w:numPr>
          <w:ilvl w:val="0"/>
          <w:numId w:val="42"/>
        </w:numPr>
        <w:spacing w:line="240" w:lineRule="auto"/>
        <w:rPr>
          <w:rFonts w:eastAsia="Times New Roman" w:cs="Arial"/>
          <w:lang w:eastAsia="bg-BG"/>
        </w:rPr>
      </w:pPr>
      <w:r w:rsidRPr="005A7FB7">
        <w:rPr>
          <w:rFonts w:eastAsia="Times New Roman" w:cs="Arial"/>
          <w:color w:val="000000"/>
          <w:lang w:eastAsia="bg-BG"/>
        </w:rPr>
        <w:t>непроницаемост на външната мембрана, което ограничава достъпа на цефуроксим до пеницилин-свързващите протеини в Грам-отрицателните бактерии;</w:t>
      </w:r>
    </w:p>
    <w:p w14:paraId="2E91AE36" w14:textId="0F2FD728" w:rsidR="005A7FB7" w:rsidRPr="005A7FB7" w:rsidRDefault="005A7FB7" w:rsidP="005A7FB7">
      <w:pPr>
        <w:pStyle w:val="ListParagraph"/>
        <w:numPr>
          <w:ilvl w:val="0"/>
          <w:numId w:val="42"/>
        </w:numPr>
        <w:spacing w:line="240" w:lineRule="auto"/>
        <w:rPr>
          <w:rFonts w:eastAsia="Times New Roman" w:cs="Arial"/>
          <w:lang w:eastAsia="bg-BG"/>
        </w:rPr>
      </w:pPr>
      <w:r w:rsidRPr="005A7FB7">
        <w:rPr>
          <w:rFonts w:eastAsia="Times New Roman" w:cs="Arial"/>
          <w:color w:val="000000"/>
          <w:lang w:eastAsia="bg-BG"/>
        </w:rPr>
        <w:t>бактериални ефлуксни помпи.</w:t>
      </w:r>
    </w:p>
    <w:p w14:paraId="25D51BEB"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За микроорганизмите с придобита резистентност към дуги инжекционни цефалоспорини се очаква да са резистентни и към цефуроксим.</w:t>
      </w:r>
    </w:p>
    <w:p w14:paraId="7B9CD917" w14:textId="77777777" w:rsidR="005A7FB7" w:rsidRPr="005A7FB7" w:rsidRDefault="005A7FB7" w:rsidP="005A7FB7">
      <w:pPr>
        <w:spacing w:line="240" w:lineRule="auto"/>
        <w:rPr>
          <w:rFonts w:eastAsia="Times New Roman" w:cs="Arial"/>
          <w:lang w:eastAsia="bg-BG"/>
        </w:rPr>
      </w:pPr>
      <w:r w:rsidRPr="005A7FB7">
        <w:rPr>
          <w:rFonts w:eastAsia="Times New Roman" w:cs="Arial"/>
          <w:color w:val="000000"/>
          <w:lang w:eastAsia="bg-BG"/>
        </w:rPr>
        <w:t>В зависимост от механизма на резистентност, микроорганизмите с придобита резистентност към пеницилини могат да проявяват намалена чувствителност или резистентност към цефуроксим.</w:t>
      </w:r>
    </w:p>
    <w:p w14:paraId="3EF86189" w14:textId="77777777" w:rsidR="005A7FB7" w:rsidRDefault="005A7FB7" w:rsidP="005A7FB7">
      <w:pPr>
        <w:spacing w:line="240" w:lineRule="auto"/>
        <w:rPr>
          <w:rFonts w:eastAsia="Times New Roman" w:cs="Arial"/>
          <w:color w:val="000000"/>
          <w:u w:val="single"/>
          <w:lang w:eastAsia="bg-BG"/>
        </w:rPr>
      </w:pPr>
    </w:p>
    <w:p w14:paraId="4B413593" w14:textId="5DB9E0F8" w:rsidR="005A7FB7" w:rsidRPr="005A7FB7" w:rsidRDefault="005A7FB7" w:rsidP="005A7FB7">
      <w:pPr>
        <w:spacing w:line="240" w:lineRule="auto"/>
        <w:rPr>
          <w:rFonts w:eastAsia="Times New Roman" w:cs="Arial"/>
          <w:lang w:eastAsia="bg-BG"/>
        </w:rPr>
      </w:pPr>
      <w:r w:rsidRPr="005A7FB7">
        <w:rPr>
          <w:rFonts w:eastAsia="Times New Roman" w:cs="Arial"/>
          <w:color w:val="000000"/>
          <w:u w:val="single"/>
          <w:lang w:eastAsia="bg-BG"/>
        </w:rPr>
        <w:t>Гранични стойности на цефуроксим аксетил</w:t>
      </w:r>
    </w:p>
    <w:p w14:paraId="1FB129BD" w14:textId="77777777" w:rsidR="005A7FB7" w:rsidRPr="005A7FB7" w:rsidRDefault="005A7FB7" w:rsidP="005A7FB7">
      <w:pPr>
        <w:spacing w:line="240" w:lineRule="auto"/>
        <w:rPr>
          <w:rFonts w:ascii="Times New Roman" w:eastAsia="Times New Roman" w:hAnsi="Times New Roman" w:cs="Times New Roman"/>
          <w:sz w:val="24"/>
          <w:szCs w:val="24"/>
          <w:lang w:eastAsia="bg-BG"/>
        </w:rPr>
      </w:pPr>
      <w:r w:rsidRPr="005A7FB7">
        <w:rPr>
          <w:rFonts w:eastAsia="Times New Roman" w:cs="Arial"/>
          <w:color w:val="000000"/>
          <w:lang w:eastAsia="bg-BG"/>
        </w:rPr>
        <w:t xml:space="preserve">Граничните стойности на минималната инхибиторна активност </w:t>
      </w:r>
      <w:r w:rsidRPr="005A7FB7">
        <w:rPr>
          <w:rFonts w:eastAsia="Times New Roman" w:cs="Arial"/>
          <w:color w:val="000000"/>
          <w:lang w:val="en-US"/>
        </w:rPr>
        <w:t xml:space="preserve">(MIC), </w:t>
      </w:r>
      <w:r w:rsidRPr="005A7FB7">
        <w:rPr>
          <w:rFonts w:eastAsia="Times New Roman" w:cs="Arial"/>
          <w:color w:val="000000"/>
          <w:lang w:eastAsia="bg-BG"/>
        </w:rPr>
        <w:t xml:space="preserve">определени от Европейския комитет за изследване на антимикробна чувствителност </w:t>
      </w:r>
      <w:r w:rsidRPr="005A7FB7">
        <w:rPr>
          <w:rFonts w:eastAsia="Times New Roman" w:cs="Arial"/>
          <w:color w:val="000000"/>
          <w:lang w:val="en-US"/>
        </w:rPr>
        <w:t xml:space="preserve">(EUCAST) </w:t>
      </w:r>
      <w:r w:rsidRPr="005A7FB7">
        <w:rPr>
          <w:rFonts w:eastAsia="Times New Roman" w:cs="Arial"/>
          <w:color w:val="000000"/>
          <w:lang w:eastAsia="bg-BG"/>
        </w:rPr>
        <w:t>са както следва:</w:t>
      </w:r>
    </w:p>
    <w:tbl>
      <w:tblPr>
        <w:tblStyle w:val="TableGrid"/>
        <w:tblW w:w="0" w:type="auto"/>
        <w:tblLook w:val="04A0" w:firstRow="1" w:lastRow="0" w:firstColumn="1" w:lastColumn="0" w:noHBand="0" w:noVBand="1"/>
      </w:tblPr>
      <w:tblGrid>
        <w:gridCol w:w="3841"/>
        <w:gridCol w:w="2746"/>
        <w:gridCol w:w="2763"/>
      </w:tblGrid>
      <w:tr w:rsidR="005A7FB7" w14:paraId="25295271" w14:textId="77777777" w:rsidTr="005A7FB7">
        <w:tc>
          <w:tcPr>
            <w:tcW w:w="3922" w:type="dxa"/>
          </w:tcPr>
          <w:p w14:paraId="111FCF40" w14:textId="1F7F2A9D" w:rsidR="005A7FB7" w:rsidRDefault="005A7FB7" w:rsidP="005A7FB7">
            <w:r>
              <w:t>Микроорганизъм</w:t>
            </w:r>
          </w:p>
        </w:tc>
        <w:tc>
          <w:tcPr>
            <w:tcW w:w="5654" w:type="dxa"/>
            <w:gridSpan w:val="2"/>
          </w:tcPr>
          <w:p w14:paraId="1F29E455" w14:textId="6C929A7B" w:rsidR="005A7FB7" w:rsidRDefault="005A7FB7" w:rsidP="005A7FB7">
            <w:r>
              <w:t xml:space="preserve">Гранични стойности </w:t>
            </w:r>
            <w:r>
              <w:rPr>
                <w:lang w:val="en-US"/>
              </w:rPr>
              <w:t>(mg/L)</w:t>
            </w:r>
          </w:p>
        </w:tc>
      </w:tr>
      <w:tr w:rsidR="005A7FB7" w14:paraId="3083E35D" w14:textId="77777777" w:rsidTr="005A7FB7">
        <w:tc>
          <w:tcPr>
            <w:tcW w:w="3922" w:type="dxa"/>
          </w:tcPr>
          <w:p w14:paraId="3D4C906B" w14:textId="77777777" w:rsidR="005A7FB7" w:rsidRPr="005A7FB7" w:rsidRDefault="005A7FB7" w:rsidP="005A7FB7">
            <w:pPr>
              <w:rPr>
                <w:rFonts w:cs="Arial"/>
              </w:rPr>
            </w:pPr>
          </w:p>
        </w:tc>
        <w:tc>
          <w:tcPr>
            <w:tcW w:w="2820" w:type="dxa"/>
            <w:vAlign w:val="bottom"/>
          </w:tcPr>
          <w:p w14:paraId="3D4D2AC5" w14:textId="4640D8E1" w:rsidR="005A7FB7" w:rsidRPr="005A7FB7" w:rsidRDefault="005A7FB7" w:rsidP="005A7FB7">
            <w:pPr>
              <w:rPr>
                <w:rFonts w:cs="Arial"/>
              </w:rPr>
            </w:pPr>
            <w:r w:rsidRPr="005A7FB7">
              <w:rPr>
                <w:rFonts w:cs="Arial"/>
              </w:rPr>
              <w:t>S</w:t>
            </w:r>
          </w:p>
        </w:tc>
        <w:tc>
          <w:tcPr>
            <w:tcW w:w="2834" w:type="dxa"/>
            <w:vAlign w:val="bottom"/>
          </w:tcPr>
          <w:p w14:paraId="546E8F7F" w14:textId="40CD1292" w:rsidR="005A7FB7" w:rsidRPr="005A7FB7" w:rsidRDefault="005A7FB7" w:rsidP="005A7FB7">
            <w:pPr>
              <w:rPr>
                <w:rFonts w:cs="Arial"/>
              </w:rPr>
            </w:pPr>
            <w:r w:rsidRPr="005A7FB7">
              <w:rPr>
                <w:rFonts w:cs="Arial"/>
              </w:rPr>
              <w:t>R</w:t>
            </w:r>
          </w:p>
        </w:tc>
      </w:tr>
      <w:tr w:rsidR="005A7FB7" w14:paraId="4B874BA5" w14:textId="77777777" w:rsidTr="005A7FB7">
        <w:tc>
          <w:tcPr>
            <w:tcW w:w="3922" w:type="dxa"/>
          </w:tcPr>
          <w:p w14:paraId="164E34EC" w14:textId="77777777" w:rsidR="005A7FB7" w:rsidRPr="005A7FB7" w:rsidRDefault="005A7FB7" w:rsidP="005A7FB7">
            <w:pPr>
              <w:rPr>
                <w:rFonts w:cs="Arial"/>
                <w:lang w:eastAsia="bg-BG"/>
              </w:rPr>
            </w:pPr>
          </w:p>
          <w:p w14:paraId="4EB633A9" w14:textId="5150F8F5" w:rsidR="005A7FB7" w:rsidRPr="005A7FB7" w:rsidRDefault="005A7FB7" w:rsidP="005A7FB7">
            <w:pPr>
              <w:rPr>
                <w:rFonts w:cs="Arial"/>
              </w:rPr>
            </w:pPr>
            <w:r w:rsidRPr="005A7FB7">
              <w:rPr>
                <w:rFonts w:cs="Arial"/>
                <w:i/>
                <w:iCs/>
              </w:rPr>
              <w:t>Enterobacteriaceae</w:t>
            </w:r>
            <w:r w:rsidRPr="005A7FB7">
              <w:rPr>
                <w:rFonts w:cs="Arial"/>
                <w:i/>
                <w:iCs/>
                <w:vertAlign w:val="superscript"/>
              </w:rPr>
              <w:t>1,2</w:t>
            </w:r>
          </w:p>
        </w:tc>
        <w:tc>
          <w:tcPr>
            <w:tcW w:w="2820" w:type="dxa"/>
          </w:tcPr>
          <w:p w14:paraId="3EE8C22C" w14:textId="2A6BA3D3" w:rsidR="005A7FB7" w:rsidRPr="005A7FB7" w:rsidRDefault="005A7FB7" w:rsidP="005A7FB7">
            <w:pPr>
              <w:rPr>
                <w:rFonts w:cs="Arial"/>
              </w:rPr>
            </w:pPr>
            <w:r w:rsidRPr="005A7FB7">
              <w:rPr>
                <w:rFonts w:cs="Arial"/>
                <w:lang w:eastAsia="bg-BG"/>
              </w:rPr>
              <w:t>≤8</w:t>
            </w:r>
          </w:p>
        </w:tc>
        <w:tc>
          <w:tcPr>
            <w:tcW w:w="2834" w:type="dxa"/>
          </w:tcPr>
          <w:p w14:paraId="026DDB6B" w14:textId="7E78A0CD" w:rsidR="005A7FB7" w:rsidRPr="005A7FB7" w:rsidRDefault="005A7FB7" w:rsidP="005A7FB7">
            <w:pPr>
              <w:rPr>
                <w:rFonts w:cs="Arial"/>
              </w:rPr>
            </w:pPr>
            <w:r w:rsidRPr="005A7FB7">
              <w:rPr>
                <w:rFonts w:cs="Arial"/>
                <w:lang w:eastAsia="bg-BG"/>
              </w:rPr>
              <w:t>&gt;8</w:t>
            </w:r>
          </w:p>
        </w:tc>
      </w:tr>
      <w:tr w:rsidR="005A7FB7" w14:paraId="01ADFB46" w14:textId="77777777" w:rsidTr="005A7FB7">
        <w:tc>
          <w:tcPr>
            <w:tcW w:w="3922" w:type="dxa"/>
          </w:tcPr>
          <w:p w14:paraId="206DE67E" w14:textId="74BDDFCA" w:rsidR="005A7FB7" w:rsidRPr="005A7FB7" w:rsidRDefault="005A7FB7" w:rsidP="005A7FB7">
            <w:pPr>
              <w:rPr>
                <w:rFonts w:cs="Arial"/>
              </w:rPr>
            </w:pPr>
            <w:r w:rsidRPr="005A7FB7">
              <w:rPr>
                <w:rFonts w:cs="Arial"/>
                <w:i/>
                <w:iCs/>
              </w:rPr>
              <w:t>Staphylococcus</w:t>
            </w:r>
            <w:r w:rsidRPr="005A7FB7">
              <w:rPr>
                <w:rFonts w:cs="Arial"/>
              </w:rPr>
              <w:t xml:space="preserve"> spp.</w:t>
            </w:r>
          </w:p>
        </w:tc>
        <w:tc>
          <w:tcPr>
            <w:tcW w:w="2820" w:type="dxa"/>
          </w:tcPr>
          <w:p w14:paraId="333F4A62" w14:textId="77777777" w:rsidR="005A7FB7" w:rsidRPr="005A7FB7" w:rsidRDefault="005A7FB7" w:rsidP="005A7FB7">
            <w:pPr>
              <w:rPr>
                <w:rFonts w:cs="Arial"/>
                <w:lang w:eastAsia="bg-BG"/>
              </w:rPr>
            </w:pPr>
            <w:r w:rsidRPr="005A7FB7">
              <w:rPr>
                <w:rFonts w:cs="Arial"/>
                <w:lang w:eastAsia="bg-BG"/>
              </w:rPr>
              <w:t>3</w:t>
            </w:r>
          </w:p>
          <w:p w14:paraId="33302952" w14:textId="1E157123" w:rsidR="005A7FB7" w:rsidRPr="005A7FB7" w:rsidRDefault="005A7FB7" w:rsidP="005A7FB7">
            <w:pPr>
              <w:rPr>
                <w:rFonts w:cs="Arial"/>
              </w:rPr>
            </w:pPr>
            <w:r w:rsidRPr="005A7FB7">
              <w:rPr>
                <w:rFonts w:cs="Arial"/>
                <w:lang w:eastAsia="bg-BG"/>
              </w:rPr>
              <w:t>Забележка</w:t>
            </w:r>
          </w:p>
        </w:tc>
        <w:tc>
          <w:tcPr>
            <w:tcW w:w="2834" w:type="dxa"/>
          </w:tcPr>
          <w:p w14:paraId="59ADF572" w14:textId="37A215E5" w:rsidR="005A7FB7" w:rsidRPr="005A7FB7" w:rsidRDefault="005A7FB7" w:rsidP="005A7FB7">
            <w:pPr>
              <w:rPr>
                <w:rFonts w:cs="Arial"/>
              </w:rPr>
            </w:pPr>
            <w:r w:rsidRPr="005A7FB7">
              <w:rPr>
                <w:rFonts w:cs="Arial"/>
                <w:lang w:eastAsia="bg-BG"/>
              </w:rPr>
              <w:t>Забележка</w:t>
            </w:r>
            <w:r w:rsidRPr="005A7FB7">
              <w:rPr>
                <w:rFonts w:cs="Arial"/>
                <w:vertAlign w:val="superscript"/>
                <w:lang w:eastAsia="bg-BG"/>
              </w:rPr>
              <w:t>3</w:t>
            </w:r>
          </w:p>
        </w:tc>
      </w:tr>
      <w:tr w:rsidR="005A7FB7" w14:paraId="0D6D624C" w14:textId="77777777" w:rsidTr="005A7FB7">
        <w:tc>
          <w:tcPr>
            <w:tcW w:w="3922" w:type="dxa"/>
          </w:tcPr>
          <w:p w14:paraId="0A8D4C47" w14:textId="602EC549" w:rsidR="005A7FB7" w:rsidRPr="005A7FB7" w:rsidRDefault="005A7FB7" w:rsidP="005A7FB7">
            <w:pPr>
              <w:rPr>
                <w:rFonts w:cs="Arial"/>
              </w:rPr>
            </w:pPr>
            <w:r w:rsidRPr="005A7FB7">
              <w:rPr>
                <w:rFonts w:cs="Arial"/>
                <w:i/>
                <w:iCs/>
              </w:rPr>
              <w:t>Streptococcus</w:t>
            </w:r>
            <w:r w:rsidRPr="005A7FB7">
              <w:rPr>
                <w:rFonts w:cs="Arial"/>
              </w:rPr>
              <w:t xml:space="preserve"> </w:t>
            </w:r>
            <w:r w:rsidRPr="005A7FB7">
              <w:rPr>
                <w:rFonts w:cs="Arial"/>
                <w:lang w:eastAsia="bg-BG"/>
              </w:rPr>
              <w:t xml:space="preserve">А, В, </w:t>
            </w:r>
            <w:r w:rsidRPr="005A7FB7">
              <w:rPr>
                <w:rFonts w:cs="Arial"/>
              </w:rPr>
              <w:t xml:space="preserve">C </w:t>
            </w:r>
            <w:r w:rsidRPr="005A7FB7">
              <w:rPr>
                <w:rFonts w:cs="Arial"/>
                <w:lang w:eastAsia="bg-BG"/>
              </w:rPr>
              <w:t xml:space="preserve">и </w:t>
            </w:r>
            <w:r w:rsidRPr="005A7FB7">
              <w:rPr>
                <w:rFonts w:cs="Arial"/>
              </w:rPr>
              <w:t>G</w:t>
            </w:r>
          </w:p>
        </w:tc>
        <w:tc>
          <w:tcPr>
            <w:tcW w:w="2820" w:type="dxa"/>
          </w:tcPr>
          <w:p w14:paraId="7D536C37" w14:textId="77777777" w:rsidR="005A7FB7" w:rsidRPr="005A7FB7" w:rsidRDefault="005A7FB7" w:rsidP="005A7FB7">
            <w:pPr>
              <w:rPr>
                <w:rFonts w:cs="Arial"/>
                <w:lang w:eastAsia="bg-BG"/>
              </w:rPr>
            </w:pPr>
            <w:r w:rsidRPr="005A7FB7">
              <w:rPr>
                <w:rFonts w:cs="Arial"/>
                <w:lang w:eastAsia="bg-BG"/>
              </w:rPr>
              <w:t>4</w:t>
            </w:r>
          </w:p>
          <w:p w14:paraId="69B3FAD6" w14:textId="046B6D00" w:rsidR="005A7FB7" w:rsidRPr="005A7FB7" w:rsidRDefault="005A7FB7" w:rsidP="005A7FB7">
            <w:pPr>
              <w:rPr>
                <w:rFonts w:cs="Arial"/>
              </w:rPr>
            </w:pPr>
            <w:r w:rsidRPr="005A7FB7">
              <w:rPr>
                <w:rFonts w:cs="Arial"/>
                <w:lang w:eastAsia="bg-BG"/>
              </w:rPr>
              <w:t>Забележка</w:t>
            </w:r>
          </w:p>
        </w:tc>
        <w:tc>
          <w:tcPr>
            <w:tcW w:w="2834" w:type="dxa"/>
          </w:tcPr>
          <w:p w14:paraId="28414596" w14:textId="77777777" w:rsidR="005A7FB7" w:rsidRPr="005A7FB7" w:rsidRDefault="005A7FB7" w:rsidP="005A7FB7">
            <w:pPr>
              <w:rPr>
                <w:rFonts w:cs="Arial"/>
                <w:lang w:eastAsia="bg-BG"/>
              </w:rPr>
            </w:pPr>
          </w:p>
          <w:p w14:paraId="38AAD9AC" w14:textId="6B1741E3" w:rsidR="005A7FB7" w:rsidRPr="005A7FB7" w:rsidRDefault="005A7FB7" w:rsidP="005A7FB7">
            <w:pPr>
              <w:rPr>
                <w:rFonts w:cs="Arial"/>
              </w:rPr>
            </w:pPr>
            <w:r w:rsidRPr="005A7FB7">
              <w:rPr>
                <w:rFonts w:cs="Arial"/>
                <w:lang w:eastAsia="bg-BG"/>
              </w:rPr>
              <w:t>Забележка</w:t>
            </w:r>
            <w:r w:rsidRPr="005A7FB7">
              <w:rPr>
                <w:rFonts w:cs="Arial"/>
                <w:vertAlign w:val="superscript"/>
                <w:lang w:eastAsia="bg-BG"/>
              </w:rPr>
              <w:t>4</w:t>
            </w:r>
          </w:p>
        </w:tc>
      </w:tr>
      <w:tr w:rsidR="005A7FB7" w14:paraId="292FCCE3" w14:textId="77777777" w:rsidTr="005A7FB7">
        <w:tc>
          <w:tcPr>
            <w:tcW w:w="3922" w:type="dxa"/>
            <w:vAlign w:val="bottom"/>
          </w:tcPr>
          <w:p w14:paraId="3860A3AC" w14:textId="76479CB8" w:rsidR="005A7FB7" w:rsidRPr="005A7FB7" w:rsidRDefault="005A7FB7" w:rsidP="005A7FB7">
            <w:pPr>
              <w:rPr>
                <w:rFonts w:cs="Arial"/>
              </w:rPr>
            </w:pPr>
            <w:r w:rsidRPr="005A7FB7">
              <w:rPr>
                <w:rFonts w:cs="Arial"/>
                <w:i/>
                <w:iCs/>
              </w:rPr>
              <w:t>Streptococcus pneumoniae</w:t>
            </w:r>
          </w:p>
        </w:tc>
        <w:tc>
          <w:tcPr>
            <w:tcW w:w="2820" w:type="dxa"/>
            <w:vAlign w:val="bottom"/>
          </w:tcPr>
          <w:p w14:paraId="6E73E1D0" w14:textId="34543768" w:rsidR="005A7FB7" w:rsidRPr="005A7FB7" w:rsidRDefault="005A7FB7" w:rsidP="005A7FB7">
            <w:pPr>
              <w:rPr>
                <w:rFonts w:cs="Arial"/>
              </w:rPr>
            </w:pPr>
            <w:r w:rsidRPr="005A7FB7">
              <w:rPr>
                <w:rFonts w:cs="Arial"/>
                <w:lang w:eastAsia="bg-BG"/>
              </w:rPr>
              <w:t>≤0.25</w:t>
            </w:r>
          </w:p>
        </w:tc>
        <w:tc>
          <w:tcPr>
            <w:tcW w:w="2834" w:type="dxa"/>
            <w:vAlign w:val="bottom"/>
          </w:tcPr>
          <w:p w14:paraId="6EAACAB7" w14:textId="1DDE4E4D" w:rsidR="005A7FB7" w:rsidRPr="005A7FB7" w:rsidRDefault="005A7FB7" w:rsidP="005A7FB7">
            <w:pPr>
              <w:rPr>
                <w:rFonts w:cs="Arial"/>
              </w:rPr>
            </w:pPr>
            <w:r w:rsidRPr="005A7FB7">
              <w:rPr>
                <w:rFonts w:cs="Arial"/>
                <w:lang w:eastAsia="bg-BG"/>
              </w:rPr>
              <w:t>&gt;0.5</w:t>
            </w:r>
          </w:p>
        </w:tc>
      </w:tr>
      <w:tr w:rsidR="005A7FB7" w14:paraId="761C93EA" w14:textId="77777777" w:rsidTr="005A7FB7">
        <w:tc>
          <w:tcPr>
            <w:tcW w:w="3922" w:type="dxa"/>
            <w:vAlign w:val="bottom"/>
          </w:tcPr>
          <w:p w14:paraId="29D3E46D" w14:textId="746E9851" w:rsidR="005A7FB7" w:rsidRPr="005A7FB7" w:rsidRDefault="005A7FB7" w:rsidP="005A7FB7">
            <w:pPr>
              <w:rPr>
                <w:rFonts w:cs="Arial"/>
              </w:rPr>
            </w:pPr>
            <w:r w:rsidRPr="005A7FB7">
              <w:rPr>
                <w:rFonts w:cs="Arial"/>
                <w:i/>
                <w:iCs/>
              </w:rPr>
              <w:t>Moraxella catarrhalis</w:t>
            </w:r>
          </w:p>
        </w:tc>
        <w:tc>
          <w:tcPr>
            <w:tcW w:w="2820" w:type="dxa"/>
            <w:vAlign w:val="bottom"/>
          </w:tcPr>
          <w:p w14:paraId="40EEF9C5" w14:textId="51D64C0B" w:rsidR="005A7FB7" w:rsidRPr="005A7FB7" w:rsidRDefault="005A7FB7" w:rsidP="005A7FB7">
            <w:pPr>
              <w:rPr>
                <w:rFonts w:cs="Arial"/>
              </w:rPr>
            </w:pPr>
            <w:r w:rsidRPr="005A7FB7">
              <w:rPr>
                <w:rFonts w:cs="Arial"/>
                <w:lang w:eastAsia="bg-BG"/>
              </w:rPr>
              <w:t>≤0.125</w:t>
            </w:r>
          </w:p>
        </w:tc>
        <w:tc>
          <w:tcPr>
            <w:tcW w:w="2834" w:type="dxa"/>
            <w:vAlign w:val="bottom"/>
          </w:tcPr>
          <w:p w14:paraId="2AF0E20B" w14:textId="25301C23" w:rsidR="005A7FB7" w:rsidRPr="005A7FB7" w:rsidRDefault="005A7FB7" w:rsidP="005A7FB7">
            <w:pPr>
              <w:rPr>
                <w:rFonts w:cs="Arial"/>
              </w:rPr>
            </w:pPr>
            <w:r w:rsidRPr="005A7FB7">
              <w:rPr>
                <w:rFonts w:cs="Arial"/>
                <w:lang w:eastAsia="bg-BG"/>
              </w:rPr>
              <w:t>&gt;4</w:t>
            </w:r>
          </w:p>
        </w:tc>
      </w:tr>
      <w:tr w:rsidR="005A7FB7" w14:paraId="27F6F427" w14:textId="77777777" w:rsidTr="005A7FB7">
        <w:tc>
          <w:tcPr>
            <w:tcW w:w="3922" w:type="dxa"/>
            <w:vAlign w:val="bottom"/>
          </w:tcPr>
          <w:p w14:paraId="416362A2" w14:textId="41B431E6" w:rsidR="005A7FB7" w:rsidRPr="005A7FB7" w:rsidRDefault="005A7FB7" w:rsidP="005A7FB7">
            <w:pPr>
              <w:rPr>
                <w:rFonts w:cs="Arial"/>
              </w:rPr>
            </w:pPr>
            <w:r w:rsidRPr="005A7FB7">
              <w:rPr>
                <w:rFonts w:cs="Arial"/>
                <w:i/>
                <w:iCs/>
              </w:rPr>
              <w:t>Haemophilus influenzae</w:t>
            </w:r>
          </w:p>
        </w:tc>
        <w:tc>
          <w:tcPr>
            <w:tcW w:w="2820" w:type="dxa"/>
            <w:vAlign w:val="bottom"/>
          </w:tcPr>
          <w:p w14:paraId="1CCBA69D" w14:textId="38EB0D76" w:rsidR="005A7FB7" w:rsidRPr="005A7FB7" w:rsidRDefault="005A7FB7" w:rsidP="005A7FB7">
            <w:pPr>
              <w:rPr>
                <w:rFonts w:cs="Arial"/>
              </w:rPr>
            </w:pPr>
            <w:r w:rsidRPr="005A7FB7">
              <w:rPr>
                <w:rFonts w:cs="Arial"/>
                <w:lang w:eastAsia="bg-BG"/>
              </w:rPr>
              <w:t>≤0.125</w:t>
            </w:r>
          </w:p>
        </w:tc>
        <w:tc>
          <w:tcPr>
            <w:tcW w:w="2834" w:type="dxa"/>
            <w:vAlign w:val="bottom"/>
          </w:tcPr>
          <w:p w14:paraId="4BC38CA2" w14:textId="2C703798" w:rsidR="005A7FB7" w:rsidRPr="005A7FB7" w:rsidRDefault="005A7FB7" w:rsidP="005A7FB7">
            <w:pPr>
              <w:rPr>
                <w:rFonts w:cs="Arial"/>
              </w:rPr>
            </w:pPr>
            <w:r w:rsidRPr="005A7FB7">
              <w:rPr>
                <w:rFonts w:cs="Arial"/>
                <w:lang w:eastAsia="bg-BG"/>
              </w:rPr>
              <w:t>&gt;1</w:t>
            </w:r>
          </w:p>
        </w:tc>
      </w:tr>
      <w:tr w:rsidR="005A7FB7" w14:paraId="33A3EA4A" w14:textId="77777777" w:rsidTr="005A7FB7">
        <w:tc>
          <w:tcPr>
            <w:tcW w:w="3922" w:type="dxa"/>
          </w:tcPr>
          <w:p w14:paraId="68117FE2" w14:textId="77777777" w:rsidR="005A7FB7" w:rsidRPr="005A7FB7" w:rsidRDefault="005A7FB7" w:rsidP="005A7FB7">
            <w:pPr>
              <w:rPr>
                <w:rFonts w:cs="Arial"/>
                <w:lang w:eastAsia="bg-BG"/>
              </w:rPr>
            </w:pPr>
            <w:r w:rsidRPr="005A7FB7">
              <w:rPr>
                <w:rFonts w:cs="Arial"/>
                <w:lang w:eastAsia="bg-BG"/>
              </w:rPr>
              <w:t>Гранични стойности, които не</w:t>
            </w:r>
          </w:p>
          <w:p w14:paraId="0263EDC0" w14:textId="77777777" w:rsidR="005A7FB7" w:rsidRPr="005A7FB7" w:rsidRDefault="005A7FB7" w:rsidP="005A7FB7">
            <w:pPr>
              <w:rPr>
                <w:rFonts w:cs="Arial"/>
                <w:lang w:eastAsia="bg-BG"/>
              </w:rPr>
            </w:pPr>
          </w:p>
          <w:p w14:paraId="480132B7" w14:textId="4EA4A0C3" w:rsidR="005A7FB7" w:rsidRPr="005A7FB7" w:rsidRDefault="005A7FB7" w:rsidP="005A7FB7">
            <w:pPr>
              <w:rPr>
                <w:rFonts w:cs="Arial"/>
              </w:rPr>
            </w:pPr>
            <w:r w:rsidRPr="005A7FB7">
              <w:rPr>
                <w:rFonts w:cs="Arial"/>
                <w:lang w:eastAsia="bg-BG"/>
              </w:rPr>
              <w:t>са свързани с вида</w:t>
            </w:r>
            <w:r w:rsidRPr="005A7FB7">
              <w:rPr>
                <w:rFonts w:cs="Arial"/>
                <w:vertAlign w:val="superscript"/>
                <w:lang w:eastAsia="bg-BG"/>
              </w:rPr>
              <w:t>1</w:t>
            </w:r>
          </w:p>
        </w:tc>
        <w:tc>
          <w:tcPr>
            <w:tcW w:w="2820" w:type="dxa"/>
          </w:tcPr>
          <w:p w14:paraId="7103794F" w14:textId="1CB833A8" w:rsidR="005A7FB7" w:rsidRPr="005A7FB7" w:rsidRDefault="005A7FB7" w:rsidP="005A7FB7">
            <w:pPr>
              <w:rPr>
                <w:rFonts w:cs="Arial"/>
              </w:rPr>
            </w:pPr>
            <w:r w:rsidRPr="005A7FB7">
              <w:rPr>
                <w:rFonts w:cs="Arial"/>
              </w:rPr>
              <w:t>IE</w:t>
            </w:r>
            <w:r w:rsidRPr="005A7FB7">
              <w:rPr>
                <w:rFonts w:cs="Arial"/>
                <w:vertAlign w:val="superscript"/>
              </w:rPr>
              <w:t>5</w:t>
            </w:r>
          </w:p>
        </w:tc>
        <w:tc>
          <w:tcPr>
            <w:tcW w:w="2834" w:type="dxa"/>
          </w:tcPr>
          <w:p w14:paraId="61A28434" w14:textId="77777777" w:rsidR="005A7FB7" w:rsidRPr="005A7FB7" w:rsidRDefault="005A7FB7" w:rsidP="005A7FB7">
            <w:pPr>
              <w:rPr>
                <w:rFonts w:cs="Arial"/>
                <w:lang w:eastAsia="bg-BG"/>
              </w:rPr>
            </w:pPr>
          </w:p>
          <w:p w14:paraId="2D51BBF1" w14:textId="32B6A65E" w:rsidR="005A7FB7" w:rsidRPr="005A7FB7" w:rsidRDefault="005A7FB7" w:rsidP="005A7FB7">
            <w:pPr>
              <w:rPr>
                <w:rFonts w:cs="Arial"/>
              </w:rPr>
            </w:pPr>
            <w:r w:rsidRPr="005A7FB7">
              <w:rPr>
                <w:rFonts w:cs="Arial"/>
              </w:rPr>
              <w:t>IE</w:t>
            </w:r>
            <w:r w:rsidRPr="005A7FB7">
              <w:rPr>
                <w:rFonts w:cs="Arial"/>
                <w:vertAlign w:val="superscript"/>
              </w:rPr>
              <w:t>5</w:t>
            </w:r>
          </w:p>
        </w:tc>
      </w:tr>
      <w:tr w:rsidR="005A7FB7" w14:paraId="72016186" w14:textId="77777777" w:rsidTr="00C57C5B">
        <w:tc>
          <w:tcPr>
            <w:tcW w:w="9576" w:type="dxa"/>
            <w:gridSpan w:val="3"/>
          </w:tcPr>
          <w:p w14:paraId="753EF4D7" w14:textId="77777777" w:rsidR="005A7FB7" w:rsidRPr="005A7FB7" w:rsidRDefault="005A7FB7" w:rsidP="005A7FB7">
            <w:pPr>
              <w:spacing w:line="240" w:lineRule="auto"/>
              <w:rPr>
                <w:rFonts w:eastAsia="Times New Roman" w:cs="Arial"/>
                <w:lang w:eastAsia="bg-BG"/>
              </w:rPr>
            </w:pPr>
            <w:r w:rsidRPr="005A7FB7">
              <w:rPr>
                <w:vertAlign w:val="superscript"/>
                <w:lang w:eastAsia="bg-BG"/>
              </w:rPr>
              <w:t>1</w:t>
            </w:r>
            <w:r w:rsidRPr="005A7FB7">
              <w:rPr>
                <w:rFonts w:eastAsia="Times New Roman" w:cs="Arial"/>
                <w:color w:val="000000"/>
                <w:lang w:eastAsia="bg-BG"/>
              </w:rPr>
              <w:t xml:space="preserve">Граничните стойности на цефалоспорините за </w:t>
            </w:r>
            <w:r w:rsidRPr="005A7FB7">
              <w:rPr>
                <w:rFonts w:eastAsia="Times New Roman" w:cs="Arial"/>
                <w:i/>
                <w:iCs/>
                <w:color w:val="000000"/>
                <w:lang w:val="en-US"/>
              </w:rPr>
              <w:t>Enterobacteriaceae</w:t>
            </w:r>
            <w:r w:rsidRPr="005A7FB7">
              <w:rPr>
                <w:rFonts w:eastAsia="Times New Roman" w:cs="Arial"/>
                <w:color w:val="000000"/>
                <w:lang w:val="en-US"/>
              </w:rPr>
              <w:t xml:space="preserve"> </w:t>
            </w:r>
            <w:r w:rsidRPr="005A7FB7">
              <w:rPr>
                <w:rFonts w:eastAsia="Times New Roman" w:cs="Arial"/>
                <w:color w:val="000000"/>
                <w:lang w:eastAsia="bg-BG"/>
              </w:rPr>
              <w:t xml:space="preserve">установяват всички клинично значими механизми на резистентност (включително </w:t>
            </w:r>
            <w:r w:rsidRPr="005A7FB7">
              <w:rPr>
                <w:rFonts w:eastAsia="Times New Roman" w:cs="Arial"/>
                <w:color w:val="000000"/>
                <w:lang w:val="en-US"/>
              </w:rPr>
              <w:t xml:space="preserve">ESBL </w:t>
            </w:r>
            <w:r w:rsidRPr="005A7FB7">
              <w:rPr>
                <w:rFonts w:eastAsia="Times New Roman" w:cs="Arial"/>
                <w:color w:val="000000"/>
                <w:lang w:eastAsia="bg-BG"/>
              </w:rPr>
              <w:t xml:space="preserve">и плазмид- медиирана </w:t>
            </w:r>
            <w:r w:rsidRPr="005A7FB7">
              <w:rPr>
                <w:rFonts w:eastAsia="Times New Roman" w:cs="Arial"/>
                <w:color w:val="000000"/>
                <w:lang w:val="en-US"/>
              </w:rPr>
              <w:t>Amp</w:t>
            </w:r>
            <w:r w:rsidRPr="005A7FB7">
              <w:rPr>
                <w:rFonts w:eastAsia="Times New Roman" w:cs="Arial"/>
                <w:color w:val="000000"/>
                <w:lang w:eastAsia="bg-BG"/>
              </w:rPr>
              <w:t xml:space="preserve">С). Някои щамове, които продуцират бета-лактамази са чувствителни или интермедиерни към 3-то и 4-то поколение цефалоспорини по тези гранични стойности и трябва да се съобщават като открити, т.е. наличието или липсата на </w:t>
            </w:r>
            <w:r w:rsidRPr="005A7FB7">
              <w:rPr>
                <w:rFonts w:eastAsia="Times New Roman" w:cs="Arial"/>
                <w:color w:val="000000"/>
                <w:lang w:val="en-US"/>
              </w:rPr>
              <w:t xml:space="preserve">ESBL </w:t>
            </w:r>
            <w:r w:rsidRPr="005A7FB7">
              <w:rPr>
                <w:rFonts w:eastAsia="Times New Roman" w:cs="Arial"/>
                <w:color w:val="000000"/>
                <w:lang w:eastAsia="bg-BG"/>
              </w:rPr>
              <w:t xml:space="preserve">сами по себе си не повлияват категоризирането по чувствителност. В много области откриването и категоризирането на </w:t>
            </w:r>
            <w:r w:rsidRPr="005A7FB7">
              <w:rPr>
                <w:rFonts w:eastAsia="Times New Roman" w:cs="Arial"/>
                <w:color w:val="000000"/>
                <w:lang w:val="en-US"/>
              </w:rPr>
              <w:t xml:space="preserve">ESBL </w:t>
            </w:r>
            <w:r w:rsidRPr="005A7FB7">
              <w:rPr>
                <w:rFonts w:eastAsia="Times New Roman" w:cs="Arial"/>
                <w:color w:val="000000"/>
                <w:lang w:eastAsia="bg-BG"/>
              </w:rPr>
              <w:t xml:space="preserve">е препоръчително или задължително за целите на контрол на </w:t>
            </w:r>
            <w:r w:rsidRPr="005A7FB7">
              <w:rPr>
                <w:rFonts w:eastAsia="Times New Roman" w:cs="Arial"/>
                <w:color w:val="000000"/>
                <w:lang w:eastAsia="bg-BG"/>
              </w:rPr>
              <w:lastRenderedPageBreak/>
              <w:t>инфекциите.</w:t>
            </w:r>
          </w:p>
          <w:p w14:paraId="0B43C5AF" w14:textId="77777777" w:rsidR="005A7FB7" w:rsidRPr="005A7FB7" w:rsidRDefault="005A7FB7" w:rsidP="005A7FB7">
            <w:pPr>
              <w:spacing w:line="240" w:lineRule="auto"/>
              <w:rPr>
                <w:rFonts w:eastAsia="Times New Roman" w:cs="Arial"/>
                <w:lang w:eastAsia="bg-BG"/>
              </w:rPr>
            </w:pPr>
            <w:r w:rsidRPr="005A7FB7">
              <w:rPr>
                <w:vertAlign w:val="superscript"/>
                <w:lang w:eastAsia="bg-BG"/>
              </w:rPr>
              <w:t>2</w:t>
            </w:r>
            <w:r w:rsidRPr="005A7FB7">
              <w:rPr>
                <w:rFonts w:eastAsia="Times New Roman" w:cs="Arial"/>
                <w:color w:val="000000"/>
                <w:lang w:eastAsia="bg-BG"/>
              </w:rPr>
              <w:t>Само неусложнени инфекции на уринарния тракт (цистит) (вижте точка 4.1).</w:t>
            </w:r>
          </w:p>
          <w:p w14:paraId="42037B81" w14:textId="77777777" w:rsidR="005A7FB7" w:rsidRPr="005A7FB7" w:rsidRDefault="005A7FB7" w:rsidP="005A7FB7">
            <w:pPr>
              <w:spacing w:line="240" w:lineRule="auto"/>
              <w:rPr>
                <w:rFonts w:eastAsia="Times New Roman" w:cs="Arial"/>
                <w:lang w:eastAsia="bg-BG"/>
              </w:rPr>
            </w:pPr>
            <w:r w:rsidRPr="005A7FB7">
              <w:rPr>
                <w:vertAlign w:val="superscript"/>
                <w:lang w:eastAsia="bg-BG"/>
              </w:rPr>
              <w:t>3</w:t>
            </w:r>
            <w:r w:rsidRPr="005A7FB7">
              <w:rPr>
                <w:rFonts w:eastAsia="Times New Roman" w:cs="Arial"/>
                <w:color w:val="000000"/>
                <w:lang w:eastAsia="bg-BG"/>
              </w:rPr>
              <w:t>Чувствителността на стафилококите към цефалоспорини се извежда от метилициновата чувствителност, с изключение на цефтазцдим, цефотаксим и цефтибутен, които нямат гранични стойности и не трябва да се прилагат за лечение на стафилококови инфекции.</w:t>
            </w:r>
          </w:p>
          <w:p w14:paraId="1BC44955" w14:textId="77777777" w:rsidR="005A7FB7" w:rsidRPr="005A7FB7" w:rsidRDefault="005A7FB7" w:rsidP="005A7FB7">
            <w:pPr>
              <w:rPr>
                <w:rFonts w:eastAsia="Times New Roman" w:cs="Arial"/>
                <w:lang w:eastAsia="bg-BG"/>
              </w:rPr>
            </w:pPr>
            <w:r w:rsidRPr="005A7FB7">
              <w:rPr>
                <w:vertAlign w:val="superscript"/>
                <w:lang w:eastAsia="bg-BG"/>
              </w:rPr>
              <w:t>4</w:t>
            </w:r>
            <w:r w:rsidRPr="005A7FB7">
              <w:rPr>
                <w:rFonts w:eastAsia="Times New Roman" w:cs="Arial"/>
                <w:color w:val="000000"/>
                <w:lang w:eastAsia="bg-BG"/>
              </w:rPr>
              <w:t xml:space="preserve">Чувствителността на бета-хемолитичните стрептококи от групи А, В, С и </w:t>
            </w:r>
            <w:r w:rsidRPr="005A7FB7">
              <w:rPr>
                <w:rFonts w:eastAsia="Times New Roman" w:cs="Arial"/>
                <w:color w:val="000000"/>
                <w:lang w:val="en-US"/>
              </w:rPr>
              <w:t>G</w:t>
            </w:r>
            <w:r w:rsidRPr="005A7FB7">
              <w:rPr>
                <w:rFonts w:eastAsia="Times New Roman" w:cs="Arial"/>
                <w:color w:val="000000"/>
                <w:lang w:eastAsia="bg-BG"/>
              </w:rPr>
              <w:t xml:space="preserve"> към бета-лактамите се извежда от чувствителността към пеницилин.</w:t>
            </w:r>
          </w:p>
          <w:p w14:paraId="59DCC0EA" w14:textId="3A46AC8F" w:rsidR="005A7FB7" w:rsidRPr="005A7FB7" w:rsidRDefault="005A7FB7" w:rsidP="005A7FB7">
            <w:pPr>
              <w:spacing w:line="240" w:lineRule="auto"/>
              <w:rPr>
                <w:rFonts w:eastAsia="Times New Roman" w:cs="Arial"/>
                <w:lang w:eastAsia="bg-BG"/>
              </w:rPr>
            </w:pPr>
            <w:r w:rsidRPr="005A7FB7">
              <w:rPr>
                <w:vertAlign w:val="superscript"/>
                <w:lang w:eastAsia="bg-BG"/>
              </w:rPr>
              <w:t>5</w:t>
            </w:r>
            <w:r w:rsidRPr="005A7FB7">
              <w:rPr>
                <w:rFonts w:eastAsia="Times New Roman" w:cs="Arial"/>
                <w:color w:val="000000"/>
                <w:lang w:eastAsia="bg-BG"/>
              </w:rPr>
              <w:t>Недостатъчно доказателства, че въпросният вид е добър таргет за лечение с лекарството.</w:t>
            </w:r>
          </w:p>
          <w:p w14:paraId="244B2619" w14:textId="0C702034" w:rsidR="005A7FB7" w:rsidRPr="005A7FB7" w:rsidRDefault="005A7FB7" w:rsidP="005A7FB7">
            <w:pPr>
              <w:rPr>
                <w:rFonts w:cs="Arial"/>
                <w:lang w:val="en-US"/>
              </w:rPr>
            </w:pPr>
            <w:r w:rsidRPr="005A7FB7">
              <w:rPr>
                <w:rFonts w:cs="Arial"/>
              </w:rPr>
              <w:t xml:space="preserve">Може да се съобщава </w:t>
            </w:r>
            <w:r w:rsidRPr="005A7FB7">
              <w:rPr>
                <w:rFonts w:cs="Arial"/>
                <w:lang w:val="en-US"/>
              </w:rPr>
              <w:t xml:space="preserve">MIC </w:t>
            </w:r>
            <w:r w:rsidRPr="005A7FB7">
              <w:rPr>
                <w:rFonts w:cs="Arial"/>
              </w:rPr>
              <w:t xml:space="preserve">с коментар, но без придружаваща категоризация като </w:t>
            </w:r>
            <w:r w:rsidRPr="005A7FB7">
              <w:rPr>
                <w:rFonts w:cs="Arial"/>
                <w:lang w:val="en-US"/>
              </w:rPr>
              <w:t xml:space="preserve">S </w:t>
            </w:r>
            <w:r w:rsidRPr="005A7FB7">
              <w:rPr>
                <w:rFonts w:cs="Arial"/>
              </w:rPr>
              <w:t xml:space="preserve">или </w:t>
            </w:r>
            <w:r w:rsidRPr="005A7FB7">
              <w:rPr>
                <w:rFonts w:cs="Arial"/>
                <w:lang w:val="en-US"/>
              </w:rPr>
              <w:t>R.</w:t>
            </w:r>
          </w:p>
        </w:tc>
      </w:tr>
    </w:tbl>
    <w:p w14:paraId="5A99DDFA" w14:textId="6D1B71D7" w:rsidR="005A7FB7" w:rsidRDefault="005A7FB7" w:rsidP="005A7FB7"/>
    <w:p w14:paraId="3EF711D8" w14:textId="77777777" w:rsidR="008A4E60" w:rsidRPr="008A4E60" w:rsidRDefault="008A4E60" w:rsidP="008A4E60">
      <w:pPr>
        <w:spacing w:line="240" w:lineRule="auto"/>
        <w:rPr>
          <w:rFonts w:eastAsia="Times New Roman" w:cs="Arial"/>
          <w:lang w:eastAsia="bg-BG"/>
        </w:rPr>
      </w:pPr>
      <w:r w:rsidRPr="008A4E60">
        <w:rPr>
          <w:rFonts w:eastAsia="Times New Roman" w:cs="Arial"/>
          <w:color w:val="000000"/>
          <w:lang w:val="en-US"/>
        </w:rPr>
        <w:t>S</w:t>
      </w:r>
      <w:r w:rsidRPr="008A4E60">
        <w:rPr>
          <w:rFonts w:eastAsia="Times New Roman" w:cs="Arial"/>
          <w:color w:val="000000"/>
          <w:lang w:eastAsia="bg-BG"/>
        </w:rPr>
        <w:t xml:space="preserve">=чувствителен, </w:t>
      </w:r>
      <w:r w:rsidRPr="008A4E60">
        <w:rPr>
          <w:rFonts w:eastAsia="Times New Roman" w:cs="Arial"/>
          <w:color w:val="000000"/>
          <w:lang w:val="en-US"/>
        </w:rPr>
        <w:t>R</w:t>
      </w:r>
      <w:r w:rsidRPr="008A4E60">
        <w:rPr>
          <w:rFonts w:eastAsia="Times New Roman" w:cs="Arial"/>
          <w:color w:val="000000"/>
          <w:lang w:eastAsia="bg-BG"/>
        </w:rPr>
        <w:t>=резистентен</w:t>
      </w:r>
    </w:p>
    <w:p w14:paraId="356FEDFB" w14:textId="77777777" w:rsidR="008A4E60" w:rsidRDefault="008A4E60" w:rsidP="008A4E60">
      <w:pPr>
        <w:spacing w:line="240" w:lineRule="auto"/>
        <w:rPr>
          <w:rFonts w:eastAsia="Times New Roman" w:cs="Arial"/>
          <w:color w:val="000000"/>
          <w:u w:val="single"/>
          <w:lang w:eastAsia="bg-BG"/>
        </w:rPr>
      </w:pPr>
    </w:p>
    <w:p w14:paraId="27745115" w14:textId="31416943" w:rsidR="008A4E60" w:rsidRPr="008A4E60" w:rsidRDefault="008A4E60" w:rsidP="008A4E60">
      <w:pPr>
        <w:spacing w:line="240" w:lineRule="auto"/>
        <w:rPr>
          <w:rFonts w:eastAsia="Times New Roman" w:cs="Arial"/>
          <w:lang w:eastAsia="bg-BG"/>
        </w:rPr>
      </w:pPr>
      <w:r w:rsidRPr="008A4E60">
        <w:rPr>
          <w:rFonts w:eastAsia="Times New Roman" w:cs="Arial"/>
          <w:color w:val="000000"/>
          <w:u w:val="single"/>
          <w:lang w:eastAsia="bg-BG"/>
        </w:rPr>
        <w:t>Микробиологична чувствителност</w:t>
      </w:r>
    </w:p>
    <w:p w14:paraId="34574A14" w14:textId="77777777" w:rsidR="008A4E60" w:rsidRPr="008A4E60" w:rsidRDefault="008A4E60" w:rsidP="008A4E60">
      <w:pPr>
        <w:spacing w:line="240" w:lineRule="auto"/>
        <w:rPr>
          <w:rFonts w:eastAsia="Times New Roman" w:cs="Arial"/>
          <w:lang w:eastAsia="bg-BG"/>
        </w:rPr>
      </w:pPr>
      <w:r w:rsidRPr="008A4E60">
        <w:rPr>
          <w:rFonts w:eastAsia="Times New Roman" w:cs="Arial"/>
          <w:color w:val="000000"/>
          <w:lang w:eastAsia="bg-BG"/>
        </w:rPr>
        <w:t>Разпространението на придобитата резистентност за определени щамове може да варира в различните географски области и с времето, поради което е необходима регионална информация за резистентността, особено при лечение на тежки инфекции. При необходимост трябва да се търси съвет от експерт, когато регионалната честота на резистентност е такава, че поставя под въпрос приложимостта на цефуроксим аксетил поне при някои видове инфекции.</w:t>
      </w:r>
    </w:p>
    <w:p w14:paraId="630C91AE" w14:textId="77777777" w:rsidR="008A4E60" w:rsidRDefault="008A4E60" w:rsidP="008A4E60">
      <w:pPr>
        <w:spacing w:line="240" w:lineRule="auto"/>
        <w:rPr>
          <w:rFonts w:eastAsia="Times New Roman" w:cs="Arial"/>
          <w:color w:val="000000"/>
          <w:lang w:eastAsia="bg-BG"/>
        </w:rPr>
      </w:pPr>
    </w:p>
    <w:p w14:paraId="13C1A4A1" w14:textId="22098A55" w:rsidR="008A4E60" w:rsidRPr="008A4E60" w:rsidRDefault="008A4E60" w:rsidP="008A4E60">
      <w:pPr>
        <w:spacing w:line="240" w:lineRule="auto"/>
        <w:rPr>
          <w:rFonts w:eastAsia="Times New Roman" w:cs="Arial"/>
          <w:lang w:eastAsia="bg-BG"/>
        </w:rPr>
      </w:pPr>
      <w:r w:rsidRPr="008A4E60">
        <w:rPr>
          <w:rFonts w:eastAsia="Times New Roman" w:cs="Arial"/>
          <w:color w:val="000000"/>
          <w:lang w:eastAsia="bg-BG"/>
        </w:rPr>
        <w:t xml:space="preserve">Цефуроксим обичайно е активен срещу следните микроорганизми </w:t>
      </w:r>
      <w:r w:rsidRPr="008A4E60">
        <w:rPr>
          <w:rFonts w:eastAsia="Times New Roman" w:cs="Arial"/>
          <w:i/>
          <w:iCs/>
          <w:color w:val="000000"/>
          <w:lang w:val="en-US"/>
        </w:rPr>
        <w:t>in vitro:</w:t>
      </w:r>
    </w:p>
    <w:p w14:paraId="7B2BEC4E" w14:textId="77777777" w:rsidR="008A4E60" w:rsidRDefault="008A4E60" w:rsidP="008A4E60">
      <w:pPr>
        <w:spacing w:line="240" w:lineRule="auto"/>
        <w:rPr>
          <w:rFonts w:eastAsia="Times New Roman" w:cs="Arial"/>
          <w:color w:val="000000"/>
          <w:lang w:eastAsia="bg-BG"/>
        </w:rPr>
      </w:pPr>
    </w:p>
    <w:p w14:paraId="06D57348" w14:textId="743D9FE4" w:rsidR="008A4E60" w:rsidRPr="008A4E60" w:rsidRDefault="008A4E60" w:rsidP="008A4E60">
      <w:pPr>
        <w:spacing w:line="240" w:lineRule="auto"/>
        <w:rPr>
          <w:rFonts w:eastAsia="Times New Roman" w:cs="Arial"/>
          <w:lang w:eastAsia="bg-BG"/>
        </w:rPr>
      </w:pPr>
      <w:r w:rsidRPr="008A4E60">
        <w:rPr>
          <w:rFonts w:eastAsia="Times New Roman" w:cs="Arial"/>
          <w:color w:val="000000"/>
          <w:lang w:eastAsia="bg-BG"/>
        </w:rPr>
        <w:t>Микроорганизми, които обикновено са чувствителни:</w:t>
      </w:r>
    </w:p>
    <w:p w14:paraId="45B44CE0" w14:textId="77777777" w:rsidR="008A4E60" w:rsidRPr="008A4E60" w:rsidRDefault="008A4E60" w:rsidP="008A4E60">
      <w:pPr>
        <w:spacing w:line="240" w:lineRule="auto"/>
        <w:rPr>
          <w:rFonts w:eastAsia="Times New Roman" w:cs="Arial"/>
          <w:lang w:eastAsia="bg-BG"/>
        </w:rPr>
      </w:pPr>
      <w:r w:rsidRPr="008A4E60">
        <w:rPr>
          <w:rFonts w:eastAsia="Times New Roman" w:cs="Arial"/>
          <w:color w:val="000000"/>
          <w:u w:val="single"/>
          <w:lang w:eastAsia="bg-BG"/>
        </w:rPr>
        <w:t>Грам-положителни аероби:</w:t>
      </w:r>
    </w:p>
    <w:p w14:paraId="30F5FE4C" w14:textId="77777777" w:rsidR="008A4E60" w:rsidRPr="008A4E60" w:rsidRDefault="008A4E60" w:rsidP="008A4E60">
      <w:pPr>
        <w:spacing w:line="240" w:lineRule="auto"/>
        <w:rPr>
          <w:rFonts w:eastAsia="Times New Roman" w:cs="Arial"/>
          <w:lang w:eastAsia="bg-BG"/>
        </w:rPr>
      </w:pPr>
      <w:r w:rsidRPr="008A4E60">
        <w:rPr>
          <w:rFonts w:eastAsia="Times New Roman" w:cs="Arial"/>
          <w:i/>
          <w:iCs/>
          <w:color w:val="000000"/>
          <w:lang w:val="en-US"/>
        </w:rPr>
        <w:t xml:space="preserve">Staphylococcus aureus </w:t>
      </w:r>
      <w:r w:rsidRPr="008A4E60">
        <w:rPr>
          <w:rFonts w:eastAsia="Times New Roman" w:cs="Arial"/>
          <w:i/>
          <w:iCs/>
          <w:color w:val="000000"/>
          <w:lang w:eastAsia="bg-BG"/>
        </w:rPr>
        <w:t>(метицилин-чувствителни) *</w:t>
      </w:r>
    </w:p>
    <w:p w14:paraId="68298A0A" w14:textId="77777777" w:rsidR="008A4E60" w:rsidRPr="008A4E60" w:rsidRDefault="008A4E60" w:rsidP="008A4E60">
      <w:pPr>
        <w:spacing w:line="240" w:lineRule="auto"/>
        <w:rPr>
          <w:rFonts w:eastAsia="Times New Roman" w:cs="Arial"/>
          <w:lang w:eastAsia="bg-BG"/>
        </w:rPr>
      </w:pPr>
      <w:r w:rsidRPr="008A4E60">
        <w:rPr>
          <w:rFonts w:eastAsia="Times New Roman" w:cs="Arial"/>
          <w:i/>
          <w:iCs/>
          <w:color w:val="000000"/>
          <w:lang w:val="en-US"/>
        </w:rPr>
        <w:t>Streptococcus pyogenes</w:t>
      </w:r>
    </w:p>
    <w:p w14:paraId="1CA19912" w14:textId="77777777" w:rsidR="008A4E60" w:rsidRPr="008A4E60" w:rsidRDefault="008A4E60" w:rsidP="008A4E60">
      <w:pPr>
        <w:spacing w:line="240" w:lineRule="auto"/>
        <w:rPr>
          <w:rFonts w:eastAsia="Times New Roman" w:cs="Arial"/>
          <w:lang w:eastAsia="bg-BG"/>
        </w:rPr>
      </w:pPr>
      <w:r w:rsidRPr="008A4E60">
        <w:rPr>
          <w:rFonts w:eastAsia="Times New Roman" w:cs="Arial"/>
          <w:i/>
          <w:iCs/>
          <w:color w:val="000000"/>
          <w:lang w:val="en-US"/>
        </w:rPr>
        <w:t>Streptococcus agalactiae</w:t>
      </w:r>
    </w:p>
    <w:p w14:paraId="51B2D5BE" w14:textId="77777777" w:rsidR="008A4E60" w:rsidRDefault="008A4E60" w:rsidP="008A4E60">
      <w:pPr>
        <w:spacing w:line="240" w:lineRule="auto"/>
        <w:rPr>
          <w:rFonts w:eastAsia="Times New Roman" w:cs="Arial"/>
          <w:color w:val="000000"/>
          <w:u w:val="single"/>
          <w:lang w:eastAsia="bg-BG"/>
        </w:rPr>
      </w:pPr>
    </w:p>
    <w:p w14:paraId="7E7A0F8B" w14:textId="5F155D8D" w:rsidR="008A4E60" w:rsidRPr="008A4E60" w:rsidRDefault="008A4E60" w:rsidP="008A4E60">
      <w:pPr>
        <w:spacing w:line="240" w:lineRule="auto"/>
        <w:rPr>
          <w:rFonts w:eastAsia="Times New Roman" w:cs="Arial"/>
          <w:lang w:eastAsia="bg-BG"/>
        </w:rPr>
      </w:pPr>
      <w:r w:rsidRPr="008A4E60">
        <w:rPr>
          <w:rFonts w:eastAsia="Times New Roman" w:cs="Arial"/>
          <w:color w:val="000000"/>
          <w:u w:val="single"/>
          <w:lang w:eastAsia="bg-BG"/>
        </w:rPr>
        <w:t>Грам-отрицателни аероби:</w:t>
      </w:r>
    </w:p>
    <w:p w14:paraId="2BB336B1" w14:textId="77777777" w:rsidR="008A4E60" w:rsidRPr="008A4E60" w:rsidRDefault="008A4E60" w:rsidP="008A4E60">
      <w:pPr>
        <w:spacing w:line="240" w:lineRule="auto"/>
        <w:rPr>
          <w:rFonts w:eastAsia="Times New Roman" w:cs="Arial"/>
          <w:lang w:eastAsia="bg-BG"/>
        </w:rPr>
      </w:pPr>
      <w:proofErr w:type="spellStart"/>
      <w:r w:rsidRPr="008A4E60">
        <w:rPr>
          <w:rFonts w:eastAsia="Times New Roman" w:cs="Arial"/>
          <w:i/>
          <w:iCs/>
          <w:color w:val="000000"/>
          <w:lang w:val="en-US"/>
        </w:rPr>
        <w:t>Haemophilus</w:t>
      </w:r>
      <w:proofErr w:type="spellEnd"/>
      <w:r w:rsidRPr="008A4E60">
        <w:rPr>
          <w:rFonts w:eastAsia="Times New Roman" w:cs="Arial"/>
          <w:i/>
          <w:iCs/>
          <w:color w:val="000000"/>
          <w:lang w:val="en-US"/>
        </w:rPr>
        <w:t xml:space="preserve"> influenzae</w:t>
      </w:r>
    </w:p>
    <w:p w14:paraId="1545ED0F" w14:textId="77777777" w:rsidR="008A4E60" w:rsidRPr="008A4E60" w:rsidRDefault="008A4E60" w:rsidP="008A4E60">
      <w:pPr>
        <w:spacing w:line="240" w:lineRule="auto"/>
        <w:rPr>
          <w:rFonts w:eastAsia="Times New Roman" w:cs="Arial"/>
          <w:lang w:eastAsia="bg-BG"/>
        </w:rPr>
      </w:pPr>
      <w:proofErr w:type="spellStart"/>
      <w:r w:rsidRPr="008A4E60">
        <w:rPr>
          <w:rFonts w:eastAsia="Times New Roman" w:cs="Arial"/>
          <w:i/>
          <w:iCs/>
          <w:color w:val="000000"/>
          <w:lang w:val="en-US"/>
        </w:rPr>
        <w:t>Haemophilus</w:t>
      </w:r>
      <w:proofErr w:type="spellEnd"/>
      <w:r w:rsidRPr="008A4E60">
        <w:rPr>
          <w:rFonts w:eastAsia="Times New Roman" w:cs="Arial"/>
          <w:i/>
          <w:iCs/>
          <w:color w:val="000000"/>
          <w:lang w:val="en-US"/>
        </w:rPr>
        <w:t xml:space="preserve"> </w:t>
      </w:r>
      <w:proofErr w:type="spellStart"/>
      <w:r w:rsidRPr="008A4E60">
        <w:rPr>
          <w:rFonts w:eastAsia="Times New Roman" w:cs="Arial"/>
          <w:i/>
          <w:iCs/>
          <w:color w:val="000000"/>
          <w:lang w:val="en-US"/>
        </w:rPr>
        <w:t>parainfluenzae</w:t>
      </w:r>
      <w:proofErr w:type="spellEnd"/>
    </w:p>
    <w:p w14:paraId="36A41A3D" w14:textId="77777777" w:rsidR="008A4E60" w:rsidRPr="008A4E60" w:rsidRDefault="008A4E60" w:rsidP="008A4E60">
      <w:pPr>
        <w:spacing w:line="240" w:lineRule="auto"/>
        <w:rPr>
          <w:rFonts w:eastAsia="Times New Roman" w:cs="Arial"/>
          <w:lang w:eastAsia="bg-BG"/>
        </w:rPr>
      </w:pPr>
      <w:r w:rsidRPr="008A4E60">
        <w:rPr>
          <w:rFonts w:eastAsia="Times New Roman" w:cs="Arial"/>
          <w:i/>
          <w:iCs/>
          <w:color w:val="000000"/>
          <w:lang w:val="en-US"/>
        </w:rPr>
        <w:t>Moraxella catarrhalis</w:t>
      </w:r>
    </w:p>
    <w:p w14:paraId="36C9EBA2" w14:textId="77777777" w:rsidR="008A4E60" w:rsidRDefault="008A4E60" w:rsidP="008A4E60">
      <w:pPr>
        <w:spacing w:line="240" w:lineRule="auto"/>
        <w:rPr>
          <w:rFonts w:eastAsia="Times New Roman" w:cs="Arial"/>
          <w:color w:val="000000"/>
          <w:u w:val="single"/>
          <w:lang w:eastAsia="bg-BG"/>
        </w:rPr>
      </w:pPr>
    </w:p>
    <w:p w14:paraId="508F5C11" w14:textId="54BECCF6" w:rsidR="008A4E60" w:rsidRPr="008A4E60" w:rsidRDefault="008A4E60" w:rsidP="008A4E60">
      <w:pPr>
        <w:spacing w:line="240" w:lineRule="auto"/>
        <w:rPr>
          <w:rFonts w:eastAsia="Times New Roman" w:cs="Arial"/>
          <w:lang w:eastAsia="bg-BG"/>
        </w:rPr>
      </w:pPr>
      <w:r w:rsidRPr="008A4E60">
        <w:rPr>
          <w:rFonts w:eastAsia="Times New Roman" w:cs="Arial"/>
          <w:color w:val="000000"/>
          <w:u w:val="single"/>
          <w:lang w:eastAsia="bg-BG"/>
        </w:rPr>
        <w:t>Спирохети:</w:t>
      </w:r>
    </w:p>
    <w:p w14:paraId="26CBE413" w14:textId="77777777" w:rsidR="008A4E60" w:rsidRPr="008A4E60" w:rsidRDefault="008A4E60" w:rsidP="008A4E60">
      <w:pPr>
        <w:spacing w:line="240" w:lineRule="auto"/>
        <w:rPr>
          <w:rFonts w:eastAsia="Times New Roman" w:cs="Arial"/>
          <w:lang w:eastAsia="bg-BG"/>
        </w:rPr>
      </w:pPr>
      <w:r w:rsidRPr="008A4E60">
        <w:rPr>
          <w:rFonts w:eastAsia="Times New Roman" w:cs="Arial"/>
          <w:i/>
          <w:iCs/>
          <w:color w:val="000000"/>
          <w:lang w:val="en-US"/>
        </w:rPr>
        <w:t>Borrelia burgdorferi</w:t>
      </w:r>
    </w:p>
    <w:p w14:paraId="76F975F4" w14:textId="77777777" w:rsidR="008A4E60" w:rsidRPr="008A4E60" w:rsidRDefault="008A4E60" w:rsidP="008A4E60">
      <w:pPr>
        <w:spacing w:line="240" w:lineRule="auto"/>
        <w:rPr>
          <w:rFonts w:eastAsia="Times New Roman" w:cs="Arial"/>
          <w:lang w:eastAsia="bg-BG"/>
        </w:rPr>
      </w:pPr>
      <w:r w:rsidRPr="008A4E60">
        <w:rPr>
          <w:rFonts w:eastAsia="Times New Roman" w:cs="Arial"/>
          <w:i/>
          <w:iCs/>
          <w:color w:val="000000"/>
          <w:lang w:eastAsia="bg-BG"/>
        </w:rPr>
        <w:t>Микроорганизми, за които придобитата резистентност може да е проблем</w:t>
      </w:r>
    </w:p>
    <w:p w14:paraId="666F5AD7" w14:textId="77777777" w:rsidR="008A4E60" w:rsidRDefault="008A4E60" w:rsidP="008A4E60">
      <w:pPr>
        <w:spacing w:line="240" w:lineRule="auto"/>
        <w:rPr>
          <w:rFonts w:eastAsia="Times New Roman" w:cs="Arial"/>
          <w:color w:val="000000"/>
          <w:u w:val="single"/>
          <w:lang w:eastAsia="bg-BG"/>
        </w:rPr>
      </w:pPr>
    </w:p>
    <w:p w14:paraId="5B2F15AA" w14:textId="7B617FC3" w:rsidR="008A4E60" w:rsidRPr="008A4E60" w:rsidRDefault="008A4E60" w:rsidP="008A4E60">
      <w:pPr>
        <w:spacing w:line="240" w:lineRule="auto"/>
        <w:rPr>
          <w:rFonts w:eastAsia="Times New Roman" w:cs="Arial"/>
          <w:lang w:eastAsia="bg-BG"/>
        </w:rPr>
      </w:pPr>
      <w:r w:rsidRPr="008A4E60">
        <w:rPr>
          <w:rFonts w:eastAsia="Times New Roman" w:cs="Arial"/>
          <w:color w:val="000000"/>
          <w:u w:val="single"/>
          <w:lang w:eastAsia="bg-BG"/>
        </w:rPr>
        <w:t>Грам-положителни аероби:</w:t>
      </w:r>
    </w:p>
    <w:p w14:paraId="385EF6B2" w14:textId="77777777" w:rsidR="008A4E60" w:rsidRPr="008A4E60" w:rsidRDefault="008A4E60" w:rsidP="008A4E60">
      <w:pPr>
        <w:spacing w:line="240" w:lineRule="auto"/>
        <w:rPr>
          <w:rFonts w:eastAsia="Times New Roman" w:cs="Arial"/>
          <w:lang w:eastAsia="bg-BG"/>
        </w:rPr>
      </w:pPr>
      <w:r w:rsidRPr="008A4E60">
        <w:rPr>
          <w:rFonts w:eastAsia="Times New Roman" w:cs="Arial"/>
          <w:i/>
          <w:iCs/>
          <w:color w:val="000000"/>
          <w:lang w:val="en-US"/>
        </w:rPr>
        <w:t>Streptococcus pneumoniae</w:t>
      </w:r>
    </w:p>
    <w:p w14:paraId="79093221" w14:textId="77777777" w:rsidR="008A4E60" w:rsidRDefault="008A4E60" w:rsidP="008A4E60">
      <w:pPr>
        <w:spacing w:line="240" w:lineRule="auto"/>
        <w:rPr>
          <w:rFonts w:eastAsia="Times New Roman" w:cs="Arial"/>
          <w:color w:val="000000"/>
          <w:u w:val="single"/>
          <w:lang w:eastAsia="bg-BG"/>
        </w:rPr>
      </w:pPr>
    </w:p>
    <w:p w14:paraId="2E2ADFA2" w14:textId="58FCE5D0" w:rsidR="008A4E60" w:rsidRPr="008A4E60" w:rsidRDefault="008A4E60" w:rsidP="008A4E60">
      <w:pPr>
        <w:spacing w:line="240" w:lineRule="auto"/>
        <w:rPr>
          <w:rFonts w:eastAsia="Times New Roman" w:cs="Arial"/>
          <w:lang w:eastAsia="bg-BG"/>
        </w:rPr>
      </w:pPr>
      <w:r w:rsidRPr="008A4E60">
        <w:rPr>
          <w:rFonts w:eastAsia="Times New Roman" w:cs="Arial"/>
          <w:color w:val="000000"/>
          <w:u w:val="single"/>
          <w:lang w:eastAsia="bg-BG"/>
        </w:rPr>
        <w:t>Грам-отрицателни аероби:</w:t>
      </w:r>
    </w:p>
    <w:p w14:paraId="3DD222F1" w14:textId="77777777" w:rsidR="008A4E60" w:rsidRPr="008A4E60" w:rsidRDefault="008A4E60" w:rsidP="008A4E60">
      <w:pPr>
        <w:spacing w:line="240" w:lineRule="auto"/>
        <w:rPr>
          <w:rFonts w:eastAsia="Times New Roman" w:cs="Arial"/>
          <w:lang w:eastAsia="bg-BG"/>
        </w:rPr>
      </w:pPr>
      <w:proofErr w:type="spellStart"/>
      <w:r w:rsidRPr="008A4E60">
        <w:rPr>
          <w:rFonts w:eastAsia="Times New Roman" w:cs="Arial"/>
          <w:i/>
          <w:iCs/>
          <w:color w:val="000000"/>
          <w:lang w:val="en-US"/>
        </w:rPr>
        <w:t>CitrobacterJreundii</w:t>
      </w:r>
      <w:proofErr w:type="spellEnd"/>
    </w:p>
    <w:p w14:paraId="0912BA78" w14:textId="77777777" w:rsidR="008A4E60" w:rsidRDefault="008A4E60" w:rsidP="008A4E60">
      <w:pPr>
        <w:spacing w:line="240" w:lineRule="auto"/>
        <w:rPr>
          <w:rFonts w:eastAsia="Times New Roman" w:cs="Arial"/>
          <w:i/>
          <w:iCs/>
          <w:color w:val="000000"/>
          <w:lang w:val="en-US"/>
        </w:rPr>
      </w:pPr>
      <w:r w:rsidRPr="008A4E60">
        <w:rPr>
          <w:rFonts w:eastAsia="Times New Roman" w:cs="Arial"/>
          <w:i/>
          <w:iCs/>
          <w:color w:val="000000"/>
          <w:lang w:val="en-US"/>
        </w:rPr>
        <w:t xml:space="preserve">Enterobacter aerogenes </w:t>
      </w:r>
    </w:p>
    <w:p w14:paraId="3BCAC5FF" w14:textId="77777777" w:rsidR="008A4E60" w:rsidRDefault="008A4E60" w:rsidP="008A4E60">
      <w:pPr>
        <w:spacing w:line="240" w:lineRule="auto"/>
        <w:rPr>
          <w:rFonts w:eastAsia="Times New Roman" w:cs="Arial"/>
          <w:i/>
          <w:iCs/>
          <w:color w:val="000000"/>
          <w:lang w:val="en-US"/>
        </w:rPr>
      </w:pPr>
      <w:r w:rsidRPr="008A4E60">
        <w:rPr>
          <w:rFonts w:eastAsia="Times New Roman" w:cs="Arial"/>
          <w:i/>
          <w:iCs/>
          <w:color w:val="000000"/>
          <w:lang w:val="en-US"/>
        </w:rPr>
        <w:t xml:space="preserve">Enterobacter cloacae </w:t>
      </w:r>
    </w:p>
    <w:p w14:paraId="317AF973" w14:textId="77777777" w:rsidR="008A4E60" w:rsidRDefault="008A4E60" w:rsidP="008A4E60">
      <w:pPr>
        <w:spacing w:line="240" w:lineRule="auto"/>
        <w:rPr>
          <w:rFonts w:eastAsia="Times New Roman" w:cs="Arial"/>
          <w:i/>
          <w:iCs/>
          <w:color w:val="000000"/>
          <w:lang w:val="en-US"/>
        </w:rPr>
      </w:pPr>
      <w:r w:rsidRPr="008A4E60">
        <w:rPr>
          <w:rFonts w:eastAsia="Times New Roman" w:cs="Arial"/>
          <w:i/>
          <w:iCs/>
          <w:color w:val="000000"/>
          <w:lang w:val="en-US"/>
        </w:rPr>
        <w:t xml:space="preserve">Escherichia coli </w:t>
      </w:r>
    </w:p>
    <w:p w14:paraId="56C09F00" w14:textId="77777777" w:rsidR="008A4E60" w:rsidRDefault="008A4E60" w:rsidP="008A4E60">
      <w:pPr>
        <w:spacing w:line="240" w:lineRule="auto"/>
        <w:rPr>
          <w:rFonts w:eastAsia="Times New Roman" w:cs="Arial"/>
          <w:i/>
          <w:iCs/>
          <w:color w:val="000000"/>
          <w:lang w:val="en-US"/>
        </w:rPr>
      </w:pPr>
      <w:r w:rsidRPr="008A4E60">
        <w:rPr>
          <w:rFonts w:eastAsia="Times New Roman" w:cs="Arial"/>
          <w:i/>
          <w:iCs/>
          <w:color w:val="000000"/>
          <w:lang w:val="en-US"/>
        </w:rPr>
        <w:t xml:space="preserve">Klebsiella pneumoniae </w:t>
      </w:r>
    </w:p>
    <w:p w14:paraId="4C3A63EE" w14:textId="77777777" w:rsidR="008A4E60" w:rsidRDefault="008A4E60" w:rsidP="008A4E60">
      <w:pPr>
        <w:spacing w:line="240" w:lineRule="auto"/>
        <w:rPr>
          <w:rFonts w:eastAsia="Times New Roman" w:cs="Arial"/>
          <w:i/>
          <w:iCs/>
          <w:color w:val="000000"/>
          <w:lang w:val="en-US"/>
        </w:rPr>
      </w:pPr>
      <w:r w:rsidRPr="008A4E60">
        <w:rPr>
          <w:rFonts w:eastAsia="Times New Roman" w:cs="Arial"/>
          <w:i/>
          <w:iCs/>
          <w:color w:val="000000"/>
          <w:lang w:val="en-US"/>
        </w:rPr>
        <w:t xml:space="preserve">Proteus mirabilis </w:t>
      </w:r>
    </w:p>
    <w:p w14:paraId="02307FC9" w14:textId="77777777" w:rsidR="008A4E60" w:rsidRDefault="008A4E60" w:rsidP="008A4E60">
      <w:pPr>
        <w:spacing w:line="240" w:lineRule="auto"/>
        <w:rPr>
          <w:rFonts w:eastAsia="Times New Roman" w:cs="Arial"/>
          <w:i/>
          <w:iCs/>
          <w:color w:val="000000"/>
          <w:lang w:val="en-US"/>
        </w:rPr>
      </w:pPr>
      <w:r w:rsidRPr="008A4E60">
        <w:rPr>
          <w:rFonts w:eastAsia="Times New Roman" w:cs="Arial"/>
          <w:i/>
          <w:iCs/>
          <w:color w:val="000000"/>
          <w:lang w:val="en-US"/>
        </w:rPr>
        <w:t xml:space="preserve">Proteus spp. </w:t>
      </w:r>
      <w:r w:rsidRPr="008A4E60">
        <w:rPr>
          <w:rFonts w:eastAsia="Times New Roman" w:cs="Arial"/>
          <w:i/>
          <w:iCs/>
          <w:color w:val="000000"/>
          <w:lang w:eastAsia="bg-BG"/>
        </w:rPr>
        <w:t xml:space="preserve">(други освен </w:t>
      </w:r>
      <w:r w:rsidRPr="008A4E60">
        <w:rPr>
          <w:rFonts w:eastAsia="Times New Roman" w:cs="Arial"/>
          <w:i/>
          <w:iCs/>
          <w:color w:val="000000"/>
          <w:lang w:val="en-US"/>
        </w:rPr>
        <w:t xml:space="preserve">P. vulgaris) </w:t>
      </w:r>
    </w:p>
    <w:p w14:paraId="41935044" w14:textId="77188197" w:rsidR="008A4E60" w:rsidRPr="008A4E60" w:rsidRDefault="008A4E60" w:rsidP="008A4E60">
      <w:pPr>
        <w:spacing w:line="240" w:lineRule="auto"/>
        <w:rPr>
          <w:rFonts w:eastAsia="Times New Roman" w:cs="Arial"/>
          <w:lang w:eastAsia="bg-BG"/>
        </w:rPr>
      </w:pPr>
      <w:r w:rsidRPr="008A4E60">
        <w:rPr>
          <w:rFonts w:eastAsia="Times New Roman" w:cs="Arial"/>
          <w:i/>
          <w:iCs/>
          <w:color w:val="000000"/>
          <w:lang w:val="en-US"/>
        </w:rPr>
        <w:t>Providencia spp.</w:t>
      </w:r>
    </w:p>
    <w:p w14:paraId="4B7B1CF1" w14:textId="70D50675" w:rsidR="008A4E60" w:rsidRPr="008A4E60" w:rsidRDefault="008A4E60" w:rsidP="008A4E60">
      <w:pPr>
        <w:spacing w:line="240" w:lineRule="auto"/>
        <w:rPr>
          <w:rFonts w:eastAsia="Times New Roman" w:cs="Arial"/>
          <w:lang w:eastAsia="bg-BG"/>
        </w:rPr>
      </w:pPr>
      <w:r w:rsidRPr="008A4E60">
        <w:rPr>
          <w:rFonts w:eastAsia="Times New Roman" w:cs="Arial"/>
          <w:color w:val="000000"/>
          <w:u w:val="single"/>
          <w:lang w:eastAsia="bg-BG"/>
        </w:rPr>
        <w:lastRenderedPageBreak/>
        <w:t>Грам-положителни анаероби:</w:t>
      </w:r>
    </w:p>
    <w:p w14:paraId="4AA3F4DF" w14:textId="77777777" w:rsidR="008A4E60" w:rsidRDefault="008A4E60" w:rsidP="008A4E60">
      <w:pPr>
        <w:spacing w:line="240" w:lineRule="auto"/>
        <w:rPr>
          <w:rFonts w:eastAsia="Times New Roman" w:cs="Arial"/>
          <w:i/>
          <w:iCs/>
          <w:color w:val="000000"/>
          <w:lang w:val="en-US"/>
        </w:rPr>
      </w:pPr>
      <w:proofErr w:type="spellStart"/>
      <w:r w:rsidRPr="008A4E60">
        <w:rPr>
          <w:rFonts w:eastAsia="Times New Roman" w:cs="Arial"/>
          <w:i/>
          <w:iCs/>
          <w:color w:val="000000"/>
          <w:lang w:val="en-US"/>
        </w:rPr>
        <w:t>Peptostreptococcus</w:t>
      </w:r>
      <w:proofErr w:type="spellEnd"/>
      <w:r w:rsidRPr="008A4E60">
        <w:rPr>
          <w:rFonts w:eastAsia="Times New Roman" w:cs="Arial"/>
          <w:i/>
          <w:iCs/>
          <w:color w:val="000000"/>
          <w:lang w:val="en-US"/>
        </w:rPr>
        <w:t xml:space="preserve"> spp. </w:t>
      </w:r>
    </w:p>
    <w:p w14:paraId="42967F84" w14:textId="607A3083" w:rsidR="008A4E60" w:rsidRDefault="008A4E60" w:rsidP="008A4E60">
      <w:pPr>
        <w:spacing w:line="240" w:lineRule="auto"/>
        <w:rPr>
          <w:rFonts w:eastAsia="Times New Roman" w:cs="Arial"/>
          <w:i/>
          <w:iCs/>
          <w:color w:val="000000"/>
          <w:lang w:val="en-US"/>
        </w:rPr>
      </w:pPr>
      <w:r w:rsidRPr="008A4E60">
        <w:rPr>
          <w:rFonts w:eastAsia="Times New Roman" w:cs="Arial"/>
          <w:i/>
          <w:iCs/>
          <w:color w:val="000000"/>
          <w:lang w:val="en-US"/>
        </w:rPr>
        <w:t>Propionibacterium spp.</w:t>
      </w:r>
    </w:p>
    <w:p w14:paraId="0C57BBDD" w14:textId="77777777" w:rsidR="008A4E60" w:rsidRDefault="008A4E60" w:rsidP="008A4E60">
      <w:pPr>
        <w:spacing w:line="240" w:lineRule="auto"/>
        <w:rPr>
          <w:rFonts w:eastAsia="Times New Roman" w:cs="Arial"/>
          <w:color w:val="000000"/>
          <w:u w:val="single"/>
          <w:lang w:eastAsia="bg-BG"/>
        </w:rPr>
      </w:pPr>
      <w:r w:rsidRPr="008A4E60">
        <w:rPr>
          <w:rFonts w:eastAsia="Times New Roman" w:cs="Arial"/>
          <w:i/>
          <w:iCs/>
          <w:color w:val="000000"/>
          <w:lang w:val="en-US"/>
        </w:rPr>
        <w:t xml:space="preserve"> </w:t>
      </w:r>
      <w:r w:rsidRPr="008A4E60">
        <w:rPr>
          <w:rFonts w:eastAsia="Times New Roman" w:cs="Arial"/>
          <w:color w:val="000000"/>
          <w:u w:val="single"/>
          <w:lang w:eastAsia="bg-BG"/>
        </w:rPr>
        <w:t xml:space="preserve">Грам-отрицателни анаероби: </w:t>
      </w:r>
    </w:p>
    <w:p w14:paraId="0E2299FD" w14:textId="77777777" w:rsidR="008A4E60" w:rsidRDefault="008A4E60" w:rsidP="008A4E60">
      <w:pPr>
        <w:spacing w:line="240" w:lineRule="auto"/>
        <w:rPr>
          <w:rFonts w:eastAsia="Times New Roman" w:cs="Arial"/>
          <w:i/>
          <w:iCs/>
          <w:color w:val="000000"/>
          <w:lang w:val="en-US"/>
        </w:rPr>
      </w:pPr>
      <w:r w:rsidRPr="008A4E60">
        <w:rPr>
          <w:rFonts w:eastAsia="Times New Roman" w:cs="Arial"/>
          <w:i/>
          <w:iCs/>
          <w:color w:val="000000"/>
          <w:lang w:val="en-US"/>
        </w:rPr>
        <w:t xml:space="preserve">Fusobacterium spp. </w:t>
      </w:r>
    </w:p>
    <w:p w14:paraId="4D121407" w14:textId="53F8E2D3" w:rsidR="008A4E60" w:rsidRPr="008A4E60" w:rsidRDefault="008A4E60" w:rsidP="008A4E60">
      <w:pPr>
        <w:spacing w:line="240" w:lineRule="auto"/>
        <w:rPr>
          <w:rFonts w:eastAsia="Times New Roman" w:cs="Arial"/>
          <w:lang w:eastAsia="bg-BG"/>
        </w:rPr>
      </w:pPr>
      <w:r w:rsidRPr="008A4E60">
        <w:rPr>
          <w:rFonts w:eastAsia="Times New Roman" w:cs="Arial"/>
          <w:i/>
          <w:iCs/>
          <w:color w:val="000000"/>
          <w:lang w:val="en-US"/>
        </w:rPr>
        <w:t>Bacteroides spp.</w:t>
      </w:r>
    </w:p>
    <w:p w14:paraId="49973F83" w14:textId="77777777" w:rsidR="008A4E60" w:rsidRPr="008A4E60" w:rsidRDefault="008A4E60" w:rsidP="008A4E60">
      <w:pPr>
        <w:spacing w:line="240" w:lineRule="auto"/>
        <w:rPr>
          <w:rFonts w:eastAsia="Times New Roman" w:cs="Arial"/>
          <w:lang w:eastAsia="bg-BG"/>
        </w:rPr>
      </w:pPr>
      <w:r w:rsidRPr="008A4E60">
        <w:rPr>
          <w:rFonts w:eastAsia="Times New Roman" w:cs="Arial"/>
          <w:color w:val="000000"/>
          <w:lang w:eastAsia="bg-BG"/>
        </w:rPr>
        <w:t>Наследствено резистентни микроорганизми</w:t>
      </w:r>
    </w:p>
    <w:p w14:paraId="457A8B58" w14:textId="77777777" w:rsidR="008A4E60" w:rsidRDefault="008A4E60" w:rsidP="008A4E60">
      <w:pPr>
        <w:spacing w:line="240" w:lineRule="auto"/>
        <w:rPr>
          <w:rFonts w:eastAsia="Times New Roman" w:cs="Arial"/>
          <w:i/>
          <w:iCs/>
          <w:color w:val="000000"/>
          <w:u w:val="single"/>
          <w:lang w:eastAsia="bg-BG"/>
        </w:rPr>
      </w:pPr>
      <w:r w:rsidRPr="008A4E60">
        <w:rPr>
          <w:rFonts w:eastAsia="Times New Roman" w:cs="Arial"/>
          <w:i/>
          <w:iCs/>
          <w:color w:val="000000"/>
          <w:u w:val="single"/>
          <w:lang w:eastAsia="bg-BG"/>
        </w:rPr>
        <w:t xml:space="preserve">Грам-положителни аероби: </w:t>
      </w:r>
    </w:p>
    <w:p w14:paraId="0C5FD847" w14:textId="77777777" w:rsidR="008A4E60" w:rsidRDefault="008A4E60" w:rsidP="008A4E60">
      <w:pPr>
        <w:spacing w:line="240" w:lineRule="auto"/>
        <w:rPr>
          <w:rFonts w:eastAsia="Times New Roman" w:cs="Arial"/>
          <w:i/>
          <w:iCs/>
          <w:color w:val="000000"/>
          <w:lang w:val="en-US"/>
        </w:rPr>
      </w:pPr>
      <w:r w:rsidRPr="008A4E60">
        <w:rPr>
          <w:rFonts w:eastAsia="Times New Roman" w:cs="Arial"/>
          <w:i/>
          <w:iCs/>
          <w:color w:val="000000"/>
          <w:lang w:val="en-US"/>
        </w:rPr>
        <w:t xml:space="preserve">Enterococcus faecalis </w:t>
      </w:r>
    </w:p>
    <w:p w14:paraId="4A6C5ECE" w14:textId="09408CA2" w:rsidR="008A4E60" w:rsidRPr="008A4E60" w:rsidRDefault="008A4E60" w:rsidP="008A4E60">
      <w:pPr>
        <w:spacing w:line="240" w:lineRule="auto"/>
        <w:rPr>
          <w:rFonts w:eastAsia="Times New Roman" w:cs="Arial"/>
          <w:lang w:eastAsia="bg-BG"/>
        </w:rPr>
      </w:pPr>
      <w:r w:rsidRPr="008A4E60">
        <w:rPr>
          <w:rFonts w:eastAsia="Times New Roman" w:cs="Arial"/>
          <w:i/>
          <w:iCs/>
          <w:color w:val="000000"/>
          <w:lang w:val="en-US"/>
        </w:rPr>
        <w:t>Enterococcus faecium</w:t>
      </w:r>
    </w:p>
    <w:p w14:paraId="50EB4455" w14:textId="19A2F44D" w:rsidR="008A4E60" w:rsidRDefault="008A4E60" w:rsidP="005A7FB7"/>
    <w:p w14:paraId="215CADC0" w14:textId="77777777" w:rsidR="008A4E60" w:rsidRPr="008A4E60" w:rsidRDefault="008A4E60" w:rsidP="008A4E60">
      <w:pPr>
        <w:spacing w:line="240" w:lineRule="auto"/>
        <w:rPr>
          <w:rFonts w:eastAsia="Times New Roman" w:cs="Arial"/>
          <w:lang w:val="en-US" w:eastAsia="bg-BG"/>
        </w:rPr>
      </w:pPr>
      <w:r w:rsidRPr="008A4E60">
        <w:rPr>
          <w:rFonts w:eastAsia="Times New Roman" w:cs="Arial"/>
          <w:color w:val="000000"/>
          <w:u w:val="single"/>
          <w:lang w:eastAsia="bg-BG"/>
        </w:rPr>
        <w:t>Грам-отрицателни аероби:</w:t>
      </w:r>
    </w:p>
    <w:p w14:paraId="7B825465" w14:textId="77777777" w:rsidR="008A4E60" w:rsidRPr="008A4E60" w:rsidRDefault="008A4E60" w:rsidP="008A4E60">
      <w:pPr>
        <w:spacing w:line="240" w:lineRule="auto"/>
        <w:rPr>
          <w:rFonts w:eastAsia="Times New Roman" w:cs="Arial"/>
          <w:lang w:val="en-US" w:eastAsia="bg-BG"/>
        </w:rPr>
      </w:pPr>
      <w:r w:rsidRPr="008A4E60">
        <w:rPr>
          <w:rFonts w:eastAsia="Times New Roman" w:cs="Arial"/>
          <w:i/>
          <w:iCs/>
          <w:color w:val="000000"/>
          <w:lang w:val="en-US"/>
        </w:rPr>
        <w:t>Acinetobacter spp.</w:t>
      </w:r>
    </w:p>
    <w:p w14:paraId="51ECA8FE" w14:textId="77777777" w:rsidR="008A4E60" w:rsidRPr="008A4E60" w:rsidRDefault="008A4E60" w:rsidP="008A4E60">
      <w:pPr>
        <w:spacing w:line="240" w:lineRule="auto"/>
        <w:rPr>
          <w:rFonts w:eastAsia="Times New Roman" w:cs="Arial"/>
          <w:lang w:val="en-US" w:eastAsia="bg-BG"/>
        </w:rPr>
      </w:pPr>
      <w:r w:rsidRPr="008A4E60">
        <w:rPr>
          <w:rFonts w:eastAsia="Times New Roman" w:cs="Arial"/>
          <w:i/>
          <w:iCs/>
          <w:color w:val="000000"/>
          <w:lang w:val="en-US"/>
        </w:rPr>
        <w:t>Campylobacter spp.</w:t>
      </w:r>
    </w:p>
    <w:p w14:paraId="7F1BED50" w14:textId="77777777" w:rsidR="008A4E60" w:rsidRPr="008A4E60" w:rsidRDefault="008A4E60" w:rsidP="008A4E60">
      <w:pPr>
        <w:spacing w:line="240" w:lineRule="auto"/>
        <w:rPr>
          <w:rFonts w:eastAsia="Times New Roman" w:cs="Arial"/>
          <w:lang w:val="en-US" w:eastAsia="bg-BG"/>
        </w:rPr>
      </w:pPr>
      <w:proofErr w:type="spellStart"/>
      <w:r w:rsidRPr="008A4E60">
        <w:rPr>
          <w:rFonts w:eastAsia="Times New Roman" w:cs="Arial"/>
          <w:i/>
          <w:iCs/>
          <w:color w:val="000000"/>
          <w:lang w:val="en-US"/>
        </w:rPr>
        <w:t>Morganella</w:t>
      </w:r>
      <w:proofErr w:type="spellEnd"/>
      <w:r w:rsidRPr="008A4E60">
        <w:rPr>
          <w:rFonts w:eastAsia="Times New Roman" w:cs="Arial"/>
          <w:i/>
          <w:iCs/>
          <w:color w:val="000000"/>
          <w:lang w:val="en-US"/>
        </w:rPr>
        <w:t xml:space="preserve"> morganii</w:t>
      </w:r>
    </w:p>
    <w:p w14:paraId="6D6C1C7B" w14:textId="77777777" w:rsidR="008A4E60" w:rsidRPr="008A4E60" w:rsidRDefault="008A4E60" w:rsidP="008A4E60">
      <w:pPr>
        <w:spacing w:line="240" w:lineRule="auto"/>
        <w:rPr>
          <w:rFonts w:eastAsia="Times New Roman" w:cs="Arial"/>
          <w:lang w:val="en-US" w:eastAsia="bg-BG"/>
        </w:rPr>
      </w:pPr>
      <w:r w:rsidRPr="008A4E60">
        <w:rPr>
          <w:rFonts w:eastAsia="Times New Roman" w:cs="Arial"/>
          <w:i/>
          <w:iCs/>
          <w:color w:val="000000"/>
          <w:lang w:val="en-US"/>
        </w:rPr>
        <w:t>Proteus vulgaris</w:t>
      </w:r>
    </w:p>
    <w:p w14:paraId="678D95CA" w14:textId="77777777" w:rsidR="008A4E60" w:rsidRPr="008A4E60" w:rsidRDefault="008A4E60" w:rsidP="008A4E60">
      <w:pPr>
        <w:spacing w:line="240" w:lineRule="auto"/>
        <w:rPr>
          <w:rFonts w:eastAsia="Times New Roman" w:cs="Arial"/>
          <w:lang w:val="en-US" w:eastAsia="bg-BG"/>
        </w:rPr>
      </w:pPr>
      <w:r w:rsidRPr="008A4E60">
        <w:rPr>
          <w:rFonts w:eastAsia="Times New Roman" w:cs="Arial"/>
          <w:i/>
          <w:iCs/>
          <w:color w:val="000000"/>
          <w:lang w:val="en-US"/>
        </w:rPr>
        <w:t>Pseudomonas aeruginosa</w:t>
      </w:r>
    </w:p>
    <w:p w14:paraId="3DB85102" w14:textId="77777777" w:rsidR="008A4E60" w:rsidRPr="008A4E60" w:rsidRDefault="008A4E60" w:rsidP="008A4E60">
      <w:pPr>
        <w:spacing w:line="240" w:lineRule="auto"/>
        <w:rPr>
          <w:rFonts w:eastAsia="Times New Roman" w:cs="Arial"/>
          <w:lang w:val="en-US" w:eastAsia="bg-BG"/>
        </w:rPr>
      </w:pPr>
      <w:r w:rsidRPr="008A4E60">
        <w:rPr>
          <w:rFonts w:eastAsia="Times New Roman" w:cs="Arial"/>
          <w:i/>
          <w:iCs/>
          <w:color w:val="000000"/>
          <w:lang w:val="en-US"/>
        </w:rPr>
        <w:t>Serratia marcescens</w:t>
      </w:r>
    </w:p>
    <w:p w14:paraId="271ED8C5" w14:textId="77777777" w:rsidR="008A4E60" w:rsidRDefault="008A4E60" w:rsidP="008A4E60">
      <w:pPr>
        <w:spacing w:line="240" w:lineRule="auto"/>
        <w:rPr>
          <w:rFonts w:eastAsia="Times New Roman" w:cs="Arial"/>
          <w:color w:val="000000"/>
          <w:u w:val="single"/>
          <w:lang w:eastAsia="bg-BG"/>
        </w:rPr>
      </w:pPr>
    </w:p>
    <w:p w14:paraId="63087F68" w14:textId="67B508C8" w:rsidR="008A4E60" w:rsidRPr="008A4E60" w:rsidRDefault="008A4E60" w:rsidP="008A4E60">
      <w:pPr>
        <w:spacing w:line="240" w:lineRule="auto"/>
        <w:rPr>
          <w:rFonts w:eastAsia="Times New Roman" w:cs="Arial"/>
          <w:lang w:val="en-US" w:eastAsia="bg-BG"/>
        </w:rPr>
      </w:pPr>
      <w:r w:rsidRPr="008A4E60">
        <w:rPr>
          <w:rFonts w:eastAsia="Times New Roman" w:cs="Arial"/>
          <w:color w:val="000000"/>
          <w:u w:val="single"/>
          <w:lang w:eastAsia="bg-BG"/>
        </w:rPr>
        <w:t>Грам-отризцателни анаероби:</w:t>
      </w:r>
    </w:p>
    <w:p w14:paraId="580CB623" w14:textId="77777777" w:rsidR="008A4E60" w:rsidRPr="008A4E60" w:rsidRDefault="008A4E60" w:rsidP="008A4E60">
      <w:pPr>
        <w:spacing w:line="240" w:lineRule="auto"/>
        <w:rPr>
          <w:rFonts w:eastAsia="Times New Roman" w:cs="Arial"/>
          <w:lang w:val="en-US" w:eastAsia="bg-BG"/>
        </w:rPr>
      </w:pPr>
      <w:r w:rsidRPr="008A4E60">
        <w:rPr>
          <w:rFonts w:eastAsia="Times New Roman" w:cs="Arial"/>
          <w:i/>
          <w:iCs/>
          <w:color w:val="000000"/>
          <w:lang w:val="en-US"/>
        </w:rPr>
        <w:t>Bacteroides fragilis</w:t>
      </w:r>
    </w:p>
    <w:p w14:paraId="6384D96A" w14:textId="77777777" w:rsidR="008A4E60" w:rsidRDefault="008A4E60" w:rsidP="008A4E60">
      <w:pPr>
        <w:spacing w:line="240" w:lineRule="auto"/>
        <w:rPr>
          <w:rFonts w:eastAsia="Times New Roman" w:cs="Arial"/>
          <w:color w:val="000000"/>
          <w:u w:val="single"/>
          <w:lang w:eastAsia="bg-BG"/>
        </w:rPr>
      </w:pPr>
    </w:p>
    <w:p w14:paraId="7AB43221" w14:textId="656EB78F" w:rsidR="008A4E60" w:rsidRPr="008A4E60" w:rsidRDefault="008A4E60" w:rsidP="008A4E60">
      <w:pPr>
        <w:spacing w:line="240" w:lineRule="auto"/>
        <w:rPr>
          <w:rFonts w:eastAsia="Times New Roman" w:cs="Arial"/>
          <w:lang w:val="en-US" w:eastAsia="bg-BG"/>
        </w:rPr>
      </w:pPr>
      <w:r w:rsidRPr="008A4E60">
        <w:rPr>
          <w:rFonts w:eastAsia="Times New Roman" w:cs="Arial"/>
          <w:color w:val="000000"/>
          <w:u w:val="single"/>
          <w:lang w:eastAsia="bg-BG"/>
        </w:rPr>
        <w:t>Други:</w:t>
      </w:r>
    </w:p>
    <w:p w14:paraId="6DF41EE3" w14:textId="77777777" w:rsidR="008A4E60" w:rsidRPr="008A4E60" w:rsidRDefault="008A4E60" w:rsidP="008A4E60">
      <w:pPr>
        <w:spacing w:line="240" w:lineRule="auto"/>
        <w:rPr>
          <w:rFonts w:eastAsia="Times New Roman" w:cs="Arial"/>
          <w:lang w:val="en-US" w:eastAsia="bg-BG"/>
        </w:rPr>
      </w:pPr>
      <w:r w:rsidRPr="008A4E60">
        <w:rPr>
          <w:rFonts w:eastAsia="Times New Roman" w:cs="Arial"/>
          <w:i/>
          <w:iCs/>
          <w:color w:val="000000"/>
          <w:lang w:val="en-US"/>
        </w:rPr>
        <w:t>Chlamydia spp.</w:t>
      </w:r>
    </w:p>
    <w:p w14:paraId="4951D0E4" w14:textId="77777777" w:rsidR="008A4E60" w:rsidRPr="008A4E60" w:rsidRDefault="008A4E60" w:rsidP="008A4E60">
      <w:pPr>
        <w:spacing w:line="240" w:lineRule="auto"/>
        <w:rPr>
          <w:rFonts w:eastAsia="Times New Roman" w:cs="Arial"/>
          <w:lang w:val="en-US" w:eastAsia="bg-BG"/>
        </w:rPr>
      </w:pPr>
      <w:r w:rsidRPr="008A4E60">
        <w:rPr>
          <w:rFonts w:eastAsia="Times New Roman" w:cs="Arial"/>
          <w:i/>
          <w:iCs/>
          <w:color w:val="000000"/>
          <w:lang w:val="en-US"/>
        </w:rPr>
        <w:t>Mycoplasma spp.</w:t>
      </w:r>
    </w:p>
    <w:p w14:paraId="62C7A05B" w14:textId="77777777" w:rsidR="008A4E60" w:rsidRPr="008A4E60" w:rsidRDefault="008A4E60" w:rsidP="008A4E60">
      <w:pPr>
        <w:spacing w:line="240" w:lineRule="auto"/>
        <w:rPr>
          <w:rFonts w:eastAsia="Times New Roman" w:cs="Arial"/>
          <w:lang w:val="en-US" w:eastAsia="bg-BG"/>
        </w:rPr>
      </w:pPr>
      <w:r w:rsidRPr="008A4E60">
        <w:rPr>
          <w:rFonts w:eastAsia="Times New Roman" w:cs="Arial"/>
          <w:i/>
          <w:iCs/>
          <w:color w:val="000000"/>
          <w:lang w:val="en-US"/>
        </w:rPr>
        <w:t>Legionella spp.</w:t>
      </w:r>
    </w:p>
    <w:p w14:paraId="4081B422" w14:textId="7A95A9FF" w:rsidR="008A4E60" w:rsidRDefault="008A4E60" w:rsidP="008A4E60">
      <w:pPr>
        <w:rPr>
          <w:rFonts w:eastAsia="Times New Roman" w:cs="Arial"/>
          <w:color w:val="000000"/>
          <w:lang w:eastAsia="bg-BG"/>
        </w:rPr>
      </w:pPr>
      <w:r w:rsidRPr="008A4E60">
        <w:rPr>
          <w:rFonts w:eastAsia="Times New Roman" w:cs="Arial"/>
          <w:color w:val="000000"/>
          <w:lang w:val="en-US"/>
        </w:rPr>
        <w:t xml:space="preserve">* </w:t>
      </w:r>
      <w:r w:rsidRPr="008A4E60">
        <w:rPr>
          <w:rFonts w:eastAsia="Times New Roman" w:cs="Arial"/>
          <w:color w:val="000000"/>
          <w:lang w:eastAsia="bg-BG"/>
        </w:rPr>
        <w:t xml:space="preserve">Всички метицилин-резистентни </w:t>
      </w:r>
      <w:r w:rsidRPr="008A4E60">
        <w:rPr>
          <w:rFonts w:eastAsia="Times New Roman" w:cs="Arial"/>
          <w:color w:val="000000"/>
          <w:lang w:val="en-US"/>
        </w:rPr>
        <w:t xml:space="preserve">S. </w:t>
      </w:r>
      <w:r w:rsidRPr="008A4E60">
        <w:rPr>
          <w:rFonts w:eastAsia="Times New Roman" w:cs="Arial"/>
          <w:i/>
          <w:iCs/>
          <w:color w:val="000000"/>
          <w:lang w:val="en-US"/>
        </w:rPr>
        <w:t>aureus</w:t>
      </w:r>
      <w:r w:rsidRPr="008A4E60">
        <w:rPr>
          <w:rFonts w:eastAsia="Times New Roman" w:cs="Arial"/>
          <w:color w:val="000000"/>
          <w:lang w:val="en-US"/>
        </w:rPr>
        <w:t xml:space="preserve"> </w:t>
      </w:r>
      <w:r w:rsidRPr="008A4E60">
        <w:rPr>
          <w:rFonts w:eastAsia="Times New Roman" w:cs="Arial"/>
          <w:color w:val="000000"/>
          <w:lang w:eastAsia="bg-BG"/>
        </w:rPr>
        <w:t>са резистентни към цефуроксим.</w:t>
      </w:r>
    </w:p>
    <w:p w14:paraId="5AA78A74" w14:textId="77777777" w:rsidR="008A4E60" w:rsidRPr="008A4E60" w:rsidRDefault="008A4E60" w:rsidP="008A4E60">
      <w:pPr>
        <w:rPr>
          <w:rFonts w:cs="Arial"/>
        </w:rPr>
      </w:pPr>
    </w:p>
    <w:p w14:paraId="7C8C9C46" w14:textId="687776DB" w:rsidR="00E9184E" w:rsidRDefault="002C50EE" w:rsidP="00340E8D">
      <w:pPr>
        <w:pStyle w:val="Heading2"/>
      </w:pPr>
      <w:r>
        <w:t>5.2. Фармакокинетични свойства</w:t>
      </w:r>
    </w:p>
    <w:p w14:paraId="4A178CEB" w14:textId="0485F9A7" w:rsidR="008A4E60" w:rsidRDefault="008A4E60" w:rsidP="008A4E60"/>
    <w:p w14:paraId="7B4E1A97" w14:textId="77777777" w:rsidR="008A4E60" w:rsidRPr="008A4E60" w:rsidRDefault="008A4E60" w:rsidP="008A4E60">
      <w:pPr>
        <w:spacing w:line="240" w:lineRule="auto"/>
        <w:rPr>
          <w:rFonts w:eastAsia="Times New Roman" w:cs="Arial"/>
          <w:lang w:eastAsia="bg-BG"/>
        </w:rPr>
      </w:pPr>
      <w:r w:rsidRPr="008A4E60">
        <w:rPr>
          <w:rFonts w:eastAsia="Times New Roman" w:cs="Arial"/>
          <w:color w:val="000000"/>
          <w:u w:val="single"/>
          <w:lang w:eastAsia="bg-BG"/>
        </w:rPr>
        <w:t>Абсорбция</w:t>
      </w:r>
    </w:p>
    <w:p w14:paraId="7E5F178D" w14:textId="77777777" w:rsidR="008A4E60" w:rsidRPr="008A4E60" w:rsidRDefault="008A4E60" w:rsidP="008A4E60">
      <w:pPr>
        <w:spacing w:line="240" w:lineRule="auto"/>
        <w:rPr>
          <w:rFonts w:eastAsia="Times New Roman" w:cs="Arial"/>
          <w:lang w:eastAsia="bg-BG"/>
        </w:rPr>
      </w:pPr>
      <w:r w:rsidRPr="008A4E60">
        <w:rPr>
          <w:rFonts w:eastAsia="Times New Roman" w:cs="Arial"/>
          <w:color w:val="000000"/>
          <w:lang w:eastAsia="bg-BG"/>
        </w:rPr>
        <w:t>След перорално приложение цефуроксим аксетил се абсорбира от стомашно-чревния тракт и се хидролизира в чревната мукоза и кръвта, като по този начин цефуроксим постъпва в циркулацията. Оптималната абсорбция се постига при прием веднага след хранене.</w:t>
      </w:r>
    </w:p>
    <w:p w14:paraId="21177070" w14:textId="07738DCF" w:rsidR="008A4E60" w:rsidRPr="008A4E60" w:rsidRDefault="008A4E60" w:rsidP="008A4E60">
      <w:pPr>
        <w:spacing w:line="240" w:lineRule="auto"/>
        <w:rPr>
          <w:rFonts w:eastAsia="Times New Roman" w:cs="Arial"/>
          <w:lang w:eastAsia="bg-BG"/>
        </w:rPr>
      </w:pPr>
      <w:r w:rsidRPr="008A4E60">
        <w:rPr>
          <w:rFonts w:eastAsia="Times New Roman" w:cs="Arial"/>
          <w:color w:val="000000"/>
          <w:lang w:eastAsia="bg-BG"/>
        </w:rPr>
        <w:t>След приложение на цефуроксим аксетил таблетки пикови серумни концентрации (2,9</w:t>
      </w:r>
    </w:p>
    <w:p w14:paraId="1B41480A" w14:textId="77777777" w:rsidR="008A4E60" w:rsidRPr="008A4E60" w:rsidRDefault="008A4E60" w:rsidP="008A4E60">
      <w:pPr>
        <w:spacing w:line="240" w:lineRule="auto"/>
        <w:rPr>
          <w:rFonts w:eastAsia="Times New Roman" w:cs="Arial"/>
          <w:lang w:eastAsia="bg-BG"/>
        </w:rPr>
      </w:pPr>
      <w:r w:rsidRPr="008A4E60">
        <w:rPr>
          <w:rFonts w:eastAsia="Times New Roman" w:cs="Arial"/>
          <w:color w:val="000000"/>
          <w:lang w:eastAsia="bg-BG"/>
        </w:rPr>
        <w:t>μ</w:t>
      </w:r>
      <w:r w:rsidRPr="008A4E60">
        <w:rPr>
          <w:rFonts w:eastAsia="Times New Roman" w:cs="Arial"/>
          <w:color w:val="000000"/>
          <w:lang w:val="en-US"/>
        </w:rPr>
        <w:t>g/</w:t>
      </w:r>
      <w:proofErr w:type="spellStart"/>
      <w:r w:rsidRPr="008A4E60">
        <w:rPr>
          <w:rFonts w:eastAsia="Times New Roman" w:cs="Arial"/>
          <w:color w:val="000000"/>
          <w:lang w:val="en-US"/>
        </w:rPr>
        <w:t>rnL</w:t>
      </w:r>
      <w:proofErr w:type="spellEnd"/>
      <w:r w:rsidRPr="008A4E60">
        <w:rPr>
          <w:rFonts w:eastAsia="Times New Roman" w:cs="Arial"/>
          <w:color w:val="000000"/>
          <w:lang w:val="en-US"/>
        </w:rPr>
        <w:t xml:space="preserve"> </w:t>
      </w:r>
      <w:r w:rsidRPr="008A4E60">
        <w:rPr>
          <w:rFonts w:eastAsia="Times New Roman" w:cs="Arial"/>
          <w:color w:val="000000"/>
          <w:lang w:eastAsia="bg-BG"/>
        </w:rPr>
        <w:t xml:space="preserve">при доза 125 </w:t>
      </w:r>
      <w:r w:rsidRPr="008A4E60">
        <w:rPr>
          <w:rFonts w:eastAsia="Times New Roman" w:cs="Arial"/>
          <w:color w:val="000000"/>
          <w:lang w:val="en-US"/>
        </w:rPr>
        <w:t xml:space="preserve">mg, </w:t>
      </w:r>
      <w:r w:rsidRPr="008A4E60">
        <w:rPr>
          <w:rFonts w:eastAsia="Times New Roman" w:cs="Arial"/>
          <w:color w:val="000000"/>
          <w:lang w:eastAsia="bg-BG"/>
        </w:rPr>
        <w:t>4,4 μ</w:t>
      </w:r>
      <w:r w:rsidRPr="008A4E60">
        <w:rPr>
          <w:rFonts w:eastAsia="Times New Roman" w:cs="Arial"/>
          <w:color w:val="000000"/>
          <w:lang w:val="en-US"/>
        </w:rPr>
        <w:t xml:space="preserve">g/mL </w:t>
      </w:r>
      <w:r w:rsidRPr="008A4E60">
        <w:rPr>
          <w:rFonts w:eastAsia="Times New Roman" w:cs="Arial"/>
          <w:color w:val="000000"/>
          <w:lang w:eastAsia="bg-BG"/>
        </w:rPr>
        <w:t xml:space="preserve">при доза 250 </w:t>
      </w:r>
      <w:r w:rsidRPr="008A4E60">
        <w:rPr>
          <w:rFonts w:eastAsia="Times New Roman" w:cs="Arial"/>
          <w:color w:val="000000"/>
          <w:lang w:val="en-US"/>
        </w:rPr>
        <w:t xml:space="preserve">mg, </w:t>
      </w:r>
      <w:r w:rsidRPr="008A4E60">
        <w:rPr>
          <w:rFonts w:eastAsia="Times New Roman" w:cs="Arial"/>
          <w:color w:val="000000"/>
          <w:lang w:eastAsia="bg-BG"/>
        </w:rPr>
        <w:t>7,7 μ</w:t>
      </w:r>
      <w:r w:rsidRPr="008A4E60">
        <w:rPr>
          <w:rFonts w:eastAsia="Times New Roman" w:cs="Arial"/>
          <w:color w:val="000000"/>
          <w:lang w:val="en-US"/>
        </w:rPr>
        <w:t xml:space="preserve">g/mL </w:t>
      </w:r>
      <w:r w:rsidRPr="008A4E60">
        <w:rPr>
          <w:rFonts w:eastAsia="Times New Roman" w:cs="Arial"/>
          <w:color w:val="000000"/>
          <w:lang w:eastAsia="bg-BG"/>
        </w:rPr>
        <w:t xml:space="preserve">при доза 500 </w:t>
      </w:r>
      <w:r w:rsidRPr="008A4E60">
        <w:rPr>
          <w:rFonts w:eastAsia="Times New Roman" w:cs="Arial"/>
          <w:color w:val="000000"/>
          <w:lang w:val="en-US"/>
        </w:rPr>
        <w:t xml:space="preserve">mg </w:t>
      </w:r>
      <w:r w:rsidRPr="008A4E60">
        <w:rPr>
          <w:rFonts w:eastAsia="Times New Roman" w:cs="Arial"/>
          <w:color w:val="000000"/>
          <w:lang w:eastAsia="bg-BG"/>
        </w:rPr>
        <w:t>и 13,6 μ</w:t>
      </w:r>
      <w:r w:rsidRPr="008A4E60">
        <w:rPr>
          <w:rFonts w:eastAsia="Times New Roman" w:cs="Arial"/>
          <w:color w:val="000000"/>
          <w:lang w:val="en-US"/>
        </w:rPr>
        <w:t xml:space="preserve">g/mL </w:t>
      </w:r>
      <w:r w:rsidRPr="008A4E60">
        <w:rPr>
          <w:rFonts w:eastAsia="Times New Roman" w:cs="Arial"/>
          <w:color w:val="000000"/>
          <w:lang w:eastAsia="bg-BG"/>
        </w:rPr>
        <w:t xml:space="preserve">при доза 1000 </w:t>
      </w:r>
      <w:r w:rsidRPr="008A4E60">
        <w:rPr>
          <w:rFonts w:eastAsia="Times New Roman" w:cs="Arial"/>
          <w:color w:val="000000"/>
          <w:lang w:val="en-US"/>
        </w:rPr>
        <w:t xml:space="preserve">mg) </w:t>
      </w:r>
      <w:r w:rsidRPr="008A4E60">
        <w:rPr>
          <w:rFonts w:eastAsia="Times New Roman" w:cs="Arial"/>
          <w:color w:val="000000"/>
          <w:lang w:eastAsia="bg-BG"/>
        </w:rPr>
        <w:t xml:space="preserve">се достигат приблизително 2,4 часа след дозиране, когато се приема с храна. Степента на абсорбция на цефуроксим, приет като суспензия, е по-ниска в сравнение с таблетките като това води до по-бавно достигане и по-ниски стойности на пикови серумни концентрации и намалена серумна бионаличност (по-ниски с 4 до 17%). Цефуроксим аксетил перорална суспензия и цефуроксим аксетил таблетки не са биоеквивалентни при изследвания при здрави субекти и поради това не са взаимозаменяеми на база милиграм за милиграм (вижте точка 4.2). Фармакокинетиката на цефуроксим е линейна при перорални дози в диапазона 125 до 1000 </w:t>
      </w:r>
      <w:r w:rsidRPr="008A4E60">
        <w:rPr>
          <w:rFonts w:eastAsia="Times New Roman" w:cs="Arial"/>
          <w:color w:val="000000"/>
          <w:lang w:val="en-US"/>
        </w:rPr>
        <w:t xml:space="preserve">mg. </w:t>
      </w:r>
      <w:r w:rsidRPr="008A4E60">
        <w:rPr>
          <w:rFonts w:eastAsia="Times New Roman" w:cs="Arial"/>
          <w:color w:val="000000"/>
          <w:lang w:eastAsia="bg-BG"/>
        </w:rPr>
        <w:t xml:space="preserve">Не е наблюдавано натрупване на цефуроксим след продължителен прием на перорални дози от 250 до 500 </w:t>
      </w:r>
      <w:r w:rsidRPr="008A4E60">
        <w:rPr>
          <w:rFonts w:eastAsia="Times New Roman" w:cs="Arial"/>
          <w:color w:val="000000"/>
          <w:lang w:val="en-US"/>
        </w:rPr>
        <w:t>mg.</w:t>
      </w:r>
    </w:p>
    <w:p w14:paraId="77D8740D" w14:textId="77777777" w:rsidR="008A4E60" w:rsidRDefault="008A4E60" w:rsidP="008A4E60">
      <w:pPr>
        <w:spacing w:line="240" w:lineRule="auto"/>
        <w:rPr>
          <w:rFonts w:eastAsia="Times New Roman" w:cs="Arial"/>
          <w:color w:val="000000"/>
          <w:u w:val="single"/>
          <w:lang w:eastAsia="bg-BG"/>
        </w:rPr>
      </w:pPr>
    </w:p>
    <w:p w14:paraId="327568D2" w14:textId="54AC7A30" w:rsidR="008A4E60" w:rsidRPr="008A4E60" w:rsidRDefault="008A4E60" w:rsidP="008A4E60">
      <w:pPr>
        <w:spacing w:line="240" w:lineRule="auto"/>
        <w:rPr>
          <w:rFonts w:eastAsia="Times New Roman" w:cs="Arial"/>
          <w:lang w:eastAsia="bg-BG"/>
        </w:rPr>
      </w:pPr>
      <w:r w:rsidRPr="008A4E60">
        <w:rPr>
          <w:rFonts w:eastAsia="Times New Roman" w:cs="Arial"/>
          <w:color w:val="000000"/>
          <w:u w:val="single"/>
          <w:lang w:eastAsia="bg-BG"/>
        </w:rPr>
        <w:t>Разпределение</w:t>
      </w:r>
    </w:p>
    <w:p w14:paraId="5D431B2D" w14:textId="77777777" w:rsidR="008A4E60" w:rsidRPr="008A4E60" w:rsidRDefault="008A4E60" w:rsidP="008A4E60">
      <w:pPr>
        <w:spacing w:line="240" w:lineRule="auto"/>
        <w:rPr>
          <w:rFonts w:eastAsia="Times New Roman" w:cs="Arial"/>
          <w:lang w:eastAsia="bg-BG"/>
        </w:rPr>
      </w:pPr>
      <w:r w:rsidRPr="008A4E60">
        <w:rPr>
          <w:rFonts w:eastAsia="Times New Roman" w:cs="Arial"/>
          <w:color w:val="000000"/>
          <w:lang w:eastAsia="bg-BG"/>
        </w:rPr>
        <w:lastRenderedPageBreak/>
        <w:t xml:space="preserve">В зависимост от метода на изследване се установява свързване с плазмените протеини между 33 и 50%. След приложение на еднократна доза цефуроксим аксетил 500 </w:t>
      </w:r>
      <w:r w:rsidRPr="008A4E60">
        <w:rPr>
          <w:rFonts w:eastAsia="Times New Roman" w:cs="Arial"/>
          <w:color w:val="000000"/>
          <w:lang w:val="en-US"/>
        </w:rPr>
        <w:t xml:space="preserve">mg </w:t>
      </w:r>
      <w:r w:rsidRPr="008A4E60">
        <w:rPr>
          <w:rFonts w:eastAsia="Times New Roman" w:cs="Arial"/>
          <w:color w:val="000000"/>
          <w:lang w:eastAsia="bg-BG"/>
        </w:rPr>
        <w:t xml:space="preserve">таблетки при 12 здрави доброволци привидния обем на разпределение е бил 50 1 </w:t>
      </w:r>
      <w:r w:rsidRPr="008A4E60">
        <w:rPr>
          <w:rFonts w:eastAsia="Times New Roman" w:cs="Arial"/>
          <w:color w:val="000000"/>
          <w:lang w:val="en-US"/>
        </w:rPr>
        <w:t xml:space="preserve">(CV%=28%). </w:t>
      </w:r>
      <w:r w:rsidRPr="008A4E60">
        <w:rPr>
          <w:rFonts w:eastAsia="Times New Roman" w:cs="Arial"/>
          <w:color w:val="000000"/>
          <w:lang w:eastAsia="bg-BG"/>
        </w:rPr>
        <w:t>Концентрации на цефуроксим над минималните инхибиторни нива за често срещаните патогени могат да се постигнат в сливиците, синусите, бронхиалната лигавица, костите, плевралната течност, ставната течност, синовиалната течност, интерстициалните течности, жлъчката, храчките и вътреочната течност. Цефуроксим преминава кръвно- мозъчната бариера при възпаление на менингите.</w:t>
      </w:r>
    </w:p>
    <w:p w14:paraId="1A29F389" w14:textId="77777777" w:rsidR="008A4E60" w:rsidRDefault="008A4E60" w:rsidP="008A4E60">
      <w:pPr>
        <w:spacing w:line="240" w:lineRule="auto"/>
        <w:rPr>
          <w:rFonts w:eastAsia="Times New Roman" w:cs="Arial"/>
          <w:color w:val="000000"/>
          <w:u w:val="single"/>
          <w:lang w:eastAsia="bg-BG"/>
        </w:rPr>
      </w:pPr>
    </w:p>
    <w:p w14:paraId="727673D9" w14:textId="45E91726" w:rsidR="008A4E60" w:rsidRPr="008A4E60" w:rsidRDefault="008A4E60" w:rsidP="008A4E60">
      <w:pPr>
        <w:spacing w:line="240" w:lineRule="auto"/>
        <w:rPr>
          <w:rFonts w:eastAsia="Times New Roman" w:cs="Arial"/>
          <w:lang w:eastAsia="bg-BG"/>
        </w:rPr>
      </w:pPr>
      <w:r w:rsidRPr="008A4E60">
        <w:rPr>
          <w:rFonts w:eastAsia="Times New Roman" w:cs="Arial"/>
          <w:color w:val="000000"/>
          <w:u w:val="single"/>
          <w:lang w:eastAsia="bg-BG"/>
        </w:rPr>
        <w:t>Биотрансформация</w:t>
      </w:r>
    </w:p>
    <w:p w14:paraId="45473841" w14:textId="77777777" w:rsidR="008A4E60" w:rsidRPr="008A4E60" w:rsidRDefault="008A4E60" w:rsidP="008A4E60">
      <w:pPr>
        <w:spacing w:line="240" w:lineRule="auto"/>
        <w:rPr>
          <w:rFonts w:eastAsia="Times New Roman" w:cs="Arial"/>
          <w:lang w:eastAsia="bg-BG"/>
        </w:rPr>
      </w:pPr>
      <w:r w:rsidRPr="008A4E60">
        <w:rPr>
          <w:rFonts w:eastAsia="Times New Roman" w:cs="Arial"/>
          <w:color w:val="000000"/>
          <w:lang w:eastAsia="bg-BG"/>
        </w:rPr>
        <w:t>Цефуроксим не се метаболизира.</w:t>
      </w:r>
    </w:p>
    <w:p w14:paraId="356C9A9F" w14:textId="77777777" w:rsidR="008A4E60" w:rsidRDefault="008A4E60" w:rsidP="008A4E60">
      <w:pPr>
        <w:spacing w:line="240" w:lineRule="auto"/>
        <w:rPr>
          <w:rFonts w:eastAsia="Times New Roman" w:cs="Arial"/>
          <w:color w:val="000000"/>
          <w:u w:val="single"/>
          <w:lang w:eastAsia="bg-BG"/>
        </w:rPr>
      </w:pPr>
    </w:p>
    <w:p w14:paraId="5845E928" w14:textId="5670835E" w:rsidR="008A4E60" w:rsidRPr="008A4E60" w:rsidRDefault="008A4E60" w:rsidP="008A4E60">
      <w:pPr>
        <w:spacing w:line="240" w:lineRule="auto"/>
        <w:rPr>
          <w:rFonts w:eastAsia="Times New Roman" w:cs="Arial"/>
          <w:lang w:eastAsia="bg-BG"/>
        </w:rPr>
      </w:pPr>
      <w:r w:rsidRPr="008A4E60">
        <w:rPr>
          <w:rFonts w:eastAsia="Times New Roman" w:cs="Arial"/>
          <w:color w:val="000000"/>
          <w:u w:val="single"/>
          <w:lang w:eastAsia="bg-BG"/>
        </w:rPr>
        <w:t>Елиминиране</w:t>
      </w:r>
    </w:p>
    <w:p w14:paraId="0D0E91AE" w14:textId="77777777" w:rsidR="008A4E60" w:rsidRPr="008A4E60" w:rsidRDefault="008A4E60" w:rsidP="008A4E60">
      <w:pPr>
        <w:spacing w:line="240" w:lineRule="auto"/>
        <w:rPr>
          <w:rFonts w:eastAsia="Times New Roman" w:cs="Arial"/>
          <w:lang w:eastAsia="bg-BG"/>
        </w:rPr>
      </w:pPr>
      <w:r w:rsidRPr="008A4E60">
        <w:rPr>
          <w:rFonts w:eastAsia="Times New Roman" w:cs="Arial"/>
          <w:color w:val="000000"/>
          <w:lang w:eastAsia="bg-BG"/>
        </w:rPr>
        <w:t xml:space="preserve">Серумният полуживот е между 1 и 1,5 часа. Цефуроксим се екскретира чрез гломерулна филтрация и тубулна секреция. Бъбречният клирънс е в граници от 125 до 148 </w:t>
      </w:r>
      <w:r w:rsidRPr="008A4E60">
        <w:rPr>
          <w:rFonts w:eastAsia="Times New Roman" w:cs="Arial"/>
          <w:color w:val="000000"/>
          <w:lang w:val="en-US"/>
        </w:rPr>
        <w:t>mL/min/1.73 m</w:t>
      </w:r>
      <w:r w:rsidRPr="008A4E60">
        <w:rPr>
          <w:rFonts w:eastAsia="Times New Roman" w:cs="Arial"/>
          <w:color w:val="000000"/>
          <w:vertAlign w:val="superscript"/>
          <w:lang w:val="en-US"/>
        </w:rPr>
        <w:t>2</w:t>
      </w:r>
      <w:r w:rsidRPr="008A4E60">
        <w:rPr>
          <w:rFonts w:eastAsia="Times New Roman" w:cs="Arial"/>
          <w:color w:val="000000"/>
          <w:lang w:val="en-US"/>
        </w:rPr>
        <w:t>.</w:t>
      </w:r>
    </w:p>
    <w:p w14:paraId="46FAB913" w14:textId="77777777" w:rsidR="008A4E60" w:rsidRDefault="008A4E60" w:rsidP="008A4E60">
      <w:pPr>
        <w:rPr>
          <w:rFonts w:eastAsia="Times New Roman" w:cs="Arial"/>
          <w:color w:val="000000"/>
          <w:u w:val="single"/>
          <w:lang w:eastAsia="bg-BG"/>
        </w:rPr>
      </w:pPr>
    </w:p>
    <w:p w14:paraId="22C72CD3" w14:textId="1B9AF275" w:rsidR="008A4E60" w:rsidRDefault="008A4E60" w:rsidP="008A4E60">
      <w:pPr>
        <w:rPr>
          <w:rFonts w:eastAsia="Times New Roman" w:cs="Arial"/>
          <w:color w:val="000000"/>
          <w:u w:val="single"/>
          <w:lang w:eastAsia="bg-BG"/>
        </w:rPr>
      </w:pPr>
      <w:r w:rsidRPr="008A4E60">
        <w:rPr>
          <w:rFonts w:eastAsia="Times New Roman" w:cs="Arial"/>
          <w:color w:val="000000"/>
          <w:u w:val="single"/>
          <w:lang w:eastAsia="bg-BG"/>
        </w:rPr>
        <w:t>Специални популации пациенти</w:t>
      </w:r>
    </w:p>
    <w:p w14:paraId="54501A5F" w14:textId="77777777" w:rsidR="008A4E60" w:rsidRPr="008A4E60" w:rsidRDefault="008A4E60" w:rsidP="008A4E60">
      <w:pPr>
        <w:spacing w:line="240" w:lineRule="auto"/>
        <w:rPr>
          <w:rFonts w:eastAsia="Times New Roman" w:cs="Arial"/>
          <w:lang w:eastAsia="bg-BG"/>
        </w:rPr>
      </w:pPr>
      <w:r w:rsidRPr="008A4E60">
        <w:rPr>
          <w:rFonts w:eastAsia="Times New Roman" w:cs="Arial"/>
          <w:color w:val="000000"/>
          <w:u w:val="single"/>
          <w:lang w:eastAsia="bg-BG"/>
        </w:rPr>
        <w:t>Пол</w:t>
      </w:r>
    </w:p>
    <w:p w14:paraId="20108967" w14:textId="77777777" w:rsidR="008A4E60" w:rsidRPr="008A4E60" w:rsidRDefault="008A4E60" w:rsidP="008A4E60">
      <w:pPr>
        <w:spacing w:line="240" w:lineRule="auto"/>
        <w:rPr>
          <w:rFonts w:eastAsia="Times New Roman" w:cs="Arial"/>
          <w:lang w:eastAsia="bg-BG"/>
        </w:rPr>
      </w:pPr>
      <w:r w:rsidRPr="008A4E60">
        <w:rPr>
          <w:rFonts w:eastAsia="Times New Roman" w:cs="Arial"/>
          <w:color w:val="000000"/>
          <w:lang w:eastAsia="bg-BG"/>
        </w:rPr>
        <w:t>Не са наблюдавани разлики във фармакокинетиката на цефуроксим между мъже и жени.</w:t>
      </w:r>
    </w:p>
    <w:p w14:paraId="74A5E24B" w14:textId="77777777" w:rsidR="008A4E60" w:rsidRDefault="008A4E60" w:rsidP="008A4E60">
      <w:pPr>
        <w:spacing w:line="240" w:lineRule="auto"/>
        <w:rPr>
          <w:rFonts w:eastAsia="Times New Roman" w:cs="Arial"/>
          <w:color w:val="000000"/>
          <w:u w:val="single"/>
          <w:lang w:eastAsia="bg-BG"/>
        </w:rPr>
      </w:pPr>
    </w:p>
    <w:p w14:paraId="3573F48F" w14:textId="14CC1748" w:rsidR="008A4E60" w:rsidRPr="008A4E60" w:rsidRDefault="008A4E60" w:rsidP="008A4E60">
      <w:pPr>
        <w:spacing w:line="240" w:lineRule="auto"/>
        <w:rPr>
          <w:rFonts w:eastAsia="Times New Roman" w:cs="Arial"/>
          <w:lang w:eastAsia="bg-BG"/>
        </w:rPr>
      </w:pPr>
      <w:r w:rsidRPr="008A4E60">
        <w:rPr>
          <w:rFonts w:eastAsia="Times New Roman" w:cs="Arial"/>
          <w:color w:val="000000"/>
          <w:u w:val="single"/>
          <w:lang w:eastAsia="bg-BG"/>
        </w:rPr>
        <w:t>Пациенти в старческа възраст</w:t>
      </w:r>
    </w:p>
    <w:p w14:paraId="3C79D802" w14:textId="77777777" w:rsidR="008A4E60" w:rsidRPr="008A4E60" w:rsidRDefault="008A4E60" w:rsidP="008A4E60">
      <w:pPr>
        <w:spacing w:line="240" w:lineRule="auto"/>
        <w:rPr>
          <w:rFonts w:eastAsia="Times New Roman" w:cs="Arial"/>
          <w:lang w:eastAsia="bg-BG"/>
        </w:rPr>
      </w:pPr>
      <w:r w:rsidRPr="008A4E60">
        <w:rPr>
          <w:rFonts w:eastAsia="Times New Roman" w:cs="Arial"/>
          <w:color w:val="000000"/>
          <w:lang w:eastAsia="bg-BG"/>
        </w:rPr>
        <w:t xml:space="preserve">Не са необходими специални предпазни мерки при пациенти в старческа възраст с нормална бъбречна функция при дози до обичайната максимална доза от 1 </w:t>
      </w:r>
      <w:r w:rsidRPr="008A4E60">
        <w:rPr>
          <w:rFonts w:eastAsia="Times New Roman" w:cs="Arial"/>
          <w:color w:val="000000"/>
          <w:lang w:val="en-US"/>
        </w:rPr>
        <w:t xml:space="preserve">g </w:t>
      </w:r>
      <w:r w:rsidRPr="008A4E60">
        <w:rPr>
          <w:rFonts w:eastAsia="Times New Roman" w:cs="Arial"/>
          <w:color w:val="000000"/>
          <w:lang w:eastAsia="bg-BG"/>
        </w:rPr>
        <w:t>дневно. Пациентите в старческа възраст е по-вероятно да имат намалена бъбречна функция и затова при тях дозата трябва да се коригира в зависимост от бъбречната функция (вижте точка 4.2).</w:t>
      </w:r>
    </w:p>
    <w:p w14:paraId="39549A0A" w14:textId="77777777" w:rsidR="008A4E60" w:rsidRDefault="008A4E60" w:rsidP="008A4E60">
      <w:pPr>
        <w:spacing w:line="240" w:lineRule="auto"/>
        <w:rPr>
          <w:rFonts w:eastAsia="Times New Roman" w:cs="Arial"/>
          <w:color w:val="000000"/>
          <w:u w:val="single"/>
          <w:lang w:eastAsia="bg-BG"/>
        </w:rPr>
      </w:pPr>
    </w:p>
    <w:p w14:paraId="29609833" w14:textId="1AE75FD8" w:rsidR="008A4E60" w:rsidRPr="008A4E60" w:rsidRDefault="008A4E60" w:rsidP="008A4E60">
      <w:pPr>
        <w:spacing w:line="240" w:lineRule="auto"/>
        <w:rPr>
          <w:rFonts w:eastAsia="Times New Roman" w:cs="Arial"/>
          <w:lang w:eastAsia="bg-BG"/>
        </w:rPr>
      </w:pPr>
      <w:r w:rsidRPr="008A4E60">
        <w:rPr>
          <w:rFonts w:eastAsia="Times New Roman" w:cs="Arial"/>
          <w:color w:val="000000"/>
          <w:u w:val="single"/>
          <w:lang w:eastAsia="bg-BG"/>
        </w:rPr>
        <w:t>Педиатрична популация</w:t>
      </w:r>
    </w:p>
    <w:p w14:paraId="79BB9D56" w14:textId="77777777" w:rsidR="008A4E60" w:rsidRPr="008A4E60" w:rsidRDefault="008A4E60" w:rsidP="008A4E60">
      <w:pPr>
        <w:spacing w:line="240" w:lineRule="auto"/>
        <w:rPr>
          <w:rFonts w:eastAsia="Times New Roman" w:cs="Arial"/>
          <w:lang w:eastAsia="bg-BG"/>
        </w:rPr>
      </w:pPr>
      <w:r w:rsidRPr="008A4E60">
        <w:rPr>
          <w:rFonts w:eastAsia="Times New Roman" w:cs="Arial"/>
          <w:color w:val="000000"/>
          <w:lang w:eastAsia="bg-BG"/>
        </w:rPr>
        <w:t>При по-големи кърмачета (на възраст &gt;3 месеца) и деца фармакокинетиката на цефуроксим е сходна с тази при възрастни.</w:t>
      </w:r>
    </w:p>
    <w:p w14:paraId="2D8FF104" w14:textId="77777777" w:rsidR="008A4E60" w:rsidRPr="008A4E60" w:rsidRDefault="008A4E60" w:rsidP="008A4E60">
      <w:pPr>
        <w:spacing w:line="240" w:lineRule="auto"/>
        <w:rPr>
          <w:rFonts w:eastAsia="Times New Roman" w:cs="Arial"/>
          <w:lang w:eastAsia="bg-BG"/>
        </w:rPr>
      </w:pPr>
      <w:r w:rsidRPr="008A4E60">
        <w:rPr>
          <w:rFonts w:eastAsia="Times New Roman" w:cs="Arial"/>
          <w:color w:val="000000"/>
          <w:lang w:eastAsia="bg-BG"/>
        </w:rPr>
        <w:t>Няма налични данни от клинични изпитвания за употребата на цефуроксим при деца под 3- месечна възраст.</w:t>
      </w:r>
    </w:p>
    <w:p w14:paraId="70764972" w14:textId="77777777" w:rsidR="008A4E60" w:rsidRDefault="008A4E60" w:rsidP="008A4E60">
      <w:pPr>
        <w:spacing w:line="240" w:lineRule="auto"/>
        <w:rPr>
          <w:rFonts w:eastAsia="Times New Roman" w:cs="Arial"/>
          <w:color w:val="000000"/>
          <w:u w:val="single"/>
          <w:lang w:eastAsia="bg-BG"/>
        </w:rPr>
      </w:pPr>
    </w:p>
    <w:p w14:paraId="061DFB33" w14:textId="7DA650CA" w:rsidR="008A4E60" w:rsidRPr="008A4E60" w:rsidRDefault="008A4E60" w:rsidP="008A4E60">
      <w:pPr>
        <w:spacing w:line="240" w:lineRule="auto"/>
        <w:rPr>
          <w:rFonts w:eastAsia="Times New Roman" w:cs="Arial"/>
          <w:lang w:eastAsia="bg-BG"/>
        </w:rPr>
      </w:pPr>
      <w:r w:rsidRPr="008A4E60">
        <w:rPr>
          <w:rFonts w:eastAsia="Times New Roman" w:cs="Arial"/>
          <w:color w:val="000000"/>
          <w:u w:val="single"/>
          <w:lang w:eastAsia="bg-BG"/>
        </w:rPr>
        <w:t>Бъбречно увреждане</w:t>
      </w:r>
    </w:p>
    <w:p w14:paraId="473A97B6" w14:textId="77777777" w:rsidR="008A4E60" w:rsidRPr="008A4E60" w:rsidRDefault="008A4E60" w:rsidP="008A4E60">
      <w:pPr>
        <w:spacing w:line="240" w:lineRule="auto"/>
        <w:rPr>
          <w:rFonts w:eastAsia="Times New Roman" w:cs="Arial"/>
          <w:lang w:eastAsia="bg-BG"/>
        </w:rPr>
      </w:pPr>
      <w:r w:rsidRPr="008A4E60">
        <w:rPr>
          <w:rFonts w:eastAsia="Times New Roman" w:cs="Arial"/>
          <w:color w:val="000000"/>
          <w:lang w:eastAsia="bg-BG"/>
        </w:rPr>
        <w:t>Безопасността и ефикасността на цефуроксим аксетил при пациенти с бъбречна недостатъчност не са оценявани.</w:t>
      </w:r>
    </w:p>
    <w:p w14:paraId="2DDB0632" w14:textId="77777777" w:rsidR="008A4E60" w:rsidRPr="008A4E60" w:rsidRDefault="008A4E60" w:rsidP="008A4E60">
      <w:pPr>
        <w:spacing w:line="240" w:lineRule="auto"/>
        <w:rPr>
          <w:rFonts w:eastAsia="Times New Roman" w:cs="Arial"/>
          <w:lang w:eastAsia="bg-BG"/>
        </w:rPr>
      </w:pPr>
      <w:r w:rsidRPr="008A4E60">
        <w:rPr>
          <w:rFonts w:eastAsia="Times New Roman" w:cs="Arial"/>
          <w:color w:val="000000"/>
          <w:lang w:eastAsia="bg-BG"/>
        </w:rPr>
        <w:t xml:space="preserve">Цефуроксим се екскретира основно чрез бъбреците. Поради това, както и при всички подобни антибиотици, при пациенти с ясно изразено увреждане на бъбречната функция (напр. креатининов клирънс &lt; 30 </w:t>
      </w:r>
      <w:r w:rsidRPr="008A4E60">
        <w:rPr>
          <w:rFonts w:eastAsia="Times New Roman" w:cs="Arial"/>
          <w:color w:val="000000"/>
          <w:lang w:val="en-US"/>
        </w:rPr>
        <w:t xml:space="preserve">mL/min) </w:t>
      </w:r>
      <w:r w:rsidRPr="008A4E60">
        <w:rPr>
          <w:rFonts w:eastAsia="Times New Roman" w:cs="Arial"/>
          <w:color w:val="000000"/>
          <w:lang w:eastAsia="bg-BG"/>
        </w:rPr>
        <w:t>се препоръчва дозата цефуроксим да бъде намалена, така че да компенсира по-бавната екскреция (вижте точка 4.2). Цефуроксим се елиминира ефективно чрез диализа.</w:t>
      </w:r>
    </w:p>
    <w:p w14:paraId="004B5B4F" w14:textId="77777777" w:rsidR="008A4E60" w:rsidRDefault="008A4E60" w:rsidP="008A4E60">
      <w:pPr>
        <w:spacing w:line="240" w:lineRule="auto"/>
        <w:rPr>
          <w:rFonts w:eastAsia="Times New Roman" w:cs="Arial"/>
          <w:color w:val="000000"/>
          <w:u w:val="single"/>
          <w:lang w:eastAsia="bg-BG"/>
        </w:rPr>
      </w:pPr>
    </w:p>
    <w:p w14:paraId="46898747" w14:textId="04EC8232" w:rsidR="008A4E60" w:rsidRPr="008A4E60" w:rsidRDefault="008A4E60" w:rsidP="008A4E60">
      <w:pPr>
        <w:spacing w:line="240" w:lineRule="auto"/>
        <w:rPr>
          <w:rFonts w:eastAsia="Times New Roman" w:cs="Arial"/>
          <w:lang w:eastAsia="bg-BG"/>
        </w:rPr>
      </w:pPr>
      <w:r w:rsidRPr="008A4E60">
        <w:rPr>
          <w:rFonts w:eastAsia="Times New Roman" w:cs="Arial"/>
          <w:color w:val="000000"/>
          <w:u w:val="single"/>
          <w:lang w:eastAsia="bg-BG"/>
        </w:rPr>
        <w:t>Чернодробно увреждане</w:t>
      </w:r>
    </w:p>
    <w:p w14:paraId="251783D7" w14:textId="77777777" w:rsidR="008A4E60" w:rsidRPr="008A4E60" w:rsidRDefault="008A4E60" w:rsidP="008A4E60">
      <w:pPr>
        <w:spacing w:line="240" w:lineRule="auto"/>
        <w:rPr>
          <w:rFonts w:eastAsia="Times New Roman" w:cs="Arial"/>
          <w:lang w:eastAsia="bg-BG"/>
        </w:rPr>
      </w:pPr>
      <w:r w:rsidRPr="008A4E60">
        <w:rPr>
          <w:rFonts w:eastAsia="Times New Roman" w:cs="Arial"/>
          <w:color w:val="000000"/>
          <w:lang w:eastAsia="bg-BG"/>
        </w:rPr>
        <w:t>Няма налични данни за пациенти с чернодробно увреждане. Тъй като цефуроксим се елиминира главно чрез бъбреците, не се очаква наличието на чернодробна недостатъчност да окаже ефект върху фармакокинетиката на цефуроксим.</w:t>
      </w:r>
    </w:p>
    <w:p w14:paraId="5AE9F87A" w14:textId="77777777" w:rsidR="008A4E60" w:rsidRDefault="008A4E60" w:rsidP="008A4E60">
      <w:pPr>
        <w:spacing w:line="240" w:lineRule="auto"/>
        <w:rPr>
          <w:rFonts w:eastAsia="Times New Roman" w:cs="Arial"/>
          <w:color w:val="000000"/>
          <w:u w:val="single"/>
          <w:lang w:eastAsia="bg-BG"/>
        </w:rPr>
      </w:pPr>
    </w:p>
    <w:p w14:paraId="122988CE" w14:textId="65FAA071" w:rsidR="008A4E60" w:rsidRPr="008A4E60" w:rsidRDefault="008A4E60" w:rsidP="008A4E60">
      <w:pPr>
        <w:spacing w:line="240" w:lineRule="auto"/>
        <w:rPr>
          <w:rFonts w:eastAsia="Times New Roman" w:cs="Arial"/>
          <w:lang w:eastAsia="bg-BG"/>
        </w:rPr>
      </w:pPr>
      <w:r w:rsidRPr="008A4E60">
        <w:rPr>
          <w:rFonts w:eastAsia="Times New Roman" w:cs="Arial"/>
          <w:color w:val="000000"/>
          <w:u w:val="single"/>
          <w:lang w:eastAsia="bg-BG"/>
        </w:rPr>
        <w:t>Връзка фармакокинетика - Фармакодинамика</w:t>
      </w:r>
    </w:p>
    <w:p w14:paraId="22544334" w14:textId="75567BF6" w:rsidR="008A4E60" w:rsidRPr="008A4E60" w:rsidRDefault="008A4E60" w:rsidP="008A4E60">
      <w:pPr>
        <w:rPr>
          <w:rFonts w:eastAsia="Times New Roman" w:cs="Arial"/>
          <w:color w:val="000000"/>
          <w:lang w:val="en-US"/>
        </w:rPr>
      </w:pPr>
      <w:r w:rsidRPr="008A4E60">
        <w:rPr>
          <w:rFonts w:eastAsia="Times New Roman" w:cs="Arial"/>
          <w:color w:val="000000"/>
          <w:lang w:eastAsia="bg-BG"/>
        </w:rPr>
        <w:t xml:space="preserve">За цефалоспорините е установено, че най-важният фармакокинетичен/ фармакодинамичен индекс, корелиращ с ефикасността </w:t>
      </w:r>
      <w:r w:rsidRPr="008A4E60">
        <w:rPr>
          <w:rFonts w:eastAsia="Times New Roman" w:cs="Arial"/>
          <w:i/>
          <w:iCs/>
          <w:color w:val="000000"/>
          <w:lang w:val="en-US"/>
        </w:rPr>
        <w:t>in vivo</w:t>
      </w:r>
      <w:r w:rsidRPr="008A4E60">
        <w:rPr>
          <w:rFonts w:eastAsia="Times New Roman" w:cs="Arial"/>
          <w:color w:val="000000"/>
          <w:lang w:val="en-US"/>
        </w:rPr>
        <w:t xml:space="preserve"> </w:t>
      </w:r>
      <w:r w:rsidRPr="008A4E60">
        <w:rPr>
          <w:rFonts w:eastAsia="Times New Roman" w:cs="Arial"/>
          <w:color w:val="000000"/>
          <w:lang w:eastAsia="bg-BG"/>
        </w:rPr>
        <w:t xml:space="preserve">е тази част от дозовия </w:t>
      </w:r>
      <w:r w:rsidRPr="008A4E60">
        <w:rPr>
          <w:rFonts w:eastAsia="Times New Roman" w:cs="Arial"/>
          <w:color w:val="000000"/>
          <w:lang w:eastAsia="bg-BG"/>
        </w:rPr>
        <w:lastRenderedPageBreak/>
        <w:t xml:space="preserve">интервал (% Т), когато концентрацията на свободното вещество остава над минималната инхибиторна концентрация </w:t>
      </w:r>
      <w:r w:rsidRPr="008A4E60">
        <w:rPr>
          <w:rFonts w:eastAsia="Times New Roman" w:cs="Arial"/>
          <w:color w:val="000000"/>
          <w:lang w:val="en-US"/>
        </w:rPr>
        <w:t xml:space="preserve">(MIC) </w:t>
      </w:r>
      <w:r w:rsidRPr="008A4E60">
        <w:rPr>
          <w:rFonts w:eastAsia="Times New Roman" w:cs="Arial"/>
          <w:color w:val="000000"/>
          <w:lang w:eastAsia="bg-BG"/>
        </w:rPr>
        <w:t xml:space="preserve">на цефуроксим за отделните таргетни видове (т.е. % Т &gt; </w:t>
      </w:r>
      <w:r w:rsidRPr="008A4E60">
        <w:rPr>
          <w:rFonts w:eastAsia="Times New Roman" w:cs="Arial"/>
          <w:color w:val="000000"/>
          <w:lang w:val="en-US"/>
        </w:rPr>
        <w:t>MIC).</w:t>
      </w:r>
    </w:p>
    <w:p w14:paraId="11DE9471" w14:textId="77777777" w:rsidR="008A4E60" w:rsidRPr="008A4E60" w:rsidRDefault="008A4E60" w:rsidP="008A4E60">
      <w:pPr>
        <w:rPr>
          <w:rFonts w:cs="Arial"/>
        </w:rPr>
      </w:pPr>
    </w:p>
    <w:p w14:paraId="0BD5B037" w14:textId="5CEE37FC" w:rsidR="008F7F23" w:rsidRDefault="002C50EE" w:rsidP="00340E8D">
      <w:pPr>
        <w:pStyle w:val="Heading2"/>
      </w:pPr>
      <w:r>
        <w:t>5.3. Предклинични данни за безопасност</w:t>
      </w:r>
    </w:p>
    <w:p w14:paraId="39E6AC51" w14:textId="616D7D3C" w:rsidR="008A4E60" w:rsidRDefault="008A4E60" w:rsidP="008A4E60"/>
    <w:p w14:paraId="1F2A67BB" w14:textId="77777777" w:rsidR="008A4E60" w:rsidRPr="008A4E60" w:rsidRDefault="008A4E60" w:rsidP="008A4E60">
      <w:pPr>
        <w:rPr>
          <w:sz w:val="24"/>
          <w:szCs w:val="24"/>
          <w:lang w:eastAsia="bg-BG"/>
        </w:rPr>
      </w:pPr>
      <w:r w:rsidRPr="008A4E60">
        <w:rPr>
          <w:lang w:eastAsia="bg-BG"/>
        </w:rPr>
        <w:t>Неклиничните данни не показват особен риск за хора на базата на фармакологични проучвания за безопасност, проучвания за токсичност при многократно дозиране, генотоксичност, репродуктивна токсичност и токсичност на развитието. Не са провеждани проучвания за карциногенност. Въпреки това няма данни, които да предполагат карциногенен потенциал.</w:t>
      </w:r>
    </w:p>
    <w:p w14:paraId="196646EB" w14:textId="77777777" w:rsidR="008A4E60" w:rsidRDefault="008A4E60" w:rsidP="008A4E60">
      <w:pPr>
        <w:rPr>
          <w:lang w:eastAsia="bg-BG"/>
        </w:rPr>
      </w:pPr>
    </w:p>
    <w:p w14:paraId="38DA23F6" w14:textId="3D08E5D7" w:rsidR="008A4E60" w:rsidRPr="008A4E60" w:rsidRDefault="008A4E60" w:rsidP="008A4E60">
      <w:pPr>
        <w:rPr>
          <w:sz w:val="24"/>
          <w:szCs w:val="24"/>
          <w:lang w:eastAsia="bg-BG"/>
        </w:rPr>
      </w:pPr>
      <w:r w:rsidRPr="008A4E60">
        <w:rPr>
          <w:lang w:eastAsia="bg-BG"/>
        </w:rPr>
        <w:t>Гама глутамил транспептидазната активност в урината на плъхове се инхибира от различни цефалоспорини, но нивото на инхибиране на цефуроксим е по-ниско. Това може да е от значение за повлияване на клиничните лабораторни тестове при хора.</w:t>
      </w:r>
    </w:p>
    <w:p w14:paraId="406A5085" w14:textId="77777777" w:rsidR="008A4E60" w:rsidRPr="008A4E60" w:rsidRDefault="008A4E60" w:rsidP="008A4E60"/>
    <w:p w14:paraId="357049A8" w14:textId="03BB68BC" w:rsidR="00BB22B4" w:rsidRDefault="002C50EE" w:rsidP="00471F10">
      <w:pPr>
        <w:pStyle w:val="Heading1"/>
      </w:pPr>
      <w:r>
        <w:t>7. ПРИТЕЖАТЕЛ НА РАЗРЕШЕНИЕТО ЗА УПОТРЕБА</w:t>
      </w:r>
    </w:p>
    <w:p w14:paraId="47ADB316" w14:textId="6DBC3512" w:rsidR="008A4E60" w:rsidRDefault="008A4E60" w:rsidP="008A4E60"/>
    <w:p w14:paraId="06DEF785" w14:textId="77777777" w:rsidR="008A4E60" w:rsidRPr="008A4E60" w:rsidRDefault="008A4E60" w:rsidP="008A4E60">
      <w:pPr>
        <w:rPr>
          <w:sz w:val="24"/>
          <w:szCs w:val="24"/>
          <w:lang w:val="en-US" w:eastAsia="bg-BG"/>
        </w:rPr>
      </w:pPr>
      <w:proofErr w:type="spellStart"/>
      <w:r w:rsidRPr="008A4E60">
        <w:rPr>
          <w:lang w:val="en-US"/>
        </w:rPr>
        <w:t>Medochemie</w:t>
      </w:r>
      <w:proofErr w:type="spellEnd"/>
      <w:r w:rsidRPr="008A4E60">
        <w:rPr>
          <w:lang w:val="en-US"/>
        </w:rPr>
        <w:t xml:space="preserve"> Ltd., </w:t>
      </w:r>
      <w:r w:rsidRPr="008A4E60">
        <w:rPr>
          <w:lang w:eastAsia="bg-BG"/>
        </w:rPr>
        <w:t xml:space="preserve">1-10 </w:t>
      </w:r>
      <w:proofErr w:type="spellStart"/>
      <w:r w:rsidRPr="008A4E60">
        <w:rPr>
          <w:lang w:val="en-US"/>
        </w:rPr>
        <w:t>Constantinoupoleos</w:t>
      </w:r>
      <w:proofErr w:type="spellEnd"/>
      <w:r w:rsidRPr="008A4E60">
        <w:rPr>
          <w:lang w:val="en-US"/>
        </w:rPr>
        <w:t xml:space="preserve"> Str., 3011 Limassol, </w:t>
      </w:r>
      <w:r w:rsidRPr="008A4E60">
        <w:rPr>
          <w:lang w:eastAsia="bg-BG"/>
        </w:rPr>
        <w:t>Кипър</w:t>
      </w:r>
    </w:p>
    <w:p w14:paraId="32CA5932" w14:textId="77777777" w:rsidR="008A4E60" w:rsidRPr="008A4E60" w:rsidRDefault="008A4E60" w:rsidP="008A4E60">
      <w:pPr>
        <w:rPr>
          <w:sz w:val="24"/>
          <w:szCs w:val="24"/>
          <w:lang w:val="en-US" w:eastAsia="bg-BG"/>
        </w:rPr>
      </w:pPr>
      <w:r w:rsidRPr="008A4E60">
        <w:rPr>
          <w:lang w:val="en-US"/>
        </w:rPr>
        <w:t>Tel: + 357 25867600,</w:t>
      </w:r>
    </w:p>
    <w:p w14:paraId="17CCAFA1" w14:textId="77777777" w:rsidR="008A4E60" w:rsidRPr="008A4E60" w:rsidRDefault="008A4E60" w:rsidP="008A4E60">
      <w:pPr>
        <w:rPr>
          <w:sz w:val="24"/>
          <w:szCs w:val="24"/>
          <w:lang w:val="en-US" w:eastAsia="bg-BG"/>
        </w:rPr>
      </w:pPr>
      <w:r w:rsidRPr="008A4E60">
        <w:rPr>
          <w:lang w:val="en-US"/>
        </w:rPr>
        <w:t>Fax: + 357 25560863</w:t>
      </w:r>
    </w:p>
    <w:p w14:paraId="227A6C83" w14:textId="77777777" w:rsidR="008A4E60" w:rsidRPr="008A4E60" w:rsidRDefault="008A4E60" w:rsidP="008A4E60">
      <w:pPr>
        <w:rPr>
          <w:sz w:val="24"/>
          <w:szCs w:val="24"/>
          <w:lang w:val="en-US" w:eastAsia="bg-BG"/>
        </w:rPr>
      </w:pPr>
      <w:r w:rsidRPr="008A4E60">
        <w:rPr>
          <w:lang w:val="en-US"/>
        </w:rPr>
        <w:t xml:space="preserve">E-mail: </w:t>
      </w:r>
      <w:hyperlink r:id="rId6" w:history="1">
        <w:r w:rsidRPr="008A4E60">
          <w:rPr>
            <w:lang w:val="en-US"/>
          </w:rPr>
          <w:t>office@medochemie.com</w:t>
        </w:r>
      </w:hyperlink>
    </w:p>
    <w:p w14:paraId="684CEAD3" w14:textId="77777777" w:rsidR="008A4E60" w:rsidRPr="008A4E60" w:rsidRDefault="008A4E60" w:rsidP="008A4E60"/>
    <w:p w14:paraId="0A53321D" w14:textId="58583CBD" w:rsidR="00EE6C97" w:rsidRDefault="00936AD0" w:rsidP="00A93499">
      <w:pPr>
        <w:pStyle w:val="Heading1"/>
      </w:pPr>
      <w:r>
        <w:t>8.</w:t>
      </w:r>
      <w:r w:rsidR="002C50EE">
        <w:t>НОМЕР НА РАЗРЕШЕНИЕТО ЗА УПОТРЕБА</w:t>
      </w:r>
    </w:p>
    <w:p w14:paraId="4C1EFFD7" w14:textId="5C49CB7F" w:rsidR="008A4E60" w:rsidRDefault="008A4E60" w:rsidP="008A4E60"/>
    <w:p w14:paraId="43915C23" w14:textId="77777777" w:rsidR="008A4E60" w:rsidRPr="008A4E60" w:rsidRDefault="008A4E60" w:rsidP="008A4E60">
      <w:pPr>
        <w:rPr>
          <w:sz w:val="24"/>
          <w:szCs w:val="24"/>
          <w:lang w:eastAsia="bg-BG"/>
        </w:rPr>
      </w:pPr>
      <w:r w:rsidRPr="008A4E60">
        <w:rPr>
          <w:lang w:eastAsia="bg-BG"/>
        </w:rPr>
        <w:t xml:space="preserve">АКСЕТИН 250 </w:t>
      </w:r>
      <w:r w:rsidRPr="008A4E60">
        <w:rPr>
          <w:lang w:val="en-US"/>
        </w:rPr>
        <w:t xml:space="preserve">mg </w:t>
      </w:r>
      <w:r w:rsidRPr="008A4E60">
        <w:rPr>
          <w:lang w:eastAsia="bg-BG"/>
        </w:rPr>
        <w:t xml:space="preserve">Филмирани таблетки: </w:t>
      </w:r>
      <w:r w:rsidRPr="008A4E60">
        <w:rPr>
          <w:lang w:val="en-US"/>
        </w:rPr>
        <w:t xml:space="preserve">Per. </w:t>
      </w:r>
      <w:r w:rsidRPr="008A4E60">
        <w:rPr>
          <w:lang w:eastAsia="bg-BG"/>
        </w:rPr>
        <w:t>№: 20110478</w:t>
      </w:r>
    </w:p>
    <w:p w14:paraId="246AF2F8" w14:textId="77777777" w:rsidR="008A4E60" w:rsidRDefault="008A4E60" w:rsidP="008A4E60">
      <w:pPr>
        <w:rPr>
          <w:lang w:eastAsia="bg-BG"/>
        </w:rPr>
      </w:pPr>
    </w:p>
    <w:p w14:paraId="3A888CDF" w14:textId="208B8B47" w:rsidR="008A4E60" w:rsidRPr="008A4E60" w:rsidRDefault="008A4E60" w:rsidP="008A4E60">
      <w:pPr>
        <w:rPr>
          <w:lang w:eastAsia="bg-BG"/>
        </w:rPr>
      </w:pPr>
      <w:r w:rsidRPr="008A4E60">
        <w:rPr>
          <w:lang w:eastAsia="bg-BG"/>
        </w:rPr>
        <w:t xml:space="preserve">АКСЕТИН 500 </w:t>
      </w:r>
      <w:r w:rsidRPr="008A4E60">
        <w:rPr>
          <w:lang w:val="en-US"/>
        </w:rPr>
        <w:t xml:space="preserve">mg </w:t>
      </w:r>
      <w:r w:rsidRPr="008A4E60">
        <w:rPr>
          <w:lang w:eastAsia="bg-BG"/>
        </w:rPr>
        <w:t xml:space="preserve">Филмирани таблетки: </w:t>
      </w:r>
      <w:r w:rsidRPr="008A4E60">
        <w:rPr>
          <w:lang w:val="en-US"/>
        </w:rPr>
        <w:t xml:space="preserve">Per. </w:t>
      </w:r>
      <w:r w:rsidRPr="008A4E60">
        <w:rPr>
          <w:lang w:eastAsia="bg-BG"/>
        </w:rPr>
        <w:t>№: 20110479</w:t>
      </w:r>
    </w:p>
    <w:p w14:paraId="1610B2A9" w14:textId="77777777" w:rsidR="008A4E60" w:rsidRPr="008A4E60" w:rsidRDefault="008A4E60" w:rsidP="008A4E60"/>
    <w:p w14:paraId="3715C10B" w14:textId="6F2CA6A8" w:rsidR="00BB22B4" w:rsidRDefault="002C50EE" w:rsidP="00471F10">
      <w:pPr>
        <w:pStyle w:val="Heading1"/>
      </w:pPr>
      <w:r>
        <w:t>9. ДАТА НА ПЪРВО РАЗРЕШАВАНЕ/ПОДНОВЯВАНЕ НА РАЗРЕШЕНИЕТО ЗА УПОТРЕБА</w:t>
      </w:r>
    </w:p>
    <w:p w14:paraId="1F02644F" w14:textId="39CEF1A8" w:rsidR="008A4E60" w:rsidRDefault="008A4E60" w:rsidP="008A4E60"/>
    <w:p w14:paraId="4735124E" w14:textId="77777777" w:rsidR="008A4E60" w:rsidRPr="008A4E60" w:rsidRDefault="008A4E60" w:rsidP="008A4E60">
      <w:pPr>
        <w:rPr>
          <w:sz w:val="24"/>
          <w:szCs w:val="24"/>
          <w:lang w:eastAsia="bg-BG"/>
        </w:rPr>
      </w:pPr>
      <w:r w:rsidRPr="008A4E60">
        <w:rPr>
          <w:lang w:eastAsia="bg-BG"/>
        </w:rPr>
        <w:t>Дата на първо разрешение: 02 август 2011 г.</w:t>
      </w:r>
    </w:p>
    <w:p w14:paraId="53199465" w14:textId="14123E37" w:rsidR="008A4E60" w:rsidRPr="008A4E60" w:rsidRDefault="008A4E60" w:rsidP="008A4E60">
      <w:pPr>
        <w:rPr>
          <w:sz w:val="24"/>
          <w:szCs w:val="24"/>
          <w:lang w:eastAsia="bg-BG"/>
        </w:rPr>
      </w:pPr>
      <w:r w:rsidRPr="008A4E60">
        <w:rPr>
          <w:lang w:eastAsia="bg-BG"/>
        </w:rPr>
        <w:t>Дата на последно подновяване:</w:t>
      </w:r>
    </w:p>
    <w:p w14:paraId="43FB38A2" w14:textId="0C18A683" w:rsidR="007C605B" w:rsidRDefault="002C50EE" w:rsidP="005726E3">
      <w:pPr>
        <w:pStyle w:val="Heading1"/>
      </w:pPr>
      <w:r>
        <w:t>10. ДАТА НА АКТУАЛИЗИРАНЕ НА ТЕКСТА</w:t>
      </w:r>
      <w:bookmarkEnd w:id="0"/>
    </w:p>
    <w:p w14:paraId="472617BD" w14:textId="6E3BEC6B" w:rsidR="00BB22B4" w:rsidRPr="00BB22B4" w:rsidRDefault="008A4E60" w:rsidP="008A4E60">
      <w:r>
        <w:t>10/2015</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0C1292B"/>
    <w:multiLevelType w:val="hybridMultilevel"/>
    <w:tmpl w:val="17B49F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67BBA"/>
    <w:multiLevelType w:val="hybridMultilevel"/>
    <w:tmpl w:val="E22EA5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6"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026BB0"/>
    <w:multiLevelType w:val="hybridMultilevel"/>
    <w:tmpl w:val="348E99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3"/>
  </w:num>
  <w:num w:numId="2" w16cid:durableId="1612932146">
    <w:abstractNumId w:val="0"/>
  </w:num>
  <w:num w:numId="3" w16cid:durableId="1810323821">
    <w:abstractNumId w:val="16"/>
  </w:num>
  <w:num w:numId="4" w16cid:durableId="2135319613">
    <w:abstractNumId w:val="3"/>
  </w:num>
  <w:num w:numId="5" w16cid:durableId="740105516">
    <w:abstractNumId w:val="1"/>
  </w:num>
  <w:num w:numId="6" w16cid:durableId="1668363208">
    <w:abstractNumId w:val="21"/>
  </w:num>
  <w:num w:numId="7" w16cid:durableId="1241988161">
    <w:abstractNumId w:val="13"/>
  </w:num>
  <w:num w:numId="8" w16cid:durableId="2102022361">
    <w:abstractNumId w:val="20"/>
  </w:num>
  <w:num w:numId="9" w16cid:durableId="1154613663">
    <w:abstractNumId w:val="2"/>
  </w:num>
  <w:num w:numId="10" w16cid:durableId="1733848127">
    <w:abstractNumId w:val="5"/>
  </w:num>
  <w:num w:numId="11" w16cid:durableId="1861704680">
    <w:abstractNumId w:val="36"/>
  </w:num>
  <w:num w:numId="12" w16cid:durableId="1434934028">
    <w:abstractNumId w:val="18"/>
  </w:num>
  <w:num w:numId="13" w16cid:durableId="479157895">
    <w:abstractNumId w:val="24"/>
  </w:num>
  <w:num w:numId="14" w16cid:durableId="1670476636">
    <w:abstractNumId w:val="15"/>
  </w:num>
  <w:num w:numId="15" w16cid:durableId="1000155783">
    <w:abstractNumId w:val="35"/>
  </w:num>
  <w:num w:numId="16" w16cid:durableId="2056420707">
    <w:abstractNumId w:val="12"/>
  </w:num>
  <w:num w:numId="17" w16cid:durableId="1787119182">
    <w:abstractNumId w:val="30"/>
  </w:num>
  <w:num w:numId="18" w16cid:durableId="722945139">
    <w:abstractNumId w:val="9"/>
  </w:num>
  <w:num w:numId="19" w16cid:durableId="1678728408">
    <w:abstractNumId w:val="32"/>
  </w:num>
  <w:num w:numId="20" w16cid:durableId="1970816657">
    <w:abstractNumId w:val="28"/>
  </w:num>
  <w:num w:numId="21" w16cid:durableId="1531146514">
    <w:abstractNumId w:val="22"/>
  </w:num>
  <w:num w:numId="22" w16cid:durableId="1276465">
    <w:abstractNumId w:val="31"/>
  </w:num>
  <w:num w:numId="23" w16cid:durableId="1624310558">
    <w:abstractNumId w:val="23"/>
  </w:num>
  <w:num w:numId="24" w16cid:durableId="1692877547">
    <w:abstractNumId w:val="10"/>
  </w:num>
  <w:num w:numId="25" w16cid:durableId="50930855">
    <w:abstractNumId w:val="27"/>
  </w:num>
  <w:num w:numId="26" w16cid:durableId="176701536">
    <w:abstractNumId w:val="26"/>
  </w:num>
  <w:num w:numId="27" w16cid:durableId="2050564750">
    <w:abstractNumId w:val="37"/>
  </w:num>
  <w:num w:numId="28" w16cid:durableId="1820733422">
    <w:abstractNumId w:val="7"/>
  </w:num>
  <w:num w:numId="29" w16cid:durableId="973678124">
    <w:abstractNumId w:val="25"/>
  </w:num>
  <w:num w:numId="30" w16cid:durableId="154884452">
    <w:abstractNumId w:val="41"/>
  </w:num>
  <w:num w:numId="31" w16cid:durableId="1053964910">
    <w:abstractNumId w:val="6"/>
  </w:num>
  <w:num w:numId="32" w16cid:durableId="2073575793">
    <w:abstractNumId w:val="39"/>
  </w:num>
  <w:num w:numId="33" w16cid:durableId="1566643170">
    <w:abstractNumId w:val="34"/>
  </w:num>
  <w:num w:numId="34" w16cid:durableId="2060787732">
    <w:abstractNumId w:val="38"/>
  </w:num>
  <w:num w:numId="35" w16cid:durableId="34161354">
    <w:abstractNumId w:val="8"/>
  </w:num>
  <w:num w:numId="36" w16cid:durableId="1976908676">
    <w:abstractNumId w:val="11"/>
  </w:num>
  <w:num w:numId="37" w16cid:durableId="758528303">
    <w:abstractNumId w:val="19"/>
  </w:num>
  <w:num w:numId="38" w16cid:durableId="178396561">
    <w:abstractNumId w:val="40"/>
  </w:num>
  <w:num w:numId="39" w16cid:durableId="934825996">
    <w:abstractNumId w:val="14"/>
  </w:num>
  <w:num w:numId="40" w16cid:durableId="1198741234">
    <w:abstractNumId w:val="29"/>
  </w:num>
  <w:num w:numId="41" w16cid:durableId="1449008910">
    <w:abstractNumId w:val="4"/>
  </w:num>
  <w:num w:numId="42" w16cid:durableId="2893646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95555"/>
    <w:rsid w:val="003E3126"/>
    <w:rsid w:val="00426E5F"/>
    <w:rsid w:val="00471F10"/>
    <w:rsid w:val="004A448E"/>
    <w:rsid w:val="004D4D6B"/>
    <w:rsid w:val="004F1CE7"/>
    <w:rsid w:val="004F498A"/>
    <w:rsid w:val="00517A5B"/>
    <w:rsid w:val="005726E3"/>
    <w:rsid w:val="00593A00"/>
    <w:rsid w:val="005A66D9"/>
    <w:rsid w:val="005A7FB7"/>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4E60"/>
    <w:rsid w:val="008A6AF2"/>
    <w:rsid w:val="008C70A2"/>
    <w:rsid w:val="008F7F23"/>
    <w:rsid w:val="00936AD0"/>
    <w:rsid w:val="00954129"/>
    <w:rsid w:val="009773E4"/>
    <w:rsid w:val="009B171C"/>
    <w:rsid w:val="009F1313"/>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medochemie.com"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3573</Words>
  <Characters>20368</Characters>
  <Application>Microsoft Office Word</Application>
  <DocSecurity>0</DocSecurity>
  <Lines>169</Lines>
  <Paragraphs>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2023-01-31T20:16:00Z</dcterms:created>
  <dcterms:modified xsi:type="dcterms:W3CDTF">2023-01-31T20:16:00Z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