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53C3FDF6" w14:textId="77777777" w:rsidR="003B18FB" w:rsidRPr="00B712C2" w:rsidRDefault="003B18FB" w:rsidP="003B18FB">
      <w:pPr>
        <w:spacing w:line="240" w:lineRule="auto"/>
        <w:rPr>
          <w:rFonts w:eastAsia="Times New Roman" w:cs="Arial"/>
          <w:lang w:val="ru-RU" w:eastAsia="bg-BG"/>
        </w:rPr>
      </w:pP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w:t>
      </w:r>
      <w:proofErr w:type="spellStart"/>
      <w:r w:rsidRPr="003B18FB">
        <w:rPr>
          <w:rFonts w:eastAsia="Times New Roman" w:cs="Arial"/>
          <w:color w:val="000000"/>
          <w:lang w:eastAsia="bg-BG"/>
        </w:rPr>
        <w:t>Сандоз</w:t>
      </w:r>
      <w:proofErr w:type="spellEnd"/>
      <w:r w:rsidRPr="003B18FB">
        <w:rPr>
          <w:rFonts w:eastAsia="Times New Roman" w:cs="Arial"/>
          <w:color w:val="000000"/>
          <w:lang w:eastAsia="bg-BG"/>
        </w:rPr>
        <w:t xml:space="preserve"> 25 </w:t>
      </w:r>
      <w:r w:rsidRPr="003B18FB">
        <w:rPr>
          <w:rFonts w:eastAsia="Times New Roman" w:cs="Arial"/>
          <w:color w:val="000000"/>
          <w:lang w:val="en-US"/>
        </w:rPr>
        <w:t>mg</w:t>
      </w:r>
      <w:r w:rsidRPr="00B712C2">
        <w:rPr>
          <w:rFonts w:eastAsia="Times New Roman" w:cs="Arial"/>
          <w:color w:val="000000"/>
          <w:lang w:val="ru-RU"/>
        </w:rPr>
        <w:t>/</w:t>
      </w:r>
      <w:r w:rsidRPr="003B18FB">
        <w:rPr>
          <w:rFonts w:eastAsia="Times New Roman" w:cs="Arial"/>
          <w:color w:val="000000"/>
          <w:lang w:val="en-US"/>
        </w:rPr>
        <w:t>ml</w:t>
      </w:r>
      <w:r w:rsidRPr="00B712C2">
        <w:rPr>
          <w:rFonts w:eastAsia="Times New Roman" w:cs="Arial"/>
          <w:color w:val="000000"/>
          <w:lang w:val="ru-RU"/>
        </w:rPr>
        <w:t xml:space="preserve"> </w:t>
      </w:r>
      <w:r w:rsidRPr="003B18FB">
        <w:rPr>
          <w:rFonts w:eastAsia="Times New Roman" w:cs="Arial"/>
          <w:color w:val="000000"/>
          <w:lang w:eastAsia="bg-BG"/>
        </w:rPr>
        <w:t>прах за инжекционна суспензия</w:t>
      </w:r>
    </w:p>
    <w:p w14:paraId="7B0B2D0B" w14:textId="77777777" w:rsidR="003B18FB" w:rsidRPr="00B712C2" w:rsidRDefault="003B18FB" w:rsidP="003B18FB">
      <w:pPr>
        <w:rPr>
          <w:rFonts w:eastAsia="Times New Roman" w:cs="Arial"/>
          <w:color w:val="000000"/>
          <w:lang w:val="ru-RU"/>
        </w:rPr>
      </w:pPr>
    </w:p>
    <w:p w14:paraId="5015A1FD" w14:textId="159472F7" w:rsidR="00A73575" w:rsidRPr="003B18FB" w:rsidRDefault="003B18FB" w:rsidP="003B18FB">
      <w:pPr>
        <w:rPr>
          <w:rFonts w:cs="Arial"/>
        </w:rPr>
      </w:pPr>
      <w:proofErr w:type="spellStart"/>
      <w:r w:rsidRPr="003B18FB">
        <w:rPr>
          <w:rFonts w:eastAsia="Times New Roman" w:cs="Arial"/>
          <w:color w:val="000000"/>
          <w:lang w:val="en-US"/>
        </w:rPr>
        <w:t>Azacitidine</w:t>
      </w:r>
      <w:proofErr w:type="spellEnd"/>
      <w:r w:rsidRPr="003B18FB">
        <w:rPr>
          <w:rFonts w:eastAsia="Times New Roman" w:cs="Arial"/>
          <w:color w:val="000000"/>
          <w:lang w:val="en-US"/>
        </w:rPr>
        <w:t xml:space="preserve"> Sandoz </w:t>
      </w:r>
      <w:r w:rsidRPr="003B18FB">
        <w:rPr>
          <w:rFonts w:eastAsia="Times New Roman" w:cs="Arial"/>
          <w:color w:val="000000"/>
          <w:lang w:eastAsia="bg-BG"/>
        </w:rPr>
        <w:t xml:space="preserve">25 </w:t>
      </w:r>
      <w:r w:rsidRPr="003B18FB">
        <w:rPr>
          <w:rFonts w:eastAsia="Times New Roman" w:cs="Arial"/>
          <w:color w:val="000000"/>
          <w:lang w:val="en-US"/>
        </w:rPr>
        <w:t xml:space="preserve">mg/ml powder for suspension for </w:t>
      </w:r>
      <w:proofErr w:type="spellStart"/>
      <w:r w:rsidRPr="003B18FB">
        <w:rPr>
          <w:rFonts w:eastAsia="Times New Roman" w:cs="Arial"/>
          <w:color w:val="000000"/>
          <w:lang w:val="en-US"/>
        </w:rPr>
        <w:t>injectiion</w:t>
      </w:r>
      <w:proofErr w:type="spellEnd"/>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1F2F133" w14:textId="77777777"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t xml:space="preserve">Всеки флакон съдържа 100 </w:t>
      </w:r>
      <w:r w:rsidRPr="003B18FB">
        <w:rPr>
          <w:rFonts w:eastAsia="Times New Roman" w:cs="Arial"/>
          <w:color w:val="000000"/>
          <w:lang w:val="en-US"/>
        </w:rPr>
        <w:t>mg</w:t>
      </w:r>
      <w:r w:rsidRPr="00B712C2">
        <w:rPr>
          <w:rFonts w:eastAsia="Times New Roman" w:cs="Arial"/>
          <w:color w:val="000000"/>
          <w:lang w:val="ru-RU"/>
        </w:rPr>
        <w:t xml:space="preserve">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w:t>
      </w:r>
      <w:r w:rsidRPr="00B712C2">
        <w:rPr>
          <w:rFonts w:eastAsia="Times New Roman" w:cs="Arial"/>
          <w:color w:val="000000"/>
          <w:lang w:val="ru-RU"/>
        </w:rPr>
        <w:t>(</w:t>
      </w:r>
      <w:proofErr w:type="spellStart"/>
      <w:r w:rsidRPr="003B18FB">
        <w:rPr>
          <w:rFonts w:eastAsia="Times New Roman" w:cs="Arial"/>
          <w:color w:val="000000"/>
          <w:lang w:val="en-US"/>
        </w:rPr>
        <w:t>azacitidine</w:t>
      </w:r>
      <w:proofErr w:type="spellEnd"/>
      <w:r w:rsidRPr="00B712C2">
        <w:rPr>
          <w:rFonts w:eastAsia="Times New Roman" w:cs="Arial"/>
          <w:color w:val="000000"/>
          <w:lang w:val="ru-RU"/>
        </w:rPr>
        <w:t xml:space="preserve">). </w:t>
      </w:r>
      <w:r w:rsidRPr="003B18FB">
        <w:rPr>
          <w:rFonts w:eastAsia="Times New Roman" w:cs="Arial"/>
          <w:color w:val="000000"/>
          <w:lang w:eastAsia="bg-BG"/>
        </w:rPr>
        <w:t xml:space="preserve">След разтваряне всеки милилитър суспензия съдържа 25 </w:t>
      </w:r>
      <w:r w:rsidRPr="003B18FB">
        <w:rPr>
          <w:rFonts w:eastAsia="Times New Roman" w:cs="Arial"/>
          <w:color w:val="000000"/>
          <w:lang w:val="en-US"/>
        </w:rPr>
        <w:t>mg</w:t>
      </w:r>
      <w:r w:rsidRPr="00B712C2">
        <w:rPr>
          <w:rFonts w:eastAsia="Times New Roman" w:cs="Arial"/>
          <w:color w:val="000000"/>
          <w:lang w:val="ru-RU"/>
        </w:rPr>
        <w:t xml:space="preserve">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w:t>
      </w:r>
    </w:p>
    <w:p w14:paraId="39E627F1" w14:textId="77777777" w:rsidR="003B18FB" w:rsidRPr="003B18FB" w:rsidRDefault="003B18FB" w:rsidP="003B18FB">
      <w:pPr>
        <w:rPr>
          <w:rFonts w:eastAsia="Times New Roman" w:cs="Arial"/>
          <w:color w:val="000000"/>
          <w:lang w:eastAsia="bg-BG"/>
        </w:rPr>
      </w:pPr>
    </w:p>
    <w:p w14:paraId="03110A50" w14:textId="398EE4A4" w:rsidR="0091385D" w:rsidRPr="003B18FB" w:rsidRDefault="003B18FB" w:rsidP="003B18FB">
      <w:pPr>
        <w:rPr>
          <w:rFonts w:cs="Arial"/>
        </w:rPr>
      </w:pPr>
      <w:r w:rsidRPr="003B18FB">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216F849B" w14:textId="77777777"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t>Прах за инжекционна суспензия.</w:t>
      </w:r>
    </w:p>
    <w:p w14:paraId="7B55F06D" w14:textId="77777777" w:rsidR="003B18FB" w:rsidRPr="003B18FB" w:rsidRDefault="003B18FB" w:rsidP="003B18FB">
      <w:pPr>
        <w:rPr>
          <w:rFonts w:eastAsia="Times New Roman" w:cs="Arial"/>
          <w:color w:val="000000"/>
          <w:lang w:eastAsia="bg-BG"/>
        </w:rPr>
      </w:pPr>
    </w:p>
    <w:p w14:paraId="4129ADBB" w14:textId="62C6AFDF" w:rsidR="0091385D" w:rsidRPr="003B18FB" w:rsidRDefault="003B18FB" w:rsidP="003B18FB">
      <w:pPr>
        <w:rPr>
          <w:rFonts w:cs="Arial"/>
        </w:rPr>
      </w:pPr>
      <w:r w:rsidRPr="003B18FB">
        <w:rPr>
          <w:rFonts w:eastAsia="Times New Roman" w:cs="Arial"/>
          <w:color w:val="000000"/>
          <w:lang w:eastAsia="bg-BG"/>
        </w:rPr>
        <w:t>Бял лиофилизиран прах.</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342C55AB" w14:textId="77777777" w:rsidR="003B18FB" w:rsidRPr="003B18FB" w:rsidRDefault="003B18FB" w:rsidP="003B18FB">
      <w:pPr>
        <w:spacing w:line="240" w:lineRule="auto"/>
        <w:rPr>
          <w:rFonts w:eastAsia="Times New Roman" w:cs="Arial"/>
          <w:lang w:eastAsia="bg-BG"/>
        </w:rPr>
      </w:pP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w:t>
      </w:r>
      <w:proofErr w:type="spellStart"/>
      <w:r w:rsidRPr="003B18FB">
        <w:rPr>
          <w:rFonts w:eastAsia="Times New Roman" w:cs="Arial"/>
          <w:color w:val="000000"/>
          <w:lang w:eastAsia="bg-BG"/>
        </w:rPr>
        <w:t>Сандоз</w:t>
      </w:r>
      <w:proofErr w:type="spellEnd"/>
      <w:r w:rsidRPr="003B18FB">
        <w:rPr>
          <w:rFonts w:eastAsia="Times New Roman" w:cs="Arial"/>
          <w:color w:val="000000"/>
          <w:lang w:eastAsia="bg-BG"/>
        </w:rPr>
        <w:t xml:space="preserve"> е показан за лечение на възрастни пациенти, които не са подходящи за транс плантация на </w:t>
      </w:r>
      <w:proofErr w:type="spellStart"/>
      <w:r w:rsidRPr="003B18FB">
        <w:rPr>
          <w:rFonts w:eastAsia="Times New Roman" w:cs="Arial"/>
          <w:color w:val="000000"/>
          <w:lang w:eastAsia="bg-BG"/>
        </w:rPr>
        <w:t>хемопоетични</w:t>
      </w:r>
      <w:proofErr w:type="spellEnd"/>
      <w:r w:rsidRPr="003B18FB">
        <w:rPr>
          <w:rFonts w:eastAsia="Times New Roman" w:cs="Arial"/>
          <w:color w:val="000000"/>
          <w:lang w:eastAsia="bg-BG"/>
        </w:rPr>
        <w:t xml:space="preserve"> стволови клетки </w:t>
      </w:r>
      <w:r w:rsidRPr="00B712C2">
        <w:rPr>
          <w:rFonts w:eastAsia="Times New Roman" w:cs="Arial"/>
          <w:i/>
          <w:iCs/>
          <w:color w:val="000000"/>
          <w:lang w:val="ru-RU"/>
        </w:rPr>
        <w:t>(</w:t>
      </w:r>
      <w:proofErr w:type="spellStart"/>
      <w:r w:rsidRPr="003B18FB">
        <w:rPr>
          <w:rFonts w:eastAsia="Times New Roman" w:cs="Arial"/>
          <w:i/>
          <w:iCs/>
          <w:color w:val="000000"/>
          <w:lang w:val="en-US"/>
        </w:rPr>
        <w:t>haematopoietic</w:t>
      </w:r>
      <w:proofErr w:type="spellEnd"/>
      <w:r w:rsidRPr="00B712C2">
        <w:rPr>
          <w:rFonts w:eastAsia="Times New Roman" w:cs="Arial"/>
          <w:i/>
          <w:iCs/>
          <w:color w:val="000000"/>
          <w:lang w:val="ru-RU"/>
        </w:rPr>
        <w:t xml:space="preserve"> </w:t>
      </w:r>
      <w:r w:rsidRPr="003B18FB">
        <w:rPr>
          <w:rFonts w:eastAsia="Times New Roman" w:cs="Arial"/>
          <w:i/>
          <w:iCs/>
          <w:color w:val="000000"/>
          <w:lang w:val="en-US"/>
        </w:rPr>
        <w:t>stem</w:t>
      </w:r>
      <w:r w:rsidRPr="00B712C2">
        <w:rPr>
          <w:rFonts w:eastAsia="Times New Roman" w:cs="Arial"/>
          <w:i/>
          <w:iCs/>
          <w:color w:val="000000"/>
          <w:lang w:val="ru-RU"/>
        </w:rPr>
        <w:t xml:space="preserve"> </w:t>
      </w:r>
      <w:r w:rsidRPr="003B18FB">
        <w:rPr>
          <w:rFonts w:eastAsia="Times New Roman" w:cs="Arial"/>
          <w:i/>
          <w:iCs/>
          <w:color w:val="000000"/>
          <w:lang w:val="en-US"/>
        </w:rPr>
        <w:t>cell</w:t>
      </w:r>
      <w:r w:rsidRPr="00B712C2">
        <w:rPr>
          <w:rFonts w:eastAsia="Times New Roman" w:cs="Arial"/>
          <w:i/>
          <w:iCs/>
          <w:color w:val="000000"/>
          <w:lang w:val="ru-RU"/>
        </w:rPr>
        <w:t xml:space="preserve"> </w:t>
      </w:r>
      <w:r w:rsidRPr="003B18FB">
        <w:rPr>
          <w:rFonts w:eastAsia="Times New Roman" w:cs="Arial"/>
          <w:i/>
          <w:iCs/>
          <w:color w:val="000000"/>
          <w:lang w:val="en-US"/>
        </w:rPr>
        <w:t>transplantation</w:t>
      </w:r>
      <w:r w:rsidRPr="00B712C2">
        <w:rPr>
          <w:rFonts w:eastAsia="Times New Roman" w:cs="Arial"/>
          <w:i/>
          <w:iCs/>
          <w:color w:val="000000"/>
          <w:lang w:val="ru-RU"/>
        </w:rPr>
        <w:t xml:space="preserve">, </w:t>
      </w:r>
      <w:r w:rsidRPr="003B18FB">
        <w:rPr>
          <w:rFonts w:eastAsia="Times New Roman" w:cs="Arial"/>
          <w:color w:val="000000"/>
          <w:lang w:val="en-US"/>
        </w:rPr>
        <w:t>HSCT</w:t>
      </w:r>
      <w:r w:rsidRPr="00B712C2">
        <w:rPr>
          <w:rFonts w:eastAsia="Times New Roman" w:cs="Arial"/>
          <w:color w:val="000000"/>
          <w:lang w:val="ru-RU"/>
        </w:rPr>
        <w:t xml:space="preserve">), </w:t>
      </w:r>
      <w:r w:rsidRPr="003B18FB">
        <w:rPr>
          <w:rFonts w:eastAsia="Times New Roman" w:cs="Arial"/>
          <w:color w:val="000000"/>
          <w:lang w:val="en-US"/>
        </w:rPr>
        <w:t>c</w:t>
      </w:r>
      <w:r w:rsidRPr="00B712C2">
        <w:rPr>
          <w:rFonts w:eastAsia="Times New Roman" w:cs="Arial"/>
          <w:color w:val="000000"/>
          <w:lang w:val="ru-RU"/>
        </w:rPr>
        <w:t>:</w:t>
      </w:r>
    </w:p>
    <w:p w14:paraId="523AAD91" w14:textId="77777777" w:rsidR="003B18FB" w:rsidRPr="003B18FB" w:rsidRDefault="003B18FB" w:rsidP="003B18FB">
      <w:pPr>
        <w:pStyle w:val="ListParagraph"/>
        <w:numPr>
          <w:ilvl w:val="0"/>
          <w:numId w:val="35"/>
        </w:numPr>
        <w:spacing w:line="240" w:lineRule="auto"/>
        <w:rPr>
          <w:rFonts w:eastAsia="Times New Roman" w:cs="Arial"/>
          <w:color w:val="000000"/>
          <w:lang w:eastAsia="bg-BG"/>
        </w:rPr>
      </w:pPr>
      <w:proofErr w:type="spellStart"/>
      <w:r w:rsidRPr="003B18FB">
        <w:rPr>
          <w:rFonts w:eastAsia="Times New Roman" w:cs="Arial"/>
          <w:color w:val="000000"/>
          <w:lang w:eastAsia="bg-BG"/>
        </w:rPr>
        <w:t>миелодиспластични</w:t>
      </w:r>
      <w:proofErr w:type="spellEnd"/>
      <w:r w:rsidRPr="003B18FB">
        <w:rPr>
          <w:rFonts w:eastAsia="Times New Roman" w:cs="Arial"/>
          <w:color w:val="000000"/>
          <w:lang w:eastAsia="bg-BG"/>
        </w:rPr>
        <w:t xml:space="preserve"> синдроми (МДС) </w:t>
      </w:r>
      <w:r w:rsidRPr="003B18FB">
        <w:rPr>
          <w:rFonts w:eastAsia="Times New Roman" w:cs="Arial"/>
          <w:color w:val="000000"/>
          <w:lang w:val="en-US"/>
        </w:rPr>
        <w:t>c</w:t>
      </w:r>
      <w:r w:rsidRPr="00B712C2">
        <w:rPr>
          <w:rFonts w:eastAsia="Times New Roman" w:cs="Arial"/>
          <w:color w:val="000000"/>
        </w:rPr>
        <w:t xml:space="preserve"> </w:t>
      </w:r>
      <w:r w:rsidRPr="003B18FB">
        <w:rPr>
          <w:rFonts w:eastAsia="Times New Roman" w:cs="Arial"/>
          <w:color w:val="000000"/>
          <w:lang w:eastAsia="bg-BG"/>
        </w:rPr>
        <w:t xml:space="preserve">междинен-2 и висок риск според Международната прогностична точкова система </w:t>
      </w:r>
      <w:r w:rsidRPr="00B712C2">
        <w:rPr>
          <w:rFonts w:eastAsia="Times New Roman" w:cs="Arial"/>
          <w:i/>
          <w:iCs/>
          <w:color w:val="000000"/>
        </w:rPr>
        <w:t>(</w:t>
      </w:r>
      <w:r w:rsidRPr="003B18FB">
        <w:rPr>
          <w:rFonts w:eastAsia="Times New Roman" w:cs="Arial"/>
          <w:i/>
          <w:iCs/>
          <w:color w:val="000000"/>
          <w:lang w:val="en-US"/>
        </w:rPr>
        <w:t>International</w:t>
      </w:r>
      <w:r w:rsidRPr="00B712C2">
        <w:rPr>
          <w:rFonts w:eastAsia="Times New Roman" w:cs="Arial"/>
          <w:i/>
          <w:iCs/>
          <w:color w:val="000000"/>
        </w:rPr>
        <w:t xml:space="preserve"> </w:t>
      </w:r>
      <w:r w:rsidRPr="003B18FB">
        <w:rPr>
          <w:rFonts w:eastAsia="Times New Roman" w:cs="Arial"/>
          <w:i/>
          <w:iCs/>
          <w:color w:val="000000"/>
          <w:lang w:val="en-US"/>
        </w:rPr>
        <w:t>Prognostic</w:t>
      </w:r>
      <w:r w:rsidRPr="00B712C2">
        <w:rPr>
          <w:rFonts w:eastAsia="Times New Roman" w:cs="Arial"/>
          <w:i/>
          <w:iCs/>
          <w:color w:val="000000"/>
        </w:rPr>
        <w:t xml:space="preserve"> </w:t>
      </w:r>
      <w:r w:rsidRPr="003B18FB">
        <w:rPr>
          <w:rFonts w:eastAsia="Times New Roman" w:cs="Arial"/>
          <w:i/>
          <w:iCs/>
          <w:color w:val="000000"/>
          <w:lang w:val="en-US"/>
        </w:rPr>
        <w:t>Scoring</w:t>
      </w:r>
      <w:r w:rsidRPr="00B712C2">
        <w:rPr>
          <w:rFonts w:eastAsia="Times New Roman" w:cs="Arial"/>
          <w:i/>
          <w:iCs/>
          <w:color w:val="000000"/>
        </w:rPr>
        <w:t xml:space="preserve"> </w:t>
      </w:r>
      <w:r w:rsidRPr="003B18FB">
        <w:rPr>
          <w:rFonts w:eastAsia="Times New Roman" w:cs="Arial"/>
          <w:i/>
          <w:iCs/>
          <w:color w:val="000000"/>
          <w:lang w:val="en-US"/>
        </w:rPr>
        <w:t>System</w:t>
      </w:r>
      <w:r w:rsidRPr="00B712C2">
        <w:rPr>
          <w:rFonts w:eastAsia="Times New Roman" w:cs="Arial"/>
          <w:i/>
          <w:iCs/>
          <w:color w:val="000000"/>
        </w:rPr>
        <w:t>,</w:t>
      </w:r>
      <w:r w:rsidRPr="00B712C2">
        <w:rPr>
          <w:rFonts w:eastAsia="Times New Roman" w:cs="Arial"/>
          <w:color w:val="000000"/>
        </w:rPr>
        <w:t xml:space="preserve"> </w:t>
      </w:r>
      <w:r w:rsidRPr="003B18FB">
        <w:rPr>
          <w:rFonts w:eastAsia="Times New Roman" w:cs="Arial"/>
          <w:color w:val="000000"/>
          <w:lang w:val="en-US"/>
        </w:rPr>
        <w:t>IPSS</w:t>
      </w:r>
      <w:r w:rsidRPr="00B712C2">
        <w:rPr>
          <w:rFonts w:eastAsia="Times New Roman" w:cs="Arial"/>
          <w:color w:val="000000"/>
        </w:rPr>
        <w:t>),</w:t>
      </w:r>
    </w:p>
    <w:p w14:paraId="4EE2E50B" w14:textId="77777777" w:rsidR="003B18FB" w:rsidRPr="003B18FB" w:rsidRDefault="003B18FB" w:rsidP="003B18FB">
      <w:pPr>
        <w:pStyle w:val="ListParagraph"/>
        <w:numPr>
          <w:ilvl w:val="0"/>
          <w:numId w:val="35"/>
        </w:numPr>
        <w:spacing w:line="240" w:lineRule="auto"/>
        <w:rPr>
          <w:rFonts w:eastAsia="Times New Roman" w:cs="Arial"/>
          <w:color w:val="000000"/>
          <w:lang w:eastAsia="bg-BG"/>
        </w:rPr>
      </w:pPr>
      <w:r w:rsidRPr="003B18FB">
        <w:rPr>
          <w:rFonts w:eastAsia="Times New Roman" w:cs="Arial"/>
          <w:color w:val="000000"/>
          <w:lang w:eastAsia="bg-BG"/>
        </w:rPr>
        <w:t>хронична миеломоноцитна левкемия (ХММЛ) с 10-29 % костномозъчни бласти без миелопролиферативно нарушение,</w:t>
      </w:r>
    </w:p>
    <w:p w14:paraId="50AF16F3" w14:textId="77777777" w:rsidR="003B18FB" w:rsidRPr="003B18FB" w:rsidRDefault="003B18FB" w:rsidP="003B18FB">
      <w:pPr>
        <w:pStyle w:val="ListParagraph"/>
        <w:numPr>
          <w:ilvl w:val="0"/>
          <w:numId w:val="35"/>
        </w:numPr>
        <w:spacing w:line="240" w:lineRule="auto"/>
        <w:rPr>
          <w:rFonts w:eastAsia="Times New Roman" w:cs="Arial"/>
          <w:color w:val="000000"/>
          <w:lang w:eastAsia="bg-BG"/>
        </w:rPr>
      </w:pPr>
      <w:r w:rsidRPr="003B18FB">
        <w:rPr>
          <w:rFonts w:eastAsia="Times New Roman" w:cs="Arial"/>
          <w:color w:val="000000"/>
          <w:lang w:eastAsia="bg-BG"/>
        </w:rPr>
        <w:t>остра миелоидна левкемия (ОМЛ) с 20-30 % бласти и мултилинейна дисплазия според класификацията на Световната здравна организация (СЗО),</w:t>
      </w:r>
    </w:p>
    <w:p w14:paraId="04B2E99C" w14:textId="68BDB3FE" w:rsidR="0091385D" w:rsidRPr="003B18FB" w:rsidRDefault="003B18FB" w:rsidP="003B18FB">
      <w:pPr>
        <w:pStyle w:val="ListParagraph"/>
        <w:numPr>
          <w:ilvl w:val="0"/>
          <w:numId w:val="35"/>
        </w:numPr>
        <w:spacing w:line="240" w:lineRule="auto"/>
        <w:rPr>
          <w:rFonts w:eastAsia="Times New Roman" w:cs="Arial"/>
          <w:color w:val="000000"/>
          <w:lang w:eastAsia="bg-BG"/>
        </w:rPr>
      </w:pPr>
      <w:r w:rsidRPr="003B18FB">
        <w:rPr>
          <w:rFonts w:eastAsia="Times New Roman" w:cs="Arial"/>
          <w:color w:val="000000"/>
          <w:lang w:eastAsia="bg-BG"/>
        </w:rPr>
        <w:t>ОМЛ с &gt;30% костномозъчни бласти според класификацията на СЗО.</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37198E17" w14:textId="77777777"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lastRenderedPageBreak/>
        <w:t>Лечението с Азацитидин Сандоз трябва да се започва и проследява под наблюдението на лекар с опит в прилагането на химиотерапевтични средства. Пациентите трябва да получат премедикация с антиеметици срещу гадене и повръщане.</w:t>
      </w:r>
    </w:p>
    <w:p w14:paraId="311CEDBB" w14:textId="77777777" w:rsidR="003B18FB" w:rsidRPr="003B18FB" w:rsidRDefault="003B18FB" w:rsidP="003B18FB">
      <w:pPr>
        <w:spacing w:line="240" w:lineRule="auto"/>
        <w:rPr>
          <w:rFonts w:eastAsia="Times New Roman" w:cs="Arial"/>
          <w:color w:val="000000"/>
          <w:u w:val="single"/>
          <w:lang w:eastAsia="bg-BG"/>
        </w:rPr>
      </w:pPr>
    </w:p>
    <w:p w14:paraId="6A6CDEE5" w14:textId="1184DCF2" w:rsidR="003B18FB" w:rsidRPr="003B18FB" w:rsidRDefault="003B18FB" w:rsidP="003B18FB">
      <w:pPr>
        <w:pStyle w:val="Heading3"/>
        <w:rPr>
          <w:rFonts w:eastAsia="Times New Roman"/>
          <w:u w:val="single"/>
          <w:lang w:eastAsia="bg-BG"/>
        </w:rPr>
      </w:pPr>
      <w:r w:rsidRPr="003B18FB">
        <w:rPr>
          <w:rFonts w:eastAsia="Times New Roman"/>
          <w:u w:val="single"/>
          <w:lang w:eastAsia="bg-BG"/>
        </w:rPr>
        <w:t>Дозировка</w:t>
      </w:r>
    </w:p>
    <w:p w14:paraId="2C382FDD" w14:textId="77777777" w:rsidR="003B18FB" w:rsidRPr="003B18FB" w:rsidRDefault="003B18FB" w:rsidP="003B18FB">
      <w:pPr>
        <w:rPr>
          <w:rFonts w:eastAsia="Times New Roman" w:cs="Arial"/>
          <w:lang w:eastAsia="bg-BG"/>
        </w:rPr>
      </w:pPr>
      <w:r w:rsidRPr="003B18FB">
        <w:rPr>
          <w:rFonts w:eastAsia="Times New Roman" w:cs="Arial"/>
          <w:color w:val="000000"/>
          <w:lang w:eastAsia="bg-BG"/>
        </w:rPr>
        <w:t xml:space="preserve">Препоръчваната начална доза за първия цикъл на лечение за всички пациенти, независимо от изходните стойности на лабораторните хематологични показатели, е 75 </w:t>
      </w:r>
      <w:r w:rsidRPr="003B18FB">
        <w:rPr>
          <w:rFonts w:eastAsia="Times New Roman" w:cs="Arial"/>
          <w:color w:val="000000"/>
          <w:lang w:val="en-US"/>
        </w:rPr>
        <w:t>mg</w:t>
      </w:r>
      <w:r w:rsidRPr="00B712C2">
        <w:rPr>
          <w:rFonts w:eastAsia="Times New Roman" w:cs="Arial"/>
          <w:color w:val="000000"/>
          <w:lang w:val="ru-RU"/>
        </w:rPr>
        <w:t>/</w:t>
      </w:r>
      <w:r w:rsidRPr="003B18FB">
        <w:rPr>
          <w:rFonts w:eastAsia="Times New Roman" w:cs="Arial"/>
          <w:color w:val="000000"/>
          <w:lang w:val="en-US"/>
        </w:rPr>
        <w:t>m</w:t>
      </w:r>
      <w:r w:rsidRPr="00B712C2">
        <w:rPr>
          <w:rFonts w:eastAsia="Times New Roman" w:cs="Arial"/>
          <w:color w:val="000000"/>
          <w:vertAlign w:val="superscript"/>
          <w:lang w:val="ru-RU"/>
        </w:rPr>
        <w:t>2</w:t>
      </w:r>
      <w:r w:rsidRPr="00B712C2">
        <w:rPr>
          <w:rFonts w:eastAsia="Times New Roman" w:cs="Arial"/>
          <w:color w:val="000000"/>
          <w:lang w:val="ru-RU"/>
        </w:rPr>
        <w:t xml:space="preserve"> </w:t>
      </w:r>
      <w:r w:rsidRPr="003B18FB">
        <w:rPr>
          <w:rFonts w:eastAsia="Times New Roman" w:cs="Arial"/>
          <w:color w:val="000000"/>
          <w:lang w:eastAsia="bg-BG"/>
        </w:rPr>
        <w:t>телесна повърхност, инжектирани подкожно всеки ден в продължение на 7 дни, последвани от период на почивка с продължителност 21 дни (28-дневен цикъл на лечение).</w:t>
      </w:r>
    </w:p>
    <w:p w14:paraId="5EF56AB2" w14:textId="77777777" w:rsidR="003B18FB" w:rsidRPr="003B18FB" w:rsidRDefault="003B18FB" w:rsidP="003B18FB">
      <w:pPr>
        <w:spacing w:line="240" w:lineRule="auto"/>
        <w:rPr>
          <w:rFonts w:eastAsia="Times New Roman" w:cs="Arial"/>
          <w:color w:val="000000"/>
          <w:lang w:eastAsia="bg-BG"/>
        </w:rPr>
      </w:pPr>
    </w:p>
    <w:p w14:paraId="029105F5" w14:textId="738F63D2"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t>Препоръчва се пациентите да бъдат подложени на минимум 6 лечебни цикъла. Лечението трябва да се продължава, докато пациентът продължава да има полза от него или до прогресия на заболяването.</w:t>
      </w:r>
    </w:p>
    <w:p w14:paraId="0EE7F42F" w14:textId="77777777" w:rsidR="003B18FB" w:rsidRPr="003B18FB" w:rsidRDefault="003B18FB" w:rsidP="003B18FB">
      <w:pPr>
        <w:spacing w:line="240" w:lineRule="auto"/>
        <w:rPr>
          <w:rFonts w:eastAsia="Times New Roman" w:cs="Arial"/>
          <w:color w:val="000000"/>
          <w:lang w:eastAsia="bg-BG"/>
        </w:rPr>
      </w:pPr>
    </w:p>
    <w:p w14:paraId="109E4539" w14:textId="421DDE5A"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t>Пациентите трябва да бъдат следени за хематологичен отговор/токсичност и бъбречна токсичност (вж. точка 4.4); възможно е да се наложи отлагане на началото на следващия цикъл или намаляване на дозата, както е описано по-долу.</w:t>
      </w:r>
    </w:p>
    <w:p w14:paraId="2C688E0A" w14:textId="77777777" w:rsidR="003B18FB" w:rsidRPr="003B18FB" w:rsidRDefault="003B18FB" w:rsidP="003B18FB">
      <w:pPr>
        <w:spacing w:line="240" w:lineRule="auto"/>
        <w:rPr>
          <w:rFonts w:eastAsia="Times New Roman" w:cs="Arial"/>
          <w:i/>
          <w:iCs/>
          <w:color w:val="000000"/>
          <w:u w:val="single"/>
          <w:lang w:eastAsia="bg-BG"/>
        </w:rPr>
      </w:pPr>
    </w:p>
    <w:p w14:paraId="22D25E8C" w14:textId="316C8CF6" w:rsidR="003B18FB" w:rsidRPr="003B18FB" w:rsidRDefault="003B18FB" w:rsidP="003B18FB">
      <w:pPr>
        <w:spacing w:line="240" w:lineRule="auto"/>
        <w:rPr>
          <w:rFonts w:eastAsia="Times New Roman" w:cs="Arial"/>
          <w:lang w:eastAsia="bg-BG"/>
        </w:rPr>
      </w:pPr>
      <w:r w:rsidRPr="003B18FB">
        <w:rPr>
          <w:rFonts w:eastAsia="Times New Roman" w:cs="Arial"/>
          <w:i/>
          <w:iCs/>
          <w:color w:val="000000"/>
          <w:u w:val="single"/>
          <w:lang w:eastAsia="bg-BG"/>
        </w:rPr>
        <w:t>Лабораторни тестове</w:t>
      </w:r>
    </w:p>
    <w:p w14:paraId="7B81EC3C" w14:textId="77777777"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t>Преди започване на терапията и преди всеки лечебен цикъл трябва да се определят функционалните чернодробни показатели, серумния креатинин и серумния бикарбонат. Преди започване на терапията трябва да се направи пълна кръвна картина, както и при нужда за проследяване на отговора и токсичността, но най-малко преди всеки лечебен цикъл.</w:t>
      </w:r>
    </w:p>
    <w:p w14:paraId="0104D503" w14:textId="77777777" w:rsidR="003B18FB" w:rsidRPr="003B18FB" w:rsidRDefault="003B18FB" w:rsidP="003B18FB">
      <w:pPr>
        <w:spacing w:line="240" w:lineRule="auto"/>
        <w:rPr>
          <w:rFonts w:eastAsia="Times New Roman" w:cs="Arial"/>
          <w:i/>
          <w:iCs/>
          <w:color w:val="000000"/>
          <w:lang w:eastAsia="bg-BG"/>
        </w:rPr>
      </w:pPr>
    </w:p>
    <w:p w14:paraId="4250AFA9" w14:textId="3899D81E" w:rsidR="003B18FB" w:rsidRPr="003B18FB" w:rsidRDefault="003B18FB" w:rsidP="003B18FB">
      <w:pPr>
        <w:spacing w:line="240" w:lineRule="auto"/>
        <w:rPr>
          <w:rFonts w:eastAsia="Times New Roman" w:cs="Arial"/>
          <w:lang w:eastAsia="bg-BG"/>
        </w:rPr>
      </w:pPr>
      <w:r w:rsidRPr="003B18FB">
        <w:rPr>
          <w:rFonts w:eastAsia="Times New Roman" w:cs="Arial"/>
          <w:i/>
          <w:iCs/>
          <w:color w:val="000000"/>
          <w:lang w:eastAsia="bg-BG"/>
        </w:rPr>
        <w:t>Коригиране на дозата поради хематологична токсичност</w:t>
      </w:r>
    </w:p>
    <w:p w14:paraId="2C6FB598" w14:textId="77777777"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t>Хематологичната токсичност се дефинира като най-ниския брои кръвни клетки, достигнат при даден цикъл (надир), ако тромбоцитите &lt; 50,0 х 10</w:t>
      </w:r>
      <w:r w:rsidRPr="003B18FB">
        <w:rPr>
          <w:rFonts w:eastAsia="Times New Roman" w:cs="Arial"/>
          <w:color w:val="000000"/>
          <w:vertAlign w:val="superscript"/>
          <w:lang w:eastAsia="bg-BG"/>
        </w:rPr>
        <w:t>9</w:t>
      </w:r>
      <w:r w:rsidRPr="003B18FB">
        <w:rPr>
          <w:rFonts w:eastAsia="Times New Roman" w:cs="Arial"/>
          <w:color w:val="000000"/>
          <w:lang w:eastAsia="bg-BG"/>
        </w:rPr>
        <w:t>/</w:t>
      </w:r>
      <w:r w:rsidRPr="003B18FB">
        <w:rPr>
          <w:rFonts w:eastAsia="Times New Roman" w:cs="Arial"/>
          <w:color w:val="000000"/>
          <w:lang w:val="en-US"/>
        </w:rPr>
        <w:t>l</w:t>
      </w:r>
      <w:r w:rsidRPr="003B18FB">
        <w:rPr>
          <w:rFonts w:eastAsia="Times New Roman" w:cs="Arial"/>
          <w:color w:val="000000"/>
          <w:lang w:eastAsia="bg-BG"/>
        </w:rPr>
        <w:t xml:space="preserve"> и/или абсолютният брой неутрофили (АБН) е ≤ 1 х 10</w:t>
      </w:r>
      <w:r w:rsidRPr="003B18FB">
        <w:rPr>
          <w:rFonts w:eastAsia="Times New Roman" w:cs="Arial"/>
          <w:color w:val="000000"/>
          <w:vertAlign w:val="superscript"/>
          <w:lang w:eastAsia="bg-BG"/>
        </w:rPr>
        <w:t>9</w:t>
      </w:r>
      <w:r w:rsidRPr="003B18FB">
        <w:rPr>
          <w:rFonts w:eastAsia="Times New Roman" w:cs="Arial"/>
          <w:color w:val="000000"/>
          <w:lang w:eastAsia="bg-BG"/>
        </w:rPr>
        <w:t>/</w:t>
      </w:r>
      <w:r w:rsidRPr="003B18FB">
        <w:rPr>
          <w:rFonts w:eastAsia="Times New Roman" w:cs="Arial"/>
          <w:color w:val="000000"/>
          <w:lang w:val="en-US"/>
        </w:rPr>
        <w:t>l</w:t>
      </w:r>
      <w:r w:rsidRPr="003B18FB">
        <w:rPr>
          <w:rFonts w:eastAsia="Times New Roman" w:cs="Arial"/>
          <w:color w:val="000000"/>
          <w:lang w:eastAsia="bg-BG"/>
        </w:rPr>
        <w:t>.</w:t>
      </w:r>
    </w:p>
    <w:p w14:paraId="4E0BDFE9" w14:textId="77777777" w:rsidR="003B18FB" w:rsidRPr="003B18FB" w:rsidRDefault="003B18FB" w:rsidP="003B18FB">
      <w:pPr>
        <w:spacing w:line="240" w:lineRule="auto"/>
        <w:rPr>
          <w:rFonts w:eastAsia="Times New Roman" w:cs="Arial"/>
          <w:color w:val="000000"/>
          <w:lang w:eastAsia="bg-BG"/>
        </w:rPr>
      </w:pPr>
    </w:p>
    <w:p w14:paraId="549661D5" w14:textId="7630ED48" w:rsidR="003B18FB" w:rsidRPr="003B18FB" w:rsidRDefault="003B18FB" w:rsidP="003B18FB">
      <w:pPr>
        <w:spacing w:line="240" w:lineRule="auto"/>
        <w:rPr>
          <w:rFonts w:eastAsia="Times New Roman" w:cs="Arial"/>
          <w:lang w:eastAsia="bg-BG"/>
        </w:rPr>
      </w:pPr>
      <w:r w:rsidRPr="003B18FB">
        <w:rPr>
          <w:rFonts w:eastAsia="Times New Roman" w:cs="Arial"/>
          <w:color w:val="000000"/>
          <w:lang w:eastAsia="bg-BG"/>
        </w:rPr>
        <w:t>Възстановяването се дефинира като увеличаване на клетъчната линия (линии), при която (които) е наблюдавана хематологична токсичност, с поне половината от разликата от надира и изходния брой кръвни клетки плюс броя при надир (т.е. брой кръвни клетки при възстановяване &gt; брой при надир + (0,5 х [изходен брой - брой при надир]).</w:t>
      </w:r>
    </w:p>
    <w:p w14:paraId="3728D203" w14:textId="77777777" w:rsidR="003B18FB" w:rsidRPr="003B18FB" w:rsidRDefault="003B18FB" w:rsidP="003B18FB">
      <w:pPr>
        <w:spacing w:line="240" w:lineRule="auto"/>
        <w:rPr>
          <w:rFonts w:eastAsia="Times New Roman" w:cs="Arial"/>
          <w:i/>
          <w:iCs/>
          <w:color w:val="000000"/>
          <w:lang w:eastAsia="bg-BG"/>
        </w:rPr>
      </w:pPr>
    </w:p>
    <w:p w14:paraId="28340B83" w14:textId="340D8493" w:rsidR="003B18FB" w:rsidRPr="003B18FB" w:rsidRDefault="003B18FB" w:rsidP="003B18FB">
      <w:pPr>
        <w:spacing w:line="240" w:lineRule="auto"/>
        <w:rPr>
          <w:rFonts w:eastAsia="Times New Roman" w:cs="Arial"/>
          <w:lang w:eastAsia="bg-BG"/>
        </w:rPr>
      </w:pPr>
      <w:r w:rsidRPr="003B18FB">
        <w:rPr>
          <w:rFonts w:eastAsia="Times New Roman" w:cs="Arial"/>
          <w:i/>
          <w:iCs/>
          <w:color w:val="000000"/>
          <w:lang w:eastAsia="bg-BG"/>
        </w:rPr>
        <w:t>Пациенти без намален изходен брой на кръвните клетки (т.е. левкоцити ≥ 3,0 х 10</w:t>
      </w:r>
      <w:r w:rsidRPr="003B18FB">
        <w:rPr>
          <w:rFonts w:eastAsia="Times New Roman" w:cs="Arial"/>
          <w:i/>
          <w:iCs/>
          <w:color w:val="000000"/>
          <w:vertAlign w:val="superscript"/>
          <w:lang w:eastAsia="bg-BG"/>
        </w:rPr>
        <w:t>9</w:t>
      </w:r>
      <w:r w:rsidRPr="003B18FB">
        <w:rPr>
          <w:rFonts w:eastAsia="Times New Roman" w:cs="Arial"/>
          <w:i/>
          <w:iCs/>
          <w:color w:val="000000"/>
          <w:lang w:eastAsia="bg-BG"/>
        </w:rPr>
        <w:t>/</w:t>
      </w:r>
      <w:r w:rsidRPr="003B18FB">
        <w:rPr>
          <w:rFonts w:eastAsia="Times New Roman" w:cs="Arial"/>
          <w:i/>
          <w:iCs/>
          <w:color w:val="000000"/>
          <w:lang w:val="en-US"/>
        </w:rPr>
        <w:t>l</w:t>
      </w:r>
      <w:r w:rsidRPr="003B18FB">
        <w:rPr>
          <w:rFonts w:eastAsia="Times New Roman" w:cs="Arial"/>
          <w:i/>
          <w:iCs/>
          <w:color w:val="000000"/>
          <w:lang w:eastAsia="bg-BG"/>
        </w:rPr>
        <w:t xml:space="preserve"> и АБН </w:t>
      </w:r>
      <w:r w:rsidRPr="003B18FB">
        <w:rPr>
          <w:rFonts w:eastAsia="Times New Roman" w:cs="Arial"/>
          <w:color w:val="000000"/>
          <w:lang w:eastAsia="bg-BG"/>
        </w:rPr>
        <w:t>≥</w:t>
      </w:r>
      <w:r w:rsidRPr="003B18FB">
        <w:rPr>
          <w:rFonts w:eastAsia="Times New Roman" w:cs="Arial"/>
          <w:i/>
          <w:iCs/>
          <w:color w:val="000000"/>
          <w:lang w:eastAsia="bg-BG"/>
        </w:rPr>
        <w:t xml:space="preserve"> 1,5 х </w:t>
      </w:r>
      <w:r w:rsidRPr="003B18FB">
        <w:rPr>
          <w:rFonts w:eastAsia="Times New Roman" w:cs="Arial"/>
          <w:i/>
          <w:iCs/>
          <w:color w:val="000000"/>
          <w:lang w:val="en-US"/>
        </w:rPr>
        <w:t>l</w:t>
      </w:r>
      <w:r w:rsidRPr="00B712C2">
        <w:rPr>
          <w:rFonts w:eastAsia="Times New Roman" w:cs="Arial"/>
          <w:i/>
          <w:iCs/>
          <w:color w:val="000000"/>
          <w:lang w:val="ru-RU"/>
        </w:rPr>
        <w:t>0</w:t>
      </w:r>
      <w:r w:rsidRPr="00B712C2">
        <w:rPr>
          <w:rFonts w:eastAsia="Times New Roman" w:cs="Arial"/>
          <w:i/>
          <w:iCs/>
          <w:color w:val="000000"/>
          <w:vertAlign w:val="superscript"/>
          <w:lang w:val="ru-RU"/>
        </w:rPr>
        <w:t>9</w:t>
      </w:r>
      <w:r w:rsidRPr="00B712C2">
        <w:rPr>
          <w:rFonts w:eastAsia="Times New Roman" w:cs="Arial"/>
          <w:i/>
          <w:iCs/>
          <w:color w:val="000000"/>
          <w:lang w:val="ru-RU"/>
        </w:rPr>
        <w:t>/</w:t>
      </w:r>
      <w:r w:rsidRPr="003B18FB">
        <w:rPr>
          <w:rFonts w:eastAsia="Times New Roman" w:cs="Arial"/>
          <w:i/>
          <w:iCs/>
          <w:color w:val="000000"/>
          <w:lang w:val="en-US"/>
        </w:rPr>
        <w:t>l</w:t>
      </w:r>
      <w:r w:rsidRPr="00B712C2">
        <w:rPr>
          <w:rFonts w:eastAsia="Times New Roman" w:cs="Arial"/>
          <w:i/>
          <w:iCs/>
          <w:color w:val="000000"/>
          <w:lang w:val="ru-RU"/>
        </w:rPr>
        <w:t xml:space="preserve"> </w:t>
      </w:r>
      <w:r w:rsidRPr="003B18FB">
        <w:rPr>
          <w:rFonts w:eastAsia="Times New Roman" w:cs="Arial"/>
          <w:i/>
          <w:iCs/>
          <w:color w:val="000000"/>
          <w:lang w:eastAsia="bg-BG"/>
        </w:rPr>
        <w:t xml:space="preserve">и </w:t>
      </w:r>
      <w:proofErr w:type="spellStart"/>
      <w:r w:rsidRPr="003B18FB">
        <w:rPr>
          <w:rFonts w:eastAsia="Times New Roman" w:cs="Arial"/>
          <w:i/>
          <w:iCs/>
          <w:color w:val="000000"/>
          <w:lang w:eastAsia="bg-BG"/>
        </w:rPr>
        <w:t>тромбоцити</w:t>
      </w:r>
      <w:proofErr w:type="spellEnd"/>
      <w:r w:rsidRPr="003B18FB">
        <w:rPr>
          <w:rFonts w:eastAsia="Times New Roman" w:cs="Arial"/>
          <w:i/>
          <w:iCs/>
          <w:color w:val="000000"/>
          <w:lang w:eastAsia="bg-BG"/>
        </w:rPr>
        <w:t xml:space="preserve"> ≥ 75,0 х 10</w:t>
      </w:r>
      <w:r w:rsidRPr="003B18FB">
        <w:rPr>
          <w:rFonts w:eastAsia="Times New Roman" w:cs="Arial"/>
          <w:i/>
          <w:iCs/>
          <w:color w:val="000000"/>
          <w:vertAlign w:val="superscript"/>
          <w:lang w:eastAsia="bg-BG"/>
        </w:rPr>
        <w:t>9</w:t>
      </w:r>
      <w:r w:rsidRPr="003B18FB">
        <w:rPr>
          <w:rFonts w:eastAsia="Times New Roman" w:cs="Arial"/>
          <w:i/>
          <w:iCs/>
          <w:color w:val="000000"/>
          <w:lang w:eastAsia="bg-BG"/>
        </w:rPr>
        <w:t>/</w:t>
      </w:r>
      <w:r w:rsidRPr="003B18FB">
        <w:rPr>
          <w:rFonts w:eastAsia="Times New Roman" w:cs="Arial"/>
          <w:i/>
          <w:iCs/>
          <w:color w:val="000000"/>
          <w:lang w:val="en-US"/>
        </w:rPr>
        <w:t>l</w:t>
      </w:r>
      <w:r w:rsidRPr="003B18FB">
        <w:rPr>
          <w:rFonts w:eastAsia="Times New Roman" w:cs="Arial"/>
          <w:i/>
          <w:iCs/>
          <w:color w:val="000000"/>
          <w:lang w:eastAsia="bg-BG"/>
        </w:rPr>
        <w:t>) преди първото лечение</w:t>
      </w:r>
    </w:p>
    <w:p w14:paraId="475300EC" w14:textId="581F35F9" w:rsidR="0091385D" w:rsidRPr="003B18FB" w:rsidRDefault="003B18FB" w:rsidP="003B18FB">
      <w:pPr>
        <w:rPr>
          <w:rFonts w:cs="Arial"/>
        </w:rPr>
      </w:pPr>
      <w:r w:rsidRPr="003B18FB">
        <w:rPr>
          <w:rFonts w:eastAsia="Times New Roman" w:cs="Arial"/>
          <w:color w:val="000000"/>
          <w:lang w:eastAsia="bg-BG"/>
        </w:rPr>
        <w:t>Ако след лечението с Азацитидин Сандоз се наблюдава хематологична токсичност, следващият цикъл на терапията трябва да се отложи до възстановяване на броя на тромбоцитите и АБН. Ако се постигне възстановяване в рамките на 14 дни, не се налага коригиране на дозата. Ако обаче не се постигне възстановяване в рамките на 14 дни, дозата трябва да бъде намалена съгласно следващата таблица. След промяна на дозата продължителността на цикъла трябва отново да стане 28 дни.</w:t>
      </w:r>
    </w:p>
    <w:p w14:paraId="6ACAF645" w14:textId="12ECD2FA" w:rsidR="0091385D" w:rsidRDefault="0091385D" w:rsidP="0091385D"/>
    <w:tbl>
      <w:tblPr>
        <w:tblStyle w:val="TableGrid"/>
        <w:tblW w:w="0" w:type="auto"/>
        <w:tblLook w:val="04A0" w:firstRow="1" w:lastRow="0" w:firstColumn="1" w:lastColumn="0" w:noHBand="0" w:noVBand="1"/>
      </w:tblPr>
      <w:tblGrid>
        <w:gridCol w:w="3098"/>
        <w:gridCol w:w="3119"/>
        <w:gridCol w:w="3133"/>
      </w:tblGrid>
      <w:tr w:rsidR="003B18FB" w14:paraId="21ACDF9E" w14:textId="77777777" w:rsidTr="008165FD">
        <w:tc>
          <w:tcPr>
            <w:tcW w:w="6333" w:type="dxa"/>
            <w:gridSpan w:val="2"/>
          </w:tcPr>
          <w:p w14:paraId="566F9153" w14:textId="52E65BAA" w:rsidR="003B18FB" w:rsidRPr="003B18FB" w:rsidRDefault="003B18FB" w:rsidP="0091385D">
            <w:r w:rsidRPr="003B18FB">
              <w:t>Брой при надир</w:t>
            </w:r>
          </w:p>
        </w:tc>
        <w:tc>
          <w:tcPr>
            <w:tcW w:w="3167" w:type="dxa"/>
            <w:vMerge w:val="restart"/>
          </w:tcPr>
          <w:p w14:paraId="112709BA" w14:textId="0C48DF98" w:rsidR="003B18FB" w:rsidRPr="003B18FB" w:rsidRDefault="003B18FB" w:rsidP="0091385D">
            <w:r w:rsidRPr="003B18FB">
              <w:t>% от дозата за следващия цикъл, ако не е постигнато възстановяване* в рамките на 14 дни</w:t>
            </w:r>
          </w:p>
        </w:tc>
      </w:tr>
      <w:tr w:rsidR="003B18FB" w14:paraId="6E528A66" w14:textId="77777777" w:rsidTr="003B18FB">
        <w:tc>
          <w:tcPr>
            <w:tcW w:w="3166" w:type="dxa"/>
          </w:tcPr>
          <w:p w14:paraId="000B68F9" w14:textId="68470EC5" w:rsidR="003B18FB" w:rsidRPr="003B18FB" w:rsidRDefault="003B18FB" w:rsidP="003B18FB">
            <w:r w:rsidRPr="003B18FB">
              <w:t>АБН (х 10</w:t>
            </w:r>
            <w:r w:rsidRPr="003B18FB">
              <w:rPr>
                <w:vertAlign w:val="superscript"/>
              </w:rPr>
              <w:t>9</w:t>
            </w:r>
            <w:r>
              <w:t>/l</w:t>
            </w:r>
            <w:r w:rsidRPr="003B18FB">
              <w:t>)</w:t>
            </w:r>
          </w:p>
        </w:tc>
        <w:tc>
          <w:tcPr>
            <w:tcW w:w="3167" w:type="dxa"/>
          </w:tcPr>
          <w:p w14:paraId="50C6D141" w14:textId="19EBB5EA" w:rsidR="003B18FB" w:rsidRPr="003B18FB" w:rsidRDefault="003B18FB" w:rsidP="003B18FB">
            <w:r w:rsidRPr="003B18FB">
              <w:t>Тромбоцити (х 10</w:t>
            </w:r>
            <w:r w:rsidRPr="003B18FB">
              <w:rPr>
                <w:vertAlign w:val="superscript"/>
              </w:rPr>
              <w:t>9</w:t>
            </w:r>
            <w:r>
              <w:t>/</w:t>
            </w:r>
            <w:r>
              <w:rPr>
                <w:lang w:val="en-US"/>
              </w:rPr>
              <w:t>l</w:t>
            </w:r>
            <w:r w:rsidRPr="003B18FB">
              <w:t>)</w:t>
            </w:r>
          </w:p>
        </w:tc>
        <w:tc>
          <w:tcPr>
            <w:tcW w:w="3167" w:type="dxa"/>
            <w:vMerge/>
          </w:tcPr>
          <w:p w14:paraId="76567850" w14:textId="77777777" w:rsidR="003B18FB" w:rsidRDefault="003B18FB" w:rsidP="003B18FB"/>
        </w:tc>
      </w:tr>
      <w:tr w:rsidR="003B18FB" w14:paraId="4A1674E0" w14:textId="77777777" w:rsidTr="003B18FB">
        <w:tc>
          <w:tcPr>
            <w:tcW w:w="3166" w:type="dxa"/>
          </w:tcPr>
          <w:p w14:paraId="6F945646" w14:textId="3FE1321E" w:rsidR="003B18FB" w:rsidRPr="003B18FB" w:rsidRDefault="00B712C2" w:rsidP="003B18FB">
            <w:r w:rsidRPr="00F221F2">
              <w:rPr>
                <w:rFonts w:eastAsia="Times New Roman" w:cs="Arial"/>
                <w:color w:val="000000"/>
                <w:lang w:eastAsia="bg-BG"/>
              </w:rPr>
              <w:lastRenderedPageBreak/>
              <w:t>≤</w:t>
            </w:r>
            <w:r w:rsidR="003B18FB" w:rsidRPr="003B18FB">
              <w:t>1,0</w:t>
            </w:r>
          </w:p>
        </w:tc>
        <w:tc>
          <w:tcPr>
            <w:tcW w:w="3167" w:type="dxa"/>
          </w:tcPr>
          <w:p w14:paraId="28BEB8F0" w14:textId="394954F7" w:rsidR="003B18FB" w:rsidRPr="003B18FB" w:rsidRDefault="00B712C2" w:rsidP="003B18FB">
            <w:r w:rsidRPr="00F221F2">
              <w:rPr>
                <w:rFonts w:eastAsia="Times New Roman" w:cs="Arial"/>
                <w:color w:val="000000"/>
                <w:lang w:eastAsia="bg-BG"/>
              </w:rPr>
              <w:t>≤</w:t>
            </w:r>
            <w:r w:rsidR="003B18FB" w:rsidRPr="003B18FB">
              <w:t>50,0</w:t>
            </w:r>
          </w:p>
        </w:tc>
        <w:tc>
          <w:tcPr>
            <w:tcW w:w="3167" w:type="dxa"/>
          </w:tcPr>
          <w:p w14:paraId="37C98C41" w14:textId="697B9CC6" w:rsidR="003B18FB" w:rsidRPr="003B18FB" w:rsidRDefault="003B18FB" w:rsidP="003B18FB">
            <w:r w:rsidRPr="003B18FB">
              <w:t>50%</w:t>
            </w:r>
          </w:p>
        </w:tc>
      </w:tr>
      <w:tr w:rsidR="003B18FB" w14:paraId="2B8C386A" w14:textId="77777777" w:rsidTr="003B18FB">
        <w:tc>
          <w:tcPr>
            <w:tcW w:w="3166" w:type="dxa"/>
          </w:tcPr>
          <w:p w14:paraId="5A8E985B" w14:textId="293CC5A4" w:rsidR="003B18FB" w:rsidRPr="003B18FB" w:rsidRDefault="005F07E3" w:rsidP="003B18FB">
            <w:r w:rsidRPr="003B18FB">
              <w:rPr>
                <w:rFonts w:eastAsia="Times New Roman" w:cs="Arial"/>
                <w:color w:val="000000"/>
                <w:lang w:eastAsia="bg-BG"/>
              </w:rPr>
              <w:t>≥</w:t>
            </w:r>
            <w:r w:rsidR="003B18FB" w:rsidRPr="003B18FB">
              <w:t>1,0</w:t>
            </w:r>
          </w:p>
        </w:tc>
        <w:tc>
          <w:tcPr>
            <w:tcW w:w="3167" w:type="dxa"/>
          </w:tcPr>
          <w:p w14:paraId="2B77B2E0" w14:textId="3C9B5C9B" w:rsidR="003B18FB" w:rsidRPr="003B18FB" w:rsidRDefault="005F07E3" w:rsidP="003B18FB">
            <w:r w:rsidRPr="003B18FB">
              <w:rPr>
                <w:rFonts w:eastAsia="Times New Roman" w:cs="Arial"/>
                <w:color w:val="000000"/>
                <w:lang w:eastAsia="bg-BG"/>
              </w:rPr>
              <w:t>≥</w:t>
            </w:r>
            <w:r w:rsidR="003B18FB" w:rsidRPr="003B18FB">
              <w:t>50,0</w:t>
            </w:r>
          </w:p>
        </w:tc>
        <w:tc>
          <w:tcPr>
            <w:tcW w:w="3167" w:type="dxa"/>
          </w:tcPr>
          <w:p w14:paraId="2A1610B8" w14:textId="66D5B7E3" w:rsidR="003B18FB" w:rsidRPr="003B18FB" w:rsidRDefault="003B18FB" w:rsidP="003B18FB">
            <w:r w:rsidRPr="003B18FB">
              <w:t>100%</w:t>
            </w:r>
          </w:p>
        </w:tc>
      </w:tr>
    </w:tbl>
    <w:p w14:paraId="22666B02" w14:textId="4E23F4D2" w:rsidR="003B18FB" w:rsidRDefault="003B18FB" w:rsidP="0091385D"/>
    <w:p w14:paraId="5473EA40" w14:textId="7DEE8631" w:rsidR="003B18FB" w:rsidRDefault="003B18FB" w:rsidP="0091385D"/>
    <w:p w14:paraId="2F9C1075"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*Възстановяване = брой кръвни клетки &gt; брой при надир + (0,5 х [изходен брой - брой при надир])</w:t>
      </w:r>
    </w:p>
    <w:p w14:paraId="05295109" w14:textId="77777777" w:rsidR="003B18FB" w:rsidRPr="003B18FB" w:rsidRDefault="003B18FB" w:rsidP="003B18FB">
      <w:pPr>
        <w:spacing w:line="240" w:lineRule="auto"/>
        <w:rPr>
          <w:rFonts w:eastAsia="Times New Roman" w:cs="Arial"/>
          <w:i/>
          <w:iCs/>
          <w:color w:val="000000"/>
          <w:lang w:eastAsia="bg-BG"/>
        </w:rPr>
      </w:pPr>
    </w:p>
    <w:p w14:paraId="1130125A" w14:textId="55BE6B5A" w:rsidR="003B18FB" w:rsidRPr="003B18FB" w:rsidRDefault="003B18FB" w:rsidP="003B18FB">
      <w:pPr>
        <w:spacing w:line="240" w:lineRule="auto"/>
        <w:rPr>
          <w:rFonts w:eastAsia="Times New Roman" w:cs="Arial"/>
          <w:sz w:val="24"/>
          <w:szCs w:val="24"/>
          <w:lang w:eastAsia="bg-BG"/>
        </w:rPr>
      </w:pPr>
      <w:r w:rsidRPr="003B18FB">
        <w:rPr>
          <w:rFonts w:eastAsia="Times New Roman" w:cs="Arial"/>
          <w:i/>
          <w:iCs/>
          <w:color w:val="000000"/>
          <w:lang w:eastAsia="bg-BG"/>
        </w:rPr>
        <w:t>Пациенти с намален изходен брой на кръвните клетки (т. е. левкоцити &lt; 3,0 х 1</w:t>
      </w:r>
      <w:r w:rsidRPr="00B712C2">
        <w:rPr>
          <w:rFonts w:eastAsia="Times New Roman" w:cs="Arial"/>
          <w:i/>
          <w:iCs/>
          <w:color w:val="000000"/>
          <w:lang w:val="ru-RU"/>
        </w:rPr>
        <w:t>0</w:t>
      </w:r>
      <w:r w:rsidRPr="00B712C2">
        <w:rPr>
          <w:rFonts w:eastAsia="Times New Roman" w:cs="Arial"/>
          <w:i/>
          <w:iCs/>
          <w:color w:val="000000"/>
          <w:vertAlign w:val="superscript"/>
          <w:lang w:val="ru-RU"/>
        </w:rPr>
        <w:t>&lt;</w:t>
      </w:r>
      <w:r w:rsidRPr="003B18FB">
        <w:rPr>
          <w:rFonts w:eastAsia="Times New Roman" w:cs="Arial"/>
          <w:i/>
          <w:iCs/>
          <w:color w:val="000000"/>
          <w:vertAlign w:val="superscript"/>
          <w:lang w:val="en-US"/>
        </w:rPr>
        <w:t>J</w:t>
      </w:r>
      <w:r w:rsidRPr="00B712C2">
        <w:rPr>
          <w:rFonts w:eastAsia="Times New Roman" w:cs="Arial"/>
          <w:i/>
          <w:iCs/>
          <w:color w:val="000000"/>
          <w:lang w:val="ru-RU"/>
        </w:rPr>
        <w:t>/</w:t>
      </w:r>
      <w:r w:rsidRPr="003B18FB">
        <w:rPr>
          <w:rFonts w:eastAsia="Times New Roman" w:cs="Arial"/>
          <w:i/>
          <w:iCs/>
          <w:color w:val="000000"/>
          <w:lang w:val="en-US"/>
        </w:rPr>
        <w:t>l</w:t>
      </w:r>
      <w:r w:rsidRPr="00B712C2">
        <w:rPr>
          <w:rFonts w:eastAsia="Times New Roman" w:cs="Arial"/>
          <w:i/>
          <w:iCs/>
          <w:color w:val="000000"/>
          <w:lang w:val="ru-RU"/>
        </w:rPr>
        <w:t xml:space="preserve"> </w:t>
      </w:r>
      <w:r w:rsidRPr="003B18FB">
        <w:rPr>
          <w:rFonts w:eastAsia="Times New Roman" w:cs="Arial"/>
          <w:i/>
          <w:iCs/>
          <w:color w:val="000000"/>
          <w:lang w:eastAsia="bg-BG"/>
        </w:rPr>
        <w:t xml:space="preserve">или АБН &lt; 1,5 х </w:t>
      </w:r>
      <w:r w:rsidRPr="003B18FB">
        <w:rPr>
          <w:rFonts w:eastAsia="Times New Roman" w:cs="Arial"/>
          <w:i/>
          <w:iCs/>
          <w:color w:val="000000"/>
          <w:lang w:val="en-US"/>
        </w:rPr>
        <w:t>l</w:t>
      </w:r>
      <w:r w:rsidRPr="00B712C2">
        <w:rPr>
          <w:rFonts w:eastAsia="Times New Roman" w:cs="Arial"/>
          <w:i/>
          <w:iCs/>
          <w:color w:val="000000"/>
          <w:lang w:val="ru-RU"/>
        </w:rPr>
        <w:t>(</w:t>
      </w:r>
      <w:r w:rsidRPr="003B18FB">
        <w:rPr>
          <w:rFonts w:eastAsia="Times New Roman" w:cs="Arial"/>
          <w:i/>
          <w:iCs/>
          <w:color w:val="000000"/>
          <w:lang w:val="en-US"/>
        </w:rPr>
        <w:t>f</w:t>
      </w:r>
      <w:r w:rsidRPr="00B712C2">
        <w:rPr>
          <w:rFonts w:eastAsia="Times New Roman" w:cs="Arial"/>
          <w:i/>
          <w:iCs/>
          <w:color w:val="000000"/>
          <w:lang w:val="ru-RU"/>
        </w:rPr>
        <w:t>/</w:t>
      </w:r>
      <w:r w:rsidRPr="003B18FB">
        <w:rPr>
          <w:rFonts w:eastAsia="Times New Roman" w:cs="Arial"/>
          <w:i/>
          <w:iCs/>
          <w:color w:val="000000"/>
          <w:lang w:val="en-US"/>
        </w:rPr>
        <w:t>l</w:t>
      </w:r>
      <w:r w:rsidRPr="00B712C2">
        <w:rPr>
          <w:rFonts w:eastAsia="Times New Roman" w:cs="Arial"/>
          <w:i/>
          <w:iCs/>
          <w:color w:val="000000"/>
          <w:lang w:val="ru-RU"/>
        </w:rPr>
        <w:t xml:space="preserve"> </w:t>
      </w:r>
      <w:r w:rsidRPr="003B18FB">
        <w:rPr>
          <w:rFonts w:eastAsia="Times New Roman" w:cs="Arial"/>
          <w:i/>
          <w:iCs/>
          <w:color w:val="000000"/>
          <w:lang w:eastAsia="bg-BG"/>
        </w:rPr>
        <w:t xml:space="preserve">или </w:t>
      </w:r>
      <w:proofErr w:type="spellStart"/>
      <w:r w:rsidRPr="003B18FB">
        <w:rPr>
          <w:rFonts w:eastAsia="Times New Roman" w:cs="Arial"/>
          <w:i/>
          <w:iCs/>
          <w:color w:val="000000"/>
          <w:lang w:eastAsia="bg-BG"/>
        </w:rPr>
        <w:t>тромбоцити</w:t>
      </w:r>
      <w:proofErr w:type="spellEnd"/>
      <w:r w:rsidRPr="003B18FB">
        <w:rPr>
          <w:rFonts w:eastAsia="Times New Roman" w:cs="Arial"/>
          <w:i/>
          <w:iCs/>
          <w:color w:val="000000"/>
          <w:lang w:eastAsia="bg-BG"/>
        </w:rPr>
        <w:t xml:space="preserve"> &lt; 75,0 х 10</w:t>
      </w:r>
      <w:r w:rsidRPr="003B18FB">
        <w:rPr>
          <w:rFonts w:eastAsia="Times New Roman" w:cs="Arial"/>
          <w:i/>
          <w:iCs/>
          <w:color w:val="000000"/>
          <w:vertAlign w:val="superscript"/>
          <w:lang w:eastAsia="bg-BG"/>
        </w:rPr>
        <w:t>9</w:t>
      </w:r>
      <w:r w:rsidRPr="003B18FB">
        <w:rPr>
          <w:rFonts w:eastAsia="Times New Roman" w:cs="Arial"/>
          <w:i/>
          <w:iCs/>
          <w:color w:val="000000"/>
          <w:lang w:eastAsia="bg-BG"/>
        </w:rPr>
        <w:t>Д) преди първото лечение</w:t>
      </w:r>
    </w:p>
    <w:p w14:paraId="7C3CC2DC"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Ако след лечението с Азацитидин Сандоз спадът на броя на левкоцитите или АБН, или тромбоцитите в сравнение с преди лечението е ≤</w:t>
      </w:r>
      <w:r w:rsidRPr="00B712C2">
        <w:rPr>
          <w:rFonts w:eastAsia="Times New Roman" w:cs="Arial"/>
          <w:color w:val="000000"/>
          <w:lang w:val="ru-RU"/>
        </w:rPr>
        <w:t xml:space="preserve"> </w:t>
      </w:r>
      <w:r w:rsidRPr="003B18FB">
        <w:rPr>
          <w:rFonts w:eastAsia="Times New Roman" w:cs="Arial"/>
          <w:color w:val="000000"/>
          <w:lang w:eastAsia="bg-BG"/>
        </w:rPr>
        <w:t>50 %, или по-голям от 50 %, но с подобрение на показателите за диференциране на която и да е клетъчна линия, следващият цикъл не трябва да се отлага и дозата не трябва да се коригира.</w:t>
      </w:r>
    </w:p>
    <w:p w14:paraId="35AD55B9" w14:textId="77777777" w:rsidR="003B18FB" w:rsidRPr="003B18FB" w:rsidRDefault="003B18FB" w:rsidP="003B18FB">
      <w:pPr>
        <w:rPr>
          <w:rFonts w:eastAsia="Times New Roman" w:cs="Arial"/>
          <w:color w:val="000000"/>
          <w:lang w:eastAsia="bg-BG"/>
        </w:rPr>
      </w:pPr>
    </w:p>
    <w:p w14:paraId="429F0A0D" w14:textId="4B60306D" w:rsidR="003B18FB" w:rsidRDefault="003B18FB" w:rsidP="003B18FB">
      <w:r w:rsidRPr="003B18FB">
        <w:rPr>
          <w:rFonts w:eastAsia="Times New Roman" w:cs="Arial"/>
          <w:color w:val="000000"/>
          <w:lang w:eastAsia="bg-BG"/>
        </w:rPr>
        <w:t>Ако спадът на броя на левкоцитите или АБН, или тромбоцитите е по-голям от 50 %, в</w:t>
      </w:r>
      <w:r w:rsidRPr="00B712C2">
        <w:rPr>
          <w:rFonts w:eastAsia="Times New Roman" w:cs="Arial"/>
          <w:color w:val="000000"/>
          <w:lang w:val="ru-RU" w:eastAsia="bg-BG"/>
        </w:rPr>
        <w:t xml:space="preserve"> </w:t>
      </w:r>
      <w:r>
        <w:t>сравнение с преди лечението и без подобрение на диференцирането на клетъчните линии, следващият цикъл на терапия с Азацитидин Сандоз трябва да се отложи до възстановяване на броя на тромбоцитите и АБН. Ако се постигне възстановяване в рамките на 14 дни, не се налага коригиране на дозата. Ако обаче не се постигне възстановяване в рамките на 14 дни, трябва да се определи клетъчното съдържание на костния мозък. Ако клетъчното съдържание на костния мозък е &gt; 50 %, дозата не трябва да се коригира. Ако клетъчното съдържание на костния мозък е ≤ 50 %, лечението трябва да се отложи и дозата да се намали съгласно следващата таблица:</w:t>
      </w:r>
    </w:p>
    <w:p w14:paraId="442EAD26" w14:textId="4DB565B1" w:rsidR="003B18FB" w:rsidRDefault="003B18FB" w:rsidP="003B18FB"/>
    <w:tbl>
      <w:tblPr>
        <w:tblStyle w:val="TableGrid"/>
        <w:tblW w:w="0" w:type="auto"/>
        <w:tblLook w:val="04A0" w:firstRow="1" w:lastRow="0" w:firstColumn="1" w:lastColumn="0" w:noHBand="0" w:noVBand="1"/>
      </w:tblPr>
      <w:tblGrid>
        <w:gridCol w:w="3104"/>
        <w:gridCol w:w="3123"/>
        <w:gridCol w:w="3123"/>
      </w:tblGrid>
      <w:tr w:rsidR="003B18FB" w14:paraId="7457BC12" w14:textId="77777777" w:rsidTr="008165FD">
        <w:tc>
          <w:tcPr>
            <w:tcW w:w="3166" w:type="dxa"/>
          </w:tcPr>
          <w:p w14:paraId="22BCFB14" w14:textId="1BE5142F" w:rsidR="003B18FB" w:rsidRPr="00B712C2" w:rsidRDefault="003B18FB" w:rsidP="003B18FB">
            <w:pPr>
              <w:rPr>
                <w:rFonts w:cs="Arial"/>
                <w:lang w:val="ru-RU"/>
              </w:rPr>
            </w:pPr>
            <w:r w:rsidRPr="003B18FB">
              <w:t>Клетъчно съдържание на костния мозък</w:t>
            </w:r>
          </w:p>
        </w:tc>
        <w:tc>
          <w:tcPr>
            <w:tcW w:w="6334" w:type="dxa"/>
            <w:gridSpan w:val="2"/>
          </w:tcPr>
          <w:p w14:paraId="5682D5FA" w14:textId="3E43FDE8" w:rsidR="003B18FB" w:rsidRPr="00B712C2" w:rsidRDefault="003B18FB" w:rsidP="003B18FB">
            <w:pPr>
              <w:rPr>
                <w:rFonts w:cs="Arial"/>
                <w:lang w:val="ru-RU"/>
              </w:rPr>
            </w:pPr>
            <w:r w:rsidRPr="003B18FB">
              <w:t>% от дозата за следващия цикъл, ако не е постигнато възстановяване в рамките на 14 дни</w:t>
            </w:r>
          </w:p>
        </w:tc>
      </w:tr>
      <w:tr w:rsidR="003B18FB" w14:paraId="4DA2B2DA" w14:textId="77777777" w:rsidTr="003B18FB">
        <w:tc>
          <w:tcPr>
            <w:tcW w:w="3166" w:type="dxa"/>
          </w:tcPr>
          <w:p w14:paraId="64D70017" w14:textId="77777777" w:rsidR="003B18FB" w:rsidRPr="00B712C2" w:rsidRDefault="003B18FB" w:rsidP="003B18FB">
            <w:pPr>
              <w:rPr>
                <w:rFonts w:cs="Arial"/>
                <w:lang w:val="ru-RU"/>
              </w:rPr>
            </w:pPr>
          </w:p>
        </w:tc>
        <w:tc>
          <w:tcPr>
            <w:tcW w:w="3167" w:type="dxa"/>
          </w:tcPr>
          <w:p w14:paraId="272B4E72" w14:textId="2FA08510" w:rsidR="003B18FB" w:rsidRPr="003B18FB" w:rsidRDefault="003B18FB" w:rsidP="003B18FB">
            <w:pPr>
              <w:rPr>
                <w:rFonts w:cs="Arial"/>
                <w:lang w:val="en-US"/>
              </w:rPr>
            </w:pPr>
            <w:r w:rsidRPr="003B18FB">
              <w:t>Възстановяване* ≤21 дни</w:t>
            </w:r>
          </w:p>
        </w:tc>
        <w:tc>
          <w:tcPr>
            <w:tcW w:w="3167" w:type="dxa"/>
          </w:tcPr>
          <w:p w14:paraId="436D27F5" w14:textId="3C1D8ACF" w:rsidR="003B18FB" w:rsidRPr="003B18FB" w:rsidRDefault="003B18FB" w:rsidP="003B18FB">
            <w:pPr>
              <w:rPr>
                <w:rFonts w:cs="Arial"/>
                <w:lang w:val="en-US"/>
              </w:rPr>
            </w:pPr>
            <w:r w:rsidRPr="003B18FB">
              <w:t>Възстановяване* &gt;21 дни</w:t>
            </w:r>
          </w:p>
        </w:tc>
      </w:tr>
      <w:tr w:rsidR="003B18FB" w14:paraId="07617DA3" w14:textId="77777777" w:rsidTr="003B18FB">
        <w:tc>
          <w:tcPr>
            <w:tcW w:w="3166" w:type="dxa"/>
          </w:tcPr>
          <w:p w14:paraId="75B42EA8" w14:textId="5462F26D" w:rsidR="003B18FB" w:rsidRPr="003B18FB" w:rsidRDefault="003B18FB" w:rsidP="003B18FB">
            <w:pPr>
              <w:rPr>
                <w:rFonts w:cs="Arial"/>
                <w:lang w:val="en-US"/>
              </w:rPr>
            </w:pPr>
            <w:r w:rsidRPr="003B18FB">
              <w:t>15-50%</w:t>
            </w:r>
          </w:p>
        </w:tc>
        <w:tc>
          <w:tcPr>
            <w:tcW w:w="3167" w:type="dxa"/>
          </w:tcPr>
          <w:p w14:paraId="1C6EDE97" w14:textId="72FB2785" w:rsidR="003B18FB" w:rsidRPr="003B18FB" w:rsidRDefault="003B18FB" w:rsidP="003B18FB">
            <w:pPr>
              <w:rPr>
                <w:rFonts w:cs="Arial"/>
                <w:lang w:val="en-US"/>
              </w:rPr>
            </w:pPr>
            <w:r w:rsidRPr="003B18FB">
              <w:t>100%</w:t>
            </w:r>
          </w:p>
        </w:tc>
        <w:tc>
          <w:tcPr>
            <w:tcW w:w="3167" w:type="dxa"/>
          </w:tcPr>
          <w:p w14:paraId="645E0E8F" w14:textId="2828170C" w:rsidR="003B18FB" w:rsidRPr="003B18FB" w:rsidRDefault="003B18FB" w:rsidP="003B18FB">
            <w:pPr>
              <w:rPr>
                <w:rFonts w:cs="Arial"/>
                <w:lang w:val="en-US"/>
              </w:rPr>
            </w:pPr>
            <w:r w:rsidRPr="003B18FB">
              <w:t>50%</w:t>
            </w:r>
          </w:p>
        </w:tc>
      </w:tr>
      <w:tr w:rsidR="003B18FB" w14:paraId="62D3B270" w14:textId="77777777" w:rsidTr="003B18FB">
        <w:tc>
          <w:tcPr>
            <w:tcW w:w="3166" w:type="dxa"/>
          </w:tcPr>
          <w:p w14:paraId="421D8917" w14:textId="2508F968" w:rsidR="003B18FB" w:rsidRPr="003B18FB" w:rsidRDefault="003B18FB" w:rsidP="003B18FB">
            <w:pPr>
              <w:rPr>
                <w:rFonts w:cs="Arial"/>
                <w:lang w:val="en-US"/>
              </w:rPr>
            </w:pPr>
            <w:r w:rsidRPr="003B18FB">
              <w:t>&lt;15%</w:t>
            </w:r>
          </w:p>
        </w:tc>
        <w:tc>
          <w:tcPr>
            <w:tcW w:w="3167" w:type="dxa"/>
          </w:tcPr>
          <w:p w14:paraId="02211E03" w14:textId="6454E0A6" w:rsidR="003B18FB" w:rsidRPr="003B18FB" w:rsidRDefault="003B18FB" w:rsidP="003B18FB">
            <w:pPr>
              <w:rPr>
                <w:rFonts w:cs="Arial"/>
                <w:lang w:val="en-US"/>
              </w:rPr>
            </w:pPr>
            <w:r w:rsidRPr="003B18FB">
              <w:t>100%</w:t>
            </w:r>
          </w:p>
        </w:tc>
        <w:tc>
          <w:tcPr>
            <w:tcW w:w="3167" w:type="dxa"/>
          </w:tcPr>
          <w:p w14:paraId="4B8906B9" w14:textId="77777777" w:rsidR="003B18FB" w:rsidRPr="003B18FB" w:rsidRDefault="003B18FB" w:rsidP="003B18FB">
            <w:pPr>
              <w:rPr>
                <w:rFonts w:cs="Arial"/>
                <w:lang w:val="en-US"/>
              </w:rPr>
            </w:pPr>
          </w:p>
        </w:tc>
      </w:tr>
    </w:tbl>
    <w:p w14:paraId="430B1DCE" w14:textId="193B03C9" w:rsidR="003B18FB" w:rsidRDefault="003B18FB" w:rsidP="003B18FB">
      <w:pPr>
        <w:rPr>
          <w:rFonts w:cs="Arial"/>
          <w:lang w:val="en-US"/>
        </w:rPr>
      </w:pPr>
    </w:p>
    <w:p w14:paraId="680DCEFE"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*Възстановяване - брой кръвни клетки ≥ брой при надир + (0,5 х [изходен брой - брой при надир])</w:t>
      </w:r>
    </w:p>
    <w:p w14:paraId="34BE0E4E" w14:textId="77777777" w:rsidR="003B18FB" w:rsidRPr="003B18FB" w:rsidRDefault="003B18FB" w:rsidP="003B18FB">
      <w:pPr>
        <w:spacing w:line="240" w:lineRule="auto"/>
        <w:rPr>
          <w:rFonts w:eastAsia="Times New Roman" w:cs="Arial"/>
          <w:color w:val="000000"/>
          <w:lang w:eastAsia="bg-BG"/>
        </w:rPr>
      </w:pPr>
    </w:p>
    <w:p w14:paraId="74CADC95" w14:textId="4D7FA3DC"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След промяна на дозата продължителността на цикъла трябва отново да стане 28 дни.</w:t>
      </w:r>
    </w:p>
    <w:p w14:paraId="30A1E29E" w14:textId="77777777" w:rsidR="003B18FB" w:rsidRPr="003B18FB" w:rsidRDefault="003B18FB" w:rsidP="003B18FB">
      <w:pPr>
        <w:spacing w:line="240" w:lineRule="auto"/>
        <w:rPr>
          <w:rFonts w:eastAsia="Times New Roman" w:cs="Arial"/>
          <w:i/>
          <w:iCs/>
          <w:color w:val="000000"/>
          <w:u w:val="single"/>
          <w:lang w:eastAsia="bg-BG"/>
        </w:rPr>
      </w:pPr>
    </w:p>
    <w:p w14:paraId="257D3911" w14:textId="53B3B7E0" w:rsidR="003B18FB" w:rsidRPr="003B18FB" w:rsidRDefault="003B18FB" w:rsidP="003B18FB">
      <w:pPr>
        <w:spacing w:line="240" w:lineRule="auto"/>
        <w:rPr>
          <w:rFonts w:eastAsia="Times New Roman" w:cs="Arial"/>
          <w:sz w:val="24"/>
          <w:szCs w:val="24"/>
          <w:lang w:eastAsia="bg-BG"/>
        </w:rPr>
      </w:pPr>
      <w:r w:rsidRPr="003B18FB">
        <w:rPr>
          <w:rFonts w:eastAsia="Times New Roman" w:cs="Arial"/>
          <w:i/>
          <w:iCs/>
          <w:color w:val="000000"/>
          <w:u w:val="single"/>
          <w:lang w:eastAsia="bg-BG"/>
        </w:rPr>
        <w:t>Специални популации</w:t>
      </w:r>
    </w:p>
    <w:p w14:paraId="5002FB3F"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i/>
          <w:iCs/>
          <w:color w:val="000000"/>
          <w:lang w:eastAsia="bg-BG"/>
        </w:rPr>
        <w:t>Пациенти в старческа възраст</w:t>
      </w:r>
    </w:p>
    <w:p w14:paraId="1D6D70F6"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Не се препоръчват специфични корекции на дозата при пациенти в старческа възраст. Тъй като вероятността за наличие на намалена бъбречна функция е по-висока при пациенти в старческа възраст, може да е от полза да се следи бъбречната функция.</w:t>
      </w:r>
    </w:p>
    <w:p w14:paraId="3747AC8F" w14:textId="77777777" w:rsidR="003B18FB" w:rsidRPr="003B18FB" w:rsidRDefault="003B18FB" w:rsidP="003B18FB">
      <w:pPr>
        <w:spacing w:line="240" w:lineRule="auto"/>
        <w:rPr>
          <w:rFonts w:eastAsia="Times New Roman" w:cs="Arial"/>
          <w:i/>
          <w:iCs/>
          <w:color w:val="000000"/>
          <w:lang w:eastAsia="bg-BG"/>
        </w:rPr>
      </w:pPr>
    </w:p>
    <w:p w14:paraId="0A935560" w14:textId="49BB736B" w:rsidR="003B18FB" w:rsidRPr="003B18FB" w:rsidRDefault="003B18FB" w:rsidP="003B18FB">
      <w:pPr>
        <w:spacing w:line="240" w:lineRule="auto"/>
        <w:rPr>
          <w:rFonts w:eastAsia="Times New Roman" w:cs="Arial"/>
          <w:sz w:val="24"/>
          <w:szCs w:val="24"/>
          <w:lang w:eastAsia="bg-BG"/>
        </w:rPr>
      </w:pPr>
      <w:r w:rsidRPr="003B18FB">
        <w:rPr>
          <w:rFonts w:eastAsia="Times New Roman" w:cs="Arial"/>
          <w:i/>
          <w:iCs/>
          <w:color w:val="000000"/>
          <w:lang w:eastAsia="bg-BG"/>
        </w:rPr>
        <w:t>Пациенти е бъбречно увреждане</w:t>
      </w:r>
    </w:p>
    <w:p w14:paraId="513F0CB4"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 xml:space="preserve">Азацитидин може да се прилага на пациенти с бъбречно увреждане без първоначално коригиране на дозата (вж. точка 5.2). Ако настъпи необясним спад на нивото на серумния бикарбонат под 20 </w:t>
      </w:r>
      <w:r w:rsidRPr="003B18FB">
        <w:rPr>
          <w:rFonts w:eastAsia="Times New Roman" w:cs="Arial"/>
          <w:color w:val="000000"/>
          <w:lang w:val="en-US"/>
        </w:rPr>
        <w:t>mmol</w:t>
      </w:r>
      <w:r w:rsidRPr="00B712C2">
        <w:rPr>
          <w:rFonts w:eastAsia="Times New Roman" w:cs="Arial"/>
          <w:color w:val="000000"/>
          <w:lang w:val="ru-RU"/>
        </w:rPr>
        <w:t xml:space="preserve">/1, </w:t>
      </w:r>
      <w:r w:rsidRPr="003B18FB">
        <w:rPr>
          <w:rFonts w:eastAsia="Times New Roman" w:cs="Arial"/>
          <w:color w:val="000000"/>
          <w:lang w:eastAsia="bg-BG"/>
        </w:rPr>
        <w:t xml:space="preserve">дозата трябва да бъде намалена с 50 % при следващия цикъл. Ако настъпят необясними повишавания на серумния креатинин или урейния азот в кръвта (УАК) до &gt; 2-пъти над изходните стойности и над горната граница на нормата, следващият цикъл трябва да бъде отложен до връщането им до нормалните или </w:t>
      </w:r>
      <w:r w:rsidRPr="003B18FB">
        <w:rPr>
          <w:rFonts w:eastAsia="Times New Roman" w:cs="Arial"/>
          <w:color w:val="000000"/>
          <w:lang w:eastAsia="bg-BG"/>
        </w:rPr>
        <w:lastRenderedPageBreak/>
        <w:t>изходните им нива и дозата трябва да бъда намалена с 50 % при следващия цикъл на лечение (вж. точка 4.4).</w:t>
      </w:r>
    </w:p>
    <w:p w14:paraId="6CAD26EE" w14:textId="77777777" w:rsidR="003B18FB" w:rsidRPr="003B18FB" w:rsidRDefault="003B18FB" w:rsidP="003B18FB">
      <w:pPr>
        <w:spacing w:line="240" w:lineRule="auto"/>
        <w:rPr>
          <w:rFonts w:eastAsia="Times New Roman" w:cs="Arial"/>
          <w:i/>
          <w:iCs/>
          <w:color w:val="000000"/>
          <w:lang w:eastAsia="bg-BG"/>
        </w:rPr>
      </w:pPr>
    </w:p>
    <w:p w14:paraId="7AD74482" w14:textId="66733460" w:rsidR="003B18FB" w:rsidRPr="003B18FB" w:rsidRDefault="003B18FB" w:rsidP="003B18FB">
      <w:pPr>
        <w:spacing w:line="240" w:lineRule="auto"/>
        <w:rPr>
          <w:rFonts w:eastAsia="Times New Roman" w:cs="Arial"/>
          <w:sz w:val="24"/>
          <w:szCs w:val="24"/>
          <w:lang w:eastAsia="bg-BG"/>
        </w:rPr>
      </w:pPr>
      <w:r w:rsidRPr="003B18FB">
        <w:rPr>
          <w:rFonts w:eastAsia="Times New Roman" w:cs="Arial"/>
          <w:i/>
          <w:iCs/>
          <w:color w:val="000000"/>
          <w:lang w:eastAsia="bg-BG"/>
        </w:rPr>
        <w:t>Пациенти с чернодробно увреждане</w:t>
      </w:r>
    </w:p>
    <w:p w14:paraId="2F6C1761"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Не са провеждани официални проучвания при пациенти с чернодробно увреждане (вж. точка 4.4). Пациентите с тежко чернодробно органно увреждане трябва да бъдат внимателно следени за нежелани реакции, Не се препоръчват специфични промени на началната доза при пациенти с чернодробно увреждане преди започване на лечението; следващите промени на дозата трябва да се базират на хематологичните лабораторни показатели. Азацитидин Сандоз е противопоказан при пациенти с напреднали злокачествени тумори на черния дроб (вж. точки 4.3 и4.4).</w:t>
      </w:r>
    </w:p>
    <w:p w14:paraId="3BDA9E38" w14:textId="77777777" w:rsidR="003B18FB" w:rsidRPr="003B18FB" w:rsidRDefault="003B18FB" w:rsidP="003B18FB">
      <w:pPr>
        <w:spacing w:line="240" w:lineRule="auto"/>
        <w:rPr>
          <w:rFonts w:eastAsia="Times New Roman" w:cs="Arial"/>
          <w:i/>
          <w:iCs/>
          <w:color w:val="000000"/>
          <w:lang w:eastAsia="bg-BG"/>
        </w:rPr>
      </w:pPr>
    </w:p>
    <w:p w14:paraId="60C9AA4B" w14:textId="27246F9D" w:rsidR="003B18FB" w:rsidRPr="003B18FB" w:rsidRDefault="003B18FB" w:rsidP="003B18FB">
      <w:pPr>
        <w:spacing w:line="240" w:lineRule="auto"/>
        <w:rPr>
          <w:rFonts w:eastAsia="Times New Roman" w:cs="Arial"/>
          <w:sz w:val="24"/>
          <w:szCs w:val="24"/>
          <w:lang w:eastAsia="bg-BG"/>
        </w:rPr>
      </w:pPr>
      <w:r w:rsidRPr="003B18FB">
        <w:rPr>
          <w:rFonts w:eastAsia="Times New Roman" w:cs="Arial"/>
          <w:i/>
          <w:iCs/>
          <w:color w:val="000000"/>
          <w:lang w:eastAsia="bg-BG"/>
        </w:rPr>
        <w:t>Педиатрична популация</w:t>
      </w:r>
    </w:p>
    <w:p w14:paraId="3396F915"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Безопасността и ефикасността на азацитидин при деца на възраст 0-17 години все още не са установени. Липсват данни.</w:t>
      </w:r>
    </w:p>
    <w:p w14:paraId="61FA9D58" w14:textId="77777777" w:rsidR="003B18FB" w:rsidRPr="003B18FB" w:rsidRDefault="003B18FB" w:rsidP="003B18FB">
      <w:pPr>
        <w:spacing w:line="240" w:lineRule="auto"/>
        <w:rPr>
          <w:rFonts w:eastAsia="Times New Roman" w:cs="Arial"/>
          <w:color w:val="000000"/>
          <w:u w:val="single"/>
          <w:lang w:eastAsia="bg-BG"/>
        </w:rPr>
      </w:pPr>
    </w:p>
    <w:p w14:paraId="41DE5B71" w14:textId="4CF4AF6C" w:rsidR="003B18FB" w:rsidRPr="003B18FB" w:rsidRDefault="003B18FB" w:rsidP="003B18FB">
      <w:pPr>
        <w:pStyle w:val="Heading3"/>
        <w:rPr>
          <w:rFonts w:eastAsia="Times New Roman"/>
          <w:u w:val="single"/>
          <w:lang w:eastAsia="bg-BG"/>
        </w:rPr>
      </w:pPr>
      <w:r w:rsidRPr="003B18FB">
        <w:rPr>
          <w:rFonts w:eastAsia="Times New Roman"/>
          <w:u w:val="single"/>
          <w:lang w:eastAsia="bg-BG"/>
        </w:rPr>
        <w:t>Начин на приложение</w:t>
      </w:r>
    </w:p>
    <w:p w14:paraId="388D3D94" w14:textId="77777777" w:rsidR="003B18FB" w:rsidRPr="003B18FB" w:rsidRDefault="003B18FB" w:rsidP="003B18FB">
      <w:pPr>
        <w:rPr>
          <w:rFonts w:eastAsia="Times New Roman" w:cs="Arial"/>
          <w:sz w:val="24"/>
          <w:szCs w:val="24"/>
          <w:lang w:eastAsia="bg-BG"/>
        </w:rPr>
      </w:pPr>
      <w:r w:rsidRPr="003B18FB">
        <w:rPr>
          <w:rFonts w:eastAsia="Times New Roman" w:cs="Arial"/>
          <w:color w:val="000000"/>
          <w:lang w:eastAsia="bg-BG"/>
        </w:rPr>
        <w:t>След разтваряне Азацитидин Сандоз трябва да се инжектира подкожно в мишницата, бедрото или корема. Местата на инжектиране трябва да се редуват. Следващите инжекции трябва да</w:t>
      </w:r>
      <w:r w:rsidRPr="00B712C2">
        <w:rPr>
          <w:rFonts w:eastAsia="Times New Roman" w:cs="Arial"/>
          <w:color w:val="000000"/>
          <w:lang w:val="ru-RU" w:eastAsia="bg-BG"/>
        </w:rPr>
        <w:t xml:space="preserve"> </w:t>
      </w:r>
      <w:r w:rsidRPr="003B18FB">
        <w:rPr>
          <w:rFonts w:eastAsia="Times New Roman" w:cs="Arial"/>
          <w:color w:val="000000"/>
          <w:lang w:eastAsia="bg-BG"/>
        </w:rPr>
        <w:t xml:space="preserve">се правят на поне 2,5 </w:t>
      </w:r>
      <w:r w:rsidRPr="003B18FB">
        <w:rPr>
          <w:rFonts w:eastAsia="Times New Roman" w:cs="Arial"/>
          <w:color w:val="000000"/>
          <w:lang w:val="en-US"/>
        </w:rPr>
        <w:t>cm</w:t>
      </w:r>
      <w:r w:rsidRPr="00B712C2">
        <w:rPr>
          <w:rFonts w:eastAsia="Times New Roman" w:cs="Arial"/>
          <w:color w:val="000000"/>
          <w:lang w:val="ru-RU"/>
        </w:rPr>
        <w:t xml:space="preserve"> </w:t>
      </w:r>
      <w:r w:rsidRPr="003B18FB">
        <w:rPr>
          <w:rFonts w:eastAsia="Times New Roman" w:cs="Arial"/>
          <w:color w:val="000000"/>
          <w:lang w:eastAsia="bg-BG"/>
        </w:rPr>
        <w:t xml:space="preserve">от мястото на поставяне на предишните и никога в области, които са чувствителни, с </w:t>
      </w:r>
      <w:proofErr w:type="spellStart"/>
      <w:r w:rsidRPr="003B18FB">
        <w:rPr>
          <w:rFonts w:eastAsia="Times New Roman" w:cs="Arial"/>
          <w:color w:val="000000"/>
          <w:lang w:eastAsia="bg-BG"/>
        </w:rPr>
        <w:t>кръвонасядания</w:t>
      </w:r>
      <w:proofErr w:type="spellEnd"/>
      <w:r w:rsidRPr="003B18FB">
        <w:rPr>
          <w:rFonts w:eastAsia="Times New Roman" w:cs="Arial"/>
          <w:color w:val="000000"/>
          <w:lang w:eastAsia="bg-BG"/>
        </w:rPr>
        <w:t>, зачервени или уплътнени.</w:t>
      </w:r>
    </w:p>
    <w:p w14:paraId="56368BF3" w14:textId="77777777" w:rsidR="003B18FB" w:rsidRPr="003B18FB" w:rsidRDefault="003B18FB" w:rsidP="003B18FB">
      <w:pPr>
        <w:rPr>
          <w:rFonts w:eastAsia="Times New Roman" w:cs="Arial"/>
          <w:color w:val="000000"/>
          <w:lang w:eastAsia="bg-BG"/>
        </w:rPr>
      </w:pPr>
    </w:p>
    <w:p w14:paraId="080CF5F0" w14:textId="5AD27099" w:rsidR="003B18FB" w:rsidRPr="00B712C2" w:rsidRDefault="003B18FB" w:rsidP="003B18FB">
      <w:pPr>
        <w:rPr>
          <w:rFonts w:cs="Arial"/>
          <w:lang w:val="ru-RU"/>
        </w:rPr>
      </w:pPr>
      <w:r w:rsidRPr="003B18FB">
        <w:rPr>
          <w:rFonts w:eastAsia="Times New Roman" w:cs="Arial"/>
          <w:color w:val="000000"/>
          <w:lang w:eastAsia="bg-BG"/>
        </w:rPr>
        <w:t>След разтваряне суспензията не трябва да се филтрира. За указания относно реконституирането на лекарствения продукт преди приложение вижте точка 6.6.</w:t>
      </w:r>
    </w:p>
    <w:p w14:paraId="4EBB36A0" w14:textId="77777777" w:rsidR="003B18FB" w:rsidRPr="0091385D" w:rsidRDefault="003B18FB"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783F0DDB"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50065C49" w14:textId="77777777" w:rsidR="003B18FB" w:rsidRPr="003B18FB" w:rsidRDefault="003B18FB" w:rsidP="003B18FB">
      <w:pPr>
        <w:spacing w:line="240" w:lineRule="auto"/>
        <w:rPr>
          <w:rFonts w:eastAsia="Times New Roman" w:cs="Arial"/>
          <w:color w:val="000000"/>
          <w:lang w:eastAsia="bg-BG"/>
        </w:rPr>
      </w:pPr>
    </w:p>
    <w:p w14:paraId="2603897E" w14:textId="5353C701"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Напреднали злокачествени тумори на черния дроб (вж. точка 4.4).</w:t>
      </w:r>
    </w:p>
    <w:p w14:paraId="26CD4BC6" w14:textId="77777777" w:rsidR="003B18FB" w:rsidRPr="003B18FB" w:rsidRDefault="003B18FB" w:rsidP="003B18FB">
      <w:pPr>
        <w:rPr>
          <w:rFonts w:eastAsia="Times New Roman" w:cs="Arial"/>
          <w:color w:val="000000"/>
          <w:lang w:eastAsia="bg-BG"/>
        </w:rPr>
      </w:pPr>
    </w:p>
    <w:p w14:paraId="2309EAB0" w14:textId="1F0F3E14" w:rsidR="0091385D" w:rsidRPr="003B18FB" w:rsidRDefault="003B18FB" w:rsidP="003B18FB">
      <w:pPr>
        <w:rPr>
          <w:rFonts w:cs="Arial"/>
        </w:rPr>
      </w:pPr>
      <w:r w:rsidRPr="003B18FB">
        <w:rPr>
          <w:rFonts w:eastAsia="Times New Roman" w:cs="Arial"/>
          <w:color w:val="000000"/>
          <w:lang w:eastAsia="bg-BG"/>
        </w:rPr>
        <w:t>Кърмене (вж. точка 4.6).</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576B2CE9"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u w:val="single"/>
          <w:lang w:eastAsia="bg-BG"/>
        </w:rPr>
        <w:t>Хематологична токсичност</w:t>
      </w:r>
    </w:p>
    <w:p w14:paraId="45A6C820"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Лечението с азацитидин е свързано с анемия, неутропения и тромбоцитопения, особено през първите 2 цикъла (вж. точка 4.8). При нужда, но поне преди всеки лечебен цикъл, трябва да се направи пълна кръвна картина за проследяване на отговора и токсичността. След прилагане на препоръчваната доза за първия цикъл, дозата за следващите цикли трябва да се намали или прилагането й да се отложи в зависимост от броя на кръвните клетки при надир и хематологичния отговор (вж. точка 4.2). Пациентите трябва да бъдат посъветвани незабавно да съобщават за фебрилни пристъпи. Също така е препоръчително пациентите и лекарите да наблюдават за признаци и симптоми на кървене.</w:t>
      </w:r>
    </w:p>
    <w:p w14:paraId="0A04F976" w14:textId="77777777" w:rsidR="003B18FB" w:rsidRPr="003B18FB" w:rsidRDefault="003B18FB" w:rsidP="003B18FB">
      <w:pPr>
        <w:spacing w:line="240" w:lineRule="auto"/>
        <w:rPr>
          <w:rFonts w:eastAsia="Times New Roman" w:cs="Arial"/>
          <w:color w:val="000000"/>
          <w:u w:val="single"/>
          <w:lang w:eastAsia="bg-BG"/>
        </w:rPr>
      </w:pPr>
    </w:p>
    <w:p w14:paraId="2A585987" w14:textId="444AF0CE"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u w:val="single"/>
          <w:lang w:eastAsia="bg-BG"/>
        </w:rPr>
        <w:t>Чернодробно увреждане</w:t>
      </w:r>
    </w:p>
    <w:p w14:paraId="1A6F6B15"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lastRenderedPageBreak/>
        <w:t xml:space="preserve">Не са провеждани официални проучвания при пациенти с чернодробно увреждане. Има съобщения за развитие на прогресираща чернодробна кома и смърт по време на лечение с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при пациенти със силен туморен товар поради </w:t>
      </w:r>
      <w:proofErr w:type="spellStart"/>
      <w:r w:rsidRPr="003B18FB">
        <w:rPr>
          <w:rFonts w:eastAsia="Times New Roman" w:cs="Arial"/>
          <w:color w:val="000000"/>
          <w:lang w:eastAsia="bg-BG"/>
        </w:rPr>
        <w:t>метастатично</w:t>
      </w:r>
      <w:proofErr w:type="spellEnd"/>
      <w:r w:rsidRPr="003B18FB">
        <w:rPr>
          <w:rFonts w:eastAsia="Times New Roman" w:cs="Arial"/>
          <w:color w:val="000000"/>
          <w:lang w:eastAsia="bg-BG"/>
        </w:rPr>
        <w:t xml:space="preserve"> заболяване и особено при такива пациенти с изходни нива на серумния албумин &lt; 30 </w:t>
      </w:r>
      <w:r w:rsidRPr="003B18FB">
        <w:rPr>
          <w:rFonts w:eastAsia="Times New Roman" w:cs="Arial"/>
          <w:color w:val="000000"/>
          <w:lang w:val="en-US"/>
        </w:rPr>
        <w:t>g</w:t>
      </w:r>
      <w:r w:rsidRPr="00B712C2">
        <w:rPr>
          <w:rFonts w:eastAsia="Times New Roman" w:cs="Arial"/>
          <w:color w:val="000000"/>
          <w:lang w:val="ru-RU"/>
        </w:rPr>
        <w:t xml:space="preserve">/1.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е противопоказан при пациенти с напреднали злокачествени тумори на черния дроб (вж.точка 4.3).</w:t>
      </w:r>
    </w:p>
    <w:p w14:paraId="13E49C40" w14:textId="77777777" w:rsidR="003B18FB" w:rsidRPr="003B18FB" w:rsidRDefault="003B18FB" w:rsidP="003B18FB">
      <w:pPr>
        <w:spacing w:line="240" w:lineRule="auto"/>
        <w:rPr>
          <w:rFonts w:eastAsia="Times New Roman" w:cs="Arial"/>
          <w:color w:val="000000"/>
          <w:u w:val="single"/>
          <w:lang w:eastAsia="bg-BG"/>
        </w:rPr>
      </w:pPr>
    </w:p>
    <w:p w14:paraId="3F6BD2B4" w14:textId="1DA3118A"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u w:val="single"/>
          <w:lang w:eastAsia="bg-BG"/>
        </w:rPr>
        <w:t>Бъбречно увреждане</w:t>
      </w:r>
    </w:p>
    <w:p w14:paraId="267F2792" w14:textId="40ED0FC9"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 xml:space="preserve">Има съобщения за засягане на бъбречната функция, вариращи от повишен серумен креатинин до бъбречна недостатъчност и смърт, при пациенти, лекувани с интравенозен азацитидин в комбинация с други химиотерапевтични средства. Допълнително, при 5 пациенти с хронична миелоидна левкемия (ХМЛ), лекувани с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и </w:t>
      </w:r>
      <w:proofErr w:type="spellStart"/>
      <w:r w:rsidRPr="003B18FB">
        <w:rPr>
          <w:rFonts w:eastAsia="Times New Roman" w:cs="Arial"/>
          <w:color w:val="000000"/>
          <w:lang w:eastAsia="bg-BG"/>
        </w:rPr>
        <w:t>етопозид</w:t>
      </w:r>
      <w:proofErr w:type="spellEnd"/>
      <w:r w:rsidRPr="003B18FB">
        <w:rPr>
          <w:rFonts w:eastAsia="Times New Roman" w:cs="Arial"/>
          <w:color w:val="000000"/>
          <w:lang w:eastAsia="bg-BG"/>
        </w:rPr>
        <w:t xml:space="preserve">, се е развила бъбречна </w:t>
      </w:r>
      <w:proofErr w:type="spellStart"/>
      <w:r w:rsidRPr="003B18FB">
        <w:rPr>
          <w:rFonts w:eastAsia="Times New Roman" w:cs="Arial"/>
          <w:color w:val="000000"/>
          <w:lang w:eastAsia="bg-BG"/>
        </w:rPr>
        <w:t>тубуларна</w:t>
      </w:r>
      <w:proofErr w:type="spellEnd"/>
      <w:r w:rsidRPr="003B18FB">
        <w:rPr>
          <w:rFonts w:eastAsia="Times New Roman" w:cs="Arial"/>
          <w:color w:val="000000"/>
          <w:lang w:eastAsia="bg-BG"/>
        </w:rPr>
        <w:t xml:space="preserve"> </w:t>
      </w:r>
      <w:proofErr w:type="spellStart"/>
      <w:r w:rsidRPr="003B18FB">
        <w:rPr>
          <w:rFonts w:eastAsia="Times New Roman" w:cs="Arial"/>
          <w:color w:val="000000"/>
          <w:lang w:eastAsia="bg-BG"/>
        </w:rPr>
        <w:t>ацидоза</w:t>
      </w:r>
      <w:proofErr w:type="spellEnd"/>
      <w:r w:rsidRPr="003B18FB">
        <w:rPr>
          <w:rFonts w:eastAsia="Times New Roman" w:cs="Arial"/>
          <w:color w:val="000000"/>
          <w:lang w:eastAsia="bg-BG"/>
        </w:rPr>
        <w:t xml:space="preserve">, дефинирана като спад на серумния бикарбонат до &lt; 20 </w:t>
      </w:r>
      <w:r>
        <w:rPr>
          <w:rFonts w:eastAsia="Times New Roman" w:cs="Arial"/>
          <w:color w:val="000000"/>
          <w:lang w:val="en-US"/>
        </w:rPr>
        <w:t>mmol</w:t>
      </w:r>
      <w:r w:rsidRPr="00B712C2">
        <w:rPr>
          <w:rFonts w:eastAsia="Times New Roman" w:cs="Arial"/>
          <w:color w:val="000000"/>
          <w:lang w:val="ru-RU"/>
        </w:rPr>
        <w:t>/</w:t>
      </w:r>
      <w:r>
        <w:rPr>
          <w:rFonts w:eastAsia="Times New Roman" w:cs="Arial"/>
          <w:color w:val="000000"/>
          <w:lang w:val="en-US"/>
        </w:rPr>
        <w:t>l</w:t>
      </w:r>
      <w:r w:rsidRPr="00B712C2">
        <w:rPr>
          <w:rFonts w:eastAsia="Times New Roman" w:cs="Arial"/>
          <w:color w:val="000000"/>
          <w:lang w:val="ru-RU"/>
        </w:rPr>
        <w:t xml:space="preserve">, </w:t>
      </w:r>
      <w:r w:rsidRPr="003B18FB">
        <w:rPr>
          <w:rFonts w:eastAsia="Times New Roman" w:cs="Arial"/>
          <w:color w:val="000000"/>
          <w:lang w:eastAsia="bg-BG"/>
        </w:rPr>
        <w:t xml:space="preserve">свързан с </w:t>
      </w:r>
      <w:proofErr w:type="spellStart"/>
      <w:r w:rsidRPr="003B18FB">
        <w:rPr>
          <w:rFonts w:eastAsia="Times New Roman" w:cs="Arial"/>
          <w:color w:val="000000"/>
          <w:lang w:eastAsia="bg-BG"/>
        </w:rPr>
        <w:t>алкализиране</w:t>
      </w:r>
      <w:proofErr w:type="spellEnd"/>
      <w:r w:rsidRPr="003B18FB">
        <w:rPr>
          <w:rFonts w:eastAsia="Times New Roman" w:cs="Arial"/>
          <w:color w:val="000000"/>
          <w:lang w:eastAsia="bg-BG"/>
        </w:rPr>
        <w:t xml:space="preserve"> на урината и хипокалиемия (серумен калий &lt; 3 </w:t>
      </w:r>
      <w:r>
        <w:rPr>
          <w:rFonts w:eastAsia="Times New Roman" w:cs="Arial"/>
          <w:color w:val="000000"/>
          <w:lang w:val="en-US"/>
        </w:rPr>
        <w:t>mmol</w:t>
      </w:r>
      <w:r w:rsidRPr="00B712C2">
        <w:rPr>
          <w:rFonts w:eastAsia="Times New Roman" w:cs="Arial"/>
          <w:color w:val="000000"/>
          <w:lang w:val="ru-RU"/>
        </w:rPr>
        <w:t>/</w:t>
      </w:r>
      <w:r>
        <w:rPr>
          <w:rFonts w:eastAsia="Times New Roman" w:cs="Arial"/>
          <w:color w:val="000000"/>
          <w:lang w:val="en-US"/>
        </w:rPr>
        <w:t>l</w:t>
      </w:r>
      <w:r w:rsidRPr="00B712C2">
        <w:rPr>
          <w:rFonts w:eastAsia="Times New Roman" w:cs="Arial"/>
          <w:color w:val="000000"/>
          <w:lang w:val="ru-RU"/>
        </w:rPr>
        <w:t xml:space="preserve">). </w:t>
      </w:r>
      <w:r w:rsidRPr="003B18FB">
        <w:rPr>
          <w:rFonts w:eastAsia="Times New Roman" w:cs="Arial"/>
          <w:color w:val="000000"/>
          <w:lang w:eastAsia="bg-BG"/>
        </w:rPr>
        <w:t xml:space="preserve">Ако настъпят необясними понижения на серумния бикарбонат (&lt; 20 </w:t>
      </w:r>
      <w:r w:rsidR="00841049">
        <w:rPr>
          <w:rFonts w:eastAsia="Times New Roman" w:cs="Arial"/>
          <w:color w:val="000000"/>
          <w:lang w:val="en-US"/>
        </w:rPr>
        <w:t>mmol</w:t>
      </w:r>
      <w:r w:rsidR="00841049" w:rsidRPr="00B712C2">
        <w:rPr>
          <w:rFonts w:eastAsia="Times New Roman" w:cs="Arial"/>
          <w:color w:val="000000"/>
          <w:lang w:val="ru-RU"/>
        </w:rPr>
        <w:t>/</w:t>
      </w:r>
      <w:r w:rsidR="00841049">
        <w:rPr>
          <w:rFonts w:eastAsia="Times New Roman" w:cs="Arial"/>
          <w:color w:val="000000"/>
          <w:lang w:val="en-US"/>
        </w:rPr>
        <w:t>l</w:t>
      </w:r>
      <w:r w:rsidRPr="00B712C2">
        <w:rPr>
          <w:rFonts w:eastAsia="Times New Roman" w:cs="Arial"/>
          <w:color w:val="000000"/>
          <w:lang w:val="ru-RU"/>
        </w:rPr>
        <w:t xml:space="preserve">) </w:t>
      </w:r>
      <w:r w:rsidRPr="003B18FB">
        <w:rPr>
          <w:rFonts w:eastAsia="Times New Roman" w:cs="Arial"/>
          <w:color w:val="000000"/>
          <w:lang w:eastAsia="bg-BG"/>
        </w:rPr>
        <w:t xml:space="preserve">или повишавания на серумния </w:t>
      </w:r>
      <w:proofErr w:type="spellStart"/>
      <w:r w:rsidRPr="003B18FB">
        <w:rPr>
          <w:rFonts w:eastAsia="Times New Roman" w:cs="Arial"/>
          <w:color w:val="000000"/>
          <w:lang w:eastAsia="bg-BG"/>
        </w:rPr>
        <w:t>креатинин</w:t>
      </w:r>
      <w:proofErr w:type="spellEnd"/>
      <w:r w:rsidRPr="003B18FB">
        <w:rPr>
          <w:rFonts w:eastAsia="Times New Roman" w:cs="Arial"/>
          <w:color w:val="000000"/>
          <w:lang w:eastAsia="bg-BG"/>
        </w:rPr>
        <w:t xml:space="preserve"> или УАК, дозата трябва да бъде намалена или прилагането й да се отложи (вж. точка 4.2).</w:t>
      </w:r>
    </w:p>
    <w:p w14:paraId="2901D39B" w14:textId="77777777" w:rsidR="003B18FB" w:rsidRPr="003B18FB" w:rsidRDefault="003B18FB" w:rsidP="003B18FB">
      <w:pPr>
        <w:spacing w:line="240" w:lineRule="auto"/>
        <w:rPr>
          <w:rFonts w:eastAsia="Times New Roman" w:cs="Arial"/>
          <w:color w:val="000000"/>
          <w:lang w:eastAsia="bg-BG"/>
        </w:rPr>
      </w:pPr>
    </w:p>
    <w:p w14:paraId="771DE041" w14:textId="1274E1A9"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Пациентите трябва да бъдат посъветвани да съобщават незабавно на медицинското лице за олигурия и анурия.</w:t>
      </w:r>
    </w:p>
    <w:p w14:paraId="49F6D701" w14:textId="77777777" w:rsidR="003B18FB" w:rsidRPr="003B18FB" w:rsidRDefault="003B18FB" w:rsidP="003B18FB">
      <w:pPr>
        <w:spacing w:line="240" w:lineRule="auto"/>
        <w:rPr>
          <w:rFonts w:eastAsia="Times New Roman" w:cs="Arial"/>
          <w:color w:val="000000"/>
          <w:lang w:eastAsia="bg-BG"/>
        </w:rPr>
      </w:pPr>
    </w:p>
    <w:p w14:paraId="5031241C" w14:textId="461FB886"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Въпреки че не са забелязани клинично значими разлики в честотата на нежеланите реакции между пациенти с нормална бъбречна функция и пациенти с бъбречно увреждане,</w:t>
      </w:r>
    </w:p>
    <w:p w14:paraId="162B006D" w14:textId="77777777" w:rsidR="003B18FB" w:rsidRPr="003B18FB" w:rsidRDefault="003B18FB" w:rsidP="003B18FB">
      <w:pPr>
        <w:rPr>
          <w:rFonts w:eastAsia="Times New Roman" w:cs="Arial"/>
          <w:sz w:val="24"/>
          <w:szCs w:val="24"/>
          <w:lang w:eastAsia="bg-BG"/>
        </w:rPr>
      </w:pPr>
      <w:r w:rsidRPr="003B18FB">
        <w:rPr>
          <w:rFonts w:eastAsia="Times New Roman" w:cs="Arial"/>
          <w:color w:val="000000"/>
          <w:lang w:eastAsia="bg-BG"/>
        </w:rPr>
        <w:t>пациентите с бъбречно увреждане трябва да бъдат следени внимателно за токсичност, тъй</w:t>
      </w:r>
      <w:r w:rsidRPr="00B712C2">
        <w:rPr>
          <w:rFonts w:eastAsia="Times New Roman" w:cs="Arial"/>
          <w:color w:val="000000"/>
          <w:lang w:val="ru-RU" w:eastAsia="bg-BG"/>
        </w:rPr>
        <w:t xml:space="preserve"> </w:t>
      </w:r>
      <w:r w:rsidRPr="003B18FB">
        <w:rPr>
          <w:rFonts w:eastAsia="Times New Roman" w:cs="Arial"/>
          <w:color w:val="000000"/>
          <w:lang w:eastAsia="bg-BG"/>
        </w:rPr>
        <w:t xml:space="preserve">като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и/или неговите метаболити се екскретират основно от бъбреците (вж. точка 4.2).</w:t>
      </w:r>
    </w:p>
    <w:p w14:paraId="36347A1E" w14:textId="77777777" w:rsidR="003B18FB" w:rsidRPr="003B18FB" w:rsidRDefault="003B18FB" w:rsidP="003B18FB">
      <w:pPr>
        <w:spacing w:line="240" w:lineRule="auto"/>
        <w:rPr>
          <w:rFonts w:eastAsia="Times New Roman" w:cs="Arial"/>
          <w:color w:val="000000"/>
          <w:u w:val="single"/>
          <w:lang w:eastAsia="bg-BG"/>
        </w:rPr>
      </w:pPr>
    </w:p>
    <w:p w14:paraId="0ABC070E" w14:textId="38C344D5"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u w:val="single"/>
          <w:lang w:eastAsia="bg-BG"/>
        </w:rPr>
        <w:t>Лабораторни тестове</w:t>
      </w:r>
    </w:p>
    <w:p w14:paraId="6A675310"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Преди започване на терапията и преди всеки лечебен цикъл трябва да се определят функционалните чернодробни показатели, серумния креатинин и серумния бикарбонат. Преди започване на терапията трябва да се направи пълна кръвна картина, както и при нужда за проследяване на отговора и токсичността, но най-малко преди всеки лечебен цикъл, вж. също точка 4.8.</w:t>
      </w:r>
    </w:p>
    <w:p w14:paraId="569B0888" w14:textId="77777777" w:rsidR="003B18FB" w:rsidRPr="003B18FB" w:rsidRDefault="003B18FB" w:rsidP="003B18FB">
      <w:pPr>
        <w:spacing w:line="240" w:lineRule="auto"/>
        <w:rPr>
          <w:rFonts w:eastAsia="Times New Roman" w:cs="Arial"/>
          <w:color w:val="000000"/>
          <w:u w:val="single"/>
          <w:lang w:eastAsia="bg-BG"/>
        </w:rPr>
      </w:pPr>
    </w:p>
    <w:p w14:paraId="18EA88BF" w14:textId="163DA9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u w:val="single"/>
          <w:lang w:eastAsia="bg-BG"/>
        </w:rPr>
        <w:t>Сърдечно и белодробно заболяване</w:t>
      </w:r>
    </w:p>
    <w:p w14:paraId="788CCB7E"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Пациенти с анамнеза за тежка застойна сърдечна недостатъчност, клинично нестабилно сърдечно заболяване или белодробно заболяване са били изключени от основните регистрационни проучвания (</w:t>
      </w:r>
      <w:r w:rsidRPr="003B18FB">
        <w:rPr>
          <w:rFonts w:eastAsia="Times New Roman" w:cs="Arial"/>
          <w:color w:val="000000"/>
          <w:lang w:val="en-US"/>
        </w:rPr>
        <w:t>AZA</w:t>
      </w:r>
      <w:r w:rsidRPr="00B712C2">
        <w:rPr>
          <w:rFonts w:eastAsia="Times New Roman" w:cs="Arial"/>
          <w:color w:val="000000"/>
          <w:lang w:val="ru-RU"/>
        </w:rPr>
        <w:t xml:space="preserve"> </w:t>
      </w:r>
      <w:r w:rsidRPr="003B18FB">
        <w:rPr>
          <w:rFonts w:eastAsia="Times New Roman" w:cs="Arial"/>
          <w:color w:val="000000"/>
          <w:lang w:val="en-US"/>
        </w:rPr>
        <w:t>PH</w:t>
      </w:r>
      <w:r w:rsidRPr="00B712C2">
        <w:rPr>
          <w:rFonts w:eastAsia="Times New Roman" w:cs="Arial"/>
          <w:color w:val="000000"/>
          <w:lang w:val="ru-RU"/>
        </w:rPr>
        <w:t xml:space="preserve"> </w:t>
      </w:r>
      <w:r w:rsidRPr="003B18FB">
        <w:rPr>
          <w:rFonts w:eastAsia="Times New Roman" w:cs="Arial"/>
          <w:color w:val="000000"/>
          <w:lang w:val="en-US"/>
        </w:rPr>
        <w:t>GL</w:t>
      </w:r>
      <w:r w:rsidRPr="00B712C2">
        <w:rPr>
          <w:rFonts w:eastAsia="Times New Roman" w:cs="Arial"/>
          <w:color w:val="000000"/>
          <w:lang w:val="ru-RU"/>
        </w:rPr>
        <w:t xml:space="preserve"> </w:t>
      </w:r>
      <w:r w:rsidRPr="003B18FB">
        <w:rPr>
          <w:rFonts w:eastAsia="Times New Roman" w:cs="Arial"/>
          <w:color w:val="000000"/>
          <w:lang w:eastAsia="bg-BG"/>
        </w:rPr>
        <w:t xml:space="preserve">2003 </w:t>
      </w:r>
      <w:r w:rsidRPr="003B18FB">
        <w:rPr>
          <w:rFonts w:eastAsia="Times New Roman" w:cs="Arial"/>
          <w:color w:val="000000"/>
          <w:lang w:val="en-US"/>
        </w:rPr>
        <w:t>CL</w:t>
      </w:r>
      <w:r w:rsidRPr="00B712C2">
        <w:rPr>
          <w:rFonts w:eastAsia="Times New Roman" w:cs="Arial"/>
          <w:color w:val="000000"/>
          <w:lang w:val="ru-RU"/>
        </w:rPr>
        <w:t xml:space="preserve"> </w:t>
      </w:r>
      <w:r w:rsidRPr="003B18FB">
        <w:rPr>
          <w:rFonts w:eastAsia="Times New Roman" w:cs="Arial"/>
          <w:color w:val="000000"/>
          <w:lang w:eastAsia="bg-BG"/>
        </w:rPr>
        <w:t xml:space="preserve">001 и </w:t>
      </w:r>
      <w:r w:rsidRPr="003B18FB">
        <w:rPr>
          <w:rFonts w:eastAsia="Times New Roman" w:cs="Arial"/>
          <w:color w:val="000000"/>
          <w:lang w:val="en-US"/>
        </w:rPr>
        <w:t>AZA</w:t>
      </w:r>
      <w:r w:rsidRPr="00B712C2">
        <w:rPr>
          <w:rFonts w:eastAsia="Times New Roman" w:cs="Arial"/>
          <w:color w:val="000000"/>
          <w:lang w:val="ru-RU"/>
        </w:rPr>
        <w:t>-</w:t>
      </w:r>
      <w:r w:rsidRPr="003B18FB">
        <w:rPr>
          <w:rFonts w:eastAsia="Times New Roman" w:cs="Arial"/>
          <w:color w:val="000000"/>
          <w:lang w:val="en-US"/>
        </w:rPr>
        <w:t>AML</w:t>
      </w:r>
      <w:r w:rsidRPr="00B712C2">
        <w:rPr>
          <w:rFonts w:eastAsia="Times New Roman" w:cs="Arial"/>
          <w:color w:val="000000"/>
          <w:lang w:val="ru-RU"/>
        </w:rPr>
        <w:t>-00</w:t>
      </w:r>
      <w:r w:rsidRPr="003B18FB">
        <w:rPr>
          <w:rFonts w:eastAsia="Times New Roman" w:cs="Arial"/>
          <w:color w:val="000000"/>
          <w:lang w:eastAsia="bg-BG"/>
        </w:rPr>
        <w:t xml:space="preserve">1) и затова безопасността и ефикасността на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при такива пациенти не са определени. Последните данни от клинично изпитване при пациенти с известна анамнеза за сърдечно</w:t>
      </w:r>
      <w:r w:rsidRPr="003B18FB">
        <w:rPr>
          <w:rFonts w:eastAsia="Times New Roman" w:cs="Arial"/>
          <w:color w:val="000000"/>
          <w:lang w:eastAsia="bg-BG"/>
        </w:rPr>
        <w:softHyphen/>
        <w:t>съдово или белодробно заболяване показват значимо повишена честота на сърдечни събития с азацитидин (вж. точка 4.8). Затова се препоръчва да се подхожда предпазливо, когато се предписва азацитидин на тези пациенти. Трябва да се обмисли сърдечно-белодробна оценка преди и по време на лечението.</w:t>
      </w:r>
    </w:p>
    <w:p w14:paraId="507AE5D8" w14:textId="77777777" w:rsidR="003B18FB" w:rsidRPr="003B18FB" w:rsidRDefault="003B18FB" w:rsidP="003B18FB">
      <w:pPr>
        <w:spacing w:line="240" w:lineRule="auto"/>
        <w:rPr>
          <w:rFonts w:eastAsia="Times New Roman" w:cs="Arial"/>
          <w:color w:val="000000"/>
          <w:u w:val="single"/>
          <w:lang w:eastAsia="bg-BG"/>
        </w:rPr>
      </w:pPr>
    </w:p>
    <w:p w14:paraId="4C67A53F" w14:textId="14A31C21"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u w:val="single"/>
          <w:lang w:eastAsia="bg-BG"/>
        </w:rPr>
        <w:t>Некротизиращ фасциит</w:t>
      </w:r>
    </w:p>
    <w:p w14:paraId="3F3B411F"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Некротизиращ фасциит, включително случаи с летален изход, се съобщава при пациенти, лекувани с азацитидин. Терапията с азацитидин трябва да се прекрати при пациенти, които развият некротизиращ фасциит, и незабавно трябва да се започне съответното лечение.</w:t>
      </w:r>
    </w:p>
    <w:p w14:paraId="78816091" w14:textId="77777777" w:rsidR="003B18FB" w:rsidRPr="003B18FB" w:rsidRDefault="003B18FB" w:rsidP="003B18FB">
      <w:pPr>
        <w:spacing w:line="240" w:lineRule="auto"/>
        <w:rPr>
          <w:rFonts w:eastAsia="Times New Roman" w:cs="Arial"/>
          <w:color w:val="000000"/>
          <w:u w:val="single"/>
          <w:lang w:eastAsia="bg-BG"/>
        </w:rPr>
      </w:pPr>
    </w:p>
    <w:p w14:paraId="5F3E16EE" w14:textId="15D070BB"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u w:val="single"/>
          <w:lang w:eastAsia="bg-BG"/>
        </w:rPr>
        <w:t>Тумор-лизис синдром</w:t>
      </w:r>
    </w:p>
    <w:p w14:paraId="0B3BEE35" w14:textId="6C028C0A" w:rsidR="0091385D" w:rsidRPr="00B712C2" w:rsidRDefault="003B18FB" w:rsidP="003B18FB">
      <w:pPr>
        <w:rPr>
          <w:rFonts w:cs="Arial"/>
          <w:lang w:val="ru-RU"/>
        </w:rPr>
      </w:pPr>
      <w:r w:rsidRPr="003B18FB">
        <w:rPr>
          <w:rFonts w:eastAsia="Times New Roman" w:cs="Arial"/>
          <w:color w:val="000000"/>
          <w:lang w:eastAsia="bg-BG"/>
        </w:rPr>
        <w:t>Пациенти с висок туморен товар преди започване на лечението са с риск за развитие на тумор-лизис синдром. Тези пациенти трябва да се наблюдават внимателно и да се вземат подходящи предпазни мерки.</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02680C7D"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 xml:space="preserve">Въз основа на данните от </w:t>
      </w:r>
      <w:r w:rsidRPr="003B18FB">
        <w:rPr>
          <w:rFonts w:eastAsia="Times New Roman" w:cs="Arial"/>
          <w:i/>
          <w:iCs/>
          <w:color w:val="000000"/>
          <w:lang w:val="en-US"/>
        </w:rPr>
        <w:t>in</w:t>
      </w:r>
      <w:r w:rsidRPr="00B712C2">
        <w:rPr>
          <w:rFonts w:eastAsia="Times New Roman" w:cs="Arial"/>
          <w:i/>
          <w:iCs/>
          <w:color w:val="000000"/>
          <w:lang w:val="ru-RU"/>
        </w:rPr>
        <w:t xml:space="preserve"> </w:t>
      </w:r>
      <w:r w:rsidRPr="003B18FB">
        <w:rPr>
          <w:rFonts w:eastAsia="Times New Roman" w:cs="Arial"/>
          <w:i/>
          <w:iCs/>
          <w:color w:val="000000"/>
          <w:lang w:val="en-US"/>
        </w:rPr>
        <w:t>vitro</w:t>
      </w:r>
      <w:r w:rsidRPr="00B712C2">
        <w:rPr>
          <w:rFonts w:eastAsia="Times New Roman" w:cs="Arial"/>
          <w:color w:val="000000"/>
          <w:lang w:val="ru-RU"/>
        </w:rPr>
        <w:t xml:space="preserve"> </w:t>
      </w:r>
      <w:r w:rsidRPr="003B18FB">
        <w:rPr>
          <w:rFonts w:eastAsia="Times New Roman" w:cs="Arial"/>
          <w:color w:val="000000"/>
          <w:lang w:eastAsia="bg-BG"/>
        </w:rPr>
        <w:t xml:space="preserve">проучвания метаболизмът на </w:t>
      </w:r>
      <w:proofErr w:type="spellStart"/>
      <w:r w:rsidRPr="003B18FB">
        <w:rPr>
          <w:rFonts w:eastAsia="Times New Roman" w:cs="Arial"/>
          <w:color w:val="000000"/>
          <w:lang w:eastAsia="bg-BG"/>
        </w:rPr>
        <w:t>азацитидин</w:t>
      </w:r>
      <w:proofErr w:type="spellEnd"/>
      <w:r w:rsidRPr="003B18FB">
        <w:rPr>
          <w:rFonts w:eastAsia="Times New Roman" w:cs="Arial"/>
          <w:color w:val="000000"/>
          <w:lang w:eastAsia="bg-BG"/>
        </w:rPr>
        <w:t xml:space="preserve"> изглежда не се </w:t>
      </w:r>
      <w:proofErr w:type="spellStart"/>
      <w:r w:rsidRPr="003B18FB">
        <w:rPr>
          <w:rFonts w:eastAsia="Times New Roman" w:cs="Arial"/>
          <w:color w:val="000000"/>
          <w:lang w:eastAsia="bg-BG"/>
        </w:rPr>
        <w:t>медиира</w:t>
      </w:r>
      <w:proofErr w:type="spellEnd"/>
      <w:r w:rsidRPr="003B18FB">
        <w:rPr>
          <w:rFonts w:eastAsia="Times New Roman" w:cs="Arial"/>
          <w:color w:val="000000"/>
          <w:lang w:eastAsia="bg-BG"/>
        </w:rPr>
        <w:t xml:space="preserve"> от </w:t>
      </w:r>
      <w:proofErr w:type="spellStart"/>
      <w:r w:rsidRPr="003B18FB">
        <w:rPr>
          <w:rFonts w:eastAsia="Times New Roman" w:cs="Arial"/>
          <w:color w:val="000000"/>
          <w:lang w:eastAsia="bg-BG"/>
        </w:rPr>
        <w:t>изоензимите</w:t>
      </w:r>
      <w:proofErr w:type="spellEnd"/>
      <w:r w:rsidRPr="003B18FB">
        <w:rPr>
          <w:rFonts w:eastAsia="Times New Roman" w:cs="Arial"/>
          <w:color w:val="000000"/>
          <w:lang w:eastAsia="bg-BG"/>
        </w:rPr>
        <w:t xml:space="preserve"> на </w:t>
      </w:r>
      <w:proofErr w:type="spellStart"/>
      <w:r w:rsidRPr="003B18FB">
        <w:rPr>
          <w:rFonts w:eastAsia="Times New Roman" w:cs="Arial"/>
          <w:color w:val="000000"/>
          <w:lang w:eastAsia="bg-BG"/>
        </w:rPr>
        <w:t>цитохром</w:t>
      </w:r>
      <w:proofErr w:type="spellEnd"/>
      <w:r w:rsidRPr="003B18FB">
        <w:rPr>
          <w:rFonts w:eastAsia="Times New Roman" w:cs="Arial"/>
          <w:color w:val="000000"/>
          <w:lang w:eastAsia="bg-BG"/>
        </w:rPr>
        <w:t xml:space="preserve"> Р450, </w:t>
      </w:r>
      <w:r w:rsidRPr="003B18FB">
        <w:rPr>
          <w:rFonts w:eastAsia="Times New Roman" w:cs="Arial"/>
          <w:color w:val="000000"/>
          <w:lang w:val="en-US"/>
        </w:rPr>
        <w:t>UDP</w:t>
      </w:r>
      <w:r w:rsidRPr="003B18FB">
        <w:rPr>
          <w:rFonts w:eastAsia="Times New Roman" w:cs="Arial"/>
          <w:color w:val="000000"/>
          <w:lang w:eastAsia="bg-BG"/>
        </w:rPr>
        <w:t>-</w:t>
      </w:r>
      <w:proofErr w:type="spellStart"/>
      <w:r w:rsidRPr="003B18FB">
        <w:rPr>
          <w:rFonts w:eastAsia="Times New Roman" w:cs="Arial"/>
          <w:color w:val="000000"/>
          <w:lang w:eastAsia="bg-BG"/>
        </w:rPr>
        <w:t>глюкуронозилтрансферазите</w:t>
      </w:r>
      <w:proofErr w:type="spellEnd"/>
      <w:r w:rsidRPr="003B18FB">
        <w:rPr>
          <w:rFonts w:eastAsia="Times New Roman" w:cs="Arial"/>
          <w:color w:val="000000"/>
          <w:lang w:eastAsia="bg-BG"/>
        </w:rPr>
        <w:t xml:space="preserve"> </w:t>
      </w:r>
      <w:r w:rsidRPr="00B712C2">
        <w:rPr>
          <w:rFonts w:eastAsia="Times New Roman" w:cs="Arial"/>
          <w:color w:val="000000"/>
          <w:lang w:val="ru-RU"/>
        </w:rPr>
        <w:t>(</w:t>
      </w:r>
      <w:r w:rsidRPr="003B18FB">
        <w:rPr>
          <w:rFonts w:eastAsia="Times New Roman" w:cs="Arial"/>
          <w:color w:val="000000"/>
          <w:lang w:val="en-US"/>
        </w:rPr>
        <w:t>UGTs</w:t>
      </w:r>
      <w:r w:rsidRPr="00B712C2">
        <w:rPr>
          <w:rFonts w:eastAsia="Times New Roman" w:cs="Arial"/>
          <w:color w:val="000000"/>
          <w:lang w:val="ru-RU"/>
        </w:rPr>
        <w:t xml:space="preserve">), </w:t>
      </w:r>
      <w:proofErr w:type="spellStart"/>
      <w:r w:rsidRPr="003B18FB">
        <w:rPr>
          <w:rFonts w:eastAsia="Times New Roman" w:cs="Arial"/>
          <w:color w:val="000000"/>
          <w:lang w:eastAsia="bg-BG"/>
        </w:rPr>
        <w:t>сулфотрансферазите</w:t>
      </w:r>
      <w:proofErr w:type="spellEnd"/>
      <w:r w:rsidRPr="003B18FB">
        <w:rPr>
          <w:rFonts w:eastAsia="Times New Roman" w:cs="Arial"/>
          <w:color w:val="000000"/>
          <w:lang w:eastAsia="bg-BG"/>
        </w:rPr>
        <w:t xml:space="preserve"> и </w:t>
      </w:r>
      <w:proofErr w:type="spellStart"/>
      <w:r w:rsidRPr="003B18FB">
        <w:rPr>
          <w:rFonts w:eastAsia="Times New Roman" w:cs="Arial"/>
          <w:color w:val="000000"/>
          <w:lang w:eastAsia="bg-BG"/>
        </w:rPr>
        <w:t>глутатион-трансферазите</w:t>
      </w:r>
      <w:proofErr w:type="spellEnd"/>
      <w:r w:rsidRPr="003B18FB">
        <w:rPr>
          <w:rFonts w:eastAsia="Times New Roman" w:cs="Arial"/>
          <w:color w:val="000000"/>
          <w:lang w:eastAsia="bg-BG"/>
        </w:rPr>
        <w:t xml:space="preserve">; затова взаимодействия </w:t>
      </w:r>
      <w:r w:rsidRPr="003B18FB">
        <w:rPr>
          <w:rFonts w:eastAsia="Times New Roman" w:cs="Arial"/>
          <w:i/>
          <w:iCs/>
          <w:color w:val="000000"/>
          <w:lang w:val="en-US"/>
        </w:rPr>
        <w:t>in</w:t>
      </w:r>
      <w:r w:rsidRPr="00B712C2">
        <w:rPr>
          <w:rFonts w:eastAsia="Times New Roman" w:cs="Arial"/>
          <w:i/>
          <w:iCs/>
          <w:color w:val="000000"/>
          <w:lang w:val="ru-RU"/>
        </w:rPr>
        <w:t xml:space="preserve"> </w:t>
      </w:r>
      <w:r w:rsidRPr="003B18FB">
        <w:rPr>
          <w:rFonts w:eastAsia="Times New Roman" w:cs="Arial"/>
          <w:i/>
          <w:iCs/>
          <w:color w:val="000000"/>
          <w:lang w:val="en-US"/>
        </w:rPr>
        <w:t>vivo</w:t>
      </w:r>
      <w:r w:rsidRPr="00B712C2">
        <w:rPr>
          <w:rFonts w:eastAsia="Times New Roman" w:cs="Arial"/>
          <w:i/>
          <w:iCs/>
          <w:color w:val="000000"/>
          <w:lang w:val="ru-RU"/>
        </w:rPr>
        <w:t>,</w:t>
      </w:r>
      <w:r w:rsidRPr="00B712C2">
        <w:rPr>
          <w:rFonts w:eastAsia="Times New Roman" w:cs="Arial"/>
          <w:color w:val="000000"/>
          <w:lang w:val="ru-RU"/>
        </w:rPr>
        <w:t xml:space="preserve"> </w:t>
      </w:r>
      <w:r w:rsidRPr="003B18FB">
        <w:rPr>
          <w:rFonts w:eastAsia="Times New Roman" w:cs="Arial"/>
          <w:color w:val="000000"/>
          <w:lang w:eastAsia="bg-BG"/>
        </w:rPr>
        <w:t xml:space="preserve">свързани с тези </w:t>
      </w:r>
      <w:proofErr w:type="spellStart"/>
      <w:r w:rsidRPr="003B18FB">
        <w:rPr>
          <w:rFonts w:eastAsia="Times New Roman" w:cs="Arial"/>
          <w:color w:val="000000"/>
          <w:lang w:eastAsia="bg-BG"/>
        </w:rPr>
        <w:t>метаболизиращи</w:t>
      </w:r>
      <w:proofErr w:type="spellEnd"/>
      <w:r w:rsidRPr="003B18FB">
        <w:rPr>
          <w:rFonts w:eastAsia="Times New Roman" w:cs="Arial"/>
          <w:color w:val="000000"/>
          <w:lang w:eastAsia="bg-BG"/>
        </w:rPr>
        <w:t xml:space="preserve"> ензими, се приемат за малко вероятни.</w:t>
      </w:r>
    </w:p>
    <w:p w14:paraId="4B7F7263" w14:textId="77777777" w:rsidR="003B18FB" w:rsidRPr="003B18FB" w:rsidRDefault="003B18FB" w:rsidP="003B18FB">
      <w:pPr>
        <w:spacing w:line="240" w:lineRule="auto"/>
        <w:rPr>
          <w:rFonts w:eastAsia="Times New Roman" w:cs="Arial"/>
          <w:color w:val="000000"/>
          <w:lang w:eastAsia="bg-BG"/>
        </w:rPr>
      </w:pPr>
    </w:p>
    <w:p w14:paraId="6CB3C50A" w14:textId="20B143B6"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Клинично значими инхибиращи или индуктивни ефекти на азацитидин върху цитохром Р450 ензимите са малко вероятни (вж. точка 5.2).</w:t>
      </w:r>
    </w:p>
    <w:p w14:paraId="7ABF98E7" w14:textId="77777777" w:rsidR="003B18FB" w:rsidRPr="003B18FB" w:rsidRDefault="003B18FB" w:rsidP="003B18FB">
      <w:pPr>
        <w:rPr>
          <w:rFonts w:eastAsia="Times New Roman" w:cs="Arial"/>
          <w:color w:val="000000"/>
          <w:lang w:eastAsia="bg-BG"/>
        </w:rPr>
      </w:pPr>
    </w:p>
    <w:p w14:paraId="172AE819" w14:textId="73540E90" w:rsidR="0091385D" w:rsidRPr="003B18FB" w:rsidRDefault="003B18FB" w:rsidP="003B18FB">
      <w:pPr>
        <w:rPr>
          <w:rFonts w:cs="Arial"/>
        </w:rPr>
      </w:pPr>
      <w:r w:rsidRPr="003B18FB">
        <w:rPr>
          <w:rFonts w:eastAsia="Times New Roman" w:cs="Arial"/>
          <w:color w:val="000000"/>
          <w:lang w:eastAsia="bg-BG"/>
        </w:rPr>
        <w:t>Не са провеждани официални клинични лекарствени проучвания за взаимодействия с азацитидин.</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301C9355" w14:textId="77777777" w:rsidR="003B18FB" w:rsidRPr="003B18FB" w:rsidRDefault="003B18FB" w:rsidP="003B18FB">
      <w:pPr>
        <w:rPr>
          <w:rFonts w:cs="Arial"/>
        </w:rPr>
      </w:pPr>
      <w:r w:rsidRPr="003B18FB">
        <w:rPr>
          <w:rFonts w:cs="Arial"/>
          <w:u w:val="single"/>
        </w:rPr>
        <w:t>Жени с детероден потенциал / Контрацепция при мъже и жени</w:t>
      </w:r>
    </w:p>
    <w:p w14:paraId="534CE763" w14:textId="77777777" w:rsidR="003B18FB" w:rsidRPr="003B18FB" w:rsidRDefault="003B18FB" w:rsidP="003B18FB">
      <w:pPr>
        <w:rPr>
          <w:rFonts w:cs="Arial"/>
        </w:rPr>
      </w:pPr>
      <w:r w:rsidRPr="003B18FB">
        <w:rPr>
          <w:rFonts w:cs="Arial"/>
        </w:rPr>
        <w:t>Жените с детероден потенциал и мъжете трябва да използват ефективна контрацепция по време на и до 3 месеца след лечението.</w:t>
      </w:r>
    </w:p>
    <w:p w14:paraId="3809C5F5" w14:textId="77777777" w:rsidR="003B18FB" w:rsidRPr="003B18FB" w:rsidRDefault="003B18FB" w:rsidP="003B18FB">
      <w:pPr>
        <w:rPr>
          <w:rFonts w:cs="Arial"/>
          <w:u w:val="single"/>
        </w:rPr>
      </w:pPr>
    </w:p>
    <w:p w14:paraId="4855B40E" w14:textId="04B893C6" w:rsidR="003B18FB" w:rsidRPr="00841049" w:rsidRDefault="003B18FB" w:rsidP="00841049">
      <w:pPr>
        <w:pStyle w:val="Heading3"/>
        <w:rPr>
          <w:color w:val="auto"/>
          <w:u w:val="single"/>
        </w:rPr>
      </w:pPr>
      <w:r w:rsidRPr="00841049">
        <w:rPr>
          <w:u w:val="single"/>
        </w:rPr>
        <w:t>Бременност</w:t>
      </w:r>
    </w:p>
    <w:p w14:paraId="1B774CB5" w14:textId="77777777" w:rsidR="003B18FB" w:rsidRPr="003B18FB" w:rsidRDefault="003B18FB" w:rsidP="003B18FB">
      <w:pPr>
        <w:rPr>
          <w:rFonts w:eastAsia="Times New Roman" w:cs="Arial"/>
          <w:sz w:val="24"/>
          <w:szCs w:val="24"/>
          <w:lang w:eastAsia="bg-BG"/>
        </w:rPr>
      </w:pPr>
      <w:r w:rsidRPr="003B18FB">
        <w:rPr>
          <w:rFonts w:cs="Arial"/>
        </w:rPr>
        <w:t>Липсват достатъчно данни от употребата на азацитидин при бременни жени. Проучванията</w:t>
      </w:r>
      <w:r w:rsidRPr="00B712C2">
        <w:rPr>
          <w:rFonts w:cs="Arial"/>
          <w:lang w:val="ru-RU"/>
        </w:rPr>
        <w:t xml:space="preserve"> </w:t>
      </w:r>
      <w:r w:rsidRPr="003B18FB">
        <w:rPr>
          <w:rFonts w:eastAsia="Times New Roman" w:cs="Arial"/>
          <w:color w:val="000000"/>
          <w:lang w:eastAsia="bg-BG"/>
        </w:rPr>
        <w:t>при мишки показват репродуктивна токсичност (вж. точка 5.3), Потенциалният риск при хора не е известен. Въз основа на резултатите от проучвания при животни и механизма му на действие азацитидин не трябва да се използва по време на бременност, особено през първия триместър, освен ако не е абсолютно необходимо. За всеки отделен случай трябва да се преценят ползите от лечението и възможните рискове за плода.</w:t>
      </w:r>
    </w:p>
    <w:p w14:paraId="50F58ADC" w14:textId="77777777" w:rsidR="003B18FB" w:rsidRPr="003B18FB" w:rsidRDefault="003B18FB" w:rsidP="003B18FB">
      <w:pPr>
        <w:spacing w:line="240" w:lineRule="auto"/>
        <w:rPr>
          <w:rFonts w:eastAsia="Times New Roman" w:cs="Arial"/>
          <w:color w:val="000000"/>
          <w:u w:val="single"/>
          <w:lang w:eastAsia="bg-BG"/>
        </w:rPr>
      </w:pPr>
    </w:p>
    <w:p w14:paraId="4AC66CAF" w14:textId="28794FC2" w:rsidR="003B18FB" w:rsidRPr="00841049" w:rsidRDefault="003B18FB" w:rsidP="00841049">
      <w:pPr>
        <w:pStyle w:val="Heading3"/>
        <w:rPr>
          <w:rFonts w:eastAsia="Times New Roman"/>
          <w:u w:val="single"/>
          <w:lang w:eastAsia="bg-BG"/>
        </w:rPr>
      </w:pPr>
      <w:r w:rsidRPr="00841049">
        <w:rPr>
          <w:rFonts w:eastAsia="Times New Roman"/>
          <w:u w:val="single"/>
          <w:lang w:eastAsia="bg-BG"/>
        </w:rPr>
        <w:t>Кърмене</w:t>
      </w:r>
    </w:p>
    <w:p w14:paraId="39444081" w14:textId="77777777" w:rsidR="003B18FB" w:rsidRPr="003B18FB" w:rsidRDefault="003B18FB" w:rsidP="003B18FB">
      <w:pPr>
        <w:spacing w:line="240" w:lineRule="auto"/>
        <w:rPr>
          <w:rFonts w:eastAsia="Times New Roman" w:cs="Arial"/>
          <w:sz w:val="24"/>
          <w:szCs w:val="24"/>
          <w:lang w:eastAsia="bg-BG"/>
        </w:rPr>
      </w:pPr>
      <w:r w:rsidRPr="003B18FB">
        <w:rPr>
          <w:rFonts w:eastAsia="Times New Roman" w:cs="Arial"/>
          <w:color w:val="000000"/>
          <w:lang w:eastAsia="bg-BG"/>
        </w:rPr>
        <w:t>Не е известно дали азацитидин /метаболити се екскретират в кърмата. Кърменето е противопоказано по време на терапия с азацитидин поради възможните сериозни нежелани реакции при кърмачето.</w:t>
      </w:r>
    </w:p>
    <w:p w14:paraId="48455FCE" w14:textId="77777777" w:rsidR="003B18FB" w:rsidRPr="003B18FB" w:rsidRDefault="003B18FB" w:rsidP="003B18FB">
      <w:pPr>
        <w:spacing w:line="240" w:lineRule="auto"/>
        <w:rPr>
          <w:rFonts w:eastAsia="Times New Roman" w:cs="Arial"/>
          <w:color w:val="000000"/>
          <w:u w:val="single"/>
          <w:lang w:eastAsia="bg-BG"/>
        </w:rPr>
      </w:pPr>
    </w:p>
    <w:p w14:paraId="0A6B60EB" w14:textId="2E994052" w:rsidR="003B18FB" w:rsidRPr="00841049" w:rsidRDefault="003B18FB" w:rsidP="00841049">
      <w:pPr>
        <w:pStyle w:val="Heading3"/>
        <w:rPr>
          <w:rFonts w:eastAsia="Times New Roman"/>
          <w:u w:val="single"/>
          <w:lang w:eastAsia="bg-BG"/>
        </w:rPr>
      </w:pPr>
      <w:r w:rsidRPr="00841049">
        <w:rPr>
          <w:rFonts w:eastAsia="Times New Roman"/>
          <w:u w:val="single"/>
          <w:lang w:eastAsia="bg-BG"/>
        </w:rPr>
        <w:t>Фертилитет</w:t>
      </w:r>
    </w:p>
    <w:p w14:paraId="776662C5" w14:textId="5471D8DC" w:rsidR="0091385D" w:rsidRPr="00B712C2" w:rsidRDefault="003B18FB" w:rsidP="003B18FB">
      <w:pPr>
        <w:rPr>
          <w:rFonts w:cs="Arial"/>
          <w:lang w:val="ru-RU"/>
        </w:rPr>
      </w:pPr>
      <w:r w:rsidRPr="003B18FB">
        <w:rPr>
          <w:rFonts w:eastAsia="Times New Roman" w:cs="Arial"/>
          <w:color w:val="000000"/>
          <w:lang w:eastAsia="bg-BG"/>
        </w:rPr>
        <w:t xml:space="preserve">Няма данни за ефекта на азацитидин върху фергилитета при хора. Има документирани нежелани реакции по отношение на фертилитета при прилагане на азацитидин при мъжки животни (вж. точка 5.3). Мъжете трябва да бъдат съветвани да не зачеват дете по време на лечението и трябва да използват ефективна контрацепция по време на лечението и до 3 месеца след това. Преди започване на лечението пациентите от мъжки </w:t>
      </w:r>
      <w:r w:rsidRPr="003B18FB">
        <w:rPr>
          <w:rFonts w:eastAsia="Times New Roman" w:cs="Arial"/>
          <w:color w:val="000000"/>
          <w:lang w:eastAsia="bg-BG"/>
        </w:rPr>
        <w:lastRenderedPageBreak/>
        <w:t>пол трябва да бъдат съветвани да потърсят консултация относно консервиране на сперма.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3887FB55" w:rsidR="0091385D" w:rsidRDefault="00841049" w:rsidP="0091385D">
      <w:r>
        <w:t>Азацитидин повлиява в малка или умерена степен способността за шофиране и работа с машини. Има съобщения за умора при употребата на азацитидин. Затова се препоръчва повишено внимание при шофиране или работа с машини.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315726CB"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u w:val="single"/>
          <w:lang w:eastAsia="bg-BG"/>
        </w:rPr>
        <w:t>Резюме на профила на безопасност</w:t>
      </w:r>
    </w:p>
    <w:p w14:paraId="7777F90F"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i/>
          <w:iCs/>
          <w:color w:val="000000"/>
          <w:lang w:eastAsia="bg-BG"/>
        </w:rPr>
        <w:t>Възрастна популация с МДС, ХММЛ и ОМЛ (20-30% костномозъчни бласти)</w:t>
      </w:r>
    </w:p>
    <w:p w14:paraId="509AA0F2"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При 97 % от пациентите са настъпили нежелани реакции, за които се приема, че е възможно или вероятно да са свързани с приложението на азацитидин.</w:t>
      </w:r>
    </w:p>
    <w:p w14:paraId="2A9A4F17" w14:textId="77777777" w:rsidR="00841049" w:rsidRPr="00841049" w:rsidRDefault="00841049" w:rsidP="00841049">
      <w:pPr>
        <w:spacing w:line="240" w:lineRule="auto"/>
        <w:rPr>
          <w:rFonts w:eastAsia="Times New Roman" w:cs="Arial"/>
          <w:color w:val="000000"/>
          <w:lang w:eastAsia="bg-BG"/>
        </w:rPr>
      </w:pPr>
    </w:p>
    <w:p w14:paraId="571D3E5A" w14:textId="00D5F165"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 xml:space="preserve">Най-често съобщаваните сериозни нежелани реакции, установени при основното проучване </w:t>
      </w:r>
      <w:r w:rsidRPr="00B712C2">
        <w:rPr>
          <w:rFonts w:eastAsia="Times New Roman" w:cs="Arial"/>
          <w:color w:val="000000"/>
          <w:lang w:val="ru-RU"/>
        </w:rPr>
        <w:t>(</w:t>
      </w:r>
      <w:r w:rsidRPr="00841049">
        <w:rPr>
          <w:rFonts w:eastAsia="Times New Roman" w:cs="Arial"/>
          <w:color w:val="000000"/>
          <w:lang w:val="en-US"/>
        </w:rPr>
        <w:t>AZA</w:t>
      </w:r>
      <w:r w:rsidRPr="00B712C2">
        <w:rPr>
          <w:rFonts w:eastAsia="Times New Roman" w:cs="Arial"/>
          <w:color w:val="000000"/>
          <w:lang w:val="ru-RU"/>
        </w:rPr>
        <w:t xml:space="preserve"> </w:t>
      </w:r>
      <w:r w:rsidRPr="00841049">
        <w:rPr>
          <w:rFonts w:eastAsia="Times New Roman" w:cs="Arial"/>
          <w:color w:val="000000"/>
          <w:lang w:val="en-US"/>
        </w:rPr>
        <w:t>PH</w:t>
      </w:r>
      <w:r w:rsidRPr="00B712C2">
        <w:rPr>
          <w:rFonts w:eastAsia="Times New Roman" w:cs="Arial"/>
          <w:color w:val="000000"/>
          <w:lang w:val="ru-RU"/>
        </w:rPr>
        <w:t xml:space="preserve"> </w:t>
      </w:r>
      <w:r w:rsidRPr="00841049">
        <w:rPr>
          <w:rFonts w:eastAsia="Times New Roman" w:cs="Arial"/>
          <w:color w:val="000000"/>
          <w:lang w:val="en-US"/>
        </w:rPr>
        <w:t>GL</w:t>
      </w:r>
      <w:r w:rsidRPr="00B712C2">
        <w:rPr>
          <w:rFonts w:eastAsia="Times New Roman" w:cs="Arial"/>
          <w:color w:val="000000"/>
          <w:lang w:val="ru-RU"/>
        </w:rPr>
        <w:t xml:space="preserve"> </w:t>
      </w:r>
      <w:r w:rsidRPr="00841049">
        <w:rPr>
          <w:rFonts w:eastAsia="Times New Roman" w:cs="Arial"/>
          <w:color w:val="000000"/>
          <w:lang w:eastAsia="bg-BG"/>
        </w:rPr>
        <w:t xml:space="preserve">2003 </w:t>
      </w:r>
      <w:r w:rsidRPr="00841049">
        <w:rPr>
          <w:rFonts w:eastAsia="Times New Roman" w:cs="Arial"/>
          <w:color w:val="000000"/>
          <w:lang w:val="en-US"/>
        </w:rPr>
        <w:t>CL</w:t>
      </w:r>
      <w:r w:rsidRPr="00B712C2">
        <w:rPr>
          <w:rFonts w:eastAsia="Times New Roman" w:cs="Arial"/>
          <w:color w:val="000000"/>
          <w:lang w:val="ru-RU"/>
        </w:rPr>
        <w:t xml:space="preserve"> </w:t>
      </w:r>
      <w:r w:rsidRPr="00841049">
        <w:rPr>
          <w:rFonts w:eastAsia="Times New Roman" w:cs="Arial"/>
          <w:color w:val="000000"/>
          <w:lang w:eastAsia="bg-BG"/>
        </w:rPr>
        <w:t xml:space="preserve">001), включват </w:t>
      </w:r>
      <w:proofErr w:type="spellStart"/>
      <w:r w:rsidRPr="00841049">
        <w:rPr>
          <w:rFonts w:eastAsia="Times New Roman" w:cs="Arial"/>
          <w:color w:val="000000"/>
          <w:lang w:eastAsia="bg-BG"/>
        </w:rPr>
        <w:t>фебрилна</w:t>
      </w:r>
      <w:proofErr w:type="spellEnd"/>
      <w:r w:rsidRPr="00841049">
        <w:rPr>
          <w:rFonts w:eastAsia="Times New Roman" w:cs="Arial"/>
          <w:color w:val="000000"/>
          <w:lang w:eastAsia="bg-BG"/>
        </w:rPr>
        <w:t xml:space="preserve"> </w:t>
      </w:r>
      <w:proofErr w:type="spellStart"/>
      <w:r w:rsidRPr="00841049">
        <w:rPr>
          <w:rFonts w:eastAsia="Times New Roman" w:cs="Arial"/>
          <w:color w:val="000000"/>
          <w:lang w:eastAsia="bg-BG"/>
        </w:rPr>
        <w:t>неутропения</w:t>
      </w:r>
      <w:proofErr w:type="spellEnd"/>
      <w:r w:rsidRPr="00841049">
        <w:rPr>
          <w:rFonts w:eastAsia="Times New Roman" w:cs="Arial"/>
          <w:color w:val="000000"/>
          <w:lang w:eastAsia="bg-BG"/>
        </w:rPr>
        <w:t xml:space="preserve"> (8,0 %) и анемия (2,3 %), които също така са съобщени в подкрепящите проучвания </w:t>
      </w:r>
      <w:r w:rsidRPr="00B712C2">
        <w:rPr>
          <w:rFonts w:eastAsia="Times New Roman" w:cs="Arial"/>
          <w:color w:val="000000"/>
          <w:lang w:val="ru-RU"/>
        </w:rPr>
        <w:t>(</w:t>
      </w:r>
      <w:r w:rsidRPr="00841049">
        <w:rPr>
          <w:rFonts w:eastAsia="Times New Roman" w:cs="Arial"/>
          <w:color w:val="000000"/>
          <w:lang w:val="en-US"/>
        </w:rPr>
        <w:t>CALGB</w:t>
      </w:r>
      <w:r w:rsidRPr="00B712C2">
        <w:rPr>
          <w:rFonts w:eastAsia="Times New Roman" w:cs="Arial"/>
          <w:color w:val="000000"/>
          <w:lang w:val="ru-RU"/>
        </w:rPr>
        <w:t xml:space="preserve"> </w:t>
      </w:r>
      <w:r w:rsidRPr="00841049">
        <w:rPr>
          <w:rFonts w:eastAsia="Times New Roman" w:cs="Arial"/>
          <w:color w:val="000000"/>
          <w:lang w:eastAsia="bg-BG"/>
        </w:rPr>
        <w:t xml:space="preserve">9221 и </w:t>
      </w:r>
      <w:r w:rsidRPr="00841049">
        <w:rPr>
          <w:rFonts w:eastAsia="Times New Roman" w:cs="Arial"/>
          <w:color w:val="000000"/>
          <w:lang w:val="en-US"/>
        </w:rPr>
        <w:t>CALGB</w:t>
      </w:r>
      <w:r w:rsidRPr="00B712C2">
        <w:rPr>
          <w:rFonts w:eastAsia="Times New Roman" w:cs="Arial"/>
          <w:color w:val="000000"/>
          <w:lang w:val="ru-RU"/>
        </w:rPr>
        <w:t xml:space="preserve"> </w:t>
      </w:r>
      <w:r w:rsidRPr="00841049">
        <w:rPr>
          <w:rFonts w:eastAsia="Times New Roman" w:cs="Arial"/>
          <w:color w:val="000000"/>
          <w:lang w:eastAsia="bg-BG"/>
        </w:rPr>
        <w:t>8921). Други сериозни нежелани реакции от тези 3 проучвания включват инфекции като неутропеничен сепсис (0,8%) и пневмония (2,5%) (някои с летален изход), тромбоцитопения (3,5%), реакции на свръхчувствителност (0,25%) и кръвоизливи (напр. мозъчен кръвоизлив [0,5%], стомашно- чревен кръвоизлив [0,8%] и интракраниален кръвоизлив [0,5%])).</w:t>
      </w:r>
    </w:p>
    <w:p w14:paraId="3A27F402" w14:textId="77777777" w:rsidR="00841049" w:rsidRPr="00841049" w:rsidRDefault="00841049" w:rsidP="00841049">
      <w:pPr>
        <w:spacing w:line="240" w:lineRule="auto"/>
        <w:rPr>
          <w:rFonts w:eastAsia="Times New Roman" w:cs="Arial"/>
          <w:color w:val="000000"/>
          <w:lang w:eastAsia="bg-BG"/>
        </w:rPr>
      </w:pPr>
    </w:p>
    <w:p w14:paraId="17EDE5C1" w14:textId="68B31B3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Най-често съобщаваните нежелани реакции при лечение с азацитидин са хематологични реакции (71,4 %), включващи тромбоцитопения, неутропения и левкопения (обикновено 3-та- 4-та степен), стомашно-чревни нарушения (60,6 %) включващи гадене, повръщане (обикновено 1-ва-2-ра степен) или реакции на мястото на инжектиране (77,1 %; обикновено 1-ва-2-ра степен).</w:t>
      </w:r>
    </w:p>
    <w:p w14:paraId="15A89E84" w14:textId="77777777" w:rsidR="00841049" w:rsidRPr="00841049" w:rsidRDefault="00841049" w:rsidP="00841049">
      <w:pPr>
        <w:spacing w:line="240" w:lineRule="auto"/>
        <w:rPr>
          <w:rFonts w:eastAsia="Times New Roman" w:cs="Arial"/>
          <w:i/>
          <w:iCs/>
          <w:color w:val="000000"/>
          <w:lang w:eastAsia="bg-BG"/>
        </w:rPr>
      </w:pPr>
    </w:p>
    <w:p w14:paraId="1C93D589" w14:textId="29C8C134" w:rsidR="00841049" w:rsidRPr="00841049" w:rsidRDefault="00841049" w:rsidP="00841049">
      <w:pPr>
        <w:spacing w:line="240" w:lineRule="auto"/>
        <w:rPr>
          <w:rFonts w:eastAsia="Times New Roman" w:cs="Arial"/>
          <w:sz w:val="24"/>
          <w:szCs w:val="24"/>
          <w:lang w:eastAsia="bg-BG"/>
        </w:rPr>
      </w:pPr>
      <w:r w:rsidRPr="00841049">
        <w:rPr>
          <w:rFonts w:eastAsia="Times New Roman" w:cs="Arial"/>
          <w:i/>
          <w:iCs/>
          <w:color w:val="000000"/>
          <w:lang w:eastAsia="bg-BG"/>
        </w:rPr>
        <w:t>Възрастна популация на възраст 65 или повече години с ОМЛ с &gt; 30% костномозъчни бласти</w:t>
      </w:r>
    </w:p>
    <w:p w14:paraId="353125B1" w14:textId="77777777" w:rsidR="00841049" w:rsidRPr="00841049" w:rsidRDefault="00841049" w:rsidP="00841049">
      <w:pPr>
        <w:rPr>
          <w:rFonts w:eastAsia="Times New Roman" w:cs="Arial"/>
          <w:sz w:val="24"/>
          <w:szCs w:val="24"/>
          <w:lang w:eastAsia="bg-BG"/>
        </w:rPr>
      </w:pPr>
      <w:r w:rsidRPr="00841049">
        <w:rPr>
          <w:rFonts w:eastAsia="Times New Roman" w:cs="Arial"/>
          <w:color w:val="000000"/>
          <w:lang w:eastAsia="bg-BG"/>
        </w:rPr>
        <w:t xml:space="preserve">Най-честите сериозни нежелани реакции (≥ 10%), констатирани при </w:t>
      </w:r>
      <w:r w:rsidRPr="00841049">
        <w:rPr>
          <w:rFonts w:eastAsia="Times New Roman" w:cs="Arial"/>
          <w:color w:val="000000"/>
          <w:lang w:val="en-US"/>
        </w:rPr>
        <w:t>AZA</w:t>
      </w:r>
      <w:r w:rsidRPr="00B712C2">
        <w:rPr>
          <w:rFonts w:eastAsia="Times New Roman" w:cs="Arial"/>
          <w:color w:val="000000"/>
          <w:lang w:val="ru-RU"/>
        </w:rPr>
        <w:t>-</w:t>
      </w:r>
      <w:r w:rsidRPr="00841049">
        <w:rPr>
          <w:rFonts w:eastAsia="Times New Roman" w:cs="Arial"/>
          <w:color w:val="000000"/>
          <w:lang w:val="en-US"/>
        </w:rPr>
        <w:t>AML</w:t>
      </w:r>
      <w:r w:rsidRPr="00B712C2">
        <w:rPr>
          <w:rFonts w:eastAsia="Times New Roman" w:cs="Arial"/>
          <w:color w:val="000000"/>
          <w:lang w:val="ru-RU"/>
        </w:rPr>
        <w:t xml:space="preserve">-001 </w:t>
      </w:r>
      <w:r w:rsidRPr="00841049">
        <w:rPr>
          <w:rFonts w:eastAsia="Times New Roman" w:cs="Arial"/>
          <w:color w:val="000000"/>
          <w:lang w:eastAsia="bg-BG"/>
        </w:rPr>
        <w:t xml:space="preserve">в групата на лечение с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включват </w:t>
      </w:r>
      <w:proofErr w:type="spellStart"/>
      <w:r w:rsidRPr="00841049">
        <w:rPr>
          <w:rFonts w:eastAsia="Times New Roman" w:cs="Arial"/>
          <w:color w:val="000000"/>
          <w:lang w:eastAsia="bg-BG"/>
        </w:rPr>
        <w:t>фебрилна</w:t>
      </w:r>
      <w:proofErr w:type="spellEnd"/>
      <w:r w:rsidRPr="00841049">
        <w:rPr>
          <w:rFonts w:eastAsia="Times New Roman" w:cs="Arial"/>
          <w:color w:val="000000"/>
          <w:lang w:eastAsia="bg-BG"/>
        </w:rPr>
        <w:t xml:space="preserve"> </w:t>
      </w:r>
      <w:proofErr w:type="spellStart"/>
      <w:r w:rsidRPr="00841049">
        <w:rPr>
          <w:rFonts w:eastAsia="Times New Roman" w:cs="Arial"/>
          <w:color w:val="000000"/>
          <w:lang w:eastAsia="bg-BG"/>
        </w:rPr>
        <w:t>неутропения</w:t>
      </w:r>
      <w:proofErr w:type="spellEnd"/>
      <w:r w:rsidRPr="00841049">
        <w:rPr>
          <w:rFonts w:eastAsia="Times New Roman" w:cs="Arial"/>
          <w:color w:val="000000"/>
          <w:lang w:eastAsia="bg-BG"/>
        </w:rPr>
        <w:t xml:space="preserve"> (25,0%), пневмония (20,3%) и </w:t>
      </w:r>
      <w:proofErr w:type="spellStart"/>
      <w:r w:rsidRPr="00841049">
        <w:rPr>
          <w:rFonts w:eastAsia="Times New Roman" w:cs="Arial"/>
          <w:color w:val="000000"/>
          <w:lang w:eastAsia="bg-BG"/>
        </w:rPr>
        <w:t>пирексия</w:t>
      </w:r>
      <w:proofErr w:type="spellEnd"/>
      <w:r w:rsidRPr="00841049">
        <w:rPr>
          <w:rFonts w:eastAsia="Times New Roman" w:cs="Arial"/>
          <w:color w:val="000000"/>
          <w:lang w:eastAsia="bg-BG"/>
        </w:rPr>
        <w:t xml:space="preserve"> (10,6%). Други не толкова често съобщавани сериозни нежелани реакции в </w:t>
      </w:r>
      <w:proofErr w:type="spellStart"/>
      <w:r w:rsidRPr="00841049">
        <w:rPr>
          <w:rFonts w:eastAsia="Times New Roman" w:cs="Arial"/>
          <w:color w:val="000000"/>
          <w:lang w:eastAsia="bg-BG"/>
        </w:rPr>
        <w:t>груцата</w:t>
      </w:r>
      <w:proofErr w:type="spellEnd"/>
      <w:r w:rsidRPr="00841049">
        <w:rPr>
          <w:rFonts w:eastAsia="Times New Roman" w:cs="Arial"/>
          <w:color w:val="000000"/>
          <w:lang w:eastAsia="bg-BG"/>
        </w:rPr>
        <w:t xml:space="preserve"> на лечение с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включват сепсис (5,1%), анемия (4,2%), </w:t>
      </w:r>
      <w:proofErr w:type="spellStart"/>
      <w:r w:rsidRPr="00841049">
        <w:rPr>
          <w:rFonts w:eastAsia="Times New Roman" w:cs="Arial"/>
          <w:color w:val="000000"/>
          <w:lang w:eastAsia="bg-BG"/>
        </w:rPr>
        <w:t>неутропичен</w:t>
      </w:r>
      <w:proofErr w:type="spellEnd"/>
      <w:r w:rsidRPr="00841049">
        <w:rPr>
          <w:rFonts w:eastAsia="Times New Roman" w:cs="Arial"/>
          <w:color w:val="000000"/>
          <w:lang w:eastAsia="bg-BG"/>
        </w:rPr>
        <w:t xml:space="preserve"> </w:t>
      </w:r>
      <w:proofErr w:type="spellStart"/>
      <w:r w:rsidRPr="00841049">
        <w:rPr>
          <w:rFonts w:eastAsia="Times New Roman" w:cs="Arial"/>
          <w:color w:val="000000"/>
          <w:lang w:eastAsia="bg-BG"/>
        </w:rPr>
        <w:t>сепси</w:t>
      </w:r>
      <w:proofErr w:type="spellEnd"/>
      <w:r w:rsidRPr="00B712C2">
        <w:rPr>
          <w:rFonts w:eastAsia="Times New Roman" w:cs="Arial"/>
          <w:color w:val="000000"/>
          <w:lang w:val="ru-RU"/>
        </w:rPr>
        <w:t xml:space="preserve"> (3,0%), </w:t>
      </w:r>
      <w:r w:rsidRPr="00841049">
        <w:rPr>
          <w:rFonts w:eastAsia="Times New Roman" w:cs="Arial"/>
          <w:color w:val="000000"/>
          <w:lang w:eastAsia="bg-BG"/>
        </w:rPr>
        <w:t xml:space="preserve">инфекция на пикочните пътища (3,0%), </w:t>
      </w:r>
      <w:proofErr w:type="spellStart"/>
      <w:r w:rsidRPr="00841049">
        <w:rPr>
          <w:rFonts w:eastAsia="Times New Roman" w:cs="Arial"/>
          <w:color w:val="000000"/>
          <w:lang w:eastAsia="bg-BG"/>
        </w:rPr>
        <w:t>тромбоцитопения</w:t>
      </w:r>
      <w:proofErr w:type="spellEnd"/>
      <w:r w:rsidRPr="00841049">
        <w:rPr>
          <w:rFonts w:eastAsia="Times New Roman" w:cs="Arial"/>
          <w:color w:val="000000"/>
          <w:lang w:eastAsia="bg-BG"/>
        </w:rPr>
        <w:t xml:space="preserve"> (2,5%), </w:t>
      </w:r>
      <w:proofErr w:type="spellStart"/>
      <w:r w:rsidRPr="00841049">
        <w:rPr>
          <w:rFonts w:eastAsia="Times New Roman" w:cs="Arial"/>
          <w:color w:val="000000"/>
          <w:lang w:eastAsia="bg-BG"/>
        </w:rPr>
        <w:t>неутропения</w:t>
      </w:r>
      <w:proofErr w:type="spellEnd"/>
      <w:r w:rsidRPr="00841049">
        <w:rPr>
          <w:rFonts w:eastAsia="Times New Roman" w:cs="Arial"/>
          <w:color w:val="000000"/>
          <w:lang w:eastAsia="bg-BG"/>
        </w:rPr>
        <w:t xml:space="preserve"> (2,1%), целулит (2,1%), замаяност (2,1%) </w:t>
      </w:r>
      <w:proofErr w:type="spellStart"/>
      <w:r w:rsidRPr="00841049">
        <w:rPr>
          <w:rFonts w:eastAsia="Times New Roman" w:cs="Arial"/>
          <w:color w:val="000000"/>
          <w:lang w:eastAsia="bg-BG"/>
        </w:rPr>
        <w:t>идиспнея</w:t>
      </w:r>
      <w:proofErr w:type="spellEnd"/>
      <w:r w:rsidRPr="00841049">
        <w:rPr>
          <w:rFonts w:eastAsia="Times New Roman" w:cs="Arial"/>
          <w:color w:val="000000"/>
          <w:lang w:eastAsia="bg-BG"/>
        </w:rPr>
        <w:t xml:space="preserve"> (2,1%).</w:t>
      </w:r>
    </w:p>
    <w:p w14:paraId="63D85EDE" w14:textId="77777777" w:rsidR="00841049" w:rsidRPr="00841049" w:rsidRDefault="00841049" w:rsidP="00841049">
      <w:pPr>
        <w:spacing w:line="240" w:lineRule="auto"/>
        <w:rPr>
          <w:rFonts w:eastAsia="Times New Roman" w:cs="Arial"/>
          <w:color w:val="000000"/>
          <w:lang w:eastAsia="bg-BG"/>
        </w:rPr>
      </w:pPr>
    </w:p>
    <w:p w14:paraId="397FD0D7" w14:textId="7032B1B5"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Най-често съобщаваните (≥</w:t>
      </w:r>
      <w:r w:rsidRPr="00B712C2">
        <w:rPr>
          <w:rFonts w:eastAsia="Times New Roman" w:cs="Arial"/>
          <w:color w:val="000000"/>
          <w:lang w:val="ru-RU"/>
        </w:rPr>
        <w:t xml:space="preserve"> </w:t>
      </w:r>
      <w:r w:rsidRPr="00841049">
        <w:rPr>
          <w:rFonts w:eastAsia="Times New Roman" w:cs="Arial"/>
          <w:color w:val="000000"/>
          <w:lang w:eastAsia="bg-BG"/>
        </w:rPr>
        <w:t>30%) нежелани реакции при лечението с азацитидин са стомашно-чревни събития, включително запек (41,9%), гадене (39,8%) и диария (36,9%), (обикновено 1 -ва-2-ра степен), общи нарушения и ефекти на мястото на приложение, включващи пирексия (37,7%; обикновено 1-ва-2-ра степен) и хематологични събития, включващи фебрилна неутропения (32,2%) и неутропения (30,1%), (обикновено З-та-4-та степен).</w:t>
      </w:r>
    </w:p>
    <w:p w14:paraId="56A0C1AB" w14:textId="77777777" w:rsidR="00841049" w:rsidRPr="00841049" w:rsidRDefault="00841049" w:rsidP="00841049">
      <w:pPr>
        <w:spacing w:line="240" w:lineRule="auto"/>
        <w:rPr>
          <w:rFonts w:eastAsia="Times New Roman" w:cs="Arial"/>
          <w:color w:val="000000"/>
          <w:u w:val="single"/>
          <w:lang w:eastAsia="bg-BG"/>
        </w:rPr>
      </w:pPr>
    </w:p>
    <w:p w14:paraId="777BA444" w14:textId="335B74E8"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u w:val="single"/>
          <w:lang w:eastAsia="bg-BG"/>
        </w:rPr>
        <w:t>Списък на нежеланите реакции в табличен вид</w:t>
      </w:r>
    </w:p>
    <w:p w14:paraId="5D59AE93"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lastRenderedPageBreak/>
        <w:t>Таблица 1 по-долу съдържа нежелани реакции, свързани с лечението с азацитидин, получени от основните клинични проучвания при МДС и ОМЛ и наблюдение след пускането на пазара.</w:t>
      </w:r>
    </w:p>
    <w:p w14:paraId="1B4B16AA" w14:textId="77777777" w:rsidR="00841049" w:rsidRPr="00841049" w:rsidRDefault="00841049" w:rsidP="00841049">
      <w:pPr>
        <w:spacing w:line="240" w:lineRule="auto"/>
        <w:rPr>
          <w:rFonts w:eastAsia="Times New Roman" w:cs="Arial"/>
          <w:color w:val="000000"/>
          <w:lang w:eastAsia="bg-BG"/>
        </w:rPr>
      </w:pPr>
    </w:p>
    <w:p w14:paraId="548B3091" w14:textId="7EBC5D0F"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Честотите се дефинират като: много чести (≥ 1/10), чести (≥ 1/100 до &lt; 1/10); нечести (≥ 1/1000 до &lt; 1/100); редки (≥ 1/10 000 до &lt; 1/1000); много редки (&lt; 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 Нежеланите реакции са представени в таблицата по-долу според най-високата честота, наблюдавана в което и да е от основните клинични проучвания.</w:t>
      </w:r>
    </w:p>
    <w:p w14:paraId="11E9046D" w14:textId="77777777" w:rsidR="00841049" w:rsidRPr="00841049" w:rsidRDefault="00841049" w:rsidP="00841049">
      <w:pPr>
        <w:rPr>
          <w:rFonts w:eastAsia="Times New Roman" w:cs="Arial"/>
          <w:b/>
          <w:bCs/>
          <w:color w:val="000000"/>
          <w:lang w:eastAsia="bg-BG"/>
        </w:rPr>
      </w:pPr>
    </w:p>
    <w:p w14:paraId="570508C4" w14:textId="0D6C619A" w:rsidR="0091385D" w:rsidRPr="00841049" w:rsidRDefault="00841049" w:rsidP="00841049">
      <w:pPr>
        <w:rPr>
          <w:rFonts w:cs="Arial"/>
        </w:rPr>
      </w:pPr>
      <w:r w:rsidRPr="00841049">
        <w:rPr>
          <w:rFonts w:eastAsia="Times New Roman" w:cs="Arial"/>
          <w:b/>
          <w:bCs/>
          <w:color w:val="000000"/>
          <w:lang w:eastAsia="bg-BG"/>
        </w:rPr>
        <w:t>Таблица 1: НЛР, съобщени при пациенти с МДС или ОМЛ, лекувани с азацитидин (клинични проучвания и постмаркетингов опит)</w:t>
      </w:r>
    </w:p>
    <w:p w14:paraId="43E3C48F" w14:textId="74A709B8" w:rsidR="0091385D" w:rsidRDefault="0091385D" w:rsidP="0091385D"/>
    <w:tbl>
      <w:tblPr>
        <w:tblStyle w:val="TableGrid"/>
        <w:tblW w:w="0" w:type="auto"/>
        <w:tblLook w:val="04A0" w:firstRow="1" w:lastRow="0" w:firstColumn="1" w:lastColumn="0" w:noHBand="0" w:noVBand="1"/>
      </w:tblPr>
      <w:tblGrid>
        <w:gridCol w:w="1716"/>
        <w:gridCol w:w="1576"/>
        <w:gridCol w:w="1670"/>
        <w:gridCol w:w="1620"/>
        <w:gridCol w:w="1362"/>
        <w:gridCol w:w="1406"/>
      </w:tblGrid>
      <w:tr w:rsidR="00841049" w14:paraId="235105FE" w14:textId="77777777" w:rsidTr="00841049">
        <w:tc>
          <w:tcPr>
            <w:tcW w:w="1712" w:type="dxa"/>
          </w:tcPr>
          <w:p w14:paraId="514EA661" w14:textId="139DD652" w:rsidR="00841049" w:rsidRDefault="00841049" w:rsidP="00841049">
            <w:r>
              <w:rPr>
                <w:b/>
                <w:bCs/>
              </w:rPr>
              <w:t>Системо- органни класове</w:t>
            </w:r>
          </w:p>
        </w:tc>
        <w:tc>
          <w:tcPr>
            <w:tcW w:w="1662" w:type="dxa"/>
          </w:tcPr>
          <w:p w14:paraId="5151B5E0" w14:textId="2933CE86" w:rsidR="00841049" w:rsidRDefault="00841049" w:rsidP="00841049">
            <w:r>
              <w:rPr>
                <w:b/>
                <w:bCs/>
              </w:rPr>
              <w:t>Много чести</w:t>
            </w:r>
          </w:p>
        </w:tc>
        <w:tc>
          <w:tcPr>
            <w:tcW w:w="1772" w:type="dxa"/>
          </w:tcPr>
          <w:p w14:paraId="46BB2120" w14:textId="4386B023" w:rsidR="00841049" w:rsidRDefault="00841049" w:rsidP="00841049">
            <w:r>
              <w:rPr>
                <w:b/>
                <w:bCs/>
              </w:rPr>
              <w:t>Чести</w:t>
            </w:r>
          </w:p>
        </w:tc>
        <w:tc>
          <w:tcPr>
            <w:tcW w:w="1495" w:type="dxa"/>
          </w:tcPr>
          <w:p w14:paraId="13F29ECC" w14:textId="2120172B" w:rsidR="00841049" w:rsidRDefault="00841049" w:rsidP="00841049">
            <w:r>
              <w:rPr>
                <w:b/>
                <w:bCs/>
              </w:rPr>
              <w:t>Нечести</w:t>
            </w:r>
          </w:p>
        </w:tc>
        <w:tc>
          <w:tcPr>
            <w:tcW w:w="1444" w:type="dxa"/>
          </w:tcPr>
          <w:p w14:paraId="5DC2A73D" w14:textId="6725880A" w:rsidR="00841049" w:rsidRDefault="00841049" w:rsidP="00841049">
            <w:r>
              <w:rPr>
                <w:b/>
                <w:bCs/>
              </w:rPr>
              <w:t>Редки</w:t>
            </w:r>
          </w:p>
        </w:tc>
        <w:tc>
          <w:tcPr>
            <w:tcW w:w="1491" w:type="dxa"/>
            <w:vAlign w:val="center"/>
          </w:tcPr>
          <w:p w14:paraId="0F96B2AB" w14:textId="25E0C30C" w:rsidR="00841049" w:rsidRDefault="00841049" w:rsidP="00841049">
            <w:r>
              <w:rPr>
                <w:b/>
                <w:bCs/>
              </w:rPr>
              <w:t>неизвестна честота</w:t>
            </w:r>
          </w:p>
        </w:tc>
      </w:tr>
      <w:tr w:rsidR="00841049" w14:paraId="68D3B0B6" w14:textId="77777777" w:rsidTr="00841049">
        <w:tc>
          <w:tcPr>
            <w:tcW w:w="1712" w:type="dxa"/>
          </w:tcPr>
          <w:p w14:paraId="765F99C4" w14:textId="3AA76DEA" w:rsidR="00841049" w:rsidRDefault="00841049" w:rsidP="00841049">
            <w:r>
              <w:rPr>
                <w:b/>
                <w:bCs/>
              </w:rPr>
              <w:t>Инфекции и инфестации</w:t>
            </w:r>
          </w:p>
        </w:tc>
        <w:tc>
          <w:tcPr>
            <w:tcW w:w="1662" w:type="dxa"/>
          </w:tcPr>
          <w:p w14:paraId="4C9AF2C2" w14:textId="44307995" w:rsidR="00841049" w:rsidRDefault="00841049" w:rsidP="00841049">
            <w:r>
              <w:t>пневмония* (включително бактериална, вирусна и гъбична), назофарингит</w:t>
            </w:r>
          </w:p>
        </w:tc>
        <w:tc>
          <w:tcPr>
            <w:tcW w:w="1772" w:type="dxa"/>
          </w:tcPr>
          <w:p w14:paraId="6F5FCE5F" w14:textId="12B51F39" w:rsidR="00841049" w:rsidRDefault="00841049" w:rsidP="00841049">
            <w:r>
              <w:t>сепсис* (включително бактериален, вирусен и гъбичен), неутропеничен сепсис*, инфекция на дихателните пътища (включително на горните пътища и бронхит), инфекция на пикочните пътища, целулит, дивертикулит, гьбична инфекция на устната кухина, синузит, фарингит, ринит, херпес симплекс, кожна инфекция</w:t>
            </w:r>
          </w:p>
        </w:tc>
        <w:tc>
          <w:tcPr>
            <w:tcW w:w="1495" w:type="dxa"/>
          </w:tcPr>
          <w:p w14:paraId="497D00CE" w14:textId="77777777" w:rsidR="00841049" w:rsidRDefault="00841049" w:rsidP="00841049"/>
        </w:tc>
        <w:tc>
          <w:tcPr>
            <w:tcW w:w="1444" w:type="dxa"/>
          </w:tcPr>
          <w:p w14:paraId="5B94C70F" w14:textId="77777777" w:rsidR="00841049" w:rsidRDefault="00841049" w:rsidP="00841049"/>
        </w:tc>
        <w:tc>
          <w:tcPr>
            <w:tcW w:w="1491" w:type="dxa"/>
          </w:tcPr>
          <w:p w14:paraId="75A57DB0" w14:textId="497B9C3B" w:rsidR="00841049" w:rsidRDefault="00841049" w:rsidP="00841049">
            <w:r>
              <w:t>некротизиращ фасциит*</w:t>
            </w:r>
          </w:p>
        </w:tc>
      </w:tr>
      <w:tr w:rsidR="00841049" w14:paraId="09805496" w14:textId="77777777" w:rsidTr="00841049">
        <w:tc>
          <w:tcPr>
            <w:tcW w:w="1712" w:type="dxa"/>
          </w:tcPr>
          <w:p w14:paraId="1C2F25FD" w14:textId="26256B10" w:rsidR="00841049" w:rsidRDefault="00841049" w:rsidP="00841049">
            <w:r>
              <w:rPr>
                <w:b/>
                <w:bCs/>
              </w:rPr>
              <w:lastRenderedPageBreak/>
              <w:t>Нарушения на кръвта и лимфната система</w:t>
            </w:r>
          </w:p>
        </w:tc>
        <w:tc>
          <w:tcPr>
            <w:tcW w:w="1662" w:type="dxa"/>
          </w:tcPr>
          <w:p w14:paraId="57D115A7" w14:textId="0489004F" w:rsidR="00841049" w:rsidRDefault="00841049" w:rsidP="00841049">
            <w:r>
              <w:t>фебрилна неутропения*, неутропения, левкопения, тромбоцитопен</w:t>
            </w:r>
            <w:r>
              <w:softHyphen/>
              <w:t>ия, анемия</w:t>
            </w:r>
          </w:p>
        </w:tc>
        <w:tc>
          <w:tcPr>
            <w:tcW w:w="1772" w:type="dxa"/>
          </w:tcPr>
          <w:p w14:paraId="0B389118" w14:textId="16DD92B8" w:rsidR="00841049" w:rsidRDefault="00841049" w:rsidP="00841049">
            <w:r>
              <w:t>панцитопения*, костномозъчна недостатъчност</w:t>
            </w:r>
          </w:p>
        </w:tc>
        <w:tc>
          <w:tcPr>
            <w:tcW w:w="1495" w:type="dxa"/>
          </w:tcPr>
          <w:p w14:paraId="14230F00" w14:textId="77777777" w:rsidR="00841049" w:rsidRDefault="00841049" w:rsidP="00841049"/>
        </w:tc>
        <w:tc>
          <w:tcPr>
            <w:tcW w:w="1444" w:type="dxa"/>
          </w:tcPr>
          <w:p w14:paraId="20033F34" w14:textId="77777777" w:rsidR="00841049" w:rsidRDefault="00841049" w:rsidP="00841049"/>
        </w:tc>
        <w:tc>
          <w:tcPr>
            <w:tcW w:w="1491" w:type="dxa"/>
          </w:tcPr>
          <w:p w14:paraId="379C7D51" w14:textId="77777777" w:rsidR="00841049" w:rsidRDefault="00841049" w:rsidP="00841049"/>
        </w:tc>
      </w:tr>
      <w:tr w:rsidR="00841049" w14:paraId="14942336" w14:textId="77777777" w:rsidTr="00841049">
        <w:tc>
          <w:tcPr>
            <w:tcW w:w="1712" w:type="dxa"/>
          </w:tcPr>
          <w:p w14:paraId="1B39AEE6" w14:textId="4D526347" w:rsidR="00841049" w:rsidRDefault="00841049" w:rsidP="00841049">
            <w:r>
              <w:rPr>
                <w:b/>
                <w:bCs/>
              </w:rPr>
              <w:t>Нарушения на имунната система</w:t>
            </w:r>
          </w:p>
        </w:tc>
        <w:tc>
          <w:tcPr>
            <w:tcW w:w="1662" w:type="dxa"/>
          </w:tcPr>
          <w:p w14:paraId="0EF76E12" w14:textId="77777777" w:rsidR="00841049" w:rsidRDefault="00841049" w:rsidP="00841049"/>
        </w:tc>
        <w:tc>
          <w:tcPr>
            <w:tcW w:w="1772" w:type="dxa"/>
          </w:tcPr>
          <w:p w14:paraId="45466B13" w14:textId="77777777" w:rsidR="00841049" w:rsidRDefault="00841049" w:rsidP="00841049"/>
        </w:tc>
        <w:tc>
          <w:tcPr>
            <w:tcW w:w="1495" w:type="dxa"/>
          </w:tcPr>
          <w:p w14:paraId="39869D22" w14:textId="6CB76ABD" w:rsidR="00841049" w:rsidRDefault="00841049" w:rsidP="00841049">
            <w:r>
              <w:t>реакции на свръхчувстви</w:t>
            </w:r>
            <w:r>
              <w:softHyphen/>
              <w:t>телност</w:t>
            </w:r>
          </w:p>
        </w:tc>
        <w:tc>
          <w:tcPr>
            <w:tcW w:w="1444" w:type="dxa"/>
          </w:tcPr>
          <w:p w14:paraId="7C46E409" w14:textId="77777777" w:rsidR="00841049" w:rsidRDefault="00841049" w:rsidP="00841049"/>
        </w:tc>
        <w:tc>
          <w:tcPr>
            <w:tcW w:w="1491" w:type="dxa"/>
          </w:tcPr>
          <w:p w14:paraId="46A7206F" w14:textId="77777777" w:rsidR="00841049" w:rsidRDefault="00841049" w:rsidP="00841049"/>
        </w:tc>
      </w:tr>
      <w:tr w:rsidR="00841049" w14:paraId="1D88F1A0" w14:textId="77777777" w:rsidTr="00841049">
        <w:tc>
          <w:tcPr>
            <w:tcW w:w="1712" w:type="dxa"/>
          </w:tcPr>
          <w:p w14:paraId="12177CC7" w14:textId="34A92BC3" w:rsidR="00841049" w:rsidRDefault="00841049" w:rsidP="00841049">
            <w:r>
              <w:rPr>
                <w:b/>
                <w:bCs/>
              </w:rPr>
              <w:t>Нарушения на метаболизма и храненето</w:t>
            </w:r>
          </w:p>
        </w:tc>
        <w:tc>
          <w:tcPr>
            <w:tcW w:w="1662" w:type="dxa"/>
          </w:tcPr>
          <w:p w14:paraId="2A1A8D93" w14:textId="5900A730" w:rsidR="00841049" w:rsidRDefault="00841049" w:rsidP="00841049">
            <w:r>
              <w:t>анорексия, понижен апетит, хипокалиемия</w:t>
            </w:r>
          </w:p>
        </w:tc>
        <w:tc>
          <w:tcPr>
            <w:tcW w:w="1772" w:type="dxa"/>
          </w:tcPr>
          <w:p w14:paraId="57B60B7B" w14:textId="091AC3FE" w:rsidR="00841049" w:rsidRDefault="00841049" w:rsidP="00841049">
            <w:r>
              <w:t>дехидратация</w:t>
            </w:r>
          </w:p>
        </w:tc>
        <w:tc>
          <w:tcPr>
            <w:tcW w:w="1495" w:type="dxa"/>
          </w:tcPr>
          <w:p w14:paraId="7DE347AB" w14:textId="77777777" w:rsidR="00841049" w:rsidRDefault="00841049" w:rsidP="00841049"/>
        </w:tc>
        <w:tc>
          <w:tcPr>
            <w:tcW w:w="1444" w:type="dxa"/>
          </w:tcPr>
          <w:p w14:paraId="13417119" w14:textId="62DD9BCC" w:rsidR="00841049" w:rsidRDefault="00841049" w:rsidP="00841049">
            <w:r>
              <w:t>тумор-лизис синдром</w:t>
            </w:r>
          </w:p>
        </w:tc>
        <w:tc>
          <w:tcPr>
            <w:tcW w:w="1491" w:type="dxa"/>
          </w:tcPr>
          <w:p w14:paraId="509C76DE" w14:textId="77777777" w:rsidR="00841049" w:rsidRDefault="00841049" w:rsidP="00841049"/>
        </w:tc>
      </w:tr>
      <w:tr w:rsidR="00841049" w14:paraId="4BB684CF" w14:textId="77777777" w:rsidTr="00841049">
        <w:tc>
          <w:tcPr>
            <w:tcW w:w="1712" w:type="dxa"/>
          </w:tcPr>
          <w:p w14:paraId="29AA4BD6" w14:textId="6AAEC79C" w:rsidR="00841049" w:rsidRDefault="00841049" w:rsidP="00841049">
            <w:r>
              <w:rPr>
                <w:b/>
                <w:bCs/>
              </w:rPr>
              <w:t>Психични нарушения</w:t>
            </w:r>
          </w:p>
        </w:tc>
        <w:tc>
          <w:tcPr>
            <w:tcW w:w="1662" w:type="dxa"/>
          </w:tcPr>
          <w:p w14:paraId="052C19E0" w14:textId="4E2C9818" w:rsidR="00841049" w:rsidRDefault="00841049" w:rsidP="00841049">
            <w:r>
              <w:t>безсъние</w:t>
            </w:r>
          </w:p>
        </w:tc>
        <w:tc>
          <w:tcPr>
            <w:tcW w:w="1772" w:type="dxa"/>
          </w:tcPr>
          <w:p w14:paraId="07E964A5" w14:textId="1FD3A431" w:rsidR="00841049" w:rsidRDefault="00841049" w:rsidP="00841049">
            <w:r>
              <w:t>състояние на обърканост, безпокойство</w:t>
            </w:r>
          </w:p>
        </w:tc>
        <w:tc>
          <w:tcPr>
            <w:tcW w:w="1495" w:type="dxa"/>
          </w:tcPr>
          <w:p w14:paraId="1FC6BF3F" w14:textId="77777777" w:rsidR="00841049" w:rsidRDefault="00841049" w:rsidP="00841049"/>
        </w:tc>
        <w:tc>
          <w:tcPr>
            <w:tcW w:w="1444" w:type="dxa"/>
          </w:tcPr>
          <w:p w14:paraId="26A39B4C" w14:textId="77777777" w:rsidR="00841049" w:rsidRDefault="00841049" w:rsidP="00841049"/>
        </w:tc>
        <w:tc>
          <w:tcPr>
            <w:tcW w:w="1491" w:type="dxa"/>
          </w:tcPr>
          <w:p w14:paraId="6D896A0E" w14:textId="77777777" w:rsidR="00841049" w:rsidRDefault="00841049" w:rsidP="00841049"/>
        </w:tc>
      </w:tr>
      <w:tr w:rsidR="00841049" w14:paraId="6F4617D8" w14:textId="77777777" w:rsidTr="00841049">
        <w:tc>
          <w:tcPr>
            <w:tcW w:w="1712" w:type="dxa"/>
          </w:tcPr>
          <w:p w14:paraId="3411DE6E" w14:textId="154EAC9E" w:rsidR="00841049" w:rsidRDefault="00841049" w:rsidP="00841049">
            <w:r>
              <w:rPr>
                <w:b/>
                <w:bCs/>
              </w:rPr>
              <w:t>Нарушения на нервната система</w:t>
            </w:r>
          </w:p>
        </w:tc>
        <w:tc>
          <w:tcPr>
            <w:tcW w:w="1662" w:type="dxa"/>
          </w:tcPr>
          <w:p w14:paraId="2C8EE4A6" w14:textId="0640E173" w:rsidR="00841049" w:rsidRDefault="00841049" w:rsidP="00841049">
            <w:r>
              <w:t>замаяност, главоболие</w:t>
            </w:r>
          </w:p>
        </w:tc>
        <w:tc>
          <w:tcPr>
            <w:tcW w:w="1772" w:type="dxa"/>
          </w:tcPr>
          <w:p w14:paraId="00E6811C" w14:textId="0215A729" w:rsidR="00841049" w:rsidRDefault="00841049" w:rsidP="00841049">
            <w:r>
              <w:t>интракраниален кръвоизлив*, синкоп, сомнолентност, летаргия</w:t>
            </w:r>
          </w:p>
        </w:tc>
        <w:tc>
          <w:tcPr>
            <w:tcW w:w="1495" w:type="dxa"/>
          </w:tcPr>
          <w:p w14:paraId="25F3C99E" w14:textId="77777777" w:rsidR="00841049" w:rsidRDefault="00841049" w:rsidP="00841049"/>
        </w:tc>
        <w:tc>
          <w:tcPr>
            <w:tcW w:w="1444" w:type="dxa"/>
          </w:tcPr>
          <w:p w14:paraId="148A7FF4" w14:textId="77777777" w:rsidR="00841049" w:rsidRDefault="00841049" w:rsidP="00841049"/>
        </w:tc>
        <w:tc>
          <w:tcPr>
            <w:tcW w:w="1491" w:type="dxa"/>
          </w:tcPr>
          <w:p w14:paraId="205B728C" w14:textId="77777777" w:rsidR="00841049" w:rsidRDefault="00841049" w:rsidP="00841049"/>
        </w:tc>
      </w:tr>
      <w:tr w:rsidR="00841049" w14:paraId="1372DB3B" w14:textId="77777777" w:rsidTr="00841049">
        <w:tc>
          <w:tcPr>
            <w:tcW w:w="1712" w:type="dxa"/>
          </w:tcPr>
          <w:p w14:paraId="6F0DBDC1" w14:textId="1E144983" w:rsidR="00841049" w:rsidRDefault="00841049" w:rsidP="00841049">
            <w:r>
              <w:rPr>
                <w:b/>
                <w:bCs/>
              </w:rPr>
              <w:t>Нарушения на очите</w:t>
            </w:r>
          </w:p>
        </w:tc>
        <w:tc>
          <w:tcPr>
            <w:tcW w:w="1662" w:type="dxa"/>
          </w:tcPr>
          <w:p w14:paraId="7D357624" w14:textId="77777777" w:rsidR="00841049" w:rsidRDefault="00841049" w:rsidP="00841049"/>
        </w:tc>
        <w:tc>
          <w:tcPr>
            <w:tcW w:w="1772" w:type="dxa"/>
          </w:tcPr>
          <w:p w14:paraId="07024BFA" w14:textId="0B54FB30" w:rsidR="00841049" w:rsidRDefault="00841049" w:rsidP="00841049">
            <w:r>
              <w:t>ОЧНИ кръвоизливи, конюнктивални кръвоизливи</w:t>
            </w:r>
          </w:p>
        </w:tc>
        <w:tc>
          <w:tcPr>
            <w:tcW w:w="1495" w:type="dxa"/>
          </w:tcPr>
          <w:p w14:paraId="7E2963E6" w14:textId="77777777" w:rsidR="00841049" w:rsidRDefault="00841049" w:rsidP="00841049"/>
        </w:tc>
        <w:tc>
          <w:tcPr>
            <w:tcW w:w="1444" w:type="dxa"/>
          </w:tcPr>
          <w:p w14:paraId="14EA6398" w14:textId="77777777" w:rsidR="00841049" w:rsidRDefault="00841049" w:rsidP="00841049"/>
        </w:tc>
        <w:tc>
          <w:tcPr>
            <w:tcW w:w="1491" w:type="dxa"/>
          </w:tcPr>
          <w:p w14:paraId="7EFB8D90" w14:textId="77777777" w:rsidR="00841049" w:rsidRDefault="00841049" w:rsidP="00841049"/>
        </w:tc>
      </w:tr>
      <w:tr w:rsidR="00841049" w14:paraId="6424E278" w14:textId="77777777" w:rsidTr="00841049">
        <w:tc>
          <w:tcPr>
            <w:tcW w:w="1712" w:type="dxa"/>
            <w:vAlign w:val="bottom"/>
          </w:tcPr>
          <w:p w14:paraId="38511B1C" w14:textId="563516AF" w:rsidR="00841049" w:rsidRDefault="00841049" w:rsidP="00841049">
            <w:r>
              <w:rPr>
                <w:b/>
                <w:bCs/>
              </w:rPr>
              <w:t>Сърдечни нарушения</w:t>
            </w:r>
          </w:p>
        </w:tc>
        <w:tc>
          <w:tcPr>
            <w:tcW w:w="1662" w:type="dxa"/>
          </w:tcPr>
          <w:p w14:paraId="1A89CF40" w14:textId="77777777" w:rsidR="00841049" w:rsidRDefault="00841049" w:rsidP="00841049"/>
        </w:tc>
        <w:tc>
          <w:tcPr>
            <w:tcW w:w="1772" w:type="dxa"/>
            <w:vAlign w:val="bottom"/>
          </w:tcPr>
          <w:p w14:paraId="33E08811" w14:textId="4DB424E5" w:rsidR="00841049" w:rsidRDefault="00841049" w:rsidP="00841049">
            <w:r>
              <w:t>перикардиална ефузия</w:t>
            </w:r>
          </w:p>
        </w:tc>
        <w:tc>
          <w:tcPr>
            <w:tcW w:w="1495" w:type="dxa"/>
          </w:tcPr>
          <w:p w14:paraId="47D0C865" w14:textId="12F83F8F" w:rsidR="00841049" w:rsidRDefault="00841049" w:rsidP="00841049">
            <w:r>
              <w:t>перикардит</w:t>
            </w:r>
          </w:p>
        </w:tc>
        <w:tc>
          <w:tcPr>
            <w:tcW w:w="1444" w:type="dxa"/>
          </w:tcPr>
          <w:p w14:paraId="2FA4AAD3" w14:textId="77777777" w:rsidR="00841049" w:rsidRDefault="00841049" w:rsidP="00841049"/>
        </w:tc>
        <w:tc>
          <w:tcPr>
            <w:tcW w:w="1491" w:type="dxa"/>
          </w:tcPr>
          <w:p w14:paraId="5B3A3C37" w14:textId="77777777" w:rsidR="00841049" w:rsidRDefault="00841049" w:rsidP="00841049"/>
        </w:tc>
      </w:tr>
      <w:tr w:rsidR="00841049" w14:paraId="1A582E2B" w14:textId="77777777" w:rsidTr="00841049">
        <w:tc>
          <w:tcPr>
            <w:tcW w:w="1712" w:type="dxa"/>
          </w:tcPr>
          <w:p w14:paraId="76110349" w14:textId="58AB06AC" w:rsidR="00841049" w:rsidRDefault="00841049" w:rsidP="00841049">
            <w:r>
              <w:rPr>
                <w:b/>
                <w:bCs/>
              </w:rPr>
              <w:t>Съдови нарушения</w:t>
            </w:r>
          </w:p>
        </w:tc>
        <w:tc>
          <w:tcPr>
            <w:tcW w:w="1662" w:type="dxa"/>
          </w:tcPr>
          <w:p w14:paraId="05B804BB" w14:textId="77777777" w:rsidR="00841049" w:rsidRDefault="00841049" w:rsidP="00841049"/>
        </w:tc>
        <w:tc>
          <w:tcPr>
            <w:tcW w:w="1772" w:type="dxa"/>
            <w:vAlign w:val="bottom"/>
          </w:tcPr>
          <w:p w14:paraId="7F9A1B20" w14:textId="342BD764" w:rsidR="00841049" w:rsidRDefault="00841049" w:rsidP="00841049">
            <w:r>
              <w:t>хипотония*, хипертония, ортостатична хипотония, хематом</w:t>
            </w:r>
          </w:p>
        </w:tc>
        <w:tc>
          <w:tcPr>
            <w:tcW w:w="1495" w:type="dxa"/>
          </w:tcPr>
          <w:p w14:paraId="560F865F" w14:textId="77777777" w:rsidR="00841049" w:rsidRDefault="00841049" w:rsidP="00841049"/>
        </w:tc>
        <w:tc>
          <w:tcPr>
            <w:tcW w:w="1444" w:type="dxa"/>
          </w:tcPr>
          <w:p w14:paraId="2CA2CC25" w14:textId="77777777" w:rsidR="00841049" w:rsidRDefault="00841049" w:rsidP="00841049"/>
        </w:tc>
        <w:tc>
          <w:tcPr>
            <w:tcW w:w="1491" w:type="dxa"/>
          </w:tcPr>
          <w:p w14:paraId="7C7E74EA" w14:textId="77777777" w:rsidR="00841049" w:rsidRDefault="00841049" w:rsidP="00841049"/>
        </w:tc>
      </w:tr>
      <w:tr w:rsidR="00841049" w14:paraId="67EB7637" w14:textId="77777777" w:rsidTr="00841049">
        <w:tc>
          <w:tcPr>
            <w:tcW w:w="1712" w:type="dxa"/>
          </w:tcPr>
          <w:p w14:paraId="43EFF685" w14:textId="10F2E82E" w:rsidR="00841049" w:rsidRDefault="00841049" w:rsidP="00841049">
            <w:r>
              <w:rPr>
                <w:b/>
                <w:bCs/>
              </w:rPr>
              <w:t>Респираторни, гръдни и медиастинални нарушения</w:t>
            </w:r>
          </w:p>
        </w:tc>
        <w:tc>
          <w:tcPr>
            <w:tcW w:w="1662" w:type="dxa"/>
          </w:tcPr>
          <w:p w14:paraId="67D1306B" w14:textId="51C1DFD0" w:rsidR="00841049" w:rsidRDefault="00841049" w:rsidP="00841049">
            <w:r>
              <w:t>диспнея, епистаксис</w:t>
            </w:r>
          </w:p>
        </w:tc>
        <w:tc>
          <w:tcPr>
            <w:tcW w:w="1772" w:type="dxa"/>
          </w:tcPr>
          <w:p w14:paraId="5F3B6C7C" w14:textId="15B403C2" w:rsidR="00841049" w:rsidRDefault="00841049" w:rsidP="00841049">
            <w:r>
              <w:t>плеврален излив, диспнея при усилие, фаринго- ларингеална болка</w:t>
            </w:r>
          </w:p>
        </w:tc>
        <w:tc>
          <w:tcPr>
            <w:tcW w:w="1495" w:type="dxa"/>
          </w:tcPr>
          <w:p w14:paraId="05BDB54E" w14:textId="77777777" w:rsidR="00841049" w:rsidRDefault="00841049" w:rsidP="00841049"/>
        </w:tc>
        <w:tc>
          <w:tcPr>
            <w:tcW w:w="1444" w:type="dxa"/>
          </w:tcPr>
          <w:p w14:paraId="59E12629" w14:textId="3600F11C" w:rsidR="00841049" w:rsidRDefault="00841049" w:rsidP="00841049">
            <w:r>
              <w:t>Интерстициа- лно заболяване</w:t>
            </w:r>
          </w:p>
        </w:tc>
        <w:tc>
          <w:tcPr>
            <w:tcW w:w="1491" w:type="dxa"/>
          </w:tcPr>
          <w:p w14:paraId="2D81CEE8" w14:textId="77777777" w:rsidR="00841049" w:rsidRDefault="00841049" w:rsidP="00841049"/>
        </w:tc>
      </w:tr>
      <w:tr w:rsidR="00841049" w14:paraId="454D2ECC" w14:textId="77777777" w:rsidTr="00841049">
        <w:tc>
          <w:tcPr>
            <w:tcW w:w="1712" w:type="dxa"/>
          </w:tcPr>
          <w:p w14:paraId="4F231750" w14:textId="5D2E8B86" w:rsidR="00841049" w:rsidRDefault="00841049" w:rsidP="00841049">
            <w:r>
              <w:rPr>
                <w:b/>
                <w:bCs/>
              </w:rPr>
              <w:lastRenderedPageBreak/>
              <w:t>Стомашно- чревни нарушения</w:t>
            </w:r>
          </w:p>
        </w:tc>
        <w:tc>
          <w:tcPr>
            <w:tcW w:w="1662" w:type="dxa"/>
          </w:tcPr>
          <w:p w14:paraId="10423128" w14:textId="5DAB710A" w:rsidR="00841049" w:rsidRDefault="00841049" w:rsidP="00841049">
            <w:r>
              <w:t>диария, повръщане, запек, гадене, коремна болка (включва дискомфорт в горната част на корема)</w:t>
            </w:r>
          </w:p>
        </w:tc>
        <w:tc>
          <w:tcPr>
            <w:tcW w:w="1772" w:type="dxa"/>
          </w:tcPr>
          <w:p w14:paraId="56647DE2" w14:textId="151C72EA" w:rsidR="00841049" w:rsidRDefault="00841049" w:rsidP="00841049">
            <w:r>
              <w:t>стомашно-чревен кръвоизлив* (включително кръвоизлив в устата), кръвоизлив от хемороиди, стоматит, кървене от венците, диспепсия</w:t>
            </w:r>
          </w:p>
        </w:tc>
        <w:tc>
          <w:tcPr>
            <w:tcW w:w="1495" w:type="dxa"/>
          </w:tcPr>
          <w:p w14:paraId="683E2356" w14:textId="77777777" w:rsidR="00841049" w:rsidRDefault="00841049" w:rsidP="00841049"/>
        </w:tc>
        <w:tc>
          <w:tcPr>
            <w:tcW w:w="1444" w:type="dxa"/>
          </w:tcPr>
          <w:p w14:paraId="32DE8B16" w14:textId="77777777" w:rsidR="00841049" w:rsidRDefault="00841049" w:rsidP="00841049"/>
        </w:tc>
        <w:tc>
          <w:tcPr>
            <w:tcW w:w="1491" w:type="dxa"/>
          </w:tcPr>
          <w:p w14:paraId="1E8A939A" w14:textId="77777777" w:rsidR="00841049" w:rsidRDefault="00841049" w:rsidP="00841049"/>
        </w:tc>
      </w:tr>
      <w:tr w:rsidR="00841049" w14:paraId="53E6B0E1" w14:textId="77777777" w:rsidTr="00841049">
        <w:tc>
          <w:tcPr>
            <w:tcW w:w="1712" w:type="dxa"/>
          </w:tcPr>
          <w:p w14:paraId="3D091643" w14:textId="24EB7BA7" w:rsidR="00841049" w:rsidRPr="00841049" w:rsidRDefault="00841049" w:rsidP="00841049">
            <w:r w:rsidRPr="00841049">
              <w:rPr>
                <w:b/>
                <w:bCs/>
              </w:rPr>
              <w:t>Хепатобилиарни нарушения</w:t>
            </w:r>
          </w:p>
        </w:tc>
        <w:tc>
          <w:tcPr>
            <w:tcW w:w="1662" w:type="dxa"/>
          </w:tcPr>
          <w:p w14:paraId="20A7CD20" w14:textId="77777777" w:rsidR="00841049" w:rsidRPr="00841049" w:rsidRDefault="00841049" w:rsidP="00841049"/>
        </w:tc>
        <w:tc>
          <w:tcPr>
            <w:tcW w:w="1772" w:type="dxa"/>
          </w:tcPr>
          <w:p w14:paraId="607514B9" w14:textId="77777777" w:rsidR="00841049" w:rsidRPr="00841049" w:rsidRDefault="00841049" w:rsidP="00841049"/>
        </w:tc>
        <w:tc>
          <w:tcPr>
            <w:tcW w:w="1495" w:type="dxa"/>
          </w:tcPr>
          <w:p w14:paraId="06A8DDB8" w14:textId="78F374AE" w:rsidR="00841049" w:rsidRPr="00841049" w:rsidRDefault="00841049" w:rsidP="00841049">
            <w:r w:rsidRPr="00841049">
              <w:t>чернодробна недостатъчност* &lt; прогресираща чернодробна кома</w:t>
            </w:r>
          </w:p>
        </w:tc>
        <w:tc>
          <w:tcPr>
            <w:tcW w:w="1444" w:type="dxa"/>
          </w:tcPr>
          <w:p w14:paraId="174E8D86" w14:textId="77777777" w:rsidR="00841049" w:rsidRPr="00841049" w:rsidRDefault="00841049" w:rsidP="00841049"/>
        </w:tc>
        <w:tc>
          <w:tcPr>
            <w:tcW w:w="1491" w:type="dxa"/>
          </w:tcPr>
          <w:p w14:paraId="3B981191" w14:textId="77777777" w:rsidR="00841049" w:rsidRPr="00841049" w:rsidRDefault="00841049" w:rsidP="00841049"/>
        </w:tc>
      </w:tr>
      <w:tr w:rsidR="00841049" w14:paraId="3FFDD44E" w14:textId="77777777" w:rsidTr="00841049">
        <w:tc>
          <w:tcPr>
            <w:tcW w:w="1712" w:type="dxa"/>
          </w:tcPr>
          <w:p w14:paraId="541C9356" w14:textId="2ED02E33" w:rsidR="00841049" w:rsidRPr="00841049" w:rsidRDefault="00841049" w:rsidP="00841049">
            <w:r w:rsidRPr="00841049">
              <w:rPr>
                <w:b/>
                <w:bCs/>
              </w:rPr>
              <w:t>Нарушения на кожата и подкожната тъкан</w:t>
            </w:r>
          </w:p>
        </w:tc>
        <w:tc>
          <w:tcPr>
            <w:tcW w:w="1662" w:type="dxa"/>
          </w:tcPr>
          <w:p w14:paraId="674D1DC9" w14:textId="03891F17" w:rsidR="00841049" w:rsidRPr="00841049" w:rsidRDefault="00841049" w:rsidP="00841049">
            <w:r w:rsidRPr="00841049">
              <w:t>петехии, пруритус (включително генерализиран), обрив, екхимози</w:t>
            </w:r>
          </w:p>
        </w:tc>
        <w:tc>
          <w:tcPr>
            <w:tcW w:w="1772" w:type="dxa"/>
            <w:vAlign w:val="bottom"/>
          </w:tcPr>
          <w:p w14:paraId="147C962B" w14:textId="3E7A708D" w:rsidR="00841049" w:rsidRPr="00841049" w:rsidRDefault="00841049" w:rsidP="00841049">
            <w:r w:rsidRPr="00841049">
              <w:t>пурпура, алопеция, уртикария, еритем. макулен обрив</w:t>
            </w:r>
          </w:p>
        </w:tc>
        <w:tc>
          <w:tcPr>
            <w:tcW w:w="1495" w:type="dxa"/>
            <w:vAlign w:val="bottom"/>
          </w:tcPr>
          <w:p w14:paraId="0A99A38D" w14:textId="7A3C97BA" w:rsidR="00841049" w:rsidRPr="00841049" w:rsidRDefault="00841049" w:rsidP="00841049">
            <w:r w:rsidRPr="00841049">
              <w:t>остра фебрилна неутрофилна дерматоза, гангренозна пиодерма</w:t>
            </w:r>
          </w:p>
        </w:tc>
        <w:tc>
          <w:tcPr>
            <w:tcW w:w="1444" w:type="dxa"/>
          </w:tcPr>
          <w:p w14:paraId="432406FA" w14:textId="77777777" w:rsidR="00841049" w:rsidRPr="00841049" w:rsidRDefault="00841049" w:rsidP="00841049"/>
        </w:tc>
        <w:tc>
          <w:tcPr>
            <w:tcW w:w="1491" w:type="dxa"/>
          </w:tcPr>
          <w:p w14:paraId="582C8BD8" w14:textId="77777777" w:rsidR="00841049" w:rsidRPr="00841049" w:rsidRDefault="00841049" w:rsidP="00841049"/>
        </w:tc>
      </w:tr>
      <w:tr w:rsidR="00841049" w14:paraId="2C86E100" w14:textId="77777777" w:rsidTr="00841049">
        <w:tc>
          <w:tcPr>
            <w:tcW w:w="1712" w:type="dxa"/>
            <w:vAlign w:val="bottom"/>
          </w:tcPr>
          <w:p w14:paraId="07C69153" w14:textId="0195B7DB" w:rsidR="00841049" w:rsidRPr="00841049" w:rsidRDefault="00841049" w:rsidP="00841049">
            <w:r w:rsidRPr="00841049">
              <w:rPr>
                <w:b/>
                <w:bCs/>
              </w:rPr>
              <w:t>Нарушения на мускулно- скелетната система и съединителната тъкан</w:t>
            </w:r>
          </w:p>
        </w:tc>
        <w:tc>
          <w:tcPr>
            <w:tcW w:w="1662" w:type="dxa"/>
            <w:vAlign w:val="bottom"/>
          </w:tcPr>
          <w:p w14:paraId="67C1E096" w14:textId="67BAF4A5" w:rsidR="00841049" w:rsidRPr="00841049" w:rsidRDefault="00841049" w:rsidP="00841049">
            <w:r w:rsidRPr="00841049">
              <w:t>артралгия, мускулно-скелетни болки (включва болка в гърба, костите и в крайниците)</w:t>
            </w:r>
          </w:p>
        </w:tc>
        <w:tc>
          <w:tcPr>
            <w:tcW w:w="1772" w:type="dxa"/>
          </w:tcPr>
          <w:p w14:paraId="13D1C69E" w14:textId="0A483E9B" w:rsidR="00841049" w:rsidRPr="00841049" w:rsidRDefault="00841049" w:rsidP="00841049">
            <w:r w:rsidRPr="00841049">
              <w:t>мускулни спазми, миалгия</w:t>
            </w:r>
          </w:p>
        </w:tc>
        <w:tc>
          <w:tcPr>
            <w:tcW w:w="1495" w:type="dxa"/>
          </w:tcPr>
          <w:p w14:paraId="71BD52FE" w14:textId="77777777" w:rsidR="00841049" w:rsidRPr="00841049" w:rsidRDefault="00841049" w:rsidP="00841049"/>
        </w:tc>
        <w:tc>
          <w:tcPr>
            <w:tcW w:w="1444" w:type="dxa"/>
          </w:tcPr>
          <w:p w14:paraId="0725D1F0" w14:textId="77777777" w:rsidR="00841049" w:rsidRPr="00841049" w:rsidRDefault="00841049" w:rsidP="00841049"/>
        </w:tc>
        <w:tc>
          <w:tcPr>
            <w:tcW w:w="1491" w:type="dxa"/>
          </w:tcPr>
          <w:p w14:paraId="50F39ACF" w14:textId="77777777" w:rsidR="00841049" w:rsidRPr="00841049" w:rsidRDefault="00841049" w:rsidP="00841049"/>
        </w:tc>
      </w:tr>
      <w:tr w:rsidR="00841049" w14:paraId="2E8C4A00" w14:textId="77777777" w:rsidTr="00841049">
        <w:tc>
          <w:tcPr>
            <w:tcW w:w="1712" w:type="dxa"/>
          </w:tcPr>
          <w:p w14:paraId="4D7282C2" w14:textId="10966507" w:rsidR="00841049" w:rsidRPr="00841049" w:rsidRDefault="00841049" w:rsidP="00841049">
            <w:r w:rsidRPr="00841049">
              <w:rPr>
                <w:b/>
                <w:bCs/>
              </w:rPr>
              <w:t>Нарушения на бъбреците и пикочните пътища</w:t>
            </w:r>
          </w:p>
        </w:tc>
        <w:tc>
          <w:tcPr>
            <w:tcW w:w="1662" w:type="dxa"/>
          </w:tcPr>
          <w:p w14:paraId="3D0F2A70" w14:textId="77777777" w:rsidR="00841049" w:rsidRPr="00841049" w:rsidRDefault="00841049" w:rsidP="00841049"/>
        </w:tc>
        <w:tc>
          <w:tcPr>
            <w:tcW w:w="1772" w:type="dxa"/>
          </w:tcPr>
          <w:p w14:paraId="09DBDBFD" w14:textId="74AE712A" w:rsidR="00841049" w:rsidRPr="00841049" w:rsidRDefault="00841049" w:rsidP="00841049">
            <w:r w:rsidRPr="00841049">
              <w:t>Бъбречна недостатъчност*, хематурия, повишен серумен креатинин</w:t>
            </w:r>
          </w:p>
        </w:tc>
        <w:tc>
          <w:tcPr>
            <w:tcW w:w="1495" w:type="dxa"/>
          </w:tcPr>
          <w:p w14:paraId="52932F75" w14:textId="63385E3A" w:rsidR="00841049" w:rsidRPr="00841049" w:rsidRDefault="00841049" w:rsidP="00841049">
            <w:r w:rsidRPr="00841049">
              <w:t>бъбречна тубулна ацидоза</w:t>
            </w:r>
          </w:p>
        </w:tc>
        <w:tc>
          <w:tcPr>
            <w:tcW w:w="1444" w:type="dxa"/>
          </w:tcPr>
          <w:p w14:paraId="73907E55" w14:textId="77777777" w:rsidR="00841049" w:rsidRPr="00841049" w:rsidRDefault="00841049" w:rsidP="00841049"/>
        </w:tc>
        <w:tc>
          <w:tcPr>
            <w:tcW w:w="1491" w:type="dxa"/>
          </w:tcPr>
          <w:p w14:paraId="094B7320" w14:textId="77777777" w:rsidR="00841049" w:rsidRPr="00841049" w:rsidRDefault="00841049" w:rsidP="00841049"/>
        </w:tc>
      </w:tr>
      <w:tr w:rsidR="00841049" w14:paraId="6CFC4FCC" w14:textId="77777777" w:rsidTr="00841049">
        <w:tc>
          <w:tcPr>
            <w:tcW w:w="1712" w:type="dxa"/>
          </w:tcPr>
          <w:p w14:paraId="56FF9E64" w14:textId="28D7622D" w:rsidR="00841049" w:rsidRPr="00841049" w:rsidRDefault="00841049" w:rsidP="00841049">
            <w:r w:rsidRPr="00841049">
              <w:rPr>
                <w:b/>
                <w:bCs/>
              </w:rPr>
              <w:t xml:space="preserve">Общи нарушения и ефекти на </w:t>
            </w:r>
            <w:r w:rsidRPr="00841049">
              <w:rPr>
                <w:b/>
                <w:bCs/>
              </w:rPr>
              <w:lastRenderedPageBreak/>
              <w:t>мястото на приложение</w:t>
            </w:r>
          </w:p>
        </w:tc>
        <w:tc>
          <w:tcPr>
            <w:tcW w:w="1662" w:type="dxa"/>
          </w:tcPr>
          <w:p w14:paraId="276C4B9B" w14:textId="69DE33D5" w:rsidR="00841049" w:rsidRPr="00841049" w:rsidRDefault="00841049" w:rsidP="00841049">
            <w:r w:rsidRPr="00841049">
              <w:lastRenderedPageBreak/>
              <w:t xml:space="preserve">пирексия*, умора, астения, болка в </w:t>
            </w:r>
            <w:r w:rsidRPr="00841049">
              <w:lastRenderedPageBreak/>
              <w:t>гърдите, еритем на мястото на инжектиране, болка на мястото на инжектиране, (неопределена) реакция на мястото на инжектиране</w:t>
            </w:r>
          </w:p>
        </w:tc>
        <w:tc>
          <w:tcPr>
            <w:tcW w:w="1772" w:type="dxa"/>
          </w:tcPr>
          <w:p w14:paraId="0C776A45" w14:textId="77777777" w:rsidR="00841049" w:rsidRPr="00841049" w:rsidRDefault="00841049" w:rsidP="00841049">
            <w:r w:rsidRPr="00841049">
              <w:lastRenderedPageBreak/>
              <w:t xml:space="preserve">кръвонасядане, хем атом, индурация, обрив, </w:t>
            </w:r>
            <w:r w:rsidRPr="00841049">
              <w:lastRenderedPageBreak/>
              <w:t>пруритус, възпаление, промяна в цвета, възли и кървене (на мястото на инжектиране), неразположение, студени тръпки, кръвоизлив на мястото на</w:t>
            </w:r>
          </w:p>
          <w:p w14:paraId="009D34A8" w14:textId="5C347E28" w:rsidR="00841049" w:rsidRPr="00841049" w:rsidRDefault="00841049" w:rsidP="00841049">
            <w:r w:rsidRPr="00841049">
              <w:t>катетъра</w:t>
            </w:r>
          </w:p>
        </w:tc>
        <w:tc>
          <w:tcPr>
            <w:tcW w:w="1495" w:type="dxa"/>
          </w:tcPr>
          <w:p w14:paraId="29F9BF1D" w14:textId="77777777" w:rsidR="00841049" w:rsidRPr="00841049" w:rsidRDefault="00841049" w:rsidP="00841049"/>
        </w:tc>
        <w:tc>
          <w:tcPr>
            <w:tcW w:w="1444" w:type="dxa"/>
          </w:tcPr>
          <w:p w14:paraId="6D258A35" w14:textId="64D89AFF" w:rsidR="00841049" w:rsidRPr="00841049" w:rsidRDefault="00841049" w:rsidP="00841049">
            <w:r w:rsidRPr="00841049">
              <w:t>некроза на мястото на инжектиране</w:t>
            </w:r>
          </w:p>
        </w:tc>
        <w:tc>
          <w:tcPr>
            <w:tcW w:w="1491" w:type="dxa"/>
          </w:tcPr>
          <w:p w14:paraId="54341451" w14:textId="77777777" w:rsidR="00841049" w:rsidRPr="00841049" w:rsidRDefault="00841049" w:rsidP="00841049"/>
        </w:tc>
      </w:tr>
      <w:tr w:rsidR="00841049" w14:paraId="0AA68F12" w14:textId="77777777" w:rsidTr="00841049">
        <w:tc>
          <w:tcPr>
            <w:tcW w:w="1712" w:type="dxa"/>
          </w:tcPr>
          <w:p w14:paraId="268E464A" w14:textId="64BF1A00" w:rsidR="00841049" w:rsidRPr="00841049" w:rsidRDefault="00841049" w:rsidP="00841049">
            <w:r w:rsidRPr="00841049">
              <w:rPr>
                <w:b/>
                <w:bCs/>
              </w:rPr>
              <w:t>Изследвания</w:t>
            </w:r>
          </w:p>
        </w:tc>
        <w:tc>
          <w:tcPr>
            <w:tcW w:w="1662" w:type="dxa"/>
          </w:tcPr>
          <w:p w14:paraId="3B2B3E0E" w14:textId="12556B63" w:rsidR="00841049" w:rsidRPr="00841049" w:rsidRDefault="00841049" w:rsidP="00841049">
            <w:r w:rsidRPr="00841049">
              <w:t>Намаляване на теглото</w:t>
            </w:r>
          </w:p>
        </w:tc>
        <w:tc>
          <w:tcPr>
            <w:tcW w:w="1772" w:type="dxa"/>
          </w:tcPr>
          <w:p w14:paraId="04F86945" w14:textId="77777777" w:rsidR="00841049" w:rsidRPr="00841049" w:rsidRDefault="00841049" w:rsidP="00841049"/>
        </w:tc>
        <w:tc>
          <w:tcPr>
            <w:tcW w:w="1495" w:type="dxa"/>
          </w:tcPr>
          <w:p w14:paraId="48EB28CC" w14:textId="77777777" w:rsidR="00841049" w:rsidRPr="00841049" w:rsidRDefault="00841049" w:rsidP="00841049"/>
        </w:tc>
        <w:tc>
          <w:tcPr>
            <w:tcW w:w="1444" w:type="dxa"/>
          </w:tcPr>
          <w:p w14:paraId="008904D0" w14:textId="77777777" w:rsidR="00841049" w:rsidRPr="00841049" w:rsidRDefault="00841049" w:rsidP="00841049"/>
        </w:tc>
        <w:tc>
          <w:tcPr>
            <w:tcW w:w="1491" w:type="dxa"/>
          </w:tcPr>
          <w:p w14:paraId="238A45DA" w14:textId="77777777" w:rsidR="00841049" w:rsidRPr="00841049" w:rsidRDefault="00841049" w:rsidP="00841049"/>
        </w:tc>
      </w:tr>
    </w:tbl>
    <w:p w14:paraId="472CDD24" w14:textId="1F2C8D50" w:rsidR="00841049" w:rsidRDefault="00841049" w:rsidP="0091385D"/>
    <w:p w14:paraId="4230B1B8"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 = рядко се съобщават случаи с летален изход</w:t>
      </w:r>
    </w:p>
    <w:p w14:paraId="6503E4F1" w14:textId="77777777" w:rsidR="00841049" w:rsidRPr="00841049" w:rsidRDefault="00841049" w:rsidP="00841049">
      <w:pPr>
        <w:spacing w:line="240" w:lineRule="auto"/>
        <w:rPr>
          <w:rFonts w:eastAsia="Times New Roman" w:cs="Arial"/>
          <w:color w:val="000000"/>
          <w:u w:val="single"/>
          <w:lang w:eastAsia="bg-BG"/>
        </w:rPr>
      </w:pPr>
    </w:p>
    <w:p w14:paraId="611EB4F6" w14:textId="6BF65ABD" w:rsidR="00841049" w:rsidRPr="00841049" w:rsidRDefault="00841049" w:rsidP="00841049">
      <w:pPr>
        <w:spacing w:line="240" w:lineRule="auto"/>
        <w:rPr>
          <w:rFonts w:eastAsia="Times New Roman" w:cs="Arial"/>
          <w:lang w:eastAsia="bg-BG"/>
        </w:rPr>
      </w:pPr>
      <w:r w:rsidRPr="00841049">
        <w:rPr>
          <w:rFonts w:eastAsia="Times New Roman" w:cs="Arial"/>
          <w:color w:val="000000"/>
          <w:u w:val="single"/>
          <w:lang w:eastAsia="bg-BG"/>
        </w:rPr>
        <w:t>Описание на подбрани нежелани реакции</w:t>
      </w:r>
    </w:p>
    <w:p w14:paraId="72112864" w14:textId="77777777"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Хематологични нежелани реакции</w:t>
      </w:r>
    </w:p>
    <w:p w14:paraId="17477B2B"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 xml:space="preserve">Най-често съобщаваните (≥ 10%) хематологични нежелани реакции, свързани с лечение с азацитидин, включват анемия, тромбоцитопения, неутропения, фебрилна неутропения и левкопения и са обикновено от 3-та или 4-та степен. Има по-голям риск от проява на тези реакции по време на първите 2 цикъла, след което те се проявяват по-рядко при пациенти с възстановяване на хематологичната функция. Контролирането на повечето хематологични нежелани реакции е включвало проследяване на пълната кръвна картина и ако е необходимо, отлагане на приложението на азацитидин при следващия цикъл, профилактично прилагане на антибиотици и/или поддържащи растежни фактори (напр. </w:t>
      </w:r>
      <w:r w:rsidRPr="00841049">
        <w:rPr>
          <w:rFonts w:eastAsia="Times New Roman" w:cs="Arial"/>
          <w:color w:val="000000"/>
          <w:lang w:val="en-US"/>
        </w:rPr>
        <w:t>G</w:t>
      </w:r>
      <w:r w:rsidRPr="00B712C2">
        <w:rPr>
          <w:rFonts w:eastAsia="Times New Roman" w:cs="Arial"/>
          <w:color w:val="000000"/>
          <w:lang w:val="ru-RU"/>
        </w:rPr>
        <w:t>-</w:t>
      </w:r>
      <w:r w:rsidRPr="00841049">
        <w:rPr>
          <w:rFonts w:eastAsia="Times New Roman" w:cs="Arial"/>
          <w:color w:val="000000"/>
          <w:lang w:val="en-US"/>
        </w:rPr>
        <w:t>CSF</w:t>
      </w:r>
      <w:r w:rsidRPr="00B712C2">
        <w:rPr>
          <w:rFonts w:eastAsia="Times New Roman" w:cs="Arial"/>
          <w:color w:val="000000"/>
          <w:lang w:val="ru-RU"/>
        </w:rPr>
        <w:t xml:space="preserve">) </w:t>
      </w:r>
      <w:r w:rsidRPr="00841049">
        <w:rPr>
          <w:rFonts w:eastAsia="Times New Roman" w:cs="Arial"/>
          <w:color w:val="000000"/>
          <w:lang w:eastAsia="bg-BG"/>
        </w:rPr>
        <w:t xml:space="preserve">в случай на </w:t>
      </w:r>
      <w:proofErr w:type="spellStart"/>
      <w:r w:rsidRPr="00841049">
        <w:rPr>
          <w:rFonts w:eastAsia="Times New Roman" w:cs="Arial"/>
          <w:color w:val="000000"/>
          <w:lang w:eastAsia="bg-BG"/>
        </w:rPr>
        <w:t>неутропения</w:t>
      </w:r>
      <w:proofErr w:type="spellEnd"/>
      <w:r w:rsidRPr="00841049">
        <w:rPr>
          <w:rFonts w:eastAsia="Times New Roman" w:cs="Arial"/>
          <w:color w:val="000000"/>
          <w:lang w:eastAsia="bg-BG"/>
        </w:rPr>
        <w:t xml:space="preserve"> и трансфузия при анемия или </w:t>
      </w:r>
      <w:proofErr w:type="spellStart"/>
      <w:r w:rsidRPr="00841049">
        <w:rPr>
          <w:rFonts w:eastAsia="Times New Roman" w:cs="Arial"/>
          <w:color w:val="000000"/>
          <w:lang w:eastAsia="bg-BG"/>
        </w:rPr>
        <w:t>тромбоцитопения</w:t>
      </w:r>
      <w:proofErr w:type="spellEnd"/>
      <w:r w:rsidRPr="00841049">
        <w:rPr>
          <w:rFonts w:eastAsia="Times New Roman" w:cs="Arial"/>
          <w:color w:val="000000"/>
          <w:lang w:eastAsia="bg-BG"/>
        </w:rPr>
        <w:t>.</w:t>
      </w:r>
    </w:p>
    <w:p w14:paraId="28D77027" w14:textId="77777777" w:rsidR="00841049" w:rsidRPr="00841049" w:rsidRDefault="00841049" w:rsidP="00841049">
      <w:pPr>
        <w:spacing w:line="240" w:lineRule="auto"/>
        <w:rPr>
          <w:rFonts w:eastAsia="Times New Roman" w:cs="Arial"/>
          <w:i/>
          <w:iCs/>
          <w:color w:val="000000"/>
          <w:lang w:eastAsia="bg-BG"/>
        </w:rPr>
      </w:pPr>
    </w:p>
    <w:p w14:paraId="2C4CD765" w14:textId="48EC35C4"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Инфекции</w:t>
      </w:r>
    </w:p>
    <w:p w14:paraId="1AF00F11"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 xml:space="preserve">Миелосупресията може да доведе до неутропения и повишен риск от инфекции. Има съобщения за сериозни нежелани реакции като сепсис, включително неутропеничен сепсис и пневмония при пациенти, лекувани с азацитидин, някои от които с летален изход. Лечението при инфекциите може да включва прилагане на противоинфекциозни средства плюс поддържане с растежни фактори (напр. </w:t>
      </w:r>
      <w:r w:rsidRPr="00841049">
        <w:rPr>
          <w:rFonts w:eastAsia="Times New Roman" w:cs="Arial"/>
          <w:color w:val="000000"/>
          <w:lang w:val="en-US"/>
        </w:rPr>
        <w:t>G</w:t>
      </w:r>
      <w:r w:rsidRPr="00B712C2">
        <w:rPr>
          <w:rFonts w:eastAsia="Times New Roman" w:cs="Arial"/>
          <w:color w:val="000000"/>
          <w:lang w:val="ru-RU"/>
        </w:rPr>
        <w:t>-</w:t>
      </w:r>
      <w:r w:rsidRPr="00841049">
        <w:rPr>
          <w:rFonts w:eastAsia="Times New Roman" w:cs="Arial"/>
          <w:color w:val="000000"/>
          <w:lang w:val="en-US"/>
        </w:rPr>
        <w:t>CSF</w:t>
      </w:r>
      <w:r w:rsidRPr="00B712C2">
        <w:rPr>
          <w:rFonts w:eastAsia="Times New Roman" w:cs="Arial"/>
          <w:color w:val="000000"/>
          <w:lang w:val="ru-RU"/>
        </w:rPr>
        <w:t xml:space="preserve">) </w:t>
      </w:r>
      <w:r w:rsidRPr="00841049">
        <w:rPr>
          <w:rFonts w:eastAsia="Times New Roman" w:cs="Arial"/>
          <w:color w:val="000000"/>
          <w:lang w:eastAsia="bg-BG"/>
        </w:rPr>
        <w:t xml:space="preserve">при </w:t>
      </w:r>
      <w:proofErr w:type="spellStart"/>
      <w:r w:rsidRPr="00841049">
        <w:rPr>
          <w:rFonts w:eastAsia="Times New Roman" w:cs="Arial"/>
          <w:color w:val="000000"/>
          <w:lang w:eastAsia="bg-BG"/>
        </w:rPr>
        <w:t>неутропения</w:t>
      </w:r>
      <w:proofErr w:type="spellEnd"/>
      <w:r w:rsidRPr="00841049">
        <w:rPr>
          <w:rFonts w:eastAsia="Times New Roman" w:cs="Arial"/>
          <w:color w:val="000000"/>
          <w:lang w:eastAsia="bg-BG"/>
        </w:rPr>
        <w:t>.</w:t>
      </w:r>
    </w:p>
    <w:p w14:paraId="32A6ED59" w14:textId="77777777" w:rsidR="00841049" w:rsidRPr="00841049" w:rsidRDefault="00841049" w:rsidP="00841049">
      <w:pPr>
        <w:spacing w:line="240" w:lineRule="auto"/>
        <w:rPr>
          <w:rFonts w:eastAsia="Times New Roman" w:cs="Arial"/>
          <w:i/>
          <w:iCs/>
          <w:color w:val="000000"/>
          <w:lang w:eastAsia="bg-BG"/>
        </w:rPr>
      </w:pPr>
    </w:p>
    <w:p w14:paraId="067EBCB2" w14:textId="49FAB963"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Кървене</w:t>
      </w:r>
    </w:p>
    <w:p w14:paraId="4719B103"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При пациенти, лекувани с азацитидин, може да се развие кървене. Има съобщения за сериозни нежелани реакции като стомашно-чревен кръвоизлив и интракраниален кръвоизлив.</w:t>
      </w:r>
    </w:p>
    <w:p w14:paraId="3FA88A58"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Пациентите трябва да бъдат следени за признаци и симптоми на кървене, особено тези от тях, които са имали предварителна или свързана с лечението тромбоцитопения.</w:t>
      </w:r>
    </w:p>
    <w:p w14:paraId="4337AD28" w14:textId="77777777" w:rsidR="00841049" w:rsidRPr="00841049" w:rsidRDefault="00841049" w:rsidP="00841049">
      <w:pPr>
        <w:spacing w:line="240" w:lineRule="auto"/>
        <w:rPr>
          <w:rFonts w:eastAsia="Times New Roman" w:cs="Arial"/>
          <w:i/>
          <w:iCs/>
          <w:color w:val="000000"/>
          <w:lang w:eastAsia="bg-BG"/>
        </w:rPr>
      </w:pPr>
    </w:p>
    <w:p w14:paraId="3FD02C08" w14:textId="3288BFED"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Свръхчувствителност</w:t>
      </w:r>
    </w:p>
    <w:p w14:paraId="3036157C"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Има съобщения за тежки реакции на свръхчувствителност при пациенти, лекувани с азацитидин. В случай на анафилактоидна реакция лечението с азацитидин трябва да бъде прекратено незабавно и да се започне подходящо симптоматично лечение.</w:t>
      </w:r>
    </w:p>
    <w:p w14:paraId="0025505D" w14:textId="77777777" w:rsidR="00841049" w:rsidRPr="00841049" w:rsidRDefault="00841049" w:rsidP="00841049">
      <w:pPr>
        <w:spacing w:line="240" w:lineRule="auto"/>
        <w:rPr>
          <w:rFonts w:eastAsia="Times New Roman" w:cs="Arial"/>
          <w:i/>
          <w:iCs/>
          <w:color w:val="000000"/>
          <w:lang w:eastAsia="bg-BG"/>
        </w:rPr>
      </w:pPr>
    </w:p>
    <w:p w14:paraId="25E30313" w14:textId="582AE1CD"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Нежелани реакции на кожата и подкожната тъкан</w:t>
      </w:r>
    </w:p>
    <w:p w14:paraId="714C6B3E" w14:textId="3B7D96A9" w:rsidR="00841049" w:rsidRPr="00841049" w:rsidRDefault="00841049" w:rsidP="00841049">
      <w:pPr>
        <w:rPr>
          <w:rFonts w:cs="Arial"/>
        </w:rPr>
      </w:pPr>
      <w:r w:rsidRPr="00841049">
        <w:rPr>
          <w:rFonts w:eastAsia="Times New Roman" w:cs="Arial"/>
          <w:color w:val="000000"/>
          <w:lang w:eastAsia="bg-BG"/>
        </w:rPr>
        <w:t>Мнозинството от нежеланите реакции на кожата и подкожната тъкан са били свързани с мястото на инжектиране. В основните проучвания никоя от тези нежелани реакции не е довела до прекратяване на лечението с азацитидин или намаляване на дозата на азацитидин.  Мнозинството от нежеланите реакции са се проявили през първите 2 цикъла и са имали тенденция да намаляват при следващите цикли. Нежеланите реакции на подкожната тъкан като обрив/възпаление/пруритус на мястото на инжектиране, обрив, еритем и кожни поражения може да наложат едновременно лечение е лекарствени продукти като антихистамини, кортикостероиди и нестероидни противовъзпалителни лекарствени продукти (НСПВС).Трябва да се прави разлика между тези реакции на кожата и инфекциите на меките тъкани, които понякога възникват на мястото на инжектиране. Инфекции на меките тъкани, включително целулит и некротизиращ фасциит, в редки случаи водещи до смърт, се съобщават при азацитидин след пускането на пазара. За клиничното лечение на нежелани реакции свързани с инфекции, вижте точка 4.8 Инфекции.</w:t>
      </w:r>
    </w:p>
    <w:p w14:paraId="13948579" w14:textId="77777777" w:rsidR="00841049" w:rsidRPr="00841049" w:rsidRDefault="00841049" w:rsidP="00841049">
      <w:pPr>
        <w:spacing w:line="240" w:lineRule="auto"/>
        <w:rPr>
          <w:rFonts w:eastAsia="Times New Roman" w:cs="Arial"/>
          <w:i/>
          <w:iCs/>
          <w:color w:val="000000"/>
          <w:lang w:eastAsia="bg-BG"/>
        </w:rPr>
      </w:pPr>
    </w:p>
    <w:p w14:paraId="1BBB2B4D" w14:textId="560B8906"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Стомашно-чревни нежелани реакции</w:t>
      </w:r>
    </w:p>
    <w:p w14:paraId="7678F386"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Най-често съобщаваните стомашно-чревни нежелани реакции, свързани с лечение с азацитидин, включват запек, диария, гадене и повръщане. Тези нежелани реакции са били лекувани симптоматично с антиеметици за гаденето и повръщането, антидиарични средства за диарията и лаксативни средства и/или омекотяващи изпражненията средства за запека.</w:t>
      </w:r>
    </w:p>
    <w:p w14:paraId="541F7655" w14:textId="77777777" w:rsidR="00841049" w:rsidRPr="00841049" w:rsidRDefault="00841049" w:rsidP="00841049">
      <w:pPr>
        <w:spacing w:line="240" w:lineRule="auto"/>
        <w:rPr>
          <w:rFonts w:eastAsia="Times New Roman" w:cs="Arial"/>
          <w:i/>
          <w:iCs/>
          <w:color w:val="000000"/>
          <w:lang w:eastAsia="bg-BG"/>
        </w:rPr>
      </w:pPr>
    </w:p>
    <w:p w14:paraId="1923519F" w14:textId="46E82D52"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Нежелани реакции, засягащи бъбреците</w:t>
      </w:r>
    </w:p>
    <w:p w14:paraId="7AFEF0A3"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При пациенти, лекувани с азацитидин, има съобщения за бъбречни аномалии, вариращи от повишен серумен креатинин и хематурия до бъбречна тубуларна ацидоза, бъбречна недостатъчност и смърт (вж. точка 4.4).</w:t>
      </w:r>
    </w:p>
    <w:p w14:paraId="7F2B9B0D" w14:textId="77777777" w:rsidR="00841049" w:rsidRPr="00841049" w:rsidRDefault="00841049" w:rsidP="00841049">
      <w:pPr>
        <w:spacing w:line="240" w:lineRule="auto"/>
        <w:rPr>
          <w:rFonts w:eastAsia="Times New Roman" w:cs="Arial"/>
          <w:i/>
          <w:iCs/>
          <w:color w:val="000000"/>
          <w:lang w:eastAsia="bg-BG"/>
        </w:rPr>
      </w:pPr>
    </w:p>
    <w:p w14:paraId="2162A00B" w14:textId="376029AD"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Нежелани реакции, засягащи черния дроб</w:t>
      </w:r>
    </w:p>
    <w:p w14:paraId="5FA27F2A"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При пациенти със силен туморен товар поради метастатично заболяване има съобщения за развитие на чернодробна недостатъчност, прогресираща чернодробна кома и смърт по време на лечение с азацитидин (вж. точка 4.4).</w:t>
      </w:r>
    </w:p>
    <w:p w14:paraId="6C0FDB62" w14:textId="77777777" w:rsidR="00841049" w:rsidRPr="00841049" w:rsidRDefault="00841049" w:rsidP="00841049">
      <w:pPr>
        <w:spacing w:line="240" w:lineRule="auto"/>
        <w:rPr>
          <w:rFonts w:eastAsia="Times New Roman" w:cs="Arial"/>
          <w:i/>
          <w:iCs/>
          <w:color w:val="000000"/>
          <w:lang w:eastAsia="bg-BG"/>
        </w:rPr>
      </w:pPr>
    </w:p>
    <w:p w14:paraId="77F55ECC" w14:textId="1CEA857D"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Сърдечни събития</w:t>
      </w:r>
    </w:p>
    <w:p w14:paraId="1B42B192"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Данните от едно клинично изпитване, допускащо включване на пациенти с известна анамнеза за сърдечно-съдово или белодробно заболяване, показват статистически значимо увеличение на сърдечните събития при пациенти с новодиагностицирана ОМЛ, лекувани с азацитидин (вж. точка 4.4).</w:t>
      </w:r>
    </w:p>
    <w:p w14:paraId="6353B242" w14:textId="77777777" w:rsidR="00841049" w:rsidRPr="00841049" w:rsidRDefault="00841049" w:rsidP="00841049">
      <w:pPr>
        <w:spacing w:line="240" w:lineRule="auto"/>
        <w:rPr>
          <w:rFonts w:eastAsia="Times New Roman" w:cs="Arial"/>
          <w:i/>
          <w:iCs/>
          <w:color w:val="000000"/>
          <w:lang w:eastAsia="bg-BG"/>
        </w:rPr>
      </w:pPr>
    </w:p>
    <w:p w14:paraId="68A2F272" w14:textId="1968C4D4" w:rsidR="00841049" w:rsidRPr="00841049" w:rsidRDefault="00841049" w:rsidP="00841049">
      <w:pPr>
        <w:spacing w:line="240" w:lineRule="auto"/>
        <w:rPr>
          <w:rFonts w:eastAsia="Times New Roman" w:cs="Arial"/>
          <w:lang w:eastAsia="bg-BG"/>
        </w:rPr>
      </w:pPr>
      <w:r w:rsidRPr="00841049">
        <w:rPr>
          <w:rFonts w:eastAsia="Times New Roman" w:cs="Arial"/>
          <w:i/>
          <w:iCs/>
          <w:color w:val="000000"/>
          <w:lang w:eastAsia="bg-BG"/>
        </w:rPr>
        <w:t>Популация в старческа възраст</w:t>
      </w:r>
    </w:p>
    <w:p w14:paraId="4E3BF966" w14:textId="77777777" w:rsidR="00841049" w:rsidRPr="00841049" w:rsidRDefault="00841049" w:rsidP="00841049">
      <w:pPr>
        <w:spacing w:line="240" w:lineRule="auto"/>
        <w:rPr>
          <w:rFonts w:eastAsia="Times New Roman" w:cs="Arial"/>
          <w:lang w:eastAsia="bg-BG"/>
        </w:rPr>
      </w:pPr>
      <w:r w:rsidRPr="00841049">
        <w:rPr>
          <w:rFonts w:eastAsia="Times New Roman" w:cs="Arial"/>
          <w:color w:val="000000"/>
          <w:lang w:eastAsia="bg-BG"/>
        </w:rPr>
        <w:t xml:space="preserve">Съществува ограничена информация за безопасност за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при пациенти &gt;85 години (при 14 [5,9%] пациенти &gt;85 години в проучването </w:t>
      </w:r>
      <w:r w:rsidRPr="00841049">
        <w:rPr>
          <w:rFonts w:eastAsia="Times New Roman" w:cs="Arial"/>
          <w:color w:val="000000"/>
          <w:lang w:val="en-US"/>
        </w:rPr>
        <w:t>AZA</w:t>
      </w:r>
      <w:r w:rsidRPr="00B712C2">
        <w:rPr>
          <w:rFonts w:eastAsia="Times New Roman" w:cs="Arial"/>
          <w:color w:val="000000"/>
          <w:lang w:val="ru-RU"/>
        </w:rPr>
        <w:t>-</w:t>
      </w:r>
      <w:r w:rsidRPr="00841049">
        <w:rPr>
          <w:rFonts w:eastAsia="Times New Roman" w:cs="Arial"/>
          <w:color w:val="000000"/>
          <w:lang w:val="en-US"/>
        </w:rPr>
        <w:t>AML</w:t>
      </w:r>
      <w:r w:rsidRPr="00B712C2">
        <w:rPr>
          <w:rFonts w:eastAsia="Times New Roman" w:cs="Arial"/>
          <w:color w:val="000000"/>
          <w:lang w:val="ru-RU"/>
        </w:rPr>
        <w:t>-001).</w:t>
      </w:r>
    </w:p>
    <w:p w14:paraId="0FC87CCF" w14:textId="77777777" w:rsidR="00841049" w:rsidRPr="00841049" w:rsidRDefault="00841049" w:rsidP="00841049">
      <w:pPr>
        <w:spacing w:line="240" w:lineRule="auto"/>
        <w:rPr>
          <w:rFonts w:eastAsia="Times New Roman" w:cs="Arial"/>
          <w:color w:val="000000"/>
          <w:u w:val="single"/>
          <w:lang w:eastAsia="bg-BG"/>
        </w:rPr>
      </w:pPr>
    </w:p>
    <w:p w14:paraId="6DDB8CCD" w14:textId="4288A902" w:rsidR="00841049" w:rsidRPr="00841049" w:rsidRDefault="00841049" w:rsidP="00841049">
      <w:pPr>
        <w:spacing w:line="240" w:lineRule="auto"/>
        <w:rPr>
          <w:rFonts w:eastAsia="Times New Roman" w:cs="Arial"/>
          <w:lang w:eastAsia="bg-BG"/>
        </w:rPr>
      </w:pPr>
      <w:r w:rsidRPr="00841049">
        <w:rPr>
          <w:rFonts w:eastAsia="Times New Roman" w:cs="Arial"/>
          <w:color w:val="000000"/>
          <w:u w:val="single"/>
          <w:lang w:eastAsia="bg-BG"/>
        </w:rPr>
        <w:t>Съобщаване на подозирани нежелани реакции</w:t>
      </w:r>
    </w:p>
    <w:p w14:paraId="0E4D31D8" w14:textId="1AB59102" w:rsidR="00841049" w:rsidRPr="00841049" w:rsidRDefault="00841049" w:rsidP="00841049">
      <w:pPr>
        <w:rPr>
          <w:rFonts w:cs="Arial"/>
        </w:rPr>
      </w:pPr>
      <w:r w:rsidRPr="0084104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w:t>
      </w:r>
      <w:r w:rsidRPr="00841049">
        <w:rPr>
          <w:rFonts w:eastAsia="Times New Roman" w:cs="Arial"/>
          <w:color w:val="000000"/>
          <w:lang w:eastAsia="bg-BG"/>
        </w:rPr>
        <w:lastRenderedPageBreak/>
        <w:t xml:space="preserve">съобщаване към Изпълнителната агенция по лекарствата, ул. „Дамян Груев” № 8, 1303 София, тел.: +35928903417, уебсайт: </w:t>
      </w:r>
      <w:hyperlink r:id="rId5" w:history="1">
        <w:r w:rsidRPr="00841049">
          <w:rPr>
            <w:rFonts w:eastAsia="Times New Roman" w:cs="Arial"/>
            <w:color w:val="000000"/>
            <w:u w:val="single"/>
            <w:lang w:val="en-US"/>
          </w:rPr>
          <w:t>www</w:t>
        </w:r>
        <w:r w:rsidRPr="00B712C2">
          <w:rPr>
            <w:rFonts w:eastAsia="Times New Roman" w:cs="Arial"/>
            <w:color w:val="000000"/>
            <w:u w:val="single"/>
            <w:lang w:val="ru-RU"/>
          </w:rPr>
          <w:t>.</w:t>
        </w:r>
        <w:proofErr w:type="spellStart"/>
        <w:r w:rsidRPr="00841049">
          <w:rPr>
            <w:rFonts w:eastAsia="Times New Roman" w:cs="Arial"/>
            <w:color w:val="000000"/>
            <w:u w:val="single"/>
            <w:lang w:val="en-US"/>
          </w:rPr>
          <w:t>bda</w:t>
        </w:r>
        <w:proofErr w:type="spellEnd"/>
        <w:r w:rsidRPr="00B712C2">
          <w:rPr>
            <w:rFonts w:eastAsia="Times New Roman" w:cs="Arial"/>
            <w:color w:val="000000"/>
            <w:u w:val="single"/>
            <w:lang w:val="ru-RU"/>
          </w:rPr>
          <w:t>.</w:t>
        </w:r>
        <w:proofErr w:type="spellStart"/>
        <w:r w:rsidRPr="00841049">
          <w:rPr>
            <w:rFonts w:eastAsia="Times New Roman" w:cs="Arial"/>
            <w:color w:val="000000"/>
            <w:u w:val="single"/>
            <w:lang w:val="en-US"/>
          </w:rPr>
          <w:t>bg</w:t>
        </w:r>
        <w:proofErr w:type="spellEnd"/>
      </w:hyperlink>
      <w:r w:rsidRPr="00B712C2">
        <w:rPr>
          <w:rFonts w:eastAsia="Times New Roman" w:cs="Arial"/>
          <w:color w:val="000000"/>
          <w:lang w:val="ru-RU"/>
        </w:rPr>
        <w:t>.</w:t>
      </w:r>
    </w:p>
    <w:p w14:paraId="74571F22" w14:textId="77777777" w:rsidR="00841049" w:rsidRPr="0091385D" w:rsidRDefault="00841049"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7F761660" w:rsidR="0091385D" w:rsidRDefault="00841049" w:rsidP="0091385D">
      <w:r>
        <w:t xml:space="preserve">Има съобщение за един случай на предозиране в рамките на клиничните проучвания. Пациентът е имал диария, гадене и повръщане след интравенозно прилагане на единична доза от около 290 </w:t>
      </w:r>
      <w:r>
        <w:rPr>
          <w:lang w:val="en-US"/>
        </w:rPr>
        <w:t>mg</w:t>
      </w:r>
      <w:r w:rsidRPr="00B712C2">
        <w:rPr>
          <w:lang w:val="ru-RU"/>
        </w:rPr>
        <w:t>/</w:t>
      </w:r>
      <w:r>
        <w:rPr>
          <w:lang w:val="en-US"/>
        </w:rPr>
        <w:t>m</w:t>
      </w:r>
      <w:r w:rsidRPr="00B712C2">
        <w:rPr>
          <w:vertAlign w:val="superscript"/>
          <w:lang w:val="ru-RU"/>
        </w:rPr>
        <w:t>2</w:t>
      </w:r>
      <w:r w:rsidRPr="00B712C2">
        <w:rPr>
          <w:lang w:val="ru-RU"/>
        </w:rPr>
        <w:t xml:space="preserve">, </w:t>
      </w:r>
      <w:r>
        <w:t>което е почти 4 пъти повече от препоръчваната начална доза.</w:t>
      </w:r>
    </w:p>
    <w:p w14:paraId="48FF1584" w14:textId="7045663F" w:rsidR="0091385D" w:rsidRDefault="0091385D" w:rsidP="0091385D"/>
    <w:p w14:paraId="31706504" w14:textId="0DA0DD0B" w:rsidR="00841049" w:rsidRDefault="00841049" w:rsidP="0091385D">
      <w:r>
        <w:t>В случай на предозиране състоянието на пациента трябва да се следи чрез броя на кръвните клетки и да се прилага под държащо лечение при нужда. Няма познат специфичен антидот при предозиране с азацитидин.</w:t>
      </w:r>
    </w:p>
    <w:p w14:paraId="12703EDB" w14:textId="77777777" w:rsidR="00841049" w:rsidRPr="0091385D" w:rsidRDefault="00841049"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21E3381A"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 xml:space="preserve">Фармакотерапевтична група: </w:t>
      </w:r>
      <w:proofErr w:type="spellStart"/>
      <w:r w:rsidRPr="00841049">
        <w:rPr>
          <w:rFonts w:eastAsia="Times New Roman" w:cs="Arial"/>
          <w:color w:val="000000"/>
          <w:lang w:eastAsia="bg-BG"/>
        </w:rPr>
        <w:t>Антинеопластични</w:t>
      </w:r>
      <w:proofErr w:type="spellEnd"/>
      <w:r w:rsidRPr="00841049">
        <w:rPr>
          <w:rFonts w:eastAsia="Times New Roman" w:cs="Arial"/>
          <w:color w:val="000000"/>
          <w:lang w:eastAsia="bg-BG"/>
        </w:rPr>
        <w:t xml:space="preserve"> средства, </w:t>
      </w:r>
      <w:proofErr w:type="spellStart"/>
      <w:r w:rsidRPr="00841049">
        <w:rPr>
          <w:rFonts w:eastAsia="Times New Roman" w:cs="Arial"/>
          <w:color w:val="000000"/>
          <w:lang w:eastAsia="bg-BG"/>
        </w:rPr>
        <w:t>пиримидинови</w:t>
      </w:r>
      <w:proofErr w:type="spellEnd"/>
      <w:r w:rsidRPr="00841049">
        <w:rPr>
          <w:rFonts w:eastAsia="Times New Roman" w:cs="Arial"/>
          <w:color w:val="000000"/>
          <w:lang w:eastAsia="bg-BG"/>
        </w:rPr>
        <w:t xml:space="preserve"> аналози; АТС код: </w:t>
      </w:r>
      <w:r w:rsidRPr="00841049">
        <w:rPr>
          <w:rFonts w:eastAsia="Times New Roman" w:cs="Arial"/>
          <w:color w:val="000000"/>
          <w:lang w:val="en-US"/>
        </w:rPr>
        <w:t>L</w:t>
      </w:r>
      <w:r w:rsidRPr="00B712C2">
        <w:rPr>
          <w:rFonts w:eastAsia="Times New Roman" w:cs="Arial"/>
          <w:color w:val="000000"/>
          <w:lang w:val="ru-RU"/>
        </w:rPr>
        <w:t>01</w:t>
      </w:r>
      <w:r w:rsidRPr="00841049">
        <w:rPr>
          <w:rFonts w:eastAsia="Times New Roman" w:cs="Arial"/>
          <w:color w:val="000000"/>
          <w:lang w:val="en-US"/>
        </w:rPr>
        <w:t>BC</w:t>
      </w:r>
      <w:r w:rsidRPr="00B712C2">
        <w:rPr>
          <w:rFonts w:eastAsia="Times New Roman" w:cs="Arial"/>
          <w:color w:val="000000"/>
          <w:lang w:val="ru-RU"/>
        </w:rPr>
        <w:t>07</w:t>
      </w:r>
    </w:p>
    <w:p w14:paraId="248919EF" w14:textId="77777777" w:rsidR="00841049" w:rsidRPr="00841049" w:rsidRDefault="00841049" w:rsidP="00841049">
      <w:pPr>
        <w:spacing w:line="240" w:lineRule="auto"/>
        <w:rPr>
          <w:rFonts w:eastAsia="Times New Roman" w:cs="Arial"/>
          <w:color w:val="000000"/>
          <w:u w:val="single"/>
          <w:lang w:eastAsia="bg-BG"/>
        </w:rPr>
      </w:pPr>
    </w:p>
    <w:p w14:paraId="24EC08E6" w14:textId="03E2880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u w:val="single"/>
          <w:lang w:eastAsia="bg-BG"/>
        </w:rPr>
        <w:t>Механизъм на действие</w:t>
      </w:r>
    </w:p>
    <w:p w14:paraId="0E1E3606"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Приема се, че азацитидин осъществява антинеопластичните си ефекти чрез различни механизми, включително цитотоксичност върху абнормните хемопоетични клетки в костния мозък и хипометилиране на ДНК. Цитотоксичните ефекти на азацитидин може да са резултат от различни механизми, включително инхибиране на синтезата на ДНК, РНК и протеини, включването му в РНК и ДНК и активиране на механизмите на увреждане на ДНК. Непролифериращите клетки са относително нечувствителни към азацитидин. Включването на азацитидин в ДНК води до инактивиране на ДНК-метилтрансферазите, водещо до хипометилиране на ДНК. Хипометилирането на ДНК на погрешно метилирани гени, участващи в нормалната регулация на клетъчния цикъл, диференциране и механизми на смърт, може да доведе до повторна експресия на гени и възстановяване на тумор-потискащите функции спрямо туморните клетки. Не е установено относителното значение за клиничния резултат на хипометилирането на ДНК в сравнение с цитотоксичностга или другите действия на азацитидин.</w:t>
      </w:r>
    </w:p>
    <w:p w14:paraId="7CF2F18C" w14:textId="77777777" w:rsidR="00841049" w:rsidRPr="00841049" w:rsidRDefault="00841049" w:rsidP="00841049">
      <w:pPr>
        <w:spacing w:line="240" w:lineRule="auto"/>
        <w:rPr>
          <w:rFonts w:eastAsia="Times New Roman" w:cs="Arial"/>
          <w:color w:val="000000"/>
          <w:u w:val="single"/>
          <w:lang w:eastAsia="bg-BG"/>
        </w:rPr>
      </w:pPr>
    </w:p>
    <w:p w14:paraId="380B4F2F" w14:textId="2F702973"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u w:val="single"/>
          <w:lang w:eastAsia="bg-BG"/>
        </w:rPr>
        <w:t>Клинична ефикасност и безопасност</w:t>
      </w:r>
    </w:p>
    <w:p w14:paraId="463BEC3C" w14:textId="77777777" w:rsidR="00841049" w:rsidRPr="00841049" w:rsidRDefault="00841049" w:rsidP="00841049">
      <w:pPr>
        <w:rPr>
          <w:rFonts w:eastAsia="Times New Roman" w:cs="Arial"/>
          <w:i/>
          <w:iCs/>
          <w:color w:val="000000"/>
          <w:lang w:eastAsia="bg-BG"/>
        </w:rPr>
      </w:pPr>
    </w:p>
    <w:p w14:paraId="54A01445" w14:textId="77777777" w:rsidR="00841049" w:rsidRPr="00841049" w:rsidRDefault="00841049" w:rsidP="00841049">
      <w:pPr>
        <w:rPr>
          <w:rFonts w:eastAsia="Times New Roman" w:cs="Arial"/>
          <w:sz w:val="24"/>
          <w:szCs w:val="24"/>
          <w:lang w:eastAsia="bg-BG"/>
        </w:rPr>
      </w:pPr>
      <w:r w:rsidRPr="00841049">
        <w:rPr>
          <w:rFonts w:eastAsia="Times New Roman" w:cs="Arial"/>
          <w:i/>
          <w:iCs/>
          <w:color w:val="000000"/>
          <w:lang w:eastAsia="bg-BG"/>
        </w:rPr>
        <w:t xml:space="preserve">Възрастна популация (МДС, ХММЛ и ОМЛ [20-30% </w:t>
      </w:r>
      <w:proofErr w:type="spellStart"/>
      <w:r w:rsidRPr="00841049">
        <w:rPr>
          <w:rFonts w:eastAsia="Times New Roman" w:cs="Arial"/>
          <w:i/>
          <w:iCs/>
          <w:color w:val="000000"/>
          <w:lang w:eastAsia="bg-BG"/>
        </w:rPr>
        <w:t>костномозъчни</w:t>
      </w:r>
      <w:proofErr w:type="spellEnd"/>
      <w:r w:rsidRPr="00841049">
        <w:rPr>
          <w:rFonts w:eastAsia="Times New Roman" w:cs="Arial"/>
          <w:i/>
          <w:iCs/>
          <w:color w:val="000000"/>
          <w:lang w:eastAsia="bg-BG"/>
        </w:rPr>
        <w:t xml:space="preserve"> </w:t>
      </w:r>
      <w:proofErr w:type="spellStart"/>
      <w:r w:rsidRPr="00841049">
        <w:rPr>
          <w:rFonts w:eastAsia="Times New Roman" w:cs="Arial"/>
          <w:i/>
          <w:iCs/>
          <w:color w:val="000000"/>
          <w:lang w:eastAsia="bg-BG"/>
        </w:rPr>
        <w:t>бласти</w:t>
      </w:r>
      <w:proofErr w:type="spellEnd"/>
      <w:r w:rsidRPr="00841049">
        <w:rPr>
          <w:rFonts w:eastAsia="Times New Roman" w:cs="Arial"/>
          <w:i/>
          <w:iCs/>
          <w:color w:val="000000"/>
          <w:lang w:eastAsia="bg-BG"/>
        </w:rPr>
        <w:t xml:space="preserve">]) </w:t>
      </w:r>
      <w:r w:rsidRPr="00841049">
        <w:rPr>
          <w:rFonts w:eastAsia="Times New Roman" w:cs="Arial"/>
          <w:color w:val="000000"/>
          <w:lang w:eastAsia="bg-BG"/>
        </w:rPr>
        <w:t xml:space="preserve">Ефикасността и безопасността на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са били проучени в едно международно, </w:t>
      </w:r>
      <w:proofErr w:type="spellStart"/>
      <w:r w:rsidRPr="00841049">
        <w:rPr>
          <w:rFonts w:eastAsia="Times New Roman" w:cs="Arial"/>
          <w:color w:val="000000"/>
          <w:lang w:eastAsia="bg-BG"/>
        </w:rPr>
        <w:t>многоцентрово</w:t>
      </w:r>
      <w:proofErr w:type="spellEnd"/>
      <w:r w:rsidRPr="00841049">
        <w:rPr>
          <w:rFonts w:eastAsia="Times New Roman" w:cs="Arial"/>
          <w:color w:val="000000"/>
          <w:lang w:eastAsia="bg-BG"/>
        </w:rPr>
        <w:t xml:space="preserve">, контролирано, отворено, рандомизирано, с паралелни групи сравнително проучване от фаза 3 </w:t>
      </w:r>
      <w:r w:rsidRPr="00B712C2">
        <w:rPr>
          <w:rFonts w:eastAsia="Times New Roman" w:cs="Arial"/>
          <w:color w:val="000000"/>
        </w:rPr>
        <w:t>(</w:t>
      </w:r>
      <w:r w:rsidRPr="00841049">
        <w:rPr>
          <w:rFonts w:eastAsia="Times New Roman" w:cs="Arial"/>
          <w:color w:val="000000"/>
          <w:lang w:val="en-US"/>
        </w:rPr>
        <w:t>AZA</w:t>
      </w:r>
      <w:r w:rsidRPr="00B712C2">
        <w:rPr>
          <w:rFonts w:eastAsia="Times New Roman" w:cs="Arial"/>
          <w:color w:val="000000"/>
        </w:rPr>
        <w:t xml:space="preserve"> </w:t>
      </w:r>
      <w:r w:rsidRPr="00841049">
        <w:rPr>
          <w:rFonts w:eastAsia="Times New Roman" w:cs="Arial"/>
          <w:color w:val="000000"/>
          <w:lang w:val="en-US"/>
        </w:rPr>
        <w:t>PH</w:t>
      </w:r>
      <w:r w:rsidRPr="00B712C2">
        <w:rPr>
          <w:rFonts w:eastAsia="Times New Roman" w:cs="Arial"/>
          <w:color w:val="000000"/>
        </w:rPr>
        <w:t xml:space="preserve"> </w:t>
      </w:r>
      <w:r w:rsidRPr="00841049">
        <w:rPr>
          <w:rFonts w:eastAsia="Times New Roman" w:cs="Arial"/>
          <w:color w:val="000000"/>
          <w:lang w:val="en-US"/>
        </w:rPr>
        <w:t>GL</w:t>
      </w:r>
      <w:r w:rsidRPr="00B712C2">
        <w:rPr>
          <w:rFonts w:eastAsia="Times New Roman" w:cs="Arial"/>
          <w:color w:val="000000"/>
        </w:rPr>
        <w:t xml:space="preserve"> </w:t>
      </w:r>
      <w:r w:rsidRPr="00841049">
        <w:rPr>
          <w:rFonts w:eastAsia="Times New Roman" w:cs="Arial"/>
          <w:color w:val="000000"/>
          <w:lang w:eastAsia="bg-BG"/>
        </w:rPr>
        <w:t xml:space="preserve">2003 </w:t>
      </w:r>
      <w:r w:rsidRPr="00841049">
        <w:rPr>
          <w:rFonts w:eastAsia="Times New Roman" w:cs="Arial"/>
          <w:color w:val="000000"/>
          <w:lang w:val="en-US"/>
        </w:rPr>
        <w:t>CL</w:t>
      </w:r>
      <w:r w:rsidRPr="00B712C2">
        <w:rPr>
          <w:rFonts w:eastAsia="Times New Roman" w:cs="Arial"/>
          <w:color w:val="000000"/>
        </w:rPr>
        <w:t xml:space="preserve"> </w:t>
      </w:r>
      <w:r w:rsidRPr="00841049">
        <w:rPr>
          <w:rFonts w:eastAsia="Times New Roman" w:cs="Arial"/>
          <w:color w:val="000000"/>
          <w:lang w:eastAsia="bg-BG"/>
        </w:rPr>
        <w:t xml:space="preserve">001) при възрастни пациенти с: МДС с междинен-2 и висок риск според Международната прогностична точкова система </w:t>
      </w:r>
      <w:r w:rsidRPr="00B712C2">
        <w:rPr>
          <w:rFonts w:eastAsia="Times New Roman" w:cs="Arial"/>
          <w:color w:val="000000"/>
        </w:rPr>
        <w:t>(</w:t>
      </w:r>
      <w:r w:rsidRPr="00841049">
        <w:rPr>
          <w:rFonts w:eastAsia="Times New Roman" w:cs="Arial"/>
          <w:color w:val="000000"/>
          <w:lang w:val="en-US"/>
        </w:rPr>
        <w:t>IPSS</w:t>
      </w:r>
      <w:r w:rsidRPr="00B712C2">
        <w:rPr>
          <w:rFonts w:eastAsia="Times New Roman" w:cs="Arial"/>
          <w:color w:val="000000"/>
        </w:rPr>
        <w:t xml:space="preserve">, </w:t>
      </w:r>
      <w:r w:rsidRPr="00841049">
        <w:rPr>
          <w:rFonts w:eastAsia="Times New Roman" w:cs="Arial"/>
          <w:color w:val="000000"/>
          <w:lang w:val="en-US"/>
        </w:rPr>
        <w:t>International</w:t>
      </w:r>
      <w:r w:rsidRPr="00B712C2">
        <w:rPr>
          <w:rFonts w:eastAsia="Times New Roman" w:cs="Arial"/>
          <w:color w:val="000000"/>
        </w:rPr>
        <w:t xml:space="preserve"> </w:t>
      </w:r>
      <w:r w:rsidRPr="00841049">
        <w:rPr>
          <w:rFonts w:eastAsia="Times New Roman" w:cs="Arial"/>
          <w:color w:val="000000"/>
          <w:lang w:val="en-US"/>
        </w:rPr>
        <w:t>Prognostic</w:t>
      </w:r>
      <w:r w:rsidRPr="00B712C2">
        <w:rPr>
          <w:rFonts w:eastAsia="Times New Roman" w:cs="Arial"/>
          <w:color w:val="000000"/>
        </w:rPr>
        <w:t xml:space="preserve"> </w:t>
      </w:r>
      <w:r w:rsidRPr="00841049">
        <w:rPr>
          <w:rFonts w:eastAsia="Times New Roman" w:cs="Arial"/>
          <w:color w:val="000000"/>
          <w:lang w:val="en-US"/>
        </w:rPr>
        <w:t>Scoring</w:t>
      </w:r>
      <w:r w:rsidRPr="00B712C2">
        <w:rPr>
          <w:rFonts w:eastAsia="Times New Roman" w:cs="Arial"/>
          <w:color w:val="000000"/>
        </w:rPr>
        <w:t xml:space="preserve"> </w:t>
      </w:r>
      <w:r w:rsidRPr="00841049">
        <w:rPr>
          <w:rFonts w:eastAsia="Times New Roman" w:cs="Arial"/>
          <w:color w:val="000000"/>
          <w:lang w:val="en-US"/>
        </w:rPr>
        <w:t>System</w:t>
      </w:r>
      <w:r w:rsidRPr="00B712C2">
        <w:rPr>
          <w:rFonts w:eastAsia="Times New Roman" w:cs="Arial"/>
          <w:color w:val="000000"/>
        </w:rPr>
        <w:t xml:space="preserve">), </w:t>
      </w:r>
      <w:proofErr w:type="spellStart"/>
      <w:r w:rsidRPr="00841049">
        <w:rPr>
          <w:rFonts w:eastAsia="Times New Roman" w:cs="Arial"/>
          <w:color w:val="000000"/>
          <w:lang w:eastAsia="bg-BG"/>
        </w:rPr>
        <w:t>рефрактерна</w:t>
      </w:r>
      <w:proofErr w:type="spellEnd"/>
      <w:r w:rsidRPr="00841049">
        <w:rPr>
          <w:rFonts w:eastAsia="Times New Roman" w:cs="Arial"/>
          <w:color w:val="000000"/>
          <w:lang w:eastAsia="bg-BG"/>
        </w:rPr>
        <w:t xml:space="preserve"> анемия с излишък на </w:t>
      </w:r>
      <w:proofErr w:type="spellStart"/>
      <w:r w:rsidRPr="00841049">
        <w:rPr>
          <w:rFonts w:eastAsia="Times New Roman" w:cs="Arial"/>
          <w:color w:val="000000"/>
          <w:lang w:eastAsia="bg-BG"/>
        </w:rPr>
        <w:t>бласти</w:t>
      </w:r>
      <w:proofErr w:type="spellEnd"/>
      <w:r w:rsidRPr="00841049">
        <w:rPr>
          <w:rFonts w:eastAsia="Times New Roman" w:cs="Arial"/>
          <w:color w:val="000000"/>
          <w:lang w:eastAsia="bg-BG"/>
        </w:rPr>
        <w:t xml:space="preserve"> </w:t>
      </w:r>
      <w:r w:rsidRPr="00B712C2">
        <w:rPr>
          <w:rFonts w:eastAsia="Times New Roman" w:cs="Arial"/>
          <w:color w:val="000000"/>
        </w:rPr>
        <w:t>(</w:t>
      </w:r>
      <w:r w:rsidRPr="00841049">
        <w:rPr>
          <w:rFonts w:eastAsia="Times New Roman" w:cs="Arial"/>
          <w:color w:val="000000"/>
          <w:lang w:val="en-US"/>
        </w:rPr>
        <w:t>Refractory</w:t>
      </w:r>
      <w:r w:rsidRPr="00B712C2">
        <w:rPr>
          <w:rFonts w:eastAsia="Times New Roman" w:cs="Arial"/>
          <w:color w:val="000000"/>
        </w:rPr>
        <w:t xml:space="preserve"> </w:t>
      </w:r>
      <w:proofErr w:type="spellStart"/>
      <w:r w:rsidRPr="00841049">
        <w:rPr>
          <w:rFonts w:eastAsia="Times New Roman" w:cs="Arial"/>
          <w:color w:val="000000"/>
          <w:lang w:val="en-US"/>
        </w:rPr>
        <w:t>Anaemia</w:t>
      </w:r>
      <w:proofErr w:type="spellEnd"/>
      <w:r w:rsidRPr="00B712C2">
        <w:rPr>
          <w:rFonts w:eastAsia="Times New Roman" w:cs="Arial"/>
          <w:color w:val="000000"/>
        </w:rPr>
        <w:t xml:space="preserve"> </w:t>
      </w:r>
      <w:r w:rsidRPr="00841049">
        <w:rPr>
          <w:rFonts w:eastAsia="Times New Roman" w:cs="Arial"/>
          <w:color w:val="000000"/>
          <w:lang w:val="en-US"/>
        </w:rPr>
        <w:t>with</w:t>
      </w:r>
      <w:r w:rsidRPr="00B712C2">
        <w:rPr>
          <w:rFonts w:eastAsia="Times New Roman" w:cs="Arial"/>
          <w:color w:val="000000"/>
        </w:rPr>
        <w:t xml:space="preserve"> </w:t>
      </w:r>
      <w:r w:rsidRPr="00841049">
        <w:rPr>
          <w:rFonts w:eastAsia="Times New Roman" w:cs="Arial"/>
          <w:color w:val="000000"/>
          <w:lang w:val="en-US"/>
        </w:rPr>
        <w:t>Excess</w:t>
      </w:r>
      <w:r w:rsidRPr="00B712C2">
        <w:rPr>
          <w:rFonts w:eastAsia="Times New Roman" w:cs="Arial"/>
          <w:color w:val="000000"/>
        </w:rPr>
        <w:t xml:space="preserve"> </w:t>
      </w:r>
      <w:r w:rsidRPr="00841049">
        <w:rPr>
          <w:rFonts w:eastAsia="Times New Roman" w:cs="Arial"/>
          <w:color w:val="000000"/>
          <w:lang w:val="en-US"/>
        </w:rPr>
        <w:t>Blasts</w:t>
      </w:r>
      <w:r w:rsidRPr="00B712C2">
        <w:rPr>
          <w:rFonts w:eastAsia="Times New Roman" w:cs="Arial"/>
          <w:color w:val="000000"/>
        </w:rPr>
        <w:t xml:space="preserve">, </w:t>
      </w:r>
      <w:r w:rsidRPr="00841049">
        <w:rPr>
          <w:rFonts w:eastAsia="Times New Roman" w:cs="Arial"/>
          <w:color w:val="000000"/>
          <w:lang w:val="en-US"/>
        </w:rPr>
        <w:t>RAEB</w:t>
      </w:r>
      <w:r w:rsidRPr="00B712C2">
        <w:rPr>
          <w:rFonts w:eastAsia="Times New Roman" w:cs="Arial"/>
          <w:color w:val="000000"/>
        </w:rPr>
        <w:t xml:space="preserve">), </w:t>
      </w:r>
      <w:proofErr w:type="spellStart"/>
      <w:r w:rsidRPr="00841049">
        <w:rPr>
          <w:rFonts w:eastAsia="Times New Roman" w:cs="Arial"/>
          <w:color w:val="000000"/>
          <w:lang w:eastAsia="bg-BG"/>
        </w:rPr>
        <w:t>рефрактерна</w:t>
      </w:r>
      <w:proofErr w:type="spellEnd"/>
      <w:r w:rsidRPr="00841049">
        <w:rPr>
          <w:rFonts w:eastAsia="Times New Roman" w:cs="Arial"/>
          <w:color w:val="000000"/>
          <w:lang w:eastAsia="bg-BG"/>
        </w:rPr>
        <w:t xml:space="preserve"> анемия </w:t>
      </w:r>
      <w:r w:rsidRPr="00841049">
        <w:rPr>
          <w:rFonts w:eastAsia="Times New Roman" w:cs="Arial"/>
          <w:color w:val="000000"/>
          <w:lang w:val="en-US"/>
        </w:rPr>
        <w:t>c</w:t>
      </w:r>
      <w:r w:rsidRPr="00B712C2">
        <w:rPr>
          <w:rFonts w:eastAsia="Times New Roman" w:cs="Arial"/>
          <w:color w:val="000000"/>
        </w:rPr>
        <w:t xml:space="preserve"> </w:t>
      </w:r>
      <w:r w:rsidRPr="00841049">
        <w:rPr>
          <w:rFonts w:eastAsia="Times New Roman" w:cs="Arial"/>
          <w:color w:val="000000"/>
          <w:lang w:eastAsia="bg-BG"/>
        </w:rPr>
        <w:t xml:space="preserve">излишък на </w:t>
      </w:r>
      <w:proofErr w:type="spellStart"/>
      <w:r w:rsidRPr="00841049">
        <w:rPr>
          <w:rFonts w:eastAsia="Times New Roman" w:cs="Arial"/>
          <w:color w:val="000000"/>
          <w:lang w:eastAsia="bg-BG"/>
        </w:rPr>
        <w:t>бласти</w:t>
      </w:r>
      <w:proofErr w:type="spellEnd"/>
      <w:r w:rsidRPr="00841049">
        <w:rPr>
          <w:rFonts w:eastAsia="Times New Roman" w:cs="Arial"/>
          <w:color w:val="000000"/>
          <w:lang w:eastAsia="bg-BG"/>
        </w:rPr>
        <w:t xml:space="preserve"> в трансформация </w:t>
      </w:r>
      <w:r w:rsidRPr="00B712C2">
        <w:rPr>
          <w:rFonts w:eastAsia="Times New Roman" w:cs="Arial"/>
          <w:color w:val="000000"/>
        </w:rPr>
        <w:t>(</w:t>
      </w:r>
      <w:r w:rsidRPr="00841049">
        <w:rPr>
          <w:rFonts w:eastAsia="Times New Roman" w:cs="Arial"/>
          <w:color w:val="000000"/>
          <w:lang w:val="en-US"/>
        </w:rPr>
        <w:t>Refractory</w:t>
      </w:r>
      <w:r w:rsidRPr="00B712C2">
        <w:rPr>
          <w:rFonts w:eastAsia="Times New Roman" w:cs="Arial"/>
          <w:color w:val="000000"/>
        </w:rPr>
        <w:t xml:space="preserve"> </w:t>
      </w:r>
      <w:proofErr w:type="spellStart"/>
      <w:r w:rsidRPr="00841049">
        <w:rPr>
          <w:rFonts w:eastAsia="Times New Roman" w:cs="Arial"/>
          <w:color w:val="000000"/>
          <w:lang w:val="en-US"/>
        </w:rPr>
        <w:t>Anaemia</w:t>
      </w:r>
      <w:proofErr w:type="spellEnd"/>
      <w:r w:rsidRPr="00B712C2">
        <w:rPr>
          <w:rFonts w:eastAsia="Times New Roman" w:cs="Arial"/>
          <w:color w:val="000000"/>
        </w:rPr>
        <w:t xml:space="preserve"> </w:t>
      </w:r>
      <w:r w:rsidRPr="00841049">
        <w:rPr>
          <w:rFonts w:eastAsia="Times New Roman" w:cs="Arial"/>
          <w:color w:val="000000"/>
          <w:lang w:val="en-US"/>
        </w:rPr>
        <w:t>with</w:t>
      </w:r>
      <w:r w:rsidRPr="00B712C2">
        <w:rPr>
          <w:rFonts w:eastAsia="Times New Roman" w:cs="Arial"/>
          <w:color w:val="000000"/>
        </w:rPr>
        <w:t xml:space="preserve"> </w:t>
      </w:r>
      <w:r w:rsidRPr="00841049">
        <w:rPr>
          <w:rFonts w:eastAsia="Times New Roman" w:cs="Arial"/>
          <w:color w:val="000000"/>
          <w:lang w:val="en-US"/>
        </w:rPr>
        <w:t>Excess</w:t>
      </w:r>
      <w:r w:rsidRPr="00B712C2">
        <w:rPr>
          <w:rFonts w:eastAsia="Times New Roman" w:cs="Arial"/>
          <w:color w:val="000000"/>
        </w:rPr>
        <w:t xml:space="preserve"> </w:t>
      </w:r>
      <w:r w:rsidRPr="00841049">
        <w:rPr>
          <w:rFonts w:eastAsia="Times New Roman" w:cs="Arial"/>
          <w:color w:val="000000"/>
          <w:lang w:val="en-US"/>
        </w:rPr>
        <w:t>Blasts</w:t>
      </w:r>
      <w:r w:rsidRPr="00B712C2">
        <w:rPr>
          <w:rFonts w:eastAsia="Times New Roman" w:cs="Arial"/>
          <w:color w:val="000000"/>
        </w:rPr>
        <w:t xml:space="preserve"> </w:t>
      </w:r>
      <w:r w:rsidRPr="00841049">
        <w:rPr>
          <w:rFonts w:eastAsia="Times New Roman" w:cs="Arial"/>
          <w:color w:val="000000"/>
          <w:lang w:val="en-US"/>
        </w:rPr>
        <w:t>in</w:t>
      </w:r>
      <w:r w:rsidRPr="00B712C2">
        <w:rPr>
          <w:rFonts w:eastAsia="Times New Roman" w:cs="Arial"/>
          <w:color w:val="000000"/>
        </w:rPr>
        <w:t xml:space="preserve"> </w:t>
      </w:r>
      <w:r w:rsidRPr="00841049">
        <w:rPr>
          <w:rFonts w:eastAsia="Times New Roman" w:cs="Arial"/>
          <w:color w:val="000000"/>
          <w:lang w:val="en-US"/>
        </w:rPr>
        <w:t>Transformation</w:t>
      </w:r>
      <w:r w:rsidRPr="00B712C2">
        <w:rPr>
          <w:rFonts w:eastAsia="Times New Roman" w:cs="Arial"/>
          <w:color w:val="000000"/>
        </w:rPr>
        <w:t xml:space="preserve">, </w:t>
      </w:r>
      <w:r w:rsidRPr="00841049">
        <w:rPr>
          <w:rFonts w:eastAsia="Times New Roman" w:cs="Arial"/>
          <w:color w:val="000000"/>
          <w:lang w:val="en-US"/>
        </w:rPr>
        <w:t>RAEB</w:t>
      </w:r>
      <w:r w:rsidRPr="00B712C2">
        <w:rPr>
          <w:rFonts w:eastAsia="Times New Roman" w:cs="Arial"/>
          <w:color w:val="000000"/>
        </w:rPr>
        <w:t>-</w:t>
      </w:r>
      <w:r w:rsidRPr="00841049">
        <w:rPr>
          <w:rFonts w:eastAsia="Times New Roman" w:cs="Arial"/>
          <w:color w:val="000000"/>
          <w:lang w:val="en-US"/>
        </w:rPr>
        <w:t>T</w:t>
      </w:r>
      <w:r w:rsidRPr="00B712C2">
        <w:rPr>
          <w:rFonts w:eastAsia="Times New Roman" w:cs="Arial"/>
          <w:color w:val="000000"/>
        </w:rPr>
        <w:t xml:space="preserve">) </w:t>
      </w:r>
      <w:r w:rsidRPr="00841049">
        <w:rPr>
          <w:rFonts w:eastAsia="Times New Roman" w:cs="Arial"/>
          <w:color w:val="000000"/>
          <w:lang w:eastAsia="bg-BG"/>
        </w:rPr>
        <w:t xml:space="preserve">и модифицирана хронична </w:t>
      </w:r>
      <w:proofErr w:type="spellStart"/>
      <w:r w:rsidRPr="00841049">
        <w:rPr>
          <w:rFonts w:eastAsia="Times New Roman" w:cs="Arial"/>
          <w:color w:val="000000"/>
          <w:lang w:eastAsia="bg-BG"/>
        </w:rPr>
        <w:t>миеломоноцитна</w:t>
      </w:r>
      <w:proofErr w:type="spellEnd"/>
      <w:r w:rsidRPr="00841049">
        <w:rPr>
          <w:rFonts w:eastAsia="Times New Roman" w:cs="Arial"/>
          <w:color w:val="000000"/>
          <w:lang w:eastAsia="bg-BG"/>
        </w:rPr>
        <w:t xml:space="preserve"> левкемия (</w:t>
      </w:r>
      <w:proofErr w:type="spellStart"/>
      <w:r w:rsidRPr="00841049">
        <w:rPr>
          <w:rFonts w:eastAsia="Times New Roman" w:cs="Arial"/>
          <w:color w:val="000000"/>
          <w:lang w:eastAsia="bg-BG"/>
        </w:rPr>
        <w:t>мХММЛ</w:t>
      </w:r>
      <w:proofErr w:type="spellEnd"/>
      <w:r w:rsidRPr="00841049">
        <w:rPr>
          <w:rFonts w:eastAsia="Times New Roman" w:cs="Arial"/>
          <w:color w:val="000000"/>
          <w:lang w:eastAsia="bg-BG"/>
        </w:rPr>
        <w:t>) според Френско-</w:t>
      </w:r>
      <w:proofErr w:type="spellStart"/>
      <w:r w:rsidRPr="00841049">
        <w:rPr>
          <w:rFonts w:eastAsia="Times New Roman" w:cs="Arial"/>
          <w:color w:val="000000"/>
          <w:lang w:eastAsia="bg-BG"/>
        </w:rPr>
        <w:lastRenderedPageBreak/>
        <w:t>американо</w:t>
      </w:r>
      <w:proofErr w:type="spellEnd"/>
      <w:r w:rsidRPr="00841049">
        <w:rPr>
          <w:rFonts w:eastAsia="Times New Roman" w:cs="Arial"/>
          <w:color w:val="000000"/>
          <w:lang w:eastAsia="bg-BG"/>
        </w:rPr>
        <w:t xml:space="preserve">-британската система за класификация. Според настоящата класификация на СЗО се приема, че пациентите с </w:t>
      </w:r>
      <w:r w:rsidRPr="00841049">
        <w:rPr>
          <w:rFonts w:eastAsia="Times New Roman" w:cs="Arial"/>
          <w:color w:val="000000"/>
          <w:lang w:val="en-US"/>
        </w:rPr>
        <w:t>RAEB</w:t>
      </w:r>
      <w:r w:rsidRPr="00B712C2">
        <w:rPr>
          <w:rFonts w:eastAsia="Times New Roman" w:cs="Arial"/>
          <w:color w:val="000000"/>
          <w:lang w:val="ru-RU"/>
        </w:rPr>
        <w:t>-</w:t>
      </w:r>
      <w:r w:rsidRPr="00841049">
        <w:rPr>
          <w:rFonts w:eastAsia="Times New Roman" w:cs="Arial"/>
          <w:color w:val="000000"/>
          <w:lang w:val="en-US"/>
        </w:rPr>
        <w:t>T</w:t>
      </w:r>
      <w:r w:rsidRPr="00B712C2">
        <w:rPr>
          <w:rFonts w:eastAsia="Times New Roman" w:cs="Arial"/>
          <w:color w:val="000000"/>
          <w:lang w:val="ru-RU"/>
        </w:rPr>
        <w:t xml:space="preserve"> </w:t>
      </w:r>
      <w:r w:rsidRPr="00841049">
        <w:rPr>
          <w:rFonts w:eastAsia="Times New Roman" w:cs="Arial"/>
          <w:color w:val="000000"/>
          <w:lang w:eastAsia="bg-BG"/>
        </w:rPr>
        <w:t xml:space="preserve">(21-30 % </w:t>
      </w:r>
      <w:proofErr w:type="spellStart"/>
      <w:r w:rsidRPr="00841049">
        <w:rPr>
          <w:rFonts w:eastAsia="Times New Roman" w:cs="Arial"/>
          <w:color w:val="000000"/>
          <w:lang w:eastAsia="bg-BG"/>
        </w:rPr>
        <w:t>бласти</w:t>
      </w:r>
      <w:proofErr w:type="spellEnd"/>
      <w:r w:rsidRPr="00841049">
        <w:rPr>
          <w:rFonts w:eastAsia="Times New Roman" w:cs="Arial"/>
          <w:color w:val="000000"/>
          <w:lang w:eastAsia="bg-BG"/>
        </w:rPr>
        <w:t xml:space="preserve">) са с ОМЛ.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плюс най-добри поддържащи грижи </w:t>
      </w:r>
      <w:r w:rsidRPr="00B712C2">
        <w:rPr>
          <w:rFonts w:eastAsia="Times New Roman" w:cs="Arial"/>
          <w:color w:val="000000"/>
        </w:rPr>
        <w:t>(</w:t>
      </w:r>
      <w:r w:rsidRPr="00841049">
        <w:rPr>
          <w:rFonts w:eastAsia="Times New Roman" w:cs="Arial"/>
          <w:color w:val="000000"/>
          <w:lang w:val="en-US"/>
        </w:rPr>
        <w:t>best</w:t>
      </w:r>
      <w:r w:rsidRPr="00B712C2">
        <w:rPr>
          <w:rFonts w:eastAsia="Times New Roman" w:cs="Arial"/>
          <w:color w:val="000000"/>
        </w:rPr>
        <w:t xml:space="preserve"> </w:t>
      </w:r>
      <w:r w:rsidRPr="00841049">
        <w:rPr>
          <w:rFonts w:eastAsia="Times New Roman" w:cs="Arial"/>
          <w:color w:val="000000"/>
          <w:lang w:val="en-US"/>
        </w:rPr>
        <w:t>supportive</w:t>
      </w:r>
      <w:r w:rsidRPr="00B712C2">
        <w:rPr>
          <w:rFonts w:eastAsia="Times New Roman" w:cs="Arial"/>
          <w:color w:val="000000"/>
        </w:rPr>
        <w:t xml:space="preserve"> </w:t>
      </w:r>
      <w:r w:rsidRPr="00841049">
        <w:rPr>
          <w:rFonts w:eastAsia="Times New Roman" w:cs="Arial"/>
          <w:color w:val="000000"/>
          <w:lang w:val="en-US"/>
        </w:rPr>
        <w:t>care</w:t>
      </w:r>
      <w:r w:rsidRPr="00B712C2">
        <w:rPr>
          <w:rFonts w:eastAsia="Times New Roman" w:cs="Arial"/>
          <w:color w:val="000000"/>
        </w:rPr>
        <w:t xml:space="preserve">, </w:t>
      </w:r>
      <w:r w:rsidRPr="00841049">
        <w:rPr>
          <w:rFonts w:eastAsia="Times New Roman" w:cs="Arial"/>
          <w:color w:val="000000"/>
          <w:lang w:val="en-US"/>
        </w:rPr>
        <w:t>BSC</w:t>
      </w:r>
      <w:r w:rsidRPr="00B712C2">
        <w:rPr>
          <w:rFonts w:eastAsia="Times New Roman" w:cs="Arial"/>
          <w:color w:val="000000"/>
        </w:rPr>
        <w:t>) (</w:t>
      </w:r>
      <w:r w:rsidRPr="00841049">
        <w:rPr>
          <w:rFonts w:eastAsia="Times New Roman" w:cs="Arial"/>
          <w:color w:val="000000"/>
          <w:lang w:val="en-US"/>
        </w:rPr>
        <w:t>n</w:t>
      </w:r>
      <w:r w:rsidRPr="00B712C2">
        <w:rPr>
          <w:rFonts w:eastAsia="Times New Roman" w:cs="Arial"/>
          <w:color w:val="000000"/>
        </w:rPr>
        <w:t xml:space="preserve"> = 179) </w:t>
      </w:r>
      <w:r w:rsidRPr="00841049">
        <w:rPr>
          <w:rFonts w:eastAsia="Times New Roman" w:cs="Arial"/>
          <w:color w:val="000000"/>
          <w:lang w:eastAsia="bg-BG"/>
        </w:rPr>
        <w:t xml:space="preserve">е сравнен </w:t>
      </w:r>
      <w:r w:rsidRPr="00841049">
        <w:rPr>
          <w:rFonts w:eastAsia="Times New Roman" w:cs="Arial"/>
          <w:color w:val="000000"/>
          <w:lang w:val="en-US"/>
        </w:rPr>
        <w:t>c</w:t>
      </w:r>
      <w:r w:rsidRPr="00B712C2">
        <w:rPr>
          <w:rFonts w:eastAsia="Times New Roman" w:cs="Arial"/>
          <w:color w:val="000000"/>
        </w:rPr>
        <w:t xml:space="preserve"> </w:t>
      </w:r>
      <w:r w:rsidRPr="00841049">
        <w:rPr>
          <w:rFonts w:eastAsia="Times New Roman" w:cs="Arial"/>
          <w:color w:val="000000"/>
          <w:lang w:eastAsia="bg-BG"/>
        </w:rPr>
        <w:t xml:space="preserve">конвенционални терапевтични схеми. Конвенционалните терапевтични схеми са включвали само </w:t>
      </w:r>
      <w:r w:rsidRPr="00841049">
        <w:rPr>
          <w:rFonts w:eastAsia="Times New Roman" w:cs="Arial"/>
          <w:color w:val="000000"/>
          <w:lang w:val="en-US"/>
        </w:rPr>
        <w:t>BSC</w:t>
      </w:r>
      <w:r w:rsidRPr="00B712C2">
        <w:rPr>
          <w:rFonts w:eastAsia="Times New Roman" w:cs="Arial"/>
          <w:color w:val="000000"/>
          <w:lang w:val="ru-RU"/>
        </w:rPr>
        <w:t xml:space="preserve"> </w:t>
      </w:r>
      <w:r w:rsidRPr="00841049">
        <w:rPr>
          <w:rFonts w:eastAsia="Times New Roman" w:cs="Arial"/>
          <w:color w:val="000000"/>
          <w:lang w:eastAsia="bg-BG"/>
        </w:rPr>
        <w:t>(</w:t>
      </w:r>
      <w:r w:rsidRPr="00841049">
        <w:rPr>
          <w:rFonts w:eastAsia="Times New Roman" w:cs="Arial"/>
          <w:color w:val="000000"/>
          <w:lang w:val="en-US"/>
        </w:rPr>
        <w:t>n</w:t>
      </w:r>
      <w:r w:rsidRPr="00841049">
        <w:rPr>
          <w:rFonts w:eastAsia="Times New Roman" w:cs="Arial"/>
          <w:color w:val="000000"/>
          <w:lang w:eastAsia="bg-BG"/>
        </w:rPr>
        <w:t xml:space="preserve"> = 105), ниска доза </w:t>
      </w:r>
      <w:proofErr w:type="spellStart"/>
      <w:r w:rsidRPr="00841049">
        <w:rPr>
          <w:rFonts w:eastAsia="Times New Roman" w:cs="Arial"/>
          <w:color w:val="000000"/>
          <w:lang w:eastAsia="bg-BG"/>
        </w:rPr>
        <w:t>цитарабин</w:t>
      </w:r>
      <w:proofErr w:type="spellEnd"/>
      <w:r w:rsidRPr="00841049">
        <w:rPr>
          <w:rFonts w:eastAsia="Times New Roman" w:cs="Arial"/>
          <w:color w:val="000000"/>
          <w:lang w:eastAsia="bg-BG"/>
        </w:rPr>
        <w:t xml:space="preserve"> плюс </w:t>
      </w:r>
      <w:r w:rsidRPr="00841049">
        <w:rPr>
          <w:rFonts w:eastAsia="Times New Roman" w:cs="Arial"/>
          <w:color w:val="000000"/>
          <w:lang w:val="en-US"/>
        </w:rPr>
        <w:t>BSC</w:t>
      </w:r>
      <w:r w:rsidRPr="00B712C2">
        <w:rPr>
          <w:rFonts w:eastAsia="Times New Roman" w:cs="Arial"/>
          <w:color w:val="000000"/>
          <w:lang w:val="ru-RU"/>
        </w:rPr>
        <w:t xml:space="preserve"> </w:t>
      </w:r>
      <w:r w:rsidRPr="00841049">
        <w:rPr>
          <w:rFonts w:eastAsia="Times New Roman" w:cs="Arial"/>
          <w:color w:val="000000"/>
          <w:lang w:eastAsia="bg-BG"/>
        </w:rPr>
        <w:t>(</w:t>
      </w:r>
      <w:r w:rsidRPr="00841049">
        <w:rPr>
          <w:rFonts w:eastAsia="Times New Roman" w:cs="Arial"/>
          <w:color w:val="000000"/>
          <w:lang w:val="en-US"/>
        </w:rPr>
        <w:t>n</w:t>
      </w:r>
      <w:r w:rsidRPr="00841049">
        <w:rPr>
          <w:rFonts w:eastAsia="Times New Roman" w:cs="Arial"/>
          <w:color w:val="000000"/>
          <w:lang w:eastAsia="bg-BG"/>
        </w:rPr>
        <w:t xml:space="preserve"> = 49) или стандартна индукционна химиотерапия плюс </w:t>
      </w:r>
      <w:r w:rsidRPr="00841049">
        <w:rPr>
          <w:rFonts w:eastAsia="Times New Roman" w:cs="Arial"/>
          <w:color w:val="000000"/>
          <w:lang w:val="en-US"/>
        </w:rPr>
        <w:t>BSC</w:t>
      </w:r>
      <w:r w:rsidRPr="00B712C2">
        <w:rPr>
          <w:rFonts w:eastAsia="Times New Roman" w:cs="Arial"/>
          <w:color w:val="000000"/>
          <w:lang w:val="ru-RU"/>
        </w:rPr>
        <w:t xml:space="preserve"> </w:t>
      </w:r>
      <w:r w:rsidRPr="00841049">
        <w:rPr>
          <w:rFonts w:eastAsia="Times New Roman" w:cs="Arial"/>
          <w:color w:val="000000"/>
          <w:lang w:eastAsia="bg-BG"/>
        </w:rPr>
        <w:t>(</w:t>
      </w:r>
      <w:r w:rsidRPr="00841049">
        <w:rPr>
          <w:rFonts w:eastAsia="Times New Roman" w:cs="Arial"/>
          <w:color w:val="000000"/>
          <w:lang w:val="en-US"/>
        </w:rPr>
        <w:t>n</w:t>
      </w:r>
      <w:r w:rsidRPr="00841049">
        <w:rPr>
          <w:rFonts w:eastAsia="Times New Roman" w:cs="Arial"/>
          <w:color w:val="000000"/>
          <w:lang w:eastAsia="bg-BG"/>
        </w:rPr>
        <w:t xml:space="preserve"> = 25). Преди рандомизирането пациентите са били предварително избрани от техните лекари за 1 от 3 конвенционални терапевтични схеми. Пациентите са получавали тази предварително избрана терапевтична схема, ако не са били рандомизирани да получават азацитидин. Като част от критериите за включване пациентите е трябвало да имат функционално състояние по Източна обединена онкологична група </w:t>
      </w:r>
      <w:r w:rsidRPr="00B712C2">
        <w:rPr>
          <w:rFonts w:eastAsia="Times New Roman" w:cs="Arial"/>
          <w:color w:val="000000"/>
          <w:lang w:val="ru-RU"/>
        </w:rPr>
        <w:t>(</w:t>
      </w:r>
      <w:r w:rsidRPr="00841049">
        <w:rPr>
          <w:rFonts w:eastAsia="Times New Roman" w:cs="Arial"/>
          <w:color w:val="000000"/>
          <w:lang w:val="en-US"/>
        </w:rPr>
        <w:t>Eastern</w:t>
      </w:r>
      <w:r w:rsidRPr="00B712C2">
        <w:rPr>
          <w:rFonts w:eastAsia="Times New Roman" w:cs="Arial"/>
          <w:color w:val="000000"/>
          <w:lang w:val="ru-RU"/>
        </w:rPr>
        <w:t xml:space="preserve"> </w:t>
      </w:r>
      <w:r w:rsidRPr="00841049">
        <w:rPr>
          <w:rFonts w:eastAsia="Times New Roman" w:cs="Arial"/>
          <w:color w:val="000000"/>
          <w:lang w:val="en-US"/>
        </w:rPr>
        <w:t>Cooperative</w:t>
      </w:r>
      <w:r w:rsidRPr="00B712C2">
        <w:rPr>
          <w:rFonts w:eastAsia="Times New Roman" w:cs="Arial"/>
          <w:color w:val="000000"/>
          <w:lang w:val="ru-RU"/>
        </w:rPr>
        <w:t xml:space="preserve"> </w:t>
      </w:r>
      <w:r w:rsidRPr="00841049">
        <w:rPr>
          <w:rFonts w:eastAsia="Times New Roman" w:cs="Arial"/>
          <w:color w:val="000000"/>
          <w:lang w:val="en-US"/>
        </w:rPr>
        <w:t>Oncology</w:t>
      </w:r>
      <w:r w:rsidRPr="00B712C2">
        <w:rPr>
          <w:rFonts w:eastAsia="Times New Roman" w:cs="Arial"/>
          <w:color w:val="000000"/>
          <w:lang w:val="ru-RU"/>
        </w:rPr>
        <w:t xml:space="preserve"> </w:t>
      </w:r>
      <w:r w:rsidRPr="00841049">
        <w:rPr>
          <w:rFonts w:eastAsia="Times New Roman" w:cs="Arial"/>
          <w:color w:val="000000"/>
          <w:lang w:val="en-US"/>
        </w:rPr>
        <w:t>Group</w:t>
      </w:r>
      <w:r w:rsidRPr="00B712C2">
        <w:rPr>
          <w:rFonts w:eastAsia="Times New Roman" w:cs="Arial"/>
          <w:color w:val="000000"/>
          <w:lang w:val="ru-RU"/>
        </w:rPr>
        <w:t xml:space="preserve">, </w:t>
      </w:r>
      <w:r w:rsidRPr="00841049">
        <w:rPr>
          <w:rFonts w:eastAsia="Times New Roman" w:cs="Arial"/>
          <w:color w:val="000000"/>
          <w:lang w:val="en-US"/>
        </w:rPr>
        <w:t>ECOG</w:t>
      </w:r>
      <w:r w:rsidRPr="00B712C2">
        <w:rPr>
          <w:rFonts w:eastAsia="Times New Roman" w:cs="Arial"/>
          <w:color w:val="000000"/>
          <w:lang w:val="ru-RU"/>
        </w:rPr>
        <w:t xml:space="preserve">) </w:t>
      </w:r>
      <w:r w:rsidRPr="00841049">
        <w:rPr>
          <w:rFonts w:eastAsia="Times New Roman" w:cs="Arial"/>
          <w:color w:val="000000"/>
          <w:lang w:eastAsia="bg-BG"/>
        </w:rPr>
        <w:t xml:space="preserve">от </w:t>
      </w:r>
      <w:r w:rsidRPr="00B712C2">
        <w:rPr>
          <w:rFonts w:eastAsia="Times New Roman" w:cs="Arial"/>
          <w:color w:val="000000"/>
          <w:lang w:val="ru-RU"/>
        </w:rPr>
        <w:t xml:space="preserve">0-2. </w:t>
      </w:r>
      <w:r w:rsidRPr="00841049">
        <w:rPr>
          <w:rFonts w:eastAsia="Times New Roman" w:cs="Arial"/>
          <w:color w:val="000000"/>
          <w:lang w:eastAsia="bg-BG"/>
        </w:rPr>
        <w:t xml:space="preserve">Пациентите </w:t>
      </w:r>
      <w:r w:rsidRPr="00841049">
        <w:rPr>
          <w:rFonts w:eastAsia="Times New Roman" w:cs="Arial"/>
          <w:color w:val="000000"/>
          <w:lang w:val="en-US"/>
        </w:rPr>
        <w:t>c</w:t>
      </w:r>
      <w:r w:rsidRPr="00B712C2">
        <w:rPr>
          <w:rFonts w:eastAsia="Times New Roman" w:cs="Arial"/>
          <w:color w:val="000000"/>
          <w:lang w:val="ru-RU"/>
        </w:rPr>
        <w:t xml:space="preserve"> </w:t>
      </w:r>
      <w:r w:rsidRPr="00841049">
        <w:rPr>
          <w:rFonts w:eastAsia="Times New Roman" w:cs="Arial"/>
          <w:color w:val="000000"/>
          <w:lang w:eastAsia="bg-BG"/>
        </w:rPr>
        <w:t xml:space="preserve">вторичен МДС са изключени от проучването. Първичната крайна точка на проучването е била общата преживяемост.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е прилаган подкожно в доза от 75 </w:t>
      </w:r>
      <w:r w:rsidRPr="00841049">
        <w:rPr>
          <w:rFonts w:eastAsia="Times New Roman" w:cs="Arial"/>
          <w:color w:val="000000"/>
          <w:lang w:val="en-US"/>
        </w:rPr>
        <w:t>mg</w:t>
      </w:r>
      <w:r w:rsidRPr="00B712C2">
        <w:rPr>
          <w:rFonts w:eastAsia="Times New Roman" w:cs="Arial"/>
          <w:color w:val="000000"/>
          <w:lang w:val="ru-RU"/>
        </w:rPr>
        <w:t>/</w:t>
      </w:r>
      <w:r w:rsidRPr="00841049">
        <w:rPr>
          <w:rFonts w:eastAsia="Times New Roman" w:cs="Arial"/>
          <w:color w:val="000000"/>
          <w:lang w:val="en-US"/>
        </w:rPr>
        <w:t>m</w:t>
      </w:r>
      <w:r w:rsidRPr="00B712C2">
        <w:rPr>
          <w:rFonts w:eastAsia="Times New Roman" w:cs="Arial"/>
          <w:color w:val="000000"/>
          <w:vertAlign w:val="superscript"/>
          <w:lang w:val="ru-RU"/>
        </w:rPr>
        <w:t>2</w:t>
      </w:r>
      <w:r w:rsidRPr="00B712C2">
        <w:rPr>
          <w:rFonts w:eastAsia="Times New Roman" w:cs="Arial"/>
          <w:color w:val="000000"/>
          <w:lang w:val="ru-RU"/>
        </w:rPr>
        <w:t xml:space="preserve"> </w:t>
      </w:r>
      <w:r w:rsidRPr="00841049">
        <w:rPr>
          <w:rFonts w:eastAsia="Times New Roman" w:cs="Arial"/>
          <w:color w:val="000000"/>
          <w:lang w:eastAsia="bg-BG"/>
        </w:rPr>
        <w:t>дневно за 7 дни, последвани от период на почивка с продължителност 21 дни (28-дневен цикъл на лечение) с медиана 9 цикъла (интервал = 1-39) и средно по 10,2 цикъла. В популацията на всички</w:t>
      </w:r>
      <w:r w:rsidRPr="00B712C2">
        <w:rPr>
          <w:rFonts w:eastAsia="Times New Roman" w:cs="Arial"/>
          <w:color w:val="000000"/>
          <w:lang w:val="ru-RU" w:eastAsia="bg-BG"/>
        </w:rPr>
        <w:t xml:space="preserve"> </w:t>
      </w:r>
      <w:r w:rsidRPr="00841049">
        <w:rPr>
          <w:rFonts w:eastAsia="Times New Roman" w:cs="Arial"/>
          <w:color w:val="000000"/>
          <w:lang w:eastAsia="bg-BG"/>
        </w:rPr>
        <w:t xml:space="preserve">рандомизирани пациенти </w:t>
      </w:r>
      <w:r w:rsidRPr="00B712C2">
        <w:rPr>
          <w:rFonts w:eastAsia="Times New Roman" w:cs="Arial"/>
          <w:color w:val="000000"/>
          <w:lang w:val="ru-RU"/>
        </w:rPr>
        <w:t>(</w:t>
      </w:r>
      <w:r w:rsidRPr="00841049">
        <w:rPr>
          <w:rFonts w:eastAsia="Times New Roman" w:cs="Arial"/>
          <w:color w:val="000000"/>
          <w:lang w:val="en-US"/>
        </w:rPr>
        <w:t>ITT</w:t>
      </w:r>
      <w:r w:rsidRPr="00B712C2">
        <w:rPr>
          <w:rFonts w:eastAsia="Times New Roman" w:cs="Arial"/>
          <w:color w:val="000000"/>
          <w:lang w:val="ru-RU"/>
        </w:rPr>
        <w:t xml:space="preserve">, </w:t>
      </w:r>
      <w:r w:rsidRPr="00841049">
        <w:rPr>
          <w:rFonts w:eastAsia="Times New Roman" w:cs="Arial"/>
          <w:i/>
          <w:iCs/>
          <w:color w:val="000000"/>
          <w:lang w:val="en-US"/>
        </w:rPr>
        <w:t>intent</w:t>
      </w:r>
      <w:r w:rsidRPr="00B712C2">
        <w:rPr>
          <w:rFonts w:eastAsia="Times New Roman" w:cs="Arial"/>
          <w:i/>
          <w:iCs/>
          <w:color w:val="000000"/>
          <w:lang w:val="ru-RU"/>
        </w:rPr>
        <w:t xml:space="preserve"> </w:t>
      </w:r>
      <w:r w:rsidRPr="00841049">
        <w:rPr>
          <w:rFonts w:eastAsia="Times New Roman" w:cs="Arial"/>
          <w:i/>
          <w:iCs/>
          <w:color w:val="000000"/>
          <w:lang w:val="en-US"/>
        </w:rPr>
        <w:t>to</w:t>
      </w:r>
      <w:r w:rsidRPr="00B712C2">
        <w:rPr>
          <w:rFonts w:eastAsia="Times New Roman" w:cs="Arial"/>
          <w:i/>
          <w:iCs/>
          <w:color w:val="000000"/>
          <w:lang w:val="ru-RU"/>
        </w:rPr>
        <w:t xml:space="preserve"> </w:t>
      </w:r>
      <w:r w:rsidRPr="00841049">
        <w:rPr>
          <w:rFonts w:eastAsia="Times New Roman" w:cs="Arial"/>
          <w:i/>
          <w:iCs/>
          <w:color w:val="000000"/>
          <w:lang w:val="en-US"/>
        </w:rPr>
        <w:t>treat</w:t>
      </w:r>
      <w:r w:rsidRPr="00B712C2">
        <w:rPr>
          <w:rFonts w:eastAsia="Times New Roman" w:cs="Arial"/>
          <w:color w:val="000000"/>
          <w:lang w:val="ru-RU"/>
        </w:rPr>
        <w:t xml:space="preserve"> </w:t>
      </w:r>
      <w:r w:rsidRPr="00841049">
        <w:rPr>
          <w:rFonts w:eastAsia="Times New Roman" w:cs="Arial"/>
          <w:color w:val="000000"/>
          <w:lang w:eastAsia="bg-BG"/>
        </w:rPr>
        <w:t>популацията) медианата на възрастта е била 69 години (интервал 38 до 88 години).</w:t>
      </w:r>
    </w:p>
    <w:p w14:paraId="79D7697F" w14:textId="77777777" w:rsidR="00841049" w:rsidRPr="00841049" w:rsidRDefault="00841049" w:rsidP="00841049">
      <w:pPr>
        <w:rPr>
          <w:rFonts w:eastAsia="Times New Roman" w:cs="Arial"/>
          <w:color w:val="000000"/>
          <w:lang w:eastAsia="bg-BG"/>
        </w:rPr>
      </w:pPr>
    </w:p>
    <w:p w14:paraId="28252AA0" w14:textId="3B31823D" w:rsidR="0091385D" w:rsidRDefault="00841049" w:rsidP="00841049">
      <w:pPr>
        <w:rPr>
          <w:rFonts w:eastAsia="Times New Roman" w:cs="Arial"/>
          <w:color w:val="000000"/>
          <w:lang w:eastAsia="bg-BG"/>
        </w:rPr>
      </w:pPr>
      <w:r w:rsidRPr="00841049">
        <w:rPr>
          <w:rFonts w:eastAsia="Times New Roman" w:cs="Arial"/>
          <w:color w:val="000000"/>
          <w:lang w:eastAsia="bg-BG"/>
        </w:rPr>
        <w:t xml:space="preserve">В </w:t>
      </w:r>
      <w:r w:rsidRPr="00841049">
        <w:rPr>
          <w:rFonts w:eastAsia="Times New Roman" w:cs="Arial"/>
          <w:color w:val="000000"/>
          <w:lang w:val="en-US"/>
        </w:rPr>
        <w:t>ITT</w:t>
      </w:r>
      <w:r w:rsidRPr="00B712C2">
        <w:rPr>
          <w:rFonts w:eastAsia="Times New Roman" w:cs="Arial"/>
          <w:color w:val="000000"/>
          <w:lang w:val="ru-RU"/>
        </w:rPr>
        <w:t xml:space="preserve"> </w:t>
      </w:r>
      <w:r w:rsidRPr="00841049">
        <w:rPr>
          <w:rFonts w:eastAsia="Times New Roman" w:cs="Arial"/>
          <w:color w:val="000000"/>
          <w:lang w:eastAsia="bg-BG"/>
        </w:rPr>
        <w:t xml:space="preserve">анализа на 358 пациенти (179 с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и 179 с конвенционална терапевтична схема), лечението с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е било свързано с медиана на преживяемост от 24,46 месеца срещу 15,02 месеца за пациентите, лекувани с конвенционална терапевтична схема, с разлика от 9,4 месеца, със стратифицирана </w:t>
      </w:r>
      <w:r w:rsidRPr="00841049">
        <w:rPr>
          <w:rFonts w:eastAsia="Times New Roman" w:cs="Arial"/>
          <w:color w:val="000000"/>
          <w:lang w:val="en-US"/>
        </w:rPr>
        <w:t>log</w:t>
      </w:r>
      <w:r w:rsidRPr="00B712C2">
        <w:rPr>
          <w:rFonts w:eastAsia="Times New Roman" w:cs="Arial"/>
          <w:color w:val="000000"/>
          <w:lang w:val="ru-RU"/>
        </w:rPr>
        <w:t>-</w:t>
      </w:r>
      <w:r w:rsidRPr="00841049">
        <w:rPr>
          <w:rFonts w:eastAsia="Times New Roman" w:cs="Arial"/>
          <w:color w:val="000000"/>
          <w:lang w:val="en-US"/>
        </w:rPr>
        <w:t>rank</w:t>
      </w:r>
      <w:r w:rsidRPr="00B712C2">
        <w:rPr>
          <w:rFonts w:eastAsia="Times New Roman" w:cs="Arial"/>
          <w:color w:val="000000"/>
          <w:lang w:val="ru-RU"/>
        </w:rPr>
        <w:t xml:space="preserve"> </w:t>
      </w:r>
      <w:r w:rsidRPr="00841049">
        <w:rPr>
          <w:rFonts w:eastAsia="Times New Roman" w:cs="Arial"/>
          <w:color w:val="000000"/>
          <w:lang w:eastAsia="bg-BG"/>
        </w:rPr>
        <w:t xml:space="preserve">р-стойност 0,0001. Коефициентът на риска за ефекта на лечението е бил 0,58 (95 % </w:t>
      </w:r>
      <w:r w:rsidRPr="00841049">
        <w:rPr>
          <w:rFonts w:eastAsia="Times New Roman" w:cs="Arial"/>
          <w:color w:val="000000"/>
          <w:lang w:val="en-US"/>
        </w:rPr>
        <w:t>CI</w:t>
      </w:r>
      <w:r w:rsidRPr="00B712C2">
        <w:rPr>
          <w:rFonts w:eastAsia="Times New Roman" w:cs="Arial"/>
          <w:color w:val="000000"/>
          <w:lang w:val="ru-RU"/>
        </w:rPr>
        <w:t xml:space="preserve">: </w:t>
      </w:r>
      <w:r w:rsidRPr="00841049">
        <w:rPr>
          <w:rFonts w:eastAsia="Times New Roman" w:cs="Arial"/>
          <w:color w:val="000000"/>
          <w:lang w:eastAsia="bg-BG"/>
        </w:rPr>
        <w:t>0,43; 0,77). Двугодишната преживяемост е била 50,8 % при пациентите, лекувани с азацитидин, срещу 26,2 % при пациентите, лекувани с конвенционална терапевтична схема (р &lt; 0,0001).</w:t>
      </w:r>
    </w:p>
    <w:p w14:paraId="755E2F28" w14:textId="3943F8EF" w:rsidR="00841049" w:rsidRDefault="00841049" w:rsidP="00841049">
      <w:pPr>
        <w:rPr>
          <w:rFonts w:eastAsia="Times New Roman" w:cs="Arial"/>
          <w:color w:val="000000"/>
          <w:lang w:eastAsia="bg-BG"/>
        </w:rPr>
      </w:pPr>
    </w:p>
    <w:p w14:paraId="7FB1B5C6" w14:textId="3DEAD81D" w:rsidR="00841049" w:rsidRPr="00841049" w:rsidRDefault="00841049" w:rsidP="00841049">
      <w:pPr>
        <w:rPr>
          <w:rFonts w:cs="Arial"/>
          <w:lang w:val="en-US"/>
        </w:rPr>
      </w:pPr>
      <w:r>
        <w:rPr>
          <w:rFonts w:cs="Arial"/>
          <w:noProof/>
          <w:lang w:eastAsia="bg-BG"/>
        </w:rPr>
        <w:drawing>
          <wp:inline distT="0" distB="0" distL="0" distR="0" wp14:anchorId="7571A31A" wp14:editId="2BCE12EE">
            <wp:extent cx="5077534" cy="3096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_11111.png"/>
                    <pic:cNvPicPr/>
                  </pic:nvPicPr>
                  <pic:blipFill>
                    <a:blip r:embed="rId6">
                      <a:extLst>
                        <a:ext uri="{28A0092B-C50C-407E-A947-70E740481C1C}">
                          <a14:useLocalDpi xmlns:a14="http://schemas.microsoft.com/office/drawing/2010/main" val="0"/>
                        </a:ext>
                      </a:extLst>
                    </a:blip>
                    <a:stretch>
                      <a:fillRect/>
                    </a:stretch>
                  </pic:blipFill>
                  <pic:spPr>
                    <a:xfrm>
                      <a:off x="0" y="0"/>
                      <a:ext cx="5077534" cy="3096057"/>
                    </a:xfrm>
                    <a:prstGeom prst="rect">
                      <a:avLst/>
                    </a:prstGeom>
                  </pic:spPr>
                </pic:pic>
              </a:graphicData>
            </a:graphic>
          </wp:inline>
        </w:drawing>
      </w:r>
    </w:p>
    <w:p w14:paraId="36152471" w14:textId="5F975BAC" w:rsidR="0091385D" w:rsidRDefault="0091385D" w:rsidP="0091385D"/>
    <w:p w14:paraId="12ABE7FE"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Брой пациенти в риск</w:t>
      </w:r>
    </w:p>
    <w:p w14:paraId="67EFBE7B"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val="en-US"/>
        </w:rPr>
        <w:t>AZA</w:t>
      </w:r>
      <w:r w:rsidRPr="00B712C2">
        <w:rPr>
          <w:rFonts w:eastAsia="Times New Roman" w:cs="Arial"/>
          <w:color w:val="000000"/>
          <w:lang w:val="ru-RU"/>
        </w:rPr>
        <w:tab/>
      </w:r>
      <w:r w:rsidRPr="00841049">
        <w:rPr>
          <w:rFonts w:eastAsia="Times New Roman" w:cs="Arial"/>
          <w:color w:val="000000"/>
          <w:lang w:eastAsia="bg-BG"/>
        </w:rPr>
        <w:t>179</w:t>
      </w:r>
      <w:r w:rsidRPr="00841049">
        <w:rPr>
          <w:rFonts w:eastAsia="Times New Roman" w:cs="Arial"/>
          <w:color w:val="000000"/>
          <w:lang w:eastAsia="bg-BG"/>
        </w:rPr>
        <w:tab/>
        <w:t>152</w:t>
      </w:r>
      <w:r w:rsidRPr="00841049">
        <w:rPr>
          <w:rFonts w:eastAsia="Times New Roman" w:cs="Arial"/>
          <w:color w:val="000000"/>
          <w:lang w:eastAsia="bg-BG"/>
        </w:rPr>
        <w:tab/>
        <w:t>130</w:t>
      </w:r>
      <w:r w:rsidRPr="00841049">
        <w:rPr>
          <w:rFonts w:eastAsia="Times New Roman" w:cs="Arial"/>
          <w:color w:val="000000"/>
          <w:lang w:eastAsia="bg-BG"/>
        </w:rPr>
        <w:tab/>
        <w:t>85</w:t>
      </w:r>
      <w:r w:rsidRPr="00841049">
        <w:rPr>
          <w:rFonts w:eastAsia="Times New Roman" w:cs="Arial"/>
          <w:color w:val="000000"/>
          <w:lang w:eastAsia="bg-BG"/>
        </w:rPr>
        <w:tab/>
        <w:t>52</w:t>
      </w:r>
      <w:r w:rsidRPr="00841049">
        <w:rPr>
          <w:rFonts w:eastAsia="Times New Roman" w:cs="Arial"/>
          <w:color w:val="000000"/>
          <w:lang w:eastAsia="bg-BG"/>
        </w:rPr>
        <w:tab/>
        <w:t>30</w:t>
      </w:r>
      <w:r w:rsidRPr="00841049">
        <w:rPr>
          <w:rFonts w:eastAsia="Times New Roman" w:cs="Arial"/>
          <w:color w:val="000000"/>
          <w:lang w:eastAsia="bg-BG"/>
        </w:rPr>
        <w:tab/>
        <w:t>10</w:t>
      </w:r>
      <w:r w:rsidRPr="00841049">
        <w:rPr>
          <w:rFonts w:eastAsia="Times New Roman" w:cs="Arial"/>
          <w:color w:val="000000"/>
          <w:lang w:eastAsia="bg-BG"/>
        </w:rPr>
        <w:tab/>
        <w:t>1</w:t>
      </w:r>
      <w:r w:rsidRPr="00841049">
        <w:rPr>
          <w:rFonts w:eastAsia="Times New Roman" w:cs="Arial"/>
          <w:color w:val="000000"/>
          <w:lang w:eastAsia="bg-BG"/>
        </w:rPr>
        <w:tab/>
        <w:t>0</w:t>
      </w:r>
    </w:p>
    <w:p w14:paraId="736B7243" w14:textId="77777777"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val="en-US"/>
        </w:rPr>
        <w:lastRenderedPageBreak/>
        <w:t>CCR</w:t>
      </w:r>
      <w:r w:rsidRPr="00B712C2">
        <w:rPr>
          <w:rFonts w:eastAsia="Times New Roman" w:cs="Arial"/>
          <w:color w:val="000000"/>
        </w:rPr>
        <w:tab/>
      </w:r>
      <w:r w:rsidRPr="00841049">
        <w:rPr>
          <w:rFonts w:eastAsia="Times New Roman" w:cs="Arial"/>
          <w:color w:val="000000"/>
          <w:lang w:eastAsia="bg-BG"/>
        </w:rPr>
        <w:t>179</w:t>
      </w:r>
      <w:r w:rsidRPr="00841049">
        <w:rPr>
          <w:rFonts w:eastAsia="Times New Roman" w:cs="Arial"/>
          <w:color w:val="000000"/>
          <w:lang w:eastAsia="bg-BG"/>
        </w:rPr>
        <w:tab/>
        <w:t>132</w:t>
      </w:r>
      <w:r w:rsidRPr="00841049">
        <w:rPr>
          <w:rFonts w:eastAsia="Times New Roman" w:cs="Arial"/>
          <w:color w:val="000000"/>
          <w:lang w:eastAsia="bg-BG"/>
        </w:rPr>
        <w:tab/>
        <w:t>95</w:t>
      </w:r>
      <w:r w:rsidRPr="00841049">
        <w:rPr>
          <w:rFonts w:eastAsia="Times New Roman" w:cs="Arial"/>
          <w:color w:val="000000"/>
          <w:lang w:eastAsia="bg-BG"/>
        </w:rPr>
        <w:tab/>
        <w:t>69</w:t>
      </w:r>
      <w:r w:rsidRPr="00841049">
        <w:rPr>
          <w:rFonts w:eastAsia="Times New Roman" w:cs="Arial"/>
          <w:color w:val="000000"/>
          <w:lang w:eastAsia="bg-BG"/>
        </w:rPr>
        <w:tab/>
        <w:t>32</w:t>
      </w:r>
      <w:r w:rsidRPr="00841049">
        <w:rPr>
          <w:rFonts w:eastAsia="Times New Roman" w:cs="Arial"/>
          <w:color w:val="000000"/>
          <w:lang w:eastAsia="bg-BG"/>
        </w:rPr>
        <w:tab/>
        <w:t>14</w:t>
      </w:r>
      <w:r w:rsidRPr="00841049">
        <w:rPr>
          <w:rFonts w:eastAsia="Times New Roman" w:cs="Arial"/>
          <w:color w:val="000000"/>
          <w:lang w:eastAsia="bg-BG"/>
        </w:rPr>
        <w:tab/>
        <w:t>5</w:t>
      </w:r>
      <w:r w:rsidRPr="00841049">
        <w:rPr>
          <w:rFonts w:eastAsia="Times New Roman" w:cs="Arial"/>
          <w:color w:val="000000"/>
          <w:lang w:eastAsia="bg-BG"/>
        </w:rPr>
        <w:tab/>
        <w:t>0</w:t>
      </w:r>
      <w:r w:rsidRPr="00841049">
        <w:rPr>
          <w:rFonts w:eastAsia="Times New Roman" w:cs="Arial"/>
          <w:color w:val="000000"/>
          <w:lang w:eastAsia="bg-BG"/>
        </w:rPr>
        <w:tab/>
        <w:t>0</w:t>
      </w:r>
    </w:p>
    <w:p w14:paraId="428F7386" w14:textId="77777777" w:rsidR="00841049" w:rsidRPr="00841049" w:rsidRDefault="00841049" w:rsidP="00841049">
      <w:pPr>
        <w:spacing w:line="240" w:lineRule="auto"/>
        <w:rPr>
          <w:rFonts w:eastAsia="Times New Roman" w:cs="Arial"/>
          <w:i/>
          <w:iCs/>
          <w:color w:val="000000"/>
          <w:lang w:eastAsia="bg-BG"/>
        </w:rPr>
      </w:pPr>
    </w:p>
    <w:p w14:paraId="7C0B5EA9" w14:textId="7341E8DE" w:rsidR="00841049" w:rsidRPr="00841049" w:rsidRDefault="00841049" w:rsidP="00841049">
      <w:pPr>
        <w:spacing w:line="240" w:lineRule="auto"/>
        <w:rPr>
          <w:rFonts w:eastAsia="Times New Roman" w:cs="Arial"/>
          <w:sz w:val="24"/>
          <w:szCs w:val="24"/>
          <w:lang w:eastAsia="bg-BG"/>
        </w:rPr>
      </w:pPr>
      <w:r w:rsidRPr="00841049">
        <w:rPr>
          <w:rFonts w:eastAsia="Times New Roman" w:cs="Arial"/>
          <w:i/>
          <w:iCs/>
          <w:color w:val="000000"/>
          <w:lang w:eastAsia="bg-BG"/>
        </w:rPr>
        <w:t>ЛЕГЕНДА:</w:t>
      </w:r>
      <w:r w:rsidRPr="00841049">
        <w:rPr>
          <w:rFonts w:eastAsia="Times New Roman" w:cs="Arial"/>
          <w:color w:val="000000"/>
          <w:lang w:eastAsia="bg-BG"/>
        </w:rPr>
        <w:t xml:space="preserve"> </w:t>
      </w:r>
      <w:r w:rsidRPr="00841049">
        <w:rPr>
          <w:rFonts w:eastAsia="Times New Roman" w:cs="Arial"/>
          <w:color w:val="000000"/>
          <w:lang w:val="en-US"/>
        </w:rPr>
        <w:t>AZA</w:t>
      </w:r>
      <w:r w:rsidRPr="00B712C2">
        <w:rPr>
          <w:rFonts w:eastAsia="Times New Roman" w:cs="Arial"/>
          <w:color w:val="000000"/>
        </w:rPr>
        <w:t xml:space="preserve"> </w:t>
      </w:r>
      <w:r w:rsidRPr="00841049">
        <w:rPr>
          <w:rFonts w:eastAsia="Times New Roman" w:cs="Arial"/>
          <w:color w:val="000000"/>
          <w:lang w:eastAsia="bg-BG"/>
        </w:rPr>
        <w:t xml:space="preserve">=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w:t>
      </w:r>
      <w:r w:rsidRPr="00841049">
        <w:rPr>
          <w:rFonts w:eastAsia="Times New Roman" w:cs="Arial"/>
          <w:color w:val="000000"/>
          <w:lang w:val="en-US"/>
        </w:rPr>
        <w:t>CCR</w:t>
      </w:r>
      <w:r w:rsidRPr="00B712C2">
        <w:rPr>
          <w:rFonts w:eastAsia="Times New Roman" w:cs="Arial"/>
          <w:color w:val="000000"/>
        </w:rPr>
        <w:t xml:space="preserve"> </w:t>
      </w:r>
      <w:r w:rsidRPr="00841049">
        <w:rPr>
          <w:rFonts w:eastAsia="Times New Roman" w:cs="Arial"/>
          <w:color w:val="000000"/>
          <w:lang w:eastAsia="bg-BG"/>
        </w:rPr>
        <w:t xml:space="preserve">= конвенционални терапевтични схеми </w:t>
      </w:r>
      <w:r w:rsidRPr="00B712C2">
        <w:rPr>
          <w:rFonts w:eastAsia="Times New Roman" w:cs="Arial"/>
          <w:color w:val="000000"/>
        </w:rPr>
        <w:t>(</w:t>
      </w:r>
      <w:r w:rsidRPr="00841049">
        <w:rPr>
          <w:rFonts w:eastAsia="Times New Roman" w:cs="Arial"/>
          <w:color w:val="000000"/>
          <w:lang w:val="en-US"/>
        </w:rPr>
        <w:t>conventional</w:t>
      </w:r>
      <w:r w:rsidRPr="00B712C2">
        <w:rPr>
          <w:rFonts w:eastAsia="Times New Roman" w:cs="Arial"/>
          <w:color w:val="000000"/>
        </w:rPr>
        <w:t xml:space="preserve"> </w:t>
      </w:r>
      <w:r w:rsidRPr="00841049">
        <w:rPr>
          <w:rFonts w:eastAsia="Times New Roman" w:cs="Arial"/>
          <w:color w:val="000000"/>
          <w:lang w:val="en-US"/>
        </w:rPr>
        <w:t>care</w:t>
      </w:r>
      <w:r w:rsidRPr="00B712C2">
        <w:rPr>
          <w:rFonts w:eastAsia="Times New Roman" w:cs="Arial"/>
          <w:color w:val="000000"/>
        </w:rPr>
        <w:t xml:space="preserve"> </w:t>
      </w:r>
      <w:r w:rsidRPr="00841049">
        <w:rPr>
          <w:rFonts w:eastAsia="Times New Roman" w:cs="Arial"/>
          <w:color w:val="000000"/>
          <w:lang w:val="en-US"/>
        </w:rPr>
        <w:t>regimens</w:t>
      </w:r>
      <w:r w:rsidRPr="00B712C2">
        <w:rPr>
          <w:rFonts w:eastAsia="Times New Roman" w:cs="Arial"/>
          <w:color w:val="000000"/>
        </w:rPr>
        <w:t xml:space="preserve">); </w:t>
      </w:r>
      <w:r w:rsidRPr="00841049">
        <w:rPr>
          <w:rFonts w:eastAsia="Times New Roman" w:cs="Arial"/>
          <w:color w:val="000000"/>
          <w:lang w:val="en-US"/>
        </w:rPr>
        <w:t>CI</w:t>
      </w:r>
      <w:r w:rsidRPr="00B712C2">
        <w:rPr>
          <w:rFonts w:eastAsia="Times New Roman" w:cs="Arial"/>
          <w:color w:val="000000"/>
        </w:rPr>
        <w:t xml:space="preserve"> = </w:t>
      </w:r>
      <w:r w:rsidRPr="00841049">
        <w:rPr>
          <w:rFonts w:eastAsia="Times New Roman" w:cs="Arial"/>
          <w:color w:val="000000"/>
          <w:lang w:eastAsia="bg-BG"/>
        </w:rPr>
        <w:t xml:space="preserve">доверителен интервал </w:t>
      </w:r>
      <w:r w:rsidRPr="00B712C2">
        <w:rPr>
          <w:rFonts w:eastAsia="Times New Roman" w:cs="Arial"/>
          <w:color w:val="000000"/>
        </w:rPr>
        <w:t>(</w:t>
      </w:r>
      <w:r w:rsidRPr="00841049">
        <w:rPr>
          <w:rFonts w:eastAsia="Times New Roman" w:cs="Arial"/>
          <w:color w:val="000000"/>
          <w:lang w:val="en-US"/>
        </w:rPr>
        <w:t>confidence</w:t>
      </w:r>
      <w:r w:rsidRPr="00B712C2">
        <w:rPr>
          <w:rFonts w:eastAsia="Times New Roman" w:cs="Arial"/>
          <w:color w:val="000000"/>
        </w:rPr>
        <w:t xml:space="preserve"> </w:t>
      </w:r>
      <w:r w:rsidRPr="00841049">
        <w:rPr>
          <w:rFonts w:eastAsia="Times New Roman" w:cs="Arial"/>
          <w:color w:val="000000"/>
          <w:lang w:val="en-US"/>
        </w:rPr>
        <w:t>interval</w:t>
      </w:r>
      <w:r w:rsidRPr="00B712C2">
        <w:rPr>
          <w:rFonts w:eastAsia="Times New Roman" w:cs="Arial"/>
          <w:color w:val="000000"/>
        </w:rPr>
        <w:t xml:space="preserve">); </w:t>
      </w:r>
      <w:r w:rsidRPr="00841049">
        <w:rPr>
          <w:rFonts w:eastAsia="Times New Roman" w:cs="Arial"/>
          <w:color w:val="000000"/>
          <w:lang w:val="en-US"/>
        </w:rPr>
        <w:t>HR</w:t>
      </w:r>
      <w:r w:rsidRPr="00B712C2">
        <w:rPr>
          <w:rFonts w:eastAsia="Times New Roman" w:cs="Arial"/>
          <w:color w:val="000000"/>
        </w:rPr>
        <w:t xml:space="preserve"> = </w:t>
      </w:r>
      <w:r w:rsidRPr="00841049">
        <w:rPr>
          <w:rFonts w:eastAsia="Times New Roman" w:cs="Arial"/>
          <w:color w:val="000000"/>
          <w:lang w:eastAsia="bg-BG"/>
        </w:rPr>
        <w:t xml:space="preserve">коефициент на риска </w:t>
      </w:r>
      <w:r w:rsidRPr="00B712C2">
        <w:rPr>
          <w:rFonts w:eastAsia="Times New Roman" w:cs="Arial"/>
          <w:color w:val="000000"/>
        </w:rPr>
        <w:t>(</w:t>
      </w:r>
      <w:r w:rsidRPr="00841049">
        <w:rPr>
          <w:rFonts w:eastAsia="Times New Roman" w:cs="Arial"/>
          <w:color w:val="000000"/>
          <w:lang w:val="en-US"/>
        </w:rPr>
        <w:t>hazard</w:t>
      </w:r>
      <w:r w:rsidRPr="00B712C2">
        <w:rPr>
          <w:rFonts w:eastAsia="Times New Roman" w:cs="Arial"/>
          <w:color w:val="000000"/>
        </w:rPr>
        <w:t xml:space="preserve"> </w:t>
      </w:r>
      <w:r w:rsidRPr="00841049">
        <w:rPr>
          <w:rFonts w:eastAsia="Times New Roman" w:cs="Arial"/>
          <w:color w:val="000000"/>
          <w:lang w:val="en-US"/>
        </w:rPr>
        <w:t>ratio</w:t>
      </w:r>
      <w:r w:rsidRPr="00B712C2">
        <w:rPr>
          <w:rFonts w:eastAsia="Times New Roman" w:cs="Arial"/>
          <w:color w:val="000000"/>
        </w:rPr>
        <w:t>)</w:t>
      </w:r>
    </w:p>
    <w:p w14:paraId="533826DD" w14:textId="77777777" w:rsidR="00841049" w:rsidRPr="00841049" w:rsidRDefault="00841049" w:rsidP="00841049">
      <w:pPr>
        <w:spacing w:line="240" w:lineRule="auto"/>
        <w:rPr>
          <w:rFonts w:eastAsia="Times New Roman" w:cs="Arial"/>
          <w:color w:val="000000"/>
          <w:lang w:eastAsia="bg-BG"/>
        </w:rPr>
      </w:pPr>
    </w:p>
    <w:p w14:paraId="5B3B7001" w14:textId="144FC4A8" w:rsidR="00841049" w:rsidRPr="00841049" w:rsidRDefault="00841049" w:rsidP="00841049">
      <w:pPr>
        <w:spacing w:line="240" w:lineRule="auto"/>
        <w:rPr>
          <w:rFonts w:eastAsia="Times New Roman" w:cs="Arial"/>
          <w:sz w:val="24"/>
          <w:szCs w:val="24"/>
          <w:lang w:eastAsia="bg-BG"/>
        </w:rPr>
      </w:pPr>
      <w:r w:rsidRPr="00841049">
        <w:rPr>
          <w:rFonts w:eastAsia="Times New Roman" w:cs="Arial"/>
          <w:color w:val="000000"/>
          <w:lang w:eastAsia="bg-BG"/>
        </w:rPr>
        <w:t xml:space="preserve">Ползите от </w:t>
      </w:r>
      <w:proofErr w:type="spellStart"/>
      <w:r w:rsidRPr="00841049">
        <w:rPr>
          <w:rFonts w:eastAsia="Times New Roman" w:cs="Arial"/>
          <w:color w:val="000000"/>
          <w:lang w:eastAsia="bg-BG"/>
        </w:rPr>
        <w:t>азацитидин</w:t>
      </w:r>
      <w:proofErr w:type="spellEnd"/>
      <w:r w:rsidRPr="00841049">
        <w:rPr>
          <w:rFonts w:eastAsia="Times New Roman" w:cs="Arial"/>
          <w:color w:val="000000"/>
          <w:lang w:eastAsia="bg-BG"/>
        </w:rPr>
        <w:t xml:space="preserve"> за преживяемостта са били постоянни независимо от избраното в контролната група лечение с конвенционална терапевтична схема (само </w:t>
      </w:r>
      <w:r w:rsidRPr="00841049">
        <w:rPr>
          <w:rFonts w:eastAsia="Times New Roman" w:cs="Arial"/>
          <w:color w:val="000000"/>
          <w:lang w:val="en-US"/>
        </w:rPr>
        <w:t>BSC</w:t>
      </w:r>
      <w:r w:rsidRPr="00B712C2">
        <w:rPr>
          <w:rFonts w:eastAsia="Times New Roman" w:cs="Arial"/>
          <w:color w:val="000000"/>
          <w:lang w:val="ru-RU"/>
        </w:rPr>
        <w:t xml:space="preserve">, </w:t>
      </w:r>
      <w:r w:rsidRPr="00841049">
        <w:rPr>
          <w:rFonts w:eastAsia="Times New Roman" w:cs="Arial"/>
          <w:color w:val="000000"/>
          <w:lang w:eastAsia="bg-BG"/>
        </w:rPr>
        <w:t xml:space="preserve">ниска доза </w:t>
      </w:r>
      <w:proofErr w:type="spellStart"/>
      <w:r w:rsidRPr="00841049">
        <w:rPr>
          <w:rFonts w:eastAsia="Times New Roman" w:cs="Arial"/>
          <w:color w:val="000000"/>
          <w:lang w:eastAsia="bg-BG"/>
        </w:rPr>
        <w:t>цитарабин</w:t>
      </w:r>
      <w:proofErr w:type="spellEnd"/>
      <w:r w:rsidRPr="00841049">
        <w:rPr>
          <w:rFonts w:eastAsia="Times New Roman" w:cs="Arial"/>
          <w:color w:val="000000"/>
          <w:lang w:eastAsia="bg-BG"/>
        </w:rPr>
        <w:t xml:space="preserve"> плюс </w:t>
      </w:r>
      <w:r w:rsidRPr="00841049">
        <w:rPr>
          <w:rFonts w:eastAsia="Times New Roman" w:cs="Arial"/>
          <w:color w:val="000000"/>
          <w:lang w:val="en-US"/>
        </w:rPr>
        <w:t>BSC</w:t>
      </w:r>
      <w:r w:rsidRPr="00B712C2">
        <w:rPr>
          <w:rFonts w:eastAsia="Times New Roman" w:cs="Arial"/>
          <w:color w:val="000000"/>
          <w:lang w:val="ru-RU"/>
        </w:rPr>
        <w:t xml:space="preserve"> </w:t>
      </w:r>
      <w:r w:rsidRPr="00841049">
        <w:rPr>
          <w:rFonts w:eastAsia="Times New Roman" w:cs="Arial"/>
          <w:color w:val="000000"/>
          <w:lang w:eastAsia="bg-BG"/>
        </w:rPr>
        <w:t xml:space="preserve">или стандартна индукционна химиотерапия плюс </w:t>
      </w:r>
      <w:r w:rsidRPr="00841049">
        <w:rPr>
          <w:rFonts w:eastAsia="Times New Roman" w:cs="Arial"/>
          <w:color w:val="000000"/>
          <w:lang w:val="en-US"/>
        </w:rPr>
        <w:t>BSC</w:t>
      </w:r>
      <w:r w:rsidRPr="00B712C2">
        <w:rPr>
          <w:rFonts w:eastAsia="Times New Roman" w:cs="Arial"/>
          <w:color w:val="000000"/>
          <w:lang w:val="ru-RU"/>
        </w:rPr>
        <w:t>).</w:t>
      </w:r>
    </w:p>
    <w:p w14:paraId="7461F827" w14:textId="77777777" w:rsidR="00841049" w:rsidRPr="00841049" w:rsidRDefault="00841049" w:rsidP="00841049">
      <w:pPr>
        <w:rPr>
          <w:rFonts w:eastAsia="Times New Roman" w:cs="Arial"/>
          <w:color w:val="000000"/>
          <w:lang w:eastAsia="bg-BG"/>
        </w:rPr>
      </w:pPr>
    </w:p>
    <w:p w14:paraId="4CA4C14E" w14:textId="2C37D137" w:rsidR="00841049" w:rsidRPr="00841049" w:rsidRDefault="00841049" w:rsidP="00841049">
      <w:pPr>
        <w:rPr>
          <w:rFonts w:cs="Arial"/>
        </w:rPr>
      </w:pPr>
      <w:r w:rsidRPr="00841049">
        <w:rPr>
          <w:rFonts w:eastAsia="Times New Roman" w:cs="Arial"/>
          <w:color w:val="000000"/>
          <w:lang w:eastAsia="bg-BG"/>
        </w:rPr>
        <w:t xml:space="preserve">Когато са били анализирани </w:t>
      </w:r>
      <w:r w:rsidRPr="00841049">
        <w:rPr>
          <w:rFonts w:eastAsia="Times New Roman" w:cs="Arial"/>
          <w:color w:val="000000"/>
          <w:lang w:val="en-US"/>
        </w:rPr>
        <w:t>IPSS</w:t>
      </w:r>
      <w:r w:rsidRPr="00B712C2">
        <w:rPr>
          <w:rFonts w:eastAsia="Times New Roman" w:cs="Arial"/>
          <w:color w:val="000000"/>
          <w:lang w:val="ru-RU"/>
        </w:rPr>
        <w:t xml:space="preserve"> </w:t>
      </w:r>
      <w:proofErr w:type="spellStart"/>
      <w:r w:rsidRPr="00841049">
        <w:rPr>
          <w:rFonts w:eastAsia="Times New Roman" w:cs="Arial"/>
          <w:color w:val="000000"/>
          <w:lang w:eastAsia="bg-BG"/>
        </w:rPr>
        <w:t>цитогенетичните</w:t>
      </w:r>
      <w:proofErr w:type="spellEnd"/>
      <w:r w:rsidRPr="00841049">
        <w:rPr>
          <w:rFonts w:eastAsia="Times New Roman" w:cs="Arial"/>
          <w:color w:val="000000"/>
          <w:lang w:eastAsia="bg-BG"/>
        </w:rPr>
        <w:t xml:space="preserve"> подгрупи, са били наблюдавани подобни находки спрямо медиана на времето до настъпване на смърт във всички групи (добри, умерени, слаби </w:t>
      </w:r>
      <w:proofErr w:type="spellStart"/>
      <w:r w:rsidRPr="00841049">
        <w:rPr>
          <w:rFonts w:eastAsia="Times New Roman" w:cs="Arial"/>
          <w:color w:val="000000"/>
          <w:lang w:eastAsia="bg-BG"/>
        </w:rPr>
        <w:t>цитогенетици</w:t>
      </w:r>
      <w:proofErr w:type="spellEnd"/>
      <w:r w:rsidRPr="00841049">
        <w:rPr>
          <w:rFonts w:eastAsia="Times New Roman" w:cs="Arial"/>
          <w:color w:val="000000"/>
          <w:lang w:eastAsia="bg-BG"/>
        </w:rPr>
        <w:t xml:space="preserve">, включително </w:t>
      </w:r>
      <w:proofErr w:type="spellStart"/>
      <w:r w:rsidRPr="00841049">
        <w:rPr>
          <w:rFonts w:eastAsia="Times New Roman" w:cs="Arial"/>
          <w:color w:val="000000"/>
          <w:lang w:eastAsia="bg-BG"/>
        </w:rPr>
        <w:t>монозомия</w:t>
      </w:r>
      <w:proofErr w:type="spellEnd"/>
      <w:r w:rsidRPr="00841049">
        <w:rPr>
          <w:rFonts w:eastAsia="Times New Roman" w:cs="Arial"/>
          <w:color w:val="000000"/>
          <w:lang w:eastAsia="bg-BG"/>
        </w:rPr>
        <w:t xml:space="preserve"> 7).</w:t>
      </w:r>
    </w:p>
    <w:p w14:paraId="6882C1CC" w14:textId="774C84A5" w:rsidR="00841049" w:rsidRDefault="00841049" w:rsidP="0091385D"/>
    <w:p w14:paraId="6F0C4684" w14:textId="77777777"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При анализа на възрастовите подгрупи е наблюдавано повишаване на медианата на общата преживяемост за всички групи (&lt; 65 години, ≥ 65 години и ≥ 75 години).</w:t>
      </w:r>
    </w:p>
    <w:p w14:paraId="5331594B" w14:textId="77777777" w:rsidR="008165FD" w:rsidRPr="008165FD" w:rsidRDefault="008165FD" w:rsidP="008165FD">
      <w:pPr>
        <w:spacing w:line="240" w:lineRule="auto"/>
        <w:rPr>
          <w:rFonts w:eastAsia="Times New Roman" w:cs="Arial"/>
          <w:color w:val="000000"/>
          <w:lang w:eastAsia="bg-BG"/>
        </w:rPr>
      </w:pPr>
    </w:p>
    <w:p w14:paraId="44FA1C61" w14:textId="1B8EDFED"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 xml:space="preserve">Лечението с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е било свързано с медиана на времето до настъпване на смърт или трансформация към ОМЛ от 13,0 месеца срещу 7,6 месеца за пациентите, лекувани с конвенционална терапевтична схема, подобрение от 5,4 месеца със стратифицирана </w:t>
      </w:r>
      <w:r w:rsidRPr="008165FD">
        <w:rPr>
          <w:rFonts w:eastAsia="Times New Roman" w:cs="Arial"/>
          <w:color w:val="000000"/>
          <w:lang w:val="en-US"/>
        </w:rPr>
        <w:t>log</w:t>
      </w:r>
      <w:r w:rsidRPr="00B712C2">
        <w:rPr>
          <w:rFonts w:eastAsia="Times New Roman" w:cs="Arial"/>
          <w:color w:val="000000"/>
          <w:lang w:val="ru-RU"/>
        </w:rPr>
        <w:t>-</w:t>
      </w:r>
      <w:r w:rsidRPr="008165FD">
        <w:rPr>
          <w:rFonts w:eastAsia="Times New Roman" w:cs="Arial"/>
          <w:color w:val="000000"/>
          <w:lang w:val="en-US"/>
        </w:rPr>
        <w:t>rank</w:t>
      </w:r>
      <w:r w:rsidRPr="00B712C2">
        <w:rPr>
          <w:rFonts w:eastAsia="Times New Roman" w:cs="Arial"/>
          <w:color w:val="000000"/>
          <w:lang w:val="ru-RU"/>
        </w:rPr>
        <w:t xml:space="preserve"> </w:t>
      </w:r>
      <w:r w:rsidRPr="008165FD">
        <w:rPr>
          <w:rFonts w:eastAsia="Times New Roman" w:cs="Arial"/>
          <w:color w:val="000000"/>
          <w:lang w:eastAsia="bg-BG"/>
        </w:rPr>
        <w:t>р- стойност от 0,0025.</w:t>
      </w:r>
    </w:p>
    <w:p w14:paraId="2F2CA877" w14:textId="77777777" w:rsidR="008165FD" w:rsidRPr="008165FD" w:rsidRDefault="008165FD" w:rsidP="008165FD">
      <w:pPr>
        <w:spacing w:line="240" w:lineRule="auto"/>
        <w:rPr>
          <w:rFonts w:eastAsia="Times New Roman" w:cs="Arial"/>
          <w:color w:val="000000"/>
          <w:lang w:eastAsia="bg-BG"/>
        </w:rPr>
      </w:pPr>
    </w:p>
    <w:p w14:paraId="4A1F9AC4" w14:textId="273B760D"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 xml:space="preserve">Лечението с азацитидин също така е било свързано с намаляване на цитопениите и свързаните с тях симптоми. Лечението с азацитидин е довело до понижаване на нуждите от трансфузия на еритроцити и тромбоцити. От пациентите в групата на лечение </w:t>
      </w:r>
      <w:r w:rsidRPr="008165FD">
        <w:rPr>
          <w:rFonts w:eastAsia="Times New Roman" w:cs="Arial"/>
          <w:i/>
          <w:iCs/>
          <w:color w:val="000000"/>
          <w:lang w:eastAsia="bg-BG"/>
        </w:rPr>
        <w:t>с</w:t>
      </w:r>
      <w:r w:rsidRPr="008165FD">
        <w:rPr>
          <w:rFonts w:eastAsia="Times New Roman" w:cs="Arial"/>
          <w:color w:val="000000"/>
          <w:lang w:eastAsia="bg-BG"/>
        </w:rPr>
        <w:t xml:space="preserve">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които са били зависими от трансфузията на еритроцити в изходния момент, 45,0 % са станали независими от трансфузията на еритроцити по време на лечението, в сравнение с 11,4 % от пациентите в комбинираната група на лечение с конвенционални терапевтични схеми (статистически значима (р &lt; 0,0001) разлика от 33,6 % (95 % </w:t>
      </w:r>
      <w:r w:rsidRPr="008165FD">
        <w:rPr>
          <w:rFonts w:eastAsia="Times New Roman" w:cs="Arial"/>
          <w:color w:val="000000"/>
          <w:lang w:val="en-US"/>
        </w:rPr>
        <w:t>CI</w:t>
      </w:r>
      <w:r w:rsidRPr="00B712C2">
        <w:rPr>
          <w:rFonts w:eastAsia="Times New Roman" w:cs="Arial"/>
          <w:color w:val="000000"/>
          <w:lang w:val="ru-RU"/>
        </w:rPr>
        <w:t xml:space="preserve">: </w:t>
      </w:r>
      <w:r w:rsidRPr="008165FD">
        <w:rPr>
          <w:rFonts w:eastAsia="Times New Roman" w:cs="Arial"/>
          <w:color w:val="000000"/>
          <w:lang w:eastAsia="bg-BG"/>
        </w:rPr>
        <w:t>22,4; 44,6). При пациентите, които са били зависими от трансфузии на еритроцити към изходния момент и след това са станали независими, медианата на продължителността на независимост от трансфузия на еритроцити е била 13 месеца в групата на лечение с азацитидин.</w:t>
      </w:r>
    </w:p>
    <w:p w14:paraId="5B8F32FF" w14:textId="77777777" w:rsidR="008165FD" w:rsidRPr="008165FD" w:rsidRDefault="008165FD" w:rsidP="008165FD">
      <w:pPr>
        <w:spacing w:line="240" w:lineRule="auto"/>
        <w:rPr>
          <w:rFonts w:eastAsia="Times New Roman" w:cs="Arial"/>
          <w:color w:val="000000"/>
          <w:lang w:eastAsia="bg-BG"/>
        </w:rPr>
      </w:pPr>
    </w:p>
    <w:p w14:paraId="39812FC3" w14:textId="5F47AB9B"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 xml:space="preserve">Отговорът е бил оценяван от изследователя или от Независимата надзорна комисия </w:t>
      </w:r>
      <w:r w:rsidRPr="00B712C2">
        <w:rPr>
          <w:rFonts w:eastAsia="Times New Roman" w:cs="Arial"/>
          <w:color w:val="000000"/>
          <w:lang w:val="ru-RU"/>
        </w:rPr>
        <w:t>(</w:t>
      </w:r>
      <w:r w:rsidRPr="008165FD">
        <w:rPr>
          <w:rFonts w:eastAsia="Times New Roman" w:cs="Arial"/>
          <w:color w:val="000000"/>
          <w:lang w:val="en-US"/>
        </w:rPr>
        <w:t>Independent</w:t>
      </w:r>
      <w:r w:rsidRPr="00B712C2">
        <w:rPr>
          <w:rFonts w:eastAsia="Times New Roman" w:cs="Arial"/>
          <w:color w:val="000000"/>
          <w:lang w:val="ru-RU"/>
        </w:rPr>
        <w:t xml:space="preserve"> </w:t>
      </w:r>
      <w:r w:rsidRPr="008165FD">
        <w:rPr>
          <w:rFonts w:eastAsia="Times New Roman" w:cs="Arial"/>
          <w:color w:val="000000"/>
          <w:lang w:val="en-US"/>
        </w:rPr>
        <w:t>Review</w:t>
      </w:r>
      <w:r w:rsidRPr="00B712C2">
        <w:rPr>
          <w:rFonts w:eastAsia="Times New Roman" w:cs="Arial"/>
          <w:color w:val="000000"/>
          <w:lang w:val="ru-RU"/>
        </w:rPr>
        <w:t xml:space="preserve"> </w:t>
      </w:r>
      <w:r w:rsidRPr="008165FD">
        <w:rPr>
          <w:rFonts w:eastAsia="Times New Roman" w:cs="Arial"/>
          <w:color w:val="000000"/>
          <w:lang w:val="en-US"/>
        </w:rPr>
        <w:t>Committee</w:t>
      </w:r>
      <w:r w:rsidRPr="00B712C2">
        <w:rPr>
          <w:rFonts w:eastAsia="Times New Roman" w:cs="Arial"/>
          <w:color w:val="000000"/>
          <w:lang w:val="ru-RU"/>
        </w:rPr>
        <w:t xml:space="preserve">, </w:t>
      </w:r>
      <w:r w:rsidRPr="008165FD">
        <w:rPr>
          <w:rFonts w:eastAsia="Times New Roman" w:cs="Arial"/>
          <w:color w:val="000000"/>
          <w:lang w:val="en-US"/>
        </w:rPr>
        <w:t>IRC</w:t>
      </w:r>
      <w:r w:rsidRPr="00B712C2">
        <w:rPr>
          <w:rFonts w:eastAsia="Times New Roman" w:cs="Arial"/>
          <w:color w:val="000000"/>
          <w:lang w:val="ru-RU"/>
        </w:rPr>
        <w:t xml:space="preserve">). </w:t>
      </w:r>
      <w:r w:rsidRPr="008165FD">
        <w:rPr>
          <w:rFonts w:eastAsia="Times New Roman" w:cs="Arial"/>
          <w:color w:val="000000"/>
          <w:lang w:eastAsia="bg-BG"/>
        </w:rPr>
        <w:t xml:space="preserve">Общият отговор (пълна ремисия + частична ремисия), определен от изследователя, е бил 29 % в групата на лечение с азацитидин и 12% в комбинираната група на лечение с конвенционални терапевтични схеми (р = 0,0001). Общият отговор (пълна ремисия + частична ремисия), определен от </w:t>
      </w:r>
      <w:r w:rsidRPr="008165FD">
        <w:rPr>
          <w:rFonts w:eastAsia="Times New Roman" w:cs="Arial"/>
          <w:color w:val="000000"/>
          <w:lang w:val="en-US"/>
        </w:rPr>
        <w:t>IRC</w:t>
      </w:r>
      <w:r w:rsidRPr="00B712C2">
        <w:rPr>
          <w:rFonts w:eastAsia="Times New Roman" w:cs="Arial"/>
          <w:color w:val="000000"/>
          <w:lang w:val="ru-RU"/>
        </w:rPr>
        <w:t xml:space="preserve"> </w:t>
      </w:r>
      <w:r w:rsidRPr="008165FD">
        <w:rPr>
          <w:rFonts w:eastAsia="Times New Roman" w:cs="Arial"/>
          <w:color w:val="000000"/>
          <w:lang w:eastAsia="bg-BG"/>
        </w:rPr>
        <w:t xml:space="preserve">при проучването </w:t>
      </w:r>
      <w:r w:rsidRPr="008165FD">
        <w:rPr>
          <w:rFonts w:eastAsia="Times New Roman" w:cs="Arial"/>
          <w:color w:val="000000"/>
          <w:lang w:val="en-US"/>
        </w:rPr>
        <w:t>AZA</w:t>
      </w:r>
      <w:r w:rsidRPr="00B712C2">
        <w:rPr>
          <w:rFonts w:eastAsia="Times New Roman" w:cs="Arial"/>
          <w:color w:val="000000"/>
          <w:lang w:val="ru-RU"/>
        </w:rPr>
        <w:t xml:space="preserve"> </w:t>
      </w:r>
      <w:r w:rsidRPr="008165FD">
        <w:rPr>
          <w:rFonts w:eastAsia="Times New Roman" w:cs="Arial"/>
          <w:color w:val="000000"/>
          <w:lang w:val="en-US"/>
        </w:rPr>
        <w:t>PH</w:t>
      </w:r>
      <w:r w:rsidRPr="00B712C2">
        <w:rPr>
          <w:rFonts w:eastAsia="Times New Roman" w:cs="Arial"/>
          <w:color w:val="000000"/>
          <w:lang w:val="ru-RU"/>
        </w:rPr>
        <w:t xml:space="preserve"> </w:t>
      </w:r>
      <w:r w:rsidRPr="008165FD">
        <w:rPr>
          <w:rFonts w:eastAsia="Times New Roman" w:cs="Arial"/>
          <w:color w:val="000000"/>
          <w:lang w:val="en-US"/>
        </w:rPr>
        <w:t>GL</w:t>
      </w:r>
      <w:r w:rsidRPr="00B712C2">
        <w:rPr>
          <w:rFonts w:eastAsia="Times New Roman" w:cs="Arial"/>
          <w:color w:val="000000"/>
          <w:lang w:val="ru-RU"/>
        </w:rPr>
        <w:t xml:space="preserve"> </w:t>
      </w:r>
      <w:r w:rsidRPr="008165FD">
        <w:rPr>
          <w:rFonts w:eastAsia="Times New Roman" w:cs="Arial"/>
          <w:color w:val="000000"/>
          <w:lang w:eastAsia="bg-BG"/>
        </w:rPr>
        <w:t xml:space="preserve">2003 </w:t>
      </w:r>
      <w:r w:rsidRPr="008165FD">
        <w:rPr>
          <w:rFonts w:eastAsia="Times New Roman" w:cs="Arial"/>
          <w:color w:val="000000"/>
          <w:lang w:val="en-US"/>
        </w:rPr>
        <w:t>CL</w:t>
      </w:r>
      <w:r w:rsidRPr="00B712C2">
        <w:rPr>
          <w:rFonts w:eastAsia="Times New Roman" w:cs="Arial"/>
          <w:color w:val="000000"/>
          <w:lang w:val="ru-RU"/>
        </w:rPr>
        <w:t xml:space="preserve"> </w:t>
      </w:r>
      <w:r w:rsidRPr="008165FD">
        <w:rPr>
          <w:rFonts w:eastAsia="Times New Roman" w:cs="Arial"/>
          <w:color w:val="000000"/>
          <w:lang w:eastAsia="bg-BG"/>
        </w:rPr>
        <w:t xml:space="preserve">001, е бил 7 % (12/179) в групата на лечение с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в сравнение с 1 % (2/179) в комбинираната група лечение с конвенционални терапевтични схеми (р = 0,0113). Разликите в оценките на отговора от </w:t>
      </w:r>
      <w:r w:rsidRPr="008165FD">
        <w:rPr>
          <w:rFonts w:eastAsia="Times New Roman" w:cs="Arial"/>
          <w:color w:val="000000"/>
          <w:lang w:val="en-US"/>
        </w:rPr>
        <w:t>IRC</w:t>
      </w:r>
      <w:r w:rsidRPr="00B712C2">
        <w:rPr>
          <w:rFonts w:eastAsia="Times New Roman" w:cs="Arial"/>
          <w:color w:val="000000"/>
          <w:lang w:val="ru-RU"/>
        </w:rPr>
        <w:t xml:space="preserve"> </w:t>
      </w:r>
      <w:r w:rsidRPr="008165FD">
        <w:rPr>
          <w:rFonts w:eastAsia="Times New Roman" w:cs="Arial"/>
          <w:color w:val="000000"/>
          <w:lang w:eastAsia="bg-BG"/>
        </w:rPr>
        <w:t xml:space="preserve">и изследователя са били резултат от критериите на Международната работна група </w:t>
      </w:r>
      <w:r w:rsidRPr="00B712C2">
        <w:rPr>
          <w:rFonts w:eastAsia="Times New Roman" w:cs="Arial"/>
          <w:color w:val="000000"/>
          <w:lang w:val="ru-RU"/>
        </w:rPr>
        <w:t>(</w:t>
      </w:r>
      <w:r w:rsidRPr="008165FD">
        <w:rPr>
          <w:rFonts w:eastAsia="Times New Roman" w:cs="Arial"/>
          <w:color w:val="000000"/>
          <w:lang w:val="en-US"/>
        </w:rPr>
        <w:t>International</w:t>
      </w:r>
      <w:r w:rsidRPr="00B712C2">
        <w:rPr>
          <w:rFonts w:eastAsia="Times New Roman" w:cs="Arial"/>
          <w:color w:val="000000"/>
          <w:lang w:val="ru-RU"/>
        </w:rPr>
        <w:t xml:space="preserve"> </w:t>
      </w:r>
      <w:r w:rsidRPr="008165FD">
        <w:rPr>
          <w:rFonts w:eastAsia="Times New Roman" w:cs="Arial"/>
          <w:color w:val="000000"/>
          <w:lang w:val="en-US"/>
        </w:rPr>
        <w:t>Working</w:t>
      </w:r>
      <w:r w:rsidRPr="00B712C2">
        <w:rPr>
          <w:rFonts w:eastAsia="Times New Roman" w:cs="Arial"/>
          <w:color w:val="000000"/>
          <w:lang w:val="ru-RU"/>
        </w:rPr>
        <w:t xml:space="preserve"> </w:t>
      </w:r>
      <w:r w:rsidRPr="008165FD">
        <w:rPr>
          <w:rFonts w:eastAsia="Times New Roman" w:cs="Arial"/>
          <w:color w:val="000000"/>
          <w:lang w:val="en-US"/>
        </w:rPr>
        <w:t>Group</w:t>
      </w:r>
      <w:r w:rsidRPr="00B712C2">
        <w:rPr>
          <w:rFonts w:eastAsia="Times New Roman" w:cs="Arial"/>
          <w:color w:val="000000"/>
          <w:lang w:val="ru-RU"/>
        </w:rPr>
        <w:t xml:space="preserve">, </w:t>
      </w:r>
      <w:r w:rsidRPr="008165FD">
        <w:rPr>
          <w:rFonts w:eastAsia="Times New Roman" w:cs="Arial"/>
          <w:color w:val="000000"/>
          <w:lang w:val="en-US"/>
        </w:rPr>
        <w:t>IWG</w:t>
      </w:r>
      <w:r w:rsidRPr="00B712C2">
        <w:rPr>
          <w:rFonts w:eastAsia="Times New Roman" w:cs="Arial"/>
          <w:color w:val="000000"/>
          <w:lang w:val="ru-RU"/>
        </w:rPr>
        <w:t xml:space="preserve">), </w:t>
      </w:r>
      <w:r w:rsidRPr="008165FD">
        <w:rPr>
          <w:rFonts w:eastAsia="Times New Roman" w:cs="Arial"/>
          <w:color w:val="000000"/>
          <w:lang w:eastAsia="bg-BG"/>
        </w:rPr>
        <w:t xml:space="preserve">които изискват подобрение на броя на кръвните клетки в периферната кръв и поддържане на това подобрение за минимум 56 дни. Също така е установена полза по отношение на преживяемостта при пациенти, при които не е постигнат пълен/частичен отговор след лечението е азацитидин. Хематологично подобрение (голямо или малко), според определеното от </w:t>
      </w:r>
      <w:r w:rsidRPr="008165FD">
        <w:rPr>
          <w:rFonts w:eastAsia="Times New Roman" w:cs="Arial"/>
          <w:color w:val="000000"/>
          <w:lang w:val="en-US"/>
        </w:rPr>
        <w:t>IRC</w:t>
      </w:r>
      <w:r w:rsidRPr="00B712C2">
        <w:rPr>
          <w:rFonts w:eastAsia="Times New Roman" w:cs="Arial"/>
          <w:color w:val="000000"/>
          <w:lang w:val="ru-RU"/>
        </w:rPr>
        <w:t xml:space="preserve">, </w:t>
      </w:r>
      <w:r w:rsidRPr="008165FD">
        <w:rPr>
          <w:rFonts w:eastAsia="Times New Roman" w:cs="Arial"/>
          <w:color w:val="000000"/>
          <w:lang w:eastAsia="bg-BG"/>
        </w:rPr>
        <w:t xml:space="preserve">е постигнато при 49 </w:t>
      </w:r>
      <w:r w:rsidRPr="008165FD">
        <w:rPr>
          <w:rFonts w:eastAsia="Times New Roman" w:cs="Arial"/>
          <w:i/>
          <w:iCs/>
          <w:color w:val="000000"/>
          <w:lang w:eastAsia="bg-BG"/>
        </w:rPr>
        <w:t xml:space="preserve">% от </w:t>
      </w:r>
      <w:r w:rsidRPr="008165FD">
        <w:rPr>
          <w:rFonts w:eastAsia="Times New Roman" w:cs="Arial"/>
          <w:color w:val="000000"/>
          <w:lang w:eastAsia="bg-BG"/>
        </w:rPr>
        <w:t>пациентите, лекувани с азацитидин, в сравнение с 29 % от пациентите от комбинираната група на лечение с конвенционални терапевтични схеми (р &lt; 0,0001).</w:t>
      </w:r>
    </w:p>
    <w:p w14:paraId="7CD3EFED" w14:textId="77777777" w:rsidR="008165FD" w:rsidRPr="008165FD" w:rsidRDefault="008165FD" w:rsidP="008165FD">
      <w:pPr>
        <w:spacing w:line="240" w:lineRule="auto"/>
        <w:rPr>
          <w:rFonts w:eastAsia="Times New Roman" w:cs="Arial"/>
          <w:color w:val="000000"/>
          <w:lang w:eastAsia="bg-BG"/>
        </w:rPr>
      </w:pPr>
    </w:p>
    <w:p w14:paraId="2C122E86" w14:textId="1FA44ABD"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При пациенти с една или повече цитогенетични аномалии в изходния момент, процентът на пациентите със силен цитогенетичен отговор е бил сходен в групите на лечение с азацитидин и комбинираната група на лечение с конвенционални терапевтични схеми. Слабият цитогенетичен отговор е бил статистически значимо (р = 0,0015) по-висок в групата на лечение с азацитидин (34 %) в сравнение с комбинираната група на лечение с конвенционални терапевтични схеми (10 %).</w:t>
      </w:r>
    </w:p>
    <w:p w14:paraId="784FAC21" w14:textId="77777777" w:rsidR="008165FD" w:rsidRPr="008165FD" w:rsidRDefault="008165FD" w:rsidP="008165FD">
      <w:pPr>
        <w:spacing w:line="240" w:lineRule="auto"/>
        <w:rPr>
          <w:rFonts w:eastAsia="Times New Roman" w:cs="Arial"/>
          <w:i/>
          <w:iCs/>
          <w:color w:val="000000"/>
          <w:lang w:eastAsia="bg-BG"/>
        </w:rPr>
      </w:pPr>
    </w:p>
    <w:p w14:paraId="508F869F" w14:textId="69A84AEF" w:rsidR="008165FD" w:rsidRPr="008165FD" w:rsidRDefault="008165FD" w:rsidP="008165FD">
      <w:pPr>
        <w:spacing w:line="240" w:lineRule="auto"/>
        <w:rPr>
          <w:rFonts w:eastAsia="Times New Roman" w:cs="Arial"/>
          <w:sz w:val="24"/>
          <w:szCs w:val="24"/>
          <w:lang w:eastAsia="bg-BG"/>
        </w:rPr>
      </w:pPr>
      <w:r w:rsidRPr="008165FD">
        <w:rPr>
          <w:rFonts w:eastAsia="Times New Roman" w:cs="Arial"/>
          <w:i/>
          <w:iCs/>
          <w:color w:val="000000"/>
          <w:lang w:eastAsia="bg-BG"/>
        </w:rPr>
        <w:t xml:space="preserve">Възрастна </w:t>
      </w:r>
      <w:proofErr w:type="spellStart"/>
      <w:r w:rsidRPr="008165FD">
        <w:rPr>
          <w:rFonts w:eastAsia="Times New Roman" w:cs="Arial"/>
          <w:i/>
          <w:iCs/>
          <w:color w:val="000000"/>
          <w:lang w:eastAsia="bg-BG"/>
        </w:rPr>
        <w:t>популагщя</w:t>
      </w:r>
      <w:proofErr w:type="spellEnd"/>
      <w:r w:rsidRPr="008165FD">
        <w:rPr>
          <w:rFonts w:eastAsia="Times New Roman" w:cs="Arial"/>
          <w:i/>
          <w:iCs/>
          <w:color w:val="000000"/>
          <w:lang w:eastAsia="bg-BG"/>
        </w:rPr>
        <w:t xml:space="preserve"> на 65 години или повече с ОМЛ с &gt; 30% </w:t>
      </w:r>
      <w:proofErr w:type="spellStart"/>
      <w:r w:rsidRPr="008165FD">
        <w:rPr>
          <w:rFonts w:eastAsia="Times New Roman" w:cs="Arial"/>
          <w:i/>
          <w:iCs/>
          <w:color w:val="000000"/>
          <w:lang w:eastAsia="bg-BG"/>
        </w:rPr>
        <w:t>костномозъчни</w:t>
      </w:r>
      <w:proofErr w:type="spellEnd"/>
      <w:r w:rsidRPr="008165FD">
        <w:rPr>
          <w:rFonts w:eastAsia="Times New Roman" w:cs="Arial"/>
          <w:i/>
          <w:iCs/>
          <w:color w:val="000000"/>
          <w:lang w:eastAsia="bg-BG"/>
        </w:rPr>
        <w:t xml:space="preserve"> </w:t>
      </w:r>
      <w:proofErr w:type="spellStart"/>
      <w:r w:rsidRPr="008165FD">
        <w:rPr>
          <w:rFonts w:eastAsia="Times New Roman" w:cs="Arial"/>
          <w:i/>
          <w:iCs/>
          <w:color w:val="000000"/>
          <w:lang w:eastAsia="bg-BG"/>
        </w:rPr>
        <w:t>бласти</w:t>
      </w:r>
      <w:proofErr w:type="spellEnd"/>
      <w:r w:rsidRPr="008165FD">
        <w:rPr>
          <w:rFonts w:eastAsia="Times New Roman" w:cs="Arial"/>
          <w:i/>
          <w:iCs/>
          <w:color w:val="000000"/>
          <w:lang w:eastAsia="bg-BG"/>
        </w:rPr>
        <w:t xml:space="preserve"> </w:t>
      </w:r>
      <w:r w:rsidRPr="008165FD">
        <w:rPr>
          <w:rFonts w:eastAsia="Times New Roman" w:cs="Arial"/>
          <w:color w:val="000000"/>
          <w:lang w:eastAsia="bg-BG"/>
        </w:rPr>
        <w:t xml:space="preserve">Дадените по-долу резултати представят популацията на всички рандомизирани пациенти, проучвана в </w:t>
      </w:r>
      <w:r w:rsidRPr="008165FD">
        <w:rPr>
          <w:rFonts w:eastAsia="Times New Roman" w:cs="Arial"/>
          <w:color w:val="000000"/>
          <w:lang w:val="en-US"/>
        </w:rPr>
        <w:t>AZA</w:t>
      </w:r>
      <w:r w:rsidRPr="00B712C2">
        <w:rPr>
          <w:rFonts w:eastAsia="Times New Roman" w:cs="Arial"/>
          <w:color w:val="000000"/>
          <w:lang w:val="ru-RU"/>
        </w:rPr>
        <w:t>-</w:t>
      </w:r>
      <w:r w:rsidRPr="008165FD">
        <w:rPr>
          <w:rFonts w:eastAsia="Times New Roman" w:cs="Arial"/>
          <w:color w:val="000000"/>
          <w:lang w:val="en-US"/>
        </w:rPr>
        <w:t>AML</w:t>
      </w:r>
      <w:r w:rsidRPr="00B712C2">
        <w:rPr>
          <w:rFonts w:eastAsia="Times New Roman" w:cs="Arial"/>
          <w:color w:val="000000"/>
          <w:lang w:val="ru-RU"/>
        </w:rPr>
        <w:t xml:space="preserve">-001 </w:t>
      </w:r>
      <w:r w:rsidRPr="008165FD">
        <w:rPr>
          <w:rFonts w:eastAsia="Times New Roman" w:cs="Arial"/>
          <w:color w:val="000000"/>
          <w:lang w:eastAsia="bg-BG"/>
        </w:rPr>
        <w:t>(вж. точка 4.1 за одобреното показание).</w:t>
      </w:r>
    </w:p>
    <w:p w14:paraId="377F3A94" w14:textId="77777777" w:rsidR="008165FD" w:rsidRPr="008165FD" w:rsidRDefault="008165FD" w:rsidP="008165FD">
      <w:pPr>
        <w:rPr>
          <w:rFonts w:eastAsia="Times New Roman" w:cs="Arial"/>
          <w:color w:val="000000"/>
          <w:lang w:eastAsia="bg-BG"/>
        </w:rPr>
      </w:pPr>
    </w:p>
    <w:p w14:paraId="5C2DEAEB" w14:textId="77777777" w:rsidR="008165FD" w:rsidRPr="008165FD" w:rsidRDefault="008165FD" w:rsidP="008165FD">
      <w:pPr>
        <w:rPr>
          <w:rFonts w:eastAsia="Times New Roman" w:cs="Arial"/>
          <w:sz w:val="24"/>
          <w:szCs w:val="24"/>
          <w:lang w:eastAsia="bg-BG"/>
        </w:rPr>
      </w:pPr>
      <w:r w:rsidRPr="008165FD">
        <w:rPr>
          <w:rFonts w:eastAsia="Times New Roman" w:cs="Arial"/>
          <w:color w:val="000000"/>
          <w:lang w:eastAsia="bg-BG"/>
        </w:rPr>
        <w:t xml:space="preserve">Ефикасността и безопасността на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са проучени в едно международно, </w:t>
      </w:r>
      <w:proofErr w:type="spellStart"/>
      <w:r w:rsidRPr="008165FD">
        <w:rPr>
          <w:rFonts w:eastAsia="Times New Roman" w:cs="Arial"/>
          <w:color w:val="000000"/>
          <w:lang w:eastAsia="bg-BG"/>
        </w:rPr>
        <w:t>многоцентрово</w:t>
      </w:r>
      <w:proofErr w:type="spellEnd"/>
      <w:r w:rsidRPr="008165FD">
        <w:rPr>
          <w:rFonts w:eastAsia="Times New Roman" w:cs="Arial"/>
          <w:color w:val="000000"/>
          <w:lang w:eastAsia="bg-BG"/>
        </w:rPr>
        <w:t xml:space="preserve">, контролирано, открито, паралелно групово фаза 3 проучване при пациенти на възраст 65 и повече години с </w:t>
      </w:r>
      <w:proofErr w:type="spellStart"/>
      <w:r w:rsidRPr="008165FD">
        <w:rPr>
          <w:rFonts w:eastAsia="Times New Roman" w:cs="Arial"/>
          <w:color w:val="000000"/>
          <w:lang w:eastAsia="bg-BG"/>
        </w:rPr>
        <w:t>новодиагностицирани</w:t>
      </w:r>
      <w:proofErr w:type="spellEnd"/>
      <w:r w:rsidRPr="008165FD">
        <w:rPr>
          <w:rFonts w:eastAsia="Times New Roman" w:cs="Arial"/>
          <w:color w:val="000000"/>
          <w:lang w:eastAsia="bg-BG"/>
        </w:rPr>
        <w:t xml:space="preserve"> </w:t>
      </w:r>
      <w:r w:rsidRPr="008165FD">
        <w:rPr>
          <w:rFonts w:eastAsia="Times New Roman" w:cs="Arial"/>
          <w:i/>
          <w:iCs/>
          <w:color w:val="000000"/>
          <w:lang w:val="en-US"/>
        </w:rPr>
        <w:t>de</w:t>
      </w:r>
      <w:r w:rsidRPr="00B712C2">
        <w:rPr>
          <w:rFonts w:eastAsia="Times New Roman" w:cs="Arial"/>
          <w:i/>
          <w:iCs/>
          <w:color w:val="000000"/>
          <w:lang w:val="ru-RU"/>
        </w:rPr>
        <w:t xml:space="preserve"> </w:t>
      </w:r>
      <w:r w:rsidRPr="008165FD">
        <w:rPr>
          <w:rFonts w:eastAsia="Times New Roman" w:cs="Arial"/>
          <w:i/>
          <w:iCs/>
          <w:color w:val="000000"/>
          <w:lang w:val="en-US"/>
        </w:rPr>
        <w:t>novo</w:t>
      </w:r>
      <w:r w:rsidRPr="00B712C2">
        <w:rPr>
          <w:rFonts w:eastAsia="Times New Roman" w:cs="Arial"/>
          <w:color w:val="000000"/>
          <w:lang w:val="ru-RU"/>
        </w:rPr>
        <w:t xml:space="preserve"> </w:t>
      </w:r>
      <w:r w:rsidRPr="008165FD">
        <w:rPr>
          <w:rFonts w:eastAsia="Times New Roman" w:cs="Arial"/>
          <w:color w:val="000000"/>
          <w:lang w:eastAsia="bg-BG"/>
        </w:rPr>
        <w:t xml:space="preserve">или вторична ОМЛ с &gt;30% </w:t>
      </w:r>
      <w:proofErr w:type="spellStart"/>
      <w:r w:rsidRPr="008165FD">
        <w:rPr>
          <w:rFonts w:eastAsia="Times New Roman" w:cs="Arial"/>
          <w:color w:val="000000"/>
          <w:lang w:eastAsia="bg-BG"/>
        </w:rPr>
        <w:t>костномозъчни</w:t>
      </w:r>
      <w:proofErr w:type="spellEnd"/>
      <w:r w:rsidRPr="008165FD">
        <w:rPr>
          <w:rFonts w:eastAsia="Times New Roman" w:cs="Arial"/>
          <w:color w:val="000000"/>
          <w:lang w:eastAsia="bg-BG"/>
        </w:rPr>
        <w:t xml:space="preserve"> </w:t>
      </w:r>
      <w:proofErr w:type="spellStart"/>
      <w:r w:rsidRPr="008165FD">
        <w:rPr>
          <w:rFonts w:eastAsia="Times New Roman" w:cs="Arial"/>
          <w:color w:val="000000"/>
          <w:lang w:eastAsia="bg-BG"/>
        </w:rPr>
        <w:t>бласти</w:t>
      </w:r>
      <w:proofErr w:type="spellEnd"/>
      <w:r w:rsidRPr="008165FD">
        <w:rPr>
          <w:rFonts w:eastAsia="Times New Roman" w:cs="Arial"/>
          <w:color w:val="000000"/>
          <w:lang w:eastAsia="bg-BG"/>
        </w:rPr>
        <w:t xml:space="preserve"> според класификацията на СЗО, които не са подходящи за </w:t>
      </w:r>
      <w:r w:rsidRPr="008165FD">
        <w:rPr>
          <w:rFonts w:eastAsia="Times New Roman" w:cs="Arial"/>
          <w:color w:val="000000"/>
          <w:lang w:val="en-US"/>
        </w:rPr>
        <w:t>HSCT</w:t>
      </w:r>
      <w:r w:rsidRPr="00B712C2">
        <w:rPr>
          <w:rFonts w:eastAsia="Times New Roman" w:cs="Arial"/>
          <w:color w:val="000000"/>
          <w:lang w:val="ru-RU"/>
        </w:rPr>
        <w:t xml:space="preserve">.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плюс </w:t>
      </w:r>
      <w:r w:rsidRPr="008165FD">
        <w:rPr>
          <w:rFonts w:eastAsia="Times New Roman" w:cs="Arial"/>
          <w:color w:val="000000"/>
          <w:lang w:val="en-US"/>
        </w:rPr>
        <w:t>BSC</w:t>
      </w:r>
      <w:r w:rsidRPr="00B712C2">
        <w:rPr>
          <w:rFonts w:eastAsia="Times New Roman" w:cs="Arial"/>
          <w:color w:val="000000"/>
          <w:lang w:val="ru-RU"/>
        </w:rPr>
        <w:t xml:space="preserve"> </w:t>
      </w:r>
      <w:r w:rsidRPr="008165FD">
        <w:rPr>
          <w:rFonts w:eastAsia="Times New Roman" w:cs="Arial"/>
          <w:color w:val="000000"/>
          <w:lang w:eastAsia="bg-BG"/>
        </w:rPr>
        <w:t xml:space="preserve">(п=241) е сравнен с конвенционална терапевтична схема. Конвенционалната терапевтична схема се състои само от </w:t>
      </w:r>
      <w:r w:rsidRPr="008165FD">
        <w:rPr>
          <w:rFonts w:eastAsia="Times New Roman" w:cs="Arial"/>
          <w:color w:val="000000"/>
          <w:lang w:val="en-US"/>
        </w:rPr>
        <w:t>BSC</w:t>
      </w:r>
      <w:r w:rsidRPr="00B712C2">
        <w:rPr>
          <w:rFonts w:eastAsia="Times New Roman" w:cs="Arial"/>
          <w:color w:val="000000"/>
          <w:lang w:val="ru-RU"/>
        </w:rPr>
        <w:t xml:space="preserve"> </w:t>
      </w:r>
      <w:r w:rsidRPr="008165FD">
        <w:rPr>
          <w:rFonts w:eastAsia="Times New Roman" w:cs="Arial"/>
          <w:color w:val="000000"/>
          <w:lang w:eastAsia="bg-BG"/>
        </w:rPr>
        <w:t>(</w:t>
      </w:r>
      <w:r w:rsidRPr="008165FD">
        <w:rPr>
          <w:rFonts w:eastAsia="Times New Roman" w:cs="Arial"/>
          <w:color w:val="000000"/>
          <w:lang w:val="en-US"/>
        </w:rPr>
        <w:t>n</w:t>
      </w:r>
      <w:r w:rsidRPr="008165FD">
        <w:rPr>
          <w:rFonts w:eastAsia="Times New Roman" w:cs="Arial"/>
          <w:color w:val="000000"/>
          <w:lang w:eastAsia="bg-BG"/>
        </w:rPr>
        <w:t xml:space="preserve">=45), ниска доза </w:t>
      </w:r>
      <w:proofErr w:type="spellStart"/>
      <w:r w:rsidRPr="008165FD">
        <w:rPr>
          <w:rFonts w:eastAsia="Times New Roman" w:cs="Arial"/>
          <w:color w:val="000000"/>
          <w:lang w:eastAsia="bg-BG"/>
        </w:rPr>
        <w:t>цитарабин</w:t>
      </w:r>
      <w:proofErr w:type="spellEnd"/>
      <w:r w:rsidRPr="00B712C2">
        <w:rPr>
          <w:rFonts w:eastAsia="Times New Roman" w:cs="Arial"/>
          <w:color w:val="000000"/>
          <w:lang w:val="ru-RU" w:eastAsia="bg-BG"/>
        </w:rPr>
        <w:t xml:space="preserve"> </w:t>
      </w:r>
      <w:r w:rsidRPr="008165FD">
        <w:rPr>
          <w:rFonts w:eastAsia="Times New Roman" w:cs="Arial"/>
          <w:color w:val="000000"/>
          <w:lang w:eastAsia="bg-BG"/>
        </w:rPr>
        <w:t xml:space="preserve">плюс </w:t>
      </w:r>
      <w:r w:rsidRPr="008165FD">
        <w:rPr>
          <w:rFonts w:eastAsia="Times New Roman" w:cs="Arial"/>
          <w:color w:val="000000"/>
          <w:lang w:val="en-US"/>
        </w:rPr>
        <w:t>BSC</w:t>
      </w:r>
      <w:r w:rsidRPr="00B712C2">
        <w:rPr>
          <w:rFonts w:eastAsia="Times New Roman" w:cs="Arial"/>
          <w:color w:val="000000"/>
          <w:lang w:val="ru-RU"/>
        </w:rPr>
        <w:t xml:space="preserve"> </w:t>
      </w:r>
      <w:r w:rsidRPr="008165FD">
        <w:rPr>
          <w:rFonts w:eastAsia="Times New Roman" w:cs="Arial"/>
          <w:color w:val="000000"/>
          <w:lang w:eastAsia="bg-BG"/>
        </w:rPr>
        <w:t>(</w:t>
      </w:r>
      <w:r w:rsidRPr="008165FD">
        <w:rPr>
          <w:rFonts w:eastAsia="Times New Roman" w:cs="Arial"/>
          <w:color w:val="000000"/>
          <w:lang w:val="en-US"/>
        </w:rPr>
        <w:t>n</w:t>
      </w:r>
      <w:r w:rsidRPr="008165FD">
        <w:rPr>
          <w:rFonts w:eastAsia="Times New Roman" w:cs="Arial"/>
          <w:color w:val="000000"/>
          <w:lang w:eastAsia="bg-BG"/>
        </w:rPr>
        <w:t xml:space="preserve">=158) или стандартна интензивна химиотерапия с </w:t>
      </w:r>
      <w:proofErr w:type="spellStart"/>
      <w:r w:rsidRPr="008165FD">
        <w:rPr>
          <w:rFonts w:eastAsia="Times New Roman" w:cs="Arial"/>
          <w:color w:val="000000"/>
          <w:lang w:eastAsia="bg-BG"/>
        </w:rPr>
        <w:t>цитарабин</w:t>
      </w:r>
      <w:proofErr w:type="spellEnd"/>
      <w:r w:rsidRPr="008165FD">
        <w:rPr>
          <w:rFonts w:eastAsia="Times New Roman" w:cs="Arial"/>
          <w:color w:val="000000"/>
          <w:lang w:eastAsia="bg-BG"/>
        </w:rPr>
        <w:t xml:space="preserve"> и </w:t>
      </w:r>
      <w:proofErr w:type="spellStart"/>
      <w:r w:rsidRPr="008165FD">
        <w:rPr>
          <w:rFonts w:eastAsia="Times New Roman" w:cs="Arial"/>
          <w:color w:val="000000"/>
          <w:lang w:eastAsia="bg-BG"/>
        </w:rPr>
        <w:t>антрациклин</w:t>
      </w:r>
      <w:proofErr w:type="spellEnd"/>
      <w:r w:rsidRPr="008165FD">
        <w:rPr>
          <w:rFonts w:eastAsia="Times New Roman" w:cs="Arial"/>
          <w:color w:val="000000"/>
          <w:lang w:eastAsia="bg-BG"/>
        </w:rPr>
        <w:t xml:space="preserve"> плюс </w:t>
      </w:r>
      <w:r w:rsidRPr="008165FD">
        <w:rPr>
          <w:rFonts w:eastAsia="Times New Roman" w:cs="Arial"/>
          <w:color w:val="000000"/>
          <w:lang w:val="en-US"/>
        </w:rPr>
        <w:t>BSC</w:t>
      </w:r>
      <w:r w:rsidRPr="00B712C2">
        <w:rPr>
          <w:rFonts w:eastAsia="Times New Roman" w:cs="Arial"/>
          <w:color w:val="000000"/>
          <w:lang w:val="ru-RU"/>
        </w:rPr>
        <w:t xml:space="preserve"> </w:t>
      </w:r>
      <w:r w:rsidRPr="008165FD">
        <w:rPr>
          <w:rFonts w:eastAsia="Times New Roman" w:cs="Arial"/>
          <w:color w:val="000000"/>
          <w:lang w:eastAsia="bg-BG"/>
        </w:rPr>
        <w:t>(</w:t>
      </w:r>
      <w:r w:rsidRPr="008165FD">
        <w:rPr>
          <w:rFonts w:eastAsia="Times New Roman" w:cs="Arial"/>
          <w:color w:val="000000"/>
          <w:lang w:val="en-US"/>
        </w:rPr>
        <w:t>n</w:t>
      </w:r>
      <w:r w:rsidRPr="008165FD">
        <w:rPr>
          <w:rFonts w:eastAsia="Times New Roman" w:cs="Arial"/>
          <w:color w:val="000000"/>
          <w:lang w:eastAsia="bg-BG"/>
        </w:rPr>
        <w:t xml:space="preserve">=44). Пациентите са предварително подбрани от техните лекари за 1 от 3-те конвенционални терапевтични схеми преди рандомизацията. Пациентите получават предварително подбраната схема, ако не са рандомизирани на Азацитидин. Като част от критериите за включване се изисква пациентите да имат функционално състояние 0-2 по </w:t>
      </w:r>
      <w:r w:rsidRPr="008165FD">
        <w:rPr>
          <w:rFonts w:eastAsia="Times New Roman" w:cs="Arial"/>
          <w:color w:val="000000"/>
          <w:lang w:val="en-US"/>
        </w:rPr>
        <w:t>ECOG</w:t>
      </w:r>
      <w:r w:rsidRPr="00B712C2">
        <w:rPr>
          <w:rFonts w:eastAsia="Times New Roman" w:cs="Arial"/>
          <w:color w:val="000000"/>
          <w:lang w:val="ru-RU"/>
        </w:rPr>
        <w:t xml:space="preserve"> </w:t>
      </w:r>
      <w:r w:rsidRPr="008165FD">
        <w:rPr>
          <w:rFonts w:eastAsia="Times New Roman" w:cs="Arial"/>
          <w:color w:val="000000"/>
          <w:lang w:eastAsia="bg-BG"/>
        </w:rPr>
        <w:t xml:space="preserve">и </w:t>
      </w:r>
      <w:proofErr w:type="spellStart"/>
      <w:r w:rsidRPr="008165FD">
        <w:rPr>
          <w:rFonts w:eastAsia="Times New Roman" w:cs="Arial"/>
          <w:color w:val="000000"/>
          <w:lang w:eastAsia="bg-BG"/>
        </w:rPr>
        <w:t>цитогенетични</w:t>
      </w:r>
      <w:proofErr w:type="spellEnd"/>
      <w:r w:rsidRPr="008165FD">
        <w:rPr>
          <w:rFonts w:eastAsia="Times New Roman" w:cs="Arial"/>
          <w:color w:val="000000"/>
          <w:lang w:eastAsia="bg-BG"/>
        </w:rPr>
        <w:t xml:space="preserve"> аномалии с междинен или слаб риск. Първичната крайна точка на проучването е обща преживяемост.</w:t>
      </w:r>
    </w:p>
    <w:p w14:paraId="5CE3E634" w14:textId="77777777" w:rsidR="008165FD" w:rsidRPr="008165FD" w:rsidRDefault="008165FD" w:rsidP="008165FD">
      <w:pPr>
        <w:spacing w:line="240" w:lineRule="auto"/>
        <w:rPr>
          <w:rFonts w:eastAsia="Times New Roman" w:cs="Arial"/>
          <w:color w:val="000000"/>
          <w:lang w:eastAsia="bg-BG"/>
        </w:rPr>
      </w:pPr>
    </w:p>
    <w:p w14:paraId="689A2E2F" w14:textId="67CA747E" w:rsidR="008165FD" w:rsidRPr="008165FD" w:rsidRDefault="008165FD" w:rsidP="008165FD">
      <w:pPr>
        <w:spacing w:line="240" w:lineRule="auto"/>
        <w:rPr>
          <w:rFonts w:eastAsia="Times New Roman" w:cs="Arial"/>
          <w:sz w:val="24"/>
          <w:szCs w:val="24"/>
          <w:lang w:eastAsia="bg-BG"/>
        </w:rPr>
      </w:pP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е прилаган подкожно с доза 75 </w:t>
      </w:r>
      <w:r w:rsidRPr="008165FD">
        <w:rPr>
          <w:rFonts w:eastAsia="Times New Roman" w:cs="Arial"/>
          <w:color w:val="000000"/>
          <w:lang w:val="en-US"/>
        </w:rPr>
        <w:t>mg</w:t>
      </w:r>
      <w:r w:rsidRPr="008165FD">
        <w:rPr>
          <w:rFonts w:eastAsia="Times New Roman" w:cs="Arial"/>
          <w:color w:val="000000"/>
          <w:lang w:eastAsia="bg-BG"/>
        </w:rPr>
        <w:t>/</w:t>
      </w:r>
      <w:r w:rsidRPr="008165FD">
        <w:rPr>
          <w:rFonts w:eastAsia="Times New Roman" w:cs="Arial"/>
          <w:color w:val="000000"/>
          <w:lang w:val="en-US"/>
        </w:rPr>
        <w:t>m</w:t>
      </w:r>
      <w:r w:rsidRPr="00B712C2">
        <w:rPr>
          <w:rFonts w:eastAsia="Times New Roman" w:cs="Arial"/>
          <w:color w:val="000000"/>
          <w:vertAlign w:val="superscript"/>
          <w:lang w:val="ru-RU"/>
        </w:rPr>
        <w:t>2</w:t>
      </w:r>
      <w:r w:rsidRPr="008165FD">
        <w:rPr>
          <w:rFonts w:eastAsia="Times New Roman" w:cs="Arial"/>
          <w:color w:val="000000"/>
          <w:lang w:eastAsia="bg-BG"/>
        </w:rPr>
        <w:t xml:space="preserve">/ден за 7 дни, последвани от период на почивка с продължителност 21 дни (28-дневен цикъл на лечение), с медиана 6 цикъла (интервал: 1 до 28), само </w:t>
      </w:r>
      <w:r w:rsidRPr="008165FD">
        <w:rPr>
          <w:rFonts w:eastAsia="Times New Roman" w:cs="Arial"/>
          <w:color w:val="000000"/>
          <w:lang w:val="en-US"/>
        </w:rPr>
        <w:t>BSC</w:t>
      </w:r>
      <w:r w:rsidRPr="00B712C2">
        <w:rPr>
          <w:rFonts w:eastAsia="Times New Roman" w:cs="Arial"/>
          <w:color w:val="000000"/>
          <w:lang w:val="ru-RU"/>
        </w:rPr>
        <w:t xml:space="preserve"> </w:t>
      </w:r>
      <w:r w:rsidRPr="008165FD">
        <w:rPr>
          <w:rFonts w:eastAsia="Times New Roman" w:cs="Arial"/>
          <w:color w:val="000000"/>
          <w:lang w:eastAsia="bg-BG"/>
        </w:rPr>
        <w:t xml:space="preserve">с медиана </w:t>
      </w:r>
      <w:r w:rsidRPr="008165FD">
        <w:rPr>
          <w:rFonts w:eastAsia="Times New Roman" w:cs="Arial"/>
          <w:i/>
          <w:iCs/>
          <w:color w:val="000000"/>
          <w:lang w:eastAsia="bg-BG"/>
        </w:rPr>
        <w:t>3</w:t>
      </w:r>
      <w:r w:rsidRPr="008165FD">
        <w:rPr>
          <w:rFonts w:eastAsia="Times New Roman" w:cs="Arial"/>
          <w:color w:val="000000"/>
          <w:lang w:eastAsia="bg-BG"/>
        </w:rPr>
        <w:t xml:space="preserve"> цикъла (интервал: 1 до 20), ниска доза </w:t>
      </w:r>
      <w:proofErr w:type="spellStart"/>
      <w:r w:rsidRPr="008165FD">
        <w:rPr>
          <w:rFonts w:eastAsia="Times New Roman" w:cs="Arial"/>
          <w:color w:val="000000"/>
          <w:lang w:eastAsia="bg-BG"/>
        </w:rPr>
        <w:t>цитарабин</w:t>
      </w:r>
      <w:proofErr w:type="spellEnd"/>
      <w:r w:rsidRPr="008165FD">
        <w:rPr>
          <w:rFonts w:eastAsia="Times New Roman" w:cs="Arial"/>
          <w:color w:val="000000"/>
          <w:lang w:eastAsia="bg-BG"/>
        </w:rPr>
        <w:t xml:space="preserve"> с медиана 4 цикъла (интервал: 1 до 25) и стандартна интензивна химиотерапия с медиана 2 цикъла (интервал: 1 до 3, индукционен цикъл плюс 1 или 2 консолидационни цикъла). Отделните изходни параметри са сравними между групите на азацитидин и конвенционална терапевтична схема. Медианата на възрастта на пациентите е 75,0 години (граници: 64 до 91 години), 75,2% са от бялата раса и 59,0% са мъже. На изходното ниво 60,7% са класифицирани с ОМЛ, неспецифицирана по друг начин, 32,4% с ОМЛ със свързани с миелодисплазия промени, 4,1% със свързани с терапията миелоидни неоплазми и 2,9% с рекурентни генетични аномалии според класификацията на СЗО.</w:t>
      </w:r>
    </w:p>
    <w:p w14:paraId="410494BA" w14:textId="77777777" w:rsidR="008165FD" w:rsidRPr="008165FD" w:rsidRDefault="008165FD" w:rsidP="008165FD">
      <w:pPr>
        <w:rPr>
          <w:rFonts w:eastAsia="Times New Roman" w:cs="Arial"/>
          <w:color w:val="000000"/>
          <w:lang w:eastAsia="bg-BG"/>
        </w:rPr>
      </w:pPr>
    </w:p>
    <w:p w14:paraId="4D899890" w14:textId="2D4B68EA" w:rsidR="008165FD" w:rsidRPr="00B712C2" w:rsidRDefault="008165FD" w:rsidP="008165FD">
      <w:pPr>
        <w:rPr>
          <w:rFonts w:cs="Arial"/>
          <w:lang w:val="ru-RU"/>
        </w:rPr>
      </w:pPr>
      <w:r w:rsidRPr="008165FD">
        <w:rPr>
          <w:rFonts w:eastAsia="Times New Roman" w:cs="Arial"/>
          <w:color w:val="000000"/>
          <w:lang w:eastAsia="bg-BG"/>
        </w:rPr>
        <w:t xml:space="preserve">При </w:t>
      </w:r>
      <w:r w:rsidRPr="008165FD">
        <w:rPr>
          <w:rFonts w:eastAsia="Times New Roman" w:cs="Arial"/>
          <w:color w:val="000000"/>
          <w:lang w:val="en-US"/>
        </w:rPr>
        <w:t>ITT</w:t>
      </w:r>
      <w:r w:rsidRPr="00B712C2">
        <w:rPr>
          <w:rFonts w:eastAsia="Times New Roman" w:cs="Arial"/>
          <w:color w:val="000000"/>
          <w:lang w:val="ru-RU"/>
        </w:rPr>
        <w:t xml:space="preserve"> </w:t>
      </w:r>
      <w:r w:rsidRPr="008165FD">
        <w:rPr>
          <w:rFonts w:eastAsia="Times New Roman" w:cs="Arial"/>
          <w:color w:val="000000"/>
          <w:lang w:eastAsia="bg-BG"/>
        </w:rPr>
        <w:t xml:space="preserve">анализа на 488 пациенти (241 на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и 247 на конвенционална терапевтична схема), лечението с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се свързва с медиана на преживяемост 10,4 месеца срещу 6,5 месеца за пациентите, лекувани с конвенционална терапевтична схема, разлика от 3,8 месеца, със стратифицирана </w:t>
      </w:r>
      <w:r w:rsidRPr="008165FD">
        <w:rPr>
          <w:rFonts w:eastAsia="Times New Roman" w:cs="Arial"/>
          <w:color w:val="000000"/>
          <w:lang w:val="en-US"/>
        </w:rPr>
        <w:t>log</w:t>
      </w:r>
      <w:r w:rsidRPr="00B712C2">
        <w:rPr>
          <w:rFonts w:eastAsia="Times New Roman" w:cs="Arial"/>
          <w:color w:val="000000"/>
          <w:lang w:val="ru-RU"/>
        </w:rPr>
        <w:t>-</w:t>
      </w:r>
      <w:r w:rsidRPr="008165FD">
        <w:rPr>
          <w:rFonts w:eastAsia="Times New Roman" w:cs="Arial"/>
          <w:color w:val="000000"/>
          <w:lang w:val="en-US"/>
        </w:rPr>
        <w:t>rank</w:t>
      </w:r>
      <w:r w:rsidRPr="00B712C2">
        <w:rPr>
          <w:rFonts w:eastAsia="Times New Roman" w:cs="Arial"/>
          <w:color w:val="000000"/>
          <w:lang w:val="ru-RU"/>
        </w:rPr>
        <w:t xml:space="preserve"> </w:t>
      </w:r>
      <w:r w:rsidRPr="008165FD">
        <w:rPr>
          <w:rFonts w:eastAsia="Times New Roman" w:cs="Arial"/>
          <w:color w:val="000000"/>
          <w:lang w:eastAsia="bg-BG"/>
        </w:rPr>
        <w:t>р-стойност 0,1009 (двустранно). Коефициентът на риска за ефекта на лечението е 0,85 (95% С1= 0,69; 1,03). Едногодишната преживяемост е 46,5% при пациентите, лекувани с конвенционална терапевтична схема.</w:t>
      </w:r>
    </w:p>
    <w:p w14:paraId="73E65848" w14:textId="79F5D382" w:rsidR="008165FD" w:rsidRDefault="008165FD" w:rsidP="0091385D"/>
    <w:p w14:paraId="66C01158" w14:textId="41DCEC64" w:rsidR="008165FD" w:rsidRDefault="008165FD" w:rsidP="0091385D">
      <w:r>
        <w:rPr>
          <w:noProof/>
          <w:lang w:eastAsia="bg-BG"/>
        </w:rPr>
        <w:lastRenderedPageBreak/>
        <w:drawing>
          <wp:inline distT="0" distB="0" distL="0" distR="0" wp14:anchorId="53659144" wp14:editId="074618F4">
            <wp:extent cx="5277587" cy="2896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d_2222.png"/>
                    <pic:cNvPicPr/>
                  </pic:nvPicPr>
                  <pic:blipFill>
                    <a:blip r:embed="rId7">
                      <a:extLst>
                        <a:ext uri="{28A0092B-C50C-407E-A947-70E740481C1C}">
                          <a14:useLocalDpi xmlns:a14="http://schemas.microsoft.com/office/drawing/2010/main" val="0"/>
                        </a:ext>
                      </a:extLst>
                    </a:blip>
                    <a:stretch>
                      <a:fillRect/>
                    </a:stretch>
                  </pic:blipFill>
                  <pic:spPr>
                    <a:xfrm>
                      <a:off x="0" y="0"/>
                      <a:ext cx="5277587" cy="2896004"/>
                    </a:xfrm>
                    <a:prstGeom prst="rect">
                      <a:avLst/>
                    </a:prstGeom>
                  </pic:spPr>
                </pic:pic>
              </a:graphicData>
            </a:graphic>
          </wp:inline>
        </w:drawing>
      </w:r>
    </w:p>
    <w:p w14:paraId="7B795C0A" w14:textId="39778242" w:rsidR="008165FD" w:rsidRDefault="008165FD" w:rsidP="0091385D">
      <w:r>
        <w:rPr>
          <w:noProof/>
          <w:lang w:eastAsia="bg-BG"/>
        </w:rPr>
        <w:drawing>
          <wp:inline distT="0" distB="0" distL="0" distR="0" wp14:anchorId="38CCFCFD" wp14:editId="74A1F76D">
            <wp:extent cx="5268060" cy="3524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d_44.png"/>
                    <pic:cNvPicPr/>
                  </pic:nvPicPr>
                  <pic:blipFill>
                    <a:blip r:embed="rId8">
                      <a:extLst>
                        <a:ext uri="{28A0092B-C50C-407E-A947-70E740481C1C}">
                          <a14:useLocalDpi xmlns:a14="http://schemas.microsoft.com/office/drawing/2010/main" val="0"/>
                        </a:ext>
                      </a:extLst>
                    </a:blip>
                    <a:stretch>
                      <a:fillRect/>
                    </a:stretch>
                  </pic:blipFill>
                  <pic:spPr>
                    <a:xfrm>
                      <a:off x="0" y="0"/>
                      <a:ext cx="5268060" cy="352474"/>
                    </a:xfrm>
                    <a:prstGeom prst="rect">
                      <a:avLst/>
                    </a:prstGeom>
                  </pic:spPr>
                </pic:pic>
              </a:graphicData>
            </a:graphic>
          </wp:inline>
        </w:drawing>
      </w:r>
    </w:p>
    <w:p w14:paraId="2768B83F" w14:textId="049DF8AD" w:rsidR="008165FD" w:rsidRDefault="008165FD" w:rsidP="0091385D"/>
    <w:p w14:paraId="36B20CB2" w14:textId="77777777"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val="en-US"/>
        </w:rPr>
        <w:t>Cox</w:t>
      </w:r>
      <w:r w:rsidRPr="00B712C2">
        <w:rPr>
          <w:rFonts w:eastAsia="Times New Roman" w:cs="Arial"/>
          <w:color w:val="000000"/>
          <w:lang w:val="ru-RU"/>
        </w:rPr>
        <w:t xml:space="preserve"> </w:t>
      </w:r>
      <w:r w:rsidRPr="008165FD">
        <w:rPr>
          <w:rFonts w:eastAsia="Times New Roman" w:cs="Arial"/>
          <w:color w:val="000000"/>
          <w:lang w:val="en-US"/>
        </w:rPr>
        <w:t>PH</w:t>
      </w:r>
      <w:r w:rsidRPr="00B712C2">
        <w:rPr>
          <w:rFonts w:eastAsia="Times New Roman" w:cs="Arial"/>
          <w:color w:val="000000"/>
          <w:lang w:val="ru-RU"/>
        </w:rPr>
        <w:t xml:space="preserve"> </w:t>
      </w:r>
      <w:r w:rsidRPr="008165FD">
        <w:rPr>
          <w:rFonts w:eastAsia="Times New Roman" w:cs="Arial"/>
          <w:color w:val="000000"/>
          <w:lang w:eastAsia="bg-BG"/>
        </w:rPr>
        <w:t xml:space="preserve">модел, коригиран за предварително определени изходни прогностични фактори, дефинира коефициент на риск </w:t>
      </w:r>
      <w:r w:rsidRPr="00B712C2">
        <w:rPr>
          <w:rFonts w:eastAsia="Times New Roman" w:cs="Arial"/>
          <w:color w:val="000000"/>
          <w:lang w:val="ru-RU"/>
        </w:rPr>
        <w:t>(</w:t>
      </w:r>
      <w:r w:rsidRPr="008165FD">
        <w:rPr>
          <w:rFonts w:eastAsia="Times New Roman" w:cs="Arial"/>
          <w:color w:val="000000"/>
          <w:lang w:val="en-US"/>
        </w:rPr>
        <w:t>HR</w:t>
      </w:r>
      <w:r w:rsidRPr="00B712C2">
        <w:rPr>
          <w:rFonts w:eastAsia="Times New Roman" w:cs="Arial"/>
          <w:color w:val="000000"/>
          <w:lang w:val="ru-RU"/>
        </w:rPr>
        <w:t xml:space="preserve">) </w:t>
      </w:r>
      <w:r w:rsidRPr="008165FD">
        <w:rPr>
          <w:rFonts w:eastAsia="Times New Roman" w:cs="Arial"/>
          <w:color w:val="000000"/>
          <w:lang w:eastAsia="bg-BG"/>
        </w:rPr>
        <w:t xml:space="preserve">за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спрямо конвенционална терапевтична схема 0,80 (95% С</w:t>
      </w:r>
      <w:r w:rsidRPr="008165FD">
        <w:rPr>
          <w:rFonts w:eastAsia="Times New Roman" w:cs="Arial"/>
          <w:color w:val="000000"/>
          <w:lang w:val="en-US"/>
        </w:rPr>
        <w:t>I</w:t>
      </w:r>
      <w:r w:rsidRPr="008165FD">
        <w:rPr>
          <w:rFonts w:eastAsia="Times New Roman" w:cs="Arial"/>
          <w:color w:val="000000"/>
          <w:lang w:eastAsia="bg-BG"/>
        </w:rPr>
        <w:t>= 0,66; 0,99; р = 0,0355).</w:t>
      </w:r>
    </w:p>
    <w:p w14:paraId="40CAACAF" w14:textId="77777777" w:rsidR="008165FD" w:rsidRPr="008165FD" w:rsidRDefault="008165FD" w:rsidP="008165FD">
      <w:pPr>
        <w:spacing w:line="240" w:lineRule="auto"/>
        <w:rPr>
          <w:rFonts w:eastAsia="Times New Roman" w:cs="Arial"/>
          <w:color w:val="000000"/>
          <w:lang w:eastAsia="bg-BG"/>
        </w:rPr>
      </w:pPr>
    </w:p>
    <w:p w14:paraId="679DEC51" w14:textId="7E63413D"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 xml:space="preserve">В допълнение, въпреки че проучването няма възможност да демонстрира статистически значима разлика, когато се сравнява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с предварително подбраните групи на конвенционална терапевтична схема, преживяемостта на лекуваните с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пациенти е по-продължителна в сравнение с вариантите за лечение с конвенционална терапевтична схема само с </w:t>
      </w:r>
      <w:r w:rsidRPr="008165FD">
        <w:rPr>
          <w:rFonts w:eastAsia="Times New Roman" w:cs="Arial"/>
          <w:color w:val="000000"/>
          <w:lang w:val="en-US"/>
        </w:rPr>
        <w:t>BSC</w:t>
      </w:r>
      <w:r w:rsidRPr="00B712C2">
        <w:rPr>
          <w:rFonts w:eastAsia="Times New Roman" w:cs="Arial"/>
          <w:color w:val="000000"/>
          <w:lang w:val="ru-RU"/>
        </w:rPr>
        <w:t xml:space="preserve">, </w:t>
      </w:r>
      <w:r w:rsidRPr="008165FD">
        <w:rPr>
          <w:rFonts w:eastAsia="Times New Roman" w:cs="Arial"/>
          <w:color w:val="000000"/>
          <w:lang w:eastAsia="bg-BG"/>
        </w:rPr>
        <w:t xml:space="preserve">ниска доза </w:t>
      </w:r>
      <w:proofErr w:type="spellStart"/>
      <w:r w:rsidRPr="008165FD">
        <w:rPr>
          <w:rFonts w:eastAsia="Times New Roman" w:cs="Arial"/>
          <w:color w:val="000000"/>
          <w:lang w:eastAsia="bg-BG"/>
        </w:rPr>
        <w:t>цитарабин</w:t>
      </w:r>
      <w:proofErr w:type="spellEnd"/>
      <w:r w:rsidRPr="008165FD">
        <w:rPr>
          <w:rFonts w:eastAsia="Times New Roman" w:cs="Arial"/>
          <w:color w:val="000000"/>
          <w:lang w:eastAsia="bg-BG"/>
        </w:rPr>
        <w:t xml:space="preserve"> плюс </w:t>
      </w:r>
      <w:r w:rsidRPr="008165FD">
        <w:rPr>
          <w:rFonts w:eastAsia="Times New Roman" w:cs="Arial"/>
          <w:color w:val="000000"/>
          <w:lang w:val="en-US"/>
        </w:rPr>
        <w:t>BSC</w:t>
      </w:r>
      <w:r w:rsidRPr="00B712C2">
        <w:rPr>
          <w:rFonts w:eastAsia="Times New Roman" w:cs="Arial"/>
          <w:color w:val="000000"/>
          <w:lang w:val="ru-RU"/>
        </w:rPr>
        <w:t xml:space="preserve"> </w:t>
      </w:r>
      <w:r w:rsidRPr="008165FD">
        <w:rPr>
          <w:rFonts w:eastAsia="Times New Roman" w:cs="Arial"/>
          <w:color w:val="000000"/>
          <w:lang w:eastAsia="bg-BG"/>
        </w:rPr>
        <w:t xml:space="preserve">и са подобни, когато са сравнени със стандартна интензивна химиотерапия плюс </w:t>
      </w:r>
      <w:r w:rsidRPr="008165FD">
        <w:rPr>
          <w:rFonts w:eastAsia="Times New Roman" w:cs="Arial"/>
          <w:color w:val="000000"/>
          <w:lang w:val="en-US"/>
        </w:rPr>
        <w:t>BSC</w:t>
      </w:r>
      <w:r w:rsidRPr="00B712C2">
        <w:rPr>
          <w:rFonts w:eastAsia="Times New Roman" w:cs="Arial"/>
          <w:color w:val="000000"/>
          <w:lang w:val="ru-RU"/>
        </w:rPr>
        <w:t>.</w:t>
      </w:r>
    </w:p>
    <w:p w14:paraId="36553872" w14:textId="77777777" w:rsidR="008165FD" w:rsidRPr="008165FD" w:rsidRDefault="008165FD" w:rsidP="008165FD">
      <w:pPr>
        <w:spacing w:line="240" w:lineRule="auto"/>
        <w:rPr>
          <w:rFonts w:eastAsia="Times New Roman" w:cs="Arial"/>
          <w:color w:val="000000"/>
          <w:lang w:eastAsia="bg-BG"/>
        </w:rPr>
      </w:pPr>
    </w:p>
    <w:p w14:paraId="307FCF98" w14:textId="1974F12E"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 xml:space="preserve">При всички предварително определени подгрупи [възраст (&lt; 75 години и ≥ 75 години), пол, раса, функционално състояние по </w:t>
      </w:r>
      <w:r w:rsidRPr="008165FD">
        <w:rPr>
          <w:rFonts w:eastAsia="Times New Roman" w:cs="Arial"/>
          <w:color w:val="000000"/>
          <w:lang w:val="en-US"/>
        </w:rPr>
        <w:t>ECOG</w:t>
      </w:r>
      <w:r w:rsidRPr="00B712C2">
        <w:rPr>
          <w:rFonts w:eastAsia="Times New Roman" w:cs="Arial"/>
          <w:color w:val="000000"/>
          <w:lang w:val="ru-RU"/>
        </w:rPr>
        <w:t xml:space="preserve"> </w:t>
      </w:r>
      <w:r w:rsidRPr="008165FD">
        <w:rPr>
          <w:rFonts w:eastAsia="Times New Roman" w:cs="Arial"/>
          <w:color w:val="000000"/>
          <w:lang w:eastAsia="bg-BG"/>
        </w:rPr>
        <w:t xml:space="preserve">(0 или 1 и 2), изходен </w:t>
      </w:r>
      <w:proofErr w:type="spellStart"/>
      <w:r w:rsidRPr="008165FD">
        <w:rPr>
          <w:rFonts w:eastAsia="Times New Roman" w:cs="Arial"/>
          <w:color w:val="000000"/>
          <w:lang w:eastAsia="bg-BG"/>
        </w:rPr>
        <w:t>цитогенетичен</w:t>
      </w:r>
      <w:proofErr w:type="spellEnd"/>
      <w:r w:rsidRPr="008165FD">
        <w:rPr>
          <w:rFonts w:eastAsia="Times New Roman" w:cs="Arial"/>
          <w:color w:val="000000"/>
          <w:lang w:eastAsia="bg-BG"/>
        </w:rPr>
        <w:t xml:space="preserve"> риск (среден и слаб), географски регион, класификация на ОМЛ според СЗО (включително ОМЛ с промени, свързани с </w:t>
      </w:r>
      <w:proofErr w:type="spellStart"/>
      <w:r w:rsidRPr="008165FD">
        <w:rPr>
          <w:rFonts w:eastAsia="Times New Roman" w:cs="Arial"/>
          <w:color w:val="000000"/>
          <w:lang w:eastAsia="bg-BG"/>
        </w:rPr>
        <w:t>миелодисплазия</w:t>
      </w:r>
      <w:proofErr w:type="spellEnd"/>
      <w:r w:rsidRPr="008165FD">
        <w:rPr>
          <w:rFonts w:eastAsia="Times New Roman" w:cs="Arial"/>
          <w:color w:val="000000"/>
          <w:lang w:eastAsia="bg-BG"/>
        </w:rPr>
        <w:t xml:space="preserve">), изходен брой левкоцити (≤ 5 </w:t>
      </w:r>
      <w:r w:rsidRPr="008165FD">
        <w:rPr>
          <w:rFonts w:eastAsia="Times New Roman" w:cs="Arial"/>
          <w:color w:val="000000"/>
          <w:lang w:val="en-US"/>
        </w:rPr>
        <w:t>X</w:t>
      </w:r>
      <w:r w:rsidRPr="00B712C2">
        <w:rPr>
          <w:rFonts w:eastAsia="Times New Roman" w:cs="Arial"/>
          <w:color w:val="000000"/>
          <w:lang w:val="ru-RU"/>
        </w:rPr>
        <w:t>109/</w:t>
      </w:r>
      <w:r w:rsidRPr="008165FD">
        <w:rPr>
          <w:rFonts w:eastAsia="Times New Roman" w:cs="Arial"/>
          <w:color w:val="000000"/>
          <w:lang w:val="en-US"/>
        </w:rPr>
        <w:t>L</w:t>
      </w:r>
      <w:r w:rsidRPr="00B712C2">
        <w:rPr>
          <w:rFonts w:eastAsia="Times New Roman" w:cs="Arial"/>
          <w:color w:val="000000"/>
          <w:lang w:val="ru-RU"/>
        </w:rPr>
        <w:t xml:space="preserve"> </w:t>
      </w:r>
      <w:r w:rsidRPr="008165FD">
        <w:rPr>
          <w:rFonts w:eastAsia="Times New Roman" w:cs="Arial"/>
          <w:color w:val="000000"/>
          <w:lang w:eastAsia="bg-BG"/>
        </w:rPr>
        <w:t xml:space="preserve">и &gt;5 х </w:t>
      </w:r>
      <w:r w:rsidRPr="00B712C2">
        <w:rPr>
          <w:rFonts w:eastAsia="Times New Roman" w:cs="Arial"/>
          <w:color w:val="000000"/>
          <w:lang w:val="ru-RU"/>
        </w:rPr>
        <w:t>109/</w:t>
      </w:r>
      <w:r w:rsidRPr="008165FD">
        <w:rPr>
          <w:rFonts w:eastAsia="Times New Roman" w:cs="Arial"/>
          <w:color w:val="000000"/>
          <w:lang w:val="en-US"/>
        </w:rPr>
        <w:t>L</w:t>
      </w:r>
      <w:r w:rsidRPr="00B712C2">
        <w:rPr>
          <w:rFonts w:eastAsia="Times New Roman" w:cs="Arial"/>
          <w:color w:val="000000"/>
          <w:lang w:val="ru-RU"/>
        </w:rPr>
        <w:t xml:space="preserve">), </w:t>
      </w:r>
      <w:r w:rsidRPr="008165FD">
        <w:rPr>
          <w:rFonts w:eastAsia="Times New Roman" w:cs="Arial"/>
          <w:color w:val="000000"/>
          <w:lang w:eastAsia="bg-BG"/>
        </w:rPr>
        <w:t xml:space="preserve">изходни </w:t>
      </w:r>
      <w:proofErr w:type="spellStart"/>
      <w:r w:rsidRPr="008165FD">
        <w:rPr>
          <w:rFonts w:eastAsia="Times New Roman" w:cs="Arial"/>
          <w:color w:val="000000"/>
          <w:lang w:eastAsia="bg-BG"/>
        </w:rPr>
        <w:t>костномозъчни</w:t>
      </w:r>
      <w:proofErr w:type="spellEnd"/>
      <w:r w:rsidRPr="008165FD">
        <w:rPr>
          <w:rFonts w:eastAsia="Times New Roman" w:cs="Arial"/>
          <w:color w:val="000000"/>
          <w:lang w:eastAsia="bg-BG"/>
        </w:rPr>
        <w:t xml:space="preserve"> </w:t>
      </w:r>
      <w:proofErr w:type="spellStart"/>
      <w:r w:rsidRPr="008165FD">
        <w:rPr>
          <w:rFonts w:eastAsia="Times New Roman" w:cs="Arial"/>
          <w:color w:val="000000"/>
          <w:lang w:eastAsia="bg-BG"/>
        </w:rPr>
        <w:t>бласти</w:t>
      </w:r>
      <w:proofErr w:type="spellEnd"/>
      <w:r w:rsidRPr="008165FD">
        <w:rPr>
          <w:rFonts w:eastAsia="Times New Roman" w:cs="Arial"/>
          <w:color w:val="000000"/>
          <w:lang w:eastAsia="bg-BG"/>
        </w:rPr>
        <w:t xml:space="preserve"> (≤ 50% и &gt; 50%) и анамнеза за МДС] съществува тенденция за общата преживяемост в полза на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В няколко предварително определени подгрупи общата преживяемост и коефициентът на риск достигат статистическа значимост, като включват пациенти със слаб цитогенен риск, пациенти с ОМЛ със свързани с миелодисплазия промени, пациенти &lt;75 години, пациенти жени и пациенти от бялата раса.</w:t>
      </w:r>
    </w:p>
    <w:p w14:paraId="005008F9" w14:textId="77777777" w:rsidR="008165FD" w:rsidRPr="008165FD" w:rsidRDefault="008165FD" w:rsidP="008165FD">
      <w:pPr>
        <w:spacing w:line="240" w:lineRule="auto"/>
        <w:rPr>
          <w:rFonts w:eastAsia="Times New Roman" w:cs="Arial"/>
          <w:color w:val="000000"/>
          <w:lang w:eastAsia="bg-BG"/>
        </w:rPr>
      </w:pPr>
    </w:p>
    <w:p w14:paraId="09ACB4FD" w14:textId="77777777" w:rsidR="008165FD" w:rsidRPr="008165FD" w:rsidRDefault="008165FD" w:rsidP="008165FD">
      <w:pPr>
        <w:spacing w:line="240" w:lineRule="auto"/>
        <w:rPr>
          <w:rFonts w:eastAsia="Times New Roman" w:cs="Arial"/>
          <w:color w:val="000000"/>
          <w:lang w:eastAsia="bg-BG"/>
        </w:rPr>
      </w:pPr>
      <w:r w:rsidRPr="008165FD">
        <w:rPr>
          <w:rFonts w:eastAsia="Times New Roman" w:cs="Arial"/>
          <w:color w:val="000000"/>
          <w:lang w:eastAsia="bg-BG"/>
        </w:rPr>
        <w:t xml:space="preserve">Хематологичният и </w:t>
      </w:r>
      <w:proofErr w:type="spellStart"/>
      <w:r w:rsidRPr="008165FD">
        <w:rPr>
          <w:rFonts w:eastAsia="Times New Roman" w:cs="Arial"/>
          <w:color w:val="000000"/>
          <w:lang w:eastAsia="bg-BG"/>
        </w:rPr>
        <w:t>цитогенетичният</w:t>
      </w:r>
      <w:proofErr w:type="spellEnd"/>
      <w:r w:rsidRPr="008165FD">
        <w:rPr>
          <w:rFonts w:eastAsia="Times New Roman" w:cs="Arial"/>
          <w:color w:val="000000"/>
          <w:lang w:eastAsia="bg-BG"/>
        </w:rPr>
        <w:t xml:space="preserve"> отговор са оценени от изследователя и от </w:t>
      </w:r>
      <w:r w:rsidRPr="008165FD">
        <w:rPr>
          <w:rFonts w:eastAsia="Times New Roman" w:cs="Arial"/>
          <w:color w:val="000000"/>
          <w:lang w:val="en-US"/>
        </w:rPr>
        <w:t>IRC</w:t>
      </w:r>
      <w:r w:rsidRPr="00B712C2">
        <w:rPr>
          <w:rFonts w:eastAsia="Times New Roman" w:cs="Arial"/>
          <w:color w:val="000000"/>
          <w:lang w:val="ru-RU"/>
        </w:rPr>
        <w:t xml:space="preserve"> </w:t>
      </w:r>
      <w:r w:rsidRPr="008165FD">
        <w:rPr>
          <w:rFonts w:eastAsia="Times New Roman" w:cs="Arial"/>
          <w:color w:val="000000"/>
          <w:lang w:eastAsia="bg-BG"/>
        </w:rPr>
        <w:t xml:space="preserve">със сходни резултати. Общият отговор (пълна ремисия + пълна ремисия с непълно възстановяване на броя кръвни клетки), определен от </w:t>
      </w:r>
      <w:r w:rsidRPr="008165FD">
        <w:rPr>
          <w:rFonts w:eastAsia="Times New Roman" w:cs="Arial"/>
          <w:color w:val="000000"/>
          <w:lang w:val="en-US"/>
        </w:rPr>
        <w:t>IRC</w:t>
      </w:r>
      <w:r w:rsidRPr="00B712C2">
        <w:rPr>
          <w:rFonts w:eastAsia="Times New Roman" w:cs="Arial"/>
          <w:color w:val="000000"/>
          <w:lang w:val="ru-RU"/>
        </w:rPr>
        <w:t xml:space="preserve">, </w:t>
      </w:r>
      <w:r w:rsidRPr="008165FD">
        <w:rPr>
          <w:rFonts w:eastAsia="Times New Roman" w:cs="Arial"/>
          <w:color w:val="000000"/>
          <w:lang w:eastAsia="bg-BG"/>
        </w:rPr>
        <w:t xml:space="preserve">е 27,8% в групата на азацитидин и 25,1% в групата на комбинирана конвенционална терапевтична схема (р = 0,5384). При пациентите, които постигат пълна ремисия или пълна ремисия с непълно възстановяване на броя кръвни клетки, медианата на продължителността на ремисията е </w:t>
      </w:r>
      <w:r w:rsidRPr="008165FD">
        <w:rPr>
          <w:rFonts w:eastAsia="Times New Roman" w:cs="Arial"/>
          <w:color w:val="000000"/>
          <w:lang w:eastAsia="bg-BG"/>
        </w:rPr>
        <w:lastRenderedPageBreak/>
        <w:t>10,4 месеца (95% С1 = 7,2; 15,2) за пациентите на азацитидин и 12,3 месеца (95% С1 = 9,0; 17,0) за пациентите на конвенционална терапевтична схема.</w:t>
      </w:r>
    </w:p>
    <w:p w14:paraId="324BD0D6" w14:textId="1CDA9C59"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Демонстрирана е също полза за преживяемостта при пациенти, които не постигат пълен отговор при азацитидин в сравнение с конвенционалната терапевтична схема.</w:t>
      </w:r>
    </w:p>
    <w:p w14:paraId="044F8ECE" w14:textId="77777777" w:rsidR="008165FD" w:rsidRPr="008165FD" w:rsidRDefault="008165FD" w:rsidP="008165FD">
      <w:pPr>
        <w:spacing w:line="240" w:lineRule="auto"/>
        <w:rPr>
          <w:rFonts w:eastAsia="Times New Roman" w:cs="Arial"/>
          <w:color w:val="000000"/>
          <w:lang w:eastAsia="bg-BG"/>
        </w:rPr>
      </w:pPr>
    </w:p>
    <w:p w14:paraId="21977AAF" w14:textId="3C076F8F"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Лечението с азацитидин подобрява броя на кръвните клетки в периферната кръв и води до понижаване на нуждите от трансфузии на еритроцити и тромбоцити. Даден пациент се смята за зависим от трансфузия на еритроцити или тромбоцити на изходно ниво, ако този пациент е имал една или повече трансфузии на еритроцити или тромбоцити през 56-те дни (8 седмици) респективно до или преди рандомизацията. Даден пациент се смята за независим от трансфузия на еритроцити или тромбоцити по време на периода на лечение, ако този пациент не е имал никакви трансфузии респективно на еритроцити или тромбоцити през нито един от 56-те последователни дни през отчетния период.</w:t>
      </w:r>
    </w:p>
    <w:p w14:paraId="7D44308C" w14:textId="77777777" w:rsidR="008165FD" w:rsidRPr="008165FD" w:rsidRDefault="008165FD" w:rsidP="008165FD">
      <w:pPr>
        <w:spacing w:line="240" w:lineRule="auto"/>
        <w:rPr>
          <w:rFonts w:eastAsia="Times New Roman" w:cs="Arial"/>
          <w:color w:val="000000"/>
          <w:lang w:eastAsia="bg-BG"/>
        </w:rPr>
      </w:pPr>
    </w:p>
    <w:p w14:paraId="4B4A565A" w14:textId="337727F2"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 xml:space="preserve">От пациентите в групата на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които са зависими от трансфузия на еритроцити на изходно ниво, 38,5% (95% </w:t>
      </w:r>
      <w:r w:rsidRPr="008165FD">
        <w:rPr>
          <w:rFonts w:eastAsia="Times New Roman" w:cs="Arial"/>
          <w:color w:val="000000"/>
          <w:lang w:val="en-US"/>
        </w:rPr>
        <w:t>CI</w:t>
      </w:r>
      <w:r w:rsidRPr="00B712C2">
        <w:rPr>
          <w:rFonts w:eastAsia="Times New Roman" w:cs="Arial"/>
          <w:color w:val="000000"/>
          <w:lang w:val="ru-RU"/>
        </w:rPr>
        <w:t xml:space="preserve"> </w:t>
      </w:r>
      <w:r w:rsidRPr="008165FD">
        <w:rPr>
          <w:rFonts w:eastAsia="Times New Roman" w:cs="Arial"/>
          <w:color w:val="000000"/>
          <w:lang w:eastAsia="bg-BG"/>
        </w:rPr>
        <w:t xml:space="preserve">= 31,1; 46,2) стават независими от трансфузия на еритроцити по време на периода на лечението, в сравнение с 27,6% (95% </w:t>
      </w:r>
      <w:r w:rsidRPr="008165FD">
        <w:rPr>
          <w:rFonts w:eastAsia="Times New Roman" w:cs="Arial"/>
          <w:color w:val="000000"/>
          <w:lang w:val="en-US"/>
        </w:rPr>
        <w:t>CI</w:t>
      </w:r>
      <w:r w:rsidRPr="00B712C2">
        <w:rPr>
          <w:rFonts w:eastAsia="Times New Roman" w:cs="Arial"/>
          <w:color w:val="000000"/>
          <w:lang w:val="ru-RU"/>
        </w:rPr>
        <w:t xml:space="preserve"> </w:t>
      </w:r>
      <w:r w:rsidRPr="008165FD">
        <w:rPr>
          <w:rFonts w:eastAsia="Times New Roman" w:cs="Arial"/>
          <w:color w:val="000000"/>
          <w:lang w:eastAsia="bg-BG"/>
        </w:rPr>
        <w:t>= 20,9; 35,1) от пациентите в групите на комбинирана конвенционална терапевтична схема. При пациентите, които са зависими от трансфузия на еритроцити на изходно ниво и постигат независимост от трансфузия с лечението, медианата на продължителност на независимостта от трансфузия на еритроцити е 13,9 месеца в групата на азацитидин и не се достигна в групата на конвенционална терапевтична схема.</w:t>
      </w:r>
    </w:p>
    <w:p w14:paraId="24D5A712" w14:textId="77777777" w:rsidR="008165FD" w:rsidRPr="008165FD" w:rsidRDefault="008165FD" w:rsidP="008165FD">
      <w:pPr>
        <w:spacing w:line="240" w:lineRule="auto"/>
        <w:rPr>
          <w:rFonts w:eastAsia="Times New Roman" w:cs="Arial"/>
          <w:color w:val="000000"/>
          <w:lang w:eastAsia="bg-BG"/>
        </w:rPr>
      </w:pPr>
    </w:p>
    <w:p w14:paraId="7DDF9F2C" w14:textId="654F0DEA"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 xml:space="preserve">От пациентите в групата на азацитидин, които са зависими от трансфузия на тромбоцити на </w:t>
      </w:r>
    </w:p>
    <w:p w14:paraId="7CA299CE" w14:textId="77777777" w:rsidR="008165FD" w:rsidRPr="008165FD" w:rsidRDefault="008165FD" w:rsidP="008165FD">
      <w:pPr>
        <w:rPr>
          <w:rFonts w:eastAsia="Times New Roman" w:cs="Arial"/>
          <w:sz w:val="24"/>
          <w:szCs w:val="24"/>
          <w:lang w:eastAsia="bg-BG"/>
        </w:rPr>
      </w:pPr>
      <w:r w:rsidRPr="008165FD">
        <w:rPr>
          <w:rFonts w:eastAsia="Times New Roman" w:cs="Arial"/>
          <w:color w:val="000000"/>
          <w:lang w:eastAsia="bg-BG"/>
        </w:rPr>
        <w:t xml:space="preserve">изходно ниво, 40,6% (95% </w:t>
      </w:r>
      <w:r w:rsidRPr="008165FD">
        <w:rPr>
          <w:rFonts w:eastAsia="Times New Roman" w:cs="Arial"/>
          <w:color w:val="000000"/>
          <w:lang w:val="en-US"/>
        </w:rPr>
        <w:t>CI</w:t>
      </w:r>
      <w:r w:rsidRPr="00B712C2">
        <w:rPr>
          <w:rFonts w:eastAsia="Times New Roman" w:cs="Arial"/>
          <w:color w:val="000000"/>
          <w:lang w:val="ru-RU"/>
        </w:rPr>
        <w:t xml:space="preserve"> </w:t>
      </w:r>
      <w:r w:rsidRPr="008165FD">
        <w:rPr>
          <w:rFonts w:eastAsia="Times New Roman" w:cs="Arial"/>
          <w:color w:val="000000"/>
          <w:lang w:eastAsia="bg-BG"/>
        </w:rPr>
        <w:t xml:space="preserve">= 30,9; 50,8) стават независими от трансфузия на </w:t>
      </w:r>
      <w:proofErr w:type="spellStart"/>
      <w:r w:rsidRPr="008165FD">
        <w:rPr>
          <w:rFonts w:eastAsia="Times New Roman" w:cs="Arial"/>
          <w:color w:val="000000"/>
          <w:lang w:eastAsia="bg-BG"/>
        </w:rPr>
        <w:t>тромбоцити</w:t>
      </w:r>
      <w:proofErr w:type="spellEnd"/>
      <w:r w:rsidRPr="008165FD">
        <w:rPr>
          <w:rFonts w:eastAsia="Times New Roman" w:cs="Arial"/>
          <w:color w:val="000000"/>
          <w:lang w:eastAsia="bg-BG"/>
        </w:rPr>
        <w:t xml:space="preserve"> по време на периода на лечението, в сравнение с 29,3% (95% </w:t>
      </w:r>
      <w:r w:rsidRPr="008165FD">
        <w:rPr>
          <w:rFonts w:eastAsia="Times New Roman" w:cs="Arial"/>
          <w:color w:val="000000"/>
          <w:lang w:val="en-US"/>
        </w:rPr>
        <w:t>CI</w:t>
      </w:r>
      <w:r w:rsidRPr="00B712C2">
        <w:rPr>
          <w:rFonts w:eastAsia="Times New Roman" w:cs="Arial"/>
          <w:color w:val="000000"/>
          <w:lang w:val="ru-RU"/>
        </w:rPr>
        <w:t xml:space="preserve"> </w:t>
      </w:r>
      <w:r w:rsidRPr="008165FD">
        <w:rPr>
          <w:rFonts w:eastAsia="Times New Roman" w:cs="Arial"/>
          <w:color w:val="000000"/>
          <w:lang w:eastAsia="bg-BG"/>
        </w:rPr>
        <w:t>= 19,7; 40,4) от пациентите в</w:t>
      </w:r>
      <w:r w:rsidRPr="00B712C2">
        <w:rPr>
          <w:rFonts w:eastAsia="Times New Roman" w:cs="Arial"/>
          <w:color w:val="000000"/>
          <w:lang w:val="ru-RU" w:eastAsia="bg-BG"/>
        </w:rPr>
        <w:t xml:space="preserve"> </w:t>
      </w:r>
      <w:r w:rsidRPr="008165FD">
        <w:rPr>
          <w:rFonts w:eastAsia="Times New Roman" w:cs="Arial"/>
          <w:color w:val="000000"/>
          <w:lang w:eastAsia="bg-BG"/>
        </w:rPr>
        <w:t>групите на комбинирана конвенционална терапевтична схема. При пациентите, които са зависими от трансфузия на тромбоцити на изходно ниво и постигат независимост от трансфузия с лечението, медианата на продължителност на независимостта от трансфузия на тромбоцити е 10,8 месеца в групата на азацитидин и 19,2 месеца в групата на конвенционална терапевтична схема.</w:t>
      </w:r>
    </w:p>
    <w:p w14:paraId="3B59C3DD" w14:textId="04F36129" w:rsidR="008165FD" w:rsidRPr="00B712C2" w:rsidRDefault="008165FD" w:rsidP="008165FD">
      <w:pPr>
        <w:rPr>
          <w:rFonts w:cs="Arial"/>
          <w:lang w:val="ru-RU"/>
        </w:rPr>
      </w:pPr>
      <w:r w:rsidRPr="008165FD">
        <w:rPr>
          <w:rFonts w:eastAsia="Times New Roman" w:cs="Arial"/>
          <w:color w:val="000000"/>
          <w:lang w:eastAsia="bg-BG"/>
        </w:rPr>
        <w:t xml:space="preserve">Обусловеното от здравето качество на живот </w:t>
      </w:r>
      <w:r w:rsidRPr="00B712C2">
        <w:rPr>
          <w:rFonts w:eastAsia="Times New Roman" w:cs="Arial"/>
          <w:color w:val="000000"/>
        </w:rPr>
        <w:t>(</w:t>
      </w:r>
      <w:r w:rsidRPr="008165FD">
        <w:rPr>
          <w:rFonts w:eastAsia="Times New Roman" w:cs="Arial"/>
          <w:color w:val="000000"/>
          <w:lang w:val="en-US"/>
        </w:rPr>
        <w:t>Health</w:t>
      </w:r>
      <w:r w:rsidRPr="00B712C2">
        <w:rPr>
          <w:rFonts w:eastAsia="Times New Roman" w:cs="Arial"/>
          <w:color w:val="000000"/>
        </w:rPr>
        <w:t xml:space="preserve">- </w:t>
      </w:r>
      <w:r w:rsidRPr="008165FD">
        <w:rPr>
          <w:rFonts w:eastAsia="Times New Roman" w:cs="Arial"/>
          <w:color w:val="000000"/>
          <w:lang w:val="en-US"/>
        </w:rPr>
        <w:t>Related</w:t>
      </w:r>
      <w:r w:rsidRPr="00B712C2">
        <w:rPr>
          <w:rFonts w:eastAsia="Times New Roman" w:cs="Arial"/>
          <w:color w:val="000000"/>
        </w:rPr>
        <w:t xml:space="preserve"> </w:t>
      </w:r>
      <w:r w:rsidRPr="008165FD">
        <w:rPr>
          <w:rFonts w:eastAsia="Times New Roman" w:cs="Arial"/>
          <w:color w:val="000000"/>
          <w:lang w:val="en-US"/>
        </w:rPr>
        <w:t>Quality</w:t>
      </w:r>
      <w:r w:rsidRPr="00B712C2">
        <w:rPr>
          <w:rFonts w:eastAsia="Times New Roman" w:cs="Arial"/>
          <w:color w:val="000000"/>
        </w:rPr>
        <w:t xml:space="preserve"> </w:t>
      </w:r>
      <w:r w:rsidRPr="008165FD">
        <w:rPr>
          <w:rFonts w:eastAsia="Times New Roman" w:cs="Arial"/>
          <w:color w:val="000000"/>
          <w:lang w:val="en-US"/>
        </w:rPr>
        <w:t>of</w:t>
      </w:r>
      <w:r w:rsidRPr="00B712C2">
        <w:rPr>
          <w:rFonts w:eastAsia="Times New Roman" w:cs="Arial"/>
          <w:color w:val="000000"/>
        </w:rPr>
        <w:t xml:space="preserve"> </w:t>
      </w:r>
      <w:r w:rsidRPr="008165FD">
        <w:rPr>
          <w:rFonts w:eastAsia="Times New Roman" w:cs="Arial"/>
          <w:color w:val="000000"/>
          <w:lang w:val="en-US"/>
        </w:rPr>
        <w:t>Life</w:t>
      </w:r>
      <w:r w:rsidRPr="00B712C2">
        <w:rPr>
          <w:rFonts w:eastAsia="Times New Roman" w:cs="Arial"/>
          <w:color w:val="000000"/>
        </w:rPr>
        <w:t xml:space="preserve">, </w:t>
      </w:r>
      <w:proofErr w:type="spellStart"/>
      <w:r w:rsidRPr="008165FD">
        <w:rPr>
          <w:rFonts w:eastAsia="Times New Roman" w:cs="Arial"/>
          <w:color w:val="000000"/>
          <w:lang w:val="en-US"/>
        </w:rPr>
        <w:t>HRQoL</w:t>
      </w:r>
      <w:proofErr w:type="spellEnd"/>
      <w:r w:rsidRPr="00B712C2">
        <w:rPr>
          <w:rFonts w:eastAsia="Times New Roman" w:cs="Arial"/>
          <w:color w:val="000000"/>
        </w:rPr>
        <w:t xml:space="preserve">) </w:t>
      </w:r>
      <w:r w:rsidRPr="008165FD">
        <w:rPr>
          <w:rFonts w:eastAsia="Times New Roman" w:cs="Arial"/>
          <w:color w:val="000000"/>
          <w:lang w:val="en-US"/>
        </w:rPr>
        <w:t>e</w:t>
      </w:r>
      <w:r w:rsidRPr="00B712C2">
        <w:rPr>
          <w:rFonts w:eastAsia="Times New Roman" w:cs="Arial"/>
          <w:color w:val="000000"/>
        </w:rPr>
        <w:t xml:space="preserve"> </w:t>
      </w:r>
      <w:r w:rsidRPr="008165FD">
        <w:rPr>
          <w:rFonts w:eastAsia="Times New Roman" w:cs="Arial"/>
          <w:color w:val="000000"/>
          <w:lang w:eastAsia="bg-BG"/>
        </w:rPr>
        <w:t xml:space="preserve">оценено, като се използва Основният въпросник за качеството на живот на Европейската организация за изследване и лечение на рака </w:t>
      </w:r>
      <w:r w:rsidRPr="00B712C2">
        <w:rPr>
          <w:rFonts w:eastAsia="Times New Roman" w:cs="Arial"/>
          <w:color w:val="000000"/>
        </w:rPr>
        <w:t>(</w:t>
      </w:r>
      <w:r w:rsidRPr="008165FD">
        <w:rPr>
          <w:rFonts w:eastAsia="Times New Roman" w:cs="Arial"/>
          <w:color w:val="000000"/>
          <w:lang w:val="en-US"/>
        </w:rPr>
        <w:t>European</w:t>
      </w:r>
      <w:r w:rsidRPr="00B712C2">
        <w:rPr>
          <w:rFonts w:eastAsia="Times New Roman" w:cs="Arial"/>
          <w:color w:val="000000"/>
        </w:rPr>
        <w:t xml:space="preserve"> </w:t>
      </w:r>
      <w:r w:rsidRPr="008165FD">
        <w:rPr>
          <w:rFonts w:eastAsia="Times New Roman" w:cs="Arial"/>
          <w:color w:val="000000"/>
          <w:lang w:val="en-US"/>
        </w:rPr>
        <w:t>Organization</w:t>
      </w:r>
      <w:r w:rsidRPr="00B712C2">
        <w:rPr>
          <w:rFonts w:eastAsia="Times New Roman" w:cs="Arial"/>
          <w:color w:val="000000"/>
        </w:rPr>
        <w:t xml:space="preserve"> </w:t>
      </w:r>
      <w:r w:rsidRPr="008165FD">
        <w:rPr>
          <w:rFonts w:eastAsia="Times New Roman" w:cs="Arial"/>
          <w:color w:val="000000"/>
          <w:lang w:val="en-US"/>
        </w:rPr>
        <w:t>for</w:t>
      </w:r>
      <w:r w:rsidRPr="00B712C2">
        <w:rPr>
          <w:rFonts w:eastAsia="Times New Roman" w:cs="Arial"/>
          <w:color w:val="000000"/>
        </w:rPr>
        <w:t xml:space="preserve"> </w:t>
      </w:r>
      <w:r w:rsidRPr="008165FD">
        <w:rPr>
          <w:rFonts w:eastAsia="Times New Roman" w:cs="Arial"/>
          <w:color w:val="000000"/>
          <w:lang w:val="en-US"/>
        </w:rPr>
        <w:t>Research</w:t>
      </w:r>
      <w:r w:rsidRPr="00B712C2">
        <w:rPr>
          <w:rFonts w:eastAsia="Times New Roman" w:cs="Arial"/>
          <w:color w:val="000000"/>
        </w:rPr>
        <w:t xml:space="preserve"> </w:t>
      </w:r>
      <w:r w:rsidRPr="008165FD">
        <w:rPr>
          <w:rFonts w:eastAsia="Times New Roman" w:cs="Arial"/>
          <w:color w:val="000000"/>
          <w:lang w:val="en-US"/>
        </w:rPr>
        <w:t>and</w:t>
      </w:r>
      <w:r w:rsidRPr="00B712C2">
        <w:rPr>
          <w:rFonts w:eastAsia="Times New Roman" w:cs="Arial"/>
          <w:color w:val="000000"/>
        </w:rPr>
        <w:t xml:space="preserve"> </w:t>
      </w:r>
      <w:r w:rsidRPr="008165FD">
        <w:rPr>
          <w:rFonts w:eastAsia="Times New Roman" w:cs="Arial"/>
          <w:color w:val="000000"/>
          <w:lang w:val="en-US"/>
        </w:rPr>
        <w:t>Treatment</w:t>
      </w:r>
      <w:r w:rsidRPr="00B712C2">
        <w:rPr>
          <w:rFonts w:eastAsia="Times New Roman" w:cs="Arial"/>
          <w:color w:val="000000"/>
        </w:rPr>
        <w:t xml:space="preserve"> </w:t>
      </w:r>
      <w:r w:rsidRPr="008165FD">
        <w:rPr>
          <w:rFonts w:eastAsia="Times New Roman" w:cs="Arial"/>
          <w:color w:val="000000"/>
          <w:lang w:val="en-US"/>
        </w:rPr>
        <w:t>of</w:t>
      </w:r>
      <w:r w:rsidRPr="00B712C2">
        <w:rPr>
          <w:rFonts w:eastAsia="Times New Roman" w:cs="Arial"/>
          <w:color w:val="000000"/>
        </w:rPr>
        <w:t xml:space="preserve"> </w:t>
      </w:r>
      <w:r w:rsidRPr="008165FD">
        <w:rPr>
          <w:rFonts w:eastAsia="Times New Roman" w:cs="Arial"/>
          <w:color w:val="000000"/>
          <w:lang w:val="en-US"/>
        </w:rPr>
        <w:t>Cancer</w:t>
      </w:r>
      <w:r w:rsidRPr="00B712C2">
        <w:rPr>
          <w:rFonts w:eastAsia="Times New Roman" w:cs="Arial"/>
          <w:color w:val="000000"/>
        </w:rPr>
        <w:t xml:space="preserve"> </w:t>
      </w:r>
      <w:r w:rsidRPr="008165FD">
        <w:rPr>
          <w:rFonts w:eastAsia="Times New Roman" w:cs="Arial"/>
          <w:color w:val="000000"/>
          <w:lang w:val="en-US"/>
        </w:rPr>
        <w:t>Core</w:t>
      </w:r>
      <w:r w:rsidRPr="00B712C2">
        <w:rPr>
          <w:rFonts w:eastAsia="Times New Roman" w:cs="Arial"/>
          <w:color w:val="000000"/>
        </w:rPr>
        <w:t xml:space="preserve"> </w:t>
      </w:r>
      <w:r w:rsidRPr="008165FD">
        <w:rPr>
          <w:rFonts w:eastAsia="Times New Roman" w:cs="Arial"/>
          <w:color w:val="000000"/>
          <w:lang w:val="en-US"/>
        </w:rPr>
        <w:t>Quality</w:t>
      </w:r>
      <w:r w:rsidRPr="00B712C2">
        <w:rPr>
          <w:rFonts w:eastAsia="Times New Roman" w:cs="Arial"/>
          <w:color w:val="000000"/>
        </w:rPr>
        <w:t xml:space="preserve"> </w:t>
      </w:r>
      <w:r w:rsidRPr="008165FD">
        <w:rPr>
          <w:rFonts w:eastAsia="Times New Roman" w:cs="Arial"/>
          <w:color w:val="000000"/>
          <w:lang w:val="en-US"/>
        </w:rPr>
        <w:t>of</w:t>
      </w:r>
      <w:r w:rsidRPr="00B712C2">
        <w:rPr>
          <w:rFonts w:eastAsia="Times New Roman" w:cs="Arial"/>
          <w:color w:val="000000"/>
        </w:rPr>
        <w:t xml:space="preserve"> </w:t>
      </w:r>
      <w:r w:rsidRPr="008165FD">
        <w:rPr>
          <w:rFonts w:eastAsia="Times New Roman" w:cs="Arial"/>
          <w:color w:val="000000"/>
          <w:lang w:val="en-US"/>
        </w:rPr>
        <w:t>Life</w:t>
      </w:r>
      <w:r w:rsidRPr="00B712C2">
        <w:rPr>
          <w:rFonts w:eastAsia="Times New Roman" w:cs="Arial"/>
          <w:color w:val="000000"/>
        </w:rPr>
        <w:t xml:space="preserve"> </w:t>
      </w:r>
      <w:r w:rsidRPr="008165FD">
        <w:rPr>
          <w:rFonts w:eastAsia="Times New Roman" w:cs="Arial"/>
          <w:color w:val="000000"/>
          <w:lang w:val="en-US"/>
        </w:rPr>
        <w:t>Questionnaire</w:t>
      </w:r>
      <w:r w:rsidRPr="00B712C2">
        <w:rPr>
          <w:rFonts w:eastAsia="Times New Roman" w:cs="Arial"/>
          <w:color w:val="000000"/>
        </w:rPr>
        <w:t xml:space="preserve">, </w:t>
      </w:r>
      <w:r w:rsidRPr="008165FD">
        <w:rPr>
          <w:rFonts w:eastAsia="Times New Roman" w:cs="Arial"/>
          <w:color w:val="000000"/>
          <w:lang w:val="en-US"/>
        </w:rPr>
        <w:t>EORTC</w:t>
      </w:r>
      <w:r w:rsidRPr="00B712C2">
        <w:rPr>
          <w:rFonts w:eastAsia="Times New Roman" w:cs="Arial"/>
          <w:color w:val="000000"/>
        </w:rPr>
        <w:t xml:space="preserve"> </w:t>
      </w:r>
      <w:r w:rsidRPr="008165FD">
        <w:rPr>
          <w:rFonts w:eastAsia="Times New Roman" w:cs="Arial"/>
          <w:color w:val="000000"/>
          <w:lang w:val="en-US"/>
        </w:rPr>
        <w:t>QLQ</w:t>
      </w:r>
      <w:r w:rsidRPr="00B712C2">
        <w:rPr>
          <w:rFonts w:eastAsia="Times New Roman" w:cs="Arial"/>
          <w:color w:val="000000"/>
        </w:rPr>
        <w:t>-</w:t>
      </w:r>
      <w:r w:rsidRPr="008165FD">
        <w:rPr>
          <w:rFonts w:eastAsia="Times New Roman" w:cs="Arial"/>
          <w:color w:val="000000"/>
          <w:lang w:val="en-US"/>
        </w:rPr>
        <w:t>C</w:t>
      </w:r>
      <w:r w:rsidRPr="00B712C2">
        <w:rPr>
          <w:rFonts w:eastAsia="Times New Roman" w:cs="Arial"/>
          <w:color w:val="000000"/>
        </w:rPr>
        <w:t xml:space="preserve">30). </w:t>
      </w:r>
      <w:r w:rsidRPr="008165FD">
        <w:rPr>
          <w:rFonts w:eastAsia="Times New Roman" w:cs="Arial"/>
          <w:color w:val="000000"/>
          <w:lang w:eastAsia="bg-BG"/>
        </w:rPr>
        <w:t xml:space="preserve">Данните за </w:t>
      </w:r>
      <w:proofErr w:type="spellStart"/>
      <w:r w:rsidRPr="008165FD">
        <w:rPr>
          <w:rFonts w:eastAsia="Times New Roman" w:cs="Arial"/>
          <w:color w:val="000000"/>
          <w:lang w:val="en-US"/>
        </w:rPr>
        <w:t>HRQoL</w:t>
      </w:r>
      <w:proofErr w:type="spellEnd"/>
      <w:r w:rsidRPr="00B712C2">
        <w:rPr>
          <w:rFonts w:eastAsia="Times New Roman" w:cs="Arial"/>
          <w:color w:val="000000"/>
          <w:lang w:val="ru-RU"/>
        </w:rPr>
        <w:t xml:space="preserve"> </w:t>
      </w:r>
      <w:r w:rsidRPr="008165FD">
        <w:rPr>
          <w:rFonts w:eastAsia="Times New Roman" w:cs="Arial"/>
          <w:color w:val="000000"/>
          <w:lang w:eastAsia="bg-BG"/>
        </w:rPr>
        <w:t xml:space="preserve">биха могли да бъдат анализирани за подгрупа от цялата популация за изпитването. Въпреки ограниченията при анализа, наличните данни предполагат, че пациентите не претърпяват значимо влошаване на качеството на живот по време на лечението с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w:t>
      </w:r>
    </w:p>
    <w:p w14:paraId="26619E28" w14:textId="77777777" w:rsidR="008165FD" w:rsidRPr="0091385D" w:rsidRDefault="008165F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770AC5FD" w14:textId="77777777" w:rsidR="008165FD" w:rsidRPr="00D277C3" w:rsidRDefault="008165FD" w:rsidP="00D277C3">
      <w:pPr>
        <w:pStyle w:val="Heading3"/>
        <w:rPr>
          <w:color w:val="auto"/>
          <w:u w:val="single"/>
        </w:rPr>
      </w:pPr>
      <w:r w:rsidRPr="00D277C3">
        <w:rPr>
          <w:u w:val="single"/>
        </w:rPr>
        <w:t>Абсорбция</w:t>
      </w:r>
    </w:p>
    <w:p w14:paraId="735A61A2" w14:textId="77777777" w:rsidR="008165FD" w:rsidRDefault="008165FD" w:rsidP="008165FD">
      <w:r>
        <w:t xml:space="preserve">След подкожно приложение на единична доза 75 </w:t>
      </w:r>
      <w:r>
        <w:rPr>
          <w:lang w:val="en-US"/>
        </w:rPr>
        <w:t>mg</w:t>
      </w:r>
      <w:r w:rsidRPr="00B712C2">
        <w:rPr>
          <w:lang w:val="ru-RU"/>
        </w:rPr>
        <w:t>/</w:t>
      </w:r>
      <w:r>
        <w:rPr>
          <w:lang w:val="en-US"/>
        </w:rPr>
        <w:t>m</w:t>
      </w:r>
      <w:r w:rsidRPr="00B712C2">
        <w:rPr>
          <w:vertAlign w:val="superscript"/>
          <w:lang w:val="ru-RU"/>
        </w:rPr>
        <w:t>2</w:t>
      </w:r>
      <w:r w:rsidRPr="00B712C2">
        <w:rPr>
          <w:lang w:val="ru-RU"/>
        </w:rPr>
        <w:t xml:space="preserve">, </w:t>
      </w:r>
      <w:proofErr w:type="spellStart"/>
      <w:r>
        <w:t>азацитидин</w:t>
      </w:r>
      <w:proofErr w:type="spellEnd"/>
      <w:r>
        <w:t xml:space="preserve"> се абсорбира бързо с върхови плазмени концентрации 750 ± 403 </w:t>
      </w:r>
      <w:r>
        <w:rPr>
          <w:lang w:val="en-US"/>
        </w:rPr>
        <w:t>ng</w:t>
      </w:r>
      <w:r w:rsidRPr="00B712C2">
        <w:rPr>
          <w:lang w:val="ru-RU"/>
        </w:rPr>
        <w:t>/</w:t>
      </w:r>
      <w:r>
        <w:rPr>
          <w:lang w:val="en-US"/>
        </w:rPr>
        <w:t>ml</w:t>
      </w:r>
      <w:r w:rsidRPr="00B712C2">
        <w:rPr>
          <w:lang w:val="ru-RU"/>
        </w:rPr>
        <w:t xml:space="preserve"> </w:t>
      </w:r>
      <w:r>
        <w:t xml:space="preserve">които се достигат 1/2 час след прилагане на дозата (момент на вземане на първите проби). Абсолютната бионаличност на </w:t>
      </w:r>
      <w:proofErr w:type="spellStart"/>
      <w:r>
        <w:t>азацитидин</w:t>
      </w:r>
      <w:proofErr w:type="spellEnd"/>
      <w:r>
        <w:t xml:space="preserve"> след подкожно приложение в сравнение с интравенозно приложение (единични дози от 75 </w:t>
      </w:r>
      <w:r>
        <w:rPr>
          <w:lang w:val="en-US"/>
        </w:rPr>
        <w:t>mg</w:t>
      </w:r>
      <w:r w:rsidRPr="00B712C2">
        <w:rPr>
          <w:lang w:val="ru-RU"/>
        </w:rPr>
        <w:t>/</w:t>
      </w:r>
      <w:r>
        <w:rPr>
          <w:lang w:val="en-US"/>
        </w:rPr>
        <w:t>m</w:t>
      </w:r>
      <w:r w:rsidRPr="00B712C2">
        <w:rPr>
          <w:vertAlign w:val="superscript"/>
          <w:lang w:val="ru-RU"/>
        </w:rPr>
        <w:t>2</w:t>
      </w:r>
      <w:r w:rsidRPr="00B712C2">
        <w:rPr>
          <w:lang w:val="ru-RU"/>
        </w:rPr>
        <w:t xml:space="preserve">) </w:t>
      </w:r>
      <w:r>
        <w:t xml:space="preserve">е била около 89% по данни за площта под кривата </w:t>
      </w:r>
      <w:r w:rsidRPr="00B712C2">
        <w:rPr>
          <w:lang w:val="ru-RU"/>
        </w:rPr>
        <w:t>(</w:t>
      </w:r>
      <w:r>
        <w:rPr>
          <w:lang w:val="en-US"/>
        </w:rPr>
        <w:t>AUC</w:t>
      </w:r>
      <w:r w:rsidRPr="00B712C2">
        <w:rPr>
          <w:lang w:val="ru-RU"/>
        </w:rPr>
        <w:t>).</w:t>
      </w:r>
    </w:p>
    <w:p w14:paraId="087234F5" w14:textId="77777777" w:rsidR="008165FD" w:rsidRDefault="008165FD" w:rsidP="008165FD"/>
    <w:p w14:paraId="6D608540" w14:textId="3107847B" w:rsidR="008165FD" w:rsidRDefault="008165FD" w:rsidP="008165FD">
      <w:r>
        <w:t>Площта под кривата и максималната плазмена концентрация (С</w:t>
      </w:r>
      <w:r>
        <w:rPr>
          <w:lang w:val="en-US"/>
        </w:rPr>
        <w:t>m</w:t>
      </w:r>
      <w:r>
        <w:t xml:space="preserve">ах) при подкожно приложение на </w:t>
      </w:r>
      <w:proofErr w:type="spellStart"/>
      <w:r>
        <w:t>азацитидин</w:t>
      </w:r>
      <w:proofErr w:type="spellEnd"/>
      <w:r>
        <w:t xml:space="preserve"> са приблизително пропорционални в рамките на </w:t>
      </w:r>
      <w:proofErr w:type="spellStart"/>
      <w:r>
        <w:t>дозовия</w:t>
      </w:r>
      <w:proofErr w:type="spellEnd"/>
      <w:r>
        <w:t xml:space="preserve"> диапазон от 25 до 100 </w:t>
      </w:r>
      <w:r>
        <w:rPr>
          <w:lang w:val="en-US"/>
        </w:rPr>
        <w:t>mg</w:t>
      </w:r>
      <w:r w:rsidRPr="00B712C2">
        <w:rPr>
          <w:lang w:val="ru-RU"/>
        </w:rPr>
        <w:t>/</w:t>
      </w:r>
      <w:r>
        <w:rPr>
          <w:lang w:val="en-US"/>
        </w:rPr>
        <w:t>m</w:t>
      </w:r>
      <w:r w:rsidRPr="00B712C2">
        <w:rPr>
          <w:vertAlign w:val="superscript"/>
          <w:lang w:val="ru-RU"/>
        </w:rPr>
        <w:t>2</w:t>
      </w:r>
      <w:r w:rsidRPr="00B712C2">
        <w:rPr>
          <w:lang w:val="ru-RU"/>
        </w:rPr>
        <w:t>.</w:t>
      </w:r>
    </w:p>
    <w:p w14:paraId="2DA86A6C" w14:textId="77777777" w:rsidR="008165FD" w:rsidRDefault="008165FD" w:rsidP="008165FD">
      <w:pPr>
        <w:rPr>
          <w:u w:val="single"/>
        </w:rPr>
      </w:pPr>
    </w:p>
    <w:p w14:paraId="2AE4DCC4" w14:textId="5F17C333" w:rsidR="008165FD" w:rsidRPr="00D277C3" w:rsidRDefault="008165FD" w:rsidP="00D277C3">
      <w:pPr>
        <w:pStyle w:val="Heading3"/>
        <w:rPr>
          <w:color w:val="auto"/>
          <w:u w:val="single"/>
        </w:rPr>
      </w:pPr>
      <w:r w:rsidRPr="00D277C3">
        <w:rPr>
          <w:u w:val="single"/>
        </w:rPr>
        <w:t>Разпределение</w:t>
      </w:r>
    </w:p>
    <w:p w14:paraId="28F61010" w14:textId="77777777" w:rsidR="008165FD" w:rsidRDefault="008165FD" w:rsidP="008165FD">
      <w:r>
        <w:t xml:space="preserve">След интравенозно прилагане на дозата, средният обем на разпределение е бил 76 ± 26 1, а системният клирънс е бил 147 ± 47 </w:t>
      </w:r>
      <w:r>
        <w:rPr>
          <w:lang w:val="en-US"/>
        </w:rPr>
        <w:t>l</w:t>
      </w:r>
      <w:r w:rsidRPr="00B712C2">
        <w:rPr>
          <w:lang w:val="ru-RU"/>
        </w:rPr>
        <w:t>/</w:t>
      </w:r>
      <w:r>
        <w:rPr>
          <w:lang w:val="en-US"/>
        </w:rPr>
        <w:t>h</w:t>
      </w:r>
      <w:r w:rsidRPr="00B712C2">
        <w:rPr>
          <w:lang w:val="ru-RU"/>
        </w:rPr>
        <w:t>.</w:t>
      </w:r>
    </w:p>
    <w:p w14:paraId="09A6CD1F" w14:textId="77777777" w:rsidR="008165FD" w:rsidRDefault="008165FD" w:rsidP="008165FD">
      <w:pPr>
        <w:rPr>
          <w:u w:val="single"/>
        </w:rPr>
      </w:pPr>
    </w:p>
    <w:p w14:paraId="02D30CE2" w14:textId="69D41E99" w:rsidR="008165FD" w:rsidRPr="00D277C3" w:rsidRDefault="008165FD" w:rsidP="00D277C3">
      <w:pPr>
        <w:pStyle w:val="Heading3"/>
        <w:rPr>
          <w:color w:val="auto"/>
          <w:u w:val="single"/>
        </w:rPr>
      </w:pPr>
      <w:r w:rsidRPr="00D277C3">
        <w:rPr>
          <w:u w:val="single"/>
        </w:rPr>
        <w:t>Биотрансформация</w:t>
      </w:r>
    </w:p>
    <w:p w14:paraId="75A1F01F" w14:textId="77777777" w:rsidR="008165FD" w:rsidRDefault="008165FD" w:rsidP="008165FD">
      <w:r>
        <w:t xml:space="preserve">Въз основа на данните от </w:t>
      </w:r>
      <w:r>
        <w:rPr>
          <w:i/>
          <w:iCs/>
          <w:lang w:val="en-US"/>
        </w:rPr>
        <w:t>in</w:t>
      </w:r>
      <w:r w:rsidRPr="00B712C2">
        <w:rPr>
          <w:i/>
          <w:iCs/>
          <w:lang w:val="ru-RU"/>
        </w:rPr>
        <w:t xml:space="preserve"> </w:t>
      </w:r>
      <w:r>
        <w:rPr>
          <w:i/>
          <w:iCs/>
          <w:lang w:val="en-US"/>
        </w:rPr>
        <w:t>vitro</w:t>
      </w:r>
      <w:r w:rsidRPr="00B712C2">
        <w:rPr>
          <w:lang w:val="ru-RU"/>
        </w:rPr>
        <w:t xml:space="preserve"> </w:t>
      </w:r>
      <w:r>
        <w:t xml:space="preserve">проучвания, метаболизмът на </w:t>
      </w:r>
      <w:proofErr w:type="spellStart"/>
      <w:r>
        <w:t>азацитидин</w:t>
      </w:r>
      <w:proofErr w:type="spellEnd"/>
      <w:r>
        <w:t xml:space="preserve"> не изглежда осъществен от </w:t>
      </w:r>
      <w:proofErr w:type="spellStart"/>
      <w:r>
        <w:t>изоензимите</w:t>
      </w:r>
      <w:proofErr w:type="spellEnd"/>
      <w:r>
        <w:t xml:space="preserve"> на </w:t>
      </w:r>
      <w:proofErr w:type="spellStart"/>
      <w:r>
        <w:t>цитохром</w:t>
      </w:r>
      <w:proofErr w:type="spellEnd"/>
      <w:r>
        <w:t xml:space="preserve"> Р450, </w:t>
      </w:r>
      <w:r>
        <w:rPr>
          <w:lang w:val="en-US"/>
        </w:rPr>
        <w:t>UDP</w:t>
      </w:r>
      <w:r>
        <w:t>-</w:t>
      </w:r>
      <w:proofErr w:type="spellStart"/>
      <w:r>
        <w:t>глюкуронозилтрансферазите</w:t>
      </w:r>
      <w:proofErr w:type="spellEnd"/>
      <w:r>
        <w:t xml:space="preserve"> </w:t>
      </w:r>
      <w:r w:rsidRPr="00B712C2">
        <w:rPr>
          <w:lang w:val="ru-RU"/>
        </w:rPr>
        <w:t>(</w:t>
      </w:r>
      <w:r>
        <w:rPr>
          <w:lang w:val="en-US"/>
        </w:rPr>
        <w:t>UGTs</w:t>
      </w:r>
      <w:r w:rsidRPr="00B712C2">
        <w:rPr>
          <w:lang w:val="ru-RU"/>
        </w:rPr>
        <w:t xml:space="preserve">), </w:t>
      </w:r>
      <w:proofErr w:type="spellStart"/>
      <w:r>
        <w:t>сулфотрансферазите</w:t>
      </w:r>
      <w:proofErr w:type="spellEnd"/>
      <w:r>
        <w:t xml:space="preserve">, и </w:t>
      </w:r>
      <w:proofErr w:type="spellStart"/>
      <w:r>
        <w:t>глутатион-трансферазите</w:t>
      </w:r>
      <w:proofErr w:type="spellEnd"/>
      <w:r>
        <w:t>.</w:t>
      </w:r>
    </w:p>
    <w:p w14:paraId="12673922" w14:textId="77777777" w:rsidR="008165FD" w:rsidRDefault="008165FD" w:rsidP="008165FD"/>
    <w:p w14:paraId="6085D40B" w14:textId="20665F6A" w:rsidR="008165FD" w:rsidRDefault="008165FD" w:rsidP="008165FD">
      <w:r>
        <w:t xml:space="preserve">Азацитидин претърпява спонтанна хидролиза и дезаминиране, медиирано от цитидин дезаминазата. В човешки чернодробни </w:t>
      </w:r>
      <w:r>
        <w:rPr>
          <w:lang w:val="en-US"/>
        </w:rPr>
        <w:t>S</w:t>
      </w:r>
      <w:r w:rsidRPr="00B712C2">
        <w:rPr>
          <w:lang w:val="ru-RU"/>
        </w:rPr>
        <w:t>9</w:t>
      </w:r>
      <w:r>
        <w:t xml:space="preserve">фракции формирането на метаболитите е независимо от </w:t>
      </w:r>
      <w:r>
        <w:rPr>
          <w:lang w:val="en-US"/>
        </w:rPr>
        <w:t>NADPH</w:t>
      </w:r>
      <w:r w:rsidRPr="00B712C2">
        <w:rPr>
          <w:lang w:val="ru-RU"/>
        </w:rPr>
        <w:t xml:space="preserve">, </w:t>
      </w:r>
      <w:r>
        <w:t xml:space="preserve">което предполага, че метаболизмът на азацитидин не е медииран от изоензимите на цитохром Р450. </w:t>
      </w:r>
      <w:r>
        <w:rPr>
          <w:i/>
          <w:iCs/>
          <w:lang w:val="en-US"/>
        </w:rPr>
        <w:t>In</w:t>
      </w:r>
      <w:r w:rsidRPr="00B712C2">
        <w:rPr>
          <w:i/>
          <w:iCs/>
          <w:lang w:val="ru-RU"/>
        </w:rPr>
        <w:t xml:space="preserve"> </w:t>
      </w:r>
      <w:r>
        <w:rPr>
          <w:i/>
          <w:iCs/>
          <w:lang w:val="en-US"/>
        </w:rPr>
        <w:t>vitro</w:t>
      </w:r>
      <w:r w:rsidRPr="00B712C2">
        <w:rPr>
          <w:lang w:val="ru-RU"/>
        </w:rPr>
        <w:t xml:space="preserve"> </w:t>
      </w:r>
      <w:r>
        <w:t xml:space="preserve">проучване на </w:t>
      </w:r>
      <w:proofErr w:type="spellStart"/>
      <w:r>
        <w:t>азацитидин</w:t>
      </w:r>
      <w:proofErr w:type="spellEnd"/>
      <w:r>
        <w:t xml:space="preserve"> в култури от човешки </w:t>
      </w:r>
      <w:proofErr w:type="spellStart"/>
      <w:r>
        <w:t>хепатоцити</w:t>
      </w:r>
      <w:proofErr w:type="spellEnd"/>
      <w:r>
        <w:t xml:space="preserve"> показва, че при концентрации от 1,0 </w:t>
      </w:r>
      <w:proofErr w:type="spellStart"/>
      <w:r>
        <w:t>μМ</w:t>
      </w:r>
      <w:proofErr w:type="spellEnd"/>
      <w:r>
        <w:t xml:space="preserve"> до 100 </w:t>
      </w:r>
      <w:proofErr w:type="spellStart"/>
      <w:r>
        <w:t>μМ</w:t>
      </w:r>
      <w:proofErr w:type="spellEnd"/>
      <w:r>
        <w:t xml:space="preserve"> (т.е. до концентрации около 30 пъти по-високи от достижимите в клинични условия), </w:t>
      </w:r>
      <w:proofErr w:type="spellStart"/>
      <w:r>
        <w:t>азацитидин</w:t>
      </w:r>
      <w:proofErr w:type="spellEnd"/>
      <w:r>
        <w:t xml:space="preserve"> не индуцира </w:t>
      </w:r>
      <w:r>
        <w:rPr>
          <w:lang w:val="en-US"/>
        </w:rPr>
        <w:t>CYP</w:t>
      </w:r>
      <w:r w:rsidRPr="00B712C2">
        <w:rPr>
          <w:lang w:val="ru-RU"/>
        </w:rPr>
        <w:t xml:space="preserve"> </w:t>
      </w:r>
      <w:r>
        <w:t xml:space="preserve">1А2,2С19, ЗА4 или ЗА5. При проучвания за оценка на инхибирането на поредица от Р450 </w:t>
      </w:r>
      <w:proofErr w:type="spellStart"/>
      <w:r>
        <w:t>изоензими</w:t>
      </w:r>
      <w:proofErr w:type="spellEnd"/>
      <w:r>
        <w:t xml:space="preserve"> </w:t>
      </w:r>
      <w:r w:rsidRPr="00B712C2">
        <w:rPr>
          <w:lang w:val="ru-RU"/>
        </w:rPr>
        <w:t>(</w:t>
      </w:r>
      <w:r>
        <w:rPr>
          <w:lang w:val="en-US"/>
        </w:rPr>
        <w:t>CYP</w:t>
      </w:r>
      <w:r w:rsidRPr="00B712C2">
        <w:rPr>
          <w:lang w:val="ru-RU"/>
        </w:rPr>
        <w:t xml:space="preserve"> </w:t>
      </w:r>
      <w:r>
        <w:t xml:space="preserve">1А2,2В6,2С8, 2С9, 2С19, </w:t>
      </w:r>
      <w:r w:rsidRPr="00B712C2">
        <w:rPr>
          <w:lang w:val="ru-RU"/>
        </w:rPr>
        <w:t>2</w:t>
      </w:r>
      <w:r>
        <w:rPr>
          <w:lang w:val="en-US"/>
        </w:rPr>
        <w:t>D</w:t>
      </w:r>
      <w:r w:rsidRPr="00B712C2">
        <w:rPr>
          <w:lang w:val="ru-RU"/>
        </w:rPr>
        <w:t xml:space="preserve">6, </w:t>
      </w:r>
      <w:r>
        <w:t xml:space="preserve">2Е1 и ЗА4) </w:t>
      </w:r>
      <w:proofErr w:type="spellStart"/>
      <w:r>
        <w:t>азацитидин</w:t>
      </w:r>
      <w:proofErr w:type="spellEnd"/>
      <w:r>
        <w:t xml:space="preserve"> до 100 </w:t>
      </w:r>
      <w:proofErr w:type="spellStart"/>
      <w:r>
        <w:t>μМ</w:t>
      </w:r>
      <w:proofErr w:type="spellEnd"/>
      <w:r>
        <w:t xml:space="preserve"> </w:t>
      </w:r>
      <w:r w:rsidRPr="00B712C2">
        <w:rPr>
          <w:lang w:val="ru-RU"/>
        </w:rPr>
        <w:t xml:space="preserve"> </w:t>
      </w:r>
      <w:r>
        <w:t xml:space="preserve">не води до инхибиране. Следователно </w:t>
      </w:r>
      <w:r>
        <w:rPr>
          <w:lang w:val="en-US"/>
        </w:rPr>
        <w:t>CYP</w:t>
      </w:r>
      <w:r w:rsidRPr="00B712C2">
        <w:rPr>
          <w:lang w:val="ru-RU"/>
        </w:rPr>
        <w:t xml:space="preserve"> </w:t>
      </w:r>
      <w:r>
        <w:t xml:space="preserve">ензимното индуциране или инхибиране от </w:t>
      </w:r>
      <w:proofErr w:type="spellStart"/>
      <w:r>
        <w:t>азацитидин</w:t>
      </w:r>
      <w:proofErr w:type="spellEnd"/>
      <w:r>
        <w:t xml:space="preserve"> в достижими при клинични условия плазмени концентрации е малко вероятно.</w:t>
      </w:r>
    </w:p>
    <w:p w14:paraId="52BAF84A" w14:textId="77777777" w:rsidR="008165FD" w:rsidRDefault="008165FD" w:rsidP="008165FD">
      <w:pPr>
        <w:rPr>
          <w:u w:val="single"/>
        </w:rPr>
      </w:pPr>
    </w:p>
    <w:p w14:paraId="09248171" w14:textId="3AB1D166" w:rsidR="008165FD" w:rsidRPr="00D277C3" w:rsidRDefault="008165FD" w:rsidP="00D277C3">
      <w:pPr>
        <w:pStyle w:val="Heading3"/>
        <w:rPr>
          <w:color w:val="auto"/>
          <w:u w:val="single"/>
        </w:rPr>
      </w:pPr>
      <w:r w:rsidRPr="00D277C3">
        <w:rPr>
          <w:u w:val="single"/>
        </w:rPr>
        <w:t>Елиминиране</w:t>
      </w:r>
    </w:p>
    <w:p w14:paraId="4C0F04B9" w14:textId="77777777" w:rsidR="008165FD" w:rsidRPr="008165FD" w:rsidRDefault="008165FD" w:rsidP="008165FD">
      <w:pPr>
        <w:rPr>
          <w:rFonts w:eastAsia="Times New Roman" w:cs="Arial"/>
          <w:sz w:val="24"/>
          <w:szCs w:val="24"/>
          <w:lang w:eastAsia="bg-BG"/>
        </w:rPr>
      </w:pPr>
      <w:proofErr w:type="spellStart"/>
      <w:r>
        <w:t>Азацитидин</w:t>
      </w:r>
      <w:proofErr w:type="spellEnd"/>
      <w:r>
        <w:t xml:space="preserve"> се изчиства бързо от плазмата със среден полуживот на елиминиране </w:t>
      </w:r>
      <w:r w:rsidRPr="00B712C2">
        <w:rPr>
          <w:lang w:val="ru-RU"/>
        </w:rPr>
        <w:t>(</w:t>
      </w:r>
      <w:r>
        <w:rPr>
          <w:lang w:val="en-US"/>
        </w:rPr>
        <w:t>t</w:t>
      </w:r>
      <w:r w:rsidRPr="00B712C2">
        <w:rPr>
          <w:vertAlign w:val="subscript"/>
          <w:lang w:val="ru-RU"/>
        </w:rPr>
        <w:t>1/2</w:t>
      </w:r>
      <w:r w:rsidRPr="00B712C2">
        <w:rPr>
          <w:lang w:val="ru-RU"/>
        </w:rPr>
        <w:t xml:space="preserve">) </w:t>
      </w:r>
      <w:r>
        <w:t xml:space="preserve">след подкожно приложение от 41 ± 8 минути. След подкожно приложение от 75 </w:t>
      </w:r>
      <w:r>
        <w:rPr>
          <w:lang w:val="en-US"/>
        </w:rPr>
        <w:t>mg</w:t>
      </w:r>
      <w:r w:rsidRPr="00B712C2">
        <w:rPr>
          <w:lang w:val="ru-RU"/>
        </w:rPr>
        <w:t>/</w:t>
      </w:r>
      <w:r>
        <w:rPr>
          <w:lang w:val="en-US"/>
        </w:rPr>
        <w:t>m</w:t>
      </w:r>
      <w:r w:rsidRPr="00B712C2">
        <w:rPr>
          <w:vertAlign w:val="superscript"/>
          <w:lang w:val="ru-RU"/>
        </w:rPr>
        <w:t>2</w:t>
      </w:r>
      <w:r w:rsidRPr="00B712C2">
        <w:rPr>
          <w:lang w:val="ru-RU"/>
        </w:rPr>
        <w:t xml:space="preserve"> </w:t>
      </w:r>
      <w:proofErr w:type="spellStart"/>
      <w:r>
        <w:t>азацитидин</w:t>
      </w:r>
      <w:proofErr w:type="spellEnd"/>
      <w:r>
        <w:t xml:space="preserve"> веднъж дневно в продължение на 7 дни не настъпва кумулация. Основният път на елиминиране на азацитидин и/или неговите метаболити е екскреция с урината. След интравенозно и</w:t>
      </w:r>
      <w:r w:rsidRPr="00B712C2">
        <w:rPr>
          <w:rFonts w:cs="Arial"/>
          <w:lang w:val="ru-RU"/>
        </w:rPr>
        <w:t xml:space="preserve"> </w:t>
      </w:r>
      <w:r w:rsidRPr="008165FD">
        <w:rPr>
          <w:rFonts w:eastAsia="Times New Roman" w:cs="Arial"/>
          <w:color w:val="000000"/>
          <w:lang w:eastAsia="bg-BG"/>
        </w:rPr>
        <w:t xml:space="preserve">подкожно приложение на </w:t>
      </w:r>
      <w:r w:rsidRPr="008165FD">
        <w:rPr>
          <w:rFonts w:eastAsia="Times New Roman" w:cs="Arial"/>
          <w:color w:val="000000"/>
          <w:vertAlign w:val="superscript"/>
          <w:lang w:eastAsia="bg-BG"/>
        </w:rPr>
        <w:t>14</w:t>
      </w:r>
      <w:r w:rsidRPr="008165FD">
        <w:rPr>
          <w:rFonts w:eastAsia="Times New Roman" w:cs="Arial"/>
          <w:color w:val="000000"/>
          <w:lang w:eastAsia="bg-BG"/>
        </w:rPr>
        <w:t>С-азацитидин съответно 85 и 50 % от приложената радиоактивност се открива в урината, докато &lt; 1 % се открива във фекалиите.</w:t>
      </w:r>
    </w:p>
    <w:p w14:paraId="2BBABBB6" w14:textId="77777777" w:rsidR="008165FD" w:rsidRPr="008165FD" w:rsidRDefault="008165FD" w:rsidP="008165FD">
      <w:pPr>
        <w:spacing w:line="240" w:lineRule="auto"/>
        <w:rPr>
          <w:rFonts w:eastAsia="Times New Roman" w:cs="Arial"/>
          <w:color w:val="000000"/>
          <w:u w:val="single"/>
          <w:lang w:eastAsia="bg-BG"/>
        </w:rPr>
      </w:pPr>
    </w:p>
    <w:p w14:paraId="77351C9F" w14:textId="28039012" w:rsidR="008165FD" w:rsidRPr="00D277C3" w:rsidRDefault="008165FD" w:rsidP="00D277C3">
      <w:pPr>
        <w:pStyle w:val="Heading3"/>
        <w:rPr>
          <w:rFonts w:eastAsia="Times New Roman"/>
          <w:u w:val="single"/>
          <w:lang w:eastAsia="bg-BG"/>
        </w:rPr>
      </w:pPr>
      <w:r w:rsidRPr="00D277C3">
        <w:rPr>
          <w:rFonts w:eastAsia="Times New Roman"/>
          <w:u w:val="single"/>
          <w:lang w:eastAsia="bg-BG"/>
        </w:rPr>
        <w:t>Специални популации</w:t>
      </w:r>
    </w:p>
    <w:p w14:paraId="4B9803C9" w14:textId="77777777"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Не са проучвани официално ефектите на чернодробно увреждане (вж. точка 4.2), пол, възраст или раса върху фармакокинетиката на азацитидин.</w:t>
      </w:r>
    </w:p>
    <w:p w14:paraId="7D61B256" w14:textId="77777777" w:rsidR="008165FD" w:rsidRPr="008165FD" w:rsidRDefault="008165FD" w:rsidP="008165FD">
      <w:pPr>
        <w:spacing w:line="240" w:lineRule="auto"/>
        <w:rPr>
          <w:rFonts w:eastAsia="Times New Roman" w:cs="Arial"/>
          <w:color w:val="000000"/>
          <w:u w:val="single"/>
          <w:lang w:eastAsia="bg-BG"/>
        </w:rPr>
      </w:pPr>
    </w:p>
    <w:p w14:paraId="21D611F5" w14:textId="6A3138EC"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u w:val="single"/>
          <w:lang w:eastAsia="bg-BG"/>
        </w:rPr>
        <w:t>Бъбречно увреждане</w:t>
      </w:r>
    </w:p>
    <w:p w14:paraId="2C7BB8F9" w14:textId="77777777"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Бъбречното увреждане няма основно въздействие върху фармакокинетичната експозиция на азацитидин след еднократно и многократно подкожно приложение. След подкожно приложение на единична доза</w:t>
      </w:r>
      <w:r w:rsidRPr="00B712C2">
        <w:rPr>
          <w:rFonts w:eastAsia="Times New Roman" w:cs="Arial"/>
          <w:color w:val="000000"/>
          <w:lang w:val="ru-RU"/>
        </w:rPr>
        <w:t xml:space="preserve"> </w:t>
      </w:r>
      <w:r w:rsidRPr="008165FD">
        <w:rPr>
          <w:rFonts w:eastAsia="Times New Roman" w:cs="Arial"/>
          <w:color w:val="000000"/>
          <w:lang w:eastAsia="bg-BG"/>
        </w:rPr>
        <w:t xml:space="preserve">75 </w:t>
      </w:r>
      <w:r w:rsidRPr="008165FD">
        <w:rPr>
          <w:rFonts w:eastAsia="Times New Roman" w:cs="Arial"/>
          <w:color w:val="000000"/>
          <w:lang w:val="en-US"/>
        </w:rPr>
        <w:t>mg</w:t>
      </w:r>
      <w:r w:rsidRPr="00B712C2">
        <w:rPr>
          <w:rFonts w:eastAsia="Times New Roman" w:cs="Arial"/>
          <w:color w:val="000000"/>
          <w:lang w:val="ru-RU"/>
        </w:rPr>
        <w:t>/</w:t>
      </w:r>
      <w:r w:rsidRPr="008165FD">
        <w:rPr>
          <w:rFonts w:eastAsia="Times New Roman" w:cs="Arial"/>
          <w:color w:val="000000"/>
          <w:lang w:val="en-US"/>
        </w:rPr>
        <w:t>m</w:t>
      </w:r>
      <w:r w:rsidRPr="00B712C2">
        <w:rPr>
          <w:rFonts w:eastAsia="Times New Roman" w:cs="Arial"/>
          <w:color w:val="000000"/>
          <w:vertAlign w:val="superscript"/>
          <w:lang w:val="ru-RU"/>
        </w:rPr>
        <w:t>2</w:t>
      </w:r>
      <w:r w:rsidRPr="00B712C2">
        <w:rPr>
          <w:rFonts w:eastAsia="Times New Roman" w:cs="Arial"/>
          <w:color w:val="000000"/>
          <w:lang w:val="ru-RU"/>
        </w:rPr>
        <w:t xml:space="preserve"> </w:t>
      </w:r>
      <w:r w:rsidRPr="008165FD">
        <w:rPr>
          <w:rFonts w:eastAsia="Times New Roman" w:cs="Arial"/>
          <w:color w:val="000000"/>
          <w:lang w:eastAsia="bg-BG"/>
        </w:rPr>
        <w:t xml:space="preserve">средните стойности на експозицията </w:t>
      </w:r>
      <w:r w:rsidRPr="00B712C2">
        <w:rPr>
          <w:rFonts w:eastAsia="Times New Roman" w:cs="Arial"/>
          <w:color w:val="000000"/>
          <w:lang w:val="ru-RU"/>
        </w:rPr>
        <w:t>(</w:t>
      </w:r>
      <w:r w:rsidRPr="008165FD">
        <w:rPr>
          <w:rFonts w:eastAsia="Times New Roman" w:cs="Arial"/>
          <w:color w:val="000000"/>
          <w:lang w:val="en-US"/>
        </w:rPr>
        <w:t>AUC</w:t>
      </w:r>
      <w:r w:rsidRPr="00B712C2">
        <w:rPr>
          <w:rFonts w:eastAsia="Times New Roman" w:cs="Arial"/>
          <w:color w:val="000000"/>
          <w:lang w:val="ru-RU"/>
        </w:rPr>
        <w:t xml:space="preserve"> </w:t>
      </w:r>
      <w:r w:rsidRPr="008165FD">
        <w:rPr>
          <w:rFonts w:eastAsia="Times New Roman" w:cs="Arial"/>
          <w:color w:val="000000"/>
          <w:lang w:eastAsia="bg-BG"/>
        </w:rPr>
        <w:t>и С</w:t>
      </w:r>
      <w:r w:rsidRPr="008165FD">
        <w:rPr>
          <w:rFonts w:eastAsia="Times New Roman" w:cs="Arial"/>
          <w:color w:val="000000"/>
          <w:vertAlign w:val="subscript"/>
          <w:lang w:val="en-US"/>
        </w:rPr>
        <w:t>max</w:t>
      </w:r>
      <w:r w:rsidRPr="008165FD">
        <w:rPr>
          <w:rFonts w:eastAsia="Times New Roman" w:cs="Arial"/>
          <w:color w:val="000000"/>
          <w:lang w:eastAsia="bg-BG"/>
        </w:rPr>
        <w:t xml:space="preserve">) при пациенти с леко, умерено и тежко бъбречно увреждане се увеличават съответно с 11-21%, 15- 27% и 41-66%, в сравнение с пациентите с нормална бъбречна функция. Експозицията обаче е в рамките на същия общ диапазон на експозиция, наблюдаван при пациентите с нормална бъбречна функция. Азацитидин може да бъде </w:t>
      </w:r>
      <w:r w:rsidRPr="008165FD">
        <w:rPr>
          <w:rFonts w:eastAsia="Times New Roman" w:cs="Arial"/>
          <w:color w:val="000000"/>
          <w:lang w:eastAsia="bg-BG"/>
        </w:rPr>
        <w:lastRenderedPageBreak/>
        <w:t>приложен на пациенти с бъбречно увреждане без първоначално коригиране на дозата, при условие, че тези пациенти се наблюдават за токсичност, тъй като азацитидин и/или неговите метаболити се екскретират основно чрез бъбреците.</w:t>
      </w:r>
    </w:p>
    <w:p w14:paraId="3EF9B917" w14:textId="77777777" w:rsidR="008165FD" w:rsidRPr="008165FD" w:rsidRDefault="008165FD" w:rsidP="008165FD">
      <w:pPr>
        <w:spacing w:line="240" w:lineRule="auto"/>
        <w:rPr>
          <w:rFonts w:eastAsia="Times New Roman" w:cs="Arial"/>
          <w:color w:val="000000"/>
          <w:u w:val="single"/>
          <w:lang w:eastAsia="bg-BG"/>
        </w:rPr>
      </w:pPr>
    </w:p>
    <w:p w14:paraId="2174018D" w14:textId="21B1D9B5"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u w:val="single"/>
          <w:lang w:eastAsia="bg-BG"/>
        </w:rPr>
        <w:t>Фармакогеномика</w:t>
      </w:r>
    </w:p>
    <w:p w14:paraId="148BA3FC" w14:textId="7A6C3092" w:rsidR="0091385D" w:rsidRPr="00B712C2" w:rsidRDefault="008165FD" w:rsidP="008165FD">
      <w:pPr>
        <w:rPr>
          <w:rFonts w:cs="Arial"/>
          <w:lang w:val="ru-RU"/>
        </w:rPr>
      </w:pPr>
      <w:r w:rsidRPr="008165FD">
        <w:rPr>
          <w:rFonts w:eastAsia="Times New Roman" w:cs="Arial"/>
          <w:color w:val="000000"/>
          <w:lang w:eastAsia="bg-BG"/>
        </w:rPr>
        <w:t xml:space="preserve">Не е проучван официално ефектът от известния полиморфизъм на цитидин дезаминазата върху метаболизма на </w:t>
      </w: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020C6880" w14:textId="77777777" w:rsidR="008165FD" w:rsidRPr="008165FD" w:rsidRDefault="008165FD" w:rsidP="008165FD">
      <w:pPr>
        <w:spacing w:line="240" w:lineRule="auto"/>
        <w:rPr>
          <w:rFonts w:eastAsia="Times New Roman" w:cs="Arial"/>
          <w:sz w:val="24"/>
          <w:szCs w:val="24"/>
          <w:lang w:eastAsia="bg-BG"/>
        </w:rPr>
      </w:pPr>
      <w:proofErr w:type="spellStart"/>
      <w:r w:rsidRPr="008165FD">
        <w:rPr>
          <w:rFonts w:eastAsia="Times New Roman" w:cs="Arial"/>
          <w:color w:val="000000"/>
          <w:lang w:eastAsia="bg-BG"/>
        </w:rPr>
        <w:t>Азацитидин</w:t>
      </w:r>
      <w:proofErr w:type="spellEnd"/>
      <w:r w:rsidRPr="008165FD">
        <w:rPr>
          <w:rFonts w:eastAsia="Times New Roman" w:cs="Arial"/>
          <w:color w:val="000000"/>
          <w:lang w:eastAsia="bg-BG"/>
        </w:rPr>
        <w:t xml:space="preserve"> индуцира </w:t>
      </w:r>
      <w:r w:rsidRPr="008165FD">
        <w:rPr>
          <w:rFonts w:eastAsia="Times New Roman" w:cs="Arial"/>
          <w:i/>
          <w:iCs/>
          <w:color w:val="000000"/>
          <w:lang w:val="en-US"/>
        </w:rPr>
        <w:t>in</w:t>
      </w:r>
      <w:r w:rsidRPr="00B712C2">
        <w:rPr>
          <w:rFonts w:eastAsia="Times New Roman" w:cs="Arial"/>
          <w:i/>
          <w:iCs/>
          <w:color w:val="000000"/>
          <w:lang w:val="ru-RU"/>
        </w:rPr>
        <w:t xml:space="preserve"> </w:t>
      </w:r>
      <w:r w:rsidRPr="008165FD">
        <w:rPr>
          <w:rFonts w:eastAsia="Times New Roman" w:cs="Arial"/>
          <w:i/>
          <w:iCs/>
          <w:color w:val="000000"/>
          <w:lang w:val="en-US"/>
        </w:rPr>
        <w:t>vitro</w:t>
      </w:r>
      <w:r w:rsidRPr="00B712C2">
        <w:rPr>
          <w:rFonts w:eastAsia="Times New Roman" w:cs="Arial"/>
          <w:color w:val="000000"/>
          <w:lang w:val="ru-RU"/>
        </w:rPr>
        <w:t xml:space="preserve"> </w:t>
      </w:r>
      <w:r w:rsidRPr="008165FD">
        <w:rPr>
          <w:rFonts w:eastAsia="Times New Roman" w:cs="Arial"/>
          <w:color w:val="000000"/>
          <w:lang w:eastAsia="bg-BG"/>
        </w:rPr>
        <w:t>както генни мутации, така и хромозомни аберации в системи от бактериални клетки и от клетки на бозайници. Канцерогенният потенциал на азацитидин е бил проучен при мишки и плъхове. Азацитидин е индуцирал тумори на хемопоетичната система при женски мишки при интраперитонеално приложение 3 пъти седмично в продължение на 52 седмици. Установена е повишена честота на тумори на лимфо-ретикуларната система, белия дроб, млечните жлези и кожата при мишки, лекувани с интраперитонеално приложен азацитидин в продължение на 50 седмици. Проучване на туморогенния потенциал при плъхове показва повишена честота на тумори на тестисите.</w:t>
      </w:r>
    </w:p>
    <w:p w14:paraId="17ECEBD0" w14:textId="77777777" w:rsidR="008165FD" w:rsidRPr="008165FD" w:rsidRDefault="008165FD" w:rsidP="008165FD">
      <w:pPr>
        <w:spacing w:line="240" w:lineRule="auto"/>
        <w:rPr>
          <w:rFonts w:eastAsia="Times New Roman" w:cs="Arial"/>
          <w:color w:val="000000"/>
          <w:lang w:eastAsia="bg-BG"/>
        </w:rPr>
      </w:pPr>
    </w:p>
    <w:p w14:paraId="3111B118" w14:textId="2B84924A"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eastAsia="bg-BG"/>
        </w:rPr>
        <w:t>Проучванията на ранната ембриотоксичност при мишки показват честота от 44 % на интраутеринната ембрионална смъртност (повишена резорбция) след еднократно интраперитонеално инжектиране на азацитидин по време на органогенезата. Установени са нарушения на развитието на мозъка при мишки, на които е прилаган азацитидин преди или в момента на затварянето на твърдото небце. При плъхове азацитидин не е предизвикал нежелани реакции, когато е бил прилаган преди имплантацията, но очевидно е бил ембриотоксичен при прилагане по време на органогенезата. Феталните аномалии по време на органогенезата при плъхове включват: аномалии на ЦНС (екзенцефалия/енцефалоцеле), аномалии на крайниците (микромелия, криво стъпало, синдактилия, олигодактилия) и други (микрофталмия, микрогнатия, гастросхиза, оток и аномалии на ребрата).</w:t>
      </w:r>
    </w:p>
    <w:p w14:paraId="2623190B" w14:textId="77777777" w:rsidR="008165FD" w:rsidRPr="008165FD" w:rsidRDefault="008165FD" w:rsidP="008165FD">
      <w:pPr>
        <w:rPr>
          <w:rFonts w:eastAsia="Times New Roman" w:cs="Arial"/>
          <w:color w:val="000000"/>
          <w:lang w:eastAsia="bg-BG"/>
        </w:rPr>
      </w:pPr>
    </w:p>
    <w:p w14:paraId="52E4D01A" w14:textId="06D7F6C8" w:rsidR="0091385D" w:rsidRPr="008165FD" w:rsidRDefault="008165FD" w:rsidP="008165FD">
      <w:pPr>
        <w:rPr>
          <w:rFonts w:cs="Arial"/>
        </w:rPr>
      </w:pPr>
      <w:r w:rsidRPr="008165FD">
        <w:rPr>
          <w:rFonts w:eastAsia="Times New Roman" w:cs="Arial"/>
          <w:color w:val="000000"/>
          <w:lang w:eastAsia="bg-BG"/>
        </w:rPr>
        <w:t>Прилагането на азацитидин на мъжки мишки преди чифтосването им с женски, на които не е прилаган, е довело до намалена плодовитост и загуба на поколението по време на следващото ембрионално или постнатално развитие. Прилагането му на мъжки плъхове е довело до намаляване на теглото на тестисите и епидидима, намален брой на сперматозоидите, намалена честота на бременностите, повече анормални ембриони и повишена загуба на ембриони при чифтосаните с тях женски (вж. точка 4.4).</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11DE3A57" w14:textId="77777777" w:rsidR="008165FD" w:rsidRPr="008165FD" w:rsidRDefault="008165FD" w:rsidP="008165FD">
      <w:pPr>
        <w:spacing w:line="240" w:lineRule="auto"/>
        <w:rPr>
          <w:rFonts w:eastAsia="Times New Roman" w:cs="Arial"/>
          <w:sz w:val="24"/>
          <w:szCs w:val="24"/>
          <w:lang w:eastAsia="bg-BG"/>
        </w:rPr>
      </w:pPr>
      <w:r w:rsidRPr="008165FD">
        <w:rPr>
          <w:rFonts w:eastAsia="Times New Roman" w:cs="Arial"/>
          <w:color w:val="000000"/>
          <w:lang w:val="en-US"/>
        </w:rPr>
        <w:t>Sandoz</w:t>
      </w:r>
      <w:r w:rsidRPr="00B712C2">
        <w:rPr>
          <w:rFonts w:eastAsia="Times New Roman" w:cs="Arial"/>
          <w:color w:val="000000"/>
          <w:lang w:val="ru-RU"/>
        </w:rPr>
        <w:t xml:space="preserve"> </w:t>
      </w:r>
      <w:r w:rsidRPr="008165FD">
        <w:rPr>
          <w:rFonts w:eastAsia="Times New Roman" w:cs="Arial"/>
          <w:color w:val="000000"/>
          <w:lang w:val="en-US"/>
        </w:rPr>
        <w:t>d</w:t>
      </w:r>
      <w:r w:rsidRPr="00B712C2">
        <w:rPr>
          <w:rFonts w:eastAsia="Times New Roman" w:cs="Arial"/>
          <w:color w:val="000000"/>
          <w:lang w:val="ru-RU"/>
        </w:rPr>
        <w:t>.</w:t>
      </w:r>
      <w:r w:rsidRPr="008165FD">
        <w:rPr>
          <w:rFonts w:eastAsia="Times New Roman" w:cs="Arial"/>
          <w:color w:val="000000"/>
          <w:lang w:val="en-US"/>
        </w:rPr>
        <w:t>d</w:t>
      </w:r>
      <w:r w:rsidRPr="00B712C2">
        <w:rPr>
          <w:rFonts w:eastAsia="Times New Roman" w:cs="Arial"/>
          <w:color w:val="000000"/>
          <w:lang w:val="ru-RU"/>
        </w:rPr>
        <w:t>.</w:t>
      </w:r>
    </w:p>
    <w:p w14:paraId="1570D142" w14:textId="77777777" w:rsidR="008165FD" w:rsidRPr="008165FD" w:rsidRDefault="008165FD" w:rsidP="008165FD">
      <w:pPr>
        <w:spacing w:line="240" w:lineRule="auto"/>
        <w:rPr>
          <w:rFonts w:eastAsia="Times New Roman" w:cs="Arial"/>
          <w:sz w:val="24"/>
          <w:szCs w:val="24"/>
          <w:lang w:eastAsia="bg-BG"/>
        </w:rPr>
      </w:pPr>
      <w:proofErr w:type="spellStart"/>
      <w:r w:rsidRPr="008165FD">
        <w:rPr>
          <w:rFonts w:eastAsia="Times New Roman" w:cs="Arial"/>
          <w:color w:val="000000"/>
          <w:lang w:eastAsia="bg-BG"/>
        </w:rPr>
        <w:t>Verovškova</w:t>
      </w:r>
      <w:proofErr w:type="spellEnd"/>
      <w:r w:rsidRPr="00B712C2">
        <w:rPr>
          <w:rFonts w:eastAsia="Times New Roman" w:cs="Arial"/>
          <w:color w:val="000000"/>
          <w:lang w:val="ru-RU"/>
        </w:rPr>
        <w:t xml:space="preserve"> </w:t>
      </w:r>
      <w:r w:rsidRPr="008165FD">
        <w:rPr>
          <w:rFonts w:eastAsia="Times New Roman" w:cs="Arial"/>
          <w:color w:val="000000"/>
          <w:lang w:eastAsia="bg-BG"/>
        </w:rPr>
        <w:t xml:space="preserve">57, 1000 </w:t>
      </w:r>
      <w:r w:rsidRPr="008165FD">
        <w:rPr>
          <w:rFonts w:eastAsia="Times New Roman" w:cs="Arial"/>
          <w:color w:val="000000"/>
          <w:lang w:val="en-US"/>
        </w:rPr>
        <w:t>Ljubljana</w:t>
      </w:r>
    </w:p>
    <w:p w14:paraId="3FD825DB" w14:textId="2418868D" w:rsidR="0091385D" w:rsidRPr="008165FD" w:rsidRDefault="008165FD" w:rsidP="008165FD">
      <w:pPr>
        <w:rPr>
          <w:rFonts w:cs="Arial"/>
        </w:rPr>
      </w:pPr>
      <w:r w:rsidRPr="008165FD">
        <w:rPr>
          <w:rFonts w:eastAsia="Times New Roman" w:cs="Arial"/>
          <w:color w:val="000000"/>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lastRenderedPageBreak/>
        <w:t>8. НОМЕР НА РАЗРЕШЕНИЕТО ЗА УПОТРЕБА</w:t>
      </w:r>
    </w:p>
    <w:p w14:paraId="095674C4" w14:textId="54CA436A" w:rsidR="0091385D" w:rsidRDefault="0091385D" w:rsidP="0091385D"/>
    <w:p w14:paraId="6E892CE5" w14:textId="6CC34707" w:rsidR="0091385D" w:rsidRPr="008165FD" w:rsidRDefault="008165FD" w:rsidP="0091385D">
      <w:pPr>
        <w:rPr>
          <w:rFonts w:cs="Arial"/>
        </w:rPr>
      </w:pPr>
      <w:r w:rsidRPr="008165FD">
        <w:rPr>
          <w:rFonts w:cs="Arial"/>
        </w:rPr>
        <w:t>Pe</w:t>
      </w:r>
      <w:r w:rsidRPr="008165FD">
        <w:rPr>
          <w:rFonts w:cs="Arial"/>
          <w:lang w:eastAsia="bg-BG"/>
        </w:rPr>
        <w:t xml:space="preserve">г </w:t>
      </w:r>
      <w:r w:rsidRPr="008165FD">
        <w:rPr>
          <w:rFonts w:cs="Arial"/>
        </w:rPr>
        <w:t>.No:</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314F8118" w:rsidR="0091385D" w:rsidRPr="008165FD" w:rsidRDefault="008165FD" w:rsidP="0091385D">
      <w:pPr>
        <w:rPr>
          <w:rFonts w:cs="Arial"/>
        </w:rPr>
      </w:pPr>
      <w:r w:rsidRPr="008165FD">
        <w:rPr>
          <w:rFonts w:cs="Arial"/>
        </w:rPr>
        <w:t>Първо РУ:</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181BB016" w:rsidR="0091385D" w:rsidRPr="008165FD" w:rsidRDefault="008165FD" w:rsidP="0091385D">
      <w:pPr>
        <w:rPr>
          <w:rFonts w:cs="Arial"/>
        </w:rPr>
      </w:pPr>
      <w:r w:rsidRPr="008165FD">
        <w:rPr>
          <w:rFonts w:cs="Arial"/>
        </w:rPr>
        <w:t>04/2020</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309F0"/>
    <w:multiLevelType w:val="hybridMultilevel"/>
    <w:tmpl w:val="FE3270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730230636">
    <w:abstractNumId w:val="27"/>
  </w:num>
  <w:num w:numId="2" w16cid:durableId="1011687890">
    <w:abstractNumId w:val="0"/>
  </w:num>
  <w:num w:numId="3" w16cid:durableId="1200125458">
    <w:abstractNumId w:val="13"/>
  </w:num>
  <w:num w:numId="4" w16cid:durableId="790514151">
    <w:abstractNumId w:val="3"/>
  </w:num>
  <w:num w:numId="5" w16cid:durableId="1226375458">
    <w:abstractNumId w:val="1"/>
  </w:num>
  <w:num w:numId="6" w16cid:durableId="627587388">
    <w:abstractNumId w:val="16"/>
  </w:num>
  <w:num w:numId="7" w16cid:durableId="1833062794">
    <w:abstractNumId w:val="11"/>
  </w:num>
  <w:num w:numId="8" w16cid:durableId="1737581658">
    <w:abstractNumId w:val="15"/>
  </w:num>
  <w:num w:numId="9" w16cid:durableId="357581853">
    <w:abstractNumId w:val="2"/>
  </w:num>
  <w:num w:numId="10" w16cid:durableId="1779790559">
    <w:abstractNumId w:val="4"/>
  </w:num>
  <w:num w:numId="11" w16cid:durableId="1327517719">
    <w:abstractNumId w:val="30"/>
  </w:num>
  <w:num w:numId="12" w16cid:durableId="550309941">
    <w:abstractNumId w:val="14"/>
  </w:num>
  <w:num w:numId="13" w16cid:durableId="814569377">
    <w:abstractNumId w:val="19"/>
  </w:num>
  <w:num w:numId="14" w16cid:durableId="1158227055">
    <w:abstractNumId w:val="12"/>
  </w:num>
  <w:num w:numId="15" w16cid:durableId="1593901429">
    <w:abstractNumId w:val="29"/>
  </w:num>
  <w:num w:numId="16" w16cid:durableId="955528664">
    <w:abstractNumId w:val="10"/>
  </w:num>
  <w:num w:numId="17" w16cid:durableId="226113774">
    <w:abstractNumId w:val="24"/>
  </w:num>
  <w:num w:numId="18" w16cid:durableId="1038973359">
    <w:abstractNumId w:val="7"/>
  </w:num>
  <w:num w:numId="19" w16cid:durableId="897856949">
    <w:abstractNumId w:val="26"/>
  </w:num>
  <w:num w:numId="20" w16cid:durableId="2002612551">
    <w:abstractNumId w:val="23"/>
  </w:num>
  <w:num w:numId="21" w16cid:durableId="321810045">
    <w:abstractNumId w:val="17"/>
  </w:num>
  <w:num w:numId="22" w16cid:durableId="1811049189">
    <w:abstractNumId w:val="25"/>
  </w:num>
  <w:num w:numId="23" w16cid:durableId="1237981194">
    <w:abstractNumId w:val="18"/>
  </w:num>
  <w:num w:numId="24" w16cid:durableId="1990402563">
    <w:abstractNumId w:val="8"/>
  </w:num>
  <w:num w:numId="25" w16cid:durableId="1988314709">
    <w:abstractNumId w:val="22"/>
  </w:num>
  <w:num w:numId="26" w16cid:durableId="1987081465">
    <w:abstractNumId w:val="21"/>
  </w:num>
  <w:num w:numId="27" w16cid:durableId="82410745">
    <w:abstractNumId w:val="31"/>
  </w:num>
  <w:num w:numId="28" w16cid:durableId="1013339229">
    <w:abstractNumId w:val="6"/>
  </w:num>
  <w:num w:numId="29" w16cid:durableId="1346328532">
    <w:abstractNumId w:val="20"/>
  </w:num>
  <w:num w:numId="30" w16cid:durableId="1829784660">
    <w:abstractNumId w:val="34"/>
  </w:num>
  <w:num w:numId="31" w16cid:durableId="965693611">
    <w:abstractNumId w:val="5"/>
  </w:num>
  <w:num w:numId="32" w16cid:durableId="2099599779">
    <w:abstractNumId w:val="33"/>
  </w:num>
  <w:num w:numId="33" w16cid:durableId="56436647">
    <w:abstractNumId w:val="28"/>
  </w:num>
  <w:num w:numId="34" w16cid:durableId="371811880">
    <w:abstractNumId w:val="32"/>
  </w:num>
  <w:num w:numId="35" w16cid:durableId="1661277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185A46"/>
    <w:rsid w:val="001915B6"/>
    <w:rsid w:val="001D1B23"/>
    <w:rsid w:val="002B3C38"/>
    <w:rsid w:val="002B4DBB"/>
    <w:rsid w:val="002C50EE"/>
    <w:rsid w:val="00340A0A"/>
    <w:rsid w:val="003765DC"/>
    <w:rsid w:val="00395555"/>
    <w:rsid w:val="003B18FB"/>
    <w:rsid w:val="003E3126"/>
    <w:rsid w:val="00426E5F"/>
    <w:rsid w:val="004A448E"/>
    <w:rsid w:val="004D4D6B"/>
    <w:rsid w:val="004F1CE7"/>
    <w:rsid w:val="004F498A"/>
    <w:rsid w:val="00517A5B"/>
    <w:rsid w:val="00593A00"/>
    <w:rsid w:val="005A66D9"/>
    <w:rsid w:val="005F07E3"/>
    <w:rsid w:val="00605BCA"/>
    <w:rsid w:val="006158A1"/>
    <w:rsid w:val="00617B1F"/>
    <w:rsid w:val="00672487"/>
    <w:rsid w:val="00672600"/>
    <w:rsid w:val="00681D4A"/>
    <w:rsid w:val="00685882"/>
    <w:rsid w:val="0075649D"/>
    <w:rsid w:val="007C605B"/>
    <w:rsid w:val="008134C8"/>
    <w:rsid w:val="00814073"/>
    <w:rsid w:val="008165FD"/>
    <w:rsid w:val="00826F0D"/>
    <w:rsid w:val="00841049"/>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712C2"/>
    <w:rsid w:val="00BF2600"/>
    <w:rsid w:val="00C0049F"/>
    <w:rsid w:val="00C07B84"/>
    <w:rsid w:val="00C33464"/>
    <w:rsid w:val="00C40420"/>
    <w:rsid w:val="00C809A7"/>
    <w:rsid w:val="00C83063"/>
    <w:rsid w:val="00C87E90"/>
    <w:rsid w:val="00CA1B57"/>
    <w:rsid w:val="00CF77F7"/>
    <w:rsid w:val="00D277C3"/>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da.b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6864</Words>
  <Characters>39127</Characters>
  <Application>Microsoft Office Word</Application>
  <DocSecurity>0</DocSecurity>
  <Lines>326</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4</cp:revision>
  <dcterms:created xsi:type="dcterms:W3CDTF">2022-10-04T01:59:00Z</dcterms:created>
  <dcterms:modified xsi:type="dcterms:W3CDTF">2022-10-05T20:05:00Z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