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407AE8B0" w:rsidR="009F77A4" w:rsidRDefault="00DD466D" w:rsidP="00387A66">
      <w:pPr>
        <w:pStyle w:val="Heading1"/>
      </w:pPr>
      <w:r>
        <w:t>1.ИМЕ НА ЛЕКАРСТВЕНИЯ ПРОДУКТ</w:t>
      </w:r>
    </w:p>
    <w:p w14:paraId="463D878C" w14:textId="4185D702" w:rsidR="00C377A7" w:rsidRDefault="00C377A7" w:rsidP="00C377A7"/>
    <w:p w14:paraId="1FD3DC3C" w14:textId="77777777" w:rsidR="00C377A7" w:rsidRPr="00C377A7" w:rsidRDefault="00C377A7" w:rsidP="00C377A7">
      <w:pPr>
        <w:rPr>
          <w:sz w:val="24"/>
          <w:szCs w:val="24"/>
          <w:lang w:eastAsia="bg-BG"/>
        </w:rPr>
      </w:pPr>
      <w:r w:rsidRPr="00C377A7">
        <w:rPr>
          <w:lang w:eastAsia="bg-BG"/>
        </w:rPr>
        <w:t xml:space="preserve">Азибиот 250 </w:t>
      </w:r>
      <w:r w:rsidRPr="00C377A7">
        <w:rPr>
          <w:lang w:val="en-US"/>
        </w:rPr>
        <w:t xml:space="preserve">mg </w:t>
      </w:r>
      <w:r w:rsidRPr="00C377A7">
        <w:rPr>
          <w:lang w:eastAsia="bg-BG"/>
        </w:rPr>
        <w:t>филмирани таблетки</w:t>
      </w:r>
    </w:p>
    <w:p w14:paraId="1DB4AA63" w14:textId="77777777" w:rsidR="00C377A7" w:rsidRPr="00C377A7" w:rsidRDefault="00C377A7" w:rsidP="00C377A7">
      <w:pPr>
        <w:rPr>
          <w:sz w:val="24"/>
          <w:szCs w:val="24"/>
          <w:lang w:eastAsia="bg-BG"/>
        </w:rPr>
      </w:pPr>
      <w:proofErr w:type="spellStart"/>
      <w:r w:rsidRPr="00C377A7">
        <w:rPr>
          <w:lang w:val="en-US"/>
        </w:rPr>
        <w:t>Azibiot</w:t>
      </w:r>
      <w:proofErr w:type="spellEnd"/>
      <w:r w:rsidRPr="00C377A7">
        <w:rPr>
          <w:lang w:val="en-US"/>
        </w:rPr>
        <w:t xml:space="preserve"> </w:t>
      </w:r>
      <w:r w:rsidRPr="00C377A7">
        <w:rPr>
          <w:lang w:eastAsia="bg-BG"/>
        </w:rPr>
        <w:t xml:space="preserve">250 </w:t>
      </w:r>
      <w:r w:rsidRPr="00C377A7">
        <w:rPr>
          <w:lang w:val="en-US"/>
        </w:rPr>
        <w:t>mg film-coated tablets</w:t>
      </w:r>
    </w:p>
    <w:p w14:paraId="6112A90E" w14:textId="77777777" w:rsidR="00C377A7" w:rsidRPr="00C377A7" w:rsidRDefault="00C377A7" w:rsidP="00C377A7"/>
    <w:p w14:paraId="0DF202EC" w14:textId="629D5876" w:rsidR="00F53FB7" w:rsidRDefault="00DD466D" w:rsidP="00A93499">
      <w:pPr>
        <w:pStyle w:val="Heading1"/>
      </w:pPr>
      <w:r>
        <w:t>2. КАЧЕСТВЕН И КОЛИЧЕСТВЕН СЪСТАВ</w:t>
      </w:r>
    </w:p>
    <w:p w14:paraId="4957984F" w14:textId="23EC55AE" w:rsidR="00C377A7" w:rsidRDefault="00C377A7" w:rsidP="00C377A7"/>
    <w:p w14:paraId="4ABCAD11" w14:textId="77777777" w:rsidR="00C377A7" w:rsidRPr="00C377A7" w:rsidRDefault="00C377A7" w:rsidP="00C377A7">
      <w:pPr>
        <w:spacing w:line="240" w:lineRule="auto"/>
        <w:rPr>
          <w:rFonts w:eastAsia="Times New Roman" w:cs="Arial"/>
          <w:sz w:val="24"/>
          <w:szCs w:val="24"/>
          <w:lang w:eastAsia="bg-BG"/>
        </w:rPr>
      </w:pPr>
      <w:r w:rsidRPr="00C377A7">
        <w:rPr>
          <w:rFonts w:eastAsia="Times New Roman" w:cs="Arial"/>
          <w:color w:val="000000"/>
          <w:lang w:eastAsia="bg-BG"/>
        </w:rPr>
        <w:t xml:space="preserve">Азибиот 250 </w:t>
      </w:r>
      <w:r w:rsidRPr="00C377A7">
        <w:rPr>
          <w:rFonts w:eastAsia="Times New Roman" w:cs="Arial"/>
          <w:color w:val="000000"/>
          <w:lang w:val="en-US"/>
        </w:rPr>
        <w:t xml:space="preserve">mg </w:t>
      </w:r>
      <w:r w:rsidRPr="00C377A7">
        <w:rPr>
          <w:rFonts w:eastAsia="Times New Roman" w:cs="Arial"/>
          <w:color w:val="000000"/>
          <w:lang w:eastAsia="bg-BG"/>
        </w:rPr>
        <w:t>филмирани таблетки</w:t>
      </w:r>
    </w:p>
    <w:p w14:paraId="43483D97" w14:textId="77777777" w:rsidR="00C377A7" w:rsidRPr="00C377A7" w:rsidRDefault="00C377A7" w:rsidP="00C377A7">
      <w:pPr>
        <w:spacing w:line="240" w:lineRule="auto"/>
        <w:rPr>
          <w:rFonts w:eastAsia="Times New Roman" w:cs="Arial"/>
          <w:sz w:val="24"/>
          <w:szCs w:val="24"/>
          <w:lang w:eastAsia="bg-BG"/>
        </w:rPr>
      </w:pPr>
      <w:r w:rsidRPr="00C377A7">
        <w:rPr>
          <w:rFonts w:eastAsia="Times New Roman" w:cs="Arial"/>
          <w:color w:val="000000"/>
          <w:lang w:eastAsia="bg-BG"/>
        </w:rPr>
        <w:t xml:space="preserve">Всяка филмирана таблетка съдържа 250 </w:t>
      </w:r>
      <w:r w:rsidRPr="00C377A7">
        <w:rPr>
          <w:rFonts w:eastAsia="Times New Roman" w:cs="Arial"/>
          <w:color w:val="000000"/>
          <w:lang w:val="en-US"/>
        </w:rPr>
        <w:t xml:space="preserve">mg </w:t>
      </w:r>
      <w:r w:rsidRPr="00C377A7">
        <w:rPr>
          <w:rFonts w:eastAsia="Times New Roman" w:cs="Arial"/>
          <w:color w:val="000000"/>
          <w:lang w:eastAsia="bg-BG"/>
        </w:rPr>
        <w:t xml:space="preserve">азитромицин </w:t>
      </w:r>
      <w:r w:rsidRPr="00C377A7">
        <w:rPr>
          <w:rFonts w:eastAsia="Times New Roman" w:cs="Arial"/>
          <w:i/>
          <w:iCs/>
          <w:color w:val="000000"/>
          <w:lang w:val="en-US"/>
        </w:rPr>
        <w:t>(azithromycin)</w:t>
      </w:r>
      <w:r w:rsidRPr="00C377A7">
        <w:rPr>
          <w:rFonts w:eastAsia="Times New Roman" w:cs="Arial"/>
          <w:color w:val="000000"/>
          <w:lang w:val="en-US"/>
        </w:rPr>
        <w:t xml:space="preserve"> </w:t>
      </w:r>
      <w:r w:rsidRPr="00C377A7">
        <w:rPr>
          <w:rFonts w:eastAsia="Times New Roman" w:cs="Arial"/>
          <w:color w:val="000000"/>
          <w:lang w:eastAsia="bg-BG"/>
        </w:rPr>
        <w:t xml:space="preserve">като азитромицин дихидрат </w:t>
      </w:r>
      <w:r w:rsidRPr="00C377A7">
        <w:rPr>
          <w:rFonts w:eastAsia="Times New Roman" w:cs="Arial"/>
          <w:i/>
          <w:iCs/>
          <w:color w:val="000000"/>
          <w:lang w:val="en-US"/>
        </w:rPr>
        <w:t>(azithromycin dihydrate).</w:t>
      </w:r>
    </w:p>
    <w:p w14:paraId="4B026C9F" w14:textId="77777777" w:rsidR="00C377A7" w:rsidRPr="00C377A7" w:rsidRDefault="00C377A7" w:rsidP="00C377A7">
      <w:pPr>
        <w:spacing w:line="240" w:lineRule="auto"/>
        <w:rPr>
          <w:rFonts w:eastAsia="Times New Roman" w:cs="Arial"/>
          <w:color w:val="000000"/>
          <w:u w:val="single"/>
          <w:lang w:eastAsia="bg-BG"/>
        </w:rPr>
      </w:pPr>
    </w:p>
    <w:p w14:paraId="456FB095" w14:textId="1803207F" w:rsidR="00C377A7" w:rsidRPr="00C377A7" w:rsidRDefault="00C377A7" w:rsidP="00C377A7">
      <w:pPr>
        <w:spacing w:line="240" w:lineRule="auto"/>
        <w:rPr>
          <w:rFonts w:eastAsia="Times New Roman" w:cs="Arial"/>
          <w:sz w:val="24"/>
          <w:szCs w:val="24"/>
          <w:lang w:eastAsia="bg-BG"/>
        </w:rPr>
      </w:pPr>
      <w:r w:rsidRPr="00C377A7">
        <w:rPr>
          <w:rFonts w:eastAsia="Times New Roman" w:cs="Arial"/>
          <w:color w:val="000000"/>
          <w:u w:val="single"/>
          <w:lang w:eastAsia="bg-BG"/>
        </w:rPr>
        <w:t>Помощно вещество с известно действие:</w:t>
      </w:r>
    </w:p>
    <w:p w14:paraId="68D61F17" w14:textId="77777777" w:rsidR="00C377A7" w:rsidRPr="00C377A7" w:rsidRDefault="00C377A7" w:rsidP="00C377A7">
      <w:pPr>
        <w:spacing w:line="240" w:lineRule="auto"/>
        <w:rPr>
          <w:rFonts w:eastAsia="Times New Roman" w:cs="Arial"/>
          <w:sz w:val="24"/>
          <w:szCs w:val="24"/>
          <w:lang w:eastAsia="bg-BG"/>
        </w:rPr>
      </w:pPr>
      <w:r w:rsidRPr="00C377A7">
        <w:rPr>
          <w:rFonts w:eastAsia="Times New Roman" w:cs="Arial"/>
          <w:color w:val="000000"/>
          <w:lang w:eastAsia="bg-BG"/>
        </w:rPr>
        <w:t xml:space="preserve">Всяка филмирана таблетка съдържало 0,50 </w:t>
      </w:r>
      <w:r w:rsidRPr="00C377A7">
        <w:rPr>
          <w:rFonts w:eastAsia="Times New Roman" w:cs="Arial"/>
          <w:color w:val="000000"/>
          <w:lang w:val="en-US"/>
        </w:rPr>
        <w:t xml:space="preserve">mg </w:t>
      </w:r>
      <w:r w:rsidRPr="00C377A7">
        <w:rPr>
          <w:rFonts w:eastAsia="Times New Roman" w:cs="Arial"/>
          <w:color w:val="000000"/>
          <w:lang w:eastAsia="bg-BG"/>
        </w:rPr>
        <w:t>натрий.</w:t>
      </w:r>
    </w:p>
    <w:p w14:paraId="3C9FB4A6" w14:textId="77777777" w:rsidR="00C377A7" w:rsidRPr="00C377A7" w:rsidRDefault="00C377A7" w:rsidP="00C377A7"/>
    <w:p w14:paraId="4CABB9ED" w14:textId="211284E0" w:rsidR="00F53FB7" w:rsidRDefault="00DD466D" w:rsidP="00A93499">
      <w:pPr>
        <w:pStyle w:val="Heading1"/>
      </w:pPr>
      <w:r>
        <w:t>3. ЛЕКАРСТВЕНА ФОРМА</w:t>
      </w:r>
    </w:p>
    <w:p w14:paraId="5E804E6E" w14:textId="7B4DAF9E" w:rsidR="00C377A7" w:rsidRDefault="00C377A7" w:rsidP="00C377A7"/>
    <w:p w14:paraId="0063629E" w14:textId="77777777" w:rsidR="00C377A7" w:rsidRPr="00C377A7" w:rsidRDefault="00C377A7" w:rsidP="00C377A7">
      <w:pPr>
        <w:rPr>
          <w:sz w:val="24"/>
          <w:szCs w:val="24"/>
          <w:lang w:eastAsia="bg-BG"/>
        </w:rPr>
      </w:pPr>
      <w:r w:rsidRPr="00C377A7">
        <w:rPr>
          <w:lang w:eastAsia="bg-BG"/>
        </w:rPr>
        <w:t>Филмирана таблетка</w:t>
      </w:r>
    </w:p>
    <w:p w14:paraId="5F8E79E1" w14:textId="77777777" w:rsidR="00C377A7" w:rsidRDefault="00C377A7" w:rsidP="00C377A7">
      <w:pPr>
        <w:rPr>
          <w:lang w:eastAsia="bg-BG"/>
        </w:rPr>
      </w:pPr>
    </w:p>
    <w:p w14:paraId="29FE69EE" w14:textId="390DA459" w:rsidR="00C377A7" w:rsidRPr="00C377A7" w:rsidRDefault="00C377A7" w:rsidP="00C377A7">
      <w:pPr>
        <w:rPr>
          <w:sz w:val="24"/>
          <w:szCs w:val="24"/>
          <w:lang w:eastAsia="bg-BG"/>
        </w:rPr>
      </w:pPr>
      <w:r w:rsidRPr="00C377A7">
        <w:rPr>
          <w:lang w:eastAsia="bg-BG"/>
        </w:rPr>
        <w:t xml:space="preserve">Бели или почти бели, филмирани, продълговати таблетки (дължина: 13,8-14,2 </w:t>
      </w:r>
      <w:r w:rsidRPr="00C377A7">
        <w:rPr>
          <w:lang w:val="en-US"/>
        </w:rPr>
        <w:t xml:space="preserve">mm, </w:t>
      </w:r>
      <w:r w:rsidRPr="00C377A7">
        <w:rPr>
          <w:lang w:eastAsia="bg-BG"/>
        </w:rPr>
        <w:t>широчина:</w:t>
      </w:r>
      <w:r>
        <w:rPr>
          <w:sz w:val="24"/>
          <w:szCs w:val="24"/>
          <w:lang w:eastAsia="bg-BG"/>
        </w:rPr>
        <w:t xml:space="preserve"> </w:t>
      </w:r>
      <w:r>
        <w:rPr>
          <w:lang w:eastAsia="bg-BG"/>
        </w:rPr>
        <w:t>6,3-</w:t>
      </w:r>
      <w:r w:rsidRPr="00C377A7">
        <w:rPr>
          <w:lang w:eastAsia="bg-BG"/>
        </w:rPr>
        <w:t xml:space="preserve">6,7 </w:t>
      </w:r>
      <w:r w:rsidRPr="00C377A7">
        <w:rPr>
          <w:lang w:val="en-US"/>
        </w:rPr>
        <w:t xml:space="preserve">mm), </w:t>
      </w:r>
      <w:r w:rsidRPr="00C377A7">
        <w:rPr>
          <w:lang w:eastAsia="bg-BG"/>
        </w:rPr>
        <w:t xml:space="preserve">с надпис </w:t>
      </w:r>
      <w:r w:rsidRPr="00C377A7">
        <w:rPr>
          <w:lang w:val="en-US"/>
        </w:rPr>
        <w:t xml:space="preserve">"S19” </w:t>
      </w:r>
      <w:r w:rsidRPr="00C377A7">
        <w:rPr>
          <w:lang w:eastAsia="bg-BG"/>
        </w:rPr>
        <w:t>от едната страна.</w:t>
      </w:r>
    </w:p>
    <w:p w14:paraId="6E57428C" w14:textId="77777777" w:rsidR="00C377A7" w:rsidRPr="00C377A7" w:rsidRDefault="00C377A7" w:rsidP="00C377A7"/>
    <w:p w14:paraId="490FC2C4" w14:textId="6899DE43" w:rsidR="002C50EE" w:rsidRDefault="002C50EE" w:rsidP="002C50EE">
      <w:pPr>
        <w:pStyle w:val="Heading1"/>
      </w:pPr>
      <w:r>
        <w:t>4. КЛИНИЧНИ ДАННИ</w:t>
      </w:r>
    </w:p>
    <w:p w14:paraId="461901E4" w14:textId="5B66C931" w:rsidR="009F77A4" w:rsidRDefault="002C50EE" w:rsidP="00387A66">
      <w:pPr>
        <w:pStyle w:val="Heading2"/>
      </w:pPr>
      <w:r>
        <w:t>4.1. Терапевтични показания</w:t>
      </w:r>
    </w:p>
    <w:p w14:paraId="114134FF" w14:textId="0D9AC619" w:rsidR="00C377A7" w:rsidRDefault="00C377A7" w:rsidP="00C377A7"/>
    <w:p w14:paraId="0C305F63" w14:textId="77777777" w:rsidR="00C377A7" w:rsidRPr="00C377A7" w:rsidRDefault="00C377A7" w:rsidP="00C377A7">
      <w:pPr>
        <w:spacing w:line="240" w:lineRule="auto"/>
        <w:rPr>
          <w:rFonts w:eastAsia="Times New Roman" w:cs="Arial"/>
          <w:sz w:val="24"/>
          <w:szCs w:val="24"/>
          <w:lang w:eastAsia="bg-BG"/>
        </w:rPr>
      </w:pPr>
      <w:r w:rsidRPr="00C377A7">
        <w:rPr>
          <w:rFonts w:eastAsia="Times New Roman" w:cs="Arial"/>
          <w:color w:val="000000"/>
          <w:lang w:eastAsia="bg-BG"/>
        </w:rPr>
        <w:t>Азибиот е показан за лечение на следните инфекции, причинени от чувствителни на азитромицин микроорганизми (вж. точки 4.4 и 5.1):</w:t>
      </w:r>
    </w:p>
    <w:p w14:paraId="2FECA867" w14:textId="77777777" w:rsidR="00C377A7" w:rsidRPr="00C377A7" w:rsidRDefault="00C377A7" w:rsidP="00C377A7">
      <w:pPr>
        <w:pStyle w:val="ListParagraph"/>
        <w:numPr>
          <w:ilvl w:val="0"/>
          <w:numId w:val="40"/>
        </w:numPr>
        <w:spacing w:line="240" w:lineRule="auto"/>
        <w:rPr>
          <w:rFonts w:eastAsia="Times New Roman" w:cs="Arial"/>
          <w:sz w:val="24"/>
          <w:szCs w:val="24"/>
          <w:lang w:eastAsia="bg-BG"/>
        </w:rPr>
      </w:pPr>
      <w:r w:rsidRPr="00C377A7">
        <w:rPr>
          <w:rFonts w:eastAsia="Times New Roman" w:cs="Arial"/>
          <w:color w:val="000000"/>
          <w:lang w:eastAsia="bg-BG"/>
        </w:rPr>
        <w:t>Остър бактериален синузит (адекватно диагностициран)</w:t>
      </w:r>
    </w:p>
    <w:p w14:paraId="24B7C639" w14:textId="77777777" w:rsidR="00C377A7" w:rsidRPr="00C377A7" w:rsidRDefault="00C377A7" w:rsidP="00C377A7">
      <w:pPr>
        <w:pStyle w:val="ListParagraph"/>
        <w:numPr>
          <w:ilvl w:val="0"/>
          <w:numId w:val="40"/>
        </w:numPr>
        <w:spacing w:line="240" w:lineRule="auto"/>
        <w:rPr>
          <w:rFonts w:eastAsia="Times New Roman" w:cs="Arial"/>
          <w:sz w:val="24"/>
          <w:szCs w:val="24"/>
          <w:lang w:eastAsia="bg-BG"/>
        </w:rPr>
      </w:pPr>
      <w:r w:rsidRPr="00C377A7">
        <w:rPr>
          <w:rFonts w:eastAsia="Times New Roman" w:cs="Arial"/>
          <w:color w:val="000000"/>
          <w:lang w:eastAsia="bg-BG"/>
        </w:rPr>
        <w:t>Остър бактериален отит на средното ухо (адекватно диагностициран)</w:t>
      </w:r>
    </w:p>
    <w:p w14:paraId="7FED8956" w14:textId="77777777" w:rsidR="00C377A7" w:rsidRPr="00C377A7" w:rsidRDefault="00C377A7" w:rsidP="00C377A7">
      <w:pPr>
        <w:pStyle w:val="ListParagraph"/>
        <w:numPr>
          <w:ilvl w:val="0"/>
          <w:numId w:val="40"/>
        </w:numPr>
        <w:spacing w:line="240" w:lineRule="auto"/>
        <w:rPr>
          <w:rFonts w:eastAsia="Times New Roman" w:cs="Arial"/>
          <w:sz w:val="24"/>
          <w:szCs w:val="24"/>
          <w:lang w:eastAsia="bg-BG"/>
        </w:rPr>
      </w:pPr>
      <w:r w:rsidRPr="00C377A7">
        <w:rPr>
          <w:rFonts w:eastAsia="Times New Roman" w:cs="Arial"/>
          <w:color w:val="000000"/>
          <w:lang w:eastAsia="bg-BG"/>
        </w:rPr>
        <w:t>Фарингит, тонзилит</w:t>
      </w:r>
    </w:p>
    <w:p w14:paraId="5FCD5472" w14:textId="77777777" w:rsidR="00C377A7" w:rsidRPr="00C377A7" w:rsidRDefault="00C377A7" w:rsidP="00C377A7">
      <w:pPr>
        <w:pStyle w:val="ListParagraph"/>
        <w:numPr>
          <w:ilvl w:val="0"/>
          <w:numId w:val="40"/>
        </w:numPr>
        <w:spacing w:line="240" w:lineRule="auto"/>
        <w:rPr>
          <w:rFonts w:eastAsia="Times New Roman" w:cs="Arial"/>
          <w:sz w:val="24"/>
          <w:szCs w:val="24"/>
          <w:lang w:eastAsia="bg-BG"/>
        </w:rPr>
      </w:pPr>
      <w:r w:rsidRPr="00C377A7">
        <w:rPr>
          <w:rFonts w:eastAsia="Times New Roman" w:cs="Arial"/>
          <w:color w:val="000000"/>
          <w:lang w:eastAsia="bg-BG"/>
        </w:rPr>
        <w:t>Остра екзацербазция на хроничен бронхит (адекватно диагностициран)</w:t>
      </w:r>
    </w:p>
    <w:p w14:paraId="69E913F1" w14:textId="77777777" w:rsidR="00C377A7" w:rsidRPr="00C377A7" w:rsidRDefault="00C377A7" w:rsidP="00C377A7">
      <w:pPr>
        <w:pStyle w:val="ListParagraph"/>
        <w:numPr>
          <w:ilvl w:val="0"/>
          <w:numId w:val="40"/>
        </w:numPr>
        <w:spacing w:line="240" w:lineRule="auto"/>
        <w:rPr>
          <w:rFonts w:eastAsia="Times New Roman" w:cs="Arial"/>
          <w:sz w:val="24"/>
          <w:szCs w:val="24"/>
          <w:lang w:eastAsia="bg-BG"/>
        </w:rPr>
      </w:pPr>
      <w:r w:rsidRPr="00C377A7">
        <w:rPr>
          <w:rFonts w:eastAsia="Times New Roman" w:cs="Arial"/>
          <w:color w:val="000000"/>
          <w:lang w:eastAsia="bg-BG"/>
        </w:rPr>
        <w:t>Лека до тежка форма на пневмония, придобита в обществото</w:t>
      </w:r>
    </w:p>
    <w:p w14:paraId="79DB0C48" w14:textId="77777777" w:rsidR="00C377A7" w:rsidRPr="00C377A7" w:rsidRDefault="00C377A7" w:rsidP="00C377A7">
      <w:pPr>
        <w:pStyle w:val="ListParagraph"/>
        <w:numPr>
          <w:ilvl w:val="0"/>
          <w:numId w:val="40"/>
        </w:numPr>
        <w:spacing w:line="240" w:lineRule="auto"/>
        <w:rPr>
          <w:rFonts w:eastAsia="Times New Roman" w:cs="Arial"/>
          <w:sz w:val="24"/>
          <w:szCs w:val="24"/>
          <w:lang w:eastAsia="bg-BG"/>
        </w:rPr>
      </w:pPr>
      <w:r w:rsidRPr="00C377A7">
        <w:rPr>
          <w:rFonts w:eastAsia="Times New Roman" w:cs="Arial"/>
          <w:color w:val="000000"/>
          <w:lang w:eastAsia="bg-BG"/>
        </w:rPr>
        <w:t>Леки до средно тежки инфекции на кожата и меките тъкани например: фоликулит, целулит, еризипел</w:t>
      </w:r>
    </w:p>
    <w:p w14:paraId="6A651774" w14:textId="2D824698" w:rsidR="00C377A7" w:rsidRPr="00C377A7" w:rsidRDefault="00C377A7" w:rsidP="00C377A7">
      <w:pPr>
        <w:pStyle w:val="ListParagraph"/>
        <w:numPr>
          <w:ilvl w:val="0"/>
          <w:numId w:val="40"/>
        </w:numPr>
        <w:spacing w:line="240" w:lineRule="auto"/>
        <w:rPr>
          <w:rFonts w:eastAsia="Times New Roman" w:cs="Arial"/>
          <w:sz w:val="24"/>
          <w:szCs w:val="24"/>
          <w:lang w:eastAsia="bg-BG"/>
        </w:rPr>
      </w:pPr>
      <w:r w:rsidRPr="00C377A7">
        <w:rPr>
          <w:rFonts w:eastAsia="Times New Roman" w:cs="Arial"/>
          <w:color w:val="000000"/>
          <w:lang w:eastAsia="bg-BG"/>
        </w:rPr>
        <w:t xml:space="preserve">Неусложнени инфекции на уретрата и шийката на матката, причинени от </w:t>
      </w:r>
      <w:r w:rsidRPr="00C377A7">
        <w:rPr>
          <w:rFonts w:eastAsia="Times New Roman" w:cs="Arial"/>
          <w:i/>
          <w:iCs/>
          <w:color w:val="000000"/>
          <w:lang w:val="en-US"/>
        </w:rPr>
        <w:t>Chlamydia trachomatis.</w:t>
      </w:r>
    </w:p>
    <w:p w14:paraId="53F524C5" w14:textId="77777777" w:rsidR="00C377A7" w:rsidRPr="00C377A7" w:rsidRDefault="00C377A7" w:rsidP="00C377A7">
      <w:pPr>
        <w:spacing w:line="240" w:lineRule="auto"/>
        <w:rPr>
          <w:rFonts w:eastAsia="Times New Roman" w:cs="Arial"/>
          <w:color w:val="000000"/>
          <w:lang w:eastAsia="bg-BG"/>
        </w:rPr>
      </w:pPr>
    </w:p>
    <w:p w14:paraId="4341B15B" w14:textId="637328E7" w:rsidR="00C377A7" w:rsidRPr="00C377A7" w:rsidRDefault="00C377A7" w:rsidP="00C377A7">
      <w:pPr>
        <w:spacing w:line="240" w:lineRule="auto"/>
        <w:rPr>
          <w:rFonts w:eastAsia="Times New Roman" w:cs="Arial"/>
          <w:sz w:val="24"/>
          <w:szCs w:val="24"/>
          <w:lang w:eastAsia="bg-BG"/>
        </w:rPr>
      </w:pPr>
      <w:r w:rsidRPr="00C377A7">
        <w:rPr>
          <w:rFonts w:eastAsia="Times New Roman" w:cs="Arial"/>
          <w:color w:val="000000"/>
          <w:lang w:eastAsia="bg-BG"/>
        </w:rPr>
        <w:t>Трябва да се имат предвид официалните ръководства за правилна употреба на антибактериалните лекарства.</w:t>
      </w:r>
    </w:p>
    <w:p w14:paraId="05AE6E0C" w14:textId="77777777" w:rsidR="00C377A7" w:rsidRPr="00C377A7" w:rsidRDefault="00C377A7" w:rsidP="00C377A7"/>
    <w:p w14:paraId="31744E5A" w14:textId="4D351102" w:rsidR="009F77A4" w:rsidRDefault="002C50EE" w:rsidP="00387A66">
      <w:pPr>
        <w:pStyle w:val="Heading2"/>
      </w:pPr>
      <w:r>
        <w:lastRenderedPageBreak/>
        <w:t>4.2. Дозировка и начин на приложение</w:t>
      </w:r>
    </w:p>
    <w:p w14:paraId="07DA54B1" w14:textId="5DEFD168" w:rsidR="00C377A7" w:rsidRDefault="00C377A7" w:rsidP="00C377A7"/>
    <w:p w14:paraId="1D32E307" w14:textId="77777777" w:rsidR="00C377A7" w:rsidRPr="00C377A7" w:rsidRDefault="00C377A7" w:rsidP="00C377A7">
      <w:pPr>
        <w:pStyle w:val="Heading3"/>
        <w:rPr>
          <w:rFonts w:eastAsia="Times New Roman"/>
          <w:u w:val="single"/>
          <w:lang w:eastAsia="bg-BG"/>
        </w:rPr>
      </w:pPr>
      <w:r w:rsidRPr="00C377A7">
        <w:rPr>
          <w:rFonts w:eastAsia="Times New Roman"/>
          <w:u w:val="single"/>
          <w:lang w:eastAsia="bg-BG"/>
        </w:rPr>
        <w:t>Дозировка</w:t>
      </w:r>
    </w:p>
    <w:p w14:paraId="443C4122" w14:textId="77777777" w:rsidR="00C377A7" w:rsidRPr="00C377A7" w:rsidRDefault="00C377A7" w:rsidP="00C377A7">
      <w:pPr>
        <w:spacing w:line="240" w:lineRule="auto"/>
        <w:rPr>
          <w:rFonts w:eastAsia="Times New Roman" w:cs="Arial"/>
          <w:sz w:val="24"/>
          <w:szCs w:val="24"/>
          <w:lang w:eastAsia="bg-BG"/>
        </w:rPr>
      </w:pPr>
      <w:r w:rsidRPr="00C377A7">
        <w:rPr>
          <w:rFonts w:eastAsia="Times New Roman" w:cs="Arial"/>
          <w:color w:val="000000"/>
          <w:lang w:eastAsia="bg-BG"/>
        </w:rPr>
        <w:t>Азибиот трябва да се дава като еднократна дневна доза. Продължителността на леч</w:t>
      </w:r>
      <w:r w:rsidRPr="00C377A7">
        <w:rPr>
          <w:rFonts w:eastAsia="Times New Roman" w:cs="Arial"/>
          <w:color w:val="000000"/>
          <w:lang w:val="en-US"/>
        </w:rPr>
        <w:t>e</w:t>
      </w:r>
      <w:r w:rsidRPr="00C377A7">
        <w:rPr>
          <w:rFonts w:eastAsia="Times New Roman" w:cs="Arial"/>
          <w:color w:val="000000"/>
          <w:lang w:eastAsia="bg-BG"/>
        </w:rPr>
        <w:t>нието при различните инфекциозни заболявания е дадена по-долу.</w:t>
      </w:r>
    </w:p>
    <w:p w14:paraId="341BC762" w14:textId="77777777" w:rsidR="00C377A7" w:rsidRPr="00C377A7" w:rsidRDefault="00C377A7" w:rsidP="00C377A7">
      <w:pPr>
        <w:spacing w:line="240" w:lineRule="auto"/>
        <w:rPr>
          <w:rFonts w:eastAsia="Times New Roman" w:cs="Arial"/>
          <w:color w:val="000000"/>
          <w:u w:val="single"/>
          <w:lang w:eastAsia="bg-BG"/>
        </w:rPr>
      </w:pPr>
    </w:p>
    <w:p w14:paraId="569B9B07" w14:textId="25B5376B" w:rsidR="00C377A7" w:rsidRPr="00C377A7" w:rsidRDefault="00C377A7" w:rsidP="00C377A7">
      <w:pPr>
        <w:spacing w:line="240" w:lineRule="auto"/>
        <w:rPr>
          <w:rFonts w:eastAsia="Times New Roman" w:cs="Arial"/>
          <w:sz w:val="24"/>
          <w:szCs w:val="24"/>
          <w:lang w:eastAsia="bg-BG"/>
        </w:rPr>
      </w:pPr>
      <w:r w:rsidRPr="00C377A7">
        <w:rPr>
          <w:rFonts w:eastAsia="Times New Roman" w:cs="Arial"/>
          <w:color w:val="000000"/>
          <w:u w:val="single"/>
          <w:lang w:eastAsia="bg-BG"/>
        </w:rPr>
        <w:t xml:space="preserve">Деца и юноши с телесно тегло 45 </w:t>
      </w:r>
      <w:r w:rsidRPr="00C377A7">
        <w:rPr>
          <w:rFonts w:eastAsia="Times New Roman" w:cs="Arial"/>
          <w:color w:val="000000"/>
          <w:u w:val="single"/>
          <w:lang w:val="en-US"/>
        </w:rPr>
        <w:t xml:space="preserve">kg </w:t>
      </w:r>
      <w:r w:rsidRPr="00C377A7">
        <w:rPr>
          <w:rFonts w:eastAsia="Times New Roman" w:cs="Arial"/>
          <w:color w:val="000000"/>
          <w:u w:val="single"/>
          <w:lang w:eastAsia="bg-BG"/>
        </w:rPr>
        <w:t>или повече, възрастни и пациенти в напреднала възраст</w:t>
      </w:r>
      <w:r w:rsidRPr="00C377A7">
        <w:rPr>
          <w:rFonts w:eastAsia="Times New Roman" w:cs="Arial"/>
          <w:color w:val="000000"/>
          <w:lang w:eastAsia="bg-BG"/>
        </w:rPr>
        <w:t xml:space="preserve"> Общата доза е 1500 </w:t>
      </w:r>
      <w:r w:rsidRPr="00C377A7">
        <w:rPr>
          <w:rFonts w:eastAsia="Times New Roman" w:cs="Arial"/>
          <w:color w:val="000000"/>
          <w:lang w:val="en-US"/>
        </w:rPr>
        <w:t xml:space="preserve">mg, </w:t>
      </w:r>
      <w:r w:rsidRPr="00C377A7">
        <w:rPr>
          <w:rFonts w:eastAsia="Times New Roman" w:cs="Arial"/>
          <w:color w:val="000000"/>
          <w:lang w:eastAsia="bg-BG"/>
        </w:rPr>
        <w:t xml:space="preserve">приложена като 500 </w:t>
      </w:r>
      <w:r w:rsidRPr="00C377A7">
        <w:rPr>
          <w:rFonts w:eastAsia="Times New Roman" w:cs="Arial"/>
          <w:color w:val="000000"/>
          <w:lang w:val="en-US"/>
        </w:rPr>
        <w:t xml:space="preserve">mg </w:t>
      </w:r>
      <w:r w:rsidRPr="00C377A7">
        <w:rPr>
          <w:rFonts w:eastAsia="Times New Roman" w:cs="Arial"/>
          <w:color w:val="000000"/>
          <w:lang w:eastAsia="bg-BG"/>
        </w:rPr>
        <w:t>веднъж дневно в продължение на 3 дни.</w:t>
      </w:r>
    </w:p>
    <w:p w14:paraId="54416B15" w14:textId="28BCC754" w:rsidR="00C377A7" w:rsidRPr="00C377A7" w:rsidRDefault="00C377A7" w:rsidP="00C377A7">
      <w:pPr>
        <w:rPr>
          <w:rFonts w:eastAsia="Times New Roman" w:cs="Arial"/>
          <w:color w:val="000000"/>
          <w:lang w:eastAsia="bg-BG"/>
        </w:rPr>
      </w:pPr>
      <w:r w:rsidRPr="00C377A7">
        <w:rPr>
          <w:rFonts w:eastAsia="Times New Roman" w:cs="Arial"/>
          <w:color w:val="000000"/>
          <w:lang w:eastAsia="bg-BG"/>
        </w:rPr>
        <w:t xml:space="preserve">Алтернативно, същата доза (1500 </w:t>
      </w:r>
      <w:r w:rsidRPr="00C377A7">
        <w:rPr>
          <w:rFonts w:eastAsia="Times New Roman" w:cs="Arial"/>
          <w:color w:val="000000"/>
          <w:lang w:val="en-US"/>
        </w:rPr>
        <w:t xml:space="preserve">mg) </w:t>
      </w:r>
      <w:r w:rsidRPr="00C377A7">
        <w:rPr>
          <w:rFonts w:eastAsia="Times New Roman" w:cs="Arial"/>
          <w:color w:val="000000"/>
          <w:lang w:eastAsia="bg-BG"/>
        </w:rPr>
        <w:t xml:space="preserve">може да се прилага в продължение на 5 дни, 500 </w:t>
      </w:r>
      <w:r w:rsidRPr="00C377A7">
        <w:rPr>
          <w:rFonts w:eastAsia="Times New Roman" w:cs="Arial"/>
          <w:color w:val="000000"/>
          <w:lang w:val="en-US"/>
        </w:rPr>
        <w:t xml:space="preserve">mg </w:t>
      </w:r>
      <w:r w:rsidRPr="00C377A7">
        <w:rPr>
          <w:rFonts w:eastAsia="Times New Roman" w:cs="Arial"/>
          <w:color w:val="000000"/>
          <w:lang w:eastAsia="bg-BG"/>
        </w:rPr>
        <w:t xml:space="preserve">като еднократна доза първия ден и 250 </w:t>
      </w:r>
      <w:r w:rsidRPr="00C377A7">
        <w:rPr>
          <w:rFonts w:eastAsia="Times New Roman" w:cs="Arial"/>
          <w:color w:val="000000"/>
          <w:lang w:val="en-US"/>
        </w:rPr>
        <w:t xml:space="preserve">mg </w:t>
      </w:r>
      <w:r w:rsidRPr="00C377A7">
        <w:rPr>
          <w:rFonts w:eastAsia="Times New Roman" w:cs="Arial"/>
          <w:color w:val="000000"/>
          <w:lang w:eastAsia="bg-BG"/>
        </w:rPr>
        <w:t>веднъж дневно в дни от 2 до 5.</w:t>
      </w:r>
    </w:p>
    <w:p w14:paraId="6D37BB5A" w14:textId="0E1B63BC" w:rsidR="00C377A7" w:rsidRPr="00C377A7" w:rsidRDefault="00C377A7" w:rsidP="00C377A7">
      <w:pPr>
        <w:rPr>
          <w:rFonts w:eastAsia="Times New Roman" w:cs="Arial"/>
          <w:color w:val="000000"/>
          <w:lang w:eastAsia="bg-BG"/>
        </w:rPr>
      </w:pPr>
    </w:p>
    <w:p w14:paraId="2E8CDB7E" w14:textId="77777777" w:rsidR="00C377A7" w:rsidRPr="00C377A7" w:rsidRDefault="00C377A7" w:rsidP="00C377A7">
      <w:pPr>
        <w:spacing w:line="240" w:lineRule="auto"/>
        <w:rPr>
          <w:rFonts w:eastAsia="Times New Roman" w:cs="Arial"/>
          <w:sz w:val="24"/>
          <w:szCs w:val="24"/>
          <w:lang w:eastAsia="bg-BG"/>
        </w:rPr>
      </w:pPr>
      <w:r w:rsidRPr="00C377A7">
        <w:rPr>
          <w:rFonts w:eastAsia="Times New Roman" w:cs="Arial"/>
          <w:color w:val="000000"/>
          <w:lang w:eastAsia="bg-BG"/>
        </w:rPr>
        <w:t xml:space="preserve">В случай на неусложнени уретрит и цервицит, причинени от </w:t>
      </w:r>
      <w:r w:rsidRPr="00C377A7">
        <w:rPr>
          <w:rFonts w:eastAsia="Times New Roman" w:cs="Arial"/>
          <w:i/>
          <w:iCs/>
          <w:color w:val="000000"/>
          <w:lang w:val="en-US"/>
        </w:rPr>
        <w:t>Chlamydia trachomatis,</w:t>
      </w:r>
      <w:r w:rsidRPr="00C377A7">
        <w:rPr>
          <w:rFonts w:eastAsia="Times New Roman" w:cs="Arial"/>
          <w:color w:val="000000"/>
          <w:lang w:val="en-US"/>
        </w:rPr>
        <w:t xml:space="preserve"> </w:t>
      </w:r>
      <w:r w:rsidRPr="00C377A7">
        <w:rPr>
          <w:rFonts w:eastAsia="Times New Roman" w:cs="Arial"/>
          <w:color w:val="000000"/>
          <w:lang w:eastAsia="bg-BG"/>
        </w:rPr>
        <w:t xml:space="preserve">дозата е 1 000 </w:t>
      </w:r>
      <w:r w:rsidRPr="00C377A7">
        <w:rPr>
          <w:rFonts w:eastAsia="Times New Roman" w:cs="Arial"/>
          <w:color w:val="000000"/>
          <w:lang w:val="en-US"/>
        </w:rPr>
        <w:t xml:space="preserve">mg </w:t>
      </w:r>
      <w:r w:rsidRPr="00C377A7">
        <w:rPr>
          <w:rFonts w:eastAsia="Times New Roman" w:cs="Arial"/>
          <w:color w:val="000000"/>
          <w:lang w:eastAsia="bg-BG"/>
        </w:rPr>
        <w:t>като еднократна перорална доза.</w:t>
      </w:r>
    </w:p>
    <w:p w14:paraId="7B385278" w14:textId="77777777" w:rsidR="00C377A7" w:rsidRPr="00C377A7" w:rsidRDefault="00C377A7" w:rsidP="00C377A7">
      <w:pPr>
        <w:spacing w:line="240" w:lineRule="auto"/>
        <w:rPr>
          <w:rFonts w:eastAsia="Times New Roman" w:cs="Arial"/>
          <w:color w:val="000000"/>
          <w:u w:val="single"/>
          <w:lang w:eastAsia="bg-BG"/>
        </w:rPr>
      </w:pPr>
    </w:p>
    <w:p w14:paraId="6CCD35A1" w14:textId="1E4C968D" w:rsidR="00C377A7" w:rsidRPr="00C377A7" w:rsidRDefault="00C377A7" w:rsidP="00C377A7">
      <w:pPr>
        <w:spacing w:line="240" w:lineRule="auto"/>
        <w:rPr>
          <w:rFonts w:eastAsia="Times New Roman" w:cs="Arial"/>
          <w:sz w:val="24"/>
          <w:szCs w:val="24"/>
          <w:lang w:eastAsia="bg-BG"/>
        </w:rPr>
      </w:pPr>
      <w:r w:rsidRPr="00C377A7">
        <w:rPr>
          <w:rFonts w:eastAsia="Times New Roman" w:cs="Arial"/>
          <w:color w:val="000000"/>
          <w:u w:val="single"/>
          <w:lang w:eastAsia="bg-BG"/>
        </w:rPr>
        <w:t xml:space="preserve">Възрастни и юноши с телесно тегло под </w:t>
      </w:r>
      <w:r w:rsidRPr="00C377A7">
        <w:rPr>
          <w:rFonts w:eastAsia="Times New Roman" w:cs="Arial"/>
          <w:color w:val="000000"/>
          <w:u w:val="single"/>
          <w:lang w:val="en-US"/>
        </w:rPr>
        <w:t>45kg:</w:t>
      </w:r>
    </w:p>
    <w:p w14:paraId="178F5EEC" w14:textId="77777777" w:rsidR="00C377A7" w:rsidRPr="00C377A7" w:rsidRDefault="00C377A7" w:rsidP="00C377A7">
      <w:pPr>
        <w:spacing w:line="240" w:lineRule="auto"/>
        <w:rPr>
          <w:rFonts w:eastAsia="Times New Roman" w:cs="Arial"/>
          <w:sz w:val="24"/>
          <w:szCs w:val="24"/>
          <w:lang w:eastAsia="bg-BG"/>
        </w:rPr>
      </w:pPr>
      <w:r w:rsidRPr="00C377A7">
        <w:rPr>
          <w:rFonts w:eastAsia="Times New Roman" w:cs="Arial"/>
          <w:color w:val="000000"/>
          <w:lang w:eastAsia="bg-BG"/>
        </w:rPr>
        <w:t xml:space="preserve">Азибиот не са подходящи за деца с телесно тегло под 45 </w:t>
      </w:r>
      <w:r w:rsidRPr="00C377A7">
        <w:rPr>
          <w:rFonts w:eastAsia="Times New Roman" w:cs="Arial"/>
          <w:color w:val="000000"/>
          <w:lang w:val="en-US"/>
        </w:rPr>
        <w:t xml:space="preserve">kg. </w:t>
      </w:r>
      <w:r w:rsidRPr="00C377A7">
        <w:rPr>
          <w:rFonts w:eastAsia="Times New Roman" w:cs="Arial"/>
          <w:color w:val="000000"/>
          <w:lang w:eastAsia="bg-BG"/>
        </w:rPr>
        <w:t>За тази група пациенти се препоръчват други лекарствени форми на азитромицин.</w:t>
      </w:r>
    </w:p>
    <w:p w14:paraId="11D564D3" w14:textId="77777777" w:rsidR="00C377A7" w:rsidRPr="00C377A7" w:rsidRDefault="00C377A7" w:rsidP="00C377A7">
      <w:pPr>
        <w:spacing w:line="240" w:lineRule="auto"/>
        <w:rPr>
          <w:rFonts w:eastAsia="Times New Roman" w:cs="Arial"/>
          <w:color w:val="000000"/>
          <w:u w:val="single"/>
          <w:lang w:eastAsia="bg-BG"/>
        </w:rPr>
      </w:pPr>
    </w:p>
    <w:p w14:paraId="723939E8" w14:textId="3AC0CF16" w:rsidR="00C377A7" w:rsidRPr="00C377A7" w:rsidRDefault="00C377A7" w:rsidP="00C377A7">
      <w:pPr>
        <w:spacing w:line="240" w:lineRule="auto"/>
        <w:rPr>
          <w:rFonts w:eastAsia="Times New Roman" w:cs="Arial"/>
          <w:sz w:val="24"/>
          <w:szCs w:val="24"/>
          <w:lang w:eastAsia="bg-BG"/>
        </w:rPr>
      </w:pPr>
      <w:r w:rsidRPr="00C377A7">
        <w:rPr>
          <w:rFonts w:eastAsia="Times New Roman" w:cs="Arial"/>
          <w:color w:val="000000"/>
          <w:u w:val="single"/>
          <w:lang w:eastAsia="bg-BG"/>
        </w:rPr>
        <w:t>Пациенти в напреднала възраст</w:t>
      </w:r>
      <w:r w:rsidRPr="00C377A7">
        <w:rPr>
          <w:rFonts w:eastAsia="Times New Roman" w:cs="Arial"/>
          <w:color w:val="000000"/>
          <w:lang w:eastAsia="bg-BG"/>
        </w:rPr>
        <w:t>:</w:t>
      </w:r>
    </w:p>
    <w:p w14:paraId="186F5FA3" w14:textId="77777777" w:rsidR="00C377A7" w:rsidRPr="00C377A7" w:rsidRDefault="00C377A7" w:rsidP="00C377A7">
      <w:pPr>
        <w:spacing w:line="240" w:lineRule="auto"/>
        <w:rPr>
          <w:rFonts w:eastAsia="Times New Roman" w:cs="Arial"/>
          <w:sz w:val="24"/>
          <w:szCs w:val="24"/>
          <w:lang w:eastAsia="bg-BG"/>
        </w:rPr>
      </w:pPr>
      <w:r w:rsidRPr="00C377A7">
        <w:rPr>
          <w:rFonts w:eastAsia="Times New Roman" w:cs="Arial"/>
          <w:color w:val="000000"/>
          <w:lang w:eastAsia="bg-BG"/>
        </w:rPr>
        <w:t xml:space="preserve">При пациентите в напреднала възраст се прилага същата доза както при възрастни пациенти. Тъй като пациентите в напреднала възраст могат да бъдат пациенти с проаритмични състояния препоръчва се особено внимание поради риска от развитие на сърдечна аритмия и </w:t>
      </w:r>
      <w:proofErr w:type="spellStart"/>
      <w:r w:rsidRPr="00C377A7">
        <w:rPr>
          <w:rFonts w:eastAsia="Times New Roman" w:cs="Arial"/>
          <w:color w:val="000000"/>
          <w:lang w:val="en-US"/>
        </w:rPr>
        <w:t>torsades</w:t>
      </w:r>
      <w:proofErr w:type="spellEnd"/>
      <w:r w:rsidRPr="00C377A7">
        <w:rPr>
          <w:rFonts w:eastAsia="Times New Roman" w:cs="Arial"/>
          <w:color w:val="000000"/>
          <w:lang w:val="en-US"/>
        </w:rPr>
        <w:t xml:space="preserve"> de pointes. </w:t>
      </w:r>
      <w:r w:rsidRPr="00C377A7">
        <w:rPr>
          <w:rFonts w:eastAsia="Times New Roman" w:cs="Arial"/>
          <w:color w:val="000000"/>
          <w:lang w:eastAsia="bg-BG"/>
        </w:rPr>
        <w:t>(вж. точка 4.4).</w:t>
      </w:r>
    </w:p>
    <w:p w14:paraId="34D9BB9F" w14:textId="77777777" w:rsidR="00C377A7" w:rsidRPr="00C377A7" w:rsidRDefault="00C377A7" w:rsidP="00C377A7">
      <w:pPr>
        <w:spacing w:line="240" w:lineRule="auto"/>
        <w:rPr>
          <w:rFonts w:eastAsia="Times New Roman" w:cs="Arial"/>
          <w:color w:val="000000"/>
          <w:u w:val="single"/>
          <w:lang w:eastAsia="bg-BG"/>
        </w:rPr>
      </w:pPr>
    </w:p>
    <w:p w14:paraId="03B4A87D" w14:textId="4289A05C" w:rsidR="00C377A7" w:rsidRPr="00C377A7" w:rsidRDefault="00C377A7" w:rsidP="00C377A7">
      <w:pPr>
        <w:spacing w:line="240" w:lineRule="auto"/>
        <w:rPr>
          <w:rFonts w:eastAsia="Times New Roman" w:cs="Arial"/>
          <w:sz w:val="24"/>
          <w:szCs w:val="24"/>
          <w:lang w:eastAsia="bg-BG"/>
        </w:rPr>
      </w:pPr>
      <w:r w:rsidRPr="00C377A7">
        <w:rPr>
          <w:rFonts w:eastAsia="Times New Roman" w:cs="Arial"/>
          <w:color w:val="000000"/>
          <w:u w:val="single"/>
          <w:lang w:eastAsia="bg-BG"/>
        </w:rPr>
        <w:t>Пациенти с бъбречно увреждане</w:t>
      </w:r>
    </w:p>
    <w:p w14:paraId="44B086B2" w14:textId="77777777" w:rsidR="00C377A7" w:rsidRPr="00C377A7" w:rsidRDefault="00C377A7" w:rsidP="00C377A7">
      <w:pPr>
        <w:spacing w:line="240" w:lineRule="auto"/>
        <w:rPr>
          <w:rFonts w:eastAsia="Times New Roman" w:cs="Arial"/>
          <w:sz w:val="24"/>
          <w:szCs w:val="24"/>
          <w:lang w:eastAsia="bg-BG"/>
        </w:rPr>
      </w:pPr>
      <w:r w:rsidRPr="00C377A7">
        <w:rPr>
          <w:rFonts w:eastAsia="Times New Roman" w:cs="Arial"/>
          <w:color w:val="000000"/>
          <w:lang w:eastAsia="bg-BG"/>
        </w:rPr>
        <w:t xml:space="preserve">При пациенти с леко увредена бъбречна функция </w:t>
      </w:r>
      <w:r w:rsidRPr="00C377A7">
        <w:rPr>
          <w:rFonts w:eastAsia="Times New Roman" w:cs="Arial"/>
          <w:color w:val="000000"/>
          <w:lang w:val="en-US"/>
        </w:rPr>
        <w:t xml:space="preserve">(GFR </w:t>
      </w:r>
      <w:r w:rsidRPr="00C377A7">
        <w:rPr>
          <w:rFonts w:eastAsia="Times New Roman" w:cs="Arial"/>
          <w:color w:val="000000"/>
          <w:lang w:eastAsia="bg-BG"/>
        </w:rPr>
        <w:t xml:space="preserve">10-80 </w:t>
      </w:r>
      <w:r w:rsidRPr="00C377A7">
        <w:rPr>
          <w:rFonts w:eastAsia="Times New Roman" w:cs="Arial"/>
          <w:color w:val="000000"/>
          <w:lang w:val="en-US"/>
        </w:rPr>
        <w:t xml:space="preserve">ml/min) </w:t>
      </w:r>
      <w:r w:rsidRPr="00C377A7">
        <w:rPr>
          <w:rFonts w:eastAsia="Times New Roman" w:cs="Arial"/>
          <w:color w:val="000000"/>
          <w:lang w:eastAsia="bg-BG"/>
        </w:rPr>
        <w:t>не е необходима корекция на дозировката, (вж. точка 4.4).</w:t>
      </w:r>
    </w:p>
    <w:p w14:paraId="432C38D9" w14:textId="77777777" w:rsidR="00C377A7" w:rsidRPr="00C377A7" w:rsidRDefault="00C377A7" w:rsidP="00C377A7">
      <w:pPr>
        <w:spacing w:line="240" w:lineRule="auto"/>
        <w:rPr>
          <w:rFonts w:eastAsia="Times New Roman" w:cs="Arial"/>
          <w:sz w:val="24"/>
          <w:szCs w:val="24"/>
          <w:lang w:eastAsia="bg-BG"/>
        </w:rPr>
      </w:pPr>
      <w:r w:rsidRPr="00C377A7">
        <w:rPr>
          <w:rFonts w:eastAsia="Times New Roman" w:cs="Arial"/>
          <w:color w:val="000000"/>
          <w:lang w:eastAsia="bg-BG"/>
        </w:rPr>
        <w:t xml:space="preserve">Препоръчва се повишено внимание при употреба на азитромицин от пациенти с тежко бъбречно увреждане </w:t>
      </w:r>
      <w:r w:rsidRPr="00C377A7">
        <w:rPr>
          <w:rFonts w:eastAsia="Times New Roman" w:cs="Arial"/>
          <w:color w:val="000000"/>
          <w:lang w:val="en-US"/>
        </w:rPr>
        <w:t xml:space="preserve">(GFR </w:t>
      </w:r>
      <w:r w:rsidRPr="00C377A7">
        <w:rPr>
          <w:rFonts w:eastAsia="Times New Roman" w:cs="Arial"/>
          <w:color w:val="000000"/>
          <w:lang w:eastAsia="bg-BG"/>
        </w:rPr>
        <w:t xml:space="preserve">&lt; 10 </w:t>
      </w:r>
      <w:r w:rsidRPr="00C377A7">
        <w:rPr>
          <w:rFonts w:eastAsia="Times New Roman" w:cs="Arial"/>
          <w:color w:val="000000"/>
          <w:lang w:val="en-US"/>
        </w:rPr>
        <w:t xml:space="preserve">ml/min) </w:t>
      </w:r>
      <w:r w:rsidRPr="00C377A7">
        <w:rPr>
          <w:rFonts w:eastAsia="Times New Roman" w:cs="Arial"/>
          <w:color w:val="000000"/>
          <w:lang w:eastAsia="bg-BG"/>
        </w:rPr>
        <w:t>(вж. точка 4.4 и 5.2).</w:t>
      </w:r>
    </w:p>
    <w:p w14:paraId="27E622A2" w14:textId="77777777" w:rsidR="00C377A7" w:rsidRPr="00C377A7" w:rsidRDefault="00C377A7" w:rsidP="00C377A7">
      <w:pPr>
        <w:spacing w:line="240" w:lineRule="auto"/>
        <w:rPr>
          <w:rFonts w:eastAsia="Times New Roman" w:cs="Arial"/>
          <w:color w:val="000000"/>
          <w:u w:val="single"/>
          <w:lang w:eastAsia="bg-BG"/>
        </w:rPr>
      </w:pPr>
    </w:p>
    <w:p w14:paraId="128DC30A" w14:textId="1FFF8035" w:rsidR="00C377A7" w:rsidRPr="00C377A7" w:rsidRDefault="00C377A7" w:rsidP="00C377A7">
      <w:pPr>
        <w:spacing w:line="240" w:lineRule="auto"/>
        <w:rPr>
          <w:rFonts w:eastAsia="Times New Roman" w:cs="Arial"/>
          <w:sz w:val="24"/>
          <w:szCs w:val="24"/>
          <w:lang w:eastAsia="bg-BG"/>
        </w:rPr>
      </w:pPr>
      <w:r w:rsidRPr="00C377A7">
        <w:rPr>
          <w:rFonts w:eastAsia="Times New Roman" w:cs="Arial"/>
          <w:color w:val="000000"/>
          <w:u w:val="single"/>
          <w:lang w:eastAsia="bg-BG"/>
        </w:rPr>
        <w:t>Пациенти с чернодробно увреждане</w:t>
      </w:r>
      <w:r w:rsidRPr="00C377A7">
        <w:rPr>
          <w:rFonts w:eastAsia="Times New Roman" w:cs="Arial"/>
          <w:color w:val="000000"/>
          <w:lang w:eastAsia="bg-BG"/>
        </w:rPr>
        <w:t>:</w:t>
      </w:r>
    </w:p>
    <w:p w14:paraId="638000D1" w14:textId="77777777" w:rsidR="00C377A7" w:rsidRPr="00C377A7" w:rsidRDefault="00C377A7" w:rsidP="00C377A7">
      <w:pPr>
        <w:spacing w:line="240" w:lineRule="auto"/>
        <w:rPr>
          <w:rFonts w:eastAsia="Times New Roman" w:cs="Arial"/>
          <w:sz w:val="24"/>
          <w:szCs w:val="24"/>
          <w:lang w:eastAsia="bg-BG"/>
        </w:rPr>
      </w:pPr>
      <w:r w:rsidRPr="00C377A7">
        <w:rPr>
          <w:rFonts w:eastAsia="Times New Roman" w:cs="Arial"/>
          <w:color w:val="000000"/>
          <w:lang w:eastAsia="bg-BG"/>
        </w:rPr>
        <w:t xml:space="preserve">Не се изисква коригиране на дозата при пациенти с лека до умерена степен на чернодробна дисфункция. </w:t>
      </w:r>
      <w:r w:rsidRPr="00C377A7">
        <w:rPr>
          <w:rFonts w:eastAsia="Times New Roman" w:cs="Arial"/>
          <w:color w:val="000000"/>
          <w:lang w:val="en-US"/>
        </w:rPr>
        <w:t xml:space="preserve">(Child-Pugh </w:t>
      </w:r>
      <w:r w:rsidRPr="00C377A7">
        <w:rPr>
          <w:rFonts w:eastAsia="Times New Roman" w:cs="Arial"/>
          <w:color w:val="000000"/>
          <w:lang w:eastAsia="bg-BG"/>
        </w:rPr>
        <w:t>клас А или В).</w:t>
      </w:r>
    </w:p>
    <w:p w14:paraId="40AC35E1" w14:textId="77777777" w:rsidR="00C377A7" w:rsidRPr="00C377A7" w:rsidRDefault="00C377A7" w:rsidP="00C377A7">
      <w:pPr>
        <w:spacing w:line="240" w:lineRule="auto"/>
        <w:rPr>
          <w:rFonts w:eastAsia="Times New Roman" w:cs="Arial"/>
          <w:sz w:val="24"/>
          <w:szCs w:val="24"/>
          <w:lang w:eastAsia="bg-BG"/>
        </w:rPr>
      </w:pPr>
      <w:r w:rsidRPr="00C377A7">
        <w:rPr>
          <w:rFonts w:eastAsia="Times New Roman" w:cs="Arial"/>
          <w:color w:val="000000"/>
          <w:lang w:eastAsia="bg-BG"/>
        </w:rPr>
        <w:t>Тъй като азитромицин се метаболизира в черния дроб и се екскретира чрез жлъчката, азитромицин не трябва да се приема от пациенти, страдащи от тежко чернодробно заболяване. Не са провеждани проучвания, свързани с лечение с азитромицин при тези пациенти (вж. точка 4.4).</w:t>
      </w:r>
    </w:p>
    <w:p w14:paraId="1176DDC3" w14:textId="77777777" w:rsidR="00C377A7" w:rsidRPr="00C377A7" w:rsidRDefault="00C377A7" w:rsidP="00C377A7">
      <w:pPr>
        <w:spacing w:line="240" w:lineRule="auto"/>
        <w:rPr>
          <w:rFonts w:eastAsia="Times New Roman" w:cs="Arial"/>
          <w:color w:val="000000"/>
          <w:u w:val="single"/>
          <w:lang w:eastAsia="bg-BG"/>
        </w:rPr>
      </w:pPr>
    </w:p>
    <w:p w14:paraId="299BDE6B" w14:textId="42CB6F3A" w:rsidR="00C377A7" w:rsidRPr="00C377A7" w:rsidRDefault="00C377A7" w:rsidP="00C377A7">
      <w:pPr>
        <w:pStyle w:val="Heading3"/>
        <w:rPr>
          <w:rFonts w:eastAsia="Times New Roman"/>
          <w:u w:val="single"/>
          <w:lang w:eastAsia="bg-BG"/>
        </w:rPr>
      </w:pPr>
      <w:r w:rsidRPr="00C377A7">
        <w:rPr>
          <w:rFonts w:eastAsia="Times New Roman"/>
          <w:u w:val="single"/>
          <w:lang w:eastAsia="bg-BG"/>
        </w:rPr>
        <w:t>Начин на приложение</w:t>
      </w:r>
    </w:p>
    <w:p w14:paraId="4BCDD679" w14:textId="02B5230F" w:rsidR="00C377A7" w:rsidRDefault="00C377A7" w:rsidP="00C377A7">
      <w:pPr>
        <w:rPr>
          <w:rFonts w:eastAsia="Times New Roman" w:cs="Arial"/>
          <w:color w:val="000000"/>
          <w:lang w:eastAsia="bg-BG"/>
        </w:rPr>
      </w:pPr>
      <w:r w:rsidRPr="00C377A7">
        <w:rPr>
          <w:rFonts w:eastAsia="Times New Roman" w:cs="Arial"/>
          <w:color w:val="000000"/>
          <w:lang w:eastAsia="bg-BG"/>
        </w:rPr>
        <w:t>Таблетките могат да се приемат с или без храна. Таблетките трябва да се приемат с вода.</w:t>
      </w:r>
    </w:p>
    <w:p w14:paraId="7A0E97B7" w14:textId="77777777" w:rsidR="00C377A7" w:rsidRPr="00C377A7" w:rsidRDefault="00C377A7" w:rsidP="00C377A7">
      <w:pPr>
        <w:rPr>
          <w:rFonts w:cs="Arial"/>
        </w:rPr>
      </w:pPr>
    </w:p>
    <w:p w14:paraId="5D9E65DA" w14:textId="3AAD1038" w:rsidR="009F77A4" w:rsidRDefault="002C50EE" w:rsidP="00387A66">
      <w:pPr>
        <w:pStyle w:val="Heading2"/>
      </w:pPr>
      <w:r>
        <w:t>4.3. Противопоказания</w:t>
      </w:r>
    </w:p>
    <w:p w14:paraId="1C541740" w14:textId="610CC319" w:rsidR="00C377A7" w:rsidRDefault="00C377A7" w:rsidP="00C377A7"/>
    <w:p w14:paraId="41A56F8C" w14:textId="68BAF521" w:rsidR="00C377A7" w:rsidRPr="00C377A7" w:rsidRDefault="00C377A7" w:rsidP="00C377A7">
      <w:pPr>
        <w:rPr>
          <w:sz w:val="24"/>
          <w:szCs w:val="24"/>
          <w:lang w:eastAsia="bg-BG"/>
        </w:rPr>
      </w:pPr>
      <w:r w:rsidRPr="00C377A7">
        <w:rPr>
          <w:lang w:eastAsia="bg-BG"/>
        </w:rPr>
        <w:t>Свръхчувствителност към азитромицин, еритромицин, други макролиди или кетолидни антибиотици или някое от помощните вещества, изброени в точка 6.1.</w:t>
      </w:r>
    </w:p>
    <w:p w14:paraId="1C27CE53" w14:textId="7E06C994" w:rsidR="009F77A4" w:rsidRDefault="002C50EE" w:rsidP="00387A66">
      <w:pPr>
        <w:pStyle w:val="Heading2"/>
      </w:pPr>
      <w:r>
        <w:lastRenderedPageBreak/>
        <w:t>4.4. Специални предупреждения и предпазни мерки при употреба</w:t>
      </w:r>
    </w:p>
    <w:p w14:paraId="657034C4" w14:textId="1CA522BD" w:rsidR="00C377A7" w:rsidRPr="00C377A7" w:rsidRDefault="00C377A7" w:rsidP="00C377A7">
      <w:pPr>
        <w:rPr>
          <w:rFonts w:cs="Arial"/>
        </w:rPr>
      </w:pPr>
    </w:p>
    <w:p w14:paraId="19C32A4A" w14:textId="77777777" w:rsidR="00C377A7" w:rsidRPr="00C377A7" w:rsidRDefault="00C377A7" w:rsidP="00C377A7">
      <w:pPr>
        <w:spacing w:line="240" w:lineRule="auto"/>
        <w:rPr>
          <w:rFonts w:eastAsia="Times New Roman" w:cs="Arial"/>
          <w:lang w:eastAsia="bg-BG"/>
        </w:rPr>
      </w:pPr>
      <w:r w:rsidRPr="00C377A7">
        <w:rPr>
          <w:rFonts w:eastAsia="Times New Roman" w:cs="Arial"/>
          <w:color w:val="000000"/>
          <w:u w:val="single"/>
          <w:lang w:eastAsia="bg-BG"/>
        </w:rPr>
        <w:t>Свръхчувствителност</w:t>
      </w:r>
    </w:p>
    <w:p w14:paraId="6F3A0AA2" w14:textId="77777777"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t xml:space="preserve">Както при еритромицин и другите макролиди, се съобщава за редки сериозни алергични реакции, включително ангионевротичен едем и анафилаксия (рядко с летален изход), дерматологични реакции, включително остра генерализирана екзантематозна пустулоза </w:t>
      </w:r>
      <w:r w:rsidRPr="00C377A7">
        <w:rPr>
          <w:rFonts w:eastAsia="Times New Roman" w:cs="Arial"/>
          <w:color w:val="000000"/>
          <w:lang w:val="en-US"/>
        </w:rPr>
        <w:t xml:space="preserve">(AGEP), </w:t>
      </w:r>
      <w:r w:rsidRPr="00C377A7">
        <w:rPr>
          <w:rFonts w:eastAsia="Times New Roman" w:cs="Arial"/>
          <w:color w:val="000000"/>
          <w:lang w:eastAsia="bg-BG"/>
        </w:rPr>
        <w:t xml:space="preserve">синдром на </w:t>
      </w:r>
      <w:r w:rsidRPr="00C377A7">
        <w:rPr>
          <w:rFonts w:eastAsia="Times New Roman" w:cs="Arial"/>
          <w:color w:val="000000"/>
          <w:lang w:val="en-US"/>
        </w:rPr>
        <w:t xml:space="preserve">Stevens Johnson (SJS), </w:t>
      </w:r>
      <w:r w:rsidRPr="00C377A7">
        <w:rPr>
          <w:rFonts w:eastAsia="Times New Roman" w:cs="Arial"/>
          <w:color w:val="000000"/>
          <w:lang w:eastAsia="bg-BG"/>
        </w:rPr>
        <w:t xml:space="preserve">токсична епидермална некролиза </w:t>
      </w:r>
      <w:r w:rsidRPr="00C377A7">
        <w:rPr>
          <w:rFonts w:eastAsia="Times New Roman" w:cs="Arial"/>
          <w:color w:val="000000"/>
          <w:lang w:val="en-US"/>
        </w:rPr>
        <w:t xml:space="preserve">(TEN) </w:t>
      </w:r>
      <w:r w:rsidRPr="00C377A7">
        <w:rPr>
          <w:rFonts w:eastAsia="Times New Roman" w:cs="Arial"/>
          <w:color w:val="000000"/>
          <w:lang w:eastAsia="bg-BG"/>
        </w:rPr>
        <w:t xml:space="preserve">(рядко с летален изход) и лекарствена реакция с еозинофилия и системни симптоми </w:t>
      </w:r>
      <w:r w:rsidRPr="00C377A7">
        <w:rPr>
          <w:rFonts w:eastAsia="Times New Roman" w:cs="Arial"/>
          <w:color w:val="000000"/>
          <w:lang w:val="en-US"/>
        </w:rPr>
        <w:t xml:space="preserve">(DRESS). </w:t>
      </w:r>
      <w:r w:rsidRPr="00C377A7">
        <w:rPr>
          <w:rFonts w:eastAsia="Times New Roman" w:cs="Arial"/>
          <w:color w:val="000000"/>
          <w:lang w:eastAsia="bg-BG"/>
        </w:rPr>
        <w:t xml:space="preserve">Някои от тези реакции при Азибиот 250 </w:t>
      </w:r>
      <w:r w:rsidRPr="00C377A7">
        <w:rPr>
          <w:rFonts w:eastAsia="Times New Roman" w:cs="Arial"/>
          <w:color w:val="000000"/>
          <w:lang w:val="en-US"/>
        </w:rPr>
        <w:t xml:space="preserve">mg </w:t>
      </w:r>
      <w:r w:rsidRPr="00C377A7">
        <w:rPr>
          <w:rFonts w:eastAsia="Times New Roman" w:cs="Arial"/>
          <w:color w:val="000000"/>
          <w:lang w:eastAsia="bg-BG"/>
        </w:rPr>
        <w:t>водят до рецидивиращи симптоми и изискват по-дълъг период на наблюдение и лечение.</w:t>
      </w:r>
    </w:p>
    <w:p w14:paraId="48C87786" w14:textId="77777777" w:rsidR="00C377A7" w:rsidRPr="00C377A7" w:rsidRDefault="00C377A7" w:rsidP="00C377A7">
      <w:pPr>
        <w:spacing w:line="240" w:lineRule="auto"/>
        <w:rPr>
          <w:rFonts w:eastAsia="Times New Roman" w:cs="Arial"/>
          <w:color w:val="000000"/>
          <w:lang w:eastAsia="bg-BG"/>
        </w:rPr>
      </w:pPr>
    </w:p>
    <w:p w14:paraId="20B6DA12" w14:textId="62328FEE"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t>Ако възникне алергична реакция, лекарството трябва да бъде спряно и да се започне подходяща терапия. Лекарите трябва да знаят, че е възможна повторна поява на алергичните симптоми при спиране на симптоматичната терапия,</w:t>
      </w:r>
    </w:p>
    <w:p w14:paraId="06D98792" w14:textId="77777777" w:rsidR="00C377A7" w:rsidRPr="00C377A7" w:rsidRDefault="00C377A7" w:rsidP="00C377A7">
      <w:pPr>
        <w:spacing w:line="240" w:lineRule="auto"/>
        <w:rPr>
          <w:rFonts w:eastAsia="Times New Roman" w:cs="Arial"/>
          <w:color w:val="000000"/>
          <w:lang w:eastAsia="bg-BG"/>
        </w:rPr>
      </w:pPr>
    </w:p>
    <w:p w14:paraId="21D8A9B3" w14:textId="421DA897" w:rsidR="00C377A7" w:rsidRPr="00C377A7" w:rsidRDefault="00C377A7" w:rsidP="00C377A7">
      <w:pPr>
        <w:spacing w:line="240" w:lineRule="auto"/>
        <w:rPr>
          <w:rFonts w:eastAsia="Times New Roman" w:cs="Arial"/>
          <w:u w:val="single"/>
          <w:lang w:eastAsia="bg-BG"/>
        </w:rPr>
      </w:pPr>
      <w:r w:rsidRPr="00C377A7">
        <w:rPr>
          <w:rFonts w:eastAsia="Times New Roman" w:cs="Arial"/>
          <w:color w:val="000000"/>
          <w:u w:val="single"/>
          <w:lang w:eastAsia="bg-BG"/>
        </w:rPr>
        <w:t>Хепатотоксичност</w:t>
      </w:r>
    </w:p>
    <w:p w14:paraId="61F2D622" w14:textId="77777777" w:rsidR="00C377A7" w:rsidRPr="00C377A7" w:rsidRDefault="00C377A7" w:rsidP="00C377A7">
      <w:pPr>
        <w:rPr>
          <w:rFonts w:eastAsia="Times New Roman" w:cs="Arial"/>
          <w:lang w:eastAsia="bg-BG"/>
        </w:rPr>
      </w:pPr>
      <w:r w:rsidRPr="00C377A7">
        <w:rPr>
          <w:rFonts w:eastAsia="Times New Roman" w:cs="Arial"/>
          <w:color w:val="000000"/>
          <w:lang w:eastAsia="bg-BG"/>
        </w:rPr>
        <w:t>Тъй като черният дроб е основния път на елиминиране на азитромицин, употребата на азитромицин трябва да бъде с повишено внимание при пациенти с чернодробни заболявания. Случаи на остър хепатит, потенциално водещи до животозастрашаваща чернодробна недостатъчност са докладвани при употребата на азитромицин (вж. точка 4.8). Някои пациенти</w:t>
      </w:r>
      <w:r w:rsidRPr="00C377A7">
        <w:rPr>
          <w:rFonts w:eastAsia="Times New Roman" w:cs="Arial"/>
          <w:color w:val="000000"/>
          <w:lang w:eastAsia="bg-BG"/>
        </w:rPr>
        <w:t xml:space="preserve"> </w:t>
      </w:r>
      <w:r w:rsidRPr="00C377A7">
        <w:rPr>
          <w:rFonts w:eastAsia="Times New Roman" w:cs="Arial"/>
          <w:color w:val="000000"/>
          <w:lang w:eastAsia="bg-BG"/>
        </w:rPr>
        <w:t>може да са имали предшестващо чернодробно заболяване или може да се окаже, че приемат други хепатотоксични лекарствени продукти.</w:t>
      </w:r>
    </w:p>
    <w:p w14:paraId="4D874D67" w14:textId="77777777" w:rsidR="00C377A7" w:rsidRPr="00C377A7" w:rsidRDefault="00C377A7" w:rsidP="00C377A7">
      <w:pPr>
        <w:spacing w:line="240" w:lineRule="auto"/>
        <w:rPr>
          <w:rFonts w:eastAsia="Times New Roman" w:cs="Arial"/>
          <w:color w:val="000000"/>
          <w:lang w:eastAsia="bg-BG"/>
        </w:rPr>
      </w:pPr>
    </w:p>
    <w:p w14:paraId="3C0DC59F" w14:textId="73884335"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t>Докладвани са случаи на нарушена чернодробна функция, хепатит, холестатична жълтеница, чернодробна некроза и чернодробна недостатъчност, някои от които са довели до смърт.</w:t>
      </w:r>
    </w:p>
    <w:p w14:paraId="2B3D8E49" w14:textId="77777777" w:rsidR="00C377A7" w:rsidRPr="00C377A7" w:rsidRDefault="00C377A7" w:rsidP="00C377A7">
      <w:pPr>
        <w:spacing w:line="240" w:lineRule="auto"/>
        <w:rPr>
          <w:rFonts w:eastAsia="Times New Roman" w:cs="Arial"/>
          <w:color w:val="000000"/>
          <w:lang w:eastAsia="bg-BG"/>
        </w:rPr>
      </w:pPr>
    </w:p>
    <w:p w14:paraId="7763347B" w14:textId="22B595B9"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t>В случаи на признаци и симптоми на чернодробна дисфункция, като бързо развиваща се астения, свързана с жълтеница, тъмна урина, склонност към кървене или чернодробна енцефалопатия, трябва да се извършат незабавно чернодробни функционални тестове/изследвания. Ако се появи нарушение на чернодробна функция, приемът на азитромицин трябва да бъде спрян.</w:t>
      </w:r>
    </w:p>
    <w:p w14:paraId="5BFFFE64" w14:textId="77777777" w:rsidR="00C377A7" w:rsidRPr="00C377A7" w:rsidRDefault="00C377A7" w:rsidP="00C377A7">
      <w:pPr>
        <w:spacing w:line="240" w:lineRule="auto"/>
        <w:rPr>
          <w:rFonts w:eastAsia="Times New Roman" w:cs="Arial"/>
          <w:color w:val="000000"/>
          <w:u w:val="single"/>
          <w:lang w:eastAsia="bg-BG"/>
        </w:rPr>
      </w:pPr>
    </w:p>
    <w:p w14:paraId="33E15D14" w14:textId="5AB139B7" w:rsidR="00C377A7" w:rsidRPr="00C377A7" w:rsidRDefault="00C377A7" w:rsidP="00C377A7">
      <w:pPr>
        <w:spacing w:line="240" w:lineRule="auto"/>
        <w:rPr>
          <w:rFonts w:eastAsia="Times New Roman" w:cs="Arial"/>
          <w:lang w:eastAsia="bg-BG"/>
        </w:rPr>
      </w:pPr>
      <w:r w:rsidRPr="00C377A7">
        <w:rPr>
          <w:rFonts w:eastAsia="Times New Roman" w:cs="Arial"/>
          <w:color w:val="000000"/>
          <w:u w:val="single"/>
          <w:lang w:eastAsia="bg-BG"/>
        </w:rPr>
        <w:t xml:space="preserve">Хипертрофична пилорна стеноза при деца </w:t>
      </w:r>
      <w:r w:rsidRPr="00C377A7">
        <w:rPr>
          <w:rFonts w:eastAsia="Times New Roman" w:cs="Arial"/>
          <w:color w:val="000000"/>
          <w:u w:val="single"/>
          <w:lang w:val="en-US"/>
        </w:rPr>
        <w:t>(IHPS)</w:t>
      </w:r>
    </w:p>
    <w:p w14:paraId="67BC8E9F" w14:textId="77777777"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t xml:space="preserve">След употребата на азитромицин при новородени (лечение до 42 дни от живота), се съобщава за хипертрофична пилорна стеноза при деца </w:t>
      </w:r>
      <w:r w:rsidRPr="00C377A7">
        <w:rPr>
          <w:rFonts w:eastAsia="Times New Roman" w:cs="Arial"/>
          <w:color w:val="000000"/>
          <w:lang w:val="en-US"/>
        </w:rPr>
        <w:t xml:space="preserve">(IHPS). </w:t>
      </w:r>
      <w:r w:rsidRPr="00C377A7">
        <w:rPr>
          <w:rFonts w:eastAsia="Times New Roman" w:cs="Arial"/>
          <w:color w:val="000000"/>
          <w:lang w:eastAsia="bg-BG"/>
        </w:rPr>
        <w:t>Родителите и болногледачите, които се грижат за тях трябва да бъдат информирани, за да се свържат с техния лекар, ако се появи повръщане или раздразнителност с храненето.</w:t>
      </w:r>
    </w:p>
    <w:p w14:paraId="53D15FC6" w14:textId="77777777" w:rsidR="00C377A7" w:rsidRPr="00C377A7" w:rsidRDefault="00C377A7" w:rsidP="00C377A7">
      <w:pPr>
        <w:spacing w:line="240" w:lineRule="auto"/>
        <w:rPr>
          <w:rFonts w:eastAsia="Times New Roman" w:cs="Arial"/>
          <w:color w:val="000000"/>
          <w:u w:val="single"/>
          <w:lang w:eastAsia="bg-BG"/>
        </w:rPr>
      </w:pPr>
    </w:p>
    <w:p w14:paraId="47B8591B" w14:textId="06CF252A" w:rsidR="00C377A7" w:rsidRPr="00C377A7" w:rsidRDefault="00C377A7" w:rsidP="00C377A7">
      <w:pPr>
        <w:spacing w:line="240" w:lineRule="auto"/>
        <w:rPr>
          <w:rFonts w:eastAsia="Times New Roman" w:cs="Arial"/>
          <w:lang w:eastAsia="bg-BG"/>
        </w:rPr>
      </w:pPr>
      <w:r w:rsidRPr="00C377A7">
        <w:rPr>
          <w:rFonts w:eastAsia="Times New Roman" w:cs="Arial"/>
          <w:color w:val="000000"/>
          <w:u w:val="single"/>
          <w:lang w:eastAsia="bg-BG"/>
        </w:rPr>
        <w:t>Ерго-производни</w:t>
      </w:r>
    </w:p>
    <w:p w14:paraId="063F3781" w14:textId="77777777"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t>При пациенти, получаващи ерго-производни е наблюдаван ерготизъм при едновременното прилагане с някои макролидни антибиотици. Няма данни, отнасящи се до възможността за взаимодействие между алкалоидите на моравото рогче и азитромицин. Въпреки това, поради теоретичната възможност за ерготизъм, азитромицин и производни на моравото рогче не трябва да се прилагат едновременно.</w:t>
      </w:r>
    </w:p>
    <w:p w14:paraId="0D70F8C6" w14:textId="77777777" w:rsidR="00C377A7" w:rsidRPr="00C377A7" w:rsidRDefault="00C377A7" w:rsidP="00C377A7">
      <w:pPr>
        <w:spacing w:line="240" w:lineRule="auto"/>
        <w:rPr>
          <w:rFonts w:eastAsia="Times New Roman" w:cs="Arial"/>
          <w:color w:val="000000"/>
          <w:u w:val="single"/>
          <w:lang w:eastAsia="bg-BG"/>
        </w:rPr>
      </w:pPr>
    </w:p>
    <w:p w14:paraId="42410969" w14:textId="22540C84" w:rsidR="00C377A7" w:rsidRPr="00C377A7" w:rsidRDefault="00C377A7" w:rsidP="00C377A7">
      <w:pPr>
        <w:spacing w:line="240" w:lineRule="auto"/>
        <w:rPr>
          <w:rFonts w:eastAsia="Times New Roman" w:cs="Arial"/>
          <w:lang w:eastAsia="bg-BG"/>
        </w:rPr>
      </w:pPr>
      <w:r w:rsidRPr="00C377A7">
        <w:rPr>
          <w:rFonts w:eastAsia="Times New Roman" w:cs="Arial"/>
          <w:color w:val="000000"/>
          <w:u w:val="single"/>
          <w:lang w:eastAsia="bg-BG"/>
        </w:rPr>
        <w:t>Суперинфекция</w:t>
      </w:r>
    </w:p>
    <w:p w14:paraId="5412C7CD" w14:textId="77777777"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t>Както при всеки антибиотик, препоръчително е наблюдение за прояви на суперинфекция с нечувствителни микроорганизми, включително гъби.</w:t>
      </w:r>
    </w:p>
    <w:p w14:paraId="43F1F996" w14:textId="77777777" w:rsidR="00C377A7" w:rsidRPr="00C377A7" w:rsidRDefault="00C377A7" w:rsidP="00C377A7">
      <w:pPr>
        <w:spacing w:line="240" w:lineRule="auto"/>
        <w:rPr>
          <w:rFonts w:eastAsia="Times New Roman" w:cs="Arial"/>
          <w:color w:val="000000"/>
          <w:u w:val="single"/>
          <w:lang w:eastAsia="bg-BG"/>
        </w:rPr>
      </w:pPr>
    </w:p>
    <w:p w14:paraId="6F87E853" w14:textId="42048F15" w:rsidR="00C377A7" w:rsidRPr="00C377A7" w:rsidRDefault="00C377A7" w:rsidP="00C377A7">
      <w:pPr>
        <w:spacing w:line="240" w:lineRule="auto"/>
        <w:rPr>
          <w:rFonts w:eastAsia="Times New Roman" w:cs="Arial"/>
          <w:lang w:eastAsia="bg-BG"/>
        </w:rPr>
      </w:pPr>
      <w:r w:rsidRPr="00C377A7">
        <w:rPr>
          <w:rFonts w:eastAsia="Times New Roman" w:cs="Arial"/>
          <w:color w:val="000000"/>
          <w:u w:val="single"/>
          <w:lang w:eastAsia="bg-BG"/>
        </w:rPr>
        <w:lastRenderedPageBreak/>
        <w:t xml:space="preserve">Свързана с </w:t>
      </w:r>
      <w:proofErr w:type="spellStart"/>
      <w:r w:rsidRPr="00C377A7">
        <w:rPr>
          <w:rFonts w:eastAsia="Times New Roman" w:cs="Arial"/>
          <w:i/>
          <w:iCs/>
          <w:color w:val="000000"/>
          <w:u w:val="single"/>
          <w:lang w:val="en-US"/>
        </w:rPr>
        <w:t>Clostridioides</w:t>
      </w:r>
      <w:proofErr w:type="spellEnd"/>
      <w:r w:rsidRPr="00C377A7">
        <w:rPr>
          <w:rFonts w:eastAsia="Times New Roman" w:cs="Arial"/>
          <w:i/>
          <w:iCs/>
          <w:color w:val="000000"/>
          <w:u w:val="single"/>
          <w:lang w:val="en-US"/>
        </w:rPr>
        <w:t xml:space="preserve"> difficile</w:t>
      </w:r>
      <w:r w:rsidRPr="00C377A7">
        <w:rPr>
          <w:rFonts w:eastAsia="Times New Roman" w:cs="Arial"/>
          <w:color w:val="000000"/>
          <w:u w:val="single"/>
          <w:lang w:val="en-US"/>
        </w:rPr>
        <w:t xml:space="preserve"> </w:t>
      </w:r>
      <w:r w:rsidRPr="00C377A7">
        <w:rPr>
          <w:rFonts w:eastAsia="Times New Roman" w:cs="Arial"/>
          <w:color w:val="000000"/>
          <w:u w:val="single"/>
          <w:lang w:eastAsia="bg-BG"/>
        </w:rPr>
        <w:t>диария</w:t>
      </w:r>
    </w:p>
    <w:p w14:paraId="4BE8A4B9" w14:textId="77777777"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t xml:space="preserve">Съобщава се за свързана с </w:t>
      </w:r>
      <w:proofErr w:type="spellStart"/>
      <w:r w:rsidRPr="00C377A7">
        <w:rPr>
          <w:rFonts w:eastAsia="Times New Roman" w:cs="Arial"/>
          <w:i/>
          <w:iCs/>
          <w:color w:val="000000"/>
          <w:u w:val="single"/>
          <w:lang w:val="en-US"/>
        </w:rPr>
        <w:t>Clostridioides</w:t>
      </w:r>
      <w:proofErr w:type="spellEnd"/>
      <w:r w:rsidRPr="00C377A7">
        <w:rPr>
          <w:rFonts w:eastAsia="Times New Roman" w:cs="Arial"/>
          <w:i/>
          <w:iCs/>
          <w:color w:val="000000"/>
          <w:u w:val="single"/>
          <w:lang w:val="en-US"/>
        </w:rPr>
        <w:t xml:space="preserve"> </w:t>
      </w:r>
      <w:r w:rsidRPr="00C377A7">
        <w:rPr>
          <w:rFonts w:eastAsia="Times New Roman" w:cs="Arial"/>
          <w:i/>
          <w:iCs/>
          <w:color w:val="000000"/>
          <w:lang w:val="en-US"/>
        </w:rPr>
        <w:t>difficile</w:t>
      </w:r>
      <w:r w:rsidRPr="00C377A7">
        <w:rPr>
          <w:rFonts w:eastAsia="Times New Roman" w:cs="Arial"/>
          <w:color w:val="000000"/>
          <w:lang w:val="en-US"/>
        </w:rPr>
        <w:t xml:space="preserve"> </w:t>
      </w:r>
      <w:r w:rsidRPr="00C377A7">
        <w:rPr>
          <w:rFonts w:eastAsia="Times New Roman" w:cs="Arial"/>
          <w:color w:val="000000"/>
          <w:lang w:eastAsia="bg-BG"/>
        </w:rPr>
        <w:t xml:space="preserve">диария </w:t>
      </w:r>
      <w:r w:rsidRPr="00C377A7">
        <w:rPr>
          <w:rFonts w:eastAsia="Times New Roman" w:cs="Arial"/>
          <w:color w:val="000000"/>
          <w:lang w:val="en-US"/>
        </w:rPr>
        <w:t xml:space="preserve">(CDAD) </w:t>
      </w:r>
      <w:r w:rsidRPr="00C377A7">
        <w:rPr>
          <w:rFonts w:eastAsia="Times New Roman" w:cs="Arial"/>
          <w:color w:val="000000"/>
          <w:lang w:eastAsia="bg-BG"/>
        </w:rPr>
        <w:t xml:space="preserve">при използване на почти всички антибактериални продукти, включително азитромицин, като тежестта може да варира от лека диария до фатален колит. Лечението с антибактериални продукти променя нормалната флора на дебелото черво, което води до свръхрастеж на </w:t>
      </w:r>
      <w:r w:rsidRPr="00C377A7">
        <w:rPr>
          <w:rFonts w:eastAsia="Times New Roman" w:cs="Arial"/>
          <w:i/>
          <w:iCs/>
          <w:color w:val="000000"/>
          <w:lang w:eastAsia="bg-BG"/>
        </w:rPr>
        <w:t xml:space="preserve">С. </w:t>
      </w:r>
      <w:r w:rsidRPr="00C377A7">
        <w:rPr>
          <w:rFonts w:eastAsia="Times New Roman" w:cs="Arial"/>
          <w:i/>
          <w:iCs/>
          <w:color w:val="000000"/>
          <w:lang w:val="en-US"/>
        </w:rPr>
        <w:t>difficile.</w:t>
      </w:r>
    </w:p>
    <w:p w14:paraId="7A77D0B4" w14:textId="77777777" w:rsidR="00C377A7" w:rsidRPr="00C377A7" w:rsidRDefault="00C377A7" w:rsidP="00C377A7">
      <w:pPr>
        <w:spacing w:line="240" w:lineRule="auto"/>
        <w:rPr>
          <w:rFonts w:eastAsia="Times New Roman" w:cs="Arial"/>
          <w:color w:val="000000"/>
          <w:lang w:val="en-US"/>
        </w:rPr>
      </w:pPr>
    </w:p>
    <w:p w14:paraId="37042EB1" w14:textId="3500CAFB" w:rsidR="00C377A7" w:rsidRPr="00C377A7" w:rsidRDefault="00C377A7" w:rsidP="00C377A7">
      <w:pPr>
        <w:spacing w:line="240" w:lineRule="auto"/>
        <w:rPr>
          <w:rFonts w:eastAsia="Times New Roman" w:cs="Arial"/>
          <w:lang w:eastAsia="bg-BG"/>
        </w:rPr>
      </w:pPr>
      <w:r w:rsidRPr="00C377A7">
        <w:rPr>
          <w:rFonts w:eastAsia="Times New Roman" w:cs="Arial"/>
          <w:color w:val="000000"/>
          <w:lang w:val="en-US"/>
        </w:rPr>
        <w:t xml:space="preserve">CDAD </w:t>
      </w:r>
      <w:r w:rsidRPr="00C377A7">
        <w:rPr>
          <w:rFonts w:eastAsia="Times New Roman" w:cs="Arial"/>
          <w:color w:val="000000"/>
          <w:lang w:eastAsia="bg-BG"/>
        </w:rPr>
        <w:t xml:space="preserve">трябва да се има предвид при всички пациенти с диария след антибиотично лечение. Необходимо е снемането на анамнеза, тъй като има съобщения, че </w:t>
      </w:r>
      <w:r w:rsidRPr="00C377A7">
        <w:rPr>
          <w:rFonts w:eastAsia="Times New Roman" w:cs="Arial"/>
          <w:color w:val="000000"/>
          <w:lang w:val="en-US"/>
        </w:rPr>
        <w:t xml:space="preserve">CDAD </w:t>
      </w:r>
      <w:r w:rsidRPr="00C377A7">
        <w:rPr>
          <w:rFonts w:eastAsia="Times New Roman" w:cs="Arial"/>
          <w:color w:val="000000"/>
          <w:lang w:eastAsia="bg-BG"/>
        </w:rPr>
        <w:t>се развива повече от два месеца след прием на антибактериален продукт.</w:t>
      </w:r>
    </w:p>
    <w:p w14:paraId="321976CC" w14:textId="77777777" w:rsidR="00C377A7" w:rsidRPr="00C377A7" w:rsidRDefault="00C377A7" w:rsidP="00C377A7">
      <w:pPr>
        <w:spacing w:line="240" w:lineRule="auto"/>
        <w:rPr>
          <w:rFonts w:eastAsia="Times New Roman" w:cs="Arial"/>
          <w:i/>
          <w:iCs/>
          <w:color w:val="000000"/>
          <w:lang w:eastAsia="bg-BG"/>
        </w:rPr>
      </w:pPr>
    </w:p>
    <w:p w14:paraId="367FFBD7" w14:textId="618E7B34" w:rsidR="00C377A7" w:rsidRPr="00C377A7" w:rsidRDefault="00C377A7" w:rsidP="00C377A7">
      <w:pPr>
        <w:spacing w:line="240" w:lineRule="auto"/>
        <w:rPr>
          <w:rFonts w:eastAsia="Times New Roman" w:cs="Arial"/>
          <w:lang w:eastAsia="bg-BG"/>
        </w:rPr>
      </w:pPr>
      <w:r w:rsidRPr="00C377A7">
        <w:rPr>
          <w:rFonts w:eastAsia="Times New Roman" w:cs="Arial"/>
          <w:i/>
          <w:iCs/>
          <w:color w:val="000000"/>
          <w:lang w:eastAsia="bg-BG"/>
        </w:rPr>
        <w:t xml:space="preserve">С. </w:t>
      </w:r>
      <w:r w:rsidRPr="00C377A7">
        <w:rPr>
          <w:rFonts w:eastAsia="Times New Roman" w:cs="Arial"/>
          <w:i/>
          <w:iCs/>
          <w:color w:val="000000"/>
          <w:lang w:val="en-US"/>
        </w:rPr>
        <w:t>difficile</w:t>
      </w:r>
      <w:r w:rsidRPr="00C377A7">
        <w:rPr>
          <w:rFonts w:eastAsia="Times New Roman" w:cs="Arial"/>
          <w:color w:val="000000"/>
          <w:lang w:val="en-US"/>
        </w:rPr>
        <w:t xml:space="preserve"> </w:t>
      </w:r>
      <w:r w:rsidRPr="00C377A7">
        <w:rPr>
          <w:rFonts w:eastAsia="Times New Roman" w:cs="Arial"/>
          <w:color w:val="000000"/>
          <w:lang w:eastAsia="bg-BG"/>
        </w:rPr>
        <w:t xml:space="preserve">продуцира токсини А и В, които допринасят за развитието на </w:t>
      </w:r>
      <w:r w:rsidRPr="00C377A7">
        <w:rPr>
          <w:rFonts w:eastAsia="Times New Roman" w:cs="Arial"/>
          <w:color w:val="000000"/>
          <w:lang w:val="en-US"/>
        </w:rPr>
        <w:t xml:space="preserve">CDAD. </w:t>
      </w:r>
      <w:r w:rsidRPr="00C377A7">
        <w:rPr>
          <w:rFonts w:eastAsia="Times New Roman" w:cs="Arial"/>
          <w:color w:val="000000"/>
          <w:lang w:eastAsia="bg-BG"/>
        </w:rPr>
        <w:t xml:space="preserve">Хипертоксин продуциращи щамове на </w:t>
      </w:r>
      <w:r w:rsidRPr="00C377A7">
        <w:rPr>
          <w:rFonts w:eastAsia="Times New Roman" w:cs="Arial"/>
          <w:i/>
          <w:iCs/>
          <w:color w:val="000000"/>
          <w:lang w:eastAsia="bg-BG"/>
        </w:rPr>
        <w:t xml:space="preserve">С. </w:t>
      </w:r>
      <w:r w:rsidRPr="00C377A7">
        <w:rPr>
          <w:rFonts w:eastAsia="Times New Roman" w:cs="Arial"/>
          <w:i/>
          <w:iCs/>
          <w:color w:val="000000"/>
          <w:lang w:val="en-US"/>
        </w:rPr>
        <w:t>difficile</w:t>
      </w:r>
      <w:r w:rsidRPr="00C377A7">
        <w:rPr>
          <w:rFonts w:eastAsia="Times New Roman" w:cs="Arial"/>
          <w:color w:val="000000"/>
          <w:lang w:val="en-US"/>
        </w:rPr>
        <w:t xml:space="preserve"> </w:t>
      </w:r>
      <w:r w:rsidRPr="00C377A7">
        <w:rPr>
          <w:rFonts w:eastAsia="Times New Roman" w:cs="Arial"/>
          <w:color w:val="000000"/>
          <w:lang w:eastAsia="bg-BG"/>
        </w:rPr>
        <w:t>причиняват повишена заболеваемост и смъртност, тъй като тези инфекции могат да нарушат антимикробната терапия и да се наложи колектомия.</w:t>
      </w:r>
    </w:p>
    <w:p w14:paraId="66ED4224" w14:textId="77777777" w:rsidR="00C377A7" w:rsidRPr="00C377A7" w:rsidRDefault="00C377A7" w:rsidP="00C377A7">
      <w:pPr>
        <w:spacing w:line="240" w:lineRule="auto"/>
        <w:rPr>
          <w:rFonts w:eastAsia="Times New Roman" w:cs="Arial"/>
          <w:lang w:eastAsia="bg-BG"/>
        </w:rPr>
      </w:pPr>
      <w:r w:rsidRPr="00C377A7">
        <w:rPr>
          <w:rFonts w:eastAsia="Times New Roman" w:cs="Arial"/>
          <w:color w:val="000000"/>
          <w:lang w:val="en-US"/>
        </w:rPr>
        <w:t xml:space="preserve">CDAD </w:t>
      </w:r>
      <w:r w:rsidRPr="00C377A7">
        <w:rPr>
          <w:rFonts w:eastAsia="Times New Roman" w:cs="Arial"/>
          <w:color w:val="000000"/>
          <w:lang w:eastAsia="bg-BG"/>
        </w:rPr>
        <w:t xml:space="preserve">трябва да бъде предвидена при всички пациенти с признаци на диария след употребата на антибиотици. Необходимо е внимателно снемане на анамнеза, тъй като е докладвана поява на </w:t>
      </w:r>
      <w:r w:rsidRPr="00C377A7">
        <w:rPr>
          <w:rFonts w:eastAsia="Times New Roman" w:cs="Arial"/>
          <w:color w:val="000000"/>
          <w:lang w:val="en-US"/>
        </w:rPr>
        <w:t xml:space="preserve">CDAD </w:t>
      </w:r>
      <w:r w:rsidRPr="00C377A7">
        <w:rPr>
          <w:rFonts w:eastAsia="Times New Roman" w:cs="Arial"/>
          <w:color w:val="000000"/>
          <w:lang w:eastAsia="bg-BG"/>
        </w:rPr>
        <w:t>повече от два месеца след приема на антимикробни агенти.</w:t>
      </w:r>
    </w:p>
    <w:p w14:paraId="16C6EE88" w14:textId="77777777" w:rsidR="00C377A7" w:rsidRPr="00C377A7" w:rsidRDefault="00C377A7" w:rsidP="00C377A7">
      <w:pPr>
        <w:spacing w:line="240" w:lineRule="auto"/>
        <w:rPr>
          <w:rFonts w:eastAsia="Times New Roman" w:cs="Arial"/>
          <w:color w:val="000000"/>
          <w:u w:val="single"/>
          <w:lang w:eastAsia="bg-BG"/>
        </w:rPr>
      </w:pPr>
    </w:p>
    <w:p w14:paraId="370F5384" w14:textId="15EF4215" w:rsidR="00C377A7" w:rsidRPr="00C377A7" w:rsidRDefault="00C377A7" w:rsidP="00C377A7">
      <w:pPr>
        <w:spacing w:line="240" w:lineRule="auto"/>
        <w:rPr>
          <w:rFonts w:eastAsia="Times New Roman" w:cs="Arial"/>
          <w:lang w:eastAsia="bg-BG"/>
        </w:rPr>
      </w:pPr>
      <w:r w:rsidRPr="00C377A7">
        <w:rPr>
          <w:rFonts w:eastAsia="Times New Roman" w:cs="Arial"/>
          <w:color w:val="000000"/>
          <w:u w:val="single"/>
          <w:lang w:eastAsia="bg-BG"/>
        </w:rPr>
        <w:t>Бъбречно увреждане</w:t>
      </w:r>
    </w:p>
    <w:p w14:paraId="6203D321" w14:textId="77777777"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t xml:space="preserve">Не е необходима корекция на дозата при пациенти с леко до умерено бъбречно увреждане (гломерулна филтрация </w:t>
      </w:r>
      <w:r w:rsidRPr="00C377A7">
        <w:rPr>
          <w:rFonts w:eastAsia="Times New Roman" w:cs="Arial"/>
          <w:color w:val="000000"/>
          <w:lang w:val="en-US"/>
        </w:rPr>
        <w:t xml:space="preserve">[GFR] </w:t>
      </w:r>
      <w:r w:rsidRPr="00C377A7">
        <w:rPr>
          <w:rFonts w:eastAsia="Times New Roman" w:cs="Arial"/>
          <w:color w:val="000000"/>
          <w:lang w:eastAsia="bg-BG"/>
        </w:rPr>
        <w:t xml:space="preserve">10-80 </w:t>
      </w:r>
      <w:r w:rsidRPr="00C377A7">
        <w:rPr>
          <w:rFonts w:eastAsia="Times New Roman" w:cs="Arial"/>
          <w:color w:val="000000"/>
          <w:lang w:val="en-US"/>
        </w:rPr>
        <w:t xml:space="preserve">ml/min </w:t>
      </w:r>
      <w:r w:rsidRPr="00C377A7">
        <w:rPr>
          <w:rFonts w:eastAsia="Times New Roman" w:cs="Arial"/>
          <w:color w:val="000000"/>
          <w:lang w:eastAsia="bg-BG"/>
        </w:rPr>
        <w:t xml:space="preserve">). При пациенти с тежко бъбречно увреждане </w:t>
      </w:r>
      <w:r w:rsidRPr="00C377A7">
        <w:rPr>
          <w:rFonts w:eastAsia="Times New Roman" w:cs="Arial"/>
          <w:color w:val="000000"/>
          <w:lang w:val="en-US"/>
        </w:rPr>
        <w:t xml:space="preserve">(GFR </w:t>
      </w:r>
      <w:r w:rsidRPr="00C377A7">
        <w:rPr>
          <w:rFonts w:eastAsia="Times New Roman" w:cs="Arial"/>
          <w:color w:val="000000"/>
          <w:lang w:eastAsia="bg-BG"/>
        </w:rPr>
        <w:t xml:space="preserve">&lt;10 </w:t>
      </w:r>
      <w:r w:rsidRPr="00C377A7">
        <w:rPr>
          <w:rFonts w:eastAsia="Times New Roman" w:cs="Arial"/>
          <w:color w:val="000000"/>
          <w:lang w:val="en-US"/>
        </w:rPr>
        <w:t xml:space="preserve">ml/min) </w:t>
      </w:r>
      <w:r w:rsidRPr="00C377A7">
        <w:rPr>
          <w:rFonts w:eastAsia="Times New Roman" w:cs="Arial"/>
          <w:color w:val="000000"/>
          <w:lang w:eastAsia="bg-BG"/>
        </w:rPr>
        <w:t>се наблюдава увеличение на системната експозиция на азитромицин точка 5.2).</w:t>
      </w:r>
    </w:p>
    <w:p w14:paraId="329BA00F" w14:textId="77777777" w:rsidR="00C377A7" w:rsidRPr="00C377A7" w:rsidRDefault="00C377A7" w:rsidP="00C377A7">
      <w:pPr>
        <w:spacing w:line="240" w:lineRule="auto"/>
        <w:rPr>
          <w:rFonts w:eastAsia="Times New Roman" w:cs="Arial"/>
          <w:color w:val="000000"/>
          <w:u w:val="single"/>
          <w:lang w:eastAsia="bg-BG"/>
        </w:rPr>
      </w:pPr>
    </w:p>
    <w:p w14:paraId="47C79392" w14:textId="68B99525" w:rsidR="00C377A7" w:rsidRPr="00C377A7" w:rsidRDefault="00C377A7" w:rsidP="00C377A7">
      <w:pPr>
        <w:spacing w:line="240" w:lineRule="auto"/>
        <w:rPr>
          <w:rFonts w:eastAsia="Times New Roman" w:cs="Arial"/>
          <w:lang w:eastAsia="bg-BG"/>
        </w:rPr>
      </w:pPr>
      <w:r w:rsidRPr="00C377A7">
        <w:rPr>
          <w:rFonts w:eastAsia="Times New Roman" w:cs="Arial"/>
          <w:color w:val="000000"/>
          <w:u w:val="single"/>
          <w:lang w:eastAsia="bg-BG"/>
        </w:rPr>
        <w:t xml:space="preserve">Удължаване на </w:t>
      </w:r>
      <w:r w:rsidRPr="00C377A7">
        <w:rPr>
          <w:rFonts w:eastAsia="Times New Roman" w:cs="Arial"/>
          <w:color w:val="000000"/>
          <w:u w:val="single"/>
          <w:lang w:val="en-US"/>
        </w:rPr>
        <w:t>Q</w:t>
      </w:r>
      <w:r w:rsidRPr="00C377A7">
        <w:rPr>
          <w:rFonts w:eastAsia="Times New Roman" w:cs="Arial"/>
          <w:color w:val="000000"/>
          <w:u w:val="single"/>
          <w:lang w:eastAsia="bg-BG"/>
        </w:rPr>
        <w:t>Т интервала</w:t>
      </w:r>
    </w:p>
    <w:p w14:paraId="063276D8" w14:textId="4E75282C" w:rsidR="00C377A7" w:rsidRPr="00C377A7" w:rsidRDefault="00C377A7" w:rsidP="00C377A7">
      <w:pPr>
        <w:rPr>
          <w:rFonts w:eastAsia="Times New Roman" w:cs="Arial"/>
          <w:color w:val="000000"/>
          <w:lang w:eastAsia="bg-BG"/>
        </w:rPr>
      </w:pPr>
      <w:r w:rsidRPr="00C377A7">
        <w:rPr>
          <w:rFonts w:eastAsia="Times New Roman" w:cs="Arial"/>
          <w:color w:val="000000"/>
          <w:lang w:eastAsia="bg-BG"/>
        </w:rPr>
        <w:t xml:space="preserve">При лечение с други макролиди, включително азитромицин, е наблюдавана удължена сърдечна реполаризация и </w:t>
      </w:r>
      <w:r w:rsidRPr="00C377A7">
        <w:rPr>
          <w:rFonts w:eastAsia="Times New Roman" w:cs="Arial"/>
          <w:color w:val="000000"/>
          <w:lang w:val="en-US"/>
        </w:rPr>
        <w:t xml:space="preserve">QT </w:t>
      </w:r>
      <w:r w:rsidRPr="00C377A7">
        <w:rPr>
          <w:rFonts w:eastAsia="Times New Roman" w:cs="Arial"/>
          <w:color w:val="000000"/>
          <w:lang w:eastAsia="bg-BG"/>
        </w:rPr>
        <w:t xml:space="preserve">интервал, създавайки риск от развитие на сърдечна </w:t>
      </w:r>
      <w:r w:rsidRPr="00C377A7">
        <w:rPr>
          <w:rFonts w:eastAsia="Times New Roman" w:cs="Arial"/>
          <w:color w:val="000000"/>
          <w:lang w:val="en-US"/>
        </w:rPr>
        <w:t>a</w:t>
      </w:r>
      <w:r w:rsidRPr="00C377A7">
        <w:rPr>
          <w:rFonts w:eastAsia="Times New Roman" w:cs="Arial"/>
          <w:color w:val="000000"/>
          <w:lang w:eastAsia="bg-BG"/>
        </w:rPr>
        <w:t xml:space="preserve">ритмия и </w:t>
      </w:r>
      <w:proofErr w:type="spellStart"/>
      <w:r w:rsidRPr="00C377A7">
        <w:rPr>
          <w:rFonts w:eastAsia="Times New Roman" w:cs="Arial"/>
          <w:color w:val="000000"/>
          <w:lang w:val="en-US"/>
        </w:rPr>
        <w:t>torsades</w:t>
      </w:r>
      <w:proofErr w:type="spellEnd"/>
      <w:r w:rsidRPr="00C377A7">
        <w:rPr>
          <w:rFonts w:eastAsia="Times New Roman" w:cs="Arial"/>
          <w:color w:val="000000"/>
          <w:lang w:val="en-US"/>
        </w:rPr>
        <w:t xml:space="preserve"> de pointes </w:t>
      </w:r>
      <w:r w:rsidRPr="00C377A7">
        <w:rPr>
          <w:rFonts w:eastAsia="Times New Roman" w:cs="Arial"/>
          <w:color w:val="000000"/>
          <w:lang w:eastAsia="bg-BG"/>
        </w:rPr>
        <w:t>(вж. точка 4.8).</w:t>
      </w:r>
    </w:p>
    <w:p w14:paraId="49944F01" w14:textId="17581D58" w:rsidR="00C377A7" w:rsidRPr="00C377A7" w:rsidRDefault="00C377A7" w:rsidP="00C377A7">
      <w:pPr>
        <w:rPr>
          <w:rFonts w:cs="Arial"/>
        </w:rPr>
      </w:pPr>
    </w:p>
    <w:p w14:paraId="02B2AEB4" w14:textId="77777777"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t xml:space="preserve">Поради това следните ситуации могат да доведат до повишен риск от вентрикуларна аритмия (включително </w:t>
      </w:r>
      <w:r w:rsidRPr="00C377A7">
        <w:rPr>
          <w:rFonts w:eastAsia="Times New Roman" w:cs="Arial"/>
          <w:color w:val="000000"/>
          <w:lang w:val="en-US"/>
        </w:rPr>
        <w:t xml:space="preserve">torsade de pointes), </w:t>
      </w:r>
      <w:r w:rsidRPr="00C377A7">
        <w:rPr>
          <w:rFonts w:eastAsia="Times New Roman" w:cs="Arial"/>
          <w:color w:val="000000"/>
          <w:lang w:eastAsia="bg-BG"/>
        </w:rPr>
        <w:t>което може доведе до сърдечен арест (потенцилано фатален), поради което азитромицин трябва да бъде прилаган внимателно при пациенти с текущи проаритмични състояния (особено жени и пациенти в старческа възраст), като при пациенти:</w:t>
      </w:r>
    </w:p>
    <w:p w14:paraId="1CA7FD28" w14:textId="77777777" w:rsidR="00C377A7" w:rsidRPr="00C377A7" w:rsidRDefault="00C377A7" w:rsidP="00C377A7">
      <w:pPr>
        <w:pStyle w:val="ListParagraph"/>
        <w:numPr>
          <w:ilvl w:val="0"/>
          <w:numId w:val="40"/>
        </w:numPr>
        <w:spacing w:line="240" w:lineRule="auto"/>
        <w:rPr>
          <w:rFonts w:eastAsia="Times New Roman" w:cs="Arial"/>
          <w:lang w:eastAsia="bg-BG"/>
        </w:rPr>
      </w:pPr>
      <w:r w:rsidRPr="00C377A7">
        <w:rPr>
          <w:rFonts w:eastAsia="Times New Roman" w:cs="Arial"/>
          <w:color w:val="000000"/>
          <w:lang w:eastAsia="bg-BG"/>
        </w:rPr>
        <w:t xml:space="preserve">С вродено или доказано удължаване на </w:t>
      </w:r>
      <w:r w:rsidRPr="00C377A7">
        <w:rPr>
          <w:rFonts w:eastAsia="Times New Roman" w:cs="Arial"/>
          <w:color w:val="000000"/>
          <w:lang w:val="en-US"/>
        </w:rPr>
        <w:t>QT</w:t>
      </w:r>
    </w:p>
    <w:p w14:paraId="37BD9905" w14:textId="77777777" w:rsidR="00C377A7" w:rsidRPr="00C377A7" w:rsidRDefault="00C377A7" w:rsidP="00C377A7">
      <w:pPr>
        <w:pStyle w:val="ListParagraph"/>
        <w:numPr>
          <w:ilvl w:val="0"/>
          <w:numId w:val="40"/>
        </w:numPr>
        <w:spacing w:line="240" w:lineRule="auto"/>
        <w:rPr>
          <w:rFonts w:eastAsia="Times New Roman" w:cs="Arial"/>
          <w:lang w:eastAsia="bg-BG"/>
        </w:rPr>
      </w:pPr>
      <w:r w:rsidRPr="00C377A7">
        <w:rPr>
          <w:rFonts w:eastAsia="Times New Roman" w:cs="Arial"/>
          <w:color w:val="000000"/>
          <w:lang w:eastAsia="bg-BG"/>
        </w:rPr>
        <w:t xml:space="preserve">Получаващи едновременно лечение с други активни субстанции, за които е известно, че удължават </w:t>
      </w:r>
      <w:r w:rsidRPr="00C377A7">
        <w:rPr>
          <w:rFonts w:eastAsia="Times New Roman" w:cs="Arial"/>
          <w:color w:val="000000"/>
          <w:lang w:val="en-US"/>
        </w:rPr>
        <w:t xml:space="preserve">QT </w:t>
      </w:r>
      <w:r w:rsidRPr="00C377A7">
        <w:rPr>
          <w:rFonts w:eastAsia="Times New Roman" w:cs="Arial"/>
          <w:color w:val="000000"/>
          <w:lang w:eastAsia="bg-BG"/>
        </w:rPr>
        <w:t xml:space="preserve">интервала, като антиаритмици от клас </w:t>
      </w:r>
      <w:r w:rsidRPr="00C377A7">
        <w:rPr>
          <w:rFonts w:eastAsia="Times New Roman" w:cs="Arial"/>
          <w:color w:val="000000"/>
          <w:lang w:val="en-US"/>
        </w:rPr>
        <w:t xml:space="preserve">IA </w:t>
      </w:r>
      <w:r w:rsidRPr="00C377A7">
        <w:rPr>
          <w:rFonts w:eastAsia="Times New Roman" w:cs="Arial"/>
          <w:color w:val="000000"/>
          <w:lang w:eastAsia="bg-BG"/>
        </w:rPr>
        <w:t>(хинидин и прокаинамид) и клас III (дофетилид, амидарон и соталол), цизаприд и терфенадин; антипсихотични агенти, като пимозид; антидепресанти като циталопрам; и флуорхинолони като моксифлоксацин и левофлоксацин; и хлороквин и хидроксихлороквин</w:t>
      </w:r>
    </w:p>
    <w:p w14:paraId="1950E2E9" w14:textId="77777777" w:rsidR="00C377A7" w:rsidRPr="00C377A7" w:rsidRDefault="00C377A7" w:rsidP="00C377A7">
      <w:pPr>
        <w:pStyle w:val="ListParagraph"/>
        <w:numPr>
          <w:ilvl w:val="0"/>
          <w:numId w:val="40"/>
        </w:numPr>
        <w:spacing w:line="240" w:lineRule="auto"/>
        <w:rPr>
          <w:rFonts w:eastAsia="Times New Roman" w:cs="Arial"/>
          <w:lang w:eastAsia="bg-BG"/>
        </w:rPr>
      </w:pPr>
      <w:r w:rsidRPr="00C377A7">
        <w:rPr>
          <w:rFonts w:eastAsia="Times New Roman" w:cs="Arial"/>
          <w:color w:val="000000"/>
          <w:lang w:eastAsia="bg-BG"/>
        </w:rPr>
        <w:t>С електролитен дисбаланс, особено в случи на хипокалиемия и хипомагнеземия</w:t>
      </w:r>
    </w:p>
    <w:p w14:paraId="46B97A8E" w14:textId="77777777" w:rsidR="00C377A7" w:rsidRPr="00C377A7" w:rsidRDefault="00C377A7" w:rsidP="00C377A7">
      <w:pPr>
        <w:pStyle w:val="ListParagraph"/>
        <w:numPr>
          <w:ilvl w:val="0"/>
          <w:numId w:val="40"/>
        </w:numPr>
        <w:spacing w:line="240" w:lineRule="auto"/>
        <w:rPr>
          <w:rFonts w:eastAsia="Times New Roman" w:cs="Arial"/>
          <w:lang w:eastAsia="bg-BG"/>
        </w:rPr>
      </w:pPr>
      <w:r w:rsidRPr="00C377A7">
        <w:rPr>
          <w:rFonts w:eastAsia="Times New Roman" w:cs="Arial"/>
          <w:color w:val="000000"/>
          <w:lang w:eastAsia="bg-BG"/>
        </w:rPr>
        <w:t xml:space="preserve">С клинично значима брадикардия, сърдечна аритмия или тежка сърдечна недостатъчност </w:t>
      </w:r>
    </w:p>
    <w:p w14:paraId="558CC6F0" w14:textId="4F1DD677" w:rsidR="00C377A7" w:rsidRPr="00C377A7" w:rsidRDefault="00C377A7" w:rsidP="00C377A7">
      <w:pPr>
        <w:pStyle w:val="ListParagraph"/>
        <w:numPr>
          <w:ilvl w:val="0"/>
          <w:numId w:val="40"/>
        </w:numPr>
        <w:spacing w:line="240" w:lineRule="auto"/>
        <w:rPr>
          <w:rFonts w:eastAsia="Times New Roman" w:cs="Arial"/>
          <w:lang w:eastAsia="bg-BG"/>
        </w:rPr>
      </w:pPr>
      <w:r w:rsidRPr="00C377A7">
        <w:rPr>
          <w:rFonts w:eastAsia="Times New Roman" w:cs="Arial"/>
          <w:color w:val="000000"/>
          <w:lang w:eastAsia="bg-BG"/>
        </w:rPr>
        <w:t xml:space="preserve">В старческа възраст: Възрастните пациенти могат да бъдат по-податливи на свързаните с лекарството ефекти върху </w:t>
      </w:r>
      <w:r w:rsidRPr="00C377A7">
        <w:rPr>
          <w:rFonts w:eastAsia="Times New Roman" w:cs="Arial"/>
          <w:color w:val="000000"/>
          <w:lang w:val="en-US"/>
        </w:rPr>
        <w:t xml:space="preserve">QT </w:t>
      </w:r>
      <w:r w:rsidRPr="00C377A7">
        <w:rPr>
          <w:rFonts w:eastAsia="Times New Roman" w:cs="Arial"/>
          <w:color w:val="000000"/>
          <w:lang w:eastAsia="bg-BG"/>
        </w:rPr>
        <w:t>интервала.</w:t>
      </w:r>
    </w:p>
    <w:p w14:paraId="06E1EE54" w14:textId="77777777" w:rsidR="00C377A7" w:rsidRPr="00C377A7" w:rsidRDefault="00C377A7" w:rsidP="00C377A7">
      <w:pPr>
        <w:spacing w:line="240" w:lineRule="auto"/>
        <w:rPr>
          <w:rFonts w:eastAsia="Times New Roman" w:cs="Arial"/>
          <w:color w:val="000000"/>
          <w:u w:val="single"/>
          <w:lang w:eastAsia="bg-BG"/>
        </w:rPr>
      </w:pPr>
    </w:p>
    <w:p w14:paraId="14B8B716" w14:textId="549F85EE" w:rsidR="00C377A7" w:rsidRPr="00C377A7" w:rsidRDefault="00C377A7" w:rsidP="00C377A7">
      <w:pPr>
        <w:spacing w:line="240" w:lineRule="auto"/>
        <w:rPr>
          <w:rFonts w:eastAsia="Times New Roman" w:cs="Arial"/>
          <w:lang w:eastAsia="bg-BG"/>
        </w:rPr>
      </w:pPr>
      <w:r w:rsidRPr="00C377A7">
        <w:rPr>
          <w:rFonts w:eastAsia="Times New Roman" w:cs="Arial"/>
          <w:color w:val="000000"/>
          <w:u w:val="single"/>
          <w:lang w:eastAsia="bg-BG"/>
        </w:rPr>
        <w:t>Миастения гравис</w:t>
      </w:r>
    </w:p>
    <w:p w14:paraId="0D548EED" w14:textId="77777777"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t>Изостряне на симптомите на миастения гравис и повторна поява на синдрома миастения са докладвани при пациенти, получаващи терапия с азитромицин (вж. точка 4.8).</w:t>
      </w:r>
    </w:p>
    <w:p w14:paraId="7CF006CF" w14:textId="77777777" w:rsidR="00C377A7" w:rsidRPr="00C377A7" w:rsidRDefault="00C377A7" w:rsidP="00C377A7">
      <w:pPr>
        <w:spacing w:line="240" w:lineRule="auto"/>
        <w:rPr>
          <w:rFonts w:eastAsia="Times New Roman" w:cs="Arial"/>
          <w:color w:val="000000"/>
          <w:u w:val="single"/>
          <w:lang w:eastAsia="bg-BG"/>
        </w:rPr>
      </w:pPr>
    </w:p>
    <w:p w14:paraId="7FFBDBF5" w14:textId="2480D174" w:rsidR="00C377A7" w:rsidRPr="00C377A7" w:rsidRDefault="00C377A7" w:rsidP="00C377A7">
      <w:pPr>
        <w:spacing w:line="240" w:lineRule="auto"/>
        <w:rPr>
          <w:rFonts w:eastAsia="Times New Roman" w:cs="Arial"/>
          <w:lang w:eastAsia="bg-BG"/>
        </w:rPr>
      </w:pPr>
      <w:r w:rsidRPr="00C377A7">
        <w:rPr>
          <w:rFonts w:eastAsia="Times New Roman" w:cs="Arial"/>
          <w:color w:val="000000"/>
          <w:u w:val="single"/>
          <w:lang w:eastAsia="bg-BG"/>
        </w:rPr>
        <w:t>Стрептококови инфекции</w:t>
      </w:r>
    </w:p>
    <w:p w14:paraId="7C32393E" w14:textId="77777777"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t xml:space="preserve">Обикновено пеницилин е първо средство на избор при лечение на фарингит/тонзилит поради </w:t>
      </w:r>
      <w:r w:rsidRPr="00C377A7">
        <w:rPr>
          <w:rFonts w:eastAsia="Times New Roman" w:cs="Arial"/>
          <w:i/>
          <w:iCs/>
          <w:color w:val="000000"/>
          <w:lang w:val="en-US"/>
        </w:rPr>
        <w:t>Streptococcus pyogenes</w:t>
      </w:r>
      <w:r w:rsidRPr="00C377A7">
        <w:rPr>
          <w:rFonts w:eastAsia="Times New Roman" w:cs="Arial"/>
          <w:color w:val="000000"/>
          <w:lang w:val="en-US"/>
        </w:rPr>
        <w:t xml:space="preserve"> </w:t>
      </w:r>
      <w:r w:rsidRPr="00C377A7">
        <w:rPr>
          <w:rFonts w:eastAsia="Times New Roman" w:cs="Arial"/>
          <w:color w:val="000000"/>
          <w:lang w:eastAsia="bg-BG"/>
        </w:rPr>
        <w:t xml:space="preserve">и също така за профилактика на остра ревматична треска. Като цяло азитромицин е ефективен срещу </w:t>
      </w:r>
      <w:r w:rsidRPr="00C377A7">
        <w:rPr>
          <w:rFonts w:eastAsia="Times New Roman" w:cs="Arial"/>
          <w:color w:val="000000"/>
          <w:lang w:val="en-US"/>
        </w:rPr>
        <w:t xml:space="preserve">Streptococcus </w:t>
      </w:r>
      <w:r w:rsidRPr="00C377A7">
        <w:rPr>
          <w:rFonts w:eastAsia="Times New Roman" w:cs="Arial"/>
          <w:color w:val="000000"/>
          <w:lang w:eastAsia="bg-BG"/>
        </w:rPr>
        <w:t>в орофаринкса, но няма данни, които да демонстрират ефикасността на азитромицин за предотвратяване на остра ревматична треска.</w:t>
      </w:r>
    </w:p>
    <w:p w14:paraId="497E6AF5" w14:textId="77777777" w:rsidR="00C377A7" w:rsidRPr="00C377A7" w:rsidRDefault="00C377A7" w:rsidP="00C377A7">
      <w:pPr>
        <w:spacing w:line="240" w:lineRule="auto"/>
        <w:rPr>
          <w:rFonts w:eastAsia="Times New Roman" w:cs="Arial"/>
          <w:color w:val="000000"/>
          <w:u w:val="single"/>
          <w:lang w:eastAsia="bg-BG"/>
        </w:rPr>
      </w:pPr>
    </w:p>
    <w:p w14:paraId="2DCAE773" w14:textId="1F4231D5" w:rsidR="00C377A7" w:rsidRPr="00C377A7" w:rsidRDefault="00C377A7" w:rsidP="00C377A7">
      <w:pPr>
        <w:spacing w:line="240" w:lineRule="auto"/>
        <w:rPr>
          <w:rFonts w:eastAsia="Times New Roman" w:cs="Arial"/>
          <w:lang w:eastAsia="bg-BG"/>
        </w:rPr>
      </w:pPr>
      <w:r w:rsidRPr="00C377A7">
        <w:rPr>
          <w:rFonts w:eastAsia="Times New Roman" w:cs="Arial"/>
          <w:color w:val="000000"/>
          <w:u w:val="single"/>
          <w:lang w:eastAsia="bg-BG"/>
        </w:rPr>
        <w:t>Педиатрична популация</w:t>
      </w:r>
    </w:p>
    <w:p w14:paraId="5C1DFE38" w14:textId="77777777"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t xml:space="preserve">Безопасността и ефикасността за предотвратяване или лечение на </w:t>
      </w:r>
      <w:r w:rsidRPr="00C377A7">
        <w:rPr>
          <w:rFonts w:eastAsia="Times New Roman" w:cs="Arial"/>
          <w:i/>
          <w:iCs/>
          <w:color w:val="000000"/>
          <w:lang w:val="en-US"/>
        </w:rPr>
        <w:t xml:space="preserve">Mycobacterium Avium </w:t>
      </w:r>
      <w:r w:rsidRPr="00C377A7">
        <w:rPr>
          <w:rFonts w:eastAsia="Times New Roman" w:cs="Arial"/>
          <w:color w:val="000000"/>
          <w:lang w:val="en-US"/>
        </w:rPr>
        <w:t xml:space="preserve">Complex </w:t>
      </w:r>
      <w:r w:rsidRPr="00C377A7">
        <w:rPr>
          <w:rFonts w:eastAsia="Times New Roman" w:cs="Arial"/>
          <w:color w:val="000000"/>
          <w:lang w:eastAsia="bg-BG"/>
        </w:rPr>
        <w:t>(МАС) при деца не са установени.</w:t>
      </w:r>
    </w:p>
    <w:p w14:paraId="05AE8336" w14:textId="77777777"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t>Азитромицин не е подходящ за лечение на тежки инфекции, когато е необходимо бързо висока концентрация на антибиотика в кръвта.</w:t>
      </w:r>
    </w:p>
    <w:p w14:paraId="73CFF422" w14:textId="77777777" w:rsidR="00C377A7" w:rsidRPr="00C377A7" w:rsidRDefault="00C377A7" w:rsidP="00C377A7">
      <w:pPr>
        <w:spacing w:line="240" w:lineRule="auto"/>
        <w:rPr>
          <w:rFonts w:eastAsia="Times New Roman" w:cs="Arial"/>
          <w:color w:val="000000"/>
          <w:u w:val="single"/>
          <w:lang w:eastAsia="bg-BG"/>
        </w:rPr>
      </w:pPr>
    </w:p>
    <w:p w14:paraId="12EC726E" w14:textId="11DA03C9" w:rsidR="00C377A7" w:rsidRPr="00C377A7" w:rsidRDefault="00C377A7" w:rsidP="00C377A7">
      <w:pPr>
        <w:spacing w:line="240" w:lineRule="auto"/>
        <w:rPr>
          <w:rFonts w:eastAsia="Times New Roman" w:cs="Arial"/>
          <w:lang w:eastAsia="bg-BG"/>
        </w:rPr>
      </w:pPr>
      <w:r w:rsidRPr="00C377A7">
        <w:rPr>
          <w:rFonts w:eastAsia="Times New Roman" w:cs="Arial"/>
          <w:color w:val="000000"/>
          <w:u w:val="single"/>
          <w:lang w:eastAsia="bg-BG"/>
        </w:rPr>
        <w:t>Следната информация трябвала се обмисли, преди да се предписва азитромицин:</w:t>
      </w:r>
    </w:p>
    <w:p w14:paraId="1F456111" w14:textId="77777777" w:rsidR="00C377A7" w:rsidRPr="00C377A7" w:rsidRDefault="00C377A7" w:rsidP="00C377A7">
      <w:pPr>
        <w:spacing w:line="240" w:lineRule="auto"/>
        <w:rPr>
          <w:rFonts w:eastAsia="Times New Roman" w:cs="Arial"/>
          <w:color w:val="000000"/>
          <w:lang w:eastAsia="bg-BG"/>
        </w:rPr>
      </w:pPr>
    </w:p>
    <w:p w14:paraId="13EEA833" w14:textId="0BD5AC73"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t>При избора на азитромицин за лечение на отделен пациент трябва да се вземе предвид целесъобразността от използването на макролидните антибактериални агенти на базата на адекватна диагноза, която да установи етиологията на бактериалната инфекция в одобрените показания и разпространението на резистентността към азитромицин или други макролиди.</w:t>
      </w:r>
    </w:p>
    <w:p w14:paraId="589B7EC7" w14:textId="77777777" w:rsidR="00C377A7" w:rsidRPr="00C377A7" w:rsidRDefault="00C377A7" w:rsidP="00C377A7">
      <w:pPr>
        <w:spacing w:line="240" w:lineRule="auto"/>
        <w:rPr>
          <w:rFonts w:eastAsia="Times New Roman" w:cs="Arial"/>
          <w:color w:val="000000"/>
          <w:lang w:eastAsia="bg-BG"/>
        </w:rPr>
      </w:pPr>
    </w:p>
    <w:p w14:paraId="45B775E2" w14:textId="43A97FE0"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t xml:space="preserve">В райони с висока честота на резистентност спрямо еритромицин А, особено важно е да се вземе предвид промяната на модела на чувствителност към азитромицин и други антибиотици. Както и при другите макролиди, високи нива на резистентност на </w:t>
      </w:r>
      <w:r w:rsidRPr="00C377A7">
        <w:rPr>
          <w:rFonts w:eastAsia="Times New Roman" w:cs="Arial"/>
          <w:i/>
          <w:iCs/>
          <w:color w:val="000000"/>
          <w:lang w:val="en-US"/>
        </w:rPr>
        <w:t>Streptococcus pneumoniae</w:t>
      </w:r>
      <w:r w:rsidRPr="00C377A7">
        <w:rPr>
          <w:rFonts w:eastAsia="Times New Roman" w:cs="Arial"/>
          <w:color w:val="000000"/>
          <w:lang w:val="en-US"/>
        </w:rPr>
        <w:t xml:space="preserve"> </w:t>
      </w:r>
      <w:r w:rsidRPr="00C377A7">
        <w:rPr>
          <w:rFonts w:eastAsia="Times New Roman" w:cs="Arial"/>
          <w:color w:val="000000"/>
          <w:lang w:eastAsia="bg-BG"/>
        </w:rPr>
        <w:t xml:space="preserve">са били докладвани за азитромицин в някои европейски страни (вж. точка 5.1). Това трябва да се има предвид при лечение на инфекции, причинени от </w:t>
      </w:r>
      <w:r w:rsidRPr="00C377A7">
        <w:rPr>
          <w:rFonts w:eastAsia="Times New Roman" w:cs="Arial"/>
          <w:i/>
          <w:iCs/>
          <w:color w:val="000000"/>
          <w:lang w:val="en-US"/>
        </w:rPr>
        <w:t>Streptococcus pneumoniae.</w:t>
      </w:r>
    </w:p>
    <w:p w14:paraId="31559B95" w14:textId="77777777" w:rsidR="00C377A7" w:rsidRPr="00C377A7" w:rsidRDefault="00C377A7" w:rsidP="00C377A7">
      <w:pPr>
        <w:spacing w:line="240" w:lineRule="auto"/>
        <w:rPr>
          <w:rFonts w:eastAsia="Times New Roman" w:cs="Arial"/>
          <w:color w:val="000000"/>
          <w:lang w:eastAsia="bg-BG"/>
        </w:rPr>
      </w:pPr>
    </w:p>
    <w:p w14:paraId="2A323246" w14:textId="605B804B"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t>При бактериален фарингит използването на азитромицин се препоръчва само в случаите, когато не е възможно бета-лактами да се използват за лечение като първо средство на избор.</w:t>
      </w:r>
    </w:p>
    <w:p w14:paraId="427E3C96" w14:textId="77777777" w:rsidR="00C377A7" w:rsidRPr="00C377A7" w:rsidRDefault="00C377A7" w:rsidP="00C377A7">
      <w:pPr>
        <w:spacing w:line="240" w:lineRule="auto"/>
        <w:rPr>
          <w:rFonts w:eastAsia="Times New Roman" w:cs="Arial"/>
          <w:color w:val="000000"/>
          <w:u w:val="single"/>
          <w:lang w:eastAsia="bg-BG"/>
        </w:rPr>
      </w:pPr>
    </w:p>
    <w:p w14:paraId="62BF72BB" w14:textId="3C3E70E8" w:rsidR="00C377A7" w:rsidRPr="00C377A7" w:rsidRDefault="00C377A7" w:rsidP="00C377A7">
      <w:pPr>
        <w:spacing w:line="240" w:lineRule="auto"/>
        <w:rPr>
          <w:rFonts w:eastAsia="Times New Roman" w:cs="Arial"/>
          <w:lang w:eastAsia="bg-BG"/>
        </w:rPr>
      </w:pPr>
      <w:r w:rsidRPr="00C377A7">
        <w:rPr>
          <w:rFonts w:eastAsia="Times New Roman" w:cs="Arial"/>
          <w:color w:val="000000"/>
          <w:u w:val="single"/>
          <w:lang w:eastAsia="bg-BG"/>
        </w:rPr>
        <w:t>Нарушения на кожата и инфекции на меките тъкани:</w:t>
      </w:r>
    </w:p>
    <w:p w14:paraId="65A15ED3" w14:textId="77777777"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t xml:space="preserve">Основният причинител на инфекции на меките тъкани, </w:t>
      </w:r>
      <w:r w:rsidRPr="00C377A7">
        <w:rPr>
          <w:rFonts w:eastAsia="Times New Roman" w:cs="Arial"/>
          <w:i/>
          <w:iCs/>
          <w:color w:val="000000"/>
          <w:lang w:val="en-US"/>
        </w:rPr>
        <w:t>Staphylococcus Aureus,</w:t>
      </w:r>
      <w:r w:rsidRPr="00C377A7">
        <w:rPr>
          <w:rFonts w:eastAsia="Times New Roman" w:cs="Arial"/>
          <w:color w:val="000000"/>
          <w:lang w:val="en-US"/>
        </w:rPr>
        <w:t xml:space="preserve"> </w:t>
      </w:r>
      <w:r w:rsidRPr="00C377A7">
        <w:rPr>
          <w:rFonts w:eastAsia="Times New Roman" w:cs="Arial"/>
          <w:color w:val="000000"/>
          <w:lang w:eastAsia="bg-BG"/>
        </w:rPr>
        <w:t>често е устоичив на азитромицин. Ето защо е необходимо провеждане на тест за чувствителност преди началото на лечение на инфекции на меките тъкани с азитромицин.</w:t>
      </w:r>
    </w:p>
    <w:p w14:paraId="6270FBCC" w14:textId="77777777" w:rsidR="00C377A7" w:rsidRPr="00C377A7" w:rsidRDefault="00C377A7" w:rsidP="00C377A7">
      <w:pPr>
        <w:spacing w:line="240" w:lineRule="auto"/>
        <w:rPr>
          <w:rFonts w:eastAsia="Times New Roman" w:cs="Arial"/>
          <w:color w:val="000000"/>
          <w:u w:val="single"/>
          <w:lang w:eastAsia="bg-BG"/>
        </w:rPr>
      </w:pPr>
    </w:p>
    <w:p w14:paraId="7ABFBE42" w14:textId="7FE72B31" w:rsidR="00C377A7" w:rsidRPr="00C377A7" w:rsidRDefault="00C377A7" w:rsidP="00C377A7">
      <w:pPr>
        <w:spacing w:line="240" w:lineRule="auto"/>
        <w:rPr>
          <w:rFonts w:eastAsia="Times New Roman" w:cs="Arial"/>
          <w:lang w:eastAsia="bg-BG"/>
        </w:rPr>
      </w:pPr>
      <w:r w:rsidRPr="00C377A7">
        <w:rPr>
          <w:rFonts w:eastAsia="Times New Roman" w:cs="Arial"/>
          <w:color w:val="000000"/>
          <w:u w:val="single"/>
          <w:lang w:eastAsia="bg-BG"/>
        </w:rPr>
        <w:t>Инфектирани рани от изгаряне</w:t>
      </w:r>
      <w:r w:rsidRPr="00C377A7">
        <w:rPr>
          <w:rFonts w:eastAsia="Times New Roman" w:cs="Arial"/>
          <w:color w:val="000000"/>
          <w:lang w:eastAsia="bg-BG"/>
        </w:rPr>
        <w:t>:</w:t>
      </w:r>
    </w:p>
    <w:p w14:paraId="2A6A6DCB" w14:textId="2378AAD6" w:rsidR="00C377A7" w:rsidRPr="00C377A7" w:rsidRDefault="00C377A7" w:rsidP="00C377A7">
      <w:pPr>
        <w:rPr>
          <w:rFonts w:eastAsia="Times New Roman" w:cs="Arial"/>
          <w:color w:val="000000"/>
          <w:lang w:eastAsia="bg-BG"/>
        </w:rPr>
      </w:pPr>
      <w:r w:rsidRPr="00C377A7">
        <w:rPr>
          <w:rFonts w:eastAsia="Times New Roman" w:cs="Arial"/>
          <w:color w:val="000000"/>
          <w:lang w:eastAsia="bg-BG"/>
        </w:rPr>
        <w:t>Азитромицин не е показан за лечение на инфектирани рани от изгаряне.</w:t>
      </w:r>
    </w:p>
    <w:p w14:paraId="673E9288" w14:textId="66884D7C" w:rsidR="00C377A7" w:rsidRPr="00C377A7" w:rsidRDefault="00C377A7" w:rsidP="00C377A7">
      <w:pPr>
        <w:rPr>
          <w:rFonts w:eastAsia="Times New Roman" w:cs="Arial"/>
          <w:color w:val="000000"/>
          <w:lang w:eastAsia="bg-BG"/>
        </w:rPr>
      </w:pPr>
    </w:p>
    <w:p w14:paraId="69A66488" w14:textId="77777777" w:rsidR="00C377A7" w:rsidRPr="00C377A7" w:rsidRDefault="00C377A7" w:rsidP="00C377A7">
      <w:pPr>
        <w:spacing w:line="240" w:lineRule="auto"/>
        <w:rPr>
          <w:rFonts w:eastAsia="Times New Roman" w:cs="Arial"/>
          <w:lang w:eastAsia="bg-BG"/>
        </w:rPr>
      </w:pPr>
      <w:r w:rsidRPr="00C377A7">
        <w:rPr>
          <w:rFonts w:eastAsia="Times New Roman" w:cs="Arial"/>
          <w:color w:val="000000"/>
          <w:u w:val="single"/>
          <w:lang w:eastAsia="bg-BG"/>
        </w:rPr>
        <w:t>Полово предавани болести</w:t>
      </w:r>
      <w:r w:rsidRPr="00C377A7">
        <w:rPr>
          <w:rFonts w:eastAsia="Times New Roman" w:cs="Arial"/>
          <w:color w:val="000000"/>
          <w:lang w:eastAsia="bg-BG"/>
        </w:rPr>
        <w:t>:</w:t>
      </w:r>
    </w:p>
    <w:p w14:paraId="2F6BB11D" w14:textId="77777777"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t xml:space="preserve">При случай на полово предавани болести, трябва да се изключи едновременната инфекция с </w:t>
      </w:r>
      <w:r w:rsidRPr="00C377A7">
        <w:rPr>
          <w:rFonts w:eastAsia="Times New Roman" w:cs="Arial"/>
          <w:i/>
          <w:iCs/>
          <w:color w:val="000000"/>
          <w:lang w:eastAsia="bg-BG"/>
        </w:rPr>
        <w:t xml:space="preserve">Т. </w:t>
      </w:r>
      <w:proofErr w:type="spellStart"/>
      <w:r w:rsidRPr="00C377A7">
        <w:rPr>
          <w:rFonts w:eastAsia="Times New Roman" w:cs="Arial"/>
          <w:i/>
          <w:iCs/>
          <w:color w:val="000000"/>
          <w:lang w:val="en-US"/>
        </w:rPr>
        <w:t>pallidium</w:t>
      </w:r>
      <w:proofErr w:type="spellEnd"/>
      <w:r w:rsidRPr="00C377A7">
        <w:rPr>
          <w:rFonts w:eastAsia="Times New Roman" w:cs="Arial"/>
          <w:i/>
          <w:iCs/>
          <w:color w:val="000000"/>
          <w:lang w:val="en-US"/>
        </w:rPr>
        <w:t>.</w:t>
      </w:r>
    </w:p>
    <w:p w14:paraId="62E5FA3F" w14:textId="77777777" w:rsidR="00C377A7" w:rsidRPr="00C377A7" w:rsidRDefault="00C377A7" w:rsidP="00C377A7">
      <w:pPr>
        <w:spacing w:line="240" w:lineRule="auto"/>
        <w:rPr>
          <w:rFonts w:eastAsia="Times New Roman" w:cs="Arial"/>
          <w:color w:val="000000"/>
          <w:u w:val="single"/>
          <w:lang w:eastAsia="bg-BG"/>
        </w:rPr>
      </w:pPr>
    </w:p>
    <w:p w14:paraId="51767B1A" w14:textId="10F00469" w:rsidR="00C377A7" w:rsidRPr="00C377A7" w:rsidRDefault="00C377A7" w:rsidP="00C377A7">
      <w:pPr>
        <w:spacing w:line="240" w:lineRule="auto"/>
        <w:rPr>
          <w:rFonts w:eastAsia="Times New Roman" w:cs="Arial"/>
          <w:lang w:eastAsia="bg-BG"/>
        </w:rPr>
      </w:pPr>
      <w:r w:rsidRPr="00C377A7">
        <w:rPr>
          <w:rFonts w:eastAsia="Times New Roman" w:cs="Arial"/>
          <w:color w:val="000000"/>
          <w:u w:val="single"/>
          <w:lang w:eastAsia="bg-BG"/>
        </w:rPr>
        <w:t>Неврологични или психични заболявания:</w:t>
      </w:r>
    </w:p>
    <w:p w14:paraId="495D7EEB" w14:textId="77777777"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t>Азитромицин трябва да се използва с повишено внимание при пациенти с неврологични или психични разстройства.</w:t>
      </w:r>
    </w:p>
    <w:p w14:paraId="3B1292B2" w14:textId="77777777" w:rsidR="00C377A7" w:rsidRPr="00C377A7" w:rsidRDefault="00C377A7" w:rsidP="00C377A7">
      <w:pPr>
        <w:spacing w:line="240" w:lineRule="auto"/>
        <w:rPr>
          <w:rFonts w:eastAsia="Times New Roman" w:cs="Arial"/>
          <w:color w:val="000000"/>
          <w:u w:val="single"/>
          <w:lang w:eastAsia="bg-BG"/>
        </w:rPr>
      </w:pPr>
    </w:p>
    <w:p w14:paraId="22DADB7C" w14:textId="2BBE3561" w:rsidR="00C377A7" w:rsidRPr="00C377A7" w:rsidRDefault="00C377A7" w:rsidP="00C377A7">
      <w:pPr>
        <w:spacing w:line="240" w:lineRule="auto"/>
        <w:rPr>
          <w:rFonts w:eastAsia="Times New Roman" w:cs="Arial"/>
          <w:lang w:eastAsia="bg-BG"/>
        </w:rPr>
      </w:pPr>
      <w:r w:rsidRPr="00C377A7">
        <w:rPr>
          <w:rFonts w:eastAsia="Times New Roman" w:cs="Arial"/>
          <w:color w:val="000000"/>
          <w:u w:val="single"/>
          <w:lang w:eastAsia="bg-BG"/>
        </w:rPr>
        <w:t>Натрий</w:t>
      </w:r>
      <w:r w:rsidRPr="00C377A7">
        <w:rPr>
          <w:rFonts w:eastAsia="Times New Roman" w:cs="Arial"/>
          <w:color w:val="000000"/>
          <w:lang w:eastAsia="bg-BG"/>
        </w:rPr>
        <w:t>:</w:t>
      </w:r>
    </w:p>
    <w:p w14:paraId="4122DCEB" w14:textId="77777777"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lastRenderedPageBreak/>
        <w:t xml:space="preserve">Това лекарство съдържа по-малко от 1 </w:t>
      </w:r>
      <w:r w:rsidRPr="00C377A7">
        <w:rPr>
          <w:rFonts w:eastAsia="Times New Roman" w:cs="Arial"/>
          <w:color w:val="000000"/>
          <w:lang w:val="en-US"/>
        </w:rPr>
        <w:t xml:space="preserve">mmol </w:t>
      </w:r>
      <w:r w:rsidRPr="00C377A7">
        <w:rPr>
          <w:rFonts w:eastAsia="Times New Roman" w:cs="Arial"/>
          <w:color w:val="000000"/>
          <w:lang w:eastAsia="bg-BG"/>
        </w:rPr>
        <w:t xml:space="preserve">натрий (23 </w:t>
      </w:r>
      <w:r w:rsidRPr="00C377A7">
        <w:rPr>
          <w:rFonts w:eastAsia="Times New Roman" w:cs="Arial"/>
          <w:color w:val="000000"/>
          <w:lang w:val="en-US"/>
        </w:rPr>
        <w:t xml:space="preserve">mg) </w:t>
      </w:r>
      <w:r w:rsidRPr="00C377A7">
        <w:rPr>
          <w:rFonts w:eastAsia="Times New Roman" w:cs="Arial"/>
          <w:color w:val="000000"/>
          <w:lang w:eastAsia="bg-BG"/>
        </w:rPr>
        <w:t>на дозова единица т.е. може да се каже, че пракически не съдържа натрий.</w:t>
      </w:r>
    </w:p>
    <w:p w14:paraId="59B62DF1" w14:textId="77777777" w:rsidR="00C377A7" w:rsidRPr="00C377A7" w:rsidRDefault="00C377A7" w:rsidP="00C377A7">
      <w:pPr>
        <w:spacing w:line="240" w:lineRule="auto"/>
        <w:rPr>
          <w:rFonts w:eastAsia="Times New Roman" w:cs="Arial"/>
          <w:i/>
          <w:iCs/>
          <w:color w:val="000000"/>
          <w:lang w:eastAsia="bg-BG"/>
        </w:rPr>
      </w:pPr>
    </w:p>
    <w:p w14:paraId="7181F80A" w14:textId="529282F1" w:rsidR="00C377A7" w:rsidRPr="00C377A7" w:rsidRDefault="00C377A7" w:rsidP="00C377A7">
      <w:pPr>
        <w:spacing w:line="240" w:lineRule="auto"/>
        <w:rPr>
          <w:rFonts w:eastAsia="Times New Roman" w:cs="Arial"/>
          <w:lang w:eastAsia="bg-BG"/>
        </w:rPr>
      </w:pPr>
      <w:r w:rsidRPr="00C377A7">
        <w:rPr>
          <w:rFonts w:eastAsia="Times New Roman" w:cs="Arial"/>
          <w:i/>
          <w:iCs/>
          <w:color w:val="000000"/>
          <w:lang w:eastAsia="bg-BG"/>
        </w:rPr>
        <w:t xml:space="preserve">Вещества, които удължават </w:t>
      </w:r>
      <w:r w:rsidRPr="00C377A7">
        <w:rPr>
          <w:rFonts w:eastAsia="Times New Roman" w:cs="Arial"/>
          <w:i/>
          <w:iCs/>
          <w:color w:val="000000"/>
          <w:lang w:val="en-US"/>
        </w:rPr>
        <w:t xml:space="preserve">QT </w:t>
      </w:r>
      <w:r w:rsidRPr="00C377A7">
        <w:rPr>
          <w:rFonts w:eastAsia="Times New Roman" w:cs="Arial"/>
          <w:i/>
          <w:iCs/>
          <w:color w:val="000000"/>
          <w:lang w:eastAsia="bg-BG"/>
        </w:rPr>
        <w:t>интервала:</w:t>
      </w:r>
      <w:r w:rsidRPr="00C377A7">
        <w:rPr>
          <w:rFonts w:eastAsia="Times New Roman" w:cs="Arial"/>
          <w:color w:val="000000"/>
          <w:lang w:eastAsia="bg-BG"/>
        </w:rPr>
        <w:t xml:space="preserve"> Азитромицин не трябва да се използва съпътстващо с други активни вещества, които удължават </w:t>
      </w:r>
      <w:r w:rsidRPr="00C377A7">
        <w:rPr>
          <w:rFonts w:eastAsia="Times New Roman" w:cs="Arial"/>
          <w:color w:val="000000"/>
          <w:lang w:val="en-US"/>
        </w:rPr>
        <w:t xml:space="preserve">QT </w:t>
      </w:r>
      <w:r w:rsidRPr="00C377A7">
        <w:rPr>
          <w:rFonts w:eastAsia="Times New Roman" w:cs="Arial"/>
          <w:color w:val="000000"/>
          <w:lang w:eastAsia="bg-BG"/>
        </w:rPr>
        <w:t>интервала, напр. хидроксихлороквин и хлороквин (вж. точка 4.4).</w:t>
      </w:r>
    </w:p>
    <w:p w14:paraId="16118556" w14:textId="77777777" w:rsidR="00C377A7" w:rsidRPr="00C377A7" w:rsidRDefault="00C377A7" w:rsidP="00C377A7"/>
    <w:p w14:paraId="1DA47448" w14:textId="224392A8"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155DED5B" w14:textId="4F6789FC" w:rsidR="00C377A7" w:rsidRDefault="00C377A7" w:rsidP="00C377A7"/>
    <w:p w14:paraId="5C1A0660" w14:textId="77777777" w:rsidR="00C377A7" w:rsidRPr="00C377A7" w:rsidRDefault="00C377A7" w:rsidP="00C377A7">
      <w:pPr>
        <w:spacing w:line="240" w:lineRule="auto"/>
        <w:rPr>
          <w:rFonts w:eastAsia="Times New Roman" w:cs="Arial"/>
          <w:lang w:eastAsia="bg-BG"/>
        </w:rPr>
      </w:pPr>
      <w:r w:rsidRPr="00C377A7">
        <w:rPr>
          <w:rFonts w:eastAsia="Times New Roman" w:cs="Arial"/>
          <w:i/>
          <w:iCs/>
          <w:color w:val="000000"/>
          <w:lang w:eastAsia="bg-BG"/>
        </w:rPr>
        <w:t>Антиациди:</w:t>
      </w:r>
      <w:r w:rsidRPr="00C377A7">
        <w:rPr>
          <w:rFonts w:eastAsia="Times New Roman" w:cs="Arial"/>
          <w:color w:val="000000"/>
          <w:lang w:eastAsia="bg-BG"/>
        </w:rPr>
        <w:t xml:space="preserve"> при фармакокинетични изследвания, проучващи ефекта на едновременен прием на антиациди с азитромицин, не е бил наблюдаван ефект върху цялостната бионаличност, въпреки че върховата серумна концентрация е била намалена с приблизително 25%. Пациенти, получаващи двете лекарства, азитромицин и антиациди, не бива да приемат лекарствата си едновременно. Едновременният прием на азитромицин гранули с удължено действие за орална суспензия с еднократна доза от 20 </w:t>
      </w:r>
      <w:r w:rsidRPr="00C377A7">
        <w:rPr>
          <w:rFonts w:eastAsia="Times New Roman" w:cs="Arial"/>
          <w:color w:val="000000"/>
          <w:lang w:val="en-US"/>
        </w:rPr>
        <w:t xml:space="preserve">ml </w:t>
      </w:r>
      <w:r w:rsidRPr="00C377A7">
        <w:rPr>
          <w:rFonts w:eastAsia="Times New Roman" w:cs="Arial"/>
          <w:color w:val="000000"/>
          <w:lang w:eastAsia="bg-BG"/>
        </w:rPr>
        <w:t>ко-магалдрокс (алуминиев хидроксид и магнезиев хидроксид) не е повлиял степента и обхвата на абсорбция на азитромицин.</w:t>
      </w:r>
    </w:p>
    <w:p w14:paraId="58B4ACE4" w14:textId="77777777" w:rsidR="00C377A7" w:rsidRPr="00B05575" w:rsidRDefault="00C377A7" w:rsidP="00C377A7">
      <w:pPr>
        <w:spacing w:line="240" w:lineRule="auto"/>
        <w:rPr>
          <w:rFonts w:eastAsia="Times New Roman" w:cs="Arial"/>
          <w:color w:val="000000"/>
          <w:lang w:eastAsia="bg-BG"/>
        </w:rPr>
      </w:pPr>
    </w:p>
    <w:p w14:paraId="6D738B01" w14:textId="24CC9D20" w:rsidR="00C377A7" w:rsidRPr="00C377A7" w:rsidRDefault="00C377A7" w:rsidP="00C377A7">
      <w:pPr>
        <w:spacing w:line="240" w:lineRule="auto"/>
        <w:rPr>
          <w:rFonts w:eastAsia="Times New Roman" w:cs="Arial"/>
          <w:lang w:eastAsia="bg-BG"/>
        </w:rPr>
      </w:pPr>
      <w:r w:rsidRPr="00C377A7">
        <w:rPr>
          <w:rFonts w:eastAsia="Times New Roman" w:cs="Arial"/>
          <w:color w:val="000000"/>
          <w:lang w:eastAsia="bg-BG"/>
        </w:rPr>
        <w:t>Азитромицин трябва да се приема поне 1 час преди или 2 часа след антиацидите.</w:t>
      </w:r>
    </w:p>
    <w:p w14:paraId="44AFBC03" w14:textId="77777777" w:rsidR="00C377A7" w:rsidRPr="00B05575" w:rsidRDefault="00C377A7" w:rsidP="00C377A7">
      <w:pPr>
        <w:spacing w:line="240" w:lineRule="auto"/>
        <w:rPr>
          <w:rFonts w:eastAsia="Times New Roman" w:cs="Arial"/>
          <w:i/>
          <w:iCs/>
          <w:color w:val="000000"/>
          <w:lang w:eastAsia="bg-BG"/>
        </w:rPr>
      </w:pPr>
    </w:p>
    <w:p w14:paraId="04A8A86B" w14:textId="2CD6BA24" w:rsidR="00C377A7" w:rsidRPr="00C377A7" w:rsidRDefault="00C377A7" w:rsidP="00C377A7">
      <w:pPr>
        <w:spacing w:line="240" w:lineRule="auto"/>
        <w:rPr>
          <w:rFonts w:eastAsia="Times New Roman" w:cs="Arial"/>
          <w:lang w:eastAsia="bg-BG"/>
        </w:rPr>
      </w:pPr>
      <w:r w:rsidRPr="00C377A7">
        <w:rPr>
          <w:rFonts w:eastAsia="Times New Roman" w:cs="Arial"/>
          <w:i/>
          <w:iCs/>
          <w:color w:val="000000"/>
          <w:lang w:eastAsia="bg-BG"/>
        </w:rPr>
        <w:t>Цетиризин:</w:t>
      </w:r>
      <w:r w:rsidRPr="00C377A7">
        <w:rPr>
          <w:rFonts w:eastAsia="Times New Roman" w:cs="Arial"/>
          <w:color w:val="000000"/>
          <w:lang w:eastAsia="bg-BG"/>
        </w:rPr>
        <w:t xml:space="preserve"> При здрави доброволци, едновременният прием при 5 дневен режим на азитромицин и цетиризин 20 </w:t>
      </w:r>
      <w:r w:rsidRPr="00C377A7">
        <w:rPr>
          <w:rFonts w:eastAsia="Times New Roman" w:cs="Arial"/>
          <w:color w:val="000000"/>
          <w:lang w:val="en-US"/>
        </w:rPr>
        <w:t xml:space="preserve">mg </w:t>
      </w:r>
      <w:r w:rsidRPr="00C377A7">
        <w:rPr>
          <w:rFonts w:eastAsia="Times New Roman" w:cs="Arial"/>
          <w:color w:val="000000"/>
          <w:lang w:eastAsia="bg-BG"/>
        </w:rPr>
        <w:t xml:space="preserve">няма за резултат равновесни нива на фармакокинетично взаимодействие и значителни промени в </w:t>
      </w:r>
      <w:r w:rsidRPr="00C377A7">
        <w:rPr>
          <w:rFonts w:eastAsia="Times New Roman" w:cs="Arial"/>
          <w:color w:val="000000"/>
          <w:lang w:val="en-US"/>
        </w:rPr>
        <w:t xml:space="preserve">QT </w:t>
      </w:r>
      <w:r w:rsidRPr="00C377A7">
        <w:rPr>
          <w:rFonts w:eastAsia="Times New Roman" w:cs="Arial"/>
          <w:color w:val="000000"/>
          <w:lang w:eastAsia="bg-BG"/>
        </w:rPr>
        <w:t>интервала.</w:t>
      </w:r>
    </w:p>
    <w:p w14:paraId="5281B39A" w14:textId="77777777" w:rsidR="00C377A7" w:rsidRPr="00B05575" w:rsidRDefault="00C377A7" w:rsidP="00C377A7">
      <w:pPr>
        <w:spacing w:line="240" w:lineRule="auto"/>
        <w:rPr>
          <w:rFonts w:eastAsia="Times New Roman" w:cs="Arial"/>
          <w:i/>
          <w:iCs/>
          <w:color w:val="000000"/>
          <w:lang w:eastAsia="bg-BG"/>
        </w:rPr>
      </w:pPr>
    </w:p>
    <w:p w14:paraId="5551B882" w14:textId="26597F9F" w:rsidR="00C377A7" w:rsidRPr="00C377A7" w:rsidRDefault="00C377A7" w:rsidP="00C377A7">
      <w:pPr>
        <w:spacing w:line="240" w:lineRule="auto"/>
        <w:rPr>
          <w:rFonts w:eastAsia="Times New Roman" w:cs="Arial"/>
          <w:lang w:eastAsia="bg-BG"/>
        </w:rPr>
      </w:pPr>
      <w:r w:rsidRPr="00C377A7">
        <w:rPr>
          <w:rFonts w:eastAsia="Times New Roman" w:cs="Arial"/>
          <w:i/>
          <w:iCs/>
          <w:color w:val="000000"/>
          <w:lang w:eastAsia="bg-BG"/>
        </w:rPr>
        <w:t>Диданозин (Дидеоксинозин):</w:t>
      </w:r>
      <w:r w:rsidRPr="00C377A7">
        <w:rPr>
          <w:rFonts w:eastAsia="Times New Roman" w:cs="Arial"/>
          <w:color w:val="000000"/>
          <w:lang w:eastAsia="bg-BG"/>
        </w:rPr>
        <w:t xml:space="preserve"> Едновременното приложение на дневна доза от 1200 </w:t>
      </w:r>
      <w:r w:rsidRPr="00C377A7">
        <w:rPr>
          <w:rFonts w:eastAsia="Times New Roman" w:cs="Arial"/>
          <w:color w:val="000000"/>
          <w:lang w:val="en-US"/>
        </w:rPr>
        <w:t xml:space="preserve">mg </w:t>
      </w:r>
      <w:r w:rsidRPr="00C377A7">
        <w:rPr>
          <w:rFonts w:eastAsia="Times New Roman" w:cs="Arial"/>
          <w:color w:val="000000"/>
          <w:lang w:eastAsia="bg-BG"/>
        </w:rPr>
        <w:t xml:space="preserve">азитромицин и 400 </w:t>
      </w:r>
      <w:r w:rsidRPr="00C377A7">
        <w:rPr>
          <w:rFonts w:eastAsia="Times New Roman" w:cs="Arial"/>
          <w:color w:val="000000"/>
          <w:lang w:val="en-US"/>
        </w:rPr>
        <w:t>mg</w:t>
      </w:r>
      <w:r w:rsidRPr="00C377A7">
        <w:rPr>
          <w:rFonts w:eastAsia="Times New Roman" w:cs="Arial"/>
          <w:color w:val="000000"/>
          <w:lang w:eastAsia="bg-BG"/>
        </w:rPr>
        <w:t>/ден диданозин при 6 ХИВ позитивни субекта не показва наличие на равновесни нива на фармакокинетични взаимодействия с диданозин в сравнение с плацебо.</w:t>
      </w:r>
    </w:p>
    <w:p w14:paraId="6536F419" w14:textId="77777777" w:rsidR="00C377A7" w:rsidRPr="00B05575" w:rsidRDefault="00C377A7" w:rsidP="00C377A7">
      <w:pPr>
        <w:spacing w:line="240" w:lineRule="auto"/>
        <w:rPr>
          <w:rFonts w:eastAsia="Times New Roman" w:cs="Arial"/>
          <w:i/>
          <w:iCs/>
          <w:color w:val="000000"/>
          <w:lang w:eastAsia="bg-BG"/>
        </w:rPr>
      </w:pPr>
    </w:p>
    <w:p w14:paraId="3B203070" w14:textId="54D407AA" w:rsidR="00C377A7" w:rsidRPr="00C377A7" w:rsidRDefault="00C377A7" w:rsidP="00C377A7">
      <w:pPr>
        <w:spacing w:line="240" w:lineRule="auto"/>
        <w:rPr>
          <w:rFonts w:eastAsia="Times New Roman" w:cs="Arial"/>
          <w:lang w:eastAsia="bg-BG"/>
        </w:rPr>
      </w:pPr>
      <w:r w:rsidRPr="00C377A7">
        <w:rPr>
          <w:rFonts w:eastAsia="Times New Roman" w:cs="Arial"/>
          <w:i/>
          <w:iCs/>
          <w:color w:val="000000"/>
          <w:lang w:eastAsia="bg-BG"/>
        </w:rPr>
        <w:t>Дигоксин и колхицин:</w:t>
      </w:r>
      <w:r w:rsidRPr="00C377A7">
        <w:rPr>
          <w:rFonts w:eastAsia="Times New Roman" w:cs="Arial"/>
          <w:color w:val="000000"/>
          <w:lang w:eastAsia="bg-BG"/>
        </w:rPr>
        <w:t xml:space="preserve"> има съобщения, че едновременното приложение на макролидни антибиотици, включително азитромицин, със субстрати на Р-гликопротеин, като дигоксин и колхицин, води до повишаване на серумните нива на субстрата на Р-гликопротеин. Поради това, ако азитромицин и субстрати на Р-гликопротеин, като дигоксин, се прилагат едновременно, трябва да се вземе предвид възможността за повишаване на серумните концентрации на дигоксин. Необходимо е клинично проследяване и евентуално изследване на серумните нива на дигоксин по време и след прекратяване на лечението с азитромицин.</w:t>
      </w:r>
    </w:p>
    <w:p w14:paraId="0257FEA1" w14:textId="77777777" w:rsidR="00C377A7" w:rsidRPr="00B05575" w:rsidRDefault="00C377A7" w:rsidP="00C377A7">
      <w:pPr>
        <w:spacing w:line="240" w:lineRule="auto"/>
        <w:rPr>
          <w:rFonts w:eastAsia="Times New Roman" w:cs="Arial"/>
          <w:i/>
          <w:iCs/>
          <w:color w:val="000000"/>
          <w:lang w:eastAsia="bg-BG"/>
        </w:rPr>
      </w:pPr>
    </w:p>
    <w:p w14:paraId="5CEF1107" w14:textId="083F6024" w:rsidR="00C377A7" w:rsidRPr="00C377A7" w:rsidRDefault="00C377A7" w:rsidP="00C377A7">
      <w:pPr>
        <w:spacing w:line="240" w:lineRule="auto"/>
        <w:rPr>
          <w:rFonts w:eastAsia="Times New Roman" w:cs="Arial"/>
          <w:lang w:eastAsia="bg-BG"/>
        </w:rPr>
      </w:pPr>
      <w:r w:rsidRPr="00C377A7">
        <w:rPr>
          <w:rFonts w:eastAsia="Times New Roman" w:cs="Arial"/>
          <w:i/>
          <w:iCs/>
          <w:color w:val="000000"/>
          <w:lang w:eastAsia="bg-BG"/>
        </w:rPr>
        <w:t>Зидовудин:</w:t>
      </w:r>
      <w:r w:rsidRPr="00C377A7">
        <w:rPr>
          <w:rFonts w:eastAsia="Times New Roman" w:cs="Arial"/>
          <w:color w:val="000000"/>
          <w:lang w:eastAsia="bg-BG"/>
        </w:rPr>
        <w:t xml:space="preserve"> Еднократна доза от 1 000 </w:t>
      </w:r>
      <w:r w:rsidRPr="00C377A7">
        <w:rPr>
          <w:rFonts w:eastAsia="Times New Roman" w:cs="Arial"/>
          <w:color w:val="000000"/>
          <w:lang w:val="en-US"/>
        </w:rPr>
        <w:t xml:space="preserve">mg </w:t>
      </w:r>
      <w:r w:rsidRPr="00C377A7">
        <w:rPr>
          <w:rFonts w:eastAsia="Times New Roman" w:cs="Arial"/>
          <w:color w:val="000000"/>
          <w:lang w:eastAsia="bg-BG"/>
        </w:rPr>
        <w:t xml:space="preserve">и многократни дози от 1200 </w:t>
      </w:r>
      <w:r w:rsidRPr="00C377A7">
        <w:rPr>
          <w:rFonts w:eastAsia="Times New Roman" w:cs="Arial"/>
          <w:color w:val="000000"/>
          <w:lang w:val="en-US"/>
        </w:rPr>
        <w:t xml:space="preserve">mg </w:t>
      </w:r>
      <w:r w:rsidRPr="00C377A7">
        <w:rPr>
          <w:rFonts w:eastAsia="Times New Roman" w:cs="Arial"/>
          <w:color w:val="000000"/>
          <w:lang w:eastAsia="bg-BG"/>
        </w:rPr>
        <w:t xml:space="preserve">или 600 </w:t>
      </w:r>
      <w:r w:rsidRPr="00C377A7">
        <w:rPr>
          <w:rFonts w:eastAsia="Times New Roman" w:cs="Arial"/>
          <w:color w:val="000000"/>
          <w:lang w:val="en-US"/>
        </w:rPr>
        <w:t xml:space="preserve">mg </w:t>
      </w:r>
      <w:r w:rsidRPr="00C377A7">
        <w:rPr>
          <w:rFonts w:eastAsia="Times New Roman" w:cs="Arial"/>
          <w:color w:val="000000"/>
          <w:lang w:eastAsia="bg-BG"/>
        </w:rPr>
        <w:t>на азитромицин е имала слабо влияние върху плазмената фармакокинетика или бъбречната екскреция на зидовудина или на неговия глюкорониден метаболит. Обаче, приемането на азитромицин повишава концентрацията на фосфорил зидовудина, клинично активния метаболит в мононуклеарните клетки на периферната кръв. Клиничната значимост на това откритие не е изяснена, но може да бъде от полза за пациента.</w:t>
      </w:r>
    </w:p>
    <w:p w14:paraId="3BA10B83" w14:textId="77777777" w:rsidR="00C377A7" w:rsidRPr="00B05575" w:rsidRDefault="00C377A7" w:rsidP="00C377A7">
      <w:pPr>
        <w:spacing w:line="240" w:lineRule="auto"/>
        <w:rPr>
          <w:rFonts w:eastAsia="Times New Roman" w:cs="Arial"/>
          <w:color w:val="000000"/>
          <w:lang w:eastAsia="bg-BG"/>
        </w:rPr>
      </w:pPr>
    </w:p>
    <w:p w14:paraId="5A6D194D" w14:textId="21581A45" w:rsidR="00C377A7" w:rsidRPr="00B05575" w:rsidRDefault="00C377A7" w:rsidP="00C377A7">
      <w:pPr>
        <w:spacing w:line="240" w:lineRule="auto"/>
        <w:rPr>
          <w:rFonts w:eastAsia="Times New Roman" w:cs="Arial"/>
          <w:color w:val="000000"/>
          <w:lang w:eastAsia="bg-BG"/>
        </w:rPr>
      </w:pPr>
      <w:r w:rsidRPr="00C377A7">
        <w:rPr>
          <w:rFonts w:eastAsia="Times New Roman" w:cs="Arial"/>
          <w:color w:val="000000"/>
          <w:lang w:eastAsia="bg-BG"/>
        </w:rPr>
        <w:t>Азитромицин не взаимодейства значително с чернодробната цитохром Р450 система. Не е вероятно да повлиява фармакокинетичните лекарствени взаимодействия, както се наблюдава при еритромицин и други макролиди. Чернодробната цитохром Р450 индукция или инактивация чрез цитохром-метаболитен комплекс не се проявява при азитромицин.</w:t>
      </w:r>
    </w:p>
    <w:p w14:paraId="4BF48994" w14:textId="7F4EDBA9" w:rsidR="009E52CC" w:rsidRPr="00B05575" w:rsidRDefault="009E52CC" w:rsidP="00C377A7">
      <w:pPr>
        <w:spacing w:line="240" w:lineRule="auto"/>
        <w:rPr>
          <w:rFonts w:eastAsia="Times New Roman" w:cs="Arial"/>
          <w:color w:val="000000"/>
          <w:lang w:eastAsia="bg-BG"/>
        </w:rPr>
      </w:pPr>
    </w:p>
    <w:p w14:paraId="70796133" w14:textId="77777777" w:rsidR="009E52CC" w:rsidRPr="009E52CC" w:rsidRDefault="009E52CC" w:rsidP="009E52CC">
      <w:pPr>
        <w:spacing w:line="240" w:lineRule="auto"/>
        <w:rPr>
          <w:rFonts w:eastAsia="Times New Roman" w:cs="Arial"/>
          <w:lang w:eastAsia="bg-BG"/>
        </w:rPr>
      </w:pPr>
      <w:r w:rsidRPr="009E52CC">
        <w:rPr>
          <w:rFonts w:eastAsia="Times New Roman" w:cs="Arial"/>
          <w:i/>
          <w:iCs/>
          <w:color w:val="000000"/>
          <w:lang w:eastAsia="bg-BG"/>
        </w:rPr>
        <w:t>Ергоалкалоиди:</w:t>
      </w:r>
      <w:r w:rsidRPr="009E52CC">
        <w:rPr>
          <w:rFonts w:eastAsia="Times New Roman" w:cs="Arial"/>
          <w:color w:val="000000"/>
          <w:lang w:eastAsia="bg-BG"/>
        </w:rPr>
        <w:t xml:space="preserve"> поради теоретичната вероятност от ерготизъм, азитромицин и ерготаминовите производни не трябва да се предписват едновременно (вж. точка 4.4).</w:t>
      </w:r>
    </w:p>
    <w:p w14:paraId="1111D863" w14:textId="77777777" w:rsidR="009E52CC" w:rsidRPr="00B05575" w:rsidRDefault="009E52CC" w:rsidP="009E52CC">
      <w:pPr>
        <w:spacing w:line="240" w:lineRule="auto"/>
        <w:rPr>
          <w:rFonts w:eastAsia="Times New Roman" w:cs="Arial"/>
          <w:color w:val="000000"/>
          <w:lang w:eastAsia="bg-BG"/>
        </w:rPr>
      </w:pPr>
    </w:p>
    <w:p w14:paraId="7B92C2B5" w14:textId="7BC6B4C5" w:rsidR="009E52CC" w:rsidRPr="009E52CC" w:rsidRDefault="009E52CC" w:rsidP="009E52CC">
      <w:pPr>
        <w:spacing w:line="240" w:lineRule="auto"/>
        <w:rPr>
          <w:rFonts w:eastAsia="Times New Roman" w:cs="Arial"/>
          <w:lang w:eastAsia="bg-BG"/>
        </w:rPr>
      </w:pPr>
      <w:r w:rsidRPr="009E52CC">
        <w:rPr>
          <w:rFonts w:eastAsia="Times New Roman" w:cs="Arial"/>
          <w:color w:val="000000"/>
          <w:lang w:eastAsia="bg-BG"/>
        </w:rPr>
        <w:t>Фармакокинетични проучвания са провеждани между азитромицин и следните лекарства, за които е известно, че притежават значителен цитохорм Р450 медииран метаболизъм.</w:t>
      </w:r>
    </w:p>
    <w:p w14:paraId="07C716EA" w14:textId="77777777" w:rsidR="009E52CC" w:rsidRPr="00B05575" w:rsidRDefault="009E52CC" w:rsidP="009E52CC">
      <w:pPr>
        <w:spacing w:line="240" w:lineRule="auto"/>
        <w:rPr>
          <w:rFonts w:eastAsia="Times New Roman" w:cs="Arial"/>
          <w:i/>
          <w:iCs/>
          <w:color w:val="000000"/>
          <w:lang w:eastAsia="bg-BG"/>
        </w:rPr>
      </w:pPr>
    </w:p>
    <w:p w14:paraId="48448A39" w14:textId="2DA75726" w:rsidR="009E52CC" w:rsidRPr="009E52CC" w:rsidRDefault="009E52CC" w:rsidP="009E52CC">
      <w:pPr>
        <w:spacing w:line="240" w:lineRule="auto"/>
        <w:rPr>
          <w:rFonts w:eastAsia="Times New Roman" w:cs="Arial"/>
          <w:lang w:eastAsia="bg-BG"/>
        </w:rPr>
      </w:pPr>
      <w:r w:rsidRPr="009E52CC">
        <w:rPr>
          <w:rFonts w:eastAsia="Times New Roman" w:cs="Arial"/>
          <w:i/>
          <w:iCs/>
          <w:color w:val="000000"/>
          <w:lang w:eastAsia="bg-BG"/>
        </w:rPr>
        <w:t>Астемизол, алфентанил:</w:t>
      </w:r>
      <w:r w:rsidRPr="009E52CC">
        <w:rPr>
          <w:rFonts w:eastAsia="Times New Roman" w:cs="Arial"/>
          <w:color w:val="000000"/>
          <w:lang w:eastAsia="bg-BG"/>
        </w:rPr>
        <w:t xml:space="preserve"> Не са известни данни за взаимодействия с астемизол или алфентанил. Препоръчва се повишено внимание при едновременното приложение на тези лекарства с азитромицин, поради това, че е наблюдаване засилване на ефекта на тези лекарства, когато се използват едновременно с макролидния антибиотик еритромицин.</w:t>
      </w:r>
    </w:p>
    <w:p w14:paraId="49A972C9" w14:textId="77777777" w:rsidR="009E52CC" w:rsidRPr="00B05575" w:rsidRDefault="009E52CC" w:rsidP="009E52CC">
      <w:pPr>
        <w:spacing w:line="240" w:lineRule="auto"/>
        <w:rPr>
          <w:rFonts w:eastAsia="Times New Roman" w:cs="Arial"/>
          <w:i/>
          <w:iCs/>
          <w:color w:val="000000"/>
          <w:lang w:eastAsia="bg-BG"/>
        </w:rPr>
      </w:pPr>
    </w:p>
    <w:p w14:paraId="087778EA" w14:textId="74A71A50" w:rsidR="009E52CC" w:rsidRPr="009E52CC" w:rsidRDefault="009E52CC" w:rsidP="009E52CC">
      <w:pPr>
        <w:spacing w:line="240" w:lineRule="auto"/>
        <w:rPr>
          <w:rFonts w:eastAsia="Times New Roman" w:cs="Arial"/>
          <w:lang w:eastAsia="bg-BG"/>
        </w:rPr>
      </w:pPr>
      <w:r w:rsidRPr="009E52CC">
        <w:rPr>
          <w:rFonts w:eastAsia="Times New Roman" w:cs="Arial"/>
          <w:i/>
          <w:iCs/>
          <w:color w:val="000000"/>
          <w:lang w:eastAsia="bg-BG"/>
        </w:rPr>
        <w:t>Аторвастатин:</w:t>
      </w:r>
      <w:r w:rsidRPr="009E52CC">
        <w:rPr>
          <w:rFonts w:eastAsia="Times New Roman" w:cs="Arial"/>
          <w:color w:val="000000"/>
          <w:lang w:eastAsia="bg-BG"/>
        </w:rPr>
        <w:t xml:space="preserve"> Едновременният прием на аторвастатин (10 </w:t>
      </w:r>
      <w:r w:rsidRPr="009E52CC">
        <w:rPr>
          <w:rFonts w:eastAsia="Times New Roman" w:cs="Arial"/>
          <w:color w:val="000000"/>
          <w:lang w:val="en-US"/>
        </w:rPr>
        <w:t xml:space="preserve">mg </w:t>
      </w:r>
      <w:r w:rsidRPr="009E52CC">
        <w:rPr>
          <w:rFonts w:eastAsia="Times New Roman" w:cs="Arial"/>
          <w:color w:val="000000"/>
          <w:lang w:eastAsia="bg-BG"/>
        </w:rPr>
        <w:t xml:space="preserve">дневно) и азитромицин (500 </w:t>
      </w:r>
      <w:r w:rsidRPr="009E52CC">
        <w:rPr>
          <w:rFonts w:eastAsia="Times New Roman" w:cs="Arial"/>
          <w:color w:val="000000"/>
          <w:lang w:val="en-US"/>
        </w:rPr>
        <w:t xml:space="preserve">mg </w:t>
      </w:r>
      <w:r w:rsidRPr="009E52CC">
        <w:rPr>
          <w:rFonts w:eastAsia="Times New Roman" w:cs="Arial"/>
          <w:color w:val="000000"/>
          <w:lang w:eastAsia="bg-BG"/>
        </w:rPr>
        <w:t xml:space="preserve">дневно) не е повлиял на плазмената концентрация на аторвастатин (базирано на </w:t>
      </w:r>
      <w:r w:rsidRPr="009E52CC">
        <w:rPr>
          <w:rFonts w:eastAsia="Times New Roman" w:cs="Arial"/>
          <w:color w:val="000000"/>
          <w:lang w:val="en-US"/>
        </w:rPr>
        <w:t xml:space="preserve">HMG </w:t>
      </w:r>
      <w:r w:rsidRPr="009E52CC">
        <w:rPr>
          <w:rFonts w:eastAsia="Times New Roman" w:cs="Arial"/>
          <w:color w:val="000000"/>
          <w:lang w:eastAsia="bg-BG"/>
        </w:rPr>
        <w:t>СоА-редуктазно инхибиторен анализ). Въпреки това, са докладвани пост маркетингови случаи на рабдомиолиза при пациенти, получаващи азитромицин и статини.</w:t>
      </w:r>
    </w:p>
    <w:p w14:paraId="59B14DDE" w14:textId="77777777" w:rsidR="009E52CC" w:rsidRPr="00B05575" w:rsidRDefault="009E52CC" w:rsidP="009E52CC">
      <w:pPr>
        <w:spacing w:line="240" w:lineRule="auto"/>
        <w:rPr>
          <w:rFonts w:eastAsia="Times New Roman" w:cs="Arial"/>
          <w:i/>
          <w:iCs/>
          <w:color w:val="000000"/>
          <w:lang w:eastAsia="bg-BG"/>
        </w:rPr>
      </w:pPr>
    </w:p>
    <w:p w14:paraId="6A665211" w14:textId="04A56F73" w:rsidR="009E52CC" w:rsidRPr="009E52CC" w:rsidRDefault="009E52CC" w:rsidP="009E52CC">
      <w:pPr>
        <w:spacing w:line="240" w:lineRule="auto"/>
        <w:rPr>
          <w:rFonts w:eastAsia="Times New Roman" w:cs="Arial"/>
          <w:lang w:eastAsia="bg-BG"/>
        </w:rPr>
      </w:pPr>
      <w:r w:rsidRPr="009E52CC">
        <w:rPr>
          <w:rFonts w:eastAsia="Times New Roman" w:cs="Arial"/>
          <w:i/>
          <w:iCs/>
          <w:color w:val="000000"/>
          <w:lang w:eastAsia="bg-BG"/>
        </w:rPr>
        <w:t>Карбамазепин:</w:t>
      </w:r>
      <w:r w:rsidRPr="009E52CC">
        <w:rPr>
          <w:rFonts w:eastAsia="Times New Roman" w:cs="Arial"/>
          <w:color w:val="000000"/>
          <w:lang w:eastAsia="bg-BG"/>
        </w:rPr>
        <w:t xml:space="preserve"> Във фармакокинетично проучване на взаимодействията при здрави доброволци не са открити значителни ефекти върху плазмените нива на карбамазепина или неговите активни метаболити, при пациенти, получаващи едновременно азиромицин.</w:t>
      </w:r>
    </w:p>
    <w:p w14:paraId="180CABF7" w14:textId="77777777" w:rsidR="009E52CC" w:rsidRPr="00B05575" w:rsidRDefault="009E52CC" w:rsidP="009E52CC">
      <w:pPr>
        <w:spacing w:line="240" w:lineRule="auto"/>
        <w:rPr>
          <w:rFonts w:eastAsia="Times New Roman" w:cs="Arial"/>
          <w:i/>
          <w:iCs/>
          <w:color w:val="000000"/>
          <w:lang w:eastAsia="bg-BG"/>
        </w:rPr>
      </w:pPr>
    </w:p>
    <w:p w14:paraId="726744B1" w14:textId="0205153E" w:rsidR="009E52CC" w:rsidRPr="009E52CC" w:rsidRDefault="009E52CC" w:rsidP="009E52CC">
      <w:pPr>
        <w:spacing w:line="240" w:lineRule="auto"/>
        <w:rPr>
          <w:rFonts w:eastAsia="Times New Roman" w:cs="Arial"/>
          <w:lang w:eastAsia="bg-BG"/>
        </w:rPr>
      </w:pPr>
      <w:r w:rsidRPr="009E52CC">
        <w:rPr>
          <w:rFonts w:eastAsia="Times New Roman" w:cs="Arial"/>
          <w:i/>
          <w:iCs/>
          <w:color w:val="000000"/>
          <w:lang w:eastAsia="bg-BG"/>
        </w:rPr>
        <w:t>Цизаприд:</w:t>
      </w:r>
      <w:r w:rsidRPr="009E52CC">
        <w:rPr>
          <w:rFonts w:eastAsia="Times New Roman" w:cs="Arial"/>
          <w:color w:val="000000"/>
          <w:lang w:eastAsia="bg-BG"/>
        </w:rPr>
        <w:t xml:space="preserve"> Цизаприд се метаболизира в черния дроб чрез ензима </w:t>
      </w:r>
      <w:r w:rsidRPr="009E52CC">
        <w:rPr>
          <w:rFonts w:eastAsia="Times New Roman" w:cs="Arial"/>
          <w:color w:val="000000"/>
          <w:lang w:val="en-US"/>
        </w:rPr>
        <w:t xml:space="preserve">CYP </w:t>
      </w:r>
      <w:r w:rsidRPr="009E52CC">
        <w:rPr>
          <w:rFonts w:eastAsia="Times New Roman" w:cs="Arial"/>
          <w:color w:val="000000"/>
          <w:lang w:eastAsia="bg-BG"/>
        </w:rPr>
        <w:t xml:space="preserve">ЗА4. Тъй като макролидите инхибират този ензим, едновременното приложение на цизаприд може да доведе до увеличение на </w:t>
      </w:r>
      <w:r w:rsidRPr="009E52CC">
        <w:rPr>
          <w:rFonts w:eastAsia="Times New Roman" w:cs="Arial"/>
          <w:color w:val="000000"/>
          <w:lang w:val="en-US"/>
        </w:rPr>
        <w:t xml:space="preserve">QT </w:t>
      </w:r>
      <w:r w:rsidRPr="009E52CC">
        <w:rPr>
          <w:rFonts w:eastAsia="Times New Roman" w:cs="Arial"/>
          <w:color w:val="000000"/>
          <w:lang w:eastAsia="bg-BG"/>
        </w:rPr>
        <w:t xml:space="preserve">интервала, камерни аритмии и </w:t>
      </w:r>
      <w:proofErr w:type="spellStart"/>
      <w:r w:rsidRPr="009E52CC">
        <w:rPr>
          <w:rFonts w:eastAsia="Times New Roman" w:cs="Arial"/>
          <w:i/>
          <w:iCs/>
          <w:color w:val="000000"/>
          <w:lang w:val="en-US"/>
        </w:rPr>
        <w:t>torsades</w:t>
      </w:r>
      <w:proofErr w:type="spellEnd"/>
      <w:r w:rsidRPr="009E52CC">
        <w:rPr>
          <w:rFonts w:eastAsia="Times New Roman" w:cs="Arial"/>
          <w:i/>
          <w:iCs/>
          <w:color w:val="000000"/>
          <w:lang w:val="en-US"/>
        </w:rPr>
        <w:t xml:space="preserve"> de pointes.</w:t>
      </w:r>
    </w:p>
    <w:p w14:paraId="2FB609F6" w14:textId="77777777" w:rsidR="009E52CC" w:rsidRPr="00B05575" w:rsidRDefault="009E52CC" w:rsidP="009E52CC">
      <w:pPr>
        <w:spacing w:line="240" w:lineRule="auto"/>
        <w:rPr>
          <w:rFonts w:eastAsia="Times New Roman" w:cs="Arial"/>
          <w:i/>
          <w:iCs/>
          <w:color w:val="000000"/>
          <w:lang w:eastAsia="bg-BG"/>
        </w:rPr>
      </w:pPr>
    </w:p>
    <w:p w14:paraId="7EC3376D" w14:textId="392DDE4D" w:rsidR="009E52CC" w:rsidRPr="009E52CC" w:rsidRDefault="009E52CC" w:rsidP="009E52CC">
      <w:pPr>
        <w:spacing w:line="240" w:lineRule="auto"/>
        <w:rPr>
          <w:rFonts w:eastAsia="Times New Roman" w:cs="Arial"/>
          <w:lang w:eastAsia="bg-BG"/>
        </w:rPr>
      </w:pPr>
      <w:r w:rsidRPr="009E52CC">
        <w:rPr>
          <w:rFonts w:eastAsia="Times New Roman" w:cs="Arial"/>
          <w:i/>
          <w:iCs/>
          <w:color w:val="000000"/>
          <w:lang w:eastAsia="bg-BG"/>
        </w:rPr>
        <w:t>Циметидин:</w:t>
      </w:r>
      <w:r w:rsidRPr="009E52CC">
        <w:rPr>
          <w:rFonts w:eastAsia="Times New Roman" w:cs="Arial"/>
          <w:color w:val="000000"/>
          <w:lang w:eastAsia="bg-BG"/>
        </w:rPr>
        <w:t xml:space="preserve"> В проучване, целящо да оцени ефектите на еднократна доза циметидин, предписана 2 часа преди азитромицин, върху фармакокинетиката на азитромицин, не са установени взаимодействия с азитромицин.</w:t>
      </w:r>
    </w:p>
    <w:p w14:paraId="6FBDA4F7" w14:textId="77777777" w:rsidR="009E52CC" w:rsidRPr="00B05575" w:rsidRDefault="009E52CC" w:rsidP="009E52CC">
      <w:pPr>
        <w:spacing w:line="240" w:lineRule="auto"/>
        <w:rPr>
          <w:rFonts w:eastAsia="Times New Roman" w:cs="Arial"/>
          <w:i/>
          <w:iCs/>
          <w:color w:val="000000"/>
          <w:lang w:eastAsia="bg-BG"/>
        </w:rPr>
      </w:pPr>
    </w:p>
    <w:p w14:paraId="22325DFD" w14:textId="75A901F9" w:rsidR="009E52CC" w:rsidRPr="009E52CC" w:rsidRDefault="009E52CC" w:rsidP="009E52CC">
      <w:pPr>
        <w:spacing w:line="240" w:lineRule="auto"/>
        <w:rPr>
          <w:rFonts w:eastAsia="Times New Roman" w:cs="Arial"/>
          <w:lang w:eastAsia="bg-BG"/>
        </w:rPr>
      </w:pPr>
      <w:r w:rsidRPr="009E52CC">
        <w:rPr>
          <w:rFonts w:eastAsia="Times New Roman" w:cs="Arial"/>
          <w:i/>
          <w:iCs/>
          <w:color w:val="000000"/>
          <w:lang w:eastAsia="bg-BG"/>
        </w:rPr>
        <w:t>Перорални антикоагуланти от кумаршюв тип:</w:t>
      </w:r>
      <w:r w:rsidRPr="009E52CC">
        <w:rPr>
          <w:rFonts w:eastAsia="Times New Roman" w:cs="Arial"/>
          <w:color w:val="000000"/>
          <w:lang w:eastAsia="bg-BG"/>
        </w:rPr>
        <w:t xml:space="preserve"> Във фармакокинетично проучване на взаимодействията, азитромицин не променя антикоагулантния ефект на варфарина в дози от 15 </w:t>
      </w:r>
      <w:r w:rsidRPr="009E52CC">
        <w:rPr>
          <w:rFonts w:eastAsia="Times New Roman" w:cs="Arial"/>
          <w:color w:val="000000"/>
          <w:lang w:val="en-US"/>
        </w:rPr>
        <w:t xml:space="preserve">mg, </w:t>
      </w:r>
      <w:r w:rsidRPr="009E52CC">
        <w:rPr>
          <w:rFonts w:eastAsia="Times New Roman" w:cs="Arial"/>
          <w:color w:val="000000"/>
          <w:lang w:eastAsia="bg-BG"/>
        </w:rPr>
        <w:t>приемани от здрави доброволци. Докладвани са случаи от повишаване на антикоагулантния ефект след едновременно приемане на азитромицин и орални антикоагуланти от кумаринов тип. Въпреки, че причинна връзка не е доказана, препоръчва се често проследяване на протромбиновото време, когато азитромицин се използва при пациенти, получаващи перорални антикоагуланти от кумаринов тип.</w:t>
      </w:r>
    </w:p>
    <w:p w14:paraId="01299033" w14:textId="77777777" w:rsidR="009E52CC" w:rsidRPr="00B05575" w:rsidRDefault="009E52CC" w:rsidP="009E52CC">
      <w:pPr>
        <w:spacing w:line="240" w:lineRule="auto"/>
        <w:rPr>
          <w:rFonts w:eastAsia="Times New Roman" w:cs="Arial"/>
          <w:i/>
          <w:iCs/>
          <w:color w:val="000000"/>
          <w:lang w:eastAsia="bg-BG"/>
        </w:rPr>
      </w:pPr>
    </w:p>
    <w:p w14:paraId="014C8376" w14:textId="596E8D24" w:rsidR="009E52CC" w:rsidRPr="009E52CC" w:rsidRDefault="009E52CC" w:rsidP="009E52CC">
      <w:pPr>
        <w:spacing w:line="240" w:lineRule="auto"/>
        <w:rPr>
          <w:rFonts w:eastAsia="Times New Roman" w:cs="Arial"/>
          <w:lang w:eastAsia="bg-BG"/>
        </w:rPr>
      </w:pPr>
      <w:r w:rsidRPr="009E52CC">
        <w:rPr>
          <w:rFonts w:eastAsia="Times New Roman" w:cs="Arial"/>
          <w:i/>
          <w:iCs/>
          <w:color w:val="000000"/>
          <w:lang w:eastAsia="bg-BG"/>
        </w:rPr>
        <w:t>Циклоспорин:</w:t>
      </w:r>
      <w:r w:rsidRPr="009E52CC">
        <w:rPr>
          <w:rFonts w:eastAsia="Times New Roman" w:cs="Arial"/>
          <w:color w:val="000000"/>
          <w:lang w:eastAsia="bg-BG"/>
        </w:rPr>
        <w:t xml:space="preserve"> при фармакокинетични проучвания със здрави доброволци, които са приемали по 500 </w:t>
      </w:r>
      <w:r w:rsidRPr="009E52CC">
        <w:rPr>
          <w:rFonts w:eastAsia="Times New Roman" w:cs="Arial"/>
          <w:color w:val="000000"/>
          <w:lang w:val="en-US"/>
        </w:rPr>
        <w:t>mg</w:t>
      </w:r>
      <w:r w:rsidRPr="009E52CC">
        <w:rPr>
          <w:rFonts w:eastAsia="Times New Roman" w:cs="Arial"/>
          <w:color w:val="000000"/>
          <w:lang w:eastAsia="bg-BG"/>
        </w:rPr>
        <w:t xml:space="preserve">/ден перорална доза азитромицин за 3 дни, а след това са приемали еднократна перорална доза от 10 </w:t>
      </w:r>
      <w:r w:rsidRPr="009E52CC">
        <w:rPr>
          <w:rFonts w:eastAsia="Times New Roman" w:cs="Arial"/>
          <w:color w:val="000000"/>
          <w:lang w:val="en-US"/>
        </w:rPr>
        <w:t xml:space="preserve">mg/kg </w:t>
      </w:r>
      <w:r w:rsidRPr="009E52CC">
        <w:rPr>
          <w:rFonts w:eastAsia="Times New Roman" w:cs="Arial"/>
          <w:color w:val="000000"/>
          <w:lang w:eastAsia="bg-BG"/>
        </w:rPr>
        <w:t xml:space="preserve">циклоспорин, има за резултат значително повишаване на Стах и </w:t>
      </w:r>
      <w:r w:rsidRPr="009E52CC">
        <w:rPr>
          <w:rFonts w:eastAsia="Times New Roman" w:cs="Arial"/>
          <w:color w:val="000000"/>
          <w:lang w:val="en-US"/>
        </w:rPr>
        <w:t xml:space="preserve">AUC0-5 </w:t>
      </w:r>
      <w:r w:rsidRPr="009E52CC">
        <w:rPr>
          <w:rFonts w:eastAsia="Times New Roman" w:cs="Arial"/>
          <w:color w:val="000000"/>
          <w:lang w:eastAsia="bg-BG"/>
        </w:rPr>
        <w:t>на циклоспорин. Следователно, едновременното приложение на тези два лекарствени продукта трябва да става внимателно. Ако се налага едновременно приложение, трябва да се контролират плазмените нива на циклоспорина и дозата съответно да се коригира.</w:t>
      </w:r>
    </w:p>
    <w:p w14:paraId="7D5F37F5" w14:textId="77777777" w:rsidR="009E52CC" w:rsidRPr="00B05575" w:rsidRDefault="009E52CC" w:rsidP="009E52CC">
      <w:pPr>
        <w:spacing w:line="240" w:lineRule="auto"/>
        <w:rPr>
          <w:rFonts w:eastAsia="Times New Roman" w:cs="Arial"/>
          <w:i/>
          <w:iCs/>
          <w:color w:val="000000"/>
          <w:lang w:eastAsia="bg-BG"/>
        </w:rPr>
      </w:pPr>
    </w:p>
    <w:p w14:paraId="6F5C0375" w14:textId="328D9A24" w:rsidR="009E52CC" w:rsidRPr="009E52CC" w:rsidRDefault="009E52CC" w:rsidP="009E52CC">
      <w:pPr>
        <w:spacing w:line="240" w:lineRule="auto"/>
        <w:rPr>
          <w:rFonts w:eastAsia="Times New Roman" w:cs="Arial"/>
          <w:lang w:eastAsia="bg-BG"/>
        </w:rPr>
      </w:pPr>
      <w:r w:rsidRPr="009E52CC">
        <w:rPr>
          <w:rFonts w:eastAsia="Times New Roman" w:cs="Arial"/>
          <w:i/>
          <w:iCs/>
          <w:color w:val="000000"/>
          <w:lang w:eastAsia="bg-BG"/>
        </w:rPr>
        <w:t>Ефавиренц:</w:t>
      </w:r>
      <w:r w:rsidRPr="009E52CC">
        <w:rPr>
          <w:rFonts w:eastAsia="Times New Roman" w:cs="Arial"/>
          <w:color w:val="000000"/>
          <w:lang w:eastAsia="bg-BG"/>
        </w:rPr>
        <w:t xml:space="preserve"> Едновременният прием на единична доза от 600 </w:t>
      </w:r>
      <w:r w:rsidRPr="009E52CC">
        <w:rPr>
          <w:rFonts w:eastAsia="Times New Roman" w:cs="Arial"/>
          <w:color w:val="000000"/>
          <w:lang w:val="en-US"/>
        </w:rPr>
        <w:t xml:space="preserve">mg </w:t>
      </w:r>
      <w:r w:rsidRPr="009E52CC">
        <w:rPr>
          <w:rFonts w:eastAsia="Times New Roman" w:cs="Arial"/>
          <w:color w:val="000000"/>
          <w:lang w:eastAsia="bg-BG"/>
        </w:rPr>
        <w:t xml:space="preserve">азитромицин и 400 </w:t>
      </w:r>
      <w:r w:rsidRPr="009E52CC">
        <w:rPr>
          <w:rFonts w:eastAsia="Times New Roman" w:cs="Arial"/>
          <w:color w:val="000000"/>
          <w:lang w:val="en-US"/>
        </w:rPr>
        <w:t xml:space="preserve">mg </w:t>
      </w:r>
      <w:r w:rsidRPr="009E52CC">
        <w:rPr>
          <w:rFonts w:eastAsia="Times New Roman" w:cs="Arial"/>
          <w:color w:val="000000"/>
          <w:lang w:eastAsia="bg-BG"/>
        </w:rPr>
        <w:t>ефиваренц дневно за 7 дни не е довело до клинично значими фармакокинетични взаимодействия.</w:t>
      </w:r>
    </w:p>
    <w:p w14:paraId="2298924C" w14:textId="77777777" w:rsidR="009E52CC" w:rsidRPr="00B05575" w:rsidRDefault="009E52CC" w:rsidP="009E52CC">
      <w:pPr>
        <w:spacing w:line="240" w:lineRule="auto"/>
        <w:rPr>
          <w:rFonts w:eastAsia="Times New Roman" w:cs="Arial"/>
          <w:i/>
          <w:iCs/>
          <w:color w:val="000000"/>
          <w:lang w:eastAsia="bg-BG"/>
        </w:rPr>
      </w:pPr>
    </w:p>
    <w:p w14:paraId="37FD852F" w14:textId="48F2B863" w:rsidR="009E52CC" w:rsidRPr="009E52CC" w:rsidRDefault="009E52CC" w:rsidP="009E52CC">
      <w:pPr>
        <w:spacing w:line="240" w:lineRule="auto"/>
        <w:rPr>
          <w:rFonts w:eastAsia="Times New Roman" w:cs="Arial"/>
          <w:lang w:eastAsia="bg-BG"/>
        </w:rPr>
      </w:pPr>
      <w:r w:rsidRPr="009E52CC">
        <w:rPr>
          <w:rFonts w:eastAsia="Times New Roman" w:cs="Arial"/>
          <w:i/>
          <w:iCs/>
          <w:color w:val="000000"/>
          <w:lang w:eastAsia="bg-BG"/>
        </w:rPr>
        <w:lastRenderedPageBreak/>
        <w:t>Флуконазол:</w:t>
      </w:r>
      <w:r w:rsidRPr="009E52CC">
        <w:rPr>
          <w:rFonts w:eastAsia="Times New Roman" w:cs="Arial"/>
          <w:color w:val="000000"/>
          <w:lang w:eastAsia="bg-BG"/>
        </w:rPr>
        <w:t xml:space="preserve"> Едновременният прием на еднократна доза от 1200 </w:t>
      </w:r>
      <w:r w:rsidRPr="009E52CC">
        <w:rPr>
          <w:rFonts w:eastAsia="Times New Roman" w:cs="Arial"/>
          <w:color w:val="000000"/>
          <w:lang w:val="en-US"/>
        </w:rPr>
        <w:t xml:space="preserve">mg </w:t>
      </w:r>
      <w:r w:rsidRPr="009E52CC">
        <w:rPr>
          <w:rFonts w:eastAsia="Times New Roman" w:cs="Arial"/>
          <w:color w:val="000000"/>
          <w:lang w:eastAsia="bg-BG"/>
        </w:rPr>
        <w:t xml:space="preserve">азитромицин не е повлияло фармакокинетиката на еднократна доза 800 </w:t>
      </w:r>
      <w:r w:rsidRPr="009E52CC">
        <w:rPr>
          <w:rFonts w:eastAsia="Times New Roman" w:cs="Arial"/>
          <w:color w:val="000000"/>
          <w:lang w:val="en-US"/>
        </w:rPr>
        <w:t xml:space="preserve">mg </w:t>
      </w:r>
      <w:r w:rsidRPr="009E52CC">
        <w:rPr>
          <w:rFonts w:eastAsia="Times New Roman" w:cs="Arial"/>
          <w:color w:val="000000"/>
          <w:lang w:eastAsia="bg-BG"/>
        </w:rPr>
        <w:t>флуконазол. Общата експозиция и полуживот на азитромицин не са променени от едновременният прием на флуконазол, но въпреки т</w:t>
      </w:r>
      <w:r w:rsidRPr="009E52CC">
        <w:rPr>
          <w:rFonts w:eastAsia="Times New Roman" w:cs="Arial"/>
          <w:color w:val="000000"/>
          <w:u w:val="single"/>
          <w:lang w:eastAsia="bg-BG"/>
        </w:rPr>
        <w:t xml:space="preserve">ова е </w:t>
      </w:r>
      <w:r w:rsidRPr="009E52CC">
        <w:rPr>
          <w:rFonts w:eastAsia="Times New Roman" w:cs="Arial"/>
          <w:color w:val="000000"/>
          <w:lang w:eastAsia="bg-BG"/>
        </w:rPr>
        <w:t>наблюдавано клинично значимо намаляване на С</w:t>
      </w:r>
      <w:r w:rsidRPr="009E52CC">
        <w:rPr>
          <w:rFonts w:eastAsia="Times New Roman" w:cs="Arial"/>
          <w:color w:val="000000"/>
          <w:vertAlign w:val="subscript"/>
          <w:lang w:val="en-US"/>
        </w:rPr>
        <w:t>max</w:t>
      </w:r>
      <w:r w:rsidRPr="009E52CC">
        <w:rPr>
          <w:rFonts w:eastAsia="Times New Roman" w:cs="Arial"/>
          <w:color w:val="000000"/>
          <w:lang w:eastAsia="bg-BG"/>
        </w:rPr>
        <w:t xml:space="preserve"> (18%) на азитромицин.</w:t>
      </w:r>
    </w:p>
    <w:p w14:paraId="430E2C4F" w14:textId="77777777" w:rsidR="009E52CC" w:rsidRPr="00B05575" w:rsidRDefault="009E52CC" w:rsidP="009E52CC">
      <w:pPr>
        <w:spacing w:line="240" w:lineRule="auto"/>
        <w:rPr>
          <w:rFonts w:eastAsia="Times New Roman" w:cs="Arial"/>
          <w:i/>
          <w:iCs/>
          <w:color w:val="000000"/>
          <w:lang w:eastAsia="bg-BG"/>
        </w:rPr>
      </w:pPr>
    </w:p>
    <w:p w14:paraId="13EB2DD3" w14:textId="52312967" w:rsidR="009E52CC" w:rsidRPr="009E52CC" w:rsidRDefault="009E52CC" w:rsidP="009E52CC">
      <w:pPr>
        <w:spacing w:line="240" w:lineRule="auto"/>
        <w:rPr>
          <w:rFonts w:eastAsia="Times New Roman" w:cs="Arial"/>
          <w:lang w:eastAsia="bg-BG"/>
        </w:rPr>
      </w:pPr>
      <w:r w:rsidRPr="009E52CC">
        <w:rPr>
          <w:rFonts w:eastAsia="Times New Roman" w:cs="Arial"/>
          <w:i/>
          <w:iCs/>
          <w:color w:val="000000"/>
          <w:lang w:eastAsia="bg-BG"/>
        </w:rPr>
        <w:t>Индинавир:</w:t>
      </w:r>
      <w:r w:rsidRPr="009E52CC">
        <w:rPr>
          <w:rFonts w:eastAsia="Times New Roman" w:cs="Arial"/>
          <w:color w:val="000000"/>
          <w:lang w:eastAsia="bg-BG"/>
        </w:rPr>
        <w:t xml:space="preserve"> Едновременният прием на еднократна доза от 1200 </w:t>
      </w:r>
      <w:r w:rsidRPr="009E52CC">
        <w:rPr>
          <w:rFonts w:eastAsia="Times New Roman" w:cs="Arial"/>
          <w:color w:val="000000"/>
          <w:lang w:val="en-US"/>
        </w:rPr>
        <w:t xml:space="preserve">mg </w:t>
      </w:r>
      <w:r w:rsidRPr="009E52CC">
        <w:rPr>
          <w:rFonts w:eastAsia="Times New Roman" w:cs="Arial"/>
          <w:color w:val="000000"/>
          <w:lang w:eastAsia="bg-BG"/>
        </w:rPr>
        <w:t xml:space="preserve">азитромицин не е имал статистически значим ефект върху фармакокинетиката на индинавир прием от 300 </w:t>
      </w:r>
      <w:r w:rsidRPr="009E52CC">
        <w:rPr>
          <w:rFonts w:eastAsia="Times New Roman" w:cs="Arial"/>
          <w:color w:val="000000"/>
          <w:lang w:val="en-US"/>
        </w:rPr>
        <w:t>mg-</w:t>
      </w:r>
      <w:r w:rsidRPr="009E52CC">
        <w:rPr>
          <w:rFonts w:eastAsia="Times New Roman" w:cs="Arial"/>
          <w:color w:val="000000"/>
          <w:lang w:eastAsia="bg-BG"/>
        </w:rPr>
        <w:t>три</w:t>
      </w:r>
    </w:p>
    <w:p w14:paraId="0F4DEDFD" w14:textId="11C6AF04" w:rsidR="009E52CC" w:rsidRPr="00B05575" w:rsidRDefault="009E52CC" w:rsidP="009E52CC">
      <w:pPr>
        <w:spacing w:line="240" w:lineRule="auto"/>
        <w:rPr>
          <w:rFonts w:eastAsia="Times New Roman" w:cs="Arial"/>
          <w:color w:val="000000"/>
          <w:lang w:eastAsia="bg-BG"/>
        </w:rPr>
      </w:pPr>
      <w:r w:rsidRPr="00B05575">
        <w:rPr>
          <w:rFonts w:eastAsia="Times New Roman" w:cs="Arial"/>
          <w:color w:val="000000"/>
          <w:lang w:eastAsia="bg-BG"/>
        </w:rPr>
        <w:t>пъти дневно за 5 дни.</w:t>
      </w:r>
    </w:p>
    <w:p w14:paraId="0E34D78A" w14:textId="1C3D8D9F" w:rsidR="009E52CC" w:rsidRPr="00B05575" w:rsidRDefault="009E52CC" w:rsidP="009E52CC">
      <w:pPr>
        <w:spacing w:line="240" w:lineRule="auto"/>
        <w:rPr>
          <w:rFonts w:eastAsia="Times New Roman" w:cs="Arial"/>
          <w:color w:val="000000"/>
          <w:lang w:eastAsia="bg-BG"/>
        </w:rPr>
      </w:pPr>
    </w:p>
    <w:p w14:paraId="338E35D3" w14:textId="77777777" w:rsidR="009E52CC" w:rsidRPr="009E52CC" w:rsidRDefault="009E52CC" w:rsidP="009E52CC">
      <w:pPr>
        <w:spacing w:line="240" w:lineRule="auto"/>
        <w:rPr>
          <w:rFonts w:eastAsia="Times New Roman" w:cs="Arial"/>
          <w:lang w:eastAsia="bg-BG"/>
        </w:rPr>
      </w:pPr>
      <w:r w:rsidRPr="009E52CC">
        <w:rPr>
          <w:rFonts w:eastAsia="Times New Roman" w:cs="Arial"/>
          <w:i/>
          <w:iCs/>
          <w:color w:val="000000"/>
          <w:lang w:eastAsia="bg-BG"/>
        </w:rPr>
        <w:t>Метилпреднизолон:</w:t>
      </w:r>
      <w:r w:rsidRPr="009E52CC">
        <w:rPr>
          <w:rFonts w:eastAsia="Times New Roman" w:cs="Arial"/>
          <w:color w:val="000000"/>
          <w:lang w:eastAsia="bg-BG"/>
        </w:rPr>
        <w:t xml:space="preserve"> Във фармакокинетично проучване на взаимодействията при здрави доброволци, азитромицин не проявява значителни ефекти върху фармакокинетикатата на метилпреднизолона.</w:t>
      </w:r>
    </w:p>
    <w:p w14:paraId="47F2612A" w14:textId="77777777" w:rsidR="009E52CC" w:rsidRPr="00B05575" w:rsidRDefault="009E52CC" w:rsidP="009E52CC">
      <w:pPr>
        <w:spacing w:line="240" w:lineRule="auto"/>
        <w:rPr>
          <w:rFonts w:eastAsia="Times New Roman" w:cs="Arial"/>
          <w:i/>
          <w:iCs/>
          <w:color w:val="000000"/>
          <w:lang w:eastAsia="bg-BG"/>
        </w:rPr>
      </w:pPr>
    </w:p>
    <w:p w14:paraId="71B3BD16" w14:textId="43E8758C" w:rsidR="009E52CC" w:rsidRPr="009E52CC" w:rsidRDefault="009E52CC" w:rsidP="009E52CC">
      <w:pPr>
        <w:spacing w:line="240" w:lineRule="auto"/>
        <w:rPr>
          <w:rFonts w:eastAsia="Times New Roman" w:cs="Arial"/>
          <w:lang w:eastAsia="bg-BG"/>
        </w:rPr>
      </w:pPr>
      <w:r w:rsidRPr="009E52CC">
        <w:rPr>
          <w:rFonts w:eastAsia="Times New Roman" w:cs="Arial"/>
          <w:i/>
          <w:iCs/>
          <w:color w:val="000000"/>
          <w:lang w:eastAsia="bg-BG"/>
        </w:rPr>
        <w:t>Мидазолам:</w:t>
      </w:r>
      <w:r w:rsidRPr="009E52CC">
        <w:rPr>
          <w:rFonts w:eastAsia="Times New Roman" w:cs="Arial"/>
          <w:color w:val="000000"/>
          <w:lang w:eastAsia="bg-BG"/>
        </w:rPr>
        <w:t xml:space="preserve"> При здрави доброволци, едновременният прием на азитромицин 500 </w:t>
      </w:r>
      <w:r w:rsidRPr="009E52CC">
        <w:rPr>
          <w:rFonts w:eastAsia="Times New Roman" w:cs="Arial"/>
          <w:color w:val="000000"/>
          <w:lang w:val="en-US"/>
        </w:rPr>
        <w:t>mg</w:t>
      </w:r>
      <w:r w:rsidRPr="009E52CC">
        <w:rPr>
          <w:rFonts w:eastAsia="Times New Roman" w:cs="Arial"/>
          <w:color w:val="000000"/>
          <w:lang w:eastAsia="bg-BG"/>
        </w:rPr>
        <w:t xml:space="preserve">/ден за 3 дни не е предизвикал клинично значими промени във фармакокинетикаа и фармакодинамиката на еднократна доза 15 </w:t>
      </w:r>
      <w:r w:rsidRPr="009E52CC">
        <w:rPr>
          <w:rFonts w:eastAsia="Times New Roman" w:cs="Arial"/>
          <w:color w:val="000000"/>
          <w:lang w:val="en-US"/>
        </w:rPr>
        <w:t xml:space="preserve">mg </w:t>
      </w:r>
      <w:r w:rsidRPr="009E52CC">
        <w:rPr>
          <w:rFonts w:eastAsia="Times New Roman" w:cs="Arial"/>
          <w:color w:val="000000"/>
          <w:lang w:eastAsia="bg-BG"/>
        </w:rPr>
        <w:t>мидазолам.</w:t>
      </w:r>
    </w:p>
    <w:p w14:paraId="140146B1" w14:textId="77777777" w:rsidR="009E52CC" w:rsidRPr="00B05575" w:rsidRDefault="009E52CC" w:rsidP="009E52CC">
      <w:pPr>
        <w:spacing w:line="240" w:lineRule="auto"/>
        <w:rPr>
          <w:rFonts w:eastAsia="Times New Roman" w:cs="Arial"/>
          <w:i/>
          <w:iCs/>
          <w:color w:val="000000"/>
          <w:lang w:eastAsia="bg-BG"/>
        </w:rPr>
      </w:pPr>
    </w:p>
    <w:p w14:paraId="1769E23E" w14:textId="388651EA" w:rsidR="009E52CC" w:rsidRPr="009E52CC" w:rsidRDefault="009E52CC" w:rsidP="009E52CC">
      <w:pPr>
        <w:spacing w:line="240" w:lineRule="auto"/>
        <w:rPr>
          <w:rFonts w:eastAsia="Times New Roman" w:cs="Arial"/>
          <w:lang w:eastAsia="bg-BG"/>
        </w:rPr>
      </w:pPr>
      <w:r w:rsidRPr="009E52CC">
        <w:rPr>
          <w:rFonts w:eastAsia="Times New Roman" w:cs="Arial"/>
          <w:i/>
          <w:iCs/>
          <w:color w:val="000000"/>
          <w:lang w:eastAsia="bg-BG"/>
        </w:rPr>
        <w:t>Нелфинавир:</w:t>
      </w:r>
      <w:r w:rsidRPr="009E52CC">
        <w:rPr>
          <w:rFonts w:eastAsia="Times New Roman" w:cs="Arial"/>
          <w:color w:val="000000"/>
          <w:lang w:eastAsia="bg-BG"/>
        </w:rPr>
        <w:t xml:space="preserve"> Едновременният прием на азитромицин (1200 </w:t>
      </w:r>
      <w:r w:rsidRPr="009E52CC">
        <w:rPr>
          <w:rFonts w:eastAsia="Times New Roman" w:cs="Arial"/>
          <w:color w:val="000000"/>
          <w:lang w:val="en-US"/>
        </w:rPr>
        <w:t xml:space="preserve">mg) </w:t>
      </w:r>
      <w:r w:rsidRPr="009E52CC">
        <w:rPr>
          <w:rFonts w:eastAsia="Times New Roman" w:cs="Arial"/>
          <w:color w:val="000000"/>
          <w:lang w:eastAsia="bg-BG"/>
        </w:rPr>
        <w:t xml:space="preserve">и нелфинавир в равновесна доза (750 </w:t>
      </w:r>
      <w:r w:rsidRPr="009E52CC">
        <w:rPr>
          <w:rFonts w:eastAsia="Times New Roman" w:cs="Arial"/>
          <w:color w:val="000000"/>
          <w:lang w:val="en-US"/>
        </w:rPr>
        <w:t xml:space="preserve">mg </w:t>
      </w:r>
      <w:r w:rsidRPr="009E52CC">
        <w:rPr>
          <w:rFonts w:eastAsia="Times New Roman" w:cs="Arial"/>
          <w:color w:val="000000"/>
          <w:lang w:eastAsia="bg-BG"/>
        </w:rPr>
        <w:t>три пъти на ден) има за резултат повишаване на концентрацията на азитромицин. Не са наблюдавани клинично значими нежелани реакции и не е необходима корекция на дозата.</w:t>
      </w:r>
    </w:p>
    <w:p w14:paraId="2BA8024B" w14:textId="77777777" w:rsidR="009E52CC" w:rsidRPr="00B05575" w:rsidRDefault="009E52CC" w:rsidP="009E52CC">
      <w:pPr>
        <w:spacing w:line="240" w:lineRule="auto"/>
        <w:rPr>
          <w:rFonts w:eastAsia="Times New Roman" w:cs="Arial"/>
          <w:i/>
          <w:iCs/>
          <w:color w:val="000000"/>
          <w:lang w:eastAsia="bg-BG"/>
        </w:rPr>
      </w:pPr>
    </w:p>
    <w:p w14:paraId="541911B4" w14:textId="1001AF1F" w:rsidR="009E52CC" w:rsidRPr="009E52CC" w:rsidRDefault="009E52CC" w:rsidP="009E52CC">
      <w:pPr>
        <w:spacing w:line="240" w:lineRule="auto"/>
        <w:rPr>
          <w:rFonts w:eastAsia="Times New Roman" w:cs="Arial"/>
          <w:lang w:eastAsia="bg-BG"/>
        </w:rPr>
      </w:pPr>
      <w:r w:rsidRPr="009E52CC">
        <w:rPr>
          <w:rFonts w:eastAsia="Times New Roman" w:cs="Arial"/>
          <w:i/>
          <w:iCs/>
          <w:color w:val="000000"/>
          <w:lang w:eastAsia="bg-BG"/>
        </w:rPr>
        <w:t>Рифабутин:</w:t>
      </w:r>
      <w:r w:rsidRPr="009E52CC">
        <w:rPr>
          <w:rFonts w:eastAsia="Times New Roman" w:cs="Arial"/>
          <w:color w:val="000000"/>
          <w:lang w:eastAsia="bg-BG"/>
        </w:rPr>
        <w:t xml:space="preserve"> Едновременният прием на азитромицин и рифабутин не е повлиял серумната концентрация на нито едно от лекарствата.</w:t>
      </w:r>
    </w:p>
    <w:p w14:paraId="60C91489" w14:textId="77777777" w:rsidR="009E52CC" w:rsidRPr="009E52CC" w:rsidRDefault="009E52CC" w:rsidP="009E52CC">
      <w:pPr>
        <w:spacing w:line="240" w:lineRule="auto"/>
        <w:rPr>
          <w:rFonts w:eastAsia="Times New Roman" w:cs="Arial"/>
          <w:lang w:eastAsia="bg-BG"/>
        </w:rPr>
      </w:pPr>
      <w:r w:rsidRPr="009E52CC">
        <w:rPr>
          <w:rFonts w:eastAsia="Times New Roman" w:cs="Arial"/>
          <w:color w:val="000000"/>
          <w:lang w:eastAsia="bg-BG"/>
        </w:rPr>
        <w:t>Наблюдавани са случаи на неутропения при пациенти, приемали едновременно азитромицин и рифабутин. Неутропенията е била сварзана с приложението на рифабутин, но причинна връзка с азитромицин не е била установена (вж. точка 4.8).</w:t>
      </w:r>
    </w:p>
    <w:p w14:paraId="5184AE5B" w14:textId="77777777" w:rsidR="009E52CC" w:rsidRPr="00B05575" w:rsidRDefault="009E52CC" w:rsidP="009E52CC">
      <w:pPr>
        <w:spacing w:line="240" w:lineRule="auto"/>
        <w:rPr>
          <w:rFonts w:eastAsia="Times New Roman" w:cs="Arial"/>
          <w:i/>
          <w:iCs/>
          <w:color w:val="000000"/>
          <w:lang w:eastAsia="bg-BG"/>
        </w:rPr>
      </w:pPr>
    </w:p>
    <w:p w14:paraId="1D25A610" w14:textId="676CBC67" w:rsidR="009E52CC" w:rsidRPr="009E52CC" w:rsidRDefault="009E52CC" w:rsidP="009E52CC">
      <w:pPr>
        <w:spacing w:line="240" w:lineRule="auto"/>
        <w:rPr>
          <w:rFonts w:eastAsia="Times New Roman" w:cs="Arial"/>
          <w:lang w:eastAsia="bg-BG"/>
        </w:rPr>
      </w:pPr>
      <w:r w:rsidRPr="009E52CC">
        <w:rPr>
          <w:rFonts w:eastAsia="Times New Roman" w:cs="Arial"/>
          <w:i/>
          <w:iCs/>
          <w:color w:val="000000"/>
          <w:lang w:eastAsia="bg-BG"/>
        </w:rPr>
        <w:t>Силденафил:</w:t>
      </w:r>
      <w:r w:rsidRPr="009E52CC">
        <w:rPr>
          <w:rFonts w:eastAsia="Times New Roman" w:cs="Arial"/>
          <w:color w:val="000000"/>
          <w:lang w:eastAsia="bg-BG"/>
        </w:rPr>
        <w:t xml:space="preserve"> При нормални здрави мъже доброволци, не са получени доказателства за ефекта на азитромицин </w:t>
      </w:r>
      <w:r w:rsidRPr="009E52CC">
        <w:rPr>
          <w:rFonts w:eastAsia="Times New Roman" w:cs="Arial"/>
          <w:color w:val="000000"/>
          <w:lang w:val="en-US"/>
        </w:rPr>
        <w:t xml:space="preserve">(500mg </w:t>
      </w:r>
      <w:r w:rsidRPr="009E52CC">
        <w:rPr>
          <w:rFonts w:eastAsia="Times New Roman" w:cs="Arial"/>
          <w:color w:val="000000"/>
          <w:lang w:eastAsia="bg-BG"/>
        </w:rPr>
        <w:t xml:space="preserve">дневно за 3 дни) върху </w:t>
      </w:r>
      <w:r w:rsidRPr="009E52CC">
        <w:rPr>
          <w:rFonts w:eastAsia="Times New Roman" w:cs="Arial"/>
          <w:color w:val="000000"/>
          <w:lang w:val="en-US"/>
        </w:rPr>
        <w:t xml:space="preserve">AUC </w:t>
      </w:r>
      <w:r w:rsidRPr="009E52CC">
        <w:rPr>
          <w:rFonts w:eastAsia="Times New Roman" w:cs="Arial"/>
          <w:color w:val="000000"/>
          <w:lang w:eastAsia="bg-BG"/>
        </w:rPr>
        <w:t>и Стах на силденафил или неговия главен циркулиращ метаболит.</w:t>
      </w:r>
    </w:p>
    <w:p w14:paraId="2D820911" w14:textId="77777777" w:rsidR="009E52CC" w:rsidRPr="00B05575" w:rsidRDefault="009E52CC" w:rsidP="009E52CC">
      <w:pPr>
        <w:spacing w:line="240" w:lineRule="auto"/>
        <w:rPr>
          <w:rFonts w:eastAsia="Times New Roman" w:cs="Arial"/>
          <w:i/>
          <w:iCs/>
          <w:color w:val="000000"/>
          <w:lang w:eastAsia="bg-BG"/>
        </w:rPr>
      </w:pPr>
    </w:p>
    <w:p w14:paraId="48606291" w14:textId="6A21CB52" w:rsidR="009E52CC" w:rsidRPr="009E52CC" w:rsidRDefault="009E52CC" w:rsidP="009E52CC">
      <w:pPr>
        <w:spacing w:line="240" w:lineRule="auto"/>
        <w:rPr>
          <w:rFonts w:eastAsia="Times New Roman" w:cs="Arial"/>
          <w:lang w:eastAsia="bg-BG"/>
        </w:rPr>
      </w:pPr>
      <w:r w:rsidRPr="009E52CC">
        <w:rPr>
          <w:rFonts w:eastAsia="Times New Roman" w:cs="Arial"/>
          <w:i/>
          <w:iCs/>
          <w:color w:val="000000"/>
          <w:lang w:eastAsia="bg-BG"/>
        </w:rPr>
        <w:t>Терфенадин:</w:t>
      </w:r>
      <w:r w:rsidRPr="009E52CC">
        <w:rPr>
          <w:rFonts w:eastAsia="Times New Roman" w:cs="Arial"/>
          <w:color w:val="000000"/>
          <w:lang w:eastAsia="bg-BG"/>
        </w:rPr>
        <w:t xml:space="preserve"> Във фармакокинетичните проучвания не са открити доказателства за взаимодействия между азитромицин и терфенадин. Има няколко съобщения при които възможността от подобни взаимодействия не може да бъде напълно изключена; все пак, няма специални доказателства, които да посочват подобни взаимодействия.</w:t>
      </w:r>
    </w:p>
    <w:p w14:paraId="2B598C32" w14:textId="77777777" w:rsidR="009E52CC" w:rsidRPr="00B05575" w:rsidRDefault="009E52CC" w:rsidP="009E52CC">
      <w:pPr>
        <w:spacing w:line="240" w:lineRule="auto"/>
        <w:rPr>
          <w:rFonts w:eastAsia="Times New Roman" w:cs="Arial"/>
          <w:i/>
          <w:iCs/>
          <w:color w:val="000000"/>
          <w:lang w:eastAsia="bg-BG"/>
        </w:rPr>
      </w:pPr>
    </w:p>
    <w:p w14:paraId="34B23BB4" w14:textId="70A2A9D0" w:rsidR="009E52CC" w:rsidRPr="009E52CC" w:rsidRDefault="009E52CC" w:rsidP="009E52CC">
      <w:pPr>
        <w:spacing w:line="240" w:lineRule="auto"/>
        <w:rPr>
          <w:rFonts w:eastAsia="Times New Roman" w:cs="Arial"/>
          <w:lang w:eastAsia="bg-BG"/>
        </w:rPr>
      </w:pPr>
      <w:r w:rsidRPr="009E52CC">
        <w:rPr>
          <w:rFonts w:eastAsia="Times New Roman" w:cs="Arial"/>
          <w:i/>
          <w:iCs/>
          <w:color w:val="000000"/>
          <w:lang w:eastAsia="bg-BG"/>
        </w:rPr>
        <w:t>Теофилин:</w:t>
      </w:r>
      <w:r w:rsidRPr="009E52CC">
        <w:rPr>
          <w:rFonts w:eastAsia="Times New Roman" w:cs="Arial"/>
          <w:color w:val="000000"/>
          <w:lang w:eastAsia="bg-BG"/>
        </w:rPr>
        <w:t xml:space="preserve"> Няма доказателства за фармакокинетични взаимодействия между азитромицин и теофилин, когато се предписват едновременно при здрави добровобци. Едновременният прием, обаче, на макролиди и теофилин се свързва с повишаване на серумната концентрация на теофилина. Затова, ако е възможно се препоръчва мониториране на плазмените нива на теофилина.</w:t>
      </w:r>
    </w:p>
    <w:p w14:paraId="0E826F2E" w14:textId="77777777" w:rsidR="009E52CC" w:rsidRPr="00B05575" w:rsidRDefault="009E52CC" w:rsidP="009E52CC">
      <w:pPr>
        <w:spacing w:line="240" w:lineRule="auto"/>
        <w:rPr>
          <w:rFonts w:eastAsia="Times New Roman" w:cs="Arial"/>
          <w:i/>
          <w:iCs/>
          <w:color w:val="000000"/>
          <w:lang w:eastAsia="bg-BG"/>
        </w:rPr>
      </w:pPr>
    </w:p>
    <w:p w14:paraId="34A938DD" w14:textId="256428EA" w:rsidR="009E52CC" w:rsidRPr="009E52CC" w:rsidRDefault="009E52CC" w:rsidP="009E52CC">
      <w:pPr>
        <w:spacing w:line="240" w:lineRule="auto"/>
        <w:rPr>
          <w:rFonts w:eastAsia="Times New Roman" w:cs="Arial"/>
          <w:lang w:eastAsia="bg-BG"/>
        </w:rPr>
      </w:pPr>
      <w:r w:rsidRPr="009E52CC">
        <w:rPr>
          <w:rFonts w:eastAsia="Times New Roman" w:cs="Arial"/>
          <w:i/>
          <w:iCs/>
          <w:color w:val="000000"/>
          <w:lang w:eastAsia="bg-BG"/>
        </w:rPr>
        <w:t>Триазолам:</w:t>
      </w:r>
      <w:r w:rsidRPr="009E52CC">
        <w:rPr>
          <w:rFonts w:eastAsia="Times New Roman" w:cs="Arial"/>
          <w:color w:val="000000"/>
          <w:lang w:eastAsia="bg-BG"/>
        </w:rPr>
        <w:t xml:space="preserve"> При 14 здрави доброволци, едновременният прием на азитромицин 500 </w:t>
      </w:r>
      <w:r w:rsidRPr="009E52CC">
        <w:rPr>
          <w:rFonts w:eastAsia="Times New Roman" w:cs="Arial"/>
          <w:color w:val="000000"/>
          <w:lang w:val="en-US"/>
        </w:rPr>
        <w:t xml:space="preserve">mg </w:t>
      </w:r>
      <w:r w:rsidRPr="009E52CC">
        <w:rPr>
          <w:rFonts w:eastAsia="Times New Roman" w:cs="Arial"/>
          <w:color w:val="000000"/>
          <w:lang w:eastAsia="bg-BG"/>
        </w:rPr>
        <w:t xml:space="preserve">на Ден 1ви и 250 </w:t>
      </w:r>
      <w:r w:rsidRPr="009E52CC">
        <w:rPr>
          <w:rFonts w:eastAsia="Times New Roman" w:cs="Arial"/>
          <w:color w:val="000000"/>
          <w:lang w:val="en-US"/>
        </w:rPr>
        <w:t xml:space="preserve">mg </w:t>
      </w:r>
      <w:r w:rsidRPr="009E52CC">
        <w:rPr>
          <w:rFonts w:eastAsia="Times New Roman" w:cs="Arial"/>
          <w:color w:val="000000"/>
          <w:lang w:eastAsia="bg-BG"/>
        </w:rPr>
        <w:t xml:space="preserve">на Ден 2ри с 0,125 </w:t>
      </w:r>
      <w:r w:rsidRPr="009E52CC">
        <w:rPr>
          <w:rFonts w:eastAsia="Times New Roman" w:cs="Arial"/>
          <w:color w:val="000000"/>
          <w:lang w:val="en-US"/>
        </w:rPr>
        <w:t xml:space="preserve">mg </w:t>
      </w:r>
      <w:r w:rsidRPr="009E52CC">
        <w:rPr>
          <w:rFonts w:eastAsia="Times New Roman" w:cs="Arial"/>
          <w:color w:val="000000"/>
          <w:lang w:eastAsia="bg-BG"/>
        </w:rPr>
        <w:t>триазолам на Ден 2-ри не е имало значителен ефект върху никоя от фармакокинетичните особености на триазолам, в сравнение с триазолам и плацебо.</w:t>
      </w:r>
    </w:p>
    <w:p w14:paraId="5A77A99C" w14:textId="77777777" w:rsidR="009E52CC" w:rsidRPr="00B05575" w:rsidRDefault="009E52CC" w:rsidP="009E52CC">
      <w:pPr>
        <w:spacing w:line="240" w:lineRule="auto"/>
        <w:rPr>
          <w:rFonts w:eastAsia="Times New Roman" w:cs="Arial"/>
          <w:i/>
          <w:iCs/>
          <w:color w:val="000000"/>
          <w:lang w:eastAsia="bg-BG"/>
        </w:rPr>
      </w:pPr>
    </w:p>
    <w:p w14:paraId="5AF75345" w14:textId="3CEFE6D7" w:rsidR="009E52CC" w:rsidRPr="009E52CC" w:rsidRDefault="009E52CC" w:rsidP="009E52CC">
      <w:pPr>
        <w:spacing w:line="240" w:lineRule="auto"/>
        <w:rPr>
          <w:rFonts w:eastAsia="Times New Roman" w:cs="Arial"/>
          <w:lang w:eastAsia="bg-BG"/>
        </w:rPr>
      </w:pPr>
      <w:r w:rsidRPr="009E52CC">
        <w:rPr>
          <w:rFonts w:eastAsia="Times New Roman" w:cs="Arial"/>
          <w:i/>
          <w:iCs/>
          <w:color w:val="000000"/>
          <w:lang w:eastAsia="bg-BG"/>
        </w:rPr>
        <w:lastRenderedPageBreak/>
        <w:t>Триметоприм/сулфамепюксазол:</w:t>
      </w:r>
      <w:r w:rsidRPr="009E52CC">
        <w:rPr>
          <w:rFonts w:eastAsia="Times New Roman" w:cs="Arial"/>
          <w:color w:val="000000"/>
          <w:lang w:eastAsia="bg-BG"/>
        </w:rPr>
        <w:t xml:space="preserve"> Едновременният прием на триметоприм/сулфаметоксазол, еднократна доза (160 </w:t>
      </w:r>
      <w:r w:rsidRPr="009E52CC">
        <w:rPr>
          <w:rFonts w:eastAsia="Times New Roman" w:cs="Arial"/>
          <w:color w:val="000000"/>
          <w:lang w:val="en-US"/>
        </w:rPr>
        <w:t xml:space="preserve">mg/800 mg) </w:t>
      </w:r>
      <w:r w:rsidRPr="009E52CC">
        <w:rPr>
          <w:rFonts w:eastAsia="Times New Roman" w:cs="Arial"/>
          <w:color w:val="000000"/>
          <w:lang w:eastAsia="bg-BG"/>
        </w:rPr>
        <w:t xml:space="preserve">за 7 дни с азитромицин 1200 </w:t>
      </w:r>
      <w:r w:rsidRPr="009E52CC">
        <w:rPr>
          <w:rFonts w:eastAsia="Times New Roman" w:cs="Arial"/>
          <w:color w:val="000000"/>
          <w:lang w:val="en-US"/>
        </w:rPr>
        <w:t xml:space="preserve">mg </w:t>
      </w:r>
      <w:r w:rsidRPr="009E52CC">
        <w:rPr>
          <w:rFonts w:eastAsia="Times New Roman" w:cs="Arial"/>
          <w:color w:val="000000"/>
          <w:lang w:eastAsia="bg-BG"/>
        </w:rPr>
        <w:t>на Ден 7-ми не е имало значителен ефект върху пиковата концентрация, тоталната експозиция или уринарна екскреция на триметоприм и сулфаметоксазол. Серумната концентрация на азитромицин е била близка до тази, наблюдавана при други проучвания.</w:t>
      </w:r>
    </w:p>
    <w:p w14:paraId="4FE027C7" w14:textId="77777777" w:rsidR="009E52CC" w:rsidRPr="00B05575" w:rsidRDefault="009E52CC" w:rsidP="009E52CC">
      <w:pPr>
        <w:spacing w:line="240" w:lineRule="auto"/>
        <w:rPr>
          <w:rFonts w:eastAsia="Times New Roman" w:cs="Arial"/>
          <w:i/>
          <w:iCs/>
          <w:color w:val="000000"/>
          <w:lang w:eastAsia="bg-BG"/>
        </w:rPr>
      </w:pPr>
    </w:p>
    <w:p w14:paraId="5D4267DD" w14:textId="3BB2A7E7" w:rsidR="009E52CC" w:rsidRPr="009E52CC" w:rsidRDefault="009E52CC" w:rsidP="009E52CC">
      <w:pPr>
        <w:spacing w:line="240" w:lineRule="auto"/>
        <w:rPr>
          <w:rFonts w:eastAsia="Times New Roman" w:cs="Arial"/>
          <w:lang w:eastAsia="bg-BG"/>
        </w:rPr>
      </w:pPr>
      <w:r w:rsidRPr="009E52CC">
        <w:rPr>
          <w:rFonts w:eastAsia="Times New Roman" w:cs="Arial"/>
          <w:i/>
          <w:iCs/>
          <w:color w:val="000000"/>
          <w:lang w:eastAsia="bg-BG"/>
        </w:rPr>
        <w:t>Субстанции, които удължават</w:t>
      </w:r>
      <w:r w:rsidRPr="009E52CC">
        <w:rPr>
          <w:rFonts w:eastAsia="Times New Roman" w:cs="Arial"/>
          <w:color w:val="000000"/>
          <w:lang w:eastAsia="bg-BG"/>
        </w:rPr>
        <w:t xml:space="preserve"> </w:t>
      </w:r>
      <w:r w:rsidRPr="009E52CC">
        <w:rPr>
          <w:rFonts w:eastAsia="Times New Roman" w:cs="Arial"/>
          <w:color w:val="000000"/>
          <w:lang w:val="en-US"/>
        </w:rPr>
        <w:t xml:space="preserve">QT </w:t>
      </w:r>
      <w:r w:rsidRPr="009E52CC">
        <w:rPr>
          <w:rFonts w:eastAsia="Times New Roman" w:cs="Arial"/>
          <w:color w:val="000000"/>
          <w:lang w:eastAsia="bg-BG"/>
        </w:rPr>
        <w:t xml:space="preserve">интервала: Азитромицин не трябва да се използва едновременно с други активни вещества, които удължават </w:t>
      </w:r>
      <w:r w:rsidRPr="009E52CC">
        <w:rPr>
          <w:rFonts w:eastAsia="Times New Roman" w:cs="Arial"/>
          <w:color w:val="000000"/>
          <w:lang w:val="en-US"/>
        </w:rPr>
        <w:t xml:space="preserve">QT </w:t>
      </w:r>
      <w:r w:rsidRPr="009E52CC">
        <w:rPr>
          <w:rFonts w:eastAsia="Times New Roman" w:cs="Arial"/>
          <w:color w:val="000000"/>
          <w:lang w:eastAsia="bg-BG"/>
        </w:rPr>
        <w:t>интервала, напр. хидроксихлороквин и хлороквин (вж. точка 4.4).</w:t>
      </w:r>
    </w:p>
    <w:p w14:paraId="52255ECA" w14:textId="77777777" w:rsidR="00C377A7" w:rsidRPr="00C377A7" w:rsidRDefault="00C377A7" w:rsidP="00C377A7"/>
    <w:p w14:paraId="48846BBA" w14:textId="38B96BE5" w:rsidR="009F77A4" w:rsidRDefault="002C50EE" w:rsidP="00387A66">
      <w:pPr>
        <w:pStyle w:val="Heading2"/>
      </w:pPr>
      <w:r>
        <w:t>4.6. Фертилитет, бременност и кърмене</w:t>
      </w:r>
    </w:p>
    <w:p w14:paraId="3C6D02B0" w14:textId="3D0CF341" w:rsidR="00B05575" w:rsidRDefault="00B05575" w:rsidP="00B05575"/>
    <w:p w14:paraId="34DF8649" w14:textId="77777777" w:rsidR="00B05575" w:rsidRPr="00B05575" w:rsidRDefault="00B05575" w:rsidP="00B05575">
      <w:pPr>
        <w:pStyle w:val="Heading3"/>
        <w:rPr>
          <w:rFonts w:eastAsia="Times New Roman"/>
          <w:u w:val="single"/>
          <w:lang w:eastAsia="bg-BG"/>
        </w:rPr>
      </w:pPr>
      <w:r w:rsidRPr="00B05575">
        <w:rPr>
          <w:rFonts w:eastAsia="Times New Roman"/>
          <w:u w:val="single"/>
          <w:lang w:eastAsia="bg-BG"/>
        </w:rPr>
        <w:t>Бременност:</w:t>
      </w:r>
    </w:p>
    <w:p w14:paraId="7E2F6240" w14:textId="77777777" w:rsidR="00B05575" w:rsidRPr="00B05575" w:rsidRDefault="00B05575" w:rsidP="00B05575">
      <w:pPr>
        <w:spacing w:line="240" w:lineRule="auto"/>
        <w:rPr>
          <w:rFonts w:eastAsia="Times New Roman" w:cs="Arial"/>
          <w:sz w:val="24"/>
          <w:szCs w:val="24"/>
          <w:lang w:eastAsia="bg-BG"/>
        </w:rPr>
      </w:pPr>
      <w:r w:rsidRPr="00B05575">
        <w:rPr>
          <w:rFonts w:eastAsia="Times New Roman" w:cs="Arial"/>
          <w:color w:val="000000"/>
          <w:lang w:eastAsia="bg-BG"/>
        </w:rPr>
        <w:t>Няма достатъчно данни от използването на азитромицин при бременни жени. При</w:t>
      </w:r>
      <w:r w:rsidRPr="00B05575">
        <w:rPr>
          <w:rFonts w:eastAsia="Times New Roman" w:cs="Arial"/>
          <w:color w:val="000000"/>
          <w:vertAlign w:val="subscript"/>
          <w:lang w:eastAsia="bg-BG"/>
        </w:rPr>
        <w:t xml:space="preserve"> </w:t>
      </w:r>
      <w:r w:rsidRPr="00B05575">
        <w:rPr>
          <w:rFonts w:eastAsia="Times New Roman" w:cs="Arial"/>
          <w:color w:val="000000"/>
          <w:lang w:eastAsia="bg-BG"/>
        </w:rPr>
        <w:t>репродуктивни токсични проучвания при животни, азитромицин е показал, че преминава през</w:t>
      </w:r>
    </w:p>
    <w:p w14:paraId="489A17F0" w14:textId="77777777" w:rsidR="00B05575" w:rsidRPr="00B05575" w:rsidRDefault="00B05575" w:rsidP="00B05575">
      <w:pPr>
        <w:rPr>
          <w:rFonts w:eastAsia="Times New Roman" w:cs="Arial"/>
          <w:sz w:val="24"/>
          <w:szCs w:val="24"/>
          <w:lang w:eastAsia="bg-BG"/>
        </w:rPr>
      </w:pPr>
      <w:r w:rsidRPr="00B05575">
        <w:rPr>
          <w:rFonts w:eastAsia="Times New Roman" w:cs="Arial"/>
          <w:color w:val="000000"/>
          <w:lang w:eastAsia="bg-BG"/>
        </w:rPr>
        <w:t>плацентата, но не са наблюдавани тератогенни ефекти (вж. точка 5.3). Безопасността на азитромицин не е била потвърдена по отношение на употребата на активната субстанция по</w:t>
      </w:r>
      <w:r w:rsidRPr="00B05575">
        <w:rPr>
          <w:rFonts w:eastAsia="Times New Roman" w:cs="Arial"/>
          <w:color w:val="000000"/>
          <w:lang w:eastAsia="bg-BG"/>
        </w:rPr>
        <w:t xml:space="preserve"> </w:t>
      </w:r>
      <w:r w:rsidRPr="00B05575">
        <w:rPr>
          <w:rFonts w:eastAsia="Times New Roman" w:cs="Arial"/>
          <w:color w:val="000000"/>
          <w:lang w:eastAsia="bg-BG"/>
        </w:rPr>
        <w:t>време на бременността. Поради това азитромицин може да се използва по време на бременност само, ако ползата от това надвишава риска.</w:t>
      </w:r>
    </w:p>
    <w:p w14:paraId="1FCD2436" w14:textId="77777777" w:rsidR="00B05575" w:rsidRPr="00B05575" w:rsidRDefault="00B05575" w:rsidP="00B05575">
      <w:pPr>
        <w:spacing w:line="240" w:lineRule="auto"/>
        <w:rPr>
          <w:rFonts w:eastAsia="Times New Roman" w:cs="Arial"/>
          <w:color w:val="000000"/>
          <w:u w:val="single"/>
          <w:lang w:eastAsia="bg-BG"/>
        </w:rPr>
      </w:pPr>
    </w:p>
    <w:p w14:paraId="5A95280E" w14:textId="0CB1E5E4" w:rsidR="00B05575" w:rsidRPr="00B05575" w:rsidRDefault="00B05575" w:rsidP="00B05575">
      <w:pPr>
        <w:pStyle w:val="Heading3"/>
        <w:rPr>
          <w:rFonts w:eastAsia="Times New Roman"/>
          <w:u w:val="single"/>
          <w:lang w:eastAsia="bg-BG"/>
        </w:rPr>
      </w:pPr>
      <w:r w:rsidRPr="00B05575">
        <w:rPr>
          <w:rFonts w:eastAsia="Times New Roman"/>
          <w:u w:val="single"/>
          <w:lang w:eastAsia="bg-BG"/>
        </w:rPr>
        <w:t>Кърмене:</w:t>
      </w:r>
    </w:p>
    <w:p w14:paraId="272E8112" w14:textId="77777777" w:rsidR="00B05575" w:rsidRPr="00B05575" w:rsidRDefault="00B05575" w:rsidP="00B05575">
      <w:pPr>
        <w:spacing w:line="240" w:lineRule="auto"/>
        <w:rPr>
          <w:rFonts w:eastAsia="Times New Roman" w:cs="Arial"/>
          <w:sz w:val="24"/>
          <w:szCs w:val="24"/>
          <w:lang w:eastAsia="bg-BG"/>
        </w:rPr>
      </w:pPr>
      <w:r w:rsidRPr="00B05575">
        <w:rPr>
          <w:rFonts w:eastAsia="Times New Roman" w:cs="Arial"/>
          <w:color w:val="000000"/>
          <w:lang w:eastAsia="bg-BG"/>
        </w:rPr>
        <w:t xml:space="preserve">Известно е, че при хора азитромицин се екскретира в кърмата. Ограничената налична информация от публикуваната литература показва, че азитромицин присъства в кърмата при най-висока средна дневна доза от 0,1 до 0,7 </w:t>
      </w:r>
      <w:r w:rsidRPr="00B05575">
        <w:rPr>
          <w:rFonts w:eastAsia="Times New Roman" w:cs="Arial"/>
          <w:color w:val="000000"/>
          <w:lang w:val="en-US"/>
        </w:rPr>
        <w:t>mg/kg</w:t>
      </w:r>
      <w:r w:rsidRPr="00B05575">
        <w:rPr>
          <w:rFonts w:eastAsia="Times New Roman" w:cs="Arial"/>
          <w:color w:val="000000"/>
          <w:lang w:eastAsia="bg-BG"/>
        </w:rPr>
        <w:t>/ден. Не са наблюдавани сериозни нежелани реакции на азитромицин върху кърмачета. Трябва да се вземе решение дали да се преустанови кърменето или да се преустанови/да се откаже лечението с азитромицин, като се вземе предвид ползата от кърменето за детето и ползата от терапията за жената.</w:t>
      </w:r>
    </w:p>
    <w:p w14:paraId="52118E9C" w14:textId="77777777" w:rsidR="00B05575" w:rsidRPr="00B05575" w:rsidRDefault="00B05575" w:rsidP="00B05575">
      <w:pPr>
        <w:spacing w:line="240" w:lineRule="auto"/>
        <w:rPr>
          <w:rFonts w:eastAsia="Times New Roman" w:cs="Arial"/>
          <w:color w:val="000000"/>
          <w:u w:val="single"/>
          <w:lang w:eastAsia="bg-BG"/>
        </w:rPr>
      </w:pPr>
    </w:p>
    <w:p w14:paraId="3E1A5D2A" w14:textId="1BF2F0EE" w:rsidR="00B05575" w:rsidRPr="00B05575" w:rsidRDefault="00B05575" w:rsidP="00B05575">
      <w:pPr>
        <w:pStyle w:val="Heading3"/>
        <w:rPr>
          <w:rFonts w:eastAsia="Times New Roman"/>
          <w:u w:val="single"/>
          <w:lang w:eastAsia="bg-BG"/>
        </w:rPr>
      </w:pPr>
      <w:r w:rsidRPr="00B05575">
        <w:rPr>
          <w:rFonts w:eastAsia="Times New Roman"/>
          <w:u w:val="single"/>
          <w:lang w:eastAsia="bg-BG"/>
        </w:rPr>
        <w:t>Фертилитет</w:t>
      </w:r>
    </w:p>
    <w:p w14:paraId="1474F4FE" w14:textId="77777777" w:rsidR="00B05575" w:rsidRPr="00B05575" w:rsidRDefault="00B05575" w:rsidP="00B05575">
      <w:pPr>
        <w:spacing w:line="240" w:lineRule="auto"/>
        <w:rPr>
          <w:rFonts w:eastAsia="Times New Roman" w:cs="Arial"/>
          <w:sz w:val="24"/>
          <w:szCs w:val="24"/>
          <w:lang w:eastAsia="bg-BG"/>
        </w:rPr>
      </w:pPr>
      <w:r w:rsidRPr="00B05575">
        <w:rPr>
          <w:rFonts w:eastAsia="Times New Roman" w:cs="Arial"/>
          <w:color w:val="000000"/>
          <w:lang w:eastAsia="bg-BG"/>
        </w:rPr>
        <w:t>При проучвания за фертилитет проведени при плъхове, са наблюдавани редуцирани нива на бременност след приема на азитромицин. Значението на това откритие при хората не е известно.</w:t>
      </w:r>
    </w:p>
    <w:p w14:paraId="000184BE" w14:textId="65E77ADB" w:rsidR="00B05575" w:rsidRPr="00B05575" w:rsidRDefault="00B05575" w:rsidP="00B05575">
      <w:pPr>
        <w:rPr>
          <w:rFonts w:ascii="Times New Roman" w:eastAsia="Times New Roman" w:hAnsi="Times New Roman" w:cs="Times New Roman"/>
          <w:color w:val="000000"/>
          <w:lang w:eastAsia="bg-BG"/>
        </w:rPr>
      </w:pPr>
    </w:p>
    <w:p w14:paraId="321AAB00" w14:textId="5E13B4AA" w:rsidR="009F77A4" w:rsidRDefault="002C50EE" w:rsidP="00387A66">
      <w:pPr>
        <w:pStyle w:val="Heading2"/>
      </w:pPr>
      <w:r>
        <w:t>4.7. Ефекти върху способността за шофиране и работа с машини</w:t>
      </w:r>
    </w:p>
    <w:p w14:paraId="3506C5AF" w14:textId="5FDAA1F0" w:rsidR="00B05575" w:rsidRDefault="00B05575" w:rsidP="00B05575"/>
    <w:p w14:paraId="61836C72" w14:textId="1D69809D" w:rsidR="00B05575" w:rsidRDefault="00B05575" w:rsidP="00B05575">
      <w:pPr>
        <w:rPr>
          <w:lang w:eastAsia="bg-BG"/>
        </w:rPr>
      </w:pPr>
      <w:r w:rsidRPr="00B05575">
        <w:rPr>
          <w:lang w:eastAsia="bg-BG"/>
        </w:rPr>
        <w:t>Няма доказателства, които да предполагат, че азитромицин може да има ефект върху способността на пациента за шофиране или работа с машини. Въпреки това, поради появата на нежелани реакции (вж. точка 4.8), способността за реагиране може да бъде променена и способността за активно участие в пътното движение и за работа с машини може да бъде нарушена.</w:t>
      </w:r>
    </w:p>
    <w:p w14:paraId="7377D1F6" w14:textId="77777777" w:rsidR="00B05575" w:rsidRPr="00B05575" w:rsidRDefault="00B05575" w:rsidP="00B05575">
      <w:pPr>
        <w:rPr>
          <w:sz w:val="24"/>
          <w:szCs w:val="24"/>
          <w:lang w:eastAsia="bg-BG"/>
        </w:rPr>
      </w:pPr>
    </w:p>
    <w:p w14:paraId="136C86B8" w14:textId="36908092" w:rsidR="009F77A4" w:rsidRDefault="002C50EE" w:rsidP="00387A66">
      <w:pPr>
        <w:pStyle w:val="Heading2"/>
      </w:pPr>
      <w:r>
        <w:t>4.8. Нежелани лекарствени реакции</w:t>
      </w:r>
    </w:p>
    <w:p w14:paraId="60A125AC" w14:textId="212F2003" w:rsidR="00B05575" w:rsidRDefault="00B05575" w:rsidP="00B05575"/>
    <w:p w14:paraId="7C3ABDBE" w14:textId="77777777" w:rsidR="00B05575" w:rsidRPr="00B05575" w:rsidRDefault="00B05575" w:rsidP="00B05575">
      <w:pPr>
        <w:spacing w:line="240" w:lineRule="auto"/>
        <w:rPr>
          <w:rFonts w:eastAsia="Times New Roman" w:cs="Arial"/>
          <w:sz w:val="24"/>
          <w:szCs w:val="24"/>
          <w:lang w:eastAsia="bg-BG"/>
        </w:rPr>
      </w:pPr>
      <w:r w:rsidRPr="00B05575">
        <w:rPr>
          <w:rFonts w:eastAsia="Times New Roman" w:cs="Arial"/>
          <w:color w:val="000000"/>
          <w:lang w:eastAsia="bg-BG"/>
        </w:rPr>
        <w:lastRenderedPageBreak/>
        <w:t xml:space="preserve">Таблицата по долу показва нежеланите реакции, индентифицирани при клинични опити и постмаркетингови проучвания по системно органен клас и честота. Нежеланите реакции открити при постмаркетингови проучвания за показани с фонт </w:t>
      </w:r>
      <w:r w:rsidRPr="00B05575">
        <w:rPr>
          <w:rFonts w:eastAsia="Times New Roman" w:cs="Arial"/>
          <w:color w:val="000000"/>
          <w:lang w:val="en-US"/>
        </w:rPr>
        <w:t xml:space="preserve">„Italic''. </w:t>
      </w:r>
      <w:r w:rsidRPr="00B05575">
        <w:rPr>
          <w:rFonts w:eastAsia="Times New Roman" w:cs="Arial"/>
          <w:color w:val="000000"/>
          <w:lang w:eastAsia="bg-BG"/>
        </w:rPr>
        <w:t>Групирането по честота се определя чрез следната класификация:</w:t>
      </w:r>
    </w:p>
    <w:p w14:paraId="15C16987" w14:textId="77777777" w:rsidR="00B05575" w:rsidRPr="00B05575" w:rsidRDefault="00B05575" w:rsidP="00B05575">
      <w:pPr>
        <w:spacing w:line="240" w:lineRule="auto"/>
        <w:rPr>
          <w:rFonts w:eastAsia="Times New Roman" w:cs="Arial"/>
          <w:color w:val="000000"/>
          <w:lang w:eastAsia="bg-BG"/>
        </w:rPr>
      </w:pPr>
    </w:p>
    <w:p w14:paraId="210462EB" w14:textId="77777777" w:rsidR="00B05575" w:rsidRPr="00B05575" w:rsidRDefault="00B05575" w:rsidP="00B05575">
      <w:pPr>
        <w:pStyle w:val="ListParagraph"/>
        <w:numPr>
          <w:ilvl w:val="0"/>
          <w:numId w:val="40"/>
        </w:numPr>
        <w:spacing w:line="240" w:lineRule="auto"/>
        <w:rPr>
          <w:rFonts w:eastAsia="Times New Roman" w:cs="Arial"/>
          <w:sz w:val="24"/>
          <w:szCs w:val="24"/>
          <w:lang w:eastAsia="bg-BG"/>
        </w:rPr>
      </w:pPr>
      <w:r w:rsidRPr="00B05575">
        <w:rPr>
          <w:rFonts w:eastAsia="Times New Roman" w:cs="Arial"/>
          <w:color w:val="000000"/>
          <w:lang w:eastAsia="bg-BG"/>
        </w:rPr>
        <w:t>Много чести (≥1/10)</w:t>
      </w:r>
    </w:p>
    <w:p w14:paraId="63108410" w14:textId="77777777" w:rsidR="00B05575" w:rsidRPr="00B05575" w:rsidRDefault="00B05575" w:rsidP="00B05575">
      <w:pPr>
        <w:pStyle w:val="ListParagraph"/>
        <w:numPr>
          <w:ilvl w:val="0"/>
          <w:numId w:val="40"/>
        </w:numPr>
        <w:spacing w:line="240" w:lineRule="auto"/>
        <w:rPr>
          <w:rFonts w:eastAsia="Times New Roman" w:cs="Arial"/>
          <w:sz w:val="24"/>
          <w:szCs w:val="24"/>
          <w:lang w:eastAsia="bg-BG"/>
        </w:rPr>
      </w:pPr>
      <w:r w:rsidRPr="00B05575">
        <w:rPr>
          <w:rFonts w:eastAsia="Times New Roman" w:cs="Arial"/>
          <w:color w:val="000000"/>
          <w:lang w:eastAsia="bg-BG"/>
        </w:rPr>
        <w:t>Чести (≥1/100 до &lt;1/10)</w:t>
      </w:r>
    </w:p>
    <w:p w14:paraId="201EFEAD" w14:textId="77777777" w:rsidR="00B05575" w:rsidRPr="00B05575" w:rsidRDefault="00B05575" w:rsidP="00B05575">
      <w:pPr>
        <w:pStyle w:val="ListParagraph"/>
        <w:numPr>
          <w:ilvl w:val="0"/>
          <w:numId w:val="40"/>
        </w:numPr>
        <w:spacing w:line="240" w:lineRule="auto"/>
        <w:rPr>
          <w:rFonts w:eastAsia="Times New Roman" w:cs="Arial"/>
          <w:sz w:val="24"/>
          <w:szCs w:val="24"/>
          <w:lang w:eastAsia="bg-BG"/>
        </w:rPr>
      </w:pPr>
      <w:r w:rsidRPr="00B05575">
        <w:rPr>
          <w:rFonts w:eastAsia="Times New Roman" w:cs="Arial"/>
          <w:color w:val="000000"/>
          <w:lang w:eastAsia="bg-BG"/>
        </w:rPr>
        <w:t>Нечести (≥1 /1 000 до &lt; 1 /100)</w:t>
      </w:r>
    </w:p>
    <w:p w14:paraId="3487C27F" w14:textId="77777777" w:rsidR="00B05575" w:rsidRPr="00B05575" w:rsidRDefault="00B05575" w:rsidP="00B05575">
      <w:pPr>
        <w:pStyle w:val="ListParagraph"/>
        <w:numPr>
          <w:ilvl w:val="0"/>
          <w:numId w:val="40"/>
        </w:numPr>
        <w:spacing w:line="240" w:lineRule="auto"/>
        <w:rPr>
          <w:rFonts w:eastAsia="Times New Roman" w:cs="Arial"/>
          <w:sz w:val="24"/>
          <w:szCs w:val="24"/>
          <w:lang w:eastAsia="bg-BG"/>
        </w:rPr>
      </w:pPr>
      <w:r w:rsidRPr="00B05575">
        <w:rPr>
          <w:rFonts w:eastAsia="Times New Roman" w:cs="Arial"/>
          <w:color w:val="000000"/>
          <w:lang w:eastAsia="bg-BG"/>
        </w:rPr>
        <w:t>Редки (≥1/10 000 до &lt;1/1 000)</w:t>
      </w:r>
    </w:p>
    <w:p w14:paraId="1AF42A07" w14:textId="77777777" w:rsidR="00B05575" w:rsidRPr="00B05575" w:rsidRDefault="00B05575" w:rsidP="00B05575">
      <w:pPr>
        <w:pStyle w:val="ListParagraph"/>
        <w:numPr>
          <w:ilvl w:val="0"/>
          <w:numId w:val="40"/>
        </w:numPr>
        <w:spacing w:line="240" w:lineRule="auto"/>
        <w:rPr>
          <w:rFonts w:eastAsia="Times New Roman" w:cs="Arial"/>
          <w:sz w:val="24"/>
          <w:szCs w:val="24"/>
          <w:lang w:eastAsia="bg-BG"/>
        </w:rPr>
      </w:pPr>
      <w:r w:rsidRPr="00B05575">
        <w:rPr>
          <w:rFonts w:eastAsia="Times New Roman" w:cs="Arial"/>
          <w:color w:val="000000"/>
          <w:lang w:eastAsia="bg-BG"/>
        </w:rPr>
        <w:t>Много редки (&lt;1/10 000)</w:t>
      </w:r>
    </w:p>
    <w:p w14:paraId="63CC050F" w14:textId="59BF4CDA" w:rsidR="00B05575" w:rsidRPr="00B05575" w:rsidRDefault="00B05575" w:rsidP="00B05575">
      <w:pPr>
        <w:pStyle w:val="ListParagraph"/>
        <w:numPr>
          <w:ilvl w:val="0"/>
          <w:numId w:val="40"/>
        </w:numPr>
        <w:spacing w:line="240" w:lineRule="auto"/>
        <w:rPr>
          <w:rFonts w:eastAsia="Times New Roman" w:cs="Arial"/>
          <w:sz w:val="24"/>
          <w:szCs w:val="24"/>
          <w:lang w:eastAsia="bg-BG"/>
        </w:rPr>
      </w:pPr>
      <w:r w:rsidRPr="00B05575">
        <w:rPr>
          <w:rFonts w:eastAsia="Times New Roman" w:cs="Arial"/>
          <w:color w:val="000000"/>
          <w:lang w:eastAsia="bg-BG"/>
        </w:rPr>
        <w:t>С неизвестна честота (не може да се предвиди от наличните данни)</w:t>
      </w:r>
    </w:p>
    <w:p w14:paraId="2CBEB614" w14:textId="77777777" w:rsidR="00B05575" w:rsidRPr="00B05575" w:rsidRDefault="00B05575" w:rsidP="00B05575">
      <w:pPr>
        <w:spacing w:line="240" w:lineRule="auto"/>
        <w:rPr>
          <w:rFonts w:eastAsia="Times New Roman" w:cs="Arial"/>
          <w:color w:val="000000"/>
          <w:lang w:eastAsia="bg-BG"/>
        </w:rPr>
      </w:pPr>
    </w:p>
    <w:p w14:paraId="24EAF4C8" w14:textId="3DE59CD7" w:rsidR="00B05575" w:rsidRPr="00B05575" w:rsidRDefault="00B05575" w:rsidP="00B05575">
      <w:pPr>
        <w:spacing w:line="240" w:lineRule="auto"/>
        <w:rPr>
          <w:rFonts w:eastAsia="Times New Roman" w:cs="Arial"/>
          <w:sz w:val="24"/>
          <w:szCs w:val="24"/>
          <w:lang w:eastAsia="bg-BG"/>
        </w:rPr>
      </w:pPr>
      <w:r w:rsidRPr="00B05575">
        <w:rPr>
          <w:rFonts w:eastAsia="Times New Roman" w:cs="Arial"/>
          <w:color w:val="000000"/>
          <w:lang w:eastAsia="bg-BG"/>
        </w:rPr>
        <w:t>При всяко групиране в зависимост от честотата, нежеланите лекарствени реакции са изброени в низходящ ред по отношение на тяхната сериозност.</w:t>
      </w:r>
    </w:p>
    <w:p w14:paraId="007FEB5E" w14:textId="77777777" w:rsidR="00B05575" w:rsidRPr="00B05575" w:rsidRDefault="00B05575" w:rsidP="00B05575">
      <w:pPr>
        <w:spacing w:line="240" w:lineRule="auto"/>
        <w:rPr>
          <w:rFonts w:eastAsia="Times New Roman" w:cs="Arial"/>
          <w:color w:val="000000"/>
          <w:lang w:eastAsia="bg-BG"/>
        </w:rPr>
      </w:pPr>
    </w:p>
    <w:p w14:paraId="64BD5872" w14:textId="2B5BEC2B" w:rsidR="00B05575" w:rsidRPr="00B05575" w:rsidRDefault="00B05575" w:rsidP="00B05575">
      <w:pPr>
        <w:spacing w:line="240" w:lineRule="auto"/>
        <w:rPr>
          <w:rFonts w:eastAsia="Times New Roman" w:cs="Arial"/>
          <w:sz w:val="24"/>
          <w:szCs w:val="24"/>
          <w:lang w:eastAsia="bg-BG"/>
        </w:rPr>
      </w:pPr>
      <w:r w:rsidRPr="00B05575">
        <w:rPr>
          <w:rFonts w:eastAsia="Times New Roman" w:cs="Arial"/>
          <w:color w:val="000000"/>
          <w:lang w:eastAsia="bg-BG"/>
        </w:rPr>
        <w:t>Нежеланите реакции, възможно или вероятно свързани с азитромицин въз основа на опита на клинични изпитвания и пост-маркетингово проучване:</w:t>
      </w:r>
    </w:p>
    <w:p w14:paraId="6E5D2C94" w14:textId="2DB0132C" w:rsidR="00B05575" w:rsidRDefault="00B05575" w:rsidP="00B05575"/>
    <w:tbl>
      <w:tblPr>
        <w:tblStyle w:val="TableGrid"/>
        <w:tblW w:w="0" w:type="auto"/>
        <w:tblLook w:val="04A0" w:firstRow="1" w:lastRow="0" w:firstColumn="1" w:lastColumn="0" w:noHBand="0" w:noVBand="1"/>
      </w:tblPr>
      <w:tblGrid>
        <w:gridCol w:w="1514"/>
        <w:gridCol w:w="898"/>
        <w:gridCol w:w="1775"/>
        <w:gridCol w:w="1669"/>
        <w:gridCol w:w="1462"/>
        <w:gridCol w:w="2032"/>
      </w:tblGrid>
      <w:tr w:rsidR="00B05575" w14:paraId="2F93E1C5" w14:textId="77777777" w:rsidTr="00B05575">
        <w:tc>
          <w:tcPr>
            <w:tcW w:w="1552" w:type="dxa"/>
          </w:tcPr>
          <w:p w14:paraId="1445A499" w14:textId="77777777" w:rsidR="00B05575" w:rsidRPr="00B05575" w:rsidRDefault="00B05575" w:rsidP="00B05575"/>
        </w:tc>
        <w:tc>
          <w:tcPr>
            <w:tcW w:w="917" w:type="dxa"/>
          </w:tcPr>
          <w:p w14:paraId="4EC831C3" w14:textId="0B605B22" w:rsidR="00B05575" w:rsidRPr="00B05575" w:rsidRDefault="00B05575" w:rsidP="00B05575">
            <w:r w:rsidRPr="00B05575">
              <w:rPr>
                <w:b/>
                <w:bCs/>
              </w:rPr>
              <w:t>Много чести</w:t>
            </w:r>
          </w:p>
        </w:tc>
        <w:tc>
          <w:tcPr>
            <w:tcW w:w="1818" w:type="dxa"/>
          </w:tcPr>
          <w:p w14:paraId="7129D7CF" w14:textId="0A94D7E9" w:rsidR="00B05575" w:rsidRPr="00B05575" w:rsidRDefault="00B05575" w:rsidP="00B05575">
            <w:r w:rsidRPr="00B05575">
              <w:rPr>
                <w:b/>
                <w:bCs/>
              </w:rPr>
              <w:t>Чести</w:t>
            </w:r>
          </w:p>
        </w:tc>
        <w:tc>
          <w:tcPr>
            <w:tcW w:w="1709" w:type="dxa"/>
          </w:tcPr>
          <w:p w14:paraId="6D491576" w14:textId="0B2BADBC" w:rsidR="00B05575" w:rsidRPr="00B05575" w:rsidRDefault="00B05575" w:rsidP="00B05575">
            <w:r w:rsidRPr="00B05575">
              <w:rPr>
                <w:b/>
                <w:bCs/>
              </w:rPr>
              <w:t>Нечести</w:t>
            </w:r>
          </w:p>
        </w:tc>
        <w:tc>
          <w:tcPr>
            <w:tcW w:w="1497" w:type="dxa"/>
          </w:tcPr>
          <w:p w14:paraId="27C9340C" w14:textId="25B4BF98" w:rsidR="00B05575" w:rsidRPr="00B05575" w:rsidRDefault="00B05575" w:rsidP="00B05575">
            <w:r w:rsidRPr="00B05575">
              <w:rPr>
                <w:b/>
                <w:bCs/>
              </w:rPr>
              <w:t>Редки</w:t>
            </w:r>
          </w:p>
        </w:tc>
        <w:tc>
          <w:tcPr>
            <w:tcW w:w="2083" w:type="dxa"/>
          </w:tcPr>
          <w:p w14:paraId="6CDE84A7" w14:textId="2226E9D6" w:rsidR="00B05575" w:rsidRPr="00B05575" w:rsidRDefault="00B05575" w:rsidP="00B05575">
            <w:r w:rsidRPr="00B05575">
              <w:rPr>
                <w:b/>
                <w:bCs/>
              </w:rPr>
              <w:t>С неизвестна честота</w:t>
            </w:r>
          </w:p>
        </w:tc>
      </w:tr>
      <w:tr w:rsidR="00B05575" w14:paraId="587B499C" w14:textId="77777777" w:rsidTr="00B05575">
        <w:tc>
          <w:tcPr>
            <w:tcW w:w="1552" w:type="dxa"/>
          </w:tcPr>
          <w:p w14:paraId="57491A02" w14:textId="49E57263" w:rsidR="00B05575" w:rsidRPr="00B05575" w:rsidRDefault="00B05575" w:rsidP="00B05575">
            <w:r w:rsidRPr="00B05575">
              <w:rPr>
                <w:b/>
                <w:bCs/>
              </w:rPr>
              <w:t>Инфекции и инфестации</w:t>
            </w:r>
          </w:p>
        </w:tc>
        <w:tc>
          <w:tcPr>
            <w:tcW w:w="917" w:type="dxa"/>
          </w:tcPr>
          <w:p w14:paraId="2A779798" w14:textId="77777777" w:rsidR="00B05575" w:rsidRPr="00B05575" w:rsidRDefault="00B05575" w:rsidP="00B05575"/>
        </w:tc>
        <w:tc>
          <w:tcPr>
            <w:tcW w:w="1818" w:type="dxa"/>
          </w:tcPr>
          <w:p w14:paraId="48FF6607" w14:textId="77777777" w:rsidR="00B05575" w:rsidRPr="00B05575" w:rsidRDefault="00B05575" w:rsidP="00B05575"/>
        </w:tc>
        <w:tc>
          <w:tcPr>
            <w:tcW w:w="1709" w:type="dxa"/>
            <w:vAlign w:val="bottom"/>
          </w:tcPr>
          <w:p w14:paraId="026209EC" w14:textId="77777777" w:rsidR="00B05575" w:rsidRPr="00B05575" w:rsidRDefault="00B05575" w:rsidP="00B05575">
            <w:r w:rsidRPr="00B05575">
              <w:t>Кандидоза, вагинална инфекция, пневмония, гъбична инфекция, бактериална инфекция, фарингит, гастроентерит, респираторни нарушения,</w:t>
            </w:r>
          </w:p>
          <w:p w14:paraId="08FA0326" w14:textId="062360EE" w:rsidR="00B05575" w:rsidRPr="00B05575" w:rsidRDefault="00B05575" w:rsidP="00B05575">
            <w:r w:rsidRPr="00B05575">
              <w:t>ринит, орална кандидоза</w:t>
            </w:r>
          </w:p>
        </w:tc>
        <w:tc>
          <w:tcPr>
            <w:tcW w:w="1497" w:type="dxa"/>
          </w:tcPr>
          <w:p w14:paraId="7A576BCB" w14:textId="77777777" w:rsidR="00B05575" w:rsidRPr="00B05575" w:rsidRDefault="00B05575" w:rsidP="00B05575"/>
        </w:tc>
        <w:tc>
          <w:tcPr>
            <w:tcW w:w="2083" w:type="dxa"/>
            <w:vAlign w:val="bottom"/>
          </w:tcPr>
          <w:p w14:paraId="06CF4449" w14:textId="164A34CD" w:rsidR="00B05575" w:rsidRPr="00B05575" w:rsidRDefault="00B05575" w:rsidP="00B05575">
            <w:r w:rsidRPr="00B05575">
              <w:t>Псевдомембранозе н колит (вж. точка 4.4)</w:t>
            </w:r>
          </w:p>
        </w:tc>
      </w:tr>
      <w:tr w:rsidR="00B05575" w14:paraId="253DAEDA" w14:textId="77777777" w:rsidTr="00B05575">
        <w:tc>
          <w:tcPr>
            <w:tcW w:w="1552" w:type="dxa"/>
            <w:vAlign w:val="bottom"/>
          </w:tcPr>
          <w:p w14:paraId="0CC3BC24" w14:textId="2BF0CE45" w:rsidR="00B05575" w:rsidRDefault="00B05575" w:rsidP="00B05575">
            <w:r>
              <w:rPr>
                <w:b/>
                <w:bCs/>
              </w:rPr>
              <w:t>Нарушения на кръвта и лимфната система</w:t>
            </w:r>
          </w:p>
        </w:tc>
        <w:tc>
          <w:tcPr>
            <w:tcW w:w="917" w:type="dxa"/>
          </w:tcPr>
          <w:p w14:paraId="4C157C15" w14:textId="77777777" w:rsidR="00B05575" w:rsidRDefault="00B05575" w:rsidP="00B05575"/>
        </w:tc>
        <w:tc>
          <w:tcPr>
            <w:tcW w:w="1818" w:type="dxa"/>
          </w:tcPr>
          <w:p w14:paraId="6F4604A6" w14:textId="77777777" w:rsidR="00B05575" w:rsidRDefault="00B05575" w:rsidP="00B05575"/>
        </w:tc>
        <w:tc>
          <w:tcPr>
            <w:tcW w:w="1709" w:type="dxa"/>
          </w:tcPr>
          <w:p w14:paraId="6C2D3808" w14:textId="5025F7B2" w:rsidR="00B05575" w:rsidRDefault="00B05575" w:rsidP="00B05575">
            <w:r>
              <w:t>Левкопения, неутропения, еозинофилия</w:t>
            </w:r>
          </w:p>
        </w:tc>
        <w:tc>
          <w:tcPr>
            <w:tcW w:w="1497" w:type="dxa"/>
          </w:tcPr>
          <w:p w14:paraId="1DCB821F" w14:textId="77777777" w:rsidR="00B05575" w:rsidRDefault="00B05575" w:rsidP="00B05575"/>
        </w:tc>
        <w:tc>
          <w:tcPr>
            <w:tcW w:w="2083" w:type="dxa"/>
          </w:tcPr>
          <w:p w14:paraId="234B9271" w14:textId="5B9C3E34" w:rsidR="00B05575" w:rsidRDefault="00B05575" w:rsidP="00B05575">
            <w:r>
              <w:t>Тромбоцитопения, хемолитич-на анемия</w:t>
            </w:r>
          </w:p>
        </w:tc>
      </w:tr>
      <w:tr w:rsidR="00B05575" w14:paraId="69A2EE18" w14:textId="77777777" w:rsidTr="00B05575">
        <w:tc>
          <w:tcPr>
            <w:tcW w:w="1552" w:type="dxa"/>
            <w:vAlign w:val="bottom"/>
          </w:tcPr>
          <w:p w14:paraId="4A69A4B5" w14:textId="140B493A" w:rsidR="00B05575" w:rsidRDefault="00B05575" w:rsidP="00B05575">
            <w:r>
              <w:rPr>
                <w:b/>
                <w:bCs/>
              </w:rPr>
              <w:t>Нарушения иа имунната система</w:t>
            </w:r>
          </w:p>
        </w:tc>
        <w:tc>
          <w:tcPr>
            <w:tcW w:w="917" w:type="dxa"/>
          </w:tcPr>
          <w:p w14:paraId="51E0807B" w14:textId="77777777" w:rsidR="00B05575" w:rsidRDefault="00B05575" w:rsidP="00B05575"/>
        </w:tc>
        <w:tc>
          <w:tcPr>
            <w:tcW w:w="1818" w:type="dxa"/>
          </w:tcPr>
          <w:p w14:paraId="2CADC886" w14:textId="77777777" w:rsidR="00B05575" w:rsidRDefault="00B05575" w:rsidP="00B05575"/>
        </w:tc>
        <w:tc>
          <w:tcPr>
            <w:tcW w:w="1709" w:type="dxa"/>
            <w:vAlign w:val="bottom"/>
          </w:tcPr>
          <w:p w14:paraId="21F28E5B" w14:textId="100504F9" w:rsidR="00B05575" w:rsidRDefault="00B05575" w:rsidP="00B05575">
            <w:r>
              <w:t>Ангиоедем свръх</w:t>
            </w:r>
            <w:r>
              <w:softHyphen/>
              <w:t>чувствителност</w:t>
            </w:r>
          </w:p>
        </w:tc>
        <w:tc>
          <w:tcPr>
            <w:tcW w:w="1497" w:type="dxa"/>
          </w:tcPr>
          <w:p w14:paraId="714BEC15" w14:textId="77777777" w:rsidR="00B05575" w:rsidRDefault="00B05575" w:rsidP="00B05575"/>
        </w:tc>
        <w:tc>
          <w:tcPr>
            <w:tcW w:w="2083" w:type="dxa"/>
            <w:vAlign w:val="bottom"/>
          </w:tcPr>
          <w:p w14:paraId="2B9C8233" w14:textId="77777777" w:rsidR="00B05575" w:rsidRDefault="00B05575" w:rsidP="00B05575">
            <w:r>
              <w:t>Анафи-лактични реакции (вж. точка</w:t>
            </w:r>
          </w:p>
          <w:p w14:paraId="08ACD639" w14:textId="2E3BABC8" w:rsidR="00B05575" w:rsidRDefault="00B05575" w:rsidP="00B05575">
            <w:r>
              <w:t>4.4)</w:t>
            </w:r>
          </w:p>
        </w:tc>
      </w:tr>
      <w:tr w:rsidR="00B05575" w14:paraId="4F1E60B8" w14:textId="77777777" w:rsidTr="00B05575">
        <w:tc>
          <w:tcPr>
            <w:tcW w:w="1552" w:type="dxa"/>
            <w:vAlign w:val="bottom"/>
          </w:tcPr>
          <w:p w14:paraId="2A950110" w14:textId="4239D58C" w:rsidR="00B05575" w:rsidRDefault="00B05575" w:rsidP="00B05575">
            <w:r>
              <w:rPr>
                <w:b/>
                <w:bCs/>
              </w:rPr>
              <w:t>Метаболит-ни и хранителни нарушения</w:t>
            </w:r>
          </w:p>
        </w:tc>
        <w:tc>
          <w:tcPr>
            <w:tcW w:w="917" w:type="dxa"/>
          </w:tcPr>
          <w:p w14:paraId="31567D55" w14:textId="77777777" w:rsidR="00B05575" w:rsidRDefault="00B05575" w:rsidP="00B05575"/>
        </w:tc>
        <w:tc>
          <w:tcPr>
            <w:tcW w:w="1818" w:type="dxa"/>
          </w:tcPr>
          <w:p w14:paraId="5E12FA66" w14:textId="77777777" w:rsidR="00B05575" w:rsidRDefault="00B05575" w:rsidP="00B05575"/>
        </w:tc>
        <w:tc>
          <w:tcPr>
            <w:tcW w:w="1709" w:type="dxa"/>
          </w:tcPr>
          <w:p w14:paraId="191CF0B3" w14:textId="3FC2370C" w:rsidR="00B05575" w:rsidRDefault="00B05575" w:rsidP="00B05575">
            <w:r>
              <w:t>Анорексия</w:t>
            </w:r>
          </w:p>
        </w:tc>
        <w:tc>
          <w:tcPr>
            <w:tcW w:w="1497" w:type="dxa"/>
          </w:tcPr>
          <w:p w14:paraId="064ACE1C" w14:textId="77777777" w:rsidR="00B05575" w:rsidRDefault="00B05575" w:rsidP="00B05575"/>
        </w:tc>
        <w:tc>
          <w:tcPr>
            <w:tcW w:w="2083" w:type="dxa"/>
          </w:tcPr>
          <w:p w14:paraId="7ED1BBCB" w14:textId="77777777" w:rsidR="00B05575" w:rsidRDefault="00B05575" w:rsidP="00B05575"/>
        </w:tc>
      </w:tr>
      <w:tr w:rsidR="00B05575" w14:paraId="2DB5A36B" w14:textId="77777777" w:rsidTr="00B05575">
        <w:tc>
          <w:tcPr>
            <w:tcW w:w="1552" w:type="dxa"/>
          </w:tcPr>
          <w:p w14:paraId="5B7143FD" w14:textId="18C6A360" w:rsidR="00B05575" w:rsidRDefault="00B05575" w:rsidP="00B05575">
            <w:r>
              <w:rPr>
                <w:b/>
                <w:bCs/>
              </w:rPr>
              <w:t xml:space="preserve">Психични </w:t>
            </w:r>
            <w:r>
              <w:rPr>
                <w:b/>
                <w:bCs/>
              </w:rPr>
              <w:lastRenderedPageBreak/>
              <w:t>нарушения</w:t>
            </w:r>
          </w:p>
        </w:tc>
        <w:tc>
          <w:tcPr>
            <w:tcW w:w="917" w:type="dxa"/>
          </w:tcPr>
          <w:p w14:paraId="234A3640" w14:textId="77777777" w:rsidR="00B05575" w:rsidRDefault="00B05575" w:rsidP="00B05575"/>
        </w:tc>
        <w:tc>
          <w:tcPr>
            <w:tcW w:w="1818" w:type="dxa"/>
          </w:tcPr>
          <w:p w14:paraId="710FF9F5" w14:textId="77777777" w:rsidR="00B05575" w:rsidRDefault="00B05575" w:rsidP="00B05575"/>
        </w:tc>
        <w:tc>
          <w:tcPr>
            <w:tcW w:w="1709" w:type="dxa"/>
          </w:tcPr>
          <w:p w14:paraId="0CF51B80" w14:textId="17764F74" w:rsidR="00B05575" w:rsidRDefault="00B05575" w:rsidP="00B05575">
            <w:r>
              <w:t xml:space="preserve">Нервност, </w:t>
            </w:r>
            <w:r>
              <w:lastRenderedPageBreak/>
              <w:t>безсъние</w:t>
            </w:r>
          </w:p>
        </w:tc>
        <w:tc>
          <w:tcPr>
            <w:tcW w:w="1497" w:type="dxa"/>
          </w:tcPr>
          <w:p w14:paraId="322CBBC4" w14:textId="30D2C3BF" w:rsidR="00B05575" w:rsidRDefault="00B05575" w:rsidP="00B05575">
            <w:r>
              <w:lastRenderedPageBreak/>
              <w:t>Възбуда</w:t>
            </w:r>
          </w:p>
        </w:tc>
        <w:tc>
          <w:tcPr>
            <w:tcW w:w="2083" w:type="dxa"/>
            <w:vAlign w:val="bottom"/>
          </w:tcPr>
          <w:p w14:paraId="792C25DE" w14:textId="20AC4F7B" w:rsidR="00B05575" w:rsidRDefault="00B05575" w:rsidP="00B05575">
            <w:r>
              <w:t>Агресия, без</w:t>
            </w:r>
            <w:r>
              <w:softHyphen/>
            </w:r>
            <w:r>
              <w:lastRenderedPageBreak/>
              <w:t>покойство, делириум халюци</w:t>
            </w:r>
            <w:r>
              <w:softHyphen/>
              <w:t>нации</w:t>
            </w:r>
          </w:p>
        </w:tc>
      </w:tr>
      <w:tr w:rsidR="00B05575" w14:paraId="5DFAF35C" w14:textId="77777777" w:rsidTr="00B05575">
        <w:tc>
          <w:tcPr>
            <w:tcW w:w="1552" w:type="dxa"/>
          </w:tcPr>
          <w:p w14:paraId="2C4B1DC2" w14:textId="0D71D40A" w:rsidR="00B05575" w:rsidRDefault="00B05575" w:rsidP="00B05575">
            <w:r>
              <w:rPr>
                <w:b/>
                <w:bCs/>
              </w:rPr>
              <w:lastRenderedPageBreak/>
              <w:t>Нарушения на нервната система</w:t>
            </w:r>
          </w:p>
        </w:tc>
        <w:tc>
          <w:tcPr>
            <w:tcW w:w="917" w:type="dxa"/>
          </w:tcPr>
          <w:p w14:paraId="58C165CE" w14:textId="77777777" w:rsidR="00B05575" w:rsidRDefault="00B05575" w:rsidP="00B05575"/>
        </w:tc>
        <w:tc>
          <w:tcPr>
            <w:tcW w:w="1818" w:type="dxa"/>
          </w:tcPr>
          <w:p w14:paraId="0E6B70DF" w14:textId="62E03981" w:rsidR="00B05575" w:rsidRDefault="00B05575" w:rsidP="00B05575">
            <w:r>
              <w:t>Главоболие</w:t>
            </w:r>
          </w:p>
        </w:tc>
        <w:tc>
          <w:tcPr>
            <w:tcW w:w="1709" w:type="dxa"/>
          </w:tcPr>
          <w:p w14:paraId="4AD5D71B" w14:textId="4F0AFAB4" w:rsidR="00B05575" w:rsidRDefault="00B05575" w:rsidP="00B05575">
            <w:r>
              <w:t>Замаяност, сомнолентност, нарушения на вкуса, парестезия</w:t>
            </w:r>
          </w:p>
        </w:tc>
        <w:tc>
          <w:tcPr>
            <w:tcW w:w="1497" w:type="dxa"/>
          </w:tcPr>
          <w:p w14:paraId="08A9F437" w14:textId="77777777" w:rsidR="00B05575" w:rsidRDefault="00B05575" w:rsidP="00B05575"/>
        </w:tc>
        <w:tc>
          <w:tcPr>
            <w:tcW w:w="2083" w:type="dxa"/>
          </w:tcPr>
          <w:p w14:paraId="7B0A8771" w14:textId="7340BA5B" w:rsidR="00B05575" w:rsidRDefault="00B05575" w:rsidP="00B05575">
            <w:r>
              <w:t>Синкоп, конвулсии, хипо- естезия, психо</w:t>
            </w:r>
            <w:r>
              <w:softHyphen/>
              <w:t>моторна хиперактивност, анос-мия, агеузия, парасмия, миастения гравис (вж. точка 4.4)</w:t>
            </w:r>
          </w:p>
        </w:tc>
      </w:tr>
      <w:tr w:rsidR="00B05575" w14:paraId="1AF7ED94" w14:textId="77777777" w:rsidTr="00B05575">
        <w:tc>
          <w:tcPr>
            <w:tcW w:w="1552" w:type="dxa"/>
            <w:vAlign w:val="bottom"/>
          </w:tcPr>
          <w:p w14:paraId="7F56ED41" w14:textId="153A35A3" w:rsidR="00B05575" w:rsidRDefault="00B05575" w:rsidP="00B05575">
            <w:r>
              <w:rPr>
                <w:b/>
                <w:bCs/>
              </w:rPr>
              <w:t>Нарушения на очите</w:t>
            </w:r>
          </w:p>
        </w:tc>
        <w:tc>
          <w:tcPr>
            <w:tcW w:w="917" w:type="dxa"/>
          </w:tcPr>
          <w:p w14:paraId="44D8D8D7" w14:textId="77777777" w:rsidR="00B05575" w:rsidRDefault="00B05575" w:rsidP="00B05575"/>
        </w:tc>
        <w:tc>
          <w:tcPr>
            <w:tcW w:w="1818" w:type="dxa"/>
          </w:tcPr>
          <w:p w14:paraId="4E037E41" w14:textId="77777777" w:rsidR="00B05575" w:rsidRDefault="00B05575" w:rsidP="00B05575"/>
        </w:tc>
        <w:tc>
          <w:tcPr>
            <w:tcW w:w="1709" w:type="dxa"/>
            <w:vAlign w:val="bottom"/>
          </w:tcPr>
          <w:p w14:paraId="770F6EC2" w14:textId="75287C5D" w:rsidR="00B05575" w:rsidRDefault="00B05575" w:rsidP="00B05575">
            <w:r>
              <w:t>Нарушение на зрението</w:t>
            </w:r>
          </w:p>
        </w:tc>
        <w:tc>
          <w:tcPr>
            <w:tcW w:w="1497" w:type="dxa"/>
          </w:tcPr>
          <w:p w14:paraId="2618FEF1" w14:textId="77777777" w:rsidR="00B05575" w:rsidRDefault="00B05575" w:rsidP="00B05575"/>
        </w:tc>
        <w:tc>
          <w:tcPr>
            <w:tcW w:w="2083" w:type="dxa"/>
          </w:tcPr>
          <w:p w14:paraId="27F91DC6" w14:textId="77777777" w:rsidR="00B05575" w:rsidRDefault="00B05575" w:rsidP="00B05575"/>
        </w:tc>
      </w:tr>
      <w:tr w:rsidR="00B05575" w14:paraId="2837F1A2" w14:textId="77777777" w:rsidTr="00B05575">
        <w:tc>
          <w:tcPr>
            <w:tcW w:w="1552" w:type="dxa"/>
          </w:tcPr>
          <w:p w14:paraId="34620688" w14:textId="7AB11B03" w:rsidR="00B05575" w:rsidRDefault="00B05575" w:rsidP="00B05575">
            <w:r>
              <w:rPr>
                <w:b/>
                <w:bCs/>
              </w:rPr>
              <w:t>Нарушения на ухото и лабиринта</w:t>
            </w:r>
          </w:p>
        </w:tc>
        <w:tc>
          <w:tcPr>
            <w:tcW w:w="917" w:type="dxa"/>
          </w:tcPr>
          <w:p w14:paraId="2FA158FD" w14:textId="77777777" w:rsidR="00B05575" w:rsidRDefault="00B05575" w:rsidP="00B05575"/>
        </w:tc>
        <w:tc>
          <w:tcPr>
            <w:tcW w:w="1818" w:type="dxa"/>
          </w:tcPr>
          <w:p w14:paraId="5BDFA39F" w14:textId="77777777" w:rsidR="00B05575" w:rsidRDefault="00B05575" w:rsidP="00B05575"/>
        </w:tc>
        <w:tc>
          <w:tcPr>
            <w:tcW w:w="1709" w:type="dxa"/>
          </w:tcPr>
          <w:p w14:paraId="2D94F011" w14:textId="7766465F" w:rsidR="00B05575" w:rsidRDefault="00B05575" w:rsidP="00B05575">
            <w:r>
              <w:t>Нарушения на ухото, вертиго</w:t>
            </w:r>
          </w:p>
        </w:tc>
        <w:tc>
          <w:tcPr>
            <w:tcW w:w="1497" w:type="dxa"/>
          </w:tcPr>
          <w:p w14:paraId="45CA85D5" w14:textId="77777777" w:rsidR="00B05575" w:rsidRDefault="00B05575" w:rsidP="00B05575"/>
        </w:tc>
        <w:tc>
          <w:tcPr>
            <w:tcW w:w="2083" w:type="dxa"/>
            <w:vAlign w:val="bottom"/>
          </w:tcPr>
          <w:p w14:paraId="057D0510" w14:textId="29A6B1E9" w:rsidR="00B05575" w:rsidRDefault="00B05575" w:rsidP="00B05575">
            <w:r>
              <w:t>Нарушения на слуха, включително глухота и/или тинитус</w:t>
            </w:r>
          </w:p>
        </w:tc>
      </w:tr>
      <w:tr w:rsidR="00B05575" w14:paraId="22D36DF1" w14:textId="77777777" w:rsidTr="00B05575">
        <w:tc>
          <w:tcPr>
            <w:tcW w:w="1552" w:type="dxa"/>
          </w:tcPr>
          <w:p w14:paraId="053D9DE2" w14:textId="7B03F3CF" w:rsidR="00B05575" w:rsidRDefault="00B05575" w:rsidP="00B05575">
            <w:r>
              <w:rPr>
                <w:b/>
                <w:bCs/>
              </w:rPr>
              <w:t>Сърдечни нарушения</w:t>
            </w:r>
          </w:p>
        </w:tc>
        <w:tc>
          <w:tcPr>
            <w:tcW w:w="917" w:type="dxa"/>
          </w:tcPr>
          <w:p w14:paraId="27DEAC43" w14:textId="77777777" w:rsidR="00B05575" w:rsidRDefault="00B05575" w:rsidP="00B05575"/>
        </w:tc>
        <w:tc>
          <w:tcPr>
            <w:tcW w:w="1818" w:type="dxa"/>
          </w:tcPr>
          <w:p w14:paraId="248352EB" w14:textId="77777777" w:rsidR="00B05575" w:rsidRDefault="00B05575" w:rsidP="00B05575"/>
        </w:tc>
        <w:tc>
          <w:tcPr>
            <w:tcW w:w="1709" w:type="dxa"/>
          </w:tcPr>
          <w:p w14:paraId="5D10CD46" w14:textId="61AD46EE" w:rsidR="00B05575" w:rsidRDefault="00B05575" w:rsidP="00B05575">
            <w:r>
              <w:t>Палпитации</w:t>
            </w:r>
          </w:p>
        </w:tc>
        <w:tc>
          <w:tcPr>
            <w:tcW w:w="1497" w:type="dxa"/>
          </w:tcPr>
          <w:p w14:paraId="689FD057" w14:textId="77777777" w:rsidR="00B05575" w:rsidRDefault="00B05575" w:rsidP="00B05575"/>
        </w:tc>
        <w:tc>
          <w:tcPr>
            <w:tcW w:w="2083" w:type="dxa"/>
            <w:vAlign w:val="bottom"/>
          </w:tcPr>
          <w:p w14:paraId="5608989C" w14:textId="4F8706AE" w:rsidR="00B05575" w:rsidRDefault="00B05575" w:rsidP="00B05575">
            <w:proofErr w:type="spellStart"/>
            <w:r>
              <w:rPr>
                <w:lang w:val="en-US"/>
              </w:rPr>
              <w:t>Torsades</w:t>
            </w:r>
            <w:proofErr w:type="spellEnd"/>
            <w:r>
              <w:rPr>
                <w:lang w:val="en-US"/>
              </w:rPr>
              <w:t xml:space="preserve"> de pointes </w:t>
            </w:r>
            <w:r>
              <w:t xml:space="preserve">(вж. точка 4.4), аритмия (вж. точка 4.4), включително камерна тахикардия, </w:t>
            </w:r>
            <w:r>
              <w:rPr>
                <w:lang w:val="en-US"/>
              </w:rPr>
              <w:t xml:space="preserve">QT- </w:t>
            </w:r>
            <w:r>
              <w:t>удължаване при електрокардио- грама (вж. точка 4.4)</w:t>
            </w:r>
          </w:p>
        </w:tc>
      </w:tr>
      <w:tr w:rsidR="00B05575" w14:paraId="25BE7E02" w14:textId="77777777" w:rsidTr="00B05575">
        <w:tc>
          <w:tcPr>
            <w:tcW w:w="1552" w:type="dxa"/>
            <w:vAlign w:val="bottom"/>
          </w:tcPr>
          <w:p w14:paraId="242D8527" w14:textId="0A182279" w:rsidR="00B05575" w:rsidRDefault="00B05575" w:rsidP="00B05575">
            <w:r>
              <w:rPr>
                <w:b/>
                <w:bCs/>
              </w:rPr>
              <w:t>Съдови нарушения</w:t>
            </w:r>
          </w:p>
        </w:tc>
        <w:tc>
          <w:tcPr>
            <w:tcW w:w="917" w:type="dxa"/>
          </w:tcPr>
          <w:p w14:paraId="0159F167" w14:textId="77777777" w:rsidR="00B05575" w:rsidRDefault="00B05575" w:rsidP="00B05575"/>
        </w:tc>
        <w:tc>
          <w:tcPr>
            <w:tcW w:w="1818" w:type="dxa"/>
          </w:tcPr>
          <w:p w14:paraId="728EB3CA" w14:textId="77777777" w:rsidR="00B05575" w:rsidRDefault="00B05575" w:rsidP="00B05575"/>
        </w:tc>
        <w:tc>
          <w:tcPr>
            <w:tcW w:w="1709" w:type="dxa"/>
          </w:tcPr>
          <w:p w14:paraId="67942F23" w14:textId="5AEF2697" w:rsidR="00B05575" w:rsidRDefault="00B05575" w:rsidP="00B05575">
            <w:r>
              <w:t>Топли вълни</w:t>
            </w:r>
          </w:p>
        </w:tc>
        <w:tc>
          <w:tcPr>
            <w:tcW w:w="1497" w:type="dxa"/>
          </w:tcPr>
          <w:p w14:paraId="3AE14687" w14:textId="77777777" w:rsidR="00B05575" w:rsidRDefault="00B05575" w:rsidP="00B05575"/>
        </w:tc>
        <w:tc>
          <w:tcPr>
            <w:tcW w:w="2083" w:type="dxa"/>
          </w:tcPr>
          <w:p w14:paraId="6F5B89B3" w14:textId="23A85642" w:rsidR="00B05575" w:rsidRDefault="00B05575" w:rsidP="00B05575">
            <w:r>
              <w:t>Хипотония</w:t>
            </w:r>
          </w:p>
        </w:tc>
      </w:tr>
      <w:tr w:rsidR="00B05575" w14:paraId="2FB33451" w14:textId="77777777" w:rsidTr="00B05575">
        <w:tc>
          <w:tcPr>
            <w:tcW w:w="1552" w:type="dxa"/>
            <w:vAlign w:val="bottom"/>
          </w:tcPr>
          <w:p w14:paraId="17F4CE72" w14:textId="0C01EEEE" w:rsidR="00B05575" w:rsidRDefault="00B05575" w:rsidP="00B05575">
            <w:r>
              <w:rPr>
                <w:b/>
                <w:bCs/>
              </w:rPr>
              <w:t>Респи</w:t>
            </w:r>
            <w:r>
              <w:rPr>
                <w:b/>
                <w:bCs/>
              </w:rPr>
              <w:softHyphen/>
              <w:t>раторни, торакални и медиасти- нални нарушения</w:t>
            </w:r>
          </w:p>
        </w:tc>
        <w:tc>
          <w:tcPr>
            <w:tcW w:w="917" w:type="dxa"/>
          </w:tcPr>
          <w:p w14:paraId="25A0BC57" w14:textId="77777777" w:rsidR="00B05575" w:rsidRDefault="00B05575" w:rsidP="00B05575"/>
        </w:tc>
        <w:tc>
          <w:tcPr>
            <w:tcW w:w="1818" w:type="dxa"/>
          </w:tcPr>
          <w:p w14:paraId="22660FAD" w14:textId="77777777" w:rsidR="00B05575" w:rsidRDefault="00B05575" w:rsidP="00B05575"/>
        </w:tc>
        <w:tc>
          <w:tcPr>
            <w:tcW w:w="1709" w:type="dxa"/>
          </w:tcPr>
          <w:p w14:paraId="407430EC" w14:textId="4137E8D8" w:rsidR="00B05575" w:rsidRDefault="00B05575" w:rsidP="00B05575">
            <w:r>
              <w:t>Диспнея, епистаксис</w:t>
            </w:r>
          </w:p>
        </w:tc>
        <w:tc>
          <w:tcPr>
            <w:tcW w:w="1497" w:type="dxa"/>
          </w:tcPr>
          <w:p w14:paraId="448595BE" w14:textId="77777777" w:rsidR="00B05575" w:rsidRDefault="00B05575" w:rsidP="00B05575"/>
        </w:tc>
        <w:tc>
          <w:tcPr>
            <w:tcW w:w="2083" w:type="dxa"/>
          </w:tcPr>
          <w:p w14:paraId="53CE62DA" w14:textId="77777777" w:rsidR="00B05575" w:rsidRDefault="00B05575" w:rsidP="00B05575"/>
        </w:tc>
      </w:tr>
      <w:tr w:rsidR="00B05575" w14:paraId="4519564E" w14:textId="77777777" w:rsidTr="00B05575">
        <w:tc>
          <w:tcPr>
            <w:tcW w:w="1552" w:type="dxa"/>
          </w:tcPr>
          <w:p w14:paraId="08EAC937" w14:textId="18EC6BC8" w:rsidR="00B05575" w:rsidRDefault="00B05575" w:rsidP="00B05575">
            <w:r>
              <w:rPr>
                <w:b/>
                <w:bCs/>
              </w:rPr>
              <w:t>Стомашно- чревни нарушения</w:t>
            </w:r>
          </w:p>
        </w:tc>
        <w:tc>
          <w:tcPr>
            <w:tcW w:w="917" w:type="dxa"/>
          </w:tcPr>
          <w:p w14:paraId="323608E4" w14:textId="40EF8BCE" w:rsidR="00B05575" w:rsidRDefault="00B05575" w:rsidP="00B05575">
            <w:r>
              <w:t>Диария</w:t>
            </w:r>
          </w:p>
        </w:tc>
        <w:tc>
          <w:tcPr>
            <w:tcW w:w="1818" w:type="dxa"/>
            <w:vAlign w:val="bottom"/>
          </w:tcPr>
          <w:p w14:paraId="5DFFD85C" w14:textId="40D347DC" w:rsidR="00B05575" w:rsidRDefault="00B05575" w:rsidP="00B05575">
            <w:r>
              <w:t>Повръщане, коремни болки, гадене</w:t>
            </w:r>
          </w:p>
        </w:tc>
        <w:tc>
          <w:tcPr>
            <w:tcW w:w="1709" w:type="dxa"/>
            <w:vAlign w:val="bottom"/>
          </w:tcPr>
          <w:p w14:paraId="3B1C30D7" w14:textId="04789D97" w:rsidR="00B05575" w:rsidRDefault="00B05575" w:rsidP="00B05575">
            <w:r>
              <w:t xml:space="preserve">Запек, флатуленция, диспепсия, гастрит, дисфагия, подуване на корема, сухота в </w:t>
            </w:r>
            <w:r>
              <w:lastRenderedPageBreak/>
              <w:t>устата, оригване, язви в устата, слюнчена хиперсекреция</w:t>
            </w:r>
          </w:p>
        </w:tc>
        <w:tc>
          <w:tcPr>
            <w:tcW w:w="1497" w:type="dxa"/>
            <w:vAlign w:val="bottom"/>
          </w:tcPr>
          <w:p w14:paraId="438A85C4" w14:textId="77777777" w:rsidR="00B05575" w:rsidRDefault="00B05575" w:rsidP="00B05575"/>
        </w:tc>
        <w:tc>
          <w:tcPr>
            <w:tcW w:w="2083" w:type="dxa"/>
            <w:vAlign w:val="bottom"/>
          </w:tcPr>
          <w:p w14:paraId="22425517" w14:textId="77777777" w:rsidR="00B05575" w:rsidRDefault="00B05575" w:rsidP="00B05575">
            <w:r>
              <w:t>Панкреатит, промяна на цвета</w:t>
            </w:r>
          </w:p>
          <w:p w14:paraId="343A8BFE" w14:textId="65C725C6" w:rsidR="00B05575" w:rsidRDefault="00B05575" w:rsidP="00B05575">
            <w:r>
              <w:t>на езика</w:t>
            </w:r>
          </w:p>
        </w:tc>
      </w:tr>
      <w:tr w:rsidR="00B05575" w14:paraId="04D8E2D4" w14:textId="77777777" w:rsidTr="00B05575">
        <w:tc>
          <w:tcPr>
            <w:tcW w:w="1552" w:type="dxa"/>
          </w:tcPr>
          <w:p w14:paraId="7810CFAA" w14:textId="0A93062A" w:rsidR="00B05575" w:rsidRDefault="00B05575" w:rsidP="00B05575">
            <w:r>
              <w:rPr>
                <w:b/>
                <w:bCs/>
              </w:rPr>
              <w:t>Хепято- билиарни нарушения</w:t>
            </w:r>
          </w:p>
        </w:tc>
        <w:tc>
          <w:tcPr>
            <w:tcW w:w="917" w:type="dxa"/>
          </w:tcPr>
          <w:p w14:paraId="37FBAB16" w14:textId="77777777" w:rsidR="00B05575" w:rsidRDefault="00B05575" w:rsidP="00B05575"/>
        </w:tc>
        <w:tc>
          <w:tcPr>
            <w:tcW w:w="1818" w:type="dxa"/>
          </w:tcPr>
          <w:p w14:paraId="4CDF4E6C" w14:textId="77777777" w:rsidR="00B05575" w:rsidRDefault="00B05575" w:rsidP="00B05575"/>
        </w:tc>
        <w:tc>
          <w:tcPr>
            <w:tcW w:w="1709" w:type="dxa"/>
          </w:tcPr>
          <w:p w14:paraId="2DD06080" w14:textId="77777777" w:rsidR="00B05575" w:rsidRDefault="00B05575" w:rsidP="00B05575"/>
        </w:tc>
        <w:tc>
          <w:tcPr>
            <w:tcW w:w="1497" w:type="dxa"/>
          </w:tcPr>
          <w:p w14:paraId="2E12CB1E" w14:textId="45602B03" w:rsidR="00B05575" w:rsidRDefault="00B05575" w:rsidP="00B05575">
            <w:r>
              <w:t>Нарушена чернодробна функция, холе- статичиа жълтеница</w:t>
            </w:r>
          </w:p>
        </w:tc>
        <w:tc>
          <w:tcPr>
            <w:tcW w:w="2083" w:type="dxa"/>
            <w:vAlign w:val="bottom"/>
          </w:tcPr>
          <w:p w14:paraId="220715B7" w14:textId="155EDCF2" w:rsidR="00B05575" w:rsidRDefault="00B05575" w:rsidP="00B05575">
            <w:r>
              <w:t>Чернодробна недостатъчност (рядко водеща до смърт) (вж. точка 4.4), флуминантен хепатит, некротичен хепатит</w:t>
            </w:r>
          </w:p>
        </w:tc>
      </w:tr>
      <w:tr w:rsidR="00B05575" w14:paraId="6270EDBF" w14:textId="77777777" w:rsidTr="00B05575">
        <w:tc>
          <w:tcPr>
            <w:tcW w:w="1552" w:type="dxa"/>
          </w:tcPr>
          <w:p w14:paraId="0F828E39" w14:textId="734EF4FF" w:rsidR="00B05575" w:rsidRDefault="00B05575" w:rsidP="00B05575">
            <w:r>
              <w:rPr>
                <w:b/>
                <w:bCs/>
              </w:rPr>
              <w:t>Нарушения на кожата и подкожната тъкан</w:t>
            </w:r>
          </w:p>
        </w:tc>
        <w:tc>
          <w:tcPr>
            <w:tcW w:w="917" w:type="dxa"/>
          </w:tcPr>
          <w:p w14:paraId="1E96E4D2" w14:textId="77777777" w:rsidR="00B05575" w:rsidRDefault="00B05575" w:rsidP="00B05575"/>
        </w:tc>
        <w:tc>
          <w:tcPr>
            <w:tcW w:w="1818" w:type="dxa"/>
          </w:tcPr>
          <w:p w14:paraId="1DD5040A" w14:textId="77777777" w:rsidR="00B05575" w:rsidRDefault="00B05575" w:rsidP="00B05575"/>
        </w:tc>
        <w:tc>
          <w:tcPr>
            <w:tcW w:w="1709" w:type="dxa"/>
          </w:tcPr>
          <w:p w14:paraId="1008AC82" w14:textId="3719C69C" w:rsidR="00B05575" w:rsidRDefault="00B05575" w:rsidP="00B05575">
            <w:r>
              <w:t>Обрив, сърбеж, уртикария, дерматит, суха кожа, хиперхидроза</w:t>
            </w:r>
          </w:p>
        </w:tc>
        <w:tc>
          <w:tcPr>
            <w:tcW w:w="1497" w:type="dxa"/>
            <w:vAlign w:val="bottom"/>
          </w:tcPr>
          <w:p w14:paraId="37CEA588" w14:textId="72E51EC4" w:rsidR="00B05575" w:rsidRDefault="00B05575" w:rsidP="00B05575">
            <w:r>
              <w:t xml:space="preserve">Реакции на фоточувств- ителност, остра генерализи-рана екзанте-матозна пустулоза </w:t>
            </w:r>
            <w:r>
              <w:rPr>
                <w:lang w:val="en-US"/>
              </w:rPr>
              <w:t xml:space="preserve">(AGEP), </w:t>
            </w:r>
            <w:r>
              <w:t>лекарствена реакция с еозинофилия и системни симптоми (вж. точка 4.4)</w:t>
            </w:r>
          </w:p>
        </w:tc>
        <w:tc>
          <w:tcPr>
            <w:tcW w:w="2083" w:type="dxa"/>
          </w:tcPr>
          <w:p w14:paraId="0DB135FD" w14:textId="5ADA4C13" w:rsidR="00B05575" w:rsidRDefault="00B05575" w:rsidP="00B05575">
            <w:r>
              <w:t xml:space="preserve">Синдром на </w:t>
            </w:r>
            <w:r>
              <w:rPr>
                <w:lang w:val="en-US"/>
              </w:rPr>
              <w:t xml:space="preserve">Stevens-Johnson, </w:t>
            </w:r>
            <w:r>
              <w:t>токсична епидермал-на некролиза, еритема мулти-форме</w:t>
            </w:r>
          </w:p>
        </w:tc>
      </w:tr>
      <w:tr w:rsidR="00B05575" w14:paraId="69E351A2" w14:textId="77777777" w:rsidTr="00B05575">
        <w:tc>
          <w:tcPr>
            <w:tcW w:w="1552" w:type="dxa"/>
            <w:vAlign w:val="bottom"/>
          </w:tcPr>
          <w:p w14:paraId="215D9321" w14:textId="03A54CF2" w:rsidR="00B05575" w:rsidRDefault="00B05575" w:rsidP="00B05575">
            <w:r>
              <w:rPr>
                <w:b/>
                <w:bCs/>
              </w:rPr>
              <w:t>Нарушения на мускулно- скелетната система, съединител</w:t>
            </w:r>
            <w:r>
              <w:rPr>
                <w:b/>
                <w:bCs/>
              </w:rPr>
              <w:softHyphen/>
              <w:t>ната тъкан и костите</w:t>
            </w:r>
          </w:p>
        </w:tc>
        <w:tc>
          <w:tcPr>
            <w:tcW w:w="917" w:type="dxa"/>
          </w:tcPr>
          <w:p w14:paraId="1DE20B31" w14:textId="77777777" w:rsidR="00B05575" w:rsidRDefault="00B05575" w:rsidP="00B05575"/>
        </w:tc>
        <w:tc>
          <w:tcPr>
            <w:tcW w:w="1818" w:type="dxa"/>
          </w:tcPr>
          <w:p w14:paraId="03D4251B" w14:textId="77777777" w:rsidR="00B05575" w:rsidRDefault="00B05575" w:rsidP="00B05575"/>
        </w:tc>
        <w:tc>
          <w:tcPr>
            <w:tcW w:w="1709" w:type="dxa"/>
          </w:tcPr>
          <w:p w14:paraId="7CA0292A" w14:textId="7785A3CC" w:rsidR="00B05575" w:rsidRDefault="00B05575" w:rsidP="00B05575">
            <w:r>
              <w:t>Остеоартрит, миалгия, болки в гърба, болки във врата</w:t>
            </w:r>
          </w:p>
        </w:tc>
        <w:tc>
          <w:tcPr>
            <w:tcW w:w="1497" w:type="dxa"/>
          </w:tcPr>
          <w:p w14:paraId="27581E7B" w14:textId="77777777" w:rsidR="00B05575" w:rsidRDefault="00B05575" w:rsidP="00B05575"/>
        </w:tc>
        <w:tc>
          <w:tcPr>
            <w:tcW w:w="2083" w:type="dxa"/>
          </w:tcPr>
          <w:p w14:paraId="7A960FA6" w14:textId="5CE9B8AD" w:rsidR="00B05575" w:rsidRDefault="00B05575" w:rsidP="00B05575">
            <w:r>
              <w:t>Артралгия</w:t>
            </w:r>
          </w:p>
        </w:tc>
      </w:tr>
      <w:tr w:rsidR="00B05575" w14:paraId="64FCC24D" w14:textId="77777777" w:rsidTr="00B05575">
        <w:tc>
          <w:tcPr>
            <w:tcW w:w="1552" w:type="dxa"/>
          </w:tcPr>
          <w:p w14:paraId="50BF9748" w14:textId="0D5EB086" w:rsidR="00B05575" w:rsidRDefault="00B05575" w:rsidP="00B05575">
            <w:r>
              <w:rPr>
                <w:b/>
                <w:bCs/>
              </w:rPr>
              <w:t>Нарушения на бъбреците и пикочните пътища</w:t>
            </w:r>
          </w:p>
        </w:tc>
        <w:tc>
          <w:tcPr>
            <w:tcW w:w="917" w:type="dxa"/>
          </w:tcPr>
          <w:p w14:paraId="611B806B" w14:textId="77777777" w:rsidR="00B05575" w:rsidRDefault="00B05575" w:rsidP="00B05575"/>
        </w:tc>
        <w:tc>
          <w:tcPr>
            <w:tcW w:w="1818" w:type="dxa"/>
          </w:tcPr>
          <w:p w14:paraId="771A6BD9" w14:textId="77777777" w:rsidR="00B05575" w:rsidRDefault="00B05575" w:rsidP="00B05575"/>
        </w:tc>
        <w:tc>
          <w:tcPr>
            <w:tcW w:w="1709" w:type="dxa"/>
          </w:tcPr>
          <w:p w14:paraId="4BA86203" w14:textId="04A6B8D5" w:rsidR="00B05575" w:rsidRDefault="00B05575" w:rsidP="00B05575">
            <w:r>
              <w:t>Дизурия, бъбречна болка</w:t>
            </w:r>
          </w:p>
        </w:tc>
        <w:tc>
          <w:tcPr>
            <w:tcW w:w="1497" w:type="dxa"/>
          </w:tcPr>
          <w:p w14:paraId="15C4E270" w14:textId="77777777" w:rsidR="00B05575" w:rsidRDefault="00B05575" w:rsidP="00B05575"/>
        </w:tc>
        <w:tc>
          <w:tcPr>
            <w:tcW w:w="2083" w:type="dxa"/>
          </w:tcPr>
          <w:p w14:paraId="3D2F91E5" w14:textId="0B0D870B" w:rsidR="00B05575" w:rsidRDefault="00B05575" w:rsidP="00B05575">
            <w:r>
              <w:t>Остра бъбречна недостатъчност, интерстициален нефрит</w:t>
            </w:r>
          </w:p>
        </w:tc>
      </w:tr>
      <w:tr w:rsidR="00B05575" w14:paraId="6D967A5C" w14:textId="77777777" w:rsidTr="00B05575">
        <w:tc>
          <w:tcPr>
            <w:tcW w:w="1552" w:type="dxa"/>
            <w:vAlign w:val="bottom"/>
          </w:tcPr>
          <w:p w14:paraId="4FB6E215" w14:textId="2102654C" w:rsidR="00B05575" w:rsidRDefault="00B05575" w:rsidP="00B05575">
            <w:r>
              <w:rPr>
                <w:b/>
                <w:bCs/>
              </w:rPr>
              <w:t xml:space="preserve">Нарушения </w:t>
            </w:r>
            <w:r>
              <w:rPr>
                <w:b/>
                <w:bCs/>
              </w:rPr>
              <w:lastRenderedPageBreak/>
              <w:t>на репродук</w:t>
            </w:r>
            <w:r>
              <w:rPr>
                <w:b/>
                <w:bCs/>
              </w:rPr>
              <w:softHyphen/>
              <w:t>тивната система и гърдата</w:t>
            </w:r>
          </w:p>
        </w:tc>
        <w:tc>
          <w:tcPr>
            <w:tcW w:w="917" w:type="dxa"/>
          </w:tcPr>
          <w:p w14:paraId="360C1EDD" w14:textId="77777777" w:rsidR="00B05575" w:rsidRDefault="00B05575" w:rsidP="00B05575"/>
        </w:tc>
        <w:tc>
          <w:tcPr>
            <w:tcW w:w="1818" w:type="dxa"/>
          </w:tcPr>
          <w:p w14:paraId="0A08D8F5" w14:textId="77777777" w:rsidR="00B05575" w:rsidRDefault="00B05575" w:rsidP="00B05575"/>
        </w:tc>
        <w:tc>
          <w:tcPr>
            <w:tcW w:w="1709" w:type="dxa"/>
          </w:tcPr>
          <w:p w14:paraId="1077EC39" w14:textId="73F4E634" w:rsidR="00B05575" w:rsidRDefault="00B05575" w:rsidP="00B05575">
            <w:r>
              <w:t xml:space="preserve">Метрорагия, </w:t>
            </w:r>
            <w:r>
              <w:lastRenderedPageBreak/>
              <w:t>тестикуларни нарушения</w:t>
            </w:r>
          </w:p>
        </w:tc>
        <w:tc>
          <w:tcPr>
            <w:tcW w:w="1497" w:type="dxa"/>
          </w:tcPr>
          <w:p w14:paraId="63AE098B" w14:textId="77777777" w:rsidR="00B05575" w:rsidRDefault="00B05575" w:rsidP="00B05575"/>
        </w:tc>
        <w:tc>
          <w:tcPr>
            <w:tcW w:w="2083" w:type="dxa"/>
          </w:tcPr>
          <w:p w14:paraId="26B0F43C" w14:textId="77777777" w:rsidR="00B05575" w:rsidRDefault="00B05575" w:rsidP="00B05575"/>
        </w:tc>
      </w:tr>
      <w:tr w:rsidR="00B05575" w14:paraId="004B6612" w14:textId="77777777" w:rsidTr="00B05575">
        <w:tc>
          <w:tcPr>
            <w:tcW w:w="1552" w:type="dxa"/>
          </w:tcPr>
          <w:p w14:paraId="40E11016" w14:textId="153051AE" w:rsidR="00B05575" w:rsidRDefault="00B05575" w:rsidP="00B05575">
            <w:r>
              <w:rPr>
                <w:b/>
                <w:bCs/>
              </w:rPr>
              <w:t>Обши нарушения и ефекти на мястото на приложение</w:t>
            </w:r>
          </w:p>
        </w:tc>
        <w:tc>
          <w:tcPr>
            <w:tcW w:w="917" w:type="dxa"/>
          </w:tcPr>
          <w:p w14:paraId="1532EECA" w14:textId="77777777" w:rsidR="00B05575" w:rsidRDefault="00B05575" w:rsidP="00B05575"/>
        </w:tc>
        <w:tc>
          <w:tcPr>
            <w:tcW w:w="1818" w:type="dxa"/>
          </w:tcPr>
          <w:p w14:paraId="5DFF8A35" w14:textId="77777777" w:rsidR="00B05575" w:rsidRDefault="00B05575" w:rsidP="00B05575"/>
        </w:tc>
        <w:tc>
          <w:tcPr>
            <w:tcW w:w="1709" w:type="dxa"/>
            <w:vAlign w:val="bottom"/>
          </w:tcPr>
          <w:p w14:paraId="2F65F064" w14:textId="79BA2C31" w:rsidR="00B05575" w:rsidRDefault="00B05575" w:rsidP="00B05575">
            <w:r>
              <w:t>Оток, астения, неразполо</w:t>
            </w:r>
            <w:r>
              <w:softHyphen/>
              <w:t>жение, умора, оток на лицето, болка в гърдите, пирексия, болка, периферен оток</w:t>
            </w:r>
          </w:p>
        </w:tc>
        <w:tc>
          <w:tcPr>
            <w:tcW w:w="1497" w:type="dxa"/>
          </w:tcPr>
          <w:p w14:paraId="74C3FDB3" w14:textId="77777777" w:rsidR="00B05575" w:rsidRDefault="00B05575" w:rsidP="00B05575"/>
        </w:tc>
        <w:tc>
          <w:tcPr>
            <w:tcW w:w="2083" w:type="dxa"/>
          </w:tcPr>
          <w:p w14:paraId="1DE89FE9" w14:textId="77777777" w:rsidR="00B05575" w:rsidRDefault="00B05575" w:rsidP="00B05575"/>
        </w:tc>
      </w:tr>
      <w:tr w:rsidR="00B05575" w14:paraId="7C43D1B8" w14:textId="77777777" w:rsidTr="00B05575">
        <w:tc>
          <w:tcPr>
            <w:tcW w:w="1552" w:type="dxa"/>
          </w:tcPr>
          <w:p w14:paraId="67976B65" w14:textId="763E458A" w:rsidR="00B05575" w:rsidRDefault="00B05575" w:rsidP="00B05575">
            <w:r>
              <w:rPr>
                <w:b/>
                <w:bCs/>
              </w:rPr>
              <w:t>Изследвания</w:t>
            </w:r>
          </w:p>
        </w:tc>
        <w:tc>
          <w:tcPr>
            <w:tcW w:w="917" w:type="dxa"/>
          </w:tcPr>
          <w:p w14:paraId="36FFFE00" w14:textId="77777777" w:rsidR="00B05575" w:rsidRDefault="00B05575" w:rsidP="00B05575"/>
        </w:tc>
        <w:tc>
          <w:tcPr>
            <w:tcW w:w="1818" w:type="dxa"/>
          </w:tcPr>
          <w:p w14:paraId="15C014FA" w14:textId="483B52EB" w:rsidR="00B05575" w:rsidRDefault="00B05575" w:rsidP="00B05575">
            <w:r>
              <w:t xml:space="preserve">Намален брой на лимфоцитите, повишен брой на еозинофилитена малено количество на бикарбонатите в кръвта, увеличаване броя на базофилите, увеличаване броя на </w:t>
            </w:r>
            <w:r>
              <w:t>моноцитите, увеличаване броя на неурофилите</w:t>
            </w:r>
          </w:p>
        </w:tc>
        <w:tc>
          <w:tcPr>
            <w:tcW w:w="1709" w:type="dxa"/>
          </w:tcPr>
          <w:p w14:paraId="04F17F89" w14:textId="60E94603" w:rsidR="00B05575" w:rsidRPr="00B05575" w:rsidRDefault="00B05575" w:rsidP="00B05575">
            <w:pPr>
              <w:rPr>
                <w:rFonts w:eastAsia="Times New Roman" w:cs="Arial"/>
                <w:sz w:val="24"/>
                <w:szCs w:val="24"/>
                <w:lang w:eastAsia="bg-BG"/>
              </w:rPr>
            </w:pPr>
            <w:r w:rsidRPr="00B05575">
              <w:rPr>
                <w:rFonts w:cs="Arial"/>
              </w:rPr>
              <w:t xml:space="preserve">Повишаване на </w:t>
            </w:r>
            <w:r w:rsidRPr="00B05575">
              <w:rPr>
                <w:rFonts w:cs="Arial"/>
                <w:lang w:val="en-US"/>
              </w:rPr>
              <w:t xml:space="preserve">ASAT </w:t>
            </w:r>
            <w:r w:rsidRPr="00B05575">
              <w:rPr>
                <w:rFonts w:cs="Arial"/>
              </w:rPr>
              <w:t xml:space="preserve">и </w:t>
            </w:r>
            <w:r w:rsidRPr="00B05575">
              <w:rPr>
                <w:rFonts w:cs="Arial"/>
                <w:lang w:val="en-US"/>
              </w:rPr>
              <w:t xml:space="preserve">ALAT, </w:t>
            </w:r>
            <w:r w:rsidRPr="00B05575">
              <w:rPr>
                <w:rFonts w:cs="Arial"/>
              </w:rPr>
              <w:t xml:space="preserve">повишаване на билирубин в кръвта, повишаване на урея в кръвта, повишаване на креатинин в кръвта, абнормно ниво на калий в кръвта, повишаване на алкална </w:t>
            </w:r>
            <w:r w:rsidRPr="00B05575">
              <w:rPr>
                <w:rFonts w:eastAsia="Times New Roman" w:cs="Arial"/>
                <w:color w:val="000000"/>
                <w:lang w:eastAsia="bg-BG"/>
              </w:rPr>
              <w:t>фосфатаза в кръвта, повишени хлориди, повишена глюкоза, повишени тромбоцити, намален хематокрит, повишени бикарбонати, абнормни нива на натрий</w:t>
            </w:r>
          </w:p>
        </w:tc>
        <w:tc>
          <w:tcPr>
            <w:tcW w:w="1497" w:type="dxa"/>
          </w:tcPr>
          <w:p w14:paraId="3FB64D89" w14:textId="77777777" w:rsidR="00B05575" w:rsidRDefault="00B05575" w:rsidP="00B05575"/>
        </w:tc>
        <w:tc>
          <w:tcPr>
            <w:tcW w:w="2083" w:type="dxa"/>
            <w:vAlign w:val="bottom"/>
          </w:tcPr>
          <w:p w14:paraId="4FC96566" w14:textId="77777777" w:rsidR="00B05575" w:rsidRDefault="00B05575" w:rsidP="00B05575"/>
        </w:tc>
      </w:tr>
    </w:tbl>
    <w:p w14:paraId="6449A422" w14:textId="3D883B31" w:rsidR="00B05575" w:rsidRDefault="00B05575" w:rsidP="00B05575">
      <w:pPr>
        <w:spacing w:line="240" w:lineRule="auto"/>
        <w:rPr>
          <w:rFonts w:eastAsia="Times New Roman" w:cs="Arial"/>
          <w:b/>
          <w:bCs/>
          <w:color w:val="000000"/>
          <w:lang w:eastAsia="bg-BG"/>
        </w:rPr>
      </w:pPr>
      <w:r w:rsidRPr="00B05575">
        <w:rPr>
          <w:rFonts w:eastAsia="Times New Roman" w:cs="Arial"/>
          <w:b/>
          <w:bCs/>
          <w:color w:val="000000"/>
          <w:lang w:eastAsia="bg-BG"/>
        </w:rPr>
        <w:lastRenderedPageBreak/>
        <w:t xml:space="preserve">Нежелани реакции, възможно или вероятно свързани с профилактиката или лечението на </w:t>
      </w:r>
      <w:r w:rsidRPr="00B05575">
        <w:rPr>
          <w:rFonts w:eastAsia="Times New Roman" w:cs="Arial"/>
          <w:b/>
          <w:bCs/>
          <w:i/>
          <w:iCs/>
          <w:color w:val="000000"/>
          <w:lang w:val="en-US"/>
        </w:rPr>
        <w:t>Mycobacterium Avium</w:t>
      </w:r>
      <w:r w:rsidRPr="00B05575">
        <w:rPr>
          <w:rFonts w:eastAsia="Times New Roman" w:cs="Arial"/>
          <w:b/>
          <w:bCs/>
          <w:color w:val="000000"/>
          <w:lang w:val="en-US"/>
        </w:rPr>
        <w:t xml:space="preserve"> Complex, </w:t>
      </w:r>
      <w:r w:rsidRPr="00B05575">
        <w:rPr>
          <w:rFonts w:eastAsia="Times New Roman" w:cs="Arial"/>
          <w:b/>
          <w:bCs/>
          <w:color w:val="000000"/>
          <w:lang w:eastAsia="bg-BG"/>
        </w:rPr>
        <w:t>базирано на клинични опити и пост маркетингови проучвания. Тези нежелани реакции са различни по вид или по честота от тези, докладвани с фармацевтичн форма с незабавно или удължено освобождаване:</w:t>
      </w:r>
    </w:p>
    <w:tbl>
      <w:tblPr>
        <w:tblStyle w:val="TableGrid"/>
        <w:tblW w:w="0" w:type="auto"/>
        <w:tblLook w:val="04A0" w:firstRow="1" w:lastRow="0" w:firstColumn="1" w:lastColumn="0" w:noHBand="0" w:noVBand="1"/>
      </w:tblPr>
      <w:tblGrid>
        <w:gridCol w:w="2351"/>
        <w:gridCol w:w="2321"/>
        <w:gridCol w:w="2306"/>
        <w:gridCol w:w="2372"/>
      </w:tblGrid>
      <w:tr w:rsidR="00B05575" w14:paraId="36B141E1" w14:textId="77777777" w:rsidTr="0017594A">
        <w:tc>
          <w:tcPr>
            <w:tcW w:w="2375" w:type="dxa"/>
          </w:tcPr>
          <w:p w14:paraId="591BB21A" w14:textId="77777777" w:rsidR="00B05575" w:rsidRDefault="00B05575" w:rsidP="00B05575">
            <w:pPr>
              <w:spacing w:line="240" w:lineRule="auto"/>
              <w:rPr>
                <w:rFonts w:eastAsia="Times New Roman" w:cs="Arial"/>
                <w:sz w:val="24"/>
                <w:szCs w:val="24"/>
                <w:lang w:eastAsia="bg-BG"/>
              </w:rPr>
            </w:pPr>
          </w:p>
        </w:tc>
        <w:tc>
          <w:tcPr>
            <w:tcW w:w="2375" w:type="dxa"/>
            <w:vAlign w:val="bottom"/>
          </w:tcPr>
          <w:p w14:paraId="168C7AF8" w14:textId="2BB0DF71" w:rsidR="00B05575" w:rsidRDefault="00B05575" w:rsidP="00B05575">
            <w:pPr>
              <w:spacing w:line="240" w:lineRule="auto"/>
              <w:rPr>
                <w:rFonts w:eastAsia="Times New Roman" w:cs="Arial"/>
                <w:sz w:val="24"/>
                <w:szCs w:val="24"/>
                <w:lang w:eastAsia="bg-BG"/>
              </w:rPr>
            </w:pPr>
            <w:r>
              <w:rPr>
                <w:b/>
                <w:bCs/>
              </w:rPr>
              <w:t>Много чести (≥1/10)</w:t>
            </w:r>
          </w:p>
        </w:tc>
        <w:tc>
          <w:tcPr>
            <w:tcW w:w="2375" w:type="dxa"/>
            <w:vAlign w:val="bottom"/>
          </w:tcPr>
          <w:p w14:paraId="265648AC" w14:textId="3B78B76F" w:rsidR="00B05575" w:rsidRDefault="00B05575" w:rsidP="00B05575">
            <w:pPr>
              <w:spacing w:line="240" w:lineRule="auto"/>
              <w:rPr>
                <w:rFonts w:eastAsia="Times New Roman" w:cs="Arial"/>
                <w:sz w:val="24"/>
                <w:szCs w:val="24"/>
                <w:lang w:eastAsia="bg-BG"/>
              </w:rPr>
            </w:pPr>
            <w:r>
              <w:rPr>
                <w:b/>
                <w:bCs/>
              </w:rPr>
              <w:t xml:space="preserve">Чести (≥1/100 </w:t>
            </w:r>
            <w:r>
              <w:rPr>
                <w:b/>
                <w:bCs/>
                <w:lang w:val="en-US"/>
              </w:rPr>
              <w:t xml:space="preserve">to </w:t>
            </w:r>
            <w:r>
              <w:rPr>
                <w:b/>
                <w:bCs/>
              </w:rPr>
              <w:t>&lt;1/10)</w:t>
            </w:r>
          </w:p>
        </w:tc>
        <w:tc>
          <w:tcPr>
            <w:tcW w:w="2375" w:type="dxa"/>
            <w:vAlign w:val="bottom"/>
          </w:tcPr>
          <w:p w14:paraId="572EBA63" w14:textId="2121FECF" w:rsidR="00B05575" w:rsidRDefault="00B05575" w:rsidP="00B05575">
            <w:pPr>
              <w:spacing w:line="240" w:lineRule="auto"/>
              <w:rPr>
                <w:rFonts w:eastAsia="Times New Roman" w:cs="Arial"/>
                <w:sz w:val="24"/>
                <w:szCs w:val="24"/>
                <w:lang w:eastAsia="bg-BG"/>
              </w:rPr>
            </w:pPr>
            <w:r>
              <w:rPr>
                <w:b/>
                <w:bCs/>
              </w:rPr>
              <w:t xml:space="preserve">Нечестн (≥1/1 000 </w:t>
            </w:r>
            <w:r>
              <w:rPr>
                <w:b/>
                <w:bCs/>
                <w:lang w:val="en-US"/>
              </w:rPr>
              <w:t xml:space="preserve">to </w:t>
            </w:r>
            <w:r>
              <w:rPr>
                <w:b/>
                <w:bCs/>
              </w:rPr>
              <w:t>&lt; 1/100)</w:t>
            </w:r>
          </w:p>
        </w:tc>
      </w:tr>
      <w:tr w:rsidR="00B05575" w14:paraId="7C336B9E" w14:textId="77777777" w:rsidTr="0017594A">
        <w:tc>
          <w:tcPr>
            <w:tcW w:w="2375" w:type="dxa"/>
            <w:vAlign w:val="bottom"/>
          </w:tcPr>
          <w:p w14:paraId="49392D61" w14:textId="30390ABD" w:rsidR="00B05575" w:rsidRDefault="00B05575" w:rsidP="00B05575">
            <w:pPr>
              <w:spacing w:line="240" w:lineRule="auto"/>
              <w:rPr>
                <w:rFonts w:eastAsia="Times New Roman" w:cs="Arial"/>
                <w:sz w:val="24"/>
                <w:szCs w:val="24"/>
                <w:lang w:eastAsia="bg-BG"/>
              </w:rPr>
            </w:pPr>
            <w:r>
              <w:rPr>
                <w:b/>
                <w:bCs/>
              </w:rPr>
              <w:t>Нарушения на метаболизма и храненето</w:t>
            </w:r>
          </w:p>
        </w:tc>
        <w:tc>
          <w:tcPr>
            <w:tcW w:w="2375" w:type="dxa"/>
          </w:tcPr>
          <w:p w14:paraId="318EB782" w14:textId="77777777" w:rsidR="00B05575" w:rsidRDefault="00B05575" w:rsidP="00B05575">
            <w:pPr>
              <w:spacing w:line="240" w:lineRule="auto"/>
              <w:rPr>
                <w:rFonts w:eastAsia="Times New Roman" w:cs="Arial"/>
                <w:sz w:val="24"/>
                <w:szCs w:val="24"/>
                <w:lang w:eastAsia="bg-BG"/>
              </w:rPr>
            </w:pPr>
          </w:p>
        </w:tc>
        <w:tc>
          <w:tcPr>
            <w:tcW w:w="2375" w:type="dxa"/>
          </w:tcPr>
          <w:p w14:paraId="4B22C4D3" w14:textId="175DCFB3" w:rsidR="00B05575" w:rsidRDefault="00B05575" w:rsidP="00B05575">
            <w:pPr>
              <w:spacing w:line="240" w:lineRule="auto"/>
              <w:rPr>
                <w:rFonts w:eastAsia="Times New Roman" w:cs="Arial"/>
                <w:sz w:val="24"/>
                <w:szCs w:val="24"/>
                <w:lang w:eastAsia="bg-BG"/>
              </w:rPr>
            </w:pPr>
            <w:r>
              <w:t>Анорексия</w:t>
            </w:r>
          </w:p>
        </w:tc>
        <w:tc>
          <w:tcPr>
            <w:tcW w:w="2375" w:type="dxa"/>
          </w:tcPr>
          <w:p w14:paraId="0FE5C140" w14:textId="77777777" w:rsidR="00B05575" w:rsidRDefault="00B05575" w:rsidP="00B05575">
            <w:pPr>
              <w:spacing w:line="240" w:lineRule="auto"/>
              <w:rPr>
                <w:rFonts w:eastAsia="Times New Roman" w:cs="Arial"/>
                <w:sz w:val="24"/>
                <w:szCs w:val="24"/>
                <w:lang w:eastAsia="bg-BG"/>
              </w:rPr>
            </w:pPr>
          </w:p>
        </w:tc>
      </w:tr>
      <w:tr w:rsidR="00B05575" w14:paraId="0EE9CBBE" w14:textId="77777777" w:rsidTr="0017594A">
        <w:tc>
          <w:tcPr>
            <w:tcW w:w="2375" w:type="dxa"/>
          </w:tcPr>
          <w:p w14:paraId="5BB49584" w14:textId="04F5D41B" w:rsidR="00B05575" w:rsidRDefault="00B05575" w:rsidP="00B05575">
            <w:pPr>
              <w:spacing w:line="240" w:lineRule="auto"/>
              <w:rPr>
                <w:rFonts w:eastAsia="Times New Roman" w:cs="Arial"/>
                <w:sz w:val="24"/>
                <w:szCs w:val="24"/>
                <w:lang w:eastAsia="bg-BG"/>
              </w:rPr>
            </w:pPr>
            <w:r>
              <w:rPr>
                <w:b/>
                <w:bCs/>
              </w:rPr>
              <w:t>Нарушения на нервната система</w:t>
            </w:r>
          </w:p>
        </w:tc>
        <w:tc>
          <w:tcPr>
            <w:tcW w:w="2375" w:type="dxa"/>
          </w:tcPr>
          <w:p w14:paraId="39D8D261" w14:textId="77777777" w:rsidR="00B05575" w:rsidRDefault="00B05575" w:rsidP="00B05575">
            <w:pPr>
              <w:spacing w:line="240" w:lineRule="auto"/>
              <w:rPr>
                <w:rFonts w:eastAsia="Times New Roman" w:cs="Arial"/>
                <w:sz w:val="24"/>
                <w:szCs w:val="24"/>
                <w:lang w:eastAsia="bg-BG"/>
              </w:rPr>
            </w:pPr>
          </w:p>
        </w:tc>
        <w:tc>
          <w:tcPr>
            <w:tcW w:w="2375" w:type="dxa"/>
            <w:vAlign w:val="bottom"/>
          </w:tcPr>
          <w:p w14:paraId="4E0B9C85" w14:textId="65D6CD9F" w:rsidR="00B05575" w:rsidRDefault="00B05575" w:rsidP="00B05575">
            <w:pPr>
              <w:spacing w:line="240" w:lineRule="auto"/>
              <w:rPr>
                <w:rFonts w:eastAsia="Times New Roman" w:cs="Arial"/>
                <w:sz w:val="24"/>
                <w:szCs w:val="24"/>
                <w:lang w:eastAsia="bg-BG"/>
              </w:rPr>
            </w:pPr>
            <w:r>
              <w:t>Замаяност, главоболие, парестезия, дизгеузия</w:t>
            </w:r>
          </w:p>
        </w:tc>
        <w:tc>
          <w:tcPr>
            <w:tcW w:w="2375" w:type="dxa"/>
          </w:tcPr>
          <w:p w14:paraId="2E806685" w14:textId="7C9B4757" w:rsidR="00B05575" w:rsidRDefault="00B05575" w:rsidP="00B05575">
            <w:pPr>
              <w:spacing w:line="240" w:lineRule="auto"/>
              <w:rPr>
                <w:rFonts w:eastAsia="Times New Roman" w:cs="Arial"/>
                <w:sz w:val="24"/>
                <w:szCs w:val="24"/>
                <w:lang w:eastAsia="bg-BG"/>
              </w:rPr>
            </w:pPr>
            <w:r>
              <w:t>Хипоестезия</w:t>
            </w:r>
          </w:p>
        </w:tc>
      </w:tr>
      <w:tr w:rsidR="00B05575" w14:paraId="4CC6440A" w14:textId="77777777" w:rsidTr="0017594A">
        <w:tc>
          <w:tcPr>
            <w:tcW w:w="2375" w:type="dxa"/>
          </w:tcPr>
          <w:p w14:paraId="3A3A002E" w14:textId="6C0CDB19" w:rsidR="00B05575" w:rsidRDefault="00B05575" w:rsidP="00B05575">
            <w:pPr>
              <w:spacing w:line="240" w:lineRule="auto"/>
              <w:rPr>
                <w:rFonts w:eastAsia="Times New Roman" w:cs="Arial"/>
                <w:sz w:val="24"/>
                <w:szCs w:val="24"/>
                <w:lang w:eastAsia="bg-BG"/>
              </w:rPr>
            </w:pPr>
            <w:r>
              <w:rPr>
                <w:b/>
                <w:bCs/>
              </w:rPr>
              <w:t>Нарушения на очите</w:t>
            </w:r>
          </w:p>
        </w:tc>
        <w:tc>
          <w:tcPr>
            <w:tcW w:w="2375" w:type="dxa"/>
          </w:tcPr>
          <w:p w14:paraId="5E25BB7A" w14:textId="77777777" w:rsidR="00B05575" w:rsidRDefault="00B05575" w:rsidP="00B05575">
            <w:pPr>
              <w:spacing w:line="240" w:lineRule="auto"/>
              <w:rPr>
                <w:rFonts w:eastAsia="Times New Roman" w:cs="Arial"/>
                <w:sz w:val="24"/>
                <w:szCs w:val="24"/>
                <w:lang w:eastAsia="bg-BG"/>
              </w:rPr>
            </w:pPr>
          </w:p>
        </w:tc>
        <w:tc>
          <w:tcPr>
            <w:tcW w:w="2375" w:type="dxa"/>
            <w:vAlign w:val="bottom"/>
          </w:tcPr>
          <w:p w14:paraId="68961E32" w14:textId="443E5015" w:rsidR="00B05575" w:rsidRDefault="00B05575" w:rsidP="00B05575">
            <w:pPr>
              <w:spacing w:line="240" w:lineRule="auto"/>
              <w:rPr>
                <w:rFonts w:eastAsia="Times New Roman" w:cs="Arial"/>
                <w:sz w:val="24"/>
                <w:szCs w:val="24"/>
                <w:lang w:eastAsia="bg-BG"/>
              </w:rPr>
            </w:pPr>
            <w:r>
              <w:t>Нарушения на зрението</w:t>
            </w:r>
          </w:p>
        </w:tc>
        <w:tc>
          <w:tcPr>
            <w:tcW w:w="2375" w:type="dxa"/>
          </w:tcPr>
          <w:p w14:paraId="62114D10" w14:textId="77777777" w:rsidR="00B05575" w:rsidRDefault="00B05575" w:rsidP="00B05575">
            <w:pPr>
              <w:spacing w:line="240" w:lineRule="auto"/>
              <w:rPr>
                <w:rFonts w:eastAsia="Times New Roman" w:cs="Arial"/>
                <w:sz w:val="24"/>
                <w:szCs w:val="24"/>
                <w:lang w:eastAsia="bg-BG"/>
              </w:rPr>
            </w:pPr>
          </w:p>
        </w:tc>
      </w:tr>
      <w:tr w:rsidR="00B05575" w14:paraId="55FC0F26" w14:textId="77777777" w:rsidTr="0017594A">
        <w:tc>
          <w:tcPr>
            <w:tcW w:w="2375" w:type="dxa"/>
            <w:vAlign w:val="bottom"/>
          </w:tcPr>
          <w:p w14:paraId="6D2D1CAE" w14:textId="2593152A" w:rsidR="00B05575" w:rsidRDefault="00B05575" w:rsidP="00B05575">
            <w:pPr>
              <w:spacing w:line="240" w:lineRule="auto"/>
              <w:rPr>
                <w:rFonts w:eastAsia="Times New Roman" w:cs="Arial"/>
                <w:sz w:val="24"/>
                <w:szCs w:val="24"/>
                <w:lang w:eastAsia="bg-BG"/>
              </w:rPr>
            </w:pPr>
            <w:r>
              <w:rPr>
                <w:b/>
                <w:bCs/>
              </w:rPr>
              <w:t>Нарушения на ухото и лабиринта</w:t>
            </w:r>
          </w:p>
        </w:tc>
        <w:tc>
          <w:tcPr>
            <w:tcW w:w="2375" w:type="dxa"/>
          </w:tcPr>
          <w:p w14:paraId="76B2325F" w14:textId="77777777" w:rsidR="00B05575" w:rsidRDefault="00B05575" w:rsidP="00B05575">
            <w:pPr>
              <w:spacing w:line="240" w:lineRule="auto"/>
              <w:rPr>
                <w:rFonts w:eastAsia="Times New Roman" w:cs="Arial"/>
                <w:sz w:val="24"/>
                <w:szCs w:val="24"/>
                <w:lang w:eastAsia="bg-BG"/>
              </w:rPr>
            </w:pPr>
          </w:p>
        </w:tc>
        <w:tc>
          <w:tcPr>
            <w:tcW w:w="2375" w:type="dxa"/>
          </w:tcPr>
          <w:p w14:paraId="2D436DC2" w14:textId="169FB671" w:rsidR="00B05575" w:rsidRDefault="00B05575" w:rsidP="00B05575">
            <w:pPr>
              <w:spacing w:line="240" w:lineRule="auto"/>
              <w:rPr>
                <w:rFonts w:eastAsia="Times New Roman" w:cs="Arial"/>
                <w:sz w:val="24"/>
                <w:szCs w:val="24"/>
                <w:lang w:eastAsia="bg-BG"/>
              </w:rPr>
            </w:pPr>
            <w:r>
              <w:t>Глухота</w:t>
            </w:r>
          </w:p>
        </w:tc>
        <w:tc>
          <w:tcPr>
            <w:tcW w:w="2375" w:type="dxa"/>
            <w:vAlign w:val="bottom"/>
          </w:tcPr>
          <w:p w14:paraId="0ED68013" w14:textId="0826B9C9" w:rsidR="00B05575" w:rsidRDefault="00B05575" w:rsidP="00B05575">
            <w:pPr>
              <w:spacing w:line="240" w:lineRule="auto"/>
              <w:rPr>
                <w:rFonts w:eastAsia="Times New Roman" w:cs="Arial"/>
                <w:sz w:val="24"/>
                <w:szCs w:val="24"/>
                <w:lang w:eastAsia="bg-BG"/>
              </w:rPr>
            </w:pPr>
            <w:r>
              <w:t>Нарушения на слуха, тинитус</w:t>
            </w:r>
          </w:p>
        </w:tc>
      </w:tr>
      <w:tr w:rsidR="00B05575" w14:paraId="12833238" w14:textId="77777777" w:rsidTr="0017594A">
        <w:tc>
          <w:tcPr>
            <w:tcW w:w="2375" w:type="dxa"/>
            <w:vAlign w:val="bottom"/>
          </w:tcPr>
          <w:p w14:paraId="41DE1220" w14:textId="50B2185A" w:rsidR="00B05575" w:rsidRDefault="00B05575" w:rsidP="00B05575">
            <w:pPr>
              <w:spacing w:line="240" w:lineRule="auto"/>
              <w:rPr>
                <w:rFonts w:eastAsia="Times New Roman" w:cs="Arial"/>
                <w:sz w:val="24"/>
                <w:szCs w:val="24"/>
                <w:lang w:eastAsia="bg-BG"/>
              </w:rPr>
            </w:pPr>
            <w:r>
              <w:rPr>
                <w:b/>
                <w:bCs/>
              </w:rPr>
              <w:t>Сърдечни нарушения</w:t>
            </w:r>
          </w:p>
        </w:tc>
        <w:tc>
          <w:tcPr>
            <w:tcW w:w="2375" w:type="dxa"/>
          </w:tcPr>
          <w:p w14:paraId="7F6A2FFC" w14:textId="77777777" w:rsidR="00B05575" w:rsidRDefault="00B05575" w:rsidP="00B05575">
            <w:pPr>
              <w:spacing w:line="240" w:lineRule="auto"/>
              <w:rPr>
                <w:rFonts w:eastAsia="Times New Roman" w:cs="Arial"/>
                <w:sz w:val="24"/>
                <w:szCs w:val="24"/>
                <w:lang w:eastAsia="bg-BG"/>
              </w:rPr>
            </w:pPr>
          </w:p>
        </w:tc>
        <w:tc>
          <w:tcPr>
            <w:tcW w:w="2375" w:type="dxa"/>
          </w:tcPr>
          <w:p w14:paraId="27BFD900" w14:textId="77777777" w:rsidR="00B05575" w:rsidRDefault="00B05575" w:rsidP="00B05575">
            <w:pPr>
              <w:spacing w:line="240" w:lineRule="auto"/>
              <w:rPr>
                <w:rFonts w:eastAsia="Times New Roman" w:cs="Arial"/>
                <w:sz w:val="24"/>
                <w:szCs w:val="24"/>
                <w:lang w:eastAsia="bg-BG"/>
              </w:rPr>
            </w:pPr>
          </w:p>
        </w:tc>
        <w:tc>
          <w:tcPr>
            <w:tcW w:w="2375" w:type="dxa"/>
          </w:tcPr>
          <w:p w14:paraId="05F4919F" w14:textId="5B5D27B5" w:rsidR="00B05575" w:rsidRDefault="00B05575" w:rsidP="00B05575">
            <w:pPr>
              <w:spacing w:line="240" w:lineRule="auto"/>
              <w:rPr>
                <w:rFonts w:eastAsia="Times New Roman" w:cs="Arial"/>
                <w:sz w:val="24"/>
                <w:szCs w:val="24"/>
                <w:lang w:eastAsia="bg-BG"/>
              </w:rPr>
            </w:pPr>
            <w:r>
              <w:t>Палпитации</w:t>
            </w:r>
          </w:p>
        </w:tc>
      </w:tr>
      <w:tr w:rsidR="00B05575" w14:paraId="36DD0F01" w14:textId="77777777" w:rsidTr="0017594A">
        <w:tc>
          <w:tcPr>
            <w:tcW w:w="2375" w:type="dxa"/>
          </w:tcPr>
          <w:p w14:paraId="4E2A3D53" w14:textId="1FC943FD" w:rsidR="00B05575" w:rsidRDefault="00B05575" w:rsidP="00B05575">
            <w:pPr>
              <w:spacing w:line="240" w:lineRule="auto"/>
              <w:rPr>
                <w:rFonts w:eastAsia="Times New Roman" w:cs="Arial"/>
                <w:sz w:val="24"/>
                <w:szCs w:val="24"/>
                <w:lang w:eastAsia="bg-BG"/>
              </w:rPr>
            </w:pPr>
            <w:r>
              <w:rPr>
                <w:b/>
                <w:bCs/>
              </w:rPr>
              <w:t>Стомашно-чревни нарушения</w:t>
            </w:r>
          </w:p>
        </w:tc>
        <w:tc>
          <w:tcPr>
            <w:tcW w:w="2375" w:type="dxa"/>
            <w:vAlign w:val="bottom"/>
          </w:tcPr>
          <w:p w14:paraId="457F6EB8" w14:textId="074216B5" w:rsidR="00B05575" w:rsidRDefault="00B05575" w:rsidP="00B05575">
            <w:pPr>
              <w:spacing w:line="240" w:lineRule="auto"/>
              <w:rPr>
                <w:rFonts w:eastAsia="Times New Roman" w:cs="Arial"/>
                <w:sz w:val="24"/>
                <w:szCs w:val="24"/>
                <w:lang w:eastAsia="bg-BG"/>
              </w:rPr>
            </w:pPr>
            <w:r>
              <w:t>Диария, абдоминална болка, гадене, флатуленция, абдоминален дискомфорт, диарични изпражнения</w:t>
            </w:r>
          </w:p>
        </w:tc>
        <w:tc>
          <w:tcPr>
            <w:tcW w:w="2375" w:type="dxa"/>
          </w:tcPr>
          <w:p w14:paraId="44C77351" w14:textId="77777777" w:rsidR="00B05575" w:rsidRDefault="00B05575" w:rsidP="00B05575">
            <w:pPr>
              <w:spacing w:line="240" w:lineRule="auto"/>
              <w:rPr>
                <w:rFonts w:eastAsia="Times New Roman" w:cs="Arial"/>
                <w:sz w:val="24"/>
                <w:szCs w:val="24"/>
                <w:lang w:eastAsia="bg-BG"/>
              </w:rPr>
            </w:pPr>
          </w:p>
        </w:tc>
        <w:tc>
          <w:tcPr>
            <w:tcW w:w="2375" w:type="dxa"/>
          </w:tcPr>
          <w:p w14:paraId="329FC889" w14:textId="77777777" w:rsidR="00B05575" w:rsidRDefault="00B05575" w:rsidP="00B05575">
            <w:pPr>
              <w:spacing w:line="240" w:lineRule="auto"/>
              <w:rPr>
                <w:rFonts w:eastAsia="Times New Roman" w:cs="Arial"/>
                <w:sz w:val="24"/>
                <w:szCs w:val="24"/>
                <w:lang w:eastAsia="bg-BG"/>
              </w:rPr>
            </w:pPr>
          </w:p>
        </w:tc>
      </w:tr>
      <w:tr w:rsidR="00B05575" w14:paraId="7BD73BB0" w14:textId="77777777" w:rsidTr="0017594A">
        <w:tc>
          <w:tcPr>
            <w:tcW w:w="2375" w:type="dxa"/>
            <w:vAlign w:val="bottom"/>
          </w:tcPr>
          <w:p w14:paraId="59956E08" w14:textId="0D6DD069" w:rsidR="00B05575" w:rsidRDefault="00B05575" w:rsidP="00B05575">
            <w:pPr>
              <w:spacing w:line="240" w:lineRule="auto"/>
              <w:rPr>
                <w:rFonts w:eastAsia="Times New Roman" w:cs="Arial"/>
                <w:sz w:val="24"/>
                <w:szCs w:val="24"/>
                <w:lang w:eastAsia="bg-BG"/>
              </w:rPr>
            </w:pPr>
            <w:r>
              <w:rPr>
                <w:b/>
                <w:bCs/>
              </w:rPr>
              <w:t>Хепатобнлиарни нарушения</w:t>
            </w:r>
          </w:p>
        </w:tc>
        <w:tc>
          <w:tcPr>
            <w:tcW w:w="2375" w:type="dxa"/>
          </w:tcPr>
          <w:p w14:paraId="54AB0C7C" w14:textId="77777777" w:rsidR="00B05575" w:rsidRDefault="00B05575" w:rsidP="00B05575">
            <w:pPr>
              <w:spacing w:line="240" w:lineRule="auto"/>
              <w:rPr>
                <w:rFonts w:eastAsia="Times New Roman" w:cs="Arial"/>
                <w:sz w:val="24"/>
                <w:szCs w:val="24"/>
                <w:lang w:eastAsia="bg-BG"/>
              </w:rPr>
            </w:pPr>
          </w:p>
        </w:tc>
        <w:tc>
          <w:tcPr>
            <w:tcW w:w="2375" w:type="dxa"/>
          </w:tcPr>
          <w:p w14:paraId="410ADA3F" w14:textId="77777777" w:rsidR="00B05575" w:rsidRDefault="00B05575" w:rsidP="00B05575">
            <w:pPr>
              <w:spacing w:line="240" w:lineRule="auto"/>
              <w:rPr>
                <w:rFonts w:eastAsia="Times New Roman" w:cs="Arial"/>
                <w:sz w:val="24"/>
                <w:szCs w:val="24"/>
                <w:lang w:eastAsia="bg-BG"/>
              </w:rPr>
            </w:pPr>
          </w:p>
        </w:tc>
        <w:tc>
          <w:tcPr>
            <w:tcW w:w="2375" w:type="dxa"/>
          </w:tcPr>
          <w:p w14:paraId="58637DA0" w14:textId="48E0F787" w:rsidR="00B05575" w:rsidRDefault="00B05575" w:rsidP="00B05575">
            <w:pPr>
              <w:spacing w:line="240" w:lineRule="auto"/>
              <w:rPr>
                <w:rFonts w:eastAsia="Times New Roman" w:cs="Arial"/>
                <w:sz w:val="24"/>
                <w:szCs w:val="24"/>
                <w:lang w:eastAsia="bg-BG"/>
              </w:rPr>
            </w:pPr>
            <w:r>
              <w:t>Хепатит</w:t>
            </w:r>
          </w:p>
        </w:tc>
      </w:tr>
      <w:tr w:rsidR="00B05575" w14:paraId="6FC8A877" w14:textId="77777777" w:rsidTr="0017594A">
        <w:tc>
          <w:tcPr>
            <w:tcW w:w="2375" w:type="dxa"/>
            <w:vAlign w:val="bottom"/>
          </w:tcPr>
          <w:p w14:paraId="0B19C39B" w14:textId="7984D666" w:rsidR="00B05575" w:rsidRDefault="00B05575" w:rsidP="00B05575">
            <w:pPr>
              <w:spacing w:line="240" w:lineRule="auto"/>
              <w:rPr>
                <w:rFonts w:eastAsia="Times New Roman" w:cs="Arial"/>
                <w:sz w:val="24"/>
                <w:szCs w:val="24"/>
                <w:lang w:eastAsia="bg-BG"/>
              </w:rPr>
            </w:pPr>
            <w:r>
              <w:rPr>
                <w:b/>
                <w:bCs/>
              </w:rPr>
              <w:t>Нарушения на кожата и подкожната тъкан</w:t>
            </w:r>
          </w:p>
        </w:tc>
        <w:tc>
          <w:tcPr>
            <w:tcW w:w="2375" w:type="dxa"/>
          </w:tcPr>
          <w:p w14:paraId="7671BDBD" w14:textId="77777777" w:rsidR="00B05575" w:rsidRDefault="00B05575" w:rsidP="00B05575">
            <w:pPr>
              <w:spacing w:line="240" w:lineRule="auto"/>
              <w:rPr>
                <w:rFonts w:eastAsia="Times New Roman" w:cs="Arial"/>
                <w:sz w:val="24"/>
                <w:szCs w:val="24"/>
                <w:lang w:eastAsia="bg-BG"/>
              </w:rPr>
            </w:pPr>
          </w:p>
        </w:tc>
        <w:tc>
          <w:tcPr>
            <w:tcW w:w="2375" w:type="dxa"/>
          </w:tcPr>
          <w:p w14:paraId="0488F0DA" w14:textId="7821F785" w:rsidR="00B05575" w:rsidRDefault="00B05575" w:rsidP="00B05575">
            <w:pPr>
              <w:spacing w:line="240" w:lineRule="auto"/>
              <w:rPr>
                <w:rFonts w:eastAsia="Times New Roman" w:cs="Arial"/>
                <w:sz w:val="24"/>
                <w:szCs w:val="24"/>
                <w:lang w:eastAsia="bg-BG"/>
              </w:rPr>
            </w:pPr>
            <w:r>
              <w:t>Обрив, пруритус</w:t>
            </w:r>
          </w:p>
        </w:tc>
        <w:tc>
          <w:tcPr>
            <w:tcW w:w="2375" w:type="dxa"/>
            <w:vAlign w:val="bottom"/>
          </w:tcPr>
          <w:p w14:paraId="148C91F9" w14:textId="4A219BE2" w:rsidR="00B05575" w:rsidRDefault="00B05575" w:rsidP="00B05575">
            <w:pPr>
              <w:spacing w:line="240" w:lineRule="auto"/>
              <w:rPr>
                <w:rFonts w:eastAsia="Times New Roman" w:cs="Arial"/>
                <w:sz w:val="24"/>
                <w:szCs w:val="24"/>
                <w:lang w:eastAsia="bg-BG"/>
              </w:rPr>
            </w:pPr>
            <w:r>
              <w:t xml:space="preserve">Синдром на </w:t>
            </w:r>
            <w:r>
              <w:rPr>
                <w:lang w:val="en-US"/>
              </w:rPr>
              <w:t xml:space="preserve">Stevens- Johnson, </w:t>
            </w:r>
            <w:r>
              <w:t>реакции на фоточувствителност</w:t>
            </w:r>
          </w:p>
        </w:tc>
      </w:tr>
      <w:tr w:rsidR="00B05575" w14:paraId="29F877EF" w14:textId="77777777" w:rsidTr="0017594A">
        <w:tc>
          <w:tcPr>
            <w:tcW w:w="2375" w:type="dxa"/>
            <w:vAlign w:val="bottom"/>
          </w:tcPr>
          <w:p w14:paraId="7FF3C11B" w14:textId="0665FC9B" w:rsidR="00B05575" w:rsidRDefault="00B05575" w:rsidP="00B05575">
            <w:pPr>
              <w:spacing w:line="240" w:lineRule="auto"/>
              <w:rPr>
                <w:rFonts w:eastAsia="Times New Roman" w:cs="Arial"/>
                <w:sz w:val="24"/>
                <w:szCs w:val="24"/>
                <w:lang w:eastAsia="bg-BG"/>
              </w:rPr>
            </w:pPr>
            <w:r>
              <w:rPr>
                <w:b/>
                <w:bCs/>
              </w:rPr>
              <w:t>Нарушения на мускул носкелетната система, съединитлената тъкан и костите</w:t>
            </w:r>
          </w:p>
        </w:tc>
        <w:tc>
          <w:tcPr>
            <w:tcW w:w="2375" w:type="dxa"/>
          </w:tcPr>
          <w:p w14:paraId="45442DF5" w14:textId="77777777" w:rsidR="00B05575" w:rsidRDefault="00B05575" w:rsidP="00B05575">
            <w:pPr>
              <w:spacing w:line="240" w:lineRule="auto"/>
              <w:rPr>
                <w:rFonts w:eastAsia="Times New Roman" w:cs="Arial"/>
                <w:sz w:val="24"/>
                <w:szCs w:val="24"/>
                <w:lang w:eastAsia="bg-BG"/>
              </w:rPr>
            </w:pPr>
          </w:p>
        </w:tc>
        <w:tc>
          <w:tcPr>
            <w:tcW w:w="2375" w:type="dxa"/>
          </w:tcPr>
          <w:p w14:paraId="63A3E14D" w14:textId="11986F13" w:rsidR="00B05575" w:rsidRDefault="00B05575" w:rsidP="00B05575">
            <w:pPr>
              <w:spacing w:line="240" w:lineRule="auto"/>
              <w:rPr>
                <w:rFonts w:eastAsia="Times New Roman" w:cs="Arial"/>
                <w:sz w:val="24"/>
                <w:szCs w:val="24"/>
                <w:lang w:eastAsia="bg-BG"/>
              </w:rPr>
            </w:pPr>
            <w:r>
              <w:t>Артралгия</w:t>
            </w:r>
          </w:p>
        </w:tc>
        <w:tc>
          <w:tcPr>
            <w:tcW w:w="2375" w:type="dxa"/>
          </w:tcPr>
          <w:p w14:paraId="210723E3" w14:textId="77777777" w:rsidR="00B05575" w:rsidRDefault="00B05575" w:rsidP="00B05575">
            <w:pPr>
              <w:spacing w:line="240" w:lineRule="auto"/>
              <w:rPr>
                <w:rFonts w:eastAsia="Times New Roman" w:cs="Arial"/>
                <w:sz w:val="24"/>
                <w:szCs w:val="24"/>
                <w:lang w:eastAsia="bg-BG"/>
              </w:rPr>
            </w:pPr>
          </w:p>
        </w:tc>
      </w:tr>
      <w:tr w:rsidR="00B05575" w14:paraId="329102E4" w14:textId="77777777" w:rsidTr="00B05575">
        <w:tc>
          <w:tcPr>
            <w:tcW w:w="2375" w:type="dxa"/>
          </w:tcPr>
          <w:p w14:paraId="3C1DD5B4" w14:textId="1FE9D830" w:rsidR="00B05575" w:rsidRDefault="00B05575" w:rsidP="00B05575">
            <w:pPr>
              <w:spacing w:line="240" w:lineRule="auto"/>
              <w:rPr>
                <w:rFonts w:eastAsia="Times New Roman" w:cs="Arial"/>
                <w:sz w:val="24"/>
                <w:szCs w:val="24"/>
                <w:lang w:eastAsia="bg-BG"/>
              </w:rPr>
            </w:pPr>
            <w:r>
              <w:rPr>
                <w:b/>
                <w:bCs/>
              </w:rPr>
              <w:t>Общи нарушения и ефекти на мястото на приложение</w:t>
            </w:r>
          </w:p>
        </w:tc>
        <w:tc>
          <w:tcPr>
            <w:tcW w:w="2375" w:type="dxa"/>
          </w:tcPr>
          <w:p w14:paraId="5F9C37F9" w14:textId="77777777" w:rsidR="00B05575" w:rsidRDefault="00B05575" w:rsidP="00B05575">
            <w:pPr>
              <w:spacing w:line="240" w:lineRule="auto"/>
              <w:rPr>
                <w:rFonts w:eastAsia="Times New Roman" w:cs="Arial"/>
                <w:sz w:val="24"/>
                <w:szCs w:val="24"/>
                <w:lang w:eastAsia="bg-BG"/>
              </w:rPr>
            </w:pPr>
          </w:p>
        </w:tc>
        <w:tc>
          <w:tcPr>
            <w:tcW w:w="2375" w:type="dxa"/>
          </w:tcPr>
          <w:p w14:paraId="071C46A5" w14:textId="69176A53" w:rsidR="00B05575" w:rsidRDefault="00B05575" w:rsidP="00B05575">
            <w:pPr>
              <w:spacing w:line="240" w:lineRule="auto"/>
              <w:rPr>
                <w:rFonts w:eastAsia="Times New Roman" w:cs="Arial"/>
                <w:sz w:val="24"/>
                <w:szCs w:val="24"/>
                <w:lang w:eastAsia="bg-BG"/>
              </w:rPr>
            </w:pPr>
            <w:r>
              <w:t>Умора</w:t>
            </w:r>
          </w:p>
        </w:tc>
        <w:tc>
          <w:tcPr>
            <w:tcW w:w="2375" w:type="dxa"/>
          </w:tcPr>
          <w:p w14:paraId="4256D788" w14:textId="77777777" w:rsidR="00B05575" w:rsidRDefault="00B05575" w:rsidP="00B05575">
            <w:r>
              <w:t>Астения, общо</w:t>
            </w:r>
          </w:p>
          <w:p w14:paraId="62CECCBB" w14:textId="18974D08" w:rsidR="00B05575" w:rsidRDefault="00B05575" w:rsidP="00B05575">
            <w:pPr>
              <w:spacing w:line="240" w:lineRule="auto"/>
              <w:rPr>
                <w:rFonts w:eastAsia="Times New Roman" w:cs="Arial"/>
                <w:sz w:val="24"/>
                <w:szCs w:val="24"/>
                <w:lang w:eastAsia="bg-BG"/>
              </w:rPr>
            </w:pPr>
            <w:r>
              <w:t>неразположение</w:t>
            </w:r>
          </w:p>
        </w:tc>
      </w:tr>
    </w:tbl>
    <w:p w14:paraId="2E53A237" w14:textId="77777777" w:rsidR="00B05575" w:rsidRPr="00B05575" w:rsidRDefault="00B05575" w:rsidP="00B05575">
      <w:pPr>
        <w:spacing w:line="240" w:lineRule="auto"/>
        <w:rPr>
          <w:rFonts w:eastAsia="Times New Roman" w:cs="Arial"/>
          <w:sz w:val="24"/>
          <w:szCs w:val="24"/>
          <w:lang w:eastAsia="bg-BG"/>
        </w:rPr>
      </w:pPr>
    </w:p>
    <w:p w14:paraId="5EE8E100" w14:textId="77777777" w:rsidR="00C669F0" w:rsidRPr="00C669F0" w:rsidRDefault="00C669F0" w:rsidP="00C669F0">
      <w:pPr>
        <w:rPr>
          <w:sz w:val="24"/>
          <w:szCs w:val="24"/>
          <w:lang w:eastAsia="bg-BG"/>
        </w:rPr>
      </w:pPr>
      <w:r w:rsidRPr="00C669F0">
        <w:rPr>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тел.:+359 2 8903417 уебсайт: </w:t>
      </w:r>
      <w:r w:rsidRPr="00C669F0">
        <w:rPr>
          <w:sz w:val="24"/>
          <w:szCs w:val="24"/>
          <w:lang w:eastAsia="bg-BG"/>
        </w:rPr>
        <w:fldChar w:fldCharType="begin"/>
      </w:r>
      <w:r w:rsidRPr="00C669F0">
        <w:rPr>
          <w:sz w:val="24"/>
          <w:szCs w:val="24"/>
          <w:lang w:eastAsia="bg-BG"/>
        </w:rPr>
        <w:instrText xml:space="preserve"> HYPERLINK "http://www.bda.bg" </w:instrText>
      </w:r>
      <w:r w:rsidRPr="00C669F0">
        <w:rPr>
          <w:sz w:val="24"/>
          <w:szCs w:val="24"/>
          <w:lang w:eastAsia="bg-BG"/>
        </w:rPr>
      </w:r>
      <w:r w:rsidRPr="00C669F0">
        <w:rPr>
          <w:sz w:val="24"/>
          <w:szCs w:val="24"/>
          <w:lang w:eastAsia="bg-BG"/>
        </w:rPr>
        <w:fldChar w:fldCharType="separate"/>
      </w:r>
      <w:r w:rsidRPr="00C669F0">
        <w:rPr>
          <w:u w:val="single"/>
          <w:lang w:val="en-US"/>
        </w:rPr>
        <w:t>www.bda.bg</w:t>
      </w:r>
      <w:r w:rsidRPr="00C669F0">
        <w:rPr>
          <w:sz w:val="24"/>
          <w:szCs w:val="24"/>
          <w:lang w:eastAsia="bg-BG"/>
        </w:rPr>
        <w:fldChar w:fldCharType="end"/>
      </w:r>
    </w:p>
    <w:p w14:paraId="56DC5B4C" w14:textId="77777777" w:rsidR="00B05575" w:rsidRPr="00B05575" w:rsidRDefault="00B05575" w:rsidP="00B05575"/>
    <w:p w14:paraId="378A0F20" w14:textId="40BE931D" w:rsidR="001D095A" w:rsidRDefault="002C50EE" w:rsidP="00340E8D">
      <w:pPr>
        <w:pStyle w:val="Heading2"/>
      </w:pPr>
      <w:r>
        <w:t>4.9. Предозиране</w:t>
      </w:r>
    </w:p>
    <w:p w14:paraId="6A1E970D" w14:textId="3295AD8F" w:rsidR="00C669F0" w:rsidRDefault="00C669F0" w:rsidP="00C669F0"/>
    <w:p w14:paraId="6F935A10" w14:textId="77777777" w:rsidR="00C669F0" w:rsidRPr="00C669F0" w:rsidRDefault="00C669F0" w:rsidP="00C669F0">
      <w:pPr>
        <w:spacing w:line="240" w:lineRule="auto"/>
        <w:rPr>
          <w:rFonts w:eastAsia="Times New Roman" w:cs="Arial"/>
          <w:sz w:val="24"/>
          <w:szCs w:val="24"/>
          <w:lang w:eastAsia="bg-BG"/>
        </w:rPr>
      </w:pPr>
      <w:r w:rsidRPr="00C669F0">
        <w:rPr>
          <w:rFonts w:eastAsia="Times New Roman" w:cs="Arial"/>
          <w:color w:val="000000"/>
          <w:u w:val="single"/>
          <w:lang w:eastAsia="bg-BG"/>
        </w:rPr>
        <w:t>Симптоми</w:t>
      </w:r>
    </w:p>
    <w:p w14:paraId="02F3147F" w14:textId="77777777" w:rsidR="00C669F0" w:rsidRPr="00C669F0" w:rsidRDefault="00C669F0" w:rsidP="00C669F0">
      <w:pPr>
        <w:spacing w:line="240" w:lineRule="auto"/>
        <w:rPr>
          <w:rFonts w:eastAsia="Times New Roman" w:cs="Arial"/>
          <w:sz w:val="24"/>
          <w:szCs w:val="24"/>
          <w:lang w:eastAsia="bg-BG"/>
        </w:rPr>
      </w:pPr>
      <w:r w:rsidRPr="00C669F0">
        <w:rPr>
          <w:rFonts w:eastAsia="Times New Roman" w:cs="Arial"/>
          <w:color w:val="000000"/>
          <w:lang w:eastAsia="bg-BG"/>
        </w:rPr>
        <w:t>Нежеланите лекарствени реакции, които се наблюдават при по-високи дози от препоръчителните, са подобни на тези, които се наблюдават при стандартните дози.</w:t>
      </w:r>
    </w:p>
    <w:p w14:paraId="1ED805DC" w14:textId="77777777" w:rsidR="00C669F0" w:rsidRPr="00C669F0" w:rsidRDefault="00C669F0" w:rsidP="00C669F0">
      <w:pPr>
        <w:spacing w:line="240" w:lineRule="auto"/>
        <w:rPr>
          <w:rFonts w:eastAsia="Times New Roman" w:cs="Arial"/>
          <w:color w:val="000000"/>
          <w:lang w:eastAsia="bg-BG"/>
        </w:rPr>
      </w:pPr>
    </w:p>
    <w:p w14:paraId="42660934" w14:textId="50EA429F" w:rsidR="00C669F0" w:rsidRPr="00C669F0" w:rsidRDefault="00C669F0" w:rsidP="00C669F0">
      <w:pPr>
        <w:spacing w:line="240" w:lineRule="auto"/>
        <w:rPr>
          <w:rFonts w:eastAsia="Times New Roman" w:cs="Arial"/>
          <w:color w:val="000000"/>
          <w:lang w:eastAsia="bg-BG"/>
        </w:rPr>
      </w:pPr>
      <w:r w:rsidRPr="00C669F0">
        <w:rPr>
          <w:rFonts w:eastAsia="Times New Roman" w:cs="Arial"/>
          <w:color w:val="000000"/>
          <w:lang w:eastAsia="bg-BG"/>
        </w:rPr>
        <w:t>Типичните симптоми на предозиране с макролидни антибиотици включват обратима загуба на слуха, тежко изразено гадене, повръщане и диария.</w:t>
      </w:r>
    </w:p>
    <w:p w14:paraId="513F20EE" w14:textId="77777777" w:rsidR="00C669F0" w:rsidRPr="00C669F0" w:rsidRDefault="00C669F0" w:rsidP="00C669F0">
      <w:pPr>
        <w:spacing w:line="240" w:lineRule="auto"/>
        <w:rPr>
          <w:rFonts w:eastAsia="Times New Roman" w:cs="Arial"/>
          <w:color w:val="000000"/>
          <w:u w:val="single"/>
          <w:lang w:eastAsia="bg-BG"/>
        </w:rPr>
      </w:pPr>
    </w:p>
    <w:p w14:paraId="5F7BEB27" w14:textId="51D0C5BF" w:rsidR="00C669F0" w:rsidRPr="00C669F0" w:rsidRDefault="00C669F0" w:rsidP="00C669F0">
      <w:pPr>
        <w:spacing w:line="240" w:lineRule="auto"/>
        <w:rPr>
          <w:rFonts w:eastAsia="Times New Roman" w:cs="Arial"/>
          <w:sz w:val="24"/>
          <w:szCs w:val="24"/>
          <w:lang w:eastAsia="bg-BG"/>
        </w:rPr>
      </w:pPr>
      <w:r w:rsidRPr="00C669F0">
        <w:rPr>
          <w:rFonts w:eastAsia="Times New Roman" w:cs="Arial"/>
          <w:color w:val="000000"/>
          <w:u w:val="single"/>
          <w:lang w:eastAsia="bg-BG"/>
        </w:rPr>
        <w:t>Поведение при предозиране</w:t>
      </w:r>
    </w:p>
    <w:p w14:paraId="2FF93127" w14:textId="77777777" w:rsidR="00C669F0" w:rsidRPr="00C669F0" w:rsidRDefault="00C669F0" w:rsidP="00C669F0">
      <w:pPr>
        <w:spacing w:line="240" w:lineRule="auto"/>
        <w:rPr>
          <w:rFonts w:eastAsia="Times New Roman" w:cs="Arial"/>
          <w:sz w:val="24"/>
          <w:szCs w:val="24"/>
          <w:lang w:eastAsia="bg-BG"/>
        </w:rPr>
      </w:pPr>
      <w:r w:rsidRPr="00C669F0">
        <w:rPr>
          <w:rFonts w:eastAsia="Times New Roman" w:cs="Arial"/>
          <w:color w:val="000000"/>
          <w:lang w:eastAsia="bg-BG"/>
        </w:rPr>
        <w:t>В случаите на предозиране са показани най-общо симптоматични и поддържащи мерки.</w:t>
      </w:r>
    </w:p>
    <w:p w14:paraId="333006A4" w14:textId="77777777" w:rsidR="00C669F0" w:rsidRPr="00C669F0" w:rsidRDefault="00C669F0" w:rsidP="00C669F0"/>
    <w:p w14:paraId="02081B24" w14:textId="36FE76F4" w:rsidR="00395555" w:rsidRPr="00395555" w:rsidRDefault="002C50EE" w:rsidP="008A6AF2">
      <w:pPr>
        <w:pStyle w:val="Heading1"/>
      </w:pPr>
      <w:r>
        <w:t>5. ФАРМАКОЛОГИЧНИ СВОЙСТВА</w:t>
      </w:r>
    </w:p>
    <w:p w14:paraId="7F6CC5E1" w14:textId="460AA19B" w:rsidR="00F62E44" w:rsidRDefault="002C50EE" w:rsidP="00387A66">
      <w:pPr>
        <w:pStyle w:val="Heading2"/>
      </w:pPr>
      <w:r>
        <w:t>5.1. Фармакодинамични свойства</w:t>
      </w:r>
    </w:p>
    <w:p w14:paraId="20E69AF7" w14:textId="49D3BF89" w:rsidR="00C669F0" w:rsidRDefault="00C669F0" w:rsidP="00C669F0"/>
    <w:p w14:paraId="2A1563C4" w14:textId="77777777" w:rsidR="00C669F0" w:rsidRPr="00C669F0" w:rsidRDefault="00C669F0" w:rsidP="00C669F0">
      <w:pPr>
        <w:spacing w:line="240" w:lineRule="auto"/>
        <w:rPr>
          <w:rFonts w:eastAsia="Times New Roman" w:cs="Arial"/>
          <w:color w:val="000000"/>
          <w:lang w:eastAsia="bg-BG"/>
        </w:rPr>
      </w:pPr>
      <w:r w:rsidRPr="00C669F0">
        <w:rPr>
          <w:rFonts w:eastAsia="Times New Roman" w:cs="Arial"/>
          <w:color w:val="000000"/>
          <w:lang w:eastAsia="bg-BG"/>
        </w:rPr>
        <w:t xml:space="preserve">Фармакотерапевтична: Антибактериални средства за системна употреба, Макролиди, АТС код: </w:t>
      </w:r>
    </w:p>
    <w:p w14:paraId="3413E7DC" w14:textId="6ED630A7" w:rsidR="00C669F0" w:rsidRPr="00C669F0" w:rsidRDefault="00C669F0" w:rsidP="00C669F0">
      <w:pPr>
        <w:spacing w:line="240" w:lineRule="auto"/>
        <w:rPr>
          <w:rFonts w:eastAsia="Times New Roman" w:cs="Arial"/>
          <w:sz w:val="24"/>
          <w:szCs w:val="24"/>
          <w:lang w:eastAsia="bg-BG"/>
        </w:rPr>
      </w:pPr>
      <w:r w:rsidRPr="00C669F0">
        <w:rPr>
          <w:rFonts w:eastAsia="Times New Roman" w:cs="Arial"/>
          <w:color w:val="000000"/>
          <w:lang w:val="en-US"/>
        </w:rPr>
        <w:t>J01FA10</w:t>
      </w:r>
    </w:p>
    <w:p w14:paraId="70246302" w14:textId="77777777" w:rsidR="00C669F0" w:rsidRPr="00C669F0" w:rsidRDefault="00C669F0" w:rsidP="00C669F0">
      <w:pPr>
        <w:spacing w:line="240" w:lineRule="auto"/>
        <w:rPr>
          <w:rFonts w:eastAsia="Times New Roman" w:cs="Arial"/>
          <w:color w:val="000000"/>
          <w:u w:val="single"/>
          <w:lang w:eastAsia="bg-BG"/>
        </w:rPr>
      </w:pPr>
    </w:p>
    <w:p w14:paraId="7AB2C48D" w14:textId="11A132BE" w:rsidR="00C669F0" w:rsidRPr="00C669F0" w:rsidRDefault="00C669F0" w:rsidP="00C669F0">
      <w:pPr>
        <w:spacing w:line="240" w:lineRule="auto"/>
        <w:rPr>
          <w:rFonts w:eastAsia="Times New Roman" w:cs="Arial"/>
          <w:sz w:val="24"/>
          <w:szCs w:val="24"/>
          <w:lang w:eastAsia="bg-BG"/>
        </w:rPr>
      </w:pPr>
      <w:r w:rsidRPr="00C669F0">
        <w:rPr>
          <w:rFonts w:eastAsia="Times New Roman" w:cs="Arial"/>
          <w:color w:val="000000"/>
          <w:u w:val="single"/>
          <w:lang w:eastAsia="bg-BG"/>
        </w:rPr>
        <w:t>Механизъм на действие</w:t>
      </w:r>
    </w:p>
    <w:p w14:paraId="372B4910" w14:textId="77777777" w:rsidR="00C669F0" w:rsidRPr="00C669F0" w:rsidRDefault="00C669F0" w:rsidP="00C669F0">
      <w:pPr>
        <w:spacing w:line="240" w:lineRule="auto"/>
        <w:rPr>
          <w:rFonts w:eastAsia="Times New Roman" w:cs="Arial"/>
          <w:sz w:val="24"/>
          <w:szCs w:val="24"/>
          <w:lang w:eastAsia="bg-BG"/>
        </w:rPr>
      </w:pPr>
      <w:r w:rsidRPr="00C669F0">
        <w:rPr>
          <w:rFonts w:eastAsia="Times New Roman" w:cs="Arial"/>
          <w:color w:val="000000"/>
          <w:lang w:eastAsia="bg-BG"/>
        </w:rPr>
        <w:t>Азибиот е азалиден антибиотик, подгрупа на макролидните антибиотици.</w:t>
      </w:r>
    </w:p>
    <w:p w14:paraId="129EBDC3" w14:textId="77777777" w:rsidR="00C669F0" w:rsidRPr="00C669F0" w:rsidRDefault="00C669F0" w:rsidP="00C669F0">
      <w:pPr>
        <w:spacing w:line="240" w:lineRule="auto"/>
        <w:rPr>
          <w:rFonts w:eastAsia="Times New Roman" w:cs="Arial"/>
          <w:sz w:val="24"/>
          <w:szCs w:val="24"/>
          <w:lang w:eastAsia="bg-BG"/>
        </w:rPr>
      </w:pPr>
      <w:r w:rsidRPr="00C669F0">
        <w:rPr>
          <w:rFonts w:eastAsia="Times New Roman" w:cs="Arial"/>
          <w:color w:val="000000"/>
          <w:lang w:eastAsia="bg-BG"/>
        </w:rPr>
        <w:t xml:space="preserve">Молекулата е получена чрез прибавяне на азотен атом към лактонния пръстен на еритромицин А. Механизмът на действие на азитромицин се базира на потискане синтезата на протеини в бактериите чрез свързване с рибозомната </w:t>
      </w:r>
      <w:r w:rsidRPr="00C669F0">
        <w:rPr>
          <w:rFonts w:eastAsia="Times New Roman" w:cs="Arial"/>
          <w:color w:val="000000"/>
          <w:lang w:val="en-US"/>
        </w:rPr>
        <w:t xml:space="preserve">50s </w:t>
      </w:r>
      <w:r w:rsidRPr="00C669F0">
        <w:rPr>
          <w:rFonts w:eastAsia="Times New Roman" w:cs="Arial"/>
          <w:color w:val="000000"/>
          <w:lang w:eastAsia="bg-BG"/>
        </w:rPr>
        <w:t>субединица и инхибиране на пептидната транслокация.</w:t>
      </w:r>
    </w:p>
    <w:p w14:paraId="2FA80B31" w14:textId="77777777" w:rsidR="00C669F0" w:rsidRPr="00C669F0" w:rsidRDefault="00C669F0" w:rsidP="00C669F0">
      <w:pPr>
        <w:spacing w:line="240" w:lineRule="auto"/>
        <w:rPr>
          <w:rFonts w:eastAsia="Times New Roman" w:cs="Arial"/>
          <w:color w:val="000000"/>
          <w:u w:val="single"/>
          <w:lang w:eastAsia="bg-BG"/>
        </w:rPr>
      </w:pPr>
    </w:p>
    <w:p w14:paraId="6EE2983C" w14:textId="3EF74893" w:rsidR="00C669F0" w:rsidRPr="00C669F0" w:rsidRDefault="00C669F0" w:rsidP="00C669F0">
      <w:pPr>
        <w:spacing w:line="240" w:lineRule="auto"/>
        <w:rPr>
          <w:rFonts w:eastAsia="Times New Roman" w:cs="Arial"/>
          <w:sz w:val="24"/>
          <w:szCs w:val="24"/>
          <w:lang w:eastAsia="bg-BG"/>
        </w:rPr>
      </w:pPr>
      <w:r w:rsidRPr="00C669F0">
        <w:rPr>
          <w:rFonts w:eastAsia="Times New Roman" w:cs="Arial"/>
          <w:color w:val="000000"/>
          <w:u w:val="single"/>
          <w:lang w:eastAsia="bg-BG"/>
        </w:rPr>
        <w:t>Фармакокинетична/фармакодинамична връзка</w:t>
      </w:r>
      <w:r w:rsidRPr="00C669F0">
        <w:rPr>
          <w:rFonts w:eastAsia="Times New Roman" w:cs="Arial"/>
          <w:color w:val="000000"/>
          <w:lang w:eastAsia="bg-BG"/>
        </w:rPr>
        <w:t>:</w:t>
      </w:r>
    </w:p>
    <w:p w14:paraId="05F7310F" w14:textId="77777777" w:rsidR="00C669F0" w:rsidRPr="00C669F0" w:rsidRDefault="00C669F0" w:rsidP="00C669F0">
      <w:pPr>
        <w:spacing w:line="240" w:lineRule="auto"/>
        <w:rPr>
          <w:rFonts w:eastAsia="Times New Roman" w:cs="Arial"/>
          <w:sz w:val="24"/>
          <w:szCs w:val="24"/>
          <w:lang w:eastAsia="bg-BG"/>
        </w:rPr>
      </w:pPr>
      <w:r w:rsidRPr="00C669F0">
        <w:rPr>
          <w:rFonts w:eastAsia="Times New Roman" w:cs="Arial"/>
          <w:color w:val="000000"/>
          <w:lang w:eastAsia="bg-BG"/>
        </w:rPr>
        <w:t xml:space="preserve">За азитромицин на </w:t>
      </w:r>
      <w:r w:rsidRPr="00C669F0">
        <w:rPr>
          <w:rFonts w:eastAsia="Times New Roman" w:cs="Arial"/>
          <w:color w:val="000000"/>
          <w:lang w:val="en-US"/>
        </w:rPr>
        <w:t xml:space="preserve">AUC/MIC </w:t>
      </w:r>
      <w:r w:rsidRPr="00C669F0">
        <w:rPr>
          <w:rFonts w:eastAsia="Times New Roman" w:cs="Arial"/>
          <w:color w:val="000000"/>
          <w:lang w:eastAsia="bg-BG"/>
        </w:rPr>
        <w:t>е основен ФК/ФД параметър, който корелира най-добре с ефикасността на азитромицин.</w:t>
      </w:r>
    </w:p>
    <w:p w14:paraId="1DFF55B7" w14:textId="77777777" w:rsidR="00C669F0" w:rsidRPr="00C669F0" w:rsidRDefault="00C669F0" w:rsidP="00C669F0">
      <w:pPr>
        <w:spacing w:line="240" w:lineRule="auto"/>
        <w:rPr>
          <w:rFonts w:eastAsia="Times New Roman" w:cs="Arial"/>
          <w:color w:val="000000"/>
          <w:u w:val="single"/>
          <w:lang w:eastAsia="bg-BG"/>
        </w:rPr>
      </w:pPr>
    </w:p>
    <w:p w14:paraId="7721B847" w14:textId="5CC21DD5" w:rsidR="00C669F0" w:rsidRPr="00C669F0" w:rsidRDefault="00C669F0" w:rsidP="00C669F0">
      <w:pPr>
        <w:spacing w:line="240" w:lineRule="auto"/>
        <w:rPr>
          <w:rFonts w:eastAsia="Times New Roman" w:cs="Arial"/>
          <w:sz w:val="24"/>
          <w:szCs w:val="24"/>
          <w:lang w:eastAsia="bg-BG"/>
        </w:rPr>
      </w:pPr>
      <w:r w:rsidRPr="00C669F0">
        <w:rPr>
          <w:rFonts w:eastAsia="Times New Roman" w:cs="Arial"/>
          <w:color w:val="000000"/>
          <w:u w:val="single"/>
          <w:lang w:eastAsia="bg-BG"/>
        </w:rPr>
        <w:t>Механизъм на резистентност</w:t>
      </w:r>
      <w:r w:rsidRPr="00C669F0">
        <w:rPr>
          <w:rFonts w:eastAsia="Times New Roman" w:cs="Arial"/>
          <w:color w:val="000000"/>
          <w:lang w:eastAsia="bg-BG"/>
        </w:rPr>
        <w:t>:</w:t>
      </w:r>
    </w:p>
    <w:p w14:paraId="63A785F5" w14:textId="77777777" w:rsidR="00C669F0" w:rsidRPr="00C669F0" w:rsidRDefault="00C669F0" w:rsidP="00C669F0">
      <w:pPr>
        <w:spacing w:line="240" w:lineRule="auto"/>
        <w:rPr>
          <w:rFonts w:eastAsia="Times New Roman" w:cs="Arial"/>
          <w:sz w:val="24"/>
          <w:szCs w:val="24"/>
          <w:lang w:eastAsia="bg-BG"/>
        </w:rPr>
      </w:pPr>
      <w:r w:rsidRPr="00C669F0">
        <w:rPr>
          <w:rFonts w:eastAsia="Times New Roman" w:cs="Arial"/>
          <w:color w:val="000000"/>
          <w:lang w:eastAsia="bg-BG"/>
        </w:rPr>
        <w:t xml:space="preserve">Резистентността на грам-положителните микроорганизми към макролидите обикновено включва промяна на мястото на свързване на антимикробното средство. Резистентността от тип </w:t>
      </w:r>
      <w:proofErr w:type="spellStart"/>
      <w:r w:rsidRPr="00C669F0">
        <w:rPr>
          <w:rFonts w:eastAsia="Times New Roman" w:cs="Arial"/>
          <w:color w:val="000000"/>
          <w:lang w:val="en-US"/>
        </w:rPr>
        <w:t>mlSB</w:t>
      </w:r>
      <w:proofErr w:type="spellEnd"/>
      <w:r w:rsidRPr="00C669F0">
        <w:rPr>
          <w:rFonts w:eastAsia="Times New Roman" w:cs="Arial"/>
          <w:color w:val="000000"/>
          <w:lang w:val="en-US"/>
        </w:rPr>
        <w:t xml:space="preserve"> </w:t>
      </w:r>
      <w:r w:rsidRPr="00C669F0">
        <w:rPr>
          <w:rFonts w:eastAsia="Times New Roman" w:cs="Arial"/>
          <w:color w:val="000000"/>
          <w:lang w:eastAsia="bg-BG"/>
        </w:rPr>
        <w:t xml:space="preserve">(вж. по-долу), която може да бъде присъща/свойствена/конститутивна при стафилококите или индуцирана при стафилококите и стрептококите от експозиция на някои макролиди, се медиира от широк спектър придобити гени (семейство </w:t>
      </w:r>
      <w:r w:rsidRPr="00C669F0">
        <w:rPr>
          <w:rFonts w:eastAsia="Times New Roman" w:cs="Arial"/>
          <w:i/>
          <w:iCs/>
          <w:color w:val="000000"/>
          <w:lang w:eastAsia="bg-BG"/>
        </w:rPr>
        <w:t>егт),</w:t>
      </w:r>
      <w:r w:rsidRPr="00C669F0">
        <w:rPr>
          <w:rFonts w:eastAsia="Times New Roman" w:cs="Arial"/>
          <w:color w:val="000000"/>
          <w:lang w:eastAsia="bg-BG"/>
        </w:rPr>
        <w:t xml:space="preserve"> кодиращи метилази, насочени към пептидил трансферазния център на </w:t>
      </w:r>
      <w:r w:rsidRPr="00C669F0">
        <w:rPr>
          <w:rFonts w:eastAsia="Times New Roman" w:cs="Arial"/>
          <w:i/>
          <w:iCs/>
          <w:color w:val="000000"/>
          <w:lang w:val="en-US"/>
        </w:rPr>
        <w:t>23S</w:t>
      </w:r>
      <w:r w:rsidRPr="00C669F0">
        <w:rPr>
          <w:rFonts w:eastAsia="Times New Roman" w:cs="Arial"/>
          <w:color w:val="000000"/>
          <w:lang w:val="en-US"/>
        </w:rPr>
        <w:t xml:space="preserve"> </w:t>
      </w:r>
      <w:r w:rsidRPr="00C669F0">
        <w:rPr>
          <w:rFonts w:eastAsia="Times New Roman" w:cs="Arial"/>
          <w:color w:val="000000"/>
          <w:lang w:eastAsia="bg-BG"/>
        </w:rPr>
        <w:t>на рибозомната РНК.</w:t>
      </w:r>
    </w:p>
    <w:p w14:paraId="6751ABE8" w14:textId="77777777" w:rsidR="00C669F0" w:rsidRPr="00C669F0" w:rsidRDefault="00C669F0" w:rsidP="00C669F0">
      <w:pPr>
        <w:spacing w:line="240" w:lineRule="auto"/>
        <w:rPr>
          <w:rFonts w:eastAsia="Times New Roman" w:cs="Arial"/>
          <w:color w:val="000000"/>
          <w:lang w:eastAsia="bg-BG"/>
        </w:rPr>
      </w:pPr>
    </w:p>
    <w:p w14:paraId="2CCB061C" w14:textId="6787FF15" w:rsidR="00C669F0" w:rsidRPr="00C669F0" w:rsidRDefault="00C669F0" w:rsidP="00C669F0">
      <w:pPr>
        <w:spacing w:line="240" w:lineRule="auto"/>
        <w:rPr>
          <w:rFonts w:eastAsia="Times New Roman" w:cs="Arial"/>
          <w:sz w:val="24"/>
          <w:szCs w:val="24"/>
          <w:lang w:eastAsia="bg-BG"/>
        </w:rPr>
      </w:pPr>
      <w:r w:rsidRPr="00C669F0">
        <w:rPr>
          <w:rFonts w:eastAsia="Times New Roman" w:cs="Arial"/>
          <w:color w:val="000000"/>
          <w:lang w:eastAsia="bg-BG"/>
        </w:rPr>
        <w:t>Метилирането възпрепятства свързването на антибактериалните средства към рибозомата и поражда кръстосана резистентност към макролиди (всички макролиди, когато резистентността е присъща/свойствена/ конститутивна), линкозамиди и стрептограмини от тип Б, но не и към стрептограмини от тип А. По-редките механизми на резистентност включва разграждане на антимикробното средство чрез инактивиране на ензими, напр. естерази и активно</w:t>
      </w:r>
    </w:p>
    <w:p w14:paraId="5B67C163" w14:textId="433CD6F8" w:rsidR="00C669F0" w:rsidRPr="00C669F0" w:rsidRDefault="00C669F0" w:rsidP="00C669F0">
      <w:pPr>
        <w:rPr>
          <w:rFonts w:eastAsia="Times New Roman" w:cs="Arial"/>
          <w:color w:val="000000"/>
          <w:lang w:eastAsia="bg-BG"/>
        </w:rPr>
      </w:pPr>
      <w:r w:rsidRPr="00C669F0">
        <w:rPr>
          <w:rFonts w:eastAsia="Times New Roman" w:cs="Arial"/>
          <w:color w:val="000000"/>
          <w:lang w:eastAsia="bg-BG"/>
        </w:rPr>
        <w:t>изтичане/ефлукс на антимикробното средство от бактериите.</w:t>
      </w:r>
    </w:p>
    <w:p w14:paraId="100FD352" w14:textId="4A2AA17E" w:rsidR="00C669F0" w:rsidRPr="00C669F0" w:rsidRDefault="00C669F0" w:rsidP="00C669F0">
      <w:pPr>
        <w:rPr>
          <w:rFonts w:eastAsia="Times New Roman" w:cs="Arial"/>
          <w:color w:val="000000"/>
          <w:lang w:eastAsia="bg-BG"/>
        </w:rPr>
      </w:pPr>
    </w:p>
    <w:p w14:paraId="19855A72" w14:textId="77777777" w:rsidR="00C669F0" w:rsidRPr="00C669F0" w:rsidRDefault="00C669F0" w:rsidP="00C669F0">
      <w:pPr>
        <w:spacing w:line="240" w:lineRule="auto"/>
        <w:rPr>
          <w:rFonts w:eastAsia="Times New Roman" w:cs="Arial"/>
          <w:sz w:val="24"/>
          <w:szCs w:val="24"/>
          <w:lang w:eastAsia="bg-BG"/>
        </w:rPr>
      </w:pPr>
      <w:r w:rsidRPr="00C669F0">
        <w:rPr>
          <w:rFonts w:eastAsia="Times New Roman" w:cs="Arial"/>
          <w:color w:val="000000"/>
          <w:lang w:eastAsia="bg-BG"/>
        </w:rPr>
        <w:lastRenderedPageBreak/>
        <w:t>Грам-отрицателните микроорганизми могат да бъдат по същността си резистентни към макролидите, поради невъзможността на макролида да проникне ефективно през външната клетъчна мембрана. Макролидите с по-добро проникване може да проявят активност срещу някои грам-отрицателни микроорганизми.</w:t>
      </w:r>
    </w:p>
    <w:p w14:paraId="15CFEE75" w14:textId="77777777" w:rsidR="00C669F0" w:rsidRPr="00C669F0" w:rsidRDefault="00C669F0" w:rsidP="00C669F0">
      <w:pPr>
        <w:spacing w:line="240" w:lineRule="auto"/>
        <w:rPr>
          <w:rFonts w:eastAsia="Times New Roman" w:cs="Arial"/>
          <w:color w:val="000000"/>
          <w:lang w:eastAsia="bg-BG"/>
        </w:rPr>
      </w:pPr>
    </w:p>
    <w:p w14:paraId="2BEB7AD1" w14:textId="229DABAE" w:rsidR="00C669F0" w:rsidRPr="00C669F0" w:rsidRDefault="00C669F0" w:rsidP="00C669F0">
      <w:pPr>
        <w:spacing w:line="240" w:lineRule="auto"/>
        <w:rPr>
          <w:rFonts w:eastAsia="Times New Roman" w:cs="Arial"/>
          <w:sz w:val="24"/>
          <w:szCs w:val="24"/>
          <w:lang w:eastAsia="bg-BG"/>
        </w:rPr>
      </w:pPr>
      <w:r w:rsidRPr="00C669F0">
        <w:rPr>
          <w:rFonts w:eastAsia="Times New Roman" w:cs="Arial"/>
          <w:color w:val="000000"/>
          <w:lang w:eastAsia="bg-BG"/>
        </w:rPr>
        <w:t>Грам-отрицателните микроорганизми могат да произвеждат и рибозомна метилаза или ензими, инактивиращи макролидите.</w:t>
      </w:r>
    </w:p>
    <w:p w14:paraId="27213945" w14:textId="77777777" w:rsidR="00C669F0" w:rsidRPr="00C669F0" w:rsidRDefault="00C669F0" w:rsidP="00C669F0">
      <w:pPr>
        <w:spacing w:line="240" w:lineRule="auto"/>
        <w:rPr>
          <w:rFonts w:eastAsia="Times New Roman" w:cs="Arial"/>
          <w:color w:val="000000"/>
          <w:u w:val="single"/>
          <w:lang w:eastAsia="bg-BG"/>
        </w:rPr>
      </w:pPr>
    </w:p>
    <w:p w14:paraId="03D36EA2" w14:textId="64FBB37A" w:rsidR="00C669F0" w:rsidRPr="00C669F0" w:rsidRDefault="00C669F0" w:rsidP="00C669F0">
      <w:pPr>
        <w:spacing w:line="240" w:lineRule="auto"/>
        <w:rPr>
          <w:rFonts w:eastAsia="Times New Roman" w:cs="Arial"/>
          <w:sz w:val="24"/>
          <w:szCs w:val="24"/>
          <w:lang w:eastAsia="bg-BG"/>
        </w:rPr>
      </w:pPr>
      <w:r w:rsidRPr="00C669F0">
        <w:rPr>
          <w:rFonts w:eastAsia="Times New Roman" w:cs="Arial"/>
          <w:color w:val="000000"/>
          <w:u w:val="single"/>
          <w:lang w:eastAsia="bg-BG"/>
        </w:rPr>
        <w:t>Граници на чувствителност</w:t>
      </w:r>
    </w:p>
    <w:p w14:paraId="6147F3FF" w14:textId="77777777" w:rsidR="00C669F0" w:rsidRPr="00C669F0" w:rsidRDefault="00C669F0" w:rsidP="00C669F0">
      <w:pPr>
        <w:spacing w:line="240" w:lineRule="auto"/>
        <w:rPr>
          <w:rFonts w:ascii="Times New Roman" w:eastAsia="Times New Roman" w:hAnsi="Times New Roman" w:cs="Times New Roman"/>
          <w:sz w:val="24"/>
          <w:szCs w:val="24"/>
          <w:lang w:eastAsia="bg-BG"/>
        </w:rPr>
      </w:pPr>
      <w:r w:rsidRPr="00C669F0">
        <w:rPr>
          <w:rFonts w:eastAsia="Times New Roman" w:cs="Arial"/>
          <w:color w:val="000000"/>
          <w:lang w:eastAsia="bg-BG"/>
        </w:rPr>
        <w:t xml:space="preserve">Граници на чувствителността към азитромицин при типичните бактериални патогени по </w:t>
      </w:r>
      <w:r w:rsidRPr="00C669F0">
        <w:rPr>
          <w:rFonts w:eastAsia="Times New Roman" w:cs="Arial"/>
          <w:color w:val="000000"/>
          <w:lang w:val="en-US"/>
        </w:rPr>
        <w:t xml:space="preserve">EUCAST </w:t>
      </w:r>
      <w:r w:rsidRPr="00C669F0">
        <w:rPr>
          <w:rFonts w:eastAsia="Times New Roman" w:cs="Arial"/>
          <w:color w:val="000000"/>
          <w:lang w:eastAsia="bg-BG"/>
        </w:rPr>
        <w:t>(Европейски Комитет за Определяне на Антимикробната Чувствителност)</w:t>
      </w:r>
    </w:p>
    <w:p w14:paraId="60823B29" w14:textId="409EDFC3" w:rsidR="00C669F0" w:rsidRDefault="00C669F0" w:rsidP="00C669F0"/>
    <w:tbl>
      <w:tblPr>
        <w:tblStyle w:val="TableGrid"/>
        <w:tblW w:w="0" w:type="auto"/>
        <w:tblLook w:val="04A0" w:firstRow="1" w:lastRow="0" w:firstColumn="1" w:lastColumn="0" w:noHBand="0" w:noVBand="1"/>
      </w:tblPr>
      <w:tblGrid>
        <w:gridCol w:w="3118"/>
        <w:gridCol w:w="3119"/>
        <w:gridCol w:w="3113"/>
      </w:tblGrid>
      <w:tr w:rsidR="00C669F0" w14:paraId="68A5D9D5" w14:textId="77777777" w:rsidTr="006E20BD">
        <w:tc>
          <w:tcPr>
            <w:tcW w:w="3166" w:type="dxa"/>
          </w:tcPr>
          <w:p w14:paraId="05249286" w14:textId="77777777" w:rsidR="00C669F0" w:rsidRDefault="00C669F0" w:rsidP="00C669F0"/>
        </w:tc>
        <w:tc>
          <w:tcPr>
            <w:tcW w:w="6334" w:type="dxa"/>
            <w:gridSpan w:val="2"/>
          </w:tcPr>
          <w:p w14:paraId="4857BACB" w14:textId="42447B09" w:rsidR="00C669F0" w:rsidRPr="00C669F0" w:rsidRDefault="00C669F0" w:rsidP="00C669F0">
            <w:pPr>
              <w:rPr>
                <w:rFonts w:cs="Arial"/>
              </w:rPr>
            </w:pPr>
            <w:r w:rsidRPr="00C669F0">
              <w:rPr>
                <w:rFonts w:eastAsia="Times New Roman" w:cs="Arial"/>
                <w:b/>
                <w:bCs/>
                <w:color w:val="000000"/>
                <w:lang w:eastAsia="bg-BG"/>
              </w:rPr>
              <w:t xml:space="preserve">Видово-специфични граници </w:t>
            </w:r>
            <w:r w:rsidRPr="00C669F0">
              <w:rPr>
                <w:rFonts w:eastAsia="Times New Roman" w:cs="Arial"/>
                <w:b/>
                <w:bCs/>
                <w:color w:val="000000"/>
                <w:lang w:val="en-US"/>
              </w:rPr>
              <w:t>(mg/L)</w:t>
            </w:r>
          </w:p>
        </w:tc>
      </w:tr>
      <w:tr w:rsidR="00C669F0" w14:paraId="5E0FE73A" w14:textId="77777777" w:rsidTr="00C669F0">
        <w:tc>
          <w:tcPr>
            <w:tcW w:w="3166" w:type="dxa"/>
          </w:tcPr>
          <w:p w14:paraId="3DA2A349" w14:textId="2E6187BA" w:rsidR="00C669F0" w:rsidRDefault="00C669F0" w:rsidP="00C669F0">
            <w:r>
              <w:rPr>
                <w:b/>
                <w:bCs/>
                <w:lang w:eastAsia="bg-BG"/>
              </w:rPr>
              <w:t>Патогени</w:t>
            </w:r>
          </w:p>
        </w:tc>
        <w:tc>
          <w:tcPr>
            <w:tcW w:w="3167" w:type="dxa"/>
          </w:tcPr>
          <w:p w14:paraId="235EF85F" w14:textId="6EA0BCB0" w:rsidR="00C669F0" w:rsidRDefault="00C669F0" w:rsidP="00C669F0">
            <w:r>
              <w:rPr>
                <w:b/>
                <w:bCs/>
                <w:lang w:eastAsia="bg-BG"/>
              </w:rPr>
              <w:t xml:space="preserve">Чувствителни </w:t>
            </w:r>
            <w:r>
              <w:rPr>
                <w:b/>
                <w:bCs/>
              </w:rPr>
              <w:t>(mg/L)</w:t>
            </w:r>
          </w:p>
        </w:tc>
        <w:tc>
          <w:tcPr>
            <w:tcW w:w="3167" w:type="dxa"/>
          </w:tcPr>
          <w:p w14:paraId="0D6B079E" w14:textId="2773AF24" w:rsidR="00C669F0" w:rsidRDefault="00C669F0" w:rsidP="00C669F0">
            <w:r>
              <w:rPr>
                <w:b/>
                <w:bCs/>
                <w:lang w:eastAsia="bg-BG"/>
              </w:rPr>
              <w:t xml:space="preserve">Резистентни </w:t>
            </w:r>
            <w:r>
              <w:rPr>
                <w:b/>
                <w:bCs/>
              </w:rPr>
              <w:t>(mg/L)</w:t>
            </w:r>
          </w:p>
        </w:tc>
      </w:tr>
      <w:tr w:rsidR="00C669F0" w14:paraId="2446D7B2" w14:textId="77777777" w:rsidTr="00C669F0">
        <w:tc>
          <w:tcPr>
            <w:tcW w:w="3166" w:type="dxa"/>
          </w:tcPr>
          <w:p w14:paraId="23268A11" w14:textId="1C12ADA8" w:rsidR="00C669F0" w:rsidRDefault="00C669F0" w:rsidP="00C669F0">
            <w:r>
              <w:rPr>
                <w:i/>
                <w:iCs/>
              </w:rPr>
              <w:t>Staphylococcus spp.</w:t>
            </w:r>
          </w:p>
        </w:tc>
        <w:tc>
          <w:tcPr>
            <w:tcW w:w="3167" w:type="dxa"/>
          </w:tcPr>
          <w:p w14:paraId="188B7A88" w14:textId="139CB4A4" w:rsidR="00C669F0" w:rsidRDefault="00C669F0" w:rsidP="00C669F0">
            <w:r>
              <w:rPr>
                <w:lang w:eastAsia="bg-BG"/>
              </w:rPr>
              <w:t>≤</w:t>
            </w:r>
            <w:r>
              <w:t>1</w:t>
            </w:r>
          </w:p>
        </w:tc>
        <w:tc>
          <w:tcPr>
            <w:tcW w:w="3167" w:type="dxa"/>
          </w:tcPr>
          <w:p w14:paraId="39E86A68" w14:textId="7DCAAA4D" w:rsidR="00C669F0" w:rsidRDefault="00C669F0" w:rsidP="00C669F0">
            <w:r>
              <w:t>&gt;2</w:t>
            </w:r>
          </w:p>
        </w:tc>
      </w:tr>
      <w:tr w:rsidR="00C669F0" w14:paraId="3F7374D6" w14:textId="77777777" w:rsidTr="00C669F0">
        <w:tc>
          <w:tcPr>
            <w:tcW w:w="3166" w:type="dxa"/>
          </w:tcPr>
          <w:p w14:paraId="4CCD9F2E" w14:textId="62F44B0D" w:rsidR="00C669F0" w:rsidRDefault="00C669F0" w:rsidP="00C669F0">
            <w:r>
              <w:rPr>
                <w:i/>
                <w:iCs/>
              </w:rPr>
              <w:t>Streptococcus spp.</w:t>
            </w:r>
            <w:r>
              <w:t xml:space="preserve"> (Group </w:t>
            </w:r>
            <w:r>
              <w:rPr>
                <w:lang w:eastAsia="bg-BG"/>
              </w:rPr>
              <w:t xml:space="preserve">А, В, </w:t>
            </w:r>
            <w:r>
              <w:t>C, G)</w:t>
            </w:r>
          </w:p>
        </w:tc>
        <w:tc>
          <w:tcPr>
            <w:tcW w:w="3167" w:type="dxa"/>
          </w:tcPr>
          <w:p w14:paraId="0760878C" w14:textId="50F00DF5" w:rsidR="00C669F0" w:rsidRDefault="00C669F0" w:rsidP="00C669F0">
            <w:r>
              <w:rPr>
                <w:lang w:eastAsia="bg-BG"/>
              </w:rPr>
              <w:t>≤</w:t>
            </w:r>
            <w:r>
              <w:t>0,25</w:t>
            </w:r>
          </w:p>
        </w:tc>
        <w:tc>
          <w:tcPr>
            <w:tcW w:w="3167" w:type="dxa"/>
          </w:tcPr>
          <w:p w14:paraId="1D3CC58D" w14:textId="245460D9" w:rsidR="00C669F0" w:rsidRDefault="00C669F0" w:rsidP="00C669F0">
            <w:r>
              <w:t>&gt;0,5</w:t>
            </w:r>
          </w:p>
        </w:tc>
      </w:tr>
      <w:tr w:rsidR="00C669F0" w14:paraId="6E3F4B5F" w14:textId="77777777" w:rsidTr="00C669F0">
        <w:tc>
          <w:tcPr>
            <w:tcW w:w="3166" w:type="dxa"/>
          </w:tcPr>
          <w:p w14:paraId="4B55FB93" w14:textId="54142D70" w:rsidR="00C669F0" w:rsidRDefault="00C669F0" w:rsidP="00C669F0">
            <w:r>
              <w:rPr>
                <w:i/>
                <w:iCs/>
              </w:rPr>
              <w:t>Streptococcus pneumoniae</w:t>
            </w:r>
          </w:p>
        </w:tc>
        <w:tc>
          <w:tcPr>
            <w:tcW w:w="3167" w:type="dxa"/>
          </w:tcPr>
          <w:p w14:paraId="3CA11B55" w14:textId="251FFBE7" w:rsidR="00C669F0" w:rsidRDefault="00C669F0" w:rsidP="00C669F0">
            <w:r>
              <w:rPr>
                <w:lang w:eastAsia="bg-BG"/>
              </w:rPr>
              <w:t>≤</w:t>
            </w:r>
            <w:r>
              <w:t>0,25</w:t>
            </w:r>
          </w:p>
        </w:tc>
        <w:tc>
          <w:tcPr>
            <w:tcW w:w="3167" w:type="dxa"/>
          </w:tcPr>
          <w:p w14:paraId="0BA2590F" w14:textId="570F9B11" w:rsidR="00C669F0" w:rsidRDefault="00C669F0" w:rsidP="00C669F0">
            <w:r>
              <w:t>&gt;0,5</w:t>
            </w:r>
          </w:p>
        </w:tc>
      </w:tr>
      <w:tr w:rsidR="00C669F0" w14:paraId="74F51528" w14:textId="77777777" w:rsidTr="00C669F0">
        <w:tc>
          <w:tcPr>
            <w:tcW w:w="3166" w:type="dxa"/>
          </w:tcPr>
          <w:p w14:paraId="0D3B5AD3" w14:textId="0CBCC654" w:rsidR="00C669F0" w:rsidRDefault="00C669F0" w:rsidP="00C669F0">
            <w:r>
              <w:rPr>
                <w:i/>
                <w:iCs/>
              </w:rPr>
              <w:t>Haemophilus influenzae</w:t>
            </w:r>
          </w:p>
        </w:tc>
        <w:tc>
          <w:tcPr>
            <w:tcW w:w="3167" w:type="dxa"/>
          </w:tcPr>
          <w:p w14:paraId="391805ED" w14:textId="41112E40" w:rsidR="00C669F0" w:rsidRDefault="00C669F0" w:rsidP="00C669F0">
            <w:r>
              <w:rPr>
                <w:lang w:eastAsia="bg-BG"/>
              </w:rPr>
              <w:t>≤</w:t>
            </w:r>
            <w:r>
              <w:t>0,12</w:t>
            </w:r>
          </w:p>
        </w:tc>
        <w:tc>
          <w:tcPr>
            <w:tcW w:w="3167" w:type="dxa"/>
          </w:tcPr>
          <w:p w14:paraId="69A8348E" w14:textId="4B282DC2" w:rsidR="00C669F0" w:rsidRDefault="00C669F0" w:rsidP="00C669F0">
            <w:r>
              <w:t>&gt;4</w:t>
            </w:r>
          </w:p>
        </w:tc>
      </w:tr>
      <w:tr w:rsidR="00C669F0" w14:paraId="3DA0230C" w14:textId="77777777" w:rsidTr="00C669F0">
        <w:tc>
          <w:tcPr>
            <w:tcW w:w="3166" w:type="dxa"/>
          </w:tcPr>
          <w:p w14:paraId="79399D1C" w14:textId="5F704384" w:rsidR="00C669F0" w:rsidRDefault="00C669F0" w:rsidP="00C669F0">
            <w:r>
              <w:rPr>
                <w:i/>
                <w:iCs/>
              </w:rPr>
              <w:t>Moraxella catarrhalis</w:t>
            </w:r>
          </w:p>
        </w:tc>
        <w:tc>
          <w:tcPr>
            <w:tcW w:w="3167" w:type="dxa"/>
          </w:tcPr>
          <w:p w14:paraId="324D257F" w14:textId="70DB0933" w:rsidR="00C669F0" w:rsidRDefault="00C669F0" w:rsidP="00C669F0">
            <w:r>
              <w:rPr>
                <w:lang w:eastAsia="bg-BG"/>
              </w:rPr>
              <w:t>≤</w:t>
            </w:r>
            <w:r>
              <w:t xml:space="preserve"> 0,25</w:t>
            </w:r>
          </w:p>
        </w:tc>
        <w:tc>
          <w:tcPr>
            <w:tcW w:w="3167" w:type="dxa"/>
          </w:tcPr>
          <w:p w14:paraId="54A44962" w14:textId="1DFCD919" w:rsidR="00C669F0" w:rsidRDefault="00C669F0" w:rsidP="00C669F0">
            <w:r>
              <w:t>&gt;0,5</w:t>
            </w:r>
          </w:p>
        </w:tc>
      </w:tr>
      <w:tr w:rsidR="00C669F0" w14:paraId="1336EA6E" w14:textId="77777777" w:rsidTr="00C669F0">
        <w:tc>
          <w:tcPr>
            <w:tcW w:w="3166" w:type="dxa"/>
          </w:tcPr>
          <w:p w14:paraId="436D5328" w14:textId="08215965" w:rsidR="00C669F0" w:rsidRDefault="00C669F0" w:rsidP="00C669F0">
            <w:r>
              <w:rPr>
                <w:i/>
                <w:iCs/>
              </w:rPr>
              <w:t>Neisseria gonorrhoeae</w:t>
            </w:r>
          </w:p>
        </w:tc>
        <w:tc>
          <w:tcPr>
            <w:tcW w:w="3167" w:type="dxa"/>
          </w:tcPr>
          <w:p w14:paraId="541C1087" w14:textId="026F2BD8" w:rsidR="00C669F0" w:rsidRDefault="00C669F0" w:rsidP="00C669F0">
            <w:r>
              <w:rPr>
                <w:lang w:eastAsia="bg-BG"/>
              </w:rPr>
              <w:t>≤</w:t>
            </w:r>
            <w:r>
              <w:t>0,25</w:t>
            </w:r>
          </w:p>
        </w:tc>
        <w:tc>
          <w:tcPr>
            <w:tcW w:w="3167" w:type="dxa"/>
          </w:tcPr>
          <w:p w14:paraId="53B2F391" w14:textId="7DF1C120" w:rsidR="00C669F0" w:rsidRDefault="00C669F0" w:rsidP="00C669F0">
            <w:r>
              <w:t>&gt;0,5</w:t>
            </w:r>
          </w:p>
        </w:tc>
      </w:tr>
    </w:tbl>
    <w:p w14:paraId="27A52A42" w14:textId="77777777" w:rsidR="00C669F0" w:rsidRDefault="00C669F0" w:rsidP="00C669F0">
      <w:pPr>
        <w:spacing w:line="240" w:lineRule="auto"/>
        <w:rPr>
          <w:rFonts w:ascii="Times New Roman" w:eastAsia="Times New Roman" w:hAnsi="Times New Roman" w:cs="Times New Roman"/>
          <w:color w:val="000000"/>
          <w:u w:val="single"/>
          <w:lang w:eastAsia="bg-BG"/>
        </w:rPr>
      </w:pPr>
    </w:p>
    <w:p w14:paraId="0A9B1020" w14:textId="4B3ABE59" w:rsidR="00C669F0" w:rsidRPr="00C669F0" w:rsidRDefault="00C669F0" w:rsidP="00C669F0">
      <w:pPr>
        <w:spacing w:line="240" w:lineRule="auto"/>
        <w:rPr>
          <w:rFonts w:eastAsia="Times New Roman" w:cs="Arial"/>
          <w:sz w:val="24"/>
          <w:szCs w:val="24"/>
          <w:lang w:eastAsia="bg-BG"/>
        </w:rPr>
      </w:pPr>
      <w:r w:rsidRPr="00C669F0">
        <w:rPr>
          <w:rFonts w:eastAsia="Times New Roman" w:cs="Arial"/>
          <w:color w:val="000000"/>
          <w:u w:val="single"/>
          <w:lang w:eastAsia="bg-BG"/>
        </w:rPr>
        <w:t>Чувствителност</w:t>
      </w:r>
    </w:p>
    <w:p w14:paraId="79C657B7" w14:textId="77777777" w:rsidR="00C669F0" w:rsidRPr="00C669F0" w:rsidRDefault="00C669F0" w:rsidP="00C669F0">
      <w:pPr>
        <w:spacing w:line="240" w:lineRule="auto"/>
        <w:rPr>
          <w:rFonts w:eastAsia="Times New Roman" w:cs="Arial"/>
          <w:sz w:val="24"/>
          <w:szCs w:val="24"/>
          <w:lang w:eastAsia="bg-BG"/>
        </w:rPr>
      </w:pPr>
      <w:r w:rsidRPr="00C669F0">
        <w:rPr>
          <w:rFonts w:eastAsia="Times New Roman" w:cs="Arial"/>
          <w:color w:val="000000"/>
          <w:lang w:eastAsia="bg-BG"/>
        </w:rPr>
        <w:t>Разпространението на придобитата резистентност може да варира географски и във времето за съответните видове и е нужна местна информация за резистентността, особено при лечение на тежки инфекции. При необходимост следва да се търси съвет от експерт, когато местното разпространение на резистентността е такава, че ползата от продукта, най-малкото при някои видове инфекции, е под въпрос.</w:t>
      </w:r>
    </w:p>
    <w:p w14:paraId="38A2CCCE" w14:textId="77777777" w:rsidR="00C669F0" w:rsidRPr="00C669F0" w:rsidRDefault="00C669F0" w:rsidP="00C669F0">
      <w:pPr>
        <w:spacing w:line="240" w:lineRule="auto"/>
        <w:rPr>
          <w:rFonts w:eastAsia="Times New Roman" w:cs="Arial"/>
          <w:b/>
          <w:bCs/>
          <w:color w:val="000000"/>
          <w:lang w:eastAsia="bg-BG"/>
        </w:rPr>
      </w:pPr>
    </w:p>
    <w:p w14:paraId="491FFB3F" w14:textId="43126F27" w:rsidR="00C669F0" w:rsidRDefault="00C669F0" w:rsidP="00C669F0">
      <w:pPr>
        <w:spacing w:line="240" w:lineRule="auto"/>
        <w:rPr>
          <w:rFonts w:eastAsia="Times New Roman" w:cs="Arial"/>
          <w:b/>
          <w:bCs/>
          <w:color w:val="000000"/>
          <w:lang w:eastAsia="bg-BG"/>
        </w:rPr>
      </w:pPr>
      <w:r w:rsidRPr="00C669F0">
        <w:rPr>
          <w:rFonts w:eastAsia="Times New Roman" w:cs="Arial"/>
          <w:b/>
          <w:bCs/>
          <w:color w:val="000000"/>
          <w:lang w:eastAsia="bg-BG"/>
        </w:rPr>
        <w:t>Таблица за чувствителност</w:t>
      </w:r>
    </w:p>
    <w:tbl>
      <w:tblPr>
        <w:tblStyle w:val="TableGrid"/>
        <w:tblW w:w="0" w:type="auto"/>
        <w:tblLook w:val="04A0" w:firstRow="1" w:lastRow="0" w:firstColumn="1" w:lastColumn="0" w:noHBand="0" w:noVBand="1"/>
      </w:tblPr>
      <w:tblGrid>
        <w:gridCol w:w="9350"/>
      </w:tblGrid>
      <w:tr w:rsidR="0086708F" w14:paraId="019D10FF" w14:textId="77777777" w:rsidTr="002E35EE">
        <w:tc>
          <w:tcPr>
            <w:tcW w:w="9500" w:type="dxa"/>
            <w:vAlign w:val="bottom"/>
          </w:tcPr>
          <w:p w14:paraId="401F08B0" w14:textId="28508597" w:rsidR="0086708F" w:rsidRDefault="0086708F" w:rsidP="0086708F">
            <w:pPr>
              <w:spacing w:line="240" w:lineRule="auto"/>
              <w:rPr>
                <w:rFonts w:eastAsia="Times New Roman" w:cs="Arial"/>
                <w:sz w:val="24"/>
                <w:szCs w:val="24"/>
                <w:lang w:eastAsia="bg-BG"/>
              </w:rPr>
            </w:pPr>
            <w:r>
              <w:rPr>
                <w:b/>
                <w:bCs/>
                <w:lang w:eastAsia="bg-BG"/>
              </w:rPr>
              <w:t>Чувствителни видове</w:t>
            </w:r>
          </w:p>
        </w:tc>
      </w:tr>
      <w:tr w:rsidR="0086708F" w14:paraId="3500559D" w14:textId="77777777" w:rsidTr="0086708F">
        <w:tc>
          <w:tcPr>
            <w:tcW w:w="9500" w:type="dxa"/>
          </w:tcPr>
          <w:p w14:paraId="01A1BDF0" w14:textId="77777777" w:rsidR="0086708F" w:rsidRDefault="0086708F" w:rsidP="0086708F">
            <w:pPr>
              <w:spacing w:line="240" w:lineRule="auto"/>
              <w:rPr>
                <w:rFonts w:eastAsia="Times New Roman" w:cs="Arial"/>
                <w:sz w:val="24"/>
                <w:szCs w:val="24"/>
                <w:lang w:eastAsia="bg-BG"/>
              </w:rPr>
            </w:pPr>
          </w:p>
        </w:tc>
      </w:tr>
      <w:tr w:rsidR="0086708F" w14:paraId="2390A5A8" w14:textId="77777777" w:rsidTr="002E35EE">
        <w:tc>
          <w:tcPr>
            <w:tcW w:w="9500" w:type="dxa"/>
            <w:vAlign w:val="bottom"/>
          </w:tcPr>
          <w:p w14:paraId="68E13A90" w14:textId="3421CCBF" w:rsidR="0086708F" w:rsidRDefault="0086708F" w:rsidP="0086708F">
            <w:pPr>
              <w:spacing w:line="240" w:lineRule="auto"/>
              <w:rPr>
                <w:rFonts w:eastAsia="Times New Roman" w:cs="Arial"/>
                <w:sz w:val="24"/>
                <w:szCs w:val="24"/>
                <w:lang w:eastAsia="bg-BG"/>
              </w:rPr>
            </w:pPr>
            <w:r>
              <w:rPr>
                <w:b/>
                <w:bCs/>
                <w:lang w:eastAsia="bg-BG"/>
              </w:rPr>
              <w:t>Грам-положителни аеробни микроорганизми</w:t>
            </w:r>
          </w:p>
        </w:tc>
      </w:tr>
      <w:tr w:rsidR="0086708F" w14:paraId="69A78CD6" w14:textId="77777777" w:rsidTr="002E35EE">
        <w:tc>
          <w:tcPr>
            <w:tcW w:w="9500" w:type="dxa"/>
            <w:vAlign w:val="bottom"/>
          </w:tcPr>
          <w:p w14:paraId="0FB87B87" w14:textId="77777777" w:rsidR="0086708F" w:rsidRDefault="0086708F" w:rsidP="0086708F">
            <w:pPr>
              <w:rPr>
                <w:lang w:eastAsia="bg-BG"/>
              </w:rPr>
            </w:pPr>
            <w:r>
              <w:rPr>
                <w:i/>
                <w:iCs/>
              </w:rPr>
              <w:t>Mycobacterium avium</w:t>
            </w:r>
            <w:r>
              <w:rPr>
                <w:i/>
                <w:iCs/>
                <w:vertAlign w:val="superscript"/>
                <w:lang w:eastAsia="bg-BG"/>
              </w:rPr>
              <w:t>о</w:t>
            </w:r>
          </w:p>
          <w:p w14:paraId="7F2FD912" w14:textId="3367B01A" w:rsidR="0086708F" w:rsidRDefault="0086708F" w:rsidP="0086708F">
            <w:pPr>
              <w:spacing w:line="240" w:lineRule="auto"/>
              <w:rPr>
                <w:rFonts w:eastAsia="Times New Roman" w:cs="Arial"/>
                <w:sz w:val="24"/>
                <w:szCs w:val="24"/>
                <w:lang w:eastAsia="bg-BG"/>
              </w:rPr>
            </w:pPr>
            <w:r>
              <w:rPr>
                <w:i/>
                <w:iCs/>
              </w:rPr>
              <w:t>Streptococcus pyogenes</w:t>
            </w:r>
            <w:r>
              <w:rPr>
                <w:i/>
                <w:iCs/>
                <w:vertAlign w:val="superscript"/>
              </w:rPr>
              <w:t>1</w:t>
            </w:r>
          </w:p>
        </w:tc>
      </w:tr>
      <w:tr w:rsidR="0086708F" w14:paraId="410E677D" w14:textId="77777777" w:rsidTr="002E35EE">
        <w:tc>
          <w:tcPr>
            <w:tcW w:w="9500" w:type="dxa"/>
            <w:vAlign w:val="bottom"/>
          </w:tcPr>
          <w:p w14:paraId="5BD2CCFA" w14:textId="2BDBA8EB" w:rsidR="0086708F" w:rsidRDefault="0086708F" w:rsidP="0086708F">
            <w:pPr>
              <w:spacing w:line="240" w:lineRule="auto"/>
              <w:rPr>
                <w:rFonts w:eastAsia="Times New Roman" w:cs="Arial"/>
                <w:sz w:val="24"/>
                <w:szCs w:val="24"/>
                <w:lang w:eastAsia="bg-BG"/>
              </w:rPr>
            </w:pPr>
            <w:r>
              <w:rPr>
                <w:b/>
                <w:bCs/>
                <w:lang w:eastAsia="bg-BG"/>
              </w:rPr>
              <w:t>Аеробни грам-отрицателни микроорганизми</w:t>
            </w:r>
          </w:p>
        </w:tc>
      </w:tr>
      <w:tr w:rsidR="0086708F" w14:paraId="367D181C" w14:textId="77777777" w:rsidTr="002E35EE">
        <w:tc>
          <w:tcPr>
            <w:tcW w:w="9500" w:type="dxa"/>
            <w:vAlign w:val="bottom"/>
          </w:tcPr>
          <w:p w14:paraId="60A509FD" w14:textId="24EC0030" w:rsidR="0086708F" w:rsidRDefault="0086708F" w:rsidP="0086708F">
            <w:pPr>
              <w:spacing w:line="240" w:lineRule="auto"/>
              <w:rPr>
                <w:rFonts w:eastAsia="Times New Roman" w:cs="Arial"/>
                <w:sz w:val="24"/>
                <w:szCs w:val="24"/>
                <w:lang w:eastAsia="bg-BG"/>
              </w:rPr>
            </w:pPr>
            <w:r>
              <w:rPr>
                <w:i/>
                <w:iCs/>
              </w:rPr>
              <w:t>Haemophilus influenzae</w:t>
            </w:r>
            <w:r>
              <w:rPr>
                <w:i/>
                <w:iCs/>
                <w:vertAlign w:val="superscript"/>
              </w:rPr>
              <w:t>$</w:t>
            </w:r>
            <w:r>
              <w:rPr>
                <w:i/>
                <w:iCs/>
              </w:rPr>
              <w:t xml:space="preserve"> Moraxella catarrhalis</w:t>
            </w:r>
            <w:r>
              <w:rPr>
                <w:i/>
                <w:iCs/>
                <w:vertAlign w:val="superscript"/>
              </w:rPr>
              <w:t xml:space="preserve">0 </w:t>
            </w:r>
            <w:r>
              <w:rPr>
                <w:i/>
                <w:iCs/>
              </w:rPr>
              <w:t>Neisseria gonorrhoeae</w:t>
            </w:r>
          </w:p>
        </w:tc>
      </w:tr>
      <w:tr w:rsidR="0086708F" w14:paraId="0318F737" w14:textId="77777777" w:rsidTr="002E35EE">
        <w:tc>
          <w:tcPr>
            <w:tcW w:w="9500" w:type="dxa"/>
            <w:vAlign w:val="bottom"/>
          </w:tcPr>
          <w:p w14:paraId="7812C4E8" w14:textId="0CCFE97D" w:rsidR="0086708F" w:rsidRDefault="0086708F" w:rsidP="0086708F">
            <w:pPr>
              <w:spacing w:line="240" w:lineRule="auto"/>
              <w:rPr>
                <w:rFonts w:eastAsia="Times New Roman" w:cs="Arial"/>
                <w:sz w:val="24"/>
                <w:szCs w:val="24"/>
                <w:lang w:eastAsia="bg-BG"/>
              </w:rPr>
            </w:pPr>
            <w:r>
              <w:rPr>
                <w:b/>
                <w:bCs/>
                <w:lang w:eastAsia="bg-BG"/>
              </w:rPr>
              <w:t>Други микроорганизми</w:t>
            </w:r>
          </w:p>
        </w:tc>
      </w:tr>
      <w:tr w:rsidR="0086708F" w14:paraId="31BFE9D6" w14:textId="77777777" w:rsidTr="002E35EE">
        <w:tc>
          <w:tcPr>
            <w:tcW w:w="9500" w:type="dxa"/>
            <w:vAlign w:val="bottom"/>
          </w:tcPr>
          <w:p w14:paraId="1F3D0ECB" w14:textId="77777777" w:rsidR="0086708F" w:rsidRDefault="0086708F" w:rsidP="0086708F">
            <w:pPr>
              <w:rPr>
                <w:lang w:eastAsia="bg-BG"/>
              </w:rPr>
            </w:pPr>
            <w:r>
              <w:rPr>
                <w:i/>
                <w:iCs/>
              </w:rPr>
              <w:t>Chlamydophila pneumoniae</w:t>
            </w:r>
            <w:r>
              <w:rPr>
                <w:i/>
                <w:iCs/>
                <w:vertAlign w:val="superscript"/>
              </w:rPr>
              <w:t xml:space="preserve">0 </w:t>
            </w:r>
            <w:r>
              <w:rPr>
                <w:i/>
                <w:iCs/>
              </w:rPr>
              <w:t>Chlamydia trachomatis</w:t>
            </w:r>
            <w:r>
              <w:rPr>
                <w:i/>
                <w:iCs/>
                <w:vertAlign w:val="superscript"/>
                <w:lang w:eastAsia="bg-BG"/>
              </w:rPr>
              <w:t>о</w:t>
            </w:r>
          </w:p>
          <w:p w14:paraId="046D45EF" w14:textId="0C431F8A" w:rsidR="0086708F" w:rsidRDefault="0086708F" w:rsidP="0086708F">
            <w:pPr>
              <w:rPr>
                <w:lang w:eastAsia="bg-BG"/>
              </w:rPr>
            </w:pPr>
            <w:r>
              <w:rPr>
                <w:i/>
                <w:iCs/>
              </w:rPr>
              <w:t>Legionella spp°</w:t>
            </w:r>
          </w:p>
          <w:p w14:paraId="6FD0A111" w14:textId="6F20A089" w:rsidR="0086708F" w:rsidRDefault="0086708F" w:rsidP="0086708F">
            <w:pPr>
              <w:spacing w:line="240" w:lineRule="auto"/>
              <w:rPr>
                <w:rFonts w:eastAsia="Times New Roman" w:cs="Arial"/>
                <w:sz w:val="24"/>
                <w:szCs w:val="24"/>
                <w:lang w:eastAsia="bg-BG"/>
              </w:rPr>
            </w:pPr>
            <w:r>
              <w:rPr>
                <w:i/>
                <w:iCs/>
              </w:rPr>
              <w:t>Mycoplasma pneumoniae</w:t>
            </w:r>
            <w:r>
              <w:rPr>
                <w:i/>
                <w:iCs/>
                <w:vertAlign w:val="superscript"/>
              </w:rPr>
              <w:t>0</w:t>
            </w:r>
          </w:p>
        </w:tc>
      </w:tr>
      <w:tr w:rsidR="0086708F" w14:paraId="3A90BB3C" w14:textId="77777777" w:rsidTr="002E35EE">
        <w:tc>
          <w:tcPr>
            <w:tcW w:w="9500" w:type="dxa"/>
            <w:vAlign w:val="bottom"/>
          </w:tcPr>
          <w:p w14:paraId="2A7A8D70" w14:textId="51BBA93F" w:rsidR="0086708F" w:rsidRDefault="0086708F" w:rsidP="0086708F">
            <w:pPr>
              <w:spacing w:line="240" w:lineRule="auto"/>
              <w:rPr>
                <w:rFonts w:eastAsia="Times New Roman" w:cs="Arial"/>
                <w:sz w:val="24"/>
                <w:szCs w:val="24"/>
                <w:lang w:eastAsia="bg-BG"/>
              </w:rPr>
            </w:pPr>
            <w:r>
              <w:rPr>
                <w:b/>
                <w:bCs/>
                <w:lang w:eastAsia="bg-BG"/>
              </w:rPr>
              <w:t>Видове, приа които придобитата резистентност може да представлява проблем.</w:t>
            </w:r>
          </w:p>
        </w:tc>
      </w:tr>
      <w:tr w:rsidR="0086708F" w14:paraId="07D04DFF" w14:textId="77777777" w:rsidTr="0086708F">
        <w:tc>
          <w:tcPr>
            <w:tcW w:w="9500" w:type="dxa"/>
          </w:tcPr>
          <w:p w14:paraId="5D6BB374" w14:textId="77777777" w:rsidR="0086708F" w:rsidRDefault="0086708F" w:rsidP="0086708F">
            <w:pPr>
              <w:spacing w:line="240" w:lineRule="auto"/>
              <w:rPr>
                <w:rFonts w:eastAsia="Times New Roman" w:cs="Arial"/>
                <w:sz w:val="24"/>
                <w:szCs w:val="24"/>
                <w:lang w:eastAsia="bg-BG"/>
              </w:rPr>
            </w:pPr>
          </w:p>
        </w:tc>
      </w:tr>
      <w:tr w:rsidR="0086708F" w14:paraId="6C8040E0" w14:textId="77777777" w:rsidTr="002E35EE">
        <w:tc>
          <w:tcPr>
            <w:tcW w:w="9500" w:type="dxa"/>
            <w:vAlign w:val="bottom"/>
          </w:tcPr>
          <w:p w14:paraId="5D4CF5D8" w14:textId="2758AAEF" w:rsidR="0086708F" w:rsidRDefault="0086708F" w:rsidP="0086708F">
            <w:pPr>
              <w:spacing w:line="240" w:lineRule="auto"/>
              <w:rPr>
                <w:rFonts w:eastAsia="Times New Roman" w:cs="Arial"/>
                <w:sz w:val="24"/>
                <w:szCs w:val="24"/>
                <w:lang w:eastAsia="bg-BG"/>
              </w:rPr>
            </w:pPr>
            <w:r>
              <w:rPr>
                <w:b/>
                <w:bCs/>
                <w:lang w:eastAsia="bg-BG"/>
              </w:rPr>
              <w:t>Аеробни грам-положителни микроорганизми</w:t>
            </w:r>
          </w:p>
        </w:tc>
      </w:tr>
      <w:tr w:rsidR="0086708F" w14:paraId="7F89A5EE" w14:textId="77777777" w:rsidTr="0086708F">
        <w:tc>
          <w:tcPr>
            <w:tcW w:w="9500" w:type="dxa"/>
          </w:tcPr>
          <w:p w14:paraId="0FA24C86" w14:textId="77777777" w:rsidR="0086708F" w:rsidRDefault="0086708F" w:rsidP="0086708F">
            <w:pPr>
              <w:rPr>
                <w:lang w:eastAsia="bg-BG"/>
              </w:rPr>
            </w:pPr>
            <w:r>
              <w:rPr>
                <w:i/>
                <w:iCs/>
              </w:rPr>
              <w:t>Staphylococcus aureus</w:t>
            </w:r>
            <w:r>
              <w:t xml:space="preserve"> </w:t>
            </w:r>
            <w:r>
              <w:rPr>
                <w:lang w:eastAsia="bg-BG"/>
              </w:rPr>
              <w:t>(метицилин-чувствително)</w:t>
            </w:r>
          </w:p>
          <w:p w14:paraId="605E5EE9" w14:textId="77777777" w:rsidR="0086708F" w:rsidRDefault="0086708F" w:rsidP="0086708F">
            <w:pPr>
              <w:rPr>
                <w:lang w:eastAsia="bg-BG"/>
              </w:rPr>
            </w:pPr>
            <w:r>
              <w:rPr>
                <w:i/>
                <w:iCs/>
              </w:rPr>
              <w:t>Staphylococcus aureus</w:t>
            </w:r>
            <w:r>
              <w:t xml:space="preserve"> </w:t>
            </w:r>
            <w:r>
              <w:rPr>
                <w:lang w:eastAsia="bg-BG"/>
              </w:rPr>
              <w:t>(тетицилин-резистентни)</w:t>
            </w:r>
            <w:r>
              <w:rPr>
                <w:vertAlign w:val="superscript"/>
                <w:lang w:eastAsia="bg-BG"/>
              </w:rPr>
              <w:t>+</w:t>
            </w:r>
          </w:p>
          <w:p w14:paraId="1F6BED42" w14:textId="77777777" w:rsidR="0086708F" w:rsidRDefault="0086708F" w:rsidP="0086708F">
            <w:pPr>
              <w:rPr>
                <w:lang w:eastAsia="bg-BG"/>
              </w:rPr>
            </w:pPr>
            <w:r>
              <w:rPr>
                <w:i/>
                <w:iCs/>
              </w:rPr>
              <w:t>Streptococcus pneumoniae</w:t>
            </w:r>
          </w:p>
          <w:p w14:paraId="0F45B050" w14:textId="0A79C3F0" w:rsidR="0086708F" w:rsidRDefault="0086708F" w:rsidP="0086708F">
            <w:pPr>
              <w:spacing w:line="240" w:lineRule="auto"/>
              <w:rPr>
                <w:rFonts w:eastAsia="Times New Roman" w:cs="Arial"/>
                <w:sz w:val="24"/>
                <w:szCs w:val="24"/>
                <w:lang w:eastAsia="bg-BG"/>
              </w:rPr>
            </w:pPr>
            <w:r>
              <w:rPr>
                <w:i/>
                <w:iCs/>
              </w:rPr>
              <w:t>Streptococcus agalactiae</w:t>
            </w:r>
          </w:p>
        </w:tc>
      </w:tr>
      <w:tr w:rsidR="0086708F" w14:paraId="112D4382" w14:textId="77777777" w:rsidTr="0086708F">
        <w:tc>
          <w:tcPr>
            <w:tcW w:w="9500" w:type="dxa"/>
          </w:tcPr>
          <w:p w14:paraId="5EAF967E" w14:textId="202ACBF5" w:rsidR="0086708F" w:rsidRDefault="0086708F" w:rsidP="00C669F0">
            <w:pPr>
              <w:spacing w:line="240" w:lineRule="auto"/>
              <w:rPr>
                <w:rFonts w:eastAsia="Times New Roman" w:cs="Arial"/>
                <w:sz w:val="24"/>
                <w:szCs w:val="24"/>
                <w:lang w:eastAsia="bg-BG"/>
              </w:rPr>
            </w:pPr>
            <w:r>
              <w:rPr>
                <w:b/>
                <w:bCs/>
              </w:rPr>
              <w:t xml:space="preserve">Микроорганизми </w:t>
            </w:r>
            <w:r>
              <w:rPr>
                <w:b/>
                <w:bCs/>
                <w:lang w:val="en-US"/>
              </w:rPr>
              <w:t xml:space="preserve">c </w:t>
            </w:r>
            <w:r>
              <w:rPr>
                <w:b/>
                <w:bCs/>
              </w:rPr>
              <w:t>присъща резистентност</w:t>
            </w:r>
          </w:p>
        </w:tc>
      </w:tr>
      <w:tr w:rsidR="0086708F" w14:paraId="1F514BB7" w14:textId="77777777" w:rsidTr="00CE180A">
        <w:tc>
          <w:tcPr>
            <w:tcW w:w="9500" w:type="dxa"/>
            <w:vAlign w:val="bottom"/>
          </w:tcPr>
          <w:p w14:paraId="10837CA4" w14:textId="63B81360" w:rsidR="0086708F" w:rsidRDefault="0086708F" w:rsidP="0086708F">
            <w:pPr>
              <w:spacing w:line="240" w:lineRule="auto"/>
              <w:rPr>
                <w:rFonts w:eastAsia="Times New Roman" w:cs="Arial"/>
                <w:sz w:val="24"/>
                <w:szCs w:val="24"/>
                <w:lang w:eastAsia="bg-BG"/>
              </w:rPr>
            </w:pPr>
            <w:r>
              <w:rPr>
                <w:b/>
                <w:bCs/>
                <w:lang w:eastAsia="bg-BG"/>
              </w:rPr>
              <w:lastRenderedPageBreak/>
              <w:t>Аеробни грам-отрицателни микроорганизми</w:t>
            </w:r>
          </w:p>
        </w:tc>
      </w:tr>
      <w:tr w:rsidR="0086708F" w14:paraId="7D7D8F94" w14:textId="77777777" w:rsidTr="00CE180A">
        <w:tc>
          <w:tcPr>
            <w:tcW w:w="9500" w:type="dxa"/>
            <w:vAlign w:val="bottom"/>
          </w:tcPr>
          <w:p w14:paraId="27CC2AAF" w14:textId="77777777" w:rsidR="0086708F" w:rsidRDefault="0086708F" w:rsidP="0086708F">
            <w:pPr>
              <w:rPr>
                <w:lang w:eastAsia="bg-BG"/>
              </w:rPr>
            </w:pPr>
            <w:r>
              <w:rPr>
                <w:i/>
                <w:iCs/>
              </w:rPr>
              <w:t>Escherichia coli.</w:t>
            </w:r>
          </w:p>
          <w:p w14:paraId="5E8E4920" w14:textId="77777777" w:rsidR="0086708F" w:rsidRDefault="0086708F" w:rsidP="0086708F">
            <w:pPr>
              <w:rPr>
                <w:lang w:eastAsia="bg-BG"/>
              </w:rPr>
            </w:pPr>
            <w:r>
              <w:rPr>
                <w:i/>
                <w:iCs/>
              </w:rPr>
              <w:t>Klebsiella spp.</w:t>
            </w:r>
          </w:p>
          <w:p w14:paraId="0CD25E6F" w14:textId="13982A64" w:rsidR="0086708F" w:rsidRDefault="0086708F" w:rsidP="0086708F">
            <w:pPr>
              <w:spacing w:line="240" w:lineRule="auto"/>
              <w:rPr>
                <w:rFonts w:eastAsia="Times New Roman" w:cs="Arial"/>
                <w:sz w:val="24"/>
                <w:szCs w:val="24"/>
                <w:lang w:eastAsia="bg-BG"/>
              </w:rPr>
            </w:pPr>
            <w:r>
              <w:rPr>
                <w:i/>
                <w:iCs/>
              </w:rPr>
              <w:t>Pseudomonas aeruginosa</w:t>
            </w:r>
          </w:p>
        </w:tc>
      </w:tr>
    </w:tbl>
    <w:p w14:paraId="3FF23888" w14:textId="77777777" w:rsidR="00E620ED" w:rsidRPr="00E620ED" w:rsidRDefault="00E620ED" w:rsidP="00E620ED">
      <w:pPr>
        <w:spacing w:line="240" w:lineRule="auto"/>
        <w:rPr>
          <w:rFonts w:eastAsia="Times New Roman" w:cs="Arial"/>
          <w:sz w:val="24"/>
          <w:szCs w:val="24"/>
          <w:lang w:eastAsia="bg-BG"/>
        </w:rPr>
      </w:pPr>
      <w:r w:rsidRPr="00E620ED">
        <w:rPr>
          <w:rFonts w:eastAsia="Times New Roman" w:cs="Arial"/>
          <w:color w:val="000000"/>
          <w:lang w:eastAsia="bg-BG"/>
        </w:rPr>
        <w:t>°От момента на публикуване до сега няма данни. В началната литература, се приемат стандартни дейности и насоки за лечение на чувствителност.</w:t>
      </w:r>
    </w:p>
    <w:p w14:paraId="4A6F9DBC" w14:textId="77777777" w:rsidR="00E620ED" w:rsidRPr="00E620ED" w:rsidRDefault="00E620ED" w:rsidP="00E620ED">
      <w:pPr>
        <w:spacing w:line="240" w:lineRule="auto"/>
        <w:rPr>
          <w:rFonts w:eastAsia="Times New Roman" w:cs="Arial"/>
          <w:sz w:val="24"/>
          <w:szCs w:val="24"/>
          <w:lang w:eastAsia="bg-BG"/>
        </w:rPr>
      </w:pPr>
      <w:r w:rsidRPr="00E620ED">
        <w:rPr>
          <w:rFonts w:eastAsia="Times New Roman" w:cs="Arial"/>
          <w:color w:val="000000"/>
          <w:vertAlign w:val="superscript"/>
          <w:lang w:eastAsia="bg-BG"/>
        </w:rPr>
        <w:t>1</w:t>
      </w:r>
      <w:r w:rsidRPr="00E620ED">
        <w:rPr>
          <w:rFonts w:eastAsia="Times New Roman" w:cs="Arial"/>
          <w:color w:val="000000"/>
          <w:lang w:eastAsia="bg-BG"/>
        </w:rPr>
        <w:t xml:space="preserve"> Процент на резистентност в някои проучвания ≥ 10%.</w:t>
      </w:r>
    </w:p>
    <w:p w14:paraId="37031774" w14:textId="77777777" w:rsidR="00E620ED" w:rsidRPr="00E620ED" w:rsidRDefault="00E620ED" w:rsidP="00E620ED">
      <w:pPr>
        <w:spacing w:line="240" w:lineRule="auto"/>
        <w:rPr>
          <w:rFonts w:eastAsia="Times New Roman" w:cs="Arial"/>
          <w:sz w:val="24"/>
          <w:szCs w:val="24"/>
          <w:lang w:eastAsia="bg-BG"/>
        </w:rPr>
      </w:pPr>
      <w:r w:rsidRPr="00E620ED">
        <w:rPr>
          <w:rFonts w:eastAsia="Times New Roman" w:cs="Arial"/>
          <w:color w:val="000000"/>
          <w:vertAlign w:val="superscript"/>
          <w:lang w:eastAsia="bg-BG"/>
        </w:rPr>
        <w:t>$</w:t>
      </w:r>
      <w:r w:rsidRPr="00E620ED">
        <w:rPr>
          <w:rFonts w:eastAsia="Times New Roman" w:cs="Arial"/>
          <w:color w:val="000000"/>
          <w:lang w:eastAsia="bg-BG"/>
        </w:rPr>
        <w:t xml:space="preserve"> Видове, които показват естествена средна чувствителност (при отсъствиетона придобит механизъм на резистентност)</w:t>
      </w:r>
    </w:p>
    <w:p w14:paraId="0CA79509" w14:textId="77777777" w:rsidR="00E620ED" w:rsidRPr="00E620ED" w:rsidRDefault="00E620ED" w:rsidP="00E620ED">
      <w:pPr>
        <w:spacing w:line="240" w:lineRule="auto"/>
        <w:rPr>
          <w:rFonts w:eastAsia="Times New Roman" w:cs="Arial"/>
          <w:sz w:val="24"/>
          <w:szCs w:val="24"/>
          <w:lang w:eastAsia="bg-BG"/>
        </w:rPr>
      </w:pPr>
      <w:r w:rsidRPr="00E620ED">
        <w:rPr>
          <w:rFonts w:eastAsia="Times New Roman" w:cs="Arial"/>
          <w:color w:val="000000"/>
          <w:vertAlign w:val="superscript"/>
          <w:lang w:eastAsia="bg-BG"/>
        </w:rPr>
        <w:t>+</w:t>
      </w:r>
      <w:r w:rsidRPr="00E620ED">
        <w:rPr>
          <w:rFonts w:eastAsia="Times New Roman" w:cs="Arial"/>
          <w:color w:val="000000"/>
          <w:lang w:eastAsia="bg-BG"/>
        </w:rPr>
        <w:t>Процент + Резистентност повече от 50% в поне една област в рамките на ЕС.</w:t>
      </w:r>
    </w:p>
    <w:p w14:paraId="7BD09723" w14:textId="77777777" w:rsidR="00E620ED" w:rsidRPr="00E620ED" w:rsidRDefault="00E620ED" w:rsidP="00E620ED">
      <w:pPr>
        <w:spacing w:line="240" w:lineRule="auto"/>
        <w:rPr>
          <w:rFonts w:eastAsia="Times New Roman" w:cs="Arial"/>
          <w:color w:val="000000"/>
          <w:u w:val="single"/>
          <w:lang w:eastAsia="bg-BG"/>
        </w:rPr>
      </w:pPr>
    </w:p>
    <w:p w14:paraId="140D3039" w14:textId="3391CF75" w:rsidR="00E620ED" w:rsidRPr="00E620ED" w:rsidRDefault="00E620ED" w:rsidP="00E620ED">
      <w:pPr>
        <w:spacing w:line="240" w:lineRule="auto"/>
        <w:rPr>
          <w:rFonts w:eastAsia="Times New Roman" w:cs="Arial"/>
          <w:sz w:val="24"/>
          <w:szCs w:val="24"/>
          <w:lang w:eastAsia="bg-BG"/>
        </w:rPr>
      </w:pPr>
      <w:r w:rsidRPr="00E620ED">
        <w:rPr>
          <w:rFonts w:eastAsia="Times New Roman" w:cs="Arial"/>
          <w:color w:val="000000"/>
          <w:u w:val="single"/>
          <w:lang w:eastAsia="bg-BG"/>
        </w:rPr>
        <w:t>Педиатрична популация</w:t>
      </w:r>
    </w:p>
    <w:p w14:paraId="58FFA5CA" w14:textId="77777777" w:rsidR="00E620ED" w:rsidRPr="00E620ED" w:rsidRDefault="00E620ED" w:rsidP="00E620ED">
      <w:pPr>
        <w:spacing w:line="240" w:lineRule="auto"/>
        <w:rPr>
          <w:rFonts w:eastAsia="Times New Roman" w:cs="Arial"/>
          <w:sz w:val="24"/>
          <w:szCs w:val="24"/>
          <w:lang w:eastAsia="bg-BG"/>
        </w:rPr>
      </w:pPr>
      <w:r w:rsidRPr="00E620ED">
        <w:rPr>
          <w:rFonts w:eastAsia="Times New Roman" w:cs="Arial"/>
          <w:color w:val="000000"/>
          <w:lang w:eastAsia="bg-BG"/>
        </w:rPr>
        <w:t>След оценката на проучванията, проведени при деца, употребата на азитромицин не се препоръчва за лечение на малария, нито като монотерапия, нито в комбинация с лекарства на основата на хлороквин или артемизинин, поради установена липса на предимсво на това лекарство в сравнение с антималарийните лекарства, препоръчани при лечението на неусложнена малария.</w:t>
      </w:r>
    </w:p>
    <w:p w14:paraId="353F1617" w14:textId="77777777" w:rsidR="00C669F0" w:rsidRPr="00C669F0" w:rsidRDefault="00C669F0" w:rsidP="00C669F0">
      <w:pPr>
        <w:spacing w:line="240" w:lineRule="auto"/>
        <w:rPr>
          <w:rFonts w:eastAsia="Times New Roman" w:cs="Arial"/>
          <w:sz w:val="24"/>
          <w:szCs w:val="24"/>
          <w:lang w:eastAsia="bg-BG"/>
        </w:rPr>
      </w:pPr>
    </w:p>
    <w:p w14:paraId="29FB118F" w14:textId="77777777" w:rsidR="00C669F0" w:rsidRPr="00C669F0" w:rsidRDefault="00C669F0" w:rsidP="00C669F0"/>
    <w:p w14:paraId="544FFDAF" w14:textId="6C917F1E" w:rsidR="00F62E44" w:rsidRDefault="002C50EE" w:rsidP="00387A66">
      <w:pPr>
        <w:pStyle w:val="Heading2"/>
      </w:pPr>
      <w:r>
        <w:t>5.2. Фармакокинетични свойства</w:t>
      </w:r>
    </w:p>
    <w:p w14:paraId="24C69F55" w14:textId="72DB360D" w:rsidR="00E620ED" w:rsidRDefault="00E620ED" w:rsidP="00E620ED"/>
    <w:p w14:paraId="2136A5FE" w14:textId="77777777" w:rsidR="00E620ED" w:rsidRPr="00E620ED" w:rsidRDefault="00E620ED" w:rsidP="00E620ED">
      <w:pPr>
        <w:spacing w:line="240" w:lineRule="auto"/>
        <w:rPr>
          <w:rFonts w:eastAsia="Times New Roman" w:cs="Arial"/>
          <w:sz w:val="24"/>
          <w:szCs w:val="24"/>
          <w:lang w:eastAsia="bg-BG"/>
        </w:rPr>
      </w:pPr>
      <w:r w:rsidRPr="00E620ED">
        <w:rPr>
          <w:rFonts w:eastAsia="Times New Roman" w:cs="Arial"/>
          <w:i/>
          <w:iCs/>
          <w:color w:val="000000"/>
          <w:u w:val="single"/>
          <w:lang w:eastAsia="bg-BG"/>
        </w:rPr>
        <w:t>Абсорбция</w:t>
      </w:r>
    </w:p>
    <w:p w14:paraId="488AC994" w14:textId="77777777" w:rsidR="00E620ED" w:rsidRPr="00E620ED" w:rsidRDefault="00E620ED" w:rsidP="00E620ED">
      <w:pPr>
        <w:spacing w:line="240" w:lineRule="auto"/>
        <w:rPr>
          <w:rFonts w:eastAsia="Times New Roman" w:cs="Arial"/>
          <w:sz w:val="24"/>
          <w:szCs w:val="24"/>
          <w:lang w:eastAsia="bg-BG"/>
        </w:rPr>
      </w:pPr>
      <w:r w:rsidRPr="00E620ED">
        <w:rPr>
          <w:rFonts w:eastAsia="Times New Roman" w:cs="Arial"/>
          <w:color w:val="000000"/>
          <w:lang w:eastAsia="bg-BG"/>
        </w:rPr>
        <w:t>Бионаличността е приблизително 37%. Максималната плазмена концентрация се достига за 2-3 часа след приема на лекарствения продукт. Средната максимална концентрация се наблюдава (С</w:t>
      </w:r>
      <w:r w:rsidRPr="00E620ED">
        <w:rPr>
          <w:rFonts w:eastAsia="Times New Roman" w:cs="Arial"/>
          <w:color w:val="000000"/>
          <w:vertAlign w:val="subscript"/>
          <w:lang w:val="en-US"/>
        </w:rPr>
        <w:t>max</w:t>
      </w:r>
      <w:r w:rsidRPr="00E620ED">
        <w:rPr>
          <w:rFonts w:eastAsia="Times New Roman" w:cs="Arial"/>
          <w:color w:val="000000"/>
          <w:lang w:eastAsia="bg-BG"/>
        </w:rPr>
        <w:t xml:space="preserve">) след еднократна доза от 500 </w:t>
      </w:r>
      <w:r w:rsidRPr="00E620ED">
        <w:rPr>
          <w:rFonts w:eastAsia="Times New Roman" w:cs="Arial"/>
          <w:color w:val="000000"/>
          <w:lang w:val="en-US"/>
        </w:rPr>
        <w:t xml:space="preserve">mg </w:t>
      </w:r>
      <w:r w:rsidRPr="00E620ED">
        <w:rPr>
          <w:rFonts w:eastAsia="Times New Roman" w:cs="Arial"/>
          <w:color w:val="000000"/>
          <w:lang w:eastAsia="bg-BG"/>
        </w:rPr>
        <w:t>е приблизително 0.4 μ</w:t>
      </w:r>
      <w:r w:rsidRPr="00E620ED">
        <w:rPr>
          <w:rFonts w:eastAsia="Times New Roman" w:cs="Arial"/>
          <w:color w:val="000000"/>
          <w:lang w:val="en-US"/>
        </w:rPr>
        <w:t>g/ml.</w:t>
      </w:r>
    </w:p>
    <w:p w14:paraId="1793FDA0" w14:textId="77777777" w:rsidR="00E620ED" w:rsidRPr="00E664A3" w:rsidRDefault="00E620ED" w:rsidP="00E620ED">
      <w:pPr>
        <w:spacing w:line="240" w:lineRule="auto"/>
        <w:rPr>
          <w:rFonts w:eastAsia="Times New Roman" w:cs="Arial"/>
          <w:i/>
          <w:iCs/>
          <w:color w:val="000000"/>
          <w:u w:val="single"/>
          <w:lang w:eastAsia="bg-BG"/>
        </w:rPr>
      </w:pPr>
    </w:p>
    <w:p w14:paraId="0F641779" w14:textId="5BC45F97" w:rsidR="00E620ED" w:rsidRPr="00E620ED" w:rsidRDefault="00E620ED" w:rsidP="00E620ED">
      <w:pPr>
        <w:spacing w:line="240" w:lineRule="auto"/>
        <w:rPr>
          <w:rFonts w:eastAsia="Times New Roman" w:cs="Arial"/>
          <w:sz w:val="24"/>
          <w:szCs w:val="24"/>
          <w:lang w:eastAsia="bg-BG"/>
        </w:rPr>
      </w:pPr>
      <w:r w:rsidRPr="00E620ED">
        <w:rPr>
          <w:rFonts w:eastAsia="Times New Roman" w:cs="Arial"/>
          <w:i/>
          <w:iCs/>
          <w:color w:val="000000"/>
          <w:u w:val="single"/>
          <w:lang w:eastAsia="bg-BG"/>
        </w:rPr>
        <w:t>Разпределение</w:t>
      </w:r>
    </w:p>
    <w:p w14:paraId="0DE5353B" w14:textId="77777777" w:rsidR="00E620ED" w:rsidRPr="00E620ED" w:rsidRDefault="00E620ED" w:rsidP="00E620ED">
      <w:pPr>
        <w:spacing w:line="240" w:lineRule="auto"/>
        <w:rPr>
          <w:rFonts w:eastAsia="Times New Roman" w:cs="Arial"/>
          <w:sz w:val="24"/>
          <w:szCs w:val="24"/>
          <w:lang w:eastAsia="bg-BG"/>
        </w:rPr>
      </w:pPr>
      <w:r w:rsidRPr="00E620ED">
        <w:rPr>
          <w:rFonts w:eastAsia="Times New Roman" w:cs="Arial"/>
          <w:color w:val="000000"/>
          <w:lang w:eastAsia="bg-BG"/>
        </w:rPr>
        <w:t>След перорално приложение, азитромицин значително се разпространява напълно в човешкия организъм.</w:t>
      </w:r>
    </w:p>
    <w:p w14:paraId="2D37DBB8" w14:textId="77777777" w:rsidR="00E620ED" w:rsidRPr="00E620ED" w:rsidRDefault="00E620ED" w:rsidP="00E620ED">
      <w:pPr>
        <w:spacing w:line="240" w:lineRule="auto"/>
        <w:rPr>
          <w:rFonts w:eastAsia="Times New Roman" w:cs="Arial"/>
          <w:sz w:val="24"/>
          <w:szCs w:val="24"/>
          <w:lang w:eastAsia="bg-BG"/>
        </w:rPr>
      </w:pPr>
      <w:r w:rsidRPr="00E620ED">
        <w:rPr>
          <w:rFonts w:eastAsia="Times New Roman" w:cs="Arial"/>
          <w:color w:val="000000"/>
          <w:lang w:eastAsia="bg-BG"/>
        </w:rPr>
        <w:t xml:space="preserve">Фармакокинетичните проучвания са демонстрирали тъканни нива на азитромицин много по- високи от плазмените нива (до 50 пъти максимална плазмена концентрация), което показва, че тъканното свързване на лекарствения продукт е значително. Високи концентрации на азитромицин в белите дробове, сливиците и простатата се подържат дори и когато серумните или плазмените концентрации паднат под определено ниво. Концентрацията в таргетните тъкани, такива като бели дробове, сливици и простата, превишават </w:t>
      </w:r>
      <w:r w:rsidRPr="00E620ED">
        <w:rPr>
          <w:rFonts w:eastAsia="Times New Roman" w:cs="Arial"/>
          <w:color w:val="000000"/>
          <w:lang w:val="en-US"/>
        </w:rPr>
        <w:t xml:space="preserve">MIC90 </w:t>
      </w:r>
      <w:r w:rsidRPr="00E620ED">
        <w:rPr>
          <w:rFonts w:eastAsia="Times New Roman" w:cs="Arial"/>
          <w:color w:val="000000"/>
          <w:lang w:eastAsia="bg-BG"/>
        </w:rPr>
        <w:t xml:space="preserve">за типичните патогени след единична доза от 500 </w:t>
      </w:r>
      <w:r w:rsidRPr="00E620ED">
        <w:rPr>
          <w:rFonts w:eastAsia="Times New Roman" w:cs="Arial"/>
          <w:color w:val="000000"/>
          <w:lang w:val="en-US"/>
        </w:rPr>
        <w:t>mg.</w:t>
      </w:r>
    </w:p>
    <w:p w14:paraId="709289F4" w14:textId="77777777" w:rsidR="00E620ED" w:rsidRPr="00E664A3" w:rsidRDefault="00E620ED" w:rsidP="00E620ED">
      <w:pPr>
        <w:spacing w:line="240" w:lineRule="auto"/>
        <w:rPr>
          <w:rFonts w:eastAsia="Times New Roman" w:cs="Arial"/>
          <w:color w:val="000000"/>
          <w:lang w:eastAsia="bg-BG"/>
        </w:rPr>
      </w:pPr>
    </w:p>
    <w:p w14:paraId="52F50007" w14:textId="237592EE" w:rsidR="00E620ED" w:rsidRPr="00E620ED" w:rsidRDefault="00E620ED" w:rsidP="00E620ED">
      <w:pPr>
        <w:spacing w:line="240" w:lineRule="auto"/>
        <w:rPr>
          <w:rFonts w:eastAsia="Times New Roman" w:cs="Arial"/>
          <w:sz w:val="24"/>
          <w:szCs w:val="24"/>
          <w:lang w:eastAsia="bg-BG"/>
        </w:rPr>
      </w:pPr>
      <w:r w:rsidRPr="00E620ED">
        <w:rPr>
          <w:rFonts w:eastAsia="Times New Roman" w:cs="Arial"/>
          <w:color w:val="000000"/>
          <w:lang w:eastAsia="bg-BG"/>
        </w:rPr>
        <w:t>При изпитвания върху животни, високи концентрации на азитромицин са открити във фагоцитите. Също така е установено, че по време на активна фагоцитоза, по-високи концентрации на азитромицин са освободени от неактивните фагоцити. Следователно, при проучванията с животни, концентрациите на азитромицин, измерени във възпалителните огнища са високи.</w:t>
      </w:r>
    </w:p>
    <w:p w14:paraId="1C0EF2BF" w14:textId="77777777" w:rsidR="00E620ED" w:rsidRPr="00E620ED" w:rsidRDefault="00E620ED" w:rsidP="00E620ED">
      <w:pPr>
        <w:spacing w:line="240" w:lineRule="auto"/>
        <w:rPr>
          <w:rFonts w:eastAsia="Times New Roman" w:cs="Arial"/>
          <w:sz w:val="24"/>
          <w:szCs w:val="24"/>
          <w:lang w:eastAsia="bg-BG"/>
        </w:rPr>
      </w:pPr>
      <w:r w:rsidRPr="00E620ED">
        <w:rPr>
          <w:rFonts w:eastAsia="Times New Roman" w:cs="Arial"/>
          <w:color w:val="000000"/>
          <w:lang w:eastAsia="bg-BG"/>
        </w:rPr>
        <w:t xml:space="preserve">Свързването със серумните протеини варира според концентрацията и варира от 12% на 0,5 </w:t>
      </w:r>
      <w:r w:rsidRPr="00E620ED">
        <w:rPr>
          <w:rFonts w:eastAsia="Times New Roman" w:cs="Arial"/>
          <w:color w:val="000000"/>
          <w:lang w:val="en-US"/>
        </w:rPr>
        <w:t xml:space="preserve">microgram/ml </w:t>
      </w:r>
      <w:r w:rsidRPr="00E620ED">
        <w:rPr>
          <w:rFonts w:eastAsia="Times New Roman" w:cs="Arial"/>
          <w:color w:val="000000"/>
          <w:lang w:eastAsia="bg-BG"/>
        </w:rPr>
        <w:t xml:space="preserve">до 52% при 0,05 </w:t>
      </w:r>
      <w:r w:rsidRPr="00E620ED">
        <w:rPr>
          <w:rFonts w:eastAsia="Times New Roman" w:cs="Arial"/>
          <w:color w:val="000000"/>
          <w:lang w:val="en-US"/>
        </w:rPr>
        <w:t xml:space="preserve">microgram/ml. </w:t>
      </w:r>
      <w:r w:rsidRPr="00E620ED">
        <w:rPr>
          <w:rFonts w:eastAsia="Times New Roman" w:cs="Arial"/>
          <w:color w:val="000000"/>
          <w:lang w:eastAsia="bg-BG"/>
        </w:rPr>
        <w:t xml:space="preserve">Средният обем на разпределение в равновесно състояние </w:t>
      </w:r>
      <w:r w:rsidRPr="00E620ED">
        <w:rPr>
          <w:rFonts w:eastAsia="Times New Roman" w:cs="Arial"/>
          <w:color w:val="000000"/>
          <w:lang w:val="en-US"/>
        </w:rPr>
        <w:t>(</w:t>
      </w:r>
      <w:proofErr w:type="spellStart"/>
      <w:r w:rsidRPr="00E620ED">
        <w:rPr>
          <w:rFonts w:eastAsia="Times New Roman" w:cs="Arial"/>
          <w:color w:val="000000"/>
          <w:lang w:val="en-US"/>
        </w:rPr>
        <w:t>VVss</w:t>
      </w:r>
      <w:proofErr w:type="spellEnd"/>
      <w:r w:rsidRPr="00E620ED">
        <w:rPr>
          <w:rFonts w:eastAsia="Times New Roman" w:cs="Arial"/>
          <w:color w:val="000000"/>
          <w:lang w:val="en-US"/>
        </w:rPr>
        <w:t xml:space="preserve">) </w:t>
      </w:r>
      <w:r w:rsidRPr="00E620ED">
        <w:rPr>
          <w:rFonts w:eastAsia="Times New Roman" w:cs="Arial"/>
          <w:color w:val="000000"/>
          <w:lang w:eastAsia="bg-BG"/>
        </w:rPr>
        <w:t xml:space="preserve">е изчислен на 31,1 </w:t>
      </w:r>
      <w:r w:rsidRPr="00E620ED">
        <w:rPr>
          <w:rFonts w:eastAsia="Times New Roman" w:cs="Arial"/>
          <w:color w:val="000000"/>
          <w:lang w:val="en-US"/>
        </w:rPr>
        <w:t>l/kg.</w:t>
      </w:r>
    </w:p>
    <w:p w14:paraId="1C7422AD" w14:textId="77777777" w:rsidR="00E620ED" w:rsidRPr="00E664A3" w:rsidRDefault="00E620ED" w:rsidP="00E620ED">
      <w:pPr>
        <w:spacing w:line="240" w:lineRule="auto"/>
        <w:rPr>
          <w:rFonts w:eastAsia="Times New Roman" w:cs="Arial"/>
          <w:i/>
          <w:iCs/>
          <w:color w:val="000000"/>
          <w:u w:val="single"/>
          <w:lang w:eastAsia="bg-BG"/>
        </w:rPr>
      </w:pPr>
    </w:p>
    <w:p w14:paraId="048359F0" w14:textId="40C33925" w:rsidR="00E620ED" w:rsidRPr="00E620ED" w:rsidRDefault="00E620ED" w:rsidP="00E620ED">
      <w:pPr>
        <w:spacing w:line="240" w:lineRule="auto"/>
        <w:rPr>
          <w:rFonts w:eastAsia="Times New Roman" w:cs="Arial"/>
          <w:sz w:val="24"/>
          <w:szCs w:val="24"/>
          <w:lang w:eastAsia="bg-BG"/>
        </w:rPr>
      </w:pPr>
      <w:r w:rsidRPr="00E620ED">
        <w:rPr>
          <w:rFonts w:eastAsia="Times New Roman" w:cs="Arial"/>
          <w:i/>
          <w:iCs/>
          <w:color w:val="000000"/>
          <w:u w:val="single"/>
          <w:lang w:eastAsia="bg-BG"/>
        </w:rPr>
        <w:t>Биотрансформаиия и елиминиране</w:t>
      </w:r>
    </w:p>
    <w:p w14:paraId="3E1E09C7" w14:textId="77777777" w:rsidR="00E620ED" w:rsidRPr="00E620ED" w:rsidRDefault="00E620ED" w:rsidP="00E620ED">
      <w:pPr>
        <w:spacing w:line="240" w:lineRule="auto"/>
        <w:rPr>
          <w:rFonts w:eastAsia="Times New Roman" w:cs="Arial"/>
          <w:sz w:val="24"/>
          <w:szCs w:val="24"/>
          <w:lang w:eastAsia="bg-BG"/>
        </w:rPr>
      </w:pPr>
      <w:r w:rsidRPr="00E620ED">
        <w:rPr>
          <w:rFonts w:eastAsia="Times New Roman" w:cs="Arial"/>
          <w:color w:val="000000"/>
          <w:lang w:eastAsia="bg-BG"/>
        </w:rPr>
        <w:t>Терминалният плазмен елиминационен полуживот точно рефлектира на тьканния елиминационен полуживот и е между 2 и 4 дни.</w:t>
      </w:r>
    </w:p>
    <w:p w14:paraId="2169FCF9" w14:textId="77777777" w:rsidR="00E620ED" w:rsidRPr="00E620ED" w:rsidRDefault="00E620ED" w:rsidP="00E620ED">
      <w:pPr>
        <w:spacing w:line="240" w:lineRule="auto"/>
        <w:rPr>
          <w:rFonts w:eastAsia="Times New Roman" w:cs="Arial"/>
          <w:sz w:val="24"/>
          <w:szCs w:val="24"/>
          <w:lang w:eastAsia="bg-BG"/>
        </w:rPr>
      </w:pPr>
      <w:r w:rsidRPr="00E620ED">
        <w:rPr>
          <w:rFonts w:eastAsia="Times New Roman" w:cs="Arial"/>
          <w:color w:val="000000"/>
          <w:lang w:eastAsia="bg-BG"/>
        </w:rPr>
        <w:lastRenderedPageBreak/>
        <w:t xml:space="preserve">Приблизително 12% от интравенозно приложената доза азитромицин се екскретира непроменена в урината в рамките на следващите три дни. Особено високи концентрация на непроменен азитромицин са открити в човешката жлъчка. Десет метаболити са били открити в жлъчката, които са се образували чрез </w:t>
      </w:r>
      <w:r w:rsidRPr="00E620ED">
        <w:rPr>
          <w:rFonts w:eastAsia="Times New Roman" w:cs="Arial"/>
          <w:color w:val="000000"/>
          <w:lang w:val="en-US"/>
        </w:rPr>
        <w:t>N</w:t>
      </w:r>
      <w:r w:rsidRPr="00E620ED">
        <w:rPr>
          <w:rFonts w:eastAsia="Times New Roman" w:cs="Arial"/>
          <w:color w:val="000000"/>
          <w:lang w:eastAsia="bg-BG"/>
        </w:rPr>
        <w:t>-и О-деметилиране, хидроксилиране на дезозамин и агликонови пръстени и деградацията на кладиноза конюгат. Сравнението на резултатите от течна хроматография и микробиологичен анализ показва, че метаболитите на азитромичцин не</w:t>
      </w:r>
    </w:p>
    <w:p w14:paraId="5EB57713" w14:textId="2E62FF58" w:rsidR="00E620ED" w:rsidRPr="00E664A3" w:rsidRDefault="00E620ED" w:rsidP="00E620ED">
      <w:pPr>
        <w:rPr>
          <w:rFonts w:eastAsia="Times New Roman" w:cs="Arial"/>
          <w:color w:val="000000"/>
          <w:lang w:eastAsia="bg-BG"/>
        </w:rPr>
      </w:pPr>
      <w:r w:rsidRPr="00E664A3">
        <w:rPr>
          <w:rFonts w:eastAsia="Times New Roman" w:cs="Arial"/>
          <w:color w:val="000000"/>
          <w:lang w:eastAsia="bg-BG"/>
        </w:rPr>
        <w:t>са микробиологично активни.</w:t>
      </w:r>
    </w:p>
    <w:p w14:paraId="26EAAB29" w14:textId="13B515B8" w:rsidR="00E620ED" w:rsidRPr="00E664A3" w:rsidRDefault="00E620ED" w:rsidP="00E620ED">
      <w:pPr>
        <w:rPr>
          <w:rFonts w:eastAsia="Times New Roman" w:cs="Arial"/>
          <w:color w:val="000000"/>
          <w:lang w:eastAsia="bg-BG"/>
        </w:rPr>
      </w:pPr>
    </w:p>
    <w:p w14:paraId="49652548" w14:textId="77777777" w:rsidR="00E620ED" w:rsidRPr="00E620ED" w:rsidRDefault="00E620ED" w:rsidP="00E620ED">
      <w:pPr>
        <w:spacing w:line="240" w:lineRule="auto"/>
        <w:rPr>
          <w:rFonts w:eastAsia="Times New Roman" w:cs="Arial"/>
          <w:sz w:val="24"/>
          <w:szCs w:val="24"/>
          <w:lang w:eastAsia="bg-BG"/>
        </w:rPr>
      </w:pPr>
      <w:r w:rsidRPr="00E620ED">
        <w:rPr>
          <w:rFonts w:eastAsia="Times New Roman" w:cs="Arial"/>
          <w:color w:val="000000"/>
          <w:u w:val="single"/>
          <w:lang w:eastAsia="bg-BG"/>
        </w:rPr>
        <w:t>Фармакокинетика при специални популации</w:t>
      </w:r>
      <w:r w:rsidRPr="00E620ED">
        <w:rPr>
          <w:rFonts w:eastAsia="Times New Roman" w:cs="Arial"/>
          <w:color w:val="000000"/>
          <w:lang w:eastAsia="bg-BG"/>
        </w:rPr>
        <w:t>:</w:t>
      </w:r>
    </w:p>
    <w:p w14:paraId="53860611" w14:textId="77777777" w:rsidR="00E620ED" w:rsidRPr="00E664A3" w:rsidRDefault="00E620ED" w:rsidP="00E620ED">
      <w:pPr>
        <w:spacing w:line="240" w:lineRule="auto"/>
        <w:rPr>
          <w:rFonts w:eastAsia="Times New Roman" w:cs="Arial"/>
          <w:i/>
          <w:iCs/>
          <w:color w:val="000000"/>
          <w:lang w:eastAsia="bg-BG"/>
        </w:rPr>
      </w:pPr>
    </w:p>
    <w:p w14:paraId="485404BC" w14:textId="1366382E" w:rsidR="00E620ED" w:rsidRPr="00E620ED" w:rsidRDefault="00E620ED" w:rsidP="00E620ED">
      <w:pPr>
        <w:spacing w:line="240" w:lineRule="auto"/>
        <w:rPr>
          <w:rFonts w:eastAsia="Times New Roman" w:cs="Arial"/>
          <w:sz w:val="24"/>
          <w:szCs w:val="24"/>
          <w:lang w:eastAsia="bg-BG"/>
        </w:rPr>
      </w:pPr>
      <w:r w:rsidRPr="00E620ED">
        <w:rPr>
          <w:rFonts w:eastAsia="Times New Roman" w:cs="Arial"/>
          <w:i/>
          <w:iCs/>
          <w:color w:val="000000"/>
          <w:lang w:eastAsia="bg-BG"/>
        </w:rPr>
        <w:t>Бъбречно увреждане</w:t>
      </w:r>
    </w:p>
    <w:p w14:paraId="5A46885F" w14:textId="77777777" w:rsidR="00E620ED" w:rsidRPr="00E620ED" w:rsidRDefault="00E620ED" w:rsidP="00E620ED">
      <w:pPr>
        <w:spacing w:line="240" w:lineRule="auto"/>
        <w:rPr>
          <w:rFonts w:eastAsia="Times New Roman" w:cs="Arial"/>
          <w:sz w:val="24"/>
          <w:szCs w:val="24"/>
          <w:lang w:eastAsia="bg-BG"/>
        </w:rPr>
      </w:pPr>
      <w:r w:rsidRPr="00E620ED">
        <w:rPr>
          <w:rFonts w:eastAsia="Times New Roman" w:cs="Arial"/>
          <w:color w:val="000000"/>
          <w:lang w:eastAsia="bg-BG"/>
        </w:rPr>
        <w:t>След еднократна перорална доза азитромицин един грам, С</w:t>
      </w:r>
      <w:r w:rsidRPr="00E620ED">
        <w:rPr>
          <w:rFonts w:eastAsia="Times New Roman" w:cs="Arial"/>
          <w:color w:val="000000"/>
          <w:vertAlign w:val="subscript"/>
          <w:lang w:val="en-US"/>
        </w:rPr>
        <w:t>max</w:t>
      </w:r>
      <w:r w:rsidRPr="00E620ED">
        <w:rPr>
          <w:rFonts w:eastAsia="Times New Roman" w:cs="Arial"/>
          <w:color w:val="000000"/>
          <w:lang w:eastAsia="bg-BG"/>
        </w:rPr>
        <w:t xml:space="preserve"> и </w:t>
      </w:r>
      <w:r w:rsidRPr="00E620ED">
        <w:rPr>
          <w:rFonts w:eastAsia="Times New Roman" w:cs="Arial"/>
          <w:color w:val="000000"/>
          <w:lang w:val="en-US"/>
        </w:rPr>
        <w:t xml:space="preserve">AUC0-120 </w:t>
      </w:r>
      <w:r w:rsidRPr="00E620ED">
        <w:rPr>
          <w:rFonts w:eastAsia="Times New Roman" w:cs="Arial"/>
          <w:color w:val="000000"/>
          <w:lang w:eastAsia="bg-BG"/>
        </w:rPr>
        <w:t xml:space="preserve">се повишават с 5,1% и 4,2% съответно при пациенти с леко до умерено бъбречно увреждане (скорост на гломерулна филтрация 10-80 </w:t>
      </w:r>
      <w:r w:rsidRPr="00E620ED">
        <w:rPr>
          <w:rFonts w:eastAsia="Times New Roman" w:cs="Arial"/>
          <w:color w:val="000000"/>
          <w:lang w:val="en-US"/>
        </w:rPr>
        <w:t xml:space="preserve">ml/min), </w:t>
      </w:r>
      <w:r w:rsidRPr="00E620ED">
        <w:rPr>
          <w:rFonts w:eastAsia="Times New Roman" w:cs="Arial"/>
          <w:color w:val="000000"/>
          <w:lang w:eastAsia="bg-BG"/>
        </w:rPr>
        <w:t xml:space="preserve">в сравнение с нормална бъбречна функция </w:t>
      </w:r>
      <w:r w:rsidRPr="00E620ED">
        <w:rPr>
          <w:rFonts w:eastAsia="Times New Roman" w:cs="Arial"/>
          <w:color w:val="000000"/>
          <w:lang w:val="en-US"/>
        </w:rPr>
        <w:t xml:space="preserve">(GFR&gt; </w:t>
      </w:r>
      <w:r w:rsidRPr="00E620ED">
        <w:rPr>
          <w:rFonts w:eastAsia="Times New Roman" w:cs="Arial"/>
          <w:color w:val="000000"/>
          <w:lang w:eastAsia="bg-BG"/>
        </w:rPr>
        <w:t xml:space="preserve">80 </w:t>
      </w:r>
      <w:r w:rsidRPr="00E620ED">
        <w:rPr>
          <w:rFonts w:eastAsia="Times New Roman" w:cs="Arial"/>
          <w:color w:val="000000"/>
          <w:lang w:val="en-US"/>
        </w:rPr>
        <w:t xml:space="preserve">ml/min). </w:t>
      </w:r>
      <w:r w:rsidRPr="00E620ED">
        <w:rPr>
          <w:rFonts w:eastAsia="Times New Roman" w:cs="Arial"/>
          <w:color w:val="000000"/>
          <w:lang w:eastAsia="bg-BG"/>
        </w:rPr>
        <w:t xml:space="preserve">При пациенти с тежко бъбречно увреждане, средната </w:t>
      </w:r>
      <w:proofErr w:type="spellStart"/>
      <w:r w:rsidRPr="00E620ED">
        <w:rPr>
          <w:rFonts w:eastAsia="Times New Roman" w:cs="Arial"/>
          <w:color w:val="000000"/>
          <w:lang w:val="en-US"/>
        </w:rPr>
        <w:t>C</w:t>
      </w:r>
      <w:r w:rsidRPr="00E620ED">
        <w:rPr>
          <w:rFonts w:eastAsia="Times New Roman" w:cs="Arial"/>
          <w:color w:val="000000"/>
          <w:vertAlign w:val="subscript"/>
          <w:lang w:val="en-US"/>
        </w:rPr>
        <w:t>max</w:t>
      </w:r>
      <w:proofErr w:type="spellEnd"/>
      <w:r w:rsidRPr="00E620ED">
        <w:rPr>
          <w:rFonts w:eastAsia="Times New Roman" w:cs="Arial"/>
          <w:color w:val="000000"/>
          <w:lang w:val="en-US"/>
        </w:rPr>
        <w:t xml:space="preserve"> </w:t>
      </w:r>
      <w:r w:rsidRPr="00E620ED">
        <w:rPr>
          <w:rFonts w:eastAsia="Times New Roman" w:cs="Arial"/>
          <w:color w:val="000000"/>
          <w:lang w:eastAsia="bg-BG"/>
        </w:rPr>
        <w:t xml:space="preserve">и </w:t>
      </w:r>
      <w:r w:rsidRPr="00E620ED">
        <w:rPr>
          <w:rFonts w:eastAsia="Times New Roman" w:cs="Arial"/>
          <w:color w:val="000000"/>
          <w:lang w:val="en-US"/>
        </w:rPr>
        <w:t>AUC</w:t>
      </w:r>
      <w:r w:rsidRPr="00E620ED">
        <w:rPr>
          <w:rFonts w:eastAsia="Times New Roman" w:cs="Arial"/>
          <w:color w:val="000000"/>
          <w:vertAlign w:val="subscript"/>
          <w:lang w:val="en-US"/>
        </w:rPr>
        <w:t>0-120</w:t>
      </w:r>
      <w:r w:rsidRPr="00E620ED">
        <w:rPr>
          <w:rFonts w:eastAsia="Times New Roman" w:cs="Arial"/>
          <w:color w:val="000000"/>
          <w:lang w:val="en-US"/>
        </w:rPr>
        <w:t xml:space="preserve"> </w:t>
      </w:r>
      <w:r w:rsidRPr="00E620ED">
        <w:rPr>
          <w:rFonts w:eastAsia="Times New Roman" w:cs="Arial"/>
          <w:color w:val="000000"/>
          <w:lang w:eastAsia="bg-BG"/>
        </w:rPr>
        <w:t>се увеличават 61% и 35%, съответно, в сравнение с нормата.</w:t>
      </w:r>
    </w:p>
    <w:p w14:paraId="38725AA3" w14:textId="77777777" w:rsidR="00E620ED" w:rsidRPr="00E664A3" w:rsidRDefault="00E620ED" w:rsidP="00E620ED">
      <w:pPr>
        <w:spacing w:line="240" w:lineRule="auto"/>
        <w:rPr>
          <w:rFonts w:eastAsia="Times New Roman" w:cs="Arial"/>
          <w:i/>
          <w:iCs/>
          <w:color w:val="000000"/>
          <w:lang w:eastAsia="bg-BG"/>
        </w:rPr>
      </w:pPr>
    </w:p>
    <w:p w14:paraId="5EEA89D0" w14:textId="57A38D58" w:rsidR="00E620ED" w:rsidRPr="00E620ED" w:rsidRDefault="00E620ED" w:rsidP="00E620ED">
      <w:pPr>
        <w:spacing w:line="240" w:lineRule="auto"/>
        <w:rPr>
          <w:rFonts w:eastAsia="Times New Roman" w:cs="Arial"/>
          <w:sz w:val="24"/>
          <w:szCs w:val="24"/>
          <w:lang w:eastAsia="bg-BG"/>
        </w:rPr>
      </w:pPr>
      <w:r w:rsidRPr="00E620ED">
        <w:rPr>
          <w:rFonts w:eastAsia="Times New Roman" w:cs="Arial"/>
          <w:i/>
          <w:iCs/>
          <w:color w:val="000000"/>
          <w:lang w:eastAsia="bg-BG"/>
        </w:rPr>
        <w:t>Чернодробна недостатъчност</w:t>
      </w:r>
    </w:p>
    <w:p w14:paraId="66B5E094" w14:textId="77777777" w:rsidR="00E620ED" w:rsidRPr="00E620ED" w:rsidRDefault="00E620ED" w:rsidP="00E620ED">
      <w:pPr>
        <w:spacing w:line="240" w:lineRule="auto"/>
        <w:rPr>
          <w:rFonts w:eastAsia="Times New Roman" w:cs="Arial"/>
          <w:sz w:val="24"/>
          <w:szCs w:val="24"/>
          <w:lang w:eastAsia="bg-BG"/>
        </w:rPr>
      </w:pPr>
      <w:r w:rsidRPr="00E620ED">
        <w:rPr>
          <w:rFonts w:eastAsia="Times New Roman" w:cs="Arial"/>
          <w:color w:val="000000"/>
          <w:lang w:eastAsia="bg-BG"/>
        </w:rPr>
        <w:t>При пациенти с леко до умерено чернодробно увреждане, няма доказателства за значителна промяна в серумната фармакокинетика на азитромицин в сравнение с нормалната чернодробна функция. При тези пациенти, се наблюдава повишено отделяне на азитромицин в урината може би за да се компенсира редуцирания чернодробен клирънс.</w:t>
      </w:r>
    </w:p>
    <w:p w14:paraId="61C65DA1" w14:textId="77777777" w:rsidR="00E620ED" w:rsidRPr="00E664A3" w:rsidRDefault="00E620ED" w:rsidP="00E620ED">
      <w:pPr>
        <w:spacing w:line="240" w:lineRule="auto"/>
        <w:rPr>
          <w:rFonts w:eastAsia="Times New Roman" w:cs="Arial"/>
          <w:i/>
          <w:iCs/>
          <w:color w:val="000000"/>
          <w:lang w:eastAsia="bg-BG"/>
        </w:rPr>
      </w:pPr>
    </w:p>
    <w:p w14:paraId="6A757CCF" w14:textId="160BE7C0" w:rsidR="00E620ED" w:rsidRPr="00E620ED" w:rsidRDefault="00E620ED" w:rsidP="00E620ED">
      <w:pPr>
        <w:spacing w:line="240" w:lineRule="auto"/>
        <w:rPr>
          <w:rFonts w:eastAsia="Times New Roman" w:cs="Arial"/>
          <w:sz w:val="24"/>
          <w:szCs w:val="24"/>
          <w:lang w:eastAsia="bg-BG"/>
        </w:rPr>
      </w:pPr>
      <w:r w:rsidRPr="00E620ED">
        <w:rPr>
          <w:rFonts w:eastAsia="Times New Roman" w:cs="Arial"/>
          <w:i/>
          <w:iCs/>
          <w:color w:val="000000"/>
          <w:lang w:eastAsia="bg-BG"/>
        </w:rPr>
        <w:t>Пациенти в напреднала възраст</w:t>
      </w:r>
    </w:p>
    <w:p w14:paraId="3841F262" w14:textId="77777777" w:rsidR="00E620ED" w:rsidRPr="00E620ED" w:rsidRDefault="00E620ED" w:rsidP="00E620ED">
      <w:pPr>
        <w:spacing w:line="240" w:lineRule="auto"/>
        <w:rPr>
          <w:rFonts w:eastAsia="Times New Roman" w:cs="Arial"/>
          <w:sz w:val="24"/>
          <w:szCs w:val="24"/>
          <w:lang w:eastAsia="bg-BG"/>
        </w:rPr>
      </w:pPr>
      <w:r w:rsidRPr="00E620ED">
        <w:rPr>
          <w:rFonts w:eastAsia="Times New Roman" w:cs="Arial"/>
          <w:color w:val="000000"/>
          <w:lang w:eastAsia="bg-BG"/>
        </w:rPr>
        <w:t>Фармакокинетиката на азитромицин при пациентите в напреднала възраст е била сходна с тази на младите хора, но при по-възрастни жени, макар че се наблюдава по-високи пикови концентрации (повишени с 30-50%), не е настъпила значителна акумулация.</w:t>
      </w:r>
    </w:p>
    <w:p w14:paraId="54FC63A1" w14:textId="77777777" w:rsidR="00E620ED" w:rsidRPr="00E620ED" w:rsidRDefault="00E620ED" w:rsidP="00E620ED">
      <w:pPr>
        <w:spacing w:line="240" w:lineRule="auto"/>
        <w:rPr>
          <w:rFonts w:eastAsia="Times New Roman" w:cs="Arial"/>
          <w:sz w:val="24"/>
          <w:szCs w:val="24"/>
          <w:lang w:eastAsia="bg-BG"/>
        </w:rPr>
      </w:pPr>
      <w:r w:rsidRPr="00E620ED">
        <w:rPr>
          <w:rFonts w:eastAsia="Times New Roman" w:cs="Arial"/>
          <w:color w:val="000000"/>
          <w:lang w:eastAsia="bg-BG"/>
        </w:rPr>
        <w:t xml:space="preserve">При доброволци в напреднала възраст (&gt; 65 години), по-високи стойности (29%) на </w:t>
      </w:r>
      <w:r w:rsidRPr="00E620ED">
        <w:rPr>
          <w:rFonts w:eastAsia="Times New Roman" w:cs="Arial"/>
          <w:color w:val="000000"/>
          <w:lang w:val="en-US"/>
        </w:rPr>
        <w:t xml:space="preserve">AUC </w:t>
      </w:r>
      <w:r w:rsidRPr="00E620ED">
        <w:rPr>
          <w:rFonts w:eastAsia="Times New Roman" w:cs="Arial"/>
          <w:color w:val="000000"/>
          <w:lang w:eastAsia="bg-BG"/>
        </w:rPr>
        <w:t>са наблюдавани след 5-дневен курс, отколкото при по-млади доброволци (&lt;40 години). Въпреки това, тези разлики не се считат за клинично значими, поради което не се препоръчва корекция на дозата.</w:t>
      </w:r>
    </w:p>
    <w:p w14:paraId="51E80EE5" w14:textId="77777777" w:rsidR="00E664A3" w:rsidRPr="00E664A3" w:rsidRDefault="00E664A3" w:rsidP="00E620ED">
      <w:pPr>
        <w:spacing w:line="240" w:lineRule="auto"/>
        <w:rPr>
          <w:rFonts w:eastAsia="Times New Roman" w:cs="Arial"/>
          <w:i/>
          <w:iCs/>
          <w:color w:val="000000"/>
          <w:lang w:eastAsia="bg-BG"/>
        </w:rPr>
      </w:pPr>
    </w:p>
    <w:p w14:paraId="71870302" w14:textId="200744D3" w:rsidR="00E620ED" w:rsidRPr="00E620ED" w:rsidRDefault="00E620ED" w:rsidP="00E620ED">
      <w:pPr>
        <w:spacing w:line="240" w:lineRule="auto"/>
        <w:rPr>
          <w:rFonts w:eastAsia="Times New Roman" w:cs="Arial"/>
          <w:sz w:val="24"/>
          <w:szCs w:val="24"/>
          <w:lang w:eastAsia="bg-BG"/>
        </w:rPr>
      </w:pPr>
      <w:r w:rsidRPr="00E620ED">
        <w:rPr>
          <w:rFonts w:eastAsia="Times New Roman" w:cs="Arial"/>
          <w:i/>
          <w:iCs/>
          <w:color w:val="000000"/>
          <w:lang w:eastAsia="bg-BG"/>
        </w:rPr>
        <w:t>Педиатрична популация</w:t>
      </w:r>
    </w:p>
    <w:p w14:paraId="638B56AA" w14:textId="77777777" w:rsidR="00E620ED" w:rsidRPr="00E620ED" w:rsidRDefault="00E620ED" w:rsidP="00E620ED">
      <w:pPr>
        <w:spacing w:line="240" w:lineRule="auto"/>
        <w:rPr>
          <w:rFonts w:eastAsia="Times New Roman" w:cs="Arial"/>
          <w:sz w:val="24"/>
          <w:szCs w:val="24"/>
          <w:lang w:eastAsia="bg-BG"/>
        </w:rPr>
      </w:pPr>
      <w:r w:rsidRPr="00E620ED">
        <w:rPr>
          <w:rFonts w:eastAsia="Times New Roman" w:cs="Arial"/>
          <w:color w:val="000000"/>
          <w:lang w:eastAsia="bg-BG"/>
        </w:rPr>
        <w:t xml:space="preserve">Фармакокинетиката е проучвана при педиатрични пациенти на възраст 4 месеца - 15 години, като са примани капсули, гранули или суспензия. На 10 </w:t>
      </w:r>
      <w:r w:rsidRPr="00E620ED">
        <w:rPr>
          <w:rFonts w:eastAsia="Times New Roman" w:cs="Arial"/>
          <w:color w:val="000000"/>
          <w:lang w:val="en-US"/>
        </w:rPr>
        <w:t xml:space="preserve">mg/kg </w:t>
      </w:r>
      <w:r w:rsidRPr="00E620ED">
        <w:rPr>
          <w:rFonts w:eastAsia="Times New Roman" w:cs="Arial"/>
          <w:color w:val="000000"/>
          <w:lang w:eastAsia="bg-BG"/>
        </w:rPr>
        <w:t xml:space="preserve">на Ден 1, последвани от 5 </w:t>
      </w:r>
      <w:r w:rsidRPr="00E620ED">
        <w:rPr>
          <w:rFonts w:eastAsia="Times New Roman" w:cs="Arial"/>
          <w:color w:val="000000"/>
          <w:lang w:val="en-US"/>
        </w:rPr>
        <w:t xml:space="preserve">mg /kg </w:t>
      </w:r>
      <w:r w:rsidRPr="00E620ED">
        <w:rPr>
          <w:rFonts w:eastAsia="Times New Roman" w:cs="Arial"/>
          <w:color w:val="000000"/>
          <w:lang w:eastAsia="bg-BG"/>
        </w:rPr>
        <w:t>на Ден 2-5, достигнатата С</w:t>
      </w:r>
      <w:r w:rsidRPr="00E620ED">
        <w:rPr>
          <w:rFonts w:eastAsia="Times New Roman" w:cs="Arial"/>
          <w:color w:val="000000"/>
          <w:vertAlign w:val="subscript"/>
          <w:lang w:val="en-US"/>
        </w:rPr>
        <w:t>max</w:t>
      </w:r>
      <w:r w:rsidRPr="00E620ED">
        <w:rPr>
          <w:rFonts w:eastAsia="Times New Roman" w:cs="Arial"/>
          <w:color w:val="000000"/>
          <w:lang w:eastAsia="bg-BG"/>
        </w:rPr>
        <w:t xml:space="preserve"> е малко по-ниска, отколкото при възрастни с 224 </w:t>
      </w:r>
      <w:r w:rsidRPr="00E620ED">
        <w:rPr>
          <w:rFonts w:eastAsia="Times New Roman" w:cs="Arial"/>
          <w:color w:val="000000"/>
          <w:lang w:val="en-US"/>
        </w:rPr>
        <w:t xml:space="preserve">microgram/1 </w:t>
      </w:r>
      <w:r w:rsidRPr="00E620ED">
        <w:rPr>
          <w:rFonts w:eastAsia="Times New Roman" w:cs="Arial"/>
          <w:color w:val="000000"/>
          <w:lang w:eastAsia="bg-BG"/>
        </w:rPr>
        <w:t>при кърмачета, малките деца и децата на възраст 0,6-5 години след 3 дни дозиране и</w:t>
      </w:r>
    </w:p>
    <w:p w14:paraId="7388AA2C" w14:textId="77777777" w:rsidR="00E620ED" w:rsidRPr="00E620ED" w:rsidRDefault="00E620ED" w:rsidP="00E620ED">
      <w:pPr>
        <w:spacing w:line="240" w:lineRule="auto"/>
        <w:rPr>
          <w:rFonts w:eastAsia="Times New Roman" w:cs="Arial"/>
          <w:sz w:val="24"/>
          <w:szCs w:val="24"/>
          <w:lang w:eastAsia="bg-BG"/>
        </w:rPr>
      </w:pPr>
      <w:r w:rsidRPr="00E620ED">
        <w:rPr>
          <w:rFonts w:eastAsia="Times New Roman" w:cs="Arial"/>
          <w:color w:val="000000"/>
          <w:lang w:eastAsia="bg-BG"/>
        </w:rPr>
        <w:t xml:space="preserve">383 </w:t>
      </w:r>
      <w:r w:rsidRPr="00E620ED">
        <w:rPr>
          <w:rFonts w:eastAsia="Times New Roman" w:cs="Arial"/>
          <w:color w:val="000000"/>
          <w:lang w:val="en-US"/>
        </w:rPr>
        <w:t xml:space="preserve">microgram/1 </w:t>
      </w:r>
      <w:r w:rsidRPr="00E620ED">
        <w:rPr>
          <w:rFonts w:eastAsia="Times New Roman" w:cs="Arial"/>
          <w:color w:val="000000"/>
          <w:lang w:eastAsia="bg-BG"/>
        </w:rPr>
        <w:t>при деца и юноши на възраст 6-15 години. Т1/2 от 36 час при по-големите деца и юноши е бил в рамките на очаквания диапазон за възрастни.</w:t>
      </w:r>
    </w:p>
    <w:p w14:paraId="250EF4CF" w14:textId="77777777" w:rsidR="00E620ED" w:rsidRPr="00E620ED" w:rsidRDefault="00E620ED" w:rsidP="00E620ED"/>
    <w:p w14:paraId="6925FEB0" w14:textId="56FECCCF" w:rsidR="00F62E44" w:rsidRDefault="002C50EE" w:rsidP="00387A66">
      <w:pPr>
        <w:pStyle w:val="Heading2"/>
      </w:pPr>
      <w:r>
        <w:t>5.3. Предклинични данни за безопасност</w:t>
      </w:r>
    </w:p>
    <w:p w14:paraId="0803FC17" w14:textId="1BEABE7F" w:rsidR="00E664A3" w:rsidRDefault="00E664A3" w:rsidP="00E664A3"/>
    <w:p w14:paraId="0141E710" w14:textId="77777777" w:rsidR="00E664A3" w:rsidRPr="00E664A3" w:rsidRDefault="00E664A3" w:rsidP="00E664A3">
      <w:pPr>
        <w:spacing w:line="240" w:lineRule="auto"/>
        <w:rPr>
          <w:rFonts w:eastAsia="Times New Roman" w:cs="Arial"/>
          <w:sz w:val="24"/>
          <w:szCs w:val="24"/>
          <w:lang w:eastAsia="bg-BG"/>
        </w:rPr>
      </w:pPr>
      <w:r w:rsidRPr="00E664A3">
        <w:rPr>
          <w:rFonts w:eastAsia="Times New Roman" w:cs="Arial"/>
          <w:color w:val="000000"/>
          <w:lang w:eastAsia="bg-BG"/>
        </w:rPr>
        <w:t>При изпитвания при животни с дозировка 40 пъти по-висока от клиничната терапевтична доза, азитромицин причинява обратима фосфолипидоза, но като правило не се наблюдават тиксикологични последствия, свързани с това.</w:t>
      </w:r>
    </w:p>
    <w:p w14:paraId="323D58AC" w14:textId="77777777" w:rsidR="00E664A3" w:rsidRPr="00E664A3" w:rsidRDefault="00E664A3" w:rsidP="00E664A3">
      <w:pPr>
        <w:spacing w:line="240" w:lineRule="auto"/>
        <w:rPr>
          <w:rFonts w:eastAsia="Times New Roman" w:cs="Arial"/>
          <w:color w:val="000000"/>
          <w:lang w:eastAsia="bg-BG"/>
        </w:rPr>
      </w:pPr>
    </w:p>
    <w:p w14:paraId="584A10CD" w14:textId="64C34510" w:rsidR="00E664A3" w:rsidRPr="00E664A3" w:rsidRDefault="00E664A3" w:rsidP="00E664A3">
      <w:pPr>
        <w:spacing w:line="240" w:lineRule="auto"/>
        <w:rPr>
          <w:rFonts w:eastAsia="Times New Roman" w:cs="Arial"/>
          <w:sz w:val="24"/>
          <w:szCs w:val="24"/>
          <w:lang w:eastAsia="bg-BG"/>
        </w:rPr>
      </w:pPr>
      <w:r w:rsidRPr="00E664A3">
        <w:rPr>
          <w:rFonts w:eastAsia="Times New Roman" w:cs="Arial"/>
          <w:color w:val="000000"/>
          <w:lang w:eastAsia="bg-BG"/>
        </w:rPr>
        <w:lastRenderedPageBreak/>
        <w:t xml:space="preserve">Електрофизиологични изследвания са показали, че азитромицин удължава </w:t>
      </w:r>
      <w:r w:rsidRPr="00E664A3">
        <w:rPr>
          <w:rFonts w:eastAsia="Times New Roman" w:cs="Arial"/>
          <w:color w:val="000000"/>
          <w:lang w:val="en-US"/>
        </w:rPr>
        <w:t xml:space="preserve">QT </w:t>
      </w:r>
      <w:r w:rsidRPr="00E664A3">
        <w:rPr>
          <w:rFonts w:eastAsia="Times New Roman" w:cs="Arial"/>
          <w:color w:val="000000"/>
          <w:lang w:eastAsia="bg-BG"/>
        </w:rPr>
        <w:t>интервала.</w:t>
      </w:r>
    </w:p>
    <w:p w14:paraId="32E94448" w14:textId="77777777" w:rsidR="00E664A3" w:rsidRPr="00E664A3" w:rsidRDefault="00E664A3" w:rsidP="00E664A3">
      <w:pPr>
        <w:spacing w:line="240" w:lineRule="auto"/>
        <w:rPr>
          <w:rFonts w:eastAsia="Times New Roman" w:cs="Arial"/>
          <w:i/>
          <w:iCs/>
          <w:color w:val="000000"/>
          <w:u w:val="single"/>
          <w:lang w:eastAsia="bg-BG"/>
        </w:rPr>
      </w:pPr>
    </w:p>
    <w:p w14:paraId="2C7366F6" w14:textId="307FD3B3" w:rsidR="00E664A3" w:rsidRPr="00E664A3" w:rsidRDefault="00E664A3" w:rsidP="00E664A3">
      <w:pPr>
        <w:spacing w:line="240" w:lineRule="auto"/>
        <w:rPr>
          <w:rFonts w:eastAsia="Times New Roman" w:cs="Arial"/>
          <w:sz w:val="24"/>
          <w:szCs w:val="24"/>
          <w:lang w:eastAsia="bg-BG"/>
        </w:rPr>
      </w:pPr>
      <w:r w:rsidRPr="00E664A3">
        <w:rPr>
          <w:rFonts w:eastAsia="Times New Roman" w:cs="Arial"/>
          <w:i/>
          <w:iCs/>
          <w:color w:val="000000"/>
          <w:u w:val="single"/>
          <w:lang w:eastAsia="bg-BG"/>
        </w:rPr>
        <w:t>Карииногенен потенциал:</w:t>
      </w:r>
    </w:p>
    <w:p w14:paraId="6241AC2E" w14:textId="77777777" w:rsidR="00E664A3" w:rsidRPr="00E664A3" w:rsidRDefault="00E664A3" w:rsidP="00E664A3">
      <w:pPr>
        <w:spacing w:line="240" w:lineRule="auto"/>
        <w:rPr>
          <w:rFonts w:eastAsia="Times New Roman" w:cs="Arial"/>
          <w:sz w:val="24"/>
          <w:szCs w:val="24"/>
          <w:lang w:eastAsia="bg-BG"/>
        </w:rPr>
      </w:pPr>
      <w:r w:rsidRPr="00E664A3">
        <w:rPr>
          <w:rFonts w:eastAsia="Times New Roman" w:cs="Arial"/>
          <w:color w:val="000000"/>
          <w:lang w:eastAsia="bg-BG"/>
        </w:rPr>
        <w:t>Дългосрочни изпитвания при животни за оценка на карциногенния потенциал не са провеждани, тъй като лекарството е предназначено само за краткосрочно лечение. Няма индикации за карциногенна активност при други изследвания.</w:t>
      </w:r>
    </w:p>
    <w:p w14:paraId="615E42EB" w14:textId="77777777" w:rsidR="00E664A3" w:rsidRPr="00E664A3" w:rsidRDefault="00E664A3" w:rsidP="00E664A3">
      <w:pPr>
        <w:spacing w:line="240" w:lineRule="auto"/>
        <w:rPr>
          <w:rFonts w:eastAsia="Times New Roman" w:cs="Arial"/>
          <w:i/>
          <w:iCs/>
          <w:color w:val="000000"/>
          <w:u w:val="single"/>
          <w:lang w:eastAsia="bg-BG"/>
        </w:rPr>
      </w:pPr>
    </w:p>
    <w:p w14:paraId="0C773F20" w14:textId="39ED5839" w:rsidR="00E664A3" w:rsidRPr="00E664A3" w:rsidRDefault="00E664A3" w:rsidP="00E664A3">
      <w:pPr>
        <w:spacing w:line="240" w:lineRule="auto"/>
        <w:rPr>
          <w:rFonts w:eastAsia="Times New Roman" w:cs="Arial"/>
          <w:sz w:val="24"/>
          <w:szCs w:val="24"/>
          <w:lang w:eastAsia="bg-BG"/>
        </w:rPr>
      </w:pPr>
      <w:r w:rsidRPr="00E664A3">
        <w:rPr>
          <w:rFonts w:eastAsia="Times New Roman" w:cs="Arial"/>
          <w:i/>
          <w:iCs/>
          <w:color w:val="000000"/>
          <w:u w:val="single"/>
          <w:lang w:eastAsia="bg-BG"/>
        </w:rPr>
        <w:t>Мутагенен потенциал:</w:t>
      </w:r>
    </w:p>
    <w:p w14:paraId="55BD5D01" w14:textId="77777777" w:rsidR="00E664A3" w:rsidRPr="00E664A3" w:rsidRDefault="00E664A3" w:rsidP="00E664A3">
      <w:pPr>
        <w:spacing w:line="240" w:lineRule="auto"/>
        <w:rPr>
          <w:rFonts w:eastAsia="Times New Roman" w:cs="Arial"/>
          <w:sz w:val="24"/>
          <w:szCs w:val="24"/>
          <w:lang w:eastAsia="bg-BG"/>
        </w:rPr>
      </w:pPr>
      <w:r w:rsidRPr="00E664A3">
        <w:rPr>
          <w:rFonts w:eastAsia="Times New Roman" w:cs="Arial"/>
          <w:color w:val="000000"/>
          <w:lang w:eastAsia="bg-BG"/>
        </w:rPr>
        <w:t xml:space="preserve">Няма данни за генни и хромозомни мутации при </w:t>
      </w:r>
      <w:r w:rsidRPr="00E664A3">
        <w:rPr>
          <w:rFonts w:eastAsia="Times New Roman" w:cs="Arial"/>
          <w:i/>
          <w:iCs/>
          <w:color w:val="000000"/>
          <w:lang w:val="en-US"/>
        </w:rPr>
        <w:t>in vivo</w:t>
      </w:r>
      <w:r w:rsidRPr="00E664A3">
        <w:rPr>
          <w:rFonts w:eastAsia="Times New Roman" w:cs="Arial"/>
          <w:color w:val="000000"/>
          <w:lang w:val="en-US"/>
        </w:rPr>
        <w:t xml:space="preserve"> </w:t>
      </w:r>
      <w:r w:rsidRPr="00E664A3">
        <w:rPr>
          <w:rFonts w:eastAsia="Times New Roman" w:cs="Arial"/>
          <w:color w:val="000000"/>
          <w:lang w:eastAsia="bg-BG"/>
        </w:rPr>
        <w:t xml:space="preserve">и </w:t>
      </w:r>
      <w:r w:rsidRPr="00E664A3">
        <w:rPr>
          <w:rFonts w:eastAsia="Times New Roman" w:cs="Arial"/>
          <w:i/>
          <w:iCs/>
          <w:color w:val="000000"/>
          <w:lang w:val="en-US"/>
        </w:rPr>
        <w:t>in vitro</w:t>
      </w:r>
      <w:r w:rsidRPr="00E664A3">
        <w:rPr>
          <w:rFonts w:eastAsia="Times New Roman" w:cs="Arial"/>
          <w:color w:val="000000"/>
          <w:lang w:val="en-US"/>
        </w:rPr>
        <w:t xml:space="preserve"> </w:t>
      </w:r>
      <w:r w:rsidRPr="00E664A3">
        <w:rPr>
          <w:rFonts w:eastAsia="Times New Roman" w:cs="Arial"/>
          <w:color w:val="000000"/>
          <w:lang w:eastAsia="bg-BG"/>
        </w:rPr>
        <w:t>изследваните модели.</w:t>
      </w:r>
    </w:p>
    <w:p w14:paraId="69A11C30" w14:textId="77777777" w:rsidR="00E664A3" w:rsidRPr="00E664A3" w:rsidRDefault="00E664A3" w:rsidP="00E664A3">
      <w:pPr>
        <w:spacing w:line="240" w:lineRule="auto"/>
        <w:rPr>
          <w:rFonts w:eastAsia="Times New Roman" w:cs="Arial"/>
          <w:i/>
          <w:iCs/>
          <w:color w:val="000000"/>
          <w:u w:val="single"/>
          <w:lang w:eastAsia="bg-BG"/>
        </w:rPr>
      </w:pPr>
    </w:p>
    <w:p w14:paraId="5CA5D9E9" w14:textId="783A24C2" w:rsidR="00E664A3" w:rsidRPr="00E664A3" w:rsidRDefault="00E664A3" w:rsidP="00E664A3">
      <w:pPr>
        <w:spacing w:line="240" w:lineRule="auto"/>
        <w:rPr>
          <w:rFonts w:eastAsia="Times New Roman" w:cs="Arial"/>
          <w:sz w:val="24"/>
          <w:szCs w:val="24"/>
          <w:lang w:eastAsia="bg-BG"/>
        </w:rPr>
      </w:pPr>
      <w:r w:rsidRPr="00E664A3">
        <w:rPr>
          <w:rFonts w:eastAsia="Times New Roman" w:cs="Arial"/>
          <w:i/>
          <w:iCs/>
          <w:color w:val="000000"/>
          <w:u w:val="single"/>
          <w:lang w:eastAsia="bg-BG"/>
        </w:rPr>
        <w:t>Репродуктивна токсичност:</w:t>
      </w:r>
    </w:p>
    <w:p w14:paraId="61A5A4B9" w14:textId="767F7A80" w:rsidR="00E664A3" w:rsidRPr="00E664A3" w:rsidRDefault="00E664A3" w:rsidP="00E664A3">
      <w:pPr>
        <w:spacing w:line="240" w:lineRule="auto"/>
        <w:rPr>
          <w:rFonts w:eastAsia="Times New Roman" w:cs="Arial"/>
          <w:sz w:val="24"/>
          <w:szCs w:val="24"/>
          <w:lang w:eastAsia="bg-BG"/>
        </w:rPr>
      </w:pPr>
      <w:r w:rsidRPr="00E664A3">
        <w:rPr>
          <w:rFonts w:eastAsia="Times New Roman" w:cs="Arial"/>
          <w:color w:val="000000"/>
          <w:lang w:eastAsia="bg-BG"/>
        </w:rPr>
        <w:t>При проучванията за ембриотоксичност на азитромицин при мишки и плъхове</w:t>
      </w:r>
      <w:r w:rsidRPr="00E664A3">
        <w:rPr>
          <w:rFonts w:eastAsia="Times New Roman" w:cs="Arial"/>
          <w:color w:val="000000"/>
          <w:lang w:val="en-US"/>
        </w:rPr>
        <w:t xml:space="preserve"> </w:t>
      </w:r>
      <w:r w:rsidRPr="00E664A3">
        <w:rPr>
          <w:rFonts w:eastAsia="Times New Roman" w:cs="Arial"/>
          <w:color w:val="000000"/>
          <w:lang w:eastAsia="bg-BG"/>
        </w:rPr>
        <w:t xml:space="preserve">не се наблюдава тератогенен ефект. При плъхове, азитромицин в дози 100 и 200 </w:t>
      </w:r>
      <w:r w:rsidRPr="00E664A3">
        <w:rPr>
          <w:rFonts w:eastAsia="Times New Roman" w:cs="Arial"/>
          <w:color w:val="000000"/>
          <w:lang w:val="en-US"/>
        </w:rPr>
        <w:t xml:space="preserve">mg/kg </w:t>
      </w:r>
      <w:r w:rsidRPr="00E664A3">
        <w:rPr>
          <w:rFonts w:eastAsia="Times New Roman" w:cs="Arial"/>
          <w:color w:val="000000"/>
          <w:lang w:eastAsia="bg-BG"/>
        </w:rPr>
        <w:t>телесно тегло дневно води до леко изоставане на осификацията на плода и до нарастване на телесното тегло на</w:t>
      </w:r>
      <w:r w:rsidRPr="00E664A3">
        <w:rPr>
          <w:rFonts w:eastAsia="Times New Roman" w:cs="Arial"/>
          <w:color w:val="000000"/>
          <w:vertAlign w:val="superscript"/>
          <w:lang w:eastAsia="bg-BG"/>
        </w:rPr>
        <w:t xml:space="preserve"> </w:t>
      </w:r>
      <w:r w:rsidRPr="00E664A3">
        <w:rPr>
          <w:rFonts w:eastAsia="Times New Roman" w:cs="Arial"/>
          <w:color w:val="000000"/>
          <w:lang w:eastAsia="bg-BG"/>
        </w:rPr>
        <w:t xml:space="preserve">майката. При перинатални и постнатални изследвания на плъхове се наблюдава леко забавяне на развитието, вследствие на лечение с азитромицин в дози 50 </w:t>
      </w:r>
      <w:r w:rsidRPr="00E664A3">
        <w:rPr>
          <w:rFonts w:eastAsia="Times New Roman" w:cs="Arial"/>
          <w:color w:val="000000"/>
          <w:lang w:val="en-US"/>
        </w:rPr>
        <w:t>mg/kg</w:t>
      </w:r>
      <w:r w:rsidRPr="00E664A3">
        <w:rPr>
          <w:rFonts w:eastAsia="Times New Roman" w:cs="Arial"/>
          <w:color w:val="000000"/>
          <w:lang w:eastAsia="bg-BG"/>
        </w:rPr>
        <w:t>/ден и по-високи</w:t>
      </w:r>
      <w:r w:rsidRPr="00E664A3">
        <w:rPr>
          <w:rFonts w:eastAsia="Times New Roman" w:cs="Arial"/>
          <w:color w:val="000000"/>
          <w:lang w:eastAsia="bg-BG"/>
        </w:rPr>
        <w:t>.</w:t>
      </w:r>
    </w:p>
    <w:p w14:paraId="179AD433" w14:textId="77777777" w:rsidR="00E664A3" w:rsidRPr="00E664A3" w:rsidRDefault="00E664A3" w:rsidP="00E664A3"/>
    <w:p w14:paraId="357049A8" w14:textId="3BAC6285" w:rsidR="00BB22B4" w:rsidRDefault="002C50EE" w:rsidP="00471F10">
      <w:pPr>
        <w:pStyle w:val="Heading1"/>
      </w:pPr>
      <w:r>
        <w:t>7. ПРИТЕЖАТЕЛ НА РАЗРЕШЕНИЕТО ЗА УПОТРЕБА</w:t>
      </w:r>
    </w:p>
    <w:p w14:paraId="5F4C50C5" w14:textId="0DC38836" w:rsidR="00E664A3" w:rsidRDefault="00E664A3" w:rsidP="00E664A3"/>
    <w:p w14:paraId="214D2FA6" w14:textId="774E9AE7" w:rsidR="00E664A3" w:rsidRPr="00E664A3" w:rsidRDefault="00E664A3" w:rsidP="00E664A3">
      <w:r>
        <w:t xml:space="preserve">KRKA, d.d., Novo mesto. Smarjeska cesta 6, 8501 Novo mesto, </w:t>
      </w:r>
      <w:r>
        <w:rPr>
          <w:lang w:eastAsia="bg-BG"/>
        </w:rPr>
        <w:t>Словения</w:t>
      </w:r>
    </w:p>
    <w:p w14:paraId="0A53321D" w14:textId="57CAADF6" w:rsidR="00EE6C97" w:rsidRDefault="00936AD0" w:rsidP="00A93499">
      <w:pPr>
        <w:pStyle w:val="Heading1"/>
      </w:pPr>
      <w:r>
        <w:t>8.</w:t>
      </w:r>
      <w:r w:rsidR="002C50EE">
        <w:t>НОМЕР НА РАЗРЕШЕНИЕТО ЗА УПОТРЕБА</w:t>
      </w:r>
    </w:p>
    <w:p w14:paraId="158090CF" w14:textId="004011E5" w:rsidR="00E664A3" w:rsidRDefault="00E664A3" w:rsidP="00E664A3"/>
    <w:p w14:paraId="34FB369D" w14:textId="2BD2591F" w:rsidR="00E664A3" w:rsidRPr="00E664A3" w:rsidRDefault="00E664A3" w:rsidP="00E664A3">
      <w:r>
        <w:t>Рег.№: 20140207</w:t>
      </w:r>
    </w:p>
    <w:p w14:paraId="7C2688F5" w14:textId="6D610EDF" w:rsidR="00F62E44" w:rsidRDefault="00F62E44" w:rsidP="00F62E44"/>
    <w:p w14:paraId="00481C21" w14:textId="5A31C53F" w:rsidR="00F62E44" w:rsidRDefault="002C50EE" w:rsidP="00387A66">
      <w:pPr>
        <w:pStyle w:val="Heading1"/>
      </w:pPr>
      <w:r>
        <w:t>9. ДАТА НА ПЪРВО РАЗРЕШАВАНЕ/ПОДНОВЯВАНЕ НА РАЗРЕШЕНИЕТО ЗА УПОТРЕБА</w:t>
      </w:r>
    </w:p>
    <w:p w14:paraId="4268F86D" w14:textId="500F3A2C" w:rsidR="00E664A3" w:rsidRDefault="00E664A3" w:rsidP="00E664A3"/>
    <w:p w14:paraId="37C31C93" w14:textId="77777777" w:rsidR="00E664A3" w:rsidRPr="00E664A3" w:rsidRDefault="00E664A3" w:rsidP="00E664A3">
      <w:pPr>
        <w:rPr>
          <w:sz w:val="24"/>
          <w:szCs w:val="24"/>
          <w:lang w:eastAsia="bg-BG"/>
        </w:rPr>
      </w:pPr>
      <w:r w:rsidRPr="00E664A3">
        <w:rPr>
          <w:lang w:eastAsia="bg-BG"/>
        </w:rPr>
        <w:t>Дата на първо разрешаване: 26.06.2014</w:t>
      </w:r>
    </w:p>
    <w:p w14:paraId="73379C3F" w14:textId="532BF3FD" w:rsidR="00E664A3" w:rsidRPr="00E664A3" w:rsidRDefault="00E664A3" w:rsidP="00E664A3">
      <w:r w:rsidRPr="00E664A3">
        <w:rPr>
          <w:lang w:eastAsia="bg-BG"/>
        </w:rPr>
        <w:t>Дата на последно подновяване: 14.06.2019</w:t>
      </w:r>
    </w:p>
    <w:p w14:paraId="43FB38A2" w14:textId="0C18A683" w:rsidR="007C605B" w:rsidRDefault="002C50EE" w:rsidP="005726E3">
      <w:pPr>
        <w:pStyle w:val="Heading1"/>
      </w:pPr>
      <w:r>
        <w:t>10. ДАТА НА АКТУАЛИЗИРАНЕ НА ТЕКСТА</w:t>
      </w:r>
      <w:bookmarkEnd w:id="0"/>
    </w:p>
    <w:p w14:paraId="472617BD" w14:textId="49EC2F59" w:rsidR="00BB22B4" w:rsidRPr="00BB22B4" w:rsidRDefault="00E664A3" w:rsidP="00E664A3">
      <w:r>
        <w:t>30 Август 2022</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51D11"/>
    <w:multiLevelType w:val="hybridMultilevel"/>
    <w:tmpl w:val="73DC30E4"/>
    <w:lvl w:ilvl="0" w:tplc="666E0C40">
      <w:start w:val="4"/>
      <w:numFmt w:val="bullet"/>
      <w:lvlText w:val="-"/>
      <w:lvlJc w:val="left"/>
      <w:pPr>
        <w:ind w:left="720" w:hanging="360"/>
      </w:pPr>
      <w:rPr>
        <w:rFonts w:ascii="Times New Roman" w:eastAsia="Times New Roman" w:hAnsi="Times New Roman" w:cs="Times New Roman" w:hint="default"/>
        <w:color w:val="000000"/>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1"/>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20"/>
  </w:num>
  <w:num w:numId="7" w16cid:durableId="1241988161">
    <w:abstractNumId w:val="12"/>
  </w:num>
  <w:num w:numId="8" w16cid:durableId="2102022361">
    <w:abstractNumId w:val="19"/>
  </w:num>
  <w:num w:numId="9" w16cid:durableId="1154613663">
    <w:abstractNumId w:val="2"/>
  </w:num>
  <w:num w:numId="10" w16cid:durableId="1733848127">
    <w:abstractNumId w:val="4"/>
  </w:num>
  <w:num w:numId="11" w16cid:durableId="1861704680">
    <w:abstractNumId w:val="34"/>
  </w:num>
  <w:num w:numId="12" w16cid:durableId="1434934028">
    <w:abstractNumId w:val="16"/>
  </w:num>
  <w:num w:numId="13" w16cid:durableId="479157895">
    <w:abstractNumId w:val="23"/>
  </w:num>
  <w:num w:numId="14" w16cid:durableId="1670476636">
    <w:abstractNumId w:val="14"/>
  </w:num>
  <w:num w:numId="15" w16cid:durableId="1000155783">
    <w:abstractNumId w:val="33"/>
  </w:num>
  <w:num w:numId="16" w16cid:durableId="2056420707">
    <w:abstractNumId w:val="11"/>
  </w:num>
  <w:num w:numId="17" w16cid:durableId="1787119182">
    <w:abstractNumId w:val="28"/>
  </w:num>
  <w:num w:numId="18" w16cid:durableId="722945139">
    <w:abstractNumId w:val="8"/>
  </w:num>
  <w:num w:numId="19" w16cid:durableId="1678728408">
    <w:abstractNumId w:val="30"/>
  </w:num>
  <w:num w:numId="20" w16cid:durableId="1970816657">
    <w:abstractNumId w:val="27"/>
  </w:num>
  <w:num w:numId="21" w16cid:durableId="1531146514">
    <w:abstractNumId w:val="21"/>
  </w:num>
  <w:num w:numId="22" w16cid:durableId="1276465">
    <w:abstractNumId w:val="29"/>
  </w:num>
  <w:num w:numId="23" w16cid:durableId="1624310558">
    <w:abstractNumId w:val="22"/>
  </w:num>
  <w:num w:numId="24" w16cid:durableId="1692877547">
    <w:abstractNumId w:val="9"/>
  </w:num>
  <w:num w:numId="25" w16cid:durableId="50930855">
    <w:abstractNumId w:val="26"/>
  </w:num>
  <w:num w:numId="26" w16cid:durableId="176701536">
    <w:abstractNumId w:val="25"/>
  </w:num>
  <w:num w:numId="27" w16cid:durableId="2050564750">
    <w:abstractNumId w:val="35"/>
  </w:num>
  <w:num w:numId="28" w16cid:durableId="1820733422">
    <w:abstractNumId w:val="6"/>
  </w:num>
  <w:num w:numId="29" w16cid:durableId="973678124">
    <w:abstractNumId w:val="24"/>
  </w:num>
  <w:num w:numId="30" w16cid:durableId="154884452">
    <w:abstractNumId w:val="39"/>
  </w:num>
  <w:num w:numId="31" w16cid:durableId="1053964910">
    <w:abstractNumId w:val="5"/>
  </w:num>
  <w:num w:numId="32" w16cid:durableId="2073575793">
    <w:abstractNumId w:val="37"/>
  </w:num>
  <w:num w:numId="33" w16cid:durableId="1566643170">
    <w:abstractNumId w:val="32"/>
  </w:num>
  <w:num w:numId="34" w16cid:durableId="2060787732">
    <w:abstractNumId w:val="36"/>
  </w:num>
  <w:num w:numId="35" w16cid:durableId="34161354">
    <w:abstractNumId w:val="7"/>
  </w:num>
  <w:num w:numId="36" w16cid:durableId="1976908676">
    <w:abstractNumId w:val="10"/>
  </w:num>
  <w:num w:numId="37" w16cid:durableId="758528303">
    <w:abstractNumId w:val="17"/>
  </w:num>
  <w:num w:numId="38" w16cid:durableId="178396561">
    <w:abstractNumId w:val="38"/>
  </w:num>
  <w:num w:numId="39" w16cid:durableId="934825996">
    <w:abstractNumId w:val="13"/>
  </w:num>
  <w:num w:numId="40" w16cid:durableId="2016034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6708F"/>
    <w:rsid w:val="00875EEC"/>
    <w:rsid w:val="00893B92"/>
    <w:rsid w:val="008A6AF2"/>
    <w:rsid w:val="008C70A2"/>
    <w:rsid w:val="008F7F23"/>
    <w:rsid w:val="00936AD0"/>
    <w:rsid w:val="00954129"/>
    <w:rsid w:val="009773E4"/>
    <w:rsid w:val="009B171C"/>
    <w:rsid w:val="009E52CC"/>
    <w:rsid w:val="009F1313"/>
    <w:rsid w:val="009F77A4"/>
    <w:rsid w:val="00A20351"/>
    <w:rsid w:val="00A428B7"/>
    <w:rsid w:val="00A65A81"/>
    <w:rsid w:val="00A71DCF"/>
    <w:rsid w:val="00A93499"/>
    <w:rsid w:val="00AA23EC"/>
    <w:rsid w:val="00AC63CE"/>
    <w:rsid w:val="00AE2107"/>
    <w:rsid w:val="00B05575"/>
    <w:rsid w:val="00B275A8"/>
    <w:rsid w:val="00B6672E"/>
    <w:rsid w:val="00BA5B74"/>
    <w:rsid w:val="00BB22B4"/>
    <w:rsid w:val="00BF2600"/>
    <w:rsid w:val="00C0049F"/>
    <w:rsid w:val="00C07B84"/>
    <w:rsid w:val="00C33464"/>
    <w:rsid w:val="00C377A7"/>
    <w:rsid w:val="00C40420"/>
    <w:rsid w:val="00C669F0"/>
    <w:rsid w:val="00C809A7"/>
    <w:rsid w:val="00C83063"/>
    <w:rsid w:val="00C87E90"/>
    <w:rsid w:val="00CA1B57"/>
    <w:rsid w:val="00CF77F7"/>
    <w:rsid w:val="00D86297"/>
    <w:rsid w:val="00DB32D3"/>
    <w:rsid w:val="00DD466D"/>
    <w:rsid w:val="00E620ED"/>
    <w:rsid w:val="00E664A3"/>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5708</Words>
  <Characters>32541</Characters>
  <Application>Microsoft Office Word</Application>
  <DocSecurity>0</DocSecurity>
  <Lines>271</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2023-02-04T19:02:00Z</dcterms:created>
  <dcterms:modified xsi:type="dcterms:W3CDTF">2023-02-04T19:02:00Z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