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B239815" w14:textId="3856F39E" w:rsidR="00AA23EC" w:rsidRDefault="00DD466D" w:rsidP="00DD466D">
      <w:pPr>
        <w:pStyle w:val="Heading1"/>
      </w:pPr>
      <w:r>
        <w:t>1.ИМЕ НА ЛЕКАРСТВЕНИЯ ПРОДУКТ</w:t>
      </w:r>
    </w:p>
    <w:p w14:paraId="7ACCD474" w14:textId="1EFF611A" w:rsidR="00096BFF" w:rsidRDefault="00096BFF" w:rsidP="00096BFF"/>
    <w:p w14:paraId="284F806E" w14:textId="77777777" w:rsidR="00096BFF" w:rsidRDefault="00096BFF" w:rsidP="00096BFF">
      <w:pPr>
        <w:rPr>
          <w:lang w:eastAsia="bg-BG"/>
        </w:rPr>
      </w:pPr>
      <w:r w:rsidRPr="00096BFF">
        <w:rPr>
          <w:lang w:eastAsia="bg-BG"/>
        </w:rPr>
        <w:t xml:space="preserve">Амоксигард 875 </w:t>
      </w:r>
      <w:r w:rsidRPr="00096BFF">
        <w:rPr>
          <w:lang w:val="en-US"/>
        </w:rPr>
        <w:t>mg</w:t>
      </w:r>
      <w:r w:rsidRPr="00096BFF">
        <w:t xml:space="preserve">/125 </w:t>
      </w:r>
      <w:r w:rsidRPr="00096BFF">
        <w:rPr>
          <w:lang w:val="en-US"/>
        </w:rPr>
        <w:t>mg</w:t>
      </w:r>
      <w:r w:rsidRPr="00096BFF">
        <w:t xml:space="preserve"> </w:t>
      </w:r>
      <w:r w:rsidRPr="00096BFF">
        <w:rPr>
          <w:lang w:eastAsia="bg-BG"/>
        </w:rPr>
        <w:t xml:space="preserve">филмирани таблетки </w:t>
      </w:r>
    </w:p>
    <w:p w14:paraId="7F585A83" w14:textId="7B95439B" w:rsidR="00096BFF" w:rsidRPr="00096BFF" w:rsidRDefault="00096BFF" w:rsidP="00096BFF">
      <w:pPr>
        <w:rPr>
          <w:sz w:val="24"/>
          <w:szCs w:val="24"/>
        </w:rPr>
      </w:pPr>
      <w:bookmarkStart w:id="1" w:name="_GoBack"/>
      <w:proofErr w:type="spellStart"/>
      <w:r w:rsidRPr="00096BFF">
        <w:rPr>
          <w:lang w:val="en-US"/>
        </w:rPr>
        <w:t>Amoxigard</w:t>
      </w:r>
      <w:proofErr w:type="spellEnd"/>
      <w:r w:rsidRPr="00096BFF">
        <w:t xml:space="preserve"> </w:t>
      </w:r>
      <w:r w:rsidRPr="00096BFF">
        <w:rPr>
          <w:lang w:eastAsia="bg-BG"/>
        </w:rPr>
        <w:t xml:space="preserve">875 </w:t>
      </w:r>
      <w:r w:rsidRPr="00096BFF">
        <w:rPr>
          <w:lang w:val="en-US"/>
        </w:rPr>
        <w:t>mg</w:t>
      </w:r>
      <w:r w:rsidRPr="00096BFF">
        <w:t xml:space="preserve">/125 </w:t>
      </w:r>
      <w:r w:rsidRPr="00096BFF">
        <w:rPr>
          <w:lang w:val="en-US"/>
        </w:rPr>
        <w:t>mg</w:t>
      </w:r>
      <w:r w:rsidRPr="00096BFF">
        <w:t xml:space="preserve"> </w:t>
      </w:r>
      <w:bookmarkEnd w:id="1"/>
      <w:r w:rsidRPr="00096BFF">
        <w:rPr>
          <w:lang w:val="en-US"/>
        </w:rPr>
        <w:t>film</w:t>
      </w:r>
      <w:r w:rsidRPr="00096BFF">
        <w:t>-</w:t>
      </w:r>
      <w:r w:rsidRPr="00096BFF">
        <w:rPr>
          <w:lang w:val="en-US"/>
        </w:rPr>
        <w:t>coated</w:t>
      </w:r>
      <w:r w:rsidRPr="00096BFF">
        <w:t xml:space="preserve"> </w:t>
      </w:r>
      <w:r w:rsidRPr="00096BFF">
        <w:rPr>
          <w:lang w:val="en-US"/>
        </w:rPr>
        <w:t>tablets</w:t>
      </w:r>
    </w:p>
    <w:p w14:paraId="463CD8C5" w14:textId="77777777" w:rsidR="00096BFF" w:rsidRPr="00096BFF" w:rsidRDefault="00096BFF" w:rsidP="00096BFF"/>
    <w:p w14:paraId="0A368469" w14:textId="0CFEBDD4" w:rsidR="00C0049F" w:rsidRDefault="00DD466D" w:rsidP="009F1313">
      <w:pPr>
        <w:pStyle w:val="Heading1"/>
      </w:pPr>
      <w:r>
        <w:t>2. КАЧЕСТВЕН И КОЛИЧЕСТВЕН СЪСТАВ</w:t>
      </w:r>
    </w:p>
    <w:p w14:paraId="23C51488" w14:textId="5AB166D1" w:rsidR="00096BFF" w:rsidRDefault="00096BFF" w:rsidP="00096BFF"/>
    <w:p w14:paraId="62C24FB8" w14:textId="71263167" w:rsidR="00096BFF" w:rsidRPr="00096BFF" w:rsidRDefault="00096BFF" w:rsidP="00096BFF">
      <w:r>
        <w:t xml:space="preserve">Всяка филмирана таблетка съдържа 1004,3 </w:t>
      </w:r>
      <w:r>
        <w:rPr>
          <w:lang w:val="en-US"/>
        </w:rPr>
        <w:t>mg</w:t>
      </w:r>
      <w:r w:rsidRPr="00096BFF">
        <w:t xml:space="preserve"> </w:t>
      </w:r>
      <w:r>
        <w:t xml:space="preserve">амоксицилин трихидрат, еквивалентен на 875 </w:t>
      </w:r>
      <w:r>
        <w:rPr>
          <w:lang w:val="en-US"/>
        </w:rPr>
        <w:t>mg</w:t>
      </w:r>
      <w:r w:rsidRPr="00096BFF">
        <w:t xml:space="preserve"> </w:t>
      </w:r>
      <w:r>
        <w:t xml:space="preserve">амоксицилин и 148,9 </w:t>
      </w:r>
      <w:r>
        <w:rPr>
          <w:lang w:val="en-US"/>
        </w:rPr>
        <w:t>mg</w:t>
      </w:r>
      <w:r w:rsidRPr="00096BFF">
        <w:t xml:space="preserve"> </w:t>
      </w:r>
      <w:r>
        <w:t xml:space="preserve">калиев клавуланат, еквивалентен на 125 </w:t>
      </w:r>
      <w:r>
        <w:rPr>
          <w:lang w:val="en-US"/>
        </w:rPr>
        <w:t>mg</w:t>
      </w:r>
      <w:r w:rsidRPr="00096BFF">
        <w:t xml:space="preserve"> </w:t>
      </w:r>
      <w:r>
        <w:t>клавуланова киселина.</w:t>
      </w:r>
    </w:p>
    <w:p w14:paraId="614984C4" w14:textId="61422DDC" w:rsidR="008A6AF2" w:rsidRDefault="00DD466D" w:rsidP="002C50EE">
      <w:pPr>
        <w:pStyle w:val="Heading1"/>
      </w:pPr>
      <w:r>
        <w:t>3. ЛЕКАРСТВЕНА ФОРМА</w:t>
      </w:r>
    </w:p>
    <w:p w14:paraId="42E62B10" w14:textId="130ECBFF" w:rsidR="00096BFF" w:rsidRDefault="00096BFF" w:rsidP="00096BFF"/>
    <w:p w14:paraId="367EF0E5" w14:textId="77777777"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t>Филмирана таблетка</w:t>
      </w:r>
    </w:p>
    <w:p w14:paraId="22DE72CC" w14:textId="77777777" w:rsidR="00096BFF" w:rsidRPr="00096BFF" w:rsidRDefault="00096BFF" w:rsidP="00096BFF">
      <w:pPr>
        <w:spacing w:line="240" w:lineRule="auto"/>
        <w:rPr>
          <w:rFonts w:eastAsia="Times New Roman" w:cs="Arial"/>
          <w:color w:val="000000"/>
          <w:lang w:eastAsia="bg-BG"/>
        </w:rPr>
      </w:pPr>
    </w:p>
    <w:p w14:paraId="3EEC59FB" w14:textId="601F1110"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t xml:space="preserve">Таблетките Амоксигард са бели до почти бели, продълговати филмирани таблетки с надпис </w:t>
      </w:r>
      <w:r w:rsidRPr="00096BFF">
        <w:rPr>
          <w:rFonts w:eastAsia="Times New Roman" w:cs="Arial"/>
          <w:color w:val="000000"/>
          <w:lang w:val="ru-RU"/>
        </w:rPr>
        <w:t>“</w:t>
      </w:r>
      <w:r w:rsidRPr="00096BFF">
        <w:rPr>
          <w:rFonts w:eastAsia="Times New Roman" w:cs="Arial"/>
          <w:color w:val="000000"/>
          <w:lang w:val="en-US"/>
        </w:rPr>
        <w:t>RX</w:t>
      </w:r>
      <w:r w:rsidRPr="00096BFF">
        <w:rPr>
          <w:rFonts w:eastAsia="Times New Roman" w:cs="Arial"/>
          <w:color w:val="000000"/>
          <w:lang w:val="ru-RU"/>
        </w:rPr>
        <w:t xml:space="preserve">509” </w:t>
      </w:r>
      <w:r w:rsidRPr="00096BFF">
        <w:rPr>
          <w:rFonts w:eastAsia="Times New Roman" w:cs="Arial"/>
          <w:color w:val="000000"/>
          <w:lang w:eastAsia="bg-BG"/>
        </w:rPr>
        <w:t>от едната страна и делителна черта от другата.</w:t>
      </w:r>
    </w:p>
    <w:p w14:paraId="7154DFEA" w14:textId="77777777" w:rsidR="00096BFF" w:rsidRPr="00096BFF" w:rsidRDefault="00096BFF" w:rsidP="00096BFF">
      <w:pPr>
        <w:spacing w:line="240" w:lineRule="auto"/>
        <w:rPr>
          <w:rFonts w:eastAsia="Times New Roman" w:cs="Arial"/>
          <w:color w:val="000000"/>
          <w:lang w:eastAsia="bg-BG"/>
        </w:rPr>
      </w:pPr>
    </w:p>
    <w:p w14:paraId="0C44D564" w14:textId="47BB23B0"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t>Делителната черта е само за улесняване на счупването с цел по-лесно поглъщане, а не за разделяне на равни дози.</w:t>
      </w:r>
    </w:p>
    <w:p w14:paraId="39B4BE8B" w14:textId="77777777" w:rsidR="00096BFF" w:rsidRPr="00096BFF" w:rsidRDefault="00096BFF" w:rsidP="00096BFF"/>
    <w:p w14:paraId="490FC2C4" w14:textId="32682B15" w:rsidR="002C50EE" w:rsidRDefault="002C50EE" w:rsidP="002C50EE">
      <w:pPr>
        <w:pStyle w:val="Heading1"/>
      </w:pPr>
      <w:r>
        <w:t>4. КЛИНИЧНИ ДАННИ</w:t>
      </w:r>
    </w:p>
    <w:p w14:paraId="754A29C8" w14:textId="34304510" w:rsidR="00C0049F" w:rsidRDefault="002C50EE" w:rsidP="009F1313">
      <w:pPr>
        <w:pStyle w:val="Heading2"/>
      </w:pPr>
      <w:r>
        <w:t>4.1. Терапевтични показания</w:t>
      </w:r>
    </w:p>
    <w:p w14:paraId="1A864943" w14:textId="397E837D" w:rsidR="00395555" w:rsidRDefault="00395555" w:rsidP="00395555"/>
    <w:p w14:paraId="5321C88E" w14:textId="77777777"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t>Комбинацията амоксицилин/клавуланова киселина е показана за лечение на следните инфекции при възрастни и деца (вижте точки 4.2, 4.4 и 5.1):</w:t>
      </w:r>
    </w:p>
    <w:p w14:paraId="2E594941" w14:textId="77777777" w:rsidR="00096BFF" w:rsidRPr="00096BFF" w:rsidRDefault="00096BFF" w:rsidP="00096BFF">
      <w:pPr>
        <w:spacing w:line="240" w:lineRule="auto"/>
        <w:rPr>
          <w:rFonts w:eastAsia="Times New Roman" w:cs="Arial"/>
          <w:color w:val="000000"/>
          <w:lang w:eastAsia="bg-BG"/>
        </w:rPr>
      </w:pPr>
    </w:p>
    <w:p w14:paraId="5217BEB6" w14:textId="7106D654" w:rsidR="00096BFF" w:rsidRPr="00096BFF" w:rsidRDefault="00096BFF" w:rsidP="00096BFF">
      <w:pPr>
        <w:pStyle w:val="ListParagraph"/>
        <w:numPr>
          <w:ilvl w:val="0"/>
          <w:numId w:val="32"/>
        </w:numPr>
        <w:spacing w:line="240" w:lineRule="auto"/>
        <w:rPr>
          <w:rFonts w:eastAsia="Times New Roman" w:cs="Arial"/>
          <w:sz w:val="24"/>
          <w:szCs w:val="24"/>
        </w:rPr>
      </w:pPr>
      <w:r w:rsidRPr="00096BFF">
        <w:rPr>
          <w:rFonts w:eastAsia="Times New Roman" w:cs="Arial"/>
          <w:color w:val="000000"/>
          <w:lang w:eastAsia="bg-BG"/>
        </w:rPr>
        <w:t>Остър бактериален синузит (адекватно диагностициран);</w:t>
      </w:r>
    </w:p>
    <w:p w14:paraId="73FC1EC3" w14:textId="77777777" w:rsidR="00096BFF" w:rsidRPr="00096BFF" w:rsidRDefault="00096BFF" w:rsidP="00096BFF">
      <w:pPr>
        <w:pStyle w:val="ListParagraph"/>
        <w:numPr>
          <w:ilvl w:val="0"/>
          <w:numId w:val="32"/>
        </w:numPr>
        <w:spacing w:line="240" w:lineRule="auto"/>
        <w:rPr>
          <w:rFonts w:eastAsia="Times New Roman" w:cs="Arial"/>
          <w:sz w:val="24"/>
          <w:szCs w:val="24"/>
        </w:rPr>
      </w:pPr>
      <w:r w:rsidRPr="00096BFF">
        <w:rPr>
          <w:rFonts w:eastAsia="Times New Roman" w:cs="Arial"/>
          <w:color w:val="000000"/>
          <w:lang w:eastAsia="bg-BG"/>
        </w:rPr>
        <w:t>Остър отит на средното ухо;</w:t>
      </w:r>
    </w:p>
    <w:p w14:paraId="2A350618" w14:textId="77777777" w:rsidR="00096BFF" w:rsidRPr="00096BFF" w:rsidRDefault="00096BFF" w:rsidP="00096BFF">
      <w:pPr>
        <w:pStyle w:val="ListParagraph"/>
        <w:numPr>
          <w:ilvl w:val="0"/>
          <w:numId w:val="32"/>
        </w:numPr>
        <w:spacing w:line="240" w:lineRule="auto"/>
        <w:rPr>
          <w:rFonts w:eastAsia="Times New Roman" w:cs="Arial"/>
          <w:sz w:val="24"/>
          <w:szCs w:val="24"/>
        </w:rPr>
      </w:pPr>
      <w:r w:rsidRPr="00096BFF">
        <w:rPr>
          <w:rFonts w:eastAsia="Times New Roman" w:cs="Arial"/>
          <w:color w:val="000000"/>
          <w:lang w:eastAsia="bg-BG"/>
        </w:rPr>
        <w:t>Остри екзацербации на хроничен бронхит (адекватно диагностициран);</w:t>
      </w:r>
    </w:p>
    <w:p w14:paraId="4F3785E2" w14:textId="77777777" w:rsidR="00096BFF" w:rsidRPr="00096BFF" w:rsidRDefault="00096BFF" w:rsidP="00096BFF">
      <w:pPr>
        <w:pStyle w:val="ListParagraph"/>
        <w:numPr>
          <w:ilvl w:val="0"/>
          <w:numId w:val="32"/>
        </w:numPr>
        <w:spacing w:line="240" w:lineRule="auto"/>
        <w:rPr>
          <w:rFonts w:eastAsia="Times New Roman" w:cs="Arial"/>
          <w:sz w:val="24"/>
          <w:szCs w:val="24"/>
        </w:rPr>
      </w:pPr>
      <w:r w:rsidRPr="00096BFF">
        <w:rPr>
          <w:rFonts w:eastAsia="Times New Roman" w:cs="Arial"/>
          <w:color w:val="000000"/>
          <w:lang w:eastAsia="bg-BG"/>
        </w:rPr>
        <w:t>Пневмония, придобита в обществото;</w:t>
      </w:r>
    </w:p>
    <w:p w14:paraId="20180DAA" w14:textId="77777777" w:rsidR="00096BFF" w:rsidRPr="00096BFF" w:rsidRDefault="00096BFF" w:rsidP="00096BFF">
      <w:pPr>
        <w:pStyle w:val="ListParagraph"/>
        <w:numPr>
          <w:ilvl w:val="0"/>
          <w:numId w:val="32"/>
        </w:numPr>
        <w:spacing w:line="240" w:lineRule="auto"/>
        <w:rPr>
          <w:rFonts w:eastAsia="Times New Roman" w:cs="Arial"/>
          <w:sz w:val="24"/>
          <w:szCs w:val="24"/>
        </w:rPr>
      </w:pPr>
      <w:r w:rsidRPr="00096BFF">
        <w:rPr>
          <w:rFonts w:eastAsia="Times New Roman" w:cs="Arial"/>
          <w:color w:val="000000"/>
          <w:lang w:eastAsia="bg-BG"/>
        </w:rPr>
        <w:t>Цистит;</w:t>
      </w:r>
    </w:p>
    <w:p w14:paraId="55D0EF13" w14:textId="77777777" w:rsidR="00096BFF" w:rsidRPr="00096BFF" w:rsidRDefault="00096BFF" w:rsidP="00096BFF">
      <w:pPr>
        <w:pStyle w:val="ListParagraph"/>
        <w:numPr>
          <w:ilvl w:val="0"/>
          <w:numId w:val="32"/>
        </w:numPr>
        <w:spacing w:line="240" w:lineRule="auto"/>
        <w:rPr>
          <w:rFonts w:eastAsia="Times New Roman" w:cs="Arial"/>
          <w:sz w:val="24"/>
          <w:szCs w:val="24"/>
        </w:rPr>
      </w:pPr>
      <w:r w:rsidRPr="00096BFF">
        <w:rPr>
          <w:rFonts w:eastAsia="Times New Roman" w:cs="Arial"/>
          <w:color w:val="000000"/>
          <w:lang w:eastAsia="bg-BG"/>
        </w:rPr>
        <w:t>Пиелонефрит;</w:t>
      </w:r>
    </w:p>
    <w:p w14:paraId="4B708E35" w14:textId="77777777" w:rsidR="00096BFF" w:rsidRPr="00096BFF" w:rsidRDefault="00096BFF" w:rsidP="00096BFF">
      <w:pPr>
        <w:pStyle w:val="ListParagraph"/>
        <w:numPr>
          <w:ilvl w:val="0"/>
          <w:numId w:val="32"/>
        </w:numPr>
        <w:spacing w:line="240" w:lineRule="auto"/>
        <w:rPr>
          <w:rFonts w:eastAsia="Times New Roman" w:cs="Arial"/>
          <w:sz w:val="24"/>
          <w:szCs w:val="24"/>
        </w:rPr>
      </w:pPr>
      <w:r w:rsidRPr="00096BFF">
        <w:rPr>
          <w:rFonts w:eastAsia="Times New Roman" w:cs="Arial"/>
          <w:color w:val="000000"/>
          <w:lang w:eastAsia="bg-BG"/>
        </w:rPr>
        <w:t>Инфекции на кожата и меките тъкани, по-специално целулит, ухапвания от животни, тежък зъбен абсцес с разпространяващ се целулит;</w:t>
      </w:r>
    </w:p>
    <w:p w14:paraId="380C6D15" w14:textId="77777777" w:rsidR="00096BFF" w:rsidRPr="00096BFF" w:rsidRDefault="00096BFF" w:rsidP="00096BFF">
      <w:pPr>
        <w:pStyle w:val="ListParagraph"/>
        <w:numPr>
          <w:ilvl w:val="0"/>
          <w:numId w:val="32"/>
        </w:numPr>
        <w:spacing w:line="240" w:lineRule="auto"/>
        <w:rPr>
          <w:rFonts w:eastAsia="Times New Roman" w:cs="Arial"/>
          <w:sz w:val="24"/>
          <w:szCs w:val="24"/>
        </w:rPr>
      </w:pPr>
      <w:r w:rsidRPr="00096BFF">
        <w:rPr>
          <w:rFonts w:eastAsia="Times New Roman" w:cs="Arial"/>
          <w:color w:val="000000"/>
          <w:lang w:eastAsia="bg-BG"/>
        </w:rPr>
        <w:t>Инфекции на костите и ставите, по-специално остеомиелит.</w:t>
      </w:r>
    </w:p>
    <w:p w14:paraId="50C00183" w14:textId="77777777" w:rsidR="00096BFF" w:rsidRPr="00096BFF" w:rsidRDefault="00096BFF" w:rsidP="00096BFF">
      <w:pPr>
        <w:spacing w:line="240" w:lineRule="auto"/>
        <w:rPr>
          <w:rFonts w:eastAsia="Times New Roman" w:cs="Arial"/>
          <w:color w:val="000000"/>
          <w:lang w:eastAsia="bg-BG"/>
        </w:rPr>
      </w:pPr>
    </w:p>
    <w:p w14:paraId="4FC192B3" w14:textId="5025AF39"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t>Трябва да се имат предвид официалните ръководства за правилна употреба на антибактериални продукти.</w:t>
      </w:r>
    </w:p>
    <w:p w14:paraId="4587304C" w14:textId="77777777" w:rsidR="00096BFF" w:rsidRPr="00395555" w:rsidRDefault="00096BFF" w:rsidP="00395555"/>
    <w:p w14:paraId="7C0CA5EB" w14:textId="3E139903" w:rsidR="00C0049F" w:rsidRDefault="002C50EE" w:rsidP="009F1313">
      <w:pPr>
        <w:pStyle w:val="Heading2"/>
      </w:pPr>
      <w:r>
        <w:lastRenderedPageBreak/>
        <w:t>4.2. Дозировка и начин на приложение</w:t>
      </w:r>
    </w:p>
    <w:p w14:paraId="10E1E4B4" w14:textId="450F9459" w:rsidR="00096BFF" w:rsidRDefault="00096BFF" w:rsidP="00096BFF"/>
    <w:p w14:paraId="74075259" w14:textId="77777777" w:rsidR="00096BFF" w:rsidRPr="00096BFF" w:rsidRDefault="00096BFF" w:rsidP="00096BFF">
      <w:pPr>
        <w:pStyle w:val="Heading3"/>
        <w:rPr>
          <w:rFonts w:eastAsia="Times New Roman"/>
          <w:u w:val="single"/>
        </w:rPr>
      </w:pPr>
      <w:r w:rsidRPr="00096BFF">
        <w:rPr>
          <w:rFonts w:eastAsia="Times New Roman"/>
          <w:u w:val="single"/>
          <w:lang w:eastAsia="bg-BG"/>
        </w:rPr>
        <w:t>Дозировка</w:t>
      </w:r>
    </w:p>
    <w:p w14:paraId="0E3F3EC8" w14:textId="77777777" w:rsidR="00096BFF" w:rsidRPr="00096BFF" w:rsidRDefault="00096BFF" w:rsidP="00096BFF">
      <w:pPr>
        <w:spacing w:line="240" w:lineRule="auto"/>
        <w:rPr>
          <w:rFonts w:eastAsia="Times New Roman" w:cs="Arial"/>
          <w:color w:val="000000"/>
          <w:lang w:eastAsia="bg-BG"/>
        </w:rPr>
      </w:pPr>
    </w:p>
    <w:p w14:paraId="57EF1AC4" w14:textId="567CD68A"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t>Дозите са изразени като се отразява съдържанието на амоксицилин/клавуланова киселина освен когато дозите се посочват с отделните компоненти.</w:t>
      </w:r>
    </w:p>
    <w:p w14:paraId="7AC79A71" w14:textId="77777777" w:rsidR="00096BFF" w:rsidRPr="00096BFF" w:rsidRDefault="00096BFF" w:rsidP="00096BFF">
      <w:pPr>
        <w:spacing w:line="240" w:lineRule="auto"/>
        <w:rPr>
          <w:rFonts w:eastAsia="Times New Roman" w:cs="Arial"/>
          <w:color w:val="000000"/>
          <w:lang w:eastAsia="bg-BG"/>
        </w:rPr>
      </w:pPr>
    </w:p>
    <w:p w14:paraId="4C2D83D5" w14:textId="77777777" w:rsidR="00096BFF" w:rsidRPr="00096BFF" w:rsidRDefault="00096BFF" w:rsidP="00096BFF">
      <w:pPr>
        <w:rPr>
          <w:rFonts w:eastAsia="Times New Roman" w:cs="Arial"/>
          <w:sz w:val="24"/>
          <w:szCs w:val="24"/>
        </w:rPr>
      </w:pPr>
      <w:r w:rsidRPr="00096BFF">
        <w:rPr>
          <w:rFonts w:eastAsia="Times New Roman" w:cs="Arial"/>
          <w:color w:val="000000"/>
          <w:lang w:eastAsia="bg-BG"/>
        </w:rPr>
        <w:t>Когато се избира дозата амоксицилин/клавуланова киселина за лечение на определена инфекция, трябва да се вземат предвид:</w:t>
      </w:r>
    </w:p>
    <w:p w14:paraId="092768A9" w14:textId="77777777"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t>очакваните патогени и тяхната вероятна чувствителност към антибиотика (виж точка 4.4);</w:t>
      </w:r>
    </w:p>
    <w:p w14:paraId="47E6CC8C" w14:textId="403A8F90" w:rsidR="00096BFF" w:rsidRPr="00096BFF" w:rsidRDefault="00096BFF" w:rsidP="00096BFF">
      <w:pPr>
        <w:pStyle w:val="ListParagraph"/>
        <w:numPr>
          <w:ilvl w:val="0"/>
          <w:numId w:val="32"/>
        </w:numPr>
        <w:spacing w:line="240" w:lineRule="auto"/>
        <w:rPr>
          <w:rFonts w:eastAsia="Times New Roman" w:cs="Arial"/>
          <w:sz w:val="24"/>
          <w:szCs w:val="24"/>
        </w:rPr>
      </w:pPr>
      <w:r w:rsidRPr="00096BFF">
        <w:rPr>
          <w:rFonts w:eastAsia="Times New Roman" w:cs="Arial"/>
          <w:color w:val="000000"/>
          <w:lang w:eastAsia="bg-BG"/>
        </w:rPr>
        <w:t>тежестта и локализацията на инфекцията;</w:t>
      </w:r>
    </w:p>
    <w:p w14:paraId="7C41F6B0" w14:textId="407A01DA" w:rsidR="00096BFF" w:rsidRPr="00096BFF" w:rsidRDefault="00096BFF" w:rsidP="00096BFF">
      <w:pPr>
        <w:pStyle w:val="ListParagraph"/>
        <w:numPr>
          <w:ilvl w:val="0"/>
          <w:numId w:val="32"/>
        </w:numPr>
        <w:spacing w:line="240" w:lineRule="auto"/>
        <w:rPr>
          <w:rFonts w:eastAsia="Times New Roman" w:cs="Arial"/>
          <w:sz w:val="24"/>
          <w:szCs w:val="24"/>
        </w:rPr>
      </w:pPr>
      <w:r w:rsidRPr="00096BFF">
        <w:rPr>
          <w:rFonts w:eastAsia="Times New Roman" w:cs="Arial"/>
          <w:color w:val="000000"/>
          <w:lang w:eastAsia="bg-BG"/>
        </w:rPr>
        <w:t>възрастта, теглото и бъбречната функция на пациента, както се посочва по-долу.</w:t>
      </w:r>
    </w:p>
    <w:p w14:paraId="5C6DBD9B" w14:textId="77777777" w:rsidR="00096BFF" w:rsidRPr="00096BFF" w:rsidRDefault="00096BFF" w:rsidP="00096BFF">
      <w:pPr>
        <w:spacing w:line="240" w:lineRule="auto"/>
        <w:rPr>
          <w:rFonts w:eastAsia="Times New Roman" w:cs="Arial"/>
          <w:color w:val="000000"/>
          <w:lang w:eastAsia="bg-BG"/>
        </w:rPr>
      </w:pPr>
      <w:r w:rsidRPr="00096BFF">
        <w:rPr>
          <w:rFonts w:eastAsia="Times New Roman" w:cs="Arial"/>
          <w:color w:val="000000"/>
          <w:lang w:eastAsia="bg-BG"/>
        </w:rPr>
        <w:t xml:space="preserve">Ако е необходимо, трябва да се има предвид използването на алтернативни форми амоксицилин/клавуланова киселина (напр. такива, които предоставят по-високи дози амоксицилин </w:t>
      </w:r>
    </w:p>
    <w:p w14:paraId="09A1CA5B" w14:textId="5CEAE266"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t>и/или различни съотношения между амоксицилин и клавуланова киселина) (вижте точки 4.4 и 5.1).</w:t>
      </w:r>
    </w:p>
    <w:p w14:paraId="1F371228" w14:textId="77777777" w:rsidR="00096BFF" w:rsidRPr="00096BFF" w:rsidRDefault="00096BFF" w:rsidP="00096BFF">
      <w:pPr>
        <w:spacing w:line="240" w:lineRule="auto"/>
        <w:rPr>
          <w:rFonts w:eastAsia="Times New Roman" w:cs="Arial"/>
          <w:color w:val="000000"/>
          <w:lang w:eastAsia="bg-BG"/>
        </w:rPr>
      </w:pPr>
    </w:p>
    <w:p w14:paraId="1EDCC7D2" w14:textId="39FC4D87"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t xml:space="preserve">За възрастни и деца ≥ 40 </w:t>
      </w:r>
      <w:r w:rsidRPr="00096BFF">
        <w:rPr>
          <w:rFonts w:eastAsia="Times New Roman" w:cs="Arial"/>
          <w:color w:val="000000"/>
          <w:lang w:val="en-US"/>
        </w:rPr>
        <w:t>kg</w:t>
      </w:r>
      <w:r w:rsidRPr="00096BFF">
        <w:rPr>
          <w:rFonts w:eastAsia="Times New Roman" w:cs="Arial"/>
          <w:color w:val="000000"/>
          <w:lang w:val="ru-RU"/>
        </w:rPr>
        <w:t xml:space="preserve">, </w:t>
      </w:r>
      <w:r w:rsidRPr="00096BFF">
        <w:rPr>
          <w:rFonts w:eastAsia="Times New Roman" w:cs="Arial"/>
          <w:color w:val="000000"/>
          <w:lang w:eastAsia="bg-BG"/>
        </w:rPr>
        <w:t xml:space="preserve">тази форма предоставя обща дневна доза от 1750 </w:t>
      </w:r>
      <w:r w:rsidRPr="00096BFF">
        <w:rPr>
          <w:rFonts w:eastAsia="Times New Roman" w:cs="Arial"/>
          <w:color w:val="000000"/>
          <w:lang w:val="en-US"/>
        </w:rPr>
        <w:t>mg</w:t>
      </w:r>
      <w:r w:rsidRPr="00096BFF">
        <w:rPr>
          <w:rFonts w:eastAsia="Times New Roman" w:cs="Arial"/>
          <w:color w:val="000000"/>
          <w:lang w:val="ru-RU"/>
        </w:rPr>
        <w:t xml:space="preserve"> </w:t>
      </w:r>
      <w:r w:rsidRPr="00096BFF">
        <w:rPr>
          <w:rFonts w:eastAsia="Times New Roman" w:cs="Arial"/>
          <w:color w:val="000000"/>
          <w:lang w:eastAsia="bg-BG"/>
        </w:rPr>
        <w:t xml:space="preserve">амоксицилин/250 </w:t>
      </w:r>
      <w:r w:rsidRPr="00096BFF">
        <w:rPr>
          <w:rFonts w:eastAsia="Times New Roman" w:cs="Arial"/>
          <w:color w:val="000000"/>
          <w:lang w:val="en-US"/>
        </w:rPr>
        <w:t>mg</w:t>
      </w:r>
      <w:r w:rsidRPr="00096BFF">
        <w:rPr>
          <w:rFonts w:eastAsia="Times New Roman" w:cs="Arial"/>
          <w:color w:val="000000"/>
          <w:lang w:val="ru-RU"/>
        </w:rPr>
        <w:t xml:space="preserve"> </w:t>
      </w:r>
      <w:r w:rsidRPr="00096BFF">
        <w:rPr>
          <w:rFonts w:eastAsia="Times New Roman" w:cs="Arial"/>
          <w:color w:val="000000"/>
          <w:lang w:eastAsia="bg-BG"/>
        </w:rPr>
        <w:t xml:space="preserve">клавуланова киселина при двукратно дневно дозиране и 2625 </w:t>
      </w:r>
      <w:r w:rsidRPr="00096BFF">
        <w:rPr>
          <w:rFonts w:eastAsia="Times New Roman" w:cs="Arial"/>
          <w:color w:val="000000"/>
          <w:lang w:val="en-US"/>
        </w:rPr>
        <w:t>mg</w:t>
      </w:r>
      <w:r w:rsidRPr="00096BFF">
        <w:rPr>
          <w:rFonts w:eastAsia="Times New Roman" w:cs="Arial"/>
          <w:color w:val="000000"/>
          <w:lang w:val="ru-RU"/>
        </w:rPr>
        <w:t xml:space="preserve"> </w:t>
      </w:r>
      <w:r w:rsidRPr="00096BFF">
        <w:rPr>
          <w:rFonts w:eastAsia="Times New Roman" w:cs="Arial"/>
          <w:color w:val="000000"/>
          <w:lang w:eastAsia="bg-BG"/>
        </w:rPr>
        <w:t xml:space="preserve">амоксицилин/375 </w:t>
      </w:r>
      <w:r w:rsidRPr="00096BFF">
        <w:rPr>
          <w:rFonts w:eastAsia="Times New Roman" w:cs="Arial"/>
          <w:color w:val="000000"/>
          <w:lang w:val="en-US"/>
        </w:rPr>
        <w:t>mg</w:t>
      </w:r>
      <w:r w:rsidRPr="00096BFF">
        <w:rPr>
          <w:rFonts w:eastAsia="Times New Roman" w:cs="Arial"/>
          <w:color w:val="000000"/>
          <w:lang w:val="ru-RU"/>
        </w:rPr>
        <w:t xml:space="preserve"> </w:t>
      </w:r>
      <w:r w:rsidRPr="00096BFF">
        <w:rPr>
          <w:rFonts w:eastAsia="Times New Roman" w:cs="Arial"/>
          <w:color w:val="000000"/>
          <w:lang w:eastAsia="bg-BG"/>
        </w:rPr>
        <w:t xml:space="preserve">клавуланова киселина при трикратно дневно дозиране, когато се прилага според препоръките по-долу. За деца &lt; 40 </w:t>
      </w:r>
      <w:r w:rsidRPr="00096BFF">
        <w:rPr>
          <w:rFonts w:eastAsia="Times New Roman" w:cs="Arial"/>
          <w:color w:val="000000"/>
          <w:lang w:val="en-US"/>
        </w:rPr>
        <w:t>kg</w:t>
      </w:r>
      <w:r w:rsidRPr="00096BFF">
        <w:rPr>
          <w:rFonts w:eastAsia="Times New Roman" w:cs="Arial"/>
          <w:color w:val="000000"/>
          <w:lang w:val="ru-RU"/>
        </w:rPr>
        <w:t xml:space="preserve"> </w:t>
      </w:r>
      <w:r w:rsidRPr="00096BFF">
        <w:rPr>
          <w:rFonts w:eastAsia="Times New Roman" w:cs="Arial"/>
          <w:color w:val="000000"/>
          <w:lang w:eastAsia="bg-BG"/>
        </w:rPr>
        <w:t xml:space="preserve">тази форма предоставя максимална дневна доза от 1000-2800 </w:t>
      </w:r>
      <w:r w:rsidRPr="00096BFF">
        <w:rPr>
          <w:rFonts w:eastAsia="Times New Roman" w:cs="Arial"/>
          <w:color w:val="000000"/>
          <w:lang w:val="en-US"/>
        </w:rPr>
        <w:t>mg</w:t>
      </w:r>
      <w:r w:rsidRPr="00096BFF">
        <w:rPr>
          <w:rFonts w:eastAsia="Times New Roman" w:cs="Arial"/>
          <w:color w:val="000000"/>
          <w:lang w:val="ru-RU"/>
        </w:rPr>
        <w:t xml:space="preserve"> </w:t>
      </w:r>
      <w:r w:rsidRPr="00096BFF">
        <w:rPr>
          <w:rFonts w:eastAsia="Times New Roman" w:cs="Arial"/>
          <w:color w:val="000000"/>
          <w:lang w:eastAsia="bg-BG"/>
        </w:rPr>
        <w:t xml:space="preserve">амоксицилин/143-400 </w:t>
      </w:r>
      <w:r w:rsidRPr="00096BFF">
        <w:rPr>
          <w:rFonts w:eastAsia="Times New Roman" w:cs="Arial"/>
          <w:color w:val="000000"/>
          <w:lang w:val="en-US"/>
        </w:rPr>
        <w:t>mg</w:t>
      </w:r>
      <w:r w:rsidRPr="00096BFF">
        <w:rPr>
          <w:rFonts w:eastAsia="Times New Roman" w:cs="Arial"/>
          <w:color w:val="000000"/>
          <w:lang w:val="ru-RU"/>
        </w:rPr>
        <w:t xml:space="preserve"> </w:t>
      </w:r>
      <w:r w:rsidRPr="00096BFF">
        <w:rPr>
          <w:rFonts w:eastAsia="Times New Roman" w:cs="Arial"/>
          <w:color w:val="000000"/>
          <w:lang w:eastAsia="bg-BG"/>
        </w:rPr>
        <w:t>клавуланова киселина, когато се прилага според препоръките по-долу. Ако се счита, че е необходима по-висока дневна доза амоксицилин, се препоръчва да се избере друга форма на амоксицилин/клавуланова киселина, за да се избегне приложение на ненужно високи дневни дози клавуланова киселина (вж точки 4.4 и 5.1).</w:t>
      </w:r>
    </w:p>
    <w:p w14:paraId="6E43FE79" w14:textId="77777777" w:rsidR="00096BFF" w:rsidRPr="00096BFF" w:rsidRDefault="00096BFF" w:rsidP="00096BFF">
      <w:pPr>
        <w:spacing w:line="240" w:lineRule="auto"/>
        <w:rPr>
          <w:rFonts w:eastAsia="Times New Roman" w:cs="Arial"/>
          <w:color w:val="000000"/>
          <w:lang w:eastAsia="bg-BG"/>
        </w:rPr>
      </w:pPr>
    </w:p>
    <w:p w14:paraId="16EA9710" w14:textId="5CD4E437"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t>Продължителността на терапията се определя от отговора на пациента. Някои инфекции (като остеомиелит) изискват по-дълъг период на лечение. Терапията не трябва да надвишава 14 дни без клиничен преглед (виж точка 4.4 във връзка с продължително лечение).</w:t>
      </w:r>
    </w:p>
    <w:p w14:paraId="106DBC13" w14:textId="77777777" w:rsidR="00096BFF" w:rsidRPr="00096BFF" w:rsidRDefault="00096BFF" w:rsidP="00096BFF">
      <w:pPr>
        <w:spacing w:line="240" w:lineRule="auto"/>
        <w:rPr>
          <w:rFonts w:eastAsia="Times New Roman" w:cs="Arial"/>
          <w:i/>
          <w:iCs/>
          <w:color w:val="000000"/>
          <w:lang w:eastAsia="bg-BG"/>
        </w:rPr>
      </w:pPr>
    </w:p>
    <w:p w14:paraId="40B1F723" w14:textId="1C9EBAB7" w:rsidR="00096BFF" w:rsidRPr="00096BFF" w:rsidRDefault="00096BFF" w:rsidP="00096BFF">
      <w:pPr>
        <w:spacing w:line="240" w:lineRule="auto"/>
        <w:rPr>
          <w:rFonts w:eastAsia="Times New Roman" w:cs="Arial"/>
          <w:i/>
          <w:iCs/>
          <w:color w:val="000000"/>
          <w:lang w:eastAsia="bg-BG"/>
        </w:rPr>
      </w:pPr>
      <w:r w:rsidRPr="00096BFF">
        <w:rPr>
          <w:rFonts w:eastAsia="Times New Roman" w:cs="Arial"/>
          <w:i/>
          <w:iCs/>
          <w:color w:val="000000"/>
          <w:lang w:eastAsia="bg-BG"/>
        </w:rPr>
        <w:t xml:space="preserve">Възрастни и деца ≥ 40 </w:t>
      </w:r>
      <w:r w:rsidRPr="00096BFF">
        <w:rPr>
          <w:rFonts w:eastAsia="Times New Roman" w:cs="Arial"/>
          <w:i/>
          <w:iCs/>
          <w:color w:val="000000"/>
          <w:lang w:val="en-US"/>
        </w:rPr>
        <w:t>kg</w:t>
      </w:r>
    </w:p>
    <w:p w14:paraId="4DF4A97B" w14:textId="77777777" w:rsidR="00096BFF" w:rsidRPr="00096BFF" w:rsidRDefault="00096BFF" w:rsidP="00096BFF">
      <w:pPr>
        <w:spacing w:line="240" w:lineRule="auto"/>
        <w:rPr>
          <w:rFonts w:eastAsia="Times New Roman" w:cs="Arial"/>
          <w:color w:val="000000"/>
          <w:lang w:eastAsia="bg-BG"/>
        </w:rPr>
      </w:pPr>
    </w:p>
    <w:p w14:paraId="0662C7A5" w14:textId="44961D73"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t>Препоръчителни дози:</w:t>
      </w:r>
    </w:p>
    <w:p w14:paraId="1691B4D3" w14:textId="242528FE" w:rsidR="00096BFF" w:rsidRPr="00096BFF" w:rsidRDefault="00096BFF" w:rsidP="00096BFF">
      <w:pPr>
        <w:pStyle w:val="ListParagraph"/>
        <w:numPr>
          <w:ilvl w:val="0"/>
          <w:numId w:val="32"/>
        </w:numPr>
        <w:spacing w:line="240" w:lineRule="auto"/>
        <w:rPr>
          <w:rFonts w:eastAsia="Times New Roman" w:cs="Arial"/>
          <w:sz w:val="24"/>
          <w:szCs w:val="24"/>
        </w:rPr>
      </w:pPr>
      <w:r w:rsidRPr="00096BFF">
        <w:rPr>
          <w:rFonts w:eastAsia="Times New Roman" w:cs="Arial"/>
          <w:color w:val="000000"/>
          <w:lang w:eastAsia="bg-BG"/>
        </w:rPr>
        <w:t xml:space="preserve">Стандартна доза: (за всички показания) 875 </w:t>
      </w:r>
      <w:r w:rsidRPr="00096BFF">
        <w:rPr>
          <w:rFonts w:eastAsia="Times New Roman" w:cs="Arial"/>
          <w:color w:val="000000"/>
          <w:lang w:val="en-US"/>
        </w:rPr>
        <w:t>mg</w:t>
      </w:r>
      <w:r w:rsidRPr="00096BFF">
        <w:rPr>
          <w:rFonts w:eastAsia="Times New Roman" w:cs="Arial"/>
          <w:color w:val="000000"/>
          <w:lang w:val="ru-RU"/>
        </w:rPr>
        <w:t xml:space="preserve">/125 </w:t>
      </w:r>
      <w:r w:rsidRPr="00096BFF">
        <w:rPr>
          <w:rFonts w:eastAsia="Times New Roman" w:cs="Arial"/>
          <w:color w:val="000000"/>
          <w:lang w:val="en-US"/>
        </w:rPr>
        <w:t>mg</w:t>
      </w:r>
      <w:r w:rsidRPr="00096BFF">
        <w:rPr>
          <w:rFonts w:eastAsia="Times New Roman" w:cs="Arial"/>
          <w:color w:val="000000"/>
          <w:lang w:val="ru-RU"/>
        </w:rPr>
        <w:t xml:space="preserve"> </w:t>
      </w:r>
      <w:r w:rsidRPr="00096BFF">
        <w:rPr>
          <w:rFonts w:eastAsia="Times New Roman" w:cs="Arial"/>
          <w:color w:val="000000"/>
          <w:lang w:eastAsia="bg-BG"/>
        </w:rPr>
        <w:t>два пъти дневно;</w:t>
      </w:r>
    </w:p>
    <w:p w14:paraId="6ED2B8BF" w14:textId="3067B048" w:rsidR="00096BFF" w:rsidRPr="00096BFF" w:rsidRDefault="00096BFF" w:rsidP="00096BFF">
      <w:pPr>
        <w:pStyle w:val="ListParagraph"/>
        <w:numPr>
          <w:ilvl w:val="0"/>
          <w:numId w:val="32"/>
        </w:numPr>
        <w:spacing w:line="240" w:lineRule="auto"/>
        <w:rPr>
          <w:rFonts w:eastAsia="Times New Roman" w:cs="Arial"/>
          <w:sz w:val="24"/>
          <w:szCs w:val="24"/>
        </w:rPr>
      </w:pPr>
      <w:r w:rsidRPr="00096BFF">
        <w:rPr>
          <w:rFonts w:eastAsia="Times New Roman" w:cs="Arial"/>
          <w:color w:val="000000"/>
          <w:lang w:eastAsia="bg-BG"/>
        </w:rPr>
        <w:t xml:space="preserve">По-високи дози: (главно при инфекции като отит на средното ухо, синузит, инфекции на долните дихателни пътища и инфекции на пикочните пътища): 875 </w:t>
      </w:r>
      <w:r w:rsidRPr="00096BFF">
        <w:rPr>
          <w:rFonts w:eastAsia="Times New Roman" w:cs="Arial"/>
          <w:color w:val="000000"/>
          <w:lang w:val="en-US"/>
        </w:rPr>
        <w:t>mg</w:t>
      </w:r>
      <w:r w:rsidRPr="00096BFF">
        <w:rPr>
          <w:rFonts w:eastAsia="Times New Roman" w:cs="Arial"/>
          <w:color w:val="000000"/>
          <w:lang w:val="ru-RU"/>
        </w:rPr>
        <w:t xml:space="preserve">/125 </w:t>
      </w:r>
      <w:r w:rsidRPr="00096BFF">
        <w:rPr>
          <w:rFonts w:eastAsia="Times New Roman" w:cs="Arial"/>
          <w:color w:val="000000"/>
          <w:lang w:val="en-US"/>
        </w:rPr>
        <w:t>mg</w:t>
      </w:r>
      <w:r w:rsidRPr="00096BFF">
        <w:rPr>
          <w:rFonts w:eastAsia="Times New Roman" w:cs="Arial"/>
          <w:color w:val="000000"/>
          <w:lang w:val="ru-RU"/>
        </w:rPr>
        <w:t xml:space="preserve"> </w:t>
      </w:r>
      <w:r w:rsidRPr="00096BFF">
        <w:rPr>
          <w:rFonts w:eastAsia="Times New Roman" w:cs="Arial"/>
          <w:color w:val="000000"/>
          <w:lang w:eastAsia="bg-BG"/>
        </w:rPr>
        <w:t>три пъти дневно.</w:t>
      </w:r>
    </w:p>
    <w:p w14:paraId="23746D69" w14:textId="77777777" w:rsidR="00096BFF" w:rsidRPr="00096BFF" w:rsidRDefault="00096BFF" w:rsidP="00096BFF">
      <w:pPr>
        <w:spacing w:line="240" w:lineRule="auto"/>
        <w:rPr>
          <w:rFonts w:eastAsia="Times New Roman" w:cs="Arial"/>
          <w:i/>
          <w:iCs/>
          <w:color w:val="000000"/>
          <w:lang w:eastAsia="bg-BG"/>
        </w:rPr>
      </w:pPr>
    </w:p>
    <w:p w14:paraId="25067D23" w14:textId="535CA009" w:rsidR="00096BFF" w:rsidRPr="00096BFF" w:rsidRDefault="00096BFF" w:rsidP="00096BFF">
      <w:pPr>
        <w:spacing w:line="240" w:lineRule="auto"/>
        <w:rPr>
          <w:rFonts w:eastAsia="Times New Roman" w:cs="Arial"/>
          <w:sz w:val="24"/>
          <w:szCs w:val="24"/>
        </w:rPr>
      </w:pPr>
      <w:r w:rsidRPr="00096BFF">
        <w:rPr>
          <w:rFonts w:eastAsia="Times New Roman" w:cs="Arial"/>
          <w:i/>
          <w:iCs/>
          <w:color w:val="000000"/>
          <w:lang w:eastAsia="bg-BG"/>
        </w:rPr>
        <w:t xml:space="preserve">Деца &lt; </w:t>
      </w:r>
      <w:r w:rsidRPr="00096BFF">
        <w:rPr>
          <w:rFonts w:eastAsia="Times New Roman" w:cs="Arial"/>
          <w:i/>
          <w:iCs/>
          <w:color w:val="000000"/>
          <w:lang w:val="ru-RU"/>
        </w:rPr>
        <w:t xml:space="preserve">40 </w:t>
      </w:r>
      <w:r w:rsidRPr="00096BFF">
        <w:rPr>
          <w:rFonts w:eastAsia="Times New Roman" w:cs="Arial"/>
          <w:i/>
          <w:iCs/>
          <w:color w:val="000000"/>
          <w:lang w:val="en-US"/>
        </w:rPr>
        <w:t>kg</w:t>
      </w:r>
    </w:p>
    <w:p w14:paraId="59C0C544" w14:textId="77777777" w:rsidR="00096BFF" w:rsidRPr="00096BFF" w:rsidRDefault="00096BFF" w:rsidP="00096BFF">
      <w:pPr>
        <w:spacing w:line="240" w:lineRule="auto"/>
        <w:rPr>
          <w:rFonts w:eastAsia="Times New Roman" w:cs="Arial"/>
          <w:color w:val="000000"/>
          <w:lang w:eastAsia="bg-BG"/>
        </w:rPr>
      </w:pPr>
    </w:p>
    <w:p w14:paraId="04FB6409" w14:textId="4CEA7614" w:rsidR="00096BFF" w:rsidRPr="00096BFF" w:rsidRDefault="00096BFF" w:rsidP="00096BFF">
      <w:pPr>
        <w:spacing w:line="240" w:lineRule="auto"/>
        <w:rPr>
          <w:rFonts w:eastAsia="Times New Roman" w:cs="Arial"/>
          <w:color w:val="000000"/>
          <w:lang w:eastAsia="bg-BG"/>
        </w:rPr>
      </w:pPr>
      <w:r w:rsidRPr="00096BFF">
        <w:rPr>
          <w:rFonts w:eastAsia="Times New Roman" w:cs="Arial"/>
          <w:color w:val="000000"/>
          <w:lang w:eastAsia="bg-BG"/>
        </w:rPr>
        <w:t xml:space="preserve">Децата може да се лекуват с таблетки, суспензии или </w:t>
      </w:r>
      <w:r w:rsidRPr="00096BFF">
        <w:rPr>
          <w:rFonts w:eastAsia="Times New Roman" w:cs="Arial"/>
          <w:color w:val="000000"/>
          <w:lang w:val="en-US"/>
        </w:rPr>
        <w:t>camera</w:t>
      </w:r>
      <w:r w:rsidRPr="00096BFF">
        <w:rPr>
          <w:rFonts w:eastAsia="Times New Roman" w:cs="Arial"/>
          <w:color w:val="000000"/>
          <w:lang w:val="ru-RU"/>
        </w:rPr>
        <w:t xml:space="preserve"> </w:t>
      </w:r>
      <w:r w:rsidRPr="00096BFF">
        <w:rPr>
          <w:rFonts w:eastAsia="Times New Roman" w:cs="Arial"/>
          <w:color w:val="000000"/>
          <w:lang w:eastAsia="bg-BG"/>
        </w:rPr>
        <w:t>за педиатрично приложение.</w:t>
      </w:r>
    </w:p>
    <w:p w14:paraId="3D0E3BA9" w14:textId="77777777" w:rsidR="00096BFF" w:rsidRPr="00096BFF" w:rsidRDefault="00096BFF" w:rsidP="00096BFF">
      <w:pPr>
        <w:spacing w:line="240" w:lineRule="auto"/>
        <w:rPr>
          <w:rFonts w:eastAsia="Times New Roman" w:cs="Arial"/>
          <w:color w:val="000000"/>
          <w:lang w:eastAsia="bg-BG"/>
        </w:rPr>
      </w:pPr>
    </w:p>
    <w:p w14:paraId="3B396936" w14:textId="1B2A33B4"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t>Препоръчителни дози:</w:t>
      </w:r>
    </w:p>
    <w:p w14:paraId="53E0D2F6" w14:textId="77777777" w:rsidR="00096BFF" w:rsidRPr="00096BFF" w:rsidRDefault="00096BFF" w:rsidP="00096BFF">
      <w:pPr>
        <w:pStyle w:val="ListParagraph"/>
        <w:numPr>
          <w:ilvl w:val="0"/>
          <w:numId w:val="32"/>
        </w:numPr>
        <w:spacing w:line="240" w:lineRule="auto"/>
        <w:rPr>
          <w:rFonts w:eastAsia="Times New Roman" w:cs="Arial"/>
          <w:sz w:val="24"/>
          <w:szCs w:val="24"/>
        </w:rPr>
      </w:pPr>
      <w:r w:rsidRPr="00096BFF">
        <w:rPr>
          <w:rFonts w:eastAsia="Times New Roman" w:cs="Arial"/>
          <w:color w:val="000000"/>
          <w:lang w:eastAsia="bg-BG"/>
        </w:rPr>
        <w:t xml:space="preserve">25 </w:t>
      </w:r>
      <w:r w:rsidRPr="00096BFF">
        <w:rPr>
          <w:rFonts w:eastAsia="Times New Roman" w:cs="Arial"/>
          <w:color w:val="000000"/>
          <w:lang w:val="en-US"/>
        </w:rPr>
        <w:t>mg</w:t>
      </w:r>
      <w:r w:rsidRPr="00096BFF">
        <w:rPr>
          <w:rFonts w:eastAsia="Times New Roman" w:cs="Arial"/>
          <w:color w:val="000000"/>
          <w:lang w:val="ru-RU"/>
        </w:rPr>
        <w:t xml:space="preserve">/3,6 </w:t>
      </w:r>
      <w:r w:rsidRPr="00096BFF">
        <w:rPr>
          <w:rFonts w:eastAsia="Times New Roman" w:cs="Arial"/>
          <w:color w:val="000000"/>
          <w:lang w:val="en-US"/>
        </w:rPr>
        <w:t>mg</w:t>
      </w:r>
      <w:r w:rsidRPr="00096BFF">
        <w:rPr>
          <w:rFonts w:eastAsia="Times New Roman" w:cs="Arial"/>
          <w:color w:val="000000"/>
          <w:lang w:val="ru-RU"/>
        </w:rPr>
        <w:t>/</w:t>
      </w:r>
      <w:r w:rsidRPr="00096BFF">
        <w:rPr>
          <w:rFonts w:eastAsia="Times New Roman" w:cs="Arial"/>
          <w:color w:val="000000"/>
          <w:lang w:val="en-US"/>
        </w:rPr>
        <w:t>kg</w:t>
      </w:r>
      <w:r w:rsidRPr="00096BFF">
        <w:rPr>
          <w:rFonts w:eastAsia="Times New Roman" w:cs="Arial"/>
          <w:color w:val="000000"/>
          <w:lang w:eastAsia="bg-BG"/>
        </w:rPr>
        <w:t xml:space="preserve">/дневно до 45 </w:t>
      </w:r>
      <w:r w:rsidRPr="00096BFF">
        <w:rPr>
          <w:rFonts w:eastAsia="Times New Roman" w:cs="Arial"/>
          <w:color w:val="000000"/>
          <w:lang w:val="en-US"/>
        </w:rPr>
        <w:t>mg</w:t>
      </w:r>
      <w:r w:rsidRPr="00096BFF">
        <w:rPr>
          <w:rFonts w:eastAsia="Times New Roman" w:cs="Arial"/>
          <w:color w:val="000000"/>
          <w:lang w:val="ru-RU"/>
        </w:rPr>
        <w:t xml:space="preserve">/6,4 </w:t>
      </w:r>
      <w:r w:rsidRPr="00096BFF">
        <w:rPr>
          <w:rFonts w:eastAsia="Times New Roman" w:cs="Arial"/>
          <w:color w:val="000000"/>
          <w:lang w:val="en-US"/>
        </w:rPr>
        <w:t>mg</w:t>
      </w:r>
      <w:r w:rsidRPr="00096BFF">
        <w:rPr>
          <w:rFonts w:eastAsia="Times New Roman" w:cs="Arial"/>
          <w:color w:val="000000"/>
          <w:lang w:val="ru-RU"/>
        </w:rPr>
        <w:t>/</w:t>
      </w:r>
      <w:r w:rsidRPr="00096BFF">
        <w:rPr>
          <w:rFonts w:eastAsia="Times New Roman" w:cs="Arial"/>
          <w:color w:val="000000"/>
          <w:lang w:val="en-US"/>
        </w:rPr>
        <w:t>kg</w:t>
      </w:r>
      <w:r w:rsidRPr="00096BFF">
        <w:rPr>
          <w:rFonts w:eastAsia="Times New Roman" w:cs="Arial"/>
          <w:color w:val="000000"/>
          <w:lang w:eastAsia="bg-BG"/>
        </w:rPr>
        <w:t xml:space="preserve">/дневно, приложени като две отделни дози; </w:t>
      </w:r>
    </w:p>
    <w:p w14:paraId="24862272" w14:textId="0AAAC1FE" w:rsidR="00096BFF" w:rsidRPr="00096BFF" w:rsidRDefault="00096BFF" w:rsidP="00096BFF">
      <w:pPr>
        <w:pStyle w:val="ListParagraph"/>
        <w:numPr>
          <w:ilvl w:val="0"/>
          <w:numId w:val="32"/>
        </w:numPr>
        <w:spacing w:line="240" w:lineRule="auto"/>
        <w:rPr>
          <w:rFonts w:eastAsia="Times New Roman" w:cs="Arial"/>
          <w:sz w:val="24"/>
          <w:szCs w:val="24"/>
        </w:rPr>
      </w:pPr>
      <w:r w:rsidRPr="00096BFF">
        <w:rPr>
          <w:rFonts w:eastAsia="Times New Roman" w:cs="Arial"/>
          <w:color w:val="000000"/>
          <w:lang w:eastAsia="bg-BG"/>
        </w:rPr>
        <w:lastRenderedPageBreak/>
        <w:t xml:space="preserve">до 70 </w:t>
      </w:r>
      <w:r w:rsidRPr="00096BFF">
        <w:rPr>
          <w:rFonts w:eastAsia="Times New Roman" w:cs="Arial"/>
          <w:color w:val="000000"/>
          <w:lang w:val="en-US"/>
        </w:rPr>
        <w:t>mg</w:t>
      </w:r>
      <w:r w:rsidRPr="00096BFF">
        <w:rPr>
          <w:rFonts w:eastAsia="Times New Roman" w:cs="Arial"/>
          <w:color w:val="000000"/>
          <w:lang w:val="ru-RU"/>
        </w:rPr>
        <w:t>/1</w:t>
      </w:r>
      <w:r w:rsidRPr="00096BFF">
        <w:rPr>
          <w:rFonts w:eastAsia="Times New Roman" w:cs="Arial"/>
          <w:color w:val="000000"/>
          <w:lang w:eastAsia="bg-BG"/>
        </w:rPr>
        <w:t xml:space="preserve">0 </w:t>
      </w:r>
      <w:r w:rsidRPr="00096BFF">
        <w:rPr>
          <w:rFonts w:eastAsia="Times New Roman" w:cs="Arial"/>
          <w:color w:val="000000"/>
          <w:lang w:val="en-US"/>
        </w:rPr>
        <w:t>mg</w:t>
      </w:r>
      <w:r w:rsidRPr="00096BFF">
        <w:rPr>
          <w:rFonts w:eastAsia="Times New Roman" w:cs="Arial"/>
          <w:color w:val="000000"/>
          <w:lang w:val="ru-RU"/>
        </w:rPr>
        <w:t>/</w:t>
      </w:r>
      <w:r w:rsidRPr="00096BFF">
        <w:rPr>
          <w:rFonts w:eastAsia="Times New Roman" w:cs="Arial"/>
          <w:color w:val="000000"/>
          <w:lang w:val="en-US"/>
        </w:rPr>
        <w:t>kg</w:t>
      </w:r>
      <w:r w:rsidRPr="00096BFF">
        <w:rPr>
          <w:rFonts w:eastAsia="Times New Roman" w:cs="Arial"/>
          <w:color w:val="000000"/>
          <w:lang w:eastAsia="bg-BG"/>
        </w:rPr>
        <w:t>/дневно, приложени като две отделни дози може да се имат предвид за някои инфекции (като отит на средното ухо, синузит и инфекции на долните дихателни пътища).</w:t>
      </w:r>
    </w:p>
    <w:p w14:paraId="02EB6263" w14:textId="77777777" w:rsidR="00096BFF" w:rsidRPr="00096BFF" w:rsidRDefault="00096BFF" w:rsidP="00096BFF">
      <w:pPr>
        <w:spacing w:line="240" w:lineRule="auto"/>
        <w:rPr>
          <w:rFonts w:eastAsia="Times New Roman" w:cs="Arial"/>
          <w:color w:val="000000"/>
          <w:lang w:eastAsia="bg-BG"/>
        </w:rPr>
      </w:pPr>
    </w:p>
    <w:p w14:paraId="48E4437C" w14:textId="5E6C7C5A"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t xml:space="preserve">Тъй като таблетките не могат да се разделят на равни дози, деца с тегло под 25 </w:t>
      </w:r>
      <w:r w:rsidRPr="00096BFF">
        <w:rPr>
          <w:rFonts w:eastAsia="Times New Roman" w:cs="Arial"/>
          <w:color w:val="000000"/>
          <w:lang w:val="en-US"/>
        </w:rPr>
        <w:t>kg</w:t>
      </w:r>
      <w:r w:rsidRPr="00096BFF">
        <w:rPr>
          <w:rFonts w:eastAsia="Times New Roman" w:cs="Arial"/>
          <w:color w:val="000000"/>
          <w:lang w:val="ru-RU"/>
        </w:rPr>
        <w:t xml:space="preserve"> </w:t>
      </w:r>
      <w:r w:rsidRPr="00096BFF">
        <w:rPr>
          <w:rFonts w:eastAsia="Times New Roman" w:cs="Arial"/>
          <w:color w:val="000000"/>
          <w:lang w:eastAsia="bg-BG"/>
        </w:rPr>
        <w:t xml:space="preserve">не трябва да приемат Амоксигард 875 </w:t>
      </w:r>
      <w:r w:rsidRPr="00096BFF">
        <w:rPr>
          <w:rFonts w:eastAsia="Times New Roman" w:cs="Arial"/>
          <w:color w:val="000000"/>
          <w:lang w:val="en-US"/>
        </w:rPr>
        <w:t>mg</w:t>
      </w:r>
      <w:r w:rsidRPr="00096BFF">
        <w:rPr>
          <w:rFonts w:eastAsia="Times New Roman" w:cs="Arial"/>
          <w:color w:val="000000"/>
          <w:lang w:val="ru-RU"/>
        </w:rPr>
        <w:t xml:space="preserve">/125 </w:t>
      </w:r>
      <w:r w:rsidRPr="00096BFF">
        <w:rPr>
          <w:rFonts w:eastAsia="Times New Roman" w:cs="Arial"/>
          <w:color w:val="000000"/>
          <w:lang w:val="en-US"/>
        </w:rPr>
        <w:t>mg</w:t>
      </w:r>
      <w:r w:rsidRPr="00096BFF">
        <w:rPr>
          <w:rFonts w:eastAsia="Times New Roman" w:cs="Arial"/>
          <w:color w:val="000000"/>
          <w:lang w:val="ru-RU"/>
        </w:rPr>
        <w:t xml:space="preserve"> </w:t>
      </w:r>
      <w:r w:rsidRPr="00096BFF">
        <w:rPr>
          <w:rFonts w:eastAsia="Times New Roman" w:cs="Arial"/>
          <w:color w:val="000000"/>
          <w:lang w:eastAsia="bg-BG"/>
        </w:rPr>
        <w:t>филмирани таблетки.</w:t>
      </w:r>
    </w:p>
    <w:p w14:paraId="0A7C5243" w14:textId="77777777" w:rsidR="00096BFF" w:rsidRPr="00096BFF" w:rsidRDefault="00096BFF" w:rsidP="00096BFF">
      <w:pPr>
        <w:spacing w:line="240" w:lineRule="auto"/>
        <w:rPr>
          <w:rFonts w:eastAsia="Times New Roman" w:cs="Arial"/>
          <w:color w:val="000000"/>
          <w:lang w:eastAsia="bg-BG"/>
        </w:rPr>
      </w:pPr>
    </w:p>
    <w:p w14:paraId="77FDBE3D" w14:textId="5C783454"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t xml:space="preserve">Таблицата по-долу показва дозата </w:t>
      </w:r>
      <w:r w:rsidRPr="00096BFF">
        <w:rPr>
          <w:rFonts w:eastAsia="Times New Roman" w:cs="Arial"/>
          <w:color w:val="000000"/>
          <w:lang w:val="ru-RU"/>
        </w:rPr>
        <w:t>(</w:t>
      </w:r>
      <w:r w:rsidRPr="00096BFF">
        <w:rPr>
          <w:rFonts w:eastAsia="Times New Roman" w:cs="Arial"/>
          <w:color w:val="000000"/>
          <w:lang w:val="en-US"/>
        </w:rPr>
        <w:t>mg</w:t>
      </w:r>
      <w:r w:rsidRPr="00096BFF">
        <w:rPr>
          <w:rFonts w:eastAsia="Times New Roman" w:cs="Arial"/>
          <w:color w:val="000000"/>
          <w:lang w:val="ru-RU"/>
        </w:rPr>
        <w:t>/</w:t>
      </w:r>
      <w:r w:rsidRPr="00096BFF">
        <w:rPr>
          <w:rFonts w:eastAsia="Times New Roman" w:cs="Arial"/>
          <w:color w:val="000000"/>
          <w:lang w:val="en-US"/>
        </w:rPr>
        <w:t>kg</w:t>
      </w:r>
      <w:r w:rsidRPr="00096BFF">
        <w:rPr>
          <w:rFonts w:eastAsia="Times New Roman" w:cs="Arial"/>
          <w:color w:val="000000"/>
          <w:lang w:val="ru-RU"/>
        </w:rPr>
        <w:t xml:space="preserve"> </w:t>
      </w:r>
      <w:r w:rsidRPr="00096BFF">
        <w:rPr>
          <w:rFonts w:eastAsia="Times New Roman" w:cs="Arial"/>
          <w:color w:val="000000"/>
          <w:lang w:eastAsia="bg-BG"/>
        </w:rPr>
        <w:t xml:space="preserve">телесно тегло), която получават деца, тежащи от 25 </w:t>
      </w:r>
      <w:r w:rsidRPr="00096BFF">
        <w:rPr>
          <w:rFonts w:eastAsia="Times New Roman" w:cs="Arial"/>
          <w:color w:val="000000"/>
          <w:lang w:val="en-US"/>
        </w:rPr>
        <w:t>kg</w:t>
      </w:r>
      <w:r w:rsidRPr="00096BFF">
        <w:rPr>
          <w:rFonts w:eastAsia="Times New Roman" w:cs="Arial"/>
          <w:color w:val="000000"/>
          <w:lang w:val="ru-RU"/>
        </w:rPr>
        <w:t xml:space="preserve"> </w:t>
      </w:r>
      <w:r w:rsidRPr="00096BFF">
        <w:rPr>
          <w:rFonts w:eastAsia="Times New Roman" w:cs="Arial"/>
          <w:color w:val="000000"/>
          <w:lang w:eastAsia="bg-BG"/>
        </w:rPr>
        <w:t xml:space="preserve">до 40 </w:t>
      </w:r>
      <w:r w:rsidRPr="00096BFF">
        <w:rPr>
          <w:rFonts w:eastAsia="Times New Roman" w:cs="Arial"/>
          <w:color w:val="000000"/>
          <w:lang w:val="en-US"/>
        </w:rPr>
        <w:t>kg</w:t>
      </w:r>
      <w:r w:rsidRPr="00096BFF">
        <w:rPr>
          <w:rFonts w:eastAsia="Times New Roman" w:cs="Arial"/>
          <w:color w:val="000000"/>
          <w:lang w:val="ru-RU"/>
        </w:rPr>
        <w:t xml:space="preserve">, </w:t>
      </w:r>
      <w:r w:rsidRPr="00096BFF">
        <w:rPr>
          <w:rFonts w:eastAsia="Times New Roman" w:cs="Arial"/>
          <w:color w:val="000000"/>
          <w:lang w:eastAsia="bg-BG"/>
        </w:rPr>
        <w:t xml:space="preserve">при прием на една таблетка от 875/125 </w:t>
      </w:r>
      <w:r w:rsidRPr="00096BFF">
        <w:rPr>
          <w:rFonts w:eastAsia="Times New Roman" w:cs="Arial"/>
          <w:color w:val="000000"/>
          <w:lang w:val="en-US"/>
        </w:rPr>
        <w:t>mg</w:t>
      </w:r>
      <w:r w:rsidRPr="00096BFF">
        <w:rPr>
          <w:rFonts w:eastAsia="Times New Roman" w:cs="Arial"/>
          <w:color w:val="000000"/>
          <w:lang w:val="ru-RU"/>
        </w:rPr>
        <w:t>:</w:t>
      </w:r>
    </w:p>
    <w:p w14:paraId="0AE2A38E" w14:textId="2B583F8C" w:rsidR="00096BFF" w:rsidRPr="00096BFF" w:rsidRDefault="00096BFF" w:rsidP="00096BFF">
      <w:pPr>
        <w:spacing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2235"/>
        <w:gridCol w:w="866"/>
        <w:gridCol w:w="1507"/>
        <w:gridCol w:w="1737"/>
        <w:gridCol w:w="1277"/>
        <w:gridCol w:w="1954"/>
      </w:tblGrid>
      <w:tr w:rsidR="00096BFF" w14:paraId="3044C949" w14:textId="77777777" w:rsidTr="00096BFF">
        <w:tc>
          <w:tcPr>
            <w:tcW w:w="2235" w:type="dxa"/>
            <w:vAlign w:val="center"/>
          </w:tcPr>
          <w:p w14:paraId="431BBD5F" w14:textId="374E1E85" w:rsidR="00096BFF" w:rsidRPr="00096BFF" w:rsidRDefault="00096BFF" w:rsidP="00096BFF">
            <w:r w:rsidRPr="00096BFF">
              <w:t xml:space="preserve">Телесно тегло </w:t>
            </w:r>
            <w:r w:rsidRPr="00096BFF">
              <w:rPr>
                <w:lang w:val="en-US"/>
              </w:rPr>
              <w:t>[kg]</w:t>
            </w:r>
          </w:p>
        </w:tc>
        <w:tc>
          <w:tcPr>
            <w:tcW w:w="866" w:type="dxa"/>
            <w:vAlign w:val="center"/>
          </w:tcPr>
          <w:p w14:paraId="1A3CB00F" w14:textId="4AF5B366" w:rsidR="00096BFF" w:rsidRPr="00096BFF" w:rsidRDefault="00096BFF" w:rsidP="00096BFF">
            <w:r w:rsidRPr="00096BFF">
              <w:t>40</w:t>
            </w:r>
          </w:p>
        </w:tc>
        <w:tc>
          <w:tcPr>
            <w:tcW w:w="1507" w:type="dxa"/>
            <w:vAlign w:val="center"/>
          </w:tcPr>
          <w:p w14:paraId="253AEFBD" w14:textId="4EF03D26" w:rsidR="00096BFF" w:rsidRPr="00096BFF" w:rsidRDefault="00096BFF" w:rsidP="00096BFF">
            <w:r w:rsidRPr="00096BFF">
              <w:t>35</w:t>
            </w:r>
          </w:p>
        </w:tc>
        <w:tc>
          <w:tcPr>
            <w:tcW w:w="1737" w:type="dxa"/>
            <w:vAlign w:val="center"/>
          </w:tcPr>
          <w:p w14:paraId="610BF9A7" w14:textId="7166C6A0" w:rsidR="00096BFF" w:rsidRPr="00096BFF" w:rsidRDefault="00096BFF" w:rsidP="00096BFF">
            <w:r w:rsidRPr="00096BFF">
              <w:t>30</w:t>
            </w:r>
          </w:p>
        </w:tc>
        <w:tc>
          <w:tcPr>
            <w:tcW w:w="1277" w:type="dxa"/>
            <w:vAlign w:val="center"/>
          </w:tcPr>
          <w:p w14:paraId="23756D43" w14:textId="0EDED094" w:rsidR="00096BFF" w:rsidRPr="00096BFF" w:rsidRDefault="00096BFF" w:rsidP="00096BFF">
            <w:r w:rsidRPr="00096BFF">
              <w:t>25</w:t>
            </w:r>
          </w:p>
        </w:tc>
        <w:tc>
          <w:tcPr>
            <w:tcW w:w="1954" w:type="dxa"/>
          </w:tcPr>
          <w:p w14:paraId="14F47956" w14:textId="77777777" w:rsidR="00096BFF" w:rsidRPr="00096BFF" w:rsidRDefault="00096BFF" w:rsidP="00096BFF">
            <w:r w:rsidRPr="00096BFF">
              <w:t>Препоръчителна</w:t>
            </w:r>
          </w:p>
          <w:p w14:paraId="01DF9B3B" w14:textId="77777777" w:rsidR="00096BFF" w:rsidRPr="00096BFF" w:rsidRDefault="00096BFF" w:rsidP="00096BFF">
            <w:r w:rsidRPr="00096BFF">
              <w:t>единична доза</w:t>
            </w:r>
          </w:p>
          <w:p w14:paraId="7A52E8BE" w14:textId="77777777" w:rsidR="00096BFF" w:rsidRPr="00096BFF" w:rsidRDefault="00096BFF" w:rsidP="00096BFF">
            <w:r w:rsidRPr="00096BFF">
              <w:t>[</w:t>
            </w:r>
            <w:r w:rsidRPr="00096BFF">
              <w:rPr>
                <w:lang w:val="en-US"/>
              </w:rPr>
              <w:t>mg</w:t>
            </w:r>
            <w:r w:rsidRPr="00096BFF">
              <w:rPr>
                <w:lang w:val="ru-RU"/>
              </w:rPr>
              <w:t>/</w:t>
            </w:r>
            <w:r w:rsidRPr="00096BFF">
              <w:rPr>
                <w:lang w:val="en-US"/>
              </w:rPr>
              <w:t>kg</w:t>
            </w:r>
            <w:r w:rsidRPr="00096BFF">
              <w:rPr>
                <w:lang w:val="ru-RU"/>
              </w:rPr>
              <w:t xml:space="preserve"> </w:t>
            </w:r>
            <w:r w:rsidRPr="00096BFF">
              <w:t>телесно тегло]</w:t>
            </w:r>
          </w:p>
          <w:p w14:paraId="6AED64E6" w14:textId="59B7B7B6" w:rsidR="00096BFF" w:rsidRPr="00096BFF" w:rsidRDefault="00096BFF" w:rsidP="00096BFF">
            <w:r w:rsidRPr="00096BFF">
              <w:t>(виж по горе)</w:t>
            </w:r>
          </w:p>
        </w:tc>
      </w:tr>
      <w:tr w:rsidR="00096BFF" w14:paraId="469CD809" w14:textId="77777777" w:rsidTr="00096BFF">
        <w:tc>
          <w:tcPr>
            <w:tcW w:w="2235" w:type="dxa"/>
            <w:vAlign w:val="bottom"/>
          </w:tcPr>
          <w:p w14:paraId="59EAC791" w14:textId="780FA73E" w:rsidR="00096BFF" w:rsidRPr="00096BFF" w:rsidRDefault="00096BFF" w:rsidP="00096BFF">
            <w:r w:rsidRPr="00096BFF">
              <w:t xml:space="preserve">Амоксицилин </w:t>
            </w:r>
            <w:r w:rsidRPr="00096BFF">
              <w:rPr>
                <w:lang w:val="ru-RU"/>
              </w:rPr>
              <w:t>[</w:t>
            </w:r>
            <w:r w:rsidRPr="00096BFF">
              <w:rPr>
                <w:lang w:val="en-US"/>
              </w:rPr>
              <w:t>mg</w:t>
            </w:r>
            <w:r w:rsidRPr="00096BFF">
              <w:rPr>
                <w:lang w:val="ru-RU"/>
              </w:rPr>
              <w:t>/</w:t>
            </w:r>
            <w:r w:rsidRPr="00096BFF">
              <w:rPr>
                <w:lang w:val="en-US"/>
              </w:rPr>
              <w:t>kg</w:t>
            </w:r>
            <w:r w:rsidRPr="00096BFF">
              <w:rPr>
                <w:lang w:val="ru-RU"/>
              </w:rPr>
              <w:t xml:space="preserve"> </w:t>
            </w:r>
            <w:r w:rsidRPr="00096BFF">
              <w:t>телесно тегло] в единична доза (1 филмирана таблетка)</w:t>
            </w:r>
          </w:p>
        </w:tc>
        <w:tc>
          <w:tcPr>
            <w:tcW w:w="866" w:type="dxa"/>
            <w:vAlign w:val="center"/>
          </w:tcPr>
          <w:p w14:paraId="1EF6DB8C" w14:textId="0B8FE578" w:rsidR="00096BFF" w:rsidRPr="00096BFF" w:rsidRDefault="00096BFF" w:rsidP="00096BFF">
            <w:r w:rsidRPr="00096BFF">
              <w:t>21,9</w:t>
            </w:r>
          </w:p>
        </w:tc>
        <w:tc>
          <w:tcPr>
            <w:tcW w:w="1507" w:type="dxa"/>
            <w:vAlign w:val="center"/>
          </w:tcPr>
          <w:p w14:paraId="7F51437A" w14:textId="2A62EE75" w:rsidR="00096BFF" w:rsidRPr="00096BFF" w:rsidRDefault="00096BFF" w:rsidP="00096BFF">
            <w:r w:rsidRPr="00096BFF">
              <w:t>25,0</w:t>
            </w:r>
          </w:p>
        </w:tc>
        <w:tc>
          <w:tcPr>
            <w:tcW w:w="1737" w:type="dxa"/>
            <w:vAlign w:val="center"/>
          </w:tcPr>
          <w:p w14:paraId="6B96934F" w14:textId="3062CB62" w:rsidR="00096BFF" w:rsidRPr="00096BFF" w:rsidRDefault="00096BFF" w:rsidP="00096BFF">
            <w:r w:rsidRPr="00096BFF">
              <w:t>29,2</w:t>
            </w:r>
          </w:p>
        </w:tc>
        <w:tc>
          <w:tcPr>
            <w:tcW w:w="1277" w:type="dxa"/>
            <w:vAlign w:val="bottom"/>
          </w:tcPr>
          <w:p w14:paraId="0A9E1E6F" w14:textId="59213003" w:rsidR="00096BFF" w:rsidRPr="00096BFF" w:rsidRDefault="00096BFF" w:rsidP="00096BFF">
            <w:r w:rsidRPr="00096BFF">
              <w:t>35,0</w:t>
            </w:r>
          </w:p>
        </w:tc>
        <w:tc>
          <w:tcPr>
            <w:tcW w:w="1954" w:type="dxa"/>
            <w:vAlign w:val="bottom"/>
          </w:tcPr>
          <w:p w14:paraId="6F024EFB" w14:textId="693BD2E1" w:rsidR="00096BFF" w:rsidRPr="00096BFF" w:rsidRDefault="00096BFF" w:rsidP="00096BFF">
            <w:r w:rsidRPr="00096BFF">
              <w:rPr>
                <w:rFonts w:cs="Arial"/>
              </w:rPr>
              <w:t>12,5 -22,5 (до 35)</w:t>
            </w:r>
          </w:p>
        </w:tc>
      </w:tr>
      <w:tr w:rsidR="00096BFF" w14:paraId="1487F51C" w14:textId="77777777" w:rsidTr="00096BFF">
        <w:tc>
          <w:tcPr>
            <w:tcW w:w="2235" w:type="dxa"/>
          </w:tcPr>
          <w:p w14:paraId="0A18BDFE" w14:textId="01D9D7A5" w:rsidR="00096BFF" w:rsidRDefault="00096BFF" w:rsidP="00096BFF">
            <w:r>
              <w:t xml:space="preserve">Клавуланова киселина </w:t>
            </w:r>
            <w:r w:rsidRPr="00096BFF">
              <w:rPr>
                <w:lang w:val="ru-RU"/>
              </w:rPr>
              <w:t>[</w:t>
            </w:r>
            <w:r>
              <w:rPr>
                <w:lang w:val="en-US"/>
              </w:rPr>
              <w:t>mg</w:t>
            </w:r>
            <w:r w:rsidRPr="00096BFF">
              <w:rPr>
                <w:lang w:val="ru-RU"/>
              </w:rPr>
              <w:t>/</w:t>
            </w:r>
            <w:r>
              <w:rPr>
                <w:lang w:val="en-US"/>
              </w:rPr>
              <w:t>kg</w:t>
            </w:r>
            <w:r w:rsidRPr="00096BFF">
              <w:rPr>
                <w:lang w:val="ru-RU"/>
              </w:rPr>
              <w:t xml:space="preserve"> </w:t>
            </w:r>
            <w:r>
              <w:t>телесно тегло] в единична доза (1 филмирана таблетка)</w:t>
            </w:r>
          </w:p>
        </w:tc>
        <w:tc>
          <w:tcPr>
            <w:tcW w:w="866" w:type="dxa"/>
          </w:tcPr>
          <w:p w14:paraId="723D8240" w14:textId="1D328845" w:rsidR="00096BFF" w:rsidRDefault="00096BFF" w:rsidP="00096BFF">
            <w:r>
              <w:t>3,1</w:t>
            </w:r>
          </w:p>
        </w:tc>
        <w:tc>
          <w:tcPr>
            <w:tcW w:w="1507" w:type="dxa"/>
          </w:tcPr>
          <w:p w14:paraId="3CBACE4E" w14:textId="36A282CE" w:rsidR="00096BFF" w:rsidRDefault="00096BFF" w:rsidP="00096BFF">
            <w:r>
              <w:t>3,6</w:t>
            </w:r>
          </w:p>
        </w:tc>
        <w:tc>
          <w:tcPr>
            <w:tcW w:w="1737" w:type="dxa"/>
          </w:tcPr>
          <w:p w14:paraId="65896651" w14:textId="1380EB1C" w:rsidR="00096BFF" w:rsidRDefault="00096BFF" w:rsidP="00096BFF">
            <w:r>
              <w:t>4,2</w:t>
            </w:r>
          </w:p>
        </w:tc>
        <w:tc>
          <w:tcPr>
            <w:tcW w:w="1277" w:type="dxa"/>
          </w:tcPr>
          <w:p w14:paraId="6327256A" w14:textId="53C85595" w:rsidR="00096BFF" w:rsidRDefault="00096BFF" w:rsidP="00096BFF">
            <w:r>
              <w:t>5,0</w:t>
            </w:r>
          </w:p>
        </w:tc>
        <w:tc>
          <w:tcPr>
            <w:tcW w:w="1954" w:type="dxa"/>
          </w:tcPr>
          <w:p w14:paraId="6FD3343D" w14:textId="478808C0" w:rsidR="00096BFF" w:rsidRDefault="00096BFF" w:rsidP="00096BFF">
            <w:r>
              <w:t>1,8-3,2 (до 5)</w:t>
            </w:r>
          </w:p>
        </w:tc>
      </w:tr>
    </w:tbl>
    <w:p w14:paraId="17AF409A" w14:textId="77777777" w:rsidR="00096BFF" w:rsidRDefault="00096BFF" w:rsidP="00096BFF">
      <w:pPr>
        <w:spacing w:line="240" w:lineRule="auto"/>
        <w:rPr>
          <w:rFonts w:ascii="Times New Roman" w:eastAsia="Times New Roman" w:hAnsi="Times New Roman" w:cs="Times New Roman"/>
          <w:color w:val="000000"/>
          <w:lang w:eastAsia="bg-BG"/>
        </w:rPr>
      </w:pPr>
    </w:p>
    <w:p w14:paraId="10F1AAA3" w14:textId="0EBD854B"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t xml:space="preserve">За предпочитане е деца, тежащи под 25 </w:t>
      </w:r>
      <w:r w:rsidRPr="00096BFF">
        <w:rPr>
          <w:rFonts w:eastAsia="Times New Roman" w:cs="Arial"/>
          <w:color w:val="000000"/>
          <w:lang w:val="en-US"/>
        </w:rPr>
        <w:t>kg</w:t>
      </w:r>
      <w:r w:rsidRPr="00096BFF">
        <w:rPr>
          <w:rFonts w:eastAsia="Times New Roman" w:cs="Arial"/>
          <w:color w:val="000000"/>
          <w:lang w:val="ru-RU"/>
        </w:rPr>
        <w:t xml:space="preserve">, </w:t>
      </w:r>
      <w:r w:rsidRPr="00096BFF">
        <w:rPr>
          <w:rFonts w:eastAsia="Times New Roman" w:cs="Arial"/>
          <w:color w:val="000000"/>
          <w:lang w:eastAsia="bg-BG"/>
        </w:rPr>
        <w:t xml:space="preserve">да приемат амоксицилин/клавуланова киселина под формата на суспензия или </w:t>
      </w:r>
      <w:r w:rsidRPr="00096BFF">
        <w:rPr>
          <w:rFonts w:eastAsia="Times New Roman" w:cs="Arial"/>
          <w:color w:val="000000"/>
          <w:lang w:val="en-US"/>
        </w:rPr>
        <w:t>camera</w:t>
      </w:r>
      <w:r w:rsidRPr="00096BFF">
        <w:rPr>
          <w:rFonts w:eastAsia="Times New Roman" w:cs="Arial"/>
          <w:color w:val="000000"/>
          <w:lang w:val="ru-RU"/>
        </w:rPr>
        <w:t xml:space="preserve"> </w:t>
      </w:r>
      <w:r w:rsidRPr="00096BFF">
        <w:rPr>
          <w:rFonts w:eastAsia="Times New Roman" w:cs="Arial"/>
          <w:color w:val="000000"/>
          <w:lang w:eastAsia="bg-BG"/>
        </w:rPr>
        <w:t>за педиатрично приложение.</w:t>
      </w:r>
    </w:p>
    <w:p w14:paraId="01DB87C6" w14:textId="77777777" w:rsidR="00096BFF" w:rsidRPr="00096BFF" w:rsidRDefault="00096BFF" w:rsidP="00096BFF">
      <w:pPr>
        <w:spacing w:line="240" w:lineRule="auto"/>
        <w:rPr>
          <w:rFonts w:eastAsia="Times New Roman" w:cs="Arial"/>
          <w:color w:val="000000"/>
          <w:lang w:eastAsia="bg-BG"/>
        </w:rPr>
      </w:pPr>
    </w:p>
    <w:p w14:paraId="222BE145" w14:textId="394E09D2"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t xml:space="preserve">Няма налични клинични данни за формите на амоксицилин/клавуланова киселина 7:1 по отношение на дози, по-високи от 45 </w:t>
      </w:r>
      <w:r w:rsidRPr="00096BFF">
        <w:rPr>
          <w:rFonts w:eastAsia="Times New Roman" w:cs="Arial"/>
          <w:color w:val="000000"/>
          <w:lang w:val="en-US"/>
        </w:rPr>
        <w:t>mg</w:t>
      </w:r>
      <w:r w:rsidRPr="00096BFF">
        <w:rPr>
          <w:rFonts w:eastAsia="Times New Roman" w:cs="Arial"/>
          <w:color w:val="000000"/>
          <w:lang w:val="ru-RU"/>
        </w:rPr>
        <w:t xml:space="preserve">/6,4 </w:t>
      </w:r>
      <w:r w:rsidRPr="00096BFF">
        <w:rPr>
          <w:rFonts w:eastAsia="Times New Roman" w:cs="Arial"/>
          <w:color w:val="000000"/>
          <w:lang w:val="en-US"/>
        </w:rPr>
        <w:t>mg</w:t>
      </w:r>
      <w:r w:rsidRPr="00096BFF">
        <w:rPr>
          <w:rFonts w:eastAsia="Times New Roman" w:cs="Arial"/>
          <w:color w:val="000000"/>
          <w:lang w:val="ru-RU"/>
        </w:rPr>
        <w:t xml:space="preserve"> </w:t>
      </w:r>
      <w:r w:rsidRPr="00096BFF">
        <w:rPr>
          <w:rFonts w:eastAsia="Times New Roman" w:cs="Arial"/>
          <w:color w:val="000000"/>
          <w:lang w:eastAsia="bg-BG"/>
        </w:rPr>
        <w:t>на килограм дневно при деца под 2 години.</w:t>
      </w:r>
    </w:p>
    <w:p w14:paraId="020DC734" w14:textId="77777777" w:rsidR="00096BFF" w:rsidRPr="00096BFF" w:rsidRDefault="00096BFF" w:rsidP="00096BFF">
      <w:pPr>
        <w:spacing w:line="240" w:lineRule="auto"/>
        <w:rPr>
          <w:rFonts w:eastAsia="Times New Roman" w:cs="Arial"/>
          <w:color w:val="000000"/>
          <w:lang w:eastAsia="bg-BG"/>
        </w:rPr>
      </w:pPr>
    </w:p>
    <w:p w14:paraId="086DD46F" w14:textId="5DF4592C"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t>Няма клинични данни за формите на амоксицилин/клавуланова киселина 7:1 при пациенти под 2-месечна възраст. Поради това не могат да се направят препоръки за дозиране при тази популация.</w:t>
      </w:r>
    </w:p>
    <w:p w14:paraId="3FAEF94B" w14:textId="77777777" w:rsidR="00096BFF" w:rsidRPr="00096BFF" w:rsidRDefault="00096BFF" w:rsidP="00096BFF">
      <w:pPr>
        <w:spacing w:line="240" w:lineRule="auto"/>
        <w:rPr>
          <w:rFonts w:eastAsia="Times New Roman" w:cs="Arial"/>
          <w:i/>
          <w:iCs/>
          <w:color w:val="000000"/>
          <w:u w:val="single"/>
          <w:lang w:eastAsia="bg-BG"/>
        </w:rPr>
      </w:pPr>
    </w:p>
    <w:p w14:paraId="787B5AEC" w14:textId="659FD4AE" w:rsidR="00096BFF" w:rsidRPr="00096BFF" w:rsidRDefault="00096BFF" w:rsidP="00096BFF">
      <w:pPr>
        <w:spacing w:line="240" w:lineRule="auto"/>
        <w:rPr>
          <w:rFonts w:eastAsia="Times New Roman" w:cs="Arial"/>
          <w:sz w:val="24"/>
          <w:szCs w:val="24"/>
        </w:rPr>
      </w:pPr>
      <w:r w:rsidRPr="00096BFF">
        <w:rPr>
          <w:rFonts w:eastAsia="Times New Roman" w:cs="Arial"/>
          <w:i/>
          <w:iCs/>
          <w:color w:val="000000"/>
          <w:u w:val="single"/>
          <w:lang w:eastAsia="bg-BG"/>
        </w:rPr>
        <w:t>Пациенти в старческа възраст</w:t>
      </w:r>
    </w:p>
    <w:p w14:paraId="2F5BFD35" w14:textId="77777777"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t>Не се налага корекция на дозата.</w:t>
      </w:r>
    </w:p>
    <w:p w14:paraId="7D8D6159" w14:textId="77777777" w:rsidR="00096BFF" w:rsidRPr="00096BFF" w:rsidRDefault="00096BFF" w:rsidP="00096BFF">
      <w:pPr>
        <w:spacing w:line="240" w:lineRule="auto"/>
        <w:rPr>
          <w:rFonts w:eastAsia="Times New Roman" w:cs="Arial"/>
          <w:i/>
          <w:iCs/>
          <w:color w:val="000000"/>
          <w:u w:val="single"/>
          <w:lang w:eastAsia="bg-BG"/>
        </w:rPr>
      </w:pPr>
    </w:p>
    <w:p w14:paraId="770D9C43" w14:textId="369E9A2C" w:rsidR="00096BFF" w:rsidRPr="00096BFF" w:rsidRDefault="00096BFF" w:rsidP="00096BFF">
      <w:pPr>
        <w:spacing w:line="240" w:lineRule="auto"/>
        <w:rPr>
          <w:rFonts w:eastAsia="Times New Roman" w:cs="Arial"/>
          <w:sz w:val="24"/>
          <w:szCs w:val="24"/>
        </w:rPr>
      </w:pPr>
      <w:r w:rsidRPr="00096BFF">
        <w:rPr>
          <w:rFonts w:eastAsia="Times New Roman" w:cs="Arial"/>
          <w:i/>
          <w:iCs/>
          <w:color w:val="000000"/>
          <w:u w:val="single"/>
          <w:lang w:eastAsia="bg-BG"/>
        </w:rPr>
        <w:t>Бъбречна недостатъчност</w:t>
      </w:r>
    </w:p>
    <w:p w14:paraId="6030B784" w14:textId="77777777"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t xml:space="preserve">Не е необходимо адаптиране на дозата при пациенти с креатининов клирънс (СгС1) по-висок от 30 </w:t>
      </w:r>
      <w:r w:rsidRPr="00096BFF">
        <w:rPr>
          <w:rFonts w:eastAsia="Times New Roman" w:cs="Arial"/>
          <w:color w:val="000000"/>
          <w:lang w:val="en-US"/>
        </w:rPr>
        <w:t>ml</w:t>
      </w:r>
      <w:r w:rsidRPr="00096BFF">
        <w:rPr>
          <w:rFonts w:eastAsia="Times New Roman" w:cs="Arial"/>
          <w:color w:val="000000"/>
          <w:lang w:val="ru-RU"/>
        </w:rPr>
        <w:t>/</w:t>
      </w:r>
      <w:r w:rsidRPr="00096BFF">
        <w:rPr>
          <w:rFonts w:eastAsia="Times New Roman" w:cs="Arial"/>
          <w:color w:val="000000"/>
          <w:lang w:val="en-US"/>
        </w:rPr>
        <w:t>min</w:t>
      </w:r>
      <w:r w:rsidRPr="00096BFF">
        <w:rPr>
          <w:rFonts w:eastAsia="Times New Roman" w:cs="Arial"/>
          <w:color w:val="000000"/>
          <w:lang w:val="ru-RU"/>
        </w:rPr>
        <w:t>.</w:t>
      </w:r>
    </w:p>
    <w:p w14:paraId="435759AC" w14:textId="77777777" w:rsidR="00096BFF" w:rsidRPr="00096BFF" w:rsidRDefault="00096BFF" w:rsidP="00096BFF">
      <w:pPr>
        <w:spacing w:line="240" w:lineRule="auto"/>
        <w:rPr>
          <w:rFonts w:eastAsia="Times New Roman" w:cs="Arial"/>
          <w:color w:val="000000"/>
          <w:lang w:eastAsia="bg-BG"/>
        </w:rPr>
      </w:pPr>
    </w:p>
    <w:p w14:paraId="47FD227D" w14:textId="7E028FE6"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t xml:space="preserve">При пациенти с креатининов клирънс по-нисък от 30 </w:t>
      </w:r>
      <w:r w:rsidRPr="00096BFF">
        <w:rPr>
          <w:rFonts w:eastAsia="Times New Roman" w:cs="Arial"/>
          <w:color w:val="000000"/>
          <w:lang w:val="en-US"/>
        </w:rPr>
        <w:t>ml</w:t>
      </w:r>
      <w:r w:rsidRPr="00096BFF">
        <w:rPr>
          <w:rFonts w:eastAsia="Times New Roman" w:cs="Arial"/>
          <w:color w:val="000000"/>
          <w:lang w:val="ru-RU"/>
        </w:rPr>
        <w:t>/</w:t>
      </w:r>
      <w:r w:rsidRPr="00096BFF">
        <w:rPr>
          <w:rFonts w:eastAsia="Times New Roman" w:cs="Arial"/>
          <w:color w:val="000000"/>
          <w:lang w:val="en-US"/>
        </w:rPr>
        <w:t>min</w:t>
      </w:r>
      <w:r w:rsidRPr="00096BFF">
        <w:rPr>
          <w:rFonts w:eastAsia="Times New Roman" w:cs="Arial"/>
          <w:color w:val="000000"/>
          <w:lang w:val="ru-RU"/>
        </w:rPr>
        <w:t xml:space="preserve"> </w:t>
      </w:r>
      <w:r w:rsidRPr="00096BFF">
        <w:rPr>
          <w:rFonts w:eastAsia="Times New Roman" w:cs="Arial"/>
          <w:color w:val="000000"/>
          <w:lang w:eastAsia="bg-BG"/>
        </w:rPr>
        <w:t>не се препоръчва употребата на форми амоксицилин/клавуланова киселина със съотношение 7:1, тъй като не са налични препоръки за корекция на дозата.</w:t>
      </w:r>
    </w:p>
    <w:p w14:paraId="2EE40E3A" w14:textId="77777777" w:rsidR="00096BFF" w:rsidRPr="00096BFF" w:rsidRDefault="00096BFF" w:rsidP="00096BFF">
      <w:pPr>
        <w:spacing w:line="240" w:lineRule="auto"/>
        <w:rPr>
          <w:rFonts w:eastAsia="Times New Roman" w:cs="Arial"/>
          <w:i/>
          <w:iCs/>
          <w:color w:val="000000"/>
          <w:u w:val="single"/>
          <w:lang w:eastAsia="bg-BG"/>
        </w:rPr>
      </w:pPr>
    </w:p>
    <w:p w14:paraId="5520DF97" w14:textId="33DC8B98" w:rsidR="00096BFF" w:rsidRPr="00096BFF" w:rsidRDefault="00096BFF" w:rsidP="00096BFF">
      <w:pPr>
        <w:spacing w:line="240" w:lineRule="auto"/>
        <w:rPr>
          <w:rFonts w:eastAsia="Times New Roman" w:cs="Arial"/>
          <w:sz w:val="24"/>
          <w:szCs w:val="24"/>
        </w:rPr>
      </w:pPr>
      <w:r w:rsidRPr="00096BFF">
        <w:rPr>
          <w:rFonts w:eastAsia="Times New Roman" w:cs="Arial"/>
          <w:i/>
          <w:iCs/>
          <w:color w:val="000000"/>
          <w:u w:val="single"/>
          <w:lang w:eastAsia="bg-BG"/>
        </w:rPr>
        <w:t>Чернодробна недостатъчност</w:t>
      </w:r>
    </w:p>
    <w:p w14:paraId="692E76F3" w14:textId="77777777"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lastRenderedPageBreak/>
        <w:t>Трябва да се дозира с внимание и да се проследява периодично чернодробната функция (вижте точки 4.3 и 4.4).</w:t>
      </w:r>
    </w:p>
    <w:p w14:paraId="795329FE" w14:textId="77777777" w:rsidR="00096BFF" w:rsidRPr="00096BFF" w:rsidRDefault="00096BFF" w:rsidP="00096BFF">
      <w:pPr>
        <w:spacing w:line="240" w:lineRule="auto"/>
        <w:rPr>
          <w:rFonts w:eastAsia="Times New Roman" w:cs="Arial"/>
          <w:color w:val="000000"/>
          <w:u w:val="single"/>
          <w:lang w:eastAsia="bg-BG"/>
        </w:rPr>
      </w:pPr>
    </w:p>
    <w:p w14:paraId="369632FA" w14:textId="091803B7" w:rsidR="00096BFF" w:rsidRPr="00096BFF" w:rsidRDefault="00096BFF" w:rsidP="00096BFF">
      <w:pPr>
        <w:spacing w:line="240" w:lineRule="auto"/>
        <w:rPr>
          <w:rFonts w:eastAsia="Times New Roman" w:cs="Arial"/>
          <w:sz w:val="24"/>
          <w:szCs w:val="24"/>
        </w:rPr>
      </w:pPr>
      <w:r w:rsidRPr="00096BFF">
        <w:rPr>
          <w:rFonts w:eastAsia="Times New Roman" w:cs="Arial"/>
          <w:color w:val="000000"/>
          <w:u w:val="single"/>
          <w:lang w:eastAsia="bg-BG"/>
        </w:rPr>
        <w:t>Начин на приложение</w:t>
      </w:r>
    </w:p>
    <w:p w14:paraId="4BF3053A" w14:textId="77777777" w:rsidR="00096BFF" w:rsidRPr="00096BFF" w:rsidRDefault="00096BFF" w:rsidP="00096BFF">
      <w:pPr>
        <w:spacing w:line="240" w:lineRule="auto"/>
        <w:rPr>
          <w:rFonts w:eastAsia="Times New Roman" w:cs="Arial"/>
          <w:color w:val="000000"/>
          <w:lang w:eastAsia="bg-BG"/>
        </w:rPr>
      </w:pPr>
    </w:p>
    <w:p w14:paraId="3B2E6D79" w14:textId="067EDD0E"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t>Тази форма на амоксицилин/клавуланова киселина е за перорално приложение.</w:t>
      </w:r>
    </w:p>
    <w:p w14:paraId="6D159EC5" w14:textId="77777777" w:rsidR="00096BFF" w:rsidRPr="00096BFF" w:rsidRDefault="00096BFF" w:rsidP="00096BFF">
      <w:pPr>
        <w:spacing w:line="240" w:lineRule="auto"/>
        <w:rPr>
          <w:rFonts w:eastAsia="Times New Roman" w:cs="Arial"/>
          <w:color w:val="000000"/>
          <w:lang w:eastAsia="bg-BG"/>
        </w:rPr>
      </w:pPr>
    </w:p>
    <w:p w14:paraId="7F2A8DD3" w14:textId="451C632D"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t>Приема се в началото на храненето, за да се сведе до минимум възможната стомашно-чревна непоносимост и за да се оптимизира резорбцията на амоксицилин/клавуланова киселина.</w:t>
      </w:r>
    </w:p>
    <w:p w14:paraId="447E72F8" w14:textId="77777777" w:rsidR="00096BFF" w:rsidRPr="00096BFF" w:rsidRDefault="00096BFF" w:rsidP="00096BFF">
      <w:pPr>
        <w:spacing w:line="240" w:lineRule="auto"/>
        <w:rPr>
          <w:rFonts w:eastAsia="Times New Roman" w:cs="Arial"/>
          <w:color w:val="000000"/>
          <w:lang w:eastAsia="bg-BG"/>
        </w:rPr>
      </w:pPr>
    </w:p>
    <w:p w14:paraId="1E8FD3D0" w14:textId="7178DB35" w:rsidR="00096BFF" w:rsidRPr="00096BFF" w:rsidRDefault="00096BFF" w:rsidP="00096BFF">
      <w:pPr>
        <w:spacing w:line="240" w:lineRule="auto"/>
        <w:rPr>
          <w:rFonts w:ascii="Times New Roman" w:eastAsia="Times New Roman" w:hAnsi="Times New Roman" w:cs="Times New Roman"/>
          <w:sz w:val="24"/>
          <w:szCs w:val="24"/>
        </w:rPr>
      </w:pPr>
      <w:r w:rsidRPr="00096BFF">
        <w:rPr>
          <w:rFonts w:eastAsia="Times New Roman" w:cs="Arial"/>
          <w:color w:val="000000"/>
          <w:lang w:eastAsia="bg-BG"/>
        </w:rPr>
        <w:t xml:space="preserve">Лечението може да се започне парентерално съгласно КХП с форма за </w:t>
      </w:r>
      <w:proofErr w:type="spellStart"/>
      <w:r w:rsidRPr="00096BFF">
        <w:rPr>
          <w:rFonts w:eastAsia="Times New Roman" w:cs="Arial"/>
          <w:i/>
          <w:iCs/>
          <w:color w:val="000000"/>
          <w:lang w:val="en-US"/>
        </w:rPr>
        <w:t>i</w:t>
      </w:r>
      <w:proofErr w:type="spellEnd"/>
      <w:r w:rsidRPr="00096BFF">
        <w:rPr>
          <w:rFonts w:eastAsia="Times New Roman" w:cs="Arial"/>
          <w:i/>
          <w:iCs/>
          <w:color w:val="000000"/>
          <w:lang w:val="ru-RU"/>
        </w:rPr>
        <w:t>.</w:t>
      </w:r>
      <w:r w:rsidRPr="00096BFF">
        <w:rPr>
          <w:rFonts w:eastAsia="Times New Roman" w:cs="Arial"/>
          <w:i/>
          <w:iCs/>
          <w:color w:val="000000"/>
          <w:lang w:val="en-US"/>
        </w:rPr>
        <w:t>v</w:t>
      </w:r>
      <w:r w:rsidRPr="00096BFF">
        <w:rPr>
          <w:rFonts w:eastAsia="Times New Roman" w:cs="Arial"/>
          <w:i/>
          <w:iCs/>
          <w:color w:val="000000"/>
          <w:lang w:val="ru-RU"/>
        </w:rPr>
        <w:t>.</w:t>
      </w:r>
      <w:r w:rsidRPr="00096BFF">
        <w:rPr>
          <w:rFonts w:eastAsia="Times New Roman" w:cs="Arial"/>
          <w:color w:val="000000"/>
          <w:lang w:val="ru-RU"/>
        </w:rPr>
        <w:t xml:space="preserve"> </w:t>
      </w:r>
      <w:r w:rsidRPr="00096BFF">
        <w:rPr>
          <w:rFonts w:eastAsia="Times New Roman" w:cs="Arial"/>
          <w:color w:val="000000"/>
          <w:lang w:eastAsia="bg-BG"/>
        </w:rPr>
        <w:t>приложение и да бъде продължено с перорална форма.</w:t>
      </w:r>
    </w:p>
    <w:p w14:paraId="01BAF4B3" w14:textId="77777777" w:rsidR="00096BFF" w:rsidRPr="00096BFF" w:rsidRDefault="00096BFF" w:rsidP="00096BFF"/>
    <w:p w14:paraId="62B13D0B" w14:textId="7A0E2B46" w:rsidR="00395555" w:rsidRDefault="002C50EE" w:rsidP="008A6AF2">
      <w:pPr>
        <w:pStyle w:val="Heading2"/>
      </w:pPr>
      <w:r>
        <w:t>4.3. Противопоказания</w:t>
      </w:r>
    </w:p>
    <w:p w14:paraId="0C9F2301" w14:textId="500E9988" w:rsidR="00096BFF" w:rsidRDefault="00096BFF" w:rsidP="00096BFF"/>
    <w:p w14:paraId="1B580FBE" w14:textId="77777777" w:rsidR="00096BFF" w:rsidRPr="00096BFF" w:rsidRDefault="00096BFF" w:rsidP="00096BFF">
      <w:pPr>
        <w:rPr>
          <w:sz w:val="24"/>
          <w:szCs w:val="24"/>
        </w:rPr>
      </w:pPr>
      <w:r w:rsidRPr="00096BFF">
        <w:rPr>
          <w:lang w:eastAsia="bg-BG"/>
        </w:rPr>
        <w:t>Свръхчувствителност към активните вещества, към някои пеницилини или към някое от помощните вещества, изброени в точка 6.1.</w:t>
      </w:r>
    </w:p>
    <w:p w14:paraId="1C60B9BA" w14:textId="77777777" w:rsidR="00096BFF" w:rsidRPr="00096BFF" w:rsidRDefault="00096BFF" w:rsidP="00096BFF">
      <w:pPr>
        <w:rPr>
          <w:sz w:val="24"/>
          <w:szCs w:val="24"/>
        </w:rPr>
      </w:pPr>
      <w:r w:rsidRPr="00096BFF">
        <w:rPr>
          <w:lang w:eastAsia="bg-BG"/>
        </w:rPr>
        <w:t>Анамнеза за тежка бърза реакция на свръхчувствителност (напр. анафилаксия) към друг бета- лактамен антибиотик (като цефалоспорин, карбапенем или монобактам).</w:t>
      </w:r>
    </w:p>
    <w:p w14:paraId="45C1D5E8" w14:textId="77777777" w:rsidR="00096BFF" w:rsidRPr="00096BFF" w:rsidRDefault="00096BFF" w:rsidP="00096BFF">
      <w:pPr>
        <w:rPr>
          <w:sz w:val="24"/>
          <w:szCs w:val="24"/>
        </w:rPr>
      </w:pPr>
      <w:r w:rsidRPr="00096BFF">
        <w:rPr>
          <w:lang w:eastAsia="bg-BG"/>
        </w:rPr>
        <w:t>Анамнеза за свързана с амоксицилин/клавуланова киселина жълтеница/нарушен</w:t>
      </w:r>
      <w:r w:rsidRPr="00096BFF">
        <w:rPr>
          <w:u w:val="single"/>
          <w:lang w:eastAsia="bg-BG"/>
        </w:rPr>
        <w:t>а черн</w:t>
      </w:r>
      <w:r w:rsidRPr="00096BFF">
        <w:rPr>
          <w:lang w:eastAsia="bg-BG"/>
        </w:rPr>
        <w:t>одробна функция (вижте точка 4.8).</w:t>
      </w:r>
    </w:p>
    <w:p w14:paraId="5B24CAC6" w14:textId="77777777" w:rsidR="00096BFF" w:rsidRPr="00096BFF" w:rsidRDefault="00096BFF" w:rsidP="00096BFF"/>
    <w:p w14:paraId="5A4AC413" w14:textId="38380E1B" w:rsidR="00395555" w:rsidRDefault="002C50EE" w:rsidP="008A6AF2">
      <w:pPr>
        <w:pStyle w:val="Heading2"/>
      </w:pPr>
      <w:r>
        <w:t>4.4. Специални предупреждения и предпазни мерки при употреба</w:t>
      </w:r>
    </w:p>
    <w:p w14:paraId="59820011" w14:textId="6B497958" w:rsidR="00096BFF" w:rsidRDefault="00096BFF" w:rsidP="00096BFF"/>
    <w:p w14:paraId="30701846" w14:textId="77777777" w:rsidR="00096BFF" w:rsidRPr="00096BFF" w:rsidRDefault="00096BFF" w:rsidP="00096BFF">
      <w:pPr>
        <w:rPr>
          <w:rFonts w:cs="Arial"/>
          <w:sz w:val="24"/>
          <w:szCs w:val="24"/>
        </w:rPr>
      </w:pPr>
      <w:r w:rsidRPr="00096BFF">
        <w:rPr>
          <w:rFonts w:cs="Arial"/>
          <w:lang w:eastAsia="bg-BG"/>
        </w:rPr>
        <w:t>Преди започване на лечение с амоксицилин/клавуланова киселина, трябва да се проведе запитване за предишни реакции на свръхчувствителност към пеницилини, цефалоспорини или други бета-лактамни антибиотици (виж точки 4.3 и 4.8).</w:t>
      </w:r>
    </w:p>
    <w:p w14:paraId="7CC117C1" w14:textId="575FFF01" w:rsidR="00096BFF" w:rsidRPr="00096BFF" w:rsidRDefault="00096BFF" w:rsidP="00096BFF">
      <w:pPr>
        <w:rPr>
          <w:rFonts w:cs="Arial"/>
        </w:rPr>
      </w:pPr>
    </w:p>
    <w:p w14:paraId="1DA4C566" w14:textId="77777777"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t>При пациенти на лечение с пеницилини са съобщени сериозни и понякога фатални реакции на свръхчувствителност (включително анафилактоидни и тежки кожни нежелани реакции). Тези реакции са по-вероятни при лица с анамнеза за свръхчувствителност към пеницилини и при атопични пациенти. При поява на алергична реакция, лечението с амоксицилин/клавуланова киселина трябва да се преустанови и да се започне подходящо алтернативно лечение.</w:t>
      </w:r>
    </w:p>
    <w:p w14:paraId="1DD8622E" w14:textId="77777777" w:rsidR="00096BFF" w:rsidRPr="00096BFF" w:rsidRDefault="00096BFF" w:rsidP="00096BFF">
      <w:pPr>
        <w:spacing w:line="240" w:lineRule="auto"/>
        <w:rPr>
          <w:rFonts w:eastAsia="Times New Roman" w:cs="Arial"/>
          <w:color w:val="000000"/>
          <w:lang w:eastAsia="bg-BG"/>
        </w:rPr>
      </w:pPr>
    </w:p>
    <w:p w14:paraId="55358B5B" w14:textId="1C4F00A4"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t>В случай на инфекция, причинена от микроорганизми с доказана чувствителност към амоксицилин, трябва да се помисли за преминаване от амоксицилин/клавуланова киселина към амоксицилин в съответствие с официалните препоръки.</w:t>
      </w:r>
    </w:p>
    <w:p w14:paraId="3F4384EB" w14:textId="77777777" w:rsidR="00096BFF" w:rsidRPr="00096BFF" w:rsidRDefault="00096BFF" w:rsidP="00096BFF">
      <w:pPr>
        <w:spacing w:line="240" w:lineRule="auto"/>
        <w:rPr>
          <w:rFonts w:eastAsia="Times New Roman" w:cs="Arial"/>
          <w:color w:val="000000"/>
          <w:lang w:eastAsia="bg-BG"/>
        </w:rPr>
      </w:pPr>
    </w:p>
    <w:p w14:paraId="02300FD5" w14:textId="4A732AF3"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t xml:space="preserve">Тази форма на амоксицилин/клавуланова киселина не е подходяща за употреба при наличие на висок риск предполагаемите патогени да са резистентни към бета-лактамни средства, когато тази резистентност не се дължи на бета-лактамази, податливи на инхибиране от клавуланова киселина. Тази форма не трябва да се използва за лечение на пеницилин-резистентни </w:t>
      </w:r>
      <w:r w:rsidRPr="00096BFF">
        <w:rPr>
          <w:rFonts w:eastAsia="Times New Roman" w:cs="Arial"/>
          <w:color w:val="000000"/>
          <w:lang w:val="en-US"/>
        </w:rPr>
        <w:t>S</w:t>
      </w:r>
      <w:r w:rsidRPr="00096BFF">
        <w:rPr>
          <w:rFonts w:eastAsia="Times New Roman" w:cs="Arial"/>
          <w:color w:val="000000"/>
          <w:lang w:val="ru-RU"/>
        </w:rPr>
        <w:t xml:space="preserve">. </w:t>
      </w:r>
      <w:proofErr w:type="spellStart"/>
      <w:proofErr w:type="gramStart"/>
      <w:r w:rsidRPr="00096BFF">
        <w:rPr>
          <w:rFonts w:eastAsia="Times New Roman" w:cs="Arial"/>
          <w:i/>
          <w:iCs/>
          <w:color w:val="000000"/>
          <w:lang w:val="en-US"/>
        </w:rPr>
        <w:t>pneumoniae</w:t>
      </w:r>
      <w:proofErr w:type="spellEnd"/>
      <w:proofErr w:type="gramEnd"/>
      <w:r w:rsidRPr="00096BFF">
        <w:rPr>
          <w:rFonts w:eastAsia="Times New Roman" w:cs="Arial"/>
          <w:i/>
          <w:iCs/>
          <w:color w:val="000000"/>
          <w:lang w:val="ru-RU"/>
        </w:rPr>
        <w:t>.</w:t>
      </w:r>
    </w:p>
    <w:p w14:paraId="54C9529D" w14:textId="77777777" w:rsidR="00096BFF" w:rsidRPr="00096BFF" w:rsidRDefault="00096BFF" w:rsidP="00096BFF">
      <w:pPr>
        <w:spacing w:line="240" w:lineRule="auto"/>
        <w:rPr>
          <w:rFonts w:eastAsia="Times New Roman" w:cs="Arial"/>
          <w:color w:val="000000"/>
          <w:lang w:eastAsia="bg-BG"/>
        </w:rPr>
      </w:pPr>
    </w:p>
    <w:p w14:paraId="08DC15D4" w14:textId="69AE0A2D"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t>При пациенти с бъбречна недостатъчност или такива, получаващи високи дози, може да настъпят гърчове (вижте точка 4.8).</w:t>
      </w:r>
    </w:p>
    <w:p w14:paraId="04D7E663" w14:textId="77777777" w:rsidR="00096BFF" w:rsidRPr="00096BFF" w:rsidRDefault="00096BFF" w:rsidP="00096BFF">
      <w:pPr>
        <w:spacing w:line="240" w:lineRule="auto"/>
        <w:rPr>
          <w:rFonts w:eastAsia="Times New Roman" w:cs="Arial"/>
          <w:color w:val="000000"/>
          <w:lang w:eastAsia="bg-BG"/>
        </w:rPr>
      </w:pPr>
    </w:p>
    <w:p w14:paraId="7E3E2960" w14:textId="492E008C"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lastRenderedPageBreak/>
        <w:t>Ако се подозира инфекциозна мононуклеоза, трябва да се избягва амоксицилин/клавуланова киселина, тъй като с това заболяване се свързва морбилиформен обрив след употреба на амоксицилин.</w:t>
      </w:r>
    </w:p>
    <w:p w14:paraId="5BBEFE48" w14:textId="77777777" w:rsidR="00096BFF" w:rsidRPr="00096BFF" w:rsidRDefault="00096BFF" w:rsidP="00096BFF">
      <w:pPr>
        <w:spacing w:line="240" w:lineRule="auto"/>
        <w:rPr>
          <w:rFonts w:eastAsia="Times New Roman" w:cs="Arial"/>
          <w:color w:val="000000"/>
          <w:lang w:eastAsia="bg-BG"/>
        </w:rPr>
      </w:pPr>
    </w:p>
    <w:p w14:paraId="31C64406" w14:textId="2F6F4BE3"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t>Едновременното приложение на алопуринол по време на лечение с амоксицилин повишава вероятността за алергични кожни реакции.</w:t>
      </w:r>
    </w:p>
    <w:p w14:paraId="3A3F74C4" w14:textId="77777777" w:rsidR="00096BFF" w:rsidRPr="00096BFF" w:rsidRDefault="00096BFF" w:rsidP="00096BFF">
      <w:pPr>
        <w:spacing w:line="240" w:lineRule="auto"/>
        <w:rPr>
          <w:rFonts w:eastAsia="Times New Roman" w:cs="Arial"/>
          <w:color w:val="000000"/>
          <w:lang w:eastAsia="bg-BG"/>
        </w:rPr>
      </w:pPr>
    </w:p>
    <w:p w14:paraId="1E2C63FD" w14:textId="10D0EDCC"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t>Продължителната употреба може в отделни случаи да доведе до свръхрастеж на нечувствителни микроорганизми.</w:t>
      </w:r>
    </w:p>
    <w:p w14:paraId="40AEE696" w14:textId="77777777" w:rsidR="00096BFF" w:rsidRPr="00096BFF" w:rsidRDefault="00096BFF" w:rsidP="00096BFF">
      <w:pPr>
        <w:spacing w:line="240" w:lineRule="auto"/>
        <w:rPr>
          <w:rFonts w:eastAsia="Times New Roman" w:cs="Arial"/>
          <w:color w:val="000000"/>
          <w:lang w:eastAsia="bg-BG"/>
        </w:rPr>
      </w:pPr>
    </w:p>
    <w:p w14:paraId="2804912A" w14:textId="06E2AA60"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t xml:space="preserve">Появата в началото на лечението на треска с генерализиран еритем, свързан с пустули, може да е симптом на остра генерализирана екзантематозна пустулоза </w:t>
      </w:r>
      <w:r w:rsidRPr="00096BFF">
        <w:rPr>
          <w:rFonts w:eastAsia="Times New Roman" w:cs="Arial"/>
          <w:color w:val="000000"/>
          <w:lang w:val="ru-RU"/>
        </w:rPr>
        <w:t>(</w:t>
      </w:r>
      <w:r w:rsidRPr="00096BFF">
        <w:rPr>
          <w:rFonts w:eastAsia="Times New Roman" w:cs="Arial"/>
          <w:color w:val="000000"/>
          <w:lang w:val="en-US"/>
        </w:rPr>
        <w:t>AGEP</w:t>
      </w:r>
      <w:r w:rsidRPr="00096BFF">
        <w:rPr>
          <w:rFonts w:eastAsia="Times New Roman" w:cs="Arial"/>
          <w:color w:val="000000"/>
          <w:lang w:val="ru-RU"/>
        </w:rPr>
        <w:t xml:space="preserve">) </w:t>
      </w:r>
      <w:r w:rsidRPr="00096BFF">
        <w:rPr>
          <w:rFonts w:eastAsia="Times New Roman" w:cs="Arial"/>
          <w:color w:val="000000"/>
          <w:lang w:eastAsia="bg-BG"/>
        </w:rPr>
        <w:t>(виж точка 4.8). Тази реакция изисква спиране на амоксицилин/клавуланова кислина и всяко следващо приложение на амоксицилин е противопоказано.</w:t>
      </w:r>
    </w:p>
    <w:p w14:paraId="5B82E5E3" w14:textId="77777777" w:rsidR="00096BFF" w:rsidRPr="00096BFF" w:rsidRDefault="00096BFF" w:rsidP="00096BFF">
      <w:pPr>
        <w:spacing w:line="240" w:lineRule="auto"/>
        <w:rPr>
          <w:rFonts w:eastAsia="Times New Roman" w:cs="Arial"/>
          <w:color w:val="000000"/>
          <w:lang w:eastAsia="bg-BG"/>
        </w:rPr>
      </w:pPr>
    </w:p>
    <w:p w14:paraId="5241D132" w14:textId="69862D40"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t>Амоксицилин/клавуланова киселина трябва да се използва с внимание при пациенти с данни за чернодробна недостатъчност (виж точка 4.2, 4.3 и 4.8).</w:t>
      </w:r>
    </w:p>
    <w:p w14:paraId="3A2A6147" w14:textId="77777777" w:rsidR="00096BFF" w:rsidRPr="00096BFF" w:rsidRDefault="00096BFF" w:rsidP="00096BFF">
      <w:pPr>
        <w:spacing w:line="240" w:lineRule="auto"/>
        <w:rPr>
          <w:rFonts w:eastAsia="Times New Roman" w:cs="Arial"/>
          <w:color w:val="000000"/>
          <w:lang w:eastAsia="bg-BG"/>
        </w:rPr>
      </w:pPr>
    </w:p>
    <w:p w14:paraId="42035C4E" w14:textId="48ECA95E"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t>Чернодробни събития са съобщавани главно при мъже и при пациенти в старческа възраст и може да се свържат с продължително лечение. Тези събития много рядко са наблюдавани при деца. Във всички популации признаците и симптомите обикновено се проявяват по време или непосредствено след започване на лечението, но в някои случаи може да не се изявят до няколко седмици след спирането му. Те обикновено са обратими.</w:t>
      </w:r>
    </w:p>
    <w:p w14:paraId="15F900D1" w14:textId="47BA160C"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t>Чернодробните събития може да са тежки и в изключително редки случаи е наблюдаван летален изход. Те почти винаги се изявяват при пациенти със сериозни съпътстващи заболявалия или при такива, приемащи едновременно лекарствени продукти, за които е известно, че имат потенциал за чернодробни събития (виж точка 4.8).</w:t>
      </w:r>
    </w:p>
    <w:p w14:paraId="7CF8DAD5" w14:textId="77777777" w:rsidR="00096BFF" w:rsidRPr="00096BFF" w:rsidRDefault="00096BFF" w:rsidP="00096BFF">
      <w:pPr>
        <w:spacing w:line="240" w:lineRule="auto"/>
        <w:rPr>
          <w:rFonts w:eastAsia="Times New Roman" w:cs="Arial"/>
          <w:color w:val="000000"/>
          <w:lang w:eastAsia="bg-BG"/>
        </w:rPr>
      </w:pPr>
    </w:p>
    <w:p w14:paraId="0CA11BA9" w14:textId="1BC8AF46"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t>При почти всички антибиотици, включително амоксицилин, се съобщава за</w:t>
      </w:r>
      <w:r w:rsidRPr="00096BFF">
        <w:rPr>
          <w:rFonts w:eastAsia="Times New Roman" w:cs="Arial"/>
          <w:color w:val="000000"/>
          <w:lang w:val="ru-RU"/>
        </w:rPr>
        <w:t xml:space="preserve"> </w:t>
      </w:r>
      <w:r w:rsidRPr="00096BFF">
        <w:rPr>
          <w:rFonts w:eastAsia="Times New Roman" w:cs="Arial"/>
          <w:color w:val="000000"/>
          <w:lang w:eastAsia="bg-BG"/>
        </w:rPr>
        <w:t>свързан с</w:t>
      </w:r>
      <w:r w:rsidRPr="00096BFF">
        <w:rPr>
          <w:rFonts w:eastAsia="Times New Roman" w:cs="Arial"/>
          <w:smallCaps/>
          <w:color w:val="000000"/>
          <w:lang w:eastAsia="bg-BG"/>
        </w:rPr>
        <w:t xml:space="preserve"> </w:t>
      </w:r>
      <w:r w:rsidRPr="00096BFF">
        <w:rPr>
          <w:rFonts w:eastAsia="Times New Roman" w:cs="Arial"/>
          <w:color w:val="000000"/>
          <w:lang w:eastAsia="bg-BG"/>
        </w:rPr>
        <w:t>антибиотика колит, който може да бъде от лек до животозастрашаващ по тежест (виж точка 4.8). Затова е важно да се има предвид тази диагноза при пациенти, които са с диария по време или след приложение на някакъв антибиотик. Ако настъпи свързан с антибиотика колит амоксицилин/клавуланова киселина трябва незабавно да се спре, да се направи консултация</w:t>
      </w:r>
    </w:p>
    <w:p w14:paraId="18C69E4C" w14:textId="113B46F2" w:rsidR="00096BFF" w:rsidRPr="00096BFF" w:rsidRDefault="00096BFF" w:rsidP="00096BFF">
      <w:pPr>
        <w:rPr>
          <w:rFonts w:eastAsia="Times New Roman" w:cs="Arial"/>
          <w:color w:val="000000"/>
          <w:lang w:eastAsia="bg-BG"/>
        </w:rPr>
      </w:pPr>
      <w:r w:rsidRPr="00096BFF">
        <w:rPr>
          <w:rFonts w:eastAsia="Times New Roman" w:cs="Arial"/>
          <w:color w:val="000000"/>
          <w:lang w:eastAsia="bg-BG"/>
        </w:rPr>
        <w:t>лекар и да се започне подходящо лечение. При такава ситуация са противопоказани лекарствени продукти с антиперисталтично действие.</w:t>
      </w:r>
    </w:p>
    <w:p w14:paraId="2A1D694A" w14:textId="455CF846" w:rsidR="00096BFF" w:rsidRPr="00096BFF" w:rsidRDefault="00096BFF" w:rsidP="00096BFF">
      <w:pPr>
        <w:rPr>
          <w:rFonts w:eastAsia="Times New Roman" w:cs="Arial"/>
          <w:color w:val="000000"/>
          <w:lang w:eastAsia="bg-BG"/>
        </w:rPr>
      </w:pPr>
    </w:p>
    <w:p w14:paraId="6FFD91AF" w14:textId="77777777"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t>При продължително лечение се препоръчва периодична оценка на органните и системни функции, включително на бъбречната, чернодробната и хемопоетичната функция.</w:t>
      </w:r>
    </w:p>
    <w:p w14:paraId="5D1FEAB4" w14:textId="77777777" w:rsidR="00096BFF" w:rsidRPr="00096BFF" w:rsidRDefault="00096BFF" w:rsidP="00096BFF">
      <w:pPr>
        <w:spacing w:line="240" w:lineRule="auto"/>
        <w:rPr>
          <w:rFonts w:eastAsia="Times New Roman" w:cs="Arial"/>
          <w:color w:val="000000"/>
          <w:lang w:eastAsia="bg-BG"/>
        </w:rPr>
      </w:pPr>
    </w:p>
    <w:p w14:paraId="6DCAD145" w14:textId="43E5ACB8"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t>При пациенти, получаващи амоксицилин/клавуланова киселина, рядко се съобщава за удължаване на протромбиновото време. Когато едновременно се назначават антикоагуланти, трябва да се прави подходящо проследяване. Може да е необходима корекция в дозата на пероралните антикоагуланти, за да се поддържа желаното ниво на антикоагулация (вижте точка 4.5 и 4.8).</w:t>
      </w:r>
    </w:p>
    <w:p w14:paraId="29A99C53" w14:textId="77777777" w:rsidR="00096BFF" w:rsidRPr="00096BFF" w:rsidRDefault="00096BFF" w:rsidP="00096BFF">
      <w:pPr>
        <w:spacing w:line="240" w:lineRule="auto"/>
        <w:rPr>
          <w:rFonts w:eastAsia="Times New Roman" w:cs="Arial"/>
          <w:color w:val="000000"/>
          <w:lang w:eastAsia="bg-BG"/>
        </w:rPr>
      </w:pPr>
    </w:p>
    <w:p w14:paraId="18CB3716" w14:textId="2C7BEFC1"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t>При пациенти с бъбречна недостатъчност се изисква приспособяване на дозата в зависимост от степента на увреждането (вижте точка 4.2).</w:t>
      </w:r>
    </w:p>
    <w:p w14:paraId="06566589" w14:textId="77777777" w:rsidR="00096BFF" w:rsidRPr="00096BFF" w:rsidRDefault="00096BFF" w:rsidP="00096BFF">
      <w:pPr>
        <w:spacing w:line="240" w:lineRule="auto"/>
        <w:rPr>
          <w:rFonts w:eastAsia="Times New Roman" w:cs="Arial"/>
          <w:color w:val="000000"/>
          <w:lang w:eastAsia="bg-BG"/>
        </w:rPr>
      </w:pPr>
    </w:p>
    <w:p w14:paraId="470CF393" w14:textId="6ADEF47E"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t xml:space="preserve">При пациенти с намалено отделяне на урина много рядко е наблюдавана кристалурия, основно при парентерално лечение. По време на приложение на високи дози </w:t>
      </w:r>
      <w:r w:rsidRPr="00096BFF">
        <w:rPr>
          <w:rFonts w:eastAsia="Times New Roman" w:cs="Arial"/>
          <w:color w:val="000000"/>
          <w:lang w:eastAsia="bg-BG"/>
        </w:rPr>
        <w:lastRenderedPageBreak/>
        <w:t>амоксицилин е препоръчително да се поддържа достатъчен прием на течности и отделяне на урина, за да се намали възможността за причинена от амоксицилин кристалурия. При пациенти с катетър в пикочния мехур трябва да се прави редовна проверка на проходимостта (виж точка 4.9).</w:t>
      </w:r>
    </w:p>
    <w:p w14:paraId="031FF540" w14:textId="77777777" w:rsidR="00096BFF" w:rsidRPr="00096BFF" w:rsidRDefault="00096BFF" w:rsidP="00096BFF">
      <w:pPr>
        <w:spacing w:line="240" w:lineRule="auto"/>
        <w:rPr>
          <w:rFonts w:eastAsia="Times New Roman" w:cs="Arial"/>
          <w:color w:val="000000"/>
          <w:lang w:eastAsia="bg-BG"/>
        </w:rPr>
      </w:pPr>
    </w:p>
    <w:p w14:paraId="56E92B2A" w14:textId="3B81F1A4"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t>По време на лечение с амоксицилин трябва да се използват ензимни глюкооксигеназни методи при изследванията за наличие на захар в урината, поради фалшиво положителните резултати, които може да настъпят при неензимните методики.</w:t>
      </w:r>
    </w:p>
    <w:p w14:paraId="19AB9F6F" w14:textId="77777777" w:rsidR="00096BFF" w:rsidRPr="00096BFF" w:rsidRDefault="00096BFF" w:rsidP="00096BFF">
      <w:pPr>
        <w:spacing w:line="240" w:lineRule="auto"/>
        <w:rPr>
          <w:rFonts w:eastAsia="Times New Roman" w:cs="Arial"/>
          <w:color w:val="000000"/>
          <w:lang w:eastAsia="bg-BG"/>
        </w:rPr>
      </w:pPr>
    </w:p>
    <w:p w14:paraId="4A29BF27" w14:textId="7C105577"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t xml:space="preserve">Наличието на клавуланова киселина в Амоксигард може да доведе до неспецифично свързване на </w:t>
      </w:r>
      <w:r w:rsidRPr="00096BFF">
        <w:rPr>
          <w:rFonts w:eastAsia="Times New Roman" w:cs="Arial"/>
          <w:color w:val="000000"/>
          <w:lang w:val="en-US"/>
        </w:rPr>
        <w:t>IgG</w:t>
      </w:r>
      <w:r w:rsidRPr="00096BFF">
        <w:rPr>
          <w:rFonts w:eastAsia="Times New Roman" w:cs="Arial"/>
          <w:color w:val="000000"/>
          <w:lang w:val="ru-RU"/>
        </w:rPr>
        <w:t xml:space="preserve"> </w:t>
      </w:r>
      <w:r w:rsidRPr="00096BFF">
        <w:rPr>
          <w:rFonts w:eastAsia="Times New Roman" w:cs="Arial"/>
          <w:color w:val="000000"/>
          <w:lang w:eastAsia="bg-BG"/>
        </w:rPr>
        <w:t xml:space="preserve">и албумин към мембраната на еритроцитите, водещо до фалшиво положителни резултати при теста на </w:t>
      </w:r>
      <w:r w:rsidRPr="00096BFF">
        <w:rPr>
          <w:rFonts w:eastAsia="Times New Roman" w:cs="Arial"/>
          <w:color w:val="000000"/>
          <w:lang w:val="en-US"/>
        </w:rPr>
        <w:t>Coombs</w:t>
      </w:r>
      <w:r w:rsidRPr="00096BFF">
        <w:rPr>
          <w:rFonts w:eastAsia="Times New Roman" w:cs="Arial"/>
          <w:color w:val="000000"/>
          <w:lang w:val="ru-RU"/>
        </w:rPr>
        <w:t>.</w:t>
      </w:r>
    </w:p>
    <w:p w14:paraId="502C18C2" w14:textId="77777777" w:rsidR="00096BFF" w:rsidRPr="00096BFF" w:rsidRDefault="00096BFF" w:rsidP="00096BFF">
      <w:pPr>
        <w:spacing w:line="240" w:lineRule="auto"/>
        <w:rPr>
          <w:rFonts w:eastAsia="Times New Roman" w:cs="Arial"/>
          <w:color w:val="000000"/>
          <w:lang w:eastAsia="bg-BG"/>
        </w:rPr>
      </w:pPr>
    </w:p>
    <w:p w14:paraId="3E970D4A" w14:textId="681030C6"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t xml:space="preserve">Има съобщения за положителни резултати при изследване, използващо </w:t>
      </w:r>
      <w:r w:rsidRPr="00096BFF">
        <w:rPr>
          <w:rFonts w:eastAsia="Times New Roman" w:cs="Arial"/>
          <w:color w:val="000000"/>
          <w:lang w:val="en-US"/>
        </w:rPr>
        <w:t>Bio</w:t>
      </w:r>
      <w:r w:rsidRPr="00096BFF">
        <w:rPr>
          <w:rFonts w:eastAsia="Times New Roman" w:cs="Arial"/>
          <w:color w:val="000000"/>
        </w:rPr>
        <w:t>-</w:t>
      </w:r>
      <w:r w:rsidRPr="00096BFF">
        <w:rPr>
          <w:rFonts w:eastAsia="Times New Roman" w:cs="Arial"/>
          <w:color w:val="000000"/>
          <w:lang w:val="en-US"/>
        </w:rPr>
        <w:t>Rad</w:t>
      </w:r>
      <w:r w:rsidRPr="00096BFF">
        <w:rPr>
          <w:rFonts w:eastAsia="Times New Roman" w:cs="Arial"/>
          <w:color w:val="000000"/>
        </w:rPr>
        <w:t xml:space="preserve"> </w:t>
      </w:r>
      <w:r w:rsidRPr="00096BFF">
        <w:rPr>
          <w:rFonts w:eastAsia="Times New Roman" w:cs="Arial"/>
          <w:color w:val="000000"/>
          <w:lang w:val="en-US"/>
        </w:rPr>
        <w:t>Laboratories</w:t>
      </w:r>
      <w:r w:rsidRPr="00096BFF">
        <w:rPr>
          <w:rFonts w:eastAsia="Times New Roman" w:cs="Arial"/>
          <w:color w:val="000000"/>
        </w:rPr>
        <w:t xml:space="preserve"> </w:t>
      </w:r>
      <w:proofErr w:type="spellStart"/>
      <w:r w:rsidRPr="00096BFF">
        <w:rPr>
          <w:rFonts w:eastAsia="Times New Roman" w:cs="Arial"/>
          <w:color w:val="000000"/>
          <w:lang w:val="en-US"/>
        </w:rPr>
        <w:t>Platelia</w:t>
      </w:r>
      <w:proofErr w:type="spellEnd"/>
      <w:r w:rsidRPr="00096BFF">
        <w:rPr>
          <w:rFonts w:eastAsia="Times New Roman" w:cs="Arial"/>
          <w:color w:val="000000"/>
        </w:rPr>
        <w:t xml:space="preserve"> </w:t>
      </w:r>
      <w:r w:rsidRPr="00096BFF">
        <w:rPr>
          <w:rFonts w:eastAsia="Times New Roman" w:cs="Arial"/>
          <w:color w:val="000000"/>
          <w:lang w:val="en-US"/>
        </w:rPr>
        <w:t>Aspergillus</w:t>
      </w:r>
      <w:r w:rsidRPr="00096BFF">
        <w:rPr>
          <w:rFonts w:eastAsia="Times New Roman" w:cs="Arial"/>
          <w:color w:val="000000"/>
        </w:rPr>
        <w:t xml:space="preserve"> </w:t>
      </w:r>
      <w:r w:rsidRPr="00096BFF">
        <w:rPr>
          <w:rFonts w:eastAsia="Times New Roman" w:cs="Arial"/>
          <w:color w:val="000000"/>
          <w:lang w:val="en-US"/>
        </w:rPr>
        <w:t>EIA</w:t>
      </w:r>
      <w:r w:rsidRPr="00096BFF">
        <w:rPr>
          <w:rFonts w:eastAsia="Times New Roman" w:cs="Arial"/>
          <w:color w:val="000000"/>
        </w:rPr>
        <w:t xml:space="preserve"> </w:t>
      </w:r>
      <w:r w:rsidRPr="00096BFF">
        <w:rPr>
          <w:rFonts w:eastAsia="Times New Roman" w:cs="Arial"/>
          <w:color w:val="000000"/>
          <w:lang w:eastAsia="bg-BG"/>
        </w:rPr>
        <w:t xml:space="preserve">теста при пациенти, получаващи амоксицилин/клавуланова киселина, за които впоследствие е установено, че нямат инфекция с </w:t>
      </w:r>
      <w:r w:rsidRPr="00096BFF">
        <w:rPr>
          <w:rFonts w:eastAsia="Times New Roman" w:cs="Arial"/>
          <w:i/>
          <w:iCs/>
          <w:color w:val="000000"/>
          <w:lang w:val="en-US"/>
        </w:rPr>
        <w:t>Aspergillus</w:t>
      </w:r>
      <w:r w:rsidRPr="00096BFF">
        <w:rPr>
          <w:rFonts w:eastAsia="Times New Roman" w:cs="Arial"/>
          <w:i/>
          <w:iCs/>
          <w:color w:val="000000"/>
        </w:rPr>
        <w:t>.</w:t>
      </w:r>
      <w:r w:rsidRPr="00096BFF">
        <w:rPr>
          <w:rFonts w:eastAsia="Times New Roman" w:cs="Arial"/>
          <w:color w:val="000000"/>
        </w:rPr>
        <w:t xml:space="preserve"> </w:t>
      </w:r>
      <w:r w:rsidRPr="00096BFF">
        <w:rPr>
          <w:rFonts w:eastAsia="Times New Roman" w:cs="Arial"/>
          <w:color w:val="000000"/>
          <w:lang w:eastAsia="bg-BG"/>
        </w:rPr>
        <w:t>Съобщени са кръстосани реакции между не</w:t>
      </w:r>
      <w:r w:rsidRPr="00096BFF">
        <w:rPr>
          <w:rFonts w:eastAsia="Times New Roman" w:cs="Arial"/>
          <w:i/>
          <w:iCs/>
          <w:color w:val="000000"/>
        </w:rPr>
        <w:t>-</w:t>
      </w:r>
      <w:r w:rsidRPr="00096BFF">
        <w:rPr>
          <w:rFonts w:eastAsia="Times New Roman" w:cs="Arial"/>
          <w:i/>
          <w:iCs/>
          <w:color w:val="000000"/>
          <w:lang w:val="en-US"/>
        </w:rPr>
        <w:t>Aspergillus</w:t>
      </w:r>
      <w:r w:rsidRPr="00096BFF">
        <w:rPr>
          <w:rFonts w:eastAsia="Times New Roman" w:cs="Arial"/>
          <w:color w:val="000000"/>
        </w:rPr>
        <w:t xml:space="preserve"> </w:t>
      </w:r>
      <w:r w:rsidRPr="00096BFF">
        <w:rPr>
          <w:rFonts w:eastAsia="Times New Roman" w:cs="Arial"/>
          <w:color w:val="000000"/>
          <w:lang w:eastAsia="bg-BG"/>
        </w:rPr>
        <w:t xml:space="preserve">полизахариди и полифуранози и </w:t>
      </w:r>
      <w:r w:rsidRPr="00096BFF">
        <w:rPr>
          <w:rFonts w:eastAsia="Times New Roman" w:cs="Arial"/>
          <w:color w:val="000000"/>
          <w:lang w:val="en-US"/>
        </w:rPr>
        <w:t>Bio</w:t>
      </w:r>
      <w:r w:rsidRPr="00096BFF">
        <w:rPr>
          <w:rFonts w:eastAsia="Times New Roman" w:cs="Arial"/>
          <w:color w:val="000000"/>
        </w:rPr>
        <w:t>-</w:t>
      </w:r>
      <w:r w:rsidRPr="00096BFF">
        <w:rPr>
          <w:rFonts w:eastAsia="Times New Roman" w:cs="Arial"/>
          <w:color w:val="000000"/>
          <w:lang w:val="en-US"/>
        </w:rPr>
        <w:t>Rad</w:t>
      </w:r>
      <w:r w:rsidRPr="00096BFF">
        <w:rPr>
          <w:rFonts w:eastAsia="Times New Roman" w:cs="Arial"/>
          <w:color w:val="000000"/>
        </w:rPr>
        <w:t xml:space="preserve"> </w:t>
      </w:r>
      <w:r w:rsidRPr="00096BFF">
        <w:rPr>
          <w:rFonts w:eastAsia="Times New Roman" w:cs="Arial"/>
          <w:color w:val="000000"/>
          <w:lang w:val="en-US"/>
        </w:rPr>
        <w:t>Laboratories</w:t>
      </w:r>
      <w:r w:rsidRPr="00096BFF">
        <w:rPr>
          <w:rFonts w:eastAsia="Times New Roman" w:cs="Arial"/>
          <w:color w:val="000000"/>
        </w:rPr>
        <w:t xml:space="preserve"> </w:t>
      </w:r>
      <w:proofErr w:type="spellStart"/>
      <w:r w:rsidRPr="00096BFF">
        <w:rPr>
          <w:rFonts w:eastAsia="Times New Roman" w:cs="Arial"/>
          <w:color w:val="000000"/>
          <w:lang w:val="en-US"/>
        </w:rPr>
        <w:t>Platelia</w:t>
      </w:r>
      <w:proofErr w:type="spellEnd"/>
      <w:r w:rsidRPr="00096BFF">
        <w:rPr>
          <w:rFonts w:eastAsia="Times New Roman" w:cs="Arial"/>
          <w:color w:val="000000"/>
        </w:rPr>
        <w:t xml:space="preserve"> </w:t>
      </w:r>
      <w:r w:rsidRPr="00096BFF">
        <w:rPr>
          <w:rFonts w:eastAsia="Times New Roman" w:cs="Arial"/>
          <w:color w:val="000000"/>
          <w:lang w:val="en-US"/>
        </w:rPr>
        <w:t>Aspergillus</w:t>
      </w:r>
      <w:r w:rsidRPr="00096BFF">
        <w:rPr>
          <w:rFonts w:eastAsia="Times New Roman" w:cs="Arial"/>
          <w:color w:val="000000"/>
        </w:rPr>
        <w:t xml:space="preserve"> </w:t>
      </w:r>
      <w:r w:rsidRPr="00096BFF">
        <w:rPr>
          <w:rFonts w:eastAsia="Times New Roman" w:cs="Arial"/>
          <w:color w:val="000000"/>
          <w:lang w:val="en-US"/>
        </w:rPr>
        <w:t>EIA</w:t>
      </w:r>
      <w:r w:rsidRPr="00096BFF">
        <w:rPr>
          <w:rFonts w:eastAsia="Times New Roman" w:cs="Arial"/>
          <w:color w:val="000000"/>
        </w:rPr>
        <w:t xml:space="preserve"> </w:t>
      </w:r>
      <w:r w:rsidRPr="00096BFF">
        <w:rPr>
          <w:rFonts w:eastAsia="Times New Roman" w:cs="Arial"/>
          <w:color w:val="000000"/>
          <w:lang w:eastAsia="bg-BG"/>
        </w:rPr>
        <w:t>теста. Следователно положителните резултати от изследването при пациенти, получаващи амоксицилин/клавуланова киселина, трябва да се интерпретират внимателно и да се потвърдят чрез други диагностични методи.</w:t>
      </w:r>
    </w:p>
    <w:p w14:paraId="1AAD7EB5" w14:textId="77777777" w:rsidR="00096BFF" w:rsidRPr="00096BFF" w:rsidRDefault="00096BFF" w:rsidP="00096BFF"/>
    <w:p w14:paraId="1244F76A" w14:textId="01FD35B2" w:rsidR="00395555" w:rsidRDefault="002C50EE" w:rsidP="008A6AF2">
      <w:pPr>
        <w:pStyle w:val="Heading2"/>
      </w:pPr>
      <w:r>
        <w:t>4.5. Взаимодействие с други лекарствени продукти и други форми на взаимодействие</w:t>
      </w:r>
    </w:p>
    <w:p w14:paraId="6A01A0B0" w14:textId="5B7E7487" w:rsidR="00096BFF" w:rsidRDefault="00096BFF" w:rsidP="00096BFF"/>
    <w:p w14:paraId="6172561D" w14:textId="77777777" w:rsidR="00096BFF" w:rsidRPr="00096BFF" w:rsidRDefault="00096BFF" w:rsidP="00096BFF">
      <w:pPr>
        <w:spacing w:line="240" w:lineRule="auto"/>
        <w:rPr>
          <w:rFonts w:eastAsia="Times New Roman" w:cs="Arial"/>
          <w:sz w:val="24"/>
          <w:szCs w:val="24"/>
        </w:rPr>
      </w:pPr>
      <w:r w:rsidRPr="00096BFF">
        <w:rPr>
          <w:rFonts w:eastAsia="Times New Roman" w:cs="Arial"/>
          <w:color w:val="000000"/>
          <w:u w:val="single"/>
          <w:lang w:eastAsia="bg-BG"/>
        </w:rPr>
        <w:t>Перорални антикоагуланти</w:t>
      </w:r>
    </w:p>
    <w:p w14:paraId="459A0F5B" w14:textId="77777777" w:rsidR="00096BFF" w:rsidRPr="00096BFF" w:rsidRDefault="00096BFF" w:rsidP="00096BFF">
      <w:pPr>
        <w:spacing w:line="240" w:lineRule="auto"/>
        <w:rPr>
          <w:rFonts w:eastAsia="Times New Roman" w:cs="Arial"/>
          <w:color w:val="000000"/>
          <w:lang w:eastAsia="bg-BG"/>
        </w:rPr>
      </w:pPr>
    </w:p>
    <w:p w14:paraId="7A5E6E93" w14:textId="49E086A4"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t xml:space="preserve">Пероралните антикоагуланти и пеницилиновите антибиотици са широко използвани в практиката без съобщения за взаимодействия. Въпреки това в литературата има описани случаи на повишено международно нормализирано отношение </w:t>
      </w:r>
      <w:r w:rsidRPr="00096BFF">
        <w:rPr>
          <w:rFonts w:eastAsia="Times New Roman" w:cs="Arial"/>
          <w:color w:val="000000"/>
          <w:lang w:val="ru-RU"/>
        </w:rPr>
        <w:t>(</w:t>
      </w:r>
      <w:r w:rsidRPr="00096BFF">
        <w:rPr>
          <w:rFonts w:eastAsia="Times New Roman" w:cs="Arial"/>
          <w:color w:val="000000"/>
          <w:lang w:val="en-US"/>
        </w:rPr>
        <w:t>INR</w:t>
      </w:r>
      <w:r w:rsidRPr="00096BFF">
        <w:rPr>
          <w:rFonts w:eastAsia="Times New Roman" w:cs="Arial"/>
          <w:color w:val="000000"/>
          <w:lang w:val="ru-RU"/>
        </w:rPr>
        <w:t xml:space="preserve">) </w:t>
      </w:r>
      <w:r w:rsidRPr="00096BFF">
        <w:rPr>
          <w:rFonts w:eastAsia="Times New Roman" w:cs="Arial"/>
          <w:color w:val="000000"/>
          <w:lang w:eastAsia="bg-BG"/>
        </w:rPr>
        <w:t>при пациенти на поддържащо лечение с аценокумарол или варфарин, на които е назначен курс с амоксицилин. Ако се налага съвместно приложение, трябва внимателно да се проследяват протромбиновото време или международното нормализирано отношение при добавяне или спиране на амоксицилин. Освен това може да е необходима корекция в дозата на пероралните антикоагуланти (виж точки 4.4 и 4.8).</w:t>
      </w:r>
    </w:p>
    <w:p w14:paraId="1FB16367" w14:textId="77777777" w:rsidR="00096BFF" w:rsidRPr="00096BFF" w:rsidRDefault="00096BFF" w:rsidP="00096BFF">
      <w:pPr>
        <w:spacing w:line="240" w:lineRule="auto"/>
        <w:rPr>
          <w:rFonts w:eastAsia="Times New Roman" w:cs="Arial"/>
          <w:color w:val="000000"/>
          <w:u w:val="single"/>
          <w:lang w:eastAsia="bg-BG"/>
        </w:rPr>
      </w:pPr>
    </w:p>
    <w:p w14:paraId="13C4E7A7" w14:textId="3F89ACA7" w:rsidR="00096BFF" w:rsidRPr="00096BFF" w:rsidRDefault="00096BFF" w:rsidP="00096BFF">
      <w:pPr>
        <w:spacing w:line="240" w:lineRule="auto"/>
        <w:rPr>
          <w:rFonts w:eastAsia="Times New Roman" w:cs="Arial"/>
          <w:sz w:val="24"/>
          <w:szCs w:val="24"/>
        </w:rPr>
      </w:pPr>
      <w:r w:rsidRPr="00096BFF">
        <w:rPr>
          <w:rFonts w:eastAsia="Times New Roman" w:cs="Arial"/>
          <w:color w:val="000000"/>
          <w:u w:val="single"/>
          <w:lang w:eastAsia="bg-BG"/>
        </w:rPr>
        <w:t>Мстотрексат</w:t>
      </w:r>
    </w:p>
    <w:p w14:paraId="3F6968A6" w14:textId="77777777" w:rsidR="00096BFF" w:rsidRPr="00096BFF" w:rsidRDefault="00096BFF" w:rsidP="00096BFF">
      <w:pPr>
        <w:spacing w:line="240" w:lineRule="auto"/>
        <w:rPr>
          <w:rFonts w:eastAsia="Times New Roman" w:cs="Arial"/>
          <w:color w:val="000000"/>
          <w:lang w:eastAsia="bg-BG"/>
        </w:rPr>
      </w:pPr>
    </w:p>
    <w:p w14:paraId="03F7BB07" w14:textId="0B7C6CDF"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t>Пеницилините могат да намалят екскрецията на метотрексат, което да повишаване на токсичността.</w:t>
      </w:r>
    </w:p>
    <w:p w14:paraId="51CEA859" w14:textId="77777777" w:rsidR="00096BFF" w:rsidRPr="00096BFF" w:rsidRDefault="00096BFF" w:rsidP="00096BFF">
      <w:pPr>
        <w:spacing w:line="240" w:lineRule="auto"/>
        <w:rPr>
          <w:rFonts w:eastAsia="Times New Roman" w:cs="Arial"/>
          <w:sz w:val="24"/>
          <w:szCs w:val="24"/>
        </w:rPr>
      </w:pPr>
    </w:p>
    <w:p w14:paraId="001D5001" w14:textId="77777777" w:rsidR="00096BFF" w:rsidRPr="00096BFF" w:rsidRDefault="00096BFF" w:rsidP="00096BFF">
      <w:pPr>
        <w:spacing w:line="240" w:lineRule="auto"/>
        <w:rPr>
          <w:rFonts w:eastAsia="Times New Roman" w:cs="Arial"/>
          <w:sz w:val="24"/>
          <w:szCs w:val="24"/>
        </w:rPr>
      </w:pPr>
      <w:r w:rsidRPr="00096BFF">
        <w:rPr>
          <w:rFonts w:eastAsia="Times New Roman" w:cs="Arial"/>
          <w:color w:val="000000"/>
          <w:u w:val="single"/>
          <w:lang w:eastAsia="bg-BG"/>
        </w:rPr>
        <w:t>Пробенецид</w:t>
      </w:r>
    </w:p>
    <w:p w14:paraId="59AE36E2" w14:textId="77777777" w:rsidR="00096BFF" w:rsidRPr="00096BFF" w:rsidRDefault="00096BFF" w:rsidP="00096BFF">
      <w:pPr>
        <w:rPr>
          <w:rFonts w:eastAsia="Times New Roman" w:cs="Arial"/>
          <w:color w:val="000000"/>
          <w:lang w:eastAsia="bg-BG"/>
        </w:rPr>
      </w:pPr>
    </w:p>
    <w:p w14:paraId="0E405236" w14:textId="77777777" w:rsidR="00096BFF" w:rsidRPr="00096BFF" w:rsidRDefault="00096BFF" w:rsidP="00096BFF">
      <w:pPr>
        <w:rPr>
          <w:rFonts w:eastAsia="Times New Roman" w:cs="Arial"/>
          <w:sz w:val="24"/>
          <w:szCs w:val="24"/>
        </w:rPr>
      </w:pPr>
      <w:r w:rsidRPr="00096BFF">
        <w:rPr>
          <w:rFonts w:eastAsia="Times New Roman" w:cs="Arial"/>
          <w:color w:val="000000"/>
          <w:lang w:eastAsia="bg-BG"/>
        </w:rPr>
        <w:t>Съвместната употреба с пробенецид не се препоръчва. Пробенецид намалява бъбречната тубулна секреция на амоксицилин. Съвместната употреба с пробенецид може да доведе до удължаване на наличието и повишаване на нивата на амоксицилин в кръвта, но не и на клавулановата киселина.</w:t>
      </w:r>
    </w:p>
    <w:p w14:paraId="6709C4B3" w14:textId="77777777" w:rsidR="00096BFF" w:rsidRPr="00096BFF" w:rsidRDefault="00096BFF" w:rsidP="00096BFF">
      <w:pPr>
        <w:spacing w:line="240" w:lineRule="auto"/>
        <w:rPr>
          <w:rFonts w:eastAsia="Times New Roman" w:cs="Arial"/>
          <w:color w:val="000000"/>
          <w:u w:val="single"/>
          <w:lang w:eastAsia="bg-BG"/>
        </w:rPr>
      </w:pPr>
    </w:p>
    <w:p w14:paraId="549EA0C8" w14:textId="423ADBA9" w:rsidR="00096BFF" w:rsidRPr="00096BFF" w:rsidRDefault="00096BFF" w:rsidP="00096BFF">
      <w:pPr>
        <w:spacing w:line="240" w:lineRule="auto"/>
        <w:rPr>
          <w:rFonts w:eastAsia="Times New Roman" w:cs="Arial"/>
          <w:sz w:val="24"/>
          <w:szCs w:val="24"/>
        </w:rPr>
      </w:pPr>
      <w:r w:rsidRPr="00096BFF">
        <w:rPr>
          <w:rFonts w:eastAsia="Times New Roman" w:cs="Arial"/>
          <w:color w:val="000000"/>
          <w:u w:val="single"/>
          <w:lang w:eastAsia="bg-BG"/>
        </w:rPr>
        <w:t>Микофенолат мофетил</w:t>
      </w:r>
    </w:p>
    <w:p w14:paraId="364A61A1" w14:textId="77777777" w:rsidR="00096BFF" w:rsidRPr="00096BFF" w:rsidRDefault="00096BFF" w:rsidP="00096BFF">
      <w:pPr>
        <w:spacing w:line="240" w:lineRule="auto"/>
        <w:rPr>
          <w:rFonts w:eastAsia="Times New Roman" w:cs="Arial"/>
          <w:color w:val="000000"/>
          <w:lang w:eastAsia="bg-BG"/>
        </w:rPr>
      </w:pPr>
    </w:p>
    <w:p w14:paraId="648AF737" w14:textId="7CCBECDA"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t>При пациенти, приемащи микофенолат мофетил, е докладвано намаление с приблизително 50% в концентрацията на активния метаболит микофенолова киселина (МРА) преди прием, след започване на терапия с амоксицилин/клавуланова киселина орално. Промяната в нивото преди прием може да не отразява точно промените в общата експозиция на микофеноловата киселина. Поради това промяна в дозата на микофенолат мофетил обикновено не се налага при липса на клинично доказателство за отхвърляне на присадката. Въпреки това е необходимо да се провежда внимателно клинично наблюдение по време на прилагане на комбинацията и непосредствено след започване на антибиотичното лечение.</w:t>
      </w:r>
    </w:p>
    <w:p w14:paraId="1D4941CD" w14:textId="424BDE5D" w:rsidR="00096BFF" w:rsidRPr="00096BFF" w:rsidRDefault="00096BFF" w:rsidP="00096BFF"/>
    <w:p w14:paraId="6EADE4D6" w14:textId="38002561" w:rsidR="00395555" w:rsidRDefault="002C50EE" w:rsidP="008A6AF2">
      <w:pPr>
        <w:pStyle w:val="Heading2"/>
      </w:pPr>
      <w:r>
        <w:t>4.6. Фертилитет, бременност и кърмене</w:t>
      </w:r>
    </w:p>
    <w:p w14:paraId="78A6BB20" w14:textId="2F65A001" w:rsidR="00096BFF" w:rsidRDefault="00096BFF" w:rsidP="00096BFF"/>
    <w:p w14:paraId="3BD9D558" w14:textId="77777777" w:rsidR="00096BFF" w:rsidRPr="00096BFF" w:rsidRDefault="00096BFF" w:rsidP="00096BFF">
      <w:pPr>
        <w:pStyle w:val="Heading3"/>
        <w:rPr>
          <w:rFonts w:eastAsia="Times New Roman"/>
          <w:u w:val="single"/>
        </w:rPr>
      </w:pPr>
      <w:r w:rsidRPr="00096BFF">
        <w:rPr>
          <w:rFonts w:eastAsia="Times New Roman"/>
          <w:u w:val="single"/>
          <w:lang w:eastAsia="bg-BG"/>
        </w:rPr>
        <w:t>Бременност</w:t>
      </w:r>
    </w:p>
    <w:p w14:paraId="1E11D13F" w14:textId="77777777" w:rsidR="00096BFF" w:rsidRPr="00096BFF" w:rsidRDefault="00096BFF" w:rsidP="00096BFF">
      <w:pPr>
        <w:spacing w:line="240" w:lineRule="auto"/>
        <w:rPr>
          <w:rFonts w:eastAsia="Times New Roman" w:cs="Arial"/>
          <w:color w:val="000000"/>
          <w:lang w:eastAsia="bg-BG"/>
        </w:rPr>
      </w:pPr>
    </w:p>
    <w:p w14:paraId="2EDA7081" w14:textId="6FF8278A"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t>Експерименталните проучвания при животни не показват пряко или непряко вредно въздействие върху бременността, ембрионалното/феталното развитие, раждането или постнаталното развитие (виж точка 5.3). Ограничените данни от приложението на амоксицилин/клавуланова киселина по време на бременност при хора не показват повишен риск от вродени малформации. В едно проучване при жени с предтерминална преждевременна руптура на феталната мембрана е съобщено, че профилактичното лечение с амоксицилин/клавуланова киселина може да се свърже с повишен риск от некротизиращ ентероколит при новородените. Употребата по време на бременност трябва да се избягва, освен ако лекарят не я счете за наложителна.</w:t>
      </w:r>
    </w:p>
    <w:p w14:paraId="62BEBABC" w14:textId="77777777" w:rsidR="00096BFF" w:rsidRPr="00096BFF" w:rsidRDefault="00096BFF" w:rsidP="00096BFF">
      <w:pPr>
        <w:spacing w:line="240" w:lineRule="auto"/>
        <w:rPr>
          <w:rFonts w:eastAsia="Times New Roman" w:cs="Arial"/>
          <w:color w:val="000000"/>
          <w:u w:val="single"/>
          <w:lang w:eastAsia="bg-BG"/>
        </w:rPr>
      </w:pPr>
    </w:p>
    <w:p w14:paraId="0D1ACF0C" w14:textId="1B27D90E" w:rsidR="00096BFF" w:rsidRPr="00096BFF" w:rsidRDefault="00096BFF" w:rsidP="00096BFF">
      <w:pPr>
        <w:pStyle w:val="Heading3"/>
        <w:rPr>
          <w:rFonts w:eastAsia="Times New Roman"/>
          <w:u w:val="single"/>
        </w:rPr>
      </w:pPr>
      <w:r w:rsidRPr="00096BFF">
        <w:rPr>
          <w:rFonts w:eastAsia="Times New Roman"/>
          <w:u w:val="single"/>
          <w:lang w:eastAsia="bg-BG"/>
        </w:rPr>
        <w:t>Кърмене</w:t>
      </w:r>
    </w:p>
    <w:p w14:paraId="31A3B233" w14:textId="77777777" w:rsidR="00096BFF" w:rsidRPr="00096BFF" w:rsidRDefault="00096BFF" w:rsidP="00096BFF">
      <w:pPr>
        <w:spacing w:line="240" w:lineRule="auto"/>
        <w:rPr>
          <w:rFonts w:eastAsia="Times New Roman" w:cs="Arial"/>
          <w:color w:val="000000"/>
          <w:lang w:eastAsia="bg-BG"/>
        </w:rPr>
      </w:pPr>
    </w:p>
    <w:p w14:paraId="5885AC17" w14:textId="4A0EB788"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t>И двете вещества се екскретират в кърмата (не са установени ефектите на клавулановата киселина върху кърмачето). Следователно са възможни диария и гъбични инфекции на лигавиците при кърмачето, което може да наложи преустановяване на кърменето. Амоксицилин/клавуланова киселина трябва да се използва по време на кърмене само след оценка на съотношението полза/риск от страна на лекуващия лекар.</w:t>
      </w:r>
    </w:p>
    <w:p w14:paraId="68B8170F" w14:textId="77777777" w:rsidR="00096BFF" w:rsidRPr="00096BFF" w:rsidRDefault="00096BFF" w:rsidP="00096BFF"/>
    <w:p w14:paraId="5766770B" w14:textId="12483E46" w:rsidR="00395555" w:rsidRDefault="002C50EE" w:rsidP="008A6AF2">
      <w:pPr>
        <w:pStyle w:val="Heading2"/>
      </w:pPr>
      <w:r>
        <w:t>4.7. Ефекти върху способността за шофиране и работа с машини</w:t>
      </w:r>
    </w:p>
    <w:p w14:paraId="7889CC55" w14:textId="5970CEF7" w:rsidR="00096BFF" w:rsidRDefault="00096BFF" w:rsidP="00096BFF"/>
    <w:p w14:paraId="6ADA582D" w14:textId="77777777" w:rsidR="00096BFF" w:rsidRPr="00096BFF" w:rsidRDefault="00096BFF" w:rsidP="00096BFF">
      <w:pPr>
        <w:rPr>
          <w:sz w:val="24"/>
          <w:szCs w:val="24"/>
        </w:rPr>
      </w:pPr>
      <w:r w:rsidRPr="00096BFF">
        <w:rPr>
          <w:lang w:eastAsia="bg-BG"/>
        </w:rPr>
        <w:t>Не са провеждани проучвания за ефектите върху способността за шофиране и работа с машини. Въпреки това може да се изявят нежелани реакции (напр. алергични реакции, замайване, гърчове), които могат да повлияят способността за шофиране и работа с машини (виж точка 4.8).</w:t>
      </w:r>
    </w:p>
    <w:p w14:paraId="57C0BDC2" w14:textId="77777777" w:rsidR="00096BFF" w:rsidRPr="00096BFF" w:rsidRDefault="00096BFF" w:rsidP="00096BFF"/>
    <w:p w14:paraId="4FE16E21" w14:textId="55759C1A" w:rsidR="00395555" w:rsidRDefault="002C50EE" w:rsidP="008A6AF2">
      <w:pPr>
        <w:pStyle w:val="Heading2"/>
      </w:pPr>
      <w:r>
        <w:t>4.8. Нежелани лекарствени реакции</w:t>
      </w:r>
    </w:p>
    <w:p w14:paraId="1BF26A17" w14:textId="3DDCA343" w:rsidR="00096BFF" w:rsidRDefault="00096BFF" w:rsidP="00096BFF"/>
    <w:p w14:paraId="151F8F89" w14:textId="77777777"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t>Най-често съобщаваните нежелани лекарствени реакции (НЛР) са диария, гадене и повръщане.</w:t>
      </w:r>
    </w:p>
    <w:p w14:paraId="7502D860" w14:textId="77777777" w:rsidR="00096BFF" w:rsidRPr="00096BFF" w:rsidRDefault="00096BFF" w:rsidP="00096BFF">
      <w:pPr>
        <w:spacing w:line="240" w:lineRule="auto"/>
        <w:rPr>
          <w:rFonts w:eastAsia="Times New Roman" w:cs="Arial"/>
          <w:color w:val="000000"/>
          <w:lang w:eastAsia="bg-BG"/>
        </w:rPr>
      </w:pPr>
    </w:p>
    <w:p w14:paraId="76D24745" w14:textId="45C0156D"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t xml:space="preserve">НЛР на амоксицилин/клавуланова киселина, получени при клинични изпитвания и постмаркетингово наблюдение, подредени по системо-органните класове на </w:t>
      </w:r>
      <w:proofErr w:type="spellStart"/>
      <w:r w:rsidRPr="00096BFF">
        <w:rPr>
          <w:rFonts w:eastAsia="Times New Roman" w:cs="Arial"/>
          <w:color w:val="000000"/>
          <w:lang w:val="en-US"/>
        </w:rPr>
        <w:t>MedDRA</w:t>
      </w:r>
      <w:proofErr w:type="spellEnd"/>
      <w:r w:rsidRPr="00096BFF">
        <w:rPr>
          <w:rFonts w:eastAsia="Times New Roman" w:cs="Arial"/>
          <w:color w:val="000000"/>
          <w:lang w:val="ru-RU"/>
        </w:rPr>
        <w:t xml:space="preserve">, </w:t>
      </w:r>
      <w:r w:rsidRPr="00096BFF">
        <w:rPr>
          <w:rFonts w:eastAsia="Times New Roman" w:cs="Arial"/>
          <w:color w:val="000000"/>
          <w:lang w:eastAsia="bg-BG"/>
        </w:rPr>
        <w:t>са изброени по-долу.</w:t>
      </w:r>
    </w:p>
    <w:p w14:paraId="2107DD43" w14:textId="77777777" w:rsidR="00096BFF" w:rsidRPr="00096BFF" w:rsidRDefault="00096BFF" w:rsidP="00096BFF">
      <w:pPr>
        <w:spacing w:line="240" w:lineRule="auto"/>
        <w:rPr>
          <w:rFonts w:eastAsia="Times New Roman" w:cs="Arial"/>
          <w:color w:val="000000"/>
          <w:lang w:eastAsia="bg-BG"/>
        </w:rPr>
      </w:pPr>
    </w:p>
    <w:p w14:paraId="7C050D5C" w14:textId="5F06C030"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t>За да се класифицира честотата на нежеланите реакции, е използвана следната терминология:</w:t>
      </w:r>
    </w:p>
    <w:p w14:paraId="68DE86D1" w14:textId="77777777"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t>Много чести (≥1/10);</w:t>
      </w:r>
    </w:p>
    <w:p w14:paraId="3BE6FEA1" w14:textId="77777777"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t>Чести (≥1/100 до &lt;1/10);</w:t>
      </w:r>
    </w:p>
    <w:p w14:paraId="27C34640" w14:textId="77777777"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t>Нечести (≥1/1,000 до &lt;1/100);</w:t>
      </w:r>
    </w:p>
    <w:p w14:paraId="54700FF0" w14:textId="0933DCA8" w:rsidR="00096BFF" w:rsidRPr="00096BFF" w:rsidRDefault="00096BFF" w:rsidP="00096BFF">
      <w:pPr>
        <w:rPr>
          <w:rFonts w:eastAsia="Times New Roman" w:cs="Arial"/>
          <w:color w:val="000000"/>
          <w:lang w:eastAsia="bg-BG"/>
        </w:rPr>
      </w:pPr>
      <w:r w:rsidRPr="00096BFF">
        <w:rPr>
          <w:rFonts w:eastAsia="Times New Roman" w:cs="Arial"/>
          <w:color w:val="000000"/>
          <w:lang w:eastAsia="bg-BG"/>
        </w:rPr>
        <w:t>Редки (≥1/10,000 до &lt;1/1,000);</w:t>
      </w:r>
    </w:p>
    <w:p w14:paraId="50233FA9" w14:textId="77777777" w:rsidR="00096BFF" w:rsidRPr="00096BFF" w:rsidRDefault="00096BFF" w:rsidP="00096BFF">
      <w:pPr>
        <w:spacing w:line="240" w:lineRule="auto"/>
        <w:rPr>
          <w:rFonts w:eastAsia="Times New Roman" w:cs="Arial"/>
          <w:sz w:val="24"/>
          <w:szCs w:val="24"/>
        </w:rPr>
      </w:pPr>
      <w:r w:rsidRPr="00096BFF">
        <w:rPr>
          <w:rFonts w:eastAsia="Times New Roman" w:cs="Arial"/>
          <w:color w:val="000000"/>
          <w:lang w:eastAsia="bg-BG"/>
        </w:rPr>
        <w:t>Много редки (&lt;1/10,000);</w:t>
      </w:r>
    </w:p>
    <w:p w14:paraId="25A4BD39" w14:textId="147B635A" w:rsidR="00096BFF" w:rsidRDefault="00096BFF" w:rsidP="00096BFF">
      <w:pPr>
        <w:rPr>
          <w:rFonts w:ascii="Times New Roman" w:eastAsia="Times New Roman" w:hAnsi="Times New Roman" w:cs="Times New Roman"/>
          <w:color w:val="000000"/>
          <w:lang w:eastAsia="bg-BG"/>
        </w:rPr>
      </w:pPr>
      <w:r w:rsidRPr="00096BFF">
        <w:rPr>
          <w:rFonts w:eastAsia="Times New Roman" w:cs="Arial"/>
          <w:color w:val="000000"/>
          <w:lang w:eastAsia="bg-BG"/>
        </w:rPr>
        <w:t>С неизвестна честота (от наличните данни не може да бъде направена оценка).</w:t>
      </w:r>
    </w:p>
    <w:p w14:paraId="5C9F2F43" w14:textId="61E506B0" w:rsidR="00096BFF" w:rsidRDefault="00096BFF" w:rsidP="00096BFF">
      <w:pPr>
        <w:rPr>
          <w:rFonts w:ascii="Times New Roman" w:eastAsia="Times New Roman" w:hAnsi="Times New Roman" w:cs="Times New Roman"/>
          <w:color w:val="000000"/>
          <w:lang w:eastAsia="bg-BG"/>
        </w:rPr>
      </w:pPr>
    </w:p>
    <w:tbl>
      <w:tblPr>
        <w:tblStyle w:val="TableGrid"/>
        <w:tblW w:w="0" w:type="auto"/>
        <w:tblLook w:val="04A0" w:firstRow="1" w:lastRow="0" w:firstColumn="1" w:lastColumn="0" w:noHBand="0" w:noVBand="1"/>
      </w:tblPr>
      <w:tblGrid>
        <w:gridCol w:w="4788"/>
        <w:gridCol w:w="4788"/>
      </w:tblGrid>
      <w:tr w:rsidR="00096BFF" w14:paraId="711F96DC" w14:textId="77777777" w:rsidTr="0004415C">
        <w:tc>
          <w:tcPr>
            <w:tcW w:w="9576" w:type="dxa"/>
            <w:gridSpan w:val="2"/>
          </w:tcPr>
          <w:p w14:paraId="71C0162C" w14:textId="3C04C2E5" w:rsidR="00096BFF" w:rsidRPr="00096BFF" w:rsidRDefault="00096BFF" w:rsidP="00096BFF">
            <w:pPr>
              <w:rPr>
                <w:rFonts w:cs="Arial"/>
                <w:b/>
              </w:rPr>
            </w:pPr>
            <w:r w:rsidRPr="00096BFF">
              <w:rPr>
                <w:rFonts w:eastAsia="Times New Roman" w:cs="Arial"/>
                <w:b/>
                <w:color w:val="000000"/>
                <w:lang w:eastAsia="bg-BG"/>
              </w:rPr>
              <w:t>Инфекции и инфестации</w:t>
            </w:r>
          </w:p>
        </w:tc>
      </w:tr>
      <w:tr w:rsidR="00096BFF" w14:paraId="60625C3B" w14:textId="77777777" w:rsidTr="0004415C">
        <w:tc>
          <w:tcPr>
            <w:tcW w:w="4788" w:type="dxa"/>
            <w:vAlign w:val="bottom"/>
          </w:tcPr>
          <w:p w14:paraId="63EB5FF2" w14:textId="04E4201B" w:rsidR="00096BFF" w:rsidRDefault="00096BFF" w:rsidP="00096BFF">
            <w:r>
              <w:t>Кожно-лигавична кандидоза</w:t>
            </w:r>
          </w:p>
        </w:tc>
        <w:tc>
          <w:tcPr>
            <w:tcW w:w="4788" w:type="dxa"/>
            <w:vAlign w:val="bottom"/>
          </w:tcPr>
          <w:p w14:paraId="57CCA1A7" w14:textId="3EB0631B" w:rsidR="00096BFF" w:rsidRDefault="00096BFF" w:rsidP="00096BFF">
            <w:r>
              <w:t>Чести</w:t>
            </w:r>
          </w:p>
        </w:tc>
      </w:tr>
      <w:tr w:rsidR="00096BFF" w14:paraId="033B4BB2" w14:textId="77777777" w:rsidTr="0004415C">
        <w:tc>
          <w:tcPr>
            <w:tcW w:w="4788" w:type="dxa"/>
            <w:vAlign w:val="bottom"/>
          </w:tcPr>
          <w:p w14:paraId="38793819" w14:textId="0FD6DE99" w:rsidR="00096BFF" w:rsidRDefault="00096BFF" w:rsidP="00096BFF">
            <w:r>
              <w:t>Свръхрастеж на нечувствителни микроорганизми</w:t>
            </w:r>
          </w:p>
        </w:tc>
        <w:tc>
          <w:tcPr>
            <w:tcW w:w="4788" w:type="dxa"/>
            <w:vAlign w:val="bottom"/>
          </w:tcPr>
          <w:p w14:paraId="1D69E9CE" w14:textId="41265A9D" w:rsidR="00096BFF" w:rsidRDefault="00096BFF" w:rsidP="00096BFF">
            <w:r>
              <w:t>С неизвестна честота</w:t>
            </w:r>
          </w:p>
        </w:tc>
      </w:tr>
      <w:tr w:rsidR="00096BFF" w14:paraId="01911E52" w14:textId="77777777" w:rsidTr="0004415C">
        <w:tc>
          <w:tcPr>
            <w:tcW w:w="9576" w:type="dxa"/>
            <w:gridSpan w:val="2"/>
          </w:tcPr>
          <w:p w14:paraId="16A98CF4" w14:textId="0708B885" w:rsidR="00096BFF" w:rsidRPr="00096BFF" w:rsidRDefault="00096BFF" w:rsidP="00096BFF">
            <w:pPr>
              <w:rPr>
                <w:rFonts w:cs="Arial"/>
                <w:b/>
              </w:rPr>
            </w:pPr>
            <w:r w:rsidRPr="00096BFF">
              <w:rPr>
                <w:rFonts w:eastAsia="Times New Roman" w:cs="Arial"/>
                <w:b/>
                <w:color w:val="000000"/>
                <w:lang w:eastAsia="bg-BG"/>
              </w:rPr>
              <w:t>Нарушения на кръвта и лимфната система</w:t>
            </w:r>
          </w:p>
        </w:tc>
      </w:tr>
      <w:tr w:rsidR="00096BFF" w14:paraId="50ACD2C8" w14:textId="77777777" w:rsidTr="0004415C">
        <w:tc>
          <w:tcPr>
            <w:tcW w:w="4788" w:type="dxa"/>
            <w:vAlign w:val="bottom"/>
          </w:tcPr>
          <w:p w14:paraId="3744F3AD" w14:textId="4682A20C" w:rsidR="00096BFF" w:rsidRDefault="00096BFF" w:rsidP="00096BFF">
            <w:r>
              <w:t>Обратима левкопения (включително неутропения)</w:t>
            </w:r>
          </w:p>
        </w:tc>
        <w:tc>
          <w:tcPr>
            <w:tcW w:w="4788" w:type="dxa"/>
            <w:vAlign w:val="bottom"/>
          </w:tcPr>
          <w:p w14:paraId="6B44FD0D" w14:textId="1C8F83DF" w:rsidR="00096BFF" w:rsidRDefault="00096BFF" w:rsidP="00096BFF">
            <w:r>
              <w:t>Редки</w:t>
            </w:r>
          </w:p>
        </w:tc>
      </w:tr>
      <w:tr w:rsidR="00096BFF" w14:paraId="319DE062" w14:textId="77777777" w:rsidTr="0004415C">
        <w:tc>
          <w:tcPr>
            <w:tcW w:w="4788" w:type="dxa"/>
            <w:vAlign w:val="bottom"/>
          </w:tcPr>
          <w:p w14:paraId="111F34A0" w14:textId="48C2CFDD" w:rsidR="00096BFF" w:rsidRDefault="00096BFF" w:rsidP="00096BFF">
            <w:r>
              <w:t>Тромбоцитопения</w:t>
            </w:r>
          </w:p>
        </w:tc>
        <w:tc>
          <w:tcPr>
            <w:tcW w:w="4788" w:type="dxa"/>
            <w:vAlign w:val="bottom"/>
          </w:tcPr>
          <w:p w14:paraId="75329C2A" w14:textId="74AD208E" w:rsidR="00096BFF" w:rsidRDefault="00096BFF" w:rsidP="00096BFF">
            <w:r>
              <w:t>Редки</w:t>
            </w:r>
          </w:p>
        </w:tc>
      </w:tr>
      <w:tr w:rsidR="00096BFF" w14:paraId="2C4F2C58" w14:textId="77777777" w:rsidTr="0004415C">
        <w:tc>
          <w:tcPr>
            <w:tcW w:w="4788" w:type="dxa"/>
            <w:vAlign w:val="bottom"/>
          </w:tcPr>
          <w:p w14:paraId="10B5E373" w14:textId="30C6EE88" w:rsidR="00096BFF" w:rsidRDefault="00096BFF" w:rsidP="00096BFF">
            <w:r>
              <w:t>Обратима агранулоцитоза</w:t>
            </w:r>
          </w:p>
        </w:tc>
        <w:tc>
          <w:tcPr>
            <w:tcW w:w="4788" w:type="dxa"/>
            <w:vAlign w:val="bottom"/>
          </w:tcPr>
          <w:p w14:paraId="2CE37012" w14:textId="5AB9B67D" w:rsidR="00096BFF" w:rsidRDefault="00096BFF" w:rsidP="00096BFF">
            <w:r>
              <w:t>С неизвестна честота</w:t>
            </w:r>
          </w:p>
        </w:tc>
      </w:tr>
      <w:tr w:rsidR="00096BFF" w14:paraId="290D262E" w14:textId="77777777" w:rsidTr="0004415C">
        <w:tc>
          <w:tcPr>
            <w:tcW w:w="4788" w:type="dxa"/>
            <w:vAlign w:val="bottom"/>
          </w:tcPr>
          <w:p w14:paraId="74650295" w14:textId="219AC682" w:rsidR="00096BFF" w:rsidRDefault="00096BFF" w:rsidP="00096BFF">
            <w:r>
              <w:t>Хемолитична анемия</w:t>
            </w:r>
          </w:p>
        </w:tc>
        <w:tc>
          <w:tcPr>
            <w:tcW w:w="4788" w:type="dxa"/>
            <w:vAlign w:val="bottom"/>
          </w:tcPr>
          <w:p w14:paraId="62210D6E" w14:textId="49BE2EAF" w:rsidR="00096BFF" w:rsidRDefault="00096BFF" w:rsidP="00096BFF">
            <w:r>
              <w:t>С неизвестна честота</w:t>
            </w:r>
          </w:p>
        </w:tc>
      </w:tr>
      <w:tr w:rsidR="00096BFF" w14:paraId="2AF76CF2" w14:textId="77777777" w:rsidTr="0004415C">
        <w:tc>
          <w:tcPr>
            <w:tcW w:w="4788" w:type="dxa"/>
            <w:vAlign w:val="bottom"/>
          </w:tcPr>
          <w:p w14:paraId="787E77CB" w14:textId="2011D807" w:rsidR="00096BFF" w:rsidRDefault="00096BFF" w:rsidP="00096BFF">
            <w:r>
              <w:t>Удължено време на кървене и протромбиново време</w:t>
            </w:r>
            <w:r>
              <w:rPr>
                <w:vertAlign w:val="superscript"/>
              </w:rPr>
              <w:t>1</w:t>
            </w:r>
          </w:p>
        </w:tc>
        <w:tc>
          <w:tcPr>
            <w:tcW w:w="4788" w:type="dxa"/>
          </w:tcPr>
          <w:p w14:paraId="26C692B8" w14:textId="67993FF6" w:rsidR="00096BFF" w:rsidRDefault="00096BFF" w:rsidP="00096BFF">
            <w:r>
              <w:t>С неизвестна честота</w:t>
            </w:r>
          </w:p>
        </w:tc>
      </w:tr>
      <w:tr w:rsidR="00096BFF" w14:paraId="5B378ABB" w14:textId="77777777" w:rsidTr="0004415C">
        <w:tc>
          <w:tcPr>
            <w:tcW w:w="9576" w:type="dxa"/>
            <w:gridSpan w:val="2"/>
          </w:tcPr>
          <w:p w14:paraId="3C8F297E" w14:textId="61B7FD0A" w:rsidR="00096BFF" w:rsidRPr="00096BFF" w:rsidRDefault="00096BFF" w:rsidP="00096BFF">
            <w:pPr>
              <w:rPr>
                <w:rFonts w:cs="Arial"/>
                <w:b/>
              </w:rPr>
            </w:pPr>
            <w:r w:rsidRPr="00096BFF">
              <w:rPr>
                <w:rFonts w:eastAsia="Times New Roman" w:cs="Arial"/>
                <w:b/>
                <w:color w:val="000000"/>
                <w:u w:val="single"/>
                <w:lang w:eastAsia="bg-BG"/>
              </w:rPr>
              <w:t>Нарушения на имунната система</w:t>
            </w:r>
            <w:r w:rsidRPr="00096BFF">
              <w:rPr>
                <w:rFonts w:eastAsia="Times New Roman" w:cs="Arial"/>
                <w:b/>
                <w:color w:val="000000"/>
                <w:vertAlign w:val="superscript"/>
                <w:lang w:eastAsia="bg-BG"/>
              </w:rPr>
              <w:t>10</w:t>
            </w:r>
          </w:p>
        </w:tc>
      </w:tr>
      <w:tr w:rsidR="00096BFF" w14:paraId="0E198B89" w14:textId="77777777" w:rsidTr="0004415C">
        <w:tc>
          <w:tcPr>
            <w:tcW w:w="4788" w:type="dxa"/>
            <w:vAlign w:val="bottom"/>
          </w:tcPr>
          <w:p w14:paraId="7CD21E77" w14:textId="473899C6" w:rsidR="00096BFF" w:rsidRDefault="00096BFF" w:rsidP="00096BFF">
            <w:r>
              <w:t>Ангионевротичен оток</w:t>
            </w:r>
          </w:p>
        </w:tc>
        <w:tc>
          <w:tcPr>
            <w:tcW w:w="4788" w:type="dxa"/>
            <w:vAlign w:val="bottom"/>
          </w:tcPr>
          <w:p w14:paraId="23E7C912" w14:textId="61702555" w:rsidR="00096BFF" w:rsidRDefault="00096BFF" w:rsidP="00096BFF">
            <w:r>
              <w:t>С неизвестна честота</w:t>
            </w:r>
          </w:p>
        </w:tc>
      </w:tr>
      <w:tr w:rsidR="00096BFF" w14:paraId="73F36AAD" w14:textId="77777777" w:rsidTr="0004415C">
        <w:tc>
          <w:tcPr>
            <w:tcW w:w="4788" w:type="dxa"/>
            <w:vAlign w:val="bottom"/>
          </w:tcPr>
          <w:p w14:paraId="050AD200" w14:textId="26551701" w:rsidR="00096BFF" w:rsidRDefault="00096BFF" w:rsidP="00096BFF">
            <w:r>
              <w:t>Анафилаксия</w:t>
            </w:r>
          </w:p>
        </w:tc>
        <w:tc>
          <w:tcPr>
            <w:tcW w:w="4788" w:type="dxa"/>
            <w:vAlign w:val="bottom"/>
          </w:tcPr>
          <w:p w14:paraId="0B270B91" w14:textId="29605523" w:rsidR="00096BFF" w:rsidRDefault="00096BFF" w:rsidP="00096BFF">
            <w:r>
              <w:t>С неизвестна честота</w:t>
            </w:r>
          </w:p>
        </w:tc>
      </w:tr>
      <w:tr w:rsidR="00096BFF" w14:paraId="25865E8B" w14:textId="77777777" w:rsidTr="0004415C">
        <w:tc>
          <w:tcPr>
            <w:tcW w:w="4788" w:type="dxa"/>
            <w:vAlign w:val="bottom"/>
          </w:tcPr>
          <w:p w14:paraId="5C50671B" w14:textId="6FAED609" w:rsidR="00096BFF" w:rsidRDefault="00096BFF" w:rsidP="00096BFF">
            <w:r>
              <w:t>Синдром, наподобяващ серумна болест</w:t>
            </w:r>
          </w:p>
        </w:tc>
        <w:tc>
          <w:tcPr>
            <w:tcW w:w="4788" w:type="dxa"/>
            <w:vAlign w:val="bottom"/>
          </w:tcPr>
          <w:p w14:paraId="1390652E" w14:textId="21560B8F" w:rsidR="00096BFF" w:rsidRDefault="00096BFF" w:rsidP="00096BFF">
            <w:r>
              <w:t>С неизвестна честота</w:t>
            </w:r>
          </w:p>
        </w:tc>
      </w:tr>
      <w:tr w:rsidR="00096BFF" w14:paraId="397F7354" w14:textId="77777777" w:rsidTr="0004415C">
        <w:tc>
          <w:tcPr>
            <w:tcW w:w="4788" w:type="dxa"/>
            <w:vAlign w:val="bottom"/>
          </w:tcPr>
          <w:p w14:paraId="2EE5C341" w14:textId="7D064330" w:rsidR="00096BFF" w:rsidRDefault="00096BFF" w:rsidP="00096BFF">
            <w:r>
              <w:t>Алергичен васкулит</w:t>
            </w:r>
          </w:p>
        </w:tc>
        <w:tc>
          <w:tcPr>
            <w:tcW w:w="4788" w:type="dxa"/>
            <w:vAlign w:val="bottom"/>
          </w:tcPr>
          <w:p w14:paraId="3F805667" w14:textId="744C8B42" w:rsidR="00096BFF" w:rsidRDefault="00096BFF" w:rsidP="00096BFF">
            <w:r>
              <w:t>С неизвестна честота</w:t>
            </w:r>
          </w:p>
        </w:tc>
      </w:tr>
      <w:tr w:rsidR="00096BFF" w14:paraId="3D7119F4" w14:textId="77777777" w:rsidTr="0004415C">
        <w:tc>
          <w:tcPr>
            <w:tcW w:w="9576" w:type="dxa"/>
            <w:gridSpan w:val="2"/>
          </w:tcPr>
          <w:p w14:paraId="40E572C7" w14:textId="69BF3589" w:rsidR="00096BFF" w:rsidRPr="00096BFF" w:rsidRDefault="00096BFF" w:rsidP="00096BFF">
            <w:pPr>
              <w:rPr>
                <w:rFonts w:cs="Arial"/>
                <w:b/>
              </w:rPr>
            </w:pPr>
            <w:r w:rsidRPr="00096BFF">
              <w:rPr>
                <w:rFonts w:eastAsia="Times New Roman" w:cs="Arial"/>
                <w:b/>
                <w:color w:val="000000"/>
                <w:lang w:eastAsia="bg-BG"/>
              </w:rPr>
              <w:t>Нарушения на нервната система</w:t>
            </w:r>
          </w:p>
        </w:tc>
      </w:tr>
      <w:tr w:rsidR="00096BFF" w14:paraId="60E7349B" w14:textId="77777777" w:rsidTr="0004415C">
        <w:tc>
          <w:tcPr>
            <w:tcW w:w="4788" w:type="dxa"/>
            <w:vAlign w:val="bottom"/>
          </w:tcPr>
          <w:p w14:paraId="36FD816E" w14:textId="4E423CC7" w:rsidR="00096BFF" w:rsidRDefault="00096BFF" w:rsidP="00096BFF">
            <w:r>
              <w:t>Замаяност</w:t>
            </w:r>
          </w:p>
        </w:tc>
        <w:tc>
          <w:tcPr>
            <w:tcW w:w="4788" w:type="dxa"/>
            <w:vAlign w:val="bottom"/>
          </w:tcPr>
          <w:p w14:paraId="365B1FFE" w14:textId="5E227DFA" w:rsidR="00096BFF" w:rsidRDefault="00096BFF" w:rsidP="00096BFF">
            <w:r>
              <w:t>Нечести</w:t>
            </w:r>
          </w:p>
        </w:tc>
      </w:tr>
      <w:tr w:rsidR="00096BFF" w14:paraId="2AA61972" w14:textId="77777777" w:rsidTr="0004415C">
        <w:tc>
          <w:tcPr>
            <w:tcW w:w="4788" w:type="dxa"/>
            <w:vAlign w:val="bottom"/>
          </w:tcPr>
          <w:p w14:paraId="20D9F647" w14:textId="6C47B7EF" w:rsidR="00096BFF" w:rsidRDefault="00096BFF" w:rsidP="00096BFF">
            <w:r>
              <w:t>Главоболие</w:t>
            </w:r>
          </w:p>
        </w:tc>
        <w:tc>
          <w:tcPr>
            <w:tcW w:w="4788" w:type="dxa"/>
            <w:vAlign w:val="bottom"/>
          </w:tcPr>
          <w:p w14:paraId="64C9BEB5" w14:textId="16683D0B" w:rsidR="00096BFF" w:rsidRDefault="00096BFF" w:rsidP="00096BFF">
            <w:r>
              <w:t>Нечести</w:t>
            </w:r>
          </w:p>
        </w:tc>
      </w:tr>
      <w:tr w:rsidR="00096BFF" w14:paraId="173A0F87" w14:textId="77777777" w:rsidTr="0004415C">
        <w:tc>
          <w:tcPr>
            <w:tcW w:w="4788" w:type="dxa"/>
            <w:vAlign w:val="bottom"/>
          </w:tcPr>
          <w:p w14:paraId="412AEF46" w14:textId="37FA9428" w:rsidR="00096BFF" w:rsidRDefault="00096BFF" w:rsidP="00096BFF">
            <w:r>
              <w:t>Обратима хиперактивност</w:t>
            </w:r>
          </w:p>
        </w:tc>
        <w:tc>
          <w:tcPr>
            <w:tcW w:w="4788" w:type="dxa"/>
            <w:vAlign w:val="bottom"/>
          </w:tcPr>
          <w:p w14:paraId="272A2780" w14:textId="23128F1C" w:rsidR="00096BFF" w:rsidRDefault="00096BFF" w:rsidP="00096BFF">
            <w:r>
              <w:t>С неизвестна честота</w:t>
            </w:r>
          </w:p>
        </w:tc>
      </w:tr>
      <w:tr w:rsidR="00096BFF" w14:paraId="7EA37360" w14:textId="77777777" w:rsidTr="0004415C">
        <w:tc>
          <w:tcPr>
            <w:tcW w:w="4788" w:type="dxa"/>
            <w:vAlign w:val="bottom"/>
          </w:tcPr>
          <w:p w14:paraId="29726019" w14:textId="1A08F114" w:rsidR="00096BFF" w:rsidRDefault="00096BFF" w:rsidP="00096BFF">
            <w:r>
              <w:t>Гърчове</w:t>
            </w:r>
            <w:r>
              <w:rPr>
                <w:vertAlign w:val="superscript"/>
              </w:rPr>
              <w:t>2</w:t>
            </w:r>
          </w:p>
        </w:tc>
        <w:tc>
          <w:tcPr>
            <w:tcW w:w="4788" w:type="dxa"/>
            <w:vAlign w:val="bottom"/>
          </w:tcPr>
          <w:p w14:paraId="23DD5F73" w14:textId="64153FD0" w:rsidR="00096BFF" w:rsidRDefault="00096BFF" w:rsidP="00096BFF">
            <w:r>
              <w:t>С неизвестна честота</w:t>
            </w:r>
          </w:p>
        </w:tc>
      </w:tr>
      <w:tr w:rsidR="00096BFF" w14:paraId="69AFD1C8" w14:textId="77777777" w:rsidTr="0004415C">
        <w:tc>
          <w:tcPr>
            <w:tcW w:w="4788" w:type="dxa"/>
            <w:vAlign w:val="bottom"/>
          </w:tcPr>
          <w:p w14:paraId="5F8E1758" w14:textId="1E3E0D91" w:rsidR="00096BFF" w:rsidRDefault="00096BFF" w:rsidP="00096BFF">
            <w:r>
              <w:t>Асептичен менингит</w:t>
            </w:r>
          </w:p>
        </w:tc>
        <w:tc>
          <w:tcPr>
            <w:tcW w:w="4788" w:type="dxa"/>
            <w:vAlign w:val="bottom"/>
          </w:tcPr>
          <w:p w14:paraId="69227357" w14:textId="4D9B48F2" w:rsidR="00096BFF" w:rsidRDefault="00096BFF" w:rsidP="00096BFF">
            <w:r>
              <w:t>С неизвестна честота</w:t>
            </w:r>
          </w:p>
        </w:tc>
      </w:tr>
      <w:tr w:rsidR="00096BFF" w14:paraId="3B3B1A48" w14:textId="77777777" w:rsidTr="0004415C">
        <w:tc>
          <w:tcPr>
            <w:tcW w:w="9576" w:type="dxa"/>
            <w:gridSpan w:val="2"/>
          </w:tcPr>
          <w:p w14:paraId="0D0CB2FC" w14:textId="5E1196AC" w:rsidR="00096BFF" w:rsidRPr="00096BFF" w:rsidRDefault="00096BFF" w:rsidP="00096BFF">
            <w:pPr>
              <w:rPr>
                <w:rFonts w:cs="Arial"/>
                <w:b/>
              </w:rPr>
            </w:pPr>
            <w:r w:rsidRPr="00096BFF">
              <w:rPr>
                <w:rFonts w:eastAsia="Times New Roman" w:cs="Arial"/>
                <w:b/>
                <w:color w:val="000000"/>
                <w:u w:val="single"/>
                <w:lang w:eastAsia="bg-BG"/>
              </w:rPr>
              <w:t>Стомашно-чревни нарушения</w:t>
            </w:r>
          </w:p>
        </w:tc>
      </w:tr>
      <w:tr w:rsidR="00096BFF" w14:paraId="073F5E79" w14:textId="77777777" w:rsidTr="0004415C">
        <w:tc>
          <w:tcPr>
            <w:tcW w:w="4788" w:type="dxa"/>
            <w:vAlign w:val="bottom"/>
          </w:tcPr>
          <w:p w14:paraId="656C007D" w14:textId="7346D0E3" w:rsidR="00096BFF" w:rsidRDefault="00096BFF" w:rsidP="00096BFF">
            <w:r>
              <w:t>Диария</w:t>
            </w:r>
          </w:p>
        </w:tc>
        <w:tc>
          <w:tcPr>
            <w:tcW w:w="4788" w:type="dxa"/>
            <w:vAlign w:val="bottom"/>
          </w:tcPr>
          <w:p w14:paraId="7B5BAE6C" w14:textId="7EC87A10" w:rsidR="00096BFF" w:rsidRDefault="00096BFF" w:rsidP="00096BFF">
            <w:r>
              <w:t>Много чести</w:t>
            </w:r>
          </w:p>
        </w:tc>
      </w:tr>
      <w:tr w:rsidR="00096BFF" w14:paraId="06CD67B7" w14:textId="77777777" w:rsidTr="0004415C">
        <w:tc>
          <w:tcPr>
            <w:tcW w:w="4788" w:type="dxa"/>
            <w:vAlign w:val="bottom"/>
          </w:tcPr>
          <w:p w14:paraId="2517F78A" w14:textId="6BFFC3B4" w:rsidR="00096BFF" w:rsidRDefault="00096BFF" w:rsidP="00096BFF">
            <w:r>
              <w:t>Гадене</w:t>
            </w:r>
            <w:r>
              <w:rPr>
                <w:vertAlign w:val="superscript"/>
              </w:rPr>
              <w:t>3</w:t>
            </w:r>
          </w:p>
        </w:tc>
        <w:tc>
          <w:tcPr>
            <w:tcW w:w="4788" w:type="dxa"/>
            <w:vAlign w:val="bottom"/>
          </w:tcPr>
          <w:p w14:paraId="238029B9" w14:textId="4E03AF06" w:rsidR="00096BFF" w:rsidRDefault="00096BFF" w:rsidP="00096BFF">
            <w:r>
              <w:t>Чести</w:t>
            </w:r>
          </w:p>
        </w:tc>
      </w:tr>
      <w:tr w:rsidR="00096BFF" w14:paraId="30E1A7A2" w14:textId="77777777" w:rsidTr="0004415C">
        <w:tc>
          <w:tcPr>
            <w:tcW w:w="4788" w:type="dxa"/>
            <w:vAlign w:val="bottom"/>
          </w:tcPr>
          <w:p w14:paraId="1110923A" w14:textId="7E5E62E6" w:rsidR="00096BFF" w:rsidRDefault="00096BFF" w:rsidP="00096BFF">
            <w:r>
              <w:t>Повръщане</w:t>
            </w:r>
          </w:p>
        </w:tc>
        <w:tc>
          <w:tcPr>
            <w:tcW w:w="4788" w:type="dxa"/>
            <w:vAlign w:val="bottom"/>
          </w:tcPr>
          <w:p w14:paraId="43C67E22" w14:textId="06051D13" w:rsidR="00096BFF" w:rsidRDefault="00096BFF" w:rsidP="00096BFF">
            <w:r>
              <w:t>Чести</w:t>
            </w:r>
          </w:p>
        </w:tc>
      </w:tr>
      <w:tr w:rsidR="00096BFF" w14:paraId="65FDDFBE" w14:textId="77777777" w:rsidTr="0004415C">
        <w:tc>
          <w:tcPr>
            <w:tcW w:w="4788" w:type="dxa"/>
            <w:vAlign w:val="bottom"/>
          </w:tcPr>
          <w:p w14:paraId="5BE8BE0D" w14:textId="0D391DC6" w:rsidR="00096BFF" w:rsidRDefault="00096BFF" w:rsidP="00096BFF">
            <w:r>
              <w:t>Лошо храносмилане</w:t>
            </w:r>
          </w:p>
        </w:tc>
        <w:tc>
          <w:tcPr>
            <w:tcW w:w="4788" w:type="dxa"/>
            <w:vAlign w:val="bottom"/>
          </w:tcPr>
          <w:p w14:paraId="0ACFEE83" w14:textId="6337ED6C" w:rsidR="00096BFF" w:rsidRDefault="00096BFF" w:rsidP="00096BFF">
            <w:r>
              <w:t>Нечести</w:t>
            </w:r>
          </w:p>
        </w:tc>
      </w:tr>
      <w:tr w:rsidR="00096BFF" w14:paraId="5410F2E5" w14:textId="77777777" w:rsidTr="0004415C">
        <w:tc>
          <w:tcPr>
            <w:tcW w:w="4788" w:type="dxa"/>
            <w:vAlign w:val="bottom"/>
          </w:tcPr>
          <w:p w14:paraId="577D7927" w14:textId="739C46C9" w:rsidR="00096BFF" w:rsidRDefault="00096BFF" w:rsidP="00096BFF">
            <w:r>
              <w:t>Антибиотично-свързан колит</w:t>
            </w:r>
          </w:p>
        </w:tc>
        <w:tc>
          <w:tcPr>
            <w:tcW w:w="4788" w:type="dxa"/>
            <w:vAlign w:val="bottom"/>
          </w:tcPr>
          <w:p w14:paraId="039DB40C" w14:textId="4D548534" w:rsidR="00096BFF" w:rsidRDefault="00096BFF" w:rsidP="00096BFF">
            <w:r>
              <w:t>С неизвестна честота</w:t>
            </w:r>
          </w:p>
        </w:tc>
      </w:tr>
      <w:tr w:rsidR="00096BFF" w14:paraId="14CDD78A" w14:textId="77777777" w:rsidTr="0004415C">
        <w:tc>
          <w:tcPr>
            <w:tcW w:w="4788" w:type="dxa"/>
            <w:vAlign w:val="bottom"/>
          </w:tcPr>
          <w:p w14:paraId="2943206C" w14:textId="3E870338" w:rsidR="00096BFF" w:rsidRDefault="00096BFF" w:rsidP="00096BFF">
            <w:r>
              <w:t>Черен „космат” език</w:t>
            </w:r>
          </w:p>
        </w:tc>
        <w:tc>
          <w:tcPr>
            <w:tcW w:w="4788" w:type="dxa"/>
            <w:vAlign w:val="bottom"/>
          </w:tcPr>
          <w:p w14:paraId="0F3F91ED" w14:textId="5C934153" w:rsidR="00096BFF" w:rsidRDefault="00096BFF" w:rsidP="00096BFF">
            <w:r>
              <w:t>С неизвестна честота</w:t>
            </w:r>
          </w:p>
        </w:tc>
      </w:tr>
      <w:tr w:rsidR="00096BFF" w14:paraId="24100731" w14:textId="77777777" w:rsidTr="0004415C">
        <w:tc>
          <w:tcPr>
            <w:tcW w:w="9576" w:type="dxa"/>
            <w:gridSpan w:val="2"/>
          </w:tcPr>
          <w:p w14:paraId="220E9252" w14:textId="120B50D6" w:rsidR="00096BFF" w:rsidRPr="00096BFF" w:rsidRDefault="00096BFF" w:rsidP="00096BFF">
            <w:pPr>
              <w:rPr>
                <w:rFonts w:cs="Arial"/>
                <w:b/>
              </w:rPr>
            </w:pPr>
            <w:r w:rsidRPr="00096BFF">
              <w:rPr>
                <w:rFonts w:eastAsia="Times New Roman" w:cs="Arial"/>
                <w:b/>
                <w:color w:val="000000"/>
                <w:lang w:eastAsia="bg-BG"/>
              </w:rPr>
              <w:t>Хепато-билиарни нарушения</w:t>
            </w:r>
          </w:p>
        </w:tc>
      </w:tr>
      <w:tr w:rsidR="00096BFF" w14:paraId="39EA2FBA" w14:textId="77777777" w:rsidTr="0004415C">
        <w:tc>
          <w:tcPr>
            <w:tcW w:w="4788" w:type="dxa"/>
            <w:vAlign w:val="bottom"/>
          </w:tcPr>
          <w:p w14:paraId="15F0AD82" w14:textId="69FF9A6A" w:rsidR="00096BFF" w:rsidRDefault="00096BFF" w:rsidP="00096BFF">
            <w:r>
              <w:t>Повишение на АСАТ и/или АЛАТ</w:t>
            </w:r>
            <w:r>
              <w:rPr>
                <w:vertAlign w:val="superscript"/>
              </w:rPr>
              <w:t>5</w:t>
            </w:r>
          </w:p>
        </w:tc>
        <w:tc>
          <w:tcPr>
            <w:tcW w:w="4788" w:type="dxa"/>
            <w:vAlign w:val="bottom"/>
          </w:tcPr>
          <w:p w14:paraId="4D3D0B60" w14:textId="0DD3CF65" w:rsidR="00096BFF" w:rsidRDefault="00096BFF" w:rsidP="00096BFF">
            <w:r>
              <w:t>Нечести</w:t>
            </w:r>
          </w:p>
        </w:tc>
      </w:tr>
      <w:tr w:rsidR="00096BFF" w14:paraId="328A3DBC" w14:textId="77777777" w:rsidTr="00096BFF">
        <w:tc>
          <w:tcPr>
            <w:tcW w:w="4788" w:type="dxa"/>
          </w:tcPr>
          <w:p w14:paraId="6835C1D8" w14:textId="11C804F9" w:rsidR="00096BFF" w:rsidRDefault="00096BFF" w:rsidP="00096BFF">
            <w:r>
              <w:t>Хепатит</w:t>
            </w:r>
            <w:r>
              <w:rPr>
                <w:vertAlign w:val="superscript"/>
              </w:rPr>
              <w:t>6</w:t>
            </w:r>
          </w:p>
        </w:tc>
        <w:tc>
          <w:tcPr>
            <w:tcW w:w="4788" w:type="dxa"/>
          </w:tcPr>
          <w:p w14:paraId="715A5C0C" w14:textId="41738F89" w:rsidR="00096BFF" w:rsidRDefault="00096BFF" w:rsidP="00096BFF">
            <w:r>
              <w:t>С неизвестна честота</w:t>
            </w:r>
          </w:p>
        </w:tc>
      </w:tr>
      <w:tr w:rsidR="00096BFF" w14:paraId="1152748E" w14:textId="77777777" w:rsidTr="0004415C">
        <w:tc>
          <w:tcPr>
            <w:tcW w:w="4788" w:type="dxa"/>
            <w:vAlign w:val="bottom"/>
          </w:tcPr>
          <w:p w14:paraId="7C6F150F" w14:textId="095654C3" w:rsidR="00096BFF" w:rsidRDefault="00096BFF" w:rsidP="00096BFF">
            <w:r>
              <w:t>Холестатична жълтеница</w:t>
            </w:r>
            <w:r>
              <w:rPr>
                <w:vertAlign w:val="superscript"/>
              </w:rPr>
              <w:t>6</w:t>
            </w:r>
          </w:p>
        </w:tc>
        <w:tc>
          <w:tcPr>
            <w:tcW w:w="4788" w:type="dxa"/>
            <w:vAlign w:val="bottom"/>
          </w:tcPr>
          <w:p w14:paraId="4C87D064" w14:textId="4FFE7616" w:rsidR="00096BFF" w:rsidRDefault="00096BFF" w:rsidP="00096BFF">
            <w:r>
              <w:t>С неизвестна честота</w:t>
            </w:r>
          </w:p>
        </w:tc>
      </w:tr>
      <w:tr w:rsidR="00096BFF" w14:paraId="3F47F95F" w14:textId="77777777" w:rsidTr="0004415C">
        <w:tc>
          <w:tcPr>
            <w:tcW w:w="9576" w:type="dxa"/>
            <w:gridSpan w:val="2"/>
          </w:tcPr>
          <w:p w14:paraId="0AD8EEA5" w14:textId="73D2B172" w:rsidR="00096BFF" w:rsidRPr="00096BFF" w:rsidRDefault="00096BFF" w:rsidP="00096BFF">
            <w:pPr>
              <w:rPr>
                <w:rFonts w:cs="Arial"/>
                <w:b/>
              </w:rPr>
            </w:pPr>
            <w:r w:rsidRPr="00096BFF">
              <w:rPr>
                <w:rFonts w:eastAsia="Times New Roman" w:cs="Arial"/>
                <w:b/>
                <w:color w:val="000000"/>
                <w:lang w:eastAsia="bg-BG"/>
              </w:rPr>
              <w:t>Нарушения на кожата и подкожната тъкан</w:t>
            </w:r>
            <w:r w:rsidRPr="00096BFF">
              <w:rPr>
                <w:rFonts w:eastAsia="Times New Roman" w:cs="Arial"/>
                <w:b/>
                <w:color w:val="000000"/>
                <w:vertAlign w:val="superscript"/>
                <w:lang w:eastAsia="bg-BG"/>
              </w:rPr>
              <w:t>7</w:t>
            </w:r>
          </w:p>
        </w:tc>
      </w:tr>
      <w:tr w:rsidR="00096BFF" w14:paraId="77C91019" w14:textId="77777777" w:rsidTr="0004415C">
        <w:tc>
          <w:tcPr>
            <w:tcW w:w="4788" w:type="dxa"/>
            <w:vAlign w:val="bottom"/>
          </w:tcPr>
          <w:p w14:paraId="47368BA6" w14:textId="0A2E77DC" w:rsidR="00096BFF" w:rsidRDefault="00096BFF" w:rsidP="00096BFF">
            <w:r>
              <w:t>Кожен обрив</w:t>
            </w:r>
          </w:p>
        </w:tc>
        <w:tc>
          <w:tcPr>
            <w:tcW w:w="4788" w:type="dxa"/>
            <w:vAlign w:val="bottom"/>
          </w:tcPr>
          <w:p w14:paraId="12984CDA" w14:textId="33B8F6CF" w:rsidR="00096BFF" w:rsidRDefault="00096BFF" w:rsidP="00096BFF">
            <w:r>
              <w:t>Нечести</w:t>
            </w:r>
          </w:p>
        </w:tc>
      </w:tr>
      <w:tr w:rsidR="00096BFF" w14:paraId="0BF61B07" w14:textId="77777777" w:rsidTr="0004415C">
        <w:tc>
          <w:tcPr>
            <w:tcW w:w="4788" w:type="dxa"/>
            <w:vAlign w:val="bottom"/>
          </w:tcPr>
          <w:p w14:paraId="777B852A" w14:textId="59E12C67" w:rsidR="00096BFF" w:rsidRDefault="00096BFF" w:rsidP="00096BFF">
            <w:r>
              <w:t>Сърбеж</w:t>
            </w:r>
          </w:p>
        </w:tc>
        <w:tc>
          <w:tcPr>
            <w:tcW w:w="4788" w:type="dxa"/>
            <w:vAlign w:val="bottom"/>
          </w:tcPr>
          <w:p w14:paraId="58B0A6A6" w14:textId="2E715704" w:rsidR="00096BFF" w:rsidRDefault="00096BFF" w:rsidP="00096BFF">
            <w:r>
              <w:t>Нечести</w:t>
            </w:r>
          </w:p>
        </w:tc>
      </w:tr>
      <w:tr w:rsidR="00096BFF" w14:paraId="79F63F7E" w14:textId="77777777" w:rsidTr="0004415C">
        <w:tc>
          <w:tcPr>
            <w:tcW w:w="4788" w:type="dxa"/>
            <w:vAlign w:val="bottom"/>
          </w:tcPr>
          <w:p w14:paraId="7B77A485" w14:textId="4D2407FF" w:rsidR="00096BFF" w:rsidRDefault="00096BFF" w:rsidP="00096BFF">
            <w:r>
              <w:lastRenderedPageBreak/>
              <w:t>Уртикария</w:t>
            </w:r>
          </w:p>
        </w:tc>
        <w:tc>
          <w:tcPr>
            <w:tcW w:w="4788" w:type="dxa"/>
            <w:vAlign w:val="bottom"/>
          </w:tcPr>
          <w:p w14:paraId="37EF7F5F" w14:textId="7A53AFC7" w:rsidR="00096BFF" w:rsidRDefault="00096BFF" w:rsidP="00096BFF">
            <w:r>
              <w:t>Нечести</w:t>
            </w:r>
          </w:p>
        </w:tc>
      </w:tr>
      <w:tr w:rsidR="00096BFF" w14:paraId="206A5B10" w14:textId="77777777" w:rsidTr="0004415C">
        <w:tc>
          <w:tcPr>
            <w:tcW w:w="4788" w:type="dxa"/>
            <w:vAlign w:val="bottom"/>
          </w:tcPr>
          <w:p w14:paraId="76EEB8C2" w14:textId="778B65F1" w:rsidR="00096BFF" w:rsidRDefault="00096BFF" w:rsidP="00096BFF">
            <w:r>
              <w:t>Еритема мултиформе</w:t>
            </w:r>
          </w:p>
        </w:tc>
        <w:tc>
          <w:tcPr>
            <w:tcW w:w="4788" w:type="dxa"/>
            <w:vAlign w:val="bottom"/>
          </w:tcPr>
          <w:p w14:paraId="3F32F193" w14:textId="39D2CA1C" w:rsidR="00096BFF" w:rsidRDefault="00096BFF" w:rsidP="00096BFF">
            <w:r>
              <w:t>Редки</w:t>
            </w:r>
          </w:p>
        </w:tc>
      </w:tr>
      <w:tr w:rsidR="00096BFF" w14:paraId="172B9EE8" w14:textId="77777777" w:rsidTr="0004415C">
        <w:tc>
          <w:tcPr>
            <w:tcW w:w="4788" w:type="dxa"/>
            <w:vAlign w:val="bottom"/>
          </w:tcPr>
          <w:p w14:paraId="2B34334E" w14:textId="66A05BE0" w:rsidR="00096BFF" w:rsidRDefault="00096BFF" w:rsidP="00096BFF">
            <w:r>
              <w:t xml:space="preserve">Синдром на </w:t>
            </w:r>
            <w:r>
              <w:rPr>
                <w:lang w:val="en-US"/>
              </w:rPr>
              <w:t>Stevens-Johnson</w:t>
            </w:r>
          </w:p>
        </w:tc>
        <w:tc>
          <w:tcPr>
            <w:tcW w:w="4788" w:type="dxa"/>
            <w:vAlign w:val="bottom"/>
          </w:tcPr>
          <w:p w14:paraId="0CA0FD8C" w14:textId="30F19A0F" w:rsidR="00096BFF" w:rsidRDefault="00096BFF" w:rsidP="00096BFF">
            <w:r>
              <w:t>С неизвестна честота</w:t>
            </w:r>
          </w:p>
        </w:tc>
      </w:tr>
      <w:tr w:rsidR="00096BFF" w14:paraId="694004E8" w14:textId="77777777" w:rsidTr="0004415C">
        <w:tc>
          <w:tcPr>
            <w:tcW w:w="4788" w:type="dxa"/>
            <w:vAlign w:val="bottom"/>
          </w:tcPr>
          <w:p w14:paraId="7F7BE2D9" w14:textId="3FB00AB0" w:rsidR="00096BFF" w:rsidRDefault="00096BFF" w:rsidP="00096BFF">
            <w:r>
              <w:t>Токсична епидермална некролиза</w:t>
            </w:r>
          </w:p>
        </w:tc>
        <w:tc>
          <w:tcPr>
            <w:tcW w:w="4788" w:type="dxa"/>
            <w:vAlign w:val="bottom"/>
          </w:tcPr>
          <w:p w14:paraId="4EBAA45B" w14:textId="5F96E896" w:rsidR="00096BFF" w:rsidRDefault="00096BFF" w:rsidP="00096BFF">
            <w:r>
              <w:t>С неизвестна честота</w:t>
            </w:r>
          </w:p>
        </w:tc>
      </w:tr>
      <w:tr w:rsidR="00096BFF" w14:paraId="17811FA7" w14:textId="77777777" w:rsidTr="0004415C">
        <w:tc>
          <w:tcPr>
            <w:tcW w:w="4788" w:type="dxa"/>
            <w:vAlign w:val="bottom"/>
          </w:tcPr>
          <w:p w14:paraId="58092DEB" w14:textId="3B65BCDA" w:rsidR="00096BFF" w:rsidRDefault="00096BFF" w:rsidP="00096BFF">
            <w:r>
              <w:t>Булозен ексфолиативен дерматит</w:t>
            </w:r>
          </w:p>
        </w:tc>
        <w:tc>
          <w:tcPr>
            <w:tcW w:w="4788" w:type="dxa"/>
            <w:vAlign w:val="bottom"/>
          </w:tcPr>
          <w:p w14:paraId="733370F3" w14:textId="490AC26C" w:rsidR="00096BFF" w:rsidRDefault="00096BFF" w:rsidP="00096BFF">
            <w:r>
              <w:t>С неизвестна честота</w:t>
            </w:r>
          </w:p>
        </w:tc>
      </w:tr>
      <w:tr w:rsidR="00096BFF" w14:paraId="235575FF" w14:textId="77777777" w:rsidTr="0004415C">
        <w:tc>
          <w:tcPr>
            <w:tcW w:w="4788" w:type="dxa"/>
            <w:vAlign w:val="bottom"/>
          </w:tcPr>
          <w:p w14:paraId="4FA8096E" w14:textId="3CD19129" w:rsidR="00096BFF" w:rsidRDefault="00096BFF" w:rsidP="00096BFF">
            <w:r>
              <w:t xml:space="preserve">Остра генерализирана екзантематозна пустулоза </w:t>
            </w:r>
            <w:r w:rsidRPr="00096BFF">
              <w:rPr>
                <w:lang w:val="ru-RU"/>
              </w:rPr>
              <w:t>(</w:t>
            </w:r>
            <w:r>
              <w:rPr>
                <w:lang w:val="en-US"/>
              </w:rPr>
              <w:t>AGEP</w:t>
            </w:r>
            <w:r w:rsidRPr="00096BFF">
              <w:rPr>
                <w:lang w:val="ru-RU"/>
              </w:rPr>
              <w:t>)</w:t>
            </w:r>
            <w:r>
              <w:rPr>
                <w:vertAlign w:val="superscript"/>
              </w:rPr>
              <w:t>9</w:t>
            </w:r>
          </w:p>
        </w:tc>
        <w:tc>
          <w:tcPr>
            <w:tcW w:w="4788" w:type="dxa"/>
          </w:tcPr>
          <w:p w14:paraId="7C7EB0E7" w14:textId="4EBAA943" w:rsidR="00096BFF" w:rsidRDefault="00096BFF" w:rsidP="00096BFF">
            <w:r>
              <w:t>С неизвестна честота</w:t>
            </w:r>
          </w:p>
        </w:tc>
      </w:tr>
      <w:tr w:rsidR="00096BFF" w14:paraId="3DB7C2CE" w14:textId="77777777" w:rsidTr="0004415C">
        <w:tc>
          <w:tcPr>
            <w:tcW w:w="4788" w:type="dxa"/>
            <w:vAlign w:val="bottom"/>
          </w:tcPr>
          <w:p w14:paraId="209C76A7" w14:textId="69FC413C" w:rsidR="00096BFF" w:rsidRDefault="00096BFF" w:rsidP="00096BFF">
            <w:r>
              <w:t xml:space="preserve">Лекарствена реакция с еозинофилия и системни симптоми </w:t>
            </w:r>
            <w:r w:rsidRPr="00096BFF">
              <w:rPr>
                <w:lang w:val="ru-RU"/>
              </w:rPr>
              <w:t>(</w:t>
            </w:r>
            <w:r>
              <w:rPr>
                <w:lang w:val="en-US"/>
              </w:rPr>
              <w:t>DRESS</w:t>
            </w:r>
            <w:r w:rsidRPr="00096BFF">
              <w:rPr>
                <w:lang w:val="ru-RU"/>
              </w:rPr>
              <w:t>)</w:t>
            </w:r>
          </w:p>
        </w:tc>
        <w:tc>
          <w:tcPr>
            <w:tcW w:w="4788" w:type="dxa"/>
          </w:tcPr>
          <w:p w14:paraId="2D80B54B" w14:textId="0D5F8918" w:rsidR="00096BFF" w:rsidRDefault="00096BFF" w:rsidP="00096BFF">
            <w:r>
              <w:t>С неизвестна честота</w:t>
            </w:r>
          </w:p>
        </w:tc>
      </w:tr>
      <w:tr w:rsidR="00096BFF" w14:paraId="250EAA72" w14:textId="77777777" w:rsidTr="0004415C">
        <w:tc>
          <w:tcPr>
            <w:tcW w:w="9576" w:type="dxa"/>
            <w:gridSpan w:val="2"/>
          </w:tcPr>
          <w:p w14:paraId="5601FB33" w14:textId="198C7E57" w:rsidR="00096BFF" w:rsidRPr="00096BFF" w:rsidRDefault="00096BFF" w:rsidP="00096BFF">
            <w:pPr>
              <w:rPr>
                <w:rFonts w:cs="Arial"/>
                <w:b/>
              </w:rPr>
            </w:pPr>
            <w:r w:rsidRPr="00096BFF">
              <w:rPr>
                <w:rFonts w:eastAsia="Times New Roman" w:cs="Arial"/>
                <w:b/>
                <w:color w:val="000000"/>
                <w:lang w:eastAsia="bg-BG"/>
              </w:rPr>
              <w:t>Нарушения на бъбреците и пикочните пътища</w:t>
            </w:r>
          </w:p>
        </w:tc>
      </w:tr>
      <w:tr w:rsidR="00096BFF" w14:paraId="52C1D687" w14:textId="77777777" w:rsidTr="0004415C">
        <w:tc>
          <w:tcPr>
            <w:tcW w:w="4788" w:type="dxa"/>
            <w:vAlign w:val="bottom"/>
          </w:tcPr>
          <w:p w14:paraId="3EADA5DD" w14:textId="5D8B8CBF" w:rsidR="00096BFF" w:rsidRDefault="00096BFF" w:rsidP="00096BFF">
            <w:r>
              <w:t>Интерстициален нефрит</w:t>
            </w:r>
          </w:p>
        </w:tc>
        <w:tc>
          <w:tcPr>
            <w:tcW w:w="4788" w:type="dxa"/>
            <w:vAlign w:val="bottom"/>
          </w:tcPr>
          <w:p w14:paraId="26C0EFF2" w14:textId="4DA35FB7" w:rsidR="00096BFF" w:rsidRDefault="00096BFF" w:rsidP="00096BFF">
            <w:r>
              <w:t>С неизвестна честота</w:t>
            </w:r>
          </w:p>
        </w:tc>
      </w:tr>
      <w:tr w:rsidR="00096BFF" w14:paraId="70CB1079" w14:textId="77777777" w:rsidTr="0004415C">
        <w:tc>
          <w:tcPr>
            <w:tcW w:w="4788" w:type="dxa"/>
            <w:vAlign w:val="bottom"/>
          </w:tcPr>
          <w:p w14:paraId="714FDB0C" w14:textId="0F9BD1A4" w:rsidR="00096BFF" w:rsidRDefault="00096BFF" w:rsidP="00096BFF">
            <w:r>
              <w:t>Кристалурия</w:t>
            </w:r>
            <w:r>
              <w:rPr>
                <w:vertAlign w:val="superscript"/>
              </w:rPr>
              <w:t>8</w:t>
            </w:r>
          </w:p>
        </w:tc>
        <w:tc>
          <w:tcPr>
            <w:tcW w:w="4788" w:type="dxa"/>
            <w:vAlign w:val="bottom"/>
          </w:tcPr>
          <w:p w14:paraId="1F934BAE" w14:textId="67C6321B" w:rsidR="00096BFF" w:rsidRDefault="00096BFF" w:rsidP="00096BFF">
            <w:r>
              <w:t>С неизвестна честота</w:t>
            </w:r>
          </w:p>
        </w:tc>
      </w:tr>
      <w:tr w:rsidR="00096BFF" w14:paraId="7198B4FA" w14:textId="77777777" w:rsidTr="0004415C">
        <w:tc>
          <w:tcPr>
            <w:tcW w:w="9576" w:type="dxa"/>
            <w:gridSpan w:val="2"/>
          </w:tcPr>
          <w:p w14:paraId="2008B70C" w14:textId="0BB1E7F6" w:rsidR="00096BFF" w:rsidRPr="00096BFF" w:rsidRDefault="00096BFF" w:rsidP="00096BFF">
            <w:pPr>
              <w:spacing w:line="240" w:lineRule="auto"/>
              <w:rPr>
                <w:rFonts w:ascii="Times New Roman" w:eastAsia="Times New Roman" w:hAnsi="Times New Roman" w:cs="Times New Roman"/>
                <w:color w:val="000000"/>
                <w:lang w:eastAsia="bg-BG"/>
              </w:rPr>
            </w:pPr>
            <w:r w:rsidRPr="00096BFF">
              <w:rPr>
                <w:rFonts w:ascii="Times New Roman" w:eastAsia="Times New Roman" w:hAnsi="Times New Roman" w:cs="Times New Roman"/>
                <w:color w:val="000000"/>
                <w:vertAlign w:val="superscript"/>
                <w:lang w:eastAsia="bg-BG"/>
              </w:rPr>
              <w:t>1</w:t>
            </w:r>
            <w:r w:rsidRPr="00096BFF">
              <w:rPr>
                <w:rFonts w:ascii="Times New Roman" w:eastAsia="Times New Roman" w:hAnsi="Times New Roman" w:cs="Times New Roman"/>
                <w:color w:val="000000"/>
                <w:lang w:eastAsia="bg-BG"/>
              </w:rPr>
              <w:t>Виж точка 4.4</w:t>
            </w:r>
          </w:p>
          <w:p w14:paraId="0962F8BE" w14:textId="431C8C1A" w:rsidR="00096BFF" w:rsidRPr="00096BFF" w:rsidRDefault="00096BFF" w:rsidP="00096BFF">
            <w:pPr>
              <w:spacing w:line="240" w:lineRule="auto"/>
              <w:rPr>
                <w:rFonts w:ascii="Times New Roman" w:eastAsia="Times New Roman" w:hAnsi="Times New Roman" w:cs="Times New Roman"/>
                <w:color w:val="000000"/>
                <w:lang w:eastAsia="bg-BG"/>
              </w:rPr>
            </w:pPr>
            <w:r w:rsidRPr="00096BFF">
              <w:rPr>
                <w:rFonts w:ascii="Times New Roman" w:eastAsia="Times New Roman" w:hAnsi="Times New Roman" w:cs="Times New Roman"/>
                <w:color w:val="000000"/>
                <w:vertAlign w:val="superscript"/>
                <w:lang w:eastAsia="bg-BG"/>
              </w:rPr>
              <w:t>2</w:t>
            </w:r>
            <w:r w:rsidRPr="00096BFF">
              <w:rPr>
                <w:rFonts w:ascii="Times New Roman" w:eastAsia="Times New Roman" w:hAnsi="Times New Roman" w:cs="Times New Roman"/>
                <w:color w:val="000000"/>
                <w:lang w:eastAsia="bg-BG"/>
              </w:rPr>
              <w:t>Виж точка 4.4</w:t>
            </w:r>
          </w:p>
          <w:p w14:paraId="60FBB92E" w14:textId="77777777" w:rsidR="00096BFF" w:rsidRPr="00096BFF" w:rsidRDefault="00096BFF" w:rsidP="00096BFF">
            <w:pPr>
              <w:rPr>
                <w:rFonts w:ascii="Times New Roman" w:eastAsia="Times New Roman" w:hAnsi="Times New Roman" w:cs="Times New Roman"/>
                <w:sz w:val="24"/>
                <w:szCs w:val="24"/>
              </w:rPr>
            </w:pPr>
            <w:r w:rsidRPr="00096BFF">
              <w:rPr>
                <w:rFonts w:ascii="Times New Roman" w:eastAsia="Times New Roman" w:hAnsi="Times New Roman" w:cs="Times New Roman"/>
                <w:color w:val="000000"/>
                <w:vertAlign w:val="superscript"/>
                <w:lang w:eastAsia="bg-BG"/>
              </w:rPr>
              <w:t>3</w:t>
            </w:r>
            <w:r>
              <w:rPr>
                <w:rFonts w:ascii="Times New Roman" w:eastAsia="Times New Roman" w:hAnsi="Times New Roman" w:cs="Times New Roman"/>
                <w:color w:val="000000"/>
                <w:lang w:eastAsia="bg-BG"/>
              </w:rPr>
              <w:t>Г</w:t>
            </w:r>
            <w:r w:rsidRPr="00096BFF">
              <w:rPr>
                <w:rFonts w:ascii="Times New Roman" w:eastAsia="Times New Roman" w:hAnsi="Times New Roman" w:cs="Times New Roman"/>
                <w:color w:val="000000"/>
                <w:lang w:eastAsia="bg-BG"/>
              </w:rPr>
              <w:t>аденето по-често се свързва с по-високи перорални дози. Ако се проявят стомашно-чревни реакции, те могат да се намалят чрез прием на амоксицилин/клавуланова киселина в началото</w:t>
            </w:r>
            <w:r>
              <w:rPr>
                <w:rFonts w:ascii="Times New Roman" w:eastAsia="Times New Roman" w:hAnsi="Times New Roman" w:cs="Times New Roman"/>
                <w:color w:val="000000"/>
                <w:lang w:eastAsia="bg-BG"/>
              </w:rPr>
              <w:t xml:space="preserve"> </w:t>
            </w:r>
            <w:r w:rsidRPr="00096BFF">
              <w:rPr>
                <w:rFonts w:ascii="Times New Roman" w:eastAsia="Times New Roman" w:hAnsi="Times New Roman" w:cs="Times New Roman"/>
                <w:color w:val="000000"/>
                <w:lang w:eastAsia="bg-BG"/>
              </w:rPr>
              <w:t>на храненето.</w:t>
            </w:r>
          </w:p>
          <w:p w14:paraId="33FC0289" w14:textId="5D82C3AB" w:rsidR="00096BFF" w:rsidRPr="00096BFF" w:rsidRDefault="00096BFF" w:rsidP="00096BFF">
            <w:pPr>
              <w:spacing w:line="240" w:lineRule="auto"/>
              <w:rPr>
                <w:rFonts w:ascii="Times New Roman" w:eastAsia="Times New Roman" w:hAnsi="Times New Roman" w:cs="Times New Roman"/>
                <w:color w:val="000000"/>
                <w:lang w:eastAsia="bg-BG"/>
              </w:rPr>
            </w:pPr>
            <w:r w:rsidRPr="00096BFF">
              <w:rPr>
                <w:rFonts w:ascii="Times New Roman" w:eastAsia="Times New Roman" w:hAnsi="Times New Roman" w:cs="Times New Roman"/>
                <w:color w:val="000000"/>
                <w:vertAlign w:val="superscript"/>
                <w:lang w:eastAsia="bg-BG"/>
              </w:rPr>
              <w:t>4</w:t>
            </w:r>
            <w:r w:rsidRPr="00096BFF">
              <w:rPr>
                <w:rFonts w:ascii="Times New Roman" w:eastAsia="Times New Roman" w:hAnsi="Times New Roman" w:cs="Times New Roman"/>
                <w:color w:val="000000"/>
                <w:lang w:eastAsia="bg-BG"/>
              </w:rPr>
              <w:t>Включително псевдомембранозсн колит и хеморагичен колит (виж точка 4.4).</w:t>
            </w:r>
          </w:p>
          <w:p w14:paraId="65FA2007" w14:textId="7C994F89" w:rsidR="00096BFF" w:rsidRPr="00096BFF" w:rsidRDefault="00096BFF" w:rsidP="00096BFF">
            <w:pPr>
              <w:spacing w:line="240" w:lineRule="auto"/>
              <w:rPr>
                <w:rFonts w:ascii="Times New Roman" w:eastAsia="Times New Roman" w:hAnsi="Times New Roman" w:cs="Times New Roman"/>
                <w:color w:val="000000"/>
                <w:lang w:eastAsia="bg-BG"/>
              </w:rPr>
            </w:pPr>
            <w:r w:rsidRPr="00096BFF">
              <w:rPr>
                <w:rFonts w:ascii="Times New Roman" w:eastAsia="Times New Roman" w:hAnsi="Times New Roman" w:cs="Times New Roman"/>
                <w:color w:val="000000"/>
                <w:vertAlign w:val="superscript"/>
                <w:lang w:eastAsia="bg-BG"/>
              </w:rPr>
              <w:t>5</w:t>
            </w:r>
            <w:r w:rsidRPr="00096BFF">
              <w:rPr>
                <w:rFonts w:ascii="Times New Roman" w:eastAsia="Times New Roman" w:hAnsi="Times New Roman" w:cs="Times New Roman"/>
                <w:color w:val="000000"/>
                <w:lang w:eastAsia="bg-BG"/>
              </w:rPr>
              <w:t>Установено е умерено повишение на АСАТ и/или АЛАТ при пациенти, лекувани с антибиотици от бета-лактамния клас, но значимостта на тези данни не е известна.</w:t>
            </w:r>
          </w:p>
          <w:p w14:paraId="47AB99B7" w14:textId="208D3880" w:rsidR="00096BFF" w:rsidRPr="00096BFF" w:rsidRDefault="00096BFF" w:rsidP="00096BFF">
            <w:pPr>
              <w:spacing w:line="240" w:lineRule="auto"/>
              <w:rPr>
                <w:rFonts w:ascii="Times New Roman" w:eastAsia="Times New Roman" w:hAnsi="Times New Roman" w:cs="Times New Roman"/>
                <w:color w:val="000000"/>
                <w:lang w:eastAsia="bg-BG"/>
              </w:rPr>
            </w:pPr>
            <w:r w:rsidRPr="00096BFF">
              <w:rPr>
                <w:rFonts w:ascii="Times New Roman" w:eastAsia="Times New Roman" w:hAnsi="Times New Roman" w:cs="Times New Roman"/>
                <w:color w:val="000000"/>
                <w:vertAlign w:val="superscript"/>
                <w:lang w:eastAsia="bg-BG"/>
              </w:rPr>
              <w:t>6</w:t>
            </w:r>
            <w:r w:rsidRPr="00096BFF">
              <w:rPr>
                <w:rFonts w:ascii="Times New Roman" w:eastAsia="Times New Roman" w:hAnsi="Times New Roman" w:cs="Times New Roman"/>
                <w:color w:val="000000"/>
                <w:lang w:eastAsia="bg-BG"/>
              </w:rPr>
              <w:t>Тези събития са наблюдавани и при други пеницилини и цефалоспорини (виж точка 4.4).</w:t>
            </w:r>
          </w:p>
          <w:p w14:paraId="1D34CDE9" w14:textId="64BD588B" w:rsidR="00096BFF" w:rsidRPr="00096BFF" w:rsidRDefault="00096BFF" w:rsidP="00096BFF">
            <w:pPr>
              <w:spacing w:line="240" w:lineRule="auto"/>
              <w:rPr>
                <w:rFonts w:ascii="Times New Roman" w:eastAsia="Times New Roman" w:hAnsi="Times New Roman" w:cs="Times New Roman"/>
                <w:color w:val="000000"/>
                <w:lang w:eastAsia="bg-BG"/>
              </w:rPr>
            </w:pPr>
            <w:r w:rsidRPr="00096BFF">
              <w:rPr>
                <w:rFonts w:ascii="Times New Roman" w:eastAsia="Times New Roman" w:hAnsi="Times New Roman" w:cs="Times New Roman"/>
                <w:color w:val="000000"/>
                <w:vertAlign w:val="superscript"/>
                <w:lang w:eastAsia="bg-BG"/>
              </w:rPr>
              <w:t>7</w:t>
            </w:r>
            <w:r w:rsidRPr="00096BFF">
              <w:rPr>
                <w:rFonts w:ascii="Times New Roman" w:eastAsia="Times New Roman" w:hAnsi="Times New Roman" w:cs="Times New Roman"/>
                <w:color w:val="000000"/>
                <w:lang w:eastAsia="bg-BG"/>
              </w:rPr>
              <w:t>Ако настъпи алергичен дерматит, лечението трябва да се прекрати (виж точка 4.4).</w:t>
            </w:r>
          </w:p>
          <w:p w14:paraId="0DCC219D" w14:textId="4EFAC8BA" w:rsidR="00096BFF" w:rsidRPr="00096BFF" w:rsidRDefault="00096BFF" w:rsidP="00096BFF">
            <w:pPr>
              <w:spacing w:line="240" w:lineRule="auto"/>
              <w:rPr>
                <w:rFonts w:ascii="Times New Roman" w:eastAsia="Times New Roman" w:hAnsi="Times New Roman" w:cs="Times New Roman"/>
                <w:color w:val="000000"/>
                <w:lang w:eastAsia="bg-BG"/>
              </w:rPr>
            </w:pPr>
            <w:r w:rsidRPr="00096BFF">
              <w:rPr>
                <w:rFonts w:ascii="Times New Roman" w:eastAsia="Times New Roman" w:hAnsi="Times New Roman" w:cs="Times New Roman"/>
                <w:color w:val="000000"/>
                <w:vertAlign w:val="superscript"/>
                <w:lang w:eastAsia="bg-BG"/>
              </w:rPr>
              <w:t>8</w:t>
            </w:r>
            <w:r w:rsidRPr="00096BFF">
              <w:rPr>
                <w:rFonts w:ascii="Times New Roman" w:eastAsia="Times New Roman" w:hAnsi="Times New Roman" w:cs="Times New Roman"/>
                <w:color w:val="000000"/>
                <w:lang w:eastAsia="bg-BG"/>
              </w:rPr>
              <w:t>Виж точка 4.9</w:t>
            </w:r>
          </w:p>
          <w:p w14:paraId="6B323FD3" w14:textId="05F3678F" w:rsidR="00096BFF" w:rsidRPr="00096BFF" w:rsidRDefault="00096BFF" w:rsidP="00096BFF">
            <w:pPr>
              <w:spacing w:line="240" w:lineRule="auto"/>
              <w:rPr>
                <w:rFonts w:ascii="Times New Roman" w:eastAsia="Times New Roman" w:hAnsi="Times New Roman" w:cs="Times New Roman"/>
                <w:color w:val="000000"/>
                <w:lang w:eastAsia="bg-BG"/>
              </w:rPr>
            </w:pPr>
            <w:r w:rsidRPr="00096BFF">
              <w:rPr>
                <w:rFonts w:ascii="Times New Roman" w:eastAsia="Times New Roman" w:hAnsi="Times New Roman" w:cs="Times New Roman"/>
                <w:color w:val="000000"/>
                <w:vertAlign w:val="superscript"/>
                <w:lang w:eastAsia="bg-BG"/>
              </w:rPr>
              <w:t>9</w:t>
            </w:r>
            <w:r w:rsidRPr="00096BFF">
              <w:rPr>
                <w:rFonts w:ascii="Times New Roman" w:eastAsia="Times New Roman" w:hAnsi="Times New Roman" w:cs="Times New Roman"/>
                <w:color w:val="000000"/>
                <w:lang w:eastAsia="bg-BG"/>
              </w:rPr>
              <w:t>Виж точка 4.3</w:t>
            </w:r>
          </w:p>
          <w:p w14:paraId="01C77FE9" w14:textId="77777777" w:rsidR="00096BFF" w:rsidRPr="00096BFF" w:rsidRDefault="00096BFF" w:rsidP="00096BFF">
            <w:pPr>
              <w:spacing w:line="240" w:lineRule="auto"/>
              <w:rPr>
                <w:rFonts w:ascii="Times New Roman" w:eastAsia="Times New Roman" w:hAnsi="Times New Roman" w:cs="Times New Roman"/>
                <w:sz w:val="24"/>
                <w:szCs w:val="24"/>
              </w:rPr>
            </w:pPr>
            <w:r w:rsidRPr="00096BFF">
              <w:rPr>
                <w:rFonts w:ascii="Times New Roman" w:eastAsia="Times New Roman" w:hAnsi="Times New Roman" w:cs="Times New Roman"/>
                <w:color w:val="000000"/>
                <w:vertAlign w:val="superscript"/>
                <w:lang w:eastAsia="bg-BG"/>
              </w:rPr>
              <w:t>10</w:t>
            </w:r>
            <w:r w:rsidRPr="00096BFF">
              <w:rPr>
                <w:rFonts w:ascii="Times New Roman" w:eastAsia="Times New Roman" w:hAnsi="Times New Roman" w:cs="Times New Roman"/>
                <w:color w:val="000000"/>
                <w:lang w:eastAsia="bg-BG"/>
              </w:rPr>
              <w:t>Виж точка 4.4</w:t>
            </w:r>
          </w:p>
          <w:p w14:paraId="7E5A8477" w14:textId="49C79270" w:rsidR="00096BFF" w:rsidRDefault="00096BFF" w:rsidP="00096BFF"/>
        </w:tc>
      </w:tr>
    </w:tbl>
    <w:p w14:paraId="4B56634D" w14:textId="77777777" w:rsidR="0004415C" w:rsidRDefault="0004415C" w:rsidP="0004415C">
      <w:pPr>
        <w:spacing w:line="240" w:lineRule="auto"/>
        <w:rPr>
          <w:rFonts w:eastAsia="Times New Roman" w:cs="Arial"/>
          <w:color w:val="000000"/>
          <w:u w:val="single"/>
          <w:lang w:eastAsia="bg-BG"/>
        </w:rPr>
      </w:pPr>
    </w:p>
    <w:p w14:paraId="21C4D586" w14:textId="63C302FC" w:rsidR="0004415C" w:rsidRPr="0004415C" w:rsidRDefault="0004415C" w:rsidP="0004415C">
      <w:pPr>
        <w:spacing w:line="240" w:lineRule="auto"/>
        <w:rPr>
          <w:rFonts w:eastAsia="Times New Roman" w:cs="Arial"/>
        </w:rPr>
      </w:pPr>
      <w:r w:rsidRPr="0004415C">
        <w:rPr>
          <w:rFonts w:eastAsia="Times New Roman" w:cs="Arial"/>
          <w:color w:val="000000"/>
          <w:u w:val="single"/>
          <w:lang w:eastAsia="bg-BG"/>
        </w:rPr>
        <w:t>Съобщаване на подозирани нежелани реакции</w:t>
      </w:r>
    </w:p>
    <w:p w14:paraId="1740445B" w14:textId="77777777" w:rsidR="0004415C" w:rsidRPr="0004415C" w:rsidRDefault="0004415C" w:rsidP="0004415C">
      <w:pPr>
        <w:spacing w:line="240" w:lineRule="auto"/>
        <w:rPr>
          <w:rFonts w:eastAsia="Times New Roman" w:cs="Arial"/>
        </w:rPr>
      </w:pPr>
      <w:r w:rsidRPr="0004415C">
        <w:rPr>
          <w:rFonts w:eastAsia="Times New Roman" w:cs="Arial"/>
          <w:color w:val="000000"/>
          <w:lang w:eastAsia="bg-BG"/>
        </w:rPr>
        <w:t xml:space="preserve">Съобщаването на подозирани нежелани реакции след разрешаване за употреба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ул.“Дамян Груев” № 8, 1303 София, Тел +359 28903417, уебсайт: </w:t>
      </w:r>
      <w:r w:rsidRPr="0004415C">
        <w:rPr>
          <w:rFonts w:eastAsia="Times New Roman" w:cs="Arial"/>
        </w:rPr>
        <w:fldChar w:fldCharType="begin"/>
      </w:r>
      <w:r w:rsidRPr="0004415C">
        <w:rPr>
          <w:rFonts w:eastAsia="Times New Roman" w:cs="Arial"/>
        </w:rPr>
        <w:instrText xml:space="preserve"> HYPERLINK "http://www.bda.bg" </w:instrText>
      </w:r>
      <w:r w:rsidRPr="0004415C">
        <w:rPr>
          <w:rFonts w:eastAsia="Times New Roman" w:cs="Arial"/>
        </w:rPr>
      </w:r>
      <w:r w:rsidRPr="0004415C">
        <w:rPr>
          <w:rFonts w:eastAsia="Times New Roman" w:cs="Arial"/>
        </w:rPr>
        <w:fldChar w:fldCharType="separate"/>
      </w:r>
      <w:r w:rsidRPr="0004415C">
        <w:rPr>
          <w:rFonts w:eastAsia="Times New Roman" w:cs="Arial"/>
          <w:color w:val="000000"/>
          <w:lang w:val="en-US"/>
        </w:rPr>
        <w:t>www</w:t>
      </w:r>
      <w:r w:rsidRPr="0004415C">
        <w:rPr>
          <w:rFonts w:eastAsia="Times New Roman" w:cs="Arial"/>
          <w:color w:val="000000"/>
          <w:lang w:val="ru-RU"/>
        </w:rPr>
        <w:t>.</w:t>
      </w:r>
      <w:proofErr w:type="spellStart"/>
      <w:r w:rsidRPr="0004415C">
        <w:rPr>
          <w:rFonts w:eastAsia="Times New Roman" w:cs="Arial"/>
          <w:color w:val="000000"/>
          <w:lang w:val="en-US"/>
        </w:rPr>
        <w:t>bda</w:t>
      </w:r>
      <w:proofErr w:type="spellEnd"/>
      <w:r w:rsidRPr="0004415C">
        <w:rPr>
          <w:rFonts w:eastAsia="Times New Roman" w:cs="Arial"/>
          <w:color w:val="000000"/>
          <w:lang w:val="ru-RU"/>
        </w:rPr>
        <w:t>.</w:t>
      </w:r>
      <w:proofErr w:type="spellStart"/>
      <w:r w:rsidRPr="0004415C">
        <w:rPr>
          <w:rFonts w:eastAsia="Times New Roman" w:cs="Arial"/>
          <w:color w:val="000000"/>
          <w:lang w:val="en-US"/>
        </w:rPr>
        <w:t>bg</w:t>
      </w:r>
      <w:proofErr w:type="spellEnd"/>
      <w:r w:rsidRPr="0004415C">
        <w:rPr>
          <w:rFonts w:eastAsia="Times New Roman" w:cs="Arial"/>
        </w:rPr>
        <w:fldChar w:fldCharType="end"/>
      </w:r>
      <w:r w:rsidRPr="0004415C">
        <w:rPr>
          <w:rFonts w:eastAsia="Times New Roman" w:cs="Arial"/>
          <w:color w:val="000000"/>
          <w:lang w:val="ru-RU"/>
        </w:rPr>
        <w:t>.</w:t>
      </w:r>
    </w:p>
    <w:p w14:paraId="2A3E769D" w14:textId="77777777" w:rsidR="00096BFF" w:rsidRPr="00096BFF" w:rsidRDefault="00096BFF" w:rsidP="00096BFF"/>
    <w:p w14:paraId="4ED30546" w14:textId="4C2C4E13" w:rsidR="007C605B" w:rsidRDefault="002C50EE" w:rsidP="009F1313">
      <w:pPr>
        <w:pStyle w:val="Heading2"/>
      </w:pPr>
      <w:r>
        <w:t>4.9. Предозиране</w:t>
      </w:r>
    </w:p>
    <w:p w14:paraId="5ABC0538" w14:textId="7A2118C5" w:rsidR="0004415C" w:rsidRDefault="0004415C" w:rsidP="0004415C"/>
    <w:p w14:paraId="75CA4156" w14:textId="77777777" w:rsidR="0004415C" w:rsidRPr="0004415C" w:rsidRDefault="0004415C" w:rsidP="0004415C">
      <w:pPr>
        <w:pStyle w:val="Heading3"/>
        <w:rPr>
          <w:rFonts w:eastAsia="Times New Roman"/>
          <w:u w:val="single"/>
        </w:rPr>
      </w:pPr>
      <w:r w:rsidRPr="0004415C">
        <w:rPr>
          <w:rFonts w:eastAsia="Times New Roman"/>
          <w:u w:val="single"/>
          <w:lang w:eastAsia="bg-BG"/>
        </w:rPr>
        <w:t>Симптоми и признаци на предозиране</w:t>
      </w:r>
    </w:p>
    <w:p w14:paraId="17D0D399" w14:textId="77777777" w:rsidR="0004415C" w:rsidRPr="0004415C" w:rsidRDefault="0004415C" w:rsidP="0004415C">
      <w:pPr>
        <w:spacing w:line="240" w:lineRule="auto"/>
        <w:rPr>
          <w:rFonts w:eastAsia="Times New Roman" w:cs="Arial"/>
          <w:color w:val="000000"/>
          <w:lang w:eastAsia="bg-BG"/>
        </w:rPr>
      </w:pPr>
    </w:p>
    <w:p w14:paraId="6B3964DE" w14:textId="3C3D541E" w:rsidR="0004415C" w:rsidRPr="0004415C" w:rsidRDefault="0004415C" w:rsidP="0004415C">
      <w:pPr>
        <w:spacing w:line="240" w:lineRule="auto"/>
        <w:rPr>
          <w:rFonts w:eastAsia="Times New Roman" w:cs="Arial"/>
          <w:sz w:val="24"/>
          <w:szCs w:val="24"/>
        </w:rPr>
      </w:pPr>
      <w:r w:rsidRPr="0004415C">
        <w:rPr>
          <w:rFonts w:eastAsia="Times New Roman" w:cs="Arial"/>
          <w:color w:val="000000"/>
          <w:lang w:eastAsia="bg-BG"/>
        </w:rPr>
        <w:t>Може да се изявят гастро-интестинални симптоми, както и нарушения на водно-електролитния баланс.</w:t>
      </w:r>
    </w:p>
    <w:p w14:paraId="103DEF9C" w14:textId="77777777" w:rsidR="0004415C" w:rsidRPr="0004415C" w:rsidRDefault="0004415C" w:rsidP="0004415C">
      <w:pPr>
        <w:spacing w:line="240" w:lineRule="auto"/>
        <w:rPr>
          <w:rFonts w:eastAsia="Times New Roman" w:cs="Arial"/>
          <w:color w:val="000000"/>
          <w:lang w:eastAsia="bg-BG"/>
        </w:rPr>
      </w:pPr>
    </w:p>
    <w:p w14:paraId="13DF96C1" w14:textId="4152601C" w:rsidR="0004415C" w:rsidRPr="0004415C" w:rsidRDefault="0004415C" w:rsidP="0004415C">
      <w:pPr>
        <w:spacing w:line="240" w:lineRule="auto"/>
        <w:rPr>
          <w:rFonts w:eastAsia="Times New Roman" w:cs="Arial"/>
          <w:sz w:val="24"/>
          <w:szCs w:val="24"/>
        </w:rPr>
      </w:pPr>
      <w:r w:rsidRPr="0004415C">
        <w:rPr>
          <w:rFonts w:eastAsia="Times New Roman" w:cs="Arial"/>
          <w:color w:val="000000"/>
          <w:lang w:eastAsia="bg-BG"/>
        </w:rPr>
        <w:t>Наблюдавана е свързана с амоксицилин кристалурия, в някои случаи водеща до бъбречна недостатъчност (виж точка 4.4).</w:t>
      </w:r>
    </w:p>
    <w:p w14:paraId="2021ECFC" w14:textId="77777777" w:rsidR="0004415C" w:rsidRPr="0004415C" w:rsidRDefault="0004415C" w:rsidP="0004415C">
      <w:pPr>
        <w:spacing w:line="240" w:lineRule="auto"/>
        <w:rPr>
          <w:rFonts w:eastAsia="Times New Roman" w:cs="Arial"/>
          <w:color w:val="000000"/>
          <w:lang w:eastAsia="bg-BG"/>
        </w:rPr>
      </w:pPr>
    </w:p>
    <w:p w14:paraId="03A73891" w14:textId="331DFA8E" w:rsidR="0004415C" w:rsidRPr="0004415C" w:rsidRDefault="0004415C" w:rsidP="0004415C">
      <w:pPr>
        <w:spacing w:line="240" w:lineRule="auto"/>
        <w:rPr>
          <w:rFonts w:eastAsia="Times New Roman" w:cs="Arial"/>
          <w:sz w:val="24"/>
          <w:szCs w:val="24"/>
        </w:rPr>
      </w:pPr>
      <w:r w:rsidRPr="0004415C">
        <w:rPr>
          <w:rFonts w:eastAsia="Times New Roman" w:cs="Arial"/>
          <w:color w:val="000000"/>
          <w:lang w:eastAsia="bg-BG"/>
        </w:rPr>
        <w:t>При пациенти с бъбречна недостатъчност или при такива, получаващи високи дози, може да възникнат гърчове.</w:t>
      </w:r>
    </w:p>
    <w:p w14:paraId="54DF93DC" w14:textId="77777777" w:rsidR="0004415C" w:rsidRPr="0004415C" w:rsidRDefault="0004415C" w:rsidP="0004415C">
      <w:pPr>
        <w:spacing w:line="240" w:lineRule="auto"/>
        <w:rPr>
          <w:rFonts w:eastAsia="Times New Roman" w:cs="Arial"/>
          <w:color w:val="000000"/>
          <w:lang w:eastAsia="bg-BG"/>
        </w:rPr>
      </w:pPr>
    </w:p>
    <w:p w14:paraId="4131CCF8" w14:textId="508D3964" w:rsidR="0004415C" w:rsidRPr="0004415C" w:rsidRDefault="0004415C" w:rsidP="0004415C">
      <w:pPr>
        <w:spacing w:line="240" w:lineRule="auto"/>
        <w:rPr>
          <w:rFonts w:eastAsia="Times New Roman" w:cs="Arial"/>
          <w:sz w:val="24"/>
          <w:szCs w:val="24"/>
        </w:rPr>
      </w:pPr>
      <w:r w:rsidRPr="0004415C">
        <w:rPr>
          <w:rFonts w:eastAsia="Times New Roman" w:cs="Arial"/>
          <w:color w:val="000000"/>
          <w:lang w:eastAsia="bg-BG"/>
        </w:rPr>
        <w:lastRenderedPageBreak/>
        <w:t>Съобщава се, че амоксицилин преципитира в уринарните катетри, главно след интравенозно приложение на високи дози. Трябва да се прави редовна проверка на проходимостта (виж точка 4.4).</w:t>
      </w:r>
    </w:p>
    <w:p w14:paraId="27148BF4" w14:textId="77777777" w:rsidR="0004415C" w:rsidRPr="0004415C" w:rsidRDefault="0004415C" w:rsidP="0004415C">
      <w:pPr>
        <w:spacing w:line="240" w:lineRule="auto"/>
        <w:rPr>
          <w:rFonts w:eastAsia="Times New Roman" w:cs="Arial"/>
          <w:color w:val="000000"/>
          <w:u w:val="single"/>
          <w:lang w:eastAsia="bg-BG"/>
        </w:rPr>
      </w:pPr>
    </w:p>
    <w:p w14:paraId="2E912C13" w14:textId="2038334B" w:rsidR="0004415C" w:rsidRPr="0004415C" w:rsidRDefault="0004415C" w:rsidP="0004415C">
      <w:pPr>
        <w:pStyle w:val="Heading3"/>
        <w:rPr>
          <w:rFonts w:eastAsia="Times New Roman"/>
          <w:u w:val="single"/>
        </w:rPr>
      </w:pPr>
      <w:r w:rsidRPr="0004415C">
        <w:rPr>
          <w:rFonts w:eastAsia="Times New Roman"/>
          <w:u w:val="single"/>
          <w:lang w:eastAsia="bg-BG"/>
        </w:rPr>
        <w:t>Лечение на интоксикацията</w:t>
      </w:r>
    </w:p>
    <w:p w14:paraId="5F94D09B" w14:textId="77777777" w:rsidR="0004415C" w:rsidRPr="0004415C" w:rsidRDefault="0004415C" w:rsidP="0004415C">
      <w:pPr>
        <w:spacing w:line="240" w:lineRule="auto"/>
        <w:rPr>
          <w:rFonts w:eastAsia="Times New Roman" w:cs="Arial"/>
          <w:color w:val="000000"/>
          <w:lang w:eastAsia="bg-BG"/>
        </w:rPr>
      </w:pPr>
    </w:p>
    <w:p w14:paraId="1254908C" w14:textId="5A49E2F6" w:rsidR="0004415C" w:rsidRPr="0004415C" w:rsidRDefault="0004415C" w:rsidP="0004415C">
      <w:pPr>
        <w:spacing w:line="240" w:lineRule="auto"/>
        <w:rPr>
          <w:rFonts w:eastAsia="Times New Roman" w:cs="Arial"/>
          <w:sz w:val="24"/>
          <w:szCs w:val="24"/>
        </w:rPr>
      </w:pPr>
      <w:r w:rsidRPr="0004415C">
        <w:rPr>
          <w:rFonts w:eastAsia="Times New Roman" w:cs="Arial"/>
          <w:color w:val="000000"/>
          <w:lang w:eastAsia="bg-BG"/>
        </w:rPr>
        <w:t>Гастро-интестиналните симптоми може да се повлияват симптоматично, като се обърне специално внимание на водно-елекролитния баланс.</w:t>
      </w:r>
    </w:p>
    <w:p w14:paraId="6D78A15C" w14:textId="77777777" w:rsidR="0004415C" w:rsidRPr="0004415C" w:rsidRDefault="0004415C" w:rsidP="0004415C">
      <w:pPr>
        <w:spacing w:line="240" w:lineRule="auto"/>
        <w:rPr>
          <w:rFonts w:eastAsia="Times New Roman" w:cs="Arial"/>
          <w:color w:val="000000"/>
          <w:lang w:eastAsia="bg-BG"/>
        </w:rPr>
      </w:pPr>
    </w:p>
    <w:p w14:paraId="62C03F31" w14:textId="4C734FE6" w:rsidR="0004415C" w:rsidRPr="0004415C" w:rsidRDefault="0004415C" w:rsidP="0004415C">
      <w:pPr>
        <w:spacing w:line="240" w:lineRule="auto"/>
        <w:rPr>
          <w:rFonts w:ascii="Times New Roman" w:eastAsia="Times New Roman" w:hAnsi="Times New Roman" w:cs="Times New Roman"/>
          <w:sz w:val="24"/>
          <w:szCs w:val="24"/>
        </w:rPr>
      </w:pPr>
      <w:r w:rsidRPr="0004415C">
        <w:rPr>
          <w:rFonts w:eastAsia="Times New Roman" w:cs="Arial"/>
          <w:color w:val="000000"/>
          <w:lang w:eastAsia="bg-BG"/>
        </w:rPr>
        <w:t>Амоксицилин/клавуланова киселина може да се отстрани от кръвообращението чрез хемодиализа.</w:t>
      </w:r>
    </w:p>
    <w:p w14:paraId="02081B24" w14:textId="1F46E296" w:rsidR="00395555" w:rsidRPr="00395555" w:rsidRDefault="002C50EE" w:rsidP="008A6AF2">
      <w:pPr>
        <w:pStyle w:val="Heading1"/>
      </w:pPr>
      <w:r>
        <w:t>5. ФАРМАКОЛОГИЧНИ СВОЙСТВА</w:t>
      </w:r>
    </w:p>
    <w:p w14:paraId="5350637D" w14:textId="7ECD0224" w:rsidR="00395555" w:rsidRDefault="002C50EE" w:rsidP="008A6AF2">
      <w:pPr>
        <w:pStyle w:val="Heading2"/>
      </w:pPr>
      <w:r>
        <w:t>5.1. Фармакодинамични свойства</w:t>
      </w:r>
    </w:p>
    <w:p w14:paraId="19D82C3F" w14:textId="15262875" w:rsidR="0004415C" w:rsidRDefault="0004415C" w:rsidP="0004415C"/>
    <w:p w14:paraId="562B0B84" w14:textId="77777777" w:rsidR="0004415C" w:rsidRPr="0004415C" w:rsidRDefault="0004415C" w:rsidP="0004415C">
      <w:pPr>
        <w:spacing w:line="240" w:lineRule="auto"/>
        <w:rPr>
          <w:rFonts w:eastAsia="Times New Roman" w:cs="Arial"/>
          <w:sz w:val="24"/>
          <w:szCs w:val="24"/>
        </w:rPr>
      </w:pPr>
      <w:r w:rsidRPr="0004415C">
        <w:rPr>
          <w:rFonts w:eastAsia="Times New Roman" w:cs="Arial"/>
          <w:color w:val="000000"/>
          <w:lang w:eastAsia="bg-BG"/>
        </w:rPr>
        <w:t xml:space="preserve">Фармакотерапевтична група: пеницилини в комбинация, включително инхибитори на бета- лактамазата; АТС код: </w:t>
      </w:r>
      <w:r w:rsidRPr="0004415C">
        <w:rPr>
          <w:rFonts w:eastAsia="Times New Roman" w:cs="Arial"/>
          <w:color w:val="000000"/>
          <w:lang w:val="en-US"/>
        </w:rPr>
        <w:t>J</w:t>
      </w:r>
      <w:r w:rsidRPr="0004415C">
        <w:rPr>
          <w:rFonts w:eastAsia="Times New Roman" w:cs="Arial"/>
          <w:color w:val="000000"/>
          <w:lang w:val="ru-RU"/>
        </w:rPr>
        <w:t>01</w:t>
      </w:r>
      <w:r w:rsidRPr="0004415C">
        <w:rPr>
          <w:rFonts w:eastAsia="Times New Roman" w:cs="Arial"/>
          <w:color w:val="000000"/>
          <w:lang w:val="en-US"/>
        </w:rPr>
        <w:t>CR</w:t>
      </w:r>
      <w:r w:rsidRPr="0004415C">
        <w:rPr>
          <w:rFonts w:eastAsia="Times New Roman" w:cs="Arial"/>
          <w:color w:val="000000"/>
          <w:lang w:val="ru-RU"/>
        </w:rPr>
        <w:t>02.</w:t>
      </w:r>
    </w:p>
    <w:p w14:paraId="556B4FEA" w14:textId="77777777" w:rsidR="0004415C" w:rsidRPr="0004415C" w:rsidRDefault="0004415C" w:rsidP="0004415C">
      <w:pPr>
        <w:spacing w:line="240" w:lineRule="auto"/>
        <w:rPr>
          <w:rFonts w:eastAsia="Times New Roman" w:cs="Arial"/>
          <w:color w:val="000000"/>
          <w:u w:val="single"/>
          <w:lang w:eastAsia="bg-BG"/>
        </w:rPr>
      </w:pPr>
    </w:p>
    <w:p w14:paraId="4C65AFB4" w14:textId="0086FB82" w:rsidR="0004415C" w:rsidRPr="0004415C" w:rsidRDefault="0004415C" w:rsidP="0004415C">
      <w:pPr>
        <w:spacing w:line="240" w:lineRule="auto"/>
        <w:rPr>
          <w:rFonts w:eastAsia="Times New Roman" w:cs="Arial"/>
          <w:sz w:val="24"/>
          <w:szCs w:val="24"/>
        </w:rPr>
      </w:pPr>
      <w:r w:rsidRPr="0004415C">
        <w:rPr>
          <w:rFonts w:eastAsia="Times New Roman" w:cs="Arial"/>
          <w:color w:val="000000"/>
          <w:u w:val="single"/>
          <w:lang w:eastAsia="bg-BG"/>
        </w:rPr>
        <w:t>Механизъм на действие</w:t>
      </w:r>
    </w:p>
    <w:p w14:paraId="55FEF2C8" w14:textId="77777777" w:rsidR="0004415C" w:rsidRPr="0004415C" w:rsidRDefault="0004415C" w:rsidP="0004415C">
      <w:pPr>
        <w:spacing w:line="240" w:lineRule="auto"/>
        <w:rPr>
          <w:rFonts w:eastAsia="Times New Roman" w:cs="Arial"/>
          <w:color w:val="000000"/>
          <w:lang w:eastAsia="bg-BG"/>
        </w:rPr>
      </w:pPr>
    </w:p>
    <w:p w14:paraId="4F3BA9A9" w14:textId="77777777" w:rsidR="0004415C" w:rsidRPr="0004415C" w:rsidRDefault="0004415C" w:rsidP="0004415C">
      <w:pPr>
        <w:rPr>
          <w:rFonts w:eastAsia="Times New Roman" w:cs="Arial"/>
          <w:sz w:val="24"/>
          <w:szCs w:val="24"/>
        </w:rPr>
      </w:pPr>
      <w:r w:rsidRPr="0004415C">
        <w:rPr>
          <w:rFonts w:eastAsia="Times New Roman" w:cs="Arial"/>
          <w:color w:val="000000"/>
          <w:lang w:eastAsia="bg-BG"/>
        </w:rPr>
        <w:t>Амоксицилин е полусинтетичен пеницилин (бета-лактамен антибиотик), който инхибира един или повече ензими (често наричани пеницилин-свързващи протеини, ПСП) в биосинтетичните пътища на пептидогликана на бактериите, който е съществен структурен компонент на бактериалната клетъчна стена. Потискането на синтеза на пептидотликан води до отслабване на клетъчната стена, което обикновено е последвано от лизиране и смърт на клетката.</w:t>
      </w:r>
    </w:p>
    <w:p w14:paraId="32E1296C" w14:textId="77777777" w:rsidR="0004415C" w:rsidRPr="0004415C" w:rsidRDefault="0004415C" w:rsidP="0004415C">
      <w:pPr>
        <w:spacing w:line="240" w:lineRule="auto"/>
        <w:rPr>
          <w:rFonts w:eastAsia="Times New Roman" w:cs="Arial"/>
          <w:color w:val="000000"/>
          <w:lang w:eastAsia="bg-BG"/>
        </w:rPr>
      </w:pPr>
    </w:p>
    <w:p w14:paraId="3EE89C33" w14:textId="5C4735A0" w:rsidR="0004415C" w:rsidRPr="0004415C" w:rsidRDefault="0004415C" w:rsidP="0004415C">
      <w:pPr>
        <w:spacing w:line="240" w:lineRule="auto"/>
        <w:rPr>
          <w:rFonts w:eastAsia="Times New Roman" w:cs="Arial"/>
          <w:sz w:val="24"/>
          <w:szCs w:val="24"/>
        </w:rPr>
      </w:pPr>
      <w:r w:rsidRPr="0004415C">
        <w:rPr>
          <w:rFonts w:eastAsia="Times New Roman" w:cs="Arial"/>
          <w:color w:val="000000"/>
          <w:lang w:eastAsia="bg-BG"/>
        </w:rPr>
        <w:t>Амоксицилин е чувствителен към разграждане от бета-лактамази, произвеждани от резистентните бактерии, следователно спектърът на активност на амоксицилин самостоятелно не включва микроорганизми, продуциращи тези ензими.</w:t>
      </w:r>
    </w:p>
    <w:p w14:paraId="056849F6" w14:textId="77777777" w:rsidR="0004415C" w:rsidRPr="0004415C" w:rsidRDefault="0004415C" w:rsidP="0004415C">
      <w:pPr>
        <w:spacing w:line="240" w:lineRule="auto"/>
        <w:rPr>
          <w:rFonts w:eastAsia="Times New Roman" w:cs="Arial"/>
          <w:color w:val="000000"/>
          <w:lang w:eastAsia="bg-BG"/>
        </w:rPr>
      </w:pPr>
    </w:p>
    <w:p w14:paraId="7CBD2844" w14:textId="02FED61A" w:rsidR="0004415C" w:rsidRPr="0004415C" w:rsidRDefault="0004415C" w:rsidP="0004415C">
      <w:pPr>
        <w:spacing w:line="240" w:lineRule="auto"/>
        <w:rPr>
          <w:rFonts w:eastAsia="Times New Roman" w:cs="Arial"/>
          <w:sz w:val="24"/>
          <w:szCs w:val="24"/>
        </w:rPr>
      </w:pPr>
      <w:r w:rsidRPr="0004415C">
        <w:rPr>
          <w:rFonts w:eastAsia="Times New Roman" w:cs="Arial"/>
          <w:color w:val="000000"/>
          <w:lang w:eastAsia="bg-BG"/>
        </w:rPr>
        <w:t>Клавулановата киселина е бета-лактам, близък по структура с пеницилините. Тя инактивира някои от бета-лактамазните ензими като с това възпрепятства инакгивирането на амоксицилин. Самостоятелно клавулановата киселина не проявява клинично значим антибактериален ефект.</w:t>
      </w:r>
    </w:p>
    <w:p w14:paraId="0D6B9015" w14:textId="77777777" w:rsidR="0004415C" w:rsidRPr="0004415C" w:rsidRDefault="0004415C" w:rsidP="0004415C">
      <w:pPr>
        <w:spacing w:line="240" w:lineRule="auto"/>
        <w:rPr>
          <w:rFonts w:eastAsia="Times New Roman" w:cs="Arial"/>
          <w:color w:val="000000"/>
          <w:u w:val="single"/>
          <w:lang w:eastAsia="bg-BG"/>
        </w:rPr>
      </w:pPr>
    </w:p>
    <w:p w14:paraId="7FBEAD70" w14:textId="0CEA23C9" w:rsidR="0004415C" w:rsidRPr="0004415C" w:rsidRDefault="0004415C" w:rsidP="0004415C">
      <w:pPr>
        <w:spacing w:line="240" w:lineRule="auto"/>
        <w:rPr>
          <w:rFonts w:eastAsia="Times New Roman" w:cs="Arial"/>
          <w:sz w:val="24"/>
          <w:szCs w:val="24"/>
        </w:rPr>
      </w:pPr>
      <w:r w:rsidRPr="0004415C">
        <w:rPr>
          <w:rFonts w:eastAsia="Times New Roman" w:cs="Arial"/>
          <w:color w:val="000000"/>
          <w:u w:val="single"/>
          <w:lang w:eastAsia="bg-BG"/>
        </w:rPr>
        <w:t>Връзка фармакокинетика-фармакодинамика</w:t>
      </w:r>
    </w:p>
    <w:p w14:paraId="2EF2DDBE" w14:textId="77777777" w:rsidR="0004415C" w:rsidRPr="0004415C" w:rsidRDefault="0004415C" w:rsidP="0004415C">
      <w:pPr>
        <w:spacing w:line="240" w:lineRule="auto"/>
        <w:rPr>
          <w:rFonts w:eastAsia="Times New Roman" w:cs="Arial"/>
          <w:color w:val="000000"/>
          <w:lang w:eastAsia="bg-BG"/>
        </w:rPr>
      </w:pPr>
    </w:p>
    <w:p w14:paraId="5110A1E4" w14:textId="72833771" w:rsidR="0004415C" w:rsidRPr="0004415C" w:rsidRDefault="0004415C" w:rsidP="0004415C">
      <w:pPr>
        <w:spacing w:line="240" w:lineRule="auto"/>
        <w:rPr>
          <w:rFonts w:eastAsia="Times New Roman" w:cs="Arial"/>
          <w:sz w:val="24"/>
          <w:szCs w:val="24"/>
        </w:rPr>
      </w:pPr>
      <w:r w:rsidRPr="0004415C">
        <w:rPr>
          <w:rFonts w:eastAsia="Times New Roman" w:cs="Arial"/>
          <w:color w:val="000000"/>
          <w:lang w:eastAsia="bg-BG"/>
        </w:rPr>
        <w:t>Определящ фактор за ефикасността на амоксицилин се счита времето над минималната инхибираща концентрация (Т&gt;М</w:t>
      </w:r>
      <w:r w:rsidRPr="0004415C">
        <w:rPr>
          <w:rFonts w:eastAsia="Times New Roman" w:cs="Arial"/>
          <w:color w:val="000000"/>
          <w:lang w:val="en-US"/>
        </w:rPr>
        <w:t>I</w:t>
      </w:r>
      <w:r w:rsidRPr="0004415C">
        <w:rPr>
          <w:rFonts w:eastAsia="Times New Roman" w:cs="Arial"/>
          <w:color w:val="000000"/>
          <w:lang w:eastAsia="bg-BG"/>
        </w:rPr>
        <w:t>С).</w:t>
      </w:r>
    </w:p>
    <w:p w14:paraId="2510632C" w14:textId="77777777" w:rsidR="0004415C" w:rsidRPr="0004415C" w:rsidRDefault="0004415C" w:rsidP="0004415C">
      <w:pPr>
        <w:spacing w:line="240" w:lineRule="auto"/>
        <w:rPr>
          <w:rFonts w:eastAsia="Times New Roman" w:cs="Arial"/>
          <w:color w:val="000000"/>
          <w:u w:val="single"/>
          <w:lang w:eastAsia="bg-BG"/>
        </w:rPr>
      </w:pPr>
    </w:p>
    <w:p w14:paraId="061F7994" w14:textId="363186E2" w:rsidR="0004415C" w:rsidRPr="0004415C" w:rsidRDefault="0004415C" w:rsidP="0004415C">
      <w:pPr>
        <w:spacing w:line="240" w:lineRule="auto"/>
        <w:rPr>
          <w:rFonts w:eastAsia="Times New Roman" w:cs="Arial"/>
          <w:sz w:val="24"/>
          <w:szCs w:val="24"/>
        </w:rPr>
      </w:pPr>
      <w:r w:rsidRPr="0004415C">
        <w:rPr>
          <w:rFonts w:eastAsia="Times New Roman" w:cs="Arial"/>
          <w:color w:val="000000"/>
          <w:u w:val="single"/>
          <w:lang w:eastAsia="bg-BG"/>
        </w:rPr>
        <w:t>Механизъм на резистентност</w:t>
      </w:r>
    </w:p>
    <w:p w14:paraId="5E993624" w14:textId="77777777" w:rsidR="0004415C" w:rsidRPr="0004415C" w:rsidRDefault="0004415C" w:rsidP="0004415C">
      <w:pPr>
        <w:spacing w:line="240" w:lineRule="auto"/>
        <w:rPr>
          <w:rFonts w:eastAsia="Times New Roman" w:cs="Arial"/>
          <w:color w:val="000000"/>
          <w:lang w:eastAsia="bg-BG"/>
        </w:rPr>
      </w:pPr>
    </w:p>
    <w:p w14:paraId="0087DCC4" w14:textId="00B94503" w:rsidR="0004415C" w:rsidRPr="0004415C" w:rsidRDefault="0004415C" w:rsidP="0004415C">
      <w:pPr>
        <w:spacing w:line="240" w:lineRule="auto"/>
        <w:rPr>
          <w:rFonts w:eastAsia="Times New Roman" w:cs="Arial"/>
          <w:sz w:val="24"/>
          <w:szCs w:val="24"/>
        </w:rPr>
      </w:pPr>
      <w:r w:rsidRPr="0004415C">
        <w:rPr>
          <w:rFonts w:eastAsia="Times New Roman" w:cs="Arial"/>
          <w:color w:val="000000"/>
          <w:lang w:eastAsia="bg-BG"/>
        </w:rPr>
        <w:t>Двата основни механизма на резистентност към амоксицилин/клавуланова киселина са:</w:t>
      </w:r>
    </w:p>
    <w:p w14:paraId="551C6A43" w14:textId="77777777" w:rsidR="0004415C" w:rsidRPr="0004415C" w:rsidRDefault="0004415C" w:rsidP="0004415C">
      <w:pPr>
        <w:spacing w:line="240" w:lineRule="auto"/>
        <w:rPr>
          <w:rFonts w:eastAsia="Times New Roman" w:cs="Arial"/>
          <w:color w:val="000000"/>
          <w:lang w:eastAsia="bg-BG"/>
        </w:rPr>
      </w:pPr>
    </w:p>
    <w:p w14:paraId="772CEEF1" w14:textId="5671578B" w:rsidR="0004415C" w:rsidRPr="0004415C" w:rsidRDefault="0004415C" w:rsidP="0004415C">
      <w:pPr>
        <w:pStyle w:val="ListParagraph"/>
        <w:numPr>
          <w:ilvl w:val="0"/>
          <w:numId w:val="32"/>
        </w:numPr>
        <w:spacing w:line="240" w:lineRule="auto"/>
        <w:rPr>
          <w:rFonts w:eastAsia="Times New Roman" w:cs="Arial"/>
          <w:sz w:val="24"/>
          <w:szCs w:val="24"/>
        </w:rPr>
      </w:pPr>
      <w:r w:rsidRPr="0004415C">
        <w:rPr>
          <w:rFonts w:eastAsia="Times New Roman" w:cs="Arial"/>
          <w:color w:val="000000"/>
          <w:lang w:eastAsia="bg-BG"/>
        </w:rPr>
        <w:t xml:space="preserve">Инактивиране от бактериални бета-лактамази, които не се инхибират от клавулановата киселина, включително клас В, С и </w:t>
      </w:r>
      <w:r w:rsidRPr="0004415C">
        <w:rPr>
          <w:rFonts w:eastAsia="Times New Roman" w:cs="Arial"/>
          <w:color w:val="000000"/>
          <w:lang w:val="en-US"/>
        </w:rPr>
        <w:t>D</w:t>
      </w:r>
      <w:r w:rsidRPr="0004415C">
        <w:rPr>
          <w:rFonts w:eastAsia="Times New Roman" w:cs="Arial"/>
          <w:color w:val="000000"/>
          <w:lang w:val="ru-RU"/>
        </w:rPr>
        <w:t>.</w:t>
      </w:r>
    </w:p>
    <w:p w14:paraId="11D7860C" w14:textId="28EB52FD" w:rsidR="0004415C" w:rsidRPr="0004415C" w:rsidRDefault="0004415C" w:rsidP="0004415C">
      <w:pPr>
        <w:pStyle w:val="ListParagraph"/>
        <w:numPr>
          <w:ilvl w:val="0"/>
          <w:numId w:val="32"/>
        </w:numPr>
        <w:spacing w:line="240" w:lineRule="auto"/>
        <w:rPr>
          <w:rFonts w:eastAsia="Times New Roman" w:cs="Arial"/>
          <w:sz w:val="24"/>
          <w:szCs w:val="24"/>
        </w:rPr>
      </w:pPr>
      <w:r w:rsidRPr="0004415C">
        <w:rPr>
          <w:rFonts w:eastAsia="Times New Roman" w:cs="Arial"/>
          <w:color w:val="000000"/>
          <w:lang w:eastAsia="bg-BG"/>
        </w:rPr>
        <w:t>Изменение на ПСП, което намалява афинитета на антибиотика към таргета.</w:t>
      </w:r>
    </w:p>
    <w:p w14:paraId="3D8B5056" w14:textId="77777777" w:rsidR="0004415C" w:rsidRPr="0004415C" w:rsidRDefault="0004415C" w:rsidP="0004415C">
      <w:pPr>
        <w:spacing w:line="240" w:lineRule="auto"/>
        <w:rPr>
          <w:rFonts w:eastAsia="Times New Roman" w:cs="Arial"/>
          <w:color w:val="000000"/>
          <w:lang w:eastAsia="bg-BG"/>
        </w:rPr>
      </w:pPr>
    </w:p>
    <w:p w14:paraId="143E27FE" w14:textId="3E2571CB" w:rsidR="0004415C" w:rsidRPr="0004415C" w:rsidRDefault="0004415C" w:rsidP="0004415C">
      <w:pPr>
        <w:spacing w:line="240" w:lineRule="auto"/>
        <w:rPr>
          <w:rFonts w:eastAsia="Times New Roman" w:cs="Arial"/>
          <w:sz w:val="24"/>
          <w:szCs w:val="24"/>
        </w:rPr>
      </w:pPr>
      <w:r w:rsidRPr="0004415C">
        <w:rPr>
          <w:rFonts w:eastAsia="Times New Roman" w:cs="Arial"/>
          <w:color w:val="000000"/>
          <w:lang w:eastAsia="bg-BG"/>
        </w:rPr>
        <w:lastRenderedPageBreak/>
        <w:t>Липсата на пермеабилитет при бактериите или ефлукс-помпа механизмите могат да доведат или да допринесат за бактериалната резистентност, главно при Грам-отрицателните бактерии.</w:t>
      </w:r>
    </w:p>
    <w:p w14:paraId="5433D817" w14:textId="77777777" w:rsidR="0004415C" w:rsidRPr="0004415C" w:rsidRDefault="0004415C" w:rsidP="0004415C">
      <w:pPr>
        <w:spacing w:line="240" w:lineRule="auto"/>
        <w:rPr>
          <w:rFonts w:eastAsia="Times New Roman" w:cs="Arial"/>
          <w:color w:val="000000"/>
          <w:u w:val="single"/>
          <w:lang w:eastAsia="bg-BG"/>
        </w:rPr>
      </w:pPr>
    </w:p>
    <w:p w14:paraId="2F910681" w14:textId="191BA273" w:rsidR="0004415C" w:rsidRPr="0004415C" w:rsidRDefault="0004415C" w:rsidP="0004415C">
      <w:pPr>
        <w:spacing w:line="240" w:lineRule="auto"/>
        <w:rPr>
          <w:rFonts w:eastAsia="Times New Roman" w:cs="Arial"/>
          <w:sz w:val="24"/>
          <w:szCs w:val="24"/>
        </w:rPr>
      </w:pPr>
      <w:r w:rsidRPr="0004415C">
        <w:rPr>
          <w:rFonts w:eastAsia="Times New Roman" w:cs="Arial"/>
          <w:color w:val="000000"/>
          <w:u w:val="single"/>
          <w:lang w:eastAsia="bg-BG"/>
        </w:rPr>
        <w:t>Гранични стойности</w:t>
      </w:r>
    </w:p>
    <w:p w14:paraId="23DAB9EE" w14:textId="77777777" w:rsidR="0004415C" w:rsidRPr="0004415C" w:rsidRDefault="0004415C" w:rsidP="0004415C">
      <w:pPr>
        <w:spacing w:line="240" w:lineRule="auto"/>
        <w:rPr>
          <w:rFonts w:eastAsia="Times New Roman" w:cs="Arial"/>
          <w:color w:val="000000"/>
          <w:lang w:eastAsia="bg-BG"/>
        </w:rPr>
      </w:pPr>
    </w:p>
    <w:p w14:paraId="741263AE" w14:textId="359B56D4" w:rsidR="0004415C" w:rsidRPr="0004415C" w:rsidRDefault="0004415C" w:rsidP="0004415C">
      <w:pPr>
        <w:spacing w:line="240" w:lineRule="auto"/>
        <w:rPr>
          <w:rFonts w:eastAsia="Times New Roman" w:cs="Arial"/>
          <w:sz w:val="24"/>
          <w:szCs w:val="24"/>
        </w:rPr>
      </w:pPr>
      <w:r w:rsidRPr="0004415C">
        <w:rPr>
          <w:rFonts w:eastAsia="Times New Roman" w:cs="Arial"/>
          <w:color w:val="000000"/>
          <w:lang w:eastAsia="bg-BG"/>
        </w:rPr>
        <w:t xml:space="preserve">Граничните стойности за </w:t>
      </w:r>
      <w:r w:rsidRPr="0004415C">
        <w:rPr>
          <w:rFonts w:eastAsia="Times New Roman" w:cs="Arial"/>
          <w:color w:val="000000"/>
          <w:lang w:val="en-US"/>
        </w:rPr>
        <w:t>MIC</w:t>
      </w:r>
      <w:r w:rsidRPr="0004415C">
        <w:rPr>
          <w:rFonts w:eastAsia="Times New Roman" w:cs="Arial"/>
          <w:color w:val="000000"/>
          <w:lang w:val="ru-RU"/>
        </w:rPr>
        <w:t xml:space="preserve"> </w:t>
      </w:r>
      <w:r w:rsidRPr="0004415C">
        <w:rPr>
          <w:rFonts w:eastAsia="Times New Roman" w:cs="Arial"/>
          <w:color w:val="000000"/>
          <w:lang w:eastAsia="bg-BG"/>
        </w:rPr>
        <w:t xml:space="preserve">на амоксицилин/клавуланова киселина са тези на Европейския комитет за определяне на антимикробна чувствителност </w:t>
      </w:r>
      <w:r w:rsidRPr="0004415C">
        <w:rPr>
          <w:rFonts w:eastAsia="Times New Roman" w:cs="Arial"/>
          <w:color w:val="000000"/>
          <w:lang w:val="ru-RU"/>
        </w:rPr>
        <w:t>(</w:t>
      </w:r>
      <w:r w:rsidRPr="0004415C">
        <w:rPr>
          <w:rFonts w:eastAsia="Times New Roman" w:cs="Arial"/>
          <w:color w:val="000000"/>
          <w:lang w:val="en-US"/>
        </w:rPr>
        <w:t>EUCAST</w:t>
      </w:r>
      <w:r w:rsidRPr="0004415C">
        <w:rPr>
          <w:rFonts w:eastAsia="Times New Roman" w:cs="Arial"/>
          <w:color w:val="000000"/>
          <w:lang w:val="ru-RU"/>
        </w:rPr>
        <w:t>)</w:t>
      </w:r>
    </w:p>
    <w:tbl>
      <w:tblPr>
        <w:tblStyle w:val="TableGrid"/>
        <w:tblW w:w="0" w:type="auto"/>
        <w:tblLook w:val="04A0" w:firstRow="1" w:lastRow="0" w:firstColumn="1" w:lastColumn="0" w:noHBand="0" w:noVBand="1"/>
      </w:tblPr>
      <w:tblGrid>
        <w:gridCol w:w="3349"/>
        <w:gridCol w:w="1636"/>
        <w:gridCol w:w="2316"/>
        <w:gridCol w:w="2275"/>
      </w:tblGrid>
      <w:tr w:rsidR="0004415C" w14:paraId="5EE431F6" w14:textId="77777777" w:rsidTr="0004415C">
        <w:tc>
          <w:tcPr>
            <w:tcW w:w="3349" w:type="dxa"/>
          </w:tcPr>
          <w:p w14:paraId="36FC4CB4" w14:textId="4087C419" w:rsidR="0004415C" w:rsidRDefault="0004415C" w:rsidP="0004415C">
            <w:r>
              <w:t>Микроорганизъм</w:t>
            </w:r>
          </w:p>
        </w:tc>
        <w:tc>
          <w:tcPr>
            <w:tcW w:w="6227" w:type="dxa"/>
            <w:gridSpan w:val="3"/>
          </w:tcPr>
          <w:p w14:paraId="56AA50A2" w14:textId="337AD7DD" w:rsidR="0004415C" w:rsidRDefault="0004415C" w:rsidP="0004415C">
            <w:r>
              <w:t xml:space="preserve">Гранични стойности на чувствителност </w:t>
            </w:r>
            <w:r w:rsidRPr="0004415C">
              <w:rPr>
                <w:lang w:val="ru-RU"/>
              </w:rPr>
              <w:t>(</w:t>
            </w:r>
            <w:r>
              <w:t>μ</w:t>
            </w:r>
            <w:r>
              <w:rPr>
                <w:lang w:val="en-US"/>
              </w:rPr>
              <w:t>g</w:t>
            </w:r>
            <w:r w:rsidRPr="0004415C">
              <w:rPr>
                <w:lang w:val="ru-RU"/>
              </w:rPr>
              <w:t>/</w:t>
            </w:r>
            <w:r>
              <w:rPr>
                <w:lang w:val="en-US"/>
              </w:rPr>
              <w:t>ml</w:t>
            </w:r>
            <w:r w:rsidRPr="0004415C">
              <w:rPr>
                <w:lang w:val="ru-RU"/>
              </w:rPr>
              <w:t>)</w:t>
            </w:r>
          </w:p>
        </w:tc>
      </w:tr>
      <w:tr w:rsidR="0004415C" w14:paraId="7F044A0E" w14:textId="77777777" w:rsidTr="0004415C">
        <w:tc>
          <w:tcPr>
            <w:tcW w:w="3349" w:type="dxa"/>
          </w:tcPr>
          <w:p w14:paraId="735DA5C5" w14:textId="77777777" w:rsidR="0004415C" w:rsidRDefault="0004415C" w:rsidP="0004415C"/>
        </w:tc>
        <w:tc>
          <w:tcPr>
            <w:tcW w:w="1636" w:type="dxa"/>
          </w:tcPr>
          <w:p w14:paraId="6AAD7CFC" w14:textId="61210313" w:rsidR="0004415C" w:rsidRDefault="0004415C" w:rsidP="0004415C">
            <w:r>
              <w:t>Чувствителен</w:t>
            </w:r>
          </w:p>
        </w:tc>
        <w:tc>
          <w:tcPr>
            <w:tcW w:w="2316" w:type="dxa"/>
          </w:tcPr>
          <w:p w14:paraId="1CA0CAA8" w14:textId="4A7FDBCC" w:rsidR="0004415C" w:rsidRDefault="0004415C" w:rsidP="0004415C">
            <w:r>
              <w:t>Умерена чувствителност</w:t>
            </w:r>
          </w:p>
        </w:tc>
        <w:tc>
          <w:tcPr>
            <w:tcW w:w="2275" w:type="dxa"/>
          </w:tcPr>
          <w:p w14:paraId="5F8B5337" w14:textId="26201088" w:rsidR="0004415C" w:rsidRDefault="0004415C" w:rsidP="0004415C">
            <w:r>
              <w:t>Резистентен</w:t>
            </w:r>
          </w:p>
        </w:tc>
      </w:tr>
      <w:tr w:rsidR="0004415C" w14:paraId="03138964" w14:textId="77777777" w:rsidTr="0004415C">
        <w:tc>
          <w:tcPr>
            <w:tcW w:w="3349" w:type="dxa"/>
          </w:tcPr>
          <w:p w14:paraId="6299FC8F" w14:textId="6B24D94B" w:rsidR="0004415C" w:rsidRDefault="0004415C" w:rsidP="0004415C">
            <w:r>
              <w:rPr>
                <w:i/>
                <w:iCs/>
              </w:rPr>
              <w:t>Haemophilus influenzae</w:t>
            </w:r>
            <w:r>
              <w:rPr>
                <w:i/>
                <w:iCs/>
                <w:vertAlign w:val="superscript"/>
              </w:rPr>
              <w:t>1</w:t>
            </w:r>
          </w:p>
        </w:tc>
        <w:tc>
          <w:tcPr>
            <w:tcW w:w="1636" w:type="dxa"/>
          </w:tcPr>
          <w:p w14:paraId="487AF55B" w14:textId="6D6E866D" w:rsidR="0004415C" w:rsidRDefault="0004415C" w:rsidP="0004415C">
            <w:r>
              <w:t>≤ 1</w:t>
            </w:r>
          </w:p>
        </w:tc>
        <w:tc>
          <w:tcPr>
            <w:tcW w:w="2316" w:type="dxa"/>
          </w:tcPr>
          <w:p w14:paraId="3023841E" w14:textId="4427F6D6" w:rsidR="0004415C" w:rsidRDefault="0004415C" w:rsidP="0004415C">
            <w:r>
              <w:t>-</w:t>
            </w:r>
          </w:p>
        </w:tc>
        <w:tc>
          <w:tcPr>
            <w:tcW w:w="2275" w:type="dxa"/>
          </w:tcPr>
          <w:p w14:paraId="5D90477E" w14:textId="4C3557AB" w:rsidR="0004415C" w:rsidRDefault="0004415C" w:rsidP="0004415C">
            <w:r>
              <w:t>&gt; 1</w:t>
            </w:r>
          </w:p>
        </w:tc>
      </w:tr>
      <w:tr w:rsidR="0004415C" w14:paraId="1E398867" w14:textId="77777777" w:rsidTr="0004415C">
        <w:tc>
          <w:tcPr>
            <w:tcW w:w="3349" w:type="dxa"/>
          </w:tcPr>
          <w:p w14:paraId="1F8A61ED" w14:textId="7FB10795" w:rsidR="0004415C" w:rsidRDefault="0004415C" w:rsidP="0004415C">
            <w:r>
              <w:rPr>
                <w:i/>
                <w:iCs/>
              </w:rPr>
              <w:t>Moraxella catarrhal is</w:t>
            </w:r>
            <w:r>
              <w:rPr>
                <w:i/>
                <w:iCs/>
                <w:vertAlign w:val="superscript"/>
              </w:rPr>
              <w:t>1</w:t>
            </w:r>
          </w:p>
        </w:tc>
        <w:tc>
          <w:tcPr>
            <w:tcW w:w="1636" w:type="dxa"/>
          </w:tcPr>
          <w:p w14:paraId="1ADB751A" w14:textId="3571127D" w:rsidR="0004415C" w:rsidRDefault="0004415C" w:rsidP="0004415C">
            <w:r>
              <w:t>≤1</w:t>
            </w:r>
          </w:p>
        </w:tc>
        <w:tc>
          <w:tcPr>
            <w:tcW w:w="2316" w:type="dxa"/>
          </w:tcPr>
          <w:p w14:paraId="7028332B" w14:textId="4DDF174E" w:rsidR="0004415C" w:rsidRDefault="0004415C" w:rsidP="0004415C">
            <w:r>
              <w:t>-</w:t>
            </w:r>
          </w:p>
        </w:tc>
        <w:tc>
          <w:tcPr>
            <w:tcW w:w="2275" w:type="dxa"/>
          </w:tcPr>
          <w:p w14:paraId="513FF8D3" w14:textId="028DF9A2" w:rsidR="0004415C" w:rsidRDefault="0004415C" w:rsidP="0004415C">
            <w:r>
              <w:t>&gt; 1</w:t>
            </w:r>
          </w:p>
        </w:tc>
      </w:tr>
      <w:tr w:rsidR="0004415C" w14:paraId="474307C2" w14:textId="77777777" w:rsidTr="0004415C">
        <w:tc>
          <w:tcPr>
            <w:tcW w:w="3349" w:type="dxa"/>
          </w:tcPr>
          <w:p w14:paraId="2032916A" w14:textId="457CCA5A" w:rsidR="0004415C" w:rsidRDefault="0004415C" w:rsidP="0004415C">
            <w:r>
              <w:rPr>
                <w:i/>
                <w:iCs/>
              </w:rPr>
              <w:t>Staphylococcus aureus</w:t>
            </w:r>
            <w:r>
              <w:rPr>
                <w:i/>
                <w:iCs/>
                <w:vertAlign w:val="superscript"/>
              </w:rPr>
              <w:t>2</w:t>
            </w:r>
          </w:p>
        </w:tc>
        <w:tc>
          <w:tcPr>
            <w:tcW w:w="1636" w:type="dxa"/>
          </w:tcPr>
          <w:p w14:paraId="4F01599C" w14:textId="1BAE7DB7" w:rsidR="0004415C" w:rsidRDefault="0004415C" w:rsidP="0004415C">
            <w:r>
              <w:t>≤2</w:t>
            </w:r>
          </w:p>
        </w:tc>
        <w:tc>
          <w:tcPr>
            <w:tcW w:w="2316" w:type="dxa"/>
          </w:tcPr>
          <w:p w14:paraId="01D7A82B" w14:textId="1019A25D" w:rsidR="0004415C" w:rsidRDefault="0004415C" w:rsidP="0004415C">
            <w:r>
              <w:t>-</w:t>
            </w:r>
          </w:p>
        </w:tc>
        <w:tc>
          <w:tcPr>
            <w:tcW w:w="2275" w:type="dxa"/>
          </w:tcPr>
          <w:p w14:paraId="495B1BB7" w14:textId="42767BD6" w:rsidR="0004415C" w:rsidRDefault="0004415C" w:rsidP="0004415C">
            <w:r>
              <w:t>&gt;2</w:t>
            </w:r>
          </w:p>
        </w:tc>
      </w:tr>
      <w:tr w:rsidR="0004415C" w14:paraId="1AB64C2D" w14:textId="77777777" w:rsidTr="0004415C">
        <w:tc>
          <w:tcPr>
            <w:tcW w:w="3349" w:type="dxa"/>
          </w:tcPr>
          <w:p w14:paraId="718D8ADF" w14:textId="5F6BB5D6" w:rsidR="0004415C" w:rsidRDefault="0004415C" w:rsidP="0004415C">
            <w:r>
              <w:rPr>
                <w:lang w:eastAsia="bg-BG"/>
              </w:rPr>
              <w:t>Коагулаза-отрицателни стафилококи</w:t>
            </w:r>
            <w:r>
              <w:rPr>
                <w:vertAlign w:val="superscript"/>
                <w:lang w:eastAsia="bg-BG"/>
              </w:rPr>
              <w:t>2</w:t>
            </w:r>
          </w:p>
        </w:tc>
        <w:tc>
          <w:tcPr>
            <w:tcW w:w="1636" w:type="dxa"/>
          </w:tcPr>
          <w:p w14:paraId="5E156E58" w14:textId="5679A778" w:rsidR="0004415C" w:rsidRDefault="0004415C" w:rsidP="0004415C">
            <w:r>
              <w:t>≤0.25</w:t>
            </w:r>
          </w:p>
        </w:tc>
        <w:tc>
          <w:tcPr>
            <w:tcW w:w="2316" w:type="dxa"/>
          </w:tcPr>
          <w:p w14:paraId="7736FE02" w14:textId="77777777" w:rsidR="0004415C" w:rsidRDefault="0004415C" w:rsidP="0004415C"/>
        </w:tc>
        <w:tc>
          <w:tcPr>
            <w:tcW w:w="2275" w:type="dxa"/>
          </w:tcPr>
          <w:p w14:paraId="13BB7CFA" w14:textId="141A818F" w:rsidR="0004415C" w:rsidRDefault="0004415C" w:rsidP="0004415C">
            <w:r>
              <w:t>&gt;0.25</w:t>
            </w:r>
          </w:p>
        </w:tc>
      </w:tr>
      <w:tr w:rsidR="0004415C" w14:paraId="30385A0C" w14:textId="77777777" w:rsidTr="0004415C">
        <w:tc>
          <w:tcPr>
            <w:tcW w:w="3349" w:type="dxa"/>
          </w:tcPr>
          <w:p w14:paraId="5E952D84" w14:textId="422BB619" w:rsidR="0004415C" w:rsidRDefault="0004415C" w:rsidP="0004415C">
            <w:r>
              <w:rPr>
                <w:i/>
                <w:iCs/>
              </w:rPr>
              <w:t>Enterococcus</w:t>
            </w:r>
            <w:r>
              <w:rPr>
                <w:i/>
                <w:iCs/>
                <w:vertAlign w:val="superscript"/>
              </w:rPr>
              <w:t>1</w:t>
            </w:r>
          </w:p>
        </w:tc>
        <w:tc>
          <w:tcPr>
            <w:tcW w:w="1636" w:type="dxa"/>
          </w:tcPr>
          <w:p w14:paraId="1C00129F" w14:textId="57E9120E" w:rsidR="0004415C" w:rsidRDefault="0004415C" w:rsidP="0004415C">
            <w:r>
              <w:t>≤4</w:t>
            </w:r>
          </w:p>
        </w:tc>
        <w:tc>
          <w:tcPr>
            <w:tcW w:w="2316" w:type="dxa"/>
          </w:tcPr>
          <w:p w14:paraId="49D7264B" w14:textId="23668B63" w:rsidR="0004415C" w:rsidRDefault="0004415C" w:rsidP="0004415C">
            <w:r>
              <w:t>8</w:t>
            </w:r>
          </w:p>
        </w:tc>
        <w:tc>
          <w:tcPr>
            <w:tcW w:w="2275" w:type="dxa"/>
          </w:tcPr>
          <w:p w14:paraId="5DE4DE7D" w14:textId="2FFE28D0" w:rsidR="0004415C" w:rsidRDefault="0004415C" w:rsidP="0004415C">
            <w:r>
              <w:t>&gt;8</w:t>
            </w:r>
          </w:p>
        </w:tc>
      </w:tr>
      <w:tr w:rsidR="0004415C" w14:paraId="0E9B39CE" w14:textId="77777777" w:rsidTr="0004415C">
        <w:tc>
          <w:tcPr>
            <w:tcW w:w="3349" w:type="dxa"/>
          </w:tcPr>
          <w:p w14:paraId="7CE342C4" w14:textId="21F5B161" w:rsidR="0004415C" w:rsidRDefault="0004415C" w:rsidP="0004415C">
            <w:r>
              <w:rPr>
                <w:i/>
                <w:iCs/>
              </w:rPr>
              <w:t xml:space="preserve">Streptococcus </w:t>
            </w:r>
            <w:r>
              <w:rPr>
                <w:i/>
                <w:iCs/>
                <w:lang w:eastAsia="bg-BG"/>
              </w:rPr>
              <w:t xml:space="preserve">А, В, </w:t>
            </w:r>
            <w:r>
              <w:rPr>
                <w:i/>
                <w:iCs/>
              </w:rPr>
              <w:t>C, G</w:t>
            </w:r>
            <w:r>
              <w:rPr>
                <w:i/>
                <w:iCs/>
                <w:vertAlign w:val="superscript"/>
              </w:rPr>
              <w:t>5</w:t>
            </w:r>
          </w:p>
        </w:tc>
        <w:tc>
          <w:tcPr>
            <w:tcW w:w="1636" w:type="dxa"/>
          </w:tcPr>
          <w:p w14:paraId="35855330" w14:textId="447070DB" w:rsidR="0004415C" w:rsidRDefault="0004415C" w:rsidP="0004415C">
            <w:r>
              <w:t>≤0.25</w:t>
            </w:r>
          </w:p>
        </w:tc>
        <w:tc>
          <w:tcPr>
            <w:tcW w:w="2316" w:type="dxa"/>
          </w:tcPr>
          <w:p w14:paraId="56D52730" w14:textId="28A64B5D" w:rsidR="0004415C" w:rsidRDefault="0004415C" w:rsidP="0004415C">
            <w:r>
              <w:t>-</w:t>
            </w:r>
          </w:p>
        </w:tc>
        <w:tc>
          <w:tcPr>
            <w:tcW w:w="2275" w:type="dxa"/>
          </w:tcPr>
          <w:p w14:paraId="4A4D329B" w14:textId="0EA60568" w:rsidR="0004415C" w:rsidRDefault="0004415C" w:rsidP="0004415C">
            <w:r>
              <w:t>&gt;0.25</w:t>
            </w:r>
          </w:p>
        </w:tc>
      </w:tr>
      <w:tr w:rsidR="0004415C" w14:paraId="4FA7A780" w14:textId="77777777" w:rsidTr="0004415C">
        <w:tc>
          <w:tcPr>
            <w:tcW w:w="3349" w:type="dxa"/>
          </w:tcPr>
          <w:p w14:paraId="740550F9" w14:textId="69A296F9" w:rsidR="0004415C" w:rsidRDefault="0004415C" w:rsidP="0004415C">
            <w:r>
              <w:rPr>
                <w:i/>
                <w:iCs/>
              </w:rPr>
              <w:t>Streptococcus pneumoniae</w:t>
            </w:r>
            <w:r>
              <w:rPr>
                <w:i/>
                <w:iCs/>
                <w:vertAlign w:val="superscript"/>
              </w:rPr>
              <w:t>3</w:t>
            </w:r>
          </w:p>
        </w:tc>
        <w:tc>
          <w:tcPr>
            <w:tcW w:w="1636" w:type="dxa"/>
          </w:tcPr>
          <w:p w14:paraId="0B00690E" w14:textId="122A195C" w:rsidR="0004415C" w:rsidRDefault="0004415C" w:rsidP="0004415C">
            <w:r>
              <w:t>≤0.5</w:t>
            </w:r>
          </w:p>
        </w:tc>
        <w:tc>
          <w:tcPr>
            <w:tcW w:w="2316" w:type="dxa"/>
          </w:tcPr>
          <w:p w14:paraId="29CAF6A9" w14:textId="741BA933" w:rsidR="0004415C" w:rsidRDefault="0004415C" w:rsidP="0004415C">
            <w:r>
              <w:t>1-2</w:t>
            </w:r>
          </w:p>
        </w:tc>
        <w:tc>
          <w:tcPr>
            <w:tcW w:w="2275" w:type="dxa"/>
          </w:tcPr>
          <w:p w14:paraId="6A656A30" w14:textId="6436EE01" w:rsidR="0004415C" w:rsidRDefault="0004415C" w:rsidP="0004415C">
            <w:r>
              <w:t>&gt;2</w:t>
            </w:r>
          </w:p>
        </w:tc>
      </w:tr>
      <w:tr w:rsidR="0004415C" w14:paraId="1E91C6E2" w14:textId="77777777" w:rsidTr="0004415C">
        <w:tc>
          <w:tcPr>
            <w:tcW w:w="3349" w:type="dxa"/>
          </w:tcPr>
          <w:p w14:paraId="6DD1C133" w14:textId="1D86CC44" w:rsidR="0004415C" w:rsidRDefault="0004415C" w:rsidP="0004415C">
            <w:r>
              <w:rPr>
                <w:i/>
                <w:iCs/>
              </w:rPr>
              <w:t>Enterobacteriaceae</w:t>
            </w:r>
            <w:r>
              <w:rPr>
                <w:i/>
                <w:iCs/>
                <w:vertAlign w:val="superscript"/>
              </w:rPr>
              <w:t>1.4</w:t>
            </w:r>
          </w:p>
        </w:tc>
        <w:tc>
          <w:tcPr>
            <w:tcW w:w="1636" w:type="dxa"/>
          </w:tcPr>
          <w:p w14:paraId="22EDAA5B" w14:textId="2A558C88" w:rsidR="0004415C" w:rsidRDefault="0004415C" w:rsidP="0004415C">
            <w:r>
              <w:t>-</w:t>
            </w:r>
          </w:p>
        </w:tc>
        <w:tc>
          <w:tcPr>
            <w:tcW w:w="2316" w:type="dxa"/>
          </w:tcPr>
          <w:p w14:paraId="12AD1D08" w14:textId="2EFD1406" w:rsidR="0004415C" w:rsidRDefault="0004415C" w:rsidP="0004415C">
            <w:r>
              <w:t>-</w:t>
            </w:r>
          </w:p>
        </w:tc>
        <w:tc>
          <w:tcPr>
            <w:tcW w:w="2275" w:type="dxa"/>
          </w:tcPr>
          <w:p w14:paraId="163F89AF" w14:textId="3DF6031F" w:rsidR="0004415C" w:rsidRDefault="0004415C" w:rsidP="0004415C">
            <w:r>
              <w:t>&gt;8</w:t>
            </w:r>
          </w:p>
        </w:tc>
      </w:tr>
      <w:tr w:rsidR="0004415C" w14:paraId="19E1FF08" w14:textId="77777777" w:rsidTr="0004415C">
        <w:tc>
          <w:tcPr>
            <w:tcW w:w="3349" w:type="dxa"/>
          </w:tcPr>
          <w:p w14:paraId="59878A71" w14:textId="5756FF34" w:rsidR="0004415C" w:rsidRDefault="0004415C" w:rsidP="0004415C">
            <w:r>
              <w:rPr>
                <w:lang w:eastAsia="bg-BG"/>
              </w:rPr>
              <w:t>Грам-отрицателни анаероби</w:t>
            </w:r>
            <w:r>
              <w:rPr>
                <w:vertAlign w:val="superscript"/>
                <w:lang w:eastAsia="bg-BG"/>
              </w:rPr>
              <w:t>1</w:t>
            </w:r>
          </w:p>
        </w:tc>
        <w:tc>
          <w:tcPr>
            <w:tcW w:w="1636" w:type="dxa"/>
          </w:tcPr>
          <w:p w14:paraId="3FD6EFB0" w14:textId="21E2870B" w:rsidR="0004415C" w:rsidRDefault="0004415C" w:rsidP="0004415C">
            <w:r>
              <w:t>≤4</w:t>
            </w:r>
          </w:p>
        </w:tc>
        <w:tc>
          <w:tcPr>
            <w:tcW w:w="2316" w:type="dxa"/>
          </w:tcPr>
          <w:p w14:paraId="33B5F639" w14:textId="0A636F1E" w:rsidR="0004415C" w:rsidRDefault="0004415C" w:rsidP="0004415C">
            <w:r>
              <w:t>8</w:t>
            </w:r>
          </w:p>
        </w:tc>
        <w:tc>
          <w:tcPr>
            <w:tcW w:w="2275" w:type="dxa"/>
          </w:tcPr>
          <w:p w14:paraId="66B3C6E4" w14:textId="23AA7544" w:rsidR="0004415C" w:rsidRDefault="0004415C" w:rsidP="0004415C">
            <w:r>
              <w:t>&gt;8</w:t>
            </w:r>
          </w:p>
        </w:tc>
      </w:tr>
      <w:tr w:rsidR="0004415C" w14:paraId="46E530BF" w14:textId="77777777" w:rsidTr="0004415C">
        <w:tc>
          <w:tcPr>
            <w:tcW w:w="3349" w:type="dxa"/>
          </w:tcPr>
          <w:p w14:paraId="0E01A675" w14:textId="3F895810" w:rsidR="0004415C" w:rsidRDefault="0004415C" w:rsidP="0004415C">
            <w:r>
              <w:rPr>
                <w:lang w:eastAsia="bg-BG"/>
              </w:rPr>
              <w:t>Грам-положителни анаероби</w:t>
            </w:r>
            <w:r>
              <w:rPr>
                <w:vertAlign w:val="superscript"/>
                <w:lang w:eastAsia="bg-BG"/>
              </w:rPr>
              <w:t>1</w:t>
            </w:r>
          </w:p>
        </w:tc>
        <w:tc>
          <w:tcPr>
            <w:tcW w:w="1636" w:type="dxa"/>
          </w:tcPr>
          <w:p w14:paraId="705B9418" w14:textId="5D61815A" w:rsidR="0004415C" w:rsidRDefault="0004415C" w:rsidP="0004415C">
            <w:r>
              <w:t>≤4</w:t>
            </w:r>
          </w:p>
        </w:tc>
        <w:tc>
          <w:tcPr>
            <w:tcW w:w="2316" w:type="dxa"/>
          </w:tcPr>
          <w:p w14:paraId="044D4267" w14:textId="00AC36C3" w:rsidR="0004415C" w:rsidRDefault="0004415C" w:rsidP="0004415C">
            <w:r>
              <w:t>8</w:t>
            </w:r>
          </w:p>
        </w:tc>
        <w:tc>
          <w:tcPr>
            <w:tcW w:w="2275" w:type="dxa"/>
          </w:tcPr>
          <w:p w14:paraId="22F90944" w14:textId="69BD7AE1" w:rsidR="0004415C" w:rsidRDefault="0004415C" w:rsidP="0004415C">
            <w:r>
              <w:t>&gt;8</w:t>
            </w:r>
          </w:p>
        </w:tc>
      </w:tr>
      <w:tr w:rsidR="0004415C" w14:paraId="055D4225" w14:textId="77777777" w:rsidTr="0004415C">
        <w:tc>
          <w:tcPr>
            <w:tcW w:w="3349" w:type="dxa"/>
          </w:tcPr>
          <w:p w14:paraId="618BEE52" w14:textId="1304466A" w:rsidR="0004415C" w:rsidRDefault="0004415C" w:rsidP="0004415C">
            <w:r>
              <w:rPr>
                <w:lang w:eastAsia="bg-BG"/>
              </w:rPr>
              <w:t>Несвързани с щама гранични стойности</w:t>
            </w:r>
            <w:r>
              <w:rPr>
                <w:vertAlign w:val="superscript"/>
                <w:lang w:eastAsia="bg-BG"/>
              </w:rPr>
              <w:t>1</w:t>
            </w:r>
          </w:p>
        </w:tc>
        <w:tc>
          <w:tcPr>
            <w:tcW w:w="1636" w:type="dxa"/>
          </w:tcPr>
          <w:p w14:paraId="50429EF3" w14:textId="251FF1BE" w:rsidR="0004415C" w:rsidRDefault="0004415C" w:rsidP="0004415C">
            <w:r>
              <w:t>≤2</w:t>
            </w:r>
          </w:p>
        </w:tc>
        <w:tc>
          <w:tcPr>
            <w:tcW w:w="2316" w:type="dxa"/>
          </w:tcPr>
          <w:p w14:paraId="26D89DFB" w14:textId="5589C975" w:rsidR="0004415C" w:rsidRDefault="0004415C" w:rsidP="0004415C">
            <w:r>
              <w:t>4-8</w:t>
            </w:r>
          </w:p>
        </w:tc>
        <w:tc>
          <w:tcPr>
            <w:tcW w:w="2275" w:type="dxa"/>
          </w:tcPr>
          <w:p w14:paraId="5F316785" w14:textId="220279A1" w:rsidR="0004415C" w:rsidRDefault="0004415C" w:rsidP="0004415C">
            <w:r>
              <w:t>&gt;8</w:t>
            </w:r>
          </w:p>
        </w:tc>
      </w:tr>
      <w:tr w:rsidR="0004415C" w14:paraId="4349F653" w14:textId="77777777" w:rsidTr="0004415C">
        <w:tc>
          <w:tcPr>
            <w:tcW w:w="9576" w:type="dxa"/>
            <w:gridSpan w:val="4"/>
          </w:tcPr>
          <w:p w14:paraId="625BCF16" w14:textId="04B52407" w:rsidR="0004415C" w:rsidRPr="0004415C" w:rsidRDefault="0004415C" w:rsidP="0004415C">
            <w:pPr>
              <w:spacing w:line="240" w:lineRule="auto"/>
              <w:rPr>
                <w:rFonts w:ascii="Times New Roman" w:eastAsia="Times New Roman" w:hAnsi="Times New Roman" w:cs="Times New Roman"/>
                <w:color w:val="000000"/>
                <w:lang w:eastAsia="bg-BG"/>
              </w:rPr>
            </w:pPr>
            <w:r w:rsidRPr="0004415C">
              <w:rPr>
                <w:rFonts w:ascii="Times New Roman" w:eastAsia="Times New Roman" w:hAnsi="Times New Roman" w:cs="Times New Roman"/>
                <w:color w:val="000000"/>
                <w:vertAlign w:val="superscript"/>
                <w:lang w:eastAsia="bg-BG"/>
              </w:rPr>
              <w:t>1</w:t>
            </w:r>
            <w:r w:rsidRPr="0004415C">
              <w:rPr>
                <w:rFonts w:ascii="Times New Roman" w:eastAsia="Times New Roman" w:hAnsi="Times New Roman" w:cs="Times New Roman"/>
                <w:color w:val="000000"/>
                <w:lang w:eastAsia="bg-BG"/>
              </w:rPr>
              <w:t xml:space="preserve">Посочените стойности са за концентрация амоксицилин. За целите на изпитването за чувствителност, концентрацията на клавулановата киселина е фиксирана на 2 </w:t>
            </w:r>
            <w:r w:rsidRPr="0004415C">
              <w:rPr>
                <w:rFonts w:ascii="Times New Roman" w:eastAsia="Times New Roman" w:hAnsi="Times New Roman" w:cs="Times New Roman"/>
                <w:color w:val="000000"/>
                <w:lang w:val="en-US"/>
              </w:rPr>
              <w:t>mg</w:t>
            </w:r>
            <w:r w:rsidRPr="0004415C">
              <w:rPr>
                <w:rFonts w:ascii="Times New Roman" w:eastAsia="Times New Roman" w:hAnsi="Times New Roman" w:cs="Times New Roman"/>
                <w:color w:val="000000"/>
                <w:lang w:val="ru-RU"/>
              </w:rPr>
              <w:t>/</w:t>
            </w:r>
            <w:r w:rsidRPr="0004415C">
              <w:rPr>
                <w:rFonts w:ascii="Times New Roman" w:eastAsia="Times New Roman" w:hAnsi="Times New Roman" w:cs="Times New Roman"/>
                <w:color w:val="000000"/>
                <w:lang w:val="en-US"/>
              </w:rPr>
              <w:t>l</w:t>
            </w:r>
            <w:r w:rsidRPr="0004415C">
              <w:rPr>
                <w:rFonts w:ascii="Times New Roman" w:eastAsia="Times New Roman" w:hAnsi="Times New Roman" w:cs="Times New Roman"/>
                <w:color w:val="000000"/>
                <w:lang w:val="ru-RU"/>
              </w:rPr>
              <w:t>.</w:t>
            </w:r>
          </w:p>
          <w:p w14:paraId="77247633" w14:textId="3433C8EE" w:rsidR="0004415C" w:rsidRPr="0004415C" w:rsidRDefault="0004415C" w:rsidP="0004415C">
            <w:pPr>
              <w:spacing w:line="240" w:lineRule="auto"/>
              <w:rPr>
                <w:rFonts w:ascii="Times New Roman" w:eastAsia="Times New Roman" w:hAnsi="Times New Roman" w:cs="Times New Roman"/>
                <w:color w:val="000000"/>
                <w:lang w:eastAsia="bg-BG"/>
              </w:rPr>
            </w:pPr>
            <w:r w:rsidRPr="0004415C">
              <w:rPr>
                <w:rFonts w:ascii="Times New Roman" w:eastAsia="Times New Roman" w:hAnsi="Times New Roman" w:cs="Times New Roman"/>
                <w:color w:val="000000"/>
                <w:vertAlign w:val="superscript"/>
                <w:lang w:eastAsia="bg-BG"/>
              </w:rPr>
              <w:t>2</w:t>
            </w:r>
            <w:r w:rsidRPr="0004415C">
              <w:rPr>
                <w:rFonts w:ascii="Times New Roman" w:eastAsia="Times New Roman" w:hAnsi="Times New Roman" w:cs="Times New Roman"/>
                <w:color w:val="000000"/>
                <w:lang w:eastAsia="bg-BG"/>
              </w:rPr>
              <w:t>Посочените стойности са за концентрация оксацилин.</w:t>
            </w:r>
          </w:p>
          <w:p w14:paraId="4CD7825B" w14:textId="41B028A1" w:rsidR="0004415C" w:rsidRPr="0004415C" w:rsidRDefault="0004415C" w:rsidP="0004415C">
            <w:pPr>
              <w:spacing w:line="240" w:lineRule="auto"/>
              <w:rPr>
                <w:rFonts w:ascii="Times New Roman" w:eastAsia="Times New Roman" w:hAnsi="Times New Roman" w:cs="Times New Roman"/>
                <w:color w:val="000000"/>
                <w:lang w:eastAsia="bg-BG"/>
              </w:rPr>
            </w:pPr>
            <w:r w:rsidRPr="0004415C">
              <w:rPr>
                <w:rFonts w:ascii="Times New Roman" w:eastAsia="Times New Roman" w:hAnsi="Times New Roman" w:cs="Times New Roman"/>
                <w:color w:val="000000"/>
                <w:vertAlign w:val="superscript"/>
                <w:lang w:eastAsia="bg-BG"/>
              </w:rPr>
              <w:t>3</w:t>
            </w:r>
            <w:r w:rsidRPr="0004415C">
              <w:rPr>
                <w:rFonts w:ascii="Times New Roman" w:eastAsia="Times New Roman" w:hAnsi="Times New Roman" w:cs="Times New Roman"/>
                <w:color w:val="000000"/>
                <w:lang w:eastAsia="bg-BG"/>
              </w:rPr>
              <w:t>Граничните стойности в таблицата се основават на граничните стойности на ампицилин</w:t>
            </w:r>
          </w:p>
          <w:p w14:paraId="02B0B268" w14:textId="1E137DFC" w:rsidR="0004415C" w:rsidRPr="0004415C" w:rsidRDefault="0004415C" w:rsidP="0004415C">
            <w:pPr>
              <w:spacing w:line="240" w:lineRule="auto"/>
              <w:rPr>
                <w:rFonts w:ascii="Times New Roman" w:eastAsia="Times New Roman" w:hAnsi="Times New Roman" w:cs="Times New Roman"/>
                <w:color w:val="000000"/>
                <w:lang w:eastAsia="bg-BG"/>
              </w:rPr>
            </w:pPr>
            <w:r w:rsidRPr="0004415C">
              <w:rPr>
                <w:rFonts w:ascii="Times New Roman" w:eastAsia="Times New Roman" w:hAnsi="Times New Roman" w:cs="Times New Roman"/>
                <w:color w:val="000000"/>
                <w:vertAlign w:val="superscript"/>
                <w:lang w:eastAsia="bg-BG"/>
              </w:rPr>
              <w:t>4</w:t>
            </w:r>
            <w:r w:rsidRPr="0004415C">
              <w:rPr>
                <w:rFonts w:ascii="Times New Roman" w:eastAsia="Times New Roman" w:hAnsi="Times New Roman" w:cs="Times New Roman"/>
                <w:color w:val="000000"/>
                <w:lang w:eastAsia="bg-BG"/>
              </w:rPr>
              <w:t xml:space="preserve">Гранични стойности </w:t>
            </w:r>
            <w:r w:rsidRPr="0004415C">
              <w:rPr>
                <w:rFonts w:ascii="Times New Roman" w:eastAsia="Times New Roman" w:hAnsi="Times New Roman" w:cs="Times New Roman"/>
                <w:color w:val="000000"/>
                <w:lang w:val="en-US"/>
              </w:rPr>
              <w:t>R</w:t>
            </w:r>
            <w:r w:rsidRPr="0004415C">
              <w:rPr>
                <w:rFonts w:ascii="Times New Roman" w:eastAsia="Times New Roman" w:hAnsi="Times New Roman" w:cs="Times New Roman"/>
                <w:color w:val="000000"/>
                <w:lang w:val="ru-RU"/>
              </w:rPr>
              <w:t xml:space="preserve">&gt;8 </w:t>
            </w:r>
            <w:r w:rsidRPr="0004415C">
              <w:rPr>
                <w:rFonts w:ascii="Times New Roman" w:eastAsia="Times New Roman" w:hAnsi="Times New Roman" w:cs="Times New Roman"/>
                <w:color w:val="000000"/>
                <w:lang w:val="en-US"/>
              </w:rPr>
              <w:t>mg</w:t>
            </w:r>
            <w:r w:rsidRPr="0004415C">
              <w:rPr>
                <w:rFonts w:ascii="Times New Roman" w:eastAsia="Times New Roman" w:hAnsi="Times New Roman" w:cs="Times New Roman"/>
                <w:color w:val="000000"/>
                <w:lang w:val="ru-RU"/>
              </w:rPr>
              <w:t>/</w:t>
            </w:r>
            <w:r w:rsidRPr="0004415C">
              <w:rPr>
                <w:rFonts w:ascii="Times New Roman" w:eastAsia="Times New Roman" w:hAnsi="Times New Roman" w:cs="Times New Roman"/>
                <w:color w:val="000000"/>
                <w:lang w:val="en-US"/>
              </w:rPr>
              <w:t>l</w:t>
            </w:r>
            <w:r w:rsidRPr="0004415C">
              <w:rPr>
                <w:rFonts w:ascii="Times New Roman" w:eastAsia="Times New Roman" w:hAnsi="Times New Roman" w:cs="Times New Roman"/>
                <w:color w:val="000000"/>
                <w:lang w:val="ru-RU"/>
              </w:rPr>
              <w:t xml:space="preserve"> </w:t>
            </w:r>
            <w:r w:rsidRPr="0004415C">
              <w:rPr>
                <w:rFonts w:ascii="Times New Roman" w:eastAsia="Times New Roman" w:hAnsi="Times New Roman" w:cs="Times New Roman"/>
                <w:color w:val="000000"/>
                <w:lang w:eastAsia="bg-BG"/>
              </w:rPr>
              <w:t>гарантират, че всички изолати с механизми на</w:t>
            </w:r>
            <w:r w:rsidRPr="0004415C">
              <w:rPr>
                <w:rFonts w:ascii="Times New Roman" w:eastAsia="Times New Roman" w:hAnsi="Times New Roman" w:cs="Times New Roman"/>
                <w:color w:val="000000"/>
                <w:lang w:val="ru-RU"/>
              </w:rPr>
              <w:t xml:space="preserve"> </w:t>
            </w:r>
            <w:r w:rsidRPr="0004415C">
              <w:rPr>
                <w:rFonts w:ascii="Times New Roman" w:eastAsia="Times New Roman" w:hAnsi="Times New Roman" w:cs="Times New Roman"/>
                <w:color w:val="000000"/>
                <w:lang w:eastAsia="bg-BG"/>
              </w:rPr>
              <w:t>резистентност са докладвани като резистентни.</w:t>
            </w:r>
          </w:p>
          <w:p w14:paraId="67A86C27" w14:textId="4FB8EEFC" w:rsidR="0004415C" w:rsidRDefault="0004415C" w:rsidP="0004415C">
            <w:r w:rsidRPr="0004415C">
              <w:rPr>
                <w:rFonts w:ascii="Times New Roman" w:eastAsia="Times New Roman" w:hAnsi="Times New Roman" w:cs="Times New Roman"/>
                <w:color w:val="000000"/>
                <w:vertAlign w:val="superscript"/>
                <w:lang w:eastAsia="bg-BG"/>
              </w:rPr>
              <w:t>5</w:t>
            </w:r>
            <w:r w:rsidRPr="0004415C">
              <w:rPr>
                <w:rFonts w:ascii="Times New Roman" w:eastAsia="Times New Roman" w:hAnsi="Times New Roman" w:cs="Times New Roman"/>
                <w:color w:val="000000"/>
                <w:lang w:eastAsia="bg-BG"/>
              </w:rPr>
              <w:t>Граничните стойности в таблицата се основават на граничните стойности на бензилпеницилин.</w:t>
            </w:r>
          </w:p>
        </w:tc>
      </w:tr>
    </w:tbl>
    <w:p w14:paraId="73EAD37D" w14:textId="46523B8E" w:rsidR="0004415C" w:rsidRDefault="0004415C" w:rsidP="0004415C"/>
    <w:p w14:paraId="5BC395BE" w14:textId="15668C4A" w:rsidR="00D43F15" w:rsidRDefault="00D43F15" w:rsidP="0004415C">
      <w:r>
        <w:t>Разпространението на резистентността може да варира географски и във времето за определени видове, и е желателно да има регионална информация за резистентността, особено при лечение на тежки инфекции. Ако е необходимо, трябва да се търси съвета на експерт, когато локалното разпространение на резистентност е такова, че ползата от лекарството, при поне някои видове инфекции, е спорно.</w:t>
      </w:r>
    </w:p>
    <w:p w14:paraId="1A20A47D" w14:textId="71530C53" w:rsidR="00D43F15" w:rsidRDefault="00D43F15" w:rsidP="0004415C"/>
    <w:tbl>
      <w:tblPr>
        <w:tblStyle w:val="TableGrid"/>
        <w:tblW w:w="0" w:type="auto"/>
        <w:tblLook w:val="04A0" w:firstRow="1" w:lastRow="0" w:firstColumn="1" w:lastColumn="0" w:noHBand="0" w:noVBand="1"/>
      </w:tblPr>
      <w:tblGrid>
        <w:gridCol w:w="9576"/>
      </w:tblGrid>
      <w:tr w:rsidR="00D43F15" w14:paraId="348E9B0A" w14:textId="77777777" w:rsidTr="00213C62">
        <w:tc>
          <w:tcPr>
            <w:tcW w:w="9576" w:type="dxa"/>
            <w:vAlign w:val="bottom"/>
          </w:tcPr>
          <w:p w14:paraId="2795B006" w14:textId="44C2D681" w:rsidR="00D43F15" w:rsidRDefault="00D43F15" w:rsidP="00D43F15">
            <w:r>
              <w:rPr>
                <w:lang w:eastAsia="bg-BG"/>
              </w:rPr>
              <w:t>Щамове, които обичайно са чувствителни</w:t>
            </w:r>
          </w:p>
        </w:tc>
      </w:tr>
      <w:tr w:rsidR="00D43F15" w14:paraId="4187A06A" w14:textId="77777777" w:rsidTr="00213C62">
        <w:tc>
          <w:tcPr>
            <w:tcW w:w="9576" w:type="dxa"/>
            <w:vAlign w:val="bottom"/>
          </w:tcPr>
          <w:p w14:paraId="5DDEA5B3" w14:textId="01ABFE77" w:rsidR="00D43F15" w:rsidRDefault="00D43F15" w:rsidP="00D43F15">
            <w:r>
              <w:rPr>
                <w:lang w:eastAsia="bg-BG"/>
              </w:rPr>
              <w:t>Аеробни Грам-положителни микроорганизми</w:t>
            </w:r>
          </w:p>
        </w:tc>
      </w:tr>
      <w:tr w:rsidR="00D43F15" w14:paraId="2CD87676" w14:textId="77777777" w:rsidTr="00D43F15">
        <w:tc>
          <w:tcPr>
            <w:tcW w:w="9576" w:type="dxa"/>
          </w:tcPr>
          <w:p w14:paraId="3E4DC86A" w14:textId="77777777" w:rsidR="00D43F15" w:rsidRDefault="00D43F15" w:rsidP="00D43F15">
            <w:r>
              <w:rPr>
                <w:i/>
                <w:iCs/>
              </w:rPr>
              <w:t>Enterococcus faecalis</w:t>
            </w:r>
          </w:p>
          <w:p w14:paraId="490E524B" w14:textId="77777777" w:rsidR="00D43F15" w:rsidRDefault="00D43F15" w:rsidP="00D43F15">
            <w:r>
              <w:rPr>
                <w:i/>
                <w:iCs/>
              </w:rPr>
              <w:t>Gardnerella vaginalis</w:t>
            </w:r>
          </w:p>
          <w:p w14:paraId="4577D22D" w14:textId="77777777" w:rsidR="00D43F15" w:rsidRDefault="00D43F15" w:rsidP="00D43F15">
            <w:r>
              <w:rPr>
                <w:i/>
                <w:iCs/>
              </w:rPr>
              <w:t>Staphylococcus aureus</w:t>
            </w:r>
            <w:r>
              <w:t xml:space="preserve"> </w:t>
            </w:r>
            <w:r>
              <w:rPr>
                <w:lang w:eastAsia="bg-BG"/>
              </w:rPr>
              <w:t>(метицилин-чувствителни)</w:t>
            </w:r>
            <w:r>
              <w:rPr>
                <w:vertAlign w:val="superscript"/>
                <w:lang w:eastAsia="bg-BG"/>
              </w:rPr>
              <w:t>£</w:t>
            </w:r>
          </w:p>
          <w:p w14:paraId="20C6D467" w14:textId="77777777" w:rsidR="00D43F15" w:rsidRDefault="00D43F15" w:rsidP="00D43F15">
            <w:r>
              <w:rPr>
                <w:i/>
                <w:iCs/>
              </w:rPr>
              <w:t>Streptococcus agalactiae</w:t>
            </w:r>
          </w:p>
          <w:p w14:paraId="06CF34E9" w14:textId="77777777" w:rsidR="00D43F15" w:rsidRDefault="00D43F15" w:rsidP="00D43F15">
            <w:r>
              <w:rPr>
                <w:i/>
                <w:iCs/>
              </w:rPr>
              <w:t>Streptococcus pneumoniae</w:t>
            </w:r>
            <w:r>
              <w:rPr>
                <w:i/>
                <w:iCs/>
                <w:vertAlign w:val="superscript"/>
              </w:rPr>
              <w:t>1</w:t>
            </w:r>
          </w:p>
          <w:p w14:paraId="562D78AE" w14:textId="77777777" w:rsidR="00D43F15" w:rsidRDefault="00D43F15" w:rsidP="00D43F15">
            <w:r>
              <w:rPr>
                <w:i/>
                <w:iCs/>
              </w:rPr>
              <w:t>Streptococcus pyogenes</w:t>
            </w:r>
            <w:r>
              <w:t xml:space="preserve"> </w:t>
            </w:r>
            <w:r>
              <w:rPr>
                <w:lang w:eastAsia="bg-BG"/>
              </w:rPr>
              <w:t>и други бета-хемолитични стрептококи</w:t>
            </w:r>
          </w:p>
          <w:p w14:paraId="297B813B" w14:textId="77777777" w:rsidR="00D43F15" w:rsidRDefault="00D43F15" w:rsidP="00D43F15">
            <w:r>
              <w:rPr>
                <w:i/>
                <w:iCs/>
              </w:rPr>
              <w:t>Streptococcus</w:t>
            </w:r>
            <w:r>
              <w:t xml:space="preserve"> viridans-</w:t>
            </w:r>
            <w:r>
              <w:rPr>
                <w:lang w:eastAsia="bg-BG"/>
              </w:rPr>
              <w:t>група</w:t>
            </w:r>
          </w:p>
          <w:p w14:paraId="02197BFF" w14:textId="77777777" w:rsidR="00D43F15" w:rsidRDefault="00D43F15" w:rsidP="00D43F15">
            <w:r>
              <w:rPr>
                <w:u w:val="single"/>
                <w:lang w:eastAsia="bg-BG"/>
              </w:rPr>
              <w:t>Аеробни Грам-отрицателни микроорганизми</w:t>
            </w:r>
          </w:p>
          <w:p w14:paraId="26B684A9" w14:textId="77777777" w:rsidR="00D43F15" w:rsidRDefault="00D43F15" w:rsidP="00D43F15">
            <w:r>
              <w:rPr>
                <w:i/>
                <w:iCs/>
              </w:rPr>
              <w:lastRenderedPageBreak/>
              <w:t>Capnocytophaga spp.</w:t>
            </w:r>
          </w:p>
          <w:p w14:paraId="430C0284" w14:textId="77777777" w:rsidR="00D43F15" w:rsidRDefault="00D43F15" w:rsidP="00D43F15">
            <w:r>
              <w:rPr>
                <w:i/>
                <w:iCs/>
              </w:rPr>
              <w:t>Eikenella corrodens</w:t>
            </w:r>
          </w:p>
          <w:p w14:paraId="3EC9587F" w14:textId="77777777" w:rsidR="00D43F15" w:rsidRDefault="00D43F15" w:rsidP="00D43F15">
            <w:r>
              <w:rPr>
                <w:i/>
                <w:iCs/>
              </w:rPr>
              <w:t>Haemophilus influenzae2</w:t>
            </w:r>
          </w:p>
          <w:p w14:paraId="4D54D21C" w14:textId="77777777" w:rsidR="00D43F15" w:rsidRDefault="00D43F15" w:rsidP="00D43F15">
            <w:r>
              <w:rPr>
                <w:i/>
                <w:iCs/>
              </w:rPr>
              <w:t>Moraxella catarrhalis</w:t>
            </w:r>
          </w:p>
          <w:p w14:paraId="4A0D4B12" w14:textId="77777777" w:rsidR="00D43F15" w:rsidRDefault="00D43F15" w:rsidP="00D43F15">
            <w:r>
              <w:rPr>
                <w:i/>
                <w:iCs/>
              </w:rPr>
              <w:t>Pasteurella multocida</w:t>
            </w:r>
          </w:p>
          <w:p w14:paraId="7B05D5A4" w14:textId="77777777" w:rsidR="00D43F15" w:rsidRDefault="00D43F15" w:rsidP="00D43F15">
            <w:r>
              <w:rPr>
                <w:u w:val="single"/>
                <w:lang w:eastAsia="bg-BG"/>
              </w:rPr>
              <w:t>Анаеробни микроорганизми</w:t>
            </w:r>
          </w:p>
          <w:p w14:paraId="29E1E832" w14:textId="77777777" w:rsidR="00D43F15" w:rsidRDefault="00D43F15" w:rsidP="00D43F15">
            <w:r>
              <w:rPr>
                <w:i/>
                <w:iCs/>
              </w:rPr>
              <w:t>Bacteroides fragilis</w:t>
            </w:r>
          </w:p>
          <w:p w14:paraId="5A958421" w14:textId="77777777" w:rsidR="00D43F15" w:rsidRDefault="00D43F15" w:rsidP="00D43F15">
            <w:r>
              <w:rPr>
                <w:i/>
                <w:iCs/>
              </w:rPr>
              <w:t>Fusobacterium nucleatum</w:t>
            </w:r>
          </w:p>
          <w:p w14:paraId="0B21DAED" w14:textId="34FAC825" w:rsidR="00D43F15" w:rsidRDefault="00D43F15" w:rsidP="00D43F15">
            <w:r>
              <w:rPr>
                <w:i/>
                <w:iCs/>
              </w:rPr>
              <w:t>Prevotella spp.</w:t>
            </w:r>
          </w:p>
        </w:tc>
      </w:tr>
      <w:tr w:rsidR="00D43F15" w14:paraId="0CAD1D7D" w14:textId="77777777" w:rsidTr="00213C62">
        <w:tc>
          <w:tcPr>
            <w:tcW w:w="9576" w:type="dxa"/>
            <w:vAlign w:val="bottom"/>
          </w:tcPr>
          <w:p w14:paraId="074567D5" w14:textId="13DD0B56" w:rsidR="00D43F15" w:rsidRDefault="00D43F15" w:rsidP="00D43F15">
            <w:r>
              <w:rPr>
                <w:lang w:eastAsia="bg-BG"/>
              </w:rPr>
              <w:lastRenderedPageBreak/>
              <w:t>Щамове, за които придобитата резистентност може да е проблем</w:t>
            </w:r>
          </w:p>
        </w:tc>
      </w:tr>
      <w:tr w:rsidR="00D43F15" w14:paraId="076D582E" w14:textId="77777777" w:rsidTr="00D43F15">
        <w:tc>
          <w:tcPr>
            <w:tcW w:w="9576" w:type="dxa"/>
          </w:tcPr>
          <w:p w14:paraId="5EA40AFA" w14:textId="77777777" w:rsidR="00D43F15" w:rsidRDefault="00D43F15" w:rsidP="00D43F15">
            <w:pPr>
              <w:rPr>
                <w:u w:val="single"/>
                <w:lang w:eastAsia="bg-BG"/>
              </w:rPr>
            </w:pPr>
            <w:r>
              <w:rPr>
                <w:u w:val="single"/>
                <w:lang w:eastAsia="bg-BG"/>
              </w:rPr>
              <w:t xml:space="preserve">Аеробни Грам-положителни микроорганизми </w:t>
            </w:r>
          </w:p>
          <w:p w14:paraId="22089831" w14:textId="4EB05B1B" w:rsidR="00D43F15" w:rsidRDefault="00D43F15" w:rsidP="00D43F15">
            <w:r>
              <w:rPr>
                <w:i/>
                <w:iCs/>
              </w:rPr>
              <w:t>Enterococcus faecium</w:t>
            </w:r>
            <w:r>
              <w:rPr>
                <w:i/>
                <w:iCs/>
                <w:vertAlign w:val="superscript"/>
              </w:rPr>
              <w:t>$</w:t>
            </w:r>
          </w:p>
          <w:p w14:paraId="53FF74A0" w14:textId="77777777" w:rsidR="00D43F15" w:rsidRDefault="00D43F15" w:rsidP="00D43F15">
            <w:pPr>
              <w:rPr>
                <w:u w:val="single"/>
                <w:lang w:eastAsia="bg-BG"/>
              </w:rPr>
            </w:pPr>
          </w:p>
          <w:p w14:paraId="3EC36140" w14:textId="5645EF70" w:rsidR="00D43F15" w:rsidRDefault="00D43F15" w:rsidP="00D43F15">
            <w:r>
              <w:rPr>
                <w:u w:val="single"/>
                <w:lang w:eastAsia="bg-BG"/>
              </w:rPr>
              <w:t>Аеробни Грам-отрицателни микроорганизми</w:t>
            </w:r>
          </w:p>
          <w:p w14:paraId="687698BB" w14:textId="77777777" w:rsidR="00D43F15" w:rsidRDefault="00D43F15" w:rsidP="00D43F15">
            <w:r>
              <w:rPr>
                <w:i/>
                <w:iCs/>
              </w:rPr>
              <w:t>Escherichia coli</w:t>
            </w:r>
          </w:p>
          <w:p w14:paraId="28CE3EE3" w14:textId="77777777" w:rsidR="00D43F15" w:rsidRDefault="00D43F15" w:rsidP="00D43F15">
            <w:r>
              <w:rPr>
                <w:i/>
                <w:iCs/>
              </w:rPr>
              <w:t>Klebsiella oxytoca</w:t>
            </w:r>
          </w:p>
          <w:p w14:paraId="0B4F5519" w14:textId="77777777" w:rsidR="00D43F15" w:rsidRDefault="00D43F15" w:rsidP="00D43F15">
            <w:r>
              <w:rPr>
                <w:i/>
                <w:iCs/>
              </w:rPr>
              <w:t>Klebsiella pneumoniae</w:t>
            </w:r>
          </w:p>
          <w:p w14:paraId="7D805042" w14:textId="77777777" w:rsidR="00D43F15" w:rsidRDefault="00D43F15" w:rsidP="00D43F15">
            <w:r>
              <w:rPr>
                <w:i/>
                <w:iCs/>
              </w:rPr>
              <w:t>Proteus mirabilis</w:t>
            </w:r>
          </w:p>
          <w:p w14:paraId="68510658" w14:textId="3E93EC50" w:rsidR="00D43F15" w:rsidRDefault="00D43F15" w:rsidP="00D43F15">
            <w:r>
              <w:rPr>
                <w:i/>
                <w:iCs/>
              </w:rPr>
              <w:t>Proteus vulgaris</w:t>
            </w:r>
          </w:p>
        </w:tc>
      </w:tr>
      <w:tr w:rsidR="00D43F15" w14:paraId="120CE22C" w14:textId="77777777" w:rsidTr="00213C62">
        <w:tc>
          <w:tcPr>
            <w:tcW w:w="9576" w:type="dxa"/>
            <w:vAlign w:val="bottom"/>
          </w:tcPr>
          <w:p w14:paraId="08DC9A02" w14:textId="4BDD881D" w:rsidR="00D43F15" w:rsidRDefault="00D43F15" w:rsidP="00D43F15">
            <w:r>
              <w:rPr>
                <w:lang w:eastAsia="bg-BG"/>
              </w:rPr>
              <w:t xml:space="preserve">Микроорганизми </w:t>
            </w:r>
            <w:r>
              <w:t xml:space="preserve">c </w:t>
            </w:r>
            <w:r>
              <w:rPr>
                <w:lang w:eastAsia="bg-BG"/>
              </w:rPr>
              <w:t>вродена резистентност</w:t>
            </w:r>
          </w:p>
        </w:tc>
      </w:tr>
      <w:tr w:rsidR="00D43F15" w14:paraId="1ABE971A" w14:textId="77777777" w:rsidTr="00213C62">
        <w:tc>
          <w:tcPr>
            <w:tcW w:w="9576" w:type="dxa"/>
            <w:vAlign w:val="bottom"/>
          </w:tcPr>
          <w:p w14:paraId="0CBB8C37" w14:textId="77777777" w:rsidR="00D43F15" w:rsidRDefault="00D43F15" w:rsidP="00D43F15">
            <w:r>
              <w:rPr>
                <w:lang w:eastAsia="bg-BG"/>
              </w:rPr>
              <w:t>Ае</w:t>
            </w:r>
            <w:r>
              <w:rPr>
                <w:u w:val="single"/>
                <w:lang w:eastAsia="bg-BG"/>
              </w:rPr>
              <w:t>робни Грам-отрицателни микроорганизми</w:t>
            </w:r>
          </w:p>
          <w:p w14:paraId="11FEDEFE" w14:textId="77777777" w:rsidR="00D43F15" w:rsidRDefault="00D43F15" w:rsidP="00D43F15">
            <w:r>
              <w:rPr>
                <w:i/>
                <w:iCs/>
              </w:rPr>
              <w:t>Acinetobacter sp.</w:t>
            </w:r>
          </w:p>
          <w:p w14:paraId="79BD74E9" w14:textId="77777777" w:rsidR="00D43F15" w:rsidRDefault="00D43F15" w:rsidP="00D43F15">
            <w:r>
              <w:rPr>
                <w:i/>
                <w:iCs/>
              </w:rPr>
              <w:t>Citrobacter freundii</w:t>
            </w:r>
          </w:p>
          <w:p w14:paraId="743B0926" w14:textId="77777777" w:rsidR="00D43F15" w:rsidRDefault="00D43F15" w:rsidP="00D43F15">
            <w:r>
              <w:rPr>
                <w:i/>
                <w:iCs/>
              </w:rPr>
              <w:t>Enterobacter sp.</w:t>
            </w:r>
          </w:p>
          <w:p w14:paraId="17DAF669" w14:textId="77777777" w:rsidR="00D43F15" w:rsidRDefault="00D43F15" w:rsidP="00D43F15">
            <w:r>
              <w:rPr>
                <w:i/>
                <w:iCs/>
              </w:rPr>
              <w:t>Legionella pneumophila</w:t>
            </w:r>
          </w:p>
          <w:p w14:paraId="462BDA82" w14:textId="77777777" w:rsidR="00D43F15" w:rsidRDefault="00D43F15" w:rsidP="00D43F15">
            <w:r>
              <w:rPr>
                <w:i/>
                <w:iCs/>
              </w:rPr>
              <w:t>Morganella morganii</w:t>
            </w:r>
          </w:p>
          <w:p w14:paraId="1B6A8831" w14:textId="77777777" w:rsidR="00D43F15" w:rsidRDefault="00D43F15" w:rsidP="00D43F15">
            <w:r>
              <w:rPr>
                <w:i/>
                <w:iCs/>
              </w:rPr>
              <w:t>Providencia spp.</w:t>
            </w:r>
          </w:p>
          <w:p w14:paraId="60F786E8" w14:textId="77777777" w:rsidR="00D43F15" w:rsidRDefault="00D43F15" w:rsidP="00D43F15">
            <w:r>
              <w:rPr>
                <w:i/>
                <w:iCs/>
              </w:rPr>
              <w:t>Pseudomonas sp.</w:t>
            </w:r>
          </w:p>
          <w:p w14:paraId="12FF5A96" w14:textId="77777777" w:rsidR="00D43F15" w:rsidRDefault="00D43F15" w:rsidP="00D43F15">
            <w:r>
              <w:rPr>
                <w:i/>
                <w:iCs/>
              </w:rPr>
              <w:t>Serrati</w:t>
            </w:r>
            <w:r>
              <w:rPr>
                <w:i/>
                <w:iCs/>
                <w:lang w:eastAsia="bg-BG"/>
              </w:rPr>
              <w:t>а</w:t>
            </w:r>
            <w:r>
              <w:rPr>
                <w:i/>
                <w:iCs/>
              </w:rPr>
              <w:t xml:space="preserve"> sp.</w:t>
            </w:r>
          </w:p>
          <w:p w14:paraId="6942D9F9" w14:textId="77777777" w:rsidR="00D43F15" w:rsidRDefault="00D43F15" w:rsidP="00D43F15">
            <w:r>
              <w:rPr>
                <w:i/>
                <w:iCs/>
              </w:rPr>
              <w:t>Stenotrophomonas maltophilia</w:t>
            </w:r>
          </w:p>
          <w:p w14:paraId="44B1091D" w14:textId="77777777" w:rsidR="00D43F15" w:rsidRDefault="00D43F15" w:rsidP="00D43F15"/>
          <w:p w14:paraId="56B76757" w14:textId="77777777" w:rsidR="00D43F15" w:rsidRDefault="00D43F15" w:rsidP="00D43F15">
            <w:r>
              <w:rPr>
                <w:u w:val="single"/>
                <w:lang w:eastAsia="bg-BG"/>
              </w:rPr>
              <w:t>Други микроорганизми</w:t>
            </w:r>
          </w:p>
          <w:p w14:paraId="55044B39" w14:textId="77777777" w:rsidR="00D43F15" w:rsidRDefault="00D43F15" w:rsidP="00D43F15">
            <w:r>
              <w:rPr>
                <w:i/>
                <w:iCs/>
              </w:rPr>
              <w:t>Chlamydophila pneumoniae</w:t>
            </w:r>
          </w:p>
          <w:p w14:paraId="20C6A2A6" w14:textId="77777777" w:rsidR="00D43F15" w:rsidRDefault="00D43F15" w:rsidP="00D43F15">
            <w:r>
              <w:rPr>
                <w:i/>
                <w:iCs/>
              </w:rPr>
              <w:t>Chlamydophila psittaci</w:t>
            </w:r>
          </w:p>
          <w:p w14:paraId="134D623E" w14:textId="7F5A8514" w:rsidR="00D43F15" w:rsidRDefault="00D43F15" w:rsidP="00D43F15">
            <w:r>
              <w:rPr>
                <w:i/>
                <w:iCs/>
              </w:rPr>
              <w:t>Coxiella burnetti</w:t>
            </w:r>
          </w:p>
        </w:tc>
      </w:tr>
      <w:tr w:rsidR="00D43F15" w14:paraId="4864EE30" w14:textId="77777777" w:rsidTr="00D43F15">
        <w:tc>
          <w:tcPr>
            <w:tcW w:w="9576" w:type="dxa"/>
          </w:tcPr>
          <w:p w14:paraId="1CB78B3A" w14:textId="7F12A952" w:rsidR="00D43F15" w:rsidRDefault="00D43F15" w:rsidP="0004415C">
            <w:r>
              <w:rPr>
                <w:i/>
                <w:iCs/>
                <w:u w:val="single"/>
              </w:rPr>
              <w:t>Mycoplasma pneumonia</w:t>
            </w:r>
          </w:p>
        </w:tc>
      </w:tr>
      <w:tr w:rsidR="00D43F15" w14:paraId="558C4E45" w14:textId="77777777" w:rsidTr="00D43F15">
        <w:tc>
          <w:tcPr>
            <w:tcW w:w="9576" w:type="dxa"/>
          </w:tcPr>
          <w:p w14:paraId="6312A762" w14:textId="77777777" w:rsidR="00D43F15" w:rsidRDefault="00D43F15" w:rsidP="0004415C">
            <w:r w:rsidRPr="00D43F15">
              <w:rPr>
                <w:lang w:val="ru-RU"/>
              </w:rPr>
              <w:t xml:space="preserve">$ </w:t>
            </w:r>
            <w:r>
              <w:t xml:space="preserve">Естествена умерена чувствителност при отсъствие на придобит механизъм на резистентност. </w:t>
            </w:r>
          </w:p>
          <w:p w14:paraId="4AD889E2" w14:textId="77777777" w:rsidR="00D43F15" w:rsidRDefault="00D43F15" w:rsidP="0004415C">
            <w:r>
              <w:t xml:space="preserve">£ Всички резистентни на метицилин стафилококи са резистентни на амоксицилин/клавуланова киселина </w:t>
            </w:r>
          </w:p>
          <w:p w14:paraId="4054140E" w14:textId="77777777" w:rsidR="00D43F15" w:rsidRDefault="00D43F15" w:rsidP="0004415C">
            <w:r>
              <w:rPr>
                <w:vertAlign w:val="superscript"/>
              </w:rPr>
              <w:t>1</w:t>
            </w:r>
            <w:r>
              <w:t xml:space="preserve">Лечението с амоксицилин/клавуланова киселина може да бъде неудачно при наличие на </w:t>
            </w:r>
            <w:r>
              <w:rPr>
                <w:i/>
                <w:iCs/>
                <w:lang w:val="en-US"/>
              </w:rPr>
              <w:t>Streptococcus</w:t>
            </w:r>
            <w:r w:rsidRPr="00D43F15">
              <w:rPr>
                <w:i/>
                <w:iCs/>
                <w:lang w:val="ru-RU"/>
              </w:rPr>
              <w:t xml:space="preserve"> </w:t>
            </w:r>
            <w:proofErr w:type="spellStart"/>
            <w:r>
              <w:rPr>
                <w:i/>
                <w:iCs/>
                <w:lang w:val="en-US"/>
              </w:rPr>
              <w:t>pneumoniae</w:t>
            </w:r>
            <w:proofErr w:type="spellEnd"/>
            <w:r w:rsidRPr="00D43F15">
              <w:rPr>
                <w:i/>
                <w:iCs/>
                <w:lang w:val="ru-RU"/>
              </w:rPr>
              <w:t xml:space="preserve">, </w:t>
            </w:r>
            <w:r>
              <w:rPr>
                <w:i/>
                <w:iCs/>
              </w:rPr>
              <w:t>резистентни на пеницилин (виж точки 4,2</w:t>
            </w:r>
            <w:r>
              <w:t xml:space="preserve"> и 4,4). </w:t>
            </w:r>
          </w:p>
          <w:p w14:paraId="6312712A" w14:textId="702E6E8D" w:rsidR="00D43F15" w:rsidRDefault="00D43F15" w:rsidP="0004415C">
            <w:r>
              <w:rPr>
                <w:vertAlign w:val="superscript"/>
              </w:rPr>
              <w:t>2</w:t>
            </w:r>
            <w:r>
              <w:t xml:space="preserve"> Щамове с намалена чувствителност са докладвани в някои държави на ЕС с честота, по- висока от 10%.</w:t>
            </w:r>
          </w:p>
        </w:tc>
      </w:tr>
    </w:tbl>
    <w:p w14:paraId="1A0CBFD8" w14:textId="77777777" w:rsidR="00D43F15" w:rsidRPr="0004415C" w:rsidRDefault="00D43F15" w:rsidP="0004415C"/>
    <w:p w14:paraId="26535098" w14:textId="7492283C" w:rsidR="00395555" w:rsidRDefault="002C50EE" w:rsidP="008A6AF2">
      <w:pPr>
        <w:pStyle w:val="Heading2"/>
      </w:pPr>
      <w:r>
        <w:t>5.2. Фармакокинетични свойства</w:t>
      </w:r>
    </w:p>
    <w:p w14:paraId="261E8D1F" w14:textId="7D189388" w:rsidR="00D43F15" w:rsidRDefault="00D43F15" w:rsidP="00D43F15"/>
    <w:p w14:paraId="2F74B26E" w14:textId="77777777" w:rsidR="00D43F15" w:rsidRPr="00D43F15" w:rsidRDefault="00D43F15" w:rsidP="00D43F15">
      <w:pPr>
        <w:pStyle w:val="Heading3"/>
        <w:rPr>
          <w:rFonts w:eastAsia="Times New Roman"/>
          <w:u w:val="single"/>
        </w:rPr>
      </w:pPr>
      <w:r w:rsidRPr="00D43F15">
        <w:rPr>
          <w:rFonts w:eastAsia="Times New Roman"/>
          <w:u w:val="single"/>
          <w:lang w:eastAsia="bg-BG"/>
        </w:rPr>
        <w:lastRenderedPageBreak/>
        <w:t>Абсорбция</w:t>
      </w:r>
    </w:p>
    <w:p w14:paraId="5E3127F5" w14:textId="77777777" w:rsidR="00D43F15" w:rsidRPr="00D43F15" w:rsidRDefault="00D43F15" w:rsidP="00D43F15">
      <w:pPr>
        <w:spacing w:line="240" w:lineRule="auto"/>
        <w:rPr>
          <w:rFonts w:eastAsia="Times New Roman" w:cs="Arial"/>
          <w:color w:val="000000"/>
          <w:lang w:eastAsia="bg-BG"/>
        </w:rPr>
      </w:pPr>
    </w:p>
    <w:p w14:paraId="2AEE031A" w14:textId="130C6952" w:rsidR="00D43F15" w:rsidRPr="00D43F15" w:rsidRDefault="00D43F15" w:rsidP="00D43F15">
      <w:pPr>
        <w:spacing w:line="240" w:lineRule="auto"/>
        <w:rPr>
          <w:rFonts w:eastAsia="Times New Roman" w:cs="Arial"/>
          <w:sz w:val="24"/>
          <w:szCs w:val="24"/>
        </w:rPr>
      </w:pPr>
      <w:r w:rsidRPr="00D43F15">
        <w:rPr>
          <w:rFonts w:eastAsia="Times New Roman" w:cs="Arial"/>
          <w:color w:val="000000"/>
          <w:lang w:eastAsia="bg-BG"/>
        </w:rPr>
        <w:t xml:space="preserve">Амоксицилинът и клавулановата киселина се дисоциират напълно във воден разтвор с физиологично </w:t>
      </w:r>
      <w:r w:rsidRPr="00D43F15">
        <w:rPr>
          <w:rFonts w:eastAsia="Times New Roman" w:cs="Arial"/>
          <w:color w:val="000000"/>
          <w:lang w:val="en-US"/>
        </w:rPr>
        <w:t>pH</w:t>
      </w:r>
      <w:r w:rsidRPr="00D43F15">
        <w:rPr>
          <w:rFonts w:eastAsia="Times New Roman" w:cs="Arial"/>
          <w:color w:val="000000"/>
          <w:lang w:val="ru-RU"/>
        </w:rPr>
        <w:t xml:space="preserve">. </w:t>
      </w:r>
      <w:r w:rsidRPr="00D43F15">
        <w:rPr>
          <w:rFonts w:eastAsia="Times New Roman" w:cs="Arial"/>
          <w:color w:val="000000"/>
          <w:lang w:eastAsia="bg-BG"/>
        </w:rPr>
        <w:t xml:space="preserve">Двата компонента се резорбират бързо и пълно след перорално приложение. Резорбцията на амоксицилин/клавуланова киселина е оптимална при прием на лекарствения продукт в началото на храненето. След перорален прием бионаличността на амоксицилин/клавуланова киселина е около 70%. Плазмените профили на двата компонента са сходни и времето за достигане на пикова плазмена концентрация </w:t>
      </w:r>
      <w:r w:rsidRPr="00D43F15">
        <w:rPr>
          <w:rFonts w:eastAsia="Times New Roman" w:cs="Arial"/>
          <w:color w:val="000000"/>
          <w:lang w:val="ru-RU"/>
        </w:rPr>
        <w:t>(</w:t>
      </w:r>
      <w:proofErr w:type="spellStart"/>
      <w:r w:rsidRPr="00D43F15">
        <w:rPr>
          <w:rFonts w:eastAsia="Times New Roman" w:cs="Arial"/>
          <w:color w:val="000000"/>
          <w:lang w:val="en-US"/>
        </w:rPr>
        <w:t>T</w:t>
      </w:r>
      <w:r w:rsidRPr="00D43F15">
        <w:rPr>
          <w:rFonts w:eastAsia="Times New Roman" w:cs="Arial"/>
          <w:color w:val="000000"/>
          <w:vertAlign w:val="subscript"/>
          <w:lang w:val="en-US"/>
        </w:rPr>
        <w:t>max</w:t>
      </w:r>
      <w:proofErr w:type="spellEnd"/>
      <w:r w:rsidRPr="00D43F15">
        <w:rPr>
          <w:rFonts w:eastAsia="Times New Roman" w:cs="Arial"/>
          <w:color w:val="000000"/>
          <w:lang w:val="ru-RU"/>
        </w:rPr>
        <w:t xml:space="preserve">) </w:t>
      </w:r>
      <w:r w:rsidRPr="00D43F15">
        <w:rPr>
          <w:rFonts w:eastAsia="Times New Roman" w:cs="Arial"/>
          <w:color w:val="000000"/>
          <w:lang w:eastAsia="bg-BG"/>
        </w:rPr>
        <w:t>е приблизително един час.</w:t>
      </w:r>
    </w:p>
    <w:p w14:paraId="325817F5" w14:textId="77777777" w:rsidR="00D43F15" w:rsidRPr="00D43F15" w:rsidRDefault="00D43F15" w:rsidP="00D43F15">
      <w:pPr>
        <w:spacing w:line="240" w:lineRule="auto"/>
        <w:rPr>
          <w:rFonts w:eastAsia="Times New Roman" w:cs="Arial"/>
          <w:color w:val="000000"/>
          <w:lang w:eastAsia="bg-BG"/>
        </w:rPr>
      </w:pPr>
    </w:p>
    <w:p w14:paraId="07F9BE76" w14:textId="1ED6D28C" w:rsidR="00D43F15" w:rsidRPr="00D43F15" w:rsidRDefault="00D43F15" w:rsidP="00D43F15">
      <w:pPr>
        <w:spacing w:line="240" w:lineRule="auto"/>
        <w:rPr>
          <w:rFonts w:eastAsia="Times New Roman" w:cs="Arial"/>
          <w:sz w:val="24"/>
          <w:szCs w:val="24"/>
        </w:rPr>
      </w:pPr>
      <w:r w:rsidRPr="00D43F15">
        <w:rPr>
          <w:rFonts w:eastAsia="Times New Roman" w:cs="Arial"/>
          <w:color w:val="000000"/>
          <w:lang w:eastAsia="bg-BG"/>
        </w:rPr>
        <w:t xml:space="preserve">По-долу са представени фармакокинетичните резултати от проучване, при което комбинацията амоксицилин/клавуланова киселина е прилагана на гладно на група здрави доброволци (875 </w:t>
      </w:r>
      <w:r w:rsidRPr="00D43F15">
        <w:rPr>
          <w:rFonts w:eastAsia="Times New Roman" w:cs="Arial"/>
          <w:color w:val="000000"/>
          <w:lang w:val="en-US"/>
        </w:rPr>
        <w:t>mg</w:t>
      </w:r>
      <w:r w:rsidRPr="00D43F15">
        <w:rPr>
          <w:rFonts w:eastAsia="Times New Roman" w:cs="Arial"/>
          <w:color w:val="000000"/>
          <w:lang w:val="ru-RU"/>
        </w:rPr>
        <w:t xml:space="preserve">/125 </w:t>
      </w:r>
      <w:r w:rsidRPr="00D43F15">
        <w:rPr>
          <w:rFonts w:eastAsia="Times New Roman" w:cs="Arial"/>
          <w:color w:val="000000"/>
          <w:lang w:val="en-US"/>
        </w:rPr>
        <w:t>mg</w:t>
      </w:r>
      <w:r w:rsidRPr="00D43F15">
        <w:rPr>
          <w:rFonts w:eastAsia="Times New Roman" w:cs="Arial"/>
          <w:color w:val="000000"/>
          <w:lang w:val="ru-RU"/>
        </w:rPr>
        <w:t xml:space="preserve"> </w:t>
      </w:r>
      <w:r w:rsidRPr="00D43F15">
        <w:rPr>
          <w:rFonts w:eastAsia="Times New Roman" w:cs="Arial"/>
          <w:color w:val="000000"/>
          <w:lang w:eastAsia="bg-BG"/>
        </w:rPr>
        <w:t>таблетки, прилагани два пъти дневно).</w:t>
      </w:r>
    </w:p>
    <w:p w14:paraId="32E0CE3B" w14:textId="32967AEC" w:rsidR="00D43F15" w:rsidRDefault="00D43F15" w:rsidP="00D43F15"/>
    <w:tbl>
      <w:tblPr>
        <w:tblStyle w:val="TableGrid"/>
        <w:tblW w:w="0" w:type="auto"/>
        <w:tblLook w:val="04A0" w:firstRow="1" w:lastRow="0" w:firstColumn="1" w:lastColumn="0" w:noHBand="0" w:noVBand="1"/>
      </w:tblPr>
      <w:tblGrid>
        <w:gridCol w:w="1596"/>
        <w:gridCol w:w="1596"/>
        <w:gridCol w:w="1596"/>
        <w:gridCol w:w="1596"/>
        <w:gridCol w:w="1596"/>
        <w:gridCol w:w="1596"/>
      </w:tblGrid>
      <w:tr w:rsidR="00D43F15" w14:paraId="61B8DD07" w14:textId="77777777" w:rsidTr="00962198">
        <w:tc>
          <w:tcPr>
            <w:tcW w:w="9576" w:type="dxa"/>
            <w:gridSpan w:val="6"/>
          </w:tcPr>
          <w:p w14:paraId="380CE4F8" w14:textId="0FAEF3AF" w:rsidR="00D43F15" w:rsidRPr="00D43F15" w:rsidRDefault="00D43F15" w:rsidP="00D43F15">
            <w:pPr>
              <w:spacing w:line="240" w:lineRule="auto"/>
              <w:rPr>
                <w:rFonts w:eastAsia="Times New Roman" w:cs="Arial"/>
                <w:sz w:val="24"/>
                <w:szCs w:val="24"/>
              </w:rPr>
            </w:pPr>
            <w:r w:rsidRPr="00D43F15">
              <w:rPr>
                <w:rFonts w:eastAsia="Times New Roman" w:cs="Arial"/>
                <w:color w:val="000000"/>
                <w:lang w:eastAsia="bg-BG"/>
              </w:rPr>
              <w:t xml:space="preserve">Средни стойности </w:t>
            </w:r>
            <w:r w:rsidRPr="00D43F15">
              <w:rPr>
                <w:rFonts w:eastAsia="Times New Roman" w:cs="Arial"/>
                <w:color w:val="000000"/>
                <w:lang w:val="ru-RU"/>
              </w:rPr>
              <w:t>(±</w:t>
            </w:r>
            <w:r w:rsidRPr="00D43F15">
              <w:rPr>
                <w:rFonts w:eastAsia="Times New Roman" w:cs="Arial"/>
                <w:color w:val="000000"/>
                <w:lang w:val="en-US"/>
              </w:rPr>
              <w:t>SD</w:t>
            </w:r>
            <w:r w:rsidRPr="00D43F15">
              <w:rPr>
                <w:rFonts w:eastAsia="Times New Roman" w:cs="Arial"/>
                <w:color w:val="000000"/>
                <w:lang w:val="ru-RU"/>
              </w:rPr>
              <w:t xml:space="preserve">) </w:t>
            </w:r>
            <w:r w:rsidRPr="00D43F15">
              <w:rPr>
                <w:rFonts w:eastAsia="Times New Roman" w:cs="Arial"/>
                <w:color w:val="000000"/>
                <w:lang w:eastAsia="bg-BG"/>
              </w:rPr>
              <w:t>на фармакокинетичните параметри</w:t>
            </w:r>
          </w:p>
        </w:tc>
      </w:tr>
      <w:tr w:rsidR="00D43F15" w14:paraId="176693C9" w14:textId="77777777" w:rsidTr="00D43F15">
        <w:tc>
          <w:tcPr>
            <w:tcW w:w="1596" w:type="dxa"/>
            <w:vMerge w:val="restart"/>
          </w:tcPr>
          <w:p w14:paraId="0C0434B5" w14:textId="6C32AEB8" w:rsidR="00D43F15" w:rsidRPr="00D43F15" w:rsidRDefault="00D43F15" w:rsidP="00D43F15">
            <w:pPr>
              <w:spacing w:line="240" w:lineRule="auto"/>
              <w:rPr>
                <w:rFonts w:eastAsia="Times New Roman" w:cs="Arial"/>
                <w:sz w:val="24"/>
                <w:szCs w:val="24"/>
              </w:rPr>
            </w:pPr>
            <w:r w:rsidRPr="00D43F15">
              <w:rPr>
                <w:rFonts w:eastAsia="Times New Roman" w:cs="Arial"/>
                <w:color w:val="000000"/>
                <w:lang w:eastAsia="bg-BG"/>
              </w:rPr>
              <w:t>Приложено активно вещество(а)</w:t>
            </w:r>
          </w:p>
        </w:tc>
        <w:tc>
          <w:tcPr>
            <w:tcW w:w="1596" w:type="dxa"/>
          </w:tcPr>
          <w:p w14:paraId="1866AB18" w14:textId="419AA46A" w:rsidR="00D43F15" w:rsidRDefault="00D43F15" w:rsidP="00D43F15">
            <w:r>
              <w:rPr>
                <w:lang w:eastAsia="bg-BG"/>
              </w:rPr>
              <w:t>Доза</w:t>
            </w:r>
          </w:p>
        </w:tc>
        <w:tc>
          <w:tcPr>
            <w:tcW w:w="1596" w:type="dxa"/>
          </w:tcPr>
          <w:p w14:paraId="35BE790F" w14:textId="64A2482E" w:rsidR="00D43F15" w:rsidRDefault="00D43F15" w:rsidP="00D43F15">
            <w:r>
              <w:rPr>
                <w:lang w:eastAsia="bg-BG"/>
              </w:rPr>
              <w:t>С</w:t>
            </w:r>
            <w:r>
              <w:rPr>
                <w:vertAlign w:val="subscript"/>
              </w:rPr>
              <w:t>max</w:t>
            </w:r>
          </w:p>
        </w:tc>
        <w:tc>
          <w:tcPr>
            <w:tcW w:w="1596" w:type="dxa"/>
          </w:tcPr>
          <w:p w14:paraId="6736F6E9" w14:textId="40B7FD1B" w:rsidR="00D43F15" w:rsidRDefault="00D43F15" w:rsidP="00D43F15">
            <w:r>
              <w:t>T</w:t>
            </w:r>
            <w:r>
              <w:rPr>
                <w:vertAlign w:val="subscript"/>
              </w:rPr>
              <w:t>max</w:t>
            </w:r>
          </w:p>
        </w:tc>
        <w:tc>
          <w:tcPr>
            <w:tcW w:w="1596" w:type="dxa"/>
          </w:tcPr>
          <w:p w14:paraId="42AB26E8" w14:textId="6D75B9F7" w:rsidR="00D43F15" w:rsidRDefault="00D43F15" w:rsidP="00D43F15">
            <w:r>
              <w:t>AUC</w:t>
            </w:r>
            <w:r>
              <w:rPr>
                <w:vertAlign w:val="subscript"/>
              </w:rPr>
              <w:t>(0-24h)</w:t>
            </w:r>
          </w:p>
        </w:tc>
        <w:tc>
          <w:tcPr>
            <w:tcW w:w="1596" w:type="dxa"/>
          </w:tcPr>
          <w:p w14:paraId="3B005917" w14:textId="586C2BAB" w:rsidR="00D43F15" w:rsidRDefault="00D43F15" w:rsidP="00D43F15">
            <w:r>
              <w:rPr>
                <w:lang w:eastAsia="bg-BG"/>
              </w:rPr>
              <w:t>Т</w:t>
            </w:r>
            <w:r>
              <w:rPr>
                <w:vertAlign w:val="subscript"/>
                <w:lang w:eastAsia="bg-BG"/>
              </w:rPr>
              <w:t>1/2</w:t>
            </w:r>
          </w:p>
        </w:tc>
      </w:tr>
      <w:tr w:rsidR="00D43F15" w14:paraId="1023EB46" w14:textId="77777777" w:rsidTr="00D43F15">
        <w:tc>
          <w:tcPr>
            <w:tcW w:w="1596" w:type="dxa"/>
            <w:vMerge/>
          </w:tcPr>
          <w:p w14:paraId="554043FC" w14:textId="77777777" w:rsidR="00D43F15" w:rsidRDefault="00D43F15" w:rsidP="00D43F15"/>
        </w:tc>
        <w:tc>
          <w:tcPr>
            <w:tcW w:w="1596" w:type="dxa"/>
          </w:tcPr>
          <w:p w14:paraId="1D7CFCB5" w14:textId="48D43189" w:rsidR="00D43F15" w:rsidRDefault="00D43F15" w:rsidP="00D43F15">
            <w:r>
              <w:t>(mg)</w:t>
            </w:r>
          </w:p>
        </w:tc>
        <w:tc>
          <w:tcPr>
            <w:tcW w:w="1596" w:type="dxa"/>
          </w:tcPr>
          <w:p w14:paraId="5EF75D48" w14:textId="0F7D3CA0" w:rsidR="00D43F15" w:rsidRDefault="00D43F15" w:rsidP="00D43F15">
            <w:r>
              <w:t>(</w:t>
            </w:r>
            <w:r>
              <w:rPr>
                <w:lang w:eastAsia="bg-BG"/>
              </w:rPr>
              <w:t>μ</w:t>
            </w:r>
            <w:r>
              <w:t>g/ml)</w:t>
            </w:r>
          </w:p>
        </w:tc>
        <w:tc>
          <w:tcPr>
            <w:tcW w:w="1596" w:type="dxa"/>
          </w:tcPr>
          <w:p w14:paraId="52C26F78" w14:textId="528B7029" w:rsidR="00D43F15" w:rsidRDefault="00D43F15" w:rsidP="00D43F15">
            <w:r>
              <w:t>(h)</w:t>
            </w:r>
          </w:p>
        </w:tc>
        <w:tc>
          <w:tcPr>
            <w:tcW w:w="1596" w:type="dxa"/>
          </w:tcPr>
          <w:p w14:paraId="083B200B" w14:textId="4A5AAAE9" w:rsidR="00D43F15" w:rsidRDefault="00D43F15" w:rsidP="00D43F15">
            <w:r>
              <w:t>(</w:t>
            </w:r>
            <w:r>
              <w:rPr>
                <w:lang w:eastAsia="bg-BG"/>
              </w:rPr>
              <w:t>μ</w:t>
            </w:r>
            <w:r>
              <w:t>g.h/ml)</w:t>
            </w:r>
          </w:p>
        </w:tc>
        <w:tc>
          <w:tcPr>
            <w:tcW w:w="1596" w:type="dxa"/>
          </w:tcPr>
          <w:p w14:paraId="5F490A7B" w14:textId="135B9A91" w:rsidR="00D43F15" w:rsidRDefault="00D43F15" w:rsidP="00D43F15">
            <w:r>
              <w:t>(h)</w:t>
            </w:r>
          </w:p>
        </w:tc>
      </w:tr>
      <w:tr w:rsidR="00D43F15" w14:paraId="5EBD9013" w14:textId="77777777" w:rsidTr="0030752C">
        <w:tc>
          <w:tcPr>
            <w:tcW w:w="9576" w:type="dxa"/>
            <w:gridSpan w:val="6"/>
          </w:tcPr>
          <w:p w14:paraId="38DF0487" w14:textId="22D422E3" w:rsidR="00D43F15" w:rsidRPr="00D43F15" w:rsidRDefault="00D43F15" w:rsidP="00D43F15">
            <w:pPr>
              <w:jc w:val="center"/>
              <w:rPr>
                <w:sz w:val="24"/>
                <w:szCs w:val="24"/>
              </w:rPr>
            </w:pPr>
            <w:r w:rsidRPr="00D43F15">
              <w:rPr>
                <w:lang w:eastAsia="bg-BG"/>
              </w:rPr>
              <w:t>Амоксицилин</w:t>
            </w:r>
          </w:p>
        </w:tc>
      </w:tr>
      <w:tr w:rsidR="00D43F15" w14:paraId="65A0BE4D" w14:textId="77777777" w:rsidTr="00D43F15">
        <w:tc>
          <w:tcPr>
            <w:tcW w:w="1596" w:type="dxa"/>
          </w:tcPr>
          <w:p w14:paraId="294D0B5C" w14:textId="14D6AC41" w:rsidR="00D43F15" w:rsidRDefault="00D43F15" w:rsidP="00D43F15">
            <w:r>
              <w:t xml:space="preserve">АМХ/СА 875 </w:t>
            </w:r>
            <w:r>
              <w:rPr>
                <w:lang w:val="en-US"/>
              </w:rPr>
              <w:t>mg/125 mg</w:t>
            </w:r>
          </w:p>
        </w:tc>
        <w:tc>
          <w:tcPr>
            <w:tcW w:w="1596" w:type="dxa"/>
          </w:tcPr>
          <w:p w14:paraId="0BB995D4" w14:textId="0A9B0046" w:rsidR="00D43F15" w:rsidRDefault="00D43F15" w:rsidP="00D43F15">
            <w:r>
              <w:t>875</w:t>
            </w:r>
          </w:p>
        </w:tc>
        <w:tc>
          <w:tcPr>
            <w:tcW w:w="1596" w:type="dxa"/>
          </w:tcPr>
          <w:p w14:paraId="69B58B7A" w14:textId="77663BEB" w:rsidR="00D43F15" w:rsidRDefault="00D43F15" w:rsidP="00D43F15">
            <w:r>
              <w:t>11.64 ±2.78</w:t>
            </w:r>
          </w:p>
        </w:tc>
        <w:tc>
          <w:tcPr>
            <w:tcW w:w="1596" w:type="dxa"/>
          </w:tcPr>
          <w:p w14:paraId="281592F2" w14:textId="77777777" w:rsidR="00D43F15" w:rsidRDefault="00D43F15" w:rsidP="00D43F15">
            <w:r>
              <w:t>1.50</w:t>
            </w:r>
          </w:p>
          <w:p w14:paraId="74B4C0A0" w14:textId="5EB30908" w:rsidR="00D43F15" w:rsidRDefault="00D43F15" w:rsidP="00D43F15">
            <w:r>
              <w:t>(1.0-2.5)</w:t>
            </w:r>
          </w:p>
        </w:tc>
        <w:tc>
          <w:tcPr>
            <w:tcW w:w="1596" w:type="dxa"/>
          </w:tcPr>
          <w:p w14:paraId="554EBD40" w14:textId="156E5DD0" w:rsidR="00D43F15" w:rsidRDefault="00D43F15" w:rsidP="00D43F15">
            <w:r>
              <w:rPr>
                <w:lang w:val="en-US"/>
              </w:rPr>
              <w:t>53.52± 12.31</w:t>
            </w:r>
          </w:p>
        </w:tc>
        <w:tc>
          <w:tcPr>
            <w:tcW w:w="1596" w:type="dxa"/>
          </w:tcPr>
          <w:p w14:paraId="48BF154B" w14:textId="4611A93D" w:rsidR="00D43F15" w:rsidRDefault="00D43F15" w:rsidP="00D43F15">
            <w:r>
              <w:rPr>
                <w:lang w:val="en-US"/>
              </w:rPr>
              <w:t>1.19 + 0.21</w:t>
            </w:r>
          </w:p>
        </w:tc>
      </w:tr>
      <w:tr w:rsidR="00D43F15" w14:paraId="300321D4" w14:textId="77777777" w:rsidTr="00CF4FA7">
        <w:tc>
          <w:tcPr>
            <w:tcW w:w="9576" w:type="dxa"/>
            <w:gridSpan w:val="6"/>
          </w:tcPr>
          <w:p w14:paraId="413F2F37" w14:textId="1D23F283" w:rsidR="00D43F15" w:rsidRPr="00D43F15" w:rsidRDefault="00D43F15" w:rsidP="00D43F15">
            <w:pPr>
              <w:spacing w:line="240" w:lineRule="auto"/>
              <w:jc w:val="center"/>
              <w:rPr>
                <w:rFonts w:eastAsia="Times New Roman" w:cs="Arial"/>
                <w:sz w:val="24"/>
                <w:szCs w:val="24"/>
              </w:rPr>
            </w:pPr>
            <w:r w:rsidRPr="00D43F15">
              <w:rPr>
                <w:rFonts w:eastAsia="Times New Roman" w:cs="Arial"/>
                <w:color w:val="000000"/>
                <w:lang w:eastAsia="bg-BG"/>
              </w:rPr>
              <w:t>Клавуланова киселина</w:t>
            </w:r>
          </w:p>
        </w:tc>
      </w:tr>
      <w:tr w:rsidR="00D43F15" w14:paraId="14977DFC" w14:textId="77777777" w:rsidTr="00D43F15">
        <w:tc>
          <w:tcPr>
            <w:tcW w:w="1596" w:type="dxa"/>
          </w:tcPr>
          <w:p w14:paraId="03359B7C" w14:textId="52121A55" w:rsidR="00D43F15" w:rsidRDefault="00D43F15" w:rsidP="00D43F15">
            <w:r>
              <w:t xml:space="preserve">АМХ/СА 875 </w:t>
            </w:r>
            <w:r>
              <w:rPr>
                <w:lang w:val="en-US"/>
              </w:rPr>
              <w:t>mg/125 mg</w:t>
            </w:r>
          </w:p>
        </w:tc>
        <w:tc>
          <w:tcPr>
            <w:tcW w:w="1596" w:type="dxa"/>
          </w:tcPr>
          <w:p w14:paraId="3A9A92E1" w14:textId="1B88FE15" w:rsidR="00D43F15" w:rsidRDefault="00D43F15" w:rsidP="00D43F15">
            <w:r>
              <w:t>125</w:t>
            </w:r>
          </w:p>
        </w:tc>
        <w:tc>
          <w:tcPr>
            <w:tcW w:w="1596" w:type="dxa"/>
          </w:tcPr>
          <w:p w14:paraId="5701895F" w14:textId="71881EE1" w:rsidR="00D43F15" w:rsidRDefault="00D43F15" w:rsidP="00D43F15">
            <w:r>
              <w:t>2.18 + 0.99</w:t>
            </w:r>
          </w:p>
        </w:tc>
        <w:tc>
          <w:tcPr>
            <w:tcW w:w="1596" w:type="dxa"/>
          </w:tcPr>
          <w:p w14:paraId="0E1580DF" w14:textId="77777777" w:rsidR="00D43F15" w:rsidRDefault="00D43F15" w:rsidP="00D43F15">
            <w:r>
              <w:t>1.25</w:t>
            </w:r>
          </w:p>
          <w:p w14:paraId="70FFE4DD" w14:textId="69FDAA79" w:rsidR="00D43F15" w:rsidRDefault="00D43F15" w:rsidP="00D43F15">
            <w:r>
              <w:t>(1.0-2.0)</w:t>
            </w:r>
          </w:p>
        </w:tc>
        <w:tc>
          <w:tcPr>
            <w:tcW w:w="1596" w:type="dxa"/>
          </w:tcPr>
          <w:p w14:paraId="23FBECF2" w14:textId="4381DE64" w:rsidR="00D43F15" w:rsidRDefault="00D43F15" w:rsidP="00D43F15">
            <w:r>
              <w:rPr>
                <w:lang w:val="en-US"/>
              </w:rPr>
              <w:t>10.16 + 3.04</w:t>
            </w:r>
          </w:p>
        </w:tc>
        <w:tc>
          <w:tcPr>
            <w:tcW w:w="1596" w:type="dxa"/>
          </w:tcPr>
          <w:p w14:paraId="12BDC0BB" w14:textId="683D7486" w:rsidR="00D43F15" w:rsidRDefault="00D43F15" w:rsidP="00D43F15">
            <w:r>
              <w:rPr>
                <w:lang w:val="en-US"/>
              </w:rPr>
              <w:t>0.96 + 0.12</w:t>
            </w:r>
          </w:p>
        </w:tc>
      </w:tr>
      <w:tr w:rsidR="00D43F15" w14:paraId="3110BE54" w14:textId="77777777" w:rsidTr="00500F65">
        <w:tc>
          <w:tcPr>
            <w:tcW w:w="9576" w:type="dxa"/>
            <w:gridSpan w:val="6"/>
          </w:tcPr>
          <w:p w14:paraId="54C1FCEC" w14:textId="57AA8B27" w:rsidR="00D43F15" w:rsidRDefault="00D43F15" w:rsidP="00D43F15">
            <w:r>
              <w:t>АМХ - амоксицилин, СА - клавуланова киселина * средни (диапазон)</w:t>
            </w:r>
          </w:p>
        </w:tc>
      </w:tr>
    </w:tbl>
    <w:p w14:paraId="48591EE6" w14:textId="3052F712" w:rsidR="00D43F15" w:rsidRPr="00D43F15" w:rsidRDefault="00D43F15" w:rsidP="00D43F15">
      <w:pPr>
        <w:spacing w:line="240" w:lineRule="auto"/>
        <w:rPr>
          <w:rFonts w:eastAsia="Times New Roman" w:cs="Arial"/>
          <w:sz w:val="24"/>
          <w:szCs w:val="24"/>
        </w:rPr>
      </w:pPr>
      <w:r w:rsidRPr="00D43F15">
        <w:rPr>
          <w:rFonts w:eastAsia="Times New Roman" w:cs="Arial"/>
          <w:color w:val="000000"/>
          <w:lang w:eastAsia="bg-BG"/>
        </w:rPr>
        <w:t>Серумните концентрации на амоксицилин и клавуланова киселина, постигнати с амоксицилин/клавуланова киселина, са подобни на тези, получени при самостоятелно перорално приложение на еквивалентни дози амоксицилин и клавуланова киселина.</w:t>
      </w:r>
    </w:p>
    <w:p w14:paraId="11102A5A" w14:textId="77777777" w:rsidR="00D43F15" w:rsidRPr="00D43F15" w:rsidRDefault="00D43F15" w:rsidP="00D43F15">
      <w:pPr>
        <w:spacing w:line="240" w:lineRule="auto"/>
        <w:rPr>
          <w:rFonts w:eastAsia="Times New Roman" w:cs="Arial"/>
          <w:color w:val="000000"/>
          <w:u w:val="single"/>
          <w:lang w:eastAsia="bg-BG"/>
        </w:rPr>
      </w:pPr>
    </w:p>
    <w:p w14:paraId="1E032749" w14:textId="5D57EC46" w:rsidR="00D43F15" w:rsidRPr="00D43F15" w:rsidRDefault="00D43F15" w:rsidP="00D43F15">
      <w:pPr>
        <w:spacing w:line="240" w:lineRule="auto"/>
        <w:rPr>
          <w:rFonts w:eastAsia="Times New Roman" w:cs="Arial"/>
          <w:sz w:val="24"/>
          <w:szCs w:val="24"/>
        </w:rPr>
      </w:pPr>
      <w:r w:rsidRPr="00D43F15">
        <w:rPr>
          <w:rFonts w:eastAsia="Times New Roman" w:cs="Arial"/>
          <w:color w:val="000000"/>
          <w:u w:val="single"/>
          <w:lang w:eastAsia="bg-BG"/>
        </w:rPr>
        <w:t>Разпределение</w:t>
      </w:r>
    </w:p>
    <w:p w14:paraId="7FE0055F" w14:textId="77777777" w:rsidR="00D43F15" w:rsidRPr="00D43F15" w:rsidRDefault="00D43F15" w:rsidP="00D43F15">
      <w:pPr>
        <w:spacing w:line="240" w:lineRule="auto"/>
        <w:rPr>
          <w:rFonts w:eastAsia="Times New Roman" w:cs="Arial"/>
          <w:color w:val="000000"/>
          <w:lang w:eastAsia="bg-BG"/>
        </w:rPr>
      </w:pPr>
    </w:p>
    <w:p w14:paraId="7A06EB2A" w14:textId="343567E8" w:rsidR="00D43F15" w:rsidRPr="00D43F15" w:rsidRDefault="00D43F15" w:rsidP="00D43F15">
      <w:pPr>
        <w:spacing w:line="240" w:lineRule="auto"/>
        <w:rPr>
          <w:rFonts w:eastAsia="Times New Roman" w:cs="Arial"/>
          <w:sz w:val="24"/>
          <w:szCs w:val="24"/>
        </w:rPr>
      </w:pPr>
      <w:r w:rsidRPr="00D43F15">
        <w:rPr>
          <w:rFonts w:eastAsia="Times New Roman" w:cs="Arial"/>
          <w:color w:val="000000"/>
          <w:lang w:eastAsia="bg-BG"/>
        </w:rPr>
        <w:t xml:space="preserve">Около 25% от общото съдържание на клавулановата киселина в плазмата и 18% от общото съдържание на амоксицилин в плазмата са свързани с протеини. Привидният обем на разпределение е около 0.3-0.4 </w:t>
      </w:r>
      <w:r w:rsidRPr="00D43F15">
        <w:rPr>
          <w:rFonts w:eastAsia="Times New Roman" w:cs="Arial"/>
          <w:color w:val="000000"/>
          <w:lang w:val="ru-RU"/>
        </w:rPr>
        <w:t>1/</w:t>
      </w:r>
      <w:r w:rsidRPr="00D43F15">
        <w:rPr>
          <w:rFonts w:eastAsia="Times New Roman" w:cs="Arial"/>
          <w:color w:val="000000"/>
          <w:lang w:val="en-US"/>
        </w:rPr>
        <w:t>kg</w:t>
      </w:r>
      <w:r w:rsidRPr="00D43F15">
        <w:rPr>
          <w:rFonts w:eastAsia="Times New Roman" w:cs="Arial"/>
          <w:color w:val="000000"/>
          <w:lang w:val="ru-RU"/>
        </w:rPr>
        <w:t xml:space="preserve"> </w:t>
      </w:r>
      <w:r w:rsidRPr="00D43F15">
        <w:rPr>
          <w:rFonts w:eastAsia="Times New Roman" w:cs="Arial"/>
          <w:color w:val="000000"/>
          <w:lang w:eastAsia="bg-BG"/>
        </w:rPr>
        <w:t xml:space="preserve">за амоксицилин и 0.2 </w:t>
      </w:r>
      <w:r w:rsidRPr="00D43F15">
        <w:rPr>
          <w:rFonts w:eastAsia="Times New Roman" w:cs="Arial"/>
          <w:color w:val="000000"/>
          <w:lang w:val="ru-RU"/>
        </w:rPr>
        <w:t>1/</w:t>
      </w:r>
      <w:r w:rsidRPr="00D43F15">
        <w:rPr>
          <w:rFonts w:eastAsia="Times New Roman" w:cs="Arial"/>
          <w:color w:val="000000"/>
          <w:lang w:val="en-US"/>
        </w:rPr>
        <w:t>kg</w:t>
      </w:r>
      <w:r w:rsidRPr="00D43F15">
        <w:rPr>
          <w:rFonts w:eastAsia="Times New Roman" w:cs="Arial"/>
          <w:color w:val="000000"/>
          <w:lang w:val="ru-RU"/>
        </w:rPr>
        <w:t xml:space="preserve"> </w:t>
      </w:r>
      <w:r w:rsidRPr="00D43F15">
        <w:rPr>
          <w:rFonts w:eastAsia="Times New Roman" w:cs="Arial"/>
          <w:color w:val="000000"/>
          <w:lang w:eastAsia="bg-BG"/>
        </w:rPr>
        <w:t>за клавуланова киселина.</w:t>
      </w:r>
    </w:p>
    <w:p w14:paraId="02D7EAAF" w14:textId="77777777" w:rsidR="00D43F15" w:rsidRPr="00D43F15" w:rsidRDefault="00D43F15" w:rsidP="00D43F15">
      <w:pPr>
        <w:rPr>
          <w:rFonts w:eastAsia="Times New Roman" w:cs="Arial"/>
          <w:color w:val="000000"/>
          <w:lang w:eastAsia="bg-BG"/>
        </w:rPr>
      </w:pPr>
    </w:p>
    <w:p w14:paraId="51F68C7F" w14:textId="3CD326E4" w:rsidR="00D43F15" w:rsidRDefault="00D43F15" w:rsidP="00D43F15">
      <w:pPr>
        <w:rPr>
          <w:rFonts w:eastAsia="Times New Roman" w:cs="Arial"/>
          <w:color w:val="000000"/>
          <w:lang w:eastAsia="bg-BG"/>
        </w:rPr>
      </w:pPr>
      <w:r w:rsidRPr="00D43F15">
        <w:rPr>
          <w:rFonts w:eastAsia="Times New Roman" w:cs="Arial"/>
          <w:color w:val="000000"/>
          <w:lang w:eastAsia="bg-BG"/>
        </w:rPr>
        <w:t>След интравенозно приложение и амоксицилин, и клавуланова киселина се откриват в жлъчен мехур, коремна тъкан, кожа, мазнини, мускулна тъкан, синовиална и перитоналната течност жлъчен секрет и гной. Амоксицилин не се разпределя достатъчно добре в цербросепиналната течност.</w:t>
      </w:r>
    </w:p>
    <w:p w14:paraId="0B87D24C" w14:textId="749B5C70" w:rsidR="00D43F15" w:rsidRDefault="00D43F15" w:rsidP="00D43F15">
      <w:pPr>
        <w:rPr>
          <w:rFonts w:eastAsia="Times New Roman" w:cs="Arial"/>
          <w:color w:val="000000"/>
          <w:lang w:eastAsia="bg-BG"/>
        </w:rPr>
      </w:pPr>
    </w:p>
    <w:p w14:paraId="604B242E" w14:textId="77777777" w:rsidR="00D43F15" w:rsidRPr="00D43F15" w:rsidRDefault="00D43F15" w:rsidP="00D43F15">
      <w:pPr>
        <w:spacing w:line="240" w:lineRule="auto"/>
        <w:rPr>
          <w:rFonts w:eastAsia="Times New Roman" w:cs="Arial"/>
          <w:sz w:val="24"/>
          <w:szCs w:val="24"/>
        </w:rPr>
      </w:pPr>
      <w:r w:rsidRPr="00D43F15">
        <w:rPr>
          <w:rFonts w:eastAsia="Times New Roman" w:cs="Arial"/>
          <w:color w:val="000000"/>
          <w:lang w:eastAsia="bg-BG"/>
        </w:rPr>
        <w:t>От проучванията при животни няма данни за значително тъканно задържане на вещества, получени от лекарството, за всеки от компонентите. Амоксицилин, подобно на повечето пеницилини, може да се открие в кърмата. Следи клавуланова киселина могат да се установят в кърмата (виж точка 4.6).</w:t>
      </w:r>
    </w:p>
    <w:p w14:paraId="3FD748FA" w14:textId="77777777" w:rsidR="00D43F15" w:rsidRPr="00D43F15" w:rsidRDefault="00D43F15" w:rsidP="00D43F15">
      <w:pPr>
        <w:spacing w:line="240" w:lineRule="auto"/>
        <w:rPr>
          <w:rFonts w:eastAsia="Times New Roman" w:cs="Arial"/>
          <w:color w:val="000000"/>
          <w:lang w:eastAsia="bg-BG"/>
        </w:rPr>
      </w:pPr>
    </w:p>
    <w:p w14:paraId="3DB7E85B" w14:textId="6224FBA8" w:rsidR="00D43F15" w:rsidRPr="00D43F15" w:rsidRDefault="00D43F15" w:rsidP="00D43F15">
      <w:pPr>
        <w:spacing w:line="240" w:lineRule="auto"/>
        <w:rPr>
          <w:rFonts w:eastAsia="Times New Roman" w:cs="Arial"/>
          <w:sz w:val="24"/>
          <w:szCs w:val="24"/>
        </w:rPr>
      </w:pPr>
      <w:r w:rsidRPr="00D43F15">
        <w:rPr>
          <w:rFonts w:eastAsia="Times New Roman" w:cs="Arial"/>
          <w:color w:val="000000"/>
          <w:lang w:eastAsia="bg-BG"/>
        </w:rPr>
        <w:t>Амоксицилин и клавуланова киселина преминават плацентарната бариера (виж точка 4.6).</w:t>
      </w:r>
    </w:p>
    <w:p w14:paraId="5A9D5DD1" w14:textId="77777777" w:rsidR="00D43F15" w:rsidRPr="00D43F15" w:rsidRDefault="00D43F15" w:rsidP="00D43F15">
      <w:pPr>
        <w:spacing w:line="240" w:lineRule="auto"/>
        <w:rPr>
          <w:rFonts w:eastAsia="Times New Roman" w:cs="Arial"/>
          <w:color w:val="000000"/>
          <w:u w:val="single"/>
          <w:lang w:eastAsia="bg-BG"/>
        </w:rPr>
      </w:pPr>
    </w:p>
    <w:p w14:paraId="5359B743" w14:textId="79916A06" w:rsidR="00D43F15" w:rsidRPr="00D43F15" w:rsidRDefault="00D43F15" w:rsidP="00D43F15">
      <w:pPr>
        <w:spacing w:line="240" w:lineRule="auto"/>
        <w:rPr>
          <w:rFonts w:eastAsia="Times New Roman" w:cs="Arial"/>
          <w:sz w:val="24"/>
          <w:szCs w:val="24"/>
        </w:rPr>
      </w:pPr>
      <w:r w:rsidRPr="00D43F15">
        <w:rPr>
          <w:rFonts w:eastAsia="Times New Roman" w:cs="Arial"/>
          <w:color w:val="000000"/>
          <w:u w:val="single"/>
          <w:lang w:eastAsia="bg-BG"/>
        </w:rPr>
        <w:lastRenderedPageBreak/>
        <w:t>Биотрансформация</w:t>
      </w:r>
    </w:p>
    <w:p w14:paraId="3D17F615" w14:textId="77777777" w:rsidR="00D43F15" w:rsidRPr="00D43F15" w:rsidRDefault="00D43F15" w:rsidP="00D43F15">
      <w:pPr>
        <w:spacing w:line="240" w:lineRule="auto"/>
        <w:rPr>
          <w:rFonts w:eastAsia="Times New Roman" w:cs="Arial"/>
          <w:color w:val="000000"/>
          <w:lang w:eastAsia="bg-BG"/>
        </w:rPr>
      </w:pPr>
    </w:p>
    <w:p w14:paraId="33D854C4" w14:textId="41177CB5" w:rsidR="00D43F15" w:rsidRPr="00D43F15" w:rsidRDefault="00D43F15" w:rsidP="00D43F15">
      <w:pPr>
        <w:spacing w:line="240" w:lineRule="auto"/>
        <w:rPr>
          <w:rFonts w:eastAsia="Times New Roman" w:cs="Arial"/>
          <w:sz w:val="24"/>
          <w:szCs w:val="24"/>
        </w:rPr>
      </w:pPr>
      <w:r w:rsidRPr="00D43F15">
        <w:rPr>
          <w:rFonts w:eastAsia="Times New Roman" w:cs="Arial"/>
          <w:color w:val="000000"/>
          <w:lang w:eastAsia="bg-BG"/>
        </w:rPr>
        <w:t>Амоксицилин частично се екскретира в урината като неактивна пеницилоева киселина в количества, еквивалентни на 10 до 25% от началната доза. Клавулановата киселина екстензивно се метаболизира при хора и се елиминира в урината и изпражненията, както в издишания въздух като въглероден диоксид.</w:t>
      </w:r>
    </w:p>
    <w:p w14:paraId="034A89DB" w14:textId="77777777" w:rsidR="00D43F15" w:rsidRPr="00D43F15" w:rsidRDefault="00D43F15" w:rsidP="00D43F15">
      <w:pPr>
        <w:spacing w:line="240" w:lineRule="auto"/>
        <w:rPr>
          <w:rFonts w:eastAsia="Times New Roman" w:cs="Arial"/>
          <w:color w:val="000000"/>
          <w:u w:val="single"/>
          <w:lang w:eastAsia="bg-BG"/>
        </w:rPr>
      </w:pPr>
    </w:p>
    <w:p w14:paraId="0D38AB5D" w14:textId="5B4864A9" w:rsidR="00D43F15" w:rsidRPr="00D43F15" w:rsidRDefault="00D43F15" w:rsidP="00D43F15">
      <w:pPr>
        <w:spacing w:line="240" w:lineRule="auto"/>
        <w:rPr>
          <w:rFonts w:eastAsia="Times New Roman" w:cs="Arial"/>
          <w:sz w:val="24"/>
          <w:szCs w:val="24"/>
        </w:rPr>
      </w:pPr>
      <w:r w:rsidRPr="00D43F15">
        <w:rPr>
          <w:rFonts w:eastAsia="Times New Roman" w:cs="Arial"/>
          <w:color w:val="000000"/>
          <w:u w:val="single"/>
          <w:lang w:eastAsia="bg-BG"/>
        </w:rPr>
        <w:t>Елиминиране</w:t>
      </w:r>
    </w:p>
    <w:p w14:paraId="0E22E26A" w14:textId="77777777" w:rsidR="00D43F15" w:rsidRPr="00D43F15" w:rsidRDefault="00D43F15" w:rsidP="00D43F15">
      <w:pPr>
        <w:spacing w:line="240" w:lineRule="auto"/>
        <w:rPr>
          <w:rFonts w:eastAsia="Times New Roman" w:cs="Arial"/>
          <w:color w:val="000000"/>
          <w:lang w:eastAsia="bg-BG"/>
        </w:rPr>
      </w:pPr>
    </w:p>
    <w:p w14:paraId="5212BF30" w14:textId="5D973D98" w:rsidR="00D43F15" w:rsidRPr="00D43F15" w:rsidRDefault="00D43F15" w:rsidP="00D43F15">
      <w:pPr>
        <w:spacing w:line="240" w:lineRule="auto"/>
        <w:rPr>
          <w:rFonts w:eastAsia="Times New Roman" w:cs="Arial"/>
          <w:sz w:val="24"/>
          <w:szCs w:val="24"/>
        </w:rPr>
      </w:pPr>
      <w:r w:rsidRPr="00D43F15">
        <w:rPr>
          <w:rFonts w:eastAsia="Times New Roman" w:cs="Arial"/>
          <w:color w:val="000000"/>
          <w:lang w:eastAsia="bg-BG"/>
        </w:rPr>
        <w:t>Основният път на елиминиране на амоксицилин е чрез бъбреците, докато на клавулановата киселина е както чрез бъбречни, така и чрез небъбречни механизми.</w:t>
      </w:r>
    </w:p>
    <w:p w14:paraId="2D5A2C6A" w14:textId="77777777" w:rsidR="00D43F15" w:rsidRPr="00D43F15" w:rsidRDefault="00D43F15" w:rsidP="00D43F15">
      <w:pPr>
        <w:spacing w:line="240" w:lineRule="auto"/>
        <w:rPr>
          <w:rFonts w:eastAsia="Times New Roman" w:cs="Arial"/>
          <w:color w:val="000000"/>
          <w:lang w:eastAsia="bg-BG"/>
        </w:rPr>
      </w:pPr>
    </w:p>
    <w:p w14:paraId="343D7B51" w14:textId="6B54C017" w:rsidR="00D43F15" w:rsidRPr="00D43F15" w:rsidRDefault="00D43F15" w:rsidP="00D43F15">
      <w:pPr>
        <w:spacing w:line="240" w:lineRule="auto"/>
        <w:rPr>
          <w:rFonts w:eastAsia="Times New Roman" w:cs="Arial"/>
          <w:sz w:val="24"/>
          <w:szCs w:val="24"/>
        </w:rPr>
      </w:pPr>
      <w:r w:rsidRPr="00D43F15">
        <w:rPr>
          <w:rFonts w:eastAsia="Times New Roman" w:cs="Arial"/>
          <w:color w:val="000000"/>
          <w:lang w:eastAsia="bg-BG"/>
        </w:rPr>
        <w:t xml:space="preserve">Амоксицилин/клавуланова киселина има средно време на полуелиминиране около един час и среден общ клирънс около 25 </w:t>
      </w:r>
      <w:r w:rsidRPr="00D43F15">
        <w:rPr>
          <w:rFonts w:eastAsia="Times New Roman" w:cs="Arial"/>
          <w:color w:val="000000"/>
          <w:lang w:val="ru-RU"/>
        </w:rPr>
        <w:t>1/</w:t>
      </w:r>
      <w:r w:rsidRPr="00D43F15">
        <w:rPr>
          <w:rFonts w:eastAsia="Times New Roman" w:cs="Arial"/>
          <w:color w:val="000000"/>
          <w:lang w:val="en-US"/>
        </w:rPr>
        <w:t>h</w:t>
      </w:r>
      <w:r w:rsidRPr="00D43F15">
        <w:rPr>
          <w:rFonts w:eastAsia="Times New Roman" w:cs="Arial"/>
          <w:color w:val="000000"/>
          <w:lang w:val="ru-RU"/>
        </w:rPr>
        <w:t xml:space="preserve"> </w:t>
      </w:r>
      <w:r w:rsidRPr="00D43F15">
        <w:rPr>
          <w:rFonts w:eastAsia="Times New Roman" w:cs="Arial"/>
          <w:color w:val="000000"/>
          <w:lang w:eastAsia="bg-BG"/>
        </w:rPr>
        <w:t xml:space="preserve">при здрави лица. Приблизително 60 до 70% от амоксицилин и приблизително 40 до 65% от клавуланова киселина се екскретират непроменени в урината по време на първите 6 </w:t>
      </w:r>
      <w:r w:rsidRPr="00D43F15">
        <w:rPr>
          <w:rFonts w:eastAsia="Times New Roman" w:cs="Arial"/>
          <w:color w:val="000000"/>
          <w:lang w:val="en-US"/>
        </w:rPr>
        <w:t>h</w:t>
      </w:r>
      <w:r w:rsidRPr="00D43F15">
        <w:rPr>
          <w:rFonts w:eastAsia="Times New Roman" w:cs="Arial"/>
          <w:color w:val="000000"/>
          <w:lang w:val="ru-RU"/>
        </w:rPr>
        <w:t xml:space="preserve"> </w:t>
      </w:r>
      <w:r w:rsidRPr="00D43F15">
        <w:rPr>
          <w:rFonts w:eastAsia="Times New Roman" w:cs="Arial"/>
          <w:color w:val="000000"/>
          <w:lang w:eastAsia="bg-BG"/>
        </w:rPr>
        <w:t xml:space="preserve">след еднократно прилагане на амоксицилин/клавуланова киселина таблетки 250 </w:t>
      </w:r>
      <w:r w:rsidRPr="00D43F15">
        <w:rPr>
          <w:rFonts w:eastAsia="Times New Roman" w:cs="Arial"/>
          <w:color w:val="000000"/>
          <w:lang w:val="en-US"/>
        </w:rPr>
        <w:t>mg</w:t>
      </w:r>
      <w:r w:rsidRPr="00D43F15">
        <w:rPr>
          <w:rFonts w:eastAsia="Times New Roman" w:cs="Arial"/>
          <w:color w:val="000000"/>
          <w:lang w:val="ru-RU"/>
        </w:rPr>
        <w:t xml:space="preserve">/125 </w:t>
      </w:r>
      <w:r w:rsidRPr="00D43F15">
        <w:rPr>
          <w:rFonts w:eastAsia="Times New Roman" w:cs="Arial"/>
          <w:color w:val="000000"/>
          <w:lang w:val="en-US"/>
        </w:rPr>
        <w:t>mg</w:t>
      </w:r>
      <w:r w:rsidRPr="00D43F15">
        <w:rPr>
          <w:rFonts w:eastAsia="Times New Roman" w:cs="Arial"/>
          <w:color w:val="000000"/>
          <w:lang w:val="ru-RU"/>
        </w:rPr>
        <w:t xml:space="preserve"> </w:t>
      </w:r>
      <w:r w:rsidRPr="00D43F15">
        <w:rPr>
          <w:rFonts w:eastAsia="Times New Roman" w:cs="Arial"/>
          <w:color w:val="000000"/>
          <w:lang w:eastAsia="bg-BG"/>
        </w:rPr>
        <w:t xml:space="preserve">или 500 </w:t>
      </w:r>
      <w:r w:rsidRPr="00D43F15">
        <w:rPr>
          <w:rFonts w:eastAsia="Times New Roman" w:cs="Arial"/>
          <w:color w:val="000000"/>
          <w:lang w:val="en-US"/>
        </w:rPr>
        <w:t>mg</w:t>
      </w:r>
      <w:r w:rsidRPr="00D43F15">
        <w:rPr>
          <w:rFonts w:eastAsia="Times New Roman" w:cs="Arial"/>
          <w:color w:val="000000"/>
          <w:lang w:val="ru-RU"/>
        </w:rPr>
        <w:t xml:space="preserve">/125 </w:t>
      </w:r>
      <w:r w:rsidRPr="00D43F15">
        <w:rPr>
          <w:rFonts w:eastAsia="Times New Roman" w:cs="Arial"/>
          <w:color w:val="000000"/>
          <w:lang w:val="en-US"/>
        </w:rPr>
        <w:t>mg</w:t>
      </w:r>
      <w:r w:rsidRPr="00D43F15">
        <w:rPr>
          <w:rFonts w:eastAsia="Times New Roman" w:cs="Arial"/>
          <w:color w:val="000000"/>
          <w:lang w:val="ru-RU"/>
        </w:rPr>
        <w:t xml:space="preserve">. </w:t>
      </w:r>
      <w:r w:rsidRPr="00D43F15">
        <w:rPr>
          <w:rFonts w:eastAsia="Times New Roman" w:cs="Arial"/>
          <w:color w:val="000000"/>
          <w:lang w:eastAsia="bg-BG"/>
        </w:rPr>
        <w:t>Множество проучвания показват, че уринарната екскреция е 50-85% за амоксицилин и между 27-60% за клавуланова киселина за 24-часов период. В частност за клавулановата киселина - най-голямо количество от лекарствения продукт се екскретира през първите 2 часа след приложение.</w:t>
      </w:r>
    </w:p>
    <w:p w14:paraId="3A1FC6FD" w14:textId="77777777" w:rsidR="00D43F15" w:rsidRPr="00D43F15" w:rsidRDefault="00D43F15" w:rsidP="00D43F15">
      <w:pPr>
        <w:spacing w:line="240" w:lineRule="auto"/>
        <w:rPr>
          <w:rFonts w:eastAsia="Times New Roman" w:cs="Arial"/>
          <w:color w:val="000000"/>
          <w:lang w:eastAsia="bg-BG"/>
        </w:rPr>
      </w:pPr>
    </w:p>
    <w:p w14:paraId="35B094F7" w14:textId="7766B44C" w:rsidR="00D43F15" w:rsidRPr="00D43F15" w:rsidRDefault="00D43F15" w:rsidP="00D43F15">
      <w:pPr>
        <w:spacing w:line="240" w:lineRule="auto"/>
        <w:rPr>
          <w:rFonts w:eastAsia="Times New Roman" w:cs="Arial"/>
          <w:sz w:val="24"/>
          <w:szCs w:val="24"/>
        </w:rPr>
      </w:pPr>
      <w:r w:rsidRPr="00D43F15">
        <w:rPr>
          <w:rFonts w:eastAsia="Times New Roman" w:cs="Arial"/>
          <w:color w:val="000000"/>
          <w:lang w:eastAsia="bg-BG"/>
        </w:rPr>
        <w:t>Едновременната употреба на пробенецид забавя екскрецията на амоксицилин, но не забавя бъбречната екскреция на клавуланова киселина (виж точка 4.5).</w:t>
      </w:r>
    </w:p>
    <w:p w14:paraId="56767263" w14:textId="77777777" w:rsidR="00D43F15" w:rsidRPr="00D43F15" w:rsidRDefault="00D43F15" w:rsidP="00D43F15">
      <w:pPr>
        <w:spacing w:line="240" w:lineRule="auto"/>
        <w:rPr>
          <w:rFonts w:eastAsia="Times New Roman" w:cs="Arial"/>
          <w:color w:val="000000"/>
          <w:u w:val="single"/>
          <w:lang w:eastAsia="bg-BG"/>
        </w:rPr>
      </w:pPr>
    </w:p>
    <w:p w14:paraId="524F8698" w14:textId="7021A9A8" w:rsidR="00D43F15" w:rsidRPr="00D43F15" w:rsidRDefault="00D43F15" w:rsidP="00D43F15">
      <w:pPr>
        <w:spacing w:line="240" w:lineRule="auto"/>
        <w:rPr>
          <w:rFonts w:eastAsia="Times New Roman" w:cs="Arial"/>
          <w:sz w:val="24"/>
          <w:szCs w:val="24"/>
        </w:rPr>
      </w:pPr>
      <w:r w:rsidRPr="00D43F15">
        <w:rPr>
          <w:rFonts w:eastAsia="Times New Roman" w:cs="Arial"/>
          <w:color w:val="000000"/>
          <w:u w:val="single"/>
          <w:lang w:eastAsia="bg-BG"/>
        </w:rPr>
        <w:t>Възраст</w:t>
      </w:r>
    </w:p>
    <w:p w14:paraId="76C79E31" w14:textId="77777777" w:rsidR="00D43F15" w:rsidRPr="00D43F15" w:rsidRDefault="00D43F15" w:rsidP="00D43F15">
      <w:pPr>
        <w:spacing w:line="240" w:lineRule="auto"/>
        <w:rPr>
          <w:rFonts w:eastAsia="Times New Roman" w:cs="Arial"/>
          <w:color w:val="000000"/>
          <w:lang w:eastAsia="bg-BG"/>
        </w:rPr>
      </w:pPr>
    </w:p>
    <w:p w14:paraId="4FEB5E44" w14:textId="190F3096" w:rsidR="00D43F15" w:rsidRPr="00D43F15" w:rsidRDefault="00D43F15" w:rsidP="00D43F15">
      <w:pPr>
        <w:spacing w:line="240" w:lineRule="auto"/>
        <w:rPr>
          <w:rFonts w:eastAsia="Times New Roman" w:cs="Arial"/>
          <w:sz w:val="24"/>
          <w:szCs w:val="24"/>
        </w:rPr>
      </w:pPr>
      <w:r w:rsidRPr="00D43F15">
        <w:rPr>
          <w:rFonts w:eastAsia="Times New Roman" w:cs="Arial"/>
          <w:color w:val="000000"/>
          <w:lang w:eastAsia="bg-BG"/>
        </w:rPr>
        <w:t>Времето на полуелиминиране на амоксицилин е сходно при деца на възраст от около 3 месеца до 2 години, както и при по-големи деца и възрастни. При новородени (включително преждевременно родени) през първата седмица от живота интервалът на приложение не трябва да надвишава двукратно дневно приложение, поради незрялост на бъбречните пътища на елиминиране. Тъй като при пациентите в старческа възраст е по-голяма Вероятността да имат намалена бъбречна функция, изборът на доза трябва да става внимателно и е полезно да се проследява бъбречната функция.</w:t>
      </w:r>
    </w:p>
    <w:p w14:paraId="770AEA56" w14:textId="77777777" w:rsidR="00D43F15" w:rsidRPr="00D43F15" w:rsidRDefault="00D43F15" w:rsidP="00D43F15">
      <w:pPr>
        <w:spacing w:line="240" w:lineRule="auto"/>
        <w:rPr>
          <w:rFonts w:eastAsia="Times New Roman" w:cs="Arial"/>
          <w:color w:val="000000"/>
          <w:u w:val="single"/>
          <w:lang w:eastAsia="bg-BG"/>
        </w:rPr>
      </w:pPr>
    </w:p>
    <w:p w14:paraId="138C49DF" w14:textId="630CA460" w:rsidR="00D43F15" w:rsidRPr="00D43F15" w:rsidRDefault="00D43F15" w:rsidP="00D43F15">
      <w:pPr>
        <w:spacing w:line="240" w:lineRule="auto"/>
        <w:rPr>
          <w:rFonts w:eastAsia="Times New Roman" w:cs="Arial"/>
          <w:sz w:val="24"/>
          <w:szCs w:val="24"/>
        </w:rPr>
      </w:pPr>
      <w:r w:rsidRPr="00D43F15">
        <w:rPr>
          <w:rFonts w:eastAsia="Times New Roman" w:cs="Arial"/>
          <w:color w:val="000000"/>
          <w:u w:val="single"/>
          <w:lang w:eastAsia="bg-BG"/>
        </w:rPr>
        <w:t>Пол</w:t>
      </w:r>
    </w:p>
    <w:p w14:paraId="6703FE2A" w14:textId="77777777" w:rsidR="00D43F15" w:rsidRPr="00D43F15" w:rsidRDefault="00D43F15" w:rsidP="00D43F15">
      <w:pPr>
        <w:spacing w:line="240" w:lineRule="auto"/>
        <w:rPr>
          <w:rFonts w:eastAsia="Times New Roman" w:cs="Arial"/>
          <w:color w:val="000000"/>
          <w:lang w:eastAsia="bg-BG"/>
        </w:rPr>
      </w:pPr>
    </w:p>
    <w:p w14:paraId="07FAAA76" w14:textId="78CCE1EB" w:rsidR="00D43F15" w:rsidRPr="00D43F15" w:rsidRDefault="00D43F15" w:rsidP="00D43F15">
      <w:pPr>
        <w:spacing w:line="240" w:lineRule="auto"/>
        <w:rPr>
          <w:rFonts w:eastAsia="Times New Roman" w:cs="Arial"/>
          <w:sz w:val="24"/>
          <w:szCs w:val="24"/>
        </w:rPr>
      </w:pPr>
      <w:r w:rsidRPr="00D43F15">
        <w:rPr>
          <w:rFonts w:eastAsia="Times New Roman" w:cs="Arial"/>
          <w:color w:val="000000"/>
          <w:lang w:eastAsia="bg-BG"/>
        </w:rPr>
        <w:t>Полът няма значимо влияние върху фармакокинетиката както на амоксицилин, така и на клавуланова киселина след перорално приложение на амоксицилин/клавуланова киселина при здрави мъже и жени.</w:t>
      </w:r>
    </w:p>
    <w:p w14:paraId="1F64ED2B" w14:textId="77777777" w:rsidR="00D43F15" w:rsidRPr="00D43F15" w:rsidRDefault="00D43F15" w:rsidP="00D43F15">
      <w:pPr>
        <w:spacing w:line="240" w:lineRule="auto"/>
        <w:rPr>
          <w:rFonts w:eastAsia="Times New Roman" w:cs="Arial"/>
          <w:color w:val="000000"/>
          <w:u w:val="single"/>
          <w:lang w:eastAsia="bg-BG"/>
        </w:rPr>
      </w:pPr>
    </w:p>
    <w:p w14:paraId="366A180E" w14:textId="1F3A6C99" w:rsidR="00D43F15" w:rsidRPr="00D43F15" w:rsidRDefault="00D43F15" w:rsidP="00D43F15">
      <w:pPr>
        <w:spacing w:line="240" w:lineRule="auto"/>
        <w:rPr>
          <w:rFonts w:eastAsia="Times New Roman" w:cs="Arial"/>
          <w:sz w:val="24"/>
          <w:szCs w:val="24"/>
        </w:rPr>
      </w:pPr>
      <w:r w:rsidRPr="00D43F15">
        <w:rPr>
          <w:rFonts w:eastAsia="Times New Roman" w:cs="Arial"/>
          <w:color w:val="000000"/>
          <w:u w:val="single"/>
          <w:lang w:eastAsia="bg-BG"/>
        </w:rPr>
        <w:t>Бъбречна недостатъчност</w:t>
      </w:r>
    </w:p>
    <w:p w14:paraId="498E1F25" w14:textId="77777777" w:rsidR="00D43F15" w:rsidRPr="00D43F15" w:rsidRDefault="00D43F15" w:rsidP="00D43F15">
      <w:pPr>
        <w:spacing w:line="240" w:lineRule="auto"/>
        <w:rPr>
          <w:rFonts w:eastAsia="Times New Roman" w:cs="Arial"/>
          <w:color w:val="000000"/>
          <w:lang w:eastAsia="bg-BG"/>
        </w:rPr>
      </w:pPr>
    </w:p>
    <w:p w14:paraId="1F29AADA" w14:textId="7DEB5E50" w:rsidR="00D43F15" w:rsidRPr="00D43F15" w:rsidRDefault="00D43F15" w:rsidP="00D43F15">
      <w:pPr>
        <w:spacing w:line="240" w:lineRule="auto"/>
        <w:rPr>
          <w:rFonts w:eastAsia="Times New Roman" w:cs="Arial"/>
          <w:sz w:val="24"/>
          <w:szCs w:val="24"/>
        </w:rPr>
      </w:pPr>
      <w:r w:rsidRPr="00D43F15">
        <w:rPr>
          <w:rFonts w:eastAsia="Times New Roman" w:cs="Arial"/>
          <w:color w:val="000000"/>
          <w:lang w:eastAsia="bg-BG"/>
        </w:rPr>
        <w:t>Общият серумен клирънс на амоксицилин/клавуланова киселина намалява пропорционално на отслабването на бъбречната функция. Понижението на клирънса на продукта с по-изразено за амоксицилин, отколкото за клавуланова киселина, тъй като по-голямата част пт амоксицилин</w:t>
      </w:r>
    </w:p>
    <w:p w14:paraId="1C8C37E7" w14:textId="77777777" w:rsidR="00D43F15" w:rsidRPr="00D43F15" w:rsidRDefault="00D43F15" w:rsidP="00D43F15">
      <w:pPr>
        <w:spacing w:line="240" w:lineRule="auto"/>
        <w:rPr>
          <w:rFonts w:eastAsia="Times New Roman" w:cs="Arial"/>
          <w:sz w:val="24"/>
          <w:szCs w:val="24"/>
        </w:rPr>
      </w:pPr>
      <w:r w:rsidRPr="00D43F15">
        <w:rPr>
          <w:rFonts w:eastAsia="Times New Roman" w:cs="Arial"/>
          <w:color w:val="000000"/>
          <w:lang w:eastAsia="bg-BG"/>
        </w:rPr>
        <w:t>се екскретира чрез бъбреците. Затова дозите при бъбречна недостатъчносът трябва да предотвратяват нежелано натрупване на амоксицилин, поддържайки адекватно нива на</w:t>
      </w:r>
    </w:p>
    <w:p w14:paraId="073622B0" w14:textId="6C4DA07C" w:rsidR="00D43F15" w:rsidRPr="00D43F15" w:rsidRDefault="00D43F15" w:rsidP="00D43F15">
      <w:pPr>
        <w:rPr>
          <w:rFonts w:eastAsia="Times New Roman" w:cs="Arial"/>
          <w:color w:val="000000"/>
          <w:lang w:eastAsia="bg-BG"/>
        </w:rPr>
      </w:pPr>
      <w:r w:rsidRPr="00D43F15">
        <w:rPr>
          <w:rFonts w:eastAsia="Times New Roman" w:cs="Arial"/>
          <w:color w:val="000000"/>
          <w:lang w:eastAsia="bg-BG"/>
        </w:rPr>
        <w:t>клавуланова киселина (виж точка 4.2).</w:t>
      </w:r>
    </w:p>
    <w:p w14:paraId="7912B146" w14:textId="5D27D0ED" w:rsidR="00D43F15" w:rsidRPr="00D43F15" w:rsidRDefault="00D43F15" w:rsidP="00D43F15">
      <w:pPr>
        <w:rPr>
          <w:rFonts w:eastAsia="Times New Roman" w:cs="Arial"/>
          <w:color w:val="000000"/>
          <w:lang w:eastAsia="bg-BG"/>
        </w:rPr>
      </w:pPr>
    </w:p>
    <w:p w14:paraId="09EC30A8" w14:textId="77777777" w:rsidR="00D43F15" w:rsidRPr="00D43F15" w:rsidRDefault="00D43F15" w:rsidP="00D43F15">
      <w:pPr>
        <w:spacing w:line="240" w:lineRule="auto"/>
        <w:rPr>
          <w:rFonts w:eastAsia="Times New Roman" w:cs="Arial"/>
          <w:sz w:val="24"/>
          <w:szCs w:val="24"/>
        </w:rPr>
      </w:pPr>
      <w:r w:rsidRPr="00D43F15">
        <w:rPr>
          <w:rFonts w:eastAsia="Times New Roman" w:cs="Arial"/>
          <w:color w:val="000000"/>
          <w:u w:val="single"/>
          <w:lang w:eastAsia="bg-BG"/>
        </w:rPr>
        <w:lastRenderedPageBreak/>
        <w:t>Чернодробна недостатъчност</w:t>
      </w:r>
    </w:p>
    <w:p w14:paraId="757EC074" w14:textId="77777777" w:rsidR="00D43F15" w:rsidRPr="00D43F15" w:rsidRDefault="00D43F15" w:rsidP="00D43F15">
      <w:pPr>
        <w:spacing w:line="240" w:lineRule="auto"/>
        <w:rPr>
          <w:rFonts w:eastAsia="Times New Roman" w:cs="Arial"/>
          <w:color w:val="000000"/>
          <w:lang w:eastAsia="bg-BG"/>
        </w:rPr>
      </w:pPr>
    </w:p>
    <w:p w14:paraId="451349FD" w14:textId="100A4827" w:rsidR="00D43F15" w:rsidRPr="00D43F15" w:rsidRDefault="00D43F15" w:rsidP="00D43F15">
      <w:pPr>
        <w:spacing w:line="240" w:lineRule="auto"/>
        <w:rPr>
          <w:rFonts w:eastAsia="Times New Roman" w:cs="Arial"/>
          <w:sz w:val="24"/>
          <w:szCs w:val="24"/>
        </w:rPr>
      </w:pPr>
      <w:r w:rsidRPr="00D43F15">
        <w:rPr>
          <w:rFonts w:eastAsia="Times New Roman" w:cs="Arial"/>
          <w:color w:val="000000"/>
          <w:lang w:eastAsia="bg-BG"/>
        </w:rPr>
        <w:t>Дозите при пациенти с чернодробно увреждане трябва да се определят внимателно и чернодробната функция трябва да се проследява редовно.</w:t>
      </w:r>
    </w:p>
    <w:p w14:paraId="5B86EFBC" w14:textId="77777777" w:rsidR="00D43F15" w:rsidRPr="00D43F15" w:rsidRDefault="00D43F15" w:rsidP="00D43F15">
      <w:pPr>
        <w:rPr>
          <w:rFonts w:eastAsia="Times New Roman" w:cs="Arial"/>
          <w:color w:val="000000"/>
          <w:lang w:eastAsia="bg-BG"/>
        </w:rPr>
      </w:pPr>
    </w:p>
    <w:p w14:paraId="028E658A" w14:textId="0E5671F7" w:rsidR="00395555" w:rsidRDefault="002C50EE" w:rsidP="008A6AF2">
      <w:pPr>
        <w:pStyle w:val="Heading2"/>
      </w:pPr>
      <w:r>
        <w:t>5.3. Предклинични данни за безопасност</w:t>
      </w:r>
    </w:p>
    <w:p w14:paraId="255ED524" w14:textId="422399B3" w:rsidR="00D43F15" w:rsidRDefault="00D43F15" w:rsidP="00D43F15"/>
    <w:p w14:paraId="407DFEFE" w14:textId="77777777" w:rsidR="00D43F15" w:rsidRPr="00D43F15" w:rsidRDefault="00D43F15" w:rsidP="00D43F15">
      <w:pPr>
        <w:rPr>
          <w:sz w:val="24"/>
          <w:szCs w:val="24"/>
        </w:rPr>
      </w:pPr>
      <w:r w:rsidRPr="00D43F15">
        <w:rPr>
          <w:lang w:eastAsia="bg-BG"/>
        </w:rPr>
        <w:t>Неклиничните данни не показват особен риск за хора на базата на конвенционалните фармакологични проучвания за безопасност, генотоксичност и репродуктивна токсичност.</w:t>
      </w:r>
    </w:p>
    <w:p w14:paraId="0DB80C62" w14:textId="77777777" w:rsidR="00D43F15" w:rsidRDefault="00D43F15" w:rsidP="00D43F15">
      <w:pPr>
        <w:rPr>
          <w:lang w:eastAsia="bg-BG"/>
        </w:rPr>
      </w:pPr>
    </w:p>
    <w:p w14:paraId="3CAC2147" w14:textId="19FCAE51" w:rsidR="00D43F15" w:rsidRPr="00D43F15" w:rsidRDefault="00D43F15" w:rsidP="00D43F15">
      <w:pPr>
        <w:rPr>
          <w:sz w:val="24"/>
          <w:szCs w:val="24"/>
        </w:rPr>
      </w:pPr>
      <w:r w:rsidRPr="00D43F15">
        <w:rPr>
          <w:lang w:eastAsia="bg-BG"/>
        </w:rPr>
        <w:t>Проучванията за токсичност при многократно прилагане на амоксицилин/клавуланова киселина, проведени върху кучета, показват стомашно дразнене, повръщане и промяна в цвета на езика.</w:t>
      </w:r>
    </w:p>
    <w:p w14:paraId="0201CC06" w14:textId="77777777" w:rsidR="00D43F15" w:rsidRDefault="00D43F15" w:rsidP="00D43F15">
      <w:pPr>
        <w:rPr>
          <w:lang w:eastAsia="bg-BG"/>
        </w:rPr>
      </w:pPr>
    </w:p>
    <w:p w14:paraId="328573D1" w14:textId="44B8D64B" w:rsidR="00D43F15" w:rsidRPr="00D43F15" w:rsidRDefault="00D43F15" w:rsidP="00D43F15">
      <w:pPr>
        <w:rPr>
          <w:sz w:val="24"/>
          <w:szCs w:val="24"/>
        </w:rPr>
      </w:pPr>
      <w:r w:rsidRPr="00D43F15">
        <w:rPr>
          <w:lang w:eastAsia="bg-BG"/>
        </w:rPr>
        <w:t>Проучвания за карциногенен потенциал не са провеждани с амоксицилин/клавуланова киселина или неговите съставки.</w:t>
      </w:r>
    </w:p>
    <w:p w14:paraId="6ACC36C6" w14:textId="77777777" w:rsidR="00D43F15" w:rsidRPr="00D43F15" w:rsidRDefault="00D43F15" w:rsidP="00D43F15"/>
    <w:p w14:paraId="6A7820AB" w14:textId="68BFC37F" w:rsidR="008A6AF2" w:rsidRDefault="002C50EE" w:rsidP="00395555">
      <w:pPr>
        <w:pStyle w:val="Heading1"/>
      </w:pPr>
      <w:r>
        <w:t>7. ПРИТЕЖАТЕЛ НА РАЗРЕШЕНИЕТО ЗА УПОТРЕБА</w:t>
      </w:r>
    </w:p>
    <w:p w14:paraId="1FBBCC4F" w14:textId="0299BF21" w:rsidR="00D43F15" w:rsidRDefault="00D43F15" w:rsidP="00D43F15"/>
    <w:p w14:paraId="6D8CE462" w14:textId="77777777" w:rsidR="00D43F15" w:rsidRPr="00D43F15" w:rsidRDefault="00D43F15" w:rsidP="00D43F15">
      <w:pPr>
        <w:rPr>
          <w:sz w:val="24"/>
          <w:szCs w:val="24"/>
        </w:rPr>
      </w:pPr>
      <w:r w:rsidRPr="00D43F15">
        <w:rPr>
          <w:lang w:eastAsia="bg-BG"/>
        </w:rPr>
        <w:t>Екофарм Груп АД</w:t>
      </w:r>
    </w:p>
    <w:p w14:paraId="7DC99B72" w14:textId="77777777" w:rsidR="00D43F15" w:rsidRDefault="00D43F15" w:rsidP="00D43F15">
      <w:pPr>
        <w:rPr>
          <w:lang w:eastAsia="bg-BG"/>
        </w:rPr>
      </w:pPr>
      <w:r w:rsidRPr="00D43F15">
        <w:rPr>
          <w:lang w:eastAsia="bg-BG"/>
        </w:rPr>
        <w:t xml:space="preserve">ул. Атанас Дуков №29, ет. 3, </w:t>
      </w:r>
    </w:p>
    <w:p w14:paraId="2CDB4849" w14:textId="77777777" w:rsidR="00D43F15" w:rsidRDefault="00D43F15" w:rsidP="00D43F15">
      <w:pPr>
        <w:rPr>
          <w:lang w:eastAsia="bg-BG"/>
        </w:rPr>
      </w:pPr>
      <w:r w:rsidRPr="00D43F15">
        <w:rPr>
          <w:lang w:eastAsia="bg-BG"/>
        </w:rPr>
        <w:t xml:space="preserve">1407 София, България </w:t>
      </w:r>
    </w:p>
    <w:p w14:paraId="4A265D9C" w14:textId="77777777" w:rsidR="00D43F15" w:rsidRDefault="00D43F15" w:rsidP="00D43F15">
      <w:pPr>
        <w:rPr>
          <w:lang w:eastAsia="bg-BG"/>
        </w:rPr>
      </w:pPr>
      <w:r w:rsidRPr="00D43F15">
        <w:rPr>
          <w:lang w:eastAsia="bg-BG"/>
        </w:rPr>
        <w:t xml:space="preserve">тел.: (02) 906 90 70 </w:t>
      </w:r>
    </w:p>
    <w:p w14:paraId="5F4612F4" w14:textId="7370D19D" w:rsidR="00D43F15" w:rsidRPr="00D43F15" w:rsidRDefault="00D43F15" w:rsidP="00D43F15">
      <w:r w:rsidRPr="00D43F15">
        <w:rPr>
          <w:lang w:eastAsia="bg-BG"/>
        </w:rPr>
        <w:t>факс: (02) 906 90 71</w:t>
      </w:r>
    </w:p>
    <w:p w14:paraId="04840D59" w14:textId="3CE200F7" w:rsidR="002C50EE" w:rsidRDefault="002C50EE" w:rsidP="00395555">
      <w:pPr>
        <w:pStyle w:val="Heading1"/>
      </w:pPr>
      <w:r>
        <w:t>8. НОМЕР НА РАЗРЕШЕНИЕТО ЗА УПОТРЕБА</w:t>
      </w:r>
    </w:p>
    <w:p w14:paraId="454BCEA9" w14:textId="3759913E" w:rsidR="00D43F15" w:rsidRPr="00D43F15" w:rsidRDefault="00D43F15" w:rsidP="00D43F15">
      <w:pPr>
        <w:rPr>
          <w:sz w:val="24"/>
          <w:szCs w:val="24"/>
        </w:rPr>
      </w:pPr>
      <w:r w:rsidRPr="00D43F15">
        <w:rPr>
          <w:lang w:eastAsia="bg-BG"/>
        </w:rPr>
        <w:t>20130082</w:t>
      </w:r>
    </w:p>
    <w:p w14:paraId="2CCB5832" w14:textId="0225C9B9" w:rsidR="007C605B" w:rsidRDefault="002C50EE" w:rsidP="007C605B">
      <w:pPr>
        <w:pStyle w:val="Heading1"/>
      </w:pPr>
      <w:r>
        <w:t>9. ДАТА НА ПЪРВО РАЗРЕШАВАНЕ/ПОДНОВЯВАНЕ НА РАЗРЕШЕНИЕТО ЗА УПОТРЕБА</w:t>
      </w:r>
    </w:p>
    <w:p w14:paraId="7EB87BA5" w14:textId="0529316F" w:rsidR="00D43F15" w:rsidRPr="00D43F15" w:rsidRDefault="00D43F15" w:rsidP="00D43F15">
      <w:r>
        <w:t>Дата на първо разрешаване: 21.02.2013</w:t>
      </w:r>
    </w:p>
    <w:p w14:paraId="0E9D0119" w14:textId="0245C6D7" w:rsidR="002C50EE" w:rsidRDefault="002C50EE" w:rsidP="002C50EE">
      <w:pPr>
        <w:pStyle w:val="Heading1"/>
      </w:pPr>
      <w:r>
        <w:t>10. ДАТА НА АКТУАЛИЗИРАНЕ НА ТЕКСТА</w:t>
      </w:r>
    </w:p>
    <w:bookmarkEnd w:id="0"/>
    <w:p w14:paraId="43FB38A2" w14:textId="1E0C0901" w:rsidR="007C605B" w:rsidRPr="003E3126" w:rsidRDefault="00D43F15" w:rsidP="00D43F15">
      <w:r>
        <w:t>09/2019</w:t>
      </w:r>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5"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D70EF5"/>
    <w:multiLevelType w:val="hybridMultilevel"/>
    <w:tmpl w:val="12803D54"/>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7"/>
  </w:num>
  <w:num w:numId="2">
    <w:abstractNumId w:val="0"/>
  </w:num>
  <w:num w:numId="3">
    <w:abstractNumId w:val="12"/>
  </w:num>
  <w:num w:numId="4">
    <w:abstractNumId w:val="3"/>
  </w:num>
  <w:num w:numId="5">
    <w:abstractNumId w:val="1"/>
  </w:num>
  <w:num w:numId="6">
    <w:abstractNumId w:val="15"/>
  </w:num>
  <w:num w:numId="7">
    <w:abstractNumId w:val="10"/>
  </w:num>
  <w:num w:numId="8">
    <w:abstractNumId w:val="14"/>
  </w:num>
  <w:num w:numId="9">
    <w:abstractNumId w:val="2"/>
  </w:num>
  <w:num w:numId="10">
    <w:abstractNumId w:val="4"/>
  </w:num>
  <w:num w:numId="11">
    <w:abstractNumId w:val="29"/>
  </w:num>
  <w:num w:numId="12">
    <w:abstractNumId w:val="13"/>
  </w:num>
  <w:num w:numId="13">
    <w:abstractNumId w:val="18"/>
  </w:num>
  <w:num w:numId="14">
    <w:abstractNumId w:val="11"/>
  </w:num>
  <w:num w:numId="15">
    <w:abstractNumId w:val="28"/>
  </w:num>
  <w:num w:numId="16">
    <w:abstractNumId w:val="9"/>
  </w:num>
  <w:num w:numId="17">
    <w:abstractNumId w:val="23"/>
  </w:num>
  <w:num w:numId="18">
    <w:abstractNumId w:val="7"/>
  </w:num>
  <w:num w:numId="19">
    <w:abstractNumId w:val="26"/>
  </w:num>
  <w:num w:numId="20">
    <w:abstractNumId w:val="22"/>
  </w:num>
  <w:num w:numId="21">
    <w:abstractNumId w:val="16"/>
  </w:num>
  <w:num w:numId="22">
    <w:abstractNumId w:val="24"/>
  </w:num>
  <w:num w:numId="23">
    <w:abstractNumId w:val="17"/>
  </w:num>
  <w:num w:numId="24">
    <w:abstractNumId w:val="8"/>
  </w:num>
  <w:num w:numId="25">
    <w:abstractNumId w:val="21"/>
  </w:num>
  <w:num w:numId="26">
    <w:abstractNumId w:val="20"/>
  </w:num>
  <w:num w:numId="27">
    <w:abstractNumId w:val="30"/>
  </w:num>
  <w:num w:numId="28">
    <w:abstractNumId w:val="6"/>
  </w:num>
  <w:num w:numId="29">
    <w:abstractNumId w:val="19"/>
  </w:num>
  <w:num w:numId="30">
    <w:abstractNumId w:val="31"/>
  </w:num>
  <w:num w:numId="31">
    <w:abstractNumId w:val="5"/>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04415C"/>
    <w:rsid w:val="00096BFF"/>
    <w:rsid w:val="00185A46"/>
    <w:rsid w:val="001915B6"/>
    <w:rsid w:val="001D1B23"/>
    <w:rsid w:val="002B3C38"/>
    <w:rsid w:val="002B4DBB"/>
    <w:rsid w:val="002C50EE"/>
    <w:rsid w:val="00340A0A"/>
    <w:rsid w:val="003765DC"/>
    <w:rsid w:val="00395555"/>
    <w:rsid w:val="003E3126"/>
    <w:rsid w:val="004D4D6B"/>
    <w:rsid w:val="00517A5B"/>
    <w:rsid w:val="00593A00"/>
    <w:rsid w:val="005A66D9"/>
    <w:rsid w:val="00605BCA"/>
    <w:rsid w:val="006158A1"/>
    <w:rsid w:val="00617B1F"/>
    <w:rsid w:val="00672487"/>
    <w:rsid w:val="00672600"/>
    <w:rsid w:val="00681D4A"/>
    <w:rsid w:val="00685882"/>
    <w:rsid w:val="0075649D"/>
    <w:rsid w:val="007C605B"/>
    <w:rsid w:val="00814073"/>
    <w:rsid w:val="00826F0D"/>
    <w:rsid w:val="00893B92"/>
    <w:rsid w:val="008A6AF2"/>
    <w:rsid w:val="008C70A2"/>
    <w:rsid w:val="009773E4"/>
    <w:rsid w:val="009B171C"/>
    <w:rsid w:val="009F1313"/>
    <w:rsid w:val="00A20351"/>
    <w:rsid w:val="00AA23EC"/>
    <w:rsid w:val="00AC63CE"/>
    <w:rsid w:val="00AE2107"/>
    <w:rsid w:val="00B275A8"/>
    <w:rsid w:val="00BF2600"/>
    <w:rsid w:val="00C0049F"/>
    <w:rsid w:val="00C07B84"/>
    <w:rsid w:val="00C33464"/>
    <w:rsid w:val="00C809A7"/>
    <w:rsid w:val="00C83063"/>
    <w:rsid w:val="00C87E90"/>
    <w:rsid w:val="00CA1B57"/>
    <w:rsid w:val="00D43F15"/>
    <w:rsid w:val="00D86297"/>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4513</Words>
  <Characters>25728</Characters>
  <Application>Microsoft Office Word</Application>
  <DocSecurity>0</DocSecurity>
  <Lines>214</Lines>
  <Paragraphs>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2022-02-10T09:56:00Z</dcterms:created>
  <dcterms:modified xsi:type="dcterms:W3CDTF">2022-02-10T09:56:00Z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