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88022" w14:textId="77777777" w:rsidR="006A14EC" w:rsidRPr="00763075" w:rsidRDefault="00240CB5" w:rsidP="00763075">
      <w:pPr>
        <w:numPr>
          <w:ilvl w:val="0"/>
          <w:numId w:val="11"/>
        </w:numPr>
        <w:jc w:val="both"/>
        <w:rPr>
          <w:b/>
          <w:sz w:val="22"/>
          <w:szCs w:val="22"/>
          <w:lang w:val="bg-BG"/>
        </w:rPr>
      </w:pPr>
      <w:bookmarkStart w:id="0" w:name="_GoBack"/>
      <w:bookmarkEnd w:id="0"/>
      <w:r w:rsidRPr="00763075">
        <w:rPr>
          <w:b/>
          <w:noProof/>
          <w:sz w:val="22"/>
          <w:szCs w:val="22"/>
          <w:lang w:val="bg-BG"/>
        </w:rPr>
        <w:t>ИМЕ НА ЛЕКАРСТВЕНИЯ ПРОДУКТ</w:t>
      </w:r>
    </w:p>
    <w:p w14:paraId="76B87C01" w14:textId="77777777" w:rsidR="006A14EC" w:rsidRPr="00763075" w:rsidRDefault="006A14EC" w:rsidP="00763075">
      <w:pPr>
        <w:jc w:val="both"/>
        <w:rPr>
          <w:b/>
          <w:sz w:val="22"/>
          <w:szCs w:val="22"/>
          <w:lang w:val="bg-BG"/>
        </w:rPr>
      </w:pPr>
    </w:p>
    <w:p w14:paraId="1E7A2289" w14:textId="6947B3A1" w:rsidR="006A14EC" w:rsidRPr="00763075" w:rsidRDefault="006A14EC" w:rsidP="00763075">
      <w:pPr>
        <w:pStyle w:val="Heading1"/>
        <w:jc w:val="both"/>
        <w:rPr>
          <w:sz w:val="22"/>
          <w:szCs w:val="22"/>
          <w:vertAlign w:val="superscript"/>
        </w:rPr>
      </w:pPr>
      <w:r w:rsidRPr="00763075">
        <w:rPr>
          <w:b/>
          <w:sz w:val="22"/>
          <w:szCs w:val="22"/>
          <w:lang w:val="bg-BG"/>
        </w:rPr>
        <w:t xml:space="preserve"> </w:t>
      </w:r>
      <w:r w:rsidR="001E29AE" w:rsidRPr="00763075">
        <w:rPr>
          <w:sz w:val="22"/>
          <w:szCs w:val="22"/>
          <w:lang w:val="bg-BG"/>
        </w:rPr>
        <w:t>Атаракс</w:t>
      </w:r>
      <w:r w:rsidR="001E29AE" w:rsidRPr="00763075">
        <w:rPr>
          <w:sz w:val="22"/>
          <w:szCs w:val="22"/>
          <w:vertAlign w:val="superscript"/>
          <w:lang w:val="bg-BG"/>
        </w:rPr>
        <w:t xml:space="preserve"> </w:t>
      </w:r>
      <w:r w:rsidR="009A2C02" w:rsidRPr="00763075">
        <w:rPr>
          <w:sz w:val="22"/>
          <w:szCs w:val="22"/>
          <w:lang w:val="bg-BG"/>
        </w:rPr>
        <w:t>25 </w:t>
      </w:r>
      <w:r w:rsidRPr="00763075">
        <w:rPr>
          <w:sz w:val="22"/>
          <w:szCs w:val="22"/>
          <w:lang w:val="bg-BG"/>
        </w:rPr>
        <w:t>mg</w:t>
      </w:r>
      <w:r w:rsidR="005349CD" w:rsidRPr="00763075">
        <w:rPr>
          <w:sz w:val="22"/>
          <w:szCs w:val="22"/>
          <w:lang w:val="bg-BG"/>
        </w:rPr>
        <w:t xml:space="preserve"> филмирани таблетки</w:t>
      </w:r>
    </w:p>
    <w:p w14:paraId="4E8B9219" w14:textId="545BEA0F" w:rsidR="006A14EC" w:rsidRPr="00763075" w:rsidRDefault="006A14EC" w:rsidP="00763075">
      <w:pPr>
        <w:jc w:val="both"/>
        <w:rPr>
          <w:b/>
          <w:sz w:val="22"/>
          <w:szCs w:val="22"/>
          <w:lang w:val="bg-BG"/>
        </w:rPr>
      </w:pPr>
      <w:r w:rsidRPr="00763075">
        <w:rPr>
          <w:b/>
          <w:sz w:val="22"/>
          <w:szCs w:val="22"/>
          <w:lang w:val="bg-BG"/>
        </w:rPr>
        <w:t xml:space="preserve"> </w:t>
      </w:r>
      <w:r w:rsidR="001E29AE" w:rsidRPr="00763075">
        <w:rPr>
          <w:sz w:val="22"/>
          <w:szCs w:val="22"/>
          <w:lang w:val="bg-BG"/>
        </w:rPr>
        <w:t>Atarax</w:t>
      </w:r>
      <w:r w:rsidR="001E29AE" w:rsidRPr="00763075">
        <w:rPr>
          <w:sz w:val="22"/>
          <w:szCs w:val="22"/>
          <w:vertAlign w:val="superscript"/>
          <w:lang w:val="bg-BG"/>
        </w:rPr>
        <w:t xml:space="preserve"> </w:t>
      </w:r>
      <w:r w:rsidR="009A2C02" w:rsidRPr="00763075">
        <w:rPr>
          <w:sz w:val="22"/>
          <w:szCs w:val="22"/>
          <w:lang w:val="bg-BG"/>
        </w:rPr>
        <w:t>25 </w:t>
      </w:r>
      <w:r w:rsidR="00A735C3" w:rsidRPr="00763075">
        <w:rPr>
          <w:sz w:val="22"/>
          <w:szCs w:val="22"/>
          <w:lang w:val="bg-BG"/>
        </w:rPr>
        <w:t xml:space="preserve">mg </w:t>
      </w:r>
      <w:r w:rsidR="00941796" w:rsidRPr="00763075">
        <w:rPr>
          <w:sz w:val="22"/>
          <w:szCs w:val="22"/>
          <w:lang w:val="bg-BG"/>
        </w:rPr>
        <w:t>film-coated tablets</w:t>
      </w:r>
    </w:p>
    <w:p w14:paraId="5B70A8FD" w14:textId="77777777" w:rsidR="00240CB5" w:rsidRPr="00763075" w:rsidRDefault="00240CB5" w:rsidP="00763075">
      <w:pPr>
        <w:jc w:val="both"/>
        <w:rPr>
          <w:sz w:val="22"/>
          <w:szCs w:val="22"/>
          <w:lang w:val="bg-BG"/>
        </w:rPr>
      </w:pPr>
    </w:p>
    <w:p w14:paraId="0C0FDEEF" w14:textId="77777777" w:rsidR="009422CB" w:rsidRPr="00763075" w:rsidRDefault="009422CB" w:rsidP="00763075">
      <w:pPr>
        <w:jc w:val="both"/>
        <w:rPr>
          <w:sz w:val="22"/>
          <w:szCs w:val="22"/>
          <w:lang w:val="bg-BG"/>
        </w:rPr>
      </w:pPr>
    </w:p>
    <w:p w14:paraId="57E83550" w14:textId="77777777" w:rsidR="006A14EC" w:rsidRPr="00763075" w:rsidRDefault="00240CB5" w:rsidP="00763075">
      <w:pPr>
        <w:numPr>
          <w:ilvl w:val="0"/>
          <w:numId w:val="11"/>
        </w:numPr>
        <w:jc w:val="both"/>
        <w:rPr>
          <w:sz w:val="22"/>
          <w:szCs w:val="22"/>
          <w:lang w:val="bg-BG"/>
        </w:rPr>
      </w:pPr>
      <w:r w:rsidRPr="00763075">
        <w:rPr>
          <w:b/>
          <w:sz w:val="22"/>
          <w:szCs w:val="22"/>
          <w:lang w:val="bg-BG"/>
        </w:rPr>
        <w:t>КАЧЕСТВЕН И КОЛИЧЕСТВЕН СЪСТАВ</w:t>
      </w:r>
    </w:p>
    <w:p w14:paraId="02522AA3" w14:textId="77777777" w:rsidR="006A14EC" w:rsidRPr="00763075" w:rsidRDefault="006A14EC" w:rsidP="00763075">
      <w:pPr>
        <w:jc w:val="both"/>
        <w:rPr>
          <w:b/>
          <w:sz w:val="22"/>
          <w:szCs w:val="22"/>
          <w:lang w:val="bg-BG"/>
        </w:rPr>
      </w:pPr>
    </w:p>
    <w:p w14:paraId="253A6A43" w14:textId="116B5F22" w:rsidR="006A14EC" w:rsidRPr="00763075" w:rsidRDefault="006A14EC" w:rsidP="00763075">
      <w:pPr>
        <w:pStyle w:val="Heading7"/>
        <w:rPr>
          <w:rFonts w:ascii="Times New Roman" w:hAnsi="Times New Roman"/>
          <w:sz w:val="22"/>
          <w:szCs w:val="22"/>
        </w:rPr>
      </w:pPr>
      <w:r w:rsidRPr="00763075">
        <w:rPr>
          <w:rFonts w:ascii="Times New Roman" w:hAnsi="Times New Roman"/>
          <w:sz w:val="22"/>
          <w:szCs w:val="22"/>
        </w:rPr>
        <w:t xml:space="preserve">Всяка </w:t>
      </w:r>
      <w:r w:rsidR="00240CB5" w:rsidRPr="00763075">
        <w:rPr>
          <w:rFonts w:ascii="Times New Roman" w:hAnsi="Times New Roman"/>
          <w:sz w:val="22"/>
          <w:szCs w:val="22"/>
        </w:rPr>
        <w:t xml:space="preserve">филмирана </w:t>
      </w:r>
      <w:r w:rsidRPr="00763075">
        <w:rPr>
          <w:rFonts w:ascii="Times New Roman" w:hAnsi="Times New Roman"/>
          <w:sz w:val="22"/>
          <w:szCs w:val="22"/>
        </w:rPr>
        <w:t xml:space="preserve">таблетка съдържа </w:t>
      </w:r>
      <w:r w:rsidR="009A2C02" w:rsidRPr="00763075">
        <w:rPr>
          <w:rFonts w:ascii="Times New Roman" w:hAnsi="Times New Roman"/>
          <w:sz w:val="22"/>
          <w:szCs w:val="22"/>
        </w:rPr>
        <w:t>25 </w:t>
      </w:r>
      <w:r w:rsidRPr="00763075">
        <w:rPr>
          <w:rFonts w:ascii="Times New Roman" w:hAnsi="Times New Roman"/>
          <w:sz w:val="22"/>
          <w:szCs w:val="22"/>
        </w:rPr>
        <w:t xml:space="preserve">mg </w:t>
      </w:r>
      <w:r w:rsidR="00FC66F4" w:rsidRPr="00763075">
        <w:rPr>
          <w:rFonts w:ascii="Times New Roman" w:hAnsi="Times New Roman"/>
          <w:sz w:val="22"/>
          <w:szCs w:val="22"/>
        </w:rPr>
        <w:t>хидроксизинов хидрохлорид</w:t>
      </w:r>
      <w:r w:rsidR="00941796" w:rsidRPr="00763075">
        <w:rPr>
          <w:rFonts w:ascii="Times New Roman" w:hAnsi="Times New Roman"/>
          <w:sz w:val="22"/>
          <w:szCs w:val="22"/>
        </w:rPr>
        <w:t xml:space="preserve"> </w:t>
      </w:r>
      <w:r w:rsidR="00240CB5" w:rsidRPr="00763075">
        <w:rPr>
          <w:rFonts w:ascii="Times New Roman" w:hAnsi="Times New Roman"/>
          <w:sz w:val="22"/>
          <w:szCs w:val="22"/>
        </w:rPr>
        <w:t>(</w:t>
      </w:r>
      <w:r w:rsidR="00FC66F4" w:rsidRPr="00763075">
        <w:rPr>
          <w:rFonts w:ascii="Times New Roman" w:hAnsi="Times New Roman"/>
          <w:sz w:val="22"/>
          <w:szCs w:val="22"/>
        </w:rPr>
        <w:t xml:space="preserve">hydroxyzine </w:t>
      </w:r>
      <w:r w:rsidR="00941796" w:rsidRPr="00763075">
        <w:rPr>
          <w:rFonts w:ascii="Times New Roman" w:hAnsi="Times New Roman"/>
          <w:sz w:val="22"/>
          <w:szCs w:val="22"/>
        </w:rPr>
        <w:t>hydrochloride</w:t>
      </w:r>
      <w:r w:rsidR="00240CB5" w:rsidRPr="00763075">
        <w:rPr>
          <w:rFonts w:ascii="Times New Roman" w:hAnsi="Times New Roman"/>
          <w:sz w:val="22"/>
          <w:szCs w:val="22"/>
        </w:rPr>
        <w:t>)</w:t>
      </w:r>
      <w:r w:rsidRPr="00763075">
        <w:rPr>
          <w:rFonts w:ascii="Times New Roman" w:hAnsi="Times New Roman"/>
          <w:i/>
          <w:sz w:val="22"/>
          <w:szCs w:val="22"/>
        </w:rPr>
        <w:t>.</w:t>
      </w:r>
      <w:r w:rsidRPr="00763075">
        <w:rPr>
          <w:rFonts w:ascii="Times New Roman" w:hAnsi="Times New Roman"/>
          <w:sz w:val="22"/>
          <w:szCs w:val="22"/>
        </w:rPr>
        <w:t xml:space="preserve"> </w:t>
      </w:r>
    </w:p>
    <w:p w14:paraId="4D0B44EA" w14:textId="77777777" w:rsidR="006A14EC" w:rsidRPr="00763075" w:rsidRDefault="006A14EC" w:rsidP="00763075">
      <w:pPr>
        <w:jc w:val="both"/>
        <w:rPr>
          <w:sz w:val="22"/>
          <w:szCs w:val="22"/>
          <w:lang w:val="bg-BG"/>
        </w:rPr>
      </w:pPr>
    </w:p>
    <w:p w14:paraId="445F94CE" w14:textId="687E68C0" w:rsidR="006A14EC" w:rsidRPr="00763075" w:rsidRDefault="00771E07" w:rsidP="00763075">
      <w:pPr>
        <w:jc w:val="both"/>
        <w:rPr>
          <w:sz w:val="22"/>
          <w:szCs w:val="22"/>
          <w:lang w:val="bg-BG"/>
        </w:rPr>
      </w:pPr>
      <w:r w:rsidRPr="00763075">
        <w:rPr>
          <w:sz w:val="22"/>
          <w:szCs w:val="22"/>
          <w:lang w:val="bg-BG"/>
        </w:rPr>
        <w:t>За пълния списък на помощните вещества</w:t>
      </w:r>
      <w:r w:rsidR="0097071A" w:rsidRPr="00763075">
        <w:rPr>
          <w:sz w:val="22"/>
          <w:szCs w:val="22"/>
          <w:lang w:val="bg-BG"/>
        </w:rPr>
        <w:t xml:space="preserve"> </w:t>
      </w:r>
      <w:r w:rsidR="0097071A" w:rsidRPr="00763075">
        <w:rPr>
          <w:noProof/>
          <w:snapToGrid w:val="0"/>
          <w:sz w:val="22"/>
          <w:szCs w:val="22"/>
          <w:lang w:val="bg-BG" w:eastAsia="en-US"/>
        </w:rPr>
        <w:t>вижте</w:t>
      </w:r>
      <w:r w:rsidRPr="00763075">
        <w:rPr>
          <w:sz w:val="22"/>
          <w:szCs w:val="22"/>
          <w:lang w:val="bg-BG"/>
        </w:rPr>
        <w:t xml:space="preserve"> точка 6.1.</w:t>
      </w:r>
    </w:p>
    <w:p w14:paraId="21DC8DD6" w14:textId="77777777" w:rsidR="00240CB5" w:rsidRPr="00763075" w:rsidRDefault="00240CB5" w:rsidP="00763075">
      <w:pPr>
        <w:jc w:val="both"/>
        <w:rPr>
          <w:sz w:val="22"/>
          <w:szCs w:val="22"/>
          <w:lang w:val="bg-BG"/>
        </w:rPr>
      </w:pPr>
    </w:p>
    <w:p w14:paraId="253A0CE8" w14:textId="77777777" w:rsidR="00771E07" w:rsidRPr="00763075" w:rsidRDefault="00771E07" w:rsidP="00763075">
      <w:pPr>
        <w:jc w:val="both"/>
        <w:rPr>
          <w:sz w:val="22"/>
          <w:szCs w:val="22"/>
          <w:lang w:val="bg-BG"/>
        </w:rPr>
      </w:pPr>
    </w:p>
    <w:p w14:paraId="3F0DE2AB" w14:textId="77777777" w:rsidR="006A14EC" w:rsidRPr="00763075" w:rsidRDefault="00240CB5" w:rsidP="00763075">
      <w:pPr>
        <w:numPr>
          <w:ilvl w:val="0"/>
          <w:numId w:val="11"/>
        </w:numPr>
        <w:jc w:val="both"/>
        <w:rPr>
          <w:b/>
          <w:sz w:val="22"/>
          <w:szCs w:val="22"/>
          <w:lang w:val="bg-BG"/>
        </w:rPr>
      </w:pPr>
      <w:r w:rsidRPr="00763075">
        <w:rPr>
          <w:b/>
          <w:sz w:val="22"/>
          <w:szCs w:val="22"/>
          <w:lang w:val="bg-BG"/>
        </w:rPr>
        <w:t>ЛЕКАРСТВЕНА ФОРМА</w:t>
      </w:r>
    </w:p>
    <w:p w14:paraId="12BD916A" w14:textId="77777777" w:rsidR="006A14EC" w:rsidRPr="00763075" w:rsidRDefault="006A14EC" w:rsidP="00763075">
      <w:pPr>
        <w:jc w:val="both"/>
        <w:rPr>
          <w:b/>
          <w:sz w:val="22"/>
          <w:szCs w:val="22"/>
          <w:lang w:val="bg-BG"/>
        </w:rPr>
      </w:pPr>
    </w:p>
    <w:p w14:paraId="70F0CB3C" w14:textId="77777777" w:rsidR="00763075" w:rsidRPr="00763075" w:rsidRDefault="00763075" w:rsidP="00763075">
      <w:pPr>
        <w:jc w:val="both"/>
        <w:rPr>
          <w:sz w:val="22"/>
          <w:szCs w:val="22"/>
          <w:lang w:val="bg-BG"/>
        </w:rPr>
      </w:pPr>
      <w:r w:rsidRPr="00763075">
        <w:rPr>
          <w:sz w:val="22"/>
          <w:szCs w:val="22"/>
          <w:lang w:val="bg-BG"/>
        </w:rPr>
        <w:t xml:space="preserve">Филмирани таблетки </w:t>
      </w:r>
    </w:p>
    <w:p w14:paraId="0D805A71" w14:textId="57E594EC" w:rsidR="006A14EC" w:rsidRPr="00763075" w:rsidRDefault="0097071A" w:rsidP="00290B20">
      <w:pPr>
        <w:jc w:val="both"/>
        <w:rPr>
          <w:sz w:val="22"/>
          <w:szCs w:val="22"/>
          <w:lang w:val="bg-BG"/>
        </w:rPr>
      </w:pPr>
      <w:r w:rsidRPr="00290B20">
        <w:rPr>
          <w:sz w:val="22"/>
          <w:szCs w:val="22"/>
          <w:lang w:val="bg-BG"/>
        </w:rPr>
        <w:t>Бели</w:t>
      </w:r>
      <w:r w:rsidR="006A14EC" w:rsidRPr="00290B20">
        <w:rPr>
          <w:sz w:val="22"/>
          <w:szCs w:val="22"/>
          <w:lang w:val="bg-BG"/>
        </w:rPr>
        <w:t xml:space="preserve">, продълговати, </w:t>
      </w:r>
      <w:r w:rsidR="00240CB5" w:rsidRPr="00290B20">
        <w:rPr>
          <w:sz w:val="22"/>
          <w:szCs w:val="22"/>
          <w:lang w:val="bg-BG"/>
        </w:rPr>
        <w:t xml:space="preserve">филмирани </w:t>
      </w:r>
      <w:r w:rsidR="006A14EC" w:rsidRPr="00290B20">
        <w:rPr>
          <w:sz w:val="22"/>
          <w:szCs w:val="22"/>
          <w:lang w:val="bg-BG"/>
        </w:rPr>
        <w:t xml:space="preserve">таблетки с </w:t>
      </w:r>
      <w:proofErr w:type="spellStart"/>
      <w:r w:rsidR="006A14EC" w:rsidRPr="00290B20">
        <w:rPr>
          <w:sz w:val="22"/>
          <w:szCs w:val="22"/>
          <w:lang w:val="bg-BG"/>
        </w:rPr>
        <w:t>делителна</w:t>
      </w:r>
      <w:proofErr w:type="spellEnd"/>
      <w:r w:rsidR="006A14EC" w:rsidRPr="00290B20">
        <w:rPr>
          <w:sz w:val="22"/>
          <w:szCs w:val="22"/>
          <w:lang w:val="bg-BG"/>
        </w:rPr>
        <w:t xml:space="preserve"> черта</w:t>
      </w:r>
      <w:r w:rsidR="00763075">
        <w:rPr>
          <w:sz w:val="22"/>
          <w:szCs w:val="22"/>
          <w:lang w:val="bg-BG"/>
        </w:rPr>
        <w:t>.</w:t>
      </w:r>
      <w:r w:rsidR="006A14EC" w:rsidRPr="00763075">
        <w:rPr>
          <w:sz w:val="22"/>
          <w:szCs w:val="22"/>
          <w:lang w:val="bg-BG"/>
        </w:rPr>
        <w:t xml:space="preserve"> </w:t>
      </w:r>
    </w:p>
    <w:p w14:paraId="101A46BE" w14:textId="77777777" w:rsidR="006A14EC" w:rsidRPr="00763075" w:rsidRDefault="006A14EC" w:rsidP="00290B20">
      <w:pPr>
        <w:jc w:val="both"/>
        <w:rPr>
          <w:sz w:val="22"/>
          <w:szCs w:val="22"/>
          <w:lang w:val="bg-BG"/>
        </w:rPr>
      </w:pPr>
    </w:p>
    <w:p w14:paraId="5B18A882" w14:textId="77777777" w:rsidR="00240CB5" w:rsidRPr="00290B20" w:rsidRDefault="00240CB5" w:rsidP="00290B20">
      <w:pPr>
        <w:jc w:val="both"/>
        <w:rPr>
          <w:sz w:val="22"/>
          <w:szCs w:val="22"/>
          <w:lang w:val="bg-BG"/>
        </w:rPr>
      </w:pPr>
    </w:p>
    <w:p w14:paraId="5C0579FD" w14:textId="77777777" w:rsidR="006A14EC" w:rsidRPr="00290B20" w:rsidRDefault="00240CB5" w:rsidP="00290B20">
      <w:pPr>
        <w:numPr>
          <w:ilvl w:val="0"/>
          <w:numId w:val="11"/>
        </w:numPr>
        <w:jc w:val="both"/>
        <w:rPr>
          <w:b/>
          <w:sz w:val="22"/>
          <w:szCs w:val="22"/>
          <w:lang w:val="bg-BG"/>
        </w:rPr>
      </w:pPr>
      <w:r w:rsidRPr="00290B20">
        <w:rPr>
          <w:b/>
          <w:sz w:val="22"/>
          <w:szCs w:val="22"/>
          <w:lang w:val="bg-BG"/>
        </w:rPr>
        <w:t>КЛИНИЧНИ ДАННИ</w:t>
      </w:r>
    </w:p>
    <w:p w14:paraId="5925B4ED" w14:textId="77777777" w:rsidR="006A14EC" w:rsidRPr="00290B20" w:rsidRDefault="006A14EC" w:rsidP="00290B20">
      <w:pPr>
        <w:jc w:val="both"/>
        <w:rPr>
          <w:b/>
          <w:sz w:val="22"/>
          <w:szCs w:val="22"/>
          <w:lang w:val="bg-BG"/>
        </w:rPr>
      </w:pPr>
    </w:p>
    <w:p w14:paraId="169AD605" w14:textId="4C21DFAB" w:rsidR="00240CB5" w:rsidRPr="00763075" w:rsidRDefault="00240CB5" w:rsidP="00290B20">
      <w:pPr>
        <w:jc w:val="both"/>
        <w:rPr>
          <w:sz w:val="22"/>
          <w:szCs w:val="22"/>
          <w:lang w:val="bg-BG"/>
        </w:rPr>
      </w:pPr>
      <w:r w:rsidRPr="00290B20">
        <w:rPr>
          <w:b/>
          <w:sz w:val="22"/>
          <w:szCs w:val="22"/>
          <w:lang w:val="bg-BG"/>
        </w:rPr>
        <w:t>4.1</w:t>
      </w:r>
      <w:r w:rsidR="004D0E1C" w:rsidRPr="00763075">
        <w:rPr>
          <w:b/>
          <w:sz w:val="22"/>
          <w:szCs w:val="22"/>
          <w:lang w:val="bg-BG"/>
        </w:rPr>
        <w:t xml:space="preserve"> </w:t>
      </w:r>
      <w:r w:rsidRPr="00763075">
        <w:rPr>
          <w:b/>
          <w:sz w:val="22"/>
          <w:szCs w:val="22"/>
          <w:lang w:val="bg-BG"/>
        </w:rPr>
        <w:t xml:space="preserve">Терапевтични показания </w:t>
      </w:r>
    </w:p>
    <w:p w14:paraId="4D114333" w14:textId="77777777" w:rsidR="006A14EC" w:rsidRPr="00763075" w:rsidRDefault="006A14EC" w:rsidP="00290B20">
      <w:pPr>
        <w:jc w:val="both"/>
        <w:rPr>
          <w:b/>
          <w:sz w:val="22"/>
          <w:szCs w:val="22"/>
          <w:lang w:val="bg-BG"/>
        </w:rPr>
      </w:pPr>
    </w:p>
    <w:p w14:paraId="2A4BDD03" w14:textId="4904E75B" w:rsidR="006A14EC" w:rsidRPr="00763075" w:rsidRDefault="001E29AE">
      <w:pPr>
        <w:jc w:val="both"/>
        <w:rPr>
          <w:b/>
          <w:sz w:val="22"/>
          <w:szCs w:val="22"/>
          <w:lang w:val="bg-BG"/>
        </w:rPr>
      </w:pPr>
      <w:r w:rsidRPr="00763075">
        <w:rPr>
          <w:sz w:val="22"/>
          <w:szCs w:val="22"/>
          <w:lang w:val="bg-BG"/>
        </w:rPr>
        <w:t xml:space="preserve">Атаракс </w:t>
      </w:r>
      <w:r w:rsidR="006A14EC" w:rsidRPr="00763075">
        <w:rPr>
          <w:sz w:val="22"/>
          <w:szCs w:val="22"/>
          <w:lang w:val="bg-BG"/>
        </w:rPr>
        <w:t>е показан за:</w:t>
      </w:r>
    </w:p>
    <w:p w14:paraId="3B6A7BA1" w14:textId="77777777" w:rsidR="006A14EC" w:rsidRPr="00763075" w:rsidRDefault="006A14EC" w:rsidP="00F04A21">
      <w:pPr>
        <w:numPr>
          <w:ilvl w:val="0"/>
          <w:numId w:val="32"/>
        </w:numPr>
        <w:tabs>
          <w:tab w:val="clear" w:pos="720"/>
          <w:tab w:val="num" w:pos="426"/>
        </w:tabs>
        <w:ind w:hanging="720"/>
        <w:jc w:val="both"/>
        <w:rPr>
          <w:sz w:val="22"/>
          <w:szCs w:val="22"/>
          <w:lang w:val="bg-BG"/>
        </w:rPr>
      </w:pPr>
      <w:r w:rsidRPr="00763075">
        <w:rPr>
          <w:sz w:val="22"/>
          <w:szCs w:val="22"/>
          <w:lang w:val="bg-BG"/>
        </w:rPr>
        <w:t>Симптоматично лечение на тревожност</w:t>
      </w:r>
      <w:r w:rsidR="00810FF1" w:rsidRPr="00763075">
        <w:rPr>
          <w:sz w:val="22"/>
          <w:szCs w:val="22"/>
          <w:lang w:val="bg-BG"/>
        </w:rPr>
        <w:t xml:space="preserve"> </w:t>
      </w:r>
      <w:r w:rsidRPr="00763075">
        <w:rPr>
          <w:sz w:val="22"/>
          <w:szCs w:val="22"/>
          <w:lang w:val="bg-BG"/>
        </w:rPr>
        <w:t>при възрастни;</w:t>
      </w:r>
    </w:p>
    <w:p w14:paraId="7F15AA86" w14:textId="77777777" w:rsidR="006A14EC" w:rsidRPr="00763075" w:rsidRDefault="006A14EC" w:rsidP="00F04A21">
      <w:pPr>
        <w:numPr>
          <w:ilvl w:val="0"/>
          <w:numId w:val="32"/>
        </w:numPr>
        <w:tabs>
          <w:tab w:val="clear" w:pos="720"/>
          <w:tab w:val="num" w:pos="426"/>
        </w:tabs>
        <w:ind w:hanging="720"/>
        <w:jc w:val="both"/>
        <w:rPr>
          <w:sz w:val="22"/>
          <w:szCs w:val="22"/>
          <w:lang w:val="bg-BG"/>
        </w:rPr>
      </w:pPr>
      <w:r w:rsidRPr="00763075">
        <w:rPr>
          <w:sz w:val="22"/>
          <w:szCs w:val="22"/>
          <w:lang w:val="bg-BG"/>
        </w:rPr>
        <w:t>Симптоматично лечение на пруритус;</w:t>
      </w:r>
    </w:p>
    <w:p w14:paraId="7D3BCB1D" w14:textId="77777777" w:rsidR="006A14EC" w:rsidRPr="00763075" w:rsidRDefault="006A14EC" w:rsidP="00F04A21">
      <w:pPr>
        <w:numPr>
          <w:ilvl w:val="0"/>
          <w:numId w:val="32"/>
        </w:numPr>
        <w:tabs>
          <w:tab w:val="clear" w:pos="720"/>
          <w:tab w:val="num" w:pos="426"/>
        </w:tabs>
        <w:ind w:hanging="720"/>
        <w:jc w:val="both"/>
        <w:rPr>
          <w:sz w:val="22"/>
          <w:szCs w:val="22"/>
          <w:lang w:val="bg-BG"/>
        </w:rPr>
      </w:pPr>
      <w:r w:rsidRPr="00763075">
        <w:rPr>
          <w:sz w:val="22"/>
          <w:szCs w:val="22"/>
          <w:lang w:val="bg-BG"/>
        </w:rPr>
        <w:t>Премедикация в хирургията.</w:t>
      </w:r>
    </w:p>
    <w:p w14:paraId="79EC2213" w14:textId="77777777" w:rsidR="006A14EC" w:rsidRPr="00763075" w:rsidRDefault="006A14EC">
      <w:pPr>
        <w:jc w:val="both"/>
        <w:rPr>
          <w:sz w:val="22"/>
          <w:szCs w:val="22"/>
          <w:lang w:val="bg-BG"/>
        </w:rPr>
      </w:pPr>
    </w:p>
    <w:p w14:paraId="72E42D8F" w14:textId="4A8E7A1D" w:rsidR="00240CB5" w:rsidRPr="00763075" w:rsidRDefault="00471B73">
      <w:pPr>
        <w:jc w:val="both"/>
        <w:rPr>
          <w:b/>
          <w:sz w:val="22"/>
          <w:szCs w:val="22"/>
          <w:lang w:val="bg-BG"/>
        </w:rPr>
      </w:pPr>
      <w:r w:rsidRPr="00763075">
        <w:rPr>
          <w:b/>
          <w:sz w:val="22"/>
          <w:szCs w:val="22"/>
          <w:lang w:val="bg-BG"/>
        </w:rPr>
        <w:t>4.2</w:t>
      </w:r>
      <w:r w:rsidR="004D0E1C" w:rsidRPr="00763075">
        <w:rPr>
          <w:b/>
          <w:sz w:val="22"/>
          <w:szCs w:val="22"/>
          <w:lang w:val="bg-BG"/>
        </w:rPr>
        <w:t xml:space="preserve"> </w:t>
      </w:r>
      <w:r w:rsidR="00240CB5" w:rsidRPr="00763075">
        <w:rPr>
          <w:b/>
          <w:sz w:val="22"/>
          <w:szCs w:val="22"/>
          <w:lang w:val="bg-BG"/>
        </w:rPr>
        <w:t>Дозировка и начин на приложение</w:t>
      </w:r>
    </w:p>
    <w:p w14:paraId="36B4AE20" w14:textId="77777777" w:rsidR="0046685C" w:rsidRPr="00763075" w:rsidRDefault="0046685C">
      <w:pPr>
        <w:jc w:val="both"/>
        <w:rPr>
          <w:b/>
          <w:sz w:val="22"/>
          <w:szCs w:val="22"/>
          <w:lang w:val="bg-BG"/>
        </w:rPr>
      </w:pPr>
    </w:p>
    <w:p w14:paraId="678FFF14" w14:textId="1A39955C" w:rsidR="00AF7051" w:rsidRPr="00790316" w:rsidRDefault="00AF7051">
      <w:pPr>
        <w:jc w:val="both"/>
        <w:rPr>
          <w:sz w:val="22"/>
          <w:szCs w:val="22"/>
          <w:u w:val="single"/>
          <w:lang w:val="bg-BG"/>
        </w:rPr>
      </w:pPr>
      <w:r w:rsidRPr="00790316">
        <w:rPr>
          <w:sz w:val="22"/>
          <w:szCs w:val="22"/>
          <w:u w:val="single"/>
          <w:lang w:val="bg-BG"/>
        </w:rPr>
        <w:t>Дозировка</w:t>
      </w:r>
    </w:p>
    <w:p w14:paraId="462A7896" w14:textId="45DF02E4" w:rsidR="00856AB3" w:rsidRPr="00763075" w:rsidRDefault="00856AB3">
      <w:pPr>
        <w:jc w:val="both"/>
        <w:rPr>
          <w:sz w:val="22"/>
          <w:szCs w:val="22"/>
          <w:u w:val="single"/>
          <w:lang w:val="en-GB"/>
        </w:rPr>
      </w:pPr>
      <w:r w:rsidRPr="00763075">
        <w:rPr>
          <w:sz w:val="22"/>
          <w:szCs w:val="22"/>
          <w:lang w:val="bg-BG"/>
        </w:rPr>
        <w:t>Атаракс</w:t>
      </w:r>
      <w:r w:rsidRPr="00763075">
        <w:rPr>
          <w:sz w:val="22"/>
          <w:szCs w:val="22"/>
          <w:lang w:val="en-GB"/>
        </w:rPr>
        <w:t xml:space="preserve"> </w:t>
      </w:r>
      <w:r w:rsidRPr="00763075">
        <w:rPr>
          <w:sz w:val="22"/>
          <w:szCs w:val="22"/>
          <w:lang w:val="bg-BG"/>
        </w:rPr>
        <w:t>трябва да се използва с най-ниската ефективна доза и за възможно най-кратък период от време</w:t>
      </w:r>
      <w:r w:rsidRPr="00763075">
        <w:rPr>
          <w:sz w:val="22"/>
          <w:szCs w:val="22"/>
          <w:lang w:val="en-GB"/>
        </w:rPr>
        <w:t>.</w:t>
      </w:r>
    </w:p>
    <w:p w14:paraId="6660DDDE" w14:textId="77777777" w:rsidR="00856AB3" w:rsidRPr="00763075" w:rsidRDefault="00856AB3">
      <w:pPr>
        <w:jc w:val="both"/>
        <w:rPr>
          <w:sz w:val="22"/>
          <w:szCs w:val="22"/>
          <w:lang w:val="en-GB"/>
        </w:rPr>
      </w:pPr>
      <w:r w:rsidRPr="00763075">
        <w:rPr>
          <w:sz w:val="22"/>
          <w:szCs w:val="22"/>
          <w:lang w:val="bg-BG"/>
        </w:rPr>
        <w:t xml:space="preserve">При възрастни и деца с тегло над 40 </w:t>
      </w:r>
      <w:r w:rsidRPr="00763075">
        <w:rPr>
          <w:sz w:val="22"/>
          <w:szCs w:val="22"/>
          <w:lang w:val="en-GB"/>
        </w:rPr>
        <w:t xml:space="preserve">kg </w:t>
      </w:r>
      <w:r w:rsidRPr="00763075">
        <w:rPr>
          <w:sz w:val="22"/>
          <w:szCs w:val="22"/>
          <w:lang w:val="bg-BG"/>
        </w:rPr>
        <w:t xml:space="preserve">максималната дневна доза е </w:t>
      </w:r>
      <w:r w:rsidRPr="00763075">
        <w:rPr>
          <w:sz w:val="22"/>
          <w:szCs w:val="22"/>
          <w:lang w:val="en-GB"/>
        </w:rPr>
        <w:t xml:space="preserve">100 mg </w:t>
      </w:r>
      <w:r w:rsidRPr="00763075">
        <w:rPr>
          <w:sz w:val="22"/>
          <w:szCs w:val="22"/>
          <w:lang w:val="bg-BG"/>
        </w:rPr>
        <w:t>дневно</w:t>
      </w:r>
      <w:r w:rsidRPr="00763075">
        <w:rPr>
          <w:sz w:val="22"/>
          <w:szCs w:val="22"/>
          <w:lang w:val="en-GB"/>
        </w:rPr>
        <w:t>.</w:t>
      </w:r>
    </w:p>
    <w:p w14:paraId="2E239DE6" w14:textId="77777777" w:rsidR="00AF7051" w:rsidRPr="00763075" w:rsidRDefault="00AF7051">
      <w:pPr>
        <w:jc w:val="both"/>
        <w:rPr>
          <w:b/>
          <w:sz w:val="22"/>
          <w:szCs w:val="22"/>
          <w:lang w:val="bg-BG"/>
        </w:rPr>
      </w:pPr>
    </w:p>
    <w:p w14:paraId="3A0A6DE3" w14:textId="792BBE36" w:rsidR="006A14EC" w:rsidRPr="00763075" w:rsidRDefault="00FA14AB" w:rsidP="00F04A21">
      <w:pPr>
        <w:numPr>
          <w:ilvl w:val="0"/>
          <w:numId w:val="33"/>
        </w:numPr>
        <w:tabs>
          <w:tab w:val="clear" w:pos="720"/>
          <w:tab w:val="num" w:pos="426"/>
        </w:tabs>
        <w:ind w:left="426" w:hanging="426"/>
        <w:jc w:val="both"/>
        <w:rPr>
          <w:sz w:val="22"/>
          <w:szCs w:val="22"/>
          <w:lang w:val="bg-BG"/>
        </w:rPr>
      </w:pPr>
      <w:r w:rsidRPr="00763075">
        <w:rPr>
          <w:sz w:val="22"/>
          <w:szCs w:val="22"/>
          <w:lang w:val="bg-BG"/>
        </w:rPr>
        <w:t xml:space="preserve">При симптоматично </w:t>
      </w:r>
      <w:r w:rsidR="006A14EC" w:rsidRPr="00763075">
        <w:rPr>
          <w:sz w:val="22"/>
          <w:szCs w:val="22"/>
          <w:lang w:val="bg-BG"/>
        </w:rPr>
        <w:t>лечение на</w:t>
      </w:r>
      <w:r w:rsidR="00810FF1" w:rsidRPr="00763075">
        <w:rPr>
          <w:sz w:val="22"/>
          <w:szCs w:val="22"/>
          <w:lang w:val="bg-BG"/>
        </w:rPr>
        <w:t xml:space="preserve"> </w:t>
      </w:r>
      <w:r w:rsidR="006A14EC" w:rsidRPr="00763075">
        <w:rPr>
          <w:sz w:val="22"/>
          <w:szCs w:val="22"/>
          <w:lang w:val="bg-BG"/>
        </w:rPr>
        <w:t>тревожност:</w:t>
      </w:r>
    </w:p>
    <w:p w14:paraId="03DEE980" w14:textId="79CF19F8" w:rsidR="006A14EC" w:rsidRPr="00290B20" w:rsidRDefault="009A2C02">
      <w:pPr>
        <w:tabs>
          <w:tab w:val="num" w:pos="426"/>
        </w:tabs>
        <w:ind w:left="426"/>
        <w:jc w:val="both"/>
        <w:rPr>
          <w:sz w:val="22"/>
          <w:szCs w:val="22"/>
          <w:lang w:val="bg-BG"/>
        </w:rPr>
      </w:pPr>
      <w:r w:rsidRPr="00763075">
        <w:rPr>
          <w:sz w:val="22"/>
          <w:szCs w:val="22"/>
          <w:lang w:val="bg-BG"/>
        </w:rPr>
        <w:t>50 </w:t>
      </w:r>
      <w:r w:rsidR="006A14EC" w:rsidRPr="00763075">
        <w:rPr>
          <w:sz w:val="22"/>
          <w:szCs w:val="22"/>
          <w:lang w:val="bg-BG"/>
        </w:rPr>
        <w:t>mg дневно</w:t>
      </w:r>
      <w:r w:rsidR="00857D7A" w:rsidRPr="00763075">
        <w:rPr>
          <w:sz w:val="22"/>
          <w:szCs w:val="22"/>
          <w:lang w:val="bg-BG"/>
        </w:rPr>
        <w:t>,</w:t>
      </w:r>
      <w:r w:rsidR="006A14EC" w:rsidRPr="00763075">
        <w:rPr>
          <w:sz w:val="22"/>
          <w:szCs w:val="22"/>
          <w:lang w:val="bg-BG"/>
        </w:rPr>
        <w:t xml:space="preserve"> разделени на три приема, съответно </w:t>
      </w:r>
      <w:r w:rsidR="00362C12" w:rsidRPr="00763075">
        <w:rPr>
          <w:sz w:val="22"/>
          <w:szCs w:val="22"/>
          <w:lang w:val="bg-BG"/>
        </w:rPr>
        <w:t xml:space="preserve">по </w:t>
      </w:r>
      <w:r w:rsidR="006A14EC" w:rsidRPr="00763075">
        <w:rPr>
          <w:sz w:val="22"/>
          <w:szCs w:val="22"/>
          <w:lang w:val="bg-BG"/>
        </w:rPr>
        <w:t>12,5</w:t>
      </w:r>
      <w:r w:rsidR="00B03B9E" w:rsidRPr="00763075">
        <w:rPr>
          <w:sz w:val="22"/>
          <w:szCs w:val="22"/>
          <w:lang w:val="bg-BG"/>
        </w:rPr>
        <w:t> </w:t>
      </w:r>
      <w:r w:rsidR="00B03B9E" w:rsidRPr="00763075">
        <w:rPr>
          <w:sz w:val="22"/>
          <w:szCs w:val="22"/>
        </w:rPr>
        <w:t>mg</w:t>
      </w:r>
      <w:r w:rsidR="006A14EC" w:rsidRPr="00763075">
        <w:rPr>
          <w:sz w:val="22"/>
          <w:szCs w:val="22"/>
          <w:lang w:val="bg-BG"/>
        </w:rPr>
        <w:t xml:space="preserve"> –12,5</w:t>
      </w:r>
      <w:r w:rsidR="00B03B9E" w:rsidRPr="00763075">
        <w:rPr>
          <w:sz w:val="22"/>
          <w:szCs w:val="22"/>
        </w:rPr>
        <w:t xml:space="preserve"> mg</w:t>
      </w:r>
      <w:r w:rsidR="006A14EC" w:rsidRPr="00763075">
        <w:rPr>
          <w:sz w:val="22"/>
          <w:szCs w:val="22"/>
          <w:lang w:val="bg-BG"/>
        </w:rPr>
        <w:t xml:space="preserve"> –</w:t>
      </w:r>
      <w:r w:rsidRPr="00763075">
        <w:rPr>
          <w:sz w:val="22"/>
          <w:szCs w:val="22"/>
          <w:lang w:val="bg-BG"/>
        </w:rPr>
        <w:t>25 </w:t>
      </w:r>
      <w:r w:rsidR="006A14EC" w:rsidRPr="00763075">
        <w:rPr>
          <w:sz w:val="22"/>
          <w:szCs w:val="22"/>
          <w:lang w:val="bg-BG"/>
        </w:rPr>
        <w:t>mg;</w:t>
      </w:r>
      <w:r w:rsidR="00857D7A" w:rsidRPr="00763075">
        <w:rPr>
          <w:sz w:val="22"/>
          <w:szCs w:val="22"/>
          <w:lang w:val="bg-BG"/>
        </w:rPr>
        <w:t xml:space="preserve"> </w:t>
      </w:r>
      <w:r w:rsidR="006A14EC" w:rsidRPr="00763075">
        <w:rPr>
          <w:sz w:val="22"/>
          <w:szCs w:val="22"/>
          <w:lang w:val="bg-BG"/>
        </w:rPr>
        <w:t xml:space="preserve">при по-тежки </w:t>
      </w:r>
      <w:r w:rsidR="00857D7A" w:rsidRPr="00763075">
        <w:rPr>
          <w:sz w:val="22"/>
          <w:szCs w:val="22"/>
          <w:lang w:val="bg-BG"/>
        </w:rPr>
        <w:t>случаи</w:t>
      </w:r>
      <w:r w:rsidR="00857D7A" w:rsidRPr="00170DBA">
        <w:rPr>
          <w:sz w:val="22"/>
          <w:szCs w:val="22"/>
          <w:lang w:val="bg-BG"/>
        </w:rPr>
        <w:t xml:space="preserve"> </w:t>
      </w:r>
      <w:r w:rsidR="006A14EC" w:rsidRPr="00274909">
        <w:rPr>
          <w:sz w:val="22"/>
          <w:szCs w:val="22"/>
          <w:lang w:val="bg-BG"/>
        </w:rPr>
        <w:t>може да се приложа</w:t>
      </w:r>
      <w:r w:rsidR="006A14EC" w:rsidRPr="00290B20">
        <w:rPr>
          <w:sz w:val="22"/>
          <w:szCs w:val="22"/>
          <w:lang w:val="bg-BG"/>
        </w:rPr>
        <w:t>т</w:t>
      </w:r>
      <w:r w:rsidR="00857D7A" w:rsidRPr="00290B20">
        <w:rPr>
          <w:sz w:val="22"/>
          <w:szCs w:val="22"/>
          <w:lang w:val="bg-BG"/>
        </w:rPr>
        <w:t xml:space="preserve"> дози</w:t>
      </w:r>
      <w:r w:rsidR="006A14EC" w:rsidRPr="00290B20">
        <w:rPr>
          <w:sz w:val="22"/>
          <w:szCs w:val="22"/>
          <w:lang w:val="bg-BG"/>
        </w:rPr>
        <w:t xml:space="preserve"> до </w:t>
      </w:r>
      <w:r w:rsidR="00B03B9E" w:rsidRPr="00290B20">
        <w:rPr>
          <w:sz w:val="22"/>
          <w:szCs w:val="22"/>
        </w:rPr>
        <w:t>1</w:t>
      </w:r>
      <w:r w:rsidRPr="00290B20">
        <w:rPr>
          <w:sz w:val="22"/>
          <w:szCs w:val="22"/>
          <w:lang w:val="bg-BG"/>
        </w:rPr>
        <w:t>00 </w:t>
      </w:r>
      <w:r w:rsidR="006A14EC" w:rsidRPr="00290B20">
        <w:rPr>
          <w:sz w:val="22"/>
          <w:szCs w:val="22"/>
          <w:lang w:val="bg-BG"/>
        </w:rPr>
        <w:t>mg дневно.</w:t>
      </w:r>
    </w:p>
    <w:p w14:paraId="19B084BB" w14:textId="77777777" w:rsidR="00395619" w:rsidRPr="00290B20" w:rsidRDefault="00395619">
      <w:pPr>
        <w:tabs>
          <w:tab w:val="num" w:pos="426"/>
        </w:tabs>
        <w:ind w:left="426"/>
        <w:jc w:val="both"/>
        <w:rPr>
          <w:sz w:val="22"/>
          <w:szCs w:val="22"/>
          <w:lang w:val="bg-BG"/>
        </w:rPr>
      </w:pPr>
    </w:p>
    <w:p w14:paraId="23E0BA60" w14:textId="4B285BBF" w:rsidR="006A14EC" w:rsidRPr="00763075" w:rsidRDefault="00FA14AB" w:rsidP="00F04A21">
      <w:pPr>
        <w:numPr>
          <w:ilvl w:val="0"/>
          <w:numId w:val="33"/>
        </w:numPr>
        <w:tabs>
          <w:tab w:val="clear" w:pos="720"/>
          <w:tab w:val="num" w:pos="426"/>
        </w:tabs>
        <w:ind w:left="426" w:hanging="426"/>
        <w:jc w:val="both"/>
        <w:rPr>
          <w:sz w:val="22"/>
          <w:szCs w:val="22"/>
          <w:lang w:val="bg-BG"/>
        </w:rPr>
      </w:pPr>
      <w:r w:rsidRPr="00290B20">
        <w:rPr>
          <w:sz w:val="22"/>
          <w:szCs w:val="22"/>
          <w:lang w:val="bg-BG"/>
        </w:rPr>
        <w:t xml:space="preserve">При симптоматично </w:t>
      </w:r>
      <w:r w:rsidR="006A14EC" w:rsidRPr="00290B20">
        <w:rPr>
          <w:sz w:val="22"/>
          <w:szCs w:val="22"/>
          <w:lang w:val="bg-BG"/>
        </w:rPr>
        <w:t>лечение на пруритус:</w:t>
      </w:r>
    </w:p>
    <w:p w14:paraId="6F596C6D" w14:textId="15DC3F96" w:rsidR="008E6BF5" w:rsidRPr="00BE465A" w:rsidRDefault="00857D7A" w:rsidP="00F04A21">
      <w:pPr>
        <w:tabs>
          <w:tab w:val="left" w:pos="426"/>
        </w:tabs>
        <w:ind w:left="426"/>
        <w:jc w:val="both"/>
        <w:rPr>
          <w:sz w:val="22"/>
          <w:szCs w:val="22"/>
          <w:lang w:val="bg-BG"/>
        </w:rPr>
      </w:pPr>
      <w:r w:rsidRPr="00763075">
        <w:rPr>
          <w:sz w:val="22"/>
          <w:szCs w:val="22"/>
          <w:lang w:val="bg-BG"/>
        </w:rPr>
        <w:t xml:space="preserve">Начална </w:t>
      </w:r>
      <w:r w:rsidR="006A14EC" w:rsidRPr="00763075">
        <w:rPr>
          <w:sz w:val="22"/>
          <w:szCs w:val="22"/>
          <w:lang w:val="bg-BG"/>
        </w:rPr>
        <w:t xml:space="preserve">доза от </w:t>
      </w:r>
      <w:r w:rsidR="009A2C02" w:rsidRPr="00763075">
        <w:rPr>
          <w:sz w:val="22"/>
          <w:szCs w:val="22"/>
          <w:lang w:val="bg-BG"/>
        </w:rPr>
        <w:t>25 </w:t>
      </w:r>
      <w:r w:rsidR="006A14EC" w:rsidRPr="00763075">
        <w:rPr>
          <w:sz w:val="22"/>
          <w:szCs w:val="22"/>
          <w:lang w:val="bg-BG"/>
        </w:rPr>
        <w:t>mg</w:t>
      </w:r>
      <w:r w:rsidR="008E6BF5">
        <w:rPr>
          <w:sz w:val="22"/>
          <w:szCs w:val="22"/>
          <w:lang w:val="bg-BG"/>
        </w:rPr>
        <w:t>,</w:t>
      </w:r>
      <w:r w:rsidR="006A14EC" w:rsidRPr="00763075">
        <w:rPr>
          <w:sz w:val="22"/>
          <w:szCs w:val="22"/>
          <w:lang w:val="bg-BG"/>
        </w:rPr>
        <w:t xml:space="preserve"> преди </w:t>
      </w:r>
      <w:r w:rsidR="008E6BF5">
        <w:rPr>
          <w:sz w:val="22"/>
          <w:szCs w:val="22"/>
          <w:lang w:val="bg-BG"/>
        </w:rPr>
        <w:t>сън</w:t>
      </w:r>
      <w:r w:rsidRPr="00763075">
        <w:rPr>
          <w:sz w:val="22"/>
          <w:szCs w:val="22"/>
          <w:lang w:val="bg-BG"/>
        </w:rPr>
        <w:t>, като при</w:t>
      </w:r>
      <w:r w:rsidR="006A14EC" w:rsidRPr="00763075">
        <w:rPr>
          <w:sz w:val="22"/>
          <w:szCs w:val="22"/>
          <w:lang w:val="bg-BG"/>
        </w:rPr>
        <w:t xml:space="preserve"> необходимо</w:t>
      </w:r>
      <w:r w:rsidRPr="00763075">
        <w:rPr>
          <w:sz w:val="22"/>
          <w:szCs w:val="22"/>
          <w:lang w:val="bg-BG"/>
        </w:rPr>
        <w:t>ст</w:t>
      </w:r>
      <w:r w:rsidR="006A14EC" w:rsidRPr="00763075">
        <w:rPr>
          <w:sz w:val="22"/>
          <w:szCs w:val="22"/>
          <w:lang w:val="bg-BG"/>
        </w:rPr>
        <w:t xml:space="preserve"> се </w:t>
      </w:r>
      <w:r w:rsidR="007D71C4" w:rsidRPr="00763075">
        <w:rPr>
          <w:sz w:val="22"/>
          <w:szCs w:val="22"/>
          <w:lang w:val="bg-BG"/>
        </w:rPr>
        <w:t xml:space="preserve">продължава </w:t>
      </w:r>
      <w:r w:rsidR="008E6BF5">
        <w:rPr>
          <w:sz w:val="22"/>
          <w:szCs w:val="22"/>
          <w:lang w:val="bg-BG"/>
        </w:rPr>
        <w:t>с</w:t>
      </w:r>
      <w:r w:rsidR="008E6BF5" w:rsidRPr="00763075">
        <w:rPr>
          <w:sz w:val="22"/>
          <w:szCs w:val="22"/>
          <w:lang w:val="bg-BG"/>
        </w:rPr>
        <w:t xml:space="preserve"> </w:t>
      </w:r>
      <w:r w:rsidR="006A14EC" w:rsidRPr="00763075">
        <w:rPr>
          <w:sz w:val="22"/>
          <w:szCs w:val="22"/>
          <w:lang w:val="bg-BG"/>
        </w:rPr>
        <w:t xml:space="preserve">дози до </w:t>
      </w:r>
      <w:r w:rsidR="009A2C02" w:rsidRPr="00763075">
        <w:rPr>
          <w:sz w:val="22"/>
          <w:szCs w:val="22"/>
          <w:lang w:val="bg-BG"/>
        </w:rPr>
        <w:t>25 </w:t>
      </w:r>
      <w:r w:rsidR="006A14EC" w:rsidRPr="00763075">
        <w:rPr>
          <w:sz w:val="22"/>
          <w:szCs w:val="22"/>
          <w:lang w:val="bg-BG"/>
        </w:rPr>
        <w:t>mg</w:t>
      </w:r>
      <w:r w:rsidR="008E6BF5">
        <w:rPr>
          <w:sz w:val="22"/>
          <w:szCs w:val="22"/>
          <w:lang w:val="bg-BG"/>
        </w:rPr>
        <w:t>, приети</w:t>
      </w:r>
      <w:r w:rsidR="00810FF1" w:rsidRPr="00763075">
        <w:rPr>
          <w:sz w:val="22"/>
          <w:szCs w:val="22"/>
          <w:lang w:val="bg-BG"/>
        </w:rPr>
        <w:t xml:space="preserve"> </w:t>
      </w:r>
      <w:r w:rsidR="006A14EC" w:rsidRPr="00763075">
        <w:rPr>
          <w:sz w:val="22"/>
          <w:szCs w:val="22"/>
          <w:lang w:val="bg-BG"/>
        </w:rPr>
        <w:t>3 до 4 пъти дневно.</w:t>
      </w:r>
      <w:r w:rsidR="008E6BF5" w:rsidRPr="008E6BF5">
        <w:rPr>
          <w:sz w:val="22"/>
          <w:szCs w:val="22"/>
          <w:lang w:val="bg-BG"/>
        </w:rPr>
        <w:t xml:space="preserve"> </w:t>
      </w:r>
    </w:p>
    <w:p w14:paraId="7F5AB071" w14:textId="09543ED2" w:rsidR="006A14EC" w:rsidRPr="00763075" w:rsidRDefault="006A14EC">
      <w:pPr>
        <w:tabs>
          <w:tab w:val="num" w:pos="426"/>
        </w:tabs>
        <w:ind w:left="426"/>
        <w:jc w:val="both"/>
        <w:rPr>
          <w:sz w:val="22"/>
          <w:szCs w:val="22"/>
          <w:lang w:val="bg-BG"/>
        </w:rPr>
      </w:pPr>
    </w:p>
    <w:p w14:paraId="552FC866" w14:textId="77777777" w:rsidR="00395619" w:rsidRPr="00763075" w:rsidRDefault="00395619">
      <w:pPr>
        <w:tabs>
          <w:tab w:val="num" w:pos="426"/>
        </w:tabs>
        <w:ind w:left="426"/>
        <w:jc w:val="both"/>
        <w:rPr>
          <w:sz w:val="22"/>
          <w:szCs w:val="22"/>
          <w:lang w:val="bg-BG"/>
        </w:rPr>
      </w:pPr>
    </w:p>
    <w:p w14:paraId="2527D9BB" w14:textId="46F7AF6E" w:rsidR="006A14EC" w:rsidRPr="00763075" w:rsidRDefault="00FA14AB" w:rsidP="00F04A21">
      <w:pPr>
        <w:numPr>
          <w:ilvl w:val="0"/>
          <w:numId w:val="33"/>
        </w:numPr>
        <w:tabs>
          <w:tab w:val="clear" w:pos="720"/>
          <w:tab w:val="num" w:pos="426"/>
        </w:tabs>
        <w:ind w:left="426" w:hanging="426"/>
        <w:jc w:val="both"/>
        <w:rPr>
          <w:sz w:val="22"/>
          <w:szCs w:val="22"/>
          <w:lang w:val="bg-BG"/>
        </w:rPr>
      </w:pPr>
      <w:r w:rsidRPr="00763075">
        <w:rPr>
          <w:sz w:val="22"/>
          <w:szCs w:val="22"/>
          <w:lang w:val="bg-BG"/>
        </w:rPr>
        <w:t xml:space="preserve">При премедикация </w:t>
      </w:r>
      <w:r w:rsidR="006A14EC" w:rsidRPr="00763075">
        <w:rPr>
          <w:sz w:val="22"/>
          <w:szCs w:val="22"/>
          <w:lang w:val="bg-BG"/>
        </w:rPr>
        <w:t>преди хирургични интервенции:</w:t>
      </w:r>
    </w:p>
    <w:p w14:paraId="04D8AB43" w14:textId="3FE04AC5" w:rsidR="006A14EC" w:rsidRPr="00763075" w:rsidRDefault="006A14EC">
      <w:pPr>
        <w:tabs>
          <w:tab w:val="num" w:pos="426"/>
        </w:tabs>
        <w:ind w:left="426"/>
        <w:jc w:val="both"/>
        <w:rPr>
          <w:sz w:val="22"/>
          <w:szCs w:val="22"/>
          <w:lang w:val="bg-BG"/>
        </w:rPr>
      </w:pPr>
      <w:r w:rsidRPr="00763075">
        <w:rPr>
          <w:sz w:val="22"/>
          <w:szCs w:val="22"/>
          <w:lang w:val="bg-BG"/>
        </w:rPr>
        <w:t xml:space="preserve">50 mg дневно </w:t>
      </w:r>
      <w:r w:rsidR="00B03B9E" w:rsidRPr="00763075">
        <w:rPr>
          <w:sz w:val="22"/>
          <w:szCs w:val="22"/>
          <w:lang w:val="bg-BG"/>
        </w:rPr>
        <w:t xml:space="preserve">в </w:t>
      </w:r>
      <w:r w:rsidRPr="00763075">
        <w:rPr>
          <w:sz w:val="22"/>
          <w:szCs w:val="22"/>
          <w:lang w:val="bg-BG"/>
        </w:rPr>
        <w:t>2 приема</w:t>
      </w:r>
      <w:r w:rsidR="00B03B9E" w:rsidRPr="00763075">
        <w:rPr>
          <w:sz w:val="22"/>
          <w:szCs w:val="22"/>
        </w:rPr>
        <w:t xml:space="preserve"> </w:t>
      </w:r>
      <w:r w:rsidR="00B03B9E" w:rsidRPr="00763075">
        <w:rPr>
          <w:sz w:val="22"/>
          <w:szCs w:val="22"/>
          <w:lang w:val="bg-BG"/>
        </w:rPr>
        <w:t>или</w:t>
      </w:r>
      <w:r w:rsidR="00B03B9E" w:rsidRPr="00763075">
        <w:rPr>
          <w:sz w:val="22"/>
          <w:szCs w:val="22"/>
        </w:rPr>
        <w:t xml:space="preserve"> 100</w:t>
      </w:r>
      <w:r w:rsidR="00B03B9E" w:rsidRPr="00763075">
        <w:rPr>
          <w:sz w:val="22"/>
          <w:szCs w:val="22"/>
          <w:lang w:val="bg-BG"/>
        </w:rPr>
        <w:t> </w:t>
      </w:r>
      <w:r w:rsidR="00B03B9E" w:rsidRPr="00F04A21">
        <w:rPr>
          <w:sz w:val="22"/>
          <w:szCs w:val="22"/>
        </w:rPr>
        <w:t>mg</w:t>
      </w:r>
      <w:r w:rsidR="00B03B9E" w:rsidRPr="00F04A21">
        <w:rPr>
          <w:sz w:val="22"/>
          <w:szCs w:val="22"/>
          <w:lang w:val="bg-BG"/>
        </w:rPr>
        <w:t xml:space="preserve"> в 1 прием. Общата доза за 24 часа не трябва да надхвърля 100 </w:t>
      </w:r>
      <w:r w:rsidR="00B03B9E" w:rsidRPr="00F04A21">
        <w:rPr>
          <w:sz w:val="22"/>
          <w:szCs w:val="22"/>
        </w:rPr>
        <w:t>mg</w:t>
      </w:r>
      <w:r w:rsidR="00BF67DA" w:rsidRPr="00F04A21">
        <w:rPr>
          <w:sz w:val="22"/>
          <w:szCs w:val="22"/>
        </w:rPr>
        <w:t>.</w:t>
      </w:r>
      <w:r w:rsidRPr="00763075">
        <w:rPr>
          <w:sz w:val="22"/>
          <w:szCs w:val="22"/>
          <w:lang w:val="bg-BG"/>
        </w:rPr>
        <w:t xml:space="preserve"> </w:t>
      </w:r>
    </w:p>
    <w:p w14:paraId="2A3C2239" w14:textId="13933D19" w:rsidR="006A14EC" w:rsidRPr="00763075" w:rsidRDefault="006A14EC">
      <w:pPr>
        <w:jc w:val="both"/>
        <w:rPr>
          <w:sz w:val="22"/>
          <w:szCs w:val="22"/>
          <w:lang w:val="bg-BG"/>
        </w:rPr>
      </w:pPr>
    </w:p>
    <w:p w14:paraId="6F518E6B" w14:textId="77777777" w:rsidR="006A14EC" w:rsidRPr="00290B20" w:rsidRDefault="002E19F7" w:rsidP="00F04A21">
      <w:pPr>
        <w:keepNext/>
        <w:jc w:val="both"/>
        <w:rPr>
          <w:i/>
          <w:sz w:val="22"/>
          <w:szCs w:val="22"/>
          <w:u w:val="single"/>
          <w:lang w:val="bg-BG"/>
        </w:rPr>
      </w:pPr>
      <w:r w:rsidRPr="00290B20">
        <w:rPr>
          <w:i/>
          <w:sz w:val="22"/>
          <w:szCs w:val="22"/>
          <w:u w:val="single"/>
          <w:lang w:val="bg-BG"/>
        </w:rPr>
        <w:lastRenderedPageBreak/>
        <w:t>Специални популации</w:t>
      </w:r>
    </w:p>
    <w:p w14:paraId="26D19D47" w14:textId="2A86380F" w:rsidR="006A14EC" w:rsidRPr="00763075" w:rsidRDefault="006A14EC" w:rsidP="00F04A21">
      <w:pPr>
        <w:pStyle w:val="BlockText"/>
        <w:keepNext/>
        <w:ind w:left="0" w:right="0"/>
        <w:rPr>
          <w:rFonts w:ascii="Times New Roman" w:hAnsi="Times New Roman"/>
          <w:sz w:val="22"/>
          <w:szCs w:val="22"/>
        </w:rPr>
      </w:pPr>
      <w:r w:rsidRPr="00290B20">
        <w:rPr>
          <w:rFonts w:ascii="Times New Roman" w:hAnsi="Times New Roman"/>
          <w:sz w:val="22"/>
          <w:szCs w:val="22"/>
        </w:rPr>
        <w:t>Дозата трябва да бъде определена индивид</w:t>
      </w:r>
      <w:r w:rsidR="00E05648" w:rsidRPr="00290B20">
        <w:rPr>
          <w:rFonts w:ascii="Times New Roman" w:hAnsi="Times New Roman"/>
          <w:sz w:val="22"/>
          <w:szCs w:val="22"/>
        </w:rPr>
        <w:t>уално в рамките на препоръчаната доза</w:t>
      </w:r>
      <w:r w:rsidR="002E19F7" w:rsidRPr="00290B20">
        <w:rPr>
          <w:rFonts w:ascii="Times New Roman" w:hAnsi="Times New Roman"/>
          <w:sz w:val="22"/>
          <w:szCs w:val="22"/>
        </w:rPr>
        <w:t>,</w:t>
      </w:r>
      <w:r w:rsidRPr="00763075">
        <w:rPr>
          <w:rFonts w:ascii="Times New Roman" w:hAnsi="Times New Roman"/>
          <w:sz w:val="22"/>
          <w:szCs w:val="22"/>
        </w:rPr>
        <w:t xml:space="preserve"> в</w:t>
      </w:r>
      <w:r w:rsidR="00810FF1" w:rsidRPr="00763075">
        <w:rPr>
          <w:rFonts w:ascii="Times New Roman" w:hAnsi="Times New Roman"/>
          <w:sz w:val="22"/>
          <w:szCs w:val="22"/>
        </w:rPr>
        <w:t xml:space="preserve"> </w:t>
      </w:r>
      <w:r w:rsidRPr="00763075">
        <w:rPr>
          <w:rFonts w:ascii="Times New Roman" w:hAnsi="Times New Roman"/>
          <w:sz w:val="22"/>
          <w:szCs w:val="22"/>
        </w:rPr>
        <w:t>зависимост от отговора на пациента към лечението.</w:t>
      </w:r>
    </w:p>
    <w:p w14:paraId="528B70C1" w14:textId="77777777" w:rsidR="002E19F7" w:rsidRPr="00763075" w:rsidRDefault="002E19F7" w:rsidP="00763075">
      <w:pPr>
        <w:pStyle w:val="BlockText"/>
        <w:tabs>
          <w:tab w:val="left" w:pos="426"/>
        </w:tabs>
        <w:ind w:left="0" w:right="0"/>
        <w:rPr>
          <w:rFonts w:ascii="Times New Roman" w:hAnsi="Times New Roman"/>
          <w:sz w:val="22"/>
          <w:szCs w:val="22"/>
        </w:rPr>
      </w:pPr>
    </w:p>
    <w:p w14:paraId="4A716C49" w14:textId="129B99C3" w:rsidR="002E19F7" w:rsidRPr="00763075" w:rsidRDefault="002E19F7" w:rsidP="00290B20">
      <w:pPr>
        <w:pStyle w:val="BlockText"/>
        <w:tabs>
          <w:tab w:val="left" w:pos="426"/>
        </w:tabs>
        <w:ind w:left="0" w:right="0"/>
        <w:rPr>
          <w:rFonts w:ascii="Times New Roman" w:hAnsi="Times New Roman"/>
          <w:i/>
          <w:sz w:val="22"/>
          <w:szCs w:val="22"/>
        </w:rPr>
      </w:pPr>
      <w:r w:rsidRPr="00763075">
        <w:rPr>
          <w:rFonts w:ascii="Times New Roman" w:hAnsi="Times New Roman"/>
          <w:i/>
          <w:sz w:val="22"/>
          <w:szCs w:val="22"/>
        </w:rPr>
        <w:t xml:space="preserve">Старческа </w:t>
      </w:r>
      <w:r w:rsidR="00BF67DA" w:rsidRPr="00763075">
        <w:rPr>
          <w:rFonts w:ascii="Times New Roman" w:hAnsi="Times New Roman"/>
          <w:i/>
          <w:sz w:val="22"/>
          <w:szCs w:val="22"/>
        </w:rPr>
        <w:t>възраст</w:t>
      </w:r>
    </w:p>
    <w:p w14:paraId="7C5413FE" w14:textId="44AE25F1" w:rsidR="006A14EC" w:rsidRPr="00763075" w:rsidRDefault="006A14EC" w:rsidP="00290B20">
      <w:pPr>
        <w:pStyle w:val="BlockText"/>
        <w:tabs>
          <w:tab w:val="left" w:pos="426"/>
        </w:tabs>
        <w:ind w:left="0" w:right="0"/>
        <w:rPr>
          <w:rFonts w:ascii="Times New Roman" w:hAnsi="Times New Roman"/>
          <w:sz w:val="22"/>
          <w:szCs w:val="22"/>
          <w:lang w:val="en-US"/>
        </w:rPr>
      </w:pPr>
      <w:r w:rsidRPr="00763075">
        <w:rPr>
          <w:rFonts w:ascii="Times New Roman" w:hAnsi="Times New Roman"/>
          <w:sz w:val="22"/>
          <w:szCs w:val="22"/>
        </w:rPr>
        <w:t xml:space="preserve">При пациенти в </w:t>
      </w:r>
      <w:r w:rsidR="002E19F7" w:rsidRPr="00763075">
        <w:rPr>
          <w:rFonts w:ascii="Times New Roman" w:hAnsi="Times New Roman"/>
          <w:sz w:val="22"/>
          <w:szCs w:val="22"/>
        </w:rPr>
        <w:t xml:space="preserve">старческа възраст </w:t>
      </w:r>
      <w:r w:rsidRPr="00763075">
        <w:rPr>
          <w:rFonts w:ascii="Times New Roman" w:hAnsi="Times New Roman"/>
          <w:sz w:val="22"/>
          <w:szCs w:val="22"/>
        </w:rPr>
        <w:t xml:space="preserve">се </w:t>
      </w:r>
      <w:r w:rsidR="007A5404" w:rsidRPr="00763075">
        <w:rPr>
          <w:rFonts w:ascii="Times New Roman" w:hAnsi="Times New Roman"/>
          <w:sz w:val="22"/>
          <w:szCs w:val="22"/>
        </w:rPr>
        <w:t xml:space="preserve">препоръчва да се </w:t>
      </w:r>
      <w:r w:rsidRPr="00763075">
        <w:rPr>
          <w:rFonts w:ascii="Times New Roman" w:hAnsi="Times New Roman"/>
          <w:sz w:val="22"/>
          <w:szCs w:val="22"/>
        </w:rPr>
        <w:t>започ</w:t>
      </w:r>
      <w:r w:rsidR="007A5404" w:rsidRPr="00763075">
        <w:rPr>
          <w:rFonts w:ascii="Times New Roman" w:hAnsi="Times New Roman"/>
          <w:sz w:val="22"/>
          <w:szCs w:val="22"/>
        </w:rPr>
        <w:t>не</w:t>
      </w:r>
      <w:r w:rsidRPr="00763075">
        <w:rPr>
          <w:rFonts w:ascii="Times New Roman" w:hAnsi="Times New Roman"/>
          <w:sz w:val="22"/>
          <w:szCs w:val="22"/>
        </w:rPr>
        <w:t xml:space="preserve"> с половината от препоръчваната доза, поради удълженото</w:t>
      </w:r>
      <w:r w:rsidR="00810FF1" w:rsidRPr="00763075">
        <w:rPr>
          <w:rFonts w:ascii="Times New Roman" w:hAnsi="Times New Roman"/>
          <w:sz w:val="22"/>
          <w:szCs w:val="22"/>
        </w:rPr>
        <w:t xml:space="preserve"> </w:t>
      </w:r>
      <w:r w:rsidRPr="00763075">
        <w:rPr>
          <w:rFonts w:ascii="Times New Roman" w:hAnsi="Times New Roman"/>
          <w:sz w:val="22"/>
          <w:szCs w:val="22"/>
        </w:rPr>
        <w:t>действие.</w:t>
      </w:r>
    </w:p>
    <w:p w14:paraId="408FF18F" w14:textId="766691B9" w:rsidR="002E19F7" w:rsidRPr="00763075" w:rsidRDefault="00BF67DA" w:rsidP="00290B20">
      <w:pPr>
        <w:pStyle w:val="BlockText"/>
        <w:tabs>
          <w:tab w:val="left" w:pos="426"/>
        </w:tabs>
        <w:ind w:left="0" w:right="0"/>
        <w:rPr>
          <w:rFonts w:ascii="Times New Roman" w:hAnsi="Times New Roman"/>
          <w:sz w:val="22"/>
          <w:szCs w:val="22"/>
        </w:rPr>
      </w:pPr>
      <w:r w:rsidRPr="00763075">
        <w:rPr>
          <w:rFonts w:ascii="Times New Roman" w:hAnsi="Times New Roman"/>
          <w:sz w:val="22"/>
          <w:szCs w:val="22"/>
        </w:rPr>
        <w:t>При пациенти в старческа възраст максималната дневна доза е 50 mg дневно (вж. точка 4.4).</w:t>
      </w:r>
    </w:p>
    <w:p w14:paraId="05ED5ED8" w14:textId="77777777" w:rsidR="00F961D9" w:rsidRPr="00763075" w:rsidRDefault="00F961D9" w:rsidP="00290B20">
      <w:pPr>
        <w:pStyle w:val="BlockText"/>
        <w:tabs>
          <w:tab w:val="left" w:pos="426"/>
        </w:tabs>
        <w:ind w:left="0" w:right="0"/>
        <w:rPr>
          <w:rFonts w:ascii="Times New Roman" w:hAnsi="Times New Roman"/>
          <w:sz w:val="22"/>
          <w:szCs w:val="22"/>
        </w:rPr>
      </w:pPr>
    </w:p>
    <w:p w14:paraId="0AA7EF98" w14:textId="1F0E7AE6" w:rsidR="00AF7051" w:rsidRPr="00763075" w:rsidRDefault="008627FA" w:rsidP="00290B20">
      <w:pPr>
        <w:pStyle w:val="BlockText"/>
        <w:tabs>
          <w:tab w:val="left" w:pos="426"/>
        </w:tabs>
        <w:ind w:left="0" w:right="0"/>
        <w:rPr>
          <w:rFonts w:ascii="Times New Roman" w:hAnsi="Times New Roman"/>
          <w:i/>
          <w:sz w:val="22"/>
          <w:szCs w:val="22"/>
        </w:rPr>
      </w:pPr>
      <w:r w:rsidRPr="00763075">
        <w:rPr>
          <w:rFonts w:ascii="Times New Roman" w:hAnsi="Times New Roman"/>
          <w:i/>
          <w:sz w:val="22"/>
          <w:szCs w:val="22"/>
        </w:rPr>
        <w:t xml:space="preserve">Бъбречно </w:t>
      </w:r>
      <w:r w:rsidR="00AF7051" w:rsidRPr="00763075">
        <w:rPr>
          <w:rFonts w:ascii="Times New Roman" w:hAnsi="Times New Roman"/>
          <w:i/>
          <w:sz w:val="22"/>
          <w:szCs w:val="22"/>
        </w:rPr>
        <w:t>увреждане</w:t>
      </w:r>
    </w:p>
    <w:p w14:paraId="679F4081" w14:textId="77777777" w:rsidR="00AF7051" w:rsidRPr="00763075" w:rsidRDefault="00AF7051">
      <w:pPr>
        <w:pStyle w:val="BlockText"/>
        <w:tabs>
          <w:tab w:val="left" w:pos="426"/>
        </w:tabs>
        <w:ind w:left="0" w:right="0"/>
        <w:rPr>
          <w:rFonts w:ascii="Times New Roman" w:hAnsi="Times New Roman"/>
          <w:sz w:val="22"/>
          <w:szCs w:val="22"/>
        </w:rPr>
      </w:pPr>
      <w:r w:rsidRPr="00763075">
        <w:rPr>
          <w:rFonts w:ascii="Times New Roman" w:hAnsi="Times New Roman"/>
          <w:sz w:val="22"/>
          <w:szCs w:val="22"/>
        </w:rPr>
        <w:t>Дозата трябва да бъде намалена при пациенти с умерено да тежко увреждане на бъбречната функция, поради пониженото отделяне на метаболита цетиризин.</w:t>
      </w:r>
    </w:p>
    <w:p w14:paraId="637A8E18" w14:textId="77777777" w:rsidR="00AF7051" w:rsidRPr="00763075" w:rsidRDefault="00AF7051">
      <w:pPr>
        <w:pStyle w:val="BlockText"/>
        <w:tabs>
          <w:tab w:val="left" w:pos="426"/>
        </w:tabs>
        <w:ind w:left="0" w:right="0"/>
        <w:rPr>
          <w:rFonts w:ascii="Times New Roman" w:hAnsi="Times New Roman"/>
          <w:sz w:val="22"/>
          <w:szCs w:val="22"/>
          <w:u w:val="single"/>
        </w:rPr>
      </w:pPr>
    </w:p>
    <w:p w14:paraId="6D32BF35" w14:textId="098D85E1" w:rsidR="002E19F7" w:rsidRPr="00763075" w:rsidRDefault="008627FA">
      <w:pPr>
        <w:pStyle w:val="BlockText"/>
        <w:tabs>
          <w:tab w:val="left" w:pos="426"/>
        </w:tabs>
        <w:ind w:left="0" w:right="0"/>
        <w:rPr>
          <w:rFonts w:ascii="Times New Roman" w:hAnsi="Times New Roman"/>
          <w:i/>
          <w:sz w:val="22"/>
          <w:szCs w:val="22"/>
        </w:rPr>
      </w:pPr>
      <w:r w:rsidRPr="00763075">
        <w:rPr>
          <w:rFonts w:ascii="Times New Roman" w:hAnsi="Times New Roman"/>
          <w:i/>
          <w:sz w:val="22"/>
          <w:szCs w:val="22"/>
        </w:rPr>
        <w:t xml:space="preserve">Чернодробно </w:t>
      </w:r>
      <w:r w:rsidR="002E19F7" w:rsidRPr="00763075">
        <w:rPr>
          <w:rFonts w:ascii="Times New Roman" w:hAnsi="Times New Roman"/>
          <w:i/>
          <w:sz w:val="22"/>
          <w:szCs w:val="22"/>
        </w:rPr>
        <w:t>увреждане</w:t>
      </w:r>
    </w:p>
    <w:p w14:paraId="4EDE404D" w14:textId="3D800BCC" w:rsidR="006A14EC" w:rsidRPr="00763075" w:rsidRDefault="006A14EC">
      <w:pPr>
        <w:pStyle w:val="BlockText"/>
        <w:tabs>
          <w:tab w:val="left" w:pos="426"/>
        </w:tabs>
        <w:ind w:left="0" w:right="0"/>
        <w:rPr>
          <w:rFonts w:ascii="Times New Roman" w:hAnsi="Times New Roman"/>
          <w:sz w:val="22"/>
          <w:szCs w:val="22"/>
        </w:rPr>
      </w:pPr>
      <w:r w:rsidRPr="00763075">
        <w:rPr>
          <w:rFonts w:ascii="Times New Roman" w:hAnsi="Times New Roman"/>
          <w:sz w:val="22"/>
          <w:szCs w:val="22"/>
        </w:rPr>
        <w:t xml:space="preserve">При пациенти с </w:t>
      </w:r>
      <w:r w:rsidR="00763075" w:rsidRPr="00763075">
        <w:rPr>
          <w:rFonts w:ascii="Times New Roman" w:hAnsi="Times New Roman"/>
          <w:sz w:val="22"/>
          <w:szCs w:val="22"/>
        </w:rPr>
        <w:t>нару</w:t>
      </w:r>
      <w:r w:rsidR="00763075">
        <w:rPr>
          <w:rFonts w:ascii="Times New Roman" w:hAnsi="Times New Roman"/>
          <w:sz w:val="22"/>
          <w:szCs w:val="22"/>
        </w:rPr>
        <w:t>ш</w:t>
      </w:r>
      <w:r w:rsidR="00763075" w:rsidRPr="00763075">
        <w:rPr>
          <w:rFonts w:ascii="Times New Roman" w:hAnsi="Times New Roman"/>
          <w:sz w:val="22"/>
          <w:szCs w:val="22"/>
        </w:rPr>
        <w:t xml:space="preserve">ена </w:t>
      </w:r>
      <w:r w:rsidRPr="00763075">
        <w:rPr>
          <w:rFonts w:ascii="Times New Roman" w:hAnsi="Times New Roman"/>
          <w:sz w:val="22"/>
          <w:szCs w:val="22"/>
        </w:rPr>
        <w:t xml:space="preserve">чернодробна функция се препоръчва намаляване на </w:t>
      </w:r>
      <w:r w:rsidR="007A5404" w:rsidRPr="00763075">
        <w:rPr>
          <w:rFonts w:ascii="Times New Roman" w:hAnsi="Times New Roman"/>
          <w:sz w:val="22"/>
          <w:szCs w:val="22"/>
        </w:rPr>
        <w:t xml:space="preserve">дневната </w:t>
      </w:r>
      <w:r w:rsidRPr="00763075">
        <w:rPr>
          <w:rFonts w:ascii="Times New Roman" w:hAnsi="Times New Roman"/>
          <w:sz w:val="22"/>
          <w:szCs w:val="22"/>
        </w:rPr>
        <w:t>доза с 33%.</w:t>
      </w:r>
    </w:p>
    <w:p w14:paraId="3F55A0F7" w14:textId="77777777" w:rsidR="002E19F7" w:rsidRPr="00290B20" w:rsidRDefault="002E19F7">
      <w:pPr>
        <w:pStyle w:val="BlockText"/>
        <w:tabs>
          <w:tab w:val="left" w:pos="426"/>
        </w:tabs>
        <w:ind w:left="0" w:right="0"/>
        <w:rPr>
          <w:rFonts w:ascii="Times New Roman" w:hAnsi="Times New Roman"/>
          <w:sz w:val="22"/>
          <w:szCs w:val="22"/>
        </w:rPr>
      </w:pPr>
    </w:p>
    <w:p w14:paraId="39D608A0" w14:textId="54EAFAB4" w:rsidR="00AF7051" w:rsidRPr="00790316" w:rsidRDefault="00AF7051">
      <w:pPr>
        <w:tabs>
          <w:tab w:val="left" w:pos="426"/>
        </w:tabs>
        <w:jc w:val="both"/>
        <w:rPr>
          <w:i/>
          <w:sz w:val="22"/>
          <w:szCs w:val="22"/>
          <w:lang w:val="bg-BG"/>
        </w:rPr>
      </w:pPr>
      <w:r w:rsidRPr="00790316">
        <w:rPr>
          <w:i/>
          <w:sz w:val="22"/>
          <w:szCs w:val="22"/>
          <w:lang w:val="bg-BG"/>
        </w:rPr>
        <w:t>Педиатрична популация (деца</w:t>
      </w:r>
      <w:r w:rsidR="008627FA">
        <w:rPr>
          <w:i/>
          <w:sz w:val="22"/>
          <w:szCs w:val="22"/>
          <w:lang w:val="bg-BG"/>
        </w:rPr>
        <w:t xml:space="preserve"> </w:t>
      </w:r>
      <w:r w:rsidRPr="00790316">
        <w:rPr>
          <w:i/>
          <w:sz w:val="22"/>
          <w:szCs w:val="22"/>
          <w:lang w:val="bg-BG"/>
        </w:rPr>
        <w:t xml:space="preserve"> </w:t>
      </w:r>
      <w:r w:rsidR="00417939" w:rsidRPr="00790316">
        <w:rPr>
          <w:i/>
          <w:sz w:val="22"/>
          <w:szCs w:val="22"/>
          <w:lang w:val="bg-BG"/>
        </w:rPr>
        <w:t>над</w:t>
      </w:r>
      <w:r w:rsidRPr="00790316">
        <w:rPr>
          <w:i/>
          <w:sz w:val="22"/>
          <w:szCs w:val="22"/>
          <w:lang w:val="bg-BG"/>
        </w:rPr>
        <w:t xml:space="preserve"> 12 месечна възраст)</w:t>
      </w:r>
    </w:p>
    <w:p w14:paraId="4CBF32F2" w14:textId="77777777" w:rsidR="004538BC" w:rsidRPr="00763075" w:rsidRDefault="004538BC">
      <w:pPr>
        <w:tabs>
          <w:tab w:val="left" w:pos="426"/>
        </w:tabs>
        <w:jc w:val="both"/>
        <w:rPr>
          <w:sz w:val="22"/>
          <w:szCs w:val="22"/>
          <w:lang w:val="en-GB"/>
        </w:rPr>
      </w:pPr>
      <w:r w:rsidRPr="00763075">
        <w:rPr>
          <w:sz w:val="22"/>
          <w:szCs w:val="22"/>
          <w:lang w:val="bg-BG"/>
        </w:rPr>
        <w:t xml:space="preserve">При деца с тегло до </w:t>
      </w:r>
      <w:r w:rsidRPr="00763075">
        <w:rPr>
          <w:sz w:val="22"/>
          <w:szCs w:val="22"/>
          <w:lang w:val="en-GB"/>
        </w:rPr>
        <w:t xml:space="preserve">40 kg </w:t>
      </w:r>
      <w:r w:rsidRPr="00763075">
        <w:rPr>
          <w:sz w:val="22"/>
          <w:szCs w:val="22"/>
          <w:lang w:val="bg-BG"/>
        </w:rPr>
        <w:t xml:space="preserve">максималната дневна доза е </w:t>
      </w:r>
      <w:r w:rsidRPr="00763075">
        <w:rPr>
          <w:sz w:val="22"/>
          <w:szCs w:val="22"/>
          <w:lang w:val="en-GB"/>
        </w:rPr>
        <w:t>2 mg/kg/</w:t>
      </w:r>
      <w:r w:rsidRPr="00763075">
        <w:rPr>
          <w:sz w:val="22"/>
          <w:szCs w:val="22"/>
          <w:lang w:val="bg-BG"/>
        </w:rPr>
        <w:t>дневно</w:t>
      </w:r>
      <w:r w:rsidRPr="00763075">
        <w:rPr>
          <w:sz w:val="22"/>
          <w:szCs w:val="22"/>
          <w:lang w:val="en-GB"/>
        </w:rPr>
        <w:t>.</w:t>
      </w:r>
    </w:p>
    <w:p w14:paraId="6315B43F" w14:textId="13714282" w:rsidR="00AF7051" w:rsidRPr="00763075" w:rsidRDefault="00FA14AB" w:rsidP="00F04A21">
      <w:pPr>
        <w:numPr>
          <w:ilvl w:val="0"/>
          <w:numId w:val="33"/>
        </w:numPr>
        <w:tabs>
          <w:tab w:val="clear" w:pos="720"/>
          <w:tab w:val="left" w:pos="993"/>
        </w:tabs>
        <w:ind w:left="993" w:hanging="284"/>
        <w:jc w:val="both"/>
        <w:rPr>
          <w:sz w:val="22"/>
          <w:szCs w:val="22"/>
          <w:lang w:val="bg-BG"/>
        </w:rPr>
      </w:pPr>
      <w:r w:rsidRPr="00763075">
        <w:rPr>
          <w:sz w:val="22"/>
          <w:szCs w:val="22"/>
          <w:lang w:val="bg-BG"/>
        </w:rPr>
        <w:t xml:space="preserve">При симптоматично </w:t>
      </w:r>
      <w:r w:rsidR="00AF7051" w:rsidRPr="00763075">
        <w:rPr>
          <w:sz w:val="22"/>
          <w:szCs w:val="22"/>
          <w:lang w:val="bg-BG"/>
        </w:rPr>
        <w:t>лечение на пруритус:</w:t>
      </w:r>
    </w:p>
    <w:p w14:paraId="6D539A89" w14:textId="4783A6B1" w:rsidR="00AF7051" w:rsidRPr="00763075" w:rsidRDefault="00914C9D">
      <w:pPr>
        <w:tabs>
          <w:tab w:val="left" w:pos="709"/>
          <w:tab w:val="left" w:pos="993"/>
        </w:tabs>
        <w:ind w:left="993" w:hanging="284"/>
        <w:jc w:val="both"/>
        <w:rPr>
          <w:sz w:val="22"/>
          <w:szCs w:val="22"/>
          <w:lang w:val="bg-BG"/>
        </w:rPr>
      </w:pPr>
      <w:r w:rsidRPr="00763075">
        <w:rPr>
          <w:sz w:val="22"/>
          <w:szCs w:val="22"/>
          <w:lang w:val="bg-BG"/>
        </w:rPr>
        <w:tab/>
      </w:r>
      <w:r w:rsidR="00AF7051" w:rsidRPr="00763075">
        <w:rPr>
          <w:sz w:val="22"/>
          <w:szCs w:val="22"/>
          <w:lang w:val="bg-BG"/>
        </w:rPr>
        <w:t>1</w:t>
      </w:r>
      <w:r w:rsidR="009A2C02" w:rsidRPr="00763075">
        <w:rPr>
          <w:sz w:val="22"/>
          <w:szCs w:val="22"/>
          <w:lang w:val="bg-BG"/>
        </w:rPr>
        <w:t> </w:t>
      </w:r>
      <w:r w:rsidR="00AF7051" w:rsidRPr="00763075">
        <w:rPr>
          <w:sz w:val="22"/>
          <w:szCs w:val="22"/>
          <w:lang w:val="bg-BG"/>
        </w:rPr>
        <w:t>mg/kg дневно до 2</w:t>
      </w:r>
      <w:r w:rsidR="009A2C02" w:rsidRPr="00763075">
        <w:rPr>
          <w:sz w:val="22"/>
          <w:szCs w:val="22"/>
          <w:lang w:val="bg-BG"/>
        </w:rPr>
        <w:t> </w:t>
      </w:r>
      <w:r w:rsidR="00AF7051" w:rsidRPr="00763075">
        <w:rPr>
          <w:sz w:val="22"/>
          <w:szCs w:val="22"/>
          <w:lang w:val="bg-BG"/>
        </w:rPr>
        <w:t>mg/kg дневно, разделени на дози.</w:t>
      </w:r>
    </w:p>
    <w:p w14:paraId="6641714F" w14:textId="37246394" w:rsidR="00AF7051" w:rsidRPr="00763075" w:rsidRDefault="00FA14AB">
      <w:pPr>
        <w:numPr>
          <w:ilvl w:val="0"/>
          <w:numId w:val="33"/>
        </w:numPr>
        <w:tabs>
          <w:tab w:val="clear" w:pos="720"/>
          <w:tab w:val="left" w:pos="709"/>
          <w:tab w:val="left" w:pos="993"/>
        </w:tabs>
        <w:ind w:left="993" w:hanging="284"/>
        <w:jc w:val="both"/>
        <w:rPr>
          <w:sz w:val="22"/>
          <w:szCs w:val="22"/>
          <w:lang w:val="bg-BG"/>
        </w:rPr>
      </w:pPr>
      <w:r w:rsidRPr="00763075">
        <w:rPr>
          <w:sz w:val="22"/>
          <w:szCs w:val="22"/>
          <w:lang w:val="bg-BG"/>
        </w:rPr>
        <w:t xml:space="preserve">При </w:t>
      </w:r>
      <w:proofErr w:type="spellStart"/>
      <w:r w:rsidRPr="00763075">
        <w:rPr>
          <w:sz w:val="22"/>
          <w:szCs w:val="22"/>
          <w:lang w:val="bg-BG"/>
        </w:rPr>
        <w:t>премедикация</w:t>
      </w:r>
      <w:proofErr w:type="spellEnd"/>
      <w:r w:rsidRPr="00763075">
        <w:rPr>
          <w:sz w:val="22"/>
          <w:szCs w:val="22"/>
          <w:lang w:val="bg-BG"/>
        </w:rPr>
        <w:t xml:space="preserve"> </w:t>
      </w:r>
      <w:r w:rsidR="00AF7051" w:rsidRPr="00763075">
        <w:rPr>
          <w:sz w:val="22"/>
          <w:szCs w:val="22"/>
          <w:lang w:val="bg-BG"/>
        </w:rPr>
        <w:t>преди хирургични интервенции:</w:t>
      </w:r>
    </w:p>
    <w:p w14:paraId="4091F0F7" w14:textId="209EBCC1" w:rsidR="00AF7051" w:rsidRPr="00763075" w:rsidRDefault="00914C9D">
      <w:pPr>
        <w:tabs>
          <w:tab w:val="left" w:pos="709"/>
          <w:tab w:val="left" w:pos="993"/>
        </w:tabs>
        <w:ind w:left="993" w:hanging="284"/>
        <w:jc w:val="both"/>
        <w:rPr>
          <w:sz w:val="22"/>
          <w:szCs w:val="22"/>
        </w:rPr>
      </w:pPr>
      <w:r w:rsidRPr="00763075">
        <w:rPr>
          <w:sz w:val="22"/>
          <w:szCs w:val="22"/>
          <w:lang w:val="bg-BG"/>
        </w:rPr>
        <w:tab/>
      </w:r>
      <w:r w:rsidR="00AF7051" w:rsidRPr="00763075">
        <w:rPr>
          <w:sz w:val="22"/>
          <w:szCs w:val="22"/>
          <w:lang w:val="bg-BG"/>
        </w:rPr>
        <w:t>Еднократно приложение на 1</w:t>
      </w:r>
      <w:r w:rsidR="009A2C02" w:rsidRPr="00763075">
        <w:rPr>
          <w:sz w:val="22"/>
          <w:szCs w:val="22"/>
          <w:lang w:val="bg-BG"/>
        </w:rPr>
        <w:t> </w:t>
      </w:r>
      <w:r w:rsidR="00AF7051" w:rsidRPr="00763075">
        <w:rPr>
          <w:sz w:val="22"/>
          <w:szCs w:val="22"/>
          <w:lang w:val="bg-BG"/>
        </w:rPr>
        <w:t>mg/kg 1</w:t>
      </w:r>
      <w:r w:rsidR="009A2C02" w:rsidRPr="00763075">
        <w:rPr>
          <w:sz w:val="22"/>
          <w:szCs w:val="22"/>
          <w:lang w:val="bg-BG"/>
        </w:rPr>
        <w:t> </w:t>
      </w:r>
      <w:r w:rsidR="00AF7051" w:rsidRPr="00763075">
        <w:rPr>
          <w:sz w:val="22"/>
          <w:szCs w:val="22"/>
          <w:lang w:val="bg-BG"/>
        </w:rPr>
        <w:t>час преди хирургичната интервенция, което може да се предхожда от 1</w:t>
      </w:r>
      <w:r w:rsidR="009A2C02" w:rsidRPr="00763075">
        <w:rPr>
          <w:sz w:val="22"/>
          <w:szCs w:val="22"/>
          <w:lang w:val="bg-BG"/>
        </w:rPr>
        <w:t> </w:t>
      </w:r>
      <w:r w:rsidR="00AF7051" w:rsidRPr="00763075">
        <w:rPr>
          <w:sz w:val="22"/>
          <w:szCs w:val="22"/>
          <w:lang w:val="bg-BG"/>
        </w:rPr>
        <w:t xml:space="preserve">mg/kg вечерта, преди анестезията. </w:t>
      </w:r>
      <w:r w:rsidR="004538BC" w:rsidRPr="00763075">
        <w:rPr>
          <w:sz w:val="22"/>
          <w:szCs w:val="22"/>
          <w:lang w:val="bg-BG"/>
        </w:rPr>
        <w:t>Общата доза за 24 часа не трябва да надхвърля 2 mg/kg дневно.</w:t>
      </w:r>
    </w:p>
    <w:p w14:paraId="336FFE4B" w14:textId="77777777" w:rsidR="00FA14AB" w:rsidRPr="00763075" w:rsidRDefault="00FA14AB">
      <w:pPr>
        <w:pStyle w:val="BlockText"/>
        <w:ind w:left="0" w:right="0"/>
        <w:rPr>
          <w:rFonts w:ascii="Times New Roman" w:hAnsi="Times New Roman"/>
          <w:sz w:val="22"/>
          <w:szCs w:val="22"/>
        </w:rPr>
      </w:pPr>
    </w:p>
    <w:p w14:paraId="3047C37D" w14:textId="48308C0D" w:rsidR="0046685C" w:rsidRPr="00763075" w:rsidRDefault="00471B73">
      <w:pPr>
        <w:jc w:val="both"/>
        <w:rPr>
          <w:sz w:val="22"/>
          <w:szCs w:val="22"/>
          <w:lang w:val="bg-BG"/>
        </w:rPr>
      </w:pPr>
      <w:r w:rsidRPr="00763075">
        <w:rPr>
          <w:b/>
          <w:sz w:val="22"/>
          <w:szCs w:val="22"/>
          <w:lang w:val="bg-BG"/>
        </w:rPr>
        <w:t>4.3</w:t>
      </w:r>
      <w:r w:rsidR="004D0E1C" w:rsidRPr="00763075">
        <w:rPr>
          <w:b/>
          <w:sz w:val="22"/>
          <w:szCs w:val="22"/>
          <w:lang w:val="bg-BG"/>
        </w:rPr>
        <w:t xml:space="preserve"> </w:t>
      </w:r>
      <w:r w:rsidR="0046685C" w:rsidRPr="00763075">
        <w:rPr>
          <w:b/>
          <w:sz w:val="22"/>
          <w:szCs w:val="22"/>
          <w:lang w:val="bg-BG"/>
        </w:rPr>
        <w:t>Противопоказания</w:t>
      </w:r>
    </w:p>
    <w:p w14:paraId="4C236E1F" w14:textId="77777777" w:rsidR="006A14EC" w:rsidRPr="00763075" w:rsidRDefault="006A14EC">
      <w:pPr>
        <w:jc w:val="both"/>
        <w:rPr>
          <w:b/>
          <w:sz w:val="22"/>
          <w:szCs w:val="22"/>
          <w:lang w:val="bg-BG"/>
        </w:rPr>
      </w:pPr>
    </w:p>
    <w:p w14:paraId="064481B1" w14:textId="5C548EE2" w:rsidR="006A14EC" w:rsidRPr="00763075" w:rsidRDefault="005B7C57" w:rsidP="00F04A21">
      <w:pPr>
        <w:numPr>
          <w:ilvl w:val="0"/>
          <w:numId w:val="33"/>
        </w:numPr>
        <w:tabs>
          <w:tab w:val="clear" w:pos="720"/>
          <w:tab w:val="num" w:pos="426"/>
        </w:tabs>
        <w:ind w:left="426" w:hanging="426"/>
        <w:jc w:val="both"/>
        <w:rPr>
          <w:sz w:val="22"/>
          <w:szCs w:val="22"/>
          <w:lang w:val="bg-BG"/>
        </w:rPr>
      </w:pPr>
      <w:r w:rsidRPr="00763075">
        <w:rPr>
          <w:sz w:val="22"/>
          <w:szCs w:val="22"/>
          <w:lang w:val="bg-BG"/>
        </w:rPr>
        <w:t xml:space="preserve">Свръхчувствителност </w:t>
      </w:r>
      <w:r w:rsidR="006A14EC" w:rsidRPr="00763075">
        <w:rPr>
          <w:sz w:val="22"/>
          <w:szCs w:val="22"/>
          <w:lang w:val="bg-BG"/>
        </w:rPr>
        <w:t xml:space="preserve">към </w:t>
      </w:r>
      <w:r w:rsidR="002E19F7" w:rsidRPr="00763075">
        <w:rPr>
          <w:sz w:val="22"/>
          <w:szCs w:val="22"/>
          <w:lang w:val="bg-BG"/>
        </w:rPr>
        <w:t>активното вещество или към някое от помощните вещества</w:t>
      </w:r>
      <w:r w:rsidR="008627FA" w:rsidRPr="008627FA">
        <w:rPr>
          <w:sz w:val="22"/>
          <w:szCs w:val="22"/>
          <w:lang w:val="bg-BG"/>
        </w:rPr>
        <w:t>, изброени в точка 6.1</w:t>
      </w:r>
      <w:r w:rsidR="006A14EC" w:rsidRPr="00763075">
        <w:rPr>
          <w:sz w:val="22"/>
          <w:szCs w:val="22"/>
          <w:lang w:val="bg-BG"/>
        </w:rPr>
        <w:t xml:space="preserve">, </w:t>
      </w:r>
      <w:proofErr w:type="spellStart"/>
      <w:r w:rsidR="006A14EC" w:rsidRPr="00763075">
        <w:rPr>
          <w:sz w:val="22"/>
          <w:szCs w:val="22"/>
          <w:lang w:val="bg-BG"/>
        </w:rPr>
        <w:t>цетиризин</w:t>
      </w:r>
      <w:proofErr w:type="spellEnd"/>
      <w:r w:rsidR="006A14EC" w:rsidRPr="00763075">
        <w:rPr>
          <w:sz w:val="22"/>
          <w:szCs w:val="22"/>
          <w:lang w:val="bg-BG"/>
        </w:rPr>
        <w:t xml:space="preserve">, други </w:t>
      </w:r>
      <w:proofErr w:type="spellStart"/>
      <w:r w:rsidR="006A14EC" w:rsidRPr="00763075">
        <w:rPr>
          <w:sz w:val="22"/>
          <w:szCs w:val="22"/>
          <w:lang w:val="bg-BG"/>
        </w:rPr>
        <w:t>пиперазинови</w:t>
      </w:r>
      <w:proofErr w:type="spellEnd"/>
      <w:r w:rsidR="006A14EC" w:rsidRPr="00763075">
        <w:rPr>
          <w:sz w:val="22"/>
          <w:szCs w:val="22"/>
          <w:lang w:val="bg-BG"/>
        </w:rPr>
        <w:t xml:space="preserve"> производни, аминофилин или етилендиамин. </w:t>
      </w:r>
    </w:p>
    <w:p w14:paraId="0D302265" w14:textId="77777777" w:rsidR="006A14EC" w:rsidRPr="00763075" w:rsidRDefault="006A14EC" w:rsidP="00F04A21">
      <w:pPr>
        <w:numPr>
          <w:ilvl w:val="0"/>
          <w:numId w:val="33"/>
        </w:numPr>
        <w:tabs>
          <w:tab w:val="clear" w:pos="720"/>
          <w:tab w:val="num" w:pos="426"/>
        </w:tabs>
        <w:ind w:left="426" w:hanging="426"/>
        <w:jc w:val="both"/>
        <w:rPr>
          <w:sz w:val="22"/>
          <w:szCs w:val="22"/>
          <w:lang w:val="bg-BG"/>
        </w:rPr>
      </w:pPr>
      <w:r w:rsidRPr="00763075">
        <w:rPr>
          <w:sz w:val="22"/>
          <w:szCs w:val="22"/>
          <w:lang w:val="bg-BG"/>
        </w:rPr>
        <w:t>Пациенти, страдащи от порфирия.</w:t>
      </w:r>
    </w:p>
    <w:p w14:paraId="0AA42DEC" w14:textId="6B32B897" w:rsidR="0071162B" w:rsidRPr="00763075" w:rsidRDefault="0071162B" w:rsidP="00F04A21">
      <w:pPr>
        <w:numPr>
          <w:ilvl w:val="0"/>
          <w:numId w:val="33"/>
        </w:numPr>
        <w:tabs>
          <w:tab w:val="clear" w:pos="720"/>
          <w:tab w:val="num" w:pos="426"/>
        </w:tabs>
        <w:ind w:left="426" w:hanging="425"/>
        <w:jc w:val="both"/>
        <w:rPr>
          <w:sz w:val="22"/>
          <w:szCs w:val="22"/>
          <w:lang w:val="bg-BG"/>
        </w:rPr>
      </w:pPr>
      <w:r w:rsidRPr="00763075">
        <w:rPr>
          <w:sz w:val="22"/>
          <w:szCs w:val="22"/>
          <w:lang w:val="bg-BG"/>
        </w:rPr>
        <w:t xml:space="preserve">Пациенти с </w:t>
      </w:r>
      <w:r w:rsidR="004538BC" w:rsidRPr="00763075">
        <w:rPr>
          <w:sz w:val="22"/>
          <w:szCs w:val="22"/>
          <w:lang w:val="bg-BG"/>
        </w:rPr>
        <w:t xml:space="preserve">установен придобит или вроден </w:t>
      </w:r>
      <w:r w:rsidRPr="00763075">
        <w:rPr>
          <w:sz w:val="22"/>
          <w:szCs w:val="22"/>
          <w:lang w:val="bg-BG"/>
        </w:rPr>
        <w:t>удължен QT</w:t>
      </w:r>
      <w:r w:rsidR="004538BC" w:rsidRPr="00763075">
        <w:rPr>
          <w:sz w:val="22"/>
          <w:szCs w:val="22"/>
          <w:lang w:val="bg-BG"/>
        </w:rPr>
        <w:t>-</w:t>
      </w:r>
      <w:r w:rsidRPr="00763075">
        <w:rPr>
          <w:sz w:val="22"/>
          <w:szCs w:val="22"/>
          <w:lang w:val="bg-BG"/>
        </w:rPr>
        <w:t>интервал</w:t>
      </w:r>
      <w:r w:rsidR="000B5DC2" w:rsidRPr="00763075">
        <w:rPr>
          <w:sz w:val="22"/>
          <w:szCs w:val="22"/>
          <w:lang w:val="bg-BG"/>
        </w:rPr>
        <w:t>.</w:t>
      </w:r>
      <w:r w:rsidRPr="00763075">
        <w:rPr>
          <w:sz w:val="22"/>
          <w:szCs w:val="22"/>
          <w:lang w:val="bg-BG"/>
        </w:rPr>
        <w:t xml:space="preserve"> </w:t>
      </w:r>
    </w:p>
    <w:p w14:paraId="7C14EBC5" w14:textId="131AE8CA" w:rsidR="001A7B21" w:rsidRPr="00290B20" w:rsidRDefault="001A7B21" w:rsidP="00F04A21">
      <w:pPr>
        <w:numPr>
          <w:ilvl w:val="0"/>
          <w:numId w:val="33"/>
        </w:numPr>
        <w:tabs>
          <w:tab w:val="clear" w:pos="720"/>
          <w:tab w:val="num" w:pos="426"/>
        </w:tabs>
        <w:ind w:left="426" w:hanging="425"/>
        <w:jc w:val="both"/>
        <w:rPr>
          <w:sz w:val="22"/>
          <w:szCs w:val="22"/>
          <w:lang w:val="bg-BG"/>
        </w:rPr>
      </w:pPr>
      <w:r w:rsidRPr="00763075">
        <w:rPr>
          <w:sz w:val="22"/>
          <w:szCs w:val="22"/>
          <w:lang w:val="bg-BG"/>
        </w:rPr>
        <w:t>Пациенти с установен рисков фактор за удължаване на QT-интервала, включително с данни за сърдечно</w:t>
      </w:r>
      <w:r w:rsidR="00763075">
        <w:rPr>
          <w:sz w:val="22"/>
          <w:szCs w:val="22"/>
          <w:lang w:val="bg-BG"/>
        </w:rPr>
        <w:t>-</w:t>
      </w:r>
      <w:r w:rsidRPr="00763075">
        <w:rPr>
          <w:sz w:val="22"/>
          <w:szCs w:val="22"/>
          <w:lang w:val="bg-BG"/>
        </w:rPr>
        <w:t xml:space="preserve">съдово заболяване, значителен електролитен дисбаланс (хипокалиемия, хипомагнезиемия), фамилна анамнеза за внезапна сърдечна смърт, значима </w:t>
      </w:r>
      <w:proofErr w:type="spellStart"/>
      <w:r w:rsidRPr="00763075">
        <w:rPr>
          <w:sz w:val="22"/>
          <w:szCs w:val="22"/>
          <w:lang w:val="bg-BG"/>
        </w:rPr>
        <w:t>брадикардия</w:t>
      </w:r>
      <w:proofErr w:type="spellEnd"/>
      <w:r w:rsidRPr="00763075">
        <w:rPr>
          <w:sz w:val="22"/>
          <w:szCs w:val="22"/>
          <w:lang w:val="bg-BG"/>
        </w:rPr>
        <w:t xml:space="preserve">, едновременна употреба </w:t>
      </w:r>
      <w:r w:rsidR="00143E01" w:rsidRPr="00763075">
        <w:rPr>
          <w:sz w:val="22"/>
          <w:szCs w:val="22"/>
          <w:lang w:val="bg-BG"/>
        </w:rPr>
        <w:t>на</w:t>
      </w:r>
      <w:r w:rsidRPr="00763075">
        <w:rPr>
          <w:sz w:val="22"/>
          <w:szCs w:val="22"/>
          <w:lang w:val="bg-BG"/>
        </w:rPr>
        <w:t xml:space="preserve"> лекарства, които удължават QT-интервала и/или предизвикват torsade de pointes (вж. точка 4.4 и 4.5).</w:t>
      </w:r>
    </w:p>
    <w:p w14:paraId="5782772C" w14:textId="77777777" w:rsidR="006A14EC" w:rsidRPr="00763075" w:rsidRDefault="006A14EC" w:rsidP="00F04A21">
      <w:pPr>
        <w:numPr>
          <w:ilvl w:val="0"/>
          <w:numId w:val="33"/>
        </w:numPr>
        <w:tabs>
          <w:tab w:val="clear" w:pos="720"/>
          <w:tab w:val="num" w:pos="426"/>
        </w:tabs>
        <w:ind w:left="426" w:hanging="425"/>
        <w:jc w:val="both"/>
        <w:rPr>
          <w:sz w:val="22"/>
          <w:szCs w:val="22"/>
          <w:lang w:val="bg-BG"/>
        </w:rPr>
      </w:pPr>
      <w:r w:rsidRPr="00290B20">
        <w:rPr>
          <w:sz w:val="22"/>
          <w:szCs w:val="22"/>
          <w:lang w:val="bg-BG"/>
        </w:rPr>
        <w:t>Бременност и кърмене (вж</w:t>
      </w:r>
      <w:r w:rsidR="0046685C" w:rsidRPr="00290B20">
        <w:rPr>
          <w:sz w:val="22"/>
          <w:szCs w:val="22"/>
          <w:lang w:val="bg-BG"/>
        </w:rPr>
        <w:t>.</w:t>
      </w:r>
      <w:r w:rsidRPr="00290B20">
        <w:rPr>
          <w:sz w:val="22"/>
          <w:szCs w:val="22"/>
          <w:lang w:val="bg-BG"/>
        </w:rPr>
        <w:t xml:space="preserve"> т</w:t>
      </w:r>
      <w:r w:rsidR="0046685C" w:rsidRPr="00290B20">
        <w:rPr>
          <w:sz w:val="22"/>
          <w:szCs w:val="22"/>
          <w:lang w:val="bg-BG"/>
        </w:rPr>
        <w:t>очка</w:t>
      </w:r>
      <w:r w:rsidRPr="00763075">
        <w:rPr>
          <w:sz w:val="22"/>
          <w:szCs w:val="22"/>
          <w:lang w:val="bg-BG"/>
        </w:rPr>
        <w:t xml:space="preserve"> 4.6).</w:t>
      </w:r>
    </w:p>
    <w:p w14:paraId="3BC7B1BC" w14:textId="77777777" w:rsidR="00E05648" w:rsidRPr="00763075" w:rsidRDefault="00E05648">
      <w:pPr>
        <w:jc w:val="both"/>
        <w:rPr>
          <w:b/>
          <w:sz w:val="22"/>
          <w:szCs w:val="22"/>
          <w:lang w:val="bg-BG"/>
        </w:rPr>
      </w:pPr>
    </w:p>
    <w:p w14:paraId="76FA499E" w14:textId="2235001B" w:rsidR="0046685C" w:rsidRPr="00763075" w:rsidRDefault="00471B73">
      <w:pPr>
        <w:jc w:val="both"/>
        <w:rPr>
          <w:sz w:val="22"/>
          <w:szCs w:val="22"/>
          <w:lang w:val="bg-BG"/>
        </w:rPr>
      </w:pPr>
      <w:r w:rsidRPr="00763075">
        <w:rPr>
          <w:b/>
          <w:sz w:val="22"/>
          <w:szCs w:val="22"/>
          <w:lang w:val="bg-BG"/>
        </w:rPr>
        <w:t>4.4</w:t>
      </w:r>
      <w:r w:rsidR="004D0E1C" w:rsidRPr="00763075">
        <w:rPr>
          <w:b/>
          <w:sz w:val="22"/>
          <w:szCs w:val="22"/>
          <w:lang w:val="bg-BG"/>
        </w:rPr>
        <w:t xml:space="preserve"> </w:t>
      </w:r>
      <w:r w:rsidR="0046685C" w:rsidRPr="00763075">
        <w:rPr>
          <w:b/>
          <w:sz w:val="22"/>
          <w:szCs w:val="22"/>
          <w:lang w:val="bg-BG"/>
        </w:rPr>
        <w:t>Специални предупреждения и предпазни мерки при употреба</w:t>
      </w:r>
    </w:p>
    <w:p w14:paraId="7AE727CF" w14:textId="77777777" w:rsidR="006A14EC" w:rsidRPr="00763075" w:rsidRDefault="0046685C">
      <w:pPr>
        <w:jc w:val="both"/>
        <w:rPr>
          <w:b/>
          <w:sz w:val="22"/>
          <w:szCs w:val="22"/>
          <w:lang w:val="bg-BG"/>
        </w:rPr>
      </w:pPr>
      <w:r w:rsidRPr="00763075">
        <w:rPr>
          <w:b/>
          <w:sz w:val="22"/>
          <w:szCs w:val="22"/>
          <w:lang w:val="bg-BG"/>
        </w:rPr>
        <w:t xml:space="preserve"> </w:t>
      </w:r>
    </w:p>
    <w:p w14:paraId="10EF2251" w14:textId="79951994" w:rsidR="006A14EC" w:rsidRPr="00763075" w:rsidRDefault="001E29AE">
      <w:pPr>
        <w:jc w:val="both"/>
        <w:rPr>
          <w:sz w:val="22"/>
          <w:szCs w:val="22"/>
          <w:lang w:val="bg-BG"/>
        </w:rPr>
      </w:pPr>
      <w:r w:rsidRPr="00763075">
        <w:rPr>
          <w:sz w:val="22"/>
          <w:szCs w:val="22"/>
          <w:lang w:val="bg-BG"/>
        </w:rPr>
        <w:t>Атаракс</w:t>
      </w:r>
      <w:r w:rsidRPr="00763075">
        <w:rPr>
          <w:b/>
          <w:i/>
          <w:sz w:val="22"/>
          <w:szCs w:val="22"/>
          <w:lang w:val="bg-BG"/>
        </w:rPr>
        <w:t xml:space="preserve"> </w:t>
      </w:r>
      <w:r w:rsidR="006A14EC" w:rsidRPr="00763075">
        <w:rPr>
          <w:sz w:val="22"/>
          <w:szCs w:val="22"/>
          <w:lang w:val="bg-BG"/>
        </w:rPr>
        <w:t xml:space="preserve">трябва да се прилага с внимание при пациенти с повишен потенциален риск </w:t>
      </w:r>
      <w:r w:rsidR="00234495" w:rsidRPr="00763075">
        <w:rPr>
          <w:sz w:val="22"/>
          <w:szCs w:val="22"/>
          <w:lang w:val="bg-BG"/>
        </w:rPr>
        <w:t xml:space="preserve">да получат </w:t>
      </w:r>
      <w:r w:rsidR="006A14EC" w:rsidRPr="00763075">
        <w:rPr>
          <w:sz w:val="22"/>
          <w:szCs w:val="22"/>
          <w:lang w:val="bg-BG"/>
        </w:rPr>
        <w:t>конвулсии.</w:t>
      </w:r>
    </w:p>
    <w:p w14:paraId="34D4E1AB" w14:textId="77777777" w:rsidR="00082C40" w:rsidRPr="00763075" w:rsidRDefault="00082C40">
      <w:pPr>
        <w:jc w:val="both"/>
        <w:rPr>
          <w:sz w:val="22"/>
          <w:szCs w:val="22"/>
          <w:lang w:val="bg-BG"/>
        </w:rPr>
      </w:pPr>
    </w:p>
    <w:p w14:paraId="7411516F" w14:textId="77777777" w:rsidR="008627FA" w:rsidRPr="008627FA" w:rsidRDefault="008627FA">
      <w:pPr>
        <w:jc w:val="both"/>
        <w:rPr>
          <w:sz w:val="22"/>
          <w:szCs w:val="22"/>
          <w:lang w:val="bg-BG"/>
        </w:rPr>
      </w:pPr>
      <w:r w:rsidRPr="008627FA">
        <w:rPr>
          <w:sz w:val="22"/>
          <w:szCs w:val="22"/>
          <w:lang w:val="bg-BG"/>
        </w:rPr>
        <w:t xml:space="preserve">Педиатрична популация </w:t>
      </w:r>
    </w:p>
    <w:p w14:paraId="4104497A" w14:textId="576E045C" w:rsidR="006A14EC" w:rsidRPr="00763075" w:rsidRDefault="006A14EC">
      <w:pPr>
        <w:jc w:val="both"/>
        <w:rPr>
          <w:sz w:val="22"/>
          <w:szCs w:val="22"/>
          <w:lang w:val="bg-BG"/>
        </w:rPr>
      </w:pPr>
      <w:r w:rsidRPr="00763075">
        <w:rPr>
          <w:sz w:val="22"/>
          <w:szCs w:val="22"/>
          <w:lang w:val="bg-BG"/>
        </w:rPr>
        <w:t>Малките деца са по-склонни към поява на нежелани лекарствени реакции, свързани с централната нервна система (вж</w:t>
      </w:r>
      <w:r w:rsidR="0046685C" w:rsidRPr="00763075">
        <w:rPr>
          <w:sz w:val="22"/>
          <w:szCs w:val="22"/>
          <w:lang w:val="bg-BG"/>
        </w:rPr>
        <w:t>.</w:t>
      </w:r>
      <w:r w:rsidRPr="00763075">
        <w:rPr>
          <w:sz w:val="22"/>
          <w:szCs w:val="22"/>
          <w:lang w:val="bg-BG"/>
        </w:rPr>
        <w:t xml:space="preserve"> т</w:t>
      </w:r>
      <w:r w:rsidR="0046685C" w:rsidRPr="00763075">
        <w:rPr>
          <w:sz w:val="22"/>
          <w:szCs w:val="22"/>
          <w:lang w:val="bg-BG"/>
        </w:rPr>
        <w:t>очка</w:t>
      </w:r>
      <w:r w:rsidRPr="00763075">
        <w:rPr>
          <w:sz w:val="22"/>
          <w:szCs w:val="22"/>
          <w:lang w:val="bg-BG"/>
        </w:rPr>
        <w:t xml:space="preserve"> 4.8).</w:t>
      </w:r>
      <w:r w:rsidR="00810FF1" w:rsidRPr="00763075">
        <w:rPr>
          <w:sz w:val="22"/>
          <w:szCs w:val="22"/>
          <w:lang w:val="bg-BG"/>
        </w:rPr>
        <w:t xml:space="preserve"> </w:t>
      </w:r>
      <w:r w:rsidRPr="00763075">
        <w:rPr>
          <w:sz w:val="22"/>
          <w:szCs w:val="22"/>
          <w:lang w:val="bg-BG"/>
        </w:rPr>
        <w:t xml:space="preserve">При деца конвулсии се наблюдават по-често в сравнение с възрастни. </w:t>
      </w:r>
    </w:p>
    <w:p w14:paraId="65E22FFD" w14:textId="77777777" w:rsidR="00082C40" w:rsidRPr="00763075" w:rsidRDefault="00082C40">
      <w:pPr>
        <w:jc w:val="both"/>
        <w:rPr>
          <w:sz w:val="22"/>
          <w:szCs w:val="22"/>
          <w:lang w:val="bg-BG"/>
        </w:rPr>
      </w:pPr>
    </w:p>
    <w:p w14:paraId="5C83B52B" w14:textId="4D8DD4B7" w:rsidR="006A14EC" w:rsidRPr="00763075" w:rsidRDefault="006A14EC">
      <w:pPr>
        <w:jc w:val="both"/>
        <w:rPr>
          <w:sz w:val="22"/>
          <w:szCs w:val="22"/>
          <w:lang w:val="bg-BG"/>
        </w:rPr>
      </w:pPr>
      <w:r w:rsidRPr="00763075">
        <w:rPr>
          <w:sz w:val="22"/>
          <w:szCs w:val="22"/>
          <w:lang w:val="bg-BG"/>
        </w:rPr>
        <w:lastRenderedPageBreak/>
        <w:t>Поради потенциалния си</w:t>
      </w:r>
      <w:r w:rsidR="00810FF1" w:rsidRPr="00763075">
        <w:rPr>
          <w:sz w:val="22"/>
          <w:szCs w:val="22"/>
          <w:lang w:val="bg-BG"/>
        </w:rPr>
        <w:t xml:space="preserve"> </w:t>
      </w:r>
      <w:r w:rsidRPr="00763075">
        <w:rPr>
          <w:sz w:val="22"/>
          <w:szCs w:val="22"/>
          <w:lang w:val="bg-BG"/>
        </w:rPr>
        <w:t xml:space="preserve">антихолинергичен ефект, </w:t>
      </w:r>
      <w:r w:rsidR="001E29AE" w:rsidRPr="00763075">
        <w:rPr>
          <w:sz w:val="22"/>
          <w:szCs w:val="22"/>
          <w:lang w:val="bg-BG"/>
        </w:rPr>
        <w:t xml:space="preserve">Атаракс </w:t>
      </w:r>
      <w:r w:rsidRPr="00763075">
        <w:rPr>
          <w:sz w:val="22"/>
          <w:szCs w:val="22"/>
          <w:lang w:val="bg-BG"/>
        </w:rPr>
        <w:t>трябва да се прилага внимателно при пациенти с глаукома, обструкция на</w:t>
      </w:r>
      <w:r w:rsidR="00810FF1" w:rsidRPr="00763075">
        <w:rPr>
          <w:sz w:val="22"/>
          <w:szCs w:val="22"/>
          <w:lang w:val="bg-BG"/>
        </w:rPr>
        <w:t xml:space="preserve"> </w:t>
      </w:r>
      <w:r w:rsidR="00556127" w:rsidRPr="00763075">
        <w:rPr>
          <w:sz w:val="22"/>
          <w:szCs w:val="22"/>
          <w:lang w:val="bg-BG"/>
        </w:rPr>
        <w:t xml:space="preserve">оттичането на </w:t>
      </w:r>
      <w:r w:rsidRPr="00763075">
        <w:rPr>
          <w:sz w:val="22"/>
          <w:szCs w:val="22"/>
          <w:lang w:val="bg-BG"/>
        </w:rPr>
        <w:t>пикочния мехур, понижен стомашно-чревен мотилитет,</w:t>
      </w:r>
      <w:r w:rsidR="00810FF1" w:rsidRPr="00763075">
        <w:rPr>
          <w:sz w:val="22"/>
          <w:szCs w:val="22"/>
          <w:lang w:val="bg-BG"/>
        </w:rPr>
        <w:t xml:space="preserve"> </w:t>
      </w:r>
      <w:r w:rsidRPr="00763075">
        <w:rPr>
          <w:sz w:val="22"/>
          <w:szCs w:val="22"/>
          <w:lang w:val="bg-BG"/>
        </w:rPr>
        <w:t>миастения гравис или деменция.</w:t>
      </w:r>
    </w:p>
    <w:p w14:paraId="3157F911" w14:textId="77777777" w:rsidR="00082C40" w:rsidRPr="00763075" w:rsidRDefault="00082C40">
      <w:pPr>
        <w:jc w:val="both"/>
        <w:rPr>
          <w:sz w:val="22"/>
          <w:szCs w:val="22"/>
          <w:lang w:val="bg-BG"/>
        </w:rPr>
      </w:pPr>
    </w:p>
    <w:p w14:paraId="43CA2962" w14:textId="32761789" w:rsidR="006A14EC" w:rsidRPr="00763075" w:rsidRDefault="00556127">
      <w:pPr>
        <w:jc w:val="both"/>
        <w:rPr>
          <w:sz w:val="22"/>
          <w:szCs w:val="22"/>
          <w:lang w:val="bg-BG"/>
        </w:rPr>
      </w:pPr>
      <w:r w:rsidRPr="00763075">
        <w:rPr>
          <w:sz w:val="22"/>
          <w:szCs w:val="22"/>
          <w:lang w:val="bg-BG"/>
        </w:rPr>
        <w:t xml:space="preserve">Може да се </w:t>
      </w:r>
      <w:r w:rsidR="00234495" w:rsidRPr="00763075">
        <w:rPr>
          <w:sz w:val="22"/>
          <w:szCs w:val="22"/>
          <w:lang w:val="bg-BG"/>
        </w:rPr>
        <w:t>наложи</w:t>
      </w:r>
      <w:r w:rsidRPr="00763075">
        <w:rPr>
          <w:sz w:val="22"/>
          <w:szCs w:val="22"/>
          <w:lang w:val="bg-BG"/>
        </w:rPr>
        <w:t xml:space="preserve"> </w:t>
      </w:r>
      <w:r w:rsidR="006A14EC" w:rsidRPr="00763075">
        <w:rPr>
          <w:sz w:val="22"/>
          <w:szCs w:val="22"/>
          <w:lang w:val="bg-BG"/>
        </w:rPr>
        <w:t>коригиране на дозата, в случай на едновременно</w:t>
      </w:r>
      <w:r w:rsidR="00810FF1" w:rsidRPr="00763075">
        <w:rPr>
          <w:sz w:val="22"/>
          <w:szCs w:val="22"/>
          <w:lang w:val="bg-BG"/>
        </w:rPr>
        <w:t xml:space="preserve"> </w:t>
      </w:r>
      <w:r w:rsidR="006A14EC" w:rsidRPr="00763075">
        <w:rPr>
          <w:sz w:val="22"/>
          <w:szCs w:val="22"/>
          <w:lang w:val="bg-BG"/>
        </w:rPr>
        <w:t xml:space="preserve">приложение на </w:t>
      </w:r>
      <w:r w:rsidR="001E29AE" w:rsidRPr="00763075">
        <w:rPr>
          <w:sz w:val="22"/>
          <w:szCs w:val="22"/>
          <w:lang w:val="bg-BG"/>
        </w:rPr>
        <w:t xml:space="preserve">Атаракс </w:t>
      </w:r>
      <w:r w:rsidR="006A14EC" w:rsidRPr="00763075">
        <w:rPr>
          <w:sz w:val="22"/>
          <w:szCs w:val="22"/>
          <w:lang w:val="bg-BG"/>
        </w:rPr>
        <w:t xml:space="preserve">с други </w:t>
      </w:r>
      <w:r w:rsidR="00656BE2" w:rsidRPr="00763075">
        <w:rPr>
          <w:sz w:val="22"/>
          <w:szCs w:val="22"/>
          <w:lang w:val="bg-BG"/>
        </w:rPr>
        <w:t>лекарства</w:t>
      </w:r>
      <w:r w:rsidR="006A14EC" w:rsidRPr="00763075">
        <w:rPr>
          <w:sz w:val="22"/>
          <w:szCs w:val="22"/>
          <w:lang w:val="bg-BG"/>
        </w:rPr>
        <w:t>, подтискащи централната нервна система или лекарства, притежаващи антихолинергични свойства (</w:t>
      </w:r>
      <w:r w:rsidR="0046685C" w:rsidRPr="00763075">
        <w:rPr>
          <w:sz w:val="22"/>
          <w:szCs w:val="22"/>
          <w:lang w:val="bg-BG"/>
        </w:rPr>
        <w:t>вж. точка</w:t>
      </w:r>
      <w:r w:rsidR="006A14EC" w:rsidRPr="00763075">
        <w:rPr>
          <w:sz w:val="22"/>
          <w:szCs w:val="22"/>
          <w:lang w:val="bg-BG"/>
        </w:rPr>
        <w:t xml:space="preserve"> 4.5).</w:t>
      </w:r>
    </w:p>
    <w:p w14:paraId="16FADA32" w14:textId="77777777" w:rsidR="00082C40" w:rsidRPr="00763075" w:rsidRDefault="00082C40">
      <w:pPr>
        <w:jc w:val="both"/>
        <w:rPr>
          <w:sz w:val="22"/>
          <w:szCs w:val="22"/>
          <w:lang w:val="bg-BG"/>
        </w:rPr>
      </w:pPr>
    </w:p>
    <w:p w14:paraId="3DA26A9F" w14:textId="6A5790AF" w:rsidR="006A14EC" w:rsidRPr="00763075" w:rsidRDefault="006A14EC">
      <w:pPr>
        <w:jc w:val="both"/>
        <w:rPr>
          <w:sz w:val="22"/>
          <w:szCs w:val="22"/>
          <w:lang w:val="bg-BG"/>
        </w:rPr>
      </w:pPr>
      <w:r w:rsidRPr="00763075">
        <w:rPr>
          <w:sz w:val="22"/>
          <w:szCs w:val="22"/>
          <w:lang w:val="bg-BG"/>
        </w:rPr>
        <w:t xml:space="preserve">Трябва да се избягва едновременната употребата на алкохол и </w:t>
      </w:r>
      <w:r w:rsidR="001E29AE" w:rsidRPr="00763075">
        <w:rPr>
          <w:sz w:val="22"/>
          <w:szCs w:val="22"/>
          <w:lang w:val="bg-BG"/>
        </w:rPr>
        <w:t xml:space="preserve">Атаракс </w:t>
      </w:r>
      <w:r w:rsidRPr="00763075">
        <w:rPr>
          <w:sz w:val="22"/>
          <w:szCs w:val="22"/>
          <w:lang w:val="bg-BG"/>
        </w:rPr>
        <w:t>(</w:t>
      </w:r>
      <w:r w:rsidR="0046685C" w:rsidRPr="00763075">
        <w:rPr>
          <w:sz w:val="22"/>
          <w:szCs w:val="22"/>
          <w:lang w:val="bg-BG"/>
        </w:rPr>
        <w:t xml:space="preserve">вж. точка </w:t>
      </w:r>
      <w:r w:rsidRPr="00763075">
        <w:rPr>
          <w:sz w:val="22"/>
          <w:szCs w:val="22"/>
          <w:lang w:val="bg-BG"/>
        </w:rPr>
        <w:t>4.5).</w:t>
      </w:r>
    </w:p>
    <w:p w14:paraId="7A0C1164" w14:textId="77777777" w:rsidR="00E34317" w:rsidRPr="00763075" w:rsidRDefault="00E34317">
      <w:pPr>
        <w:jc w:val="both"/>
        <w:rPr>
          <w:sz w:val="22"/>
          <w:szCs w:val="22"/>
          <w:lang w:val="bg-BG"/>
        </w:rPr>
      </w:pPr>
    </w:p>
    <w:p w14:paraId="52E487ED" w14:textId="77777777" w:rsidR="008627FA" w:rsidRPr="008627FA" w:rsidRDefault="008627FA">
      <w:pPr>
        <w:jc w:val="both"/>
        <w:rPr>
          <w:sz w:val="22"/>
          <w:szCs w:val="22"/>
          <w:lang w:val="bg-BG"/>
        </w:rPr>
      </w:pPr>
      <w:proofErr w:type="spellStart"/>
      <w:r w:rsidRPr="008627FA">
        <w:rPr>
          <w:sz w:val="22"/>
          <w:szCs w:val="22"/>
        </w:rPr>
        <w:t>Чернодробно</w:t>
      </w:r>
      <w:proofErr w:type="spellEnd"/>
      <w:r w:rsidRPr="008627FA">
        <w:rPr>
          <w:sz w:val="22"/>
          <w:szCs w:val="22"/>
        </w:rPr>
        <w:t xml:space="preserve"> </w:t>
      </w:r>
      <w:proofErr w:type="spellStart"/>
      <w:r w:rsidRPr="008627FA">
        <w:rPr>
          <w:sz w:val="22"/>
          <w:szCs w:val="22"/>
        </w:rPr>
        <w:t>увреждане</w:t>
      </w:r>
      <w:proofErr w:type="spellEnd"/>
      <w:r w:rsidRPr="008627FA">
        <w:rPr>
          <w:sz w:val="22"/>
          <w:szCs w:val="22"/>
          <w:lang w:val="bg-BG"/>
        </w:rPr>
        <w:t xml:space="preserve"> </w:t>
      </w:r>
    </w:p>
    <w:p w14:paraId="422CEC05" w14:textId="243F656B" w:rsidR="004F3568" w:rsidRPr="00763075" w:rsidRDefault="00E34317">
      <w:pPr>
        <w:jc w:val="both"/>
        <w:rPr>
          <w:sz w:val="22"/>
          <w:szCs w:val="22"/>
          <w:lang w:val="bg-BG"/>
        </w:rPr>
      </w:pPr>
      <w:r w:rsidRPr="00763075">
        <w:rPr>
          <w:sz w:val="22"/>
          <w:szCs w:val="22"/>
          <w:lang w:val="bg-BG"/>
        </w:rPr>
        <w:t xml:space="preserve">Дозата трябва да бъде намалена при пациенти с нарушена чернодробна </w:t>
      </w:r>
      <w:r w:rsidR="004F3568" w:rsidRPr="00763075">
        <w:rPr>
          <w:sz w:val="22"/>
          <w:szCs w:val="22"/>
          <w:lang w:val="bg-BG"/>
        </w:rPr>
        <w:t>функция и при пациенти с умерено до тежко бъбречно</w:t>
      </w:r>
      <w:r w:rsidRPr="00763075">
        <w:rPr>
          <w:sz w:val="22"/>
          <w:szCs w:val="22"/>
          <w:lang w:val="bg-BG"/>
        </w:rPr>
        <w:t xml:space="preserve"> </w:t>
      </w:r>
      <w:r w:rsidR="004F3568" w:rsidRPr="00763075">
        <w:rPr>
          <w:sz w:val="22"/>
          <w:szCs w:val="22"/>
          <w:lang w:val="bg-BG"/>
        </w:rPr>
        <w:t>увреждане</w:t>
      </w:r>
      <w:r w:rsidRPr="00763075">
        <w:rPr>
          <w:sz w:val="22"/>
          <w:szCs w:val="22"/>
          <w:lang w:val="bg-BG"/>
        </w:rPr>
        <w:t xml:space="preserve"> (вж. точка 4.2).</w:t>
      </w:r>
    </w:p>
    <w:p w14:paraId="40A3FB8B" w14:textId="77777777" w:rsidR="00F961D9" w:rsidRPr="00763075" w:rsidRDefault="00F961D9">
      <w:pPr>
        <w:jc w:val="both"/>
        <w:rPr>
          <w:sz w:val="22"/>
          <w:szCs w:val="22"/>
          <w:u w:val="single"/>
          <w:lang w:val="bg-BG"/>
        </w:rPr>
      </w:pPr>
    </w:p>
    <w:p w14:paraId="5345CBEE" w14:textId="41CD0E05" w:rsidR="00E34317" w:rsidRPr="00290B20" w:rsidRDefault="008627FA">
      <w:pPr>
        <w:jc w:val="both"/>
        <w:rPr>
          <w:sz w:val="22"/>
          <w:szCs w:val="22"/>
          <w:lang w:val="bg-BG"/>
        </w:rPr>
      </w:pPr>
      <w:r w:rsidRPr="008627FA">
        <w:rPr>
          <w:sz w:val="22"/>
          <w:szCs w:val="22"/>
          <w:u w:val="single"/>
          <w:lang w:val="bg-BG"/>
        </w:rPr>
        <w:t xml:space="preserve">Удължаване на QT-интервала </w:t>
      </w:r>
      <w:proofErr w:type="spellStart"/>
      <w:r w:rsidR="00E34317" w:rsidRPr="00763075">
        <w:rPr>
          <w:sz w:val="22"/>
          <w:szCs w:val="22"/>
          <w:lang w:val="bg-BG"/>
        </w:rPr>
        <w:t>Хидроксизин</w:t>
      </w:r>
      <w:proofErr w:type="spellEnd"/>
      <w:r w:rsidR="00E34317" w:rsidRPr="00763075">
        <w:rPr>
          <w:sz w:val="22"/>
          <w:szCs w:val="22"/>
          <w:lang w:val="bg-BG"/>
        </w:rPr>
        <w:t xml:space="preserve"> се свързва с удължаване на QT-интервала на електрокардиограмата. По време на постмаркетингово наблюдение са отчетени случаи на удължаване на QT-интервала и torsade de pointes при пациенти, приемащи хидроксизин. Повечето от тези пациенти са имали и други рискови фактори, електролитни нарушения и съпътстващо лечение,</w:t>
      </w:r>
      <w:r w:rsidR="00E34317" w:rsidRPr="00290B20">
        <w:rPr>
          <w:sz w:val="22"/>
          <w:szCs w:val="22"/>
          <w:lang w:val="bg-BG"/>
        </w:rPr>
        <w:t xml:space="preserve"> които може да са допринесли за състоянието (вж. точка 4.8).</w:t>
      </w:r>
    </w:p>
    <w:p w14:paraId="37AD4912" w14:textId="77777777" w:rsidR="00E34317" w:rsidRPr="00290B20" w:rsidRDefault="00E34317">
      <w:pPr>
        <w:jc w:val="both"/>
        <w:rPr>
          <w:sz w:val="22"/>
          <w:szCs w:val="22"/>
          <w:lang w:val="bg-BG"/>
        </w:rPr>
      </w:pPr>
      <w:r w:rsidRPr="00290B20">
        <w:rPr>
          <w:sz w:val="22"/>
          <w:szCs w:val="22"/>
          <w:lang w:val="bg-BG"/>
        </w:rPr>
        <w:t>Хидроксизин трябва да се използва с най-ниската ефективна доза и за възможно най-кратък период от време.</w:t>
      </w:r>
    </w:p>
    <w:p w14:paraId="0DD908B1" w14:textId="77777777" w:rsidR="00E34317" w:rsidRPr="00763075" w:rsidRDefault="00E34317">
      <w:pPr>
        <w:jc w:val="both"/>
        <w:rPr>
          <w:sz w:val="22"/>
          <w:szCs w:val="22"/>
          <w:lang w:val="bg-BG"/>
        </w:rPr>
      </w:pPr>
      <w:r w:rsidRPr="00290B20">
        <w:rPr>
          <w:sz w:val="22"/>
          <w:szCs w:val="22"/>
          <w:lang w:val="bg-BG"/>
        </w:rPr>
        <w:t xml:space="preserve">Лечението с хидроксизин трябва да се прекрати, ако се появят признаци или симптоми, които </w:t>
      </w:r>
      <w:r w:rsidRPr="00763075">
        <w:rPr>
          <w:sz w:val="22"/>
          <w:szCs w:val="22"/>
          <w:lang w:val="bg-BG"/>
        </w:rPr>
        <w:t>могат да се свържат със сърдечна аритмия, и пациентите трябва незабавно да потърсят медицинска помощ.</w:t>
      </w:r>
    </w:p>
    <w:p w14:paraId="5371EA37" w14:textId="5A2F16E9" w:rsidR="00082C40" w:rsidRPr="00763075" w:rsidRDefault="00E34317">
      <w:pPr>
        <w:jc w:val="both"/>
        <w:rPr>
          <w:sz w:val="22"/>
          <w:szCs w:val="22"/>
          <w:lang w:val="bg-BG"/>
        </w:rPr>
      </w:pPr>
      <w:r w:rsidRPr="00763075">
        <w:rPr>
          <w:sz w:val="22"/>
          <w:szCs w:val="22"/>
          <w:lang w:val="bg-BG"/>
        </w:rPr>
        <w:t>Пациентите трябва да бъдат съветвани незабавно да съобщават за всички сърдечни симптоми.</w:t>
      </w:r>
    </w:p>
    <w:p w14:paraId="54333072" w14:textId="77777777" w:rsidR="00082C40" w:rsidRPr="00763075" w:rsidRDefault="00082C40">
      <w:pPr>
        <w:jc w:val="both"/>
        <w:rPr>
          <w:sz w:val="22"/>
          <w:szCs w:val="22"/>
          <w:lang w:val="bg-BG"/>
        </w:rPr>
      </w:pPr>
    </w:p>
    <w:p w14:paraId="50884AA3" w14:textId="729FB2A6" w:rsidR="004F3568" w:rsidRPr="00763075" w:rsidRDefault="008627FA">
      <w:pPr>
        <w:jc w:val="both"/>
        <w:rPr>
          <w:sz w:val="22"/>
          <w:szCs w:val="22"/>
          <w:u w:val="single"/>
          <w:lang w:val="bg-BG"/>
        </w:rPr>
      </w:pPr>
      <w:r w:rsidRPr="00763075">
        <w:rPr>
          <w:sz w:val="22"/>
          <w:szCs w:val="22"/>
          <w:u w:val="single"/>
          <w:lang w:val="bg-BG"/>
        </w:rPr>
        <w:t xml:space="preserve">Старческа </w:t>
      </w:r>
      <w:r w:rsidR="004F3568" w:rsidRPr="00763075">
        <w:rPr>
          <w:sz w:val="22"/>
          <w:szCs w:val="22"/>
          <w:u w:val="single"/>
          <w:lang w:val="bg-BG"/>
        </w:rPr>
        <w:t xml:space="preserve">възраст </w:t>
      </w:r>
    </w:p>
    <w:p w14:paraId="17A441C8" w14:textId="77777777" w:rsidR="004F3568" w:rsidRPr="00763075" w:rsidRDefault="004F3568">
      <w:pPr>
        <w:jc w:val="both"/>
        <w:rPr>
          <w:sz w:val="22"/>
          <w:szCs w:val="22"/>
          <w:lang w:val="bg-BG"/>
        </w:rPr>
      </w:pPr>
      <w:r w:rsidRPr="00763075">
        <w:rPr>
          <w:sz w:val="22"/>
          <w:szCs w:val="22"/>
          <w:lang w:val="bg-BG"/>
        </w:rPr>
        <w:t>Хидроксизин не се препоръчва при пациенти в старческа възраст, поради намаляване на елиминирането на хидроксизин в тази популация, в сравнение с възрастни пациенти, както и по-гол</w:t>
      </w:r>
      <w:r w:rsidRPr="00763075">
        <w:rPr>
          <w:sz w:val="22"/>
          <w:szCs w:val="22"/>
        </w:rPr>
        <w:t>e</w:t>
      </w:r>
      <w:r w:rsidRPr="00763075">
        <w:rPr>
          <w:sz w:val="22"/>
          <w:szCs w:val="22"/>
          <w:lang w:val="bg-BG"/>
        </w:rPr>
        <w:t xml:space="preserve">мия риск от нежелани лекарствени реакции (напр., антихолинергични ефекти) (вж. точка </w:t>
      </w:r>
      <w:r w:rsidRPr="00763075">
        <w:rPr>
          <w:sz w:val="22"/>
          <w:szCs w:val="22"/>
          <w:lang w:val="en-GB"/>
        </w:rPr>
        <w:t xml:space="preserve">4.2 </w:t>
      </w:r>
      <w:r w:rsidRPr="00763075">
        <w:rPr>
          <w:sz w:val="22"/>
          <w:szCs w:val="22"/>
          <w:lang w:val="bg-BG"/>
        </w:rPr>
        <w:t>и</w:t>
      </w:r>
      <w:r w:rsidRPr="00763075">
        <w:rPr>
          <w:sz w:val="22"/>
          <w:szCs w:val="22"/>
          <w:lang w:val="en-GB"/>
        </w:rPr>
        <w:t xml:space="preserve"> 4.8</w:t>
      </w:r>
      <w:r w:rsidRPr="00763075">
        <w:rPr>
          <w:sz w:val="22"/>
          <w:szCs w:val="22"/>
          <w:lang w:val="bg-BG"/>
        </w:rPr>
        <w:t>)</w:t>
      </w:r>
      <w:r w:rsidRPr="00763075">
        <w:rPr>
          <w:sz w:val="22"/>
          <w:szCs w:val="22"/>
          <w:lang w:val="en-GB"/>
        </w:rPr>
        <w:t>.</w:t>
      </w:r>
    </w:p>
    <w:p w14:paraId="2BC6CE11" w14:textId="77777777" w:rsidR="000B5DC2" w:rsidRPr="00763075" w:rsidRDefault="000B5DC2">
      <w:pPr>
        <w:jc w:val="both"/>
        <w:rPr>
          <w:b/>
          <w:sz w:val="22"/>
          <w:szCs w:val="22"/>
          <w:lang w:val="bg-BG"/>
        </w:rPr>
      </w:pPr>
    </w:p>
    <w:p w14:paraId="04DC2876" w14:textId="1A11D896" w:rsidR="000B5DC2" w:rsidRPr="00763075" w:rsidRDefault="000B5DC2">
      <w:pPr>
        <w:pStyle w:val="Default"/>
        <w:jc w:val="both"/>
        <w:rPr>
          <w:color w:val="auto"/>
          <w:sz w:val="22"/>
          <w:szCs w:val="22"/>
          <w:lang w:val="bg-BG"/>
        </w:rPr>
      </w:pPr>
      <w:r w:rsidRPr="00763075">
        <w:rPr>
          <w:color w:val="auto"/>
          <w:sz w:val="22"/>
          <w:szCs w:val="22"/>
          <w:lang w:val="bg-BG"/>
        </w:rPr>
        <w:t>Таблетките съдържат лактоза. Пациенти с редки наследствени проблеми на галактозна непоносимост, Lapp лактазен дефицит или глюкозо-галактозна малабсорбция не трябва да приемат това лекарство</w:t>
      </w:r>
      <w:r w:rsidR="004F3568" w:rsidRPr="00763075">
        <w:rPr>
          <w:color w:val="auto"/>
          <w:sz w:val="22"/>
          <w:szCs w:val="22"/>
          <w:lang w:val="bg-BG"/>
        </w:rPr>
        <w:t xml:space="preserve"> (вж. точка 6.1)</w:t>
      </w:r>
      <w:r w:rsidRPr="00763075">
        <w:rPr>
          <w:color w:val="auto"/>
          <w:sz w:val="22"/>
          <w:szCs w:val="22"/>
          <w:lang w:val="bg-BG"/>
        </w:rPr>
        <w:t xml:space="preserve">. </w:t>
      </w:r>
    </w:p>
    <w:p w14:paraId="18F50823" w14:textId="77777777" w:rsidR="006A14EC" w:rsidRPr="00763075" w:rsidRDefault="006A14EC">
      <w:pPr>
        <w:jc w:val="both"/>
        <w:rPr>
          <w:sz w:val="22"/>
          <w:szCs w:val="22"/>
          <w:lang w:val="bg-BG"/>
        </w:rPr>
      </w:pPr>
    </w:p>
    <w:p w14:paraId="0B45DB65" w14:textId="2015FF21" w:rsidR="0046685C" w:rsidRPr="00763075" w:rsidRDefault="00773ABB">
      <w:pPr>
        <w:jc w:val="both"/>
        <w:rPr>
          <w:sz w:val="22"/>
          <w:szCs w:val="22"/>
          <w:lang w:val="bg-BG"/>
        </w:rPr>
      </w:pPr>
      <w:r w:rsidRPr="00763075">
        <w:rPr>
          <w:b/>
          <w:sz w:val="22"/>
          <w:szCs w:val="22"/>
          <w:lang w:val="bg-BG"/>
        </w:rPr>
        <w:t>4.5</w:t>
      </w:r>
      <w:r w:rsidR="004D0E1C" w:rsidRPr="00763075">
        <w:rPr>
          <w:b/>
          <w:sz w:val="22"/>
          <w:szCs w:val="22"/>
          <w:lang w:val="bg-BG"/>
        </w:rPr>
        <w:t xml:space="preserve"> </w:t>
      </w:r>
      <w:r w:rsidR="0046685C" w:rsidRPr="00763075">
        <w:rPr>
          <w:b/>
          <w:sz w:val="22"/>
          <w:szCs w:val="22"/>
          <w:lang w:val="bg-BG"/>
        </w:rPr>
        <w:t>Взаимодействие с други лекарствени продукти и други форми на взаимодействие</w:t>
      </w:r>
    </w:p>
    <w:p w14:paraId="11FE5968" w14:textId="77777777" w:rsidR="006A14EC" w:rsidRPr="00763075" w:rsidRDefault="006A14EC">
      <w:pPr>
        <w:jc w:val="both"/>
        <w:rPr>
          <w:b/>
          <w:sz w:val="22"/>
          <w:szCs w:val="22"/>
          <w:lang w:val="bg-BG"/>
        </w:rPr>
      </w:pPr>
    </w:p>
    <w:p w14:paraId="65B8A898" w14:textId="3DFFABB8" w:rsidR="006A14EC" w:rsidRPr="00763075" w:rsidRDefault="00082C40">
      <w:pPr>
        <w:jc w:val="both"/>
        <w:rPr>
          <w:sz w:val="22"/>
          <w:szCs w:val="22"/>
          <w:lang w:val="bg-BG"/>
        </w:rPr>
      </w:pPr>
      <w:proofErr w:type="spellStart"/>
      <w:r w:rsidRPr="00763075">
        <w:rPr>
          <w:sz w:val="22"/>
          <w:szCs w:val="22"/>
          <w:lang w:val="bg-BG"/>
        </w:rPr>
        <w:t>Потенциращото</w:t>
      </w:r>
      <w:proofErr w:type="spellEnd"/>
      <w:r w:rsidRPr="00763075">
        <w:rPr>
          <w:sz w:val="22"/>
          <w:szCs w:val="22"/>
          <w:lang w:val="bg-BG"/>
        </w:rPr>
        <w:t xml:space="preserve"> действие </w:t>
      </w:r>
      <w:r w:rsidR="006A14EC" w:rsidRPr="00763075">
        <w:rPr>
          <w:sz w:val="22"/>
          <w:szCs w:val="22"/>
          <w:lang w:val="bg-BG"/>
        </w:rPr>
        <w:t xml:space="preserve">на </w:t>
      </w:r>
      <w:proofErr w:type="spellStart"/>
      <w:r w:rsidR="007F7A77" w:rsidRPr="00763075">
        <w:rPr>
          <w:sz w:val="22"/>
          <w:szCs w:val="22"/>
        </w:rPr>
        <w:t>хидроксизин</w:t>
      </w:r>
      <w:proofErr w:type="spellEnd"/>
      <w:r w:rsidR="006A14EC" w:rsidRPr="00763075">
        <w:rPr>
          <w:sz w:val="22"/>
          <w:szCs w:val="22"/>
          <w:lang w:val="bg-BG"/>
        </w:rPr>
        <w:t xml:space="preserve"> трябва да се има предвид при едновременното му</w:t>
      </w:r>
      <w:r w:rsidR="00810FF1" w:rsidRPr="00763075">
        <w:rPr>
          <w:sz w:val="22"/>
          <w:szCs w:val="22"/>
          <w:lang w:val="bg-BG"/>
        </w:rPr>
        <w:t xml:space="preserve"> </w:t>
      </w:r>
      <w:r w:rsidR="006A14EC" w:rsidRPr="00763075">
        <w:rPr>
          <w:sz w:val="22"/>
          <w:szCs w:val="22"/>
          <w:lang w:val="bg-BG"/>
        </w:rPr>
        <w:t xml:space="preserve">приложение с </w:t>
      </w:r>
      <w:r w:rsidR="004655C4" w:rsidRPr="00763075">
        <w:rPr>
          <w:sz w:val="22"/>
          <w:szCs w:val="22"/>
          <w:lang w:val="bg-BG"/>
        </w:rPr>
        <w:t xml:space="preserve">лекарства, </w:t>
      </w:r>
      <w:proofErr w:type="spellStart"/>
      <w:r w:rsidR="006A14EC" w:rsidRPr="00763075">
        <w:rPr>
          <w:sz w:val="22"/>
          <w:szCs w:val="22"/>
          <w:lang w:val="bg-BG"/>
        </w:rPr>
        <w:t>подтискащи</w:t>
      </w:r>
      <w:proofErr w:type="spellEnd"/>
      <w:r w:rsidR="00810FF1" w:rsidRPr="00763075">
        <w:rPr>
          <w:sz w:val="22"/>
          <w:szCs w:val="22"/>
          <w:lang w:val="bg-BG"/>
        </w:rPr>
        <w:t xml:space="preserve"> </w:t>
      </w:r>
      <w:r w:rsidR="006A14EC" w:rsidRPr="00763075">
        <w:rPr>
          <w:sz w:val="22"/>
          <w:szCs w:val="22"/>
          <w:lang w:val="bg-BG"/>
        </w:rPr>
        <w:t xml:space="preserve">ЦНС или с </w:t>
      </w:r>
      <w:proofErr w:type="spellStart"/>
      <w:r w:rsidRPr="00763075">
        <w:rPr>
          <w:sz w:val="22"/>
          <w:szCs w:val="22"/>
          <w:lang w:val="bg-BG"/>
        </w:rPr>
        <w:t>антихолинергични</w:t>
      </w:r>
      <w:proofErr w:type="spellEnd"/>
      <w:r w:rsidRPr="00763075">
        <w:rPr>
          <w:sz w:val="22"/>
          <w:szCs w:val="22"/>
          <w:lang w:val="bg-BG"/>
        </w:rPr>
        <w:t xml:space="preserve"> </w:t>
      </w:r>
      <w:r w:rsidR="006A14EC" w:rsidRPr="00763075">
        <w:rPr>
          <w:sz w:val="22"/>
          <w:szCs w:val="22"/>
          <w:lang w:val="bg-BG"/>
        </w:rPr>
        <w:t>свойст</w:t>
      </w:r>
      <w:r w:rsidR="004655C4" w:rsidRPr="00763075">
        <w:rPr>
          <w:sz w:val="22"/>
          <w:szCs w:val="22"/>
          <w:lang w:val="bg-BG"/>
        </w:rPr>
        <w:t>в</w:t>
      </w:r>
      <w:r w:rsidR="006A14EC" w:rsidRPr="00763075">
        <w:rPr>
          <w:sz w:val="22"/>
          <w:szCs w:val="22"/>
          <w:lang w:val="bg-BG"/>
        </w:rPr>
        <w:t>а, като дозата трябва да се</w:t>
      </w:r>
      <w:r w:rsidR="00810FF1" w:rsidRPr="00763075">
        <w:rPr>
          <w:sz w:val="22"/>
          <w:szCs w:val="22"/>
          <w:lang w:val="bg-BG"/>
        </w:rPr>
        <w:t xml:space="preserve"> </w:t>
      </w:r>
      <w:r w:rsidR="006A14EC" w:rsidRPr="00763075">
        <w:rPr>
          <w:sz w:val="22"/>
          <w:szCs w:val="22"/>
          <w:lang w:val="bg-BG"/>
        </w:rPr>
        <w:t>определи</w:t>
      </w:r>
      <w:r w:rsidR="00810FF1" w:rsidRPr="00763075">
        <w:rPr>
          <w:sz w:val="22"/>
          <w:szCs w:val="22"/>
          <w:lang w:val="bg-BG"/>
        </w:rPr>
        <w:t xml:space="preserve"> </w:t>
      </w:r>
      <w:r w:rsidR="006A14EC" w:rsidRPr="00763075">
        <w:rPr>
          <w:sz w:val="22"/>
          <w:szCs w:val="22"/>
          <w:lang w:val="bg-BG"/>
        </w:rPr>
        <w:t>индивидуално.</w:t>
      </w:r>
      <w:r w:rsidR="00381C0E" w:rsidRPr="00763075">
        <w:rPr>
          <w:sz w:val="22"/>
          <w:szCs w:val="22"/>
          <w:lang w:val="bg-BG"/>
        </w:rPr>
        <w:t xml:space="preserve"> </w:t>
      </w:r>
      <w:r w:rsidR="006A14EC" w:rsidRPr="00763075">
        <w:rPr>
          <w:sz w:val="22"/>
          <w:szCs w:val="22"/>
          <w:lang w:val="bg-BG"/>
        </w:rPr>
        <w:t xml:space="preserve">Алкохолът също </w:t>
      </w:r>
      <w:proofErr w:type="spellStart"/>
      <w:r w:rsidR="006A14EC" w:rsidRPr="00763075">
        <w:rPr>
          <w:sz w:val="22"/>
          <w:szCs w:val="22"/>
          <w:lang w:val="bg-BG"/>
        </w:rPr>
        <w:t>потенцира</w:t>
      </w:r>
      <w:proofErr w:type="spellEnd"/>
      <w:r w:rsidR="006A14EC" w:rsidRPr="00763075">
        <w:rPr>
          <w:sz w:val="22"/>
          <w:szCs w:val="22"/>
          <w:lang w:val="bg-BG"/>
        </w:rPr>
        <w:t xml:space="preserve"> ефектите на </w:t>
      </w:r>
      <w:proofErr w:type="spellStart"/>
      <w:r w:rsidR="007F7A77" w:rsidRPr="00763075">
        <w:rPr>
          <w:sz w:val="22"/>
          <w:szCs w:val="22"/>
        </w:rPr>
        <w:t>хидроксизин</w:t>
      </w:r>
      <w:proofErr w:type="spellEnd"/>
      <w:r w:rsidR="006A14EC" w:rsidRPr="00763075">
        <w:rPr>
          <w:sz w:val="22"/>
          <w:szCs w:val="22"/>
          <w:lang w:val="bg-BG"/>
        </w:rPr>
        <w:t>.</w:t>
      </w:r>
    </w:p>
    <w:p w14:paraId="0A968B46" w14:textId="77777777" w:rsidR="007F7A77" w:rsidRPr="00763075" w:rsidRDefault="007F7A77">
      <w:pPr>
        <w:jc w:val="both"/>
        <w:rPr>
          <w:sz w:val="22"/>
          <w:szCs w:val="22"/>
          <w:lang w:val="bg-BG"/>
        </w:rPr>
      </w:pPr>
    </w:p>
    <w:p w14:paraId="7828C9CC" w14:textId="146B8431" w:rsidR="006A14EC" w:rsidRPr="00763075" w:rsidRDefault="007F7A77">
      <w:pPr>
        <w:jc w:val="both"/>
        <w:rPr>
          <w:sz w:val="22"/>
          <w:szCs w:val="22"/>
          <w:lang w:val="bg-BG"/>
        </w:rPr>
      </w:pPr>
      <w:proofErr w:type="spellStart"/>
      <w:r w:rsidRPr="00763075">
        <w:rPr>
          <w:sz w:val="22"/>
          <w:szCs w:val="22"/>
        </w:rPr>
        <w:t>Хидроксизин</w:t>
      </w:r>
      <w:proofErr w:type="spellEnd"/>
      <w:r w:rsidRPr="00763075">
        <w:rPr>
          <w:sz w:val="22"/>
          <w:szCs w:val="22"/>
          <w:lang w:val="bg-BG"/>
        </w:rPr>
        <w:t xml:space="preserve"> </w:t>
      </w:r>
      <w:proofErr w:type="spellStart"/>
      <w:r w:rsidR="006A14EC" w:rsidRPr="00763075">
        <w:rPr>
          <w:sz w:val="22"/>
          <w:szCs w:val="22"/>
          <w:lang w:val="bg-BG"/>
        </w:rPr>
        <w:t>антаго</w:t>
      </w:r>
      <w:r w:rsidR="006A14D1" w:rsidRPr="00763075">
        <w:rPr>
          <w:sz w:val="22"/>
          <w:szCs w:val="22"/>
          <w:lang w:val="bg-BG"/>
        </w:rPr>
        <w:t>низира</w:t>
      </w:r>
      <w:proofErr w:type="spellEnd"/>
      <w:r w:rsidR="006A14D1" w:rsidRPr="00763075">
        <w:rPr>
          <w:sz w:val="22"/>
          <w:szCs w:val="22"/>
          <w:lang w:val="bg-BG"/>
        </w:rPr>
        <w:t xml:space="preserve"> действието на </w:t>
      </w:r>
      <w:proofErr w:type="spellStart"/>
      <w:r w:rsidR="006A14D1" w:rsidRPr="00763075">
        <w:rPr>
          <w:sz w:val="22"/>
          <w:szCs w:val="22"/>
          <w:lang w:val="bg-BG"/>
        </w:rPr>
        <w:t>бетахистин</w:t>
      </w:r>
      <w:proofErr w:type="spellEnd"/>
      <w:r w:rsidR="006A14EC" w:rsidRPr="00763075">
        <w:rPr>
          <w:sz w:val="22"/>
          <w:szCs w:val="22"/>
          <w:lang w:val="bg-BG"/>
        </w:rPr>
        <w:t xml:space="preserve"> и </w:t>
      </w:r>
      <w:proofErr w:type="spellStart"/>
      <w:r w:rsidR="006A14EC" w:rsidRPr="00763075">
        <w:rPr>
          <w:sz w:val="22"/>
          <w:szCs w:val="22"/>
          <w:lang w:val="bg-BG"/>
        </w:rPr>
        <w:t>антихолинестеразните</w:t>
      </w:r>
      <w:proofErr w:type="spellEnd"/>
      <w:r w:rsidR="006A14EC" w:rsidRPr="00763075">
        <w:rPr>
          <w:sz w:val="22"/>
          <w:szCs w:val="22"/>
          <w:lang w:val="bg-BG"/>
        </w:rPr>
        <w:t xml:space="preserve"> </w:t>
      </w:r>
      <w:r w:rsidR="00656BE2" w:rsidRPr="00763075">
        <w:rPr>
          <w:sz w:val="22"/>
          <w:szCs w:val="22"/>
          <w:lang w:val="bg-BG"/>
        </w:rPr>
        <w:t>лекарства</w:t>
      </w:r>
      <w:r w:rsidR="006A14EC" w:rsidRPr="00763075">
        <w:rPr>
          <w:sz w:val="22"/>
          <w:szCs w:val="22"/>
          <w:lang w:val="bg-BG"/>
        </w:rPr>
        <w:t xml:space="preserve">. </w:t>
      </w:r>
    </w:p>
    <w:p w14:paraId="4FD29D9B" w14:textId="44E5AB9A" w:rsidR="006A14EC" w:rsidRPr="00763075" w:rsidRDefault="006A14EC">
      <w:pPr>
        <w:jc w:val="both"/>
        <w:rPr>
          <w:sz w:val="22"/>
          <w:szCs w:val="22"/>
          <w:lang w:val="bg-BG"/>
        </w:rPr>
      </w:pPr>
      <w:r w:rsidRPr="00763075">
        <w:rPr>
          <w:sz w:val="22"/>
          <w:szCs w:val="22"/>
          <w:lang w:val="bg-BG"/>
        </w:rPr>
        <w:t xml:space="preserve">Лечението трябва да бъде прекъснато </w:t>
      </w:r>
      <w:r w:rsidR="007F7A77" w:rsidRPr="00763075">
        <w:rPr>
          <w:sz w:val="22"/>
          <w:szCs w:val="22"/>
          <w:lang w:val="bg-BG"/>
        </w:rPr>
        <w:t xml:space="preserve">поне </w:t>
      </w:r>
      <w:r w:rsidRPr="00763075">
        <w:rPr>
          <w:sz w:val="22"/>
          <w:szCs w:val="22"/>
          <w:lang w:val="bg-BG"/>
        </w:rPr>
        <w:t>5 дни преди тест</w:t>
      </w:r>
      <w:r w:rsidR="00292D24" w:rsidRPr="00763075">
        <w:rPr>
          <w:sz w:val="22"/>
          <w:szCs w:val="22"/>
          <w:lang w:val="bg-BG"/>
        </w:rPr>
        <w:t xml:space="preserve"> </w:t>
      </w:r>
      <w:r w:rsidRPr="00763075">
        <w:rPr>
          <w:sz w:val="22"/>
          <w:szCs w:val="22"/>
          <w:lang w:val="bg-BG"/>
        </w:rPr>
        <w:t>за алергия или метахолинов бронхиал</w:t>
      </w:r>
      <w:r w:rsidR="007F7A77" w:rsidRPr="00763075">
        <w:rPr>
          <w:sz w:val="22"/>
          <w:szCs w:val="22"/>
          <w:lang w:val="bg-BG"/>
        </w:rPr>
        <w:t>е</w:t>
      </w:r>
      <w:r w:rsidRPr="00763075">
        <w:rPr>
          <w:sz w:val="22"/>
          <w:szCs w:val="22"/>
          <w:lang w:val="bg-BG"/>
        </w:rPr>
        <w:t xml:space="preserve">н </w:t>
      </w:r>
      <w:r w:rsidR="007F7A77" w:rsidRPr="00763075">
        <w:rPr>
          <w:sz w:val="22"/>
          <w:szCs w:val="22"/>
          <w:lang w:val="bg-BG"/>
        </w:rPr>
        <w:t>тест</w:t>
      </w:r>
      <w:r w:rsidR="00292D24" w:rsidRPr="00763075">
        <w:rPr>
          <w:sz w:val="22"/>
          <w:szCs w:val="22"/>
          <w:lang w:val="bg-BG"/>
        </w:rPr>
        <w:t>,</w:t>
      </w:r>
      <w:r w:rsidR="007F7A77" w:rsidRPr="00763075">
        <w:rPr>
          <w:sz w:val="22"/>
          <w:szCs w:val="22"/>
          <w:lang w:val="bg-BG"/>
        </w:rPr>
        <w:t xml:space="preserve"> за</w:t>
      </w:r>
      <w:r w:rsidR="00810FF1" w:rsidRPr="00763075">
        <w:rPr>
          <w:sz w:val="22"/>
          <w:szCs w:val="22"/>
          <w:lang w:val="bg-BG"/>
        </w:rPr>
        <w:t xml:space="preserve"> </w:t>
      </w:r>
      <w:r w:rsidR="00381C0E" w:rsidRPr="00763075">
        <w:rPr>
          <w:sz w:val="22"/>
          <w:szCs w:val="22"/>
          <w:lang w:val="bg-BG"/>
        </w:rPr>
        <w:t xml:space="preserve">да се </w:t>
      </w:r>
      <w:r w:rsidRPr="00763075">
        <w:rPr>
          <w:sz w:val="22"/>
          <w:szCs w:val="22"/>
          <w:lang w:val="bg-BG"/>
        </w:rPr>
        <w:t>изб</w:t>
      </w:r>
      <w:r w:rsidR="00381C0E" w:rsidRPr="00763075">
        <w:rPr>
          <w:sz w:val="22"/>
          <w:szCs w:val="22"/>
          <w:lang w:val="bg-BG"/>
        </w:rPr>
        <w:t>е</w:t>
      </w:r>
      <w:r w:rsidRPr="00763075">
        <w:rPr>
          <w:sz w:val="22"/>
          <w:szCs w:val="22"/>
          <w:lang w:val="bg-BG"/>
        </w:rPr>
        <w:t xml:space="preserve">гне </w:t>
      </w:r>
      <w:r w:rsidR="007F7A77" w:rsidRPr="00763075">
        <w:rPr>
          <w:sz w:val="22"/>
          <w:szCs w:val="22"/>
          <w:lang w:val="bg-BG"/>
        </w:rPr>
        <w:t xml:space="preserve">повлияване </w:t>
      </w:r>
      <w:r w:rsidRPr="00763075">
        <w:rPr>
          <w:sz w:val="22"/>
          <w:szCs w:val="22"/>
          <w:lang w:val="bg-BG"/>
        </w:rPr>
        <w:t>върху резултатите</w:t>
      </w:r>
      <w:r w:rsidR="007F7A77" w:rsidRPr="00763075">
        <w:rPr>
          <w:sz w:val="22"/>
          <w:szCs w:val="22"/>
          <w:lang w:val="bg-BG"/>
        </w:rPr>
        <w:t xml:space="preserve"> от тестовете</w:t>
      </w:r>
      <w:r w:rsidRPr="00763075">
        <w:rPr>
          <w:sz w:val="22"/>
          <w:szCs w:val="22"/>
          <w:lang w:val="bg-BG"/>
        </w:rPr>
        <w:t>.</w:t>
      </w:r>
    </w:p>
    <w:p w14:paraId="4C69BB72" w14:textId="77777777" w:rsidR="007F7A77" w:rsidRPr="00763075" w:rsidRDefault="007F7A77">
      <w:pPr>
        <w:jc w:val="both"/>
        <w:rPr>
          <w:sz w:val="22"/>
          <w:szCs w:val="22"/>
          <w:lang w:val="bg-BG"/>
        </w:rPr>
      </w:pPr>
    </w:p>
    <w:p w14:paraId="5DF51EF2" w14:textId="493C7BFC" w:rsidR="006A14EC" w:rsidRPr="00763075" w:rsidRDefault="006A14EC">
      <w:pPr>
        <w:jc w:val="both"/>
        <w:rPr>
          <w:sz w:val="22"/>
          <w:szCs w:val="22"/>
          <w:lang w:val="bg-BG"/>
        </w:rPr>
      </w:pPr>
      <w:r w:rsidRPr="00763075">
        <w:rPr>
          <w:sz w:val="22"/>
          <w:szCs w:val="22"/>
          <w:lang w:val="bg-BG"/>
        </w:rPr>
        <w:t>Трябва да се избягва и едновременното прилагане на</w:t>
      </w:r>
      <w:r w:rsidR="00810FF1" w:rsidRPr="00763075">
        <w:rPr>
          <w:sz w:val="22"/>
          <w:szCs w:val="22"/>
          <w:lang w:val="bg-BG"/>
        </w:rPr>
        <w:t xml:space="preserve"> </w:t>
      </w:r>
      <w:proofErr w:type="spellStart"/>
      <w:r w:rsidR="00B81B81" w:rsidRPr="00763075">
        <w:rPr>
          <w:sz w:val="22"/>
          <w:szCs w:val="22"/>
        </w:rPr>
        <w:t>хидроксизин</w:t>
      </w:r>
      <w:proofErr w:type="spellEnd"/>
      <w:r w:rsidRPr="00763075">
        <w:rPr>
          <w:sz w:val="22"/>
          <w:szCs w:val="22"/>
          <w:lang w:val="bg-BG"/>
        </w:rPr>
        <w:t xml:space="preserve"> с МАО </w:t>
      </w:r>
      <w:proofErr w:type="spellStart"/>
      <w:r w:rsidRPr="00763075">
        <w:rPr>
          <w:sz w:val="22"/>
          <w:szCs w:val="22"/>
          <w:lang w:val="bg-BG"/>
        </w:rPr>
        <w:t>инхибитори</w:t>
      </w:r>
      <w:proofErr w:type="spellEnd"/>
      <w:r w:rsidRPr="00763075">
        <w:rPr>
          <w:sz w:val="22"/>
          <w:szCs w:val="22"/>
          <w:lang w:val="bg-BG"/>
        </w:rPr>
        <w:t>.</w:t>
      </w:r>
    </w:p>
    <w:p w14:paraId="0F48D50A" w14:textId="77777777" w:rsidR="007F7A77" w:rsidRPr="00763075" w:rsidRDefault="007F7A77">
      <w:pPr>
        <w:jc w:val="both"/>
        <w:rPr>
          <w:sz w:val="22"/>
          <w:szCs w:val="22"/>
          <w:lang w:val="bg-BG"/>
        </w:rPr>
      </w:pPr>
    </w:p>
    <w:p w14:paraId="1FB10960" w14:textId="6EA1E668" w:rsidR="006A14EC" w:rsidRPr="00763075" w:rsidRDefault="00B81B81">
      <w:pPr>
        <w:jc w:val="both"/>
        <w:rPr>
          <w:sz w:val="22"/>
          <w:szCs w:val="22"/>
          <w:lang w:val="bg-BG"/>
        </w:rPr>
      </w:pPr>
      <w:proofErr w:type="spellStart"/>
      <w:r w:rsidRPr="00763075">
        <w:rPr>
          <w:sz w:val="22"/>
          <w:szCs w:val="22"/>
        </w:rPr>
        <w:t>Хидроксизин</w:t>
      </w:r>
      <w:proofErr w:type="spellEnd"/>
      <w:r w:rsidRPr="00763075">
        <w:rPr>
          <w:sz w:val="22"/>
          <w:szCs w:val="22"/>
          <w:lang w:val="bg-BG"/>
        </w:rPr>
        <w:t xml:space="preserve"> </w:t>
      </w:r>
      <w:r w:rsidR="006A14EC" w:rsidRPr="00763075">
        <w:rPr>
          <w:sz w:val="22"/>
          <w:szCs w:val="22"/>
          <w:lang w:val="bg-BG"/>
        </w:rPr>
        <w:t xml:space="preserve">противодейства на </w:t>
      </w:r>
      <w:proofErr w:type="spellStart"/>
      <w:r w:rsidRPr="00763075">
        <w:rPr>
          <w:sz w:val="22"/>
          <w:szCs w:val="22"/>
          <w:lang w:val="bg-BG"/>
        </w:rPr>
        <w:t>подтискащото</w:t>
      </w:r>
      <w:proofErr w:type="spellEnd"/>
      <w:r w:rsidRPr="00763075">
        <w:rPr>
          <w:sz w:val="22"/>
          <w:szCs w:val="22"/>
          <w:lang w:val="bg-BG"/>
        </w:rPr>
        <w:t xml:space="preserve"> действие</w:t>
      </w:r>
      <w:r w:rsidR="006A14EC" w:rsidRPr="00763075">
        <w:rPr>
          <w:sz w:val="22"/>
          <w:szCs w:val="22"/>
          <w:lang w:val="bg-BG"/>
        </w:rPr>
        <w:t xml:space="preserve"> на адреналина.</w:t>
      </w:r>
    </w:p>
    <w:p w14:paraId="43597DC6" w14:textId="77777777" w:rsidR="00B81B81" w:rsidRPr="00763075" w:rsidRDefault="00B81B81">
      <w:pPr>
        <w:jc w:val="both"/>
        <w:rPr>
          <w:sz w:val="22"/>
          <w:szCs w:val="22"/>
          <w:lang w:val="bg-BG"/>
        </w:rPr>
      </w:pPr>
    </w:p>
    <w:p w14:paraId="65C16B15" w14:textId="541118E5" w:rsidR="006A14EC" w:rsidRPr="00763075" w:rsidRDefault="006A14EC">
      <w:pPr>
        <w:jc w:val="both"/>
        <w:rPr>
          <w:sz w:val="22"/>
          <w:szCs w:val="22"/>
          <w:lang w:val="bg-BG"/>
        </w:rPr>
      </w:pPr>
      <w:r w:rsidRPr="00763075">
        <w:rPr>
          <w:sz w:val="22"/>
          <w:szCs w:val="22"/>
          <w:lang w:val="bg-BG"/>
        </w:rPr>
        <w:t>Хидроксизин антагонизира антиконвулсивното действие на фенитоин при плъхове.</w:t>
      </w:r>
    </w:p>
    <w:p w14:paraId="5B3AF968" w14:textId="77777777" w:rsidR="00B81B81" w:rsidRPr="00763075" w:rsidRDefault="00B81B81">
      <w:pPr>
        <w:jc w:val="both"/>
        <w:rPr>
          <w:sz w:val="22"/>
          <w:szCs w:val="22"/>
          <w:lang w:val="bg-BG"/>
        </w:rPr>
      </w:pPr>
    </w:p>
    <w:p w14:paraId="48360235" w14:textId="032C81CA" w:rsidR="006A14EC" w:rsidRPr="00763075" w:rsidRDefault="006A14EC">
      <w:pPr>
        <w:jc w:val="both"/>
        <w:rPr>
          <w:sz w:val="22"/>
          <w:szCs w:val="22"/>
          <w:lang w:val="bg-BG"/>
        </w:rPr>
      </w:pPr>
      <w:r w:rsidRPr="00763075">
        <w:rPr>
          <w:sz w:val="22"/>
          <w:szCs w:val="22"/>
          <w:lang w:val="bg-BG"/>
        </w:rPr>
        <w:t xml:space="preserve">Циметидин </w:t>
      </w:r>
      <w:r w:rsidR="009A2C02" w:rsidRPr="00763075">
        <w:rPr>
          <w:sz w:val="22"/>
          <w:szCs w:val="22"/>
          <w:lang w:val="bg-BG"/>
        </w:rPr>
        <w:t>600 </w:t>
      </w:r>
      <w:r w:rsidRPr="00763075">
        <w:rPr>
          <w:sz w:val="22"/>
          <w:szCs w:val="22"/>
          <w:lang w:val="bg-BG"/>
        </w:rPr>
        <w:t xml:space="preserve">mg, два пъти дневно намалява серумните концентрации на хидроксизин с 36% и </w:t>
      </w:r>
      <w:r w:rsidR="00D11A74" w:rsidRPr="00763075">
        <w:rPr>
          <w:sz w:val="22"/>
          <w:szCs w:val="22"/>
          <w:lang w:val="bg-BG"/>
        </w:rPr>
        <w:t xml:space="preserve">намалява </w:t>
      </w:r>
      <w:r w:rsidRPr="00763075">
        <w:rPr>
          <w:sz w:val="22"/>
          <w:szCs w:val="22"/>
          <w:lang w:val="bg-BG"/>
        </w:rPr>
        <w:t xml:space="preserve">пиковите концентрации на метаболита цетиризин с 20%. </w:t>
      </w:r>
    </w:p>
    <w:p w14:paraId="007EFAE1" w14:textId="77777777" w:rsidR="00B81B81" w:rsidRPr="00763075" w:rsidRDefault="00B81B81">
      <w:pPr>
        <w:jc w:val="both"/>
        <w:rPr>
          <w:sz w:val="22"/>
          <w:szCs w:val="22"/>
          <w:lang w:val="bg-BG"/>
        </w:rPr>
      </w:pPr>
    </w:p>
    <w:p w14:paraId="5AFF9593" w14:textId="7481F032" w:rsidR="006A14EC" w:rsidRPr="00763075" w:rsidRDefault="00B81B81">
      <w:pPr>
        <w:jc w:val="both"/>
        <w:rPr>
          <w:sz w:val="22"/>
          <w:szCs w:val="22"/>
          <w:lang w:val="bg-BG"/>
        </w:rPr>
      </w:pPr>
      <w:proofErr w:type="spellStart"/>
      <w:r w:rsidRPr="00763075">
        <w:rPr>
          <w:sz w:val="22"/>
          <w:szCs w:val="22"/>
        </w:rPr>
        <w:t>Хидроксизин</w:t>
      </w:r>
      <w:proofErr w:type="spellEnd"/>
      <w:r w:rsidRPr="00763075">
        <w:rPr>
          <w:sz w:val="22"/>
          <w:szCs w:val="22"/>
          <w:lang w:val="bg-BG"/>
        </w:rPr>
        <w:t xml:space="preserve"> </w:t>
      </w:r>
      <w:r w:rsidR="006A14EC" w:rsidRPr="00763075">
        <w:rPr>
          <w:sz w:val="22"/>
          <w:szCs w:val="22"/>
          <w:lang w:val="bg-BG"/>
        </w:rPr>
        <w:t xml:space="preserve">е </w:t>
      </w:r>
      <w:proofErr w:type="spellStart"/>
      <w:r w:rsidR="006A14EC" w:rsidRPr="00763075">
        <w:rPr>
          <w:sz w:val="22"/>
          <w:szCs w:val="22"/>
          <w:lang w:val="bg-BG"/>
        </w:rPr>
        <w:t>инхибитор</w:t>
      </w:r>
      <w:proofErr w:type="spellEnd"/>
      <w:r w:rsidR="006A14EC" w:rsidRPr="00763075">
        <w:rPr>
          <w:sz w:val="22"/>
          <w:szCs w:val="22"/>
          <w:lang w:val="bg-BG"/>
        </w:rPr>
        <w:t xml:space="preserve"> на </w:t>
      </w:r>
      <w:r w:rsidR="00345025" w:rsidRPr="00763075">
        <w:rPr>
          <w:sz w:val="22"/>
          <w:szCs w:val="22"/>
          <w:lang w:val="bg-BG"/>
        </w:rPr>
        <w:t>CYP</w:t>
      </w:r>
      <w:r w:rsidR="006A14EC" w:rsidRPr="00763075">
        <w:rPr>
          <w:sz w:val="22"/>
          <w:szCs w:val="22"/>
          <w:lang w:val="bg-BG"/>
        </w:rPr>
        <w:t>2D6 (</w:t>
      </w:r>
      <w:proofErr w:type="spellStart"/>
      <w:r w:rsidR="006A14EC" w:rsidRPr="00763075">
        <w:rPr>
          <w:sz w:val="22"/>
          <w:szCs w:val="22"/>
          <w:lang w:val="bg-BG"/>
        </w:rPr>
        <w:t>Ki</w:t>
      </w:r>
      <w:proofErr w:type="spellEnd"/>
      <w:r w:rsidR="006A14EC" w:rsidRPr="00763075">
        <w:rPr>
          <w:sz w:val="22"/>
          <w:szCs w:val="22"/>
          <w:lang w:val="bg-BG"/>
        </w:rPr>
        <w:t>: 3</w:t>
      </w:r>
      <w:r w:rsidR="000B5DC2" w:rsidRPr="00763075">
        <w:rPr>
          <w:sz w:val="22"/>
          <w:szCs w:val="22"/>
          <w:lang w:val="bg-BG"/>
        </w:rPr>
        <w:t>,9 </w:t>
      </w:r>
      <w:r w:rsidR="006A14EC" w:rsidRPr="00763075">
        <w:rPr>
          <w:sz w:val="22"/>
          <w:szCs w:val="22"/>
          <w:lang w:val="bg-BG"/>
        </w:rPr>
        <w:sym w:font="Symbol" w:char="F06D"/>
      </w:r>
      <w:r w:rsidR="006A14EC" w:rsidRPr="00763075">
        <w:rPr>
          <w:sz w:val="22"/>
          <w:szCs w:val="22"/>
          <w:lang w:val="bg-BG"/>
        </w:rPr>
        <w:t>M; 1</w:t>
      </w:r>
      <w:r w:rsidR="000B5DC2" w:rsidRPr="00763075">
        <w:rPr>
          <w:sz w:val="22"/>
          <w:szCs w:val="22"/>
          <w:lang w:val="bg-BG"/>
        </w:rPr>
        <w:t>,</w:t>
      </w:r>
      <w:r w:rsidR="006A14EC" w:rsidRPr="00763075">
        <w:rPr>
          <w:sz w:val="22"/>
          <w:szCs w:val="22"/>
          <w:lang w:val="bg-BG"/>
        </w:rPr>
        <w:t>7</w:t>
      </w:r>
      <w:r w:rsidR="000B5DC2" w:rsidRPr="00763075">
        <w:rPr>
          <w:sz w:val="22"/>
          <w:szCs w:val="22"/>
          <w:lang w:val="bg-BG"/>
        </w:rPr>
        <w:t> </w:t>
      </w:r>
      <w:r w:rsidR="006A14EC" w:rsidRPr="00763075">
        <w:rPr>
          <w:sz w:val="22"/>
          <w:szCs w:val="22"/>
          <w:lang w:val="bg-BG"/>
        </w:rPr>
        <w:sym w:font="Symbol" w:char="F06D"/>
      </w:r>
      <w:r w:rsidR="006A14EC" w:rsidRPr="00763075">
        <w:rPr>
          <w:sz w:val="22"/>
          <w:szCs w:val="22"/>
          <w:lang w:val="bg-BG"/>
        </w:rPr>
        <w:t>g/ml) и във високи дози може да доведе до</w:t>
      </w:r>
      <w:r w:rsidR="00810FF1" w:rsidRPr="00763075">
        <w:rPr>
          <w:sz w:val="22"/>
          <w:szCs w:val="22"/>
          <w:lang w:val="bg-BG"/>
        </w:rPr>
        <w:t xml:space="preserve"> </w:t>
      </w:r>
      <w:r w:rsidR="006A14EC" w:rsidRPr="00763075">
        <w:rPr>
          <w:sz w:val="22"/>
          <w:szCs w:val="22"/>
          <w:lang w:val="bg-BG"/>
        </w:rPr>
        <w:t xml:space="preserve">лекарствени взаимодействия със субстратите на CYP2D6. </w:t>
      </w:r>
    </w:p>
    <w:p w14:paraId="5F9715ED" w14:textId="77777777" w:rsidR="00B81B81" w:rsidRPr="00290B20" w:rsidRDefault="00B81B81">
      <w:pPr>
        <w:jc w:val="both"/>
        <w:rPr>
          <w:sz w:val="22"/>
          <w:szCs w:val="22"/>
          <w:lang w:val="bg-BG"/>
        </w:rPr>
      </w:pPr>
    </w:p>
    <w:p w14:paraId="1A1A1EF1" w14:textId="257F35E5" w:rsidR="004D69B0" w:rsidRPr="00290B20" w:rsidRDefault="00B81B81">
      <w:pPr>
        <w:jc w:val="both"/>
        <w:rPr>
          <w:sz w:val="22"/>
          <w:szCs w:val="22"/>
          <w:lang w:val="bg-BG"/>
        </w:rPr>
      </w:pPr>
      <w:proofErr w:type="spellStart"/>
      <w:r w:rsidRPr="00290B20">
        <w:rPr>
          <w:sz w:val="22"/>
          <w:szCs w:val="22"/>
        </w:rPr>
        <w:t>Хидроксизин</w:t>
      </w:r>
      <w:proofErr w:type="spellEnd"/>
      <w:r w:rsidRPr="00290B20">
        <w:rPr>
          <w:sz w:val="22"/>
          <w:szCs w:val="22"/>
          <w:lang w:val="bg-BG"/>
        </w:rPr>
        <w:t xml:space="preserve"> </w:t>
      </w:r>
      <w:r w:rsidR="006A14EC" w:rsidRPr="00290B20">
        <w:rPr>
          <w:sz w:val="22"/>
          <w:szCs w:val="22"/>
          <w:lang w:val="bg-BG"/>
        </w:rPr>
        <w:t xml:space="preserve">няма </w:t>
      </w:r>
      <w:proofErr w:type="spellStart"/>
      <w:r w:rsidR="006A14EC" w:rsidRPr="00290B20">
        <w:rPr>
          <w:sz w:val="22"/>
          <w:szCs w:val="22"/>
          <w:lang w:val="bg-BG"/>
        </w:rPr>
        <w:t>инхибиращ</w:t>
      </w:r>
      <w:proofErr w:type="spellEnd"/>
      <w:r w:rsidR="006A14EC" w:rsidRPr="00290B20">
        <w:rPr>
          <w:sz w:val="22"/>
          <w:szCs w:val="22"/>
          <w:lang w:val="bg-BG"/>
        </w:rPr>
        <w:t xml:space="preserve"> ефект </w:t>
      </w:r>
      <w:r w:rsidRPr="00290B20">
        <w:rPr>
          <w:sz w:val="22"/>
          <w:szCs w:val="22"/>
          <w:lang w:val="bg-BG"/>
        </w:rPr>
        <w:t>на</w:t>
      </w:r>
      <w:r w:rsidR="000B5DC2" w:rsidRPr="00763075">
        <w:rPr>
          <w:sz w:val="22"/>
          <w:szCs w:val="22"/>
          <w:lang w:val="bg-BG"/>
        </w:rPr>
        <w:t> 100 </w:t>
      </w:r>
      <w:r w:rsidR="004D69B0" w:rsidRPr="00763075">
        <w:rPr>
          <w:sz w:val="22"/>
          <w:szCs w:val="22"/>
          <w:lang w:val="bg-BG"/>
        </w:rPr>
        <w:sym w:font="Symbol" w:char="F06D"/>
      </w:r>
      <w:r w:rsidR="004D69B0" w:rsidRPr="00763075">
        <w:rPr>
          <w:sz w:val="22"/>
          <w:szCs w:val="22"/>
          <w:lang w:val="bg-BG"/>
        </w:rPr>
        <w:t xml:space="preserve">M на </w:t>
      </w:r>
      <w:proofErr w:type="spellStart"/>
      <w:r w:rsidR="006A14EC" w:rsidRPr="00763075">
        <w:rPr>
          <w:sz w:val="22"/>
          <w:szCs w:val="22"/>
          <w:lang w:val="bg-BG"/>
        </w:rPr>
        <w:t>изоформите</w:t>
      </w:r>
      <w:proofErr w:type="spellEnd"/>
      <w:r w:rsidR="006A14EC" w:rsidRPr="00763075">
        <w:rPr>
          <w:sz w:val="22"/>
          <w:szCs w:val="22"/>
          <w:lang w:val="bg-BG"/>
        </w:rPr>
        <w:t xml:space="preserve"> 1А1 и 1А6</w:t>
      </w:r>
      <w:r w:rsidR="00810FF1" w:rsidRPr="00763075">
        <w:rPr>
          <w:sz w:val="22"/>
          <w:szCs w:val="22"/>
          <w:lang w:val="bg-BG"/>
        </w:rPr>
        <w:t xml:space="preserve"> </w:t>
      </w:r>
      <w:r w:rsidR="006A14EC" w:rsidRPr="00763075">
        <w:rPr>
          <w:sz w:val="22"/>
          <w:szCs w:val="22"/>
          <w:lang w:val="bg-BG"/>
        </w:rPr>
        <w:t xml:space="preserve">на </w:t>
      </w:r>
      <w:proofErr w:type="spellStart"/>
      <w:r w:rsidR="006A14EC" w:rsidRPr="00763075">
        <w:rPr>
          <w:sz w:val="22"/>
          <w:szCs w:val="22"/>
          <w:lang w:val="bg-BG"/>
        </w:rPr>
        <w:t>UDP-</w:t>
      </w:r>
      <w:r w:rsidR="00471B73" w:rsidRPr="00763075">
        <w:rPr>
          <w:sz w:val="22"/>
          <w:szCs w:val="22"/>
          <w:lang w:val="bg-BG"/>
        </w:rPr>
        <w:t>глюкуронил</w:t>
      </w:r>
      <w:proofErr w:type="spellEnd"/>
      <w:r w:rsidR="00471B73" w:rsidRPr="00763075">
        <w:rPr>
          <w:sz w:val="22"/>
          <w:szCs w:val="22"/>
          <w:lang w:val="bg-BG"/>
        </w:rPr>
        <w:t xml:space="preserve"> </w:t>
      </w:r>
      <w:proofErr w:type="spellStart"/>
      <w:r w:rsidR="00471B73" w:rsidRPr="00763075">
        <w:rPr>
          <w:sz w:val="22"/>
          <w:szCs w:val="22"/>
          <w:lang w:val="bg-BG"/>
        </w:rPr>
        <w:t>трансфераза</w:t>
      </w:r>
      <w:proofErr w:type="spellEnd"/>
      <w:r w:rsidR="006A14EC" w:rsidRPr="00763075">
        <w:rPr>
          <w:sz w:val="22"/>
          <w:szCs w:val="22"/>
          <w:lang w:val="bg-BG"/>
        </w:rPr>
        <w:t xml:space="preserve"> в чернодробните </w:t>
      </w:r>
      <w:proofErr w:type="spellStart"/>
      <w:r w:rsidR="006A14EC" w:rsidRPr="00763075">
        <w:rPr>
          <w:sz w:val="22"/>
          <w:szCs w:val="22"/>
          <w:lang w:val="bg-BG"/>
        </w:rPr>
        <w:t>микрозоми</w:t>
      </w:r>
      <w:proofErr w:type="spellEnd"/>
      <w:r w:rsidR="006A14EC" w:rsidRPr="00763075">
        <w:rPr>
          <w:sz w:val="22"/>
          <w:szCs w:val="22"/>
          <w:lang w:val="bg-BG"/>
        </w:rPr>
        <w:t xml:space="preserve"> на човека. Той инхибира цитохром P</w:t>
      </w:r>
      <w:r w:rsidR="006A14EC" w:rsidRPr="00763075">
        <w:rPr>
          <w:sz w:val="22"/>
          <w:szCs w:val="22"/>
          <w:vertAlign w:val="subscript"/>
          <w:lang w:val="bg-BG"/>
        </w:rPr>
        <w:t>450</w:t>
      </w:r>
      <w:r w:rsidR="006A14EC" w:rsidRPr="00763075">
        <w:rPr>
          <w:sz w:val="22"/>
          <w:szCs w:val="22"/>
          <w:lang w:val="bg-BG"/>
        </w:rPr>
        <w:t xml:space="preserve"> 2C9, 2C19 и 3A4 изоформите</w:t>
      </w:r>
      <w:r w:rsidRPr="00290B20">
        <w:rPr>
          <w:sz w:val="22"/>
          <w:szCs w:val="22"/>
          <w:lang w:val="bg-BG"/>
        </w:rPr>
        <w:t>,</w:t>
      </w:r>
      <w:r w:rsidR="006A14EC" w:rsidRPr="00290B20">
        <w:rPr>
          <w:sz w:val="22"/>
          <w:szCs w:val="22"/>
          <w:lang w:val="bg-BG"/>
        </w:rPr>
        <w:t xml:space="preserve"> при концентрации</w:t>
      </w:r>
      <w:r w:rsidR="00810FF1" w:rsidRPr="00290B20">
        <w:rPr>
          <w:sz w:val="22"/>
          <w:szCs w:val="22"/>
          <w:lang w:val="bg-BG"/>
        </w:rPr>
        <w:t xml:space="preserve"> </w:t>
      </w:r>
      <w:r w:rsidR="006A14EC" w:rsidRPr="00290B20">
        <w:rPr>
          <w:sz w:val="22"/>
          <w:szCs w:val="22"/>
          <w:lang w:val="bg-BG"/>
        </w:rPr>
        <w:t>(IC</w:t>
      </w:r>
      <w:r w:rsidR="006A14EC" w:rsidRPr="00290B20">
        <w:rPr>
          <w:sz w:val="22"/>
          <w:szCs w:val="22"/>
          <w:vertAlign w:val="subscript"/>
          <w:lang w:val="bg-BG"/>
        </w:rPr>
        <w:t>50</w:t>
      </w:r>
      <w:r w:rsidR="006A14EC" w:rsidRPr="00290B20">
        <w:rPr>
          <w:sz w:val="22"/>
          <w:szCs w:val="22"/>
          <w:lang w:val="bg-BG"/>
        </w:rPr>
        <w:t xml:space="preserve"> : </w:t>
      </w:r>
      <w:r w:rsidR="00345025" w:rsidRPr="00763075">
        <w:rPr>
          <w:sz w:val="22"/>
          <w:szCs w:val="22"/>
          <w:lang w:val="bg-BG"/>
        </w:rPr>
        <w:t xml:space="preserve">103 </w:t>
      </w:r>
      <w:r w:rsidR="006A14EC" w:rsidRPr="00763075">
        <w:rPr>
          <w:sz w:val="22"/>
          <w:szCs w:val="22"/>
          <w:lang w:val="bg-BG"/>
        </w:rPr>
        <w:t xml:space="preserve">до </w:t>
      </w:r>
      <w:r w:rsidR="000B5DC2" w:rsidRPr="00763075">
        <w:rPr>
          <w:sz w:val="22"/>
          <w:szCs w:val="22"/>
          <w:lang w:val="bg-BG"/>
        </w:rPr>
        <w:t> 140 </w:t>
      </w:r>
      <w:r w:rsidR="006A14EC" w:rsidRPr="00763075">
        <w:rPr>
          <w:sz w:val="22"/>
          <w:szCs w:val="22"/>
          <w:lang w:val="bg-BG"/>
        </w:rPr>
        <w:sym w:font="Symbol" w:char="F06D"/>
      </w:r>
      <w:r w:rsidR="006A14EC" w:rsidRPr="00763075">
        <w:rPr>
          <w:sz w:val="22"/>
          <w:szCs w:val="22"/>
          <w:lang w:val="bg-BG"/>
        </w:rPr>
        <w:t xml:space="preserve">M; </w:t>
      </w:r>
      <w:r w:rsidR="00345025" w:rsidRPr="00763075">
        <w:rPr>
          <w:sz w:val="22"/>
          <w:szCs w:val="22"/>
          <w:lang w:val="bg-BG"/>
        </w:rPr>
        <w:t xml:space="preserve">46 </w:t>
      </w:r>
      <w:r w:rsidR="006A14EC" w:rsidRPr="00763075">
        <w:rPr>
          <w:sz w:val="22"/>
          <w:szCs w:val="22"/>
          <w:lang w:val="bg-BG"/>
        </w:rPr>
        <w:t xml:space="preserve">до </w:t>
      </w:r>
      <w:r w:rsidR="000B5DC2" w:rsidRPr="00763075">
        <w:rPr>
          <w:sz w:val="22"/>
          <w:szCs w:val="22"/>
          <w:lang w:val="bg-BG"/>
        </w:rPr>
        <w:t>52 </w:t>
      </w:r>
      <w:r w:rsidR="006A14EC" w:rsidRPr="00763075">
        <w:rPr>
          <w:sz w:val="22"/>
          <w:szCs w:val="22"/>
          <w:lang w:val="bg-BG"/>
        </w:rPr>
        <w:sym w:font="Symbol" w:char="F06D"/>
      </w:r>
      <w:r w:rsidR="006A14EC" w:rsidRPr="00763075">
        <w:rPr>
          <w:sz w:val="22"/>
          <w:szCs w:val="22"/>
          <w:lang w:val="bg-BG"/>
        </w:rPr>
        <w:t xml:space="preserve">g/ml) </w:t>
      </w:r>
      <w:r w:rsidR="00345025" w:rsidRPr="00763075">
        <w:rPr>
          <w:sz w:val="22"/>
          <w:szCs w:val="22"/>
          <w:lang w:val="bg-BG"/>
        </w:rPr>
        <w:t xml:space="preserve">значително </w:t>
      </w:r>
      <w:r w:rsidR="006A14EC" w:rsidRPr="00763075">
        <w:rPr>
          <w:sz w:val="22"/>
          <w:szCs w:val="22"/>
          <w:lang w:val="bg-BG"/>
        </w:rPr>
        <w:t xml:space="preserve">над пиковите плазмени концентрации. </w:t>
      </w:r>
      <w:r w:rsidR="004D69B0" w:rsidRPr="00763075">
        <w:rPr>
          <w:sz w:val="22"/>
          <w:szCs w:val="22"/>
          <w:lang w:val="bg-BG"/>
        </w:rPr>
        <w:t xml:space="preserve">Ето защо, </w:t>
      </w:r>
      <w:proofErr w:type="spellStart"/>
      <w:r w:rsidRPr="00763075">
        <w:rPr>
          <w:sz w:val="22"/>
          <w:szCs w:val="22"/>
        </w:rPr>
        <w:t>хидроксизин</w:t>
      </w:r>
      <w:proofErr w:type="spellEnd"/>
      <w:r w:rsidR="004D0E1C" w:rsidRPr="00763075">
        <w:rPr>
          <w:b/>
          <w:i/>
          <w:sz w:val="22"/>
          <w:szCs w:val="22"/>
          <w:lang w:val="bg-BG"/>
        </w:rPr>
        <w:t xml:space="preserve"> </w:t>
      </w:r>
      <w:r w:rsidR="00642781" w:rsidRPr="00170DBA">
        <w:rPr>
          <w:sz w:val="22"/>
          <w:szCs w:val="22"/>
          <w:lang w:val="bg-BG"/>
        </w:rPr>
        <w:t xml:space="preserve">е малко вероятно да </w:t>
      </w:r>
      <w:r w:rsidR="004D69B0" w:rsidRPr="00274909">
        <w:rPr>
          <w:sz w:val="22"/>
          <w:szCs w:val="22"/>
          <w:lang w:val="bg-BG"/>
        </w:rPr>
        <w:t>наруш</w:t>
      </w:r>
      <w:r w:rsidR="00642781" w:rsidRPr="00274909">
        <w:rPr>
          <w:sz w:val="22"/>
          <w:szCs w:val="22"/>
          <w:lang w:val="bg-BG"/>
        </w:rPr>
        <w:t>и</w:t>
      </w:r>
      <w:r w:rsidR="004D69B0" w:rsidRPr="00290B20">
        <w:rPr>
          <w:sz w:val="22"/>
          <w:szCs w:val="22"/>
          <w:lang w:val="bg-BG"/>
        </w:rPr>
        <w:t xml:space="preserve"> метаболизма на лекарствата, субстрати на тези ензими.</w:t>
      </w:r>
    </w:p>
    <w:p w14:paraId="7B3CB579" w14:textId="77777777" w:rsidR="00B81B81" w:rsidRPr="00290B20" w:rsidRDefault="00B81B81">
      <w:pPr>
        <w:jc w:val="both"/>
        <w:rPr>
          <w:sz w:val="22"/>
          <w:szCs w:val="22"/>
          <w:lang w:val="bg-BG"/>
        </w:rPr>
      </w:pPr>
    </w:p>
    <w:p w14:paraId="7721C4A9" w14:textId="3E0FD369" w:rsidR="006A14EC" w:rsidRPr="00290B20" w:rsidRDefault="006A14EC">
      <w:pPr>
        <w:jc w:val="both"/>
        <w:rPr>
          <w:sz w:val="22"/>
          <w:szCs w:val="22"/>
          <w:lang w:val="bg-BG"/>
        </w:rPr>
      </w:pPr>
      <w:r w:rsidRPr="00290B20">
        <w:rPr>
          <w:sz w:val="22"/>
          <w:szCs w:val="22"/>
          <w:lang w:val="bg-BG"/>
        </w:rPr>
        <w:t xml:space="preserve">Метаболитът цетиризин няма инхибиращ ефект </w:t>
      </w:r>
      <w:r w:rsidR="00B81B81" w:rsidRPr="00290B20">
        <w:rPr>
          <w:sz w:val="22"/>
          <w:szCs w:val="22"/>
          <w:lang w:val="bg-BG"/>
        </w:rPr>
        <w:t>на</w:t>
      </w:r>
      <w:r w:rsidR="00B81B81" w:rsidRPr="00763075">
        <w:rPr>
          <w:sz w:val="22"/>
          <w:szCs w:val="22"/>
          <w:lang w:val="bg-BG"/>
        </w:rPr>
        <w:t xml:space="preserve"> </w:t>
      </w:r>
      <w:r w:rsidR="000B5DC2" w:rsidRPr="00763075">
        <w:rPr>
          <w:sz w:val="22"/>
          <w:szCs w:val="22"/>
          <w:lang w:val="bg-BG"/>
        </w:rPr>
        <w:t> 100 </w:t>
      </w:r>
      <w:r w:rsidR="004D69B0" w:rsidRPr="00763075">
        <w:rPr>
          <w:sz w:val="22"/>
          <w:szCs w:val="22"/>
          <w:lang w:val="bg-BG"/>
        </w:rPr>
        <w:sym w:font="Symbol" w:char="F06D"/>
      </w:r>
      <w:r w:rsidR="004D69B0" w:rsidRPr="00763075">
        <w:rPr>
          <w:sz w:val="22"/>
          <w:szCs w:val="22"/>
          <w:lang w:val="bg-BG"/>
        </w:rPr>
        <w:t xml:space="preserve">M </w:t>
      </w:r>
      <w:r w:rsidR="00B81B81" w:rsidRPr="00763075">
        <w:rPr>
          <w:sz w:val="22"/>
          <w:szCs w:val="22"/>
          <w:lang w:val="bg-BG"/>
        </w:rPr>
        <w:t xml:space="preserve">на човешкия </w:t>
      </w:r>
      <w:r w:rsidRPr="00763075">
        <w:rPr>
          <w:sz w:val="22"/>
          <w:szCs w:val="22"/>
          <w:lang w:val="bg-BG"/>
        </w:rPr>
        <w:t>чернодроб</w:t>
      </w:r>
      <w:r w:rsidR="00B81B81" w:rsidRPr="00763075">
        <w:rPr>
          <w:sz w:val="22"/>
          <w:szCs w:val="22"/>
          <w:lang w:val="bg-BG"/>
        </w:rPr>
        <w:t>е</w:t>
      </w:r>
      <w:r w:rsidRPr="00763075">
        <w:rPr>
          <w:sz w:val="22"/>
          <w:szCs w:val="22"/>
          <w:lang w:val="bg-BG"/>
        </w:rPr>
        <w:t>н цитохром P</w:t>
      </w:r>
      <w:r w:rsidRPr="00763075">
        <w:rPr>
          <w:sz w:val="22"/>
          <w:szCs w:val="22"/>
          <w:vertAlign w:val="subscript"/>
          <w:lang w:val="bg-BG"/>
        </w:rPr>
        <w:t>450</w:t>
      </w:r>
      <w:r w:rsidRPr="00170DBA">
        <w:rPr>
          <w:sz w:val="22"/>
          <w:szCs w:val="22"/>
          <w:lang w:val="bg-BG"/>
        </w:rPr>
        <w:t xml:space="preserve"> (1A2, 2A6, 2C9, 2C19, 2D6, 2E1 и 3A4) и </w:t>
      </w:r>
      <w:r w:rsidR="00471B73" w:rsidRPr="00290B20">
        <w:rPr>
          <w:sz w:val="22"/>
          <w:szCs w:val="22"/>
          <w:lang w:val="bg-BG"/>
        </w:rPr>
        <w:t>UDP-глюкуронил трансфераза</w:t>
      </w:r>
      <w:r w:rsidR="00F67582" w:rsidRPr="00290B20">
        <w:rPr>
          <w:sz w:val="22"/>
          <w:szCs w:val="22"/>
          <w:lang w:val="bg-BG"/>
        </w:rPr>
        <w:t xml:space="preserve"> изоформи</w:t>
      </w:r>
      <w:r w:rsidRPr="00290B20">
        <w:rPr>
          <w:sz w:val="22"/>
          <w:szCs w:val="22"/>
          <w:lang w:val="bg-BG"/>
        </w:rPr>
        <w:t xml:space="preserve">. </w:t>
      </w:r>
    </w:p>
    <w:p w14:paraId="5A657218" w14:textId="77777777" w:rsidR="00556127" w:rsidRPr="00290B20" w:rsidRDefault="00556127">
      <w:pPr>
        <w:jc w:val="both"/>
        <w:rPr>
          <w:sz w:val="22"/>
          <w:szCs w:val="22"/>
          <w:lang w:val="bg-BG"/>
        </w:rPr>
      </w:pPr>
    </w:p>
    <w:p w14:paraId="2928C7B1" w14:textId="6203CAC4" w:rsidR="00143E01" w:rsidRPr="00763075" w:rsidRDefault="00207278">
      <w:pPr>
        <w:jc w:val="both"/>
        <w:rPr>
          <w:sz w:val="22"/>
          <w:szCs w:val="22"/>
          <w:u w:val="single"/>
          <w:lang w:val="bg-BG"/>
        </w:rPr>
      </w:pPr>
      <w:r w:rsidRPr="00290B20">
        <w:rPr>
          <w:sz w:val="22"/>
          <w:szCs w:val="22"/>
          <w:u w:val="single"/>
          <w:lang w:val="bg-BG"/>
        </w:rPr>
        <w:t xml:space="preserve">Противопоказани </w:t>
      </w:r>
      <w:r w:rsidR="00143E01" w:rsidRPr="00763075">
        <w:rPr>
          <w:sz w:val="22"/>
          <w:szCs w:val="22"/>
          <w:u w:val="single"/>
          <w:lang w:val="bg-BG"/>
        </w:rPr>
        <w:t>взаимодействия</w:t>
      </w:r>
    </w:p>
    <w:p w14:paraId="7D6ADA7C" w14:textId="51999590" w:rsidR="00207278" w:rsidRPr="00763075" w:rsidRDefault="00207278">
      <w:pPr>
        <w:jc w:val="both"/>
        <w:rPr>
          <w:sz w:val="22"/>
          <w:szCs w:val="22"/>
          <w:lang w:val="bg-BG"/>
        </w:rPr>
      </w:pPr>
      <w:r w:rsidRPr="00763075">
        <w:rPr>
          <w:sz w:val="22"/>
          <w:szCs w:val="22"/>
          <w:lang w:val="bg-BG"/>
        </w:rPr>
        <w:t xml:space="preserve">Едновременното приложение на </w:t>
      </w:r>
      <w:proofErr w:type="spellStart"/>
      <w:r w:rsidRPr="00763075">
        <w:rPr>
          <w:sz w:val="22"/>
          <w:szCs w:val="22"/>
          <w:lang w:val="bg-BG"/>
        </w:rPr>
        <w:t>хидроксизин</w:t>
      </w:r>
      <w:proofErr w:type="spellEnd"/>
      <w:r w:rsidRPr="00763075">
        <w:rPr>
          <w:sz w:val="22"/>
          <w:szCs w:val="22"/>
          <w:lang w:val="bg-BG"/>
        </w:rPr>
        <w:t xml:space="preserve"> с лекарства, които удължават </w:t>
      </w:r>
      <w:r w:rsidRPr="00763075">
        <w:rPr>
          <w:sz w:val="22"/>
          <w:szCs w:val="22"/>
          <w:lang w:val="en-GB"/>
        </w:rPr>
        <w:t>QT</w:t>
      </w:r>
      <w:r w:rsidRPr="00763075">
        <w:rPr>
          <w:sz w:val="22"/>
          <w:szCs w:val="22"/>
          <w:lang w:val="bg-BG"/>
        </w:rPr>
        <w:t>-интервала</w:t>
      </w:r>
      <w:r w:rsidRPr="00763075">
        <w:rPr>
          <w:sz w:val="22"/>
          <w:szCs w:val="22"/>
          <w:lang w:val="en-GB"/>
        </w:rPr>
        <w:t xml:space="preserve"> </w:t>
      </w:r>
      <w:r w:rsidRPr="00763075">
        <w:rPr>
          <w:sz w:val="22"/>
          <w:szCs w:val="22"/>
          <w:lang w:val="bg-BG"/>
        </w:rPr>
        <w:t xml:space="preserve">и/или предизвикват </w:t>
      </w:r>
      <w:r w:rsidRPr="00763075">
        <w:rPr>
          <w:sz w:val="22"/>
          <w:szCs w:val="22"/>
        </w:rPr>
        <w:t>t</w:t>
      </w:r>
      <w:proofErr w:type="spellStart"/>
      <w:r w:rsidRPr="00763075">
        <w:rPr>
          <w:sz w:val="22"/>
          <w:szCs w:val="22"/>
          <w:lang w:val="en-GB"/>
        </w:rPr>
        <w:t>orsade</w:t>
      </w:r>
      <w:proofErr w:type="spellEnd"/>
      <w:r w:rsidRPr="00763075">
        <w:rPr>
          <w:sz w:val="22"/>
          <w:szCs w:val="22"/>
          <w:lang w:val="en-GB"/>
        </w:rPr>
        <w:t xml:space="preserve"> de pointes</w:t>
      </w:r>
      <w:r w:rsidRPr="00763075">
        <w:rPr>
          <w:sz w:val="22"/>
          <w:szCs w:val="22"/>
          <w:lang w:val="bg-BG"/>
        </w:rPr>
        <w:t>, например, антиаритмични средства клас</w:t>
      </w:r>
      <w:r w:rsidRPr="00763075">
        <w:rPr>
          <w:sz w:val="22"/>
          <w:szCs w:val="22"/>
          <w:lang w:val="en-GB"/>
        </w:rPr>
        <w:t xml:space="preserve"> IA (</w:t>
      </w:r>
      <w:r w:rsidRPr="00763075">
        <w:rPr>
          <w:sz w:val="22"/>
          <w:szCs w:val="22"/>
          <w:lang w:val="bg-BG"/>
        </w:rPr>
        <w:t>като</w:t>
      </w:r>
      <w:r w:rsidRPr="00763075">
        <w:rPr>
          <w:sz w:val="22"/>
          <w:szCs w:val="22"/>
          <w:lang w:val="en-GB"/>
        </w:rPr>
        <w:t xml:space="preserve"> </w:t>
      </w:r>
      <w:r w:rsidRPr="00763075">
        <w:rPr>
          <w:sz w:val="22"/>
          <w:szCs w:val="22"/>
          <w:lang w:val="bg-BG"/>
        </w:rPr>
        <w:t>хинидин</w:t>
      </w:r>
      <w:r w:rsidRPr="00763075">
        <w:rPr>
          <w:sz w:val="22"/>
          <w:szCs w:val="22"/>
          <w:lang w:val="en-GB"/>
        </w:rPr>
        <w:t xml:space="preserve">, </w:t>
      </w:r>
      <w:r w:rsidRPr="00763075">
        <w:rPr>
          <w:sz w:val="22"/>
          <w:szCs w:val="22"/>
          <w:lang w:val="bg-BG"/>
        </w:rPr>
        <w:t>дизопирамид</w:t>
      </w:r>
      <w:r w:rsidRPr="00763075">
        <w:rPr>
          <w:sz w:val="22"/>
          <w:szCs w:val="22"/>
          <w:lang w:val="en-GB"/>
        </w:rPr>
        <w:t xml:space="preserve">) </w:t>
      </w:r>
      <w:r w:rsidRPr="00763075">
        <w:rPr>
          <w:sz w:val="22"/>
          <w:szCs w:val="22"/>
          <w:lang w:val="bg-BG"/>
        </w:rPr>
        <w:t>и</w:t>
      </w:r>
      <w:r w:rsidRPr="00763075">
        <w:rPr>
          <w:sz w:val="22"/>
          <w:szCs w:val="22"/>
          <w:lang w:val="en-GB"/>
        </w:rPr>
        <w:t xml:space="preserve"> III (</w:t>
      </w:r>
      <w:r w:rsidRPr="00763075">
        <w:rPr>
          <w:sz w:val="22"/>
          <w:szCs w:val="22"/>
          <w:lang w:val="bg-BG"/>
        </w:rPr>
        <w:t>като</w:t>
      </w:r>
      <w:r w:rsidRPr="00763075">
        <w:rPr>
          <w:sz w:val="22"/>
          <w:szCs w:val="22"/>
          <w:lang w:val="en-GB"/>
        </w:rPr>
        <w:t xml:space="preserve"> </w:t>
      </w:r>
      <w:r w:rsidRPr="00763075">
        <w:rPr>
          <w:sz w:val="22"/>
          <w:szCs w:val="22"/>
          <w:lang w:val="bg-BG"/>
        </w:rPr>
        <w:t>амиодарон</w:t>
      </w:r>
      <w:r w:rsidRPr="00763075">
        <w:rPr>
          <w:sz w:val="22"/>
          <w:szCs w:val="22"/>
          <w:lang w:val="en-GB"/>
        </w:rPr>
        <w:t xml:space="preserve">, </w:t>
      </w:r>
      <w:r w:rsidRPr="00763075">
        <w:rPr>
          <w:sz w:val="22"/>
          <w:szCs w:val="22"/>
          <w:lang w:val="bg-BG"/>
        </w:rPr>
        <w:t>соталол</w:t>
      </w:r>
      <w:r w:rsidRPr="00763075">
        <w:rPr>
          <w:sz w:val="22"/>
          <w:szCs w:val="22"/>
          <w:lang w:val="en-GB"/>
        </w:rPr>
        <w:t xml:space="preserve">), </w:t>
      </w:r>
      <w:r w:rsidRPr="00763075">
        <w:rPr>
          <w:sz w:val="22"/>
          <w:szCs w:val="22"/>
          <w:lang w:val="bg-BG"/>
        </w:rPr>
        <w:t>някои антихистамини</w:t>
      </w:r>
      <w:r w:rsidRPr="00763075">
        <w:rPr>
          <w:sz w:val="22"/>
          <w:szCs w:val="22"/>
          <w:lang w:val="en-GB"/>
        </w:rPr>
        <w:t xml:space="preserve">, </w:t>
      </w:r>
      <w:r w:rsidRPr="00763075">
        <w:rPr>
          <w:sz w:val="22"/>
          <w:szCs w:val="22"/>
          <w:lang w:val="bg-BG"/>
        </w:rPr>
        <w:t>някои антипсихотици</w:t>
      </w:r>
      <w:r w:rsidRPr="00763075">
        <w:rPr>
          <w:sz w:val="22"/>
          <w:szCs w:val="22"/>
          <w:lang w:val="en-GB"/>
        </w:rPr>
        <w:t xml:space="preserve"> (</w:t>
      </w:r>
      <w:r w:rsidRPr="00763075">
        <w:rPr>
          <w:sz w:val="22"/>
          <w:szCs w:val="22"/>
          <w:lang w:val="bg-BG"/>
        </w:rPr>
        <w:t>напр., халоперидол</w:t>
      </w:r>
      <w:r w:rsidRPr="00763075">
        <w:rPr>
          <w:sz w:val="22"/>
          <w:szCs w:val="22"/>
          <w:lang w:val="en-GB"/>
        </w:rPr>
        <w:t xml:space="preserve">), </w:t>
      </w:r>
      <w:r w:rsidRPr="00763075">
        <w:rPr>
          <w:sz w:val="22"/>
          <w:szCs w:val="22"/>
          <w:lang w:val="bg-BG"/>
        </w:rPr>
        <w:t>някои антидепресанти</w:t>
      </w:r>
      <w:r w:rsidRPr="00763075">
        <w:rPr>
          <w:sz w:val="22"/>
          <w:szCs w:val="22"/>
          <w:lang w:val="en-GB"/>
        </w:rPr>
        <w:t xml:space="preserve"> (</w:t>
      </w:r>
      <w:r w:rsidRPr="00763075">
        <w:rPr>
          <w:sz w:val="22"/>
          <w:szCs w:val="22"/>
          <w:lang w:val="bg-BG"/>
        </w:rPr>
        <w:t>напр</w:t>
      </w:r>
      <w:r w:rsidRPr="00763075">
        <w:rPr>
          <w:sz w:val="22"/>
          <w:szCs w:val="22"/>
          <w:lang w:val="en-GB"/>
        </w:rPr>
        <w:t>.</w:t>
      </w:r>
      <w:r w:rsidRPr="00763075">
        <w:rPr>
          <w:sz w:val="22"/>
          <w:szCs w:val="22"/>
          <w:lang w:val="bg-BG"/>
        </w:rPr>
        <w:t>,</w:t>
      </w:r>
      <w:r w:rsidRPr="00763075">
        <w:rPr>
          <w:sz w:val="22"/>
          <w:szCs w:val="22"/>
          <w:lang w:val="en-GB"/>
        </w:rPr>
        <w:t xml:space="preserve"> </w:t>
      </w:r>
      <w:proofErr w:type="spellStart"/>
      <w:r w:rsidRPr="00763075">
        <w:rPr>
          <w:sz w:val="22"/>
          <w:szCs w:val="22"/>
          <w:lang w:val="bg-BG"/>
        </w:rPr>
        <w:t>циталопрам</w:t>
      </w:r>
      <w:proofErr w:type="spellEnd"/>
      <w:r w:rsidRPr="00763075">
        <w:rPr>
          <w:sz w:val="22"/>
          <w:szCs w:val="22"/>
          <w:lang w:val="bg-BG"/>
        </w:rPr>
        <w:t xml:space="preserve">, </w:t>
      </w:r>
      <w:proofErr w:type="spellStart"/>
      <w:r w:rsidRPr="00763075">
        <w:rPr>
          <w:sz w:val="22"/>
          <w:szCs w:val="22"/>
          <w:lang w:val="bg-BG"/>
        </w:rPr>
        <w:t>есциталопрам</w:t>
      </w:r>
      <w:proofErr w:type="spellEnd"/>
      <w:r w:rsidRPr="00763075">
        <w:rPr>
          <w:sz w:val="22"/>
          <w:szCs w:val="22"/>
          <w:lang w:val="bg-BG"/>
        </w:rPr>
        <w:t xml:space="preserve">), някои </w:t>
      </w:r>
      <w:proofErr w:type="spellStart"/>
      <w:r w:rsidRPr="00763075">
        <w:rPr>
          <w:sz w:val="22"/>
          <w:szCs w:val="22"/>
          <w:lang w:val="en-GB"/>
        </w:rPr>
        <w:t>антималарийни</w:t>
      </w:r>
      <w:proofErr w:type="spellEnd"/>
      <w:r w:rsidRPr="00763075">
        <w:rPr>
          <w:sz w:val="22"/>
          <w:szCs w:val="22"/>
          <w:lang w:val="bg-BG"/>
        </w:rPr>
        <w:t xml:space="preserve"> </w:t>
      </w:r>
      <w:proofErr w:type="spellStart"/>
      <w:r w:rsidRPr="00763075">
        <w:rPr>
          <w:sz w:val="22"/>
          <w:szCs w:val="22"/>
          <w:lang w:val="en-GB"/>
        </w:rPr>
        <w:t>лекарства</w:t>
      </w:r>
      <w:proofErr w:type="spellEnd"/>
      <w:r w:rsidRPr="00763075">
        <w:rPr>
          <w:sz w:val="22"/>
          <w:szCs w:val="22"/>
          <w:lang w:val="bg-BG"/>
        </w:rPr>
        <w:t xml:space="preserve"> </w:t>
      </w:r>
      <w:r w:rsidRPr="00763075">
        <w:rPr>
          <w:sz w:val="22"/>
          <w:szCs w:val="22"/>
          <w:lang w:val="en-GB"/>
        </w:rPr>
        <w:t>(</w:t>
      </w:r>
      <w:r w:rsidRPr="00763075">
        <w:rPr>
          <w:sz w:val="22"/>
          <w:szCs w:val="22"/>
          <w:lang w:val="bg-BG"/>
        </w:rPr>
        <w:t xml:space="preserve">напр., </w:t>
      </w:r>
      <w:proofErr w:type="spellStart"/>
      <w:r w:rsidRPr="00763075">
        <w:rPr>
          <w:sz w:val="22"/>
          <w:szCs w:val="22"/>
          <w:lang w:val="en-GB"/>
        </w:rPr>
        <w:t>мефло</w:t>
      </w:r>
      <w:proofErr w:type="spellEnd"/>
      <w:r w:rsidRPr="00763075">
        <w:rPr>
          <w:sz w:val="22"/>
          <w:szCs w:val="22"/>
          <w:lang w:val="bg-BG"/>
        </w:rPr>
        <w:t>х</w:t>
      </w:r>
      <w:proofErr w:type="spellStart"/>
      <w:r w:rsidRPr="00763075">
        <w:rPr>
          <w:sz w:val="22"/>
          <w:szCs w:val="22"/>
          <w:lang w:val="en-GB"/>
        </w:rPr>
        <w:t>ин</w:t>
      </w:r>
      <w:proofErr w:type="spellEnd"/>
      <w:r w:rsidR="00724FF4">
        <w:rPr>
          <w:sz w:val="22"/>
          <w:szCs w:val="22"/>
          <w:lang w:val="bg-BG"/>
        </w:rPr>
        <w:t xml:space="preserve"> и </w:t>
      </w:r>
      <w:proofErr w:type="spellStart"/>
      <w:r w:rsidR="00724FF4">
        <w:rPr>
          <w:sz w:val="22"/>
          <w:szCs w:val="22"/>
          <w:lang w:val="bg-BG"/>
        </w:rPr>
        <w:t>хидроксихлороквин</w:t>
      </w:r>
      <w:proofErr w:type="spellEnd"/>
      <w:r w:rsidRPr="00763075">
        <w:rPr>
          <w:sz w:val="22"/>
          <w:szCs w:val="22"/>
          <w:lang w:val="bg-BG"/>
        </w:rPr>
        <w:t xml:space="preserve">), </w:t>
      </w:r>
      <w:proofErr w:type="spellStart"/>
      <w:r w:rsidRPr="00763075">
        <w:rPr>
          <w:sz w:val="22"/>
          <w:szCs w:val="22"/>
          <w:lang w:val="en-GB"/>
        </w:rPr>
        <w:t>някои</w:t>
      </w:r>
      <w:proofErr w:type="spellEnd"/>
      <w:r w:rsidRPr="00763075">
        <w:rPr>
          <w:sz w:val="22"/>
          <w:szCs w:val="22"/>
          <w:lang w:val="bg-BG"/>
        </w:rPr>
        <w:t xml:space="preserve"> </w:t>
      </w:r>
      <w:proofErr w:type="spellStart"/>
      <w:r w:rsidRPr="00763075">
        <w:rPr>
          <w:sz w:val="22"/>
          <w:szCs w:val="22"/>
          <w:lang w:val="en-GB"/>
        </w:rPr>
        <w:t>антибиотици</w:t>
      </w:r>
      <w:proofErr w:type="spellEnd"/>
      <w:r w:rsidRPr="00763075">
        <w:rPr>
          <w:sz w:val="22"/>
          <w:szCs w:val="22"/>
          <w:lang w:val="bg-BG"/>
        </w:rPr>
        <w:t xml:space="preserve"> </w:t>
      </w:r>
      <w:r w:rsidRPr="00763075">
        <w:rPr>
          <w:sz w:val="22"/>
          <w:szCs w:val="22"/>
          <w:lang w:val="en-GB"/>
        </w:rPr>
        <w:t>(</w:t>
      </w:r>
      <w:proofErr w:type="spellStart"/>
      <w:r w:rsidRPr="00763075">
        <w:rPr>
          <w:sz w:val="22"/>
          <w:szCs w:val="22"/>
          <w:lang w:val="en-GB"/>
        </w:rPr>
        <w:t>напр</w:t>
      </w:r>
      <w:proofErr w:type="spellEnd"/>
      <w:r w:rsidRPr="00763075">
        <w:rPr>
          <w:sz w:val="22"/>
          <w:szCs w:val="22"/>
          <w:lang w:val="bg-BG"/>
        </w:rPr>
        <w:t xml:space="preserve">., </w:t>
      </w:r>
      <w:proofErr w:type="spellStart"/>
      <w:r w:rsidRPr="00763075">
        <w:rPr>
          <w:sz w:val="22"/>
          <w:szCs w:val="22"/>
          <w:lang w:val="en-GB"/>
        </w:rPr>
        <w:t>еритромицин</w:t>
      </w:r>
      <w:proofErr w:type="spellEnd"/>
      <w:r w:rsidRPr="00763075">
        <w:rPr>
          <w:sz w:val="22"/>
          <w:szCs w:val="22"/>
          <w:lang w:val="en-GB"/>
        </w:rPr>
        <w:t>,</w:t>
      </w:r>
      <w:r w:rsidRPr="00763075">
        <w:rPr>
          <w:sz w:val="22"/>
          <w:szCs w:val="22"/>
          <w:lang w:val="bg-BG"/>
        </w:rPr>
        <w:t xml:space="preserve"> </w:t>
      </w:r>
      <w:proofErr w:type="spellStart"/>
      <w:r w:rsidRPr="00763075">
        <w:rPr>
          <w:sz w:val="22"/>
          <w:szCs w:val="22"/>
          <w:lang w:val="en-GB"/>
        </w:rPr>
        <w:t>левофлоксацин</w:t>
      </w:r>
      <w:proofErr w:type="spellEnd"/>
      <w:r w:rsidRPr="00763075">
        <w:rPr>
          <w:sz w:val="22"/>
          <w:szCs w:val="22"/>
          <w:lang w:val="bg-BG"/>
        </w:rPr>
        <w:t xml:space="preserve">, </w:t>
      </w:r>
      <w:proofErr w:type="spellStart"/>
      <w:r w:rsidRPr="00763075">
        <w:rPr>
          <w:sz w:val="22"/>
          <w:szCs w:val="22"/>
          <w:lang w:val="en-GB"/>
        </w:rPr>
        <w:t>моксифлоксацин</w:t>
      </w:r>
      <w:proofErr w:type="spellEnd"/>
      <w:r w:rsidRPr="00763075">
        <w:rPr>
          <w:sz w:val="22"/>
          <w:szCs w:val="22"/>
          <w:lang w:val="bg-BG"/>
        </w:rPr>
        <w:t xml:space="preserve">), </w:t>
      </w:r>
      <w:proofErr w:type="spellStart"/>
      <w:r w:rsidRPr="00763075">
        <w:rPr>
          <w:sz w:val="22"/>
          <w:szCs w:val="22"/>
          <w:lang w:val="en-GB"/>
        </w:rPr>
        <w:t>някои</w:t>
      </w:r>
      <w:proofErr w:type="spellEnd"/>
      <w:r w:rsidRPr="00763075">
        <w:rPr>
          <w:sz w:val="22"/>
          <w:szCs w:val="22"/>
          <w:lang w:val="bg-BG"/>
        </w:rPr>
        <w:t xml:space="preserve"> </w:t>
      </w:r>
      <w:proofErr w:type="spellStart"/>
      <w:r w:rsidRPr="00763075">
        <w:rPr>
          <w:sz w:val="22"/>
          <w:szCs w:val="22"/>
          <w:lang w:val="en-GB"/>
        </w:rPr>
        <w:t>противогъбични</w:t>
      </w:r>
      <w:proofErr w:type="spellEnd"/>
      <w:r w:rsidRPr="00763075">
        <w:rPr>
          <w:sz w:val="22"/>
          <w:szCs w:val="22"/>
          <w:lang w:val="en-GB"/>
        </w:rPr>
        <w:t xml:space="preserve"> </w:t>
      </w:r>
      <w:proofErr w:type="spellStart"/>
      <w:r w:rsidRPr="00763075">
        <w:rPr>
          <w:sz w:val="22"/>
          <w:szCs w:val="22"/>
          <w:lang w:val="en-GB"/>
        </w:rPr>
        <w:t>средства</w:t>
      </w:r>
      <w:proofErr w:type="spellEnd"/>
      <w:r w:rsidRPr="00763075">
        <w:rPr>
          <w:sz w:val="22"/>
          <w:szCs w:val="22"/>
          <w:lang w:val="bg-BG"/>
        </w:rPr>
        <w:t xml:space="preserve"> </w:t>
      </w:r>
      <w:r w:rsidRPr="00763075">
        <w:rPr>
          <w:sz w:val="22"/>
          <w:szCs w:val="22"/>
          <w:lang w:val="en-GB"/>
        </w:rPr>
        <w:t>(</w:t>
      </w:r>
      <w:proofErr w:type="spellStart"/>
      <w:r w:rsidRPr="00763075">
        <w:rPr>
          <w:sz w:val="22"/>
          <w:szCs w:val="22"/>
          <w:lang w:val="en-GB"/>
        </w:rPr>
        <w:t>напр</w:t>
      </w:r>
      <w:proofErr w:type="spellEnd"/>
      <w:r w:rsidRPr="00763075">
        <w:rPr>
          <w:sz w:val="22"/>
          <w:szCs w:val="22"/>
          <w:lang w:val="bg-BG"/>
        </w:rPr>
        <w:t xml:space="preserve">., </w:t>
      </w:r>
      <w:proofErr w:type="spellStart"/>
      <w:r w:rsidRPr="00763075">
        <w:rPr>
          <w:sz w:val="22"/>
          <w:szCs w:val="22"/>
          <w:lang w:val="en-GB"/>
        </w:rPr>
        <w:t>пентамидин</w:t>
      </w:r>
      <w:proofErr w:type="spellEnd"/>
      <w:r w:rsidRPr="00763075">
        <w:rPr>
          <w:sz w:val="22"/>
          <w:szCs w:val="22"/>
          <w:lang w:val="bg-BG"/>
        </w:rPr>
        <w:t xml:space="preserve">), </w:t>
      </w:r>
      <w:proofErr w:type="spellStart"/>
      <w:r w:rsidRPr="00763075">
        <w:rPr>
          <w:sz w:val="22"/>
          <w:szCs w:val="22"/>
          <w:lang w:val="en-GB"/>
        </w:rPr>
        <w:t>някои</w:t>
      </w:r>
      <w:proofErr w:type="spellEnd"/>
      <w:r w:rsidRPr="00763075">
        <w:rPr>
          <w:sz w:val="22"/>
          <w:szCs w:val="22"/>
          <w:lang w:val="bg-BG"/>
        </w:rPr>
        <w:t xml:space="preserve"> </w:t>
      </w:r>
      <w:proofErr w:type="spellStart"/>
      <w:r w:rsidRPr="00763075">
        <w:rPr>
          <w:sz w:val="22"/>
          <w:szCs w:val="22"/>
          <w:lang w:val="en-GB"/>
        </w:rPr>
        <w:t>стомашно-чревни</w:t>
      </w:r>
      <w:proofErr w:type="spellEnd"/>
      <w:r w:rsidRPr="00763075">
        <w:rPr>
          <w:sz w:val="22"/>
          <w:szCs w:val="22"/>
          <w:lang w:val="bg-BG"/>
        </w:rPr>
        <w:t xml:space="preserve"> </w:t>
      </w:r>
      <w:proofErr w:type="spellStart"/>
      <w:r w:rsidRPr="00763075">
        <w:rPr>
          <w:sz w:val="22"/>
          <w:szCs w:val="22"/>
          <w:lang w:val="en-GB"/>
        </w:rPr>
        <w:t>лекарства</w:t>
      </w:r>
      <w:proofErr w:type="spellEnd"/>
      <w:r w:rsidRPr="00763075">
        <w:rPr>
          <w:sz w:val="22"/>
          <w:szCs w:val="22"/>
          <w:lang w:val="en-GB"/>
        </w:rPr>
        <w:t xml:space="preserve"> (</w:t>
      </w:r>
      <w:proofErr w:type="spellStart"/>
      <w:r w:rsidRPr="00763075">
        <w:rPr>
          <w:sz w:val="22"/>
          <w:szCs w:val="22"/>
          <w:lang w:val="en-GB"/>
        </w:rPr>
        <w:t>напр</w:t>
      </w:r>
      <w:proofErr w:type="spellEnd"/>
      <w:r w:rsidRPr="00763075">
        <w:rPr>
          <w:sz w:val="22"/>
          <w:szCs w:val="22"/>
          <w:lang w:val="bg-BG"/>
        </w:rPr>
        <w:t xml:space="preserve">., </w:t>
      </w:r>
      <w:proofErr w:type="spellStart"/>
      <w:r w:rsidRPr="00763075">
        <w:rPr>
          <w:sz w:val="22"/>
          <w:szCs w:val="22"/>
          <w:lang w:val="en-GB"/>
        </w:rPr>
        <w:t>прукалоприд</w:t>
      </w:r>
      <w:proofErr w:type="spellEnd"/>
      <w:r w:rsidRPr="00763075">
        <w:rPr>
          <w:sz w:val="22"/>
          <w:szCs w:val="22"/>
          <w:lang w:val="bg-BG"/>
        </w:rPr>
        <w:t xml:space="preserve">), </w:t>
      </w:r>
      <w:proofErr w:type="spellStart"/>
      <w:r w:rsidRPr="00763075">
        <w:rPr>
          <w:sz w:val="22"/>
          <w:szCs w:val="22"/>
          <w:lang w:val="en-GB"/>
        </w:rPr>
        <w:t>някои</w:t>
      </w:r>
      <w:proofErr w:type="spellEnd"/>
      <w:r w:rsidRPr="00763075">
        <w:rPr>
          <w:sz w:val="22"/>
          <w:szCs w:val="22"/>
          <w:lang w:val="en-GB"/>
        </w:rPr>
        <w:t xml:space="preserve"> </w:t>
      </w:r>
      <w:proofErr w:type="spellStart"/>
      <w:r w:rsidRPr="00763075">
        <w:rPr>
          <w:sz w:val="22"/>
          <w:szCs w:val="22"/>
          <w:lang w:val="en-GB"/>
        </w:rPr>
        <w:t>лекарства</w:t>
      </w:r>
      <w:proofErr w:type="spellEnd"/>
      <w:r w:rsidRPr="00763075">
        <w:rPr>
          <w:sz w:val="22"/>
          <w:szCs w:val="22"/>
          <w:lang w:val="en-GB"/>
        </w:rPr>
        <w:t xml:space="preserve">, </w:t>
      </w:r>
      <w:proofErr w:type="spellStart"/>
      <w:r w:rsidRPr="00763075">
        <w:rPr>
          <w:sz w:val="22"/>
          <w:szCs w:val="22"/>
          <w:lang w:val="en-GB"/>
        </w:rPr>
        <w:t>използвани</w:t>
      </w:r>
      <w:proofErr w:type="spellEnd"/>
      <w:r w:rsidRPr="00763075">
        <w:rPr>
          <w:sz w:val="22"/>
          <w:szCs w:val="22"/>
          <w:lang w:val="bg-BG"/>
        </w:rPr>
        <w:t xml:space="preserve"> при ракови заболявания </w:t>
      </w:r>
      <w:r w:rsidRPr="00763075">
        <w:rPr>
          <w:sz w:val="22"/>
          <w:szCs w:val="22"/>
          <w:lang w:val="en-GB"/>
        </w:rPr>
        <w:t>(</w:t>
      </w:r>
      <w:proofErr w:type="spellStart"/>
      <w:r w:rsidRPr="00763075">
        <w:rPr>
          <w:sz w:val="22"/>
          <w:szCs w:val="22"/>
          <w:lang w:val="en-GB"/>
        </w:rPr>
        <w:t>напр</w:t>
      </w:r>
      <w:proofErr w:type="spellEnd"/>
      <w:r w:rsidRPr="00763075">
        <w:rPr>
          <w:sz w:val="22"/>
          <w:szCs w:val="22"/>
          <w:lang w:val="bg-BG"/>
        </w:rPr>
        <w:t xml:space="preserve">., </w:t>
      </w:r>
      <w:proofErr w:type="spellStart"/>
      <w:r w:rsidRPr="00763075">
        <w:rPr>
          <w:sz w:val="22"/>
          <w:szCs w:val="22"/>
          <w:lang w:val="bg-BG"/>
        </w:rPr>
        <w:t>торемифен</w:t>
      </w:r>
      <w:proofErr w:type="spellEnd"/>
      <w:r w:rsidRPr="00763075">
        <w:rPr>
          <w:sz w:val="22"/>
          <w:szCs w:val="22"/>
          <w:lang w:val="bg-BG"/>
        </w:rPr>
        <w:t xml:space="preserve">, </w:t>
      </w:r>
      <w:proofErr w:type="spellStart"/>
      <w:r w:rsidRPr="00763075">
        <w:rPr>
          <w:sz w:val="22"/>
          <w:szCs w:val="22"/>
          <w:lang w:val="en-GB"/>
        </w:rPr>
        <w:t>вандетаниб</w:t>
      </w:r>
      <w:proofErr w:type="spellEnd"/>
      <w:r w:rsidRPr="00763075">
        <w:rPr>
          <w:sz w:val="22"/>
          <w:szCs w:val="22"/>
          <w:lang w:val="bg-BG"/>
        </w:rPr>
        <w:t xml:space="preserve">), </w:t>
      </w:r>
      <w:proofErr w:type="spellStart"/>
      <w:r w:rsidRPr="00763075">
        <w:rPr>
          <w:sz w:val="22"/>
          <w:szCs w:val="22"/>
          <w:lang w:val="bg-BG"/>
        </w:rPr>
        <w:t>метадон</w:t>
      </w:r>
      <w:proofErr w:type="spellEnd"/>
      <w:r w:rsidRPr="00763075">
        <w:rPr>
          <w:sz w:val="22"/>
          <w:szCs w:val="22"/>
          <w:lang w:val="bg-BG"/>
        </w:rPr>
        <w:t xml:space="preserve">, </w:t>
      </w:r>
      <w:proofErr w:type="spellStart"/>
      <w:r w:rsidRPr="00763075">
        <w:rPr>
          <w:sz w:val="22"/>
          <w:szCs w:val="22"/>
          <w:lang w:val="en-GB"/>
        </w:rPr>
        <w:t>повишават</w:t>
      </w:r>
      <w:proofErr w:type="spellEnd"/>
      <w:r w:rsidRPr="00763075">
        <w:rPr>
          <w:sz w:val="22"/>
          <w:szCs w:val="22"/>
          <w:lang w:val="en-GB"/>
        </w:rPr>
        <w:t xml:space="preserve"> </w:t>
      </w:r>
      <w:proofErr w:type="spellStart"/>
      <w:r w:rsidRPr="00763075">
        <w:rPr>
          <w:sz w:val="22"/>
          <w:szCs w:val="22"/>
          <w:lang w:val="en-GB"/>
        </w:rPr>
        <w:t>риска</w:t>
      </w:r>
      <w:proofErr w:type="spellEnd"/>
      <w:r w:rsidRPr="00763075">
        <w:rPr>
          <w:sz w:val="22"/>
          <w:szCs w:val="22"/>
          <w:lang w:val="en-GB"/>
        </w:rPr>
        <w:t xml:space="preserve"> </w:t>
      </w:r>
      <w:proofErr w:type="spellStart"/>
      <w:r w:rsidRPr="00763075">
        <w:rPr>
          <w:sz w:val="22"/>
          <w:szCs w:val="22"/>
          <w:lang w:val="en-GB"/>
        </w:rPr>
        <w:t>от</w:t>
      </w:r>
      <w:proofErr w:type="spellEnd"/>
      <w:r w:rsidRPr="00763075">
        <w:rPr>
          <w:sz w:val="22"/>
          <w:szCs w:val="22"/>
          <w:lang w:val="bg-BG"/>
        </w:rPr>
        <w:t xml:space="preserve"> </w:t>
      </w:r>
      <w:proofErr w:type="spellStart"/>
      <w:r w:rsidRPr="00763075">
        <w:rPr>
          <w:sz w:val="22"/>
          <w:szCs w:val="22"/>
          <w:lang w:val="en-GB"/>
        </w:rPr>
        <w:t>сърдечна</w:t>
      </w:r>
      <w:proofErr w:type="spellEnd"/>
      <w:r w:rsidRPr="00763075">
        <w:rPr>
          <w:sz w:val="22"/>
          <w:szCs w:val="22"/>
          <w:lang w:val="en-GB"/>
        </w:rPr>
        <w:t xml:space="preserve"> </w:t>
      </w:r>
      <w:proofErr w:type="spellStart"/>
      <w:r w:rsidRPr="00763075">
        <w:rPr>
          <w:sz w:val="22"/>
          <w:szCs w:val="22"/>
          <w:lang w:val="en-GB"/>
        </w:rPr>
        <w:t>аритмия</w:t>
      </w:r>
      <w:proofErr w:type="spellEnd"/>
      <w:r w:rsidRPr="00763075">
        <w:rPr>
          <w:sz w:val="22"/>
          <w:szCs w:val="22"/>
          <w:lang w:val="bg-BG"/>
        </w:rPr>
        <w:t>. Следователно, комбинирането е противопоказно (вж. точка</w:t>
      </w:r>
      <w:r w:rsidRPr="00763075">
        <w:rPr>
          <w:sz w:val="22"/>
          <w:szCs w:val="22"/>
          <w:lang w:val="en-GB"/>
        </w:rPr>
        <w:t xml:space="preserve"> 4.3).</w:t>
      </w:r>
    </w:p>
    <w:p w14:paraId="11ECAF22" w14:textId="77777777" w:rsidR="00207278" w:rsidRPr="00763075" w:rsidRDefault="00207278">
      <w:pPr>
        <w:jc w:val="both"/>
        <w:rPr>
          <w:sz w:val="22"/>
          <w:szCs w:val="22"/>
          <w:lang w:val="bg-BG"/>
        </w:rPr>
      </w:pPr>
    </w:p>
    <w:p w14:paraId="074CC049" w14:textId="77777777" w:rsidR="00207278" w:rsidRPr="00763075" w:rsidRDefault="00207278">
      <w:pPr>
        <w:jc w:val="both"/>
        <w:rPr>
          <w:sz w:val="22"/>
          <w:szCs w:val="22"/>
          <w:u w:val="single"/>
          <w:lang w:val="bg-BG"/>
        </w:rPr>
      </w:pPr>
      <w:r w:rsidRPr="00763075">
        <w:rPr>
          <w:sz w:val="22"/>
          <w:szCs w:val="22"/>
          <w:u w:val="single"/>
          <w:lang w:val="bg-BG"/>
        </w:rPr>
        <w:t>Взаимодействия, изискващи предпазни мерки при употреба</w:t>
      </w:r>
    </w:p>
    <w:p w14:paraId="26795FF3" w14:textId="77777777" w:rsidR="00207278" w:rsidRPr="00763075" w:rsidRDefault="00207278">
      <w:pPr>
        <w:jc w:val="both"/>
        <w:rPr>
          <w:sz w:val="22"/>
          <w:szCs w:val="22"/>
          <w:u w:val="single"/>
          <w:lang w:val="bg-BG"/>
        </w:rPr>
      </w:pPr>
      <w:r w:rsidRPr="00763075">
        <w:rPr>
          <w:sz w:val="22"/>
          <w:szCs w:val="22"/>
          <w:lang w:val="bg-BG"/>
        </w:rPr>
        <w:t>Необходимо е повишено внимание при лекарства, индуциращи брадикардия и хипокалиемия</w:t>
      </w:r>
      <w:r w:rsidRPr="00763075">
        <w:rPr>
          <w:sz w:val="22"/>
          <w:szCs w:val="22"/>
          <w:lang w:val="en-GB"/>
        </w:rPr>
        <w:t>.</w:t>
      </w:r>
    </w:p>
    <w:p w14:paraId="2C48251C" w14:textId="77777777" w:rsidR="00207278" w:rsidRPr="00763075" w:rsidRDefault="00207278">
      <w:pPr>
        <w:jc w:val="both"/>
        <w:rPr>
          <w:sz w:val="22"/>
          <w:szCs w:val="22"/>
          <w:lang w:val="bg-BG"/>
        </w:rPr>
      </w:pPr>
    </w:p>
    <w:p w14:paraId="50F7574F" w14:textId="2C0A93AD" w:rsidR="00EF1573" w:rsidRPr="00763075" w:rsidRDefault="00207278">
      <w:pPr>
        <w:jc w:val="both"/>
        <w:rPr>
          <w:sz w:val="22"/>
          <w:szCs w:val="22"/>
          <w:lang w:val="bg-BG"/>
        </w:rPr>
      </w:pPr>
      <w:proofErr w:type="spellStart"/>
      <w:r w:rsidRPr="00763075">
        <w:rPr>
          <w:sz w:val="22"/>
          <w:szCs w:val="22"/>
          <w:lang w:val="bg-BG"/>
        </w:rPr>
        <w:t>Хидроксизин</w:t>
      </w:r>
      <w:proofErr w:type="spellEnd"/>
      <w:r w:rsidRPr="00763075">
        <w:rPr>
          <w:sz w:val="22"/>
          <w:szCs w:val="22"/>
          <w:lang w:val="bg-BG"/>
        </w:rPr>
        <w:t xml:space="preserve"> се </w:t>
      </w:r>
      <w:proofErr w:type="spellStart"/>
      <w:r w:rsidRPr="00763075">
        <w:rPr>
          <w:sz w:val="22"/>
          <w:szCs w:val="22"/>
          <w:lang w:val="bg-BG"/>
        </w:rPr>
        <w:t>метаболизира</w:t>
      </w:r>
      <w:proofErr w:type="spellEnd"/>
      <w:r w:rsidRPr="00763075">
        <w:rPr>
          <w:sz w:val="22"/>
          <w:szCs w:val="22"/>
          <w:lang w:val="bg-BG"/>
        </w:rPr>
        <w:t xml:space="preserve"> чрез алкохолдехидрогеназа и </w:t>
      </w:r>
      <w:r w:rsidRPr="00763075">
        <w:rPr>
          <w:sz w:val="22"/>
          <w:szCs w:val="22"/>
          <w:lang w:val="en-GB"/>
        </w:rPr>
        <w:t>CYP3A4/5</w:t>
      </w:r>
      <w:r w:rsidRPr="00763075">
        <w:rPr>
          <w:sz w:val="22"/>
          <w:szCs w:val="22"/>
          <w:lang w:val="bg-BG"/>
        </w:rPr>
        <w:t>, като може да се очаква повишаване на концентрациите на хидроксизин в кръвта, когато хидроксизин се прилага едновременно с лекарства, които са мощни инхибитори на тези ензими</w:t>
      </w:r>
      <w:r w:rsidRPr="00763075">
        <w:rPr>
          <w:sz w:val="22"/>
          <w:szCs w:val="22"/>
          <w:lang w:val="en-GB"/>
        </w:rPr>
        <w:t>.</w:t>
      </w:r>
      <w:r w:rsidRPr="00763075">
        <w:rPr>
          <w:sz w:val="22"/>
          <w:szCs w:val="22"/>
          <w:lang w:val="bg-BG"/>
        </w:rPr>
        <w:t xml:space="preserve"> </w:t>
      </w:r>
      <w:r w:rsidR="00EF1573" w:rsidRPr="00763075">
        <w:rPr>
          <w:sz w:val="22"/>
          <w:szCs w:val="22"/>
          <w:lang w:val="bg-BG"/>
        </w:rPr>
        <w:t>Въпреки това, когато се инхибира само един път на метаболизиране, другия път може да го компенсира отчасти</w:t>
      </w:r>
      <w:r w:rsidRPr="00763075">
        <w:rPr>
          <w:sz w:val="22"/>
          <w:szCs w:val="22"/>
          <w:lang w:val="bg-BG"/>
        </w:rPr>
        <w:t>.</w:t>
      </w:r>
    </w:p>
    <w:p w14:paraId="24A8885C" w14:textId="77777777" w:rsidR="00082C40" w:rsidRPr="008E6BF5" w:rsidRDefault="00082C40">
      <w:pPr>
        <w:jc w:val="both"/>
        <w:rPr>
          <w:b/>
          <w:sz w:val="22"/>
          <w:szCs w:val="22"/>
          <w:lang w:val="bg-BG"/>
        </w:rPr>
      </w:pPr>
    </w:p>
    <w:p w14:paraId="3637A992" w14:textId="042C8707" w:rsidR="0046685C" w:rsidRPr="00763075" w:rsidRDefault="0046685C">
      <w:pPr>
        <w:jc w:val="both"/>
        <w:rPr>
          <w:sz w:val="22"/>
          <w:szCs w:val="22"/>
          <w:lang w:val="bg-BG"/>
        </w:rPr>
      </w:pPr>
      <w:r w:rsidRPr="00763075">
        <w:rPr>
          <w:b/>
          <w:sz w:val="22"/>
          <w:szCs w:val="22"/>
          <w:lang w:val="bg-BG"/>
        </w:rPr>
        <w:t>4.6</w:t>
      </w:r>
      <w:r w:rsidR="004D0E1C" w:rsidRPr="00763075">
        <w:rPr>
          <w:b/>
          <w:sz w:val="22"/>
          <w:szCs w:val="22"/>
          <w:lang w:val="bg-BG"/>
        </w:rPr>
        <w:t xml:space="preserve"> </w:t>
      </w:r>
      <w:r w:rsidR="001D5A2E" w:rsidRPr="00763075">
        <w:rPr>
          <w:b/>
          <w:sz w:val="22"/>
          <w:szCs w:val="22"/>
          <w:lang w:val="bg-BG"/>
        </w:rPr>
        <w:t>Фертилитет, бременност и кърмене</w:t>
      </w:r>
    </w:p>
    <w:p w14:paraId="4EB5DF71" w14:textId="77777777" w:rsidR="00634671" w:rsidRPr="00763075" w:rsidRDefault="00634671">
      <w:pPr>
        <w:pStyle w:val="BodyText3"/>
        <w:ind w:right="0"/>
        <w:rPr>
          <w:rFonts w:ascii="Times New Roman" w:hAnsi="Times New Roman"/>
          <w:sz w:val="22"/>
          <w:szCs w:val="22"/>
        </w:rPr>
      </w:pPr>
    </w:p>
    <w:p w14:paraId="249AF5E7" w14:textId="77777777" w:rsidR="00F961D9" w:rsidRPr="00763075" w:rsidRDefault="00F961D9">
      <w:pPr>
        <w:pStyle w:val="BodyText3"/>
        <w:ind w:right="0"/>
        <w:rPr>
          <w:rFonts w:ascii="Times New Roman" w:hAnsi="Times New Roman"/>
          <w:sz w:val="22"/>
          <w:szCs w:val="22"/>
          <w:u w:val="single"/>
        </w:rPr>
      </w:pPr>
      <w:proofErr w:type="spellStart"/>
      <w:r w:rsidRPr="00763075">
        <w:rPr>
          <w:rFonts w:ascii="Times New Roman" w:hAnsi="Times New Roman"/>
          <w:sz w:val="22"/>
          <w:szCs w:val="22"/>
          <w:u w:val="single"/>
          <w:lang w:val="en-US"/>
        </w:rPr>
        <w:t>Жени</w:t>
      </w:r>
      <w:proofErr w:type="spellEnd"/>
      <w:r w:rsidRPr="00763075">
        <w:rPr>
          <w:rFonts w:ascii="Times New Roman" w:hAnsi="Times New Roman"/>
          <w:sz w:val="22"/>
          <w:szCs w:val="22"/>
          <w:u w:val="single"/>
          <w:lang w:val="en-US"/>
        </w:rPr>
        <w:t xml:space="preserve"> с </w:t>
      </w:r>
      <w:proofErr w:type="spellStart"/>
      <w:r w:rsidRPr="00763075">
        <w:rPr>
          <w:rFonts w:ascii="Times New Roman" w:hAnsi="Times New Roman"/>
          <w:sz w:val="22"/>
          <w:szCs w:val="22"/>
          <w:u w:val="single"/>
          <w:lang w:val="en-US"/>
        </w:rPr>
        <w:t>детероден</w:t>
      </w:r>
      <w:proofErr w:type="spellEnd"/>
      <w:r w:rsidRPr="00763075">
        <w:rPr>
          <w:rFonts w:ascii="Times New Roman" w:hAnsi="Times New Roman"/>
          <w:sz w:val="22"/>
          <w:szCs w:val="22"/>
          <w:u w:val="single"/>
          <w:lang w:val="en-US"/>
        </w:rPr>
        <w:t xml:space="preserve"> </w:t>
      </w:r>
      <w:proofErr w:type="spellStart"/>
      <w:r w:rsidRPr="00763075">
        <w:rPr>
          <w:rFonts w:ascii="Times New Roman" w:hAnsi="Times New Roman"/>
          <w:sz w:val="22"/>
          <w:szCs w:val="22"/>
          <w:u w:val="single"/>
          <w:lang w:val="en-US"/>
        </w:rPr>
        <w:t>потенциал</w:t>
      </w:r>
      <w:proofErr w:type="spellEnd"/>
      <w:r w:rsidRPr="00763075">
        <w:rPr>
          <w:rFonts w:ascii="Times New Roman" w:hAnsi="Times New Roman"/>
          <w:sz w:val="22"/>
          <w:szCs w:val="22"/>
          <w:u w:val="single"/>
          <w:lang w:val="en-US"/>
        </w:rPr>
        <w:t xml:space="preserve"> / </w:t>
      </w:r>
      <w:proofErr w:type="spellStart"/>
      <w:r w:rsidRPr="00763075">
        <w:rPr>
          <w:rFonts w:ascii="Times New Roman" w:hAnsi="Times New Roman"/>
          <w:sz w:val="22"/>
          <w:szCs w:val="22"/>
          <w:u w:val="single"/>
          <w:lang w:val="en-US"/>
        </w:rPr>
        <w:t>Контрацепция</w:t>
      </w:r>
      <w:proofErr w:type="spellEnd"/>
      <w:r w:rsidRPr="00763075">
        <w:rPr>
          <w:rFonts w:ascii="Times New Roman" w:hAnsi="Times New Roman"/>
          <w:sz w:val="22"/>
          <w:szCs w:val="22"/>
          <w:u w:val="single"/>
          <w:lang w:val="en-US"/>
        </w:rPr>
        <w:t xml:space="preserve"> </w:t>
      </w:r>
      <w:proofErr w:type="spellStart"/>
      <w:r w:rsidRPr="00763075">
        <w:rPr>
          <w:rFonts w:ascii="Times New Roman" w:hAnsi="Times New Roman"/>
          <w:sz w:val="22"/>
          <w:szCs w:val="22"/>
          <w:u w:val="single"/>
          <w:lang w:val="en-US"/>
        </w:rPr>
        <w:t>при</w:t>
      </w:r>
      <w:proofErr w:type="spellEnd"/>
      <w:r w:rsidRPr="00763075">
        <w:rPr>
          <w:rFonts w:ascii="Times New Roman" w:hAnsi="Times New Roman"/>
          <w:sz w:val="22"/>
          <w:szCs w:val="22"/>
          <w:u w:val="single"/>
          <w:lang w:val="en-US"/>
        </w:rPr>
        <w:t xml:space="preserve"> </w:t>
      </w:r>
      <w:proofErr w:type="spellStart"/>
      <w:r w:rsidRPr="00763075">
        <w:rPr>
          <w:rFonts w:ascii="Times New Roman" w:hAnsi="Times New Roman"/>
          <w:sz w:val="22"/>
          <w:szCs w:val="22"/>
          <w:u w:val="single"/>
          <w:lang w:val="en-US"/>
        </w:rPr>
        <w:t>мъже</w:t>
      </w:r>
      <w:proofErr w:type="spellEnd"/>
      <w:r w:rsidRPr="00763075">
        <w:rPr>
          <w:rFonts w:ascii="Times New Roman" w:hAnsi="Times New Roman"/>
          <w:sz w:val="22"/>
          <w:szCs w:val="22"/>
          <w:u w:val="single"/>
          <w:lang w:val="en-US"/>
        </w:rPr>
        <w:t xml:space="preserve"> и </w:t>
      </w:r>
      <w:proofErr w:type="spellStart"/>
      <w:r w:rsidRPr="00763075">
        <w:rPr>
          <w:rFonts w:ascii="Times New Roman" w:hAnsi="Times New Roman"/>
          <w:sz w:val="22"/>
          <w:szCs w:val="22"/>
          <w:u w:val="single"/>
          <w:lang w:val="en-US"/>
        </w:rPr>
        <w:t>жени</w:t>
      </w:r>
      <w:proofErr w:type="spellEnd"/>
    </w:p>
    <w:p w14:paraId="0323C116" w14:textId="70EEFD96" w:rsidR="00F961D9" w:rsidRPr="00763075" w:rsidRDefault="00F961D9">
      <w:pPr>
        <w:pStyle w:val="BodyText3"/>
        <w:ind w:right="0"/>
        <w:rPr>
          <w:rFonts w:ascii="Times New Roman" w:hAnsi="Times New Roman"/>
          <w:sz w:val="22"/>
          <w:szCs w:val="22"/>
        </w:rPr>
      </w:pPr>
      <w:proofErr w:type="spellStart"/>
      <w:r w:rsidRPr="00763075">
        <w:rPr>
          <w:rFonts w:ascii="Times New Roman" w:hAnsi="Times New Roman"/>
          <w:sz w:val="22"/>
          <w:szCs w:val="22"/>
          <w:lang w:val="en-US"/>
        </w:rPr>
        <w:t>Жените</w:t>
      </w:r>
      <w:proofErr w:type="spellEnd"/>
      <w:r w:rsidRPr="00763075">
        <w:rPr>
          <w:rFonts w:ascii="Times New Roman" w:hAnsi="Times New Roman"/>
          <w:sz w:val="22"/>
          <w:szCs w:val="22"/>
          <w:lang w:val="en-US"/>
        </w:rPr>
        <w:t xml:space="preserve"> с </w:t>
      </w:r>
      <w:proofErr w:type="spellStart"/>
      <w:r w:rsidRPr="00763075">
        <w:rPr>
          <w:rFonts w:ascii="Times New Roman" w:hAnsi="Times New Roman"/>
          <w:sz w:val="22"/>
          <w:szCs w:val="22"/>
          <w:lang w:val="en-US"/>
        </w:rPr>
        <w:t>детероден</w:t>
      </w:r>
      <w:proofErr w:type="spellEnd"/>
      <w:r w:rsidRPr="00763075">
        <w:rPr>
          <w:rFonts w:ascii="Times New Roman" w:hAnsi="Times New Roman"/>
          <w:sz w:val="22"/>
          <w:szCs w:val="22"/>
          <w:lang w:val="en-US"/>
        </w:rPr>
        <w:t xml:space="preserve"> </w:t>
      </w:r>
      <w:proofErr w:type="spellStart"/>
      <w:r w:rsidRPr="00763075">
        <w:rPr>
          <w:rFonts w:ascii="Times New Roman" w:hAnsi="Times New Roman"/>
          <w:sz w:val="22"/>
          <w:szCs w:val="22"/>
          <w:lang w:val="en-US"/>
        </w:rPr>
        <w:t>потенциал</w:t>
      </w:r>
      <w:proofErr w:type="spellEnd"/>
      <w:r w:rsidRPr="00763075">
        <w:rPr>
          <w:rFonts w:ascii="Times New Roman" w:hAnsi="Times New Roman"/>
          <w:sz w:val="22"/>
          <w:szCs w:val="22"/>
          <w:lang w:val="en-US"/>
        </w:rPr>
        <w:t xml:space="preserve"> </w:t>
      </w:r>
      <w:proofErr w:type="spellStart"/>
      <w:r w:rsidRPr="00763075">
        <w:rPr>
          <w:rFonts w:ascii="Times New Roman" w:hAnsi="Times New Roman"/>
          <w:sz w:val="22"/>
          <w:szCs w:val="22"/>
          <w:lang w:val="en-US"/>
        </w:rPr>
        <w:t>трябва</w:t>
      </w:r>
      <w:proofErr w:type="spellEnd"/>
      <w:r w:rsidRPr="00763075">
        <w:rPr>
          <w:rFonts w:ascii="Times New Roman" w:hAnsi="Times New Roman"/>
          <w:sz w:val="22"/>
          <w:szCs w:val="22"/>
          <w:lang w:val="en-US"/>
        </w:rPr>
        <w:t xml:space="preserve"> </w:t>
      </w:r>
      <w:proofErr w:type="spellStart"/>
      <w:r w:rsidRPr="00763075">
        <w:rPr>
          <w:rFonts w:ascii="Times New Roman" w:hAnsi="Times New Roman"/>
          <w:sz w:val="22"/>
          <w:szCs w:val="22"/>
          <w:lang w:val="en-US"/>
        </w:rPr>
        <w:t>да</w:t>
      </w:r>
      <w:proofErr w:type="spellEnd"/>
      <w:r w:rsidRPr="00763075">
        <w:rPr>
          <w:rFonts w:ascii="Times New Roman" w:hAnsi="Times New Roman"/>
          <w:sz w:val="22"/>
          <w:szCs w:val="22"/>
          <w:lang w:val="en-US"/>
        </w:rPr>
        <w:t xml:space="preserve"> </w:t>
      </w:r>
      <w:proofErr w:type="spellStart"/>
      <w:r w:rsidRPr="00763075">
        <w:rPr>
          <w:rFonts w:ascii="Times New Roman" w:hAnsi="Times New Roman"/>
          <w:sz w:val="22"/>
          <w:szCs w:val="22"/>
          <w:lang w:val="en-US"/>
        </w:rPr>
        <w:t>използват</w:t>
      </w:r>
      <w:proofErr w:type="spellEnd"/>
      <w:r w:rsidRPr="00763075">
        <w:rPr>
          <w:rFonts w:ascii="Times New Roman" w:hAnsi="Times New Roman"/>
          <w:sz w:val="22"/>
          <w:szCs w:val="22"/>
          <w:lang w:val="en-US"/>
        </w:rPr>
        <w:t xml:space="preserve"> </w:t>
      </w:r>
      <w:proofErr w:type="spellStart"/>
      <w:r w:rsidRPr="00763075">
        <w:rPr>
          <w:rFonts w:ascii="Times New Roman" w:hAnsi="Times New Roman"/>
          <w:sz w:val="22"/>
          <w:szCs w:val="22"/>
          <w:lang w:val="en-US"/>
        </w:rPr>
        <w:t>ефективна</w:t>
      </w:r>
      <w:proofErr w:type="spellEnd"/>
      <w:r w:rsidRPr="00763075">
        <w:rPr>
          <w:rFonts w:ascii="Times New Roman" w:hAnsi="Times New Roman"/>
          <w:sz w:val="22"/>
          <w:szCs w:val="22"/>
          <w:lang w:val="en-US"/>
        </w:rPr>
        <w:t xml:space="preserve"> </w:t>
      </w:r>
      <w:proofErr w:type="spellStart"/>
      <w:r w:rsidRPr="00763075">
        <w:rPr>
          <w:rFonts w:ascii="Times New Roman" w:hAnsi="Times New Roman"/>
          <w:sz w:val="22"/>
          <w:szCs w:val="22"/>
          <w:lang w:val="en-US"/>
        </w:rPr>
        <w:t>контрацепция</w:t>
      </w:r>
      <w:proofErr w:type="spellEnd"/>
      <w:r w:rsidRPr="00763075">
        <w:rPr>
          <w:rFonts w:ascii="Times New Roman" w:hAnsi="Times New Roman"/>
          <w:sz w:val="22"/>
          <w:szCs w:val="22"/>
          <w:lang w:val="en-US"/>
        </w:rPr>
        <w:t xml:space="preserve"> </w:t>
      </w:r>
      <w:proofErr w:type="spellStart"/>
      <w:r w:rsidRPr="00763075">
        <w:rPr>
          <w:rFonts w:ascii="Times New Roman" w:hAnsi="Times New Roman"/>
          <w:sz w:val="22"/>
          <w:szCs w:val="22"/>
          <w:lang w:val="en-US"/>
        </w:rPr>
        <w:t>за</w:t>
      </w:r>
      <w:proofErr w:type="spellEnd"/>
      <w:r w:rsidRPr="00763075">
        <w:rPr>
          <w:rFonts w:ascii="Times New Roman" w:hAnsi="Times New Roman"/>
          <w:sz w:val="22"/>
          <w:szCs w:val="22"/>
          <w:lang w:val="en-US"/>
        </w:rPr>
        <w:t xml:space="preserve"> </w:t>
      </w:r>
      <w:proofErr w:type="spellStart"/>
      <w:r w:rsidRPr="00763075">
        <w:rPr>
          <w:rFonts w:ascii="Times New Roman" w:hAnsi="Times New Roman"/>
          <w:sz w:val="22"/>
          <w:szCs w:val="22"/>
          <w:lang w:val="en-US"/>
        </w:rPr>
        <w:t>предотвратяване</w:t>
      </w:r>
      <w:proofErr w:type="spellEnd"/>
      <w:r w:rsidRPr="00763075">
        <w:rPr>
          <w:rFonts w:ascii="Times New Roman" w:hAnsi="Times New Roman"/>
          <w:sz w:val="22"/>
          <w:szCs w:val="22"/>
          <w:lang w:val="en-US"/>
        </w:rPr>
        <w:t xml:space="preserve"> </w:t>
      </w:r>
      <w:proofErr w:type="spellStart"/>
      <w:r w:rsidRPr="00763075">
        <w:rPr>
          <w:rFonts w:ascii="Times New Roman" w:hAnsi="Times New Roman"/>
          <w:sz w:val="22"/>
          <w:szCs w:val="22"/>
          <w:lang w:val="en-US"/>
        </w:rPr>
        <w:t>на</w:t>
      </w:r>
      <w:proofErr w:type="spellEnd"/>
      <w:r w:rsidRPr="00763075">
        <w:rPr>
          <w:rFonts w:ascii="Times New Roman" w:hAnsi="Times New Roman"/>
          <w:sz w:val="22"/>
          <w:szCs w:val="22"/>
          <w:lang w:val="en-US"/>
        </w:rPr>
        <w:t xml:space="preserve"> </w:t>
      </w:r>
      <w:proofErr w:type="spellStart"/>
      <w:r w:rsidRPr="00763075">
        <w:rPr>
          <w:rFonts w:ascii="Times New Roman" w:hAnsi="Times New Roman"/>
          <w:sz w:val="22"/>
          <w:szCs w:val="22"/>
          <w:lang w:val="en-US"/>
        </w:rPr>
        <w:t>бременност</w:t>
      </w:r>
      <w:proofErr w:type="spellEnd"/>
      <w:r w:rsidRPr="00763075">
        <w:rPr>
          <w:rFonts w:ascii="Times New Roman" w:hAnsi="Times New Roman"/>
          <w:sz w:val="22"/>
          <w:szCs w:val="22"/>
          <w:lang w:val="en-US"/>
        </w:rPr>
        <w:t xml:space="preserve"> </w:t>
      </w:r>
      <w:proofErr w:type="spellStart"/>
      <w:r w:rsidRPr="00763075">
        <w:rPr>
          <w:rFonts w:ascii="Times New Roman" w:hAnsi="Times New Roman"/>
          <w:sz w:val="22"/>
          <w:szCs w:val="22"/>
          <w:lang w:val="en-US"/>
        </w:rPr>
        <w:t>по</w:t>
      </w:r>
      <w:proofErr w:type="spellEnd"/>
      <w:r w:rsidRPr="00763075">
        <w:rPr>
          <w:rFonts w:ascii="Times New Roman" w:hAnsi="Times New Roman"/>
          <w:sz w:val="22"/>
          <w:szCs w:val="22"/>
          <w:lang w:val="en-US"/>
        </w:rPr>
        <w:t xml:space="preserve"> </w:t>
      </w:r>
      <w:proofErr w:type="spellStart"/>
      <w:r w:rsidRPr="00763075">
        <w:rPr>
          <w:rFonts w:ascii="Times New Roman" w:hAnsi="Times New Roman"/>
          <w:sz w:val="22"/>
          <w:szCs w:val="22"/>
          <w:lang w:val="en-US"/>
        </w:rPr>
        <w:t>време</w:t>
      </w:r>
      <w:proofErr w:type="spellEnd"/>
      <w:r w:rsidRPr="00763075">
        <w:rPr>
          <w:rFonts w:ascii="Times New Roman" w:hAnsi="Times New Roman"/>
          <w:sz w:val="22"/>
          <w:szCs w:val="22"/>
          <w:lang w:val="en-US"/>
        </w:rPr>
        <w:t xml:space="preserve"> </w:t>
      </w:r>
      <w:proofErr w:type="spellStart"/>
      <w:r w:rsidRPr="00763075">
        <w:rPr>
          <w:rFonts w:ascii="Times New Roman" w:hAnsi="Times New Roman"/>
          <w:sz w:val="22"/>
          <w:szCs w:val="22"/>
          <w:lang w:val="en-US"/>
        </w:rPr>
        <w:t>на</w:t>
      </w:r>
      <w:proofErr w:type="spellEnd"/>
      <w:r w:rsidRPr="00763075">
        <w:rPr>
          <w:rFonts w:ascii="Times New Roman" w:hAnsi="Times New Roman"/>
          <w:sz w:val="22"/>
          <w:szCs w:val="22"/>
          <w:lang w:val="en-US"/>
        </w:rPr>
        <w:t xml:space="preserve"> </w:t>
      </w:r>
      <w:proofErr w:type="spellStart"/>
      <w:r w:rsidRPr="00763075">
        <w:rPr>
          <w:rFonts w:ascii="Times New Roman" w:hAnsi="Times New Roman"/>
          <w:sz w:val="22"/>
          <w:szCs w:val="22"/>
          <w:lang w:val="en-US"/>
        </w:rPr>
        <w:t>лечението</w:t>
      </w:r>
      <w:proofErr w:type="spellEnd"/>
      <w:r w:rsidRPr="00763075">
        <w:rPr>
          <w:rFonts w:ascii="Times New Roman" w:hAnsi="Times New Roman"/>
          <w:sz w:val="22"/>
          <w:szCs w:val="22"/>
          <w:lang w:val="en-US"/>
        </w:rPr>
        <w:t xml:space="preserve"> с </w:t>
      </w:r>
      <w:proofErr w:type="spellStart"/>
      <w:r w:rsidRPr="00763075">
        <w:rPr>
          <w:rFonts w:ascii="Times New Roman" w:hAnsi="Times New Roman"/>
          <w:sz w:val="22"/>
          <w:szCs w:val="22"/>
          <w:lang w:val="en-US"/>
        </w:rPr>
        <w:t>хидроксизин</w:t>
      </w:r>
      <w:proofErr w:type="spellEnd"/>
      <w:r w:rsidRPr="00763075">
        <w:rPr>
          <w:rFonts w:ascii="Times New Roman" w:hAnsi="Times New Roman"/>
          <w:sz w:val="22"/>
          <w:szCs w:val="22"/>
          <w:lang w:val="en-US"/>
        </w:rPr>
        <w:t>.</w:t>
      </w:r>
    </w:p>
    <w:p w14:paraId="0DB32AB5" w14:textId="77777777" w:rsidR="00F961D9" w:rsidRPr="00763075" w:rsidRDefault="00F961D9">
      <w:pPr>
        <w:pStyle w:val="BodyText3"/>
        <w:ind w:right="0"/>
        <w:rPr>
          <w:rFonts w:ascii="Times New Roman" w:hAnsi="Times New Roman"/>
          <w:sz w:val="22"/>
          <w:szCs w:val="22"/>
        </w:rPr>
      </w:pPr>
    </w:p>
    <w:p w14:paraId="198D6A54" w14:textId="1DBD9947" w:rsidR="00714989" w:rsidRPr="00763075" w:rsidRDefault="00714989">
      <w:pPr>
        <w:pStyle w:val="BodyText3"/>
        <w:ind w:right="0"/>
        <w:rPr>
          <w:rFonts w:ascii="Times New Roman" w:hAnsi="Times New Roman"/>
          <w:sz w:val="22"/>
          <w:szCs w:val="22"/>
          <w:u w:val="single"/>
        </w:rPr>
      </w:pPr>
      <w:r w:rsidRPr="00763075">
        <w:rPr>
          <w:rFonts w:ascii="Times New Roman" w:hAnsi="Times New Roman"/>
          <w:sz w:val="22"/>
          <w:szCs w:val="22"/>
          <w:u w:val="single"/>
        </w:rPr>
        <w:t>Бременност</w:t>
      </w:r>
    </w:p>
    <w:p w14:paraId="5E37340A" w14:textId="77777777" w:rsidR="006A14EC" w:rsidRPr="00763075" w:rsidRDefault="006A14EC">
      <w:pPr>
        <w:pStyle w:val="BodyText3"/>
        <w:ind w:right="0"/>
        <w:rPr>
          <w:rFonts w:ascii="Times New Roman" w:hAnsi="Times New Roman"/>
          <w:sz w:val="22"/>
          <w:szCs w:val="22"/>
        </w:rPr>
      </w:pPr>
      <w:r w:rsidRPr="00763075">
        <w:rPr>
          <w:rFonts w:ascii="Times New Roman" w:hAnsi="Times New Roman"/>
          <w:sz w:val="22"/>
          <w:szCs w:val="22"/>
        </w:rPr>
        <w:t xml:space="preserve">Изследванията при животни показват репродуктивна токсичност. </w:t>
      </w:r>
    </w:p>
    <w:p w14:paraId="06D449FD" w14:textId="77777777" w:rsidR="00773ABB" w:rsidRPr="00763075" w:rsidRDefault="00773ABB">
      <w:pPr>
        <w:jc w:val="both"/>
        <w:rPr>
          <w:sz w:val="22"/>
          <w:szCs w:val="22"/>
          <w:lang w:val="bg-BG"/>
        </w:rPr>
      </w:pPr>
    </w:p>
    <w:p w14:paraId="3E13F958" w14:textId="3D052FBF" w:rsidR="00714989" w:rsidRPr="00763075" w:rsidRDefault="006A14EC">
      <w:pPr>
        <w:jc w:val="both"/>
        <w:rPr>
          <w:sz w:val="22"/>
          <w:szCs w:val="22"/>
          <w:lang w:val="bg-BG"/>
        </w:rPr>
      </w:pPr>
      <w:r w:rsidRPr="00763075">
        <w:rPr>
          <w:sz w:val="22"/>
          <w:szCs w:val="22"/>
          <w:lang w:val="bg-BG"/>
        </w:rPr>
        <w:t xml:space="preserve">Хидроксизин преминава </w:t>
      </w:r>
      <w:r w:rsidR="00900B99" w:rsidRPr="00763075">
        <w:rPr>
          <w:sz w:val="22"/>
          <w:szCs w:val="22"/>
          <w:lang w:val="bg-BG"/>
        </w:rPr>
        <w:t>плацентарната бариера</w:t>
      </w:r>
      <w:r w:rsidR="00714989" w:rsidRPr="00763075">
        <w:rPr>
          <w:sz w:val="22"/>
          <w:szCs w:val="22"/>
          <w:lang w:val="bg-BG"/>
        </w:rPr>
        <w:t xml:space="preserve"> </w:t>
      </w:r>
      <w:r w:rsidRPr="00763075">
        <w:rPr>
          <w:sz w:val="22"/>
          <w:szCs w:val="22"/>
          <w:lang w:val="bg-BG"/>
        </w:rPr>
        <w:t xml:space="preserve">и води до </w:t>
      </w:r>
      <w:r w:rsidR="00714989" w:rsidRPr="00763075">
        <w:rPr>
          <w:sz w:val="22"/>
          <w:szCs w:val="22"/>
          <w:lang w:val="bg-BG"/>
        </w:rPr>
        <w:t xml:space="preserve">по-високи </w:t>
      </w:r>
      <w:r w:rsidRPr="00763075">
        <w:rPr>
          <w:sz w:val="22"/>
          <w:szCs w:val="22"/>
          <w:lang w:val="bg-BG"/>
        </w:rPr>
        <w:t xml:space="preserve">концентрации </w:t>
      </w:r>
      <w:r w:rsidR="00714989" w:rsidRPr="00763075">
        <w:rPr>
          <w:sz w:val="22"/>
          <w:szCs w:val="22"/>
          <w:lang w:val="bg-BG"/>
        </w:rPr>
        <w:t xml:space="preserve">в </w:t>
      </w:r>
      <w:r w:rsidRPr="00763075">
        <w:rPr>
          <w:sz w:val="22"/>
          <w:szCs w:val="22"/>
          <w:lang w:val="bg-BG"/>
        </w:rPr>
        <w:t xml:space="preserve">плода, от тези в майката. </w:t>
      </w:r>
      <w:r w:rsidR="00F31360" w:rsidRPr="00763075">
        <w:rPr>
          <w:noProof/>
          <w:sz w:val="22"/>
          <w:szCs w:val="22"/>
          <w:lang w:val="bg-BG"/>
        </w:rPr>
        <w:t>До момента няма релевантни епидемиологични данни</w:t>
      </w:r>
      <w:r w:rsidR="00F31360" w:rsidRPr="00763075">
        <w:rPr>
          <w:sz w:val="22"/>
          <w:szCs w:val="22"/>
          <w:lang w:val="bg-BG"/>
        </w:rPr>
        <w:t xml:space="preserve"> за</w:t>
      </w:r>
      <w:r w:rsidR="00810FF1" w:rsidRPr="00763075">
        <w:rPr>
          <w:sz w:val="22"/>
          <w:szCs w:val="22"/>
          <w:lang w:val="bg-BG"/>
        </w:rPr>
        <w:t xml:space="preserve"> </w:t>
      </w:r>
      <w:r w:rsidRPr="00763075">
        <w:rPr>
          <w:sz w:val="22"/>
          <w:szCs w:val="22"/>
          <w:lang w:val="bg-BG"/>
        </w:rPr>
        <w:t xml:space="preserve">прилагането на </w:t>
      </w:r>
      <w:r w:rsidR="00714989" w:rsidRPr="00763075">
        <w:rPr>
          <w:sz w:val="22"/>
          <w:szCs w:val="22"/>
          <w:lang w:val="bg-BG"/>
        </w:rPr>
        <w:t xml:space="preserve">хидроксизин </w:t>
      </w:r>
      <w:r w:rsidRPr="00763075">
        <w:rPr>
          <w:sz w:val="22"/>
          <w:szCs w:val="22"/>
          <w:lang w:val="bg-BG"/>
        </w:rPr>
        <w:t xml:space="preserve">по време на бременност. </w:t>
      </w:r>
    </w:p>
    <w:p w14:paraId="2EE2AC1B" w14:textId="7EC4C92A" w:rsidR="006A14EC" w:rsidRPr="00763075" w:rsidRDefault="00D94CE1">
      <w:pPr>
        <w:jc w:val="both"/>
        <w:rPr>
          <w:sz w:val="22"/>
          <w:szCs w:val="22"/>
          <w:lang w:val="bg-BG"/>
        </w:rPr>
      </w:pPr>
      <w:r w:rsidRPr="00763075">
        <w:rPr>
          <w:sz w:val="22"/>
          <w:szCs w:val="22"/>
          <w:lang w:val="bg-BG"/>
        </w:rPr>
        <w:t>Поради това</w:t>
      </w:r>
      <w:r w:rsidR="0099711D" w:rsidRPr="00763075">
        <w:rPr>
          <w:sz w:val="22"/>
          <w:szCs w:val="22"/>
          <w:lang w:val="bg-BG"/>
        </w:rPr>
        <w:t xml:space="preserve">, </w:t>
      </w:r>
      <w:proofErr w:type="spellStart"/>
      <w:r w:rsidR="00714989" w:rsidRPr="00763075">
        <w:rPr>
          <w:sz w:val="22"/>
          <w:szCs w:val="22"/>
          <w:lang w:val="bg-BG"/>
        </w:rPr>
        <w:t>хидроксизин</w:t>
      </w:r>
      <w:proofErr w:type="spellEnd"/>
      <w:r w:rsidR="00714989" w:rsidRPr="00763075">
        <w:rPr>
          <w:sz w:val="22"/>
          <w:szCs w:val="22"/>
          <w:lang w:val="bg-BG"/>
        </w:rPr>
        <w:t xml:space="preserve"> </w:t>
      </w:r>
      <w:r w:rsidR="00343E80" w:rsidRPr="00763075">
        <w:rPr>
          <w:noProof/>
          <w:sz w:val="22"/>
          <w:szCs w:val="22"/>
          <w:lang w:val="bg-BG"/>
        </w:rPr>
        <w:t>е противопоказан</w:t>
      </w:r>
      <w:r w:rsidR="00F31360" w:rsidRPr="00763075">
        <w:rPr>
          <w:noProof/>
          <w:sz w:val="22"/>
          <w:szCs w:val="22"/>
          <w:lang w:val="bg-BG"/>
        </w:rPr>
        <w:t xml:space="preserve"> по време на </w:t>
      </w:r>
      <w:r w:rsidR="00714989" w:rsidRPr="00763075">
        <w:rPr>
          <w:noProof/>
          <w:sz w:val="22"/>
          <w:szCs w:val="22"/>
          <w:lang w:val="bg-BG"/>
        </w:rPr>
        <w:t>бременност</w:t>
      </w:r>
      <w:r w:rsidR="00714989" w:rsidRPr="00763075">
        <w:rPr>
          <w:sz w:val="22"/>
          <w:szCs w:val="22"/>
          <w:lang w:val="bg-BG"/>
        </w:rPr>
        <w:t>.</w:t>
      </w:r>
    </w:p>
    <w:p w14:paraId="42989DA6" w14:textId="77777777" w:rsidR="00714989" w:rsidRPr="00763075" w:rsidRDefault="00714989">
      <w:pPr>
        <w:jc w:val="both"/>
        <w:rPr>
          <w:sz w:val="22"/>
          <w:szCs w:val="22"/>
          <w:lang w:val="bg-BG"/>
        </w:rPr>
      </w:pPr>
    </w:p>
    <w:p w14:paraId="6B9EBBFA" w14:textId="439E4D99" w:rsidR="00714989" w:rsidRPr="00763075" w:rsidRDefault="00714989">
      <w:pPr>
        <w:jc w:val="both"/>
        <w:rPr>
          <w:sz w:val="22"/>
          <w:szCs w:val="22"/>
          <w:u w:val="single"/>
          <w:lang w:val="bg-BG"/>
        </w:rPr>
      </w:pPr>
      <w:r w:rsidRPr="00763075">
        <w:rPr>
          <w:sz w:val="22"/>
          <w:szCs w:val="22"/>
          <w:u w:val="single"/>
          <w:lang w:val="bg-BG"/>
        </w:rPr>
        <w:t>Раждане</w:t>
      </w:r>
    </w:p>
    <w:p w14:paraId="28899EAA" w14:textId="421F775B" w:rsidR="00714989" w:rsidRPr="00763075" w:rsidRDefault="00714989">
      <w:pPr>
        <w:jc w:val="both"/>
        <w:rPr>
          <w:sz w:val="22"/>
          <w:szCs w:val="22"/>
          <w:lang w:val="bg-BG"/>
        </w:rPr>
      </w:pPr>
      <w:r w:rsidRPr="00763075">
        <w:rPr>
          <w:sz w:val="22"/>
          <w:szCs w:val="22"/>
          <w:lang w:val="bg-BG"/>
        </w:rPr>
        <w:lastRenderedPageBreak/>
        <w:t>При новородени, чиито майки са приемали хидроксизин през последните етапи на бременността и/или по време на раждането, са наблюдав</w:t>
      </w:r>
      <w:r w:rsidR="00471354" w:rsidRPr="00763075">
        <w:rPr>
          <w:sz w:val="22"/>
          <w:szCs w:val="22"/>
          <w:lang w:val="bg-BG"/>
        </w:rPr>
        <w:t>ани следните нежелани реакции веднага или само няколко часа след раждането</w:t>
      </w:r>
      <w:r w:rsidRPr="00763075">
        <w:rPr>
          <w:sz w:val="22"/>
          <w:szCs w:val="22"/>
          <w:lang w:val="bg-BG"/>
        </w:rPr>
        <w:t>: хипотония, двигателни нарушения, включително екстрапирамидни нарушения, клонични</w:t>
      </w:r>
      <w:r w:rsidR="00471354" w:rsidRPr="00763075">
        <w:rPr>
          <w:sz w:val="22"/>
          <w:szCs w:val="22"/>
          <w:lang w:val="bg-BG"/>
        </w:rPr>
        <w:t xml:space="preserve"> </w:t>
      </w:r>
      <w:r w:rsidRPr="00763075">
        <w:rPr>
          <w:sz w:val="22"/>
          <w:szCs w:val="22"/>
          <w:lang w:val="bg-BG"/>
        </w:rPr>
        <w:t>движения, подтискане на ЦНС, неонатални хипоксични състояния или задържане на урина.</w:t>
      </w:r>
    </w:p>
    <w:p w14:paraId="48F15F66" w14:textId="77777777" w:rsidR="006A14EC" w:rsidRPr="00763075" w:rsidRDefault="006A14EC">
      <w:pPr>
        <w:jc w:val="both"/>
        <w:rPr>
          <w:sz w:val="22"/>
          <w:szCs w:val="22"/>
          <w:lang w:val="bg-BG"/>
        </w:rPr>
      </w:pPr>
    </w:p>
    <w:p w14:paraId="2C891029" w14:textId="213DAE24" w:rsidR="00471354" w:rsidRPr="00763075" w:rsidRDefault="00471354">
      <w:pPr>
        <w:jc w:val="both"/>
        <w:rPr>
          <w:sz w:val="22"/>
          <w:szCs w:val="22"/>
          <w:u w:val="single"/>
          <w:lang w:val="bg-BG"/>
        </w:rPr>
      </w:pPr>
      <w:r w:rsidRPr="00763075">
        <w:rPr>
          <w:sz w:val="22"/>
          <w:szCs w:val="22"/>
          <w:u w:val="single"/>
          <w:lang w:val="bg-BG"/>
        </w:rPr>
        <w:t>Кърмене</w:t>
      </w:r>
    </w:p>
    <w:p w14:paraId="6EE5B2DB" w14:textId="13F629F7" w:rsidR="00343E80" w:rsidRPr="00763075" w:rsidRDefault="00343E80">
      <w:pPr>
        <w:jc w:val="both"/>
        <w:rPr>
          <w:sz w:val="22"/>
          <w:szCs w:val="22"/>
          <w:lang w:val="bg-BG"/>
        </w:rPr>
      </w:pPr>
      <w:r w:rsidRPr="00763075">
        <w:rPr>
          <w:sz w:val="22"/>
          <w:szCs w:val="22"/>
          <w:lang w:val="bg-BG"/>
        </w:rPr>
        <w:t>Цетиризин</w:t>
      </w:r>
      <w:r w:rsidR="00471354" w:rsidRPr="00763075">
        <w:rPr>
          <w:sz w:val="22"/>
          <w:szCs w:val="22"/>
          <w:lang w:val="bg-BG"/>
        </w:rPr>
        <w:t xml:space="preserve"> - </w:t>
      </w:r>
      <w:r w:rsidRPr="00763075">
        <w:rPr>
          <w:sz w:val="22"/>
          <w:szCs w:val="22"/>
          <w:lang w:val="bg-BG"/>
        </w:rPr>
        <w:t>основният метаболит на хидроксизин се отделя в майчиното мляко.</w:t>
      </w:r>
    </w:p>
    <w:p w14:paraId="7D0B5D7D" w14:textId="2622E4EA" w:rsidR="00343E80" w:rsidRPr="00763075" w:rsidRDefault="00343E80">
      <w:pPr>
        <w:jc w:val="both"/>
        <w:rPr>
          <w:sz w:val="22"/>
          <w:szCs w:val="22"/>
          <w:lang w:val="bg-BG"/>
        </w:rPr>
      </w:pPr>
      <w:r w:rsidRPr="00763075">
        <w:rPr>
          <w:sz w:val="22"/>
          <w:szCs w:val="22"/>
          <w:lang w:val="bg-BG"/>
        </w:rPr>
        <w:t>Въпреки</w:t>
      </w:r>
      <w:r w:rsidR="003A7BD5" w:rsidRPr="00763075">
        <w:rPr>
          <w:sz w:val="22"/>
          <w:szCs w:val="22"/>
          <w:lang w:val="bg-BG"/>
        </w:rPr>
        <w:t>,</w:t>
      </w:r>
      <w:r w:rsidRPr="00763075">
        <w:rPr>
          <w:sz w:val="22"/>
          <w:szCs w:val="22"/>
          <w:lang w:val="bg-BG"/>
        </w:rPr>
        <w:t xml:space="preserve"> че </w:t>
      </w:r>
      <w:r w:rsidR="003A7BD5" w:rsidRPr="00763075">
        <w:rPr>
          <w:sz w:val="22"/>
          <w:szCs w:val="22"/>
          <w:lang w:val="bg-BG"/>
        </w:rPr>
        <w:t>не са провеждани</w:t>
      </w:r>
      <w:r w:rsidRPr="00763075">
        <w:rPr>
          <w:sz w:val="22"/>
          <w:szCs w:val="22"/>
          <w:lang w:val="bg-BG"/>
        </w:rPr>
        <w:t xml:space="preserve"> </w:t>
      </w:r>
      <w:r w:rsidR="00471354" w:rsidRPr="00763075">
        <w:rPr>
          <w:sz w:val="22"/>
          <w:szCs w:val="22"/>
          <w:lang w:val="bg-BG"/>
        </w:rPr>
        <w:t xml:space="preserve">изрични </w:t>
      </w:r>
      <w:r w:rsidRPr="00763075">
        <w:rPr>
          <w:sz w:val="22"/>
          <w:szCs w:val="22"/>
          <w:lang w:val="bg-BG"/>
        </w:rPr>
        <w:t xml:space="preserve">проучвания </w:t>
      </w:r>
      <w:r w:rsidR="003A7BD5" w:rsidRPr="00763075">
        <w:rPr>
          <w:sz w:val="22"/>
          <w:szCs w:val="22"/>
          <w:lang w:val="bg-BG"/>
        </w:rPr>
        <w:t>за</w:t>
      </w:r>
      <w:r w:rsidRPr="00763075">
        <w:rPr>
          <w:sz w:val="22"/>
          <w:szCs w:val="22"/>
          <w:lang w:val="bg-BG"/>
        </w:rPr>
        <w:t xml:space="preserve"> екскрецията на хидроксизин в </w:t>
      </w:r>
      <w:r w:rsidR="003A7BD5" w:rsidRPr="00763075">
        <w:rPr>
          <w:sz w:val="22"/>
          <w:szCs w:val="22"/>
          <w:lang w:val="bg-BG"/>
        </w:rPr>
        <w:t>майчиното</w:t>
      </w:r>
      <w:r w:rsidRPr="00763075">
        <w:rPr>
          <w:sz w:val="22"/>
          <w:szCs w:val="22"/>
          <w:lang w:val="bg-BG"/>
        </w:rPr>
        <w:t xml:space="preserve"> мляко, тежки нежелани </w:t>
      </w:r>
      <w:r w:rsidR="003A7BD5" w:rsidRPr="00763075">
        <w:rPr>
          <w:sz w:val="22"/>
          <w:szCs w:val="22"/>
          <w:lang w:val="bg-BG"/>
        </w:rPr>
        <w:t>реакции</w:t>
      </w:r>
      <w:r w:rsidRPr="00763075">
        <w:rPr>
          <w:sz w:val="22"/>
          <w:szCs w:val="22"/>
          <w:lang w:val="bg-BG"/>
        </w:rPr>
        <w:t xml:space="preserve"> са били </w:t>
      </w:r>
      <w:r w:rsidR="003A7BD5" w:rsidRPr="00763075">
        <w:rPr>
          <w:sz w:val="22"/>
          <w:szCs w:val="22"/>
          <w:lang w:val="bg-BG"/>
        </w:rPr>
        <w:t>установени при</w:t>
      </w:r>
      <w:r w:rsidRPr="00763075">
        <w:rPr>
          <w:sz w:val="22"/>
          <w:szCs w:val="22"/>
          <w:lang w:val="bg-BG"/>
        </w:rPr>
        <w:t xml:space="preserve"> кърмените новородени/бебета на майки, лекувани</w:t>
      </w:r>
      <w:r w:rsidR="003A7BD5" w:rsidRPr="00763075">
        <w:rPr>
          <w:sz w:val="22"/>
          <w:szCs w:val="22"/>
          <w:lang w:val="bg-BG"/>
        </w:rPr>
        <w:t xml:space="preserve"> с хидроксизин</w:t>
      </w:r>
      <w:r w:rsidRPr="00763075">
        <w:rPr>
          <w:sz w:val="22"/>
          <w:szCs w:val="22"/>
          <w:lang w:val="bg-BG"/>
        </w:rPr>
        <w:t xml:space="preserve">. </w:t>
      </w:r>
      <w:r w:rsidR="00D94CE1" w:rsidRPr="00763075">
        <w:rPr>
          <w:sz w:val="22"/>
          <w:szCs w:val="22"/>
          <w:lang w:val="bg-BG"/>
        </w:rPr>
        <w:t xml:space="preserve">Поради това, </w:t>
      </w:r>
      <w:r w:rsidR="00471354" w:rsidRPr="00763075">
        <w:rPr>
          <w:sz w:val="22"/>
          <w:szCs w:val="22"/>
          <w:lang w:val="bg-BG"/>
        </w:rPr>
        <w:t xml:space="preserve">хидроксизин </w:t>
      </w:r>
      <w:r w:rsidR="00964F44" w:rsidRPr="00763075">
        <w:rPr>
          <w:sz w:val="22"/>
          <w:szCs w:val="22"/>
          <w:lang w:val="bg-BG"/>
        </w:rPr>
        <w:t xml:space="preserve">е </w:t>
      </w:r>
      <w:r w:rsidRPr="00763075">
        <w:rPr>
          <w:sz w:val="22"/>
          <w:szCs w:val="22"/>
          <w:lang w:val="bg-BG"/>
        </w:rPr>
        <w:t xml:space="preserve">противопоказан по време на кърмене. Кърменето трябва да бъде спряно, ако </w:t>
      </w:r>
      <w:r w:rsidR="003A7BD5" w:rsidRPr="00763075">
        <w:rPr>
          <w:sz w:val="22"/>
          <w:szCs w:val="22"/>
          <w:lang w:val="bg-BG"/>
        </w:rPr>
        <w:t xml:space="preserve">е необходимо лечение с </w:t>
      </w:r>
      <w:r w:rsidR="00471354" w:rsidRPr="00763075">
        <w:rPr>
          <w:sz w:val="22"/>
          <w:szCs w:val="22"/>
          <w:lang w:val="bg-BG"/>
        </w:rPr>
        <w:t>хидроксизин</w:t>
      </w:r>
      <w:r w:rsidRPr="00763075">
        <w:rPr>
          <w:sz w:val="22"/>
          <w:szCs w:val="22"/>
          <w:lang w:val="bg-BG"/>
        </w:rPr>
        <w:t>.</w:t>
      </w:r>
    </w:p>
    <w:p w14:paraId="47DEB9EA" w14:textId="77777777" w:rsidR="005B00CC" w:rsidRPr="00763075" w:rsidRDefault="005B00CC">
      <w:pPr>
        <w:jc w:val="both"/>
        <w:rPr>
          <w:b/>
          <w:sz w:val="22"/>
          <w:szCs w:val="22"/>
        </w:rPr>
      </w:pPr>
    </w:p>
    <w:p w14:paraId="1C987419" w14:textId="3A8025C9" w:rsidR="0046685C" w:rsidRPr="00763075" w:rsidRDefault="00F31360">
      <w:pPr>
        <w:jc w:val="both"/>
        <w:rPr>
          <w:sz w:val="22"/>
          <w:szCs w:val="22"/>
          <w:lang w:val="bg-BG"/>
        </w:rPr>
      </w:pPr>
      <w:r w:rsidRPr="00763075">
        <w:rPr>
          <w:b/>
          <w:sz w:val="22"/>
          <w:szCs w:val="22"/>
          <w:lang w:val="bg-BG"/>
        </w:rPr>
        <w:t>4.7</w:t>
      </w:r>
      <w:r w:rsidR="004D0E1C" w:rsidRPr="00763075">
        <w:rPr>
          <w:b/>
          <w:sz w:val="22"/>
          <w:szCs w:val="22"/>
          <w:lang w:val="bg-BG"/>
        </w:rPr>
        <w:t xml:space="preserve"> </w:t>
      </w:r>
      <w:r w:rsidR="0046685C" w:rsidRPr="00763075">
        <w:rPr>
          <w:b/>
          <w:sz w:val="22"/>
          <w:szCs w:val="22"/>
          <w:lang w:val="bg-BG"/>
        </w:rPr>
        <w:t>Ефекти върху способността за шофиране и работа с машини</w:t>
      </w:r>
    </w:p>
    <w:p w14:paraId="1FAAB641" w14:textId="77777777" w:rsidR="006A14EC" w:rsidRPr="00763075" w:rsidRDefault="006A14EC">
      <w:pPr>
        <w:jc w:val="both"/>
        <w:rPr>
          <w:sz w:val="22"/>
          <w:szCs w:val="22"/>
          <w:lang w:val="bg-BG"/>
        </w:rPr>
      </w:pPr>
    </w:p>
    <w:p w14:paraId="731EA6EA" w14:textId="72E9A63C" w:rsidR="006A14EC" w:rsidRPr="00763075" w:rsidRDefault="001E29AE">
      <w:pPr>
        <w:jc w:val="both"/>
        <w:rPr>
          <w:sz w:val="22"/>
          <w:szCs w:val="22"/>
          <w:lang w:val="bg-BG"/>
        </w:rPr>
      </w:pPr>
      <w:r w:rsidRPr="00763075">
        <w:rPr>
          <w:sz w:val="22"/>
          <w:szCs w:val="22"/>
          <w:lang w:val="bg-BG"/>
        </w:rPr>
        <w:t xml:space="preserve">Атаракс </w:t>
      </w:r>
      <w:r w:rsidR="006A14EC" w:rsidRPr="00763075">
        <w:rPr>
          <w:sz w:val="22"/>
          <w:szCs w:val="22"/>
          <w:lang w:val="bg-BG"/>
        </w:rPr>
        <w:t xml:space="preserve">може да наруши </w:t>
      </w:r>
      <w:r w:rsidR="00F31360" w:rsidRPr="00763075">
        <w:rPr>
          <w:sz w:val="22"/>
          <w:szCs w:val="22"/>
          <w:lang w:val="bg-BG"/>
        </w:rPr>
        <w:t xml:space="preserve">способността за </w:t>
      </w:r>
      <w:r w:rsidR="009A2FE4" w:rsidRPr="00763075">
        <w:rPr>
          <w:sz w:val="22"/>
          <w:szCs w:val="22"/>
          <w:lang w:val="bg-BG"/>
        </w:rPr>
        <w:t>реакция</w:t>
      </w:r>
      <w:r w:rsidR="00184090" w:rsidRPr="00763075">
        <w:rPr>
          <w:sz w:val="22"/>
          <w:szCs w:val="22"/>
        </w:rPr>
        <w:t xml:space="preserve"> </w:t>
      </w:r>
      <w:r w:rsidR="006A14EC" w:rsidRPr="00763075">
        <w:rPr>
          <w:sz w:val="22"/>
          <w:szCs w:val="22"/>
          <w:lang w:val="bg-BG"/>
        </w:rPr>
        <w:t>и концентрация.</w:t>
      </w:r>
      <w:r w:rsidR="00810FF1" w:rsidRPr="00763075">
        <w:rPr>
          <w:sz w:val="22"/>
          <w:szCs w:val="22"/>
          <w:lang w:val="bg-BG"/>
        </w:rPr>
        <w:t xml:space="preserve"> </w:t>
      </w:r>
      <w:r w:rsidR="006A14EC" w:rsidRPr="00763075">
        <w:rPr>
          <w:sz w:val="22"/>
          <w:szCs w:val="22"/>
          <w:lang w:val="bg-BG"/>
        </w:rPr>
        <w:t>Пациентите трябва да бъдат предупредени за тази възможност и да бъдат посъветвани да не шофират или работят с машини.</w:t>
      </w:r>
      <w:r w:rsidR="00F31360" w:rsidRPr="00763075">
        <w:rPr>
          <w:sz w:val="22"/>
          <w:szCs w:val="22"/>
          <w:lang w:val="bg-BG"/>
        </w:rPr>
        <w:t xml:space="preserve"> </w:t>
      </w:r>
    </w:p>
    <w:p w14:paraId="79F64DE6" w14:textId="1F5A822D" w:rsidR="006A14EC" w:rsidRPr="00763075" w:rsidRDefault="00F31360">
      <w:pPr>
        <w:jc w:val="both"/>
        <w:rPr>
          <w:sz w:val="22"/>
          <w:szCs w:val="22"/>
          <w:lang w:val="bg-BG"/>
        </w:rPr>
      </w:pPr>
      <w:r w:rsidRPr="00763075">
        <w:rPr>
          <w:sz w:val="22"/>
          <w:szCs w:val="22"/>
          <w:lang w:val="bg-BG"/>
        </w:rPr>
        <w:t xml:space="preserve">Едновременната употреба </w:t>
      </w:r>
      <w:r w:rsidR="006A14EC" w:rsidRPr="00763075">
        <w:rPr>
          <w:sz w:val="22"/>
          <w:szCs w:val="22"/>
          <w:lang w:val="bg-BG"/>
        </w:rPr>
        <w:t xml:space="preserve">на </w:t>
      </w:r>
      <w:r w:rsidR="001E29AE" w:rsidRPr="00763075">
        <w:rPr>
          <w:sz w:val="22"/>
          <w:szCs w:val="22"/>
          <w:lang w:val="bg-BG"/>
        </w:rPr>
        <w:t>Атаракс</w:t>
      </w:r>
      <w:r w:rsidR="001E29AE" w:rsidRPr="00763075">
        <w:rPr>
          <w:b/>
          <w:i/>
          <w:sz w:val="22"/>
          <w:szCs w:val="22"/>
          <w:lang w:val="bg-BG"/>
        </w:rPr>
        <w:t xml:space="preserve"> </w:t>
      </w:r>
      <w:r w:rsidRPr="00763075">
        <w:rPr>
          <w:sz w:val="22"/>
          <w:szCs w:val="22"/>
          <w:lang w:val="bg-BG"/>
        </w:rPr>
        <w:t>и</w:t>
      </w:r>
      <w:r w:rsidR="006A14EC" w:rsidRPr="00763075">
        <w:rPr>
          <w:sz w:val="22"/>
          <w:szCs w:val="22"/>
          <w:lang w:val="bg-BG"/>
        </w:rPr>
        <w:t xml:space="preserve"> алкохол или други седативни </w:t>
      </w:r>
      <w:r w:rsidRPr="00763075">
        <w:rPr>
          <w:sz w:val="22"/>
          <w:szCs w:val="22"/>
          <w:lang w:val="bg-BG"/>
        </w:rPr>
        <w:t>лекарства</w:t>
      </w:r>
      <w:r w:rsidR="006A14EC" w:rsidRPr="00763075">
        <w:rPr>
          <w:sz w:val="22"/>
          <w:szCs w:val="22"/>
          <w:lang w:val="bg-BG"/>
        </w:rPr>
        <w:t xml:space="preserve">, трябва да се избягва, </w:t>
      </w:r>
      <w:r w:rsidR="00146951" w:rsidRPr="00763075">
        <w:rPr>
          <w:sz w:val="22"/>
          <w:szCs w:val="22"/>
          <w:lang w:val="bg-BG"/>
        </w:rPr>
        <w:t>тъй като той</w:t>
      </w:r>
      <w:r w:rsidR="006A14EC" w:rsidRPr="00763075">
        <w:rPr>
          <w:sz w:val="22"/>
          <w:szCs w:val="22"/>
          <w:lang w:val="bg-BG"/>
        </w:rPr>
        <w:t xml:space="preserve"> засилва на тези ефекти. </w:t>
      </w:r>
    </w:p>
    <w:p w14:paraId="6E4BB009" w14:textId="77777777" w:rsidR="00471354" w:rsidRPr="00763075" w:rsidRDefault="00471354">
      <w:pPr>
        <w:jc w:val="both"/>
        <w:rPr>
          <w:sz w:val="22"/>
          <w:szCs w:val="22"/>
          <w:lang w:val="bg-BG"/>
        </w:rPr>
      </w:pPr>
    </w:p>
    <w:p w14:paraId="12509F9B" w14:textId="77777777" w:rsidR="0046685C" w:rsidRPr="00763075" w:rsidRDefault="0046685C" w:rsidP="00F04A21">
      <w:pPr>
        <w:numPr>
          <w:ilvl w:val="1"/>
          <w:numId w:val="19"/>
        </w:numPr>
        <w:tabs>
          <w:tab w:val="clear" w:pos="570"/>
          <w:tab w:val="num" w:pos="426"/>
        </w:tabs>
        <w:ind w:left="0" w:firstLine="0"/>
        <w:jc w:val="both"/>
        <w:rPr>
          <w:b/>
          <w:sz w:val="22"/>
          <w:szCs w:val="22"/>
          <w:lang w:val="bg-BG"/>
        </w:rPr>
      </w:pPr>
      <w:r w:rsidRPr="00763075">
        <w:rPr>
          <w:b/>
          <w:sz w:val="22"/>
          <w:szCs w:val="22"/>
          <w:lang w:val="bg-BG"/>
        </w:rPr>
        <w:t>Нежелани лекарствени реакции</w:t>
      </w:r>
    </w:p>
    <w:p w14:paraId="3E5E1CB4" w14:textId="77777777" w:rsidR="00F31360" w:rsidRPr="00763075" w:rsidRDefault="00F31360">
      <w:pPr>
        <w:pStyle w:val="BodyText3"/>
        <w:ind w:right="0"/>
        <w:rPr>
          <w:rFonts w:ascii="Times New Roman" w:hAnsi="Times New Roman"/>
          <w:sz w:val="22"/>
          <w:szCs w:val="22"/>
        </w:rPr>
      </w:pPr>
    </w:p>
    <w:p w14:paraId="3B7FF869" w14:textId="77777777" w:rsidR="00F31360" w:rsidRPr="00763075" w:rsidRDefault="00F31360">
      <w:pPr>
        <w:pStyle w:val="BodyText3"/>
        <w:ind w:right="0"/>
        <w:rPr>
          <w:rFonts w:ascii="Times New Roman" w:hAnsi="Times New Roman"/>
          <w:sz w:val="22"/>
          <w:szCs w:val="22"/>
          <w:u w:val="single"/>
        </w:rPr>
      </w:pPr>
      <w:r w:rsidRPr="00763075">
        <w:rPr>
          <w:rFonts w:ascii="Times New Roman" w:hAnsi="Times New Roman"/>
          <w:sz w:val="22"/>
          <w:szCs w:val="22"/>
          <w:u w:val="single"/>
        </w:rPr>
        <w:t>Клинични проучвания</w:t>
      </w:r>
    </w:p>
    <w:p w14:paraId="1C0EA619" w14:textId="77777777" w:rsidR="00270E77" w:rsidRPr="00763075" w:rsidRDefault="00270E77">
      <w:pPr>
        <w:pStyle w:val="BodyText3"/>
        <w:ind w:right="0"/>
        <w:rPr>
          <w:rFonts w:ascii="Times New Roman" w:hAnsi="Times New Roman"/>
          <w:sz w:val="22"/>
          <w:szCs w:val="22"/>
          <w:u w:val="single"/>
        </w:rPr>
      </w:pPr>
    </w:p>
    <w:p w14:paraId="090E0D70" w14:textId="1AEDAEB6" w:rsidR="006929F8" w:rsidRPr="00763075" w:rsidRDefault="006929F8">
      <w:pPr>
        <w:pStyle w:val="BodyText3"/>
        <w:numPr>
          <w:ilvl w:val="0"/>
          <w:numId w:val="40"/>
        </w:numPr>
        <w:ind w:right="0"/>
        <w:rPr>
          <w:rFonts w:ascii="Times New Roman" w:hAnsi="Times New Roman"/>
          <w:sz w:val="22"/>
          <w:szCs w:val="22"/>
          <w:lang w:val="en-US"/>
        </w:rPr>
      </w:pPr>
      <w:r w:rsidRPr="00763075">
        <w:rPr>
          <w:rFonts w:ascii="Times New Roman" w:hAnsi="Times New Roman"/>
          <w:sz w:val="22"/>
          <w:szCs w:val="22"/>
        </w:rPr>
        <w:t>Преглед</w:t>
      </w:r>
    </w:p>
    <w:p w14:paraId="2B543956" w14:textId="4D143A55" w:rsidR="006929F8" w:rsidRPr="00763075" w:rsidRDefault="006929F8">
      <w:pPr>
        <w:pStyle w:val="BodyText3"/>
        <w:ind w:left="709" w:right="0"/>
        <w:rPr>
          <w:rFonts w:ascii="Times New Roman" w:hAnsi="Times New Roman"/>
          <w:sz w:val="22"/>
          <w:szCs w:val="22"/>
        </w:rPr>
      </w:pPr>
      <w:r w:rsidRPr="00763075">
        <w:rPr>
          <w:rFonts w:ascii="Times New Roman" w:hAnsi="Times New Roman"/>
          <w:sz w:val="22"/>
          <w:szCs w:val="22"/>
        </w:rPr>
        <w:t xml:space="preserve">Нежеланите лекарствени реакции са свързани основно с подтискане на ЦНС или парадоксално ЦНС стимулиране, </w:t>
      </w:r>
      <w:r w:rsidR="00270E77" w:rsidRPr="00763075">
        <w:rPr>
          <w:rFonts w:ascii="Times New Roman" w:hAnsi="Times New Roman"/>
          <w:sz w:val="22"/>
          <w:szCs w:val="22"/>
        </w:rPr>
        <w:t xml:space="preserve">с </w:t>
      </w:r>
      <w:r w:rsidRPr="00763075">
        <w:rPr>
          <w:rFonts w:ascii="Times New Roman" w:hAnsi="Times New Roman"/>
          <w:sz w:val="22"/>
          <w:szCs w:val="22"/>
        </w:rPr>
        <w:t>антихолинерг</w:t>
      </w:r>
      <w:r w:rsidR="00270E77" w:rsidRPr="00763075">
        <w:rPr>
          <w:rFonts w:ascii="Times New Roman" w:hAnsi="Times New Roman"/>
          <w:sz w:val="22"/>
          <w:szCs w:val="22"/>
        </w:rPr>
        <w:t>ична активност или с реакции</w:t>
      </w:r>
      <w:r w:rsidRPr="00763075">
        <w:rPr>
          <w:rFonts w:ascii="Times New Roman" w:hAnsi="Times New Roman"/>
          <w:sz w:val="22"/>
          <w:szCs w:val="22"/>
        </w:rPr>
        <w:t xml:space="preserve"> на свръхчувствителност.</w:t>
      </w:r>
    </w:p>
    <w:p w14:paraId="7A2FE6DD" w14:textId="77777777" w:rsidR="00270E77" w:rsidRPr="00763075" w:rsidRDefault="00270E77">
      <w:pPr>
        <w:pStyle w:val="BodyText3"/>
        <w:ind w:left="709" w:right="0"/>
        <w:rPr>
          <w:rFonts w:ascii="Times New Roman" w:hAnsi="Times New Roman"/>
          <w:sz w:val="22"/>
          <w:szCs w:val="22"/>
        </w:rPr>
      </w:pPr>
    </w:p>
    <w:p w14:paraId="1AB8AC6A" w14:textId="057A4748" w:rsidR="00270E77" w:rsidRPr="00763075" w:rsidRDefault="00270E77">
      <w:pPr>
        <w:pStyle w:val="BodyText3"/>
        <w:numPr>
          <w:ilvl w:val="0"/>
          <w:numId w:val="40"/>
        </w:numPr>
        <w:ind w:right="0"/>
        <w:rPr>
          <w:rFonts w:ascii="Times New Roman" w:hAnsi="Times New Roman"/>
          <w:sz w:val="22"/>
          <w:szCs w:val="22"/>
        </w:rPr>
      </w:pPr>
      <w:r w:rsidRPr="00763075">
        <w:rPr>
          <w:rFonts w:ascii="Times New Roman" w:hAnsi="Times New Roman"/>
          <w:sz w:val="22"/>
          <w:szCs w:val="22"/>
        </w:rPr>
        <w:t>Списък на нежеланите лекарствени реакции</w:t>
      </w:r>
    </w:p>
    <w:p w14:paraId="6DBFDD25" w14:textId="4286A75B" w:rsidR="00641A6F" w:rsidRPr="00763075" w:rsidRDefault="00F31360">
      <w:pPr>
        <w:pStyle w:val="BodyText3"/>
        <w:ind w:left="709" w:right="0"/>
        <w:rPr>
          <w:rFonts w:ascii="Times New Roman" w:hAnsi="Times New Roman"/>
          <w:sz w:val="22"/>
          <w:szCs w:val="22"/>
        </w:rPr>
      </w:pPr>
      <w:r w:rsidRPr="00763075">
        <w:rPr>
          <w:rFonts w:ascii="Times New Roman" w:hAnsi="Times New Roman"/>
          <w:sz w:val="22"/>
          <w:szCs w:val="22"/>
        </w:rPr>
        <w:t xml:space="preserve">Хидроксизин </w:t>
      </w:r>
      <w:r w:rsidR="00270E77" w:rsidRPr="00763075">
        <w:rPr>
          <w:rFonts w:ascii="Times New Roman" w:hAnsi="Times New Roman"/>
          <w:sz w:val="22"/>
          <w:szCs w:val="22"/>
        </w:rPr>
        <w:t xml:space="preserve">при </w:t>
      </w:r>
      <w:r w:rsidR="00641A6F" w:rsidRPr="00763075">
        <w:rPr>
          <w:rFonts w:ascii="Times New Roman" w:hAnsi="Times New Roman"/>
          <w:sz w:val="22"/>
          <w:szCs w:val="22"/>
        </w:rPr>
        <w:t>перорално приложение:</w:t>
      </w:r>
      <w:r w:rsidR="00270E77" w:rsidRPr="00763075">
        <w:rPr>
          <w:rFonts w:ascii="Times New Roman" w:hAnsi="Times New Roman"/>
          <w:sz w:val="22"/>
          <w:szCs w:val="22"/>
        </w:rPr>
        <w:t xml:space="preserve"> </w:t>
      </w:r>
      <w:r w:rsidR="00641A6F" w:rsidRPr="00763075">
        <w:rPr>
          <w:rFonts w:ascii="Times New Roman" w:hAnsi="Times New Roman"/>
          <w:sz w:val="22"/>
          <w:szCs w:val="22"/>
        </w:rPr>
        <w:t>Таблицата по-долу включва нежеланите лекарствени реакции докладвани в плацебо-контролирани клинични проучвания с честота поне 1% за хидроксизин и включва 735 пациента</w:t>
      </w:r>
      <w:r w:rsidR="00270E77" w:rsidRPr="00763075">
        <w:rPr>
          <w:rFonts w:ascii="Times New Roman" w:hAnsi="Times New Roman"/>
          <w:sz w:val="22"/>
          <w:szCs w:val="22"/>
        </w:rPr>
        <w:t>, приемащи</w:t>
      </w:r>
      <w:r w:rsidR="00641A6F" w:rsidRPr="00763075">
        <w:rPr>
          <w:rFonts w:ascii="Times New Roman" w:hAnsi="Times New Roman"/>
          <w:sz w:val="22"/>
          <w:szCs w:val="22"/>
        </w:rPr>
        <w:t xml:space="preserve"> хидроксизин до </w:t>
      </w:r>
      <w:r w:rsidR="009A2C02" w:rsidRPr="00763075">
        <w:rPr>
          <w:rFonts w:ascii="Times New Roman" w:hAnsi="Times New Roman"/>
          <w:sz w:val="22"/>
          <w:szCs w:val="22"/>
        </w:rPr>
        <w:t>50 </w:t>
      </w:r>
      <w:r w:rsidR="00641A6F" w:rsidRPr="00763075">
        <w:rPr>
          <w:rFonts w:ascii="Times New Roman" w:hAnsi="Times New Roman"/>
          <w:sz w:val="22"/>
          <w:szCs w:val="22"/>
        </w:rPr>
        <w:t>mg дн</w:t>
      </w:r>
      <w:r w:rsidR="00270E77" w:rsidRPr="00763075">
        <w:rPr>
          <w:rFonts w:ascii="Times New Roman" w:hAnsi="Times New Roman"/>
          <w:sz w:val="22"/>
          <w:szCs w:val="22"/>
        </w:rPr>
        <w:t>евно</w:t>
      </w:r>
      <w:r w:rsidR="00641A6F" w:rsidRPr="00763075">
        <w:rPr>
          <w:rFonts w:ascii="Times New Roman" w:hAnsi="Times New Roman"/>
          <w:sz w:val="22"/>
          <w:szCs w:val="22"/>
        </w:rPr>
        <w:t xml:space="preserve"> и 630 пациента</w:t>
      </w:r>
      <w:r w:rsidR="00270E77" w:rsidRPr="00763075">
        <w:rPr>
          <w:rFonts w:ascii="Times New Roman" w:hAnsi="Times New Roman"/>
          <w:sz w:val="22"/>
          <w:szCs w:val="22"/>
        </w:rPr>
        <w:t>, приемащи</w:t>
      </w:r>
      <w:r w:rsidR="00641A6F" w:rsidRPr="00763075">
        <w:rPr>
          <w:rFonts w:ascii="Times New Roman" w:hAnsi="Times New Roman"/>
          <w:sz w:val="22"/>
          <w:szCs w:val="22"/>
        </w:rPr>
        <w:t xml:space="preserve"> плацебо.</w:t>
      </w:r>
    </w:p>
    <w:p w14:paraId="7493CD4C" w14:textId="77777777" w:rsidR="00641A6F" w:rsidRPr="00763075" w:rsidRDefault="00641A6F">
      <w:pPr>
        <w:pStyle w:val="BodyText3"/>
        <w:ind w:left="709" w:right="0"/>
        <w:rPr>
          <w:rFonts w:ascii="Times New Roman" w:hAnsi="Times New Roman"/>
          <w:sz w:val="22"/>
          <w:szCs w:val="22"/>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842"/>
        <w:gridCol w:w="1843"/>
      </w:tblGrid>
      <w:tr w:rsidR="00641A6F" w:rsidRPr="00763075" w14:paraId="51D7677F" w14:textId="77777777" w:rsidTr="005B00CC">
        <w:tc>
          <w:tcPr>
            <w:tcW w:w="2093" w:type="dxa"/>
            <w:shd w:val="clear" w:color="auto" w:fill="auto"/>
          </w:tcPr>
          <w:p w14:paraId="7313FD1D" w14:textId="77777777" w:rsidR="00641A6F" w:rsidRPr="00763075" w:rsidRDefault="001D3EAA">
            <w:pPr>
              <w:pStyle w:val="BodyText3"/>
              <w:ind w:right="0"/>
              <w:rPr>
                <w:rFonts w:ascii="Times New Roman" w:hAnsi="Times New Roman"/>
                <w:sz w:val="22"/>
                <w:szCs w:val="22"/>
              </w:rPr>
            </w:pPr>
            <w:r w:rsidRPr="00763075">
              <w:rPr>
                <w:rFonts w:ascii="Times New Roman" w:hAnsi="Times New Roman"/>
                <w:sz w:val="22"/>
                <w:szCs w:val="22"/>
              </w:rPr>
              <w:t>Нежелано събитие</w:t>
            </w:r>
          </w:p>
          <w:p w14:paraId="6537DC5C" w14:textId="216CA993" w:rsidR="00792F80" w:rsidRPr="00763075" w:rsidRDefault="00792F80">
            <w:pPr>
              <w:pStyle w:val="BodyText3"/>
              <w:ind w:right="0"/>
              <w:rPr>
                <w:rFonts w:ascii="Times New Roman" w:hAnsi="Times New Roman"/>
                <w:sz w:val="22"/>
                <w:szCs w:val="22"/>
              </w:rPr>
            </w:pPr>
            <w:r w:rsidRPr="00763075">
              <w:rPr>
                <w:rFonts w:ascii="Times New Roman" w:hAnsi="Times New Roman"/>
                <w:sz w:val="22"/>
                <w:szCs w:val="22"/>
              </w:rPr>
              <w:t>(НС)</w:t>
            </w:r>
          </w:p>
        </w:tc>
        <w:tc>
          <w:tcPr>
            <w:tcW w:w="1842" w:type="dxa"/>
            <w:shd w:val="clear" w:color="auto" w:fill="auto"/>
          </w:tcPr>
          <w:p w14:paraId="2B0DAA16" w14:textId="42CF2D5E" w:rsidR="00641A6F" w:rsidRPr="00763075" w:rsidRDefault="001D3EAA">
            <w:pPr>
              <w:pStyle w:val="BodyText3"/>
              <w:ind w:right="0"/>
              <w:jc w:val="center"/>
              <w:rPr>
                <w:rFonts w:ascii="Times New Roman" w:hAnsi="Times New Roman"/>
                <w:sz w:val="22"/>
                <w:szCs w:val="22"/>
              </w:rPr>
            </w:pPr>
            <w:r w:rsidRPr="00763075">
              <w:rPr>
                <w:rFonts w:ascii="Times New Roman" w:hAnsi="Times New Roman"/>
                <w:sz w:val="22"/>
                <w:szCs w:val="22"/>
              </w:rPr>
              <w:t xml:space="preserve">% </w:t>
            </w:r>
            <w:r w:rsidR="00792F80" w:rsidRPr="00763075">
              <w:rPr>
                <w:rFonts w:ascii="Times New Roman" w:hAnsi="Times New Roman"/>
                <w:sz w:val="22"/>
                <w:szCs w:val="22"/>
              </w:rPr>
              <w:t xml:space="preserve">на </w:t>
            </w:r>
            <w:r w:rsidRPr="00763075">
              <w:rPr>
                <w:rFonts w:ascii="Times New Roman" w:hAnsi="Times New Roman"/>
                <w:sz w:val="22"/>
                <w:szCs w:val="22"/>
              </w:rPr>
              <w:t xml:space="preserve">НС </w:t>
            </w:r>
          </w:p>
          <w:p w14:paraId="4642E0B7" w14:textId="77777777" w:rsidR="001D3EAA" w:rsidRPr="00763075" w:rsidRDefault="001D3EAA">
            <w:pPr>
              <w:pStyle w:val="BodyText3"/>
              <w:ind w:right="0"/>
              <w:jc w:val="center"/>
              <w:rPr>
                <w:rFonts w:ascii="Times New Roman" w:hAnsi="Times New Roman"/>
                <w:sz w:val="22"/>
                <w:szCs w:val="22"/>
              </w:rPr>
            </w:pPr>
            <w:r w:rsidRPr="00763075">
              <w:rPr>
                <w:rFonts w:ascii="Times New Roman" w:hAnsi="Times New Roman"/>
                <w:sz w:val="22"/>
                <w:szCs w:val="22"/>
              </w:rPr>
              <w:t>хидроксизин</w:t>
            </w:r>
          </w:p>
        </w:tc>
        <w:tc>
          <w:tcPr>
            <w:tcW w:w="1843" w:type="dxa"/>
            <w:shd w:val="clear" w:color="auto" w:fill="auto"/>
          </w:tcPr>
          <w:p w14:paraId="0EB39457" w14:textId="210C4ACA" w:rsidR="001D3EAA" w:rsidRPr="00763075" w:rsidRDefault="001D3EAA">
            <w:pPr>
              <w:pStyle w:val="BodyText3"/>
              <w:ind w:right="0"/>
              <w:jc w:val="center"/>
              <w:rPr>
                <w:rFonts w:ascii="Times New Roman" w:hAnsi="Times New Roman"/>
                <w:sz w:val="22"/>
                <w:szCs w:val="22"/>
              </w:rPr>
            </w:pPr>
            <w:r w:rsidRPr="00763075">
              <w:rPr>
                <w:rFonts w:ascii="Times New Roman" w:hAnsi="Times New Roman"/>
                <w:sz w:val="22"/>
                <w:szCs w:val="22"/>
              </w:rPr>
              <w:t xml:space="preserve">% </w:t>
            </w:r>
            <w:r w:rsidR="00792F80" w:rsidRPr="00763075">
              <w:rPr>
                <w:rFonts w:ascii="Times New Roman" w:hAnsi="Times New Roman"/>
                <w:sz w:val="22"/>
                <w:szCs w:val="22"/>
              </w:rPr>
              <w:t xml:space="preserve">на </w:t>
            </w:r>
            <w:r w:rsidRPr="00763075">
              <w:rPr>
                <w:rFonts w:ascii="Times New Roman" w:hAnsi="Times New Roman"/>
                <w:sz w:val="22"/>
                <w:szCs w:val="22"/>
              </w:rPr>
              <w:t xml:space="preserve">НС </w:t>
            </w:r>
          </w:p>
          <w:p w14:paraId="1A4E8880" w14:textId="77777777" w:rsidR="00641A6F" w:rsidRPr="00763075" w:rsidRDefault="001D3EAA">
            <w:pPr>
              <w:pStyle w:val="BodyText3"/>
              <w:ind w:right="0"/>
              <w:jc w:val="center"/>
              <w:rPr>
                <w:rFonts w:ascii="Times New Roman" w:hAnsi="Times New Roman"/>
                <w:sz w:val="22"/>
                <w:szCs w:val="22"/>
              </w:rPr>
            </w:pPr>
            <w:r w:rsidRPr="00763075">
              <w:rPr>
                <w:rFonts w:ascii="Times New Roman" w:hAnsi="Times New Roman"/>
                <w:sz w:val="22"/>
                <w:szCs w:val="22"/>
              </w:rPr>
              <w:t>плацебо</w:t>
            </w:r>
          </w:p>
        </w:tc>
      </w:tr>
      <w:tr w:rsidR="00641A6F" w:rsidRPr="00763075" w14:paraId="126A3CED" w14:textId="77777777" w:rsidTr="005B00CC">
        <w:trPr>
          <w:trHeight w:val="1070"/>
        </w:trPr>
        <w:tc>
          <w:tcPr>
            <w:tcW w:w="2093" w:type="dxa"/>
            <w:tcBorders>
              <w:bottom w:val="single" w:sz="4" w:space="0" w:color="auto"/>
            </w:tcBorders>
            <w:shd w:val="clear" w:color="auto" w:fill="auto"/>
          </w:tcPr>
          <w:p w14:paraId="4FAA5A8A" w14:textId="77777777" w:rsidR="001D3EAA" w:rsidRPr="00763075" w:rsidRDefault="001D3EAA" w:rsidP="00763075">
            <w:pPr>
              <w:pStyle w:val="BodyText3"/>
              <w:ind w:right="0"/>
              <w:rPr>
                <w:rFonts w:ascii="Times New Roman" w:hAnsi="Times New Roman"/>
                <w:sz w:val="22"/>
                <w:szCs w:val="22"/>
              </w:rPr>
            </w:pPr>
            <w:r w:rsidRPr="00763075">
              <w:rPr>
                <w:rFonts w:ascii="Times New Roman" w:hAnsi="Times New Roman"/>
                <w:sz w:val="22"/>
                <w:szCs w:val="22"/>
              </w:rPr>
              <w:t>Сънливост</w:t>
            </w:r>
          </w:p>
          <w:p w14:paraId="55602D15" w14:textId="77777777" w:rsidR="001D3EAA" w:rsidRPr="00763075" w:rsidRDefault="001D3EAA" w:rsidP="00763075">
            <w:pPr>
              <w:pStyle w:val="BodyText3"/>
              <w:ind w:right="0"/>
              <w:rPr>
                <w:rFonts w:ascii="Times New Roman" w:hAnsi="Times New Roman"/>
                <w:sz w:val="22"/>
                <w:szCs w:val="22"/>
              </w:rPr>
            </w:pPr>
            <w:r w:rsidRPr="00763075">
              <w:rPr>
                <w:rFonts w:ascii="Times New Roman" w:hAnsi="Times New Roman"/>
                <w:sz w:val="22"/>
                <w:szCs w:val="22"/>
              </w:rPr>
              <w:t>Главоболие</w:t>
            </w:r>
          </w:p>
          <w:p w14:paraId="65AE6D5F" w14:textId="77777777" w:rsidR="001D3EAA" w:rsidRPr="00290B20" w:rsidRDefault="001D3EAA" w:rsidP="00290B20">
            <w:pPr>
              <w:pStyle w:val="BodyText3"/>
              <w:ind w:right="0"/>
              <w:rPr>
                <w:rFonts w:ascii="Times New Roman" w:hAnsi="Times New Roman"/>
                <w:sz w:val="22"/>
                <w:szCs w:val="22"/>
              </w:rPr>
            </w:pPr>
            <w:r w:rsidRPr="00290B20">
              <w:rPr>
                <w:rFonts w:ascii="Times New Roman" w:hAnsi="Times New Roman"/>
                <w:sz w:val="22"/>
                <w:szCs w:val="22"/>
              </w:rPr>
              <w:t>Умора</w:t>
            </w:r>
          </w:p>
          <w:p w14:paraId="6FA6C12E" w14:textId="77777777" w:rsidR="00641A6F" w:rsidRPr="00290B20" w:rsidRDefault="001D3EAA" w:rsidP="00290B20">
            <w:pPr>
              <w:pStyle w:val="BodyText3"/>
              <w:ind w:right="0"/>
              <w:rPr>
                <w:rFonts w:ascii="Times New Roman" w:hAnsi="Times New Roman"/>
                <w:sz w:val="22"/>
                <w:szCs w:val="22"/>
              </w:rPr>
            </w:pPr>
            <w:r w:rsidRPr="00290B20">
              <w:rPr>
                <w:rFonts w:ascii="Times New Roman" w:hAnsi="Times New Roman"/>
                <w:sz w:val="22"/>
                <w:szCs w:val="22"/>
              </w:rPr>
              <w:t>Сухота в устата</w:t>
            </w:r>
          </w:p>
        </w:tc>
        <w:tc>
          <w:tcPr>
            <w:tcW w:w="1842" w:type="dxa"/>
            <w:tcBorders>
              <w:bottom w:val="single" w:sz="4" w:space="0" w:color="auto"/>
            </w:tcBorders>
            <w:shd w:val="clear" w:color="auto" w:fill="auto"/>
          </w:tcPr>
          <w:p w14:paraId="6B4E0296" w14:textId="5CBCC5B0" w:rsidR="001D3EAA" w:rsidRPr="00290B20" w:rsidRDefault="00792F80" w:rsidP="00290B20">
            <w:pPr>
              <w:pStyle w:val="BodyText3"/>
              <w:ind w:right="0"/>
              <w:jc w:val="center"/>
              <w:rPr>
                <w:rFonts w:ascii="Times New Roman" w:hAnsi="Times New Roman"/>
                <w:sz w:val="22"/>
                <w:szCs w:val="22"/>
              </w:rPr>
            </w:pPr>
            <w:r w:rsidRPr="00290B20">
              <w:rPr>
                <w:rFonts w:ascii="Times New Roman" w:hAnsi="Times New Roman"/>
                <w:sz w:val="22"/>
                <w:szCs w:val="22"/>
              </w:rPr>
              <w:t>1</w:t>
            </w:r>
            <w:r w:rsidR="001D3EAA" w:rsidRPr="00290B20">
              <w:rPr>
                <w:rFonts w:ascii="Times New Roman" w:hAnsi="Times New Roman"/>
                <w:sz w:val="22"/>
                <w:szCs w:val="22"/>
              </w:rPr>
              <w:t>3,74</w:t>
            </w:r>
          </w:p>
          <w:p w14:paraId="2AC61E84" w14:textId="50F8D32B" w:rsidR="001D3EAA" w:rsidRPr="00763075" w:rsidRDefault="00792F80" w:rsidP="00290B20">
            <w:pPr>
              <w:pStyle w:val="BodyText3"/>
              <w:ind w:right="0"/>
              <w:jc w:val="center"/>
              <w:rPr>
                <w:rFonts w:ascii="Times New Roman" w:hAnsi="Times New Roman"/>
                <w:sz w:val="22"/>
                <w:szCs w:val="22"/>
              </w:rPr>
            </w:pPr>
            <w:r w:rsidRPr="00763075">
              <w:rPr>
                <w:rFonts w:ascii="Times New Roman" w:hAnsi="Times New Roman"/>
                <w:sz w:val="22"/>
                <w:szCs w:val="22"/>
              </w:rPr>
              <w:t xml:space="preserve">  </w:t>
            </w:r>
            <w:r w:rsidR="001D3EAA" w:rsidRPr="00763075">
              <w:rPr>
                <w:rFonts w:ascii="Times New Roman" w:hAnsi="Times New Roman"/>
                <w:sz w:val="22"/>
                <w:szCs w:val="22"/>
              </w:rPr>
              <w:t>1,63</w:t>
            </w:r>
          </w:p>
          <w:p w14:paraId="0D8D88B2" w14:textId="74C9F77A" w:rsidR="001D3EAA" w:rsidRPr="00763075" w:rsidRDefault="00792F80" w:rsidP="00290B20">
            <w:pPr>
              <w:pStyle w:val="BodyText3"/>
              <w:ind w:right="0"/>
              <w:jc w:val="center"/>
              <w:rPr>
                <w:rFonts w:ascii="Times New Roman" w:hAnsi="Times New Roman"/>
                <w:sz w:val="22"/>
                <w:szCs w:val="22"/>
              </w:rPr>
            </w:pPr>
            <w:r w:rsidRPr="00763075">
              <w:rPr>
                <w:rFonts w:ascii="Times New Roman" w:hAnsi="Times New Roman"/>
                <w:sz w:val="22"/>
                <w:szCs w:val="22"/>
              </w:rPr>
              <w:t xml:space="preserve">  </w:t>
            </w:r>
            <w:r w:rsidR="001D3EAA" w:rsidRPr="00763075">
              <w:rPr>
                <w:rFonts w:ascii="Times New Roman" w:hAnsi="Times New Roman"/>
                <w:sz w:val="22"/>
                <w:szCs w:val="22"/>
              </w:rPr>
              <w:t>1,36</w:t>
            </w:r>
          </w:p>
          <w:p w14:paraId="09C1C6DF" w14:textId="032801E1" w:rsidR="00641A6F" w:rsidRPr="00763075" w:rsidRDefault="00792F80" w:rsidP="00290B20">
            <w:pPr>
              <w:pStyle w:val="BodyText3"/>
              <w:ind w:right="0"/>
              <w:jc w:val="center"/>
              <w:rPr>
                <w:rFonts w:ascii="Times New Roman" w:hAnsi="Times New Roman"/>
                <w:sz w:val="22"/>
                <w:szCs w:val="22"/>
              </w:rPr>
            </w:pPr>
            <w:r w:rsidRPr="00763075">
              <w:rPr>
                <w:rFonts w:ascii="Times New Roman" w:hAnsi="Times New Roman"/>
                <w:sz w:val="22"/>
                <w:szCs w:val="22"/>
              </w:rPr>
              <w:t xml:space="preserve">  </w:t>
            </w:r>
            <w:r w:rsidR="001D3EAA" w:rsidRPr="00763075">
              <w:rPr>
                <w:rFonts w:ascii="Times New Roman" w:hAnsi="Times New Roman"/>
                <w:sz w:val="22"/>
                <w:szCs w:val="22"/>
              </w:rPr>
              <w:t>1,22</w:t>
            </w:r>
          </w:p>
        </w:tc>
        <w:tc>
          <w:tcPr>
            <w:tcW w:w="1843" w:type="dxa"/>
            <w:tcBorders>
              <w:bottom w:val="single" w:sz="4" w:space="0" w:color="auto"/>
            </w:tcBorders>
            <w:shd w:val="clear" w:color="auto" w:fill="auto"/>
          </w:tcPr>
          <w:p w14:paraId="69F700F2" w14:textId="77777777" w:rsidR="001D3EAA" w:rsidRPr="00763075" w:rsidRDefault="001D3EAA">
            <w:pPr>
              <w:pStyle w:val="BodyText3"/>
              <w:ind w:right="0"/>
              <w:jc w:val="center"/>
              <w:rPr>
                <w:rFonts w:ascii="Times New Roman" w:hAnsi="Times New Roman"/>
                <w:sz w:val="22"/>
                <w:szCs w:val="22"/>
              </w:rPr>
            </w:pPr>
            <w:r w:rsidRPr="00763075">
              <w:rPr>
                <w:rFonts w:ascii="Times New Roman" w:hAnsi="Times New Roman"/>
                <w:sz w:val="22"/>
                <w:szCs w:val="22"/>
              </w:rPr>
              <w:t>2,70</w:t>
            </w:r>
          </w:p>
          <w:p w14:paraId="43EC3D00" w14:textId="77777777" w:rsidR="001D3EAA" w:rsidRPr="00763075" w:rsidRDefault="001D3EAA">
            <w:pPr>
              <w:pStyle w:val="BodyText3"/>
              <w:ind w:right="0"/>
              <w:jc w:val="center"/>
              <w:rPr>
                <w:rFonts w:ascii="Times New Roman" w:hAnsi="Times New Roman"/>
                <w:sz w:val="22"/>
                <w:szCs w:val="22"/>
              </w:rPr>
            </w:pPr>
            <w:r w:rsidRPr="00763075">
              <w:rPr>
                <w:rFonts w:ascii="Times New Roman" w:hAnsi="Times New Roman"/>
                <w:sz w:val="22"/>
                <w:szCs w:val="22"/>
              </w:rPr>
              <w:t>1,90</w:t>
            </w:r>
          </w:p>
          <w:p w14:paraId="58ECF0DB" w14:textId="77777777" w:rsidR="001D3EAA" w:rsidRPr="00763075" w:rsidRDefault="001D3EAA">
            <w:pPr>
              <w:pStyle w:val="BodyText3"/>
              <w:ind w:right="0"/>
              <w:jc w:val="center"/>
              <w:rPr>
                <w:rFonts w:ascii="Times New Roman" w:hAnsi="Times New Roman"/>
                <w:sz w:val="22"/>
                <w:szCs w:val="22"/>
              </w:rPr>
            </w:pPr>
            <w:r w:rsidRPr="00763075">
              <w:rPr>
                <w:rFonts w:ascii="Times New Roman" w:hAnsi="Times New Roman"/>
                <w:sz w:val="22"/>
                <w:szCs w:val="22"/>
              </w:rPr>
              <w:t>0,63</w:t>
            </w:r>
          </w:p>
          <w:p w14:paraId="14E0E2D2" w14:textId="77777777" w:rsidR="00641A6F" w:rsidRPr="00763075" w:rsidRDefault="001D3EAA">
            <w:pPr>
              <w:pStyle w:val="BodyText3"/>
              <w:ind w:right="0"/>
              <w:jc w:val="center"/>
              <w:rPr>
                <w:rFonts w:ascii="Times New Roman" w:hAnsi="Times New Roman"/>
                <w:sz w:val="22"/>
                <w:szCs w:val="22"/>
              </w:rPr>
            </w:pPr>
            <w:r w:rsidRPr="00763075">
              <w:rPr>
                <w:rFonts w:ascii="Times New Roman" w:hAnsi="Times New Roman"/>
                <w:sz w:val="22"/>
                <w:szCs w:val="22"/>
              </w:rPr>
              <w:t>0,63</w:t>
            </w:r>
          </w:p>
        </w:tc>
      </w:tr>
    </w:tbl>
    <w:p w14:paraId="200C9A1C" w14:textId="77777777" w:rsidR="006929F8" w:rsidRPr="00763075" w:rsidRDefault="006929F8" w:rsidP="00763075">
      <w:pPr>
        <w:pStyle w:val="BodyText3"/>
        <w:ind w:right="0"/>
        <w:rPr>
          <w:rFonts w:ascii="Times New Roman" w:hAnsi="Times New Roman"/>
          <w:sz w:val="22"/>
          <w:szCs w:val="22"/>
        </w:rPr>
      </w:pPr>
    </w:p>
    <w:p w14:paraId="6134C617" w14:textId="22613ED2" w:rsidR="00792F80" w:rsidRPr="00763075" w:rsidRDefault="00792F80" w:rsidP="00763075">
      <w:pPr>
        <w:pStyle w:val="BodyText3"/>
        <w:numPr>
          <w:ilvl w:val="0"/>
          <w:numId w:val="40"/>
        </w:numPr>
        <w:rPr>
          <w:rFonts w:ascii="Times New Roman" w:hAnsi="Times New Roman"/>
          <w:sz w:val="22"/>
          <w:szCs w:val="22"/>
        </w:rPr>
      </w:pPr>
      <w:r w:rsidRPr="00763075">
        <w:rPr>
          <w:rFonts w:ascii="Times New Roman" w:hAnsi="Times New Roman"/>
          <w:sz w:val="22"/>
          <w:szCs w:val="22"/>
        </w:rPr>
        <w:t>Описание на избрани нежелани реакции</w:t>
      </w:r>
    </w:p>
    <w:p w14:paraId="29C6858D" w14:textId="4DC90420" w:rsidR="00792F80" w:rsidRPr="00763075" w:rsidRDefault="00792F80" w:rsidP="00290B20">
      <w:pPr>
        <w:pStyle w:val="BodyText3"/>
        <w:tabs>
          <w:tab w:val="left" w:pos="709"/>
        </w:tabs>
        <w:ind w:left="709" w:right="0"/>
        <w:rPr>
          <w:rFonts w:ascii="Times New Roman" w:hAnsi="Times New Roman"/>
          <w:sz w:val="22"/>
          <w:szCs w:val="22"/>
        </w:rPr>
      </w:pPr>
      <w:r w:rsidRPr="00290B20">
        <w:rPr>
          <w:rFonts w:ascii="Times New Roman" w:hAnsi="Times New Roman"/>
          <w:sz w:val="22"/>
          <w:szCs w:val="22"/>
        </w:rPr>
        <w:t>Следните нежелани реакции са били наблюдавани с цетиризин - основн</w:t>
      </w:r>
      <w:r w:rsidR="00580CE9" w:rsidRPr="00290B20">
        <w:rPr>
          <w:rFonts w:ascii="Times New Roman" w:hAnsi="Times New Roman"/>
          <w:sz w:val="22"/>
          <w:szCs w:val="22"/>
        </w:rPr>
        <w:t>ия</w:t>
      </w:r>
      <w:r w:rsidRPr="00290B20">
        <w:rPr>
          <w:rFonts w:ascii="Times New Roman" w:hAnsi="Times New Roman"/>
          <w:sz w:val="22"/>
          <w:szCs w:val="22"/>
        </w:rPr>
        <w:t xml:space="preserve"> метаболит на хидроксизин: тромбоцитопения, агресия, депресия, тик, дистония, парестезия, </w:t>
      </w:r>
      <w:r w:rsidRPr="00763075">
        <w:rPr>
          <w:rFonts w:ascii="Times New Roman" w:hAnsi="Times New Roman"/>
          <w:sz w:val="22"/>
          <w:szCs w:val="22"/>
        </w:rPr>
        <w:t>окулоги</w:t>
      </w:r>
      <w:r w:rsidR="002C47B2" w:rsidRPr="00763075">
        <w:rPr>
          <w:rFonts w:ascii="Times New Roman" w:hAnsi="Times New Roman"/>
          <w:sz w:val="22"/>
          <w:szCs w:val="22"/>
        </w:rPr>
        <w:t>рична</w:t>
      </w:r>
      <w:r w:rsidRPr="00763075">
        <w:rPr>
          <w:rFonts w:ascii="Times New Roman" w:hAnsi="Times New Roman"/>
          <w:sz w:val="22"/>
          <w:szCs w:val="22"/>
        </w:rPr>
        <w:t xml:space="preserve"> криза, диария, дизурия, напикаване, астения, оток, увеличен</w:t>
      </w:r>
      <w:r w:rsidR="00580CE9" w:rsidRPr="00763075">
        <w:rPr>
          <w:rFonts w:ascii="Times New Roman" w:hAnsi="Times New Roman"/>
          <w:sz w:val="22"/>
          <w:szCs w:val="22"/>
        </w:rPr>
        <w:t>ие на</w:t>
      </w:r>
      <w:r w:rsidRPr="00763075">
        <w:rPr>
          <w:rFonts w:ascii="Times New Roman" w:hAnsi="Times New Roman"/>
          <w:sz w:val="22"/>
          <w:szCs w:val="22"/>
        </w:rPr>
        <w:t xml:space="preserve"> тегло</w:t>
      </w:r>
      <w:r w:rsidR="00580CE9" w:rsidRPr="00763075">
        <w:rPr>
          <w:rFonts w:ascii="Times New Roman" w:hAnsi="Times New Roman"/>
          <w:sz w:val="22"/>
          <w:szCs w:val="22"/>
        </w:rPr>
        <w:t>то</w:t>
      </w:r>
      <w:r w:rsidRPr="00763075">
        <w:rPr>
          <w:rFonts w:ascii="Times New Roman" w:hAnsi="Times New Roman"/>
          <w:sz w:val="22"/>
          <w:szCs w:val="22"/>
        </w:rPr>
        <w:t xml:space="preserve">, </w:t>
      </w:r>
      <w:r w:rsidR="002C47B2" w:rsidRPr="00763075">
        <w:rPr>
          <w:rFonts w:ascii="Times New Roman" w:hAnsi="Times New Roman"/>
          <w:sz w:val="22"/>
          <w:szCs w:val="22"/>
        </w:rPr>
        <w:t>които</w:t>
      </w:r>
      <w:r w:rsidRPr="00763075">
        <w:rPr>
          <w:rFonts w:ascii="Times New Roman" w:hAnsi="Times New Roman"/>
          <w:sz w:val="22"/>
          <w:szCs w:val="22"/>
        </w:rPr>
        <w:t xml:space="preserve"> потенциално могат да възникнат с хидроксизин.</w:t>
      </w:r>
    </w:p>
    <w:p w14:paraId="72C50801" w14:textId="77777777" w:rsidR="002C47B2" w:rsidRPr="00763075" w:rsidRDefault="002C47B2" w:rsidP="00290B20">
      <w:pPr>
        <w:pStyle w:val="BodyText3"/>
        <w:ind w:right="0"/>
        <w:rPr>
          <w:rFonts w:ascii="Times New Roman" w:hAnsi="Times New Roman"/>
          <w:sz w:val="22"/>
          <w:szCs w:val="22"/>
        </w:rPr>
      </w:pPr>
    </w:p>
    <w:p w14:paraId="4D8E38AA" w14:textId="77777777" w:rsidR="00F31360" w:rsidRPr="00763075" w:rsidRDefault="001D3EAA" w:rsidP="00790316">
      <w:pPr>
        <w:pStyle w:val="BodyText3"/>
        <w:keepNext/>
        <w:ind w:right="0"/>
        <w:rPr>
          <w:rFonts w:ascii="Times New Roman" w:hAnsi="Times New Roman"/>
          <w:sz w:val="22"/>
          <w:szCs w:val="22"/>
          <w:u w:val="single"/>
        </w:rPr>
      </w:pPr>
      <w:r w:rsidRPr="00763075">
        <w:rPr>
          <w:rFonts w:ascii="Times New Roman" w:hAnsi="Times New Roman"/>
          <w:sz w:val="22"/>
          <w:szCs w:val="22"/>
          <w:u w:val="single"/>
        </w:rPr>
        <w:lastRenderedPageBreak/>
        <w:t>Пост-маркетингов опит</w:t>
      </w:r>
    </w:p>
    <w:p w14:paraId="6420C080" w14:textId="2CD019AF" w:rsidR="001D3EAA" w:rsidRPr="00763075" w:rsidRDefault="00013D33" w:rsidP="00790316">
      <w:pPr>
        <w:pStyle w:val="BodyText3"/>
        <w:keepNext/>
        <w:ind w:right="0"/>
        <w:rPr>
          <w:rFonts w:ascii="Times New Roman" w:hAnsi="Times New Roman"/>
          <w:sz w:val="22"/>
          <w:szCs w:val="22"/>
        </w:rPr>
      </w:pPr>
      <w:r w:rsidRPr="00763075">
        <w:rPr>
          <w:rFonts w:ascii="Times New Roman" w:hAnsi="Times New Roman"/>
          <w:sz w:val="22"/>
          <w:szCs w:val="22"/>
        </w:rPr>
        <w:t xml:space="preserve">Списъкът </w:t>
      </w:r>
      <w:r w:rsidR="001D3EAA" w:rsidRPr="00763075">
        <w:rPr>
          <w:rFonts w:ascii="Times New Roman" w:hAnsi="Times New Roman"/>
          <w:sz w:val="22"/>
          <w:szCs w:val="22"/>
        </w:rPr>
        <w:t>по-долу</w:t>
      </w:r>
      <w:r w:rsidR="00E64389" w:rsidRPr="00763075">
        <w:rPr>
          <w:rFonts w:ascii="Times New Roman" w:hAnsi="Times New Roman"/>
          <w:sz w:val="22"/>
          <w:szCs w:val="22"/>
        </w:rPr>
        <w:t xml:space="preserve"> изброява </w:t>
      </w:r>
      <w:r w:rsidR="00E17EE2" w:rsidRPr="00763075">
        <w:rPr>
          <w:rFonts w:ascii="Times New Roman" w:hAnsi="Times New Roman"/>
          <w:sz w:val="22"/>
          <w:szCs w:val="22"/>
        </w:rPr>
        <w:t xml:space="preserve">по </w:t>
      </w:r>
      <w:r w:rsidR="002C47B2" w:rsidRPr="00763075">
        <w:rPr>
          <w:rFonts w:ascii="Times New Roman" w:hAnsi="Times New Roman"/>
          <w:sz w:val="22"/>
          <w:szCs w:val="22"/>
        </w:rPr>
        <w:t xml:space="preserve">категории </w:t>
      </w:r>
      <w:r w:rsidR="00E64389" w:rsidRPr="00763075">
        <w:rPr>
          <w:rFonts w:ascii="Times New Roman" w:hAnsi="Times New Roman"/>
          <w:sz w:val="22"/>
          <w:szCs w:val="22"/>
        </w:rPr>
        <w:t>органн</w:t>
      </w:r>
      <w:r w:rsidR="00E17EE2" w:rsidRPr="00763075">
        <w:rPr>
          <w:rFonts w:ascii="Times New Roman" w:hAnsi="Times New Roman"/>
          <w:sz w:val="22"/>
          <w:szCs w:val="22"/>
        </w:rPr>
        <w:t>и</w:t>
      </w:r>
      <w:r w:rsidR="00E64389" w:rsidRPr="00763075">
        <w:rPr>
          <w:rFonts w:ascii="Times New Roman" w:hAnsi="Times New Roman"/>
          <w:sz w:val="22"/>
          <w:szCs w:val="22"/>
        </w:rPr>
        <w:t xml:space="preserve"> систем</w:t>
      </w:r>
      <w:r w:rsidR="00E17EE2" w:rsidRPr="00763075">
        <w:rPr>
          <w:rFonts w:ascii="Times New Roman" w:hAnsi="Times New Roman"/>
          <w:sz w:val="22"/>
          <w:szCs w:val="22"/>
        </w:rPr>
        <w:t>и</w:t>
      </w:r>
      <w:r w:rsidR="00E64389" w:rsidRPr="00763075">
        <w:rPr>
          <w:rFonts w:ascii="Times New Roman" w:hAnsi="Times New Roman"/>
          <w:sz w:val="22"/>
          <w:szCs w:val="22"/>
        </w:rPr>
        <w:t xml:space="preserve"> и честота на нежеланите лекарствени реакции </w:t>
      </w:r>
      <w:r w:rsidRPr="00763075">
        <w:rPr>
          <w:rFonts w:ascii="Times New Roman" w:hAnsi="Times New Roman"/>
          <w:sz w:val="22"/>
          <w:szCs w:val="22"/>
        </w:rPr>
        <w:t>при постмаркетинговия опит</w:t>
      </w:r>
      <w:r w:rsidRPr="00763075" w:rsidDel="00013D33">
        <w:rPr>
          <w:rFonts w:ascii="Times New Roman" w:hAnsi="Times New Roman"/>
          <w:sz w:val="22"/>
          <w:szCs w:val="22"/>
        </w:rPr>
        <w:t xml:space="preserve"> </w:t>
      </w:r>
      <w:r w:rsidRPr="00763075">
        <w:rPr>
          <w:rFonts w:ascii="Times New Roman" w:hAnsi="Times New Roman"/>
          <w:sz w:val="22"/>
          <w:szCs w:val="22"/>
        </w:rPr>
        <w:t>с</w:t>
      </w:r>
      <w:r w:rsidR="004D55CB" w:rsidRPr="00763075">
        <w:rPr>
          <w:rFonts w:ascii="Times New Roman" w:hAnsi="Times New Roman"/>
          <w:sz w:val="22"/>
          <w:szCs w:val="22"/>
        </w:rPr>
        <w:t xml:space="preserve"> лекарството</w:t>
      </w:r>
      <w:r w:rsidR="00E64389" w:rsidRPr="00763075">
        <w:rPr>
          <w:rFonts w:ascii="Times New Roman" w:hAnsi="Times New Roman"/>
          <w:sz w:val="22"/>
          <w:szCs w:val="22"/>
        </w:rPr>
        <w:t>.</w:t>
      </w:r>
    </w:p>
    <w:p w14:paraId="5785DA2C" w14:textId="76420196" w:rsidR="00A57C88" w:rsidRPr="00763075" w:rsidRDefault="00E64389" w:rsidP="00290B20">
      <w:pPr>
        <w:autoSpaceDE w:val="0"/>
        <w:autoSpaceDN w:val="0"/>
        <w:adjustRightInd w:val="0"/>
        <w:rPr>
          <w:sz w:val="22"/>
          <w:szCs w:val="22"/>
          <w:lang w:val="bg-BG"/>
        </w:rPr>
      </w:pPr>
      <w:r w:rsidRPr="00763075">
        <w:rPr>
          <w:sz w:val="22"/>
          <w:szCs w:val="22"/>
          <w:lang w:val="bg-BG"/>
        </w:rPr>
        <w:t xml:space="preserve">Честотата е определена </w:t>
      </w:r>
      <w:r w:rsidR="00013D33" w:rsidRPr="00763075">
        <w:rPr>
          <w:sz w:val="22"/>
          <w:szCs w:val="22"/>
          <w:lang w:val="bg-BG"/>
        </w:rPr>
        <w:t>по следните определения</w:t>
      </w:r>
      <w:r w:rsidR="00EB3438" w:rsidRPr="00763075">
        <w:rPr>
          <w:sz w:val="22"/>
          <w:szCs w:val="22"/>
          <w:lang w:val="bg-BG"/>
        </w:rPr>
        <w:t>: много чести (</w:t>
      </w:r>
      <w:r w:rsidR="00013D33" w:rsidRPr="00763075">
        <w:rPr>
          <w:sz w:val="22"/>
          <w:szCs w:val="22"/>
          <w:u w:val="single"/>
          <w:lang w:val="bg-BG"/>
        </w:rPr>
        <w:t>≥</w:t>
      </w:r>
      <w:r w:rsidR="00EB3438" w:rsidRPr="00763075">
        <w:rPr>
          <w:sz w:val="22"/>
          <w:szCs w:val="22"/>
          <w:lang w:val="bg-BG"/>
        </w:rPr>
        <w:t>1/10); чести (</w:t>
      </w:r>
      <w:r w:rsidR="00013D33" w:rsidRPr="00763075">
        <w:rPr>
          <w:sz w:val="22"/>
          <w:szCs w:val="22"/>
          <w:lang w:val="bg-BG"/>
        </w:rPr>
        <w:t>≥</w:t>
      </w:r>
      <w:r w:rsidR="00EB3438" w:rsidRPr="00763075">
        <w:rPr>
          <w:sz w:val="22"/>
          <w:szCs w:val="22"/>
          <w:lang w:val="bg-BG"/>
        </w:rPr>
        <w:t>1/100 до &lt;1/10); нечести (&gt;1/1000 до &lt;1/100); редки (</w:t>
      </w:r>
      <w:r w:rsidR="00013D33" w:rsidRPr="00763075">
        <w:rPr>
          <w:sz w:val="22"/>
          <w:szCs w:val="22"/>
          <w:u w:val="single"/>
          <w:lang w:val="bg-BG"/>
        </w:rPr>
        <w:t>≥</w:t>
      </w:r>
      <w:r w:rsidR="00EB3438" w:rsidRPr="00763075">
        <w:rPr>
          <w:sz w:val="22"/>
          <w:szCs w:val="22"/>
          <w:lang w:val="bg-BG"/>
        </w:rPr>
        <w:t>1/10000</w:t>
      </w:r>
      <w:r w:rsidR="00013D33" w:rsidRPr="00763075">
        <w:rPr>
          <w:sz w:val="22"/>
          <w:szCs w:val="22"/>
          <w:lang w:val="bg-BG"/>
        </w:rPr>
        <w:t>,</w:t>
      </w:r>
      <w:r w:rsidR="00EB3438" w:rsidRPr="00763075">
        <w:rPr>
          <w:sz w:val="22"/>
          <w:szCs w:val="22"/>
          <w:lang w:val="bg-BG"/>
        </w:rPr>
        <w:t xml:space="preserve"> &lt;1/1000); много редки (&lt;1/10 000), </w:t>
      </w:r>
      <w:r w:rsidR="00155BA4" w:rsidRPr="00763075">
        <w:rPr>
          <w:sz w:val="22"/>
          <w:szCs w:val="22"/>
          <w:lang w:val="bg-BG"/>
        </w:rPr>
        <w:t xml:space="preserve">с неизвестна честота </w:t>
      </w:r>
      <w:r w:rsidR="00A57C88" w:rsidRPr="00763075">
        <w:rPr>
          <w:sz w:val="22"/>
          <w:szCs w:val="22"/>
          <w:lang w:val="bg-BG"/>
        </w:rPr>
        <w:t>(не могат да се определят от наличните данни).</w:t>
      </w:r>
      <w:r w:rsidR="00155BA4" w:rsidRPr="00763075">
        <w:rPr>
          <w:sz w:val="22"/>
          <w:szCs w:val="22"/>
          <w:lang w:val="bg-BG"/>
        </w:rPr>
        <w:t xml:space="preserve"> </w:t>
      </w:r>
    </w:p>
    <w:p w14:paraId="450FA47F" w14:textId="77777777" w:rsidR="00137016" w:rsidRPr="00763075" w:rsidRDefault="00137016" w:rsidP="00290B20">
      <w:pPr>
        <w:jc w:val="both"/>
        <w:rPr>
          <w:sz w:val="22"/>
          <w:szCs w:val="22"/>
          <w:lang w:val="bg-BG"/>
        </w:rPr>
      </w:pPr>
    </w:p>
    <w:p w14:paraId="0426862A" w14:textId="77777777" w:rsidR="00137016" w:rsidRPr="008E6BF5" w:rsidRDefault="00137016">
      <w:pPr>
        <w:jc w:val="both"/>
        <w:rPr>
          <w:sz w:val="22"/>
          <w:szCs w:val="22"/>
          <w:lang w:val="bg-BG"/>
        </w:rPr>
      </w:pPr>
      <w:r w:rsidRPr="00763075">
        <w:rPr>
          <w:sz w:val="22"/>
          <w:szCs w:val="22"/>
          <w:lang w:val="bg-BG"/>
        </w:rPr>
        <w:t>-</w:t>
      </w:r>
      <w:r w:rsidRPr="00763075">
        <w:rPr>
          <w:sz w:val="22"/>
          <w:szCs w:val="22"/>
          <w:lang w:val="bg-BG"/>
        </w:rPr>
        <w:tab/>
        <w:t>Нарушения на имунната система:</w:t>
      </w:r>
    </w:p>
    <w:p w14:paraId="54F5AD8F" w14:textId="05933615" w:rsidR="00137016" w:rsidRPr="00763075" w:rsidRDefault="00137016">
      <w:pPr>
        <w:pStyle w:val="Heading9"/>
        <w:ind w:right="0"/>
        <w:rPr>
          <w:rFonts w:ascii="Times New Roman" w:hAnsi="Times New Roman"/>
          <w:sz w:val="22"/>
          <w:szCs w:val="22"/>
        </w:rPr>
      </w:pPr>
      <w:r w:rsidRPr="00763075">
        <w:rPr>
          <w:rFonts w:ascii="Times New Roman" w:hAnsi="Times New Roman"/>
          <w:sz w:val="22"/>
          <w:szCs w:val="22"/>
        </w:rPr>
        <w:t xml:space="preserve">Редки: свръхчувствителност </w:t>
      </w:r>
    </w:p>
    <w:p w14:paraId="7010188B" w14:textId="77777777" w:rsidR="00137016" w:rsidRPr="00763075" w:rsidRDefault="00137016">
      <w:pPr>
        <w:jc w:val="both"/>
        <w:rPr>
          <w:sz w:val="22"/>
          <w:szCs w:val="22"/>
          <w:lang w:val="bg-BG"/>
        </w:rPr>
      </w:pPr>
      <w:r w:rsidRPr="00763075">
        <w:rPr>
          <w:sz w:val="22"/>
          <w:szCs w:val="22"/>
          <w:lang w:val="bg-BG"/>
        </w:rPr>
        <w:t>Много редки: анафилактичен шок</w:t>
      </w:r>
    </w:p>
    <w:p w14:paraId="348A8548" w14:textId="77777777" w:rsidR="00137016" w:rsidRPr="008E6BF5" w:rsidRDefault="00137016">
      <w:pPr>
        <w:jc w:val="both"/>
        <w:rPr>
          <w:sz w:val="22"/>
          <w:szCs w:val="22"/>
          <w:lang w:val="bg-BG"/>
        </w:rPr>
      </w:pPr>
    </w:p>
    <w:p w14:paraId="4127ED81" w14:textId="77777777" w:rsidR="00137016" w:rsidRPr="008E6BF5" w:rsidRDefault="00137016">
      <w:pPr>
        <w:jc w:val="both"/>
        <w:rPr>
          <w:sz w:val="22"/>
          <w:szCs w:val="22"/>
          <w:lang w:val="bg-BG"/>
        </w:rPr>
      </w:pPr>
      <w:r w:rsidRPr="00763075">
        <w:rPr>
          <w:sz w:val="22"/>
          <w:szCs w:val="22"/>
          <w:lang w:val="bg-BG"/>
        </w:rPr>
        <w:t>-</w:t>
      </w:r>
      <w:r w:rsidRPr="00763075">
        <w:rPr>
          <w:sz w:val="22"/>
          <w:szCs w:val="22"/>
          <w:lang w:val="bg-BG"/>
        </w:rPr>
        <w:tab/>
        <w:t>Психични нарушения:</w:t>
      </w:r>
    </w:p>
    <w:p w14:paraId="33CF393E" w14:textId="77777777" w:rsidR="00137016" w:rsidRPr="00A42A42" w:rsidRDefault="00137016">
      <w:pPr>
        <w:jc w:val="both"/>
        <w:rPr>
          <w:sz w:val="22"/>
          <w:szCs w:val="22"/>
          <w:lang w:val="bg-BG"/>
        </w:rPr>
      </w:pPr>
      <w:r w:rsidRPr="00A42A42">
        <w:rPr>
          <w:sz w:val="22"/>
          <w:szCs w:val="22"/>
          <w:lang w:val="bg-BG"/>
        </w:rPr>
        <w:t>Нечести: ажитираност, объркване</w:t>
      </w:r>
    </w:p>
    <w:p w14:paraId="2FD3CF06" w14:textId="5D43BC58" w:rsidR="006A14EC" w:rsidRPr="00A42A42" w:rsidRDefault="00137016">
      <w:pPr>
        <w:jc w:val="both"/>
        <w:rPr>
          <w:sz w:val="22"/>
          <w:szCs w:val="22"/>
          <w:lang w:val="bg-BG"/>
        </w:rPr>
      </w:pPr>
      <w:r w:rsidRPr="00A42A42">
        <w:rPr>
          <w:sz w:val="22"/>
          <w:szCs w:val="22"/>
          <w:lang w:val="bg-BG"/>
        </w:rPr>
        <w:t xml:space="preserve">Редки: дезориентация, </w:t>
      </w:r>
      <w:r w:rsidR="00013D33" w:rsidRPr="00A42A42">
        <w:rPr>
          <w:sz w:val="22"/>
          <w:szCs w:val="22"/>
          <w:lang w:val="bg-BG"/>
        </w:rPr>
        <w:t>халюцинация</w:t>
      </w:r>
    </w:p>
    <w:p w14:paraId="6BB9E84D" w14:textId="77777777" w:rsidR="00137016" w:rsidRPr="00F04A21" w:rsidRDefault="00137016">
      <w:pPr>
        <w:jc w:val="both"/>
        <w:rPr>
          <w:sz w:val="22"/>
          <w:szCs w:val="22"/>
          <w:lang w:val="bg-BG"/>
        </w:rPr>
      </w:pPr>
    </w:p>
    <w:p w14:paraId="5611CAFB" w14:textId="54131768" w:rsidR="00137016" w:rsidRPr="008E6BF5" w:rsidRDefault="00137016">
      <w:pPr>
        <w:jc w:val="both"/>
        <w:rPr>
          <w:sz w:val="22"/>
          <w:szCs w:val="22"/>
          <w:lang w:val="bg-BG"/>
        </w:rPr>
      </w:pPr>
      <w:r w:rsidRPr="00763075">
        <w:rPr>
          <w:sz w:val="22"/>
          <w:szCs w:val="22"/>
          <w:lang w:val="bg-BG"/>
        </w:rPr>
        <w:t>-</w:t>
      </w:r>
      <w:r w:rsidRPr="00763075">
        <w:rPr>
          <w:sz w:val="22"/>
          <w:szCs w:val="22"/>
          <w:lang w:val="bg-BG"/>
        </w:rPr>
        <w:tab/>
        <w:t>Нарушения на нервната система:</w:t>
      </w:r>
    </w:p>
    <w:p w14:paraId="03A4E684" w14:textId="77777777" w:rsidR="00137016" w:rsidRPr="00763075" w:rsidRDefault="00137016">
      <w:pPr>
        <w:pStyle w:val="BodyText3"/>
        <w:ind w:right="0"/>
        <w:rPr>
          <w:rFonts w:ascii="Times New Roman" w:hAnsi="Times New Roman"/>
          <w:sz w:val="22"/>
          <w:szCs w:val="22"/>
        </w:rPr>
      </w:pPr>
      <w:r w:rsidRPr="00763075">
        <w:rPr>
          <w:rFonts w:ascii="Times New Roman" w:hAnsi="Times New Roman"/>
          <w:sz w:val="22"/>
          <w:szCs w:val="22"/>
        </w:rPr>
        <w:t>Чести: седация</w:t>
      </w:r>
    </w:p>
    <w:p w14:paraId="682BF592" w14:textId="77777777" w:rsidR="00137016" w:rsidRPr="00763075" w:rsidRDefault="00137016">
      <w:pPr>
        <w:pStyle w:val="BodyText3"/>
        <w:ind w:right="0"/>
        <w:rPr>
          <w:rFonts w:ascii="Times New Roman" w:hAnsi="Times New Roman"/>
          <w:sz w:val="22"/>
          <w:szCs w:val="22"/>
        </w:rPr>
      </w:pPr>
      <w:r w:rsidRPr="00763075">
        <w:rPr>
          <w:rFonts w:ascii="Times New Roman" w:hAnsi="Times New Roman"/>
          <w:sz w:val="22"/>
          <w:szCs w:val="22"/>
        </w:rPr>
        <w:t>Нечести: замаяност, безсъние, тремор</w:t>
      </w:r>
    </w:p>
    <w:p w14:paraId="7978D4E7" w14:textId="0A9D688B" w:rsidR="00137016" w:rsidRPr="00FC1AD3" w:rsidRDefault="00137016">
      <w:pPr>
        <w:pStyle w:val="BodyText3"/>
        <w:ind w:right="0"/>
        <w:rPr>
          <w:rFonts w:ascii="Times New Roman" w:hAnsi="Times New Roman"/>
          <w:sz w:val="22"/>
          <w:szCs w:val="22"/>
        </w:rPr>
      </w:pPr>
      <w:r w:rsidRPr="00FC1AD3">
        <w:rPr>
          <w:rFonts w:ascii="Times New Roman" w:hAnsi="Times New Roman"/>
          <w:sz w:val="22"/>
          <w:szCs w:val="22"/>
        </w:rPr>
        <w:t xml:space="preserve">Редки: </w:t>
      </w:r>
      <w:r w:rsidR="00013D33" w:rsidRPr="00FC1AD3">
        <w:rPr>
          <w:rFonts w:ascii="Times New Roman" w:hAnsi="Times New Roman"/>
          <w:sz w:val="22"/>
          <w:szCs w:val="22"/>
        </w:rPr>
        <w:t>конвулсия</w:t>
      </w:r>
      <w:r w:rsidRPr="00FC1AD3">
        <w:rPr>
          <w:rFonts w:ascii="Times New Roman" w:hAnsi="Times New Roman"/>
          <w:sz w:val="22"/>
          <w:szCs w:val="22"/>
        </w:rPr>
        <w:t xml:space="preserve">, </w:t>
      </w:r>
      <w:proofErr w:type="spellStart"/>
      <w:r w:rsidRPr="00FC1AD3">
        <w:rPr>
          <w:rFonts w:ascii="Times New Roman" w:hAnsi="Times New Roman"/>
          <w:sz w:val="22"/>
          <w:szCs w:val="22"/>
        </w:rPr>
        <w:t>дискинезия</w:t>
      </w:r>
      <w:proofErr w:type="spellEnd"/>
    </w:p>
    <w:p w14:paraId="1152BE4F" w14:textId="497B5B42" w:rsidR="00FC1AD3" w:rsidRPr="00FC1AD3" w:rsidRDefault="00FC1AD3">
      <w:pPr>
        <w:pStyle w:val="BodyText3"/>
        <w:ind w:right="0"/>
        <w:rPr>
          <w:rFonts w:ascii="Times New Roman" w:hAnsi="Times New Roman"/>
          <w:sz w:val="22"/>
          <w:szCs w:val="22"/>
        </w:rPr>
      </w:pPr>
      <w:r w:rsidRPr="00FC1AD3">
        <w:rPr>
          <w:rFonts w:ascii="Times New Roman" w:hAnsi="Times New Roman"/>
          <w:sz w:val="22"/>
          <w:szCs w:val="22"/>
        </w:rPr>
        <w:t>С неизвестна честота:</w:t>
      </w:r>
      <w:r>
        <w:rPr>
          <w:rFonts w:ascii="Times New Roman" w:hAnsi="Times New Roman"/>
          <w:sz w:val="22"/>
          <w:szCs w:val="22"/>
        </w:rPr>
        <w:t xml:space="preserve"> загуба на съзнание (</w:t>
      </w:r>
      <w:proofErr w:type="spellStart"/>
      <w:r>
        <w:rPr>
          <w:rFonts w:ascii="Times New Roman" w:hAnsi="Times New Roman"/>
          <w:sz w:val="22"/>
          <w:szCs w:val="22"/>
        </w:rPr>
        <w:t>синкоп</w:t>
      </w:r>
      <w:proofErr w:type="spellEnd"/>
      <w:r>
        <w:rPr>
          <w:rFonts w:ascii="Times New Roman" w:hAnsi="Times New Roman"/>
          <w:sz w:val="22"/>
          <w:szCs w:val="22"/>
        </w:rPr>
        <w:t>)</w:t>
      </w:r>
    </w:p>
    <w:p w14:paraId="2B8C8D38" w14:textId="77777777" w:rsidR="00155BA4" w:rsidRPr="00FC1AD3" w:rsidRDefault="00155BA4">
      <w:pPr>
        <w:jc w:val="both"/>
        <w:rPr>
          <w:sz w:val="22"/>
          <w:szCs w:val="22"/>
          <w:lang w:val="bg-BG"/>
        </w:rPr>
      </w:pPr>
    </w:p>
    <w:p w14:paraId="4A125504" w14:textId="77777777" w:rsidR="00155BA4" w:rsidRPr="00763075" w:rsidRDefault="00155BA4">
      <w:pPr>
        <w:jc w:val="both"/>
        <w:rPr>
          <w:sz w:val="22"/>
          <w:szCs w:val="22"/>
          <w:lang w:val="bg-BG"/>
        </w:rPr>
      </w:pPr>
      <w:r w:rsidRPr="00763075">
        <w:rPr>
          <w:sz w:val="22"/>
          <w:szCs w:val="22"/>
          <w:lang w:val="bg-BG"/>
        </w:rPr>
        <w:t>-</w:t>
      </w:r>
      <w:r w:rsidRPr="00763075">
        <w:rPr>
          <w:sz w:val="22"/>
          <w:szCs w:val="22"/>
          <w:lang w:val="bg-BG"/>
        </w:rPr>
        <w:tab/>
        <w:t>Нарушения на очите:</w:t>
      </w:r>
    </w:p>
    <w:p w14:paraId="3C5452B8" w14:textId="77777777" w:rsidR="00155BA4" w:rsidRPr="00763075" w:rsidRDefault="00155BA4">
      <w:pPr>
        <w:pStyle w:val="Heading9"/>
        <w:ind w:right="0"/>
        <w:rPr>
          <w:rFonts w:ascii="Times New Roman" w:hAnsi="Times New Roman"/>
          <w:sz w:val="22"/>
          <w:szCs w:val="22"/>
        </w:rPr>
      </w:pPr>
      <w:r w:rsidRPr="00763075">
        <w:rPr>
          <w:rFonts w:ascii="Times New Roman" w:hAnsi="Times New Roman"/>
          <w:sz w:val="22"/>
          <w:szCs w:val="22"/>
        </w:rPr>
        <w:t>Редки: смущения в акомодацията, замъглено виждане</w:t>
      </w:r>
    </w:p>
    <w:p w14:paraId="09F635A3" w14:textId="77777777" w:rsidR="009A7EEB" w:rsidRPr="00763075" w:rsidRDefault="009A7EEB">
      <w:pPr>
        <w:jc w:val="both"/>
        <w:rPr>
          <w:sz w:val="22"/>
          <w:szCs w:val="22"/>
          <w:lang w:val="bg-BG"/>
        </w:rPr>
      </w:pPr>
    </w:p>
    <w:p w14:paraId="45746B0E" w14:textId="77777777" w:rsidR="009A7EEB" w:rsidRPr="00763075" w:rsidRDefault="009A7EEB">
      <w:pPr>
        <w:jc w:val="both"/>
        <w:rPr>
          <w:sz w:val="22"/>
          <w:szCs w:val="22"/>
          <w:lang w:val="bg-BG"/>
        </w:rPr>
      </w:pPr>
      <w:r w:rsidRPr="00763075">
        <w:rPr>
          <w:sz w:val="22"/>
          <w:szCs w:val="22"/>
          <w:lang w:val="bg-BG"/>
        </w:rPr>
        <w:t>-</w:t>
      </w:r>
      <w:r w:rsidRPr="00763075">
        <w:rPr>
          <w:sz w:val="22"/>
          <w:szCs w:val="22"/>
          <w:lang w:val="bg-BG"/>
        </w:rPr>
        <w:tab/>
        <w:t>Сърдечни нарушения:</w:t>
      </w:r>
    </w:p>
    <w:p w14:paraId="1E3BE4CF" w14:textId="77777777" w:rsidR="009A7EEB" w:rsidRPr="00763075" w:rsidRDefault="009A7EEB">
      <w:pPr>
        <w:pStyle w:val="Heading9"/>
        <w:ind w:right="0"/>
        <w:rPr>
          <w:rFonts w:ascii="Times New Roman" w:hAnsi="Times New Roman"/>
          <w:sz w:val="22"/>
          <w:szCs w:val="22"/>
        </w:rPr>
      </w:pPr>
      <w:r w:rsidRPr="00763075">
        <w:rPr>
          <w:rFonts w:ascii="Times New Roman" w:hAnsi="Times New Roman"/>
          <w:sz w:val="22"/>
          <w:szCs w:val="22"/>
        </w:rPr>
        <w:t>Редки: тахикардия</w:t>
      </w:r>
    </w:p>
    <w:p w14:paraId="0AEB9568" w14:textId="769BB8EB" w:rsidR="00155BA4" w:rsidRDefault="00155BA4">
      <w:pPr>
        <w:jc w:val="both"/>
        <w:rPr>
          <w:bCs/>
          <w:sz w:val="22"/>
          <w:szCs w:val="22"/>
          <w:lang w:val="bg-BG"/>
        </w:rPr>
      </w:pPr>
      <w:r w:rsidRPr="00763075">
        <w:rPr>
          <w:sz w:val="22"/>
          <w:szCs w:val="22"/>
          <w:lang w:val="bg-BG"/>
        </w:rPr>
        <w:t xml:space="preserve">С неизвестна честота: </w:t>
      </w:r>
      <w:r w:rsidR="00007080" w:rsidRPr="00763075">
        <w:rPr>
          <w:sz w:val="22"/>
          <w:szCs w:val="22"/>
          <w:lang w:val="bg-BG"/>
        </w:rPr>
        <w:t>камерни аритмии</w:t>
      </w:r>
      <w:r w:rsidR="00007080" w:rsidRPr="00763075">
        <w:rPr>
          <w:sz w:val="22"/>
          <w:szCs w:val="22"/>
          <w:lang w:val="en-GB"/>
        </w:rPr>
        <w:t xml:space="preserve"> (</w:t>
      </w:r>
      <w:r w:rsidR="00007080" w:rsidRPr="00763075">
        <w:rPr>
          <w:sz w:val="22"/>
          <w:szCs w:val="22"/>
          <w:lang w:val="bg-BG"/>
        </w:rPr>
        <w:t>напр</w:t>
      </w:r>
      <w:r w:rsidR="00007080" w:rsidRPr="00763075">
        <w:rPr>
          <w:sz w:val="22"/>
          <w:szCs w:val="22"/>
          <w:lang w:val="en-GB"/>
        </w:rPr>
        <w:t>.</w:t>
      </w:r>
      <w:r w:rsidR="00007080" w:rsidRPr="00763075">
        <w:rPr>
          <w:sz w:val="22"/>
          <w:szCs w:val="22"/>
          <w:lang w:val="bg-BG"/>
        </w:rPr>
        <w:t>,</w:t>
      </w:r>
      <w:r w:rsidR="00007080" w:rsidRPr="00763075">
        <w:rPr>
          <w:sz w:val="22"/>
          <w:szCs w:val="22"/>
          <w:lang w:val="en-GB"/>
        </w:rPr>
        <w:t xml:space="preserve"> torsade de pointes), </w:t>
      </w:r>
      <w:r w:rsidR="00007080" w:rsidRPr="00763075">
        <w:rPr>
          <w:sz w:val="22"/>
          <w:szCs w:val="22"/>
          <w:lang w:val="bg-BG"/>
        </w:rPr>
        <w:t xml:space="preserve">удължаване на </w:t>
      </w:r>
      <w:r w:rsidR="00007080" w:rsidRPr="00763075">
        <w:rPr>
          <w:sz w:val="22"/>
          <w:szCs w:val="22"/>
          <w:lang w:val="en-GB"/>
        </w:rPr>
        <w:t>QT</w:t>
      </w:r>
      <w:r w:rsidR="00007080" w:rsidRPr="00763075">
        <w:rPr>
          <w:sz w:val="22"/>
          <w:szCs w:val="22"/>
          <w:lang w:val="bg-BG"/>
        </w:rPr>
        <w:t>-интервала</w:t>
      </w:r>
      <w:r w:rsidR="00007080" w:rsidRPr="00763075">
        <w:rPr>
          <w:sz w:val="22"/>
          <w:szCs w:val="22"/>
          <w:lang w:val="en-GB"/>
        </w:rPr>
        <w:t xml:space="preserve"> (</w:t>
      </w:r>
      <w:r w:rsidR="00007080" w:rsidRPr="00763075">
        <w:rPr>
          <w:sz w:val="22"/>
          <w:szCs w:val="22"/>
          <w:lang w:val="bg-BG"/>
        </w:rPr>
        <w:t>вж. точка</w:t>
      </w:r>
      <w:r w:rsidR="00007080" w:rsidRPr="00763075">
        <w:rPr>
          <w:sz w:val="22"/>
          <w:szCs w:val="22"/>
          <w:lang w:val="en-GB"/>
        </w:rPr>
        <w:t xml:space="preserve"> 4.4)</w:t>
      </w:r>
      <w:r w:rsidR="00007080" w:rsidRPr="00763075">
        <w:rPr>
          <w:bCs/>
          <w:sz w:val="22"/>
          <w:szCs w:val="22"/>
          <w:lang w:val="en-GB"/>
        </w:rPr>
        <w:t>.</w:t>
      </w:r>
    </w:p>
    <w:p w14:paraId="5928E7D5" w14:textId="77777777" w:rsidR="00FC1AD3" w:rsidRPr="00FC1AD3" w:rsidRDefault="00FC1AD3">
      <w:pPr>
        <w:jc w:val="both"/>
        <w:rPr>
          <w:sz w:val="22"/>
          <w:szCs w:val="22"/>
          <w:lang w:val="bg-BG"/>
        </w:rPr>
      </w:pPr>
    </w:p>
    <w:p w14:paraId="0ACF7068" w14:textId="77777777" w:rsidR="00155BA4" w:rsidRPr="00763075" w:rsidRDefault="00155BA4">
      <w:pPr>
        <w:jc w:val="both"/>
        <w:rPr>
          <w:sz w:val="22"/>
          <w:szCs w:val="22"/>
          <w:lang w:val="bg-BG"/>
        </w:rPr>
      </w:pPr>
      <w:r w:rsidRPr="00763075">
        <w:rPr>
          <w:sz w:val="22"/>
          <w:szCs w:val="22"/>
          <w:lang w:val="bg-BG"/>
        </w:rPr>
        <w:t>-</w:t>
      </w:r>
      <w:r w:rsidRPr="00763075">
        <w:rPr>
          <w:sz w:val="22"/>
          <w:szCs w:val="22"/>
          <w:lang w:val="bg-BG"/>
        </w:rPr>
        <w:tab/>
        <w:t>Съдови нарушения:</w:t>
      </w:r>
    </w:p>
    <w:p w14:paraId="5317ED0B" w14:textId="77777777" w:rsidR="00155BA4" w:rsidRPr="00763075" w:rsidRDefault="00155BA4">
      <w:pPr>
        <w:jc w:val="both"/>
        <w:rPr>
          <w:sz w:val="22"/>
          <w:szCs w:val="22"/>
          <w:lang w:val="bg-BG"/>
        </w:rPr>
      </w:pPr>
      <w:r w:rsidRPr="00763075">
        <w:rPr>
          <w:sz w:val="22"/>
          <w:szCs w:val="22"/>
          <w:lang w:val="bg-BG"/>
        </w:rPr>
        <w:t>Редки: хипотония</w:t>
      </w:r>
    </w:p>
    <w:p w14:paraId="57ED9FBA" w14:textId="77777777" w:rsidR="00155BA4" w:rsidRPr="00763075" w:rsidRDefault="00155BA4">
      <w:pPr>
        <w:jc w:val="both"/>
        <w:rPr>
          <w:sz w:val="22"/>
          <w:szCs w:val="22"/>
          <w:lang w:val="bg-BG"/>
        </w:rPr>
      </w:pPr>
    </w:p>
    <w:p w14:paraId="52158F84" w14:textId="77777777" w:rsidR="00155BA4" w:rsidRPr="008E6BF5" w:rsidRDefault="00155BA4" w:rsidP="00F04A21">
      <w:pPr>
        <w:numPr>
          <w:ilvl w:val="0"/>
          <w:numId w:val="34"/>
        </w:numPr>
        <w:tabs>
          <w:tab w:val="clear" w:pos="1494"/>
          <w:tab w:val="num" w:pos="709"/>
        </w:tabs>
        <w:ind w:hanging="1494"/>
        <w:jc w:val="both"/>
        <w:rPr>
          <w:sz w:val="22"/>
          <w:szCs w:val="22"/>
          <w:lang w:val="bg-BG"/>
        </w:rPr>
      </w:pPr>
      <w:r w:rsidRPr="008E6BF5">
        <w:rPr>
          <w:sz w:val="22"/>
          <w:szCs w:val="22"/>
          <w:lang w:val="bg-BG"/>
        </w:rPr>
        <w:t>Респираторни, гръдни и медиастинални нарушения:</w:t>
      </w:r>
    </w:p>
    <w:p w14:paraId="202F98D7" w14:textId="77777777" w:rsidR="00155BA4" w:rsidRPr="00763075" w:rsidRDefault="00155BA4">
      <w:pPr>
        <w:pStyle w:val="Heading9"/>
        <w:ind w:right="0"/>
        <w:rPr>
          <w:rFonts w:ascii="Times New Roman" w:hAnsi="Times New Roman"/>
          <w:sz w:val="22"/>
          <w:szCs w:val="22"/>
        </w:rPr>
      </w:pPr>
      <w:r w:rsidRPr="00763075">
        <w:rPr>
          <w:rFonts w:ascii="Times New Roman" w:hAnsi="Times New Roman"/>
          <w:sz w:val="22"/>
          <w:szCs w:val="22"/>
        </w:rPr>
        <w:t>Много редки: бронхоспазъм</w:t>
      </w:r>
    </w:p>
    <w:p w14:paraId="5D073A6F" w14:textId="77777777" w:rsidR="009A7EEB" w:rsidRPr="008E6BF5" w:rsidRDefault="009A7EEB">
      <w:pPr>
        <w:jc w:val="both"/>
        <w:rPr>
          <w:b/>
          <w:sz w:val="22"/>
          <w:szCs w:val="22"/>
          <w:lang w:val="bg-BG"/>
        </w:rPr>
      </w:pPr>
    </w:p>
    <w:p w14:paraId="7959955A" w14:textId="77777777" w:rsidR="009A7EEB" w:rsidRPr="00763075" w:rsidRDefault="009A7EEB">
      <w:pPr>
        <w:jc w:val="both"/>
        <w:rPr>
          <w:sz w:val="22"/>
          <w:szCs w:val="22"/>
          <w:lang w:val="bg-BG"/>
        </w:rPr>
      </w:pPr>
      <w:r w:rsidRPr="00763075">
        <w:rPr>
          <w:sz w:val="22"/>
          <w:szCs w:val="22"/>
          <w:lang w:val="bg-BG"/>
        </w:rPr>
        <w:t>-</w:t>
      </w:r>
      <w:r w:rsidRPr="00763075">
        <w:rPr>
          <w:sz w:val="22"/>
          <w:szCs w:val="22"/>
          <w:lang w:val="bg-BG"/>
        </w:rPr>
        <w:tab/>
        <w:t>Стомашно-чревни нарушения:</w:t>
      </w:r>
    </w:p>
    <w:p w14:paraId="7CC3A683" w14:textId="77777777" w:rsidR="009A7EEB" w:rsidRPr="00763075" w:rsidRDefault="009A7EEB">
      <w:pPr>
        <w:pStyle w:val="Heading9"/>
        <w:ind w:right="0"/>
        <w:rPr>
          <w:rFonts w:ascii="Times New Roman" w:hAnsi="Times New Roman"/>
          <w:sz w:val="22"/>
          <w:szCs w:val="22"/>
        </w:rPr>
      </w:pPr>
      <w:r w:rsidRPr="00763075">
        <w:rPr>
          <w:rFonts w:ascii="Times New Roman" w:hAnsi="Times New Roman"/>
          <w:sz w:val="22"/>
          <w:szCs w:val="22"/>
        </w:rPr>
        <w:t>Нечести: гадене</w:t>
      </w:r>
    </w:p>
    <w:p w14:paraId="78D7E35A" w14:textId="77777777" w:rsidR="009A7EEB" w:rsidRPr="00763075" w:rsidRDefault="009A7EEB">
      <w:pPr>
        <w:pStyle w:val="Heading9"/>
        <w:ind w:right="0"/>
        <w:rPr>
          <w:rFonts w:ascii="Times New Roman" w:hAnsi="Times New Roman"/>
          <w:sz w:val="22"/>
          <w:szCs w:val="22"/>
        </w:rPr>
      </w:pPr>
      <w:r w:rsidRPr="00763075">
        <w:rPr>
          <w:rFonts w:ascii="Times New Roman" w:hAnsi="Times New Roman"/>
          <w:sz w:val="22"/>
          <w:szCs w:val="22"/>
        </w:rPr>
        <w:t>Редки: констипация, повръщане</w:t>
      </w:r>
    </w:p>
    <w:p w14:paraId="3FE6C2A1" w14:textId="77777777" w:rsidR="00013D33" w:rsidRPr="00763075" w:rsidRDefault="00013D33">
      <w:pPr>
        <w:jc w:val="both"/>
        <w:rPr>
          <w:sz w:val="22"/>
          <w:szCs w:val="22"/>
          <w:lang w:val="bg-BG"/>
        </w:rPr>
      </w:pPr>
    </w:p>
    <w:p w14:paraId="14252A3D" w14:textId="5DE2C80C" w:rsidR="00013D33" w:rsidRPr="00763075" w:rsidRDefault="00013D33" w:rsidP="00F04A21">
      <w:pPr>
        <w:numPr>
          <w:ilvl w:val="0"/>
          <w:numId w:val="34"/>
        </w:numPr>
        <w:tabs>
          <w:tab w:val="clear" w:pos="1494"/>
          <w:tab w:val="num" w:pos="709"/>
        </w:tabs>
        <w:ind w:hanging="1494"/>
        <w:jc w:val="both"/>
        <w:rPr>
          <w:sz w:val="22"/>
          <w:szCs w:val="22"/>
          <w:lang w:val="bg-BG"/>
        </w:rPr>
      </w:pPr>
      <w:r w:rsidRPr="00763075">
        <w:rPr>
          <w:sz w:val="22"/>
          <w:szCs w:val="22"/>
          <w:lang w:val="bg-BG"/>
        </w:rPr>
        <w:t>Хепато-билиарни нарушения:</w:t>
      </w:r>
    </w:p>
    <w:p w14:paraId="70D2119E" w14:textId="50DD6E19" w:rsidR="00013D33" w:rsidRPr="00763075" w:rsidRDefault="00013D33">
      <w:pPr>
        <w:jc w:val="both"/>
        <w:rPr>
          <w:sz w:val="22"/>
          <w:szCs w:val="22"/>
          <w:lang w:val="bg-BG"/>
        </w:rPr>
      </w:pPr>
      <w:r w:rsidRPr="00763075">
        <w:rPr>
          <w:sz w:val="22"/>
          <w:szCs w:val="22"/>
          <w:lang w:val="bg-BG"/>
        </w:rPr>
        <w:t>Редки: абнормни резултати при чернодробни функционални тестове</w:t>
      </w:r>
    </w:p>
    <w:p w14:paraId="45FAC1B9" w14:textId="58F54EE9" w:rsidR="00013D33" w:rsidRPr="00763075" w:rsidRDefault="00013D33">
      <w:pPr>
        <w:jc w:val="both"/>
        <w:rPr>
          <w:sz w:val="22"/>
          <w:szCs w:val="22"/>
          <w:lang w:val="bg-BG"/>
        </w:rPr>
      </w:pPr>
      <w:r w:rsidRPr="00763075">
        <w:rPr>
          <w:sz w:val="22"/>
          <w:szCs w:val="22"/>
          <w:lang w:val="bg-BG"/>
        </w:rPr>
        <w:t>С неизвестна честота: хепатит</w:t>
      </w:r>
    </w:p>
    <w:p w14:paraId="0D39E5F7" w14:textId="77777777" w:rsidR="00155BA4" w:rsidRPr="00763075" w:rsidRDefault="00155BA4">
      <w:pPr>
        <w:jc w:val="both"/>
        <w:rPr>
          <w:sz w:val="22"/>
          <w:szCs w:val="22"/>
          <w:lang w:val="bg-BG"/>
        </w:rPr>
      </w:pPr>
    </w:p>
    <w:p w14:paraId="0137E85C" w14:textId="77777777" w:rsidR="009A7EEB" w:rsidRPr="008E6BF5" w:rsidRDefault="009A7EEB">
      <w:pPr>
        <w:jc w:val="both"/>
        <w:rPr>
          <w:sz w:val="22"/>
          <w:szCs w:val="22"/>
          <w:lang w:val="bg-BG"/>
        </w:rPr>
      </w:pPr>
      <w:r w:rsidRPr="00763075">
        <w:rPr>
          <w:sz w:val="22"/>
          <w:szCs w:val="22"/>
          <w:lang w:val="bg-BG"/>
        </w:rPr>
        <w:t>-</w:t>
      </w:r>
      <w:r w:rsidRPr="00763075">
        <w:rPr>
          <w:sz w:val="22"/>
          <w:szCs w:val="22"/>
          <w:lang w:val="bg-BG"/>
        </w:rPr>
        <w:tab/>
        <w:t>Нарушения на кожата и подкожната тъкан:</w:t>
      </w:r>
    </w:p>
    <w:p w14:paraId="58D9CAAA" w14:textId="537A41A2" w:rsidR="009A7EEB" w:rsidRPr="00763075" w:rsidRDefault="009A7EEB">
      <w:pPr>
        <w:pStyle w:val="BodyText3"/>
        <w:ind w:right="0"/>
        <w:rPr>
          <w:rFonts w:ascii="Times New Roman" w:hAnsi="Times New Roman"/>
          <w:sz w:val="22"/>
          <w:szCs w:val="22"/>
        </w:rPr>
      </w:pPr>
      <w:r w:rsidRPr="00763075">
        <w:rPr>
          <w:rFonts w:ascii="Times New Roman" w:hAnsi="Times New Roman"/>
          <w:sz w:val="22"/>
          <w:szCs w:val="22"/>
        </w:rPr>
        <w:t xml:space="preserve">Редки: </w:t>
      </w:r>
      <w:proofErr w:type="spellStart"/>
      <w:r w:rsidRPr="00763075">
        <w:rPr>
          <w:rFonts w:ascii="Times New Roman" w:hAnsi="Times New Roman"/>
          <w:sz w:val="22"/>
          <w:szCs w:val="22"/>
        </w:rPr>
        <w:t>пруритус</w:t>
      </w:r>
      <w:proofErr w:type="spellEnd"/>
      <w:r w:rsidRPr="00763075">
        <w:rPr>
          <w:rFonts w:ascii="Times New Roman" w:hAnsi="Times New Roman"/>
          <w:sz w:val="22"/>
          <w:szCs w:val="22"/>
        </w:rPr>
        <w:t xml:space="preserve">, </w:t>
      </w:r>
      <w:proofErr w:type="spellStart"/>
      <w:r w:rsidRPr="00763075">
        <w:rPr>
          <w:rFonts w:ascii="Times New Roman" w:hAnsi="Times New Roman"/>
          <w:sz w:val="22"/>
          <w:szCs w:val="22"/>
        </w:rPr>
        <w:t>еритематозен</w:t>
      </w:r>
      <w:proofErr w:type="spellEnd"/>
      <w:r w:rsidRPr="00763075">
        <w:rPr>
          <w:rFonts w:ascii="Times New Roman" w:hAnsi="Times New Roman"/>
          <w:sz w:val="22"/>
          <w:szCs w:val="22"/>
        </w:rPr>
        <w:t xml:space="preserve"> обрив, </w:t>
      </w:r>
      <w:proofErr w:type="spellStart"/>
      <w:r w:rsidRPr="00763075">
        <w:rPr>
          <w:rFonts w:ascii="Times New Roman" w:hAnsi="Times New Roman"/>
          <w:sz w:val="22"/>
          <w:szCs w:val="22"/>
        </w:rPr>
        <w:t>макуло</w:t>
      </w:r>
      <w:r w:rsidR="00763075">
        <w:rPr>
          <w:rFonts w:ascii="Times New Roman" w:hAnsi="Times New Roman"/>
          <w:sz w:val="22"/>
          <w:szCs w:val="22"/>
        </w:rPr>
        <w:t>-</w:t>
      </w:r>
      <w:r w:rsidRPr="00763075">
        <w:rPr>
          <w:rFonts w:ascii="Times New Roman" w:hAnsi="Times New Roman"/>
          <w:sz w:val="22"/>
          <w:szCs w:val="22"/>
        </w:rPr>
        <w:t>папулозен</w:t>
      </w:r>
      <w:proofErr w:type="spellEnd"/>
      <w:r w:rsidRPr="00763075">
        <w:rPr>
          <w:rFonts w:ascii="Times New Roman" w:hAnsi="Times New Roman"/>
          <w:sz w:val="22"/>
          <w:szCs w:val="22"/>
        </w:rPr>
        <w:t xml:space="preserve"> обрив, уртикария, </w:t>
      </w:r>
      <w:proofErr w:type="spellStart"/>
      <w:r w:rsidRPr="00763075">
        <w:rPr>
          <w:rFonts w:ascii="Times New Roman" w:hAnsi="Times New Roman"/>
          <w:sz w:val="22"/>
          <w:szCs w:val="22"/>
        </w:rPr>
        <w:t>дерматит</w:t>
      </w:r>
      <w:proofErr w:type="spellEnd"/>
    </w:p>
    <w:p w14:paraId="3640D345" w14:textId="1C6CF356" w:rsidR="009A7EEB" w:rsidRPr="00763075" w:rsidRDefault="009A7EEB">
      <w:pPr>
        <w:pStyle w:val="BodyText3"/>
        <w:ind w:right="0"/>
        <w:rPr>
          <w:rFonts w:ascii="Times New Roman" w:hAnsi="Times New Roman"/>
          <w:sz w:val="22"/>
          <w:szCs w:val="22"/>
        </w:rPr>
      </w:pPr>
      <w:r w:rsidRPr="00290B20">
        <w:rPr>
          <w:rFonts w:ascii="Times New Roman" w:hAnsi="Times New Roman"/>
          <w:sz w:val="22"/>
          <w:szCs w:val="22"/>
        </w:rPr>
        <w:t xml:space="preserve">Много редки: </w:t>
      </w:r>
      <w:r w:rsidR="00013D33" w:rsidRPr="00290B20">
        <w:rPr>
          <w:rFonts w:ascii="Times New Roman" w:hAnsi="Times New Roman"/>
          <w:sz w:val="22"/>
          <w:szCs w:val="22"/>
        </w:rPr>
        <w:t xml:space="preserve">синдром на Стивънс-Джонсън, еритема мултиформе, остра генерализирана екзантематозна пустулоза, </w:t>
      </w:r>
      <w:r w:rsidRPr="00290B20">
        <w:rPr>
          <w:rFonts w:ascii="Times New Roman" w:hAnsi="Times New Roman"/>
          <w:sz w:val="22"/>
          <w:szCs w:val="22"/>
        </w:rPr>
        <w:t xml:space="preserve">ангионевротичен оток, фиксиран лекарствен обрив, </w:t>
      </w:r>
      <w:r w:rsidR="00013D33" w:rsidRPr="00290B20">
        <w:rPr>
          <w:rFonts w:ascii="Times New Roman" w:hAnsi="Times New Roman"/>
          <w:sz w:val="22"/>
          <w:szCs w:val="22"/>
        </w:rPr>
        <w:t>повишено изпотяване</w:t>
      </w:r>
    </w:p>
    <w:p w14:paraId="076B99A3" w14:textId="0C97235F" w:rsidR="00FC1AD3" w:rsidRPr="00763075" w:rsidRDefault="00FC1AD3" w:rsidP="00FC1AD3">
      <w:pPr>
        <w:jc w:val="both"/>
        <w:rPr>
          <w:sz w:val="22"/>
          <w:szCs w:val="22"/>
          <w:lang w:val="bg-BG"/>
        </w:rPr>
      </w:pPr>
      <w:r w:rsidRPr="00763075">
        <w:rPr>
          <w:sz w:val="22"/>
          <w:szCs w:val="22"/>
          <w:lang w:val="bg-BG"/>
        </w:rPr>
        <w:t xml:space="preserve">С неизвестна честота: </w:t>
      </w:r>
      <w:proofErr w:type="spellStart"/>
      <w:r w:rsidRPr="00FC1AD3">
        <w:rPr>
          <w:sz w:val="22"/>
          <w:szCs w:val="22"/>
        </w:rPr>
        <w:t>булозни</w:t>
      </w:r>
      <w:proofErr w:type="spellEnd"/>
      <w:r w:rsidRPr="00FC1AD3">
        <w:rPr>
          <w:sz w:val="22"/>
          <w:szCs w:val="22"/>
        </w:rPr>
        <w:t xml:space="preserve"> </w:t>
      </w:r>
      <w:r>
        <w:rPr>
          <w:sz w:val="22"/>
          <w:szCs w:val="22"/>
          <w:lang w:val="bg-BG"/>
        </w:rPr>
        <w:t>състояния</w:t>
      </w:r>
      <w:r w:rsidRPr="00FC1AD3">
        <w:rPr>
          <w:sz w:val="22"/>
          <w:szCs w:val="22"/>
        </w:rPr>
        <w:t xml:space="preserve"> (</w:t>
      </w:r>
      <w:proofErr w:type="spellStart"/>
      <w:r w:rsidRPr="00FC1AD3">
        <w:rPr>
          <w:sz w:val="22"/>
          <w:szCs w:val="22"/>
        </w:rPr>
        <w:t>например</w:t>
      </w:r>
      <w:proofErr w:type="spellEnd"/>
      <w:r w:rsidRPr="00FC1AD3">
        <w:rPr>
          <w:sz w:val="22"/>
          <w:szCs w:val="22"/>
        </w:rPr>
        <w:t xml:space="preserve"> </w:t>
      </w:r>
      <w:proofErr w:type="spellStart"/>
      <w:r w:rsidRPr="00FC1AD3">
        <w:rPr>
          <w:sz w:val="22"/>
          <w:szCs w:val="22"/>
        </w:rPr>
        <w:t>токсична</w:t>
      </w:r>
      <w:proofErr w:type="spellEnd"/>
      <w:r w:rsidRPr="00FC1AD3">
        <w:rPr>
          <w:sz w:val="22"/>
          <w:szCs w:val="22"/>
        </w:rPr>
        <w:t xml:space="preserve"> </w:t>
      </w:r>
      <w:proofErr w:type="spellStart"/>
      <w:r w:rsidRPr="00FC1AD3">
        <w:rPr>
          <w:sz w:val="22"/>
          <w:szCs w:val="22"/>
        </w:rPr>
        <w:t>епидермална</w:t>
      </w:r>
      <w:proofErr w:type="spellEnd"/>
      <w:r w:rsidRPr="00FC1AD3">
        <w:rPr>
          <w:sz w:val="22"/>
          <w:szCs w:val="22"/>
        </w:rPr>
        <w:t xml:space="preserve"> </w:t>
      </w:r>
      <w:proofErr w:type="spellStart"/>
      <w:r w:rsidRPr="00FC1AD3">
        <w:rPr>
          <w:sz w:val="22"/>
          <w:szCs w:val="22"/>
        </w:rPr>
        <w:t>некролиза</w:t>
      </w:r>
      <w:proofErr w:type="spellEnd"/>
      <w:r w:rsidRPr="00FC1AD3">
        <w:rPr>
          <w:sz w:val="22"/>
          <w:szCs w:val="22"/>
        </w:rPr>
        <w:t xml:space="preserve">, </w:t>
      </w:r>
      <w:proofErr w:type="spellStart"/>
      <w:r w:rsidRPr="00FC1AD3">
        <w:rPr>
          <w:sz w:val="22"/>
          <w:szCs w:val="22"/>
        </w:rPr>
        <w:t>пемфигоид</w:t>
      </w:r>
      <w:proofErr w:type="spellEnd"/>
      <w:r w:rsidRPr="00FC1AD3">
        <w:rPr>
          <w:sz w:val="22"/>
          <w:szCs w:val="22"/>
        </w:rPr>
        <w:t>)</w:t>
      </w:r>
    </w:p>
    <w:p w14:paraId="6FF5D881" w14:textId="77777777" w:rsidR="009A7EEB" w:rsidRPr="008E6BF5" w:rsidRDefault="009A7EEB">
      <w:pPr>
        <w:jc w:val="both"/>
        <w:rPr>
          <w:b/>
          <w:sz w:val="22"/>
          <w:szCs w:val="22"/>
          <w:lang w:val="bg-BG"/>
        </w:rPr>
      </w:pPr>
    </w:p>
    <w:p w14:paraId="457FAFEB" w14:textId="77777777" w:rsidR="009A7EEB" w:rsidRPr="00763075" w:rsidRDefault="009A7EEB">
      <w:pPr>
        <w:jc w:val="both"/>
        <w:rPr>
          <w:sz w:val="22"/>
          <w:szCs w:val="22"/>
          <w:lang w:val="bg-BG"/>
        </w:rPr>
      </w:pPr>
      <w:r w:rsidRPr="00763075">
        <w:rPr>
          <w:sz w:val="22"/>
          <w:szCs w:val="22"/>
          <w:lang w:val="bg-BG"/>
        </w:rPr>
        <w:t>-</w:t>
      </w:r>
      <w:r w:rsidRPr="00763075">
        <w:rPr>
          <w:sz w:val="22"/>
          <w:szCs w:val="22"/>
          <w:lang w:val="bg-BG"/>
        </w:rPr>
        <w:tab/>
        <w:t>Нарушения</w:t>
      </w:r>
      <w:r w:rsidRPr="00763075">
        <w:rPr>
          <w:noProof/>
          <w:sz w:val="22"/>
          <w:szCs w:val="22"/>
          <w:lang w:val="bg-BG"/>
        </w:rPr>
        <w:t xml:space="preserve"> </w:t>
      </w:r>
      <w:r w:rsidRPr="00763075">
        <w:rPr>
          <w:sz w:val="22"/>
          <w:szCs w:val="22"/>
          <w:lang w:val="bg-BG"/>
        </w:rPr>
        <w:t xml:space="preserve">бъбреците </w:t>
      </w:r>
      <w:r w:rsidRPr="00763075">
        <w:rPr>
          <w:noProof/>
          <w:sz w:val="22"/>
          <w:szCs w:val="22"/>
          <w:lang w:val="bg-BG"/>
        </w:rPr>
        <w:t>и пикочните пътища</w:t>
      </w:r>
      <w:r w:rsidRPr="00763075">
        <w:rPr>
          <w:sz w:val="22"/>
          <w:szCs w:val="22"/>
          <w:lang w:val="bg-BG"/>
        </w:rPr>
        <w:t>:</w:t>
      </w:r>
    </w:p>
    <w:p w14:paraId="4E8CA928" w14:textId="77777777" w:rsidR="009A7EEB" w:rsidRPr="00763075" w:rsidRDefault="009A7EEB">
      <w:pPr>
        <w:pStyle w:val="Heading9"/>
        <w:ind w:right="0"/>
        <w:rPr>
          <w:rFonts w:ascii="Times New Roman" w:hAnsi="Times New Roman"/>
          <w:sz w:val="22"/>
          <w:szCs w:val="22"/>
        </w:rPr>
      </w:pPr>
      <w:r w:rsidRPr="00763075">
        <w:rPr>
          <w:rFonts w:ascii="Times New Roman" w:hAnsi="Times New Roman"/>
          <w:sz w:val="22"/>
          <w:szCs w:val="22"/>
        </w:rPr>
        <w:lastRenderedPageBreak/>
        <w:t>Редки: задържане на урина</w:t>
      </w:r>
    </w:p>
    <w:p w14:paraId="054234C2" w14:textId="77777777" w:rsidR="009A7EEB" w:rsidRPr="00763075" w:rsidRDefault="009A7EEB">
      <w:pPr>
        <w:jc w:val="both"/>
        <w:rPr>
          <w:sz w:val="22"/>
          <w:szCs w:val="22"/>
          <w:lang w:val="bg-BG"/>
        </w:rPr>
      </w:pPr>
    </w:p>
    <w:p w14:paraId="57EEA60E" w14:textId="7B75C42C" w:rsidR="009A7EEB" w:rsidRPr="008E6BF5" w:rsidRDefault="009A7EEB">
      <w:pPr>
        <w:jc w:val="both"/>
        <w:rPr>
          <w:b/>
          <w:sz w:val="22"/>
          <w:szCs w:val="22"/>
          <w:lang w:val="bg-BG"/>
        </w:rPr>
      </w:pPr>
      <w:r w:rsidRPr="00763075">
        <w:rPr>
          <w:b/>
          <w:sz w:val="22"/>
          <w:szCs w:val="22"/>
          <w:lang w:val="bg-BG"/>
        </w:rPr>
        <w:t>-</w:t>
      </w:r>
      <w:r w:rsidRPr="00763075">
        <w:rPr>
          <w:b/>
          <w:sz w:val="22"/>
          <w:szCs w:val="22"/>
          <w:lang w:val="bg-BG"/>
        </w:rPr>
        <w:tab/>
      </w:r>
      <w:r w:rsidRPr="00763075">
        <w:rPr>
          <w:sz w:val="22"/>
          <w:szCs w:val="22"/>
          <w:lang w:val="bg-BG"/>
        </w:rPr>
        <w:t>Общи нарушения и ефекти на мястото на приложение:</w:t>
      </w:r>
    </w:p>
    <w:p w14:paraId="79654E09" w14:textId="77777777" w:rsidR="009A7EEB" w:rsidRPr="00763075" w:rsidRDefault="009A7EEB">
      <w:pPr>
        <w:pStyle w:val="Heading9"/>
        <w:ind w:right="0"/>
        <w:rPr>
          <w:rFonts w:ascii="Times New Roman" w:hAnsi="Times New Roman"/>
          <w:sz w:val="22"/>
          <w:szCs w:val="22"/>
        </w:rPr>
      </w:pPr>
      <w:r w:rsidRPr="00763075">
        <w:rPr>
          <w:rFonts w:ascii="Times New Roman" w:hAnsi="Times New Roman"/>
          <w:sz w:val="22"/>
          <w:szCs w:val="22"/>
        </w:rPr>
        <w:t xml:space="preserve">Нечести: неразположение, пирексия </w:t>
      </w:r>
    </w:p>
    <w:p w14:paraId="044298B4" w14:textId="102E4BBF" w:rsidR="00013D33" w:rsidRPr="00763075" w:rsidRDefault="00013D33">
      <w:pPr>
        <w:jc w:val="both"/>
        <w:rPr>
          <w:sz w:val="22"/>
          <w:szCs w:val="22"/>
          <w:lang w:val="bg-BG"/>
        </w:rPr>
      </w:pPr>
    </w:p>
    <w:p w14:paraId="520428ED" w14:textId="77777777" w:rsidR="00007080" w:rsidRPr="00F04A21" w:rsidRDefault="00007080">
      <w:pPr>
        <w:keepNext/>
        <w:tabs>
          <w:tab w:val="left" w:pos="720"/>
        </w:tabs>
        <w:rPr>
          <w:sz w:val="22"/>
          <w:szCs w:val="22"/>
          <w:u w:val="single"/>
          <w:lang w:val="bg-BG"/>
        </w:rPr>
      </w:pPr>
      <w:r w:rsidRPr="00F04A21">
        <w:rPr>
          <w:noProof/>
          <w:sz w:val="22"/>
          <w:szCs w:val="22"/>
          <w:u w:val="single"/>
          <w:lang w:val="bg-BG"/>
        </w:rPr>
        <w:t>Съобщаване на подозирани нежелани реакции</w:t>
      </w:r>
    </w:p>
    <w:p w14:paraId="4742B9B0" w14:textId="77777777" w:rsidR="00056788" w:rsidRPr="00F04A21" w:rsidRDefault="00007080">
      <w:pPr>
        <w:keepNext/>
        <w:jc w:val="both"/>
        <w:rPr>
          <w:noProof/>
          <w:sz w:val="22"/>
          <w:szCs w:val="22"/>
          <w:lang w:val="bg-BG"/>
        </w:rPr>
      </w:pPr>
      <w:r w:rsidRPr="00F04A21">
        <w:rPr>
          <w:noProof/>
          <w:sz w:val="22"/>
          <w:szCs w:val="22"/>
          <w:lang w:val="bg-BG"/>
        </w:rPr>
        <w:t>Съобщаването на подозирани нежелани реакции след разрешаване за употреба на лекарствения продукт е важно.</w:t>
      </w:r>
      <w:r w:rsidRPr="00F04A21">
        <w:rPr>
          <w:sz w:val="22"/>
          <w:szCs w:val="22"/>
          <w:lang w:val="bg-BG"/>
        </w:rPr>
        <w:t xml:space="preserve"> </w:t>
      </w:r>
      <w:r w:rsidRPr="00F04A21">
        <w:rPr>
          <w:noProof/>
          <w:sz w:val="22"/>
          <w:szCs w:val="22"/>
          <w:lang w:val="bg-BG"/>
        </w:rPr>
        <w:t>Това позволява да продължи наблюдението на съотношението полза/риск за лекарствения продукт.</w:t>
      </w:r>
      <w:r w:rsidRPr="00F04A21">
        <w:rPr>
          <w:sz w:val="22"/>
          <w:szCs w:val="22"/>
          <w:lang w:val="bg-BG"/>
        </w:rPr>
        <w:t xml:space="preserve"> </w:t>
      </w:r>
      <w:r w:rsidRPr="00F04A21">
        <w:rPr>
          <w:noProof/>
          <w:sz w:val="22"/>
          <w:szCs w:val="22"/>
          <w:lang w:val="bg-BG"/>
        </w:rPr>
        <w:t>От медицинските специалисти се изисква да съобщават всяка подозирана нежелана реакция чрез национална система за съобщаване</w:t>
      </w:r>
      <w:r w:rsidR="00056788" w:rsidRPr="00F04A21">
        <w:rPr>
          <w:noProof/>
          <w:sz w:val="22"/>
          <w:szCs w:val="22"/>
          <w:lang w:val="bg-BG"/>
        </w:rPr>
        <w:t>:</w:t>
      </w:r>
    </w:p>
    <w:p w14:paraId="4018B864" w14:textId="77777777" w:rsidR="00056788" w:rsidRPr="00F04A21" w:rsidRDefault="00056788">
      <w:pPr>
        <w:jc w:val="both"/>
        <w:rPr>
          <w:noProof/>
          <w:sz w:val="22"/>
          <w:szCs w:val="22"/>
          <w:lang w:val="en-GB"/>
        </w:rPr>
      </w:pPr>
      <w:r w:rsidRPr="00F04A21">
        <w:rPr>
          <w:noProof/>
          <w:sz w:val="22"/>
          <w:szCs w:val="22"/>
          <w:lang w:val="bg-BG"/>
        </w:rPr>
        <w:t>Изпълнителна агенция по лекарствата</w:t>
      </w:r>
    </w:p>
    <w:p w14:paraId="0F66A81A" w14:textId="77777777" w:rsidR="00056788" w:rsidRPr="00F04A21" w:rsidRDefault="00056788">
      <w:pPr>
        <w:jc w:val="both"/>
        <w:rPr>
          <w:noProof/>
          <w:sz w:val="22"/>
          <w:szCs w:val="22"/>
          <w:lang w:val="en-GB"/>
        </w:rPr>
      </w:pPr>
      <w:r w:rsidRPr="00F04A21">
        <w:rPr>
          <w:noProof/>
          <w:sz w:val="22"/>
          <w:szCs w:val="22"/>
          <w:lang w:val="bg-BG"/>
        </w:rPr>
        <w:t xml:space="preserve">ул. „Дамян Груев” № 8 </w:t>
      </w:r>
    </w:p>
    <w:p w14:paraId="704BA3C4" w14:textId="77777777" w:rsidR="00056788" w:rsidRPr="00F04A21" w:rsidRDefault="00056788">
      <w:pPr>
        <w:jc w:val="both"/>
        <w:rPr>
          <w:noProof/>
          <w:sz w:val="22"/>
          <w:szCs w:val="22"/>
          <w:lang w:val="en-GB"/>
        </w:rPr>
      </w:pPr>
      <w:r w:rsidRPr="00F04A21">
        <w:rPr>
          <w:noProof/>
          <w:sz w:val="22"/>
          <w:szCs w:val="22"/>
          <w:lang w:val="bg-BG"/>
        </w:rPr>
        <w:t>1303 София</w:t>
      </w:r>
      <w:r w:rsidRPr="00F04A21">
        <w:rPr>
          <w:noProof/>
          <w:sz w:val="22"/>
          <w:szCs w:val="22"/>
          <w:lang w:val="en-GB"/>
        </w:rPr>
        <w:t xml:space="preserve"> </w:t>
      </w:r>
    </w:p>
    <w:p w14:paraId="20D68A7E" w14:textId="77777777" w:rsidR="00056788" w:rsidRPr="00F04A21" w:rsidRDefault="00056788">
      <w:pPr>
        <w:jc w:val="both"/>
        <w:rPr>
          <w:noProof/>
          <w:sz w:val="22"/>
          <w:szCs w:val="22"/>
          <w:lang w:val="en-GB"/>
        </w:rPr>
      </w:pPr>
      <w:r w:rsidRPr="00F04A21">
        <w:rPr>
          <w:noProof/>
          <w:sz w:val="22"/>
          <w:szCs w:val="22"/>
          <w:lang w:val="en-GB"/>
        </w:rPr>
        <w:t>Te</w:t>
      </w:r>
      <w:r w:rsidRPr="00F04A21">
        <w:rPr>
          <w:noProof/>
          <w:sz w:val="22"/>
          <w:szCs w:val="22"/>
          <w:lang w:val="bg-BG"/>
        </w:rPr>
        <w:t>л.</w:t>
      </w:r>
      <w:r w:rsidRPr="00F04A21">
        <w:rPr>
          <w:noProof/>
          <w:sz w:val="22"/>
          <w:szCs w:val="22"/>
          <w:lang w:val="en-GB"/>
        </w:rPr>
        <w:t xml:space="preserve">: </w:t>
      </w:r>
      <w:r w:rsidRPr="00F04A21">
        <w:rPr>
          <w:noProof/>
          <w:sz w:val="22"/>
          <w:szCs w:val="22"/>
          <w:lang w:val="bg-BG"/>
        </w:rPr>
        <w:t>+359</w:t>
      </w:r>
      <w:r w:rsidRPr="00F04A21">
        <w:rPr>
          <w:noProof/>
          <w:sz w:val="22"/>
          <w:szCs w:val="22"/>
          <w:lang w:val="en-GB"/>
        </w:rPr>
        <w:t xml:space="preserve"> </w:t>
      </w:r>
      <w:r w:rsidRPr="00F04A21">
        <w:rPr>
          <w:noProof/>
          <w:sz w:val="22"/>
          <w:szCs w:val="22"/>
          <w:lang w:val="bg-BG"/>
        </w:rPr>
        <w:t>2</w:t>
      </w:r>
      <w:r w:rsidRPr="00F04A21">
        <w:rPr>
          <w:noProof/>
          <w:sz w:val="22"/>
          <w:szCs w:val="22"/>
          <w:lang w:val="en-GB"/>
        </w:rPr>
        <w:t xml:space="preserve"> </w:t>
      </w:r>
      <w:r w:rsidRPr="00F04A21">
        <w:rPr>
          <w:noProof/>
          <w:sz w:val="22"/>
          <w:szCs w:val="22"/>
          <w:lang w:val="bg-BG"/>
        </w:rPr>
        <w:t>8903417</w:t>
      </w:r>
    </w:p>
    <w:p w14:paraId="618BDA04" w14:textId="77777777" w:rsidR="00056788" w:rsidRPr="00F04A21" w:rsidRDefault="00056788">
      <w:pPr>
        <w:jc w:val="both"/>
        <w:rPr>
          <w:noProof/>
          <w:sz w:val="22"/>
          <w:szCs w:val="22"/>
          <w:lang w:val="bg-BG"/>
        </w:rPr>
      </w:pPr>
      <w:r w:rsidRPr="00F04A21">
        <w:rPr>
          <w:noProof/>
          <w:sz w:val="22"/>
          <w:szCs w:val="22"/>
          <w:lang w:val="bg-BG"/>
        </w:rPr>
        <w:t>уебсайт</w:t>
      </w:r>
      <w:r w:rsidRPr="00F04A21">
        <w:rPr>
          <w:noProof/>
          <w:sz w:val="22"/>
          <w:szCs w:val="22"/>
        </w:rPr>
        <w:t xml:space="preserve">: </w:t>
      </w:r>
      <w:hyperlink r:id="rId9" w:history="1">
        <w:r w:rsidRPr="00F04A21">
          <w:rPr>
            <w:rStyle w:val="Hyperlink"/>
            <w:noProof/>
            <w:sz w:val="22"/>
            <w:szCs w:val="22"/>
          </w:rPr>
          <w:t>www.bda.bg</w:t>
        </w:r>
      </w:hyperlink>
    </w:p>
    <w:p w14:paraId="51A214C8" w14:textId="77777777" w:rsidR="00007080" w:rsidRPr="00763075" w:rsidRDefault="00007080">
      <w:pPr>
        <w:jc w:val="both"/>
        <w:rPr>
          <w:sz w:val="22"/>
          <w:szCs w:val="22"/>
          <w:lang w:val="bg-BG"/>
        </w:rPr>
      </w:pPr>
    </w:p>
    <w:p w14:paraId="11E51C60" w14:textId="77777777" w:rsidR="00C87970" w:rsidRPr="00763075" w:rsidRDefault="00C87970" w:rsidP="00290B20">
      <w:pPr>
        <w:numPr>
          <w:ilvl w:val="1"/>
          <w:numId w:val="19"/>
        </w:numPr>
        <w:ind w:left="0" w:firstLine="0"/>
        <w:jc w:val="both"/>
        <w:rPr>
          <w:b/>
          <w:sz w:val="22"/>
          <w:szCs w:val="22"/>
          <w:lang w:val="bg-BG"/>
        </w:rPr>
      </w:pPr>
      <w:r w:rsidRPr="00763075">
        <w:rPr>
          <w:b/>
          <w:sz w:val="22"/>
          <w:szCs w:val="22"/>
          <w:lang w:val="bg-BG"/>
        </w:rPr>
        <w:t>Предозиране</w:t>
      </w:r>
    </w:p>
    <w:p w14:paraId="1D7E481F" w14:textId="77777777" w:rsidR="006A14EC" w:rsidRPr="00290B20" w:rsidRDefault="006A14EC" w:rsidP="00290B20">
      <w:pPr>
        <w:jc w:val="both"/>
        <w:rPr>
          <w:b/>
          <w:sz w:val="22"/>
          <w:szCs w:val="22"/>
          <w:lang w:val="bg-BG"/>
        </w:rPr>
      </w:pPr>
    </w:p>
    <w:p w14:paraId="10A19E6A" w14:textId="64285C96" w:rsidR="006A14EC" w:rsidRPr="00763075" w:rsidRDefault="006A14EC" w:rsidP="00290B20">
      <w:pPr>
        <w:pStyle w:val="BodyText3"/>
        <w:ind w:right="0"/>
        <w:rPr>
          <w:rFonts w:ascii="Times New Roman" w:hAnsi="Times New Roman"/>
          <w:sz w:val="22"/>
          <w:szCs w:val="22"/>
        </w:rPr>
      </w:pPr>
      <w:r w:rsidRPr="00290B20">
        <w:rPr>
          <w:rFonts w:ascii="Times New Roman" w:hAnsi="Times New Roman"/>
          <w:sz w:val="22"/>
          <w:szCs w:val="22"/>
        </w:rPr>
        <w:t xml:space="preserve">Симптомите, наблюдавани след значително предозиране са свързани главно с прекомерния антихолинергичен ефект, подтискане </w:t>
      </w:r>
      <w:r w:rsidR="00B55F8F" w:rsidRPr="00290B20">
        <w:rPr>
          <w:rFonts w:ascii="Times New Roman" w:hAnsi="Times New Roman"/>
          <w:sz w:val="22"/>
          <w:szCs w:val="22"/>
        </w:rPr>
        <w:t xml:space="preserve">на ЦНС </w:t>
      </w:r>
      <w:r w:rsidRPr="00290B20">
        <w:rPr>
          <w:rFonts w:ascii="Times New Roman" w:hAnsi="Times New Roman"/>
          <w:sz w:val="22"/>
          <w:szCs w:val="22"/>
        </w:rPr>
        <w:t>или парадоксално стимулиране на ЦНС. Те включват гадене, повръщане, тахикардия, пирексия, сънливост, нарушени рефлекси</w:t>
      </w:r>
      <w:r w:rsidR="00233990" w:rsidRPr="00763075">
        <w:rPr>
          <w:rFonts w:ascii="Times New Roman" w:hAnsi="Times New Roman"/>
          <w:sz w:val="22"/>
          <w:szCs w:val="22"/>
        </w:rPr>
        <w:t xml:space="preserve"> на зеницата</w:t>
      </w:r>
      <w:r w:rsidRPr="00763075">
        <w:rPr>
          <w:rFonts w:ascii="Times New Roman" w:hAnsi="Times New Roman"/>
          <w:sz w:val="22"/>
          <w:szCs w:val="22"/>
        </w:rPr>
        <w:t xml:space="preserve">, тремор, обърканост и </w:t>
      </w:r>
      <w:r w:rsidR="00B55F8F" w:rsidRPr="00763075">
        <w:rPr>
          <w:rFonts w:ascii="Times New Roman" w:hAnsi="Times New Roman"/>
          <w:sz w:val="22"/>
          <w:szCs w:val="22"/>
        </w:rPr>
        <w:t>халюцинация</w:t>
      </w:r>
      <w:r w:rsidRPr="00763075">
        <w:rPr>
          <w:rFonts w:ascii="Times New Roman" w:hAnsi="Times New Roman"/>
          <w:sz w:val="22"/>
          <w:szCs w:val="22"/>
        </w:rPr>
        <w:t xml:space="preserve">. Те могат да бъдат последвани от нарушения в съзнанието, подтискане на дишането, конвулсии, </w:t>
      </w:r>
      <w:proofErr w:type="spellStart"/>
      <w:r w:rsidRPr="00763075">
        <w:rPr>
          <w:rFonts w:ascii="Times New Roman" w:hAnsi="Times New Roman"/>
          <w:sz w:val="22"/>
          <w:szCs w:val="22"/>
        </w:rPr>
        <w:t>хипотония</w:t>
      </w:r>
      <w:proofErr w:type="spellEnd"/>
      <w:r w:rsidRPr="00763075">
        <w:rPr>
          <w:rFonts w:ascii="Times New Roman" w:hAnsi="Times New Roman"/>
          <w:sz w:val="22"/>
          <w:szCs w:val="22"/>
        </w:rPr>
        <w:t xml:space="preserve"> или сърдечна аритмия</w:t>
      </w:r>
      <w:r w:rsidR="00123AA1">
        <w:rPr>
          <w:rFonts w:ascii="Times New Roman" w:hAnsi="Times New Roman"/>
          <w:sz w:val="22"/>
          <w:szCs w:val="22"/>
        </w:rPr>
        <w:t xml:space="preserve">, включително </w:t>
      </w:r>
      <w:proofErr w:type="spellStart"/>
      <w:r w:rsidR="00123AA1">
        <w:rPr>
          <w:rFonts w:ascii="Times New Roman" w:hAnsi="Times New Roman"/>
          <w:sz w:val="22"/>
          <w:szCs w:val="22"/>
        </w:rPr>
        <w:t>брадикардия</w:t>
      </w:r>
      <w:proofErr w:type="spellEnd"/>
      <w:r w:rsidRPr="00763075">
        <w:rPr>
          <w:rFonts w:ascii="Times New Roman" w:hAnsi="Times New Roman"/>
          <w:sz w:val="22"/>
          <w:szCs w:val="22"/>
        </w:rPr>
        <w:t>. Може да последва</w:t>
      </w:r>
      <w:r w:rsidR="00810FF1" w:rsidRPr="00763075">
        <w:rPr>
          <w:rFonts w:ascii="Times New Roman" w:hAnsi="Times New Roman"/>
          <w:sz w:val="22"/>
          <w:szCs w:val="22"/>
        </w:rPr>
        <w:t xml:space="preserve"> </w:t>
      </w:r>
      <w:r w:rsidR="00B55F8F" w:rsidRPr="00763075">
        <w:rPr>
          <w:rFonts w:ascii="Times New Roman" w:hAnsi="Times New Roman"/>
          <w:sz w:val="22"/>
          <w:szCs w:val="22"/>
        </w:rPr>
        <w:t xml:space="preserve">задълбочаване на </w:t>
      </w:r>
      <w:r w:rsidRPr="00763075">
        <w:rPr>
          <w:rFonts w:ascii="Times New Roman" w:hAnsi="Times New Roman"/>
          <w:sz w:val="22"/>
          <w:szCs w:val="22"/>
        </w:rPr>
        <w:t xml:space="preserve">кома и кардио-респираторен колапс. </w:t>
      </w:r>
    </w:p>
    <w:p w14:paraId="5699C734" w14:textId="77777777" w:rsidR="00B55F8F" w:rsidRPr="00763075" w:rsidRDefault="00B55F8F" w:rsidP="00290B20">
      <w:pPr>
        <w:pStyle w:val="BodyText3"/>
        <w:ind w:right="0"/>
        <w:rPr>
          <w:rFonts w:ascii="Times New Roman" w:hAnsi="Times New Roman"/>
          <w:sz w:val="22"/>
          <w:szCs w:val="22"/>
        </w:rPr>
      </w:pPr>
    </w:p>
    <w:p w14:paraId="2346F11F" w14:textId="241C0642" w:rsidR="006A14EC" w:rsidRPr="00763075" w:rsidRDefault="006A14EC" w:rsidP="00290B20">
      <w:pPr>
        <w:pStyle w:val="BodyText3"/>
        <w:ind w:right="0"/>
        <w:rPr>
          <w:rFonts w:ascii="Times New Roman" w:hAnsi="Times New Roman"/>
          <w:sz w:val="22"/>
          <w:szCs w:val="22"/>
        </w:rPr>
      </w:pPr>
      <w:r w:rsidRPr="00763075">
        <w:rPr>
          <w:rFonts w:ascii="Times New Roman" w:hAnsi="Times New Roman"/>
          <w:sz w:val="22"/>
          <w:szCs w:val="22"/>
        </w:rPr>
        <w:t>Необходим е строг контрол върху</w:t>
      </w:r>
      <w:r w:rsidR="00810FF1" w:rsidRPr="00763075">
        <w:rPr>
          <w:rFonts w:ascii="Times New Roman" w:hAnsi="Times New Roman"/>
          <w:sz w:val="22"/>
          <w:szCs w:val="22"/>
        </w:rPr>
        <w:t xml:space="preserve"> </w:t>
      </w:r>
      <w:r w:rsidRPr="00763075">
        <w:rPr>
          <w:rFonts w:ascii="Times New Roman" w:hAnsi="Times New Roman"/>
          <w:sz w:val="22"/>
          <w:szCs w:val="22"/>
        </w:rPr>
        <w:t>дихателните пътища, дишането и циркулаторния статус</w:t>
      </w:r>
      <w:r w:rsidR="00675DE9" w:rsidRPr="00763075">
        <w:rPr>
          <w:rFonts w:ascii="Times New Roman" w:hAnsi="Times New Roman"/>
          <w:sz w:val="22"/>
          <w:szCs w:val="22"/>
        </w:rPr>
        <w:t xml:space="preserve"> посредством</w:t>
      </w:r>
      <w:r w:rsidRPr="00763075">
        <w:rPr>
          <w:rFonts w:ascii="Times New Roman" w:hAnsi="Times New Roman"/>
          <w:sz w:val="22"/>
          <w:szCs w:val="22"/>
        </w:rPr>
        <w:t xml:space="preserve"> продължителен ЕКГ запис, както</w:t>
      </w:r>
      <w:r w:rsidR="00810FF1" w:rsidRPr="00763075">
        <w:rPr>
          <w:rFonts w:ascii="Times New Roman" w:hAnsi="Times New Roman"/>
          <w:sz w:val="22"/>
          <w:szCs w:val="22"/>
        </w:rPr>
        <w:t xml:space="preserve"> </w:t>
      </w:r>
      <w:r w:rsidRPr="00763075">
        <w:rPr>
          <w:rFonts w:ascii="Times New Roman" w:hAnsi="Times New Roman"/>
          <w:sz w:val="22"/>
          <w:szCs w:val="22"/>
        </w:rPr>
        <w:t xml:space="preserve">и осигуряване на </w:t>
      </w:r>
      <w:r w:rsidR="00C137A8" w:rsidRPr="00763075">
        <w:rPr>
          <w:rFonts w:ascii="Times New Roman" w:hAnsi="Times New Roman"/>
          <w:sz w:val="22"/>
          <w:szCs w:val="22"/>
        </w:rPr>
        <w:t xml:space="preserve">достатъчно количество </w:t>
      </w:r>
      <w:r w:rsidRPr="00763075">
        <w:rPr>
          <w:rFonts w:ascii="Times New Roman" w:hAnsi="Times New Roman"/>
          <w:sz w:val="22"/>
          <w:szCs w:val="22"/>
        </w:rPr>
        <w:t>кислород. Необходимо е проследяване на сърдечната функция и кръвното налягане за период 24 часа след преминаване на симптомите. Пациентите с променено психично състояние трябва да бъдат изследвани за евентуално едноврем</w:t>
      </w:r>
      <w:r w:rsidR="00233990" w:rsidRPr="00763075">
        <w:rPr>
          <w:rFonts w:ascii="Times New Roman" w:hAnsi="Times New Roman"/>
          <w:sz w:val="22"/>
          <w:szCs w:val="22"/>
        </w:rPr>
        <w:t xml:space="preserve">енна употреба </w:t>
      </w:r>
      <w:r w:rsidRPr="00763075">
        <w:rPr>
          <w:rFonts w:ascii="Times New Roman" w:hAnsi="Times New Roman"/>
          <w:sz w:val="22"/>
          <w:szCs w:val="22"/>
        </w:rPr>
        <w:t>на други лекарства или алкохол и при необходимост</w:t>
      </w:r>
      <w:r w:rsidR="00810FF1" w:rsidRPr="00763075">
        <w:rPr>
          <w:rFonts w:ascii="Times New Roman" w:hAnsi="Times New Roman"/>
          <w:sz w:val="22"/>
          <w:szCs w:val="22"/>
        </w:rPr>
        <w:t xml:space="preserve"> </w:t>
      </w:r>
      <w:r w:rsidRPr="00763075">
        <w:rPr>
          <w:rFonts w:ascii="Times New Roman" w:hAnsi="Times New Roman"/>
          <w:sz w:val="22"/>
          <w:szCs w:val="22"/>
        </w:rPr>
        <w:t xml:space="preserve">да получат кислород, налоксон, глюкоза и тиамин. </w:t>
      </w:r>
    </w:p>
    <w:p w14:paraId="1471CC7C" w14:textId="77777777" w:rsidR="00B55F8F" w:rsidRPr="00763075" w:rsidRDefault="00B55F8F" w:rsidP="00290B20">
      <w:pPr>
        <w:pStyle w:val="BodyText3"/>
        <w:ind w:right="0"/>
        <w:rPr>
          <w:rFonts w:ascii="Times New Roman" w:hAnsi="Times New Roman"/>
          <w:sz w:val="22"/>
          <w:szCs w:val="22"/>
        </w:rPr>
      </w:pPr>
    </w:p>
    <w:p w14:paraId="739CF6F8" w14:textId="6D49EDA2" w:rsidR="006A14EC" w:rsidRPr="00763075" w:rsidRDefault="006A14EC">
      <w:pPr>
        <w:pStyle w:val="BodyText3"/>
        <w:ind w:right="0"/>
        <w:rPr>
          <w:rFonts w:ascii="Times New Roman" w:hAnsi="Times New Roman"/>
          <w:sz w:val="22"/>
          <w:szCs w:val="22"/>
        </w:rPr>
      </w:pPr>
      <w:r w:rsidRPr="00763075">
        <w:rPr>
          <w:rFonts w:ascii="Times New Roman" w:hAnsi="Times New Roman"/>
          <w:sz w:val="22"/>
          <w:szCs w:val="22"/>
        </w:rPr>
        <w:t>При необходимост от вазопресия се прилага норепинефрин или метараминол</w:t>
      </w:r>
      <w:r w:rsidR="00790BD9" w:rsidRPr="00763075">
        <w:rPr>
          <w:rFonts w:ascii="Times New Roman" w:hAnsi="Times New Roman"/>
          <w:sz w:val="22"/>
          <w:szCs w:val="22"/>
        </w:rPr>
        <w:t>.</w:t>
      </w:r>
      <w:r w:rsidRPr="00763075">
        <w:rPr>
          <w:rFonts w:ascii="Times New Roman" w:hAnsi="Times New Roman"/>
          <w:sz w:val="22"/>
          <w:szCs w:val="22"/>
        </w:rPr>
        <w:t xml:space="preserve"> </w:t>
      </w:r>
      <w:r w:rsidR="00790BD9" w:rsidRPr="00763075">
        <w:rPr>
          <w:rFonts w:ascii="Times New Roman" w:hAnsi="Times New Roman"/>
          <w:sz w:val="22"/>
          <w:szCs w:val="22"/>
        </w:rPr>
        <w:t xml:space="preserve">Не </w:t>
      </w:r>
      <w:r w:rsidRPr="00763075">
        <w:rPr>
          <w:rFonts w:ascii="Times New Roman" w:hAnsi="Times New Roman"/>
          <w:sz w:val="22"/>
          <w:szCs w:val="22"/>
        </w:rPr>
        <w:t>трябва да се използва епинефрин.</w:t>
      </w:r>
    </w:p>
    <w:p w14:paraId="67BB7796" w14:textId="77777777" w:rsidR="006A14EC" w:rsidRPr="00763075" w:rsidRDefault="006A14EC">
      <w:pPr>
        <w:pStyle w:val="BodyText3"/>
        <w:ind w:right="0"/>
        <w:rPr>
          <w:rFonts w:ascii="Times New Roman" w:hAnsi="Times New Roman"/>
          <w:sz w:val="22"/>
          <w:szCs w:val="22"/>
        </w:rPr>
      </w:pPr>
    </w:p>
    <w:p w14:paraId="667C67DE" w14:textId="6E5BE4C7" w:rsidR="006A14EC" w:rsidRPr="00290B20" w:rsidRDefault="006A14EC">
      <w:pPr>
        <w:pStyle w:val="BodyText3"/>
        <w:ind w:right="0"/>
        <w:rPr>
          <w:rFonts w:ascii="Times New Roman" w:hAnsi="Times New Roman"/>
          <w:sz w:val="22"/>
          <w:szCs w:val="22"/>
        </w:rPr>
      </w:pPr>
      <w:r w:rsidRPr="00763075">
        <w:rPr>
          <w:rFonts w:ascii="Times New Roman" w:hAnsi="Times New Roman"/>
          <w:sz w:val="22"/>
          <w:szCs w:val="22"/>
        </w:rPr>
        <w:t xml:space="preserve">Сироп от </w:t>
      </w:r>
      <w:r w:rsidR="00B55F8F" w:rsidRPr="00763075">
        <w:rPr>
          <w:rFonts w:ascii="Times New Roman" w:hAnsi="Times New Roman"/>
          <w:sz w:val="22"/>
          <w:szCs w:val="22"/>
        </w:rPr>
        <w:t>ипекакуанa</w:t>
      </w:r>
      <w:r w:rsidRPr="00763075">
        <w:rPr>
          <w:rFonts w:ascii="Times New Roman" w:hAnsi="Times New Roman"/>
          <w:sz w:val="22"/>
          <w:szCs w:val="22"/>
        </w:rPr>
        <w:t xml:space="preserve">  не трябва да се прилага при симптоматични пациенти или при такива, при които биха могли да настъпят бързо объркване, кома или конвулсии, поради възможност това да доведе до аспирационни пневмонити. При клинично значимо </w:t>
      </w:r>
      <w:r w:rsidR="00BA0956" w:rsidRPr="00763075">
        <w:rPr>
          <w:rFonts w:ascii="Times New Roman" w:hAnsi="Times New Roman"/>
          <w:sz w:val="22"/>
          <w:szCs w:val="22"/>
        </w:rPr>
        <w:t>поглъщане</w:t>
      </w:r>
      <w:r w:rsidRPr="00763075">
        <w:rPr>
          <w:rFonts w:ascii="Times New Roman" w:hAnsi="Times New Roman"/>
          <w:sz w:val="22"/>
          <w:szCs w:val="22"/>
        </w:rPr>
        <w:t xml:space="preserve"> се прави стомашна промивка с предшестваща ендотрахеална интубация. Може да се приложи активен въглен, но данните </w:t>
      </w:r>
      <w:r w:rsidR="00B55F8F" w:rsidRPr="00763075">
        <w:rPr>
          <w:rFonts w:ascii="Times New Roman" w:hAnsi="Times New Roman"/>
          <w:sz w:val="22"/>
          <w:szCs w:val="22"/>
        </w:rPr>
        <w:t xml:space="preserve">в </w:t>
      </w:r>
      <w:r w:rsidR="00763075" w:rsidRPr="00763075">
        <w:rPr>
          <w:rFonts w:ascii="Times New Roman" w:hAnsi="Times New Roman"/>
          <w:sz w:val="22"/>
          <w:szCs w:val="22"/>
        </w:rPr>
        <w:t>подкреп</w:t>
      </w:r>
      <w:r w:rsidR="00763075">
        <w:rPr>
          <w:rFonts w:ascii="Times New Roman" w:hAnsi="Times New Roman"/>
          <w:sz w:val="22"/>
          <w:szCs w:val="22"/>
        </w:rPr>
        <w:t>а</w:t>
      </w:r>
      <w:r w:rsidR="00763075" w:rsidRPr="00763075">
        <w:rPr>
          <w:rFonts w:ascii="Times New Roman" w:hAnsi="Times New Roman"/>
          <w:sz w:val="22"/>
          <w:szCs w:val="22"/>
        </w:rPr>
        <w:t xml:space="preserve"> </w:t>
      </w:r>
      <w:r w:rsidR="00763075" w:rsidRPr="00744421">
        <w:rPr>
          <w:rFonts w:ascii="Times New Roman" w:hAnsi="Times New Roman"/>
          <w:sz w:val="22"/>
          <w:szCs w:val="22"/>
        </w:rPr>
        <w:t>н</w:t>
      </w:r>
      <w:r w:rsidR="00763075">
        <w:rPr>
          <w:rFonts w:ascii="Times New Roman" w:hAnsi="Times New Roman"/>
          <w:sz w:val="22"/>
          <w:szCs w:val="22"/>
        </w:rPr>
        <w:t>а</w:t>
      </w:r>
      <w:r w:rsidR="00763075" w:rsidRPr="00763075">
        <w:rPr>
          <w:rFonts w:ascii="Times New Roman" w:hAnsi="Times New Roman"/>
          <w:sz w:val="22"/>
          <w:szCs w:val="22"/>
        </w:rPr>
        <w:t xml:space="preserve"> </w:t>
      </w:r>
      <w:r w:rsidRPr="00763075">
        <w:rPr>
          <w:rFonts w:ascii="Times New Roman" w:hAnsi="Times New Roman"/>
          <w:sz w:val="22"/>
          <w:szCs w:val="22"/>
        </w:rPr>
        <w:t xml:space="preserve">неговата </w:t>
      </w:r>
      <w:r w:rsidR="001600FB" w:rsidRPr="00744421">
        <w:rPr>
          <w:rFonts w:ascii="Times New Roman" w:hAnsi="Times New Roman"/>
          <w:sz w:val="22"/>
          <w:szCs w:val="22"/>
        </w:rPr>
        <w:t>ефикасност</w:t>
      </w:r>
      <w:r w:rsidRPr="00744421">
        <w:rPr>
          <w:rFonts w:ascii="Times New Roman" w:hAnsi="Times New Roman"/>
          <w:sz w:val="22"/>
          <w:szCs w:val="22"/>
        </w:rPr>
        <w:t xml:space="preserve"> са оскъдни. Поставя се под съмнение ползата от провеждането на хемодиализа или хемоперфузия. Няма специфичен антидот. </w:t>
      </w:r>
    </w:p>
    <w:p w14:paraId="63975F81" w14:textId="5664A1EC" w:rsidR="00B55F8F" w:rsidRPr="00290B20" w:rsidRDefault="006A14EC" w:rsidP="00F04A21">
      <w:pPr>
        <w:jc w:val="both"/>
        <w:rPr>
          <w:sz w:val="22"/>
          <w:szCs w:val="22"/>
          <w:lang w:val="bg-BG"/>
        </w:rPr>
      </w:pPr>
      <w:proofErr w:type="spellStart"/>
      <w:r w:rsidRPr="00290B20">
        <w:rPr>
          <w:sz w:val="22"/>
          <w:szCs w:val="22"/>
        </w:rPr>
        <w:t>Литературните</w:t>
      </w:r>
      <w:proofErr w:type="spellEnd"/>
      <w:r w:rsidRPr="00290B20">
        <w:rPr>
          <w:sz w:val="22"/>
          <w:szCs w:val="22"/>
        </w:rPr>
        <w:t xml:space="preserve"> </w:t>
      </w:r>
      <w:proofErr w:type="spellStart"/>
      <w:r w:rsidRPr="00290B20">
        <w:rPr>
          <w:sz w:val="22"/>
          <w:szCs w:val="22"/>
        </w:rPr>
        <w:t>данни</w:t>
      </w:r>
      <w:proofErr w:type="spellEnd"/>
      <w:r w:rsidRPr="00290B20">
        <w:rPr>
          <w:sz w:val="22"/>
          <w:szCs w:val="22"/>
        </w:rPr>
        <w:t xml:space="preserve"> </w:t>
      </w:r>
      <w:proofErr w:type="spellStart"/>
      <w:r w:rsidRPr="00290B20">
        <w:rPr>
          <w:sz w:val="22"/>
          <w:szCs w:val="22"/>
        </w:rPr>
        <w:t>показват</w:t>
      </w:r>
      <w:proofErr w:type="spellEnd"/>
      <w:r w:rsidRPr="00290B20">
        <w:rPr>
          <w:sz w:val="22"/>
          <w:szCs w:val="22"/>
        </w:rPr>
        <w:t xml:space="preserve">, </w:t>
      </w:r>
      <w:proofErr w:type="spellStart"/>
      <w:r w:rsidRPr="00290B20">
        <w:rPr>
          <w:sz w:val="22"/>
          <w:szCs w:val="22"/>
        </w:rPr>
        <w:t>че</w:t>
      </w:r>
      <w:proofErr w:type="spellEnd"/>
      <w:r w:rsidRPr="00290B20">
        <w:rPr>
          <w:sz w:val="22"/>
          <w:szCs w:val="22"/>
        </w:rPr>
        <w:t xml:space="preserve"> </w:t>
      </w:r>
      <w:proofErr w:type="spellStart"/>
      <w:r w:rsidRPr="00290B20">
        <w:rPr>
          <w:sz w:val="22"/>
          <w:szCs w:val="22"/>
        </w:rPr>
        <w:t>при</w:t>
      </w:r>
      <w:proofErr w:type="spellEnd"/>
      <w:r w:rsidRPr="00290B20">
        <w:rPr>
          <w:sz w:val="22"/>
          <w:szCs w:val="22"/>
        </w:rPr>
        <w:t xml:space="preserve"> </w:t>
      </w:r>
      <w:proofErr w:type="spellStart"/>
      <w:r w:rsidRPr="00290B20">
        <w:rPr>
          <w:sz w:val="22"/>
          <w:szCs w:val="22"/>
        </w:rPr>
        <w:t>наличие</w:t>
      </w:r>
      <w:proofErr w:type="spellEnd"/>
      <w:r w:rsidRPr="00290B20">
        <w:rPr>
          <w:sz w:val="22"/>
          <w:szCs w:val="22"/>
        </w:rPr>
        <w:t xml:space="preserve"> </w:t>
      </w:r>
      <w:proofErr w:type="spellStart"/>
      <w:r w:rsidRPr="00290B20">
        <w:rPr>
          <w:sz w:val="22"/>
          <w:szCs w:val="22"/>
        </w:rPr>
        <w:t>на</w:t>
      </w:r>
      <w:proofErr w:type="spellEnd"/>
      <w:r w:rsidRPr="00290B20">
        <w:rPr>
          <w:sz w:val="22"/>
          <w:szCs w:val="22"/>
        </w:rPr>
        <w:t xml:space="preserve"> </w:t>
      </w:r>
      <w:proofErr w:type="spellStart"/>
      <w:r w:rsidRPr="00290B20">
        <w:rPr>
          <w:sz w:val="22"/>
          <w:szCs w:val="22"/>
        </w:rPr>
        <w:t>тежки</w:t>
      </w:r>
      <w:proofErr w:type="spellEnd"/>
      <w:r w:rsidRPr="00290B20">
        <w:rPr>
          <w:sz w:val="22"/>
          <w:szCs w:val="22"/>
        </w:rPr>
        <w:t xml:space="preserve">, </w:t>
      </w:r>
      <w:proofErr w:type="spellStart"/>
      <w:r w:rsidRPr="00290B20">
        <w:rPr>
          <w:sz w:val="22"/>
          <w:szCs w:val="22"/>
        </w:rPr>
        <w:t>живото</w:t>
      </w:r>
      <w:proofErr w:type="spellEnd"/>
      <w:r w:rsidR="00763075">
        <w:rPr>
          <w:sz w:val="22"/>
          <w:szCs w:val="22"/>
          <w:lang w:val="bg-BG"/>
        </w:rPr>
        <w:t>-</w:t>
      </w:r>
      <w:proofErr w:type="spellStart"/>
      <w:r w:rsidRPr="00763075">
        <w:rPr>
          <w:sz w:val="22"/>
          <w:szCs w:val="22"/>
        </w:rPr>
        <w:t>застрашаващи</w:t>
      </w:r>
      <w:proofErr w:type="spellEnd"/>
      <w:r w:rsidRPr="00763075">
        <w:rPr>
          <w:sz w:val="22"/>
          <w:szCs w:val="22"/>
        </w:rPr>
        <w:t xml:space="preserve">, </w:t>
      </w:r>
      <w:proofErr w:type="spellStart"/>
      <w:r w:rsidRPr="00763075">
        <w:rPr>
          <w:sz w:val="22"/>
          <w:szCs w:val="22"/>
        </w:rPr>
        <w:t>трудно</w:t>
      </w:r>
      <w:proofErr w:type="spellEnd"/>
      <w:r w:rsidRPr="00763075">
        <w:rPr>
          <w:sz w:val="22"/>
          <w:szCs w:val="22"/>
        </w:rPr>
        <w:t xml:space="preserve"> </w:t>
      </w:r>
      <w:proofErr w:type="spellStart"/>
      <w:r w:rsidRPr="00763075">
        <w:rPr>
          <w:sz w:val="22"/>
          <w:szCs w:val="22"/>
        </w:rPr>
        <w:t>повлияващи</w:t>
      </w:r>
      <w:proofErr w:type="spellEnd"/>
      <w:r w:rsidRPr="00763075">
        <w:rPr>
          <w:sz w:val="22"/>
          <w:szCs w:val="22"/>
        </w:rPr>
        <w:t xml:space="preserve"> </w:t>
      </w:r>
      <w:proofErr w:type="spellStart"/>
      <w:r w:rsidRPr="00763075">
        <w:rPr>
          <w:sz w:val="22"/>
          <w:szCs w:val="22"/>
        </w:rPr>
        <w:t>се</w:t>
      </w:r>
      <w:proofErr w:type="spellEnd"/>
      <w:r w:rsidRPr="00763075">
        <w:rPr>
          <w:sz w:val="22"/>
          <w:szCs w:val="22"/>
        </w:rPr>
        <w:t xml:space="preserve"> </w:t>
      </w:r>
      <w:proofErr w:type="spellStart"/>
      <w:r w:rsidRPr="00763075">
        <w:rPr>
          <w:sz w:val="22"/>
          <w:szCs w:val="22"/>
        </w:rPr>
        <w:t>от</w:t>
      </w:r>
      <w:proofErr w:type="spellEnd"/>
      <w:r w:rsidRPr="00763075">
        <w:rPr>
          <w:sz w:val="22"/>
          <w:szCs w:val="22"/>
        </w:rPr>
        <w:t xml:space="preserve"> </w:t>
      </w:r>
      <w:proofErr w:type="spellStart"/>
      <w:r w:rsidRPr="00763075">
        <w:rPr>
          <w:sz w:val="22"/>
          <w:szCs w:val="22"/>
        </w:rPr>
        <w:t>други</w:t>
      </w:r>
      <w:proofErr w:type="spellEnd"/>
      <w:r w:rsidRPr="00763075">
        <w:rPr>
          <w:sz w:val="22"/>
          <w:szCs w:val="22"/>
        </w:rPr>
        <w:t xml:space="preserve"> </w:t>
      </w:r>
      <w:proofErr w:type="spellStart"/>
      <w:r w:rsidRPr="00763075">
        <w:rPr>
          <w:sz w:val="22"/>
          <w:szCs w:val="22"/>
        </w:rPr>
        <w:t>лекарства</w:t>
      </w:r>
      <w:proofErr w:type="spellEnd"/>
      <w:r w:rsidRPr="00763075">
        <w:rPr>
          <w:sz w:val="22"/>
          <w:szCs w:val="22"/>
        </w:rPr>
        <w:t xml:space="preserve"> </w:t>
      </w:r>
      <w:proofErr w:type="spellStart"/>
      <w:r w:rsidRPr="00763075">
        <w:rPr>
          <w:sz w:val="22"/>
          <w:szCs w:val="22"/>
        </w:rPr>
        <w:t>антихолинергични</w:t>
      </w:r>
      <w:proofErr w:type="spellEnd"/>
      <w:r w:rsidRPr="00763075">
        <w:rPr>
          <w:sz w:val="22"/>
          <w:szCs w:val="22"/>
        </w:rPr>
        <w:t xml:space="preserve"> </w:t>
      </w:r>
      <w:proofErr w:type="spellStart"/>
      <w:r w:rsidRPr="00763075">
        <w:rPr>
          <w:sz w:val="22"/>
          <w:szCs w:val="22"/>
        </w:rPr>
        <w:t>ефекти</w:t>
      </w:r>
      <w:proofErr w:type="spellEnd"/>
      <w:r w:rsidRPr="00763075">
        <w:rPr>
          <w:sz w:val="22"/>
          <w:szCs w:val="22"/>
        </w:rPr>
        <w:t xml:space="preserve">, </w:t>
      </w:r>
      <w:proofErr w:type="spellStart"/>
      <w:r w:rsidRPr="00763075">
        <w:rPr>
          <w:sz w:val="22"/>
          <w:szCs w:val="22"/>
        </w:rPr>
        <w:t>прилагането</w:t>
      </w:r>
      <w:proofErr w:type="spellEnd"/>
      <w:r w:rsidRPr="00763075">
        <w:rPr>
          <w:sz w:val="22"/>
          <w:szCs w:val="22"/>
        </w:rPr>
        <w:t xml:space="preserve"> </w:t>
      </w:r>
      <w:proofErr w:type="spellStart"/>
      <w:r w:rsidRPr="00763075">
        <w:rPr>
          <w:sz w:val="22"/>
          <w:szCs w:val="22"/>
        </w:rPr>
        <w:t>на</w:t>
      </w:r>
      <w:proofErr w:type="spellEnd"/>
      <w:r w:rsidR="00810FF1" w:rsidRPr="00290B20">
        <w:rPr>
          <w:sz w:val="22"/>
          <w:szCs w:val="22"/>
        </w:rPr>
        <w:t xml:space="preserve"> </w:t>
      </w:r>
      <w:proofErr w:type="spellStart"/>
      <w:r w:rsidRPr="00290B20">
        <w:rPr>
          <w:sz w:val="22"/>
          <w:szCs w:val="22"/>
        </w:rPr>
        <w:t>физиостигмин</w:t>
      </w:r>
      <w:proofErr w:type="spellEnd"/>
      <w:r w:rsidRPr="00290B20">
        <w:rPr>
          <w:sz w:val="22"/>
          <w:szCs w:val="22"/>
        </w:rPr>
        <w:t xml:space="preserve"> </w:t>
      </w:r>
      <w:proofErr w:type="spellStart"/>
      <w:r w:rsidRPr="00290B20">
        <w:rPr>
          <w:sz w:val="22"/>
          <w:szCs w:val="22"/>
        </w:rPr>
        <w:t>може</w:t>
      </w:r>
      <w:proofErr w:type="spellEnd"/>
      <w:r w:rsidRPr="00290B20">
        <w:rPr>
          <w:sz w:val="22"/>
          <w:szCs w:val="22"/>
        </w:rPr>
        <w:t xml:space="preserve"> </w:t>
      </w:r>
      <w:proofErr w:type="spellStart"/>
      <w:r w:rsidRPr="00290B20">
        <w:rPr>
          <w:sz w:val="22"/>
          <w:szCs w:val="22"/>
        </w:rPr>
        <w:t>да</w:t>
      </w:r>
      <w:proofErr w:type="spellEnd"/>
      <w:r w:rsidRPr="00290B20">
        <w:rPr>
          <w:sz w:val="22"/>
          <w:szCs w:val="22"/>
        </w:rPr>
        <w:t xml:space="preserve"> </w:t>
      </w:r>
      <w:proofErr w:type="spellStart"/>
      <w:r w:rsidRPr="00290B20">
        <w:rPr>
          <w:sz w:val="22"/>
          <w:szCs w:val="22"/>
        </w:rPr>
        <w:t>бъде</w:t>
      </w:r>
      <w:proofErr w:type="spellEnd"/>
      <w:r w:rsidRPr="00290B20">
        <w:rPr>
          <w:sz w:val="22"/>
          <w:szCs w:val="22"/>
        </w:rPr>
        <w:t xml:space="preserve"> </w:t>
      </w:r>
      <w:proofErr w:type="spellStart"/>
      <w:r w:rsidRPr="00290B20">
        <w:rPr>
          <w:sz w:val="22"/>
          <w:szCs w:val="22"/>
        </w:rPr>
        <w:t>от</w:t>
      </w:r>
      <w:proofErr w:type="spellEnd"/>
      <w:r w:rsidRPr="00290B20">
        <w:rPr>
          <w:sz w:val="22"/>
          <w:szCs w:val="22"/>
        </w:rPr>
        <w:t xml:space="preserve"> </w:t>
      </w:r>
      <w:proofErr w:type="spellStart"/>
      <w:r w:rsidRPr="00290B20">
        <w:rPr>
          <w:sz w:val="22"/>
          <w:szCs w:val="22"/>
        </w:rPr>
        <w:t>полза</w:t>
      </w:r>
      <w:proofErr w:type="spellEnd"/>
      <w:r w:rsidRPr="00290B20">
        <w:rPr>
          <w:sz w:val="22"/>
          <w:szCs w:val="22"/>
        </w:rPr>
        <w:t xml:space="preserve">. </w:t>
      </w:r>
      <w:proofErr w:type="spellStart"/>
      <w:r w:rsidRPr="00290B20">
        <w:rPr>
          <w:sz w:val="22"/>
          <w:szCs w:val="22"/>
        </w:rPr>
        <w:t>Физиостигмин</w:t>
      </w:r>
      <w:proofErr w:type="spellEnd"/>
      <w:r w:rsidRPr="00290B20">
        <w:rPr>
          <w:sz w:val="22"/>
          <w:szCs w:val="22"/>
        </w:rPr>
        <w:t xml:space="preserve"> </w:t>
      </w:r>
      <w:proofErr w:type="spellStart"/>
      <w:r w:rsidRPr="00290B20">
        <w:rPr>
          <w:sz w:val="22"/>
          <w:szCs w:val="22"/>
        </w:rPr>
        <w:t>не</w:t>
      </w:r>
      <w:proofErr w:type="spellEnd"/>
      <w:r w:rsidRPr="00290B20">
        <w:rPr>
          <w:sz w:val="22"/>
          <w:szCs w:val="22"/>
        </w:rPr>
        <w:t xml:space="preserve"> </w:t>
      </w:r>
      <w:proofErr w:type="spellStart"/>
      <w:r w:rsidRPr="00290B20">
        <w:rPr>
          <w:sz w:val="22"/>
          <w:szCs w:val="22"/>
        </w:rPr>
        <w:t>трябва</w:t>
      </w:r>
      <w:proofErr w:type="spellEnd"/>
      <w:r w:rsidRPr="00290B20">
        <w:rPr>
          <w:sz w:val="22"/>
          <w:szCs w:val="22"/>
        </w:rPr>
        <w:t xml:space="preserve"> </w:t>
      </w:r>
      <w:proofErr w:type="spellStart"/>
      <w:r w:rsidRPr="00290B20">
        <w:rPr>
          <w:sz w:val="22"/>
          <w:szCs w:val="22"/>
        </w:rPr>
        <w:t>да</w:t>
      </w:r>
      <w:proofErr w:type="spellEnd"/>
      <w:r w:rsidRPr="00290B20">
        <w:rPr>
          <w:sz w:val="22"/>
          <w:szCs w:val="22"/>
        </w:rPr>
        <w:t xml:space="preserve"> </w:t>
      </w:r>
      <w:proofErr w:type="spellStart"/>
      <w:r w:rsidRPr="00290B20">
        <w:rPr>
          <w:sz w:val="22"/>
          <w:szCs w:val="22"/>
        </w:rPr>
        <w:t>се</w:t>
      </w:r>
      <w:proofErr w:type="spellEnd"/>
      <w:r w:rsidRPr="00290B20">
        <w:rPr>
          <w:sz w:val="22"/>
          <w:szCs w:val="22"/>
        </w:rPr>
        <w:t xml:space="preserve"> </w:t>
      </w:r>
      <w:proofErr w:type="spellStart"/>
      <w:r w:rsidRPr="00290B20">
        <w:rPr>
          <w:sz w:val="22"/>
          <w:szCs w:val="22"/>
        </w:rPr>
        <w:t>прилага</w:t>
      </w:r>
      <w:proofErr w:type="spellEnd"/>
      <w:r w:rsidRPr="00290B20">
        <w:rPr>
          <w:sz w:val="22"/>
          <w:szCs w:val="22"/>
        </w:rPr>
        <w:t xml:space="preserve"> </w:t>
      </w:r>
      <w:proofErr w:type="spellStart"/>
      <w:r w:rsidRPr="00290B20">
        <w:rPr>
          <w:sz w:val="22"/>
          <w:szCs w:val="22"/>
        </w:rPr>
        <w:t>само</w:t>
      </w:r>
      <w:proofErr w:type="spellEnd"/>
      <w:r w:rsidRPr="00290B20">
        <w:rPr>
          <w:sz w:val="22"/>
          <w:szCs w:val="22"/>
        </w:rPr>
        <w:t xml:space="preserve"> с </w:t>
      </w:r>
      <w:proofErr w:type="spellStart"/>
      <w:r w:rsidRPr="00290B20">
        <w:rPr>
          <w:sz w:val="22"/>
          <w:szCs w:val="22"/>
        </w:rPr>
        <w:t>цел</w:t>
      </w:r>
      <w:proofErr w:type="spellEnd"/>
      <w:r w:rsidRPr="00290B20">
        <w:rPr>
          <w:sz w:val="22"/>
          <w:szCs w:val="22"/>
        </w:rPr>
        <w:t xml:space="preserve"> </w:t>
      </w:r>
      <w:proofErr w:type="spellStart"/>
      <w:r w:rsidRPr="00290B20">
        <w:rPr>
          <w:sz w:val="22"/>
          <w:szCs w:val="22"/>
        </w:rPr>
        <w:t>поддържане</w:t>
      </w:r>
      <w:proofErr w:type="spellEnd"/>
      <w:r w:rsidRPr="00290B20">
        <w:rPr>
          <w:sz w:val="22"/>
          <w:szCs w:val="22"/>
        </w:rPr>
        <w:t xml:space="preserve"> </w:t>
      </w:r>
      <w:proofErr w:type="spellStart"/>
      <w:r w:rsidRPr="00290B20">
        <w:rPr>
          <w:sz w:val="22"/>
          <w:szCs w:val="22"/>
        </w:rPr>
        <w:t>на</w:t>
      </w:r>
      <w:proofErr w:type="spellEnd"/>
      <w:r w:rsidRPr="00290B20">
        <w:rPr>
          <w:sz w:val="22"/>
          <w:szCs w:val="22"/>
        </w:rPr>
        <w:t xml:space="preserve"> </w:t>
      </w:r>
      <w:proofErr w:type="spellStart"/>
      <w:r w:rsidRPr="00290B20">
        <w:rPr>
          <w:sz w:val="22"/>
          <w:szCs w:val="22"/>
        </w:rPr>
        <w:t>пациента</w:t>
      </w:r>
      <w:proofErr w:type="spellEnd"/>
      <w:r w:rsidRPr="00290B20">
        <w:rPr>
          <w:sz w:val="22"/>
          <w:szCs w:val="22"/>
        </w:rPr>
        <w:t xml:space="preserve"> </w:t>
      </w:r>
      <w:proofErr w:type="spellStart"/>
      <w:r w:rsidRPr="00290B20">
        <w:rPr>
          <w:sz w:val="22"/>
          <w:szCs w:val="22"/>
        </w:rPr>
        <w:t>буден</w:t>
      </w:r>
      <w:proofErr w:type="spellEnd"/>
      <w:r w:rsidRPr="00290B20">
        <w:rPr>
          <w:sz w:val="22"/>
          <w:szCs w:val="22"/>
        </w:rPr>
        <w:t xml:space="preserve">. </w:t>
      </w:r>
      <w:proofErr w:type="spellStart"/>
      <w:r w:rsidRPr="00290B20">
        <w:rPr>
          <w:sz w:val="22"/>
          <w:szCs w:val="22"/>
        </w:rPr>
        <w:t>При</w:t>
      </w:r>
      <w:proofErr w:type="spellEnd"/>
      <w:r w:rsidRPr="00290B20">
        <w:rPr>
          <w:sz w:val="22"/>
          <w:szCs w:val="22"/>
        </w:rPr>
        <w:t xml:space="preserve"> </w:t>
      </w:r>
      <w:proofErr w:type="spellStart"/>
      <w:r w:rsidRPr="00290B20">
        <w:rPr>
          <w:sz w:val="22"/>
          <w:szCs w:val="22"/>
        </w:rPr>
        <w:t>едновременното</w:t>
      </w:r>
      <w:proofErr w:type="spellEnd"/>
      <w:r w:rsidRPr="00290B20">
        <w:rPr>
          <w:sz w:val="22"/>
          <w:szCs w:val="22"/>
        </w:rPr>
        <w:t xml:space="preserve"> </w:t>
      </w:r>
      <w:proofErr w:type="spellStart"/>
      <w:r w:rsidRPr="00290B20">
        <w:rPr>
          <w:sz w:val="22"/>
          <w:szCs w:val="22"/>
        </w:rPr>
        <w:t>приемане</w:t>
      </w:r>
      <w:proofErr w:type="spellEnd"/>
      <w:r w:rsidRPr="00290B20">
        <w:rPr>
          <w:sz w:val="22"/>
          <w:szCs w:val="22"/>
        </w:rPr>
        <w:t xml:space="preserve"> </w:t>
      </w:r>
      <w:proofErr w:type="spellStart"/>
      <w:r w:rsidRPr="00290B20">
        <w:rPr>
          <w:sz w:val="22"/>
          <w:szCs w:val="22"/>
        </w:rPr>
        <w:t>на</w:t>
      </w:r>
      <w:proofErr w:type="spellEnd"/>
      <w:r w:rsidRPr="00290B20">
        <w:rPr>
          <w:sz w:val="22"/>
          <w:szCs w:val="22"/>
        </w:rPr>
        <w:t xml:space="preserve"> </w:t>
      </w:r>
      <w:proofErr w:type="spellStart"/>
      <w:r w:rsidRPr="00290B20">
        <w:rPr>
          <w:sz w:val="22"/>
          <w:szCs w:val="22"/>
        </w:rPr>
        <w:t>циклични</w:t>
      </w:r>
      <w:proofErr w:type="spellEnd"/>
      <w:r w:rsidRPr="00290B20">
        <w:rPr>
          <w:sz w:val="22"/>
          <w:szCs w:val="22"/>
        </w:rPr>
        <w:t xml:space="preserve"> </w:t>
      </w:r>
      <w:proofErr w:type="spellStart"/>
      <w:r w:rsidRPr="00290B20">
        <w:rPr>
          <w:sz w:val="22"/>
          <w:szCs w:val="22"/>
        </w:rPr>
        <w:t>антидепресанти</w:t>
      </w:r>
      <w:proofErr w:type="spellEnd"/>
      <w:r w:rsidRPr="00290B20">
        <w:rPr>
          <w:sz w:val="22"/>
          <w:szCs w:val="22"/>
        </w:rPr>
        <w:t xml:space="preserve">, </w:t>
      </w:r>
      <w:proofErr w:type="spellStart"/>
      <w:r w:rsidRPr="00290B20">
        <w:rPr>
          <w:sz w:val="22"/>
          <w:szCs w:val="22"/>
        </w:rPr>
        <w:t>използването</w:t>
      </w:r>
      <w:proofErr w:type="spellEnd"/>
      <w:r w:rsidRPr="00290B20">
        <w:rPr>
          <w:sz w:val="22"/>
          <w:szCs w:val="22"/>
        </w:rPr>
        <w:t xml:space="preserve"> </w:t>
      </w:r>
      <w:proofErr w:type="spellStart"/>
      <w:r w:rsidRPr="00290B20">
        <w:rPr>
          <w:sz w:val="22"/>
          <w:szCs w:val="22"/>
        </w:rPr>
        <w:t>на</w:t>
      </w:r>
      <w:proofErr w:type="spellEnd"/>
      <w:r w:rsidRPr="00290B20">
        <w:rPr>
          <w:sz w:val="22"/>
          <w:szCs w:val="22"/>
        </w:rPr>
        <w:t xml:space="preserve"> </w:t>
      </w:r>
      <w:proofErr w:type="spellStart"/>
      <w:r w:rsidRPr="00290B20">
        <w:rPr>
          <w:sz w:val="22"/>
          <w:szCs w:val="22"/>
        </w:rPr>
        <w:t>физ</w:t>
      </w:r>
      <w:proofErr w:type="spellEnd"/>
      <w:r w:rsidR="00B12B37" w:rsidRPr="00290B20">
        <w:rPr>
          <w:sz w:val="22"/>
          <w:szCs w:val="22"/>
          <w:lang w:val="bg-BG"/>
        </w:rPr>
        <w:t>о</w:t>
      </w:r>
      <w:proofErr w:type="spellStart"/>
      <w:r w:rsidRPr="00290B20">
        <w:rPr>
          <w:sz w:val="22"/>
          <w:szCs w:val="22"/>
        </w:rPr>
        <w:t>стигмин</w:t>
      </w:r>
      <w:proofErr w:type="spellEnd"/>
      <w:r w:rsidRPr="00290B20">
        <w:rPr>
          <w:sz w:val="22"/>
          <w:szCs w:val="22"/>
        </w:rPr>
        <w:t xml:space="preserve"> </w:t>
      </w:r>
      <w:proofErr w:type="spellStart"/>
      <w:r w:rsidRPr="00290B20">
        <w:rPr>
          <w:sz w:val="22"/>
          <w:szCs w:val="22"/>
        </w:rPr>
        <w:t>може</w:t>
      </w:r>
      <w:proofErr w:type="spellEnd"/>
      <w:r w:rsidRPr="00290B20">
        <w:rPr>
          <w:sz w:val="22"/>
          <w:szCs w:val="22"/>
        </w:rPr>
        <w:t xml:space="preserve"> </w:t>
      </w:r>
      <w:proofErr w:type="spellStart"/>
      <w:r w:rsidRPr="00290B20">
        <w:rPr>
          <w:sz w:val="22"/>
          <w:szCs w:val="22"/>
        </w:rPr>
        <w:t>да</w:t>
      </w:r>
      <w:proofErr w:type="spellEnd"/>
      <w:r w:rsidRPr="00290B20">
        <w:rPr>
          <w:sz w:val="22"/>
          <w:szCs w:val="22"/>
        </w:rPr>
        <w:t xml:space="preserve"> </w:t>
      </w:r>
      <w:proofErr w:type="spellStart"/>
      <w:r w:rsidRPr="00290B20">
        <w:rPr>
          <w:sz w:val="22"/>
          <w:szCs w:val="22"/>
        </w:rPr>
        <w:t>ускори</w:t>
      </w:r>
      <w:proofErr w:type="spellEnd"/>
      <w:r w:rsidRPr="00290B20">
        <w:rPr>
          <w:sz w:val="22"/>
          <w:szCs w:val="22"/>
        </w:rPr>
        <w:t xml:space="preserve"> </w:t>
      </w:r>
      <w:proofErr w:type="spellStart"/>
      <w:r w:rsidRPr="00290B20">
        <w:rPr>
          <w:sz w:val="22"/>
          <w:szCs w:val="22"/>
        </w:rPr>
        <w:t>появата</w:t>
      </w:r>
      <w:proofErr w:type="spellEnd"/>
      <w:r w:rsidRPr="00290B20">
        <w:rPr>
          <w:sz w:val="22"/>
          <w:szCs w:val="22"/>
        </w:rPr>
        <w:t xml:space="preserve"> </w:t>
      </w:r>
      <w:proofErr w:type="spellStart"/>
      <w:r w:rsidRPr="00290B20">
        <w:rPr>
          <w:sz w:val="22"/>
          <w:szCs w:val="22"/>
        </w:rPr>
        <w:t>на</w:t>
      </w:r>
      <w:proofErr w:type="spellEnd"/>
      <w:r w:rsidRPr="00290B20">
        <w:rPr>
          <w:sz w:val="22"/>
          <w:szCs w:val="22"/>
        </w:rPr>
        <w:t xml:space="preserve"> </w:t>
      </w:r>
      <w:proofErr w:type="spellStart"/>
      <w:r w:rsidRPr="00290B20">
        <w:rPr>
          <w:sz w:val="22"/>
          <w:szCs w:val="22"/>
        </w:rPr>
        <w:t>гърчове</w:t>
      </w:r>
      <w:proofErr w:type="spellEnd"/>
      <w:r w:rsidRPr="00290B20">
        <w:rPr>
          <w:sz w:val="22"/>
          <w:szCs w:val="22"/>
        </w:rPr>
        <w:t xml:space="preserve"> и </w:t>
      </w:r>
      <w:proofErr w:type="spellStart"/>
      <w:r w:rsidR="00744421" w:rsidRPr="00744421">
        <w:rPr>
          <w:sz w:val="22"/>
          <w:szCs w:val="22"/>
        </w:rPr>
        <w:t>трудн</w:t>
      </w:r>
      <w:proofErr w:type="spellEnd"/>
      <w:r w:rsidR="00744421">
        <w:rPr>
          <w:sz w:val="22"/>
          <w:szCs w:val="22"/>
          <w:lang w:val="bg-BG"/>
        </w:rPr>
        <w:t>о</w:t>
      </w:r>
      <w:r w:rsidR="00744421" w:rsidRPr="00744421">
        <w:rPr>
          <w:sz w:val="22"/>
          <w:szCs w:val="22"/>
        </w:rPr>
        <w:t xml:space="preserve"> </w:t>
      </w:r>
      <w:proofErr w:type="spellStart"/>
      <w:r w:rsidR="00744421" w:rsidRPr="00744421">
        <w:rPr>
          <w:sz w:val="22"/>
          <w:szCs w:val="22"/>
        </w:rPr>
        <w:t>за</w:t>
      </w:r>
      <w:proofErr w:type="spellEnd"/>
      <w:r w:rsidR="00744421" w:rsidRPr="00744421">
        <w:rPr>
          <w:sz w:val="22"/>
          <w:szCs w:val="22"/>
        </w:rPr>
        <w:t xml:space="preserve"> </w:t>
      </w:r>
      <w:proofErr w:type="spellStart"/>
      <w:r w:rsidR="00744421" w:rsidRPr="00744421">
        <w:rPr>
          <w:sz w:val="22"/>
          <w:szCs w:val="22"/>
        </w:rPr>
        <w:t>овладяване</w:t>
      </w:r>
      <w:proofErr w:type="spellEnd"/>
      <w:r w:rsidR="00233990" w:rsidRPr="00744421">
        <w:rPr>
          <w:sz w:val="22"/>
          <w:szCs w:val="22"/>
        </w:rPr>
        <w:t xml:space="preserve"> </w:t>
      </w:r>
      <w:proofErr w:type="spellStart"/>
      <w:r w:rsidR="00233990" w:rsidRPr="00744421">
        <w:rPr>
          <w:sz w:val="22"/>
          <w:szCs w:val="22"/>
        </w:rPr>
        <w:t>спиране</w:t>
      </w:r>
      <w:proofErr w:type="spellEnd"/>
      <w:r w:rsidR="00233990" w:rsidRPr="00744421">
        <w:rPr>
          <w:sz w:val="22"/>
          <w:szCs w:val="22"/>
        </w:rPr>
        <w:t xml:space="preserve"> </w:t>
      </w:r>
      <w:proofErr w:type="spellStart"/>
      <w:r w:rsidR="00233990" w:rsidRPr="00744421">
        <w:rPr>
          <w:sz w:val="22"/>
          <w:szCs w:val="22"/>
        </w:rPr>
        <w:t>на</w:t>
      </w:r>
      <w:proofErr w:type="spellEnd"/>
      <w:r w:rsidRPr="00170DBA">
        <w:rPr>
          <w:sz w:val="22"/>
          <w:szCs w:val="22"/>
        </w:rPr>
        <w:t xml:space="preserve"> </w:t>
      </w:r>
      <w:proofErr w:type="spellStart"/>
      <w:r w:rsidRPr="00170DBA">
        <w:rPr>
          <w:sz w:val="22"/>
          <w:szCs w:val="22"/>
        </w:rPr>
        <w:t>сър</w:t>
      </w:r>
      <w:r w:rsidR="00233990" w:rsidRPr="00274909">
        <w:rPr>
          <w:sz w:val="22"/>
          <w:szCs w:val="22"/>
        </w:rPr>
        <w:t>цето</w:t>
      </w:r>
      <w:proofErr w:type="spellEnd"/>
      <w:r w:rsidRPr="00274909">
        <w:rPr>
          <w:sz w:val="22"/>
          <w:szCs w:val="22"/>
        </w:rPr>
        <w:t xml:space="preserve">. </w:t>
      </w:r>
      <w:proofErr w:type="spellStart"/>
      <w:r w:rsidRPr="00274909">
        <w:rPr>
          <w:sz w:val="22"/>
          <w:szCs w:val="22"/>
        </w:rPr>
        <w:t>Физ</w:t>
      </w:r>
      <w:proofErr w:type="spellEnd"/>
      <w:r w:rsidR="00B12B37" w:rsidRPr="00290B20">
        <w:rPr>
          <w:sz w:val="22"/>
          <w:szCs w:val="22"/>
          <w:lang w:val="bg-BG"/>
        </w:rPr>
        <w:t>о</w:t>
      </w:r>
      <w:proofErr w:type="spellStart"/>
      <w:r w:rsidRPr="00290B20">
        <w:rPr>
          <w:sz w:val="22"/>
          <w:szCs w:val="22"/>
        </w:rPr>
        <w:t>стигмин</w:t>
      </w:r>
      <w:proofErr w:type="spellEnd"/>
      <w:r w:rsidRPr="00290B20">
        <w:rPr>
          <w:sz w:val="22"/>
          <w:szCs w:val="22"/>
        </w:rPr>
        <w:t xml:space="preserve"> </w:t>
      </w:r>
      <w:proofErr w:type="spellStart"/>
      <w:r w:rsidRPr="00290B20">
        <w:rPr>
          <w:sz w:val="22"/>
          <w:szCs w:val="22"/>
        </w:rPr>
        <w:t>трябва</w:t>
      </w:r>
      <w:proofErr w:type="spellEnd"/>
      <w:r w:rsidRPr="00290B20">
        <w:rPr>
          <w:sz w:val="22"/>
          <w:szCs w:val="22"/>
        </w:rPr>
        <w:t xml:space="preserve"> </w:t>
      </w:r>
      <w:proofErr w:type="spellStart"/>
      <w:r w:rsidRPr="00290B20">
        <w:rPr>
          <w:sz w:val="22"/>
          <w:szCs w:val="22"/>
        </w:rPr>
        <w:t>да</w:t>
      </w:r>
      <w:proofErr w:type="spellEnd"/>
      <w:r w:rsidRPr="00290B20">
        <w:rPr>
          <w:sz w:val="22"/>
          <w:szCs w:val="22"/>
        </w:rPr>
        <w:t xml:space="preserve"> </w:t>
      </w:r>
      <w:proofErr w:type="spellStart"/>
      <w:r w:rsidRPr="00290B20">
        <w:rPr>
          <w:sz w:val="22"/>
          <w:szCs w:val="22"/>
        </w:rPr>
        <w:t>се</w:t>
      </w:r>
      <w:proofErr w:type="spellEnd"/>
      <w:r w:rsidRPr="00290B20">
        <w:rPr>
          <w:sz w:val="22"/>
          <w:szCs w:val="22"/>
        </w:rPr>
        <w:t xml:space="preserve"> </w:t>
      </w:r>
      <w:proofErr w:type="spellStart"/>
      <w:r w:rsidRPr="00290B20">
        <w:rPr>
          <w:sz w:val="22"/>
          <w:szCs w:val="22"/>
        </w:rPr>
        <w:t>избягва</w:t>
      </w:r>
      <w:proofErr w:type="spellEnd"/>
      <w:r w:rsidRPr="00290B20">
        <w:rPr>
          <w:sz w:val="22"/>
          <w:szCs w:val="22"/>
        </w:rPr>
        <w:t xml:space="preserve"> и </w:t>
      </w:r>
      <w:proofErr w:type="spellStart"/>
      <w:r w:rsidRPr="00290B20">
        <w:rPr>
          <w:sz w:val="22"/>
          <w:szCs w:val="22"/>
        </w:rPr>
        <w:t>при</w:t>
      </w:r>
      <w:proofErr w:type="spellEnd"/>
      <w:r w:rsidRPr="00290B20">
        <w:rPr>
          <w:sz w:val="22"/>
          <w:szCs w:val="22"/>
        </w:rPr>
        <w:t xml:space="preserve"> </w:t>
      </w:r>
      <w:proofErr w:type="spellStart"/>
      <w:r w:rsidRPr="00290B20">
        <w:rPr>
          <w:sz w:val="22"/>
          <w:szCs w:val="22"/>
        </w:rPr>
        <w:t>пациенти</w:t>
      </w:r>
      <w:proofErr w:type="spellEnd"/>
      <w:r w:rsidRPr="00290B20">
        <w:rPr>
          <w:sz w:val="22"/>
          <w:szCs w:val="22"/>
        </w:rPr>
        <w:t xml:space="preserve"> с </w:t>
      </w:r>
      <w:proofErr w:type="spellStart"/>
      <w:r w:rsidRPr="00290B20">
        <w:rPr>
          <w:sz w:val="22"/>
          <w:szCs w:val="22"/>
        </w:rPr>
        <w:t>нарушена</w:t>
      </w:r>
      <w:proofErr w:type="spellEnd"/>
      <w:r w:rsidRPr="00290B20">
        <w:rPr>
          <w:sz w:val="22"/>
          <w:szCs w:val="22"/>
        </w:rPr>
        <w:t xml:space="preserve"> </w:t>
      </w:r>
      <w:proofErr w:type="spellStart"/>
      <w:r w:rsidRPr="00290B20">
        <w:rPr>
          <w:sz w:val="22"/>
          <w:szCs w:val="22"/>
        </w:rPr>
        <w:t>сърдечна</w:t>
      </w:r>
      <w:proofErr w:type="spellEnd"/>
      <w:r w:rsidRPr="00290B20">
        <w:rPr>
          <w:sz w:val="22"/>
          <w:szCs w:val="22"/>
        </w:rPr>
        <w:t xml:space="preserve"> </w:t>
      </w:r>
      <w:proofErr w:type="spellStart"/>
      <w:r w:rsidRPr="00290B20">
        <w:rPr>
          <w:sz w:val="22"/>
          <w:szCs w:val="22"/>
        </w:rPr>
        <w:t>проводимост</w:t>
      </w:r>
      <w:proofErr w:type="spellEnd"/>
      <w:r w:rsidRPr="00290B20">
        <w:rPr>
          <w:sz w:val="22"/>
          <w:szCs w:val="22"/>
        </w:rPr>
        <w:t>.</w:t>
      </w:r>
    </w:p>
    <w:p w14:paraId="2ABA2DCA" w14:textId="77777777" w:rsidR="00810FF1" w:rsidRPr="00290B20" w:rsidRDefault="00810FF1" w:rsidP="00763075">
      <w:pPr>
        <w:jc w:val="both"/>
        <w:rPr>
          <w:sz w:val="22"/>
          <w:szCs w:val="22"/>
          <w:lang w:val="bg-BG"/>
        </w:rPr>
      </w:pPr>
    </w:p>
    <w:p w14:paraId="4A826551" w14:textId="77777777" w:rsidR="00056788" w:rsidRPr="00290B20" w:rsidRDefault="00056788" w:rsidP="00290B20">
      <w:pPr>
        <w:jc w:val="both"/>
        <w:rPr>
          <w:sz w:val="22"/>
          <w:szCs w:val="22"/>
          <w:lang w:val="bg-BG"/>
        </w:rPr>
      </w:pPr>
    </w:p>
    <w:p w14:paraId="437B6F4E" w14:textId="298B76F6" w:rsidR="00C87970" w:rsidRPr="00763075" w:rsidRDefault="00C87970" w:rsidP="00790316">
      <w:pPr>
        <w:keepNext/>
        <w:numPr>
          <w:ilvl w:val="0"/>
          <w:numId w:val="11"/>
        </w:numPr>
        <w:jc w:val="both"/>
        <w:rPr>
          <w:sz w:val="22"/>
          <w:szCs w:val="22"/>
          <w:lang w:val="bg-BG"/>
        </w:rPr>
      </w:pPr>
      <w:r w:rsidRPr="00290B20">
        <w:rPr>
          <w:b/>
          <w:sz w:val="22"/>
          <w:szCs w:val="22"/>
          <w:lang w:val="bg-BG"/>
        </w:rPr>
        <w:lastRenderedPageBreak/>
        <w:t>ФАРМАКОЛОГИЧНИ СВОЙСТВА</w:t>
      </w:r>
    </w:p>
    <w:p w14:paraId="7169E3C4" w14:textId="77777777" w:rsidR="006A14EC" w:rsidRPr="00763075" w:rsidRDefault="006A14EC" w:rsidP="00790316">
      <w:pPr>
        <w:keepNext/>
        <w:jc w:val="both"/>
        <w:rPr>
          <w:b/>
          <w:sz w:val="22"/>
          <w:szCs w:val="22"/>
          <w:lang w:val="bg-BG"/>
        </w:rPr>
      </w:pPr>
    </w:p>
    <w:p w14:paraId="0653CDA5" w14:textId="77777777" w:rsidR="00C87970" w:rsidRPr="00763075" w:rsidRDefault="00233990" w:rsidP="00790316">
      <w:pPr>
        <w:keepNext/>
        <w:numPr>
          <w:ilvl w:val="1"/>
          <w:numId w:val="31"/>
        </w:numPr>
        <w:tabs>
          <w:tab w:val="clear" w:pos="570"/>
          <w:tab w:val="num" w:pos="284"/>
        </w:tabs>
        <w:ind w:left="0" w:firstLine="0"/>
        <w:jc w:val="both"/>
        <w:rPr>
          <w:b/>
          <w:sz w:val="22"/>
          <w:szCs w:val="22"/>
          <w:lang w:val="bg-BG"/>
        </w:rPr>
      </w:pPr>
      <w:r w:rsidRPr="00763075">
        <w:rPr>
          <w:b/>
          <w:sz w:val="22"/>
          <w:szCs w:val="22"/>
          <w:lang w:val="bg-BG"/>
        </w:rPr>
        <w:t xml:space="preserve"> </w:t>
      </w:r>
      <w:r w:rsidR="00C87970" w:rsidRPr="00763075">
        <w:rPr>
          <w:b/>
          <w:sz w:val="22"/>
          <w:szCs w:val="22"/>
          <w:lang w:val="bg-BG"/>
        </w:rPr>
        <w:t xml:space="preserve">Фармакодинамични свойства </w:t>
      </w:r>
    </w:p>
    <w:p w14:paraId="5804D495" w14:textId="77777777" w:rsidR="006A14EC" w:rsidRPr="00763075" w:rsidRDefault="006A14EC" w:rsidP="00790316">
      <w:pPr>
        <w:keepNext/>
        <w:jc w:val="both"/>
        <w:rPr>
          <w:b/>
          <w:sz w:val="22"/>
          <w:szCs w:val="22"/>
          <w:lang w:val="bg-BG"/>
        </w:rPr>
      </w:pPr>
    </w:p>
    <w:p w14:paraId="4C5C4752" w14:textId="143B9ED5" w:rsidR="006A14EC" w:rsidRPr="00763075" w:rsidRDefault="006A14EC" w:rsidP="00790316">
      <w:pPr>
        <w:keepNext/>
        <w:jc w:val="both"/>
        <w:rPr>
          <w:sz w:val="22"/>
          <w:szCs w:val="22"/>
          <w:lang w:val="bg-BG"/>
        </w:rPr>
      </w:pPr>
      <w:r w:rsidRPr="00763075">
        <w:rPr>
          <w:sz w:val="22"/>
          <w:szCs w:val="22"/>
          <w:u w:val="single"/>
          <w:lang w:val="bg-BG"/>
        </w:rPr>
        <w:t xml:space="preserve">Фармакотерапевтична </w:t>
      </w:r>
      <w:r w:rsidRPr="00790316">
        <w:rPr>
          <w:sz w:val="22"/>
          <w:szCs w:val="22"/>
          <w:u w:val="single"/>
          <w:lang w:val="bg-BG"/>
        </w:rPr>
        <w:t>група</w:t>
      </w:r>
      <w:r w:rsidR="008C0592" w:rsidRPr="00763075">
        <w:rPr>
          <w:sz w:val="22"/>
          <w:szCs w:val="22"/>
          <w:lang w:val="bg-BG"/>
        </w:rPr>
        <w:t xml:space="preserve"> (АТС код: N05B B01)</w:t>
      </w:r>
    </w:p>
    <w:p w14:paraId="0B2903E9" w14:textId="4F121531" w:rsidR="006A14EC" w:rsidRPr="00763075" w:rsidRDefault="00502B97">
      <w:pPr>
        <w:jc w:val="both"/>
        <w:rPr>
          <w:sz w:val="22"/>
          <w:szCs w:val="22"/>
          <w:lang w:val="bg-BG"/>
        </w:rPr>
      </w:pPr>
      <w:proofErr w:type="spellStart"/>
      <w:r w:rsidRPr="00763075">
        <w:rPr>
          <w:sz w:val="22"/>
          <w:szCs w:val="22"/>
          <w:lang w:val="bg-BG"/>
        </w:rPr>
        <w:t>Хидроксизин</w:t>
      </w:r>
      <w:proofErr w:type="spellEnd"/>
      <w:r w:rsidRPr="00763075">
        <w:rPr>
          <w:sz w:val="22"/>
          <w:szCs w:val="22"/>
          <w:lang w:val="bg-BG"/>
        </w:rPr>
        <w:t xml:space="preserve"> </w:t>
      </w:r>
      <w:r w:rsidR="006D6F1C" w:rsidRPr="00763075">
        <w:rPr>
          <w:sz w:val="22"/>
          <w:szCs w:val="22"/>
          <w:lang w:val="bg-BG"/>
        </w:rPr>
        <w:t xml:space="preserve">е </w:t>
      </w:r>
      <w:proofErr w:type="spellStart"/>
      <w:r w:rsidR="006D6F1C" w:rsidRPr="00763075">
        <w:rPr>
          <w:sz w:val="22"/>
          <w:szCs w:val="22"/>
          <w:lang w:val="bg-BG"/>
        </w:rPr>
        <w:t>психолептик</w:t>
      </w:r>
      <w:proofErr w:type="spellEnd"/>
      <w:r w:rsidR="006D6F1C" w:rsidRPr="00763075">
        <w:rPr>
          <w:sz w:val="22"/>
          <w:szCs w:val="22"/>
          <w:lang w:val="bg-BG"/>
        </w:rPr>
        <w:t xml:space="preserve"> с </w:t>
      </w:r>
      <w:proofErr w:type="spellStart"/>
      <w:r w:rsidR="006D6F1C" w:rsidRPr="00763075">
        <w:rPr>
          <w:sz w:val="22"/>
          <w:szCs w:val="22"/>
          <w:lang w:val="bg-BG"/>
        </w:rPr>
        <w:t>анксиолитично</w:t>
      </w:r>
      <w:proofErr w:type="spellEnd"/>
      <w:r w:rsidR="006D6F1C" w:rsidRPr="00763075">
        <w:rPr>
          <w:sz w:val="22"/>
          <w:szCs w:val="22"/>
          <w:lang w:val="bg-BG"/>
        </w:rPr>
        <w:t xml:space="preserve"> действие</w:t>
      </w:r>
      <w:r w:rsidR="008C0592" w:rsidRPr="00763075">
        <w:rPr>
          <w:sz w:val="22"/>
          <w:szCs w:val="22"/>
          <w:lang w:val="bg-BG"/>
        </w:rPr>
        <w:t xml:space="preserve"> (</w:t>
      </w:r>
      <w:proofErr w:type="spellStart"/>
      <w:r w:rsidR="008C0592" w:rsidRPr="00763075">
        <w:rPr>
          <w:sz w:val="22"/>
          <w:szCs w:val="22"/>
          <w:lang w:val="bg-BG"/>
        </w:rPr>
        <w:t>атарактик</w:t>
      </w:r>
      <w:proofErr w:type="spellEnd"/>
      <w:r w:rsidR="008C0592" w:rsidRPr="00763075">
        <w:rPr>
          <w:sz w:val="22"/>
          <w:szCs w:val="22"/>
          <w:lang w:val="bg-BG"/>
        </w:rPr>
        <w:t>)</w:t>
      </w:r>
      <w:r w:rsidR="006D6F1C" w:rsidRPr="00763075">
        <w:rPr>
          <w:sz w:val="22"/>
          <w:szCs w:val="22"/>
          <w:lang w:val="bg-BG"/>
        </w:rPr>
        <w:t>.</w:t>
      </w:r>
    </w:p>
    <w:p w14:paraId="75CD2983" w14:textId="77777777" w:rsidR="008C0592" w:rsidRPr="00763075" w:rsidRDefault="008C0592">
      <w:pPr>
        <w:jc w:val="both"/>
        <w:rPr>
          <w:sz w:val="22"/>
          <w:szCs w:val="22"/>
          <w:lang w:val="bg-BG"/>
        </w:rPr>
      </w:pPr>
    </w:p>
    <w:p w14:paraId="3F87C36F" w14:textId="196D3F8C" w:rsidR="006A14EC" w:rsidRPr="00763075" w:rsidRDefault="00BE2A74">
      <w:pPr>
        <w:jc w:val="both"/>
        <w:rPr>
          <w:sz w:val="22"/>
          <w:szCs w:val="22"/>
          <w:lang w:val="bg-BG"/>
        </w:rPr>
      </w:pPr>
      <w:r w:rsidRPr="00763075">
        <w:rPr>
          <w:sz w:val="22"/>
          <w:szCs w:val="22"/>
          <w:lang w:val="bg-BG"/>
        </w:rPr>
        <w:t>Активното</w:t>
      </w:r>
      <w:r w:rsidR="006A14EC" w:rsidRPr="00763075">
        <w:rPr>
          <w:sz w:val="22"/>
          <w:szCs w:val="22"/>
          <w:lang w:val="bg-BG"/>
        </w:rPr>
        <w:t xml:space="preserve"> вещество </w:t>
      </w:r>
      <w:r w:rsidR="00FC66F4" w:rsidRPr="00763075">
        <w:rPr>
          <w:sz w:val="22"/>
          <w:szCs w:val="22"/>
          <w:lang w:val="bg-BG"/>
        </w:rPr>
        <w:t>хидроксизинов хидрохлорид</w:t>
      </w:r>
      <w:r w:rsidR="006A14EC" w:rsidRPr="00763075">
        <w:rPr>
          <w:sz w:val="22"/>
          <w:szCs w:val="22"/>
          <w:lang w:val="bg-BG"/>
        </w:rPr>
        <w:t xml:space="preserve"> е производно на дифенилметана и се различава в химично отношение от фенотиазините, резерпин, мепробамат или бензодиазепините. </w:t>
      </w:r>
    </w:p>
    <w:p w14:paraId="56613F3B" w14:textId="77777777" w:rsidR="006A14EC" w:rsidRPr="00763075" w:rsidRDefault="006A14EC">
      <w:pPr>
        <w:jc w:val="both"/>
        <w:rPr>
          <w:sz w:val="22"/>
          <w:szCs w:val="22"/>
          <w:lang w:val="bg-BG"/>
        </w:rPr>
      </w:pPr>
    </w:p>
    <w:p w14:paraId="6BC3A654" w14:textId="77777777" w:rsidR="006A14EC" w:rsidRPr="00763075" w:rsidRDefault="006A14EC">
      <w:pPr>
        <w:jc w:val="both"/>
        <w:rPr>
          <w:sz w:val="22"/>
          <w:szCs w:val="22"/>
          <w:u w:val="single"/>
          <w:lang w:val="bg-BG"/>
        </w:rPr>
      </w:pPr>
      <w:r w:rsidRPr="00763075">
        <w:rPr>
          <w:sz w:val="22"/>
          <w:szCs w:val="22"/>
          <w:u w:val="single"/>
          <w:lang w:val="bg-BG"/>
        </w:rPr>
        <w:t>Механизъм на действие</w:t>
      </w:r>
    </w:p>
    <w:p w14:paraId="4BD0D3EF" w14:textId="1983F31A" w:rsidR="006A14EC" w:rsidRPr="00763075" w:rsidRDefault="00FC66F4">
      <w:pPr>
        <w:jc w:val="both"/>
        <w:rPr>
          <w:sz w:val="22"/>
          <w:szCs w:val="22"/>
          <w:lang w:val="bg-BG"/>
        </w:rPr>
      </w:pPr>
      <w:r w:rsidRPr="00763075">
        <w:rPr>
          <w:sz w:val="22"/>
          <w:szCs w:val="22"/>
          <w:lang w:val="bg-BG"/>
        </w:rPr>
        <w:t>Хидроксизинов хидрохлорид</w:t>
      </w:r>
      <w:r w:rsidR="001F4228" w:rsidRPr="00763075">
        <w:rPr>
          <w:sz w:val="22"/>
          <w:szCs w:val="22"/>
          <w:lang w:val="bg-BG"/>
        </w:rPr>
        <w:t xml:space="preserve"> </w:t>
      </w:r>
      <w:r w:rsidR="006A14EC" w:rsidRPr="00763075">
        <w:rPr>
          <w:sz w:val="22"/>
          <w:szCs w:val="22"/>
          <w:lang w:val="bg-BG"/>
        </w:rPr>
        <w:t>не е кортикален депресант</w:t>
      </w:r>
      <w:r w:rsidR="008C0592" w:rsidRPr="00763075">
        <w:rPr>
          <w:sz w:val="22"/>
          <w:szCs w:val="22"/>
          <w:lang w:val="bg-BG"/>
        </w:rPr>
        <w:t xml:space="preserve"> и</w:t>
      </w:r>
      <w:r w:rsidR="006A14EC" w:rsidRPr="00763075">
        <w:rPr>
          <w:sz w:val="22"/>
          <w:szCs w:val="22"/>
          <w:lang w:val="bg-BG"/>
        </w:rPr>
        <w:t xml:space="preserve"> действието му се проявява чрез подтискане активността </w:t>
      </w:r>
      <w:r w:rsidR="00760874" w:rsidRPr="00763075">
        <w:rPr>
          <w:sz w:val="22"/>
          <w:szCs w:val="22"/>
          <w:lang w:val="bg-BG"/>
        </w:rPr>
        <w:t>в</w:t>
      </w:r>
      <w:r w:rsidR="006A14EC" w:rsidRPr="00763075">
        <w:rPr>
          <w:sz w:val="22"/>
          <w:szCs w:val="22"/>
          <w:lang w:val="bg-BG"/>
        </w:rPr>
        <w:t xml:space="preserve"> съответните основни субкортикални области на централната нервна система. </w:t>
      </w:r>
    </w:p>
    <w:p w14:paraId="255F5590" w14:textId="77777777" w:rsidR="006A14EC" w:rsidRPr="00763075" w:rsidRDefault="006A14EC">
      <w:pPr>
        <w:jc w:val="both"/>
        <w:rPr>
          <w:sz w:val="22"/>
          <w:szCs w:val="22"/>
          <w:lang w:val="bg-BG"/>
        </w:rPr>
      </w:pPr>
    </w:p>
    <w:p w14:paraId="556231B4" w14:textId="77777777" w:rsidR="006A14EC" w:rsidRPr="00763075" w:rsidRDefault="006A14EC">
      <w:pPr>
        <w:jc w:val="both"/>
        <w:rPr>
          <w:sz w:val="22"/>
          <w:szCs w:val="22"/>
          <w:u w:val="single"/>
          <w:lang w:val="bg-BG"/>
        </w:rPr>
      </w:pPr>
      <w:r w:rsidRPr="00763075">
        <w:rPr>
          <w:sz w:val="22"/>
          <w:szCs w:val="22"/>
          <w:u w:val="single"/>
          <w:lang w:val="bg-BG"/>
        </w:rPr>
        <w:t>Фармакодинамични ефекти</w:t>
      </w:r>
    </w:p>
    <w:p w14:paraId="3319AFAA" w14:textId="667B45C0" w:rsidR="006A14EC" w:rsidRPr="00763075" w:rsidRDefault="008C0592">
      <w:pPr>
        <w:pStyle w:val="BodyText3"/>
        <w:ind w:right="0"/>
        <w:rPr>
          <w:rFonts w:ascii="Times New Roman" w:hAnsi="Times New Roman"/>
          <w:sz w:val="22"/>
          <w:szCs w:val="22"/>
        </w:rPr>
      </w:pPr>
      <w:r w:rsidRPr="00763075">
        <w:rPr>
          <w:rFonts w:ascii="Times New Roman" w:hAnsi="Times New Roman"/>
          <w:sz w:val="22"/>
          <w:szCs w:val="22"/>
        </w:rPr>
        <w:t>Антихистаминовата</w:t>
      </w:r>
      <w:r w:rsidR="006A14EC" w:rsidRPr="00763075">
        <w:rPr>
          <w:rFonts w:ascii="Times New Roman" w:hAnsi="Times New Roman"/>
          <w:sz w:val="22"/>
          <w:szCs w:val="22"/>
        </w:rPr>
        <w:t xml:space="preserve"> и бронходилататорната активност са демонстрирани експериментално и са клинично потвърдени. Антиеметичния</w:t>
      </w:r>
      <w:r w:rsidRPr="00763075">
        <w:rPr>
          <w:rFonts w:ascii="Times New Roman" w:hAnsi="Times New Roman"/>
          <w:sz w:val="22"/>
          <w:szCs w:val="22"/>
        </w:rPr>
        <w:t>т</w:t>
      </w:r>
      <w:r w:rsidR="006A14EC" w:rsidRPr="00763075">
        <w:rPr>
          <w:rFonts w:ascii="Times New Roman" w:hAnsi="Times New Roman"/>
          <w:sz w:val="22"/>
          <w:szCs w:val="22"/>
        </w:rPr>
        <w:t xml:space="preserve"> ефект е установен, както с апоморфиновия, така и с верилоидния тест. Фармакологичните и клинични</w:t>
      </w:r>
      <w:r w:rsidRPr="00763075">
        <w:rPr>
          <w:rFonts w:ascii="Times New Roman" w:hAnsi="Times New Roman"/>
          <w:sz w:val="22"/>
          <w:szCs w:val="22"/>
        </w:rPr>
        <w:t>те</w:t>
      </w:r>
      <w:r w:rsidR="006A14EC" w:rsidRPr="00763075">
        <w:rPr>
          <w:rFonts w:ascii="Times New Roman" w:hAnsi="Times New Roman"/>
          <w:sz w:val="22"/>
          <w:szCs w:val="22"/>
        </w:rPr>
        <w:t xml:space="preserve"> проучвания показват, че в терапевтични дози хидроксизин не повишава стомашната секреция или киселинност</w:t>
      </w:r>
      <w:r w:rsidRPr="00763075">
        <w:rPr>
          <w:rFonts w:ascii="Times New Roman" w:hAnsi="Times New Roman"/>
          <w:sz w:val="22"/>
          <w:szCs w:val="22"/>
        </w:rPr>
        <w:t xml:space="preserve"> като в</w:t>
      </w:r>
      <w:r w:rsidR="006A14EC" w:rsidRPr="00763075">
        <w:rPr>
          <w:rFonts w:ascii="Times New Roman" w:hAnsi="Times New Roman"/>
          <w:sz w:val="22"/>
          <w:szCs w:val="22"/>
        </w:rPr>
        <w:t xml:space="preserve"> повечето случаи проявява слаба антисекреторна активност. При възрастни здрави доброволци и деца и наблюдавано намаляване на </w:t>
      </w:r>
      <w:r w:rsidR="006854C3" w:rsidRPr="00763075">
        <w:rPr>
          <w:rFonts w:ascii="Times New Roman" w:hAnsi="Times New Roman"/>
          <w:sz w:val="22"/>
          <w:szCs w:val="22"/>
        </w:rPr>
        <w:t>папулата</w:t>
      </w:r>
      <w:r w:rsidR="006A14EC" w:rsidRPr="00763075">
        <w:rPr>
          <w:rFonts w:ascii="Times New Roman" w:hAnsi="Times New Roman"/>
          <w:sz w:val="22"/>
          <w:szCs w:val="22"/>
        </w:rPr>
        <w:t xml:space="preserve"> и </w:t>
      </w:r>
      <w:r w:rsidR="006854C3" w:rsidRPr="00763075">
        <w:rPr>
          <w:rFonts w:ascii="Times New Roman" w:hAnsi="Times New Roman"/>
          <w:sz w:val="22"/>
          <w:szCs w:val="22"/>
        </w:rPr>
        <w:t>еритема</w:t>
      </w:r>
      <w:r w:rsidR="006A14EC" w:rsidRPr="00763075">
        <w:rPr>
          <w:rFonts w:ascii="Times New Roman" w:hAnsi="Times New Roman"/>
          <w:sz w:val="22"/>
          <w:szCs w:val="22"/>
        </w:rPr>
        <w:t xml:space="preserve"> след интрадермално инжектиране на хистамин или антигени. Хидроксизин</w:t>
      </w:r>
      <w:r w:rsidR="00810FF1" w:rsidRPr="00763075">
        <w:rPr>
          <w:rFonts w:ascii="Times New Roman" w:hAnsi="Times New Roman"/>
          <w:sz w:val="22"/>
          <w:szCs w:val="22"/>
        </w:rPr>
        <w:t xml:space="preserve"> </w:t>
      </w:r>
      <w:r w:rsidR="006A14EC" w:rsidRPr="00763075">
        <w:rPr>
          <w:rFonts w:ascii="Times New Roman" w:hAnsi="Times New Roman"/>
          <w:sz w:val="22"/>
          <w:szCs w:val="22"/>
        </w:rPr>
        <w:t>е демонстрирал своята еф</w:t>
      </w:r>
      <w:r w:rsidR="00216459" w:rsidRPr="00763075">
        <w:rPr>
          <w:rFonts w:ascii="Times New Roman" w:hAnsi="Times New Roman"/>
          <w:sz w:val="22"/>
          <w:szCs w:val="22"/>
        </w:rPr>
        <w:t>икас</w:t>
      </w:r>
      <w:r w:rsidR="006A14EC" w:rsidRPr="00763075">
        <w:rPr>
          <w:rFonts w:ascii="Times New Roman" w:hAnsi="Times New Roman"/>
          <w:sz w:val="22"/>
          <w:szCs w:val="22"/>
        </w:rPr>
        <w:t xml:space="preserve">ност и при облекчаване на пруритус при различни форми на уртикария, екзема и дерматити. </w:t>
      </w:r>
    </w:p>
    <w:p w14:paraId="5428033A" w14:textId="77777777" w:rsidR="008C0592" w:rsidRPr="00763075" w:rsidRDefault="008C0592">
      <w:pPr>
        <w:pStyle w:val="BodyText3"/>
        <w:ind w:right="0"/>
        <w:rPr>
          <w:rFonts w:ascii="Times New Roman" w:hAnsi="Times New Roman"/>
          <w:sz w:val="22"/>
          <w:szCs w:val="22"/>
        </w:rPr>
      </w:pPr>
    </w:p>
    <w:p w14:paraId="7B74EE76" w14:textId="77777777" w:rsidR="006A14EC" w:rsidRPr="00763075" w:rsidRDefault="006A14EC">
      <w:pPr>
        <w:pStyle w:val="BodyText3"/>
        <w:ind w:right="0"/>
        <w:rPr>
          <w:rFonts w:ascii="Times New Roman" w:hAnsi="Times New Roman"/>
          <w:sz w:val="22"/>
          <w:szCs w:val="22"/>
        </w:rPr>
      </w:pPr>
      <w:r w:rsidRPr="00763075">
        <w:rPr>
          <w:rFonts w:ascii="Times New Roman" w:hAnsi="Times New Roman"/>
          <w:sz w:val="22"/>
          <w:szCs w:val="22"/>
        </w:rPr>
        <w:t>При нарушена чернодробна функция,</w:t>
      </w:r>
      <w:r w:rsidR="00810FF1" w:rsidRPr="00763075">
        <w:rPr>
          <w:rFonts w:ascii="Times New Roman" w:hAnsi="Times New Roman"/>
          <w:sz w:val="22"/>
          <w:szCs w:val="22"/>
        </w:rPr>
        <w:t xml:space="preserve"> </w:t>
      </w:r>
      <w:r w:rsidRPr="00763075">
        <w:rPr>
          <w:rFonts w:ascii="Times New Roman" w:hAnsi="Times New Roman"/>
          <w:sz w:val="22"/>
          <w:szCs w:val="22"/>
        </w:rPr>
        <w:t xml:space="preserve">антихистаминовия ефект може да бъде удължен до 96 часа след прилагане на единична доза. </w:t>
      </w:r>
    </w:p>
    <w:p w14:paraId="11FB6ABC" w14:textId="77777777" w:rsidR="008C0592" w:rsidRPr="00763075" w:rsidRDefault="008C0592">
      <w:pPr>
        <w:pStyle w:val="BodyText3"/>
        <w:ind w:right="0"/>
        <w:rPr>
          <w:rFonts w:ascii="Times New Roman" w:hAnsi="Times New Roman"/>
          <w:sz w:val="22"/>
          <w:szCs w:val="22"/>
        </w:rPr>
      </w:pPr>
    </w:p>
    <w:p w14:paraId="4FED1FAD" w14:textId="24226556" w:rsidR="006A14EC" w:rsidRPr="00763075" w:rsidRDefault="006A14EC">
      <w:pPr>
        <w:jc w:val="both"/>
        <w:rPr>
          <w:sz w:val="22"/>
          <w:szCs w:val="22"/>
          <w:lang w:val="bg-BG"/>
        </w:rPr>
      </w:pPr>
      <w:r w:rsidRPr="00763075">
        <w:rPr>
          <w:sz w:val="22"/>
          <w:szCs w:val="22"/>
          <w:lang w:val="bg-BG"/>
        </w:rPr>
        <w:t>ЕЕГ записите при здрави доброволци показват аксиолитично-седативен профил. Аксиолитичният ефект е бил потвърден при пациенти чрез прилагане на различни класически психометрични тестове. Полисомнографските записи</w:t>
      </w:r>
      <w:r w:rsidR="00810FF1" w:rsidRPr="00763075">
        <w:rPr>
          <w:sz w:val="22"/>
          <w:szCs w:val="22"/>
          <w:lang w:val="bg-BG"/>
        </w:rPr>
        <w:t xml:space="preserve"> </w:t>
      </w:r>
      <w:r w:rsidRPr="00763075">
        <w:rPr>
          <w:sz w:val="22"/>
          <w:szCs w:val="22"/>
          <w:lang w:val="bg-BG"/>
        </w:rPr>
        <w:t xml:space="preserve">при тревожни и </w:t>
      </w:r>
      <w:r w:rsidR="00216459" w:rsidRPr="00763075">
        <w:rPr>
          <w:sz w:val="22"/>
          <w:szCs w:val="22"/>
          <w:lang w:val="bg-BG"/>
        </w:rPr>
        <w:t>страдащи от безсъние</w:t>
      </w:r>
      <w:r w:rsidR="008C0592" w:rsidRPr="00763075">
        <w:rPr>
          <w:sz w:val="22"/>
          <w:szCs w:val="22"/>
          <w:lang w:val="bg-BG"/>
        </w:rPr>
        <w:t xml:space="preserve"> </w:t>
      </w:r>
      <w:r w:rsidRPr="00763075">
        <w:rPr>
          <w:sz w:val="22"/>
          <w:szCs w:val="22"/>
          <w:lang w:val="bg-BG"/>
        </w:rPr>
        <w:t>пациенти</w:t>
      </w:r>
      <w:r w:rsidR="00810FF1" w:rsidRPr="00763075">
        <w:rPr>
          <w:sz w:val="22"/>
          <w:szCs w:val="22"/>
          <w:lang w:val="bg-BG"/>
        </w:rPr>
        <w:t xml:space="preserve"> </w:t>
      </w:r>
      <w:r w:rsidRPr="00763075">
        <w:rPr>
          <w:sz w:val="22"/>
          <w:szCs w:val="22"/>
          <w:lang w:val="bg-BG"/>
        </w:rPr>
        <w:t>доказват увеличаване на общото време на съня, намаляване на</w:t>
      </w:r>
      <w:r w:rsidR="00810FF1" w:rsidRPr="00763075">
        <w:rPr>
          <w:sz w:val="22"/>
          <w:szCs w:val="22"/>
          <w:lang w:val="bg-BG"/>
        </w:rPr>
        <w:t xml:space="preserve"> </w:t>
      </w:r>
      <w:r w:rsidRPr="00763075">
        <w:rPr>
          <w:sz w:val="22"/>
          <w:szCs w:val="22"/>
          <w:lang w:val="bg-BG"/>
        </w:rPr>
        <w:t>общото време на нощната будност и намаляване на сънната латентност както след единични, така и след повтарящи</w:t>
      </w:r>
      <w:r w:rsidR="00810FF1" w:rsidRPr="00763075">
        <w:rPr>
          <w:sz w:val="22"/>
          <w:szCs w:val="22"/>
          <w:lang w:val="bg-BG"/>
        </w:rPr>
        <w:t xml:space="preserve"> </w:t>
      </w:r>
      <w:r w:rsidRPr="00763075">
        <w:rPr>
          <w:sz w:val="22"/>
          <w:szCs w:val="22"/>
          <w:lang w:val="bg-BG"/>
        </w:rPr>
        <w:t>се дневни дози от</w:t>
      </w:r>
      <w:r w:rsidR="00810FF1" w:rsidRPr="00763075">
        <w:rPr>
          <w:sz w:val="22"/>
          <w:szCs w:val="22"/>
          <w:lang w:val="bg-BG"/>
        </w:rPr>
        <w:t xml:space="preserve"> </w:t>
      </w:r>
      <w:r w:rsidR="009A2C02" w:rsidRPr="00763075">
        <w:rPr>
          <w:sz w:val="22"/>
          <w:szCs w:val="22"/>
          <w:lang w:val="bg-BG"/>
        </w:rPr>
        <w:t>50 </w:t>
      </w:r>
      <w:r w:rsidRPr="00763075">
        <w:rPr>
          <w:sz w:val="22"/>
          <w:szCs w:val="22"/>
          <w:lang w:val="bg-BG"/>
        </w:rPr>
        <w:t xml:space="preserve">mg. Намаляване на мускулното напрежение е наблюдавано при тревожни пациенти при дневна доза от </w:t>
      </w:r>
      <w:r w:rsidR="009A2C02" w:rsidRPr="00763075">
        <w:rPr>
          <w:sz w:val="22"/>
          <w:szCs w:val="22"/>
          <w:lang w:val="bg-BG"/>
        </w:rPr>
        <w:t>3 х 50 </w:t>
      </w:r>
      <w:r w:rsidRPr="00763075">
        <w:rPr>
          <w:sz w:val="22"/>
          <w:szCs w:val="22"/>
          <w:lang w:val="bg-BG"/>
        </w:rPr>
        <w:t xml:space="preserve">mg. Не </w:t>
      </w:r>
      <w:r w:rsidR="0060225B" w:rsidRPr="00763075">
        <w:rPr>
          <w:sz w:val="22"/>
          <w:szCs w:val="22"/>
          <w:lang w:val="bg-BG"/>
        </w:rPr>
        <w:t>е</w:t>
      </w:r>
      <w:r w:rsidRPr="00763075">
        <w:rPr>
          <w:sz w:val="22"/>
          <w:szCs w:val="22"/>
          <w:lang w:val="bg-BG"/>
        </w:rPr>
        <w:t xml:space="preserve"> наблюдаван</w:t>
      </w:r>
      <w:r w:rsidR="0060225B" w:rsidRPr="00763075">
        <w:rPr>
          <w:sz w:val="22"/>
          <w:szCs w:val="22"/>
          <w:lang w:val="bg-BG"/>
        </w:rPr>
        <w:t xml:space="preserve"> паметов дефицит</w:t>
      </w:r>
      <w:r w:rsidRPr="00763075">
        <w:rPr>
          <w:sz w:val="22"/>
          <w:szCs w:val="22"/>
          <w:lang w:val="bg-BG"/>
        </w:rPr>
        <w:t>. Не са наблюдавани и</w:t>
      </w:r>
      <w:r w:rsidR="00810FF1" w:rsidRPr="00763075">
        <w:rPr>
          <w:sz w:val="22"/>
          <w:szCs w:val="22"/>
          <w:lang w:val="bg-BG"/>
        </w:rPr>
        <w:t xml:space="preserve"> </w:t>
      </w:r>
      <w:r w:rsidRPr="00763075">
        <w:rPr>
          <w:sz w:val="22"/>
          <w:szCs w:val="22"/>
          <w:lang w:val="bg-BG"/>
        </w:rPr>
        <w:t>симптоми на привикване след 4-седмично лечение при тревожни пациенти.</w:t>
      </w:r>
    </w:p>
    <w:p w14:paraId="56E4FE99" w14:textId="77777777" w:rsidR="006A14EC" w:rsidRPr="00763075" w:rsidRDefault="006A14EC">
      <w:pPr>
        <w:jc w:val="both"/>
        <w:rPr>
          <w:sz w:val="22"/>
          <w:szCs w:val="22"/>
          <w:lang w:val="bg-BG"/>
        </w:rPr>
      </w:pPr>
    </w:p>
    <w:p w14:paraId="2A0809C0" w14:textId="77777777" w:rsidR="006A14EC" w:rsidRPr="00763075" w:rsidRDefault="006A14EC">
      <w:pPr>
        <w:jc w:val="both"/>
        <w:rPr>
          <w:i/>
          <w:sz w:val="22"/>
          <w:szCs w:val="22"/>
          <w:lang w:val="bg-BG"/>
        </w:rPr>
      </w:pPr>
      <w:r w:rsidRPr="00763075">
        <w:rPr>
          <w:i/>
          <w:sz w:val="22"/>
          <w:szCs w:val="22"/>
          <w:lang w:val="bg-BG"/>
        </w:rPr>
        <w:t>Начало на действие</w:t>
      </w:r>
    </w:p>
    <w:p w14:paraId="116AE03F" w14:textId="569653A1" w:rsidR="006A14EC" w:rsidRPr="00763075" w:rsidRDefault="006A14EC">
      <w:pPr>
        <w:pStyle w:val="BodyText3"/>
        <w:ind w:right="0"/>
        <w:rPr>
          <w:rFonts w:ascii="Times New Roman" w:hAnsi="Times New Roman"/>
          <w:sz w:val="22"/>
          <w:szCs w:val="22"/>
        </w:rPr>
      </w:pPr>
      <w:r w:rsidRPr="00763075">
        <w:rPr>
          <w:rFonts w:ascii="Times New Roman" w:hAnsi="Times New Roman"/>
          <w:sz w:val="22"/>
          <w:szCs w:val="22"/>
        </w:rPr>
        <w:t>Антихистаминовия ефект настъпва приблизително</w:t>
      </w:r>
      <w:r w:rsidR="00810FF1" w:rsidRPr="00763075">
        <w:rPr>
          <w:rFonts w:ascii="Times New Roman" w:hAnsi="Times New Roman"/>
          <w:sz w:val="22"/>
          <w:szCs w:val="22"/>
        </w:rPr>
        <w:t xml:space="preserve"> </w:t>
      </w:r>
      <w:r w:rsidRPr="00763075">
        <w:rPr>
          <w:rFonts w:ascii="Times New Roman" w:hAnsi="Times New Roman"/>
          <w:sz w:val="22"/>
          <w:szCs w:val="22"/>
        </w:rPr>
        <w:t xml:space="preserve">1 час след прилагане на пероралните форми. Седативният ефект </w:t>
      </w:r>
      <w:r w:rsidR="00B81B81" w:rsidRPr="00763075">
        <w:rPr>
          <w:rFonts w:ascii="Times New Roman" w:hAnsi="Times New Roman"/>
          <w:sz w:val="22"/>
          <w:szCs w:val="22"/>
        </w:rPr>
        <w:t xml:space="preserve">на </w:t>
      </w:r>
      <w:r w:rsidRPr="00763075">
        <w:rPr>
          <w:rFonts w:ascii="Times New Roman" w:hAnsi="Times New Roman"/>
          <w:sz w:val="22"/>
          <w:szCs w:val="22"/>
        </w:rPr>
        <w:t>таблетките съответно 30-45 минути.</w:t>
      </w:r>
    </w:p>
    <w:p w14:paraId="2F98978E" w14:textId="77777777" w:rsidR="008C0592" w:rsidRPr="00763075" w:rsidRDefault="008C0592">
      <w:pPr>
        <w:jc w:val="both"/>
        <w:rPr>
          <w:sz w:val="22"/>
          <w:szCs w:val="22"/>
          <w:lang w:val="bg-BG"/>
        </w:rPr>
      </w:pPr>
    </w:p>
    <w:p w14:paraId="4C298E07" w14:textId="77777777" w:rsidR="006A14EC" w:rsidRPr="00763075" w:rsidRDefault="006A14EC">
      <w:pPr>
        <w:jc w:val="both"/>
        <w:rPr>
          <w:sz w:val="22"/>
          <w:szCs w:val="22"/>
          <w:lang w:val="bg-BG"/>
        </w:rPr>
      </w:pPr>
      <w:r w:rsidRPr="00763075">
        <w:rPr>
          <w:sz w:val="22"/>
          <w:szCs w:val="22"/>
          <w:lang w:val="bg-BG"/>
        </w:rPr>
        <w:t>Хидроксизин има също</w:t>
      </w:r>
      <w:r w:rsidR="00810FF1" w:rsidRPr="00763075">
        <w:rPr>
          <w:sz w:val="22"/>
          <w:szCs w:val="22"/>
          <w:lang w:val="bg-BG"/>
        </w:rPr>
        <w:t xml:space="preserve"> </w:t>
      </w:r>
      <w:r w:rsidRPr="00763075">
        <w:rPr>
          <w:sz w:val="22"/>
          <w:szCs w:val="22"/>
          <w:lang w:val="bg-BG"/>
        </w:rPr>
        <w:t>спазмолитично и симпатолитично действие. Той притежава нисък афинитет към мускариновите рецептори</w:t>
      </w:r>
      <w:r w:rsidR="00EA09B6" w:rsidRPr="00763075">
        <w:rPr>
          <w:sz w:val="22"/>
          <w:szCs w:val="22"/>
          <w:lang w:val="bg-BG"/>
        </w:rPr>
        <w:t xml:space="preserve">. Хидроксизин </w:t>
      </w:r>
      <w:r w:rsidRPr="00763075">
        <w:rPr>
          <w:sz w:val="22"/>
          <w:szCs w:val="22"/>
          <w:lang w:val="bg-BG"/>
        </w:rPr>
        <w:t>проявява</w:t>
      </w:r>
      <w:r w:rsidR="00810FF1" w:rsidRPr="00763075">
        <w:rPr>
          <w:sz w:val="22"/>
          <w:szCs w:val="22"/>
          <w:lang w:val="bg-BG"/>
        </w:rPr>
        <w:t xml:space="preserve"> </w:t>
      </w:r>
      <w:r w:rsidRPr="00763075">
        <w:rPr>
          <w:sz w:val="22"/>
          <w:szCs w:val="22"/>
          <w:lang w:val="bg-BG"/>
        </w:rPr>
        <w:t>слаб</w:t>
      </w:r>
      <w:r w:rsidR="00EA09B6" w:rsidRPr="00763075">
        <w:rPr>
          <w:sz w:val="22"/>
          <w:szCs w:val="22"/>
          <w:lang w:val="bg-BG"/>
        </w:rPr>
        <w:t>о</w:t>
      </w:r>
      <w:r w:rsidRPr="00763075">
        <w:rPr>
          <w:sz w:val="22"/>
          <w:szCs w:val="22"/>
          <w:lang w:val="bg-BG"/>
        </w:rPr>
        <w:t xml:space="preserve"> аналгетичн</w:t>
      </w:r>
      <w:r w:rsidR="00EA09B6" w:rsidRPr="00763075">
        <w:rPr>
          <w:sz w:val="22"/>
          <w:szCs w:val="22"/>
          <w:lang w:val="bg-BG"/>
        </w:rPr>
        <w:t>о</w:t>
      </w:r>
      <w:r w:rsidRPr="00763075">
        <w:rPr>
          <w:sz w:val="22"/>
          <w:szCs w:val="22"/>
          <w:lang w:val="bg-BG"/>
        </w:rPr>
        <w:t xml:space="preserve"> </w:t>
      </w:r>
      <w:r w:rsidR="00EA09B6" w:rsidRPr="00763075">
        <w:rPr>
          <w:sz w:val="22"/>
          <w:szCs w:val="22"/>
          <w:lang w:val="bg-BG"/>
        </w:rPr>
        <w:t>действие</w:t>
      </w:r>
      <w:r w:rsidRPr="00763075">
        <w:rPr>
          <w:sz w:val="22"/>
          <w:szCs w:val="22"/>
          <w:lang w:val="bg-BG"/>
        </w:rPr>
        <w:t>.</w:t>
      </w:r>
    </w:p>
    <w:p w14:paraId="713A84C5" w14:textId="77777777" w:rsidR="006A14EC" w:rsidRPr="00763075" w:rsidRDefault="006A14EC">
      <w:pPr>
        <w:jc w:val="both"/>
        <w:rPr>
          <w:b/>
          <w:sz w:val="22"/>
          <w:szCs w:val="22"/>
          <w:lang w:val="bg-BG"/>
        </w:rPr>
      </w:pPr>
    </w:p>
    <w:p w14:paraId="6D047EC9" w14:textId="77777777" w:rsidR="00C87970" w:rsidRPr="00763075" w:rsidRDefault="00C87970" w:rsidP="00F04A21">
      <w:pPr>
        <w:numPr>
          <w:ilvl w:val="1"/>
          <w:numId w:val="31"/>
        </w:numPr>
        <w:tabs>
          <w:tab w:val="clear" w:pos="570"/>
          <w:tab w:val="num" w:pos="426"/>
        </w:tabs>
        <w:ind w:left="0" w:firstLine="0"/>
        <w:jc w:val="both"/>
        <w:rPr>
          <w:b/>
          <w:sz w:val="22"/>
          <w:szCs w:val="22"/>
          <w:lang w:val="bg-BG"/>
        </w:rPr>
      </w:pPr>
      <w:r w:rsidRPr="00763075">
        <w:rPr>
          <w:b/>
          <w:sz w:val="22"/>
          <w:szCs w:val="22"/>
          <w:lang w:val="bg-BG"/>
        </w:rPr>
        <w:t>Фармакокинетични свойства</w:t>
      </w:r>
    </w:p>
    <w:p w14:paraId="6080E392" w14:textId="77777777" w:rsidR="006A14EC" w:rsidRPr="00763075" w:rsidRDefault="006A14EC">
      <w:pPr>
        <w:jc w:val="both"/>
        <w:rPr>
          <w:b/>
          <w:sz w:val="22"/>
          <w:szCs w:val="22"/>
          <w:lang w:val="bg-BG"/>
        </w:rPr>
      </w:pPr>
    </w:p>
    <w:p w14:paraId="4BA7504C" w14:textId="77777777" w:rsidR="006A14EC" w:rsidRPr="008E6BF5" w:rsidRDefault="006A14EC">
      <w:pPr>
        <w:jc w:val="both"/>
        <w:rPr>
          <w:sz w:val="22"/>
          <w:szCs w:val="22"/>
          <w:u w:val="single"/>
          <w:lang w:val="bg-BG"/>
        </w:rPr>
      </w:pPr>
      <w:r w:rsidRPr="008E6BF5">
        <w:rPr>
          <w:sz w:val="22"/>
          <w:szCs w:val="22"/>
          <w:u w:val="single"/>
          <w:lang w:val="bg-BG"/>
        </w:rPr>
        <w:t>Абсорбция</w:t>
      </w:r>
    </w:p>
    <w:p w14:paraId="6CC061E7" w14:textId="4917810E" w:rsidR="006A14EC" w:rsidRPr="00763075" w:rsidRDefault="006A14EC">
      <w:pPr>
        <w:jc w:val="both"/>
        <w:rPr>
          <w:sz w:val="22"/>
          <w:szCs w:val="22"/>
          <w:lang w:val="bg-BG"/>
        </w:rPr>
      </w:pPr>
      <w:r w:rsidRPr="00763075">
        <w:rPr>
          <w:sz w:val="22"/>
          <w:szCs w:val="22"/>
          <w:lang w:val="bg-BG"/>
        </w:rPr>
        <w:t>Хидроксизин се абсорбира</w:t>
      </w:r>
      <w:r w:rsidR="00810FF1" w:rsidRPr="00763075">
        <w:rPr>
          <w:sz w:val="22"/>
          <w:szCs w:val="22"/>
          <w:lang w:val="bg-BG"/>
        </w:rPr>
        <w:t xml:space="preserve"> </w:t>
      </w:r>
      <w:r w:rsidRPr="00763075">
        <w:rPr>
          <w:sz w:val="22"/>
          <w:szCs w:val="22"/>
          <w:lang w:val="bg-BG"/>
        </w:rPr>
        <w:t>бързо през стомашно-чревния тракт. Пиково плазмено ниво (C</w:t>
      </w:r>
      <w:r w:rsidRPr="00763075">
        <w:rPr>
          <w:sz w:val="22"/>
          <w:szCs w:val="22"/>
          <w:vertAlign w:val="subscript"/>
          <w:lang w:val="bg-BG"/>
        </w:rPr>
        <w:t>max</w:t>
      </w:r>
      <w:r w:rsidRPr="00763075">
        <w:rPr>
          <w:sz w:val="22"/>
          <w:szCs w:val="22"/>
          <w:lang w:val="bg-BG"/>
        </w:rPr>
        <w:t>) се достига</w:t>
      </w:r>
      <w:r w:rsidR="00810FF1" w:rsidRPr="00763075">
        <w:rPr>
          <w:sz w:val="22"/>
          <w:szCs w:val="22"/>
          <w:lang w:val="bg-BG"/>
        </w:rPr>
        <w:t xml:space="preserve"> </w:t>
      </w:r>
      <w:r w:rsidRPr="00763075">
        <w:rPr>
          <w:sz w:val="22"/>
          <w:szCs w:val="22"/>
          <w:lang w:val="bg-BG"/>
        </w:rPr>
        <w:t xml:space="preserve">около 2 часа след перорално приложение. След единични перорални дози от </w:t>
      </w:r>
      <w:r w:rsidR="009A2C02" w:rsidRPr="00763075">
        <w:rPr>
          <w:sz w:val="22"/>
          <w:szCs w:val="22"/>
          <w:lang w:val="bg-BG"/>
        </w:rPr>
        <w:t>25 </w:t>
      </w:r>
      <w:r w:rsidRPr="00763075">
        <w:rPr>
          <w:sz w:val="22"/>
          <w:szCs w:val="22"/>
          <w:lang w:val="bg-BG"/>
        </w:rPr>
        <w:t xml:space="preserve">mg и </w:t>
      </w:r>
      <w:r w:rsidR="009A2C02" w:rsidRPr="00763075">
        <w:rPr>
          <w:sz w:val="22"/>
          <w:szCs w:val="22"/>
          <w:lang w:val="bg-BG"/>
        </w:rPr>
        <w:t>50 </w:t>
      </w:r>
      <w:r w:rsidRPr="00763075">
        <w:rPr>
          <w:sz w:val="22"/>
          <w:szCs w:val="22"/>
          <w:lang w:val="bg-BG"/>
        </w:rPr>
        <w:t xml:space="preserve">mg при възрастни, </w:t>
      </w:r>
      <w:r w:rsidR="00A8187F" w:rsidRPr="00763075">
        <w:rPr>
          <w:sz w:val="22"/>
          <w:szCs w:val="22"/>
          <w:lang w:val="bg-BG"/>
        </w:rPr>
        <w:t>C</w:t>
      </w:r>
      <w:r w:rsidR="00A8187F" w:rsidRPr="00763075">
        <w:rPr>
          <w:sz w:val="22"/>
          <w:szCs w:val="22"/>
          <w:vertAlign w:val="subscript"/>
          <w:lang w:val="bg-BG"/>
        </w:rPr>
        <w:t>max</w:t>
      </w:r>
      <w:r w:rsidRPr="00763075">
        <w:rPr>
          <w:sz w:val="22"/>
          <w:szCs w:val="22"/>
          <w:lang w:val="bg-BG"/>
        </w:rPr>
        <w:t xml:space="preserve"> концентрации</w:t>
      </w:r>
      <w:r w:rsidR="00A8187F" w:rsidRPr="00763075">
        <w:rPr>
          <w:sz w:val="22"/>
          <w:szCs w:val="22"/>
          <w:lang w:val="bg-BG"/>
        </w:rPr>
        <w:t>те</w:t>
      </w:r>
      <w:r w:rsidRPr="00763075">
        <w:rPr>
          <w:sz w:val="22"/>
          <w:szCs w:val="22"/>
          <w:lang w:val="bg-BG"/>
        </w:rPr>
        <w:t xml:space="preserve"> са съответно </w:t>
      </w:r>
      <w:r w:rsidR="009A2C02" w:rsidRPr="00763075">
        <w:rPr>
          <w:sz w:val="22"/>
          <w:szCs w:val="22"/>
          <w:lang w:val="bg-BG"/>
        </w:rPr>
        <w:t>30 </w:t>
      </w:r>
      <w:r w:rsidRPr="00763075">
        <w:rPr>
          <w:sz w:val="22"/>
          <w:szCs w:val="22"/>
          <w:lang w:val="bg-BG"/>
        </w:rPr>
        <w:t>ng/ml и</w:t>
      </w:r>
      <w:r w:rsidR="00810FF1" w:rsidRPr="00763075">
        <w:rPr>
          <w:sz w:val="22"/>
          <w:szCs w:val="22"/>
          <w:lang w:val="bg-BG"/>
        </w:rPr>
        <w:t xml:space="preserve"> </w:t>
      </w:r>
      <w:r w:rsidR="009A2C02" w:rsidRPr="00763075">
        <w:rPr>
          <w:sz w:val="22"/>
          <w:szCs w:val="22"/>
          <w:lang w:val="bg-BG"/>
        </w:rPr>
        <w:t>70 </w:t>
      </w:r>
      <w:r w:rsidRPr="00763075">
        <w:rPr>
          <w:sz w:val="22"/>
          <w:szCs w:val="22"/>
          <w:lang w:val="bg-BG"/>
        </w:rPr>
        <w:t xml:space="preserve">ng/ml. Скоростта и степента на </w:t>
      </w:r>
      <w:r w:rsidR="009B0588" w:rsidRPr="00763075">
        <w:rPr>
          <w:sz w:val="22"/>
          <w:szCs w:val="22"/>
          <w:lang w:val="bg-BG"/>
        </w:rPr>
        <w:t>експозицията към</w:t>
      </w:r>
      <w:r w:rsidR="00B12B37" w:rsidRPr="00763075">
        <w:rPr>
          <w:sz w:val="22"/>
          <w:szCs w:val="22"/>
          <w:lang w:val="bg-BG"/>
        </w:rPr>
        <w:t xml:space="preserve"> </w:t>
      </w:r>
      <w:r w:rsidRPr="00763075">
        <w:rPr>
          <w:sz w:val="22"/>
          <w:szCs w:val="22"/>
          <w:lang w:val="bg-BG"/>
        </w:rPr>
        <w:t xml:space="preserve">хидроксизин са </w:t>
      </w:r>
      <w:r w:rsidR="009B0588" w:rsidRPr="00763075">
        <w:rPr>
          <w:sz w:val="22"/>
          <w:szCs w:val="22"/>
          <w:lang w:val="bg-BG"/>
        </w:rPr>
        <w:t xml:space="preserve">много </w:t>
      </w:r>
      <w:r w:rsidRPr="00763075">
        <w:rPr>
          <w:sz w:val="22"/>
          <w:szCs w:val="22"/>
          <w:lang w:val="bg-BG"/>
        </w:rPr>
        <w:t>сходни при</w:t>
      </w:r>
      <w:r w:rsidR="00810FF1" w:rsidRPr="00763075">
        <w:rPr>
          <w:sz w:val="22"/>
          <w:szCs w:val="22"/>
          <w:lang w:val="bg-BG"/>
        </w:rPr>
        <w:t xml:space="preserve"> </w:t>
      </w:r>
      <w:r w:rsidRPr="00763075">
        <w:rPr>
          <w:sz w:val="22"/>
          <w:szCs w:val="22"/>
          <w:lang w:val="bg-BG"/>
        </w:rPr>
        <w:t xml:space="preserve">таблетките или сиропа. След многократно </w:t>
      </w:r>
      <w:r w:rsidRPr="00763075">
        <w:rPr>
          <w:sz w:val="22"/>
          <w:szCs w:val="22"/>
          <w:lang w:val="bg-BG"/>
        </w:rPr>
        <w:lastRenderedPageBreak/>
        <w:t xml:space="preserve">приложение, веднъж дневно, концентрациите му нарастват с 30%. Бионаличността на хидроксизин при перорално приложение е около 80% </w:t>
      </w:r>
      <w:r w:rsidR="00A8187F" w:rsidRPr="00763075">
        <w:rPr>
          <w:sz w:val="22"/>
          <w:szCs w:val="22"/>
          <w:lang w:val="bg-BG"/>
        </w:rPr>
        <w:t>спрямо</w:t>
      </w:r>
      <w:r w:rsidRPr="00763075">
        <w:rPr>
          <w:sz w:val="22"/>
          <w:szCs w:val="22"/>
          <w:lang w:val="bg-BG"/>
        </w:rPr>
        <w:t xml:space="preserve"> интрамускулно</w:t>
      </w:r>
      <w:r w:rsidR="00A8187F" w:rsidRPr="00763075">
        <w:rPr>
          <w:sz w:val="22"/>
          <w:szCs w:val="22"/>
          <w:lang w:val="bg-BG"/>
        </w:rPr>
        <w:t>то</w:t>
      </w:r>
      <w:r w:rsidRPr="00763075">
        <w:rPr>
          <w:sz w:val="22"/>
          <w:szCs w:val="22"/>
          <w:lang w:val="bg-BG"/>
        </w:rPr>
        <w:t xml:space="preserve"> (</w:t>
      </w:r>
      <w:r w:rsidR="00E03FA0" w:rsidRPr="00763075">
        <w:rPr>
          <w:i/>
          <w:sz w:val="22"/>
          <w:szCs w:val="22"/>
          <w:lang w:val="bg-BG"/>
        </w:rPr>
        <w:t>i.m.</w:t>
      </w:r>
      <w:r w:rsidRPr="00763075">
        <w:rPr>
          <w:sz w:val="22"/>
          <w:szCs w:val="22"/>
          <w:lang w:val="bg-BG"/>
        </w:rPr>
        <w:t xml:space="preserve">) приложение. След прилагане на единична доза от </w:t>
      </w:r>
      <w:r w:rsidR="009A2C02" w:rsidRPr="00763075">
        <w:rPr>
          <w:sz w:val="22"/>
          <w:szCs w:val="22"/>
          <w:lang w:val="bg-BG"/>
        </w:rPr>
        <w:t>50 </w:t>
      </w:r>
      <w:r w:rsidRPr="00763075">
        <w:rPr>
          <w:sz w:val="22"/>
          <w:szCs w:val="22"/>
          <w:lang w:val="bg-BG"/>
        </w:rPr>
        <w:t>mg</w:t>
      </w:r>
      <w:r w:rsidR="00A8187F" w:rsidRPr="00763075">
        <w:rPr>
          <w:sz w:val="22"/>
          <w:szCs w:val="22"/>
          <w:lang w:val="bg-BG"/>
        </w:rPr>
        <w:t xml:space="preserve"> </w:t>
      </w:r>
      <w:r w:rsidR="00E03FA0" w:rsidRPr="00763075">
        <w:rPr>
          <w:i/>
          <w:sz w:val="22"/>
          <w:szCs w:val="22"/>
          <w:lang w:val="bg-BG"/>
        </w:rPr>
        <w:t>i.m.</w:t>
      </w:r>
      <w:r w:rsidRPr="00763075">
        <w:rPr>
          <w:sz w:val="22"/>
          <w:szCs w:val="22"/>
          <w:lang w:val="bg-BG"/>
        </w:rPr>
        <w:t xml:space="preserve">, </w:t>
      </w:r>
      <w:r w:rsidR="00E03FA0" w:rsidRPr="00763075">
        <w:rPr>
          <w:sz w:val="22"/>
          <w:szCs w:val="22"/>
          <w:lang w:val="bg-BG"/>
        </w:rPr>
        <w:t>C</w:t>
      </w:r>
      <w:r w:rsidR="00E03FA0" w:rsidRPr="00763075">
        <w:rPr>
          <w:sz w:val="22"/>
          <w:szCs w:val="22"/>
          <w:vertAlign w:val="subscript"/>
          <w:lang w:val="bg-BG"/>
        </w:rPr>
        <w:t>max</w:t>
      </w:r>
      <w:r w:rsidRPr="00763075">
        <w:rPr>
          <w:sz w:val="22"/>
          <w:szCs w:val="22"/>
          <w:lang w:val="bg-BG"/>
        </w:rPr>
        <w:t xml:space="preserve"> концентрации</w:t>
      </w:r>
      <w:r w:rsidR="00E03FA0" w:rsidRPr="00763075">
        <w:rPr>
          <w:sz w:val="22"/>
          <w:szCs w:val="22"/>
          <w:lang w:val="bg-BG"/>
        </w:rPr>
        <w:t>те</w:t>
      </w:r>
      <w:r w:rsidRPr="00763075">
        <w:rPr>
          <w:sz w:val="22"/>
          <w:szCs w:val="22"/>
          <w:lang w:val="bg-BG"/>
        </w:rPr>
        <w:t xml:space="preserve"> </w:t>
      </w:r>
      <w:r w:rsidR="00A8187F" w:rsidRPr="00763075">
        <w:rPr>
          <w:sz w:val="22"/>
          <w:szCs w:val="22"/>
          <w:lang w:val="bg-BG"/>
        </w:rPr>
        <w:t xml:space="preserve">са </w:t>
      </w:r>
      <w:r w:rsidRPr="00763075">
        <w:rPr>
          <w:sz w:val="22"/>
          <w:szCs w:val="22"/>
          <w:lang w:val="bg-BG"/>
        </w:rPr>
        <w:t xml:space="preserve">обикновено </w:t>
      </w:r>
      <w:r w:rsidR="009A2C02" w:rsidRPr="00763075">
        <w:rPr>
          <w:sz w:val="22"/>
          <w:szCs w:val="22"/>
          <w:lang w:val="bg-BG"/>
        </w:rPr>
        <w:t>65 </w:t>
      </w:r>
      <w:r w:rsidRPr="00763075">
        <w:rPr>
          <w:sz w:val="22"/>
          <w:szCs w:val="22"/>
          <w:lang w:val="bg-BG"/>
        </w:rPr>
        <w:t>ng/ml.</w:t>
      </w:r>
    </w:p>
    <w:p w14:paraId="2B78C325" w14:textId="77777777" w:rsidR="006A14EC" w:rsidRPr="00763075" w:rsidRDefault="006A14EC">
      <w:pPr>
        <w:jc w:val="both"/>
        <w:rPr>
          <w:b/>
          <w:sz w:val="22"/>
          <w:szCs w:val="22"/>
          <w:lang w:val="bg-BG"/>
        </w:rPr>
      </w:pPr>
    </w:p>
    <w:p w14:paraId="52E32F64" w14:textId="77777777" w:rsidR="006A14EC" w:rsidRPr="008E6BF5" w:rsidRDefault="006A14EC" w:rsidP="00F04A21">
      <w:pPr>
        <w:keepNext/>
        <w:jc w:val="both"/>
        <w:rPr>
          <w:sz w:val="22"/>
          <w:szCs w:val="22"/>
          <w:u w:val="single"/>
          <w:lang w:val="bg-BG"/>
        </w:rPr>
      </w:pPr>
      <w:r w:rsidRPr="008E6BF5">
        <w:rPr>
          <w:sz w:val="22"/>
          <w:szCs w:val="22"/>
          <w:u w:val="single"/>
          <w:lang w:val="bg-BG"/>
        </w:rPr>
        <w:t>Разпределение</w:t>
      </w:r>
    </w:p>
    <w:p w14:paraId="709DFE12" w14:textId="4FCCE950" w:rsidR="006A14EC" w:rsidRPr="00763075" w:rsidRDefault="006A14EC" w:rsidP="00F04A21">
      <w:pPr>
        <w:keepNext/>
        <w:jc w:val="both"/>
        <w:rPr>
          <w:sz w:val="22"/>
          <w:szCs w:val="22"/>
          <w:lang w:val="bg-BG"/>
        </w:rPr>
      </w:pPr>
      <w:r w:rsidRPr="00763075">
        <w:rPr>
          <w:sz w:val="22"/>
          <w:szCs w:val="22"/>
          <w:lang w:val="bg-BG"/>
        </w:rPr>
        <w:t>Хидроксизин се разпределя в целия организъм, но по-високи концентрации се наблюдават в тъканите, в сравнение с</w:t>
      </w:r>
      <w:r w:rsidR="00810FF1" w:rsidRPr="00763075">
        <w:rPr>
          <w:sz w:val="22"/>
          <w:szCs w:val="22"/>
          <w:lang w:val="bg-BG"/>
        </w:rPr>
        <w:t xml:space="preserve"> </w:t>
      </w:r>
      <w:r w:rsidRPr="00763075">
        <w:rPr>
          <w:sz w:val="22"/>
          <w:szCs w:val="22"/>
          <w:lang w:val="bg-BG"/>
        </w:rPr>
        <w:t xml:space="preserve">плазмата. </w:t>
      </w:r>
      <w:r w:rsidR="007F6747" w:rsidRPr="00763075">
        <w:rPr>
          <w:sz w:val="22"/>
          <w:szCs w:val="22"/>
          <w:lang w:val="bg-BG"/>
        </w:rPr>
        <w:t>Привидният о</w:t>
      </w:r>
      <w:r w:rsidRPr="00763075">
        <w:rPr>
          <w:sz w:val="22"/>
          <w:szCs w:val="22"/>
          <w:lang w:val="bg-BG"/>
        </w:rPr>
        <w:t xml:space="preserve">бем на разпределение при възрастни е от 7 до </w:t>
      </w:r>
      <w:r w:rsidR="000B5DC2" w:rsidRPr="00763075">
        <w:rPr>
          <w:sz w:val="22"/>
          <w:szCs w:val="22"/>
          <w:lang w:val="bg-BG"/>
        </w:rPr>
        <w:t>16 </w:t>
      </w:r>
      <w:r w:rsidRPr="00763075">
        <w:rPr>
          <w:sz w:val="22"/>
          <w:szCs w:val="22"/>
          <w:lang w:val="bg-BG"/>
        </w:rPr>
        <w:t>l/kg. След перорално приложение хидроксизин преминава в кожата, като</w:t>
      </w:r>
      <w:r w:rsidR="00810FF1" w:rsidRPr="00763075">
        <w:rPr>
          <w:sz w:val="22"/>
          <w:szCs w:val="22"/>
          <w:lang w:val="bg-BG"/>
        </w:rPr>
        <w:t xml:space="preserve"> </w:t>
      </w:r>
      <w:r w:rsidRPr="00763075">
        <w:rPr>
          <w:sz w:val="22"/>
          <w:szCs w:val="22"/>
          <w:lang w:val="bg-BG"/>
        </w:rPr>
        <w:t>концентрациите му там са по-високи от плазмените, както след ед</w:t>
      </w:r>
      <w:r w:rsidR="006A14D1" w:rsidRPr="00763075">
        <w:rPr>
          <w:sz w:val="22"/>
          <w:szCs w:val="22"/>
          <w:lang w:val="bg-BG"/>
        </w:rPr>
        <w:t>нократно</w:t>
      </w:r>
      <w:r w:rsidRPr="00763075">
        <w:rPr>
          <w:sz w:val="22"/>
          <w:szCs w:val="22"/>
          <w:lang w:val="bg-BG"/>
        </w:rPr>
        <w:t>, така и след многократно приложение. Хидроксизин преминава</w:t>
      </w:r>
      <w:r w:rsidR="00810FF1" w:rsidRPr="00763075">
        <w:rPr>
          <w:sz w:val="22"/>
          <w:szCs w:val="22"/>
          <w:lang w:val="bg-BG"/>
        </w:rPr>
        <w:t xml:space="preserve"> </w:t>
      </w:r>
      <w:r w:rsidRPr="00763075">
        <w:rPr>
          <w:sz w:val="22"/>
          <w:szCs w:val="22"/>
          <w:lang w:val="bg-BG"/>
        </w:rPr>
        <w:t>кръвно-мозъчната и плацентарна бариера, което води до по-високи концентрации у плода, в сравнение с тези при майката.</w:t>
      </w:r>
    </w:p>
    <w:p w14:paraId="7828E435" w14:textId="77777777" w:rsidR="006A14EC" w:rsidRPr="00763075" w:rsidRDefault="006A14EC" w:rsidP="00290B20">
      <w:pPr>
        <w:jc w:val="both"/>
        <w:rPr>
          <w:sz w:val="22"/>
          <w:szCs w:val="22"/>
          <w:lang w:val="bg-BG"/>
        </w:rPr>
      </w:pPr>
    </w:p>
    <w:p w14:paraId="53C7C634" w14:textId="77777777" w:rsidR="00A50491" w:rsidRPr="00763075" w:rsidRDefault="00A50491" w:rsidP="00290B20">
      <w:pPr>
        <w:ind w:right="5"/>
        <w:rPr>
          <w:sz w:val="22"/>
          <w:szCs w:val="22"/>
          <w:u w:val="single"/>
          <w:lang w:val="bg-BG"/>
        </w:rPr>
      </w:pPr>
      <w:r w:rsidRPr="00763075">
        <w:rPr>
          <w:sz w:val="22"/>
          <w:szCs w:val="22"/>
          <w:u w:val="single"/>
          <w:lang w:val="bg-BG"/>
        </w:rPr>
        <w:t>Биотрансформация</w:t>
      </w:r>
    </w:p>
    <w:p w14:paraId="320BA9F5" w14:textId="61C20249" w:rsidR="006A14EC" w:rsidRPr="00170DBA" w:rsidRDefault="006A14EC" w:rsidP="00290B20">
      <w:pPr>
        <w:jc w:val="both"/>
        <w:rPr>
          <w:b/>
          <w:sz w:val="22"/>
          <w:szCs w:val="22"/>
          <w:lang w:val="bg-BG"/>
        </w:rPr>
      </w:pPr>
      <w:r w:rsidRPr="00763075">
        <w:rPr>
          <w:sz w:val="22"/>
          <w:szCs w:val="22"/>
          <w:lang w:val="bg-BG"/>
        </w:rPr>
        <w:t xml:space="preserve">Хидроксизин се метаболизира </w:t>
      </w:r>
      <w:r w:rsidR="006A14D1" w:rsidRPr="00763075">
        <w:rPr>
          <w:sz w:val="22"/>
          <w:szCs w:val="22"/>
          <w:lang w:val="bg-BG"/>
        </w:rPr>
        <w:t>екстензивно</w:t>
      </w:r>
      <w:r w:rsidRPr="00763075">
        <w:rPr>
          <w:sz w:val="22"/>
          <w:szCs w:val="22"/>
          <w:lang w:val="bg-BG"/>
        </w:rPr>
        <w:t xml:space="preserve">. </w:t>
      </w:r>
      <w:r w:rsidR="006A14D1" w:rsidRPr="00763075">
        <w:rPr>
          <w:sz w:val="22"/>
          <w:szCs w:val="22"/>
          <w:lang w:val="bg-BG"/>
        </w:rPr>
        <w:t xml:space="preserve">Образуването </w:t>
      </w:r>
      <w:r w:rsidRPr="00763075">
        <w:rPr>
          <w:sz w:val="22"/>
          <w:szCs w:val="22"/>
          <w:lang w:val="bg-BG"/>
        </w:rPr>
        <w:t xml:space="preserve">на </w:t>
      </w:r>
      <w:r w:rsidR="006A14D1" w:rsidRPr="00763075">
        <w:rPr>
          <w:sz w:val="22"/>
          <w:szCs w:val="22"/>
          <w:lang w:val="bg-BG"/>
        </w:rPr>
        <w:t xml:space="preserve">основния метаболит – цетиризин, </w:t>
      </w:r>
      <w:r w:rsidRPr="00763075">
        <w:rPr>
          <w:sz w:val="22"/>
          <w:szCs w:val="22"/>
          <w:lang w:val="bg-BG"/>
        </w:rPr>
        <w:t>карбоксилен метаболит</w:t>
      </w:r>
      <w:r w:rsidR="006A14D1" w:rsidRPr="00763075">
        <w:rPr>
          <w:sz w:val="22"/>
          <w:szCs w:val="22"/>
          <w:lang w:val="bg-BG"/>
        </w:rPr>
        <w:t xml:space="preserve"> </w:t>
      </w:r>
      <w:r w:rsidRPr="00763075">
        <w:rPr>
          <w:sz w:val="22"/>
          <w:szCs w:val="22"/>
          <w:lang w:val="bg-BG"/>
        </w:rPr>
        <w:t>(</w:t>
      </w:r>
      <w:r w:rsidR="007F6747" w:rsidRPr="00763075">
        <w:rPr>
          <w:sz w:val="22"/>
          <w:szCs w:val="22"/>
          <w:lang w:val="bg-BG"/>
        </w:rPr>
        <w:t xml:space="preserve">приблизително </w:t>
      </w:r>
      <w:r w:rsidRPr="00763075">
        <w:rPr>
          <w:sz w:val="22"/>
          <w:szCs w:val="22"/>
          <w:lang w:val="bg-BG"/>
        </w:rPr>
        <w:t>45% от пероралната доза)</w:t>
      </w:r>
      <w:r w:rsidR="00B12B37" w:rsidRPr="00763075">
        <w:rPr>
          <w:sz w:val="22"/>
          <w:szCs w:val="22"/>
          <w:lang w:val="bg-BG"/>
        </w:rPr>
        <w:t xml:space="preserve"> се осъществява от алкохол</w:t>
      </w:r>
      <w:r w:rsidR="006A14D1" w:rsidRPr="00763075">
        <w:rPr>
          <w:sz w:val="22"/>
          <w:szCs w:val="22"/>
          <w:lang w:val="bg-BG"/>
        </w:rPr>
        <w:t>дехидрогеназата</w:t>
      </w:r>
      <w:r w:rsidRPr="00763075">
        <w:rPr>
          <w:sz w:val="22"/>
          <w:szCs w:val="22"/>
          <w:lang w:val="bg-BG"/>
        </w:rPr>
        <w:t>. Този метаболит</w:t>
      </w:r>
      <w:r w:rsidR="00810FF1" w:rsidRPr="00763075">
        <w:rPr>
          <w:sz w:val="22"/>
          <w:szCs w:val="22"/>
          <w:lang w:val="bg-BG"/>
        </w:rPr>
        <w:t xml:space="preserve"> </w:t>
      </w:r>
      <w:r w:rsidRPr="00763075">
        <w:rPr>
          <w:sz w:val="22"/>
          <w:szCs w:val="22"/>
          <w:lang w:val="bg-BG"/>
        </w:rPr>
        <w:t>притежава значителни</w:t>
      </w:r>
      <w:r w:rsidR="00810FF1" w:rsidRPr="00763075">
        <w:rPr>
          <w:sz w:val="22"/>
          <w:szCs w:val="22"/>
          <w:lang w:val="bg-BG"/>
        </w:rPr>
        <w:t xml:space="preserve"> </w:t>
      </w:r>
      <w:r w:rsidR="006A14D1" w:rsidRPr="00763075">
        <w:rPr>
          <w:sz w:val="22"/>
          <w:szCs w:val="22"/>
          <w:lang w:val="bg-BG"/>
        </w:rPr>
        <w:t>периферни</w:t>
      </w:r>
      <w:r w:rsidRPr="00763075">
        <w:rPr>
          <w:sz w:val="22"/>
          <w:szCs w:val="22"/>
          <w:lang w:val="bg-BG"/>
        </w:rPr>
        <w:t xml:space="preserve"> Н</w:t>
      </w:r>
      <w:r w:rsidRPr="00763075">
        <w:rPr>
          <w:sz w:val="22"/>
          <w:szCs w:val="22"/>
          <w:vertAlign w:val="subscript"/>
          <w:lang w:val="bg-BG"/>
        </w:rPr>
        <w:t>1</w:t>
      </w:r>
      <w:r w:rsidRPr="00763075">
        <w:rPr>
          <w:sz w:val="22"/>
          <w:szCs w:val="22"/>
          <w:lang w:val="bg-BG"/>
        </w:rPr>
        <w:t xml:space="preserve">-антагонистични свойства. </w:t>
      </w:r>
      <w:r w:rsidR="006A14D1" w:rsidRPr="00763075">
        <w:rPr>
          <w:sz w:val="22"/>
          <w:szCs w:val="22"/>
          <w:lang w:val="bg-BG"/>
        </w:rPr>
        <w:t xml:space="preserve">Други идентифицирани метаболити са </w:t>
      </w:r>
      <w:r w:rsidR="007F6747" w:rsidRPr="00763075">
        <w:rPr>
          <w:sz w:val="22"/>
          <w:szCs w:val="22"/>
          <w:lang w:val="bg-BG"/>
        </w:rPr>
        <w:t xml:space="preserve">N-деалкилиран метаболит и </w:t>
      </w:r>
      <w:r w:rsidRPr="00763075">
        <w:rPr>
          <w:sz w:val="22"/>
          <w:szCs w:val="22"/>
          <w:lang w:val="bg-BG"/>
        </w:rPr>
        <w:t>О-деалкилиран мет</w:t>
      </w:r>
      <w:r w:rsidR="00EA09B6" w:rsidRPr="00763075">
        <w:rPr>
          <w:sz w:val="22"/>
          <w:szCs w:val="22"/>
          <w:lang w:val="bg-BG"/>
        </w:rPr>
        <w:t>аболит с плазмено време на полуживот</w:t>
      </w:r>
      <w:r w:rsidR="00810FF1" w:rsidRPr="00763075">
        <w:rPr>
          <w:sz w:val="22"/>
          <w:szCs w:val="22"/>
          <w:lang w:val="bg-BG"/>
        </w:rPr>
        <w:t xml:space="preserve"> </w:t>
      </w:r>
      <w:r w:rsidRPr="00763075">
        <w:rPr>
          <w:sz w:val="22"/>
          <w:szCs w:val="22"/>
          <w:lang w:val="bg-BG"/>
        </w:rPr>
        <w:t>59 часа.</w:t>
      </w:r>
      <w:r w:rsidR="006A5A48" w:rsidRPr="00F04A21">
        <w:rPr>
          <w:sz w:val="22"/>
          <w:szCs w:val="22"/>
          <w:lang w:val="bg-BG"/>
        </w:rPr>
        <w:t xml:space="preserve"> </w:t>
      </w:r>
      <w:r w:rsidR="006A5A48" w:rsidRPr="00763075">
        <w:rPr>
          <w:sz w:val="22"/>
          <w:szCs w:val="22"/>
          <w:lang w:val="bg-BG"/>
        </w:rPr>
        <w:t>Тези пътища се медиират основно чрез CYP3A4/5.</w:t>
      </w:r>
    </w:p>
    <w:p w14:paraId="56080ACD" w14:textId="77777777" w:rsidR="006A14EC" w:rsidRPr="00290B20" w:rsidRDefault="006A14EC" w:rsidP="00290B20">
      <w:pPr>
        <w:jc w:val="both"/>
        <w:rPr>
          <w:b/>
          <w:sz w:val="22"/>
          <w:szCs w:val="22"/>
          <w:lang w:val="bg-BG"/>
        </w:rPr>
      </w:pPr>
    </w:p>
    <w:p w14:paraId="0D93501D" w14:textId="77777777" w:rsidR="006A14EC" w:rsidRPr="00290B20" w:rsidRDefault="006A14EC" w:rsidP="00290B20">
      <w:pPr>
        <w:jc w:val="both"/>
        <w:rPr>
          <w:sz w:val="22"/>
          <w:szCs w:val="22"/>
          <w:u w:val="single"/>
          <w:lang w:val="bg-BG"/>
        </w:rPr>
      </w:pPr>
      <w:r w:rsidRPr="00290B20">
        <w:rPr>
          <w:sz w:val="22"/>
          <w:szCs w:val="22"/>
          <w:u w:val="single"/>
          <w:lang w:val="bg-BG"/>
        </w:rPr>
        <w:t>Елиминиране</w:t>
      </w:r>
    </w:p>
    <w:p w14:paraId="677522C1" w14:textId="4B1F8327" w:rsidR="006A14EC" w:rsidRPr="00763075" w:rsidRDefault="006A14EC">
      <w:pPr>
        <w:autoSpaceDE w:val="0"/>
        <w:autoSpaceDN w:val="0"/>
        <w:adjustRightInd w:val="0"/>
        <w:rPr>
          <w:sz w:val="22"/>
          <w:szCs w:val="22"/>
          <w:lang w:val="bg-BG"/>
        </w:rPr>
      </w:pPr>
      <w:r w:rsidRPr="00290B20">
        <w:rPr>
          <w:sz w:val="22"/>
          <w:szCs w:val="22"/>
          <w:lang w:val="bg-BG"/>
        </w:rPr>
        <w:t>Времето на</w:t>
      </w:r>
      <w:r w:rsidR="00810FF1" w:rsidRPr="00290B20">
        <w:rPr>
          <w:sz w:val="22"/>
          <w:szCs w:val="22"/>
          <w:lang w:val="bg-BG"/>
        </w:rPr>
        <w:t xml:space="preserve"> </w:t>
      </w:r>
      <w:r w:rsidRPr="00763075">
        <w:rPr>
          <w:sz w:val="22"/>
          <w:szCs w:val="22"/>
          <w:lang w:val="bg-BG"/>
        </w:rPr>
        <w:t>полу</w:t>
      </w:r>
      <w:r w:rsidR="00EA09B6" w:rsidRPr="00763075">
        <w:rPr>
          <w:sz w:val="22"/>
          <w:szCs w:val="22"/>
          <w:lang w:val="bg-BG"/>
        </w:rPr>
        <w:t>живот</w:t>
      </w:r>
      <w:r w:rsidRPr="00763075">
        <w:rPr>
          <w:sz w:val="22"/>
          <w:szCs w:val="22"/>
          <w:lang w:val="bg-BG"/>
        </w:rPr>
        <w:t xml:space="preserve"> </w:t>
      </w:r>
      <w:r w:rsidR="00572395" w:rsidRPr="00763075">
        <w:rPr>
          <w:sz w:val="22"/>
          <w:szCs w:val="22"/>
          <w:lang w:val="bg-BG"/>
        </w:rPr>
        <w:t xml:space="preserve">на хидроксизин </w:t>
      </w:r>
      <w:r w:rsidRPr="00763075">
        <w:rPr>
          <w:sz w:val="22"/>
          <w:szCs w:val="22"/>
          <w:lang w:val="bg-BG"/>
        </w:rPr>
        <w:t xml:space="preserve">при възрастни е около 14 часа (от 7 до 20 часа). </w:t>
      </w:r>
      <w:r w:rsidR="009B3585" w:rsidRPr="00763075">
        <w:rPr>
          <w:sz w:val="22"/>
          <w:szCs w:val="22"/>
          <w:lang w:val="bg-BG"/>
        </w:rPr>
        <w:t xml:space="preserve">Привидният </w:t>
      </w:r>
      <w:r w:rsidR="002A57FE" w:rsidRPr="00763075">
        <w:rPr>
          <w:sz w:val="22"/>
          <w:szCs w:val="22"/>
          <w:lang w:val="bg-BG"/>
        </w:rPr>
        <w:t>общ телесен клирънс</w:t>
      </w:r>
      <w:r w:rsidRPr="00763075">
        <w:rPr>
          <w:sz w:val="22"/>
          <w:szCs w:val="22"/>
          <w:lang w:val="bg-BG"/>
        </w:rPr>
        <w:t>, определен при проучванията е 13 ml/min/kg. Само 0</w:t>
      </w:r>
      <w:r w:rsidR="002A57FE" w:rsidRPr="00763075">
        <w:rPr>
          <w:sz w:val="22"/>
          <w:szCs w:val="22"/>
          <w:lang w:val="bg-BG"/>
        </w:rPr>
        <w:t>,</w:t>
      </w:r>
      <w:r w:rsidRPr="00763075">
        <w:rPr>
          <w:sz w:val="22"/>
          <w:szCs w:val="22"/>
          <w:lang w:val="bg-BG"/>
        </w:rPr>
        <w:t>8% от приетата доза се отделя чрез урината в непроменен вид. Основният метаболит</w:t>
      </w:r>
      <w:r w:rsidR="00E03FA0" w:rsidRPr="00763075">
        <w:rPr>
          <w:sz w:val="22"/>
          <w:szCs w:val="22"/>
          <w:lang w:val="bg-BG"/>
        </w:rPr>
        <w:t xml:space="preserve"> - </w:t>
      </w:r>
      <w:r w:rsidRPr="00763075">
        <w:rPr>
          <w:sz w:val="22"/>
          <w:szCs w:val="22"/>
          <w:lang w:val="bg-BG"/>
        </w:rPr>
        <w:t>цетиризин се отделя глав</w:t>
      </w:r>
      <w:r w:rsidR="002A57FE" w:rsidRPr="00763075">
        <w:rPr>
          <w:sz w:val="22"/>
          <w:szCs w:val="22"/>
          <w:lang w:val="bg-BG"/>
        </w:rPr>
        <w:t>но в непроменен вид с урината (</w:t>
      </w:r>
      <w:r w:rsidRPr="00763075">
        <w:rPr>
          <w:sz w:val="22"/>
          <w:szCs w:val="22"/>
          <w:lang w:val="bg-BG"/>
        </w:rPr>
        <w:t>25</w:t>
      </w:r>
      <w:r w:rsidR="002A57FE" w:rsidRPr="00763075">
        <w:rPr>
          <w:sz w:val="22"/>
          <w:szCs w:val="22"/>
          <w:lang w:val="bg-BG"/>
        </w:rPr>
        <w:t>%</w:t>
      </w:r>
      <w:r w:rsidRPr="00763075">
        <w:rPr>
          <w:sz w:val="22"/>
          <w:szCs w:val="22"/>
          <w:lang w:val="bg-BG"/>
        </w:rPr>
        <w:t xml:space="preserve"> и 16% съответно от</w:t>
      </w:r>
      <w:r w:rsidR="00810FF1" w:rsidRPr="00763075">
        <w:rPr>
          <w:sz w:val="22"/>
          <w:szCs w:val="22"/>
          <w:lang w:val="bg-BG"/>
        </w:rPr>
        <w:t xml:space="preserve"> </w:t>
      </w:r>
      <w:r w:rsidRPr="00763075">
        <w:rPr>
          <w:sz w:val="22"/>
          <w:szCs w:val="22"/>
          <w:lang w:val="bg-BG"/>
        </w:rPr>
        <w:t>пероралната и</w:t>
      </w:r>
      <w:r w:rsidR="00810FF1" w:rsidRPr="00763075">
        <w:rPr>
          <w:sz w:val="22"/>
          <w:szCs w:val="22"/>
          <w:lang w:val="bg-BG"/>
        </w:rPr>
        <w:t xml:space="preserve"> </w:t>
      </w:r>
      <w:r w:rsidR="00E03FA0" w:rsidRPr="00763075">
        <w:rPr>
          <w:i/>
          <w:sz w:val="22"/>
          <w:szCs w:val="22"/>
          <w:lang w:val="bg-BG"/>
        </w:rPr>
        <w:t>i.m.</w:t>
      </w:r>
      <w:r w:rsidRPr="00763075">
        <w:rPr>
          <w:sz w:val="22"/>
          <w:szCs w:val="22"/>
          <w:lang w:val="bg-BG"/>
        </w:rPr>
        <w:t xml:space="preserve"> доза хидроксизин). </w:t>
      </w:r>
    </w:p>
    <w:p w14:paraId="13C32520" w14:textId="77777777" w:rsidR="006A14EC" w:rsidRPr="00763075" w:rsidRDefault="006A14EC">
      <w:pPr>
        <w:jc w:val="both"/>
        <w:rPr>
          <w:sz w:val="22"/>
          <w:szCs w:val="22"/>
          <w:lang w:val="bg-BG"/>
        </w:rPr>
      </w:pPr>
    </w:p>
    <w:p w14:paraId="4073FC64" w14:textId="2929FF2E" w:rsidR="006A14EC" w:rsidRPr="00763075" w:rsidRDefault="006A14EC">
      <w:pPr>
        <w:jc w:val="both"/>
        <w:rPr>
          <w:b/>
          <w:sz w:val="22"/>
          <w:szCs w:val="22"/>
          <w:lang w:val="bg-BG"/>
        </w:rPr>
      </w:pPr>
      <w:r w:rsidRPr="008E6BF5">
        <w:rPr>
          <w:sz w:val="22"/>
          <w:szCs w:val="22"/>
          <w:u w:val="single"/>
          <w:lang w:val="bg-BG"/>
        </w:rPr>
        <w:t xml:space="preserve">Специални </w:t>
      </w:r>
      <w:r w:rsidR="00724D7A" w:rsidRPr="00763075">
        <w:rPr>
          <w:sz w:val="22"/>
          <w:szCs w:val="22"/>
          <w:u w:val="single"/>
          <w:lang w:val="bg-BG"/>
        </w:rPr>
        <w:t>популации</w:t>
      </w:r>
    </w:p>
    <w:p w14:paraId="3CA651E9" w14:textId="4B2F4A19" w:rsidR="006A14EC" w:rsidRPr="00763075" w:rsidRDefault="00C676E2" w:rsidP="00790316">
      <w:pPr>
        <w:jc w:val="both"/>
        <w:rPr>
          <w:b/>
          <w:i/>
          <w:sz w:val="22"/>
          <w:szCs w:val="22"/>
          <w:lang w:val="bg-BG"/>
        </w:rPr>
      </w:pPr>
      <w:r w:rsidRPr="00763075">
        <w:rPr>
          <w:i/>
          <w:sz w:val="22"/>
          <w:szCs w:val="22"/>
          <w:lang w:val="bg-BG"/>
        </w:rPr>
        <w:t>Старческа възраст</w:t>
      </w:r>
    </w:p>
    <w:p w14:paraId="53A1195B" w14:textId="35FD4947" w:rsidR="006A14EC" w:rsidRPr="00763075" w:rsidRDefault="006A14EC" w:rsidP="00992D86">
      <w:pPr>
        <w:tabs>
          <w:tab w:val="num" w:pos="426"/>
        </w:tabs>
        <w:autoSpaceDE w:val="0"/>
        <w:autoSpaceDN w:val="0"/>
        <w:adjustRightInd w:val="0"/>
        <w:rPr>
          <w:sz w:val="22"/>
          <w:szCs w:val="22"/>
          <w:lang w:val="bg-BG"/>
        </w:rPr>
      </w:pPr>
      <w:r w:rsidRPr="00763075">
        <w:rPr>
          <w:sz w:val="22"/>
          <w:szCs w:val="22"/>
          <w:lang w:val="bg-BG"/>
        </w:rPr>
        <w:t>Изследвана е фармакокинетиката на хидроксизин при</w:t>
      </w:r>
      <w:r w:rsidR="00810FF1" w:rsidRPr="00763075">
        <w:rPr>
          <w:sz w:val="22"/>
          <w:szCs w:val="22"/>
          <w:lang w:val="bg-BG"/>
        </w:rPr>
        <w:t xml:space="preserve"> </w:t>
      </w:r>
      <w:r w:rsidRPr="00763075">
        <w:rPr>
          <w:sz w:val="22"/>
          <w:szCs w:val="22"/>
          <w:lang w:val="bg-BG"/>
        </w:rPr>
        <w:t>9 здрави индивида в напреднала възраст (6</w:t>
      </w:r>
      <w:r w:rsidR="00572395" w:rsidRPr="00763075">
        <w:rPr>
          <w:sz w:val="22"/>
          <w:szCs w:val="22"/>
          <w:lang w:val="bg-BG"/>
        </w:rPr>
        <w:t>9</w:t>
      </w:r>
      <w:r w:rsidR="002A57FE" w:rsidRPr="00763075">
        <w:rPr>
          <w:sz w:val="22"/>
          <w:szCs w:val="22"/>
          <w:lang w:val="bg-BG"/>
        </w:rPr>
        <w:t>,</w:t>
      </w:r>
      <w:r w:rsidRPr="00763075">
        <w:rPr>
          <w:sz w:val="22"/>
          <w:szCs w:val="22"/>
          <w:lang w:val="bg-BG"/>
        </w:rPr>
        <w:t xml:space="preserve">5 </w:t>
      </w:r>
      <w:r w:rsidRPr="00763075">
        <w:rPr>
          <w:sz w:val="22"/>
          <w:szCs w:val="22"/>
          <w:lang w:val="bg-BG"/>
        </w:rPr>
        <w:sym w:font="Symbol" w:char="F0B1"/>
      </w:r>
      <w:r w:rsidRPr="00763075">
        <w:rPr>
          <w:sz w:val="22"/>
          <w:szCs w:val="22"/>
          <w:lang w:val="bg-BG"/>
        </w:rPr>
        <w:t xml:space="preserve"> 3</w:t>
      </w:r>
      <w:r w:rsidR="002A57FE" w:rsidRPr="00763075">
        <w:rPr>
          <w:sz w:val="22"/>
          <w:szCs w:val="22"/>
          <w:lang w:val="bg-BG"/>
        </w:rPr>
        <w:t>,</w:t>
      </w:r>
      <w:r w:rsidRPr="00763075">
        <w:rPr>
          <w:sz w:val="22"/>
          <w:szCs w:val="22"/>
          <w:lang w:val="bg-BG"/>
        </w:rPr>
        <w:t>7 години), след перорално прилагане на единична</w:t>
      </w:r>
      <w:r w:rsidR="00810FF1" w:rsidRPr="00170DBA">
        <w:rPr>
          <w:sz w:val="22"/>
          <w:szCs w:val="22"/>
          <w:lang w:val="bg-BG"/>
        </w:rPr>
        <w:t xml:space="preserve"> </w:t>
      </w:r>
      <w:r w:rsidRPr="00170DBA">
        <w:rPr>
          <w:sz w:val="22"/>
          <w:szCs w:val="22"/>
          <w:lang w:val="bg-BG"/>
        </w:rPr>
        <w:t>доза от 0</w:t>
      </w:r>
      <w:r w:rsidR="002A57FE" w:rsidRPr="00274909">
        <w:rPr>
          <w:sz w:val="22"/>
          <w:szCs w:val="22"/>
          <w:lang w:val="bg-BG"/>
        </w:rPr>
        <w:t>,</w:t>
      </w:r>
      <w:r w:rsidR="009A2C02" w:rsidRPr="00274909">
        <w:rPr>
          <w:sz w:val="22"/>
          <w:szCs w:val="22"/>
          <w:lang w:val="bg-BG"/>
        </w:rPr>
        <w:t>7</w:t>
      </w:r>
      <w:r w:rsidR="009A2C02" w:rsidRPr="00290B20">
        <w:rPr>
          <w:sz w:val="22"/>
          <w:szCs w:val="22"/>
          <w:lang w:val="bg-BG"/>
        </w:rPr>
        <w:t> </w:t>
      </w:r>
      <w:r w:rsidRPr="00290B20">
        <w:rPr>
          <w:sz w:val="22"/>
          <w:szCs w:val="22"/>
          <w:lang w:val="bg-BG"/>
        </w:rPr>
        <w:t>mg/kg. Времето на полу</w:t>
      </w:r>
      <w:r w:rsidR="00EA09B6" w:rsidRPr="00290B20">
        <w:rPr>
          <w:sz w:val="22"/>
          <w:szCs w:val="22"/>
          <w:lang w:val="bg-BG"/>
        </w:rPr>
        <w:t>живот</w:t>
      </w:r>
      <w:r w:rsidRPr="00290B20">
        <w:rPr>
          <w:sz w:val="22"/>
          <w:szCs w:val="22"/>
          <w:lang w:val="bg-BG"/>
        </w:rPr>
        <w:t xml:space="preserve"> </w:t>
      </w:r>
      <w:r w:rsidR="00AD05FA" w:rsidRPr="00290B20">
        <w:rPr>
          <w:sz w:val="22"/>
          <w:szCs w:val="22"/>
          <w:lang w:val="bg-BG"/>
        </w:rPr>
        <w:t xml:space="preserve">на хидроксизин </w:t>
      </w:r>
      <w:r w:rsidRPr="00290B20">
        <w:rPr>
          <w:sz w:val="22"/>
          <w:szCs w:val="22"/>
          <w:lang w:val="bg-BG"/>
        </w:rPr>
        <w:t xml:space="preserve">е било удължено до 29 часа, а </w:t>
      </w:r>
      <w:r w:rsidR="009B3585" w:rsidRPr="00763075">
        <w:rPr>
          <w:sz w:val="22"/>
          <w:szCs w:val="22"/>
          <w:lang w:val="bg-BG"/>
        </w:rPr>
        <w:t xml:space="preserve">привидния </w:t>
      </w:r>
      <w:r w:rsidRPr="00763075">
        <w:rPr>
          <w:sz w:val="22"/>
          <w:szCs w:val="22"/>
          <w:lang w:val="bg-BG"/>
        </w:rPr>
        <w:t>обем на разпределение е нараснал до 22</w:t>
      </w:r>
      <w:r w:rsidR="002A57FE" w:rsidRPr="00763075">
        <w:rPr>
          <w:sz w:val="22"/>
          <w:szCs w:val="22"/>
          <w:lang w:val="bg-BG"/>
        </w:rPr>
        <w:t>,</w:t>
      </w:r>
      <w:r w:rsidR="009A2C02" w:rsidRPr="00763075">
        <w:rPr>
          <w:sz w:val="22"/>
          <w:szCs w:val="22"/>
          <w:lang w:val="bg-BG"/>
        </w:rPr>
        <w:t>5 </w:t>
      </w:r>
      <w:r w:rsidRPr="00763075">
        <w:rPr>
          <w:sz w:val="22"/>
          <w:szCs w:val="22"/>
          <w:lang w:val="bg-BG"/>
        </w:rPr>
        <w:t>l/kg. Препоръчва се намаляване на дневната</w:t>
      </w:r>
      <w:r w:rsidR="00810FF1" w:rsidRPr="00763075">
        <w:rPr>
          <w:sz w:val="22"/>
          <w:szCs w:val="22"/>
          <w:lang w:val="bg-BG"/>
        </w:rPr>
        <w:t xml:space="preserve"> </w:t>
      </w:r>
      <w:r w:rsidRPr="00763075">
        <w:rPr>
          <w:sz w:val="22"/>
          <w:szCs w:val="22"/>
          <w:lang w:val="bg-BG"/>
        </w:rPr>
        <w:t xml:space="preserve">доза на хидроксизин при пациенти в </w:t>
      </w:r>
      <w:r w:rsidR="00C676E2" w:rsidRPr="00763075">
        <w:rPr>
          <w:sz w:val="22"/>
          <w:szCs w:val="22"/>
          <w:lang w:val="bg-BG"/>
        </w:rPr>
        <w:t>старческа възраст</w:t>
      </w:r>
      <w:r w:rsidRPr="00763075">
        <w:rPr>
          <w:sz w:val="22"/>
          <w:szCs w:val="22"/>
          <w:lang w:val="bg-BG"/>
        </w:rPr>
        <w:t xml:space="preserve"> (</w:t>
      </w:r>
      <w:r w:rsidR="006F55F3" w:rsidRPr="00763075">
        <w:rPr>
          <w:sz w:val="22"/>
          <w:szCs w:val="22"/>
          <w:lang w:val="bg-BG"/>
        </w:rPr>
        <w:t>вж. точка</w:t>
      </w:r>
      <w:r w:rsidRPr="00763075">
        <w:rPr>
          <w:sz w:val="22"/>
          <w:szCs w:val="22"/>
          <w:lang w:val="bg-BG"/>
        </w:rPr>
        <w:t xml:space="preserve"> 4.2).</w:t>
      </w:r>
    </w:p>
    <w:p w14:paraId="66569D5C" w14:textId="77777777" w:rsidR="006A14EC" w:rsidRPr="00763075" w:rsidRDefault="006A14EC" w:rsidP="00992D86">
      <w:pPr>
        <w:tabs>
          <w:tab w:val="num" w:pos="426"/>
        </w:tabs>
        <w:jc w:val="both"/>
        <w:rPr>
          <w:sz w:val="22"/>
          <w:szCs w:val="22"/>
          <w:lang w:val="bg-BG"/>
        </w:rPr>
      </w:pPr>
    </w:p>
    <w:p w14:paraId="23DFC271" w14:textId="77777777" w:rsidR="008A0E70" w:rsidRPr="00763075" w:rsidRDefault="00724D7A" w:rsidP="00790316">
      <w:pPr>
        <w:autoSpaceDE w:val="0"/>
        <w:autoSpaceDN w:val="0"/>
        <w:adjustRightInd w:val="0"/>
        <w:rPr>
          <w:i/>
          <w:sz w:val="22"/>
          <w:szCs w:val="22"/>
          <w:lang w:val="bg-BG"/>
        </w:rPr>
      </w:pPr>
      <w:r w:rsidRPr="00763075">
        <w:rPr>
          <w:i/>
          <w:sz w:val="22"/>
          <w:szCs w:val="22"/>
          <w:lang w:val="bg-BG"/>
        </w:rPr>
        <w:t>Педиатрична популация</w:t>
      </w:r>
      <w:r w:rsidRPr="00763075" w:rsidDel="00724D7A">
        <w:rPr>
          <w:i/>
          <w:sz w:val="22"/>
          <w:szCs w:val="22"/>
          <w:lang w:val="bg-BG"/>
        </w:rPr>
        <w:t xml:space="preserve"> </w:t>
      </w:r>
    </w:p>
    <w:p w14:paraId="5A3331BB" w14:textId="26C0A7DF" w:rsidR="006A14EC" w:rsidRPr="00763075" w:rsidRDefault="006A14EC" w:rsidP="00992D86">
      <w:pPr>
        <w:tabs>
          <w:tab w:val="num" w:pos="426"/>
        </w:tabs>
        <w:autoSpaceDE w:val="0"/>
        <w:autoSpaceDN w:val="0"/>
        <w:adjustRightInd w:val="0"/>
        <w:rPr>
          <w:sz w:val="22"/>
          <w:szCs w:val="22"/>
          <w:lang w:val="bg-BG"/>
        </w:rPr>
      </w:pPr>
      <w:r w:rsidRPr="00763075">
        <w:rPr>
          <w:sz w:val="22"/>
          <w:szCs w:val="22"/>
          <w:lang w:val="bg-BG"/>
        </w:rPr>
        <w:t>Фармакокинетиката на хидроксизин е оценена при 12 деца (6</w:t>
      </w:r>
      <w:r w:rsidR="002A57FE" w:rsidRPr="00763075">
        <w:rPr>
          <w:sz w:val="22"/>
          <w:szCs w:val="22"/>
          <w:lang w:val="bg-BG"/>
        </w:rPr>
        <w:t>,</w:t>
      </w:r>
      <w:r w:rsidRPr="00763075">
        <w:rPr>
          <w:sz w:val="22"/>
          <w:szCs w:val="22"/>
          <w:lang w:val="bg-BG"/>
        </w:rPr>
        <w:t xml:space="preserve">1 </w:t>
      </w:r>
      <w:r w:rsidRPr="00763075">
        <w:rPr>
          <w:sz w:val="22"/>
          <w:szCs w:val="22"/>
          <w:lang w:val="bg-BG"/>
        </w:rPr>
        <w:sym w:font="Symbol" w:char="F0B1"/>
      </w:r>
      <w:r w:rsidRPr="00763075">
        <w:rPr>
          <w:sz w:val="22"/>
          <w:szCs w:val="22"/>
          <w:lang w:val="bg-BG"/>
        </w:rPr>
        <w:t xml:space="preserve"> 4</w:t>
      </w:r>
      <w:r w:rsidR="002A57FE" w:rsidRPr="00763075">
        <w:rPr>
          <w:sz w:val="22"/>
          <w:szCs w:val="22"/>
          <w:lang w:val="bg-BG"/>
        </w:rPr>
        <w:t>,</w:t>
      </w:r>
      <w:r w:rsidRPr="00763075">
        <w:rPr>
          <w:sz w:val="22"/>
          <w:szCs w:val="22"/>
          <w:lang w:val="bg-BG"/>
        </w:rPr>
        <w:t>6 години и 22</w:t>
      </w:r>
      <w:r w:rsidR="002A57FE" w:rsidRPr="00170DBA">
        <w:rPr>
          <w:sz w:val="22"/>
          <w:szCs w:val="22"/>
          <w:lang w:val="bg-BG"/>
        </w:rPr>
        <w:t>,</w:t>
      </w:r>
      <w:r w:rsidRPr="00170DBA">
        <w:rPr>
          <w:sz w:val="22"/>
          <w:szCs w:val="22"/>
          <w:lang w:val="bg-BG"/>
        </w:rPr>
        <w:t xml:space="preserve">0 </w:t>
      </w:r>
      <w:r w:rsidRPr="00763075">
        <w:rPr>
          <w:sz w:val="22"/>
          <w:szCs w:val="22"/>
          <w:lang w:val="bg-BG"/>
        </w:rPr>
        <w:sym w:font="Symbol" w:char="F0B1"/>
      </w:r>
      <w:r w:rsidRPr="00763075">
        <w:rPr>
          <w:sz w:val="22"/>
          <w:szCs w:val="22"/>
          <w:lang w:val="bg-BG"/>
        </w:rPr>
        <w:t xml:space="preserve"> 12</w:t>
      </w:r>
      <w:r w:rsidR="002A57FE" w:rsidRPr="00763075">
        <w:rPr>
          <w:sz w:val="22"/>
          <w:szCs w:val="22"/>
          <w:lang w:val="bg-BG"/>
        </w:rPr>
        <w:t>,</w:t>
      </w:r>
      <w:r w:rsidR="009A2C02" w:rsidRPr="00170DBA">
        <w:rPr>
          <w:sz w:val="22"/>
          <w:szCs w:val="22"/>
          <w:lang w:val="bg-BG"/>
        </w:rPr>
        <w:t>0 </w:t>
      </w:r>
      <w:r w:rsidR="006F55F3" w:rsidRPr="00274909">
        <w:rPr>
          <w:sz w:val="22"/>
          <w:szCs w:val="22"/>
          <w:lang w:val="bg-BG"/>
        </w:rPr>
        <w:t>kg</w:t>
      </w:r>
      <w:r w:rsidRPr="00274909">
        <w:rPr>
          <w:sz w:val="22"/>
          <w:szCs w:val="22"/>
          <w:lang w:val="bg-BG"/>
        </w:rPr>
        <w:t>),</w:t>
      </w:r>
      <w:r w:rsidR="00810FF1" w:rsidRPr="00290B20">
        <w:rPr>
          <w:sz w:val="22"/>
          <w:szCs w:val="22"/>
          <w:lang w:val="bg-BG"/>
        </w:rPr>
        <w:t xml:space="preserve"> </w:t>
      </w:r>
      <w:r w:rsidRPr="00290B20">
        <w:rPr>
          <w:sz w:val="22"/>
          <w:szCs w:val="22"/>
          <w:lang w:val="bg-BG"/>
        </w:rPr>
        <w:t>след перорално прилагане на единична</w:t>
      </w:r>
      <w:r w:rsidR="00810FF1" w:rsidRPr="00290B20">
        <w:rPr>
          <w:sz w:val="22"/>
          <w:szCs w:val="22"/>
          <w:lang w:val="bg-BG"/>
        </w:rPr>
        <w:t xml:space="preserve"> </w:t>
      </w:r>
      <w:r w:rsidRPr="00290B20">
        <w:rPr>
          <w:sz w:val="22"/>
          <w:szCs w:val="22"/>
          <w:lang w:val="bg-BG"/>
        </w:rPr>
        <w:t>доза от 0</w:t>
      </w:r>
      <w:r w:rsidR="002A57FE" w:rsidRPr="00290B20">
        <w:rPr>
          <w:sz w:val="22"/>
          <w:szCs w:val="22"/>
          <w:lang w:val="bg-BG"/>
        </w:rPr>
        <w:t>,</w:t>
      </w:r>
      <w:r w:rsidR="009A2C02" w:rsidRPr="00290B20">
        <w:rPr>
          <w:sz w:val="22"/>
          <w:szCs w:val="22"/>
          <w:lang w:val="bg-BG"/>
        </w:rPr>
        <w:t>7 </w:t>
      </w:r>
      <w:r w:rsidRPr="00290B20">
        <w:rPr>
          <w:sz w:val="22"/>
          <w:szCs w:val="22"/>
          <w:lang w:val="bg-BG"/>
        </w:rPr>
        <w:t xml:space="preserve">mg/kg. </w:t>
      </w:r>
      <w:r w:rsidR="009B3585" w:rsidRPr="00290B20">
        <w:rPr>
          <w:sz w:val="22"/>
          <w:szCs w:val="22"/>
          <w:lang w:val="bg-BG"/>
        </w:rPr>
        <w:t xml:space="preserve">Привидният </w:t>
      </w:r>
      <w:r w:rsidR="008A0E70" w:rsidRPr="00290B20">
        <w:rPr>
          <w:sz w:val="22"/>
          <w:szCs w:val="22"/>
          <w:lang w:val="bg-BG"/>
        </w:rPr>
        <w:t>плазмен</w:t>
      </w:r>
      <w:r w:rsidRPr="00763075">
        <w:rPr>
          <w:sz w:val="22"/>
          <w:szCs w:val="22"/>
          <w:lang w:val="bg-BG"/>
        </w:rPr>
        <w:t xml:space="preserve"> клирънс е приблизително 2</w:t>
      </w:r>
      <w:r w:rsidR="002A57FE" w:rsidRPr="00763075">
        <w:rPr>
          <w:sz w:val="22"/>
          <w:szCs w:val="22"/>
          <w:lang w:val="bg-BG"/>
        </w:rPr>
        <w:t>,</w:t>
      </w:r>
      <w:r w:rsidRPr="00763075">
        <w:rPr>
          <w:sz w:val="22"/>
          <w:szCs w:val="22"/>
          <w:lang w:val="bg-BG"/>
        </w:rPr>
        <w:t>5 пъти от този на възрастните. Времето на полу</w:t>
      </w:r>
      <w:r w:rsidR="00EA09B6" w:rsidRPr="00763075">
        <w:rPr>
          <w:sz w:val="22"/>
          <w:szCs w:val="22"/>
          <w:lang w:val="bg-BG"/>
        </w:rPr>
        <w:t>живот</w:t>
      </w:r>
      <w:r w:rsidRPr="00763075">
        <w:rPr>
          <w:sz w:val="22"/>
          <w:szCs w:val="22"/>
          <w:lang w:val="bg-BG"/>
        </w:rPr>
        <w:t xml:space="preserve"> е по-кратко от това при възрастните. То е около 4 часа </w:t>
      </w:r>
      <w:r w:rsidR="002A57FE" w:rsidRPr="00763075">
        <w:rPr>
          <w:sz w:val="22"/>
          <w:szCs w:val="22"/>
          <w:lang w:val="bg-BG"/>
        </w:rPr>
        <w:t>при</w:t>
      </w:r>
      <w:r w:rsidRPr="00763075">
        <w:rPr>
          <w:sz w:val="22"/>
          <w:szCs w:val="22"/>
          <w:lang w:val="bg-BG"/>
        </w:rPr>
        <w:t xml:space="preserve"> пациенти</w:t>
      </w:r>
      <w:r w:rsidR="002A57FE" w:rsidRPr="00763075">
        <w:rPr>
          <w:sz w:val="22"/>
          <w:szCs w:val="22"/>
          <w:lang w:val="bg-BG"/>
        </w:rPr>
        <w:t xml:space="preserve">те на една година </w:t>
      </w:r>
      <w:r w:rsidRPr="00763075">
        <w:rPr>
          <w:sz w:val="22"/>
          <w:szCs w:val="22"/>
          <w:lang w:val="bg-BG"/>
        </w:rPr>
        <w:t xml:space="preserve">и 11 часа </w:t>
      </w:r>
      <w:r w:rsidR="002A57FE" w:rsidRPr="00763075">
        <w:rPr>
          <w:sz w:val="22"/>
          <w:szCs w:val="22"/>
          <w:lang w:val="bg-BG"/>
        </w:rPr>
        <w:t xml:space="preserve">при </w:t>
      </w:r>
      <w:r w:rsidRPr="00763075">
        <w:rPr>
          <w:sz w:val="22"/>
          <w:szCs w:val="22"/>
          <w:lang w:val="bg-BG"/>
        </w:rPr>
        <w:t xml:space="preserve">пациентите на </w:t>
      </w:r>
      <w:r w:rsidR="009A2C02" w:rsidRPr="00763075">
        <w:rPr>
          <w:sz w:val="22"/>
          <w:szCs w:val="22"/>
          <w:lang w:val="bg-BG"/>
        </w:rPr>
        <w:t>14-</w:t>
      </w:r>
      <w:r w:rsidRPr="00763075">
        <w:rPr>
          <w:sz w:val="22"/>
          <w:szCs w:val="22"/>
          <w:lang w:val="bg-BG"/>
        </w:rPr>
        <w:t xml:space="preserve">годишна възраст. Необходимо е </w:t>
      </w:r>
      <w:r w:rsidR="002A57FE" w:rsidRPr="00763075">
        <w:rPr>
          <w:sz w:val="22"/>
          <w:szCs w:val="22"/>
          <w:lang w:val="bg-BG"/>
        </w:rPr>
        <w:t>адаптиране</w:t>
      </w:r>
      <w:r w:rsidRPr="00763075">
        <w:rPr>
          <w:sz w:val="22"/>
          <w:szCs w:val="22"/>
          <w:lang w:val="bg-BG"/>
        </w:rPr>
        <w:t xml:space="preserve"> на дозата при деца (</w:t>
      </w:r>
      <w:r w:rsidR="006F55F3" w:rsidRPr="00763075">
        <w:rPr>
          <w:sz w:val="22"/>
          <w:szCs w:val="22"/>
          <w:lang w:val="bg-BG"/>
        </w:rPr>
        <w:t xml:space="preserve">вж. точка </w:t>
      </w:r>
      <w:r w:rsidRPr="00763075">
        <w:rPr>
          <w:sz w:val="22"/>
          <w:szCs w:val="22"/>
          <w:lang w:val="bg-BG"/>
        </w:rPr>
        <w:t>4.2).</w:t>
      </w:r>
    </w:p>
    <w:p w14:paraId="7907B41D" w14:textId="77777777" w:rsidR="006A14EC" w:rsidRPr="00763075" w:rsidRDefault="006A14EC" w:rsidP="00992D86">
      <w:pPr>
        <w:tabs>
          <w:tab w:val="num" w:pos="426"/>
        </w:tabs>
        <w:jc w:val="both"/>
        <w:rPr>
          <w:sz w:val="22"/>
          <w:szCs w:val="22"/>
          <w:lang w:val="bg-BG"/>
        </w:rPr>
      </w:pPr>
    </w:p>
    <w:p w14:paraId="3795ACEE" w14:textId="77777777" w:rsidR="006A14EC" w:rsidRPr="008E6BF5" w:rsidRDefault="006A14EC" w:rsidP="00790316">
      <w:pPr>
        <w:jc w:val="both"/>
        <w:rPr>
          <w:i/>
          <w:sz w:val="22"/>
          <w:szCs w:val="22"/>
          <w:lang w:val="bg-BG"/>
        </w:rPr>
      </w:pPr>
      <w:r w:rsidRPr="008E6BF5">
        <w:rPr>
          <w:i/>
          <w:sz w:val="22"/>
          <w:szCs w:val="22"/>
          <w:lang w:val="bg-BG"/>
        </w:rPr>
        <w:t>Чернодробно увреждане</w:t>
      </w:r>
    </w:p>
    <w:p w14:paraId="0417EBA0" w14:textId="47F4CEF5" w:rsidR="006A14EC" w:rsidRPr="00763075" w:rsidRDefault="006A14EC" w:rsidP="00992D86">
      <w:pPr>
        <w:pStyle w:val="BodyText3"/>
        <w:tabs>
          <w:tab w:val="num" w:pos="426"/>
        </w:tabs>
        <w:ind w:right="0"/>
        <w:rPr>
          <w:rFonts w:ascii="Times New Roman" w:hAnsi="Times New Roman"/>
          <w:sz w:val="22"/>
          <w:szCs w:val="22"/>
        </w:rPr>
      </w:pPr>
      <w:r w:rsidRPr="00763075">
        <w:rPr>
          <w:rFonts w:ascii="Times New Roman" w:hAnsi="Times New Roman"/>
          <w:sz w:val="22"/>
          <w:szCs w:val="22"/>
        </w:rPr>
        <w:t xml:space="preserve">При </w:t>
      </w:r>
      <w:r w:rsidR="00E03FA0" w:rsidRPr="00763075">
        <w:rPr>
          <w:rFonts w:ascii="Times New Roman" w:hAnsi="Times New Roman"/>
          <w:sz w:val="22"/>
          <w:szCs w:val="22"/>
        </w:rPr>
        <w:t xml:space="preserve">индивиди </w:t>
      </w:r>
      <w:r w:rsidRPr="00763075">
        <w:rPr>
          <w:rFonts w:ascii="Times New Roman" w:hAnsi="Times New Roman"/>
          <w:sz w:val="22"/>
          <w:szCs w:val="22"/>
        </w:rPr>
        <w:t xml:space="preserve">с </w:t>
      </w:r>
      <w:r w:rsidR="002A57FE" w:rsidRPr="00763075">
        <w:rPr>
          <w:rFonts w:ascii="Times New Roman" w:hAnsi="Times New Roman"/>
          <w:sz w:val="22"/>
          <w:szCs w:val="22"/>
        </w:rPr>
        <w:t xml:space="preserve">нарушена чернодробна </w:t>
      </w:r>
      <w:r w:rsidRPr="00763075">
        <w:rPr>
          <w:rFonts w:ascii="Times New Roman" w:hAnsi="Times New Roman"/>
          <w:sz w:val="22"/>
          <w:szCs w:val="22"/>
        </w:rPr>
        <w:t>функция</w:t>
      </w:r>
      <w:r w:rsidR="008A0E70" w:rsidRPr="00763075">
        <w:rPr>
          <w:rFonts w:ascii="Times New Roman" w:hAnsi="Times New Roman"/>
          <w:sz w:val="22"/>
          <w:szCs w:val="22"/>
        </w:rPr>
        <w:t xml:space="preserve"> в резултат на</w:t>
      </w:r>
      <w:r w:rsidR="004D0E1C" w:rsidRPr="00763075">
        <w:rPr>
          <w:rFonts w:ascii="Times New Roman" w:hAnsi="Times New Roman"/>
          <w:sz w:val="22"/>
          <w:szCs w:val="22"/>
        </w:rPr>
        <w:t xml:space="preserve"> </w:t>
      </w:r>
      <w:r w:rsidRPr="00763075">
        <w:rPr>
          <w:rFonts w:ascii="Times New Roman" w:hAnsi="Times New Roman"/>
          <w:sz w:val="22"/>
          <w:szCs w:val="22"/>
        </w:rPr>
        <w:t xml:space="preserve">първична </w:t>
      </w:r>
      <w:r w:rsidR="008A0E70" w:rsidRPr="00763075">
        <w:rPr>
          <w:rFonts w:ascii="Times New Roman" w:hAnsi="Times New Roman"/>
          <w:sz w:val="22"/>
          <w:szCs w:val="22"/>
        </w:rPr>
        <w:t>билиарна</w:t>
      </w:r>
      <w:r w:rsidRPr="00763075">
        <w:rPr>
          <w:rFonts w:ascii="Times New Roman" w:hAnsi="Times New Roman"/>
          <w:sz w:val="22"/>
          <w:szCs w:val="22"/>
        </w:rPr>
        <w:t xml:space="preserve"> цироза, общия </w:t>
      </w:r>
      <w:r w:rsidR="002A57FE" w:rsidRPr="00763075">
        <w:rPr>
          <w:rFonts w:ascii="Times New Roman" w:hAnsi="Times New Roman"/>
          <w:sz w:val="22"/>
          <w:szCs w:val="22"/>
        </w:rPr>
        <w:t xml:space="preserve">телесен </w:t>
      </w:r>
      <w:r w:rsidRPr="00763075">
        <w:rPr>
          <w:rFonts w:ascii="Times New Roman" w:hAnsi="Times New Roman"/>
          <w:sz w:val="22"/>
          <w:szCs w:val="22"/>
        </w:rPr>
        <w:t>клиръ</w:t>
      </w:r>
      <w:r w:rsidR="002A57FE" w:rsidRPr="00763075">
        <w:rPr>
          <w:rFonts w:ascii="Times New Roman" w:hAnsi="Times New Roman"/>
          <w:sz w:val="22"/>
          <w:szCs w:val="22"/>
        </w:rPr>
        <w:t>нс е приблизително 6</w:t>
      </w:r>
      <w:r w:rsidR="001635AD" w:rsidRPr="00763075">
        <w:rPr>
          <w:rFonts w:ascii="Times New Roman" w:hAnsi="Times New Roman"/>
          <w:sz w:val="22"/>
          <w:szCs w:val="22"/>
        </w:rPr>
        <w:t>6</w:t>
      </w:r>
      <w:r w:rsidR="002A57FE" w:rsidRPr="00763075">
        <w:rPr>
          <w:rFonts w:ascii="Times New Roman" w:hAnsi="Times New Roman"/>
          <w:sz w:val="22"/>
          <w:szCs w:val="22"/>
        </w:rPr>
        <w:t xml:space="preserve">% от този на </w:t>
      </w:r>
      <w:r w:rsidR="005F35F9" w:rsidRPr="00763075">
        <w:rPr>
          <w:rFonts w:ascii="Times New Roman" w:hAnsi="Times New Roman"/>
          <w:sz w:val="22"/>
          <w:szCs w:val="22"/>
        </w:rPr>
        <w:t>нормалните индивиди</w:t>
      </w:r>
      <w:r w:rsidR="009A2C02" w:rsidRPr="00763075">
        <w:rPr>
          <w:rFonts w:ascii="Times New Roman" w:hAnsi="Times New Roman"/>
          <w:sz w:val="22"/>
          <w:szCs w:val="22"/>
        </w:rPr>
        <w:t xml:space="preserve">. </w:t>
      </w:r>
      <w:r w:rsidRPr="00763075">
        <w:rPr>
          <w:rFonts w:ascii="Times New Roman" w:hAnsi="Times New Roman"/>
          <w:sz w:val="22"/>
          <w:szCs w:val="22"/>
        </w:rPr>
        <w:t>Времето на полу</w:t>
      </w:r>
      <w:r w:rsidR="00EA09B6" w:rsidRPr="00763075">
        <w:rPr>
          <w:rFonts w:ascii="Times New Roman" w:hAnsi="Times New Roman"/>
          <w:sz w:val="22"/>
          <w:szCs w:val="22"/>
        </w:rPr>
        <w:t>живот</w:t>
      </w:r>
      <w:r w:rsidRPr="00763075">
        <w:rPr>
          <w:rFonts w:ascii="Times New Roman" w:hAnsi="Times New Roman"/>
          <w:sz w:val="22"/>
          <w:szCs w:val="22"/>
        </w:rPr>
        <w:t xml:space="preserve"> е увеличено до 37 часа, а серумните концентрации на карбоксилния метаболит, цетиризин са по-високи от тези при млади пациенти с нормална чернодробна функция. Дневната доза или честотата на прилагане трябва да бъдат </w:t>
      </w:r>
      <w:r w:rsidR="009B3585" w:rsidRPr="00763075">
        <w:rPr>
          <w:rFonts w:ascii="Times New Roman" w:hAnsi="Times New Roman"/>
          <w:sz w:val="22"/>
          <w:szCs w:val="22"/>
        </w:rPr>
        <w:t>намалени</w:t>
      </w:r>
      <w:r w:rsidRPr="00763075">
        <w:rPr>
          <w:rFonts w:ascii="Times New Roman" w:hAnsi="Times New Roman"/>
          <w:sz w:val="22"/>
          <w:szCs w:val="22"/>
        </w:rPr>
        <w:t xml:space="preserve"> при пациенти с увредена чернодробна функция (</w:t>
      </w:r>
      <w:r w:rsidR="006F55F3" w:rsidRPr="00763075">
        <w:rPr>
          <w:rFonts w:ascii="Times New Roman" w:hAnsi="Times New Roman"/>
          <w:sz w:val="22"/>
          <w:szCs w:val="22"/>
        </w:rPr>
        <w:t>вж. точка</w:t>
      </w:r>
      <w:r w:rsidRPr="00763075">
        <w:rPr>
          <w:rFonts w:ascii="Times New Roman" w:hAnsi="Times New Roman"/>
          <w:sz w:val="22"/>
          <w:szCs w:val="22"/>
        </w:rPr>
        <w:t xml:space="preserve"> 4.2).</w:t>
      </w:r>
    </w:p>
    <w:p w14:paraId="24B6FF57" w14:textId="77777777" w:rsidR="006A14EC" w:rsidRPr="00763075" w:rsidRDefault="006A14EC" w:rsidP="00992D86">
      <w:pPr>
        <w:pStyle w:val="BodyText3"/>
        <w:tabs>
          <w:tab w:val="num" w:pos="426"/>
        </w:tabs>
        <w:ind w:right="0"/>
        <w:rPr>
          <w:rFonts w:ascii="Times New Roman" w:hAnsi="Times New Roman"/>
          <w:sz w:val="22"/>
          <w:szCs w:val="22"/>
        </w:rPr>
      </w:pPr>
    </w:p>
    <w:p w14:paraId="1B6E7883" w14:textId="77777777" w:rsidR="006A14EC" w:rsidRPr="008E6BF5" w:rsidRDefault="006A14EC" w:rsidP="00790316">
      <w:pPr>
        <w:pStyle w:val="BodyText3"/>
        <w:keepNext/>
        <w:ind w:right="0"/>
        <w:rPr>
          <w:rFonts w:ascii="Times New Roman" w:hAnsi="Times New Roman"/>
          <w:i/>
          <w:sz w:val="22"/>
          <w:szCs w:val="22"/>
        </w:rPr>
      </w:pPr>
      <w:r w:rsidRPr="008E6BF5">
        <w:rPr>
          <w:rFonts w:ascii="Times New Roman" w:hAnsi="Times New Roman"/>
          <w:i/>
          <w:sz w:val="22"/>
          <w:szCs w:val="22"/>
        </w:rPr>
        <w:lastRenderedPageBreak/>
        <w:t>Бъбречно увреждане</w:t>
      </w:r>
    </w:p>
    <w:p w14:paraId="7811ED23" w14:textId="5A28B1D8" w:rsidR="006A14EC" w:rsidRPr="00763075" w:rsidRDefault="006A14EC" w:rsidP="00790316">
      <w:pPr>
        <w:pStyle w:val="BodyText3"/>
        <w:keepNext/>
        <w:tabs>
          <w:tab w:val="num" w:pos="426"/>
        </w:tabs>
        <w:ind w:right="0"/>
        <w:rPr>
          <w:rFonts w:ascii="Times New Roman" w:hAnsi="Times New Roman"/>
          <w:sz w:val="22"/>
          <w:szCs w:val="22"/>
        </w:rPr>
      </w:pPr>
      <w:r w:rsidRPr="00763075">
        <w:rPr>
          <w:rFonts w:ascii="Times New Roman" w:hAnsi="Times New Roman"/>
          <w:sz w:val="22"/>
          <w:szCs w:val="22"/>
        </w:rPr>
        <w:t>Фарма</w:t>
      </w:r>
      <w:r w:rsidR="009B3585" w:rsidRPr="00763075">
        <w:rPr>
          <w:rFonts w:ascii="Times New Roman" w:hAnsi="Times New Roman"/>
          <w:sz w:val="22"/>
          <w:szCs w:val="22"/>
        </w:rPr>
        <w:t>ко</w:t>
      </w:r>
      <w:r w:rsidRPr="00763075">
        <w:rPr>
          <w:rFonts w:ascii="Times New Roman" w:hAnsi="Times New Roman"/>
          <w:sz w:val="22"/>
          <w:szCs w:val="22"/>
        </w:rPr>
        <w:t xml:space="preserve">кинетиката на хидроксизин е изследвана при 8 пациента с тежко бъбречно увреждане (креатининов клирънс: 24 </w:t>
      </w:r>
      <w:r w:rsidRPr="00763075">
        <w:rPr>
          <w:rFonts w:ascii="Times New Roman" w:hAnsi="Times New Roman"/>
          <w:sz w:val="22"/>
          <w:szCs w:val="22"/>
        </w:rPr>
        <w:sym w:font="Symbol" w:char="F0B1"/>
      </w:r>
      <w:r w:rsidRPr="00763075">
        <w:rPr>
          <w:rFonts w:ascii="Times New Roman" w:hAnsi="Times New Roman"/>
          <w:sz w:val="22"/>
          <w:szCs w:val="22"/>
        </w:rPr>
        <w:t xml:space="preserve"> 7 mil/min). </w:t>
      </w:r>
      <w:r w:rsidR="00D20C3E" w:rsidRPr="00170DBA">
        <w:rPr>
          <w:rFonts w:ascii="Times New Roman" w:hAnsi="Times New Roman"/>
          <w:sz w:val="22"/>
          <w:szCs w:val="22"/>
        </w:rPr>
        <w:t>Степента на е</w:t>
      </w:r>
      <w:r w:rsidR="009B3585" w:rsidRPr="00170DBA">
        <w:rPr>
          <w:rFonts w:ascii="Times New Roman" w:hAnsi="Times New Roman"/>
          <w:sz w:val="22"/>
          <w:szCs w:val="22"/>
        </w:rPr>
        <w:t>кспозиция</w:t>
      </w:r>
      <w:r w:rsidRPr="00274909">
        <w:rPr>
          <w:rFonts w:ascii="Times New Roman" w:hAnsi="Times New Roman"/>
          <w:sz w:val="22"/>
          <w:szCs w:val="22"/>
        </w:rPr>
        <w:t xml:space="preserve"> (AUC) </w:t>
      </w:r>
      <w:r w:rsidR="00E03FA0" w:rsidRPr="00274909">
        <w:rPr>
          <w:rFonts w:ascii="Times New Roman" w:hAnsi="Times New Roman"/>
          <w:sz w:val="22"/>
          <w:szCs w:val="22"/>
        </w:rPr>
        <w:t>на</w:t>
      </w:r>
      <w:r w:rsidR="00E03FA0" w:rsidRPr="00290B20">
        <w:rPr>
          <w:rFonts w:ascii="Times New Roman" w:hAnsi="Times New Roman"/>
          <w:sz w:val="22"/>
          <w:szCs w:val="22"/>
        </w:rPr>
        <w:t xml:space="preserve"> </w:t>
      </w:r>
      <w:r w:rsidRPr="00290B20">
        <w:rPr>
          <w:rFonts w:ascii="Times New Roman" w:hAnsi="Times New Roman"/>
          <w:sz w:val="22"/>
          <w:szCs w:val="22"/>
        </w:rPr>
        <w:t>хидроксизин не се променя</w:t>
      </w:r>
      <w:r w:rsidR="00D20C3E" w:rsidRPr="00290B20">
        <w:rPr>
          <w:rFonts w:ascii="Times New Roman" w:hAnsi="Times New Roman"/>
          <w:sz w:val="22"/>
          <w:szCs w:val="22"/>
        </w:rPr>
        <w:t xml:space="preserve"> по съответния начин</w:t>
      </w:r>
      <w:r w:rsidRPr="00290B20">
        <w:rPr>
          <w:rFonts w:ascii="Times New Roman" w:hAnsi="Times New Roman"/>
          <w:sz w:val="22"/>
          <w:szCs w:val="22"/>
        </w:rPr>
        <w:t xml:space="preserve">, докато тази </w:t>
      </w:r>
      <w:r w:rsidR="00D20C3E" w:rsidRPr="00763075">
        <w:rPr>
          <w:rFonts w:ascii="Times New Roman" w:hAnsi="Times New Roman"/>
          <w:sz w:val="22"/>
          <w:szCs w:val="22"/>
        </w:rPr>
        <w:t>към</w:t>
      </w:r>
      <w:r w:rsidRPr="00763075">
        <w:rPr>
          <w:rFonts w:ascii="Times New Roman" w:hAnsi="Times New Roman"/>
          <w:sz w:val="22"/>
          <w:szCs w:val="22"/>
        </w:rPr>
        <w:t xml:space="preserve"> карбоксилния метаболит, цетиризин е увеличена. Този метаболит не се отделя ефективно чрез хемодиализа. С оглед избягване на значително кумулиране на метаболита цетиризин, след многократно прилагане на хидроксизин, дневната доза на хидроксизин при </w:t>
      </w:r>
      <w:r w:rsidR="00E03FA0" w:rsidRPr="00763075">
        <w:rPr>
          <w:rFonts w:ascii="Times New Roman" w:hAnsi="Times New Roman"/>
          <w:sz w:val="22"/>
          <w:szCs w:val="22"/>
        </w:rPr>
        <w:t xml:space="preserve">индивиди </w:t>
      </w:r>
      <w:r w:rsidRPr="00763075">
        <w:rPr>
          <w:rFonts w:ascii="Times New Roman" w:hAnsi="Times New Roman"/>
          <w:sz w:val="22"/>
          <w:szCs w:val="22"/>
        </w:rPr>
        <w:t>с нарушена бъбречна ф</w:t>
      </w:r>
      <w:r w:rsidR="001F4228" w:rsidRPr="00763075">
        <w:rPr>
          <w:rFonts w:ascii="Times New Roman" w:hAnsi="Times New Roman"/>
          <w:sz w:val="22"/>
          <w:szCs w:val="22"/>
        </w:rPr>
        <w:t>ункция, трябва да бъде намалена (вж. точка 4.2).</w:t>
      </w:r>
    </w:p>
    <w:p w14:paraId="62C356B7" w14:textId="7B66D5B6" w:rsidR="006A14EC" w:rsidRPr="00763075" w:rsidRDefault="006A14EC">
      <w:pPr>
        <w:jc w:val="both"/>
        <w:rPr>
          <w:sz w:val="22"/>
          <w:szCs w:val="22"/>
          <w:lang w:val="bg-BG"/>
        </w:rPr>
      </w:pPr>
    </w:p>
    <w:p w14:paraId="7AE2A62F" w14:textId="77777777" w:rsidR="006F55F3" w:rsidRPr="00763075" w:rsidRDefault="006F55F3" w:rsidP="00F04A21">
      <w:pPr>
        <w:keepNext/>
        <w:numPr>
          <w:ilvl w:val="1"/>
          <w:numId w:val="31"/>
        </w:numPr>
        <w:tabs>
          <w:tab w:val="clear" w:pos="570"/>
          <w:tab w:val="num" w:pos="426"/>
        </w:tabs>
        <w:ind w:left="0" w:firstLine="0"/>
        <w:jc w:val="both"/>
        <w:rPr>
          <w:b/>
          <w:sz w:val="22"/>
          <w:szCs w:val="22"/>
          <w:lang w:val="bg-BG"/>
        </w:rPr>
      </w:pPr>
      <w:r w:rsidRPr="00763075">
        <w:rPr>
          <w:b/>
          <w:sz w:val="22"/>
          <w:szCs w:val="22"/>
          <w:lang w:val="bg-BG"/>
        </w:rPr>
        <w:t>Предклинични данни за безопасност</w:t>
      </w:r>
    </w:p>
    <w:p w14:paraId="640E5501" w14:textId="77777777" w:rsidR="006A14EC" w:rsidRPr="00763075" w:rsidRDefault="006A14EC">
      <w:pPr>
        <w:keepNext/>
        <w:jc w:val="both"/>
        <w:rPr>
          <w:b/>
          <w:sz w:val="22"/>
          <w:szCs w:val="22"/>
          <w:lang w:val="bg-BG"/>
        </w:rPr>
      </w:pPr>
      <w:r w:rsidRPr="00763075">
        <w:rPr>
          <w:b/>
          <w:sz w:val="22"/>
          <w:szCs w:val="22"/>
          <w:lang w:val="bg-BG"/>
        </w:rPr>
        <w:t xml:space="preserve"> </w:t>
      </w:r>
    </w:p>
    <w:p w14:paraId="14DFF1D7" w14:textId="762A970B" w:rsidR="006A14EC" w:rsidRPr="00763075" w:rsidRDefault="009B3585">
      <w:pPr>
        <w:keepNext/>
        <w:jc w:val="both"/>
        <w:rPr>
          <w:sz w:val="22"/>
          <w:szCs w:val="22"/>
          <w:lang w:val="bg-BG"/>
        </w:rPr>
      </w:pPr>
      <w:r w:rsidRPr="00763075">
        <w:rPr>
          <w:sz w:val="22"/>
          <w:szCs w:val="22"/>
          <w:lang w:val="bg-BG"/>
        </w:rPr>
        <w:t>Фармакологичните данни за безопасност</w:t>
      </w:r>
      <w:r w:rsidRPr="00763075">
        <w:rPr>
          <w:b/>
          <w:sz w:val="22"/>
          <w:szCs w:val="22"/>
          <w:lang w:val="bg-BG"/>
        </w:rPr>
        <w:t>,</w:t>
      </w:r>
      <w:r w:rsidRPr="00763075">
        <w:rPr>
          <w:sz w:val="22"/>
          <w:szCs w:val="22"/>
          <w:lang w:val="bg-BG"/>
        </w:rPr>
        <w:t xml:space="preserve"> проучванията </w:t>
      </w:r>
      <w:r w:rsidR="006A14EC" w:rsidRPr="00763075">
        <w:rPr>
          <w:sz w:val="22"/>
          <w:szCs w:val="22"/>
          <w:lang w:val="bg-BG"/>
        </w:rPr>
        <w:t>върху острата, подостра и хронична токсичност не показ</w:t>
      </w:r>
      <w:r w:rsidRPr="00763075">
        <w:rPr>
          <w:sz w:val="22"/>
          <w:szCs w:val="22"/>
          <w:lang w:val="bg-BG"/>
        </w:rPr>
        <w:t>ват</w:t>
      </w:r>
      <w:r w:rsidR="006A14EC" w:rsidRPr="00763075">
        <w:rPr>
          <w:sz w:val="22"/>
          <w:szCs w:val="22"/>
          <w:lang w:val="bg-BG"/>
        </w:rPr>
        <w:t xml:space="preserve"> обезпокоителни </w:t>
      </w:r>
      <w:r w:rsidR="00D636C4" w:rsidRPr="00763075">
        <w:rPr>
          <w:sz w:val="22"/>
          <w:szCs w:val="22"/>
          <w:lang w:val="bg-BG"/>
        </w:rPr>
        <w:t xml:space="preserve">въпроси за безопасността </w:t>
      </w:r>
      <w:r w:rsidR="006A14EC" w:rsidRPr="00763075">
        <w:rPr>
          <w:sz w:val="22"/>
          <w:szCs w:val="22"/>
          <w:lang w:val="bg-BG"/>
        </w:rPr>
        <w:t xml:space="preserve">при гризачи, кучета и маймуни. </w:t>
      </w:r>
      <w:r w:rsidRPr="00763075">
        <w:rPr>
          <w:sz w:val="22"/>
          <w:szCs w:val="22"/>
          <w:lang w:val="bg-BG"/>
        </w:rPr>
        <w:t>Леталната доза</w:t>
      </w:r>
      <w:r w:rsidR="00D9500F" w:rsidRPr="00763075">
        <w:rPr>
          <w:sz w:val="22"/>
          <w:szCs w:val="22"/>
          <w:lang w:val="bg-BG"/>
        </w:rPr>
        <w:t xml:space="preserve"> 50</w:t>
      </w:r>
      <w:r w:rsidRPr="00763075">
        <w:rPr>
          <w:sz w:val="22"/>
          <w:szCs w:val="22"/>
          <w:lang w:val="bg-BG"/>
        </w:rPr>
        <w:t xml:space="preserve"> (</w:t>
      </w:r>
      <w:r w:rsidR="006A14EC" w:rsidRPr="00763075">
        <w:rPr>
          <w:sz w:val="22"/>
          <w:szCs w:val="22"/>
          <w:lang w:val="bg-BG"/>
        </w:rPr>
        <w:t>LD</w:t>
      </w:r>
      <w:r w:rsidR="00D9500F" w:rsidRPr="008E6BF5">
        <w:rPr>
          <w:sz w:val="22"/>
          <w:szCs w:val="22"/>
          <w:lang w:val="bg-BG"/>
        </w:rPr>
        <w:t>50</w:t>
      </w:r>
      <w:r w:rsidRPr="00763075">
        <w:rPr>
          <w:sz w:val="22"/>
          <w:szCs w:val="22"/>
          <w:lang w:val="bg-BG"/>
        </w:rPr>
        <w:t>)</w:t>
      </w:r>
      <w:r w:rsidR="006A14EC" w:rsidRPr="00763075">
        <w:rPr>
          <w:sz w:val="22"/>
          <w:szCs w:val="22"/>
          <w:lang w:val="bg-BG"/>
        </w:rPr>
        <w:t xml:space="preserve"> при плъхове и мишки </w:t>
      </w:r>
      <w:r w:rsidRPr="00763075">
        <w:rPr>
          <w:sz w:val="22"/>
          <w:szCs w:val="22"/>
          <w:lang w:val="bg-BG"/>
        </w:rPr>
        <w:t>е</w:t>
      </w:r>
      <w:r w:rsidR="006A14EC" w:rsidRPr="00763075">
        <w:rPr>
          <w:sz w:val="22"/>
          <w:szCs w:val="22"/>
          <w:lang w:val="bg-BG"/>
        </w:rPr>
        <w:t xml:space="preserve"> съответно 690 и </w:t>
      </w:r>
      <w:r w:rsidR="009A2C02" w:rsidRPr="00763075">
        <w:rPr>
          <w:sz w:val="22"/>
          <w:szCs w:val="22"/>
          <w:lang w:val="bg-BG"/>
        </w:rPr>
        <w:t>550 </w:t>
      </w:r>
      <w:r w:rsidR="006A14EC" w:rsidRPr="00763075">
        <w:rPr>
          <w:sz w:val="22"/>
          <w:szCs w:val="22"/>
          <w:lang w:val="bg-BG"/>
        </w:rPr>
        <w:t xml:space="preserve">mg/kg </w:t>
      </w:r>
      <w:r w:rsidR="00D636C4" w:rsidRPr="00763075">
        <w:rPr>
          <w:sz w:val="22"/>
          <w:szCs w:val="22"/>
          <w:lang w:val="bg-BG"/>
        </w:rPr>
        <w:t>при перорално приложение</w:t>
      </w:r>
      <w:r w:rsidR="006A14EC" w:rsidRPr="00763075">
        <w:rPr>
          <w:sz w:val="22"/>
          <w:szCs w:val="22"/>
          <w:lang w:val="bg-BG"/>
        </w:rPr>
        <w:t xml:space="preserve"> и 81 и </w:t>
      </w:r>
      <w:r w:rsidR="009A2C02" w:rsidRPr="00763075">
        <w:rPr>
          <w:sz w:val="22"/>
          <w:szCs w:val="22"/>
          <w:lang w:val="bg-BG"/>
        </w:rPr>
        <w:t>56 </w:t>
      </w:r>
      <w:r w:rsidR="006A14EC" w:rsidRPr="00763075">
        <w:rPr>
          <w:sz w:val="22"/>
          <w:szCs w:val="22"/>
          <w:lang w:val="bg-BG"/>
        </w:rPr>
        <w:t xml:space="preserve">mg/kg </w:t>
      </w:r>
      <w:r w:rsidR="006A14EC" w:rsidRPr="00763075">
        <w:rPr>
          <w:i/>
          <w:sz w:val="22"/>
          <w:szCs w:val="22"/>
          <w:lang w:val="bg-BG"/>
        </w:rPr>
        <w:t>i.v.</w:t>
      </w:r>
      <w:r w:rsidR="006A14EC" w:rsidRPr="00763075">
        <w:rPr>
          <w:sz w:val="22"/>
          <w:szCs w:val="22"/>
          <w:lang w:val="bg-BG"/>
        </w:rPr>
        <w:t xml:space="preserve"> </w:t>
      </w:r>
    </w:p>
    <w:p w14:paraId="6E4D7CDA" w14:textId="77777777" w:rsidR="006A14EC" w:rsidRPr="00763075" w:rsidRDefault="006A14EC">
      <w:pPr>
        <w:jc w:val="both"/>
        <w:rPr>
          <w:sz w:val="22"/>
          <w:szCs w:val="22"/>
          <w:lang w:val="bg-BG"/>
        </w:rPr>
      </w:pPr>
    </w:p>
    <w:p w14:paraId="2DBB966E" w14:textId="54714151" w:rsidR="006A14EC" w:rsidRPr="00763075" w:rsidRDefault="006A14EC">
      <w:pPr>
        <w:jc w:val="both"/>
        <w:rPr>
          <w:sz w:val="22"/>
          <w:szCs w:val="22"/>
          <w:lang w:val="bg-BG"/>
        </w:rPr>
      </w:pPr>
      <w:r w:rsidRPr="00763075">
        <w:rPr>
          <w:sz w:val="22"/>
          <w:szCs w:val="22"/>
          <w:lang w:val="bg-BG"/>
        </w:rPr>
        <w:t xml:space="preserve">Единични перорални дози от </w:t>
      </w:r>
      <w:r w:rsidR="009A2C02" w:rsidRPr="00763075">
        <w:rPr>
          <w:sz w:val="22"/>
          <w:szCs w:val="22"/>
          <w:lang w:val="bg-BG"/>
        </w:rPr>
        <w:t>100 </w:t>
      </w:r>
      <w:r w:rsidRPr="00763075">
        <w:rPr>
          <w:sz w:val="22"/>
          <w:szCs w:val="22"/>
          <w:lang w:val="bg-BG"/>
        </w:rPr>
        <w:t xml:space="preserve">mg/kg </w:t>
      </w:r>
      <w:r w:rsidR="00CC6A14" w:rsidRPr="00763075">
        <w:rPr>
          <w:sz w:val="22"/>
          <w:szCs w:val="22"/>
          <w:lang w:val="bg-BG"/>
        </w:rPr>
        <w:t>водят до</w:t>
      </w:r>
      <w:r w:rsidRPr="00763075">
        <w:rPr>
          <w:sz w:val="22"/>
          <w:szCs w:val="22"/>
          <w:lang w:val="bg-BG"/>
        </w:rPr>
        <w:t xml:space="preserve"> признаци на депресия, атаксия, конвулсии и тремор при кучета. При маймуни, при перорални дози над </w:t>
      </w:r>
      <w:r w:rsidR="009A2C02" w:rsidRPr="00763075">
        <w:rPr>
          <w:sz w:val="22"/>
          <w:szCs w:val="22"/>
          <w:lang w:val="bg-BG"/>
        </w:rPr>
        <w:t>50 </w:t>
      </w:r>
      <w:r w:rsidRPr="00763075">
        <w:rPr>
          <w:sz w:val="22"/>
          <w:szCs w:val="22"/>
          <w:lang w:val="bg-BG"/>
        </w:rPr>
        <w:t xml:space="preserve">mg/kg е наблюдавано повръщане, докато интравенозни дози от </w:t>
      </w:r>
      <w:r w:rsidR="009A2C02" w:rsidRPr="00763075">
        <w:rPr>
          <w:sz w:val="22"/>
          <w:szCs w:val="22"/>
          <w:lang w:val="bg-BG"/>
        </w:rPr>
        <w:t>15 </w:t>
      </w:r>
      <w:r w:rsidRPr="00763075">
        <w:rPr>
          <w:sz w:val="22"/>
          <w:szCs w:val="22"/>
          <w:lang w:val="bg-BG"/>
        </w:rPr>
        <w:t>mg/k</w:t>
      </w:r>
      <w:r w:rsidR="00CC6A14" w:rsidRPr="00763075">
        <w:rPr>
          <w:sz w:val="22"/>
          <w:szCs w:val="22"/>
          <w:lang w:val="bg-BG"/>
        </w:rPr>
        <w:t>g предизвикват конвулсии. Интра</w:t>
      </w:r>
      <w:r w:rsidRPr="00763075">
        <w:rPr>
          <w:sz w:val="22"/>
          <w:szCs w:val="22"/>
          <w:lang w:val="bg-BG"/>
        </w:rPr>
        <w:t>артериални</w:t>
      </w:r>
      <w:r w:rsidR="00CC6A14" w:rsidRPr="00763075">
        <w:rPr>
          <w:sz w:val="22"/>
          <w:szCs w:val="22"/>
          <w:lang w:val="bg-BG"/>
        </w:rPr>
        <w:t>те</w:t>
      </w:r>
      <w:r w:rsidRPr="00763075">
        <w:rPr>
          <w:sz w:val="22"/>
          <w:szCs w:val="22"/>
          <w:lang w:val="bg-BG"/>
        </w:rPr>
        <w:t xml:space="preserve"> инжекции водят до значими лезии </w:t>
      </w:r>
      <w:r w:rsidR="00CC6A14" w:rsidRPr="00763075">
        <w:rPr>
          <w:sz w:val="22"/>
          <w:szCs w:val="22"/>
          <w:lang w:val="bg-BG"/>
        </w:rPr>
        <w:t xml:space="preserve">на тъканите </w:t>
      </w:r>
      <w:r w:rsidRPr="00763075">
        <w:rPr>
          <w:sz w:val="22"/>
          <w:szCs w:val="22"/>
          <w:lang w:val="bg-BG"/>
        </w:rPr>
        <w:t>при зайци.</w:t>
      </w:r>
    </w:p>
    <w:p w14:paraId="1086CEB5" w14:textId="77777777" w:rsidR="00507473" w:rsidRPr="00763075" w:rsidRDefault="00507473">
      <w:pPr>
        <w:jc w:val="both"/>
        <w:rPr>
          <w:sz w:val="22"/>
          <w:szCs w:val="22"/>
          <w:lang w:val="bg-BG"/>
        </w:rPr>
      </w:pPr>
    </w:p>
    <w:p w14:paraId="1EB4B9F1" w14:textId="24F479E3" w:rsidR="005671FB" w:rsidRPr="00763075" w:rsidRDefault="005671FB">
      <w:pPr>
        <w:jc w:val="both"/>
        <w:rPr>
          <w:sz w:val="22"/>
          <w:szCs w:val="22"/>
          <w:lang w:val="bg-BG"/>
        </w:rPr>
      </w:pPr>
      <w:r w:rsidRPr="00763075">
        <w:rPr>
          <w:sz w:val="22"/>
          <w:szCs w:val="22"/>
          <w:lang w:val="bg-BG"/>
        </w:rPr>
        <w:t xml:space="preserve">В изолирани </w:t>
      </w:r>
      <w:r w:rsidR="00882F8F" w:rsidRPr="00763075">
        <w:rPr>
          <w:sz w:val="22"/>
          <w:szCs w:val="22"/>
          <w:lang w:val="bg-BG"/>
        </w:rPr>
        <w:t xml:space="preserve">влакна </w:t>
      </w:r>
      <w:r w:rsidRPr="00763075">
        <w:rPr>
          <w:sz w:val="22"/>
          <w:szCs w:val="22"/>
          <w:lang w:val="bg-BG"/>
        </w:rPr>
        <w:t>на Пурк</w:t>
      </w:r>
      <w:r w:rsidR="00AB7A13" w:rsidRPr="00763075">
        <w:rPr>
          <w:sz w:val="22"/>
          <w:szCs w:val="22"/>
          <w:lang w:val="bg-BG"/>
        </w:rPr>
        <w:t>и</w:t>
      </w:r>
      <w:r w:rsidRPr="00763075">
        <w:rPr>
          <w:sz w:val="22"/>
          <w:szCs w:val="22"/>
          <w:lang w:val="bg-BG"/>
        </w:rPr>
        <w:t>ние от кучета, хидроксизин при 3</w:t>
      </w:r>
      <w:r w:rsidR="00882F8F" w:rsidRPr="00763075">
        <w:rPr>
          <w:sz w:val="22"/>
          <w:szCs w:val="22"/>
          <w:lang w:val="bg-BG"/>
        </w:rPr>
        <w:t>µ</w:t>
      </w:r>
      <w:r w:rsidRPr="00763075">
        <w:rPr>
          <w:sz w:val="22"/>
          <w:szCs w:val="22"/>
          <w:lang w:val="bg-BG"/>
        </w:rPr>
        <w:t>М повишава продължителността на акционния потенциал, к</w:t>
      </w:r>
      <w:r w:rsidR="00882F8F" w:rsidRPr="00763075">
        <w:rPr>
          <w:sz w:val="22"/>
          <w:szCs w:val="22"/>
          <w:lang w:val="bg-BG"/>
        </w:rPr>
        <w:t>ое</w:t>
      </w:r>
      <w:r w:rsidRPr="00763075">
        <w:rPr>
          <w:sz w:val="22"/>
          <w:szCs w:val="22"/>
          <w:lang w:val="bg-BG"/>
        </w:rPr>
        <w:t>то предполага взаимодействие с калиевите канали, участващи във фазата на реполяризация. При по-високи концентрации, 3</w:t>
      </w:r>
      <w:r w:rsidR="00665042" w:rsidRPr="00763075">
        <w:rPr>
          <w:sz w:val="22"/>
          <w:szCs w:val="22"/>
          <w:lang w:val="bg-BG"/>
        </w:rPr>
        <w:t>0</w:t>
      </w:r>
      <w:r w:rsidR="00882F8F" w:rsidRPr="00763075">
        <w:rPr>
          <w:sz w:val="22"/>
          <w:szCs w:val="22"/>
          <w:lang w:val="bg-BG"/>
        </w:rPr>
        <w:t>µ</w:t>
      </w:r>
      <w:r w:rsidRPr="00763075">
        <w:rPr>
          <w:sz w:val="22"/>
          <w:szCs w:val="22"/>
          <w:lang w:val="bg-BG"/>
        </w:rPr>
        <w:t xml:space="preserve">М се наблюдава </w:t>
      </w:r>
      <w:r w:rsidR="00665042" w:rsidRPr="00763075">
        <w:rPr>
          <w:sz w:val="22"/>
          <w:szCs w:val="22"/>
          <w:lang w:val="bg-BG"/>
        </w:rPr>
        <w:t xml:space="preserve">значително </w:t>
      </w:r>
      <w:r w:rsidRPr="00763075">
        <w:rPr>
          <w:sz w:val="22"/>
          <w:szCs w:val="22"/>
          <w:lang w:val="bg-BG"/>
        </w:rPr>
        <w:t xml:space="preserve">намаляване на продължителността на акционния потенциал, </w:t>
      </w:r>
      <w:r w:rsidR="00882F8F" w:rsidRPr="00763075">
        <w:rPr>
          <w:sz w:val="22"/>
          <w:szCs w:val="22"/>
          <w:lang w:val="bg-BG"/>
        </w:rPr>
        <w:t>което</w:t>
      </w:r>
      <w:r w:rsidRPr="00763075">
        <w:rPr>
          <w:sz w:val="22"/>
          <w:szCs w:val="22"/>
          <w:lang w:val="bg-BG"/>
        </w:rPr>
        <w:t xml:space="preserve"> предполага възможно взаимодействие с калциевия и/или </w:t>
      </w:r>
      <w:r w:rsidR="00882F8F" w:rsidRPr="00763075">
        <w:rPr>
          <w:sz w:val="22"/>
          <w:szCs w:val="22"/>
          <w:lang w:val="bg-BG"/>
        </w:rPr>
        <w:t xml:space="preserve">натриевия </w:t>
      </w:r>
      <w:r w:rsidRPr="00763075">
        <w:rPr>
          <w:sz w:val="22"/>
          <w:szCs w:val="22"/>
          <w:lang w:val="bg-BG"/>
        </w:rPr>
        <w:t xml:space="preserve">поток. Хидроксизин води до инхибиране на </w:t>
      </w:r>
      <w:r w:rsidR="00EB1A8D" w:rsidRPr="00763075">
        <w:rPr>
          <w:sz w:val="22"/>
          <w:szCs w:val="22"/>
          <w:lang w:val="bg-BG"/>
        </w:rPr>
        <w:t>калиевия (I</w:t>
      </w:r>
      <w:r w:rsidR="00EB1A8D" w:rsidRPr="00763075">
        <w:rPr>
          <w:sz w:val="22"/>
          <w:szCs w:val="22"/>
          <w:vertAlign w:val="subscript"/>
          <w:lang w:val="bg-BG"/>
        </w:rPr>
        <w:t>Kr</w:t>
      </w:r>
      <w:r w:rsidR="00EB1A8D" w:rsidRPr="00763075">
        <w:rPr>
          <w:sz w:val="22"/>
          <w:szCs w:val="22"/>
          <w:lang w:val="bg-BG"/>
        </w:rPr>
        <w:t>)</w:t>
      </w:r>
      <w:r w:rsidR="004D0E1C" w:rsidRPr="008E6BF5">
        <w:rPr>
          <w:sz w:val="22"/>
          <w:szCs w:val="22"/>
          <w:lang w:val="bg-BG"/>
        </w:rPr>
        <w:t xml:space="preserve"> </w:t>
      </w:r>
      <w:r w:rsidRPr="00763075">
        <w:rPr>
          <w:sz w:val="22"/>
          <w:szCs w:val="22"/>
          <w:lang w:val="bg-BG"/>
        </w:rPr>
        <w:t>поток при човешки</w:t>
      </w:r>
      <w:r w:rsidR="00EB1A8D" w:rsidRPr="00763075">
        <w:rPr>
          <w:sz w:val="22"/>
          <w:szCs w:val="22"/>
          <w:lang w:val="bg-BG" w:eastAsia="en-US"/>
        </w:rPr>
        <w:t xml:space="preserve">, свързани с гена </w:t>
      </w:r>
      <w:r w:rsidR="008A26C4" w:rsidRPr="00763075">
        <w:rPr>
          <w:sz w:val="22"/>
          <w:szCs w:val="22"/>
          <w:lang w:val="bg-BG" w:eastAsia="en-US"/>
        </w:rPr>
        <w:t xml:space="preserve">ether–a-go-go </w:t>
      </w:r>
      <w:r w:rsidR="00EB1A8D" w:rsidRPr="00763075">
        <w:rPr>
          <w:sz w:val="22"/>
          <w:szCs w:val="22"/>
          <w:lang w:val="bg-BG" w:eastAsia="en-US"/>
        </w:rPr>
        <w:t>(hERG) канали, експресирани в</w:t>
      </w:r>
      <w:r w:rsidR="00EB1A8D" w:rsidRPr="008E6BF5">
        <w:rPr>
          <w:sz w:val="22"/>
          <w:szCs w:val="22"/>
          <w:lang w:val="bg-BG"/>
        </w:rPr>
        <w:t xml:space="preserve"> клетки на </w:t>
      </w:r>
      <w:r w:rsidR="00EB1A8D" w:rsidRPr="00763075">
        <w:rPr>
          <w:sz w:val="22"/>
          <w:szCs w:val="22"/>
          <w:lang w:val="bg-BG" w:eastAsia="en-US"/>
        </w:rPr>
        <w:t xml:space="preserve">бозайници, с </w:t>
      </w:r>
      <w:r w:rsidR="00EB1A8D" w:rsidRPr="00763075">
        <w:rPr>
          <w:sz w:val="22"/>
          <w:szCs w:val="22"/>
          <w:lang w:val="bg-BG"/>
        </w:rPr>
        <w:t>IC50 на 0,62µM,</w:t>
      </w:r>
      <w:r w:rsidR="00EB1A8D" w:rsidRPr="00763075" w:rsidDel="00EB1A8D">
        <w:rPr>
          <w:sz w:val="22"/>
          <w:szCs w:val="22"/>
          <w:lang w:val="bg-BG"/>
        </w:rPr>
        <w:t xml:space="preserve"> </w:t>
      </w:r>
      <w:r w:rsidR="00EB1A8D" w:rsidRPr="00763075">
        <w:rPr>
          <w:sz w:val="22"/>
          <w:szCs w:val="22"/>
          <w:lang w:val="bg-BG"/>
        </w:rPr>
        <w:t>концентрация, която е между 10 и 60 пъти по-висока от терапевтичните концентрации</w:t>
      </w:r>
      <w:r w:rsidRPr="00763075">
        <w:rPr>
          <w:sz w:val="22"/>
          <w:szCs w:val="22"/>
          <w:lang w:val="bg-BG"/>
        </w:rPr>
        <w:t xml:space="preserve">. </w:t>
      </w:r>
      <w:r w:rsidR="00EB1A8D" w:rsidRPr="00763075">
        <w:rPr>
          <w:sz w:val="22"/>
          <w:szCs w:val="22"/>
          <w:lang w:val="bg-BG"/>
        </w:rPr>
        <w:t xml:space="preserve">Дори концентрацията </w:t>
      </w:r>
      <w:r w:rsidRPr="00763075">
        <w:rPr>
          <w:sz w:val="22"/>
          <w:szCs w:val="22"/>
          <w:lang w:val="bg-BG"/>
        </w:rPr>
        <w:t>на хидроксизин необходима да предизвика ефект върху сърдечната електрофизиология са от 10 до 100 пъти по-високи от тези необходими за да блокират Н</w:t>
      </w:r>
      <w:r w:rsidRPr="00763075">
        <w:rPr>
          <w:sz w:val="22"/>
          <w:szCs w:val="22"/>
          <w:vertAlign w:val="subscript"/>
          <w:lang w:val="bg-BG"/>
        </w:rPr>
        <w:t>1</w:t>
      </w:r>
      <w:r w:rsidRPr="00763075">
        <w:rPr>
          <w:sz w:val="22"/>
          <w:szCs w:val="22"/>
          <w:lang w:val="bg-BG"/>
        </w:rPr>
        <w:t xml:space="preserve"> и 5-НТ</w:t>
      </w:r>
      <w:r w:rsidR="00000D2E" w:rsidRPr="008E6BF5">
        <w:rPr>
          <w:sz w:val="22"/>
          <w:szCs w:val="22"/>
          <w:lang w:val="bg-BG"/>
        </w:rPr>
        <w:t>2</w:t>
      </w:r>
      <w:r w:rsidRPr="00763075">
        <w:rPr>
          <w:sz w:val="22"/>
          <w:szCs w:val="22"/>
          <w:lang w:val="bg-BG"/>
        </w:rPr>
        <w:t xml:space="preserve"> рецепторите. При кучета в пълно съзнание, изследвани чрез телеметрия, хидроксизин и неговите енантиомери </w:t>
      </w:r>
      <w:r w:rsidR="00B74EED" w:rsidRPr="00763075">
        <w:rPr>
          <w:sz w:val="22"/>
          <w:szCs w:val="22"/>
          <w:lang w:val="bg-BG"/>
        </w:rPr>
        <w:t>дават</w:t>
      </w:r>
      <w:r w:rsidRPr="00763075">
        <w:rPr>
          <w:sz w:val="22"/>
          <w:szCs w:val="22"/>
          <w:lang w:val="bg-BG"/>
        </w:rPr>
        <w:t xml:space="preserve"> подобни сърдечно-съдови профили, въпреки някои минимални различия. В </w:t>
      </w:r>
      <w:r w:rsidR="00DF7BDB" w:rsidRPr="00763075">
        <w:rPr>
          <w:sz w:val="22"/>
          <w:szCs w:val="22"/>
          <w:lang w:val="bg-BG"/>
        </w:rPr>
        <w:t xml:space="preserve">първо </w:t>
      </w:r>
      <w:r w:rsidRPr="00763075">
        <w:rPr>
          <w:sz w:val="22"/>
          <w:szCs w:val="22"/>
          <w:lang w:val="bg-BG"/>
        </w:rPr>
        <w:t xml:space="preserve">проучване </w:t>
      </w:r>
      <w:r w:rsidR="00DF7BDB" w:rsidRPr="00763075">
        <w:rPr>
          <w:sz w:val="22"/>
          <w:szCs w:val="22"/>
          <w:lang w:val="bg-BG"/>
        </w:rPr>
        <w:t>при кучета с</w:t>
      </w:r>
      <w:r w:rsidRPr="00763075">
        <w:rPr>
          <w:sz w:val="22"/>
          <w:szCs w:val="22"/>
          <w:lang w:val="bg-BG"/>
        </w:rPr>
        <w:t xml:space="preserve"> телеметрия, хидроксизин (</w:t>
      </w:r>
      <w:r w:rsidR="009A2C02" w:rsidRPr="00763075">
        <w:rPr>
          <w:sz w:val="22"/>
          <w:szCs w:val="22"/>
          <w:lang w:val="bg-BG"/>
        </w:rPr>
        <w:t>21 </w:t>
      </w:r>
      <w:r w:rsidRPr="00763075">
        <w:rPr>
          <w:sz w:val="22"/>
          <w:szCs w:val="22"/>
          <w:lang w:val="bg-BG"/>
        </w:rPr>
        <w:t>mg/kg р</w:t>
      </w:r>
      <w:r w:rsidR="000C243F" w:rsidRPr="00763075">
        <w:rPr>
          <w:sz w:val="22"/>
          <w:szCs w:val="22"/>
          <w:lang w:val="bg-BG"/>
        </w:rPr>
        <w:t>.</w:t>
      </w:r>
      <w:r w:rsidRPr="00763075">
        <w:rPr>
          <w:sz w:val="22"/>
          <w:szCs w:val="22"/>
          <w:lang w:val="bg-BG"/>
        </w:rPr>
        <w:t>о</w:t>
      </w:r>
      <w:r w:rsidR="000C243F" w:rsidRPr="00763075">
        <w:rPr>
          <w:sz w:val="22"/>
          <w:szCs w:val="22"/>
          <w:lang w:val="bg-BG"/>
        </w:rPr>
        <w:t>.</w:t>
      </w:r>
      <w:r w:rsidRPr="00763075">
        <w:rPr>
          <w:sz w:val="22"/>
          <w:szCs w:val="22"/>
          <w:lang w:val="bg-BG"/>
        </w:rPr>
        <w:t xml:space="preserve">) леко увеличава </w:t>
      </w:r>
      <w:r w:rsidR="00DF7BDB" w:rsidRPr="00763075">
        <w:rPr>
          <w:sz w:val="22"/>
          <w:szCs w:val="22"/>
          <w:lang w:val="bg-BG"/>
        </w:rPr>
        <w:t>сърдечната честота</w:t>
      </w:r>
      <w:r w:rsidRPr="00763075">
        <w:rPr>
          <w:sz w:val="22"/>
          <w:szCs w:val="22"/>
          <w:lang w:val="bg-BG"/>
        </w:rPr>
        <w:t xml:space="preserve"> и намалява </w:t>
      </w:r>
      <w:r w:rsidR="000C243F" w:rsidRPr="00763075">
        <w:rPr>
          <w:sz w:val="22"/>
          <w:szCs w:val="22"/>
          <w:lang w:val="bg-BG"/>
        </w:rPr>
        <w:t>P</w:t>
      </w:r>
      <w:r w:rsidRPr="00763075">
        <w:rPr>
          <w:sz w:val="22"/>
          <w:szCs w:val="22"/>
          <w:lang w:val="bg-BG"/>
        </w:rPr>
        <w:t>R и QT интервали. Нямало е влияние върху QRS и QT</w:t>
      </w:r>
      <w:r w:rsidR="004B0797" w:rsidRPr="00763075">
        <w:rPr>
          <w:sz w:val="22"/>
          <w:szCs w:val="22"/>
          <w:lang w:val="bg-BG"/>
        </w:rPr>
        <w:t>с</w:t>
      </w:r>
      <w:r w:rsidR="00025057" w:rsidRPr="00763075">
        <w:rPr>
          <w:sz w:val="22"/>
          <w:szCs w:val="22"/>
          <w:vertAlign w:val="subscript"/>
          <w:lang w:val="bg-BG"/>
        </w:rPr>
        <w:t xml:space="preserve"> </w:t>
      </w:r>
      <w:r w:rsidRPr="00763075">
        <w:rPr>
          <w:sz w:val="22"/>
          <w:szCs w:val="22"/>
          <w:lang w:val="bg-BG"/>
        </w:rPr>
        <w:t xml:space="preserve">интервали и </w:t>
      </w:r>
      <w:r w:rsidR="000C243F" w:rsidRPr="00763075">
        <w:rPr>
          <w:sz w:val="22"/>
          <w:szCs w:val="22"/>
          <w:lang w:val="bg-BG"/>
        </w:rPr>
        <w:t>по този начин</w:t>
      </w:r>
      <w:r w:rsidRPr="00763075">
        <w:rPr>
          <w:sz w:val="22"/>
          <w:szCs w:val="22"/>
          <w:lang w:val="bg-BG"/>
        </w:rPr>
        <w:t xml:space="preserve"> при обичайни терапевтични дози, тези малки промени не се очаква да са </w:t>
      </w:r>
      <w:r w:rsidR="00DF7BDB" w:rsidRPr="00763075">
        <w:rPr>
          <w:sz w:val="22"/>
          <w:szCs w:val="22"/>
          <w:lang w:val="bg-BG"/>
        </w:rPr>
        <w:t xml:space="preserve">с </w:t>
      </w:r>
      <w:r w:rsidRPr="00763075">
        <w:rPr>
          <w:sz w:val="22"/>
          <w:szCs w:val="22"/>
          <w:lang w:val="bg-BG"/>
        </w:rPr>
        <w:t xml:space="preserve">клинично значение. </w:t>
      </w:r>
      <w:r w:rsidR="00DF7BDB" w:rsidRPr="00763075">
        <w:rPr>
          <w:sz w:val="22"/>
          <w:szCs w:val="22"/>
          <w:lang w:val="bg-BG"/>
        </w:rPr>
        <w:t>Подобни ефекти върху сърдечната честота и PR интервал са наблюдавани във второ проучване при кучета с телеметрия, където е потвърдена липсата на ефект</w:t>
      </w:r>
      <w:r w:rsidR="004B0797" w:rsidRPr="00763075">
        <w:rPr>
          <w:sz w:val="22"/>
          <w:szCs w:val="22"/>
          <w:lang w:val="bg-BG"/>
        </w:rPr>
        <w:t>и</w:t>
      </w:r>
      <w:r w:rsidR="00DF7BDB" w:rsidRPr="00763075">
        <w:rPr>
          <w:sz w:val="22"/>
          <w:szCs w:val="22"/>
          <w:lang w:val="bg-BG"/>
        </w:rPr>
        <w:t xml:space="preserve"> на хидроксизин </w:t>
      </w:r>
      <w:r w:rsidR="004B0797" w:rsidRPr="00763075">
        <w:rPr>
          <w:sz w:val="22"/>
          <w:szCs w:val="22"/>
          <w:lang w:val="bg-BG"/>
        </w:rPr>
        <w:t>върху</w:t>
      </w:r>
      <w:r w:rsidR="00DF7BDB" w:rsidRPr="00763075">
        <w:rPr>
          <w:sz w:val="22"/>
          <w:szCs w:val="22"/>
          <w:lang w:val="bg-BG"/>
        </w:rPr>
        <w:t xml:space="preserve"> QT</w:t>
      </w:r>
      <w:r w:rsidR="004B0797" w:rsidRPr="00763075">
        <w:rPr>
          <w:sz w:val="22"/>
          <w:szCs w:val="22"/>
          <w:lang w:val="bg-BG"/>
        </w:rPr>
        <w:t>с</w:t>
      </w:r>
      <w:r w:rsidR="00DF7BDB" w:rsidRPr="00763075">
        <w:rPr>
          <w:sz w:val="22"/>
          <w:szCs w:val="22"/>
          <w:lang w:val="bg-BG"/>
        </w:rPr>
        <w:t xml:space="preserve"> интервал</w:t>
      </w:r>
      <w:r w:rsidR="000C243F" w:rsidRPr="00763075">
        <w:rPr>
          <w:sz w:val="22"/>
          <w:szCs w:val="22"/>
          <w:lang w:val="bg-BG"/>
        </w:rPr>
        <w:t>а</w:t>
      </w:r>
      <w:r w:rsidR="00DF7BDB" w:rsidRPr="00763075">
        <w:rPr>
          <w:sz w:val="22"/>
          <w:szCs w:val="22"/>
          <w:lang w:val="bg-BG"/>
        </w:rPr>
        <w:t xml:space="preserve"> до единична </w:t>
      </w:r>
      <w:r w:rsidR="004B0797" w:rsidRPr="00763075">
        <w:rPr>
          <w:sz w:val="22"/>
          <w:szCs w:val="22"/>
          <w:lang w:val="bg-BG"/>
        </w:rPr>
        <w:t>пер</w:t>
      </w:r>
      <w:r w:rsidR="00DF7BDB" w:rsidRPr="00763075">
        <w:rPr>
          <w:sz w:val="22"/>
          <w:szCs w:val="22"/>
          <w:lang w:val="bg-BG"/>
        </w:rPr>
        <w:t xml:space="preserve">орална доза от </w:t>
      </w:r>
      <w:r w:rsidR="009A2C02" w:rsidRPr="00763075">
        <w:rPr>
          <w:sz w:val="22"/>
          <w:szCs w:val="22"/>
          <w:lang w:val="bg-BG"/>
        </w:rPr>
        <w:t>36 </w:t>
      </w:r>
      <w:r w:rsidR="004B0797" w:rsidRPr="00763075">
        <w:rPr>
          <w:sz w:val="22"/>
          <w:szCs w:val="22"/>
          <w:lang w:val="bg-BG"/>
        </w:rPr>
        <w:t>mg/kg</w:t>
      </w:r>
      <w:r w:rsidR="00DF7BDB" w:rsidRPr="00763075">
        <w:rPr>
          <w:sz w:val="22"/>
          <w:szCs w:val="22"/>
          <w:lang w:val="bg-BG"/>
        </w:rPr>
        <w:t>.</w:t>
      </w:r>
    </w:p>
    <w:p w14:paraId="164E1145" w14:textId="77777777" w:rsidR="005671FB" w:rsidRPr="00763075" w:rsidRDefault="005671FB">
      <w:pPr>
        <w:jc w:val="both"/>
        <w:rPr>
          <w:sz w:val="22"/>
          <w:szCs w:val="22"/>
          <w:lang w:val="bg-BG"/>
        </w:rPr>
      </w:pPr>
    </w:p>
    <w:p w14:paraId="0904E1AA" w14:textId="77777777" w:rsidR="00473AB1" w:rsidRPr="00763075" w:rsidRDefault="00D636C4">
      <w:pPr>
        <w:jc w:val="both"/>
        <w:rPr>
          <w:sz w:val="22"/>
          <w:szCs w:val="22"/>
          <w:lang w:val="bg-BG"/>
        </w:rPr>
      </w:pPr>
      <w:r w:rsidRPr="00763075">
        <w:rPr>
          <w:sz w:val="22"/>
          <w:szCs w:val="22"/>
          <w:lang w:val="bg-BG"/>
        </w:rPr>
        <w:t xml:space="preserve">При плъхове подкожно приложение на хидроксизин на </w:t>
      </w:r>
      <w:r w:rsidRPr="00763075">
        <w:rPr>
          <w:sz w:val="22"/>
          <w:szCs w:val="22"/>
          <w:lang w:val="en-GB"/>
        </w:rPr>
        <w:t xml:space="preserve">20 mg/kg </w:t>
      </w:r>
      <w:proofErr w:type="spellStart"/>
      <w:r w:rsidRPr="00763075">
        <w:rPr>
          <w:sz w:val="22"/>
          <w:szCs w:val="22"/>
          <w:lang w:val="en-GB"/>
        </w:rPr>
        <w:t>дневно</w:t>
      </w:r>
      <w:proofErr w:type="spellEnd"/>
      <w:r w:rsidRPr="00763075">
        <w:rPr>
          <w:sz w:val="22"/>
          <w:szCs w:val="22"/>
          <w:lang w:val="en-GB"/>
        </w:rPr>
        <w:t xml:space="preserve"> </w:t>
      </w:r>
      <w:proofErr w:type="spellStart"/>
      <w:r w:rsidRPr="00763075">
        <w:rPr>
          <w:sz w:val="22"/>
          <w:szCs w:val="22"/>
          <w:lang w:val="en-GB"/>
        </w:rPr>
        <w:t>за</w:t>
      </w:r>
      <w:proofErr w:type="spellEnd"/>
      <w:r w:rsidRPr="00763075">
        <w:rPr>
          <w:sz w:val="22"/>
          <w:szCs w:val="22"/>
          <w:lang w:val="en-GB"/>
        </w:rPr>
        <w:t xml:space="preserve"> </w:t>
      </w:r>
      <w:r w:rsidRPr="00763075">
        <w:rPr>
          <w:sz w:val="22"/>
          <w:szCs w:val="22"/>
          <w:lang w:val="bg-BG"/>
        </w:rPr>
        <w:t>30 дни се приема добре</w:t>
      </w:r>
      <w:r w:rsidR="00473AB1" w:rsidRPr="00763075">
        <w:rPr>
          <w:sz w:val="22"/>
          <w:szCs w:val="22"/>
          <w:lang w:val="bg-BG"/>
        </w:rPr>
        <w:t>,</w:t>
      </w:r>
      <w:r w:rsidR="009D280D" w:rsidRPr="00763075">
        <w:rPr>
          <w:sz w:val="22"/>
          <w:szCs w:val="22"/>
          <w:lang w:val="bg-BG"/>
        </w:rPr>
        <w:t xml:space="preserve"> но</w:t>
      </w:r>
      <w:r w:rsidRPr="00763075">
        <w:rPr>
          <w:sz w:val="22"/>
          <w:szCs w:val="22"/>
          <w:lang w:val="bg-BG"/>
        </w:rPr>
        <w:t xml:space="preserve"> </w:t>
      </w:r>
      <w:r w:rsidR="009D280D" w:rsidRPr="00763075">
        <w:rPr>
          <w:sz w:val="22"/>
          <w:szCs w:val="22"/>
          <w:lang w:val="bg-BG"/>
        </w:rPr>
        <w:t xml:space="preserve">е настъпила смъртност при </w:t>
      </w:r>
      <w:r w:rsidRPr="00763075">
        <w:rPr>
          <w:sz w:val="22"/>
          <w:szCs w:val="22"/>
          <w:lang w:val="bg-BG"/>
        </w:rPr>
        <w:t xml:space="preserve">перорално </w:t>
      </w:r>
      <w:r w:rsidR="009D280D" w:rsidRPr="00763075">
        <w:rPr>
          <w:sz w:val="22"/>
          <w:szCs w:val="22"/>
          <w:lang w:val="bg-BG"/>
        </w:rPr>
        <w:t xml:space="preserve">приложение на </w:t>
      </w:r>
      <w:r w:rsidRPr="00763075">
        <w:rPr>
          <w:sz w:val="22"/>
          <w:szCs w:val="22"/>
          <w:lang w:val="bg-BG"/>
        </w:rPr>
        <w:t>200 mg/kg дневно.</w:t>
      </w:r>
    </w:p>
    <w:p w14:paraId="4BF938D1" w14:textId="6F25842F" w:rsidR="006A14EC" w:rsidRPr="00763075" w:rsidRDefault="006A14EC">
      <w:pPr>
        <w:jc w:val="both"/>
        <w:rPr>
          <w:sz w:val="22"/>
          <w:szCs w:val="22"/>
          <w:lang w:val="bg-BG"/>
        </w:rPr>
      </w:pPr>
    </w:p>
    <w:p w14:paraId="4D60A4B2" w14:textId="5CB6864D" w:rsidR="00C47660" w:rsidRPr="00763075" w:rsidRDefault="006A14EC">
      <w:pPr>
        <w:jc w:val="both"/>
        <w:rPr>
          <w:sz w:val="22"/>
          <w:szCs w:val="22"/>
          <w:lang w:val="bg-BG"/>
        </w:rPr>
      </w:pPr>
      <w:r w:rsidRPr="00763075">
        <w:rPr>
          <w:sz w:val="22"/>
          <w:szCs w:val="22"/>
          <w:lang w:val="bg-BG"/>
        </w:rPr>
        <w:t xml:space="preserve">Хроничната токсичност е била проучена при плъхове, при перорални дози до </w:t>
      </w:r>
      <w:r w:rsidR="009A2C02" w:rsidRPr="00763075">
        <w:rPr>
          <w:sz w:val="22"/>
          <w:szCs w:val="22"/>
          <w:lang w:val="bg-BG"/>
        </w:rPr>
        <w:t>50 </w:t>
      </w:r>
      <w:r w:rsidRPr="00763075">
        <w:rPr>
          <w:sz w:val="22"/>
          <w:szCs w:val="22"/>
          <w:lang w:val="bg-BG"/>
        </w:rPr>
        <w:t xml:space="preserve">mg/kg без </w:t>
      </w:r>
      <w:r w:rsidR="00473AB1" w:rsidRPr="00763075">
        <w:rPr>
          <w:sz w:val="22"/>
          <w:szCs w:val="22"/>
          <w:lang w:val="bg-BG"/>
        </w:rPr>
        <w:t xml:space="preserve">клинични </w:t>
      </w:r>
      <w:r w:rsidRPr="00763075">
        <w:rPr>
          <w:sz w:val="22"/>
          <w:szCs w:val="22"/>
          <w:lang w:val="bg-BG"/>
        </w:rPr>
        <w:t xml:space="preserve">симптоми на хистопатологични аномалии. Дози от </w:t>
      </w:r>
      <w:r w:rsidR="009A2C02" w:rsidRPr="00763075">
        <w:rPr>
          <w:sz w:val="22"/>
          <w:szCs w:val="22"/>
          <w:lang w:val="bg-BG"/>
        </w:rPr>
        <w:t>10 </w:t>
      </w:r>
      <w:r w:rsidRPr="00763075">
        <w:rPr>
          <w:sz w:val="22"/>
          <w:szCs w:val="22"/>
          <w:lang w:val="bg-BG"/>
        </w:rPr>
        <w:t xml:space="preserve">mg/kg </w:t>
      </w:r>
      <w:r w:rsidR="00473AB1" w:rsidRPr="00763075">
        <w:rPr>
          <w:sz w:val="22"/>
          <w:szCs w:val="22"/>
          <w:lang w:val="bg-BG"/>
        </w:rPr>
        <w:t xml:space="preserve">за 70 дни </w:t>
      </w:r>
      <w:r w:rsidRPr="00763075">
        <w:rPr>
          <w:sz w:val="22"/>
          <w:szCs w:val="22"/>
          <w:lang w:val="bg-BG"/>
        </w:rPr>
        <w:t>са намалили концентрацията и жизнеспособността на сперматоцитите</w:t>
      </w:r>
      <w:r w:rsidR="00C47660" w:rsidRPr="00763075">
        <w:rPr>
          <w:sz w:val="22"/>
          <w:szCs w:val="22"/>
          <w:lang w:val="bg-BG"/>
        </w:rPr>
        <w:t xml:space="preserve"> при мъжки плъхове</w:t>
      </w:r>
      <w:r w:rsidRPr="00763075">
        <w:rPr>
          <w:sz w:val="22"/>
          <w:szCs w:val="22"/>
          <w:lang w:val="bg-BG"/>
        </w:rPr>
        <w:t xml:space="preserve">. </w:t>
      </w:r>
    </w:p>
    <w:p w14:paraId="19ED1086" w14:textId="660C442E" w:rsidR="00C47660" w:rsidRPr="00763075" w:rsidRDefault="006A14EC">
      <w:pPr>
        <w:jc w:val="both"/>
        <w:rPr>
          <w:sz w:val="22"/>
          <w:szCs w:val="22"/>
          <w:lang w:val="bg-BG"/>
        </w:rPr>
      </w:pPr>
      <w:r w:rsidRPr="00763075">
        <w:rPr>
          <w:sz w:val="22"/>
          <w:szCs w:val="22"/>
          <w:lang w:val="bg-BG"/>
        </w:rPr>
        <w:t xml:space="preserve">При кучета, перорални дози до </w:t>
      </w:r>
      <w:r w:rsidR="009A2C02" w:rsidRPr="00763075">
        <w:rPr>
          <w:sz w:val="22"/>
          <w:szCs w:val="22"/>
          <w:lang w:val="bg-BG"/>
        </w:rPr>
        <w:t>20 </w:t>
      </w:r>
      <w:r w:rsidRPr="00763075">
        <w:rPr>
          <w:sz w:val="22"/>
          <w:szCs w:val="22"/>
          <w:lang w:val="bg-BG"/>
        </w:rPr>
        <w:t xml:space="preserve">mg/kg дневно в продължение на 6 месеца не са били свързани с някакви хистопатологични </w:t>
      </w:r>
      <w:r w:rsidR="00C47660" w:rsidRPr="00763075">
        <w:rPr>
          <w:sz w:val="22"/>
          <w:szCs w:val="22"/>
          <w:lang w:val="bg-BG"/>
        </w:rPr>
        <w:t>промени</w:t>
      </w:r>
      <w:r w:rsidRPr="00763075">
        <w:rPr>
          <w:sz w:val="22"/>
          <w:szCs w:val="22"/>
          <w:lang w:val="bg-BG"/>
        </w:rPr>
        <w:t>.</w:t>
      </w:r>
    </w:p>
    <w:p w14:paraId="22EAD039" w14:textId="77777777" w:rsidR="00C47660" w:rsidRPr="00763075" w:rsidRDefault="00C47660">
      <w:pPr>
        <w:jc w:val="both"/>
        <w:rPr>
          <w:sz w:val="22"/>
          <w:szCs w:val="22"/>
          <w:lang w:val="bg-BG"/>
        </w:rPr>
      </w:pPr>
    </w:p>
    <w:p w14:paraId="74E4D026" w14:textId="56FAC075" w:rsidR="005671FB" w:rsidRPr="00763075" w:rsidRDefault="006A14EC">
      <w:pPr>
        <w:jc w:val="both"/>
        <w:rPr>
          <w:sz w:val="22"/>
          <w:szCs w:val="22"/>
          <w:lang w:val="bg-BG"/>
        </w:rPr>
      </w:pPr>
      <w:r w:rsidRPr="00763075">
        <w:rPr>
          <w:sz w:val="22"/>
          <w:szCs w:val="22"/>
          <w:lang w:val="bg-BG"/>
        </w:rPr>
        <w:t>Тератогенността е била оценена при бременни гризачи:</w:t>
      </w:r>
      <w:r w:rsidR="00810FF1" w:rsidRPr="00763075">
        <w:rPr>
          <w:sz w:val="22"/>
          <w:szCs w:val="22"/>
          <w:lang w:val="bg-BG"/>
        </w:rPr>
        <w:t xml:space="preserve"> </w:t>
      </w:r>
      <w:r w:rsidRPr="00763075">
        <w:rPr>
          <w:sz w:val="22"/>
          <w:szCs w:val="22"/>
          <w:lang w:val="bg-BG"/>
        </w:rPr>
        <w:t xml:space="preserve">малформации на плода и аборт са </w:t>
      </w:r>
      <w:r w:rsidR="00BC4F9B" w:rsidRPr="00763075">
        <w:rPr>
          <w:sz w:val="22"/>
          <w:szCs w:val="22"/>
          <w:lang w:val="bg-BG"/>
        </w:rPr>
        <w:t>свързани с</w:t>
      </w:r>
      <w:r w:rsidRPr="00763075">
        <w:rPr>
          <w:sz w:val="22"/>
          <w:szCs w:val="22"/>
          <w:lang w:val="bg-BG"/>
        </w:rPr>
        <w:t xml:space="preserve"> дози над </w:t>
      </w:r>
      <w:r w:rsidR="009A2C02" w:rsidRPr="00763075">
        <w:rPr>
          <w:sz w:val="22"/>
          <w:szCs w:val="22"/>
          <w:lang w:val="bg-BG"/>
        </w:rPr>
        <w:t>50 </w:t>
      </w:r>
      <w:r w:rsidRPr="00763075">
        <w:rPr>
          <w:sz w:val="22"/>
          <w:szCs w:val="22"/>
          <w:lang w:val="bg-BG"/>
        </w:rPr>
        <w:t>mg/kg хидроксизин, поради акумулиране на</w:t>
      </w:r>
      <w:r w:rsidR="00810FF1" w:rsidRPr="00763075">
        <w:rPr>
          <w:sz w:val="22"/>
          <w:szCs w:val="22"/>
          <w:lang w:val="bg-BG"/>
        </w:rPr>
        <w:t xml:space="preserve"> </w:t>
      </w:r>
      <w:r w:rsidRPr="00763075">
        <w:rPr>
          <w:sz w:val="22"/>
          <w:szCs w:val="22"/>
          <w:lang w:val="bg-BG"/>
        </w:rPr>
        <w:t xml:space="preserve">метаболита норхлорциклизин. Тератогенните дози са </w:t>
      </w:r>
      <w:r w:rsidR="000C33AE" w:rsidRPr="00763075">
        <w:rPr>
          <w:sz w:val="22"/>
          <w:szCs w:val="22"/>
          <w:lang w:val="bg-BG"/>
        </w:rPr>
        <w:t xml:space="preserve">значително </w:t>
      </w:r>
      <w:r w:rsidRPr="00763075">
        <w:rPr>
          <w:sz w:val="22"/>
          <w:szCs w:val="22"/>
          <w:lang w:val="bg-BG"/>
        </w:rPr>
        <w:t>по-високи от тези, използвани при хората с</w:t>
      </w:r>
      <w:r w:rsidR="00810FF1" w:rsidRPr="00763075">
        <w:rPr>
          <w:sz w:val="22"/>
          <w:szCs w:val="22"/>
          <w:lang w:val="bg-BG"/>
        </w:rPr>
        <w:t xml:space="preserve"> </w:t>
      </w:r>
      <w:r w:rsidRPr="00763075">
        <w:rPr>
          <w:sz w:val="22"/>
          <w:szCs w:val="22"/>
          <w:lang w:val="bg-BG"/>
        </w:rPr>
        <w:t xml:space="preserve">терапевтична цел. </w:t>
      </w:r>
      <w:r w:rsidRPr="00763075">
        <w:rPr>
          <w:sz w:val="22"/>
          <w:szCs w:val="22"/>
          <w:lang w:val="bg-BG"/>
        </w:rPr>
        <w:lastRenderedPageBreak/>
        <w:t>Не е</w:t>
      </w:r>
      <w:r w:rsidR="00810FF1" w:rsidRPr="00763075">
        <w:rPr>
          <w:sz w:val="22"/>
          <w:szCs w:val="22"/>
          <w:lang w:val="bg-BG"/>
        </w:rPr>
        <w:t xml:space="preserve"> </w:t>
      </w:r>
      <w:r w:rsidRPr="00763075">
        <w:rPr>
          <w:sz w:val="22"/>
          <w:szCs w:val="22"/>
          <w:lang w:val="bg-BG"/>
        </w:rPr>
        <w:t xml:space="preserve">наблюдавана мутагенна активност при теста на Амес. </w:t>
      </w:r>
      <w:r w:rsidR="005671FB" w:rsidRPr="00763075">
        <w:rPr>
          <w:sz w:val="22"/>
          <w:szCs w:val="22"/>
          <w:lang w:val="bg-BG"/>
        </w:rPr>
        <w:t>Проучване при мишки с лимфома показва</w:t>
      </w:r>
      <w:r w:rsidR="00BC4F9B" w:rsidRPr="00763075">
        <w:rPr>
          <w:sz w:val="22"/>
          <w:szCs w:val="22"/>
          <w:lang w:val="bg-BG"/>
        </w:rPr>
        <w:t xml:space="preserve"> малки</w:t>
      </w:r>
      <w:r w:rsidR="005671FB" w:rsidRPr="00763075">
        <w:rPr>
          <w:sz w:val="22"/>
          <w:szCs w:val="22"/>
          <w:lang w:val="bg-BG"/>
        </w:rPr>
        <w:t xml:space="preserve"> повишени</w:t>
      </w:r>
      <w:r w:rsidR="00BC4F9B" w:rsidRPr="00763075">
        <w:rPr>
          <w:sz w:val="22"/>
          <w:szCs w:val="22"/>
          <w:lang w:val="bg-BG"/>
        </w:rPr>
        <w:t>я</w:t>
      </w:r>
      <w:r w:rsidR="005671FB" w:rsidRPr="00763075">
        <w:rPr>
          <w:sz w:val="22"/>
          <w:szCs w:val="22"/>
          <w:lang w:val="bg-BG"/>
        </w:rPr>
        <w:t xml:space="preserve"> в мутациите с </w:t>
      </w:r>
      <w:r w:rsidR="002739F6" w:rsidRPr="00763075">
        <w:rPr>
          <w:sz w:val="22"/>
          <w:szCs w:val="22"/>
          <w:lang w:val="bg-BG"/>
        </w:rPr>
        <w:t>ниска вел</w:t>
      </w:r>
      <w:r w:rsidR="004D0E1C" w:rsidRPr="00763075">
        <w:rPr>
          <w:sz w:val="22"/>
          <w:szCs w:val="22"/>
          <w:lang w:val="bg-BG"/>
        </w:rPr>
        <w:t>и</w:t>
      </w:r>
      <w:r w:rsidR="002739F6" w:rsidRPr="00763075">
        <w:rPr>
          <w:sz w:val="22"/>
          <w:szCs w:val="22"/>
          <w:lang w:val="bg-BG"/>
        </w:rPr>
        <w:t>чина</w:t>
      </w:r>
      <w:r w:rsidR="005671FB" w:rsidRPr="00763075">
        <w:rPr>
          <w:sz w:val="22"/>
          <w:szCs w:val="22"/>
          <w:lang w:val="bg-BG"/>
        </w:rPr>
        <w:t xml:space="preserve"> при наличие на S9 при </w:t>
      </w:r>
      <w:r w:rsidR="00C47660" w:rsidRPr="00763075">
        <w:rPr>
          <w:sz w:val="22"/>
          <w:szCs w:val="22"/>
          <w:u w:val="single"/>
          <w:lang w:val="bg-BG"/>
        </w:rPr>
        <w:t>≥</w:t>
      </w:r>
      <w:r w:rsidR="005671FB" w:rsidRPr="00763075">
        <w:rPr>
          <w:sz w:val="22"/>
          <w:szCs w:val="22"/>
          <w:lang w:val="bg-BG"/>
        </w:rPr>
        <w:t xml:space="preserve"> </w:t>
      </w:r>
      <w:r w:rsidR="009A2C02" w:rsidRPr="00763075">
        <w:rPr>
          <w:sz w:val="22"/>
          <w:szCs w:val="22"/>
          <w:lang w:val="bg-BG"/>
        </w:rPr>
        <w:t>15 </w:t>
      </w:r>
      <w:r w:rsidR="005671FB" w:rsidRPr="00763075">
        <w:rPr>
          <w:sz w:val="22"/>
          <w:szCs w:val="22"/>
          <w:lang w:val="bg-BG"/>
        </w:rPr>
        <w:t xml:space="preserve">μm/ml. Това е около максималното ниво на токсичност при това проучване. Проучване за микроядрено индуциране при гризачи е било отрицателно. Тъй като са отбелязани само пренебрежими ефекти в </w:t>
      </w:r>
      <w:r w:rsidR="005B7C57" w:rsidRPr="00763075">
        <w:rPr>
          <w:i/>
          <w:sz w:val="22"/>
          <w:szCs w:val="22"/>
          <w:lang w:val="bg-BG"/>
        </w:rPr>
        <w:t>in vitro</w:t>
      </w:r>
      <w:r w:rsidR="005671FB" w:rsidRPr="00763075">
        <w:rPr>
          <w:sz w:val="22"/>
          <w:szCs w:val="22"/>
          <w:lang w:val="bg-BG"/>
        </w:rPr>
        <w:t xml:space="preserve"> проучването а </w:t>
      </w:r>
      <w:r w:rsidR="005B7C57" w:rsidRPr="00763075">
        <w:rPr>
          <w:i/>
          <w:sz w:val="22"/>
          <w:szCs w:val="22"/>
          <w:lang w:val="bg-BG"/>
        </w:rPr>
        <w:t>in vivo</w:t>
      </w:r>
      <w:r w:rsidR="005671FB" w:rsidRPr="00763075">
        <w:rPr>
          <w:i/>
          <w:sz w:val="22"/>
          <w:szCs w:val="22"/>
          <w:lang w:val="bg-BG"/>
        </w:rPr>
        <w:t xml:space="preserve"> </w:t>
      </w:r>
      <w:r w:rsidR="005671FB" w:rsidRPr="00763075">
        <w:rPr>
          <w:sz w:val="22"/>
          <w:szCs w:val="22"/>
          <w:lang w:val="bg-BG"/>
        </w:rPr>
        <w:t>проучването е отрицателно, приема се, че хидроксизин не е мутаген.</w:t>
      </w:r>
    </w:p>
    <w:p w14:paraId="5D074068" w14:textId="77777777" w:rsidR="00C47660" w:rsidRPr="00763075" w:rsidRDefault="00C47660">
      <w:pPr>
        <w:jc w:val="both"/>
        <w:rPr>
          <w:sz w:val="22"/>
          <w:szCs w:val="22"/>
          <w:lang w:val="bg-BG"/>
        </w:rPr>
      </w:pPr>
    </w:p>
    <w:p w14:paraId="3269F169" w14:textId="583A3060" w:rsidR="00D636C4" w:rsidRPr="00763075" w:rsidRDefault="005671FB">
      <w:pPr>
        <w:jc w:val="both"/>
        <w:rPr>
          <w:noProof/>
          <w:sz w:val="22"/>
          <w:szCs w:val="22"/>
          <w:lang w:val="bg-BG"/>
        </w:rPr>
      </w:pPr>
      <w:r w:rsidRPr="00763075">
        <w:rPr>
          <w:sz w:val="22"/>
          <w:szCs w:val="22"/>
          <w:lang w:val="bg-BG"/>
        </w:rPr>
        <w:t>Не са пр</w:t>
      </w:r>
      <w:r w:rsidR="006155AC" w:rsidRPr="00763075">
        <w:rPr>
          <w:sz w:val="22"/>
          <w:szCs w:val="22"/>
          <w:lang w:val="bg-BG"/>
        </w:rPr>
        <w:t>о</w:t>
      </w:r>
      <w:r w:rsidRPr="00763075">
        <w:rPr>
          <w:sz w:val="22"/>
          <w:szCs w:val="22"/>
          <w:lang w:val="bg-BG"/>
        </w:rPr>
        <w:t xml:space="preserve">веждани проучвания </w:t>
      </w:r>
      <w:r w:rsidR="00C47660" w:rsidRPr="00763075">
        <w:rPr>
          <w:sz w:val="22"/>
          <w:szCs w:val="22"/>
          <w:lang w:val="bg-BG"/>
        </w:rPr>
        <w:t xml:space="preserve">за канцерогенност </w:t>
      </w:r>
      <w:r w:rsidRPr="00763075">
        <w:rPr>
          <w:sz w:val="22"/>
          <w:szCs w:val="22"/>
          <w:lang w:val="bg-BG"/>
        </w:rPr>
        <w:t>с хидроксизин</w:t>
      </w:r>
      <w:r w:rsidR="00B26475" w:rsidRPr="00763075">
        <w:rPr>
          <w:sz w:val="22"/>
          <w:szCs w:val="22"/>
          <w:lang w:val="bg-BG"/>
        </w:rPr>
        <w:t xml:space="preserve"> при животни</w:t>
      </w:r>
      <w:r w:rsidRPr="00763075">
        <w:rPr>
          <w:sz w:val="22"/>
          <w:szCs w:val="22"/>
          <w:lang w:val="bg-BG"/>
        </w:rPr>
        <w:t>. Лекарството няма мутагенен ефект и не се свързва с пряко повишение на туморгенния риск по време на няколко десетилетия клинична употреба.</w:t>
      </w:r>
    </w:p>
    <w:p w14:paraId="1BB1E187" w14:textId="77777777" w:rsidR="006A14EC" w:rsidRPr="00763075" w:rsidRDefault="006A14EC">
      <w:pPr>
        <w:jc w:val="both"/>
        <w:rPr>
          <w:sz w:val="22"/>
          <w:szCs w:val="22"/>
          <w:lang w:val="bg-BG"/>
        </w:rPr>
      </w:pPr>
    </w:p>
    <w:p w14:paraId="1225C5F9" w14:textId="77777777" w:rsidR="00882F8F" w:rsidRPr="00763075" w:rsidRDefault="00882F8F">
      <w:pPr>
        <w:jc w:val="both"/>
        <w:rPr>
          <w:sz w:val="22"/>
          <w:szCs w:val="22"/>
          <w:lang w:val="bg-BG"/>
        </w:rPr>
      </w:pPr>
    </w:p>
    <w:p w14:paraId="4E289156" w14:textId="01C17681" w:rsidR="006F55F3" w:rsidRPr="00763075" w:rsidRDefault="006F55F3">
      <w:pPr>
        <w:numPr>
          <w:ilvl w:val="0"/>
          <w:numId w:val="11"/>
        </w:numPr>
        <w:jc w:val="both"/>
        <w:rPr>
          <w:b/>
          <w:noProof/>
          <w:sz w:val="22"/>
          <w:szCs w:val="22"/>
          <w:lang w:val="bg-BG"/>
        </w:rPr>
      </w:pPr>
      <w:r w:rsidRPr="00763075">
        <w:rPr>
          <w:b/>
          <w:noProof/>
          <w:sz w:val="22"/>
          <w:szCs w:val="22"/>
          <w:lang w:val="bg-BG"/>
        </w:rPr>
        <w:t>ФАРМАЦЕВТИЧНИ ДАННИ</w:t>
      </w:r>
    </w:p>
    <w:p w14:paraId="055C6CB5" w14:textId="77777777" w:rsidR="006F55F3" w:rsidRPr="00763075" w:rsidRDefault="006F55F3">
      <w:pPr>
        <w:jc w:val="both"/>
        <w:rPr>
          <w:noProof/>
          <w:sz w:val="22"/>
          <w:szCs w:val="22"/>
          <w:lang w:val="bg-BG"/>
        </w:rPr>
      </w:pPr>
    </w:p>
    <w:p w14:paraId="45C314C6" w14:textId="75EBE909" w:rsidR="006F55F3" w:rsidRPr="00763075" w:rsidRDefault="000C33AE">
      <w:pPr>
        <w:jc w:val="both"/>
        <w:outlineLvl w:val="0"/>
        <w:rPr>
          <w:noProof/>
          <w:sz w:val="22"/>
          <w:szCs w:val="22"/>
          <w:lang w:val="bg-BG"/>
        </w:rPr>
      </w:pPr>
      <w:r w:rsidRPr="00763075">
        <w:rPr>
          <w:b/>
          <w:noProof/>
          <w:sz w:val="22"/>
          <w:szCs w:val="22"/>
          <w:lang w:val="bg-BG"/>
        </w:rPr>
        <w:t>6.1</w:t>
      </w:r>
      <w:r w:rsidR="004D0E1C" w:rsidRPr="00763075">
        <w:rPr>
          <w:b/>
          <w:noProof/>
          <w:sz w:val="22"/>
          <w:szCs w:val="22"/>
          <w:lang w:val="bg-BG"/>
        </w:rPr>
        <w:t xml:space="preserve"> </w:t>
      </w:r>
      <w:r w:rsidR="006F55F3" w:rsidRPr="00763075">
        <w:rPr>
          <w:b/>
          <w:noProof/>
          <w:sz w:val="22"/>
          <w:szCs w:val="22"/>
          <w:lang w:val="bg-BG"/>
        </w:rPr>
        <w:t>Списък на помощните вещества</w:t>
      </w:r>
    </w:p>
    <w:p w14:paraId="6800D288" w14:textId="77777777" w:rsidR="006A14EC" w:rsidRPr="00763075" w:rsidRDefault="006A14EC">
      <w:pPr>
        <w:jc w:val="both"/>
        <w:rPr>
          <w:b/>
          <w:sz w:val="22"/>
          <w:szCs w:val="22"/>
          <w:lang w:val="bg-BG"/>
        </w:rPr>
      </w:pPr>
    </w:p>
    <w:p w14:paraId="0299AD1C" w14:textId="77777777" w:rsidR="006A14EC" w:rsidRPr="00763075" w:rsidRDefault="006F55F3">
      <w:pPr>
        <w:jc w:val="both"/>
        <w:rPr>
          <w:sz w:val="22"/>
          <w:szCs w:val="22"/>
          <w:u w:val="single"/>
          <w:lang w:val="bg-BG"/>
        </w:rPr>
      </w:pPr>
      <w:r w:rsidRPr="00763075">
        <w:rPr>
          <w:sz w:val="22"/>
          <w:szCs w:val="22"/>
          <w:u w:val="single"/>
          <w:lang w:val="bg-BG"/>
        </w:rPr>
        <w:t>Ядро</w:t>
      </w:r>
      <w:r w:rsidR="006A14EC" w:rsidRPr="00763075">
        <w:rPr>
          <w:sz w:val="22"/>
          <w:szCs w:val="22"/>
          <w:u w:val="single"/>
          <w:lang w:val="bg-BG"/>
        </w:rPr>
        <w:t xml:space="preserve">: </w:t>
      </w:r>
    </w:p>
    <w:p w14:paraId="5C92CEC1" w14:textId="77777777" w:rsidR="00B24A78" w:rsidRPr="00763075" w:rsidRDefault="00B24A78">
      <w:pPr>
        <w:autoSpaceDE w:val="0"/>
        <w:autoSpaceDN w:val="0"/>
        <w:adjustRightInd w:val="0"/>
        <w:rPr>
          <w:sz w:val="22"/>
          <w:szCs w:val="22"/>
          <w:lang w:val="bg-BG" w:eastAsia="en-US"/>
        </w:rPr>
      </w:pPr>
      <w:r w:rsidRPr="00763075">
        <w:rPr>
          <w:sz w:val="22"/>
          <w:szCs w:val="22"/>
          <w:lang w:val="bg-BG" w:eastAsia="en-US"/>
        </w:rPr>
        <w:t>Лактоза монохидрат</w:t>
      </w:r>
    </w:p>
    <w:p w14:paraId="0712BC2D" w14:textId="77777777" w:rsidR="00B24A78" w:rsidRPr="00763075" w:rsidRDefault="00B24A78">
      <w:pPr>
        <w:autoSpaceDE w:val="0"/>
        <w:autoSpaceDN w:val="0"/>
        <w:adjustRightInd w:val="0"/>
        <w:rPr>
          <w:sz w:val="22"/>
          <w:szCs w:val="22"/>
          <w:lang w:val="bg-BG" w:eastAsia="en-US"/>
        </w:rPr>
      </w:pPr>
      <w:r w:rsidRPr="00763075">
        <w:rPr>
          <w:sz w:val="22"/>
          <w:szCs w:val="22"/>
          <w:lang w:val="bg-BG" w:eastAsia="en-US"/>
        </w:rPr>
        <w:t>Микрокристална целулоза</w:t>
      </w:r>
    </w:p>
    <w:p w14:paraId="74C9D0B4" w14:textId="77777777" w:rsidR="00B24A78" w:rsidRPr="00763075" w:rsidRDefault="00B24A78">
      <w:pPr>
        <w:autoSpaceDE w:val="0"/>
        <w:autoSpaceDN w:val="0"/>
        <w:adjustRightInd w:val="0"/>
        <w:rPr>
          <w:sz w:val="22"/>
          <w:szCs w:val="22"/>
          <w:lang w:val="bg-BG" w:eastAsia="en-US"/>
        </w:rPr>
      </w:pPr>
      <w:r w:rsidRPr="00763075">
        <w:rPr>
          <w:sz w:val="22"/>
          <w:szCs w:val="22"/>
          <w:lang w:val="bg-BG" w:eastAsia="en-US"/>
        </w:rPr>
        <w:t>Магнезиев стеарат</w:t>
      </w:r>
    </w:p>
    <w:p w14:paraId="5272BBE4" w14:textId="503D5BFB" w:rsidR="006A14EC" w:rsidRPr="00763075" w:rsidRDefault="00B24A78">
      <w:pPr>
        <w:jc w:val="both"/>
        <w:rPr>
          <w:sz w:val="22"/>
          <w:szCs w:val="22"/>
          <w:lang w:val="bg-BG"/>
        </w:rPr>
      </w:pPr>
      <w:r w:rsidRPr="00763075">
        <w:rPr>
          <w:sz w:val="22"/>
          <w:szCs w:val="22"/>
          <w:lang w:val="bg-BG" w:eastAsia="en-US"/>
        </w:rPr>
        <w:t>Силициев диоксид, колоиден</w:t>
      </w:r>
      <w:r w:rsidR="008A5BD7" w:rsidRPr="00763075">
        <w:rPr>
          <w:sz w:val="22"/>
          <w:szCs w:val="22"/>
          <w:lang w:val="bg-BG" w:eastAsia="en-US"/>
        </w:rPr>
        <w:t xml:space="preserve"> </w:t>
      </w:r>
      <w:r w:rsidRPr="00763075">
        <w:rPr>
          <w:sz w:val="22"/>
          <w:szCs w:val="22"/>
          <w:lang w:val="bg-BG" w:eastAsia="en-US"/>
        </w:rPr>
        <w:t>безводен</w:t>
      </w:r>
      <w:r w:rsidR="006A14EC" w:rsidRPr="00763075">
        <w:rPr>
          <w:sz w:val="22"/>
          <w:szCs w:val="22"/>
          <w:lang w:val="bg-BG"/>
        </w:rPr>
        <w:tab/>
      </w:r>
    </w:p>
    <w:p w14:paraId="74C67DEA" w14:textId="77777777" w:rsidR="005B00CC" w:rsidRPr="00763075" w:rsidRDefault="005B00CC">
      <w:pPr>
        <w:pStyle w:val="BodyText"/>
        <w:rPr>
          <w:rFonts w:ascii="Times New Roman" w:hAnsi="Times New Roman"/>
          <w:noProof/>
          <w:sz w:val="22"/>
          <w:szCs w:val="22"/>
          <w:u w:val="single"/>
          <w:lang w:val="en-US"/>
        </w:rPr>
      </w:pPr>
    </w:p>
    <w:p w14:paraId="169F0DD2" w14:textId="77777777" w:rsidR="006F55F3" w:rsidRPr="00763075" w:rsidRDefault="006F55F3">
      <w:pPr>
        <w:pStyle w:val="BodyText"/>
        <w:rPr>
          <w:rFonts w:ascii="Times New Roman" w:hAnsi="Times New Roman"/>
          <w:noProof/>
          <w:sz w:val="22"/>
          <w:szCs w:val="22"/>
          <w:u w:val="single"/>
        </w:rPr>
      </w:pPr>
      <w:r w:rsidRPr="00763075">
        <w:rPr>
          <w:rFonts w:ascii="Times New Roman" w:hAnsi="Times New Roman"/>
          <w:noProof/>
          <w:sz w:val="22"/>
          <w:szCs w:val="22"/>
          <w:u w:val="single"/>
        </w:rPr>
        <w:t xml:space="preserve">Филмово покритие: </w:t>
      </w:r>
    </w:p>
    <w:p w14:paraId="6EE1EBA8" w14:textId="77777777" w:rsidR="006A14EC" w:rsidRPr="00763075" w:rsidRDefault="008A5BD7">
      <w:pPr>
        <w:autoSpaceDE w:val="0"/>
        <w:autoSpaceDN w:val="0"/>
        <w:adjustRightInd w:val="0"/>
        <w:rPr>
          <w:sz w:val="22"/>
          <w:szCs w:val="22"/>
          <w:lang w:val="bg-BG"/>
        </w:rPr>
      </w:pPr>
      <w:r w:rsidRPr="00763075">
        <w:rPr>
          <w:sz w:val="22"/>
          <w:szCs w:val="22"/>
          <w:lang w:val="bg-BG" w:eastAsia="en-US"/>
        </w:rPr>
        <w:t>Титанов диоксид</w:t>
      </w:r>
      <w:r w:rsidRPr="00763075">
        <w:rPr>
          <w:sz w:val="22"/>
          <w:szCs w:val="22"/>
          <w:lang w:val="bg-BG"/>
        </w:rPr>
        <w:t xml:space="preserve"> </w:t>
      </w:r>
      <w:r w:rsidR="006A14EC" w:rsidRPr="00763075">
        <w:rPr>
          <w:sz w:val="22"/>
          <w:szCs w:val="22"/>
          <w:lang w:val="bg-BG"/>
        </w:rPr>
        <w:t xml:space="preserve">(E171) </w:t>
      </w:r>
      <w:r w:rsidR="006A14EC" w:rsidRPr="00763075">
        <w:rPr>
          <w:sz w:val="22"/>
          <w:szCs w:val="22"/>
          <w:lang w:val="bg-BG"/>
        </w:rPr>
        <w:tab/>
      </w:r>
      <w:r w:rsidR="006A14EC" w:rsidRPr="00763075">
        <w:rPr>
          <w:sz w:val="22"/>
          <w:szCs w:val="22"/>
          <w:lang w:val="bg-BG"/>
        </w:rPr>
        <w:tab/>
      </w:r>
    </w:p>
    <w:p w14:paraId="6C1A78FA" w14:textId="03C3E261" w:rsidR="006A14EC" w:rsidRPr="00763075" w:rsidRDefault="008A5BD7">
      <w:pPr>
        <w:autoSpaceDE w:val="0"/>
        <w:autoSpaceDN w:val="0"/>
        <w:adjustRightInd w:val="0"/>
        <w:rPr>
          <w:sz w:val="22"/>
          <w:szCs w:val="22"/>
          <w:lang w:val="bg-BG"/>
        </w:rPr>
      </w:pPr>
      <w:proofErr w:type="spellStart"/>
      <w:r w:rsidRPr="00763075">
        <w:rPr>
          <w:sz w:val="22"/>
          <w:szCs w:val="22"/>
          <w:lang w:val="bg-BG" w:eastAsia="en-US"/>
        </w:rPr>
        <w:t>Хидрокси</w:t>
      </w:r>
      <w:r w:rsidR="00EC5E8F" w:rsidRPr="00763075">
        <w:rPr>
          <w:sz w:val="22"/>
          <w:szCs w:val="22"/>
          <w:lang w:val="bg-BG" w:eastAsia="en-US"/>
        </w:rPr>
        <w:t>проп</w:t>
      </w:r>
      <w:r w:rsidRPr="00763075">
        <w:rPr>
          <w:sz w:val="22"/>
          <w:szCs w:val="22"/>
          <w:lang w:val="bg-BG" w:eastAsia="en-US"/>
        </w:rPr>
        <w:t>илметилцелулоза</w:t>
      </w:r>
      <w:proofErr w:type="spellEnd"/>
      <w:r w:rsidRPr="00763075">
        <w:rPr>
          <w:sz w:val="22"/>
          <w:szCs w:val="22"/>
          <w:lang w:val="bg-BG" w:eastAsia="en-US"/>
        </w:rPr>
        <w:t xml:space="preserve"> </w:t>
      </w:r>
      <w:r w:rsidR="006A14EC" w:rsidRPr="00763075">
        <w:rPr>
          <w:sz w:val="22"/>
          <w:szCs w:val="22"/>
          <w:lang w:val="bg-BG"/>
        </w:rPr>
        <w:t>2910 5cP</w:t>
      </w:r>
      <w:r w:rsidR="006A14EC" w:rsidRPr="00763075">
        <w:rPr>
          <w:sz w:val="22"/>
          <w:szCs w:val="22"/>
          <w:lang w:val="bg-BG"/>
        </w:rPr>
        <w:tab/>
      </w:r>
      <w:r w:rsidR="006A14EC" w:rsidRPr="00763075">
        <w:rPr>
          <w:sz w:val="22"/>
          <w:szCs w:val="22"/>
          <w:lang w:val="bg-BG"/>
        </w:rPr>
        <w:tab/>
      </w:r>
      <w:r w:rsidR="006A14EC" w:rsidRPr="00763075">
        <w:rPr>
          <w:sz w:val="22"/>
          <w:szCs w:val="22"/>
          <w:lang w:val="bg-BG"/>
        </w:rPr>
        <w:tab/>
      </w:r>
    </w:p>
    <w:p w14:paraId="461B3488" w14:textId="729992A6" w:rsidR="008A5BD7" w:rsidRPr="00763075" w:rsidRDefault="008A5BD7">
      <w:pPr>
        <w:jc w:val="both"/>
        <w:rPr>
          <w:b/>
          <w:sz w:val="22"/>
          <w:szCs w:val="22"/>
          <w:lang w:val="bg-BG"/>
        </w:rPr>
      </w:pPr>
      <w:r w:rsidRPr="00763075">
        <w:rPr>
          <w:sz w:val="22"/>
          <w:szCs w:val="22"/>
          <w:lang w:val="bg-BG" w:eastAsia="en-US"/>
        </w:rPr>
        <w:t xml:space="preserve">Полиетиленгликол </w:t>
      </w:r>
      <w:r w:rsidRPr="00763075">
        <w:rPr>
          <w:sz w:val="22"/>
          <w:szCs w:val="22"/>
          <w:lang w:val="bg-BG"/>
        </w:rPr>
        <w:t>400</w:t>
      </w:r>
    </w:p>
    <w:p w14:paraId="5B1CA3D8" w14:textId="77777777" w:rsidR="005B00CC" w:rsidRPr="00763075" w:rsidRDefault="005B00CC">
      <w:pPr>
        <w:jc w:val="both"/>
        <w:outlineLvl w:val="0"/>
        <w:rPr>
          <w:b/>
          <w:noProof/>
          <w:sz w:val="22"/>
          <w:szCs w:val="22"/>
        </w:rPr>
      </w:pPr>
    </w:p>
    <w:p w14:paraId="1CBB23BE" w14:textId="7657E49F" w:rsidR="006F55F3" w:rsidRPr="00763075" w:rsidRDefault="000C33AE">
      <w:pPr>
        <w:jc w:val="both"/>
        <w:outlineLvl w:val="0"/>
        <w:rPr>
          <w:noProof/>
          <w:sz w:val="22"/>
          <w:szCs w:val="22"/>
          <w:lang w:val="bg-BG"/>
        </w:rPr>
      </w:pPr>
      <w:r w:rsidRPr="00763075">
        <w:rPr>
          <w:b/>
          <w:noProof/>
          <w:sz w:val="22"/>
          <w:szCs w:val="22"/>
          <w:lang w:val="bg-BG"/>
        </w:rPr>
        <w:t>6.2</w:t>
      </w:r>
      <w:r w:rsidR="004D0E1C" w:rsidRPr="00763075">
        <w:rPr>
          <w:b/>
          <w:noProof/>
          <w:sz w:val="22"/>
          <w:szCs w:val="22"/>
          <w:lang w:val="bg-BG"/>
        </w:rPr>
        <w:t xml:space="preserve"> </w:t>
      </w:r>
      <w:r w:rsidR="006F55F3" w:rsidRPr="00763075">
        <w:rPr>
          <w:b/>
          <w:noProof/>
          <w:sz w:val="22"/>
          <w:szCs w:val="22"/>
          <w:lang w:val="bg-BG"/>
        </w:rPr>
        <w:t xml:space="preserve">Несъвместимости </w:t>
      </w:r>
    </w:p>
    <w:p w14:paraId="5256FDCC" w14:textId="77777777" w:rsidR="006F55F3" w:rsidRPr="00763075" w:rsidRDefault="006F55F3">
      <w:pPr>
        <w:jc w:val="both"/>
        <w:rPr>
          <w:sz w:val="22"/>
          <w:szCs w:val="22"/>
          <w:lang w:val="bg-BG"/>
        </w:rPr>
      </w:pPr>
    </w:p>
    <w:p w14:paraId="6E5369C7" w14:textId="77777777" w:rsidR="006A14EC" w:rsidRPr="00763075" w:rsidRDefault="006A14EC">
      <w:pPr>
        <w:jc w:val="both"/>
        <w:rPr>
          <w:sz w:val="22"/>
          <w:szCs w:val="22"/>
          <w:lang w:val="bg-BG"/>
        </w:rPr>
      </w:pPr>
      <w:r w:rsidRPr="00763075">
        <w:rPr>
          <w:sz w:val="22"/>
          <w:szCs w:val="22"/>
          <w:lang w:val="bg-BG"/>
        </w:rPr>
        <w:t xml:space="preserve">Не са известни </w:t>
      </w:r>
    </w:p>
    <w:p w14:paraId="110DDC00" w14:textId="77777777" w:rsidR="006A14EC" w:rsidRPr="00763075" w:rsidRDefault="006A14EC">
      <w:pPr>
        <w:jc w:val="both"/>
        <w:rPr>
          <w:sz w:val="22"/>
          <w:szCs w:val="22"/>
          <w:lang w:val="bg-BG"/>
        </w:rPr>
      </w:pPr>
    </w:p>
    <w:p w14:paraId="5BBDA445" w14:textId="24EA9D2D" w:rsidR="006F55F3" w:rsidRPr="00763075" w:rsidRDefault="00774CE5">
      <w:pPr>
        <w:jc w:val="both"/>
        <w:outlineLvl w:val="0"/>
        <w:rPr>
          <w:noProof/>
          <w:sz w:val="22"/>
          <w:szCs w:val="22"/>
          <w:lang w:val="bg-BG"/>
        </w:rPr>
      </w:pPr>
      <w:r w:rsidRPr="00763075">
        <w:rPr>
          <w:b/>
          <w:noProof/>
          <w:sz w:val="22"/>
          <w:szCs w:val="22"/>
          <w:lang w:val="bg-BG"/>
        </w:rPr>
        <w:t>6.3</w:t>
      </w:r>
      <w:r w:rsidR="004D0E1C" w:rsidRPr="00763075">
        <w:rPr>
          <w:b/>
          <w:noProof/>
          <w:sz w:val="22"/>
          <w:szCs w:val="22"/>
          <w:lang w:val="bg-BG"/>
        </w:rPr>
        <w:t xml:space="preserve"> </w:t>
      </w:r>
      <w:r w:rsidR="006F55F3" w:rsidRPr="00763075">
        <w:rPr>
          <w:b/>
          <w:noProof/>
          <w:sz w:val="22"/>
          <w:szCs w:val="22"/>
          <w:lang w:val="bg-BG"/>
        </w:rPr>
        <w:t>Срок на годност</w:t>
      </w:r>
    </w:p>
    <w:p w14:paraId="1553D4B8" w14:textId="77777777" w:rsidR="006F55F3" w:rsidRPr="00763075" w:rsidRDefault="006F55F3">
      <w:pPr>
        <w:jc w:val="both"/>
        <w:rPr>
          <w:sz w:val="22"/>
          <w:szCs w:val="22"/>
          <w:lang w:val="bg-BG"/>
        </w:rPr>
      </w:pPr>
    </w:p>
    <w:p w14:paraId="4C144EAA" w14:textId="77777777" w:rsidR="006A14EC" w:rsidRPr="00763075" w:rsidRDefault="006A14EC">
      <w:pPr>
        <w:jc w:val="both"/>
        <w:rPr>
          <w:sz w:val="22"/>
          <w:szCs w:val="22"/>
          <w:lang w:val="bg-BG"/>
        </w:rPr>
      </w:pPr>
      <w:r w:rsidRPr="00763075">
        <w:rPr>
          <w:sz w:val="22"/>
          <w:szCs w:val="22"/>
          <w:lang w:val="bg-BG"/>
        </w:rPr>
        <w:t>5 години</w:t>
      </w:r>
    </w:p>
    <w:p w14:paraId="421AB5F6" w14:textId="77777777" w:rsidR="006A14EC" w:rsidRPr="00763075" w:rsidRDefault="006A14EC">
      <w:pPr>
        <w:jc w:val="both"/>
        <w:rPr>
          <w:b/>
          <w:sz w:val="22"/>
          <w:szCs w:val="22"/>
          <w:lang w:val="bg-BG"/>
        </w:rPr>
      </w:pPr>
    </w:p>
    <w:p w14:paraId="15C36EEB" w14:textId="579C9319" w:rsidR="006F55F3" w:rsidRPr="00763075" w:rsidRDefault="00774CE5">
      <w:pPr>
        <w:jc w:val="both"/>
        <w:outlineLvl w:val="0"/>
        <w:rPr>
          <w:noProof/>
          <w:sz w:val="22"/>
          <w:szCs w:val="22"/>
          <w:lang w:val="bg-BG"/>
        </w:rPr>
      </w:pPr>
      <w:r w:rsidRPr="00763075">
        <w:rPr>
          <w:b/>
          <w:noProof/>
          <w:sz w:val="22"/>
          <w:szCs w:val="22"/>
          <w:lang w:val="bg-BG"/>
        </w:rPr>
        <w:t>6.4</w:t>
      </w:r>
      <w:r w:rsidR="004D0E1C" w:rsidRPr="00763075">
        <w:rPr>
          <w:b/>
          <w:noProof/>
          <w:sz w:val="22"/>
          <w:szCs w:val="22"/>
          <w:lang w:val="bg-BG"/>
        </w:rPr>
        <w:t xml:space="preserve"> </w:t>
      </w:r>
      <w:r w:rsidR="006F55F3" w:rsidRPr="00763075">
        <w:rPr>
          <w:b/>
          <w:sz w:val="22"/>
          <w:szCs w:val="22"/>
          <w:lang w:val="bg-BG"/>
        </w:rPr>
        <w:t>Специални условия на съхранение</w:t>
      </w:r>
    </w:p>
    <w:p w14:paraId="0582EAF7" w14:textId="77777777" w:rsidR="006F55F3" w:rsidRPr="00763075" w:rsidRDefault="006F55F3">
      <w:pPr>
        <w:jc w:val="both"/>
        <w:rPr>
          <w:sz w:val="22"/>
          <w:szCs w:val="22"/>
          <w:lang w:val="bg-BG"/>
        </w:rPr>
      </w:pPr>
    </w:p>
    <w:p w14:paraId="0A7CC50C" w14:textId="77777777" w:rsidR="0097160A" w:rsidRPr="00F04A21" w:rsidRDefault="0097160A">
      <w:pPr>
        <w:rPr>
          <w:sz w:val="22"/>
          <w:szCs w:val="22"/>
          <w:lang w:val="bg-BG"/>
        </w:rPr>
      </w:pPr>
      <w:r w:rsidRPr="00763075">
        <w:rPr>
          <w:sz w:val="22"/>
          <w:szCs w:val="22"/>
          <w:lang w:val="bg-BG"/>
        </w:rPr>
        <w:t>Няма специални температурни условия за съхранение.</w:t>
      </w:r>
    </w:p>
    <w:p w14:paraId="6FA0237D" w14:textId="77777777" w:rsidR="006A14EC" w:rsidRPr="00763075" w:rsidRDefault="006A14EC">
      <w:pPr>
        <w:jc w:val="both"/>
        <w:rPr>
          <w:sz w:val="22"/>
          <w:szCs w:val="22"/>
          <w:lang w:val="bg-BG"/>
        </w:rPr>
      </w:pPr>
    </w:p>
    <w:p w14:paraId="6D7E7336" w14:textId="25FE17ED" w:rsidR="006A14EC" w:rsidRPr="00170DBA" w:rsidRDefault="0097160A">
      <w:pPr>
        <w:jc w:val="both"/>
        <w:rPr>
          <w:sz w:val="22"/>
          <w:szCs w:val="22"/>
          <w:lang w:val="bg-BG"/>
        </w:rPr>
      </w:pPr>
      <w:r w:rsidRPr="00763075">
        <w:rPr>
          <w:sz w:val="22"/>
          <w:szCs w:val="22"/>
          <w:lang w:val="bg-BG"/>
        </w:rPr>
        <w:t>Да</w:t>
      </w:r>
      <w:r w:rsidR="006A14EC" w:rsidRPr="00170DBA">
        <w:rPr>
          <w:sz w:val="22"/>
          <w:szCs w:val="22"/>
          <w:lang w:val="bg-BG"/>
        </w:rPr>
        <w:t xml:space="preserve"> се съхранява във външната картонена опаковка</w:t>
      </w:r>
      <w:r w:rsidR="00C47660" w:rsidRPr="00170DBA">
        <w:rPr>
          <w:sz w:val="22"/>
          <w:szCs w:val="22"/>
          <w:lang w:val="bg-BG"/>
        </w:rPr>
        <w:t>,</w:t>
      </w:r>
      <w:r w:rsidR="006A14EC" w:rsidRPr="00170DBA">
        <w:rPr>
          <w:sz w:val="22"/>
          <w:szCs w:val="22"/>
          <w:lang w:val="bg-BG"/>
        </w:rPr>
        <w:t xml:space="preserve"> </w:t>
      </w:r>
      <w:r w:rsidRPr="00170DBA">
        <w:rPr>
          <w:sz w:val="22"/>
          <w:szCs w:val="22"/>
          <w:lang w:val="bg-BG"/>
        </w:rPr>
        <w:t>за да се пази от светлина.</w:t>
      </w:r>
    </w:p>
    <w:p w14:paraId="2716C1C0" w14:textId="77777777" w:rsidR="006A14EC" w:rsidRPr="00290B20" w:rsidRDefault="006A14EC">
      <w:pPr>
        <w:jc w:val="both"/>
        <w:rPr>
          <w:b/>
          <w:sz w:val="22"/>
          <w:szCs w:val="22"/>
          <w:lang w:val="bg-BG"/>
        </w:rPr>
      </w:pPr>
    </w:p>
    <w:p w14:paraId="2F13A237" w14:textId="6DA4CFB2" w:rsidR="006F55F3" w:rsidRPr="00170DBA" w:rsidRDefault="00774CE5">
      <w:pPr>
        <w:jc w:val="both"/>
        <w:rPr>
          <w:b/>
          <w:sz w:val="22"/>
          <w:szCs w:val="22"/>
          <w:lang w:val="bg-BG"/>
        </w:rPr>
      </w:pPr>
      <w:r w:rsidRPr="00290B20">
        <w:rPr>
          <w:b/>
          <w:sz w:val="22"/>
          <w:szCs w:val="22"/>
          <w:lang w:val="bg-BG"/>
        </w:rPr>
        <w:t>6.5</w:t>
      </w:r>
      <w:r w:rsidR="004D0E1C" w:rsidRPr="00290B20">
        <w:rPr>
          <w:b/>
          <w:sz w:val="22"/>
          <w:szCs w:val="22"/>
          <w:lang w:val="bg-BG"/>
        </w:rPr>
        <w:t xml:space="preserve"> </w:t>
      </w:r>
      <w:r w:rsidR="00170DBA">
        <w:rPr>
          <w:b/>
          <w:sz w:val="22"/>
          <w:szCs w:val="22"/>
          <w:lang w:val="bg-BG"/>
        </w:rPr>
        <w:t>Вид и съдържание на</w:t>
      </w:r>
      <w:r w:rsidR="006F55F3" w:rsidRPr="00170DBA">
        <w:rPr>
          <w:b/>
          <w:sz w:val="22"/>
          <w:szCs w:val="22"/>
          <w:lang w:val="bg-BG"/>
        </w:rPr>
        <w:t xml:space="preserve"> опаковката</w:t>
      </w:r>
    </w:p>
    <w:p w14:paraId="1F42EC0D" w14:textId="77777777" w:rsidR="006F55F3" w:rsidRPr="00290B20" w:rsidRDefault="006F55F3">
      <w:pPr>
        <w:jc w:val="both"/>
        <w:rPr>
          <w:sz w:val="22"/>
          <w:szCs w:val="22"/>
          <w:lang w:val="bg-BG"/>
        </w:rPr>
      </w:pPr>
    </w:p>
    <w:p w14:paraId="656680EB" w14:textId="46184FFF" w:rsidR="00D73390" w:rsidRPr="00763075" w:rsidRDefault="00A97652">
      <w:pPr>
        <w:pStyle w:val="Heading7"/>
        <w:rPr>
          <w:rFonts w:ascii="Times New Roman" w:hAnsi="Times New Roman"/>
          <w:sz w:val="22"/>
          <w:szCs w:val="22"/>
        </w:rPr>
      </w:pPr>
      <w:r w:rsidRPr="00290B20">
        <w:rPr>
          <w:rFonts w:ascii="Times New Roman" w:hAnsi="Times New Roman"/>
          <w:sz w:val="22"/>
          <w:szCs w:val="22"/>
        </w:rPr>
        <w:t xml:space="preserve">Филмираните </w:t>
      </w:r>
      <w:r w:rsidR="00D73390" w:rsidRPr="00290B20">
        <w:rPr>
          <w:rFonts w:ascii="Times New Roman" w:hAnsi="Times New Roman"/>
          <w:sz w:val="22"/>
          <w:szCs w:val="22"/>
        </w:rPr>
        <w:t xml:space="preserve">таблетки </w:t>
      </w:r>
      <w:r w:rsidR="00D73390" w:rsidRPr="00290B20">
        <w:rPr>
          <w:rFonts w:ascii="Times New Roman" w:hAnsi="Times New Roman"/>
          <w:noProof/>
          <w:sz w:val="22"/>
          <w:szCs w:val="22"/>
        </w:rPr>
        <w:t>се опаковат</w:t>
      </w:r>
      <w:r w:rsidR="00D73390" w:rsidRPr="00290B20">
        <w:rPr>
          <w:rFonts w:ascii="Times New Roman" w:hAnsi="Times New Roman"/>
          <w:i/>
          <w:noProof/>
          <w:sz w:val="22"/>
          <w:szCs w:val="22"/>
        </w:rPr>
        <w:t xml:space="preserve"> </w:t>
      </w:r>
      <w:r w:rsidR="006A14EC" w:rsidRPr="00290B20">
        <w:rPr>
          <w:rFonts w:ascii="Times New Roman" w:hAnsi="Times New Roman"/>
          <w:sz w:val="22"/>
          <w:szCs w:val="22"/>
        </w:rPr>
        <w:t xml:space="preserve">в </w:t>
      </w:r>
      <w:r w:rsidRPr="00763075">
        <w:rPr>
          <w:rFonts w:ascii="Times New Roman" w:hAnsi="Times New Roman"/>
          <w:sz w:val="22"/>
          <w:szCs w:val="22"/>
        </w:rPr>
        <w:t>термоформ</w:t>
      </w:r>
      <w:r w:rsidR="00E511AA" w:rsidRPr="00763075">
        <w:rPr>
          <w:rFonts w:ascii="Times New Roman" w:hAnsi="Times New Roman"/>
          <w:sz w:val="22"/>
          <w:szCs w:val="22"/>
        </w:rPr>
        <w:t>ов</w:t>
      </w:r>
      <w:r w:rsidRPr="00763075">
        <w:rPr>
          <w:rFonts w:ascii="Times New Roman" w:hAnsi="Times New Roman"/>
          <w:sz w:val="22"/>
          <w:szCs w:val="22"/>
        </w:rPr>
        <w:t xml:space="preserve">ани </w:t>
      </w:r>
      <w:r w:rsidR="006A14EC" w:rsidRPr="00763075">
        <w:rPr>
          <w:rFonts w:ascii="Times New Roman" w:hAnsi="Times New Roman"/>
          <w:sz w:val="22"/>
          <w:szCs w:val="22"/>
        </w:rPr>
        <w:t xml:space="preserve">PVC/алуминиеви </w:t>
      </w:r>
      <w:r w:rsidR="006F55F3" w:rsidRPr="00763075">
        <w:rPr>
          <w:rFonts w:ascii="Times New Roman" w:hAnsi="Times New Roman"/>
          <w:sz w:val="22"/>
          <w:szCs w:val="22"/>
        </w:rPr>
        <w:t>блистер</w:t>
      </w:r>
      <w:r w:rsidR="006A14EC" w:rsidRPr="00763075">
        <w:rPr>
          <w:rFonts w:ascii="Times New Roman" w:hAnsi="Times New Roman"/>
          <w:sz w:val="22"/>
          <w:szCs w:val="22"/>
        </w:rPr>
        <w:t>и</w:t>
      </w:r>
      <w:r w:rsidR="00D73390" w:rsidRPr="00763075">
        <w:rPr>
          <w:rFonts w:ascii="Times New Roman" w:hAnsi="Times New Roman"/>
          <w:i/>
          <w:noProof/>
          <w:sz w:val="22"/>
          <w:szCs w:val="22"/>
        </w:rPr>
        <w:t xml:space="preserve">. </w:t>
      </w:r>
      <w:r w:rsidR="00D73390" w:rsidRPr="00763075">
        <w:rPr>
          <w:rFonts w:ascii="Times New Roman" w:hAnsi="Times New Roman"/>
          <w:sz w:val="22"/>
          <w:szCs w:val="22"/>
        </w:rPr>
        <w:t>Всяка картонена опаковка съдържа 25</w:t>
      </w:r>
      <w:r w:rsidR="00D73390" w:rsidRPr="00763075">
        <w:rPr>
          <w:rFonts w:ascii="Times New Roman" w:hAnsi="Times New Roman"/>
          <w:noProof/>
          <w:sz w:val="22"/>
          <w:szCs w:val="22"/>
        </w:rPr>
        <w:t xml:space="preserve"> филмирани таблетки.</w:t>
      </w:r>
    </w:p>
    <w:p w14:paraId="286C9B2D" w14:textId="77777777" w:rsidR="006A14EC" w:rsidRPr="00763075" w:rsidRDefault="006A14EC">
      <w:pPr>
        <w:jc w:val="both"/>
        <w:rPr>
          <w:sz w:val="22"/>
          <w:szCs w:val="22"/>
          <w:lang w:val="bg-BG"/>
        </w:rPr>
      </w:pPr>
    </w:p>
    <w:p w14:paraId="6989E516" w14:textId="2DC1B803" w:rsidR="006F55F3" w:rsidRPr="00763075" w:rsidRDefault="00774CE5">
      <w:pPr>
        <w:jc w:val="both"/>
        <w:outlineLvl w:val="0"/>
        <w:rPr>
          <w:noProof/>
          <w:sz w:val="22"/>
          <w:szCs w:val="22"/>
          <w:lang w:val="bg-BG"/>
        </w:rPr>
      </w:pPr>
      <w:r w:rsidRPr="00763075">
        <w:rPr>
          <w:b/>
          <w:noProof/>
          <w:sz w:val="22"/>
          <w:szCs w:val="22"/>
          <w:lang w:val="bg-BG"/>
        </w:rPr>
        <w:t>6.6</w:t>
      </w:r>
      <w:r w:rsidR="004D0E1C" w:rsidRPr="00763075">
        <w:rPr>
          <w:b/>
          <w:noProof/>
          <w:sz w:val="22"/>
          <w:szCs w:val="22"/>
          <w:lang w:val="bg-BG"/>
        </w:rPr>
        <w:t xml:space="preserve"> </w:t>
      </w:r>
      <w:r w:rsidR="006F55F3" w:rsidRPr="00763075">
        <w:rPr>
          <w:b/>
          <w:sz w:val="22"/>
          <w:szCs w:val="22"/>
          <w:lang w:val="bg-BG"/>
        </w:rPr>
        <w:t xml:space="preserve">Специални предпазни мерки при изхвърляне </w:t>
      </w:r>
    </w:p>
    <w:p w14:paraId="6A2671BA" w14:textId="77777777" w:rsidR="006F55F3" w:rsidRPr="00763075" w:rsidRDefault="006F55F3">
      <w:pPr>
        <w:jc w:val="both"/>
        <w:rPr>
          <w:noProof/>
          <w:sz w:val="22"/>
          <w:szCs w:val="22"/>
          <w:lang w:val="bg-BG"/>
        </w:rPr>
      </w:pPr>
    </w:p>
    <w:p w14:paraId="5FE5EC9F" w14:textId="77777777" w:rsidR="006F55F3" w:rsidRPr="00763075" w:rsidRDefault="006F55F3">
      <w:pPr>
        <w:jc w:val="both"/>
        <w:rPr>
          <w:sz w:val="22"/>
          <w:szCs w:val="22"/>
          <w:lang w:val="bg-BG"/>
        </w:rPr>
      </w:pPr>
      <w:r w:rsidRPr="00763075">
        <w:rPr>
          <w:sz w:val="22"/>
          <w:szCs w:val="22"/>
          <w:lang w:val="bg-BG"/>
        </w:rPr>
        <w:t>Няма специални изисквания.</w:t>
      </w:r>
    </w:p>
    <w:p w14:paraId="12B379DD" w14:textId="77777777" w:rsidR="006A14EC" w:rsidRPr="00763075" w:rsidRDefault="006A14EC">
      <w:pPr>
        <w:jc w:val="both"/>
        <w:rPr>
          <w:sz w:val="22"/>
          <w:szCs w:val="22"/>
          <w:lang w:val="bg-BG"/>
        </w:rPr>
      </w:pPr>
    </w:p>
    <w:p w14:paraId="0A56CE8F" w14:textId="77777777" w:rsidR="006F55F3" w:rsidRPr="00763075" w:rsidRDefault="006F55F3">
      <w:pPr>
        <w:jc w:val="both"/>
        <w:rPr>
          <w:sz w:val="22"/>
          <w:szCs w:val="22"/>
        </w:rPr>
      </w:pPr>
    </w:p>
    <w:p w14:paraId="3F3EEB10" w14:textId="7BBD24C7" w:rsidR="006F55F3" w:rsidRPr="00290B20" w:rsidRDefault="006F55F3" w:rsidP="00F04A21">
      <w:pPr>
        <w:keepNext/>
        <w:numPr>
          <w:ilvl w:val="0"/>
          <w:numId w:val="11"/>
        </w:numPr>
        <w:jc w:val="both"/>
        <w:rPr>
          <w:sz w:val="22"/>
          <w:szCs w:val="22"/>
          <w:lang w:val="bg-BG"/>
        </w:rPr>
      </w:pPr>
      <w:r w:rsidRPr="00290B20">
        <w:rPr>
          <w:b/>
          <w:sz w:val="22"/>
          <w:szCs w:val="22"/>
          <w:lang w:val="bg-BG"/>
        </w:rPr>
        <w:lastRenderedPageBreak/>
        <w:t>ПРИТЕЖАТЕЛ НА РАЗРЕШЕНИЕТО ЗА УПОТРЕБА</w:t>
      </w:r>
    </w:p>
    <w:p w14:paraId="6BCC979B" w14:textId="77777777" w:rsidR="006F55F3" w:rsidRPr="00290B20" w:rsidRDefault="006F55F3" w:rsidP="00F04A21">
      <w:pPr>
        <w:pStyle w:val="BodyText3"/>
        <w:keepNext/>
        <w:ind w:right="0"/>
        <w:rPr>
          <w:rFonts w:ascii="Times New Roman" w:hAnsi="Times New Roman"/>
          <w:sz w:val="22"/>
          <w:szCs w:val="22"/>
        </w:rPr>
      </w:pPr>
    </w:p>
    <w:p w14:paraId="22E10A80" w14:textId="77777777" w:rsidR="00B24A78" w:rsidRPr="00290B20" w:rsidRDefault="00B24A78" w:rsidP="00F04A21">
      <w:pPr>
        <w:keepNext/>
        <w:jc w:val="both"/>
        <w:rPr>
          <w:sz w:val="22"/>
          <w:szCs w:val="22"/>
          <w:lang w:val="bg-BG"/>
        </w:rPr>
      </w:pPr>
      <w:r w:rsidRPr="00290B20">
        <w:rPr>
          <w:sz w:val="22"/>
          <w:szCs w:val="22"/>
          <w:lang w:val="bg-BG"/>
        </w:rPr>
        <w:t>UCB Pharma SA</w:t>
      </w:r>
    </w:p>
    <w:p w14:paraId="2E5C8746" w14:textId="77777777" w:rsidR="00B24A78" w:rsidRPr="00290B20" w:rsidRDefault="00B24A78" w:rsidP="00F04A21">
      <w:pPr>
        <w:keepNext/>
        <w:jc w:val="both"/>
        <w:rPr>
          <w:sz w:val="22"/>
          <w:szCs w:val="22"/>
          <w:lang w:val="bg-BG"/>
        </w:rPr>
      </w:pPr>
      <w:r w:rsidRPr="00290B20">
        <w:rPr>
          <w:sz w:val="22"/>
          <w:szCs w:val="22"/>
          <w:lang w:val="bg-BG"/>
        </w:rPr>
        <w:t>Allee de la Recherche 60</w:t>
      </w:r>
    </w:p>
    <w:p w14:paraId="2EBE59CE" w14:textId="77777777" w:rsidR="00B24A78" w:rsidRPr="00290B20" w:rsidRDefault="00B24A78" w:rsidP="00F04A21">
      <w:pPr>
        <w:keepNext/>
        <w:jc w:val="both"/>
        <w:rPr>
          <w:sz w:val="22"/>
          <w:szCs w:val="22"/>
          <w:lang w:val="bg-BG"/>
        </w:rPr>
      </w:pPr>
      <w:r w:rsidRPr="00290B20">
        <w:rPr>
          <w:sz w:val="22"/>
          <w:szCs w:val="22"/>
          <w:lang w:val="bg-BG"/>
        </w:rPr>
        <w:t>B-1070 Brussels</w:t>
      </w:r>
    </w:p>
    <w:p w14:paraId="5787F15A" w14:textId="77777777" w:rsidR="00B24A78" w:rsidRPr="00290B20" w:rsidRDefault="00B24A78" w:rsidP="00F04A21">
      <w:pPr>
        <w:keepNext/>
        <w:jc w:val="both"/>
        <w:rPr>
          <w:sz w:val="22"/>
          <w:szCs w:val="22"/>
          <w:lang w:val="bg-BG"/>
        </w:rPr>
      </w:pPr>
      <w:r w:rsidRPr="00290B20">
        <w:rPr>
          <w:sz w:val="22"/>
          <w:szCs w:val="22"/>
          <w:lang w:val="bg-BG"/>
        </w:rPr>
        <w:t>Белгия</w:t>
      </w:r>
    </w:p>
    <w:p w14:paraId="1542E868" w14:textId="77777777" w:rsidR="006A14EC" w:rsidRPr="00290B20" w:rsidRDefault="006A14EC" w:rsidP="00290B20">
      <w:pPr>
        <w:jc w:val="both"/>
        <w:rPr>
          <w:sz w:val="22"/>
          <w:szCs w:val="22"/>
          <w:lang w:val="bg-BG"/>
        </w:rPr>
      </w:pPr>
    </w:p>
    <w:p w14:paraId="42DAA809" w14:textId="77777777" w:rsidR="006A14EC" w:rsidRPr="00290B20" w:rsidRDefault="006A14EC" w:rsidP="00290B20">
      <w:pPr>
        <w:jc w:val="both"/>
        <w:rPr>
          <w:sz w:val="22"/>
          <w:szCs w:val="22"/>
          <w:lang w:val="bg-BG"/>
        </w:rPr>
      </w:pPr>
    </w:p>
    <w:p w14:paraId="596D3B55" w14:textId="2238D065" w:rsidR="006C6DAE" w:rsidRPr="00763075" w:rsidRDefault="006C6DAE" w:rsidP="00290B20">
      <w:pPr>
        <w:numPr>
          <w:ilvl w:val="0"/>
          <w:numId w:val="11"/>
        </w:numPr>
        <w:jc w:val="both"/>
        <w:rPr>
          <w:b/>
          <w:sz w:val="22"/>
          <w:szCs w:val="22"/>
          <w:lang w:val="bg-BG"/>
        </w:rPr>
      </w:pPr>
      <w:r w:rsidRPr="00290B20">
        <w:rPr>
          <w:b/>
          <w:sz w:val="22"/>
          <w:szCs w:val="22"/>
          <w:lang w:val="bg-BG"/>
        </w:rPr>
        <w:t>НОМЕР</w:t>
      </w:r>
      <w:r w:rsidR="00774CE5" w:rsidRPr="00290B20">
        <w:rPr>
          <w:b/>
          <w:sz w:val="22"/>
          <w:szCs w:val="22"/>
          <w:lang w:val="bg-BG"/>
        </w:rPr>
        <w:t xml:space="preserve"> </w:t>
      </w:r>
      <w:r w:rsidRPr="00290B20">
        <w:rPr>
          <w:b/>
          <w:sz w:val="22"/>
          <w:szCs w:val="22"/>
          <w:lang w:val="bg-BG"/>
        </w:rPr>
        <w:t xml:space="preserve">НА РАЗРЕШЕНИЕТО ЗА УПОТРЕБА </w:t>
      </w:r>
    </w:p>
    <w:p w14:paraId="4E8A1275" w14:textId="77777777" w:rsidR="006A14EC" w:rsidRPr="00763075" w:rsidRDefault="006A14EC" w:rsidP="00290B20">
      <w:pPr>
        <w:jc w:val="both"/>
        <w:rPr>
          <w:sz w:val="22"/>
          <w:szCs w:val="22"/>
          <w:lang w:val="bg-BG"/>
        </w:rPr>
      </w:pPr>
    </w:p>
    <w:p w14:paraId="21F2DF88" w14:textId="77777777" w:rsidR="006C6DAE" w:rsidRPr="00763075" w:rsidRDefault="006C6DAE" w:rsidP="00290B20">
      <w:pPr>
        <w:jc w:val="both"/>
        <w:rPr>
          <w:sz w:val="22"/>
          <w:szCs w:val="22"/>
          <w:lang w:val="bg-BG"/>
        </w:rPr>
      </w:pPr>
      <w:r w:rsidRPr="00763075">
        <w:rPr>
          <w:sz w:val="22"/>
          <w:szCs w:val="22"/>
          <w:lang w:val="bg-BG"/>
        </w:rPr>
        <w:t>20030268</w:t>
      </w:r>
    </w:p>
    <w:p w14:paraId="7D7633C0" w14:textId="77777777" w:rsidR="006C6DAE" w:rsidRPr="00763075" w:rsidRDefault="006C6DAE">
      <w:pPr>
        <w:jc w:val="both"/>
        <w:rPr>
          <w:sz w:val="22"/>
          <w:szCs w:val="22"/>
          <w:lang w:val="bg-BG"/>
        </w:rPr>
      </w:pPr>
    </w:p>
    <w:p w14:paraId="3AAC5AAA" w14:textId="77777777" w:rsidR="006C6DAE" w:rsidRPr="00763075" w:rsidRDefault="006C6DAE">
      <w:pPr>
        <w:jc w:val="both"/>
        <w:rPr>
          <w:sz w:val="22"/>
          <w:szCs w:val="22"/>
          <w:lang w:val="bg-BG"/>
        </w:rPr>
      </w:pPr>
    </w:p>
    <w:p w14:paraId="011F06A6" w14:textId="789F6DF5" w:rsidR="006C6DAE" w:rsidRPr="00763075" w:rsidRDefault="006C6DAE">
      <w:pPr>
        <w:numPr>
          <w:ilvl w:val="0"/>
          <w:numId w:val="11"/>
        </w:numPr>
        <w:jc w:val="both"/>
        <w:rPr>
          <w:sz w:val="22"/>
          <w:szCs w:val="22"/>
          <w:lang w:val="bg-BG"/>
        </w:rPr>
      </w:pPr>
      <w:r w:rsidRPr="00763075">
        <w:rPr>
          <w:b/>
          <w:sz w:val="22"/>
          <w:szCs w:val="22"/>
          <w:lang w:val="bg-BG"/>
        </w:rPr>
        <w:t>ДАТА НА ПЪРВО РАЗРЕШАВАНЕ/ПОДНОВЯВАНЕ НА РАЗРЕШЕНИЕТО ЗА УПОТРЕБА</w:t>
      </w:r>
    </w:p>
    <w:p w14:paraId="1E4ECE72" w14:textId="77777777" w:rsidR="006C6DAE" w:rsidRPr="00763075" w:rsidRDefault="006C6DAE">
      <w:pPr>
        <w:jc w:val="both"/>
        <w:rPr>
          <w:i/>
          <w:sz w:val="22"/>
          <w:szCs w:val="22"/>
          <w:lang w:val="bg-BG"/>
        </w:rPr>
      </w:pPr>
    </w:p>
    <w:p w14:paraId="5052B179" w14:textId="77777777" w:rsidR="006C6DAE" w:rsidRPr="00763075" w:rsidRDefault="006C6DAE">
      <w:pPr>
        <w:jc w:val="both"/>
        <w:rPr>
          <w:sz w:val="22"/>
          <w:szCs w:val="22"/>
          <w:lang w:val="bg-BG"/>
        </w:rPr>
      </w:pPr>
      <w:r w:rsidRPr="00763075">
        <w:rPr>
          <w:sz w:val="22"/>
          <w:szCs w:val="22"/>
          <w:lang w:val="bg-BG"/>
        </w:rPr>
        <w:t xml:space="preserve">Дата на първа регистрация: </w:t>
      </w:r>
      <w:r w:rsidR="005349CD" w:rsidRPr="00763075">
        <w:rPr>
          <w:sz w:val="22"/>
          <w:szCs w:val="22"/>
          <w:lang w:val="bg-BG"/>
        </w:rPr>
        <w:t>01</w:t>
      </w:r>
      <w:r w:rsidRPr="00763075">
        <w:rPr>
          <w:sz w:val="22"/>
          <w:szCs w:val="22"/>
          <w:lang w:val="bg-BG"/>
        </w:rPr>
        <w:t xml:space="preserve"> </w:t>
      </w:r>
      <w:r w:rsidR="008A4E00" w:rsidRPr="00763075">
        <w:rPr>
          <w:sz w:val="22"/>
          <w:szCs w:val="22"/>
          <w:lang w:val="bg-BG"/>
        </w:rPr>
        <w:t>Януари</w:t>
      </w:r>
      <w:r w:rsidRPr="00763075">
        <w:rPr>
          <w:sz w:val="22"/>
          <w:szCs w:val="22"/>
          <w:lang w:val="bg-BG"/>
        </w:rPr>
        <w:t xml:space="preserve"> 19</w:t>
      </w:r>
      <w:r w:rsidR="005349CD" w:rsidRPr="00763075">
        <w:rPr>
          <w:sz w:val="22"/>
          <w:szCs w:val="22"/>
          <w:lang w:val="bg-BG"/>
        </w:rPr>
        <w:t>95</w:t>
      </w:r>
    </w:p>
    <w:p w14:paraId="0F6F4DEF" w14:textId="174A43D9" w:rsidR="006C6DAE" w:rsidRPr="00763075" w:rsidRDefault="006C6DAE">
      <w:pPr>
        <w:jc w:val="both"/>
        <w:rPr>
          <w:sz w:val="22"/>
          <w:szCs w:val="22"/>
          <w:lang w:val="bg-BG"/>
        </w:rPr>
      </w:pPr>
      <w:r w:rsidRPr="00763075">
        <w:rPr>
          <w:sz w:val="22"/>
          <w:szCs w:val="22"/>
          <w:lang w:val="bg-BG"/>
        </w:rPr>
        <w:t xml:space="preserve">Дата на последно подновяване: </w:t>
      </w:r>
      <w:r w:rsidR="00A97652" w:rsidRPr="00763075">
        <w:rPr>
          <w:sz w:val="22"/>
          <w:szCs w:val="22"/>
          <w:lang w:val="bg-BG"/>
        </w:rPr>
        <w:t>05 Август 2008</w:t>
      </w:r>
    </w:p>
    <w:p w14:paraId="3C0D72F6" w14:textId="77777777" w:rsidR="006C6DAE" w:rsidRPr="00763075" w:rsidRDefault="006C6DAE">
      <w:pPr>
        <w:jc w:val="both"/>
        <w:rPr>
          <w:sz w:val="22"/>
          <w:szCs w:val="22"/>
          <w:lang w:val="bg-BG"/>
        </w:rPr>
      </w:pPr>
    </w:p>
    <w:p w14:paraId="6B00167D" w14:textId="77777777" w:rsidR="006C6DAE" w:rsidRPr="00763075" w:rsidRDefault="006C6DAE">
      <w:pPr>
        <w:jc w:val="both"/>
        <w:rPr>
          <w:sz w:val="22"/>
          <w:szCs w:val="22"/>
          <w:lang w:val="bg-BG"/>
        </w:rPr>
      </w:pPr>
    </w:p>
    <w:p w14:paraId="7D6BB26A" w14:textId="77777777" w:rsidR="006C6DAE" w:rsidRPr="00763075" w:rsidRDefault="006C6DAE" w:rsidP="00F04A21">
      <w:pPr>
        <w:numPr>
          <w:ilvl w:val="0"/>
          <w:numId w:val="25"/>
        </w:numPr>
        <w:tabs>
          <w:tab w:val="left" w:pos="426"/>
        </w:tabs>
        <w:ind w:left="0" w:firstLine="0"/>
        <w:jc w:val="both"/>
        <w:rPr>
          <w:b/>
          <w:sz w:val="22"/>
          <w:szCs w:val="22"/>
          <w:lang w:val="bg-BG"/>
        </w:rPr>
      </w:pPr>
      <w:r w:rsidRPr="00763075">
        <w:rPr>
          <w:b/>
          <w:sz w:val="22"/>
          <w:szCs w:val="22"/>
          <w:lang w:val="bg-BG"/>
        </w:rPr>
        <w:t>ДАТА НА АКТУАЛИЗИРАНЕ НА ТЕКСТА</w:t>
      </w:r>
    </w:p>
    <w:p w14:paraId="27A89A33" w14:textId="77777777" w:rsidR="006A14EC" w:rsidRPr="00763075" w:rsidRDefault="006A14EC">
      <w:pPr>
        <w:jc w:val="both"/>
        <w:rPr>
          <w:b/>
          <w:sz w:val="22"/>
          <w:szCs w:val="22"/>
          <w:lang w:val="bg-BG"/>
        </w:rPr>
      </w:pPr>
    </w:p>
    <w:p w14:paraId="0A305C97" w14:textId="4B3D0B68" w:rsidR="006A14EC" w:rsidRPr="00790316" w:rsidRDefault="00170DBA">
      <w:pPr>
        <w:jc w:val="both"/>
        <w:rPr>
          <w:sz w:val="22"/>
          <w:szCs w:val="22"/>
        </w:rPr>
      </w:pPr>
      <w:r w:rsidRPr="00763075">
        <w:rPr>
          <w:sz w:val="22"/>
          <w:szCs w:val="22"/>
          <w:lang w:val="bg-BG"/>
        </w:rPr>
        <w:t>0</w:t>
      </w:r>
      <w:r>
        <w:rPr>
          <w:sz w:val="22"/>
          <w:szCs w:val="22"/>
          <w:lang w:val="bg-BG"/>
        </w:rPr>
        <w:t>9</w:t>
      </w:r>
      <w:r w:rsidR="00B24A78" w:rsidRPr="00170DBA">
        <w:rPr>
          <w:sz w:val="22"/>
          <w:szCs w:val="22"/>
          <w:lang w:val="bg-BG"/>
        </w:rPr>
        <w:t>/</w:t>
      </w:r>
      <w:r w:rsidR="003872F1" w:rsidRPr="00290B20">
        <w:rPr>
          <w:sz w:val="22"/>
          <w:szCs w:val="22"/>
          <w:lang w:val="bg-BG"/>
        </w:rPr>
        <w:t>201</w:t>
      </w:r>
      <w:r w:rsidR="003872F1">
        <w:rPr>
          <w:sz w:val="22"/>
          <w:szCs w:val="22"/>
        </w:rPr>
        <w:t>6</w:t>
      </w:r>
    </w:p>
    <w:sectPr w:rsidR="006A14EC" w:rsidRPr="00790316" w:rsidSect="001A7B21">
      <w:footerReference w:type="even" r:id="rId10"/>
      <w:footerReference w:type="default" r:id="rId11"/>
      <w:type w:val="oddPag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0C50A" w14:textId="77777777" w:rsidR="00C03FF4" w:rsidRDefault="00C03FF4">
      <w:r>
        <w:separator/>
      </w:r>
    </w:p>
  </w:endnote>
  <w:endnote w:type="continuationSeparator" w:id="0">
    <w:p w14:paraId="2754F9B6" w14:textId="77777777" w:rsidR="00C03FF4" w:rsidRDefault="00C03FF4">
      <w:r>
        <w:continuationSeparator/>
      </w:r>
    </w:p>
  </w:endnote>
  <w:endnote w:type="continuationNotice" w:id="1">
    <w:p w14:paraId="51B1CF43" w14:textId="77777777" w:rsidR="00C03FF4" w:rsidRDefault="00C03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CB9F5" w14:textId="77777777" w:rsidR="00B12B37" w:rsidRDefault="00B12B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C56F98C" w14:textId="77777777" w:rsidR="00B12B37" w:rsidRDefault="00B12B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AA3E6" w14:textId="77777777" w:rsidR="00B12B37" w:rsidRDefault="00B12B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0316">
      <w:rPr>
        <w:rStyle w:val="PageNumber"/>
        <w:noProof/>
      </w:rPr>
      <w:t>1</w:t>
    </w:r>
    <w:r>
      <w:rPr>
        <w:rStyle w:val="PageNumber"/>
      </w:rPr>
      <w:fldChar w:fldCharType="end"/>
    </w:r>
  </w:p>
  <w:p w14:paraId="616E6E9E" w14:textId="77777777" w:rsidR="00B12B37" w:rsidRDefault="00B12B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BC043" w14:textId="77777777" w:rsidR="00C03FF4" w:rsidRDefault="00C03FF4">
      <w:r>
        <w:separator/>
      </w:r>
    </w:p>
  </w:footnote>
  <w:footnote w:type="continuationSeparator" w:id="0">
    <w:p w14:paraId="501892EB" w14:textId="77777777" w:rsidR="00C03FF4" w:rsidRDefault="00C03FF4">
      <w:r>
        <w:continuationSeparator/>
      </w:r>
    </w:p>
  </w:footnote>
  <w:footnote w:type="continuationNotice" w:id="1">
    <w:p w14:paraId="1398BE95" w14:textId="77777777" w:rsidR="00C03FF4" w:rsidRDefault="00C03F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67F"/>
    <w:multiLevelType w:val="singleLevel"/>
    <w:tmpl w:val="E92A9C0C"/>
    <w:lvl w:ilvl="0">
      <w:start w:val="1"/>
      <w:numFmt w:val="decimal"/>
      <w:lvlText w:val="%1."/>
      <w:lvlJc w:val="left"/>
      <w:pPr>
        <w:tabs>
          <w:tab w:val="num" w:pos="372"/>
        </w:tabs>
        <w:ind w:left="372" w:hanging="372"/>
      </w:pPr>
      <w:rPr>
        <w:rFonts w:hint="default"/>
      </w:rPr>
    </w:lvl>
  </w:abstractNum>
  <w:abstractNum w:abstractNumId="1">
    <w:nsid w:val="044A2BC0"/>
    <w:multiLevelType w:val="hybridMultilevel"/>
    <w:tmpl w:val="4B5EB97C"/>
    <w:lvl w:ilvl="0" w:tplc="104467CA">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EA4372"/>
    <w:multiLevelType w:val="multilevel"/>
    <w:tmpl w:val="50089D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7D35BDC"/>
    <w:multiLevelType w:val="hybridMultilevel"/>
    <w:tmpl w:val="9FC83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620B6"/>
    <w:multiLevelType w:val="singleLevel"/>
    <w:tmpl w:val="4B22DB50"/>
    <w:lvl w:ilvl="0">
      <w:start w:val="1"/>
      <w:numFmt w:val="bullet"/>
      <w:lvlText w:val="-"/>
      <w:lvlJc w:val="left"/>
      <w:pPr>
        <w:tabs>
          <w:tab w:val="num" w:pos="360"/>
        </w:tabs>
        <w:ind w:left="360" w:hanging="360"/>
      </w:pPr>
      <w:rPr>
        <w:rFonts w:ascii="Times New Roman" w:hAnsi="Times New Roman" w:hint="default"/>
      </w:rPr>
    </w:lvl>
  </w:abstractNum>
  <w:abstractNum w:abstractNumId="5">
    <w:nsid w:val="0FCC43B7"/>
    <w:multiLevelType w:val="multilevel"/>
    <w:tmpl w:val="E7DC96E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012421E"/>
    <w:multiLevelType w:val="hybridMultilevel"/>
    <w:tmpl w:val="91B42F00"/>
    <w:lvl w:ilvl="0" w:tplc="D54AF73C">
      <w:start w:val="1"/>
      <w:numFmt w:val="bullet"/>
      <w:lvlText w:val=""/>
      <w:lvlJc w:val="left"/>
      <w:pPr>
        <w:tabs>
          <w:tab w:val="num" w:pos="360"/>
        </w:tabs>
        <w:ind w:left="36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147E620F"/>
    <w:multiLevelType w:val="hybridMultilevel"/>
    <w:tmpl w:val="33862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FB5A7D"/>
    <w:multiLevelType w:val="hybridMultilevel"/>
    <w:tmpl w:val="DA34C086"/>
    <w:lvl w:ilvl="0" w:tplc="74D47BAE">
      <w:numFmt w:val="bullet"/>
      <w:lvlText w:val="-"/>
      <w:lvlJc w:val="left"/>
      <w:pPr>
        <w:tabs>
          <w:tab w:val="num" w:pos="720"/>
        </w:tabs>
        <w:ind w:left="720" w:hanging="360"/>
      </w:pPr>
      <w:rPr>
        <w:rFont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
    <w:nsid w:val="1FB350D0"/>
    <w:multiLevelType w:val="hybridMultilevel"/>
    <w:tmpl w:val="EDF2099E"/>
    <w:lvl w:ilvl="0" w:tplc="D54AF73C">
      <w:start w:val="1"/>
      <w:numFmt w:val="bullet"/>
      <w:lvlText w:val=""/>
      <w:lvlJc w:val="left"/>
      <w:pPr>
        <w:tabs>
          <w:tab w:val="num" w:pos="360"/>
        </w:tabs>
        <w:ind w:left="36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1FFC37D0"/>
    <w:multiLevelType w:val="multilevel"/>
    <w:tmpl w:val="4E06BA04"/>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284A592E"/>
    <w:multiLevelType w:val="multilevel"/>
    <w:tmpl w:val="186C4DCA"/>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943332B"/>
    <w:multiLevelType w:val="hybridMultilevel"/>
    <w:tmpl w:val="E488E43A"/>
    <w:lvl w:ilvl="0" w:tplc="74D47BA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D086D"/>
    <w:multiLevelType w:val="hybridMultilevel"/>
    <w:tmpl w:val="B7C6C03A"/>
    <w:lvl w:ilvl="0" w:tplc="74D47BAE">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601089"/>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730690C"/>
    <w:multiLevelType w:val="hybridMultilevel"/>
    <w:tmpl w:val="902699E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3E9B0216"/>
    <w:multiLevelType w:val="hybridMultilevel"/>
    <w:tmpl w:val="16EE2976"/>
    <w:lvl w:ilvl="0" w:tplc="74D47BAE">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077257"/>
    <w:multiLevelType w:val="multilevel"/>
    <w:tmpl w:val="69B244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4F775A96"/>
    <w:multiLevelType w:val="multilevel"/>
    <w:tmpl w:val="8F9865D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4F873AB4"/>
    <w:multiLevelType w:val="multilevel"/>
    <w:tmpl w:val="A9FCC85A"/>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0BF7243"/>
    <w:multiLevelType w:val="hybridMultilevel"/>
    <w:tmpl w:val="DC02F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9A047B"/>
    <w:multiLevelType w:val="hybridMultilevel"/>
    <w:tmpl w:val="0C241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B747EB"/>
    <w:multiLevelType w:val="multilevel"/>
    <w:tmpl w:val="6ABC4782"/>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nsid w:val="5483617E"/>
    <w:multiLevelType w:val="hybridMultilevel"/>
    <w:tmpl w:val="CD0CD314"/>
    <w:lvl w:ilvl="0" w:tplc="74D47BAE">
      <w:numFmt w:val="bullet"/>
      <w:lvlText w:val="-"/>
      <w:lvlJc w:val="left"/>
      <w:pPr>
        <w:tabs>
          <w:tab w:val="num" w:pos="1494"/>
        </w:tabs>
        <w:ind w:left="1494" w:hanging="360"/>
      </w:pPr>
      <w:rPr>
        <w:rFonts w:hint="default"/>
      </w:rPr>
    </w:lvl>
    <w:lvl w:ilvl="1" w:tplc="040C0003">
      <w:start w:val="1"/>
      <w:numFmt w:val="bullet"/>
      <w:lvlText w:val="o"/>
      <w:lvlJc w:val="left"/>
      <w:pPr>
        <w:tabs>
          <w:tab w:val="num" w:pos="2214"/>
        </w:tabs>
        <w:ind w:left="2214" w:hanging="360"/>
      </w:pPr>
      <w:rPr>
        <w:rFonts w:ascii="Courier New" w:hAnsi="Courier New" w:cs="Courier New" w:hint="default"/>
      </w:rPr>
    </w:lvl>
    <w:lvl w:ilvl="2" w:tplc="040C0005">
      <w:start w:val="1"/>
      <w:numFmt w:val="bullet"/>
      <w:lvlText w:val=""/>
      <w:lvlJc w:val="left"/>
      <w:pPr>
        <w:tabs>
          <w:tab w:val="num" w:pos="2062"/>
        </w:tabs>
        <w:ind w:left="2062"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25">
    <w:nsid w:val="575D55E0"/>
    <w:multiLevelType w:val="multilevel"/>
    <w:tmpl w:val="889A19E2"/>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nsid w:val="57C44078"/>
    <w:multiLevelType w:val="multilevel"/>
    <w:tmpl w:val="F6942D7E"/>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5A6B1416"/>
    <w:multiLevelType w:val="multilevel"/>
    <w:tmpl w:val="AA167C6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5F7120A"/>
    <w:multiLevelType w:val="singleLevel"/>
    <w:tmpl w:val="89109854"/>
    <w:lvl w:ilvl="0">
      <w:start w:val="1"/>
      <w:numFmt w:val="decimal"/>
      <w:lvlText w:val="%1"/>
      <w:lvlJc w:val="left"/>
      <w:pPr>
        <w:tabs>
          <w:tab w:val="num" w:pos="360"/>
        </w:tabs>
        <w:ind w:left="360" w:hanging="360"/>
      </w:pPr>
      <w:rPr>
        <w:rFonts w:hint="default"/>
      </w:rPr>
    </w:lvl>
  </w:abstractNum>
  <w:abstractNum w:abstractNumId="29">
    <w:nsid w:val="66B33AE9"/>
    <w:multiLevelType w:val="hybridMultilevel"/>
    <w:tmpl w:val="ACA6E7F2"/>
    <w:lvl w:ilvl="0" w:tplc="F5822F64">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7F85E30"/>
    <w:multiLevelType w:val="multilevel"/>
    <w:tmpl w:val="291EAEF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EDD5FE0"/>
    <w:multiLevelType w:val="hybridMultilevel"/>
    <w:tmpl w:val="E0DAA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995E3D"/>
    <w:multiLevelType w:val="multilevel"/>
    <w:tmpl w:val="14C662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nsid w:val="72724002"/>
    <w:multiLevelType w:val="multilevel"/>
    <w:tmpl w:val="B85E8B04"/>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3B81DED"/>
    <w:multiLevelType w:val="hybridMultilevel"/>
    <w:tmpl w:val="1E7A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0832D7"/>
    <w:multiLevelType w:val="hybridMultilevel"/>
    <w:tmpl w:val="48A2C9BC"/>
    <w:lvl w:ilvl="0" w:tplc="D54AF73C">
      <w:start w:val="1"/>
      <w:numFmt w:val="bullet"/>
      <w:lvlText w:val=""/>
      <w:lvlJc w:val="left"/>
      <w:pPr>
        <w:tabs>
          <w:tab w:val="num" w:pos="360"/>
        </w:tabs>
        <w:ind w:left="36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nsid w:val="7757274B"/>
    <w:multiLevelType w:val="multilevel"/>
    <w:tmpl w:val="D3CE406E"/>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nsid w:val="77C45BF0"/>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795461D0"/>
    <w:multiLevelType w:val="hybridMultilevel"/>
    <w:tmpl w:val="64382FAC"/>
    <w:lvl w:ilvl="0" w:tplc="D54AF73C">
      <w:start w:val="1"/>
      <w:numFmt w:val="bullet"/>
      <w:lvlText w:val=""/>
      <w:lvlJc w:val="left"/>
      <w:pPr>
        <w:tabs>
          <w:tab w:val="num" w:pos="360"/>
        </w:tabs>
        <w:ind w:left="36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nsid w:val="7B250282"/>
    <w:multiLevelType w:val="hybridMultilevel"/>
    <w:tmpl w:val="F2FE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39412C"/>
    <w:multiLevelType w:val="hybridMultilevel"/>
    <w:tmpl w:val="EFC614EA"/>
    <w:lvl w:ilvl="0" w:tplc="D54AF73C">
      <w:start w:val="1"/>
      <w:numFmt w:val="bullet"/>
      <w:lvlText w:val=""/>
      <w:lvlJc w:val="left"/>
      <w:pPr>
        <w:tabs>
          <w:tab w:val="num" w:pos="360"/>
        </w:tabs>
        <w:ind w:left="36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25"/>
  </w:num>
  <w:num w:numId="4">
    <w:abstractNumId w:val="14"/>
  </w:num>
  <w:num w:numId="5">
    <w:abstractNumId w:val="20"/>
  </w:num>
  <w:num w:numId="6">
    <w:abstractNumId w:val="27"/>
  </w:num>
  <w:num w:numId="7">
    <w:abstractNumId w:val="4"/>
  </w:num>
  <w:num w:numId="8">
    <w:abstractNumId w:val="19"/>
  </w:num>
  <w:num w:numId="9">
    <w:abstractNumId w:val="28"/>
  </w:num>
  <w:num w:numId="10">
    <w:abstractNumId w:val="0"/>
  </w:num>
  <w:num w:numId="11">
    <w:abstractNumId w:val="10"/>
  </w:num>
  <w:num w:numId="12">
    <w:abstractNumId w:val="34"/>
  </w:num>
  <w:num w:numId="13">
    <w:abstractNumId w:val="18"/>
  </w:num>
  <w:num w:numId="14">
    <w:abstractNumId w:val="33"/>
  </w:num>
  <w:num w:numId="15">
    <w:abstractNumId w:val="2"/>
  </w:num>
  <w:num w:numId="16">
    <w:abstractNumId w:val="26"/>
  </w:num>
  <w:num w:numId="17">
    <w:abstractNumId w:val="5"/>
  </w:num>
  <w:num w:numId="18">
    <w:abstractNumId w:val="37"/>
  </w:num>
  <w:num w:numId="19">
    <w:abstractNumId w:val="31"/>
  </w:num>
  <w:num w:numId="20">
    <w:abstractNumId w:val="15"/>
  </w:num>
  <w:num w:numId="21">
    <w:abstractNumId w:val="21"/>
  </w:num>
  <w:num w:numId="22">
    <w:abstractNumId w:val="7"/>
  </w:num>
  <w:num w:numId="23">
    <w:abstractNumId w:val="22"/>
  </w:num>
  <w:num w:numId="24">
    <w:abstractNumId w:val="8"/>
  </w:num>
  <w:num w:numId="25">
    <w:abstractNumId w:val="1"/>
  </w:num>
  <w:num w:numId="26">
    <w:abstractNumId w:val="36"/>
  </w:num>
  <w:num w:numId="27">
    <w:abstractNumId w:val="41"/>
  </w:num>
  <w:num w:numId="28">
    <w:abstractNumId w:val="6"/>
  </w:num>
  <w:num w:numId="29">
    <w:abstractNumId w:val="39"/>
  </w:num>
  <w:num w:numId="30">
    <w:abstractNumId w:val="9"/>
  </w:num>
  <w:num w:numId="31">
    <w:abstractNumId w:val="11"/>
  </w:num>
  <w:num w:numId="32">
    <w:abstractNumId w:val="17"/>
  </w:num>
  <w:num w:numId="33">
    <w:abstractNumId w:val="13"/>
  </w:num>
  <w:num w:numId="34">
    <w:abstractNumId w:val="24"/>
  </w:num>
  <w:num w:numId="35">
    <w:abstractNumId w:val="29"/>
  </w:num>
  <w:num w:numId="36">
    <w:abstractNumId w:val="16"/>
  </w:num>
  <w:num w:numId="37">
    <w:abstractNumId w:val="32"/>
  </w:num>
  <w:num w:numId="38">
    <w:abstractNumId w:val="38"/>
  </w:num>
  <w:num w:numId="39">
    <w:abstractNumId w:val="3"/>
  </w:num>
  <w:num w:numId="40">
    <w:abstractNumId w:val="40"/>
  </w:num>
  <w:num w:numId="41">
    <w:abstractNumId w:val="1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3466"/>
    <w:rsid w:val="00000D2E"/>
    <w:rsid w:val="00007080"/>
    <w:rsid w:val="00013D33"/>
    <w:rsid w:val="00014AB3"/>
    <w:rsid w:val="000214D4"/>
    <w:rsid w:val="00022513"/>
    <w:rsid w:val="00025057"/>
    <w:rsid w:val="000331A1"/>
    <w:rsid w:val="00056788"/>
    <w:rsid w:val="00067687"/>
    <w:rsid w:val="00070C23"/>
    <w:rsid w:val="000779F1"/>
    <w:rsid w:val="00082C40"/>
    <w:rsid w:val="000A4E72"/>
    <w:rsid w:val="000B5DC2"/>
    <w:rsid w:val="000C243F"/>
    <w:rsid w:val="000C33AE"/>
    <w:rsid w:val="000D6481"/>
    <w:rsid w:val="000F355B"/>
    <w:rsid w:val="0010198A"/>
    <w:rsid w:val="00103B8B"/>
    <w:rsid w:val="00123AA1"/>
    <w:rsid w:val="00124790"/>
    <w:rsid w:val="001353D7"/>
    <w:rsid w:val="00137016"/>
    <w:rsid w:val="00143E01"/>
    <w:rsid w:val="00146951"/>
    <w:rsid w:val="001476AF"/>
    <w:rsid w:val="00155BA4"/>
    <w:rsid w:val="001600FB"/>
    <w:rsid w:val="001635AD"/>
    <w:rsid w:val="00170DBA"/>
    <w:rsid w:val="00184090"/>
    <w:rsid w:val="001A7B21"/>
    <w:rsid w:val="001D15E6"/>
    <w:rsid w:val="001D370F"/>
    <w:rsid w:val="001D3EAA"/>
    <w:rsid w:val="001D5A2E"/>
    <w:rsid w:val="001D5E72"/>
    <w:rsid w:val="001E29AE"/>
    <w:rsid w:val="001F4228"/>
    <w:rsid w:val="00207278"/>
    <w:rsid w:val="00216459"/>
    <w:rsid w:val="002232FD"/>
    <w:rsid w:val="0023096F"/>
    <w:rsid w:val="00233990"/>
    <w:rsid w:val="00234495"/>
    <w:rsid w:val="00240CB5"/>
    <w:rsid w:val="00246C11"/>
    <w:rsid w:val="00256747"/>
    <w:rsid w:val="00270E77"/>
    <w:rsid w:val="002739F6"/>
    <w:rsid w:val="00274909"/>
    <w:rsid w:val="00281A78"/>
    <w:rsid w:val="00290B20"/>
    <w:rsid w:val="00292D24"/>
    <w:rsid w:val="002A5490"/>
    <w:rsid w:val="002A57FE"/>
    <w:rsid w:val="002C47B2"/>
    <w:rsid w:val="002E19F7"/>
    <w:rsid w:val="002F0848"/>
    <w:rsid w:val="002F70C2"/>
    <w:rsid w:val="003074B3"/>
    <w:rsid w:val="0031311F"/>
    <w:rsid w:val="003210CD"/>
    <w:rsid w:val="00336722"/>
    <w:rsid w:val="00343E80"/>
    <w:rsid w:val="00344B19"/>
    <w:rsid w:val="00345025"/>
    <w:rsid w:val="0034556E"/>
    <w:rsid w:val="00355A81"/>
    <w:rsid w:val="00362C12"/>
    <w:rsid w:val="003679CB"/>
    <w:rsid w:val="00371859"/>
    <w:rsid w:val="00372772"/>
    <w:rsid w:val="00377436"/>
    <w:rsid w:val="00381C0E"/>
    <w:rsid w:val="003872F1"/>
    <w:rsid w:val="00395619"/>
    <w:rsid w:val="003A7032"/>
    <w:rsid w:val="003A7BD5"/>
    <w:rsid w:val="003B0D01"/>
    <w:rsid w:val="003F1F93"/>
    <w:rsid w:val="003F219D"/>
    <w:rsid w:val="00417939"/>
    <w:rsid w:val="00433DD4"/>
    <w:rsid w:val="0043414A"/>
    <w:rsid w:val="00437F04"/>
    <w:rsid w:val="004538BC"/>
    <w:rsid w:val="00456AF9"/>
    <w:rsid w:val="004655C4"/>
    <w:rsid w:val="0046685C"/>
    <w:rsid w:val="00471354"/>
    <w:rsid w:val="00471B73"/>
    <w:rsid w:val="00473AB1"/>
    <w:rsid w:val="00481BC5"/>
    <w:rsid w:val="00483164"/>
    <w:rsid w:val="00483466"/>
    <w:rsid w:val="0049034D"/>
    <w:rsid w:val="004A1BFD"/>
    <w:rsid w:val="004B0797"/>
    <w:rsid w:val="004C581D"/>
    <w:rsid w:val="004D0E1C"/>
    <w:rsid w:val="004D55CB"/>
    <w:rsid w:val="004D69B0"/>
    <w:rsid w:val="004E3672"/>
    <w:rsid w:val="004E3DB5"/>
    <w:rsid w:val="004F3568"/>
    <w:rsid w:val="004F7EB4"/>
    <w:rsid w:val="00502B97"/>
    <w:rsid w:val="00507473"/>
    <w:rsid w:val="00527F22"/>
    <w:rsid w:val="005349CD"/>
    <w:rsid w:val="00551132"/>
    <w:rsid w:val="00556127"/>
    <w:rsid w:val="005671FB"/>
    <w:rsid w:val="0057024B"/>
    <w:rsid w:val="00571E1D"/>
    <w:rsid w:val="00572395"/>
    <w:rsid w:val="00580CE9"/>
    <w:rsid w:val="00595A9B"/>
    <w:rsid w:val="005A3E56"/>
    <w:rsid w:val="005B00CC"/>
    <w:rsid w:val="005B7599"/>
    <w:rsid w:val="005B7C57"/>
    <w:rsid w:val="005D5249"/>
    <w:rsid w:val="005F35F9"/>
    <w:rsid w:val="005F3A0A"/>
    <w:rsid w:val="0060225B"/>
    <w:rsid w:val="006155AC"/>
    <w:rsid w:val="00634671"/>
    <w:rsid w:val="00641A6F"/>
    <w:rsid w:val="00642781"/>
    <w:rsid w:val="00656BE2"/>
    <w:rsid w:val="00657ED4"/>
    <w:rsid w:val="00665042"/>
    <w:rsid w:val="00675DE9"/>
    <w:rsid w:val="006854C3"/>
    <w:rsid w:val="006929F8"/>
    <w:rsid w:val="00694C8F"/>
    <w:rsid w:val="006A14D1"/>
    <w:rsid w:val="006A14EC"/>
    <w:rsid w:val="006A5A48"/>
    <w:rsid w:val="006C1246"/>
    <w:rsid w:val="006C6DAE"/>
    <w:rsid w:val="006D6F1C"/>
    <w:rsid w:val="006F549F"/>
    <w:rsid w:val="006F55F3"/>
    <w:rsid w:val="00700349"/>
    <w:rsid w:val="00707AEA"/>
    <w:rsid w:val="0071162B"/>
    <w:rsid w:val="00714989"/>
    <w:rsid w:val="007248C9"/>
    <w:rsid w:val="00724D7A"/>
    <w:rsid w:val="00724FF4"/>
    <w:rsid w:val="00730815"/>
    <w:rsid w:val="00734271"/>
    <w:rsid w:val="00744421"/>
    <w:rsid w:val="00760874"/>
    <w:rsid w:val="00763075"/>
    <w:rsid w:val="00771E07"/>
    <w:rsid w:val="00773ABB"/>
    <w:rsid w:val="00774042"/>
    <w:rsid w:val="00774CE5"/>
    <w:rsid w:val="00790316"/>
    <w:rsid w:val="00790BD9"/>
    <w:rsid w:val="007923D2"/>
    <w:rsid w:val="00792F80"/>
    <w:rsid w:val="007A5404"/>
    <w:rsid w:val="007C7A57"/>
    <w:rsid w:val="007D71C4"/>
    <w:rsid w:val="007F6747"/>
    <w:rsid w:val="007F7A77"/>
    <w:rsid w:val="00810FF1"/>
    <w:rsid w:val="0081428E"/>
    <w:rsid w:val="0084728F"/>
    <w:rsid w:val="00856AB3"/>
    <w:rsid w:val="00857D7A"/>
    <w:rsid w:val="008627FA"/>
    <w:rsid w:val="00862EF8"/>
    <w:rsid w:val="00871ACA"/>
    <w:rsid w:val="0087432E"/>
    <w:rsid w:val="00882F8F"/>
    <w:rsid w:val="0088689C"/>
    <w:rsid w:val="008A0E70"/>
    <w:rsid w:val="008A1D92"/>
    <w:rsid w:val="008A1FEC"/>
    <w:rsid w:val="008A26C4"/>
    <w:rsid w:val="008A4B50"/>
    <w:rsid w:val="008A4E00"/>
    <w:rsid w:val="008A5BD7"/>
    <w:rsid w:val="008C0592"/>
    <w:rsid w:val="008C3292"/>
    <w:rsid w:val="008D53A1"/>
    <w:rsid w:val="008E0DA8"/>
    <w:rsid w:val="008E6BF5"/>
    <w:rsid w:val="00900B99"/>
    <w:rsid w:val="0090586B"/>
    <w:rsid w:val="00914C9D"/>
    <w:rsid w:val="00917514"/>
    <w:rsid w:val="00920526"/>
    <w:rsid w:val="00920811"/>
    <w:rsid w:val="00941652"/>
    <w:rsid w:val="00941796"/>
    <w:rsid w:val="009422CB"/>
    <w:rsid w:val="00964F44"/>
    <w:rsid w:val="0097071A"/>
    <w:rsid w:val="0097160A"/>
    <w:rsid w:val="00992D86"/>
    <w:rsid w:val="0099711D"/>
    <w:rsid w:val="009A2C02"/>
    <w:rsid w:val="009A2FE4"/>
    <w:rsid w:val="009A7EEB"/>
    <w:rsid w:val="009B0588"/>
    <w:rsid w:val="009B3585"/>
    <w:rsid w:val="009B6D25"/>
    <w:rsid w:val="009C584A"/>
    <w:rsid w:val="009D280D"/>
    <w:rsid w:val="00A05336"/>
    <w:rsid w:val="00A078CD"/>
    <w:rsid w:val="00A105A2"/>
    <w:rsid w:val="00A20EFE"/>
    <w:rsid w:val="00A42A42"/>
    <w:rsid w:val="00A50491"/>
    <w:rsid w:val="00A57C88"/>
    <w:rsid w:val="00A60978"/>
    <w:rsid w:val="00A62BCD"/>
    <w:rsid w:val="00A735C3"/>
    <w:rsid w:val="00A76604"/>
    <w:rsid w:val="00A8187F"/>
    <w:rsid w:val="00A81C0B"/>
    <w:rsid w:val="00A97652"/>
    <w:rsid w:val="00AB7A13"/>
    <w:rsid w:val="00AD05FA"/>
    <w:rsid w:val="00AF2D37"/>
    <w:rsid w:val="00AF7051"/>
    <w:rsid w:val="00B03B9E"/>
    <w:rsid w:val="00B12B37"/>
    <w:rsid w:val="00B24A78"/>
    <w:rsid w:val="00B26475"/>
    <w:rsid w:val="00B51C74"/>
    <w:rsid w:val="00B55F8F"/>
    <w:rsid w:val="00B675C0"/>
    <w:rsid w:val="00B73234"/>
    <w:rsid w:val="00B74EED"/>
    <w:rsid w:val="00B81B81"/>
    <w:rsid w:val="00BA0956"/>
    <w:rsid w:val="00BC1575"/>
    <w:rsid w:val="00BC4F9B"/>
    <w:rsid w:val="00BC7B4F"/>
    <w:rsid w:val="00BD4E41"/>
    <w:rsid w:val="00BE2A74"/>
    <w:rsid w:val="00BF67DA"/>
    <w:rsid w:val="00C03FF4"/>
    <w:rsid w:val="00C137A8"/>
    <w:rsid w:val="00C31246"/>
    <w:rsid w:val="00C45E46"/>
    <w:rsid w:val="00C47660"/>
    <w:rsid w:val="00C61862"/>
    <w:rsid w:val="00C676E2"/>
    <w:rsid w:val="00C86E6A"/>
    <w:rsid w:val="00C87746"/>
    <w:rsid w:val="00C87970"/>
    <w:rsid w:val="00CC6A14"/>
    <w:rsid w:val="00CD4B7D"/>
    <w:rsid w:val="00CD51C4"/>
    <w:rsid w:val="00CE22C7"/>
    <w:rsid w:val="00D03270"/>
    <w:rsid w:val="00D11A74"/>
    <w:rsid w:val="00D20C3E"/>
    <w:rsid w:val="00D412B7"/>
    <w:rsid w:val="00D55D97"/>
    <w:rsid w:val="00D62D7D"/>
    <w:rsid w:val="00D636C4"/>
    <w:rsid w:val="00D65CD0"/>
    <w:rsid w:val="00D73390"/>
    <w:rsid w:val="00D94CE1"/>
    <w:rsid w:val="00D9500F"/>
    <w:rsid w:val="00DA6824"/>
    <w:rsid w:val="00DC53DB"/>
    <w:rsid w:val="00DC79D6"/>
    <w:rsid w:val="00DD79A1"/>
    <w:rsid w:val="00DF16EA"/>
    <w:rsid w:val="00DF7BDB"/>
    <w:rsid w:val="00E03FA0"/>
    <w:rsid w:val="00E05648"/>
    <w:rsid w:val="00E136B0"/>
    <w:rsid w:val="00E17EE2"/>
    <w:rsid w:val="00E34317"/>
    <w:rsid w:val="00E379E7"/>
    <w:rsid w:val="00E511AA"/>
    <w:rsid w:val="00E60489"/>
    <w:rsid w:val="00E64389"/>
    <w:rsid w:val="00E861E7"/>
    <w:rsid w:val="00EA09B6"/>
    <w:rsid w:val="00EB1A8D"/>
    <w:rsid w:val="00EB22CC"/>
    <w:rsid w:val="00EB3438"/>
    <w:rsid w:val="00EB6225"/>
    <w:rsid w:val="00EC5E8F"/>
    <w:rsid w:val="00EE6A0E"/>
    <w:rsid w:val="00EE7DAA"/>
    <w:rsid w:val="00EF1573"/>
    <w:rsid w:val="00F02517"/>
    <w:rsid w:val="00F02D63"/>
    <w:rsid w:val="00F04A21"/>
    <w:rsid w:val="00F31360"/>
    <w:rsid w:val="00F322BA"/>
    <w:rsid w:val="00F44CE5"/>
    <w:rsid w:val="00F56516"/>
    <w:rsid w:val="00F67582"/>
    <w:rsid w:val="00F82B30"/>
    <w:rsid w:val="00F961D9"/>
    <w:rsid w:val="00FA14AB"/>
    <w:rsid w:val="00FA6611"/>
    <w:rsid w:val="00FC1AD3"/>
    <w:rsid w:val="00FC66F4"/>
    <w:rsid w:val="00FD2F3D"/>
    <w:rsid w:val="00FE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bg-BG"/>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rFonts w:ascii="Arial" w:hAnsi="Arial"/>
      <w:b/>
      <w:sz w:val="36"/>
    </w:rPr>
  </w:style>
  <w:style w:type="paragraph" w:styleId="Heading3">
    <w:name w:val="heading 3"/>
    <w:basedOn w:val="Normal"/>
    <w:next w:val="Normal"/>
    <w:qFormat/>
    <w:pPr>
      <w:keepNext/>
      <w:jc w:val="both"/>
      <w:outlineLvl w:val="2"/>
    </w:pPr>
    <w:rPr>
      <w:rFonts w:ascii="Arial" w:hAnsi="Arial"/>
      <w:sz w:val="28"/>
      <w:lang w:val="bg-BG"/>
    </w:rPr>
  </w:style>
  <w:style w:type="paragraph" w:styleId="Heading4">
    <w:name w:val="heading 4"/>
    <w:basedOn w:val="Normal"/>
    <w:next w:val="Normal"/>
    <w:qFormat/>
    <w:pPr>
      <w:keepNext/>
      <w:jc w:val="both"/>
      <w:outlineLvl w:val="3"/>
    </w:pPr>
    <w:rPr>
      <w:rFonts w:ascii="Arial" w:hAnsi="Arial"/>
      <w:i/>
      <w:sz w:val="28"/>
      <w:lang w:val="bg-BG"/>
    </w:rPr>
  </w:style>
  <w:style w:type="paragraph" w:styleId="Heading5">
    <w:name w:val="heading 5"/>
    <w:basedOn w:val="Normal"/>
    <w:next w:val="Normal"/>
    <w:qFormat/>
    <w:pPr>
      <w:keepNext/>
      <w:jc w:val="both"/>
      <w:outlineLvl w:val="4"/>
    </w:pPr>
    <w:rPr>
      <w:rFonts w:ascii="Arial" w:hAnsi="Arial"/>
      <w:b/>
      <w:sz w:val="28"/>
      <w:lang w:val="bg-BG"/>
    </w:rPr>
  </w:style>
  <w:style w:type="paragraph" w:styleId="Heading6">
    <w:name w:val="heading 6"/>
    <w:basedOn w:val="Normal"/>
    <w:next w:val="Normal"/>
    <w:qFormat/>
    <w:pPr>
      <w:keepNext/>
      <w:outlineLvl w:val="5"/>
    </w:pPr>
    <w:rPr>
      <w:rFonts w:ascii="Arial" w:hAnsi="Arial"/>
      <w:b/>
      <w:sz w:val="28"/>
      <w:lang w:val="bg-BG"/>
    </w:rPr>
  </w:style>
  <w:style w:type="paragraph" w:styleId="Heading7">
    <w:name w:val="heading 7"/>
    <w:basedOn w:val="Normal"/>
    <w:next w:val="Normal"/>
    <w:qFormat/>
    <w:pPr>
      <w:keepNext/>
      <w:jc w:val="both"/>
      <w:outlineLvl w:val="6"/>
    </w:pPr>
    <w:rPr>
      <w:rFonts w:ascii="Arial" w:hAnsi="Arial"/>
      <w:sz w:val="24"/>
      <w:lang w:val="bg-BG"/>
    </w:rPr>
  </w:style>
  <w:style w:type="paragraph" w:styleId="Heading8">
    <w:name w:val="heading 8"/>
    <w:basedOn w:val="Normal"/>
    <w:next w:val="Normal"/>
    <w:qFormat/>
    <w:pPr>
      <w:keepNext/>
      <w:jc w:val="both"/>
      <w:outlineLvl w:val="7"/>
    </w:pPr>
    <w:rPr>
      <w:rFonts w:ascii="Arial" w:hAnsi="Arial"/>
      <w:b/>
      <w:i/>
      <w:sz w:val="24"/>
    </w:rPr>
  </w:style>
  <w:style w:type="paragraph" w:styleId="Heading9">
    <w:name w:val="heading 9"/>
    <w:basedOn w:val="Normal"/>
    <w:next w:val="Normal"/>
    <w:qFormat/>
    <w:pPr>
      <w:keepNext/>
      <w:ind w:right="-1091"/>
      <w:jc w:val="both"/>
      <w:outlineLvl w:val="8"/>
    </w:pPr>
    <w:rPr>
      <w:rFonts w:ascii="Arial" w:hAnsi="Arial"/>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8"/>
      <w:lang w:val="bg-BG"/>
    </w:rPr>
  </w:style>
  <w:style w:type="paragraph" w:styleId="BodyText2">
    <w:name w:val="Body Text 2"/>
    <w:basedOn w:val="Normal"/>
    <w:pPr>
      <w:jc w:val="both"/>
    </w:pPr>
    <w:rPr>
      <w:rFonts w:ascii="Arial" w:hAnsi="Arial"/>
      <w:i/>
      <w:sz w:val="28"/>
      <w:lang w:val="bg-BG"/>
    </w:rPr>
  </w:style>
  <w:style w:type="paragraph" w:styleId="BlockText">
    <w:name w:val="Block Text"/>
    <w:basedOn w:val="Normal"/>
    <w:pPr>
      <w:ind w:left="360" w:right="-1141"/>
      <w:jc w:val="both"/>
    </w:pPr>
    <w:rPr>
      <w:rFonts w:ascii="Arial" w:hAnsi="Arial"/>
      <w:sz w:val="24"/>
      <w:lang w:val="bg-BG"/>
    </w:rPr>
  </w:style>
  <w:style w:type="paragraph" w:styleId="BodyText3">
    <w:name w:val="Body Text 3"/>
    <w:basedOn w:val="Normal"/>
    <w:pPr>
      <w:ind w:right="-1091"/>
      <w:jc w:val="both"/>
    </w:pPr>
    <w:rPr>
      <w:rFonts w:ascii="Arial" w:hAnsi="Arial"/>
      <w:sz w:val="24"/>
      <w:lang w:val="bg-BG"/>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240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6824"/>
    <w:pPr>
      <w:autoSpaceDE w:val="0"/>
      <w:autoSpaceDN w:val="0"/>
      <w:adjustRightInd w:val="0"/>
    </w:pPr>
    <w:rPr>
      <w:color w:val="000000"/>
      <w:sz w:val="24"/>
      <w:szCs w:val="24"/>
    </w:rPr>
  </w:style>
  <w:style w:type="paragraph" w:styleId="BalloonText">
    <w:name w:val="Balloon Text"/>
    <w:basedOn w:val="Normal"/>
    <w:semiHidden/>
    <w:rsid w:val="00F31360"/>
    <w:rPr>
      <w:rFonts w:ascii="Tahoma" w:hAnsi="Tahoma" w:cs="Tahoma"/>
      <w:sz w:val="16"/>
      <w:szCs w:val="16"/>
    </w:rPr>
  </w:style>
  <w:style w:type="character" w:customStyle="1" w:styleId="hps">
    <w:name w:val="hps"/>
    <w:rsid w:val="00F56516"/>
  </w:style>
  <w:style w:type="character" w:customStyle="1" w:styleId="atn">
    <w:name w:val="atn"/>
    <w:rsid w:val="00882F8F"/>
  </w:style>
  <w:style w:type="paragraph" w:styleId="Header">
    <w:name w:val="header"/>
    <w:basedOn w:val="Normal"/>
    <w:link w:val="HeaderChar"/>
    <w:rsid w:val="002232FD"/>
    <w:pPr>
      <w:tabs>
        <w:tab w:val="center" w:pos="4703"/>
        <w:tab w:val="right" w:pos="9406"/>
      </w:tabs>
    </w:pPr>
  </w:style>
  <w:style w:type="character" w:customStyle="1" w:styleId="HeaderChar">
    <w:name w:val="Header Char"/>
    <w:basedOn w:val="DefaultParagraphFont"/>
    <w:link w:val="Header"/>
    <w:rsid w:val="002232FD"/>
    <w:rPr>
      <w:lang w:eastAsia="bg-BG"/>
    </w:rPr>
  </w:style>
  <w:style w:type="character" w:styleId="Hyperlink">
    <w:name w:val="Hyperlink"/>
    <w:uiPriority w:val="99"/>
    <w:rsid w:val="00007080"/>
    <w:rPr>
      <w:color w:val="0000FF"/>
      <w:u w:val="single"/>
    </w:rPr>
  </w:style>
  <w:style w:type="character" w:styleId="FollowedHyperlink">
    <w:name w:val="FollowedHyperlink"/>
    <w:basedOn w:val="DefaultParagraphFont"/>
    <w:rsid w:val="000070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bg-BG"/>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rFonts w:ascii="Arial" w:hAnsi="Arial"/>
      <w:b/>
      <w:sz w:val="36"/>
    </w:rPr>
  </w:style>
  <w:style w:type="paragraph" w:styleId="Heading3">
    <w:name w:val="heading 3"/>
    <w:basedOn w:val="Normal"/>
    <w:next w:val="Normal"/>
    <w:qFormat/>
    <w:pPr>
      <w:keepNext/>
      <w:jc w:val="both"/>
      <w:outlineLvl w:val="2"/>
    </w:pPr>
    <w:rPr>
      <w:rFonts w:ascii="Arial" w:hAnsi="Arial"/>
      <w:sz w:val="28"/>
      <w:lang w:val="bg-BG"/>
    </w:rPr>
  </w:style>
  <w:style w:type="paragraph" w:styleId="Heading4">
    <w:name w:val="heading 4"/>
    <w:basedOn w:val="Normal"/>
    <w:next w:val="Normal"/>
    <w:qFormat/>
    <w:pPr>
      <w:keepNext/>
      <w:jc w:val="both"/>
      <w:outlineLvl w:val="3"/>
    </w:pPr>
    <w:rPr>
      <w:rFonts w:ascii="Arial" w:hAnsi="Arial"/>
      <w:i/>
      <w:sz w:val="28"/>
      <w:lang w:val="bg-BG"/>
    </w:rPr>
  </w:style>
  <w:style w:type="paragraph" w:styleId="Heading5">
    <w:name w:val="heading 5"/>
    <w:basedOn w:val="Normal"/>
    <w:next w:val="Normal"/>
    <w:qFormat/>
    <w:pPr>
      <w:keepNext/>
      <w:jc w:val="both"/>
      <w:outlineLvl w:val="4"/>
    </w:pPr>
    <w:rPr>
      <w:rFonts w:ascii="Arial" w:hAnsi="Arial"/>
      <w:b/>
      <w:sz w:val="28"/>
      <w:lang w:val="bg-BG"/>
    </w:rPr>
  </w:style>
  <w:style w:type="paragraph" w:styleId="Heading6">
    <w:name w:val="heading 6"/>
    <w:basedOn w:val="Normal"/>
    <w:next w:val="Normal"/>
    <w:qFormat/>
    <w:pPr>
      <w:keepNext/>
      <w:outlineLvl w:val="5"/>
    </w:pPr>
    <w:rPr>
      <w:rFonts w:ascii="Arial" w:hAnsi="Arial"/>
      <w:b/>
      <w:sz w:val="28"/>
      <w:lang w:val="bg-BG"/>
    </w:rPr>
  </w:style>
  <w:style w:type="paragraph" w:styleId="Heading7">
    <w:name w:val="heading 7"/>
    <w:basedOn w:val="Normal"/>
    <w:next w:val="Normal"/>
    <w:qFormat/>
    <w:pPr>
      <w:keepNext/>
      <w:jc w:val="both"/>
      <w:outlineLvl w:val="6"/>
    </w:pPr>
    <w:rPr>
      <w:rFonts w:ascii="Arial" w:hAnsi="Arial"/>
      <w:sz w:val="24"/>
      <w:lang w:val="bg-BG"/>
    </w:rPr>
  </w:style>
  <w:style w:type="paragraph" w:styleId="Heading8">
    <w:name w:val="heading 8"/>
    <w:basedOn w:val="Normal"/>
    <w:next w:val="Normal"/>
    <w:qFormat/>
    <w:pPr>
      <w:keepNext/>
      <w:jc w:val="both"/>
      <w:outlineLvl w:val="7"/>
    </w:pPr>
    <w:rPr>
      <w:rFonts w:ascii="Arial" w:hAnsi="Arial"/>
      <w:b/>
      <w:i/>
      <w:sz w:val="24"/>
    </w:rPr>
  </w:style>
  <w:style w:type="paragraph" w:styleId="Heading9">
    <w:name w:val="heading 9"/>
    <w:basedOn w:val="Normal"/>
    <w:next w:val="Normal"/>
    <w:qFormat/>
    <w:pPr>
      <w:keepNext/>
      <w:ind w:right="-1091"/>
      <w:jc w:val="both"/>
      <w:outlineLvl w:val="8"/>
    </w:pPr>
    <w:rPr>
      <w:rFonts w:ascii="Arial" w:hAnsi="Arial"/>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8"/>
      <w:lang w:val="bg-BG"/>
    </w:rPr>
  </w:style>
  <w:style w:type="paragraph" w:styleId="BodyText2">
    <w:name w:val="Body Text 2"/>
    <w:basedOn w:val="Normal"/>
    <w:pPr>
      <w:jc w:val="both"/>
    </w:pPr>
    <w:rPr>
      <w:rFonts w:ascii="Arial" w:hAnsi="Arial"/>
      <w:i/>
      <w:sz w:val="28"/>
      <w:lang w:val="bg-BG"/>
    </w:rPr>
  </w:style>
  <w:style w:type="paragraph" w:styleId="BlockText">
    <w:name w:val="Block Text"/>
    <w:basedOn w:val="Normal"/>
    <w:pPr>
      <w:ind w:left="360" w:right="-1141"/>
      <w:jc w:val="both"/>
    </w:pPr>
    <w:rPr>
      <w:rFonts w:ascii="Arial" w:hAnsi="Arial"/>
      <w:sz w:val="24"/>
      <w:lang w:val="bg-BG"/>
    </w:rPr>
  </w:style>
  <w:style w:type="paragraph" w:styleId="BodyText3">
    <w:name w:val="Body Text 3"/>
    <w:basedOn w:val="Normal"/>
    <w:pPr>
      <w:ind w:right="-1091"/>
      <w:jc w:val="both"/>
    </w:pPr>
    <w:rPr>
      <w:rFonts w:ascii="Arial" w:hAnsi="Arial"/>
      <w:sz w:val="24"/>
      <w:lang w:val="bg-BG"/>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240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6824"/>
    <w:pPr>
      <w:autoSpaceDE w:val="0"/>
      <w:autoSpaceDN w:val="0"/>
      <w:adjustRightInd w:val="0"/>
    </w:pPr>
    <w:rPr>
      <w:color w:val="000000"/>
      <w:sz w:val="24"/>
      <w:szCs w:val="24"/>
    </w:rPr>
  </w:style>
  <w:style w:type="paragraph" w:styleId="BalloonText">
    <w:name w:val="Balloon Text"/>
    <w:basedOn w:val="Normal"/>
    <w:semiHidden/>
    <w:rsid w:val="00F31360"/>
    <w:rPr>
      <w:rFonts w:ascii="Tahoma" w:hAnsi="Tahoma" w:cs="Tahoma"/>
      <w:sz w:val="16"/>
      <w:szCs w:val="16"/>
    </w:rPr>
  </w:style>
  <w:style w:type="character" w:customStyle="1" w:styleId="hps">
    <w:name w:val="hps"/>
    <w:rsid w:val="00F56516"/>
  </w:style>
  <w:style w:type="character" w:customStyle="1" w:styleId="atn">
    <w:name w:val="atn"/>
    <w:rsid w:val="00882F8F"/>
  </w:style>
  <w:style w:type="paragraph" w:styleId="Header">
    <w:name w:val="header"/>
    <w:basedOn w:val="Normal"/>
    <w:link w:val="HeaderChar"/>
    <w:rsid w:val="002232FD"/>
    <w:pPr>
      <w:tabs>
        <w:tab w:val="center" w:pos="4703"/>
        <w:tab w:val="right" w:pos="9406"/>
      </w:tabs>
    </w:pPr>
  </w:style>
  <w:style w:type="character" w:customStyle="1" w:styleId="HeaderChar">
    <w:name w:val="Header Char"/>
    <w:basedOn w:val="DefaultParagraphFont"/>
    <w:link w:val="Header"/>
    <w:rsid w:val="002232FD"/>
    <w:rPr>
      <w:lang w:eastAsia="bg-BG"/>
    </w:rPr>
  </w:style>
  <w:style w:type="character" w:styleId="Hyperlink">
    <w:name w:val="Hyperlink"/>
    <w:uiPriority w:val="99"/>
    <w:rsid w:val="00007080"/>
    <w:rPr>
      <w:color w:val="0000FF"/>
      <w:u w:val="single"/>
    </w:rPr>
  </w:style>
  <w:style w:type="character" w:styleId="FollowedHyperlink">
    <w:name w:val="FollowedHyperlink"/>
    <w:basedOn w:val="DefaultParagraphFont"/>
    <w:rsid w:val="000070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1814">
      <w:bodyDiv w:val="1"/>
      <w:marLeft w:val="0"/>
      <w:marRight w:val="0"/>
      <w:marTop w:val="0"/>
      <w:marBottom w:val="0"/>
      <w:divBdr>
        <w:top w:val="none" w:sz="0" w:space="0" w:color="auto"/>
        <w:left w:val="none" w:sz="0" w:space="0" w:color="auto"/>
        <w:bottom w:val="none" w:sz="0" w:space="0" w:color="auto"/>
        <w:right w:val="none" w:sz="0" w:space="0" w:color="auto"/>
      </w:divBdr>
      <w:divsChild>
        <w:div w:id="1656959039">
          <w:marLeft w:val="0"/>
          <w:marRight w:val="0"/>
          <w:marTop w:val="0"/>
          <w:marBottom w:val="0"/>
          <w:divBdr>
            <w:top w:val="none" w:sz="0" w:space="0" w:color="auto"/>
            <w:left w:val="none" w:sz="0" w:space="0" w:color="auto"/>
            <w:bottom w:val="none" w:sz="0" w:space="0" w:color="auto"/>
            <w:right w:val="none" w:sz="0" w:space="0" w:color="auto"/>
          </w:divBdr>
          <w:divsChild>
            <w:div w:id="255022165">
              <w:marLeft w:val="0"/>
              <w:marRight w:val="0"/>
              <w:marTop w:val="0"/>
              <w:marBottom w:val="0"/>
              <w:divBdr>
                <w:top w:val="none" w:sz="0" w:space="0" w:color="auto"/>
                <w:left w:val="none" w:sz="0" w:space="0" w:color="auto"/>
                <w:bottom w:val="none" w:sz="0" w:space="0" w:color="auto"/>
                <w:right w:val="none" w:sz="0" w:space="0" w:color="auto"/>
              </w:divBdr>
              <w:divsChild>
                <w:div w:id="1669795561">
                  <w:marLeft w:val="0"/>
                  <w:marRight w:val="0"/>
                  <w:marTop w:val="0"/>
                  <w:marBottom w:val="0"/>
                  <w:divBdr>
                    <w:top w:val="none" w:sz="0" w:space="0" w:color="auto"/>
                    <w:left w:val="none" w:sz="0" w:space="0" w:color="auto"/>
                    <w:bottom w:val="none" w:sz="0" w:space="0" w:color="auto"/>
                    <w:right w:val="none" w:sz="0" w:space="0" w:color="auto"/>
                  </w:divBdr>
                  <w:divsChild>
                    <w:div w:id="413892503">
                      <w:marLeft w:val="0"/>
                      <w:marRight w:val="0"/>
                      <w:marTop w:val="0"/>
                      <w:marBottom w:val="0"/>
                      <w:divBdr>
                        <w:top w:val="none" w:sz="0" w:space="0" w:color="auto"/>
                        <w:left w:val="none" w:sz="0" w:space="0" w:color="auto"/>
                        <w:bottom w:val="none" w:sz="0" w:space="0" w:color="auto"/>
                        <w:right w:val="none" w:sz="0" w:space="0" w:color="auto"/>
                      </w:divBdr>
                      <w:divsChild>
                        <w:div w:id="309288216">
                          <w:marLeft w:val="0"/>
                          <w:marRight w:val="0"/>
                          <w:marTop w:val="0"/>
                          <w:marBottom w:val="0"/>
                          <w:divBdr>
                            <w:top w:val="none" w:sz="0" w:space="0" w:color="auto"/>
                            <w:left w:val="none" w:sz="0" w:space="0" w:color="auto"/>
                            <w:bottom w:val="none" w:sz="0" w:space="0" w:color="auto"/>
                            <w:right w:val="none" w:sz="0" w:space="0" w:color="auto"/>
                          </w:divBdr>
                          <w:divsChild>
                            <w:div w:id="1707556158">
                              <w:marLeft w:val="0"/>
                              <w:marRight w:val="0"/>
                              <w:marTop w:val="0"/>
                              <w:marBottom w:val="0"/>
                              <w:divBdr>
                                <w:top w:val="none" w:sz="0" w:space="0" w:color="auto"/>
                                <w:left w:val="none" w:sz="0" w:space="0" w:color="auto"/>
                                <w:bottom w:val="none" w:sz="0" w:space="0" w:color="auto"/>
                                <w:right w:val="none" w:sz="0" w:space="0" w:color="auto"/>
                              </w:divBdr>
                              <w:divsChild>
                                <w:div w:id="902566265">
                                  <w:marLeft w:val="0"/>
                                  <w:marRight w:val="0"/>
                                  <w:marTop w:val="0"/>
                                  <w:marBottom w:val="0"/>
                                  <w:divBdr>
                                    <w:top w:val="none" w:sz="0" w:space="0" w:color="auto"/>
                                    <w:left w:val="none" w:sz="0" w:space="0" w:color="auto"/>
                                    <w:bottom w:val="none" w:sz="0" w:space="0" w:color="auto"/>
                                    <w:right w:val="none" w:sz="0" w:space="0" w:color="auto"/>
                                  </w:divBdr>
                                  <w:divsChild>
                                    <w:div w:id="1296259413">
                                      <w:marLeft w:val="0"/>
                                      <w:marRight w:val="0"/>
                                      <w:marTop w:val="0"/>
                                      <w:marBottom w:val="0"/>
                                      <w:divBdr>
                                        <w:top w:val="single" w:sz="6" w:space="0" w:color="F5F5F5"/>
                                        <w:left w:val="single" w:sz="6" w:space="0" w:color="F5F5F5"/>
                                        <w:bottom w:val="single" w:sz="6" w:space="0" w:color="F5F5F5"/>
                                        <w:right w:val="single" w:sz="6" w:space="0" w:color="F5F5F5"/>
                                      </w:divBdr>
                                      <w:divsChild>
                                        <w:div w:id="856429898">
                                          <w:marLeft w:val="0"/>
                                          <w:marRight w:val="0"/>
                                          <w:marTop w:val="0"/>
                                          <w:marBottom w:val="0"/>
                                          <w:divBdr>
                                            <w:top w:val="none" w:sz="0" w:space="0" w:color="auto"/>
                                            <w:left w:val="none" w:sz="0" w:space="0" w:color="auto"/>
                                            <w:bottom w:val="none" w:sz="0" w:space="0" w:color="auto"/>
                                            <w:right w:val="none" w:sz="0" w:space="0" w:color="auto"/>
                                          </w:divBdr>
                                          <w:divsChild>
                                            <w:div w:id="12926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14630">
      <w:bodyDiv w:val="1"/>
      <w:marLeft w:val="0"/>
      <w:marRight w:val="0"/>
      <w:marTop w:val="0"/>
      <w:marBottom w:val="0"/>
      <w:divBdr>
        <w:top w:val="none" w:sz="0" w:space="0" w:color="auto"/>
        <w:left w:val="none" w:sz="0" w:space="0" w:color="auto"/>
        <w:bottom w:val="none" w:sz="0" w:space="0" w:color="auto"/>
        <w:right w:val="none" w:sz="0" w:space="0" w:color="auto"/>
      </w:divBdr>
      <w:divsChild>
        <w:div w:id="624656166">
          <w:marLeft w:val="0"/>
          <w:marRight w:val="0"/>
          <w:marTop w:val="0"/>
          <w:marBottom w:val="0"/>
          <w:divBdr>
            <w:top w:val="none" w:sz="0" w:space="0" w:color="auto"/>
            <w:left w:val="none" w:sz="0" w:space="0" w:color="auto"/>
            <w:bottom w:val="none" w:sz="0" w:space="0" w:color="auto"/>
            <w:right w:val="none" w:sz="0" w:space="0" w:color="auto"/>
          </w:divBdr>
          <w:divsChild>
            <w:div w:id="2039970178">
              <w:marLeft w:val="0"/>
              <w:marRight w:val="0"/>
              <w:marTop w:val="0"/>
              <w:marBottom w:val="0"/>
              <w:divBdr>
                <w:top w:val="none" w:sz="0" w:space="0" w:color="auto"/>
                <w:left w:val="none" w:sz="0" w:space="0" w:color="auto"/>
                <w:bottom w:val="none" w:sz="0" w:space="0" w:color="auto"/>
                <w:right w:val="none" w:sz="0" w:space="0" w:color="auto"/>
              </w:divBdr>
              <w:divsChild>
                <w:div w:id="109059474">
                  <w:marLeft w:val="0"/>
                  <w:marRight w:val="0"/>
                  <w:marTop w:val="0"/>
                  <w:marBottom w:val="0"/>
                  <w:divBdr>
                    <w:top w:val="none" w:sz="0" w:space="0" w:color="auto"/>
                    <w:left w:val="none" w:sz="0" w:space="0" w:color="auto"/>
                    <w:bottom w:val="none" w:sz="0" w:space="0" w:color="auto"/>
                    <w:right w:val="none" w:sz="0" w:space="0" w:color="auto"/>
                  </w:divBdr>
                  <w:divsChild>
                    <w:div w:id="688678325">
                      <w:marLeft w:val="0"/>
                      <w:marRight w:val="0"/>
                      <w:marTop w:val="0"/>
                      <w:marBottom w:val="0"/>
                      <w:divBdr>
                        <w:top w:val="none" w:sz="0" w:space="0" w:color="auto"/>
                        <w:left w:val="none" w:sz="0" w:space="0" w:color="auto"/>
                        <w:bottom w:val="none" w:sz="0" w:space="0" w:color="auto"/>
                        <w:right w:val="none" w:sz="0" w:space="0" w:color="auto"/>
                      </w:divBdr>
                      <w:divsChild>
                        <w:div w:id="231040375">
                          <w:marLeft w:val="0"/>
                          <w:marRight w:val="0"/>
                          <w:marTop w:val="0"/>
                          <w:marBottom w:val="0"/>
                          <w:divBdr>
                            <w:top w:val="none" w:sz="0" w:space="0" w:color="auto"/>
                            <w:left w:val="none" w:sz="0" w:space="0" w:color="auto"/>
                            <w:bottom w:val="none" w:sz="0" w:space="0" w:color="auto"/>
                            <w:right w:val="none" w:sz="0" w:space="0" w:color="auto"/>
                          </w:divBdr>
                          <w:divsChild>
                            <w:div w:id="323552056">
                              <w:marLeft w:val="0"/>
                              <w:marRight w:val="0"/>
                              <w:marTop w:val="0"/>
                              <w:marBottom w:val="0"/>
                              <w:divBdr>
                                <w:top w:val="none" w:sz="0" w:space="0" w:color="auto"/>
                                <w:left w:val="none" w:sz="0" w:space="0" w:color="auto"/>
                                <w:bottom w:val="none" w:sz="0" w:space="0" w:color="auto"/>
                                <w:right w:val="none" w:sz="0" w:space="0" w:color="auto"/>
                              </w:divBdr>
                              <w:divsChild>
                                <w:div w:id="929775304">
                                  <w:marLeft w:val="0"/>
                                  <w:marRight w:val="0"/>
                                  <w:marTop w:val="0"/>
                                  <w:marBottom w:val="0"/>
                                  <w:divBdr>
                                    <w:top w:val="single" w:sz="6" w:space="0" w:color="F5F5F5"/>
                                    <w:left w:val="single" w:sz="6" w:space="0" w:color="F5F5F5"/>
                                    <w:bottom w:val="single" w:sz="6" w:space="0" w:color="F5F5F5"/>
                                    <w:right w:val="single" w:sz="6" w:space="0" w:color="F5F5F5"/>
                                  </w:divBdr>
                                  <w:divsChild>
                                    <w:div w:id="1430078473">
                                      <w:marLeft w:val="0"/>
                                      <w:marRight w:val="0"/>
                                      <w:marTop w:val="0"/>
                                      <w:marBottom w:val="0"/>
                                      <w:divBdr>
                                        <w:top w:val="none" w:sz="0" w:space="0" w:color="auto"/>
                                        <w:left w:val="none" w:sz="0" w:space="0" w:color="auto"/>
                                        <w:bottom w:val="none" w:sz="0" w:space="0" w:color="auto"/>
                                        <w:right w:val="none" w:sz="0" w:space="0" w:color="auto"/>
                                      </w:divBdr>
                                      <w:divsChild>
                                        <w:div w:id="14543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17198">
      <w:bodyDiv w:val="1"/>
      <w:marLeft w:val="0"/>
      <w:marRight w:val="0"/>
      <w:marTop w:val="0"/>
      <w:marBottom w:val="0"/>
      <w:divBdr>
        <w:top w:val="none" w:sz="0" w:space="0" w:color="auto"/>
        <w:left w:val="none" w:sz="0" w:space="0" w:color="auto"/>
        <w:bottom w:val="none" w:sz="0" w:space="0" w:color="auto"/>
        <w:right w:val="none" w:sz="0" w:space="0" w:color="auto"/>
      </w:divBdr>
      <w:divsChild>
        <w:div w:id="1547910365">
          <w:marLeft w:val="0"/>
          <w:marRight w:val="0"/>
          <w:marTop w:val="0"/>
          <w:marBottom w:val="0"/>
          <w:divBdr>
            <w:top w:val="none" w:sz="0" w:space="0" w:color="auto"/>
            <w:left w:val="none" w:sz="0" w:space="0" w:color="auto"/>
            <w:bottom w:val="none" w:sz="0" w:space="0" w:color="auto"/>
            <w:right w:val="none" w:sz="0" w:space="0" w:color="auto"/>
          </w:divBdr>
          <w:divsChild>
            <w:div w:id="451631483">
              <w:marLeft w:val="0"/>
              <w:marRight w:val="0"/>
              <w:marTop w:val="0"/>
              <w:marBottom w:val="0"/>
              <w:divBdr>
                <w:top w:val="none" w:sz="0" w:space="0" w:color="auto"/>
                <w:left w:val="none" w:sz="0" w:space="0" w:color="auto"/>
                <w:bottom w:val="none" w:sz="0" w:space="0" w:color="auto"/>
                <w:right w:val="none" w:sz="0" w:space="0" w:color="auto"/>
              </w:divBdr>
              <w:divsChild>
                <w:div w:id="818494716">
                  <w:marLeft w:val="0"/>
                  <w:marRight w:val="0"/>
                  <w:marTop w:val="0"/>
                  <w:marBottom w:val="0"/>
                  <w:divBdr>
                    <w:top w:val="none" w:sz="0" w:space="0" w:color="auto"/>
                    <w:left w:val="none" w:sz="0" w:space="0" w:color="auto"/>
                    <w:bottom w:val="none" w:sz="0" w:space="0" w:color="auto"/>
                    <w:right w:val="none" w:sz="0" w:space="0" w:color="auto"/>
                  </w:divBdr>
                  <w:divsChild>
                    <w:div w:id="242186113">
                      <w:marLeft w:val="0"/>
                      <w:marRight w:val="0"/>
                      <w:marTop w:val="0"/>
                      <w:marBottom w:val="0"/>
                      <w:divBdr>
                        <w:top w:val="none" w:sz="0" w:space="0" w:color="auto"/>
                        <w:left w:val="none" w:sz="0" w:space="0" w:color="auto"/>
                        <w:bottom w:val="none" w:sz="0" w:space="0" w:color="auto"/>
                        <w:right w:val="none" w:sz="0" w:space="0" w:color="auto"/>
                      </w:divBdr>
                      <w:divsChild>
                        <w:div w:id="1635982992">
                          <w:marLeft w:val="0"/>
                          <w:marRight w:val="0"/>
                          <w:marTop w:val="0"/>
                          <w:marBottom w:val="0"/>
                          <w:divBdr>
                            <w:top w:val="none" w:sz="0" w:space="0" w:color="auto"/>
                            <w:left w:val="none" w:sz="0" w:space="0" w:color="auto"/>
                            <w:bottom w:val="none" w:sz="0" w:space="0" w:color="auto"/>
                            <w:right w:val="none" w:sz="0" w:space="0" w:color="auto"/>
                          </w:divBdr>
                          <w:divsChild>
                            <w:div w:id="1011102032">
                              <w:marLeft w:val="0"/>
                              <w:marRight w:val="0"/>
                              <w:marTop w:val="0"/>
                              <w:marBottom w:val="0"/>
                              <w:divBdr>
                                <w:top w:val="none" w:sz="0" w:space="0" w:color="auto"/>
                                <w:left w:val="none" w:sz="0" w:space="0" w:color="auto"/>
                                <w:bottom w:val="none" w:sz="0" w:space="0" w:color="auto"/>
                                <w:right w:val="none" w:sz="0" w:space="0" w:color="auto"/>
                              </w:divBdr>
                              <w:divsChild>
                                <w:div w:id="537205066">
                                  <w:marLeft w:val="0"/>
                                  <w:marRight w:val="0"/>
                                  <w:marTop w:val="0"/>
                                  <w:marBottom w:val="0"/>
                                  <w:divBdr>
                                    <w:top w:val="single" w:sz="6" w:space="0" w:color="F5F5F5"/>
                                    <w:left w:val="single" w:sz="6" w:space="0" w:color="F5F5F5"/>
                                    <w:bottom w:val="single" w:sz="6" w:space="0" w:color="F5F5F5"/>
                                    <w:right w:val="single" w:sz="6" w:space="0" w:color="F5F5F5"/>
                                  </w:divBdr>
                                  <w:divsChild>
                                    <w:div w:id="1962150473">
                                      <w:marLeft w:val="0"/>
                                      <w:marRight w:val="0"/>
                                      <w:marTop w:val="0"/>
                                      <w:marBottom w:val="0"/>
                                      <w:divBdr>
                                        <w:top w:val="none" w:sz="0" w:space="0" w:color="auto"/>
                                        <w:left w:val="none" w:sz="0" w:space="0" w:color="auto"/>
                                        <w:bottom w:val="none" w:sz="0" w:space="0" w:color="auto"/>
                                        <w:right w:val="none" w:sz="0" w:space="0" w:color="auto"/>
                                      </w:divBdr>
                                      <w:divsChild>
                                        <w:div w:id="10818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888252">
      <w:bodyDiv w:val="1"/>
      <w:marLeft w:val="0"/>
      <w:marRight w:val="0"/>
      <w:marTop w:val="0"/>
      <w:marBottom w:val="0"/>
      <w:divBdr>
        <w:top w:val="none" w:sz="0" w:space="0" w:color="auto"/>
        <w:left w:val="none" w:sz="0" w:space="0" w:color="auto"/>
        <w:bottom w:val="none" w:sz="0" w:space="0" w:color="auto"/>
        <w:right w:val="none" w:sz="0" w:space="0" w:color="auto"/>
      </w:divBdr>
    </w:div>
    <w:div w:id="444692624">
      <w:bodyDiv w:val="1"/>
      <w:marLeft w:val="0"/>
      <w:marRight w:val="0"/>
      <w:marTop w:val="0"/>
      <w:marBottom w:val="0"/>
      <w:divBdr>
        <w:top w:val="none" w:sz="0" w:space="0" w:color="auto"/>
        <w:left w:val="none" w:sz="0" w:space="0" w:color="auto"/>
        <w:bottom w:val="none" w:sz="0" w:space="0" w:color="auto"/>
        <w:right w:val="none" w:sz="0" w:space="0" w:color="auto"/>
      </w:divBdr>
      <w:divsChild>
        <w:div w:id="649941255">
          <w:marLeft w:val="0"/>
          <w:marRight w:val="0"/>
          <w:marTop w:val="0"/>
          <w:marBottom w:val="0"/>
          <w:divBdr>
            <w:top w:val="none" w:sz="0" w:space="0" w:color="auto"/>
            <w:left w:val="none" w:sz="0" w:space="0" w:color="auto"/>
            <w:bottom w:val="none" w:sz="0" w:space="0" w:color="auto"/>
            <w:right w:val="none" w:sz="0" w:space="0" w:color="auto"/>
          </w:divBdr>
          <w:divsChild>
            <w:div w:id="996878023">
              <w:marLeft w:val="0"/>
              <w:marRight w:val="0"/>
              <w:marTop w:val="0"/>
              <w:marBottom w:val="0"/>
              <w:divBdr>
                <w:top w:val="none" w:sz="0" w:space="0" w:color="auto"/>
                <w:left w:val="none" w:sz="0" w:space="0" w:color="auto"/>
                <w:bottom w:val="none" w:sz="0" w:space="0" w:color="auto"/>
                <w:right w:val="none" w:sz="0" w:space="0" w:color="auto"/>
              </w:divBdr>
              <w:divsChild>
                <w:div w:id="1419715511">
                  <w:marLeft w:val="0"/>
                  <w:marRight w:val="0"/>
                  <w:marTop w:val="0"/>
                  <w:marBottom w:val="0"/>
                  <w:divBdr>
                    <w:top w:val="none" w:sz="0" w:space="0" w:color="auto"/>
                    <w:left w:val="none" w:sz="0" w:space="0" w:color="auto"/>
                    <w:bottom w:val="none" w:sz="0" w:space="0" w:color="auto"/>
                    <w:right w:val="none" w:sz="0" w:space="0" w:color="auto"/>
                  </w:divBdr>
                  <w:divsChild>
                    <w:div w:id="1714575525">
                      <w:marLeft w:val="0"/>
                      <w:marRight w:val="0"/>
                      <w:marTop w:val="0"/>
                      <w:marBottom w:val="0"/>
                      <w:divBdr>
                        <w:top w:val="none" w:sz="0" w:space="0" w:color="auto"/>
                        <w:left w:val="none" w:sz="0" w:space="0" w:color="auto"/>
                        <w:bottom w:val="none" w:sz="0" w:space="0" w:color="auto"/>
                        <w:right w:val="none" w:sz="0" w:space="0" w:color="auto"/>
                      </w:divBdr>
                      <w:divsChild>
                        <w:div w:id="1660649070">
                          <w:marLeft w:val="0"/>
                          <w:marRight w:val="0"/>
                          <w:marTop w:val="0"/>
                          <w:marBottom w:val="0"/>
                          <w:divBdr>
                            <w:top w:val="none" w:sz="0" w:space="0" w:color="auto"/>
                            <w:left w:val="none" w:sz="0" w:space="0" w:color="auto"/>
                            <w:bottom w:val="none" w:sz="0" w:space="0" w:color="auto"/>
                            <w:right w:val="none" w:sz="0" w:space="0" w:color="auto"/>
                          </w:divBdr>
                          <w:divsChild>
                            <w:div w:id="1485514437">
                              <w:marLeft w:val="0"/>
                              <w:marRight w:val="0"/>
                              <w:marTop w:val="0"/>
                              <w:marBottom w:val="0"/>
                              <w:divBdr>
                                <w:top w:val="none" w:sz="0" w:space="0" w:color="auto"/>
                                <w:left w:val="none" w:sz="0" w:space="0" w:color="auto"/>
                                <w:bottom w:val="none" w:sz="0" w:space="0" w:color="auto"/>
                                <w:right w:val="none" w:sz="0" w:space="0" w:color="auto"/>
                              </w:divBdr>
                              <w:divsChild>
                                <w:div w:id="1569414303">
                                  <w:marLeft w:val="0"/>
                                  <w:marRight w:val="0"/>
                                  <w:marTop w:val="0"/>
                                  <w:marBottom w:val="0"/>
                                  <w:divBdr>
                                    <w:top w:val="single" w:sz="6" w:space="0" w:color="F5F5F5"/>
                                    <w:left w:val="single" w:sz="6" w:space="0" w:color="F5F5F5"/>
                                    <w:bottom w:val="single" w:sz="6" w:space="0" w:color="F5F5F5"/>
                                    <w:right w:val="single" w:sz="6" w:space="0" w:color="F5F5F5"/>
                                  </w:divBdr>
                                  <w:divsChild>
                                    <w:div w:id="453527076">
                                      <w:marLeft w:val="0"/>
                                      <w:marRight w:val="0"/>
                                      <w:marTop w:val="0"/>
                                      <w:marBottom w:val="0"/>
                                      <w:divBdr>
                                        <w:top w:val="none" w:sz="0" w:space="0" w:color="auto"/>
                                        <w:left w:val="none" w:sz="0" w:space="0" w:color="auto"/>
                                        <w:bottom w:val="none" w:sz="0" w:space="0" w:color="auto"/>
                                        <w:right w:val="none" w:sz="0" w:space="0" w:color="auto"/>
                                      </w:divBdr>
                                      <w:divsChild>
                                        <w:div w:id="1687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831523">
      <w:bodyDiv w:val="1"/>
      <w:marLeft w:val="0"/>
      <w:marRight w:val="0"/>
      <w:marTop w:val="0"/>
      <w:marBottom w:val="0"/>
      <w:divBdr>
        <w:top w:val="none" w:sz="0" w:space="0" w:color="auto"/>
        <w:left w:val="none" w:sz="0" w:space="0" w:color="auto"/>
        <w:bottom w:val="none" w:sz="0" w:space="0" w:color="auto"/>
        <w:right w:val="none" w:sz="0" w:space="0" w:color="auto"/>
      </w:divBdr>
    </w:div>
    <w:div w:id="1465200039">
      <w:bodyDiv w:val="1"/>
      <w:marLeft w:val="0"/>
      <w:marRight w:val="0"/>
      <w:marTop w:val="0"/>
      <w:marBottom w:val="0"/>
      <w:divBdr>
        <w:top w:val="none" w:sz="0" w:space="0" w:color="auto"/>
        <w:left w:val="none" w:sz="0" w:space="0" w:color="auto"/>
        <w:bottom w:val="none" w:sz="0" w:space="0" w:color="auto"/>
        <w:right w:val="none" w:sz="0" w:space="0" w:color="auto"/>
      </w:divBdr>
      <w:divsChild>
        <w:div w:id="1791436194">
          <w:marLeft w:val="0"/>
          <w:marRight w:val="0"/>
          <w:marTop w:val="0"/>
          <w:marBottom w:val="0"/>
          <w:divBdr>
            <w:top w:val="none" w:sz="0" w:space="0" w:color="auto"/>
            <w:left w:val="none" w:sz="0" w:space="0" w:color="auto"/>
            <w:bottom w:val="none" w:sz="0" w:space="0" w:color="auto"/>
            <w:right w:val="none" w:sz="0" w:space="0" w:color="auto"/>
          </w:divBdr>
          <w:divsChild>
            <w:div w:id="614950662">
              <w:marLeft w:val="0"/>
              <w:marRight w:val="0"/>
              <w:marTop w:val="0"/>
              <w:marBottom w:val="0"/>
              <w:divBdr>
                <w:top w:val="none" w:sz="0" w:space="0" w:color="auto"/>
                <w:left w:val="none" w:sz="0" w:space="0" w:color="auto"/>
                <w:bottom w:val="none" w:sz="0" w:space="0" w:color="auto"/>
                <w:right w:val="none" w:sz="0" w:space="0" w:color="auto"/>
              </w:divBdr>
              <w:divsChild>
                <w:div w:id="296186295">
                  <w:marLeft w:val="0"/>
                  <w:marRight w:val="0"/>
                  <w:marTop w:val="0"/>
                  <w:marBottom w:val="0"/>
                  <w:divBdr>
                    <w:top w:val="none" w:sz="0" w:space="0" w:color="auto"/>
                    <w:left w:val="none" w:sz="0" w:space="0" w:color="auto"/>
                    <w:bottom w:val="none" w:sz="0" w:space="0" w:color="auto"/>
                    <w:right w:val="none" w:sz="0" w:space="0" w:color="auto"/>
                  </w:divBdr>
                  <w:divsChild>
                    <w:div w:id="418841113">
                      <w:marLeft w:val="0"/>
                      <w:marRight w:val="0"/>
                      <w:marTop w:val="0"/>
                      <w:marBottom w:val="0"/>
                      <w:divBdr>
                        <w:top w:val="none" w:sz="0" w:space="0" w:color="auto"/>
                        <w:left w:val="none" w:sz="0" w:space="0" w:color="auto"/>
                        <w:bottom w:val="none" w:sz="0" w:space="0" w:color="auto"/>
                        <w:right w:val="none" w:sz="0" w:space="0" w:color="auto"/>
                      </w:divBdr>
                      <w:divsChild>
                        <w:div w:id="151531741">
                          <w:marLeft w:val="0"/>
                          <w:marRight w:val="0"/>
                          <w:marTop w:val="0"/>
                          <w:marBottom w:val="0"/>
                          <w:divBdr>
                            <w:top w:val="none" w:sz="0" w:space="0" w:color="auto"/>
                            <w:left w:val="none" w:sz="0" w:space="0" w:color="auto"/>
                            <w:bottom w:val="none" w:sz="0" w:space="0" w:color="auto"/>
                            <w:right w:val="none" w:sz="0" w:space="0" w:color="auto"/>
                          </w:divBdr>
                          <w:divsChild>
                            <w:div w:id="483741158">
                              <w:marLeft w:val="0"/>
                              <w:marRight w:val="0"/>
                              <w:marTop w:val="0"/>
                              <w:marBottom w:val="0"/>
                              <w:divBdr>
                                <w:top w:val="none" w:sz="0" w:space="0" w:color="auto"/>
                                <w:left w:val="none" w:sz="0" w:space="0" w:color="auto"/>
                                <w:bottom w:val="none" w:sz="0" w:space="0" w:color="auto"/>
                                <w:right w:val="none" w:sz="0" w:space="0" w:color="auto"/>
                              </w:divBdr>
                              <w:divsChild>
                                <w:div w:id="1413046540">
                                  <w:marLeft w:val="0"/>
                                  <w:marRight w:val="0"/>
                                  <w:marTop w:val="0"/>
                                  <w:marBottom w:val="0"/>
                                  <w:divBdr>
                                    <w:top w:val="none" w:sz="0" w:space="0" w:color="auto"/>
                                    <w:left w:val="none" w:sz="0" w:space="0" w:color="auto"/>
                                    <w:bottom w:val="none" w:sz="0" w:space="0" w:color="auto"/>
                                    <w:right w:val="none" w:sz="0" w:space="0" w:color="auto"/>
                                  </w:divBdr>
                                  <w:divsChild>
                                    <w:div w:id="512912600">
                                      <w:marLeft w:val="0"/>
                                      <w:marRight w:val="0"/>
                                      <w:marTop w:val="0"/>
                                      <w:marBottom w:val="0"/>
                                      <w:divBdr>
                                        <w:top w:val="single" w:sz="6" w:space="0" w:color="F5F5F5"/>
                                        <w:left w:val="single" w:sz="6" w:space="0" w:color="F5F5F5"/>
                                        <w:bottom w:val="single" w:sz="6" w:space="0" w:color="F5F5F5"/>
                                        <w:right w:val="single" w:sz="6" w:space="0" w:color="F5F5F5"/>
                                      </w:divBdr>
                                      <w:divsChild>
                                        <w:div w:id="804929021">
                                          <w:marLeft w:val="0"/>
                                          <w:marRight w:val="0"/>
                                          <w:marTop w:val="0"/>
                                          <w:marBottom w:val="0"/>
                                          <w:divBdr>
                                            <w:top w:val="none" w:sz="0" w:space="0" w:color="auto"/>
                                            <w:left w:val="none" w:sz="0" w:space="0" w:color="auto"/>
                                            <w:bottom w:val="none" w:sz="0" w:space="0" w:color="auto"/>
                                            <w:right w:val="none" w:sz="0" w:space="0" w:color="auto"/>
                                          </w:divBdr>
                                          <w:divsChild>
                                            <w:div w:id="20221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89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d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C3B4D-EF3F-4896-98C9-35E94D57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3717</Words>
  <Characters>23186</Characters>
  <Application>Microsoft Office Word</Application>
  <DocSecurity>0</DocSecurity>
  <Lines>644</Lines>
  <Paragraphs>407</Paragraphs>
  <ScaleCrop>false</ScaleCrop>
  <HeadingPairs>
    <vt:vector size="2" baseType="variant">
      <vt:variant>
        <vt:lpstr>Title</vt:lpstr>
      </vt:variant>
      <vt:variant>
        <vt:i4>1</vt:i4>
      </vt:variant>
    </vt:vector>
  </HeadingPairs>
  <TitlesOfParts>
    <vt:vector size="1" baseType="lpstr">
      <vt:lpstr>NOOTROPIL</vt:lpstr>
    </vt:vector>
  </TitlesOfParts>
  <Company>Boehringer Ingelheim Pharma</Company>
  <LinksUpToDate>false</LinksUpToDate>
  <CharactersWithSpaces>26496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NOOTROPIL</dc:title>
  <dc:creator>Petia Tochkova</dc:creator>
  <cp:lastModifiedBy>Chalashev Conyo</cp:lastModifiedBy>
  <cp:revision>3</cp:revision>
  <cp:lastPrinted>2015-09-03T15:00:00Z</cp:lastPrinted>
  <dcterms:created xsi:type="dcterms:W3CDTF">2016-09-02T16:19:00Z</dcterms:created>
  <dcterms:modified xsi:type="dcterms:W3CDTF">2016-09-02T16:19:00Z</dcterms:modified>
</cp:coreProperties>
</file>