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4BD5CE5" w:rsidR="00AA23EC" w:rsidRDefault="00DD466D" w:rsidP="00DD466D">
      <w:pPr>
        <w:pStyle w:val="Heading1"/>
      </w:pPr>
      <w:r>
        <w:t>1.ИМЕ НА ЛЕКАРСТВЕНИЯ ПРОДУКТ</w:t>
      </w:r>
    </w:p>
    <w:p w14:paraId="6FA17935" w14:textId="20B3D30D" w:rsidR="00C23FAD" w:rsidRDefault="00C23FAD" w:rsidP="00C23FAD"/>
    <w:p w14:paraId="317A55A9" w14:textId="77777777" w:rsidR="00C23FAD" w:rsidRPr="00C23FAD" w:rsidRDefault="00C23FAD" w:rsidP="00C23FAD">
      <w:pPr>
        <w:rPr>
          <w:sz w:val="24"/>
          <w:szCs w:val="24"/>
        </w:rPr>
      </w:pPr>
      <w:r w:rsidRPr="00C23FAD">
        <w:rPr>
          <w:lang w:eastAsia="bg-BG"/>
        </w:rPr>
        <w:t xml:space="preserve">Азатрил 500 </w:t>
      </w:r>
      <w:r w:rsidRPr="00C23FAD">
        <w:rPr>
          <w:lang w:val="en-US"/>
        </w:rPr>
        <w:t>mg</w:t>
      </w:r>
      <w:r w:rsidRPr="00C23FAD">
        <w:t xml:space="preserve"> </w:t>
      </w:r>
      <w:r w:rsidRPr="00C23FAD">
        <w:rPr>
          <w:lang w:eastAsia="bg-BG"/>
        </w:rPr>
        <w:t>филмирани таблетки</w:t>
      </w:r>
    </w:p>
    <w:p w14:paraId="2DB469AC" w14:textId="3D34F210" w:rsidR="00C23FAD" w:rsidRPr="00C23FAD" w:rsidRDefault="00C23FAD" w:rsidP="00C23FAD">
      <w:bookmarkStart w:id="1" w:name="_GoBack"/>
      <w:proofErr w:type="spellStart"/>
      <w:r w:rsidRPr="00C23FAD">
        <w:rPr>
          <w:lang w:val="en-US"/>
        </w:rPr>
        <w:t>Azatril</w:t>
      </w:r>
      <w:proofErr w:type="spellEnd"/>
      <w:r w:rsidRPr="00C23FAD">
        <w:t xml:space="preserve"> </w:t>
      </w:r>
      <w:r w:rsidRPr="00C23FAD">
        <w:rPr>
          <w:lang w:eastAsia="bg-BG"/>
        </w:rPr>
        <w:t xml:space="preserve">500 </w:t>
      </w:r>
      <w:r w:rsidRPr="00C23FAD">
        <w:rPr>
          <w:lang w:val="en-US"/>
        </w:rPr>
        <w:t>mg</w:t>
      </w:r>
      <w:bookmarkEnd w:id="1"/>
      <w:r w:rsidRPr="00C23FAD">
        <w:t xml:space="preserve"> </w:t>
      </w:r>
      <w:r w:rsidRPr="00C23FAD">
        <w:rPr>
          <w:lang w:val="en-US"/>
        </w:rPr>
        <w:t>film</w:t>
      </w:r>
      <w:r w:rsidRPr="00C23FAD">
        <w:t>-</w:t>
      </w:r>
      <w:r w:rsidRPr="00C23FAD">
        <w:rPr>
          <w:lang w:val="en-US"/>
        </w:rPr>
        <w:t>coated</w:t>
      </w:r>
      <w:r w:rsidRPr="00C23FAD">
        <w:t xml:space="preserve"> </w:t>
      </w:r>
      <w:r w:rsidRPr="00C23FAD">
        <w:rPr>
          <w:lang w:val="en-US"/>
        </w:rPr>
        <w:t>tablets</w:t>
      </w:r>
    </w:p>
    <w:p w14:paraId="0A368469" w14:textId="33371619" w:rsidR="00C0049F" w:rsidRDefault="00DD466D" w:rsidP="009F1313">
      <w:pPr>
        <w:pStyle w:val="Heading1"/>
      </w:pPr>
      <w:r>
        <w:t>2. КАЧЕСТВЕН И КОЛИЧЕСТВЕН СЪСТАВ</w:t>
      </w:r>
    </w:p>
    <w:p w14:paraId="63577F18" w14:textId="2EB39689" w:rsidR="00C23FAD" w:rsidRDefault="00C23FAD" w:rsidP="00C23FAD"/>
    <w:p w14:paraId="4C7999D0" w14:textId="77777777" w:rsidR="00C23FAD" w:rsidRPr="00C23FAD" w:rsidRDefault="00C23FAD" w:rsidP="00C23FAD">
      <w:pPr>
        <w:rPr>
          <w:sz w:val="24"/>
          <w:szCs w:val="24"/>
        </w:rPr>
      </w:pPr>
      <w:r w:rsidRPr="00C23FAD">
        <w:rPr>
          <w:lang w:eastAsia="bg-BG"/>
        </w:rPr>
        <w:t xml:space="preserve">Азатрил 500 </w:t>
      </w:r>
      <w:r w:rsidRPr="00C23FAD">
        <w:rPr>
          <w:lang w:val="en-US"/>
        </w:rPr>
        <w:t>mg</w:t>
      </w:r>
      <w:r w:rsidRPr="00C23FAD">
        <w:t xml:space="preserve"> </w:t>
      </w:r>
      <w:r w:rsidRPr="00C23FAD">
        <w:rPr>
          <w:lang w:eastAsia="bg-BG"/>
        </w:rPr>
        <w:t xml:space="preserve">филмирани таблетки съдържат 500 </w:t>
      </w:r>
      <w:r w:rsidRPr="00C23FAD">
        <w:rPr>
          <w:lang w:val="en-US"/>
        </w:rPr>
        <w:t>mg</w:t>
      </w:r>
      <w:r w:rsidRPr="00C23FAD">
        <w:t xml:space="preserve"> </w:t>
      </w:r>
      <w:r w:rsidRPr="00C23FAD">
        <w:rPr>
          <w:lang w:eastAsia="bg-BG"/>
        </w:rPr>
        <w:t xml:space="preserve">азитромицин </w:t>
      </w:r>
      <w:r w:rsidRPr="00C23FAD">
        <w:rPr>
          <w:i/>
          <w:iCs/>
        </w:rPr>
        <w:t>(</w:t>
      </w:r>
      <w:r w:rsidRPr="00C23FAD">
        <w:rPr>
          <w:i/>
          <w:iCs/>
          <w:lang w:val="en-US"/>
        </w:rPr>
        <w:t>azithromycin</w:t>
      </w:r>
      <w:r w:rsidRPr="00C23FAD">
        <w:rPr>
          <w:i/>
          <w:iCs/>
        </w:rPr>
        <w:t>)</w:t>
      </w:r>
      <w:r w:rsidRPr="00C23FAD">
        <w:t xml:space="preserve"> </w:t>
      </w:r>
      <w:r w:rsidRPr="00C23FAD">
        <w:rPr>
          <w:lang w:eastAsia="bg-BG"/>
        </w:rPr>
        <w:t>(като дихидрат).</w:t>
      </w:r>
    </w:p>
    <w:p w14:paraId="6964FCE2" w14:textId="77777777" w:rsidR="00C23FAD" w:rsidRDefault="00C23FAD" w:rsidP="00C23FAD">
      <w:pPr>
        <w:rPr>
          <w:u w:val="single"/>
          <w:lang w:eastAsia="bg-BG"/>
        </w:rPr>
      </w:pPr>
    </w:p>
    <w:p w14:paraId="700EAE1B" w14:textId="19799C11" w:rsidR="00C23FAD" w:rsidRPr="00C23FAD" w:rsidRDefault="00C23FAD" w:rsidP="00C23FAD">
      <w:pPr>
        <w:rPr>
          <w:sz w:val="24"/>
          <w:szCs w:val="24"/>
        </w:rPr>
      </w:pPr>
      <w:r w:rsidRPr="00C23FAD">
        <w:rPr>
          <w:u w:val="single"/>
          <w:lang w:eastAsia="bg-BG"/>
        </w:rPr>
        <w:t>Помощно вещество с известно действие</w:t>
      </w:r>
      <w:r w:rsidRPr="00C23FAD">
        <w:rPr>
          <w:lang w:eastAsia="bg-BG"/>
        </w:rPr>
        <w:t>:</w:t>
      </w:r>
    </w:p>
    <w:p w14:paraId="3AA2BEF1" w14:textId="7E3A3113" w:rsidR="00C23FAD" w:rsidRPr="00C23FAD" w:rsidRDefault="00C23FAD" w:rsidP="00C23FAD">
      <w:r w:rsidRPr="00C23FAD">
        <w:rPr>
          <w:lang w:eastAsia="bg-BG"/>
        </w:rPr>
        <w:t xml:space="preserve">Всяка таблетка съдържа 120 </w:t>
      </w:r>
      <w:r w:rsidRPr="00C23FAD">
        <w:rPr>
          <w:lang w:val="en-US"/>
        </w:rPr>
        <w:t>mg</w:t>
      </w:r>
      <w:r w:rsidRPr="00C23FAD">
        <w:rPr>
          <w:lang w:val="ru-RU"/>
        </w:rPr>
        <w:t xml:space="preserve"> </w:t>
      </w:r>
      <w:r w:rsidRPr="00C23FAD">
        <w:rPr>
          <w:lang w:eastAsia="bg-BG"/>
        </w:rPr>
        <w:t>лактоза.</w:t>
      </w:r>
    </w:p>
    <w:p w14:paraId="614984C4" w14:textId="62465998" w:rsidR="008A6AF2" w:rsidRDefault="00DD466D" w:rsidP="002C50EE">
      <w:pPr>
        <w:pStyle w:val="Heading1"/>
      </w:pPr>
      <w:r>
        <w:t>3. ЛЕКАРСТВЕНА ФОРМА</w:t>
      </w:r>
    </w:p>
    <w:p w14:paraId="3FE800D9" w14:textId="42755C80" w:rsidR="00C23FAD" w:rsidRDefault="00C23FAD" w:rsidP="00C23FAD"/>
    <w:p w14:paraId="79032E16" w14:textId="77777777" w:rsidR="00C23FAD" w:rsidRPr="00C23FAD" w:rsidRDefault="00C23FAD" w:rsidP="00C23FAD">
      <w:pPr>
        <w:rPr>
          <w:sz w:val="24"/>
          <w:szCs w:val="24"/>
        </w:rPr>
      </w:pPr>
      <w:r w:rsidRPr="00C23FAD">
        <w:rPr>
          <w:lang w:eastAsia="bg-BG"/>
        </w:rPr>
        <w:t>Филмирана таблетка</w:t>
      </w:r>
    </w:p>
    <w:p w14:paraId="519058D6" w14:textId="77777777" w:rsidR="00C23FAD" w:rsidRDefault="00C23FAD" w:rsidP="00C23FAD">
      <w:pPr>
        <w:rPr>
          <w:lang w:eastAsia="bg-BG"/>
        </w:rPr>
      </w:pPr>
    </w:p>
    <w:p w14:paraId="2B6A61E9" w14:textId="0AB15ED9" w:rsidR="00C23FAD" w:rsidRPr="00C23FAD" w:rsidRDefault="00C23FAD" w:rsidP="00C23FAD">
      <w:r w:rsidRPr="00C23FAD">
        <w:rPr>
          <w:lang w:eastAsia="bg-BG"/>
        </w:rPr>
        <w:t xml:space="preserve">Бели до почти бели, овални, 9,7 х 17,9 </w:t>
      </w:r>
      <w:r w:rsidRPr="00C23FAD">
        <w:rPr>
          <w:lang w:val="en-US"/>
        </w:rPr>
        <w:t>mm</w:t>
      </w:r>
      <w:r w:rsidRPr="00C23FAD">
        <w:rPr>
          <w:lang w:val="ru-RU"/>
        </w:rPr>
        <w:t xml:space="preserve">, </w:t>
      </w:r>
      <w:r w:rsidRPr="00C23FAD">
        <w:rPr>
          <w:lang w:eastAsia="bg-BG"/>
        </w:rPr>
        <w:t>двойноизпъкнали филмирани таблетки, маркирани с “500” от едната страна и гладки от другата страна.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29ACF7D0" w:rsidR="00395555" w:rsidRDefault="00395555" w:rsidP="00395555"/>
    <w:p w14:paraId="11FB811A" w14:textId="77777777" w:rsidR="00C23FAD" w:rsidRPr="00C23FAD" w:rsidRDefault="00C23FAD" w:rsidP="00C23FAD">
      <w:pPr>
        <w:rPr>
          <w:sz w:val="24"/>
          <w:szCs w:val="24"/>
        </w:rPr>
      </w:pPr>
      <w:r w:rsidRPr="00C23FAD">
        <w:rPr>
          <w:lang w:eastAsia="bg-BG"/>
        </w:rPr>
        <w:t>Азитромицин е показан за лечение на следните бактериални инфекции, предизвикани от</w:t>
      </w:r>
    </w:p>
    <w:p w14:paraId="78948FEB" w14:textId="77777777" w:rsidR="00C23FAD" w:rsidRPr="00C23FAD" w:rsidRDefault="00C23FAD" w:rsidP="00C23FAD">
      <w:pPr>
        <w:rPr>
          <w:sz w:val="24"/>
          <w:szCs w:val="24"/>
        </w:rPr>
      </w:pPr>
      <w:r w:rsidRPr="00C23FAD">
        <w:rPr>
          <w:lang w:eastAsia="bg-BG"/>
        </w:rPr>
        <w:t>микроорганизми, чувствителни спрямо азитромицин (вж. точка 4.4 й 5.1):</w:t>
      </w:r>
    </w:p>
    <w:p w14:paraId="76622387" w14:textId="77777777" w:rsidR="00C23FAD" w:rsidRPr="00C23FAD" w:rsidRDefault="00C23FAD" w:rsidP="00C23FAD">
      <w:pPr>
        <w:pStyle w:val="ListParagraph"/>
        <w:numPr>
          <w:ilvl w:val="0"/>
          <w:numId w:val="32"/>
        </w:numPr>
        <w:rPr>
          <w:sz w:val="24"/>
          <w:szCs w:val="24"/>
        </w:rPr>
      </w:pPr>
      <w:r w:rsidRPr="00C23FAD">
        <w:rPr>
          <w:lang w:eastAsia="bg-BG"/>
        </w:rPr>
        <w:t>Остър бактериален синузит (адекватно диагностициран)</w:t>
      </w:r>
    </w:p>
    <w:p w14:paraId="2DF9E74F" w14:textId="77777777" w:rsidR="00C23FAD" w:rsidRPr="00C23FAD" w:rsidRDefault="00C23FAD" w:rsidP="00C23FAD">
      <w:pPr>
        <w:pStyle w:val="ListParagraph"/>
        <w:numPr>
          <w:ilvl w:val="0"/>
          <w:numId w:val="32"/>
        </w:numPr>
        <w:rPr>
          <w:sz w:val="24"/>
          <w:szCs w:val="24"/>
        </w:rPr>
      </w:pPr>
      <w:r w:rsidRPr="00C23FAD">
        <w:rPr>
          <w:lang w:eastAsia="bg-BG"/>
        </w:rPr>
        <w:t>Остър бактериален отит на средното ухо (адекватно диагностициран)</w:t>
      </w:r>
    </w:p>
    <w:p w14:paraId="672B7F83" w14:textId="77777777" w:rsidR="00C23FAD" w:rsidRPr="00C23FAD" w:rsidRDefault="00C23FAD" w:rsidP="00C23FAD">
      <w:pPr>
        <w:pStyle w:val="ListParagraph"/>
        <w:numPr>
          <w:ilvl w:val="0"/>
          <w:numId w:val="32"/>
        </w:numPr>
        <w:rPr>
          <w:sz w:val="24"/>
          <w:szCs w:val="24"/>
        </w:rPr>
      </w:pPr>
      <w:r w:rsidRPr="00C23FAD">
        <w:rPr>
          <w:lang w:eastAsia="bg-BG"/>
        </w:rPr>
        <w:t>Фарингит, тонзилит</w:t>
      </w:r>
    </w:p>
    <w:p w14:paraId="0AC7BF2D" w14:textId="77777777" w:rsidR="00C23FAD" w:rsidRPr="00C23FAD" w:rsidRDefault="00C23FAD" w:rsidP="00C23FAD">
      <w:pPr>
        <w:pStyle w:val="ListParagraph"/>
        <w:numPr>
          <w:ilvl w:val="0"/>
          <w:numId w:val="32"/>
        </w:numPr>
        <w:rPr>
          <w:sz w:val="24"/>
          <w:szCs w:val="24"/>
        </w:rPr>
      </w:pPr>
      <w:r w:rsidRPr="00C23FAD">
        <w:rPr>
          <w:lang w:eastAsia="bg-BG"/>
        </w:rPr>
        <w:t>Остра екзацербация на хроничен бронхит (адекватно диагностициран)</w:t>
      </w:r>
    </w:p>
    <w:p w14:paraId="2BFDDB1E" w14:textId="77777777" w:rsidR="00C23FAD" w:rsidRPr="00C23FAD" w:rsidRDefault="00C23FAD" w:rsidP="00C23FAD">
      <w:pPr>
        <w:pStyle w:val="ListParagraph"/>
        <w:numPr>
          <w:ilvl w:val="0"/>
          <w:numId w:val="32"/>
        </w:numPr>
        <w:rPr>
          <w:sz w:val="24"/>
          <w:szCs w:val="24"/>
        </w:rPr>
      </w:pPr>
      <w:r w:rsidRPr="00C23FAD">
        <w:rPr>
          <w:lang w:eastAsia="bg-BG"/>
        </w:rPr>
        <w:t>Лека до умерено тежка придобита в обществото пневмония</w:t>
      </w:r>
    </w:p>
    <w:p w14:paraId="44CBE976" w14:textId="77777777" w:rsidR="00C23FAD" w:rsidRPr="00C23FAD" w:rsidRDefault="00C23FAD" w:rsidP="00C23FAD">
      <w:pPr>
        <w:pStyle w:val="ListParagraph"/>
        <w:numPr>
          <w:ilvl w:val="0"/>
          <w:numId w:val="32"/>
        </w:numPr>
        <w:rPr>
          <w:sz w:val="24"/>
          <w:szCs w:val="24"/>
        </w:rPr>
      </w:pPr>
      <w:r w:rsidRPr="00C23FAD">
        <w:rPr>
          <w:lang w:eastAsia="bg-BG"/>
        </w:rPr>
        <w:t>Леки до умерено тежки инфекции на кожата и меките тъкани напр. фоликулит, целулит, еризипел</w:t>
      </w:r>
    </w:p>
    <w:p w14:paraId="5DC82C5B" w14:textId="77777777" w:rsidR="00C23FAD" w:rsidRPr="00C23FAD" w:rsidRDefault="00C23FAD" w:rsidP="00C23FAD">
      <w:pPr>
        <w:pStyle w:val="ListParagraph"/>
        <w:numPr>
          <w:ilvl w:val="0"/>
          <w:numId w:val="32"/>
        </w:numPr>
        <w:rPr>
          <w:sz w:val="24"/>
          <w:szCs w:val="24"/>
        </w:rPr>
      </w:pPr>
      <w:r w:rsidRPr="00C23FAD">
        <w:rPr>
          <w:lang w:eastAsia="bg-BG"/>
        </w:rPr>
        <w:t xml:space="preserve">Неусложнен уретрит и цервицит, причинени от </w:t>
      </w:r>
      <w:proofErr w:type="spellStart"/>
      <w:r w:rsidRPr="00C23FAD">
        <w:rPr>
          <w:i/>
          <w:iCs/>
          <w:lang w:val="en-US"/>
        </w:rPr>
        <w:t>Chlamidia</w:t>
      </w:r>
      <w:proofErr w:type="spellEnd"/>
      <w:r w:rsidRPr="00C23FAD">
        <w:rPr>
          <w:i/>
          <w:iCs/>
          <w:lang w:val="ru-RU"/>
        </w:rPr>
        <w:t xml:space="preserve"> </w:t>
      </w:r>
      <w:r w:rsidRPr="00C23FAD">
        <w:rPr>
          <w:i/>
          <w:iCs/>
          <w:lang w:val="en-US"/>
        </w:rPr>
        <w:t>trachomatis</w:t>
      </w:r>
    </w:p>
    <w:p w14:paraId="7B9CE47B" w14:textId="77777777" w:rsidR="00C23FAD" w:rsidRDefault="00C23FAD" w:rsidP="00C23FAD">
      <w:pPr>
        <w:rPr>
          <w:lang w:eastAsia="bg-BG"/>
        </w:rPr>
      </w:pPr>
    </w:p>
    <w:p w14:paraId="635A8CC0" w14:textId="23D69EF5" w:rsidR="00C23FAD" w:rsidRPr="00C23FAD" w:rsidRDefault="00C23FAD" w:rsidP="00C23FAD">
      <w:pPr>
        <w:rPr>
          <w:sz w:val="24"/>
          <w:szCs w:val="24"/>
        </w:rPr>
      </w:pPr>
      <w:r w:rsidRPr="00C23FAD">
        <w:rPr>
          <w:lang w:eastAsia="bg-BG"/>
        </w:rPr>
        <w:t>Трябва да се имат предвид официалните указания за правилна употреба на антибактериални средства.</w:t>
      </w:r>
    </w:p>
    <w:p w14:paraId="6BABB9E1" w14:textId="77777777" w:rsidR="00C23FAD" w:rsidRPr="00395555" w:rsidRDefault="00C23FAD" w:rsidP="00395555"/>
    <w:p w14:paraId="7C0CA5EB" w14:textId="3E34FFAF" w:rsidR="00C0049F" w:rsidRDefault="002C50EE" w:rsidP="009F1313">
      <w:pPr>
        <w:pStyle w:val="Heading2"/>
      </w:pPr>
      <w:r>
        <w:t>4.2. Дозировка и начин на приложение</w:t>
      </w:r>
    </w:p>
    <w:p w14:paraId="1241BF68" w14:textId="7F58C2A8" w:rsidR="00C23FAD" w:rsidRDefault="00C23FAD" w:rsidP="00C23FAD"/>
    <w:p w14:paraId="5B660151" w14:textId="77777777" w:rsidR="00C23FAD" w:rsidRPr="00C23FAD" w:rsidRDefault="00C23FAD" w:rsidP="00C23FAD">
      <w:pPr>
        <w:pStyle w:val="Heading3"/>
        <w:rPr>
          <w:rFonts w:eastAsia="Times New Roman"/>
          <w:sz w:val="28"/>
          <w:u w:val="single"/>
        </w:rPr>
      </w:pPr>
      <w:r w:rsidRPr="00C23FAD">
        <w:rPr>
          <w:rFonts w:eastAsia="Times New Roman"/>
          <w:u w:val="single"/>
          <w:lang w:eastAsia="bg-BG"/>
        </w:rPr>
        <w:t>Дозировка</w:t>
      </w:r>
    </w:p>
    <w:p w14:paraId="26DB7EAC" w14:textId="77777777" w:rsidR="00C23FAD" w:rsidRPr="00C23FAD" w:rsidRDefault="00C23FAD" w:rsidP="00C23FAD">
      <w:pPr>
        <w:spacing w:line="240" w:lineRule="auto"/>
        <w:rPr>
          <w:rFonts w:eastAsia="Times New Roman" w:cs="Arial"/>
          <w:color w:val="000000"/>
          <w:szCs w:val="20"/>
          <w:lang w:eastAsia="bg-BG"/>
        </w:rPr>
      </w:pPr>
    </w:p>
    <w:p w14:paraId="734D71CA" w14:textId="684E81EE"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lastRenderedPageBreak/>
        <w:t>Азатрил трябва да се прилага като еднократна дневна доза. Продължителността</w:t>
      </w:r>
      <w:r w:rsidRPr="00C23FAD">
        <w:rPr>
          <w:rFonts w:eastAsia="Times New Roman" w:cs="Arial"/>
          <w:color w:val="000000"/>
          <w:szCs w:val="20"/>
          <w:lang w:val="ru-RU"/>
        </w:rPr>
        <w:t xml:space="preserve"> </w:t>
      </w:r>
      <w:r w:rsidRPr="00C23FAD">
        <w:rPr>
          <w:rFonts w:eastAsia="Times New Roman" w:cs="Arial"/>
          <w:color w:val="000000"/>
          <w:szCs w:val="20"/>
          <w:lang w:eastAsia="bg-BG"/>
        </w:rPr>
        <w:t>на лечение на</w:t>
      </w:r>
    </w:p>
    <w:p w14:paraId="7D134BC3" w14:textId="4D9765F3" w:rsidR="00C23FAD" w:rsidRPr="00C23FAD" w:rsidRDefault="00C23FAD" w:rsidP="00C23FAD">
      <w:pPr>
        <w:spacing w:line="240" w:lineRule="auto"/>
        <w:rPr>
          <w:rFonts w:eastAsia="Times New Roman" w:cs="Arial"/>
          <w:color w:val="000000"/>
          <w:szCs w:val="20"/>
          <w:lang w:eastAsia="bg-BG"/>
        </w:rPr>
      </w:pPr>
      <w:r w:rsidRPr="00C23FAD">
        <w:rPr>
          <w:rFonts w:eastAsia="Times New Roman" w:cs="Arial"/>
          <w:color w:val="000000"/>
          <w:szCs w:val="20"/>
          <w:lang w:eastAsia="bg-BG"/>
        </w:rPr>
        <w:t>различни инфекциозни заболявалия е дадена по-долу.</w:t>
      </w:r>
    </w:p>
    <w:p w14:paraId="442EF079" w14:textId="57CC1996" w:rsidR="00C23FAD" w:rsidRPr="00C23FAD" w:rsidRDefault="00C23FAD" w:rsidP="00C23FAD">
      <w:pPr>
        <w:spacing w:line="240" w:lineRule="auto"/>
        <w:rPr>
          <w:rFonts w:eastAsia="Times New Roman" w:cs="Arial"/>
          <w:color w:val="000000"/>
          <w:szCs w:val="20"/>
          <w:lang w:eastAsia="bg-BG"/>
        </w:rPr>
      </w:pPr>
    </w:p>
    <w:p w14:paraId="010E0504" w14:textId="77777777"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 xml:space="preserve">Възрастни, деца и юноши с телесно тегло 45 </w:t>
      </w:r>
      <w:r w:rsidRPr="00C23FAD">
        <w:rPr>
          <w:rFonts w:eastAsia="Times New Roman" w:cs="Arial"/>
          <w:i/>
          <w:iCs/>
          <w:color w:val="000000"/>
          <w:szCs w:val="20"/>
          <w:lang w:val="en-US"/>
        </w:rPr>
        <w:t>kg</w:t>
      </w:r>
      <w:r w:rsidRPr="00C23FAD">
        <w:rPr>
          <w:rFonts w:eastAsia="Times New Roman" w:cs="Arial"/>
          <w:i/>
          <w:iCs/>
          <w:color w:val="000000"/>
          <w:szCs w:val="20"/>
          <w:lang w:val="ru-RU"/>
        </w:rPr>
        <w:t xml:space="preserve"> </w:t>
      </w:r>
      <w:r w:rsidRPr="00C23FAD">
        <w:rPr>
          <w:rFonts w:eastAsia="Times New Roman" w:cs="Arial"/>
          <w:i/>
          <w:iCs/>
          <w:color w:val="000000"/>
          <w:szCs w:val="20"/>
          <w:lang w:eastAsia="bg-BG"/>
        </w:rPr>
        <w:t>или повече:</w:t>
      </w:r>
    </w:p>
    <w:p w14:paraId="11E30C19"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Общата доза е 1 500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като се прилагат по 500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веднъж дневно в продължение на 3 дни. Алтернативно, същата обща доза (1 500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може да се прилага за период от 5 дни (500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на първия ден и 250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от ден 2 до 5).</w:t>
      </w:r>
    </w:p>
    <w:p w14:paraId="437F2843" w14:textId="77777777" w:rsidR="00C23FAD" w:rsidRPr="00C23FAD" w:rsidRDefault="00C23FAD" w:rsidP="00C23FAD">
      <w:pPr>
        <w:spacing w:line="240" w:lineRule="auto"/>
        <w:rPr>
          <w:rFonts w:eastAsia="Times New Roman" w:cs="Arial"/>
          <w:color w:val="000000"/>
          <w:szCs w:val="20"/>
          <w:lang w:eastAsia="bg-BG"/>
        </w:rPr>
      </w:pPr>
    </w:p>
    <w:p w14:paraId="4E53E3EA" w14:textId="3C0FC180"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При неусложнен уретрит и цервицит, причинени от </w:t>
      </w:r>
      <w:r w:rsidRPr="00C23FAD">
        <w:rPr>
          <w:rFonts w:eastAsia="Times New Roman" w:cs="Arial"/>
          <w:i/>
          <w:iCs/>
          <w:color w:val="000000"/>
          <w:szCs w:val="20"/>
          <w:lang w:val="en-US"/>
        </w:rPr>
        <w:t>Chlamydia</w:t>
      </w:r>
      <w:r w:rsidRPr="00C23FAD">
        <w:rPr>
          <w:rFonts w:eastAsia="Times New Roman" w:cs="Arial"/>
          <w:i/>
          <w:iCs/>
          <w:color w:val="000000"/>
          <w:szCs w:val="20"/>
          <w:lang w:val="ru-RU"/>
        </w:rPr>
        <w:t xml:space="preserve"> </w:t>
      </w:r>
      <w:r w:rsidRPr="00C23FAD">
        <w:rPr>
          <w:rFonts w:eastAsia="Times New Roman" w:cs="Arial"/>
          <w:i/>
          <w:iCs/>
          <w:color w:val="000000"/>
          <w:szCs w:val="20"/>
          <w:lang w:val="en-US"/>
        </w:rPr>
        <w:t>trachomatis</w:t>
      </w:r>
      <w:r w:rsidRPr="00C23FAD">
        <w:rPr>
          <w:rFonts w:eastAsia="Times New Roman" w:cs="Arial"/>
          <w:i/>
          <w:iCs/>
          <w:color w:val="000000"/>
          <w:szCs w:val="20"/>
          <w:lang w:val="ru-RU"/>
        </w:rPr>
        <w:t>,</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дозировката е 1 000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приета еднократно перорално.</w:t>
      </w:r>
    </w:p>
    <w:p w14:paraId="548CE3E6" w14:textId="77777777" w:rsidR="00C23FAD" w:rsidRPr="00C23FAD" w:rsidRDefault="00C23FAD" w:rsidP="00C23FAD">
      <w:pPr>
        <w:spacing w:line="240" w:lineRule="auto"/>
        <w:rPr>
          <w:rFonts w:eastAsia="Times New Roman" w:cs="Arial"/>
          <w:i/>
          <w:iCs/>
          <w:color w:val="000000"/>
          <w:szCs w:val="20"/>
          <w:lang w:eastAsia="bg-BG"/>
        </w:rPr>
      </w:pPr>
    </w:p>
    <w:p w14:paraId="035B5C45" w14:textId="7706A24A"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 xml:space="preserve">Деца и юноши с телесно тегло под 45 </w:t>
      </w:r>
      <w:r w:rsidRPr="00C23FAD">
        <w:rPr>
          <w:rFonts w:eastAsia="Times New Roman" w:cs="Arial"/>
          <w:i/>
          <w:iCs/>
          <w:color w:val="000000"/>
          <w:szCs w:val="20"/>
          <w:lang w:val="en-US"/>
        </w:rPr>
        <w:t>kg</w:t>
      </w:r>
      <w:r w:rsidRPr="00C23FAD">
        <w:rPr>
          <w:rFonts w:eastAsia="Times New Roman" w:cs="Arial"/>
          <w:i/>
          <w:iCs/>
          <w:color w:val="000000"/>
          <w:szCs w:val="20"/>
          <w:lang w:val="ru-RU"/>
        </w:rPr>
        <w:t>:</w:t>
      </w:r>
    </w:p>
    <w:p w14:paraId="62EF6D2D" w14:textId="3E12EC79"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Азатрил таблетки не са подходящи за пациенти с телесно тегло под 45 </w:t>
      </w:r>
      <w:r w:rsidRPr="00C23FAD">
        <w:rPr>
          <w:rFonts w:eastAsia="Times New Roman" w:cs="Arial"/>
          <w:color w:val="000000"/>
          <w:szCs w:val="20"/>
          <w:lang w:val="en-US"/>
        </w:rPr>
        <w:t>kg</w:t>
      </w:r>
      <w:r w:rsidRPr="00C23FAD">
        <w:rPr>
          <w:rFonts w:eastAsia="Times New Roman" w:cs="Arial"/>
          <w:color w:val="000000"/>
          <w:szCs w:val="20"/>
          <w:lang w:val="ru-RU"/>
        </w:rPr>
        <w:t xml:space="preserve">. </w:t>
      </w:r>
      <w:r w:rsidRPr="00C23FAD">
        <w:rPr>
          <w:rFonts w:eastAsia="Times New Roman" w:cs="Arial"/>
          <w:color w:val="000000"/>
          <w:szCs w:val="20"/>
          <w:lang w:eastAsia="bg-BG"/>
        </w:rPr>
        <w:t>Други дозови форми са на разположение за тази група пациенти.</w:t>
      </w:r>
    </w:p>
    <w:p w14:paraId="354A577A" w14:textId="77777777" w:rsidR="00C23FAD" w:rsidRPr="00C23FAD" w:rsidRDefault="00C23FAD" w:rsidP="00C23FAD">
      <w:pPr>
        <w:spacing w:line="240" w:lineRule="auto"/>
        <w:rPr>
          <w:rFonts w:eastAsia="Times New Roman" w:cs="Arial"/>
          <w:i/>
          <w:iCs/>
          <w:color w:val="000000"/>
          <w:szCs w:val="20"/>
          <w:lang w:eastAsia="bg-BG"/>
        </w:rPr>
      </w:pPr>
    </w:p>
    <w:p w14:paraId="163C3456" w14:textId="02C75D13"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Пациенти в старческа възраст</w:t>
      </w:r>
    </w:p>
    <w:p w14:paraId="1EB08AAE"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При пациенти в старческа възраст може да се приложи същата доза, както за възрастни. Тъй като пациентите в старческа възраст могат да бъдат с проаритмични състояния, необходимо е повишено внимание поради риска от развитие на сърдечни аритмии и </w:t>
      </w:r>
      <w:proofErr w:type="spellStart"/>
      <w:r w:rsidRPr="00C23FAD">
        <w:rPr>
          <w:rFonts w:eastAsia="Times New Roman" w:cs="Arial"/>
          <w:color w:val="000000"/>
          <w:szCs w:val="20"/>
          <w:lang w:val="en-US"/>
        </w:rPr>
        <w:t>torsades</w:t>
      </w:r>
      <w:proofErr w:type="spellEnd"/>
      <w:r w:rsidRPr="00C23FAD">
        <w:rPr>
          <w:rFonts w:eastAsia="Times New Roman" w:cs="Arial"/>
          <w:color w:val="000000"/>
          <w:szCs w:val="20"/>
          <w:lang w:val="ru-RU"/>
        </w:rPr>
        <w:t xml:space="preserve"> </w:t>
      </w:r>
      <w:r w:rsidRPr="00C23FAD">
        <w:rPr>
          <w:rFonts w:eastAsia="Times New Roman" w:cs="Arial"/>
          <w:color w:val="000000"/>
          <w:szCs w:val="20"/>
          <w:lang w:val="en-US"/>
        </w:rPr>
        <w:t>de</w:t>
      </w:r>
      <w:r w:rsidRPr="00C23FAD">
        <w:rPr>
          <w:rFonts w:eastAsia="Times New Roman" w:cs="Arial"/>
          <w:color w:val="000000"/>
          <w:szCs w:val="20"/>
          <w:lang w:val="ru-RU"/>
        </w:rPr>
        <w:t xml:space="preserve"> </w:t>
      </w:r>
      <w:r w:rsidRPr="00C23FAD">
        <w:rPr>
          <w:rFonts w:eastAsia="Times New Roman" w:cs="Arial"/>
          <w:color w:val="000000"/>
          <w:szCs w:val="20"/>
          <w:lang w:val="en-US"/>
        </w:rPr>
        <w:t>pointes</w:t>
      </w:r>
      <w:r w:rsidRPr="00C23FAD">
        <w:rPr>
          <w:rFonts w:eastAsia="Times New Roman" w:cs="Arial"/>
          <w:color w:val="000000"/>
          <w:szCs w:val="20"/>
          <w:lang w:val="ru-RU"/>
        </w:rPr>
        <w:t xml:space="preserve"> </w:t>
      </w:r>
      <w:r w:rsidRPr="00C23FAD">
        <w:rPr>
          <w:rFonts w:eastAsia="Times New Roman" w:cs="Arial"/>
          <w:color w:val="000000"/>
          <w:szCs w:val="20"/>
          <w:lang w:eastAsia="bg-BG"/>
        </w:rPr>
        <w:t>(вж. точка 4.4).</w:t>
      </w:r>
    </w:p>
    <w:p w14:paraId="1216765C" w14:textId="77777777" w:rsidR="00C23FAD" w:rsidRPr="00C23FAD" w:rsidRDefault="00C23FAD" w:rsidP="00C23FAD">
      <w:pPr>
        <w:spacing w:line="240" w:lineRule="auto"/>
        <w:rPr>
          <w:rFonts w:eastAsia="Times New Roman" w:cs="Arial"/>
          <w:i/>
          <w:iCs/>
          <w:color w:val="000000"/>
          <w:szCs w:val="20"/>
          <w:lang w:eastAsia="bg-BG"/>
        </w:rPr>
      </w:pPr>
    </w:p>
    <w:p w14:paraId="75C4FAF7" w14:textId="08F09F28"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Пациенти с бъбречно увреждане:</w:t>
      </w:r>
    </w:p>
    <w:p w14:paraId="20DCDA0E"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Не се налага коригиране на дозата при пациенти с леко до умерено бъбречно увреждане </w:t>
      </w:r>
      <w:r w:rsidRPr="00C23FAD">
        <w:rPr>
          <w:rFonts w:eastAsia="Times New Roman" w:cs="Arial"/>
          <w:color w:val="000000"/>
          <w:szCs w:val="20"/>
          <w:lang w:val="ru-RU"/>
        </w:rPr>
        <w:t>(</w:t>
      </w:r>
      <w:r w:rsidRPr="00C23FAD">
        <w:rPr>
          <w:rFonts w:eastAsia="Times New Roman" w:cs="Arial"/>
          <w:color w:val="000000"/>
          <w:szCs w:val="20"/>
          <w:lang w:val="en-US"/>
        </w:rPr>
        <w:t>GFR</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10 - 80 </w:t>
      </w:r>
      <w:r w:rsidRPr="00C23FAD">
        <w:rPr>
          <w:rFonts w:eastAsia="Times New Roman" w:cs="Arial"/>
          <w:color w:val="000000"/>
          <w:szCs w:val="20"/>
          <w:lang w:val="en-US"/>
        </w:rPr>
        <w:t>ml</w:t>
      </w:r>
      <w:r w:rsidRPr="00C23FAD">
        <w:rPr>
          <w:rFonts w:eastAsia="Times New Roman" w:cs="Arial"/>
          <w:color w:val="000000"/>
          <w:szCs w:val="20"/>
          <w:lang w:val="ru-RU"/>
        </w:rPr>
        <w:t>/</w:t>
      </w:r>
      <w:r w:rsidRPr="00C23FAD">
        <w:rPr>
          <w:rFonts w:eastAsia="Times New Roman" w:cs="Arial"/>
          <w:color w:val="000000"/>
          <w:szCs w:val="20"/>
          <w:lang w:val="en-US"/>
        </w:rPr>
        <w:t>min</w:t>
      </w:r>
      <w:r w:rsidRPr="00C23FAD">
        <w:rPr>
          <w:rFonts w:eastAsia="Times New Roman" w:cs="Arial"/>
          <w:color w:val="000000"/>
          <w:szCs w:val="20"/>
          <w:lang w:val="ru-RU"/>
        </w:rPr>
        <w:t xml:space="preserve">) </w:t>
      </w:r>
      <w:r w:rsidRPr="00C23FAD">
        <w:rPr>
          <w:rFonts w:eastAsia="Times New Roman" w:cs="Arial"/>
          <w:color w:val="000000"/>
          <w:szCs w:val="20"/>
          <w:lang w:eastAsia="bg-BG"/>
        </w:rPr>
        <w:t>(вж. точка 4.4).</w:t>
      </w:r>
    </w:p>
    <w:p w14:paraId="19706C1F" w14:textId="77777777" w:rsidR="00C23FAD" w:rsidRPr="00C23FAD" w:rsidRDefault="00C23FAD" w:rsidP="00C23FAD">
      <w:pPr>
        <w:spacing w:line="240" w:lineRule="auto"/>
        <w:rPr>
          <w:rFonts w:eastAsia="Times New Roman" w:cs="Arial"/>
          <w:i/>
          <w:iCs/>
          <w:color w:val="000000"/>
          <w:szCs w:val="20"/>
          <w:lang w:eastAsia="bg-BG"/>
        </w:rPr>
      </w:pPr>
    </w:p>
    <w:p w14:paraId="53A61C88" w14:textId="109AB076"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Пациенти с чернодробно увреждане:</w:t>
      </w:r>
    </w:p>
    <w:p w14:paraId="26A17842"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Не се налага коригиране на дозата при пациенти с лека до умерена чернодробна дисфункция (вж. точка 4.4).</w:t>
      </w:r>
    </w:p>
    <w:p w14:paraId="071A2218" w14:textId="77777777" w:rsidR="00C23FAD" w:rsidRPr="00C23FAD" w:rsidRDefault="00C23FAD" w:rsidP="00C23FAD">
      <w:pPr>
        <w:spacing w:line="240" w:lineRule="auto"/>
        <w:rPr>
          <w:rFonts w:eastAsia="Times New Roman" w:cs="Arial"/>
          <w:color w:val="000000"/>
          <w:szCs w:val="20"/>
          <w:u w:val="single"/>
          <w:lang w:eastAsia="bg-BG"/>
        </w:rPr>
      </w:pPr>
    </w:p>
    <w:p w14:paraId="1B8F3034" w14:textId="6AA2EAE4" w:rsidR="00C23FAD" w:rsidRPr="00C23FAD" w:rsidRDefault="00C23FAD" w:rsidP="00C23FAD">
      <w:pPr>
        <w:pStyle w:val="Heading3"/>
        <w:rPr>
          <w:rFonts w:eastAsia="Times New Roman"/>
          <w:sz w:val="28"/>
          <w:u w:val="single"/>
        </w:rPr>
      </w:pPr>
      <w:r w:rsidRPr="00C23FAD">
        <w:rPr>
          <w:rFonts w:eastAsia="Times New Roman"/>
          <w:u w:val="single"/>
          <w:lang w:eastAsia="bg-BG"/>
        </w:rPr>
        <w:t>Начин на приложение</w:t>
      </w:r>
    </w:p>
    <w:p w14:paraId="5F390585"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Таблетките могат да се приемат със или без храна.</w:t>
      </w:r>
    </w:p>
    <w:p w14:paraId="299595DC"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Таблетките трябва да се приемат с 1/2чаша вода.</w:t>
      </w:r>
    </w:p>
    <w:p w14:paraId="0B30AAFC" w14:textId="1DC21BE6" w:rsidR="00C23FAD" w:rsidRPr="00C23FAD" w:rsidRDefault="00C23FAD" w:rsidP="00C23FAD"/>
    <w:p w14:paraId="62B13D0B" w14:textId="582A2635" w:rsidR="00395555" w:rsidRDefault="002C50EE" w:rsidP="008A6AF2">
      <w:pPr>
        <w:pStyle w:val="Heading2"/>
      </w:pPr>
      <w:r>
        <w:t>4.3. Противопоказания</w:t>
      </w:r>
    </w:p>
    <w:p w14:paraId="6408A97B" w14:textId="3B5ACB1F" w:rsidR="00C23FAD" w:rsidRDefault="00C23FAD" w:rsidP="00C23FAD"/>
    <w:p w14:paraId="4F1931D9" w14:textId="6C52553E" w:rsidR="00C23FAD" w:rsidRDefault="00C23FAD" w:rsidP="00C23FAD">
      <w:r>
        <w:t>Свръхчувствителност към азитромицин, еритромицин, който и да е макролиден или кетолиден антибиотик или към някое от помощните вещества, изброени в точка 6.1.</w:t>
      </w:r>
    </w:p>
    <w:p w14:paraId="2D9D2895" w14:textId="77777777" w:rsidR="00C23FAD" w:rsidRPr="00C23FAD" w:rsidRDefault="00C23FAD" w:rsidP="00C23FAD"/>
    <w:p w14:paraId="5A4AC413" w14:textId="0CC2BA18" w:rsidR="00395555" w:rsidRDefault="002C50EE" w:rsidP="008A6AF2">
      <w:pPr>
        <w:pStyle w:val="Heading2"/>
      </w:pPr>
      <w:r>
        <w:t>4.4. Специални предупреждения и предпазни мерки при употреба</w:t>
      </w:r>
    </w:p>
    <w:p w14:paraId="2569F114" w14:textId="012A95C1" w:rsidR="00C23FAD" w:rsidRDefault="00C23FAD" w:rsidP="00C23FAD"/>
    <w:p w14:paraId="69FE9614"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Както с еритромицин и другите макролиди, така и след приложение на азитромицин, в редки случаи са докладвани сериозни алергични реакции, включващи ангионевротичен оток и анафилаксия (рядко фатална), тежки кожни нежелани реакции </w:t>
      </w:r>
      <w:r w:rsidRPr="00C23FAD">
        <w:rPr>
          <w:rFonts w:eastAsia="Times New Roman" w:cs="Arial"/>
          <w:color w:val="000000"/>
          <w:szCs w:val="20"/>
          <w:lang w:val="ru-RU"/>
        </w:rPr>
        <w:t>(</w:t>
      </w:r>
      <w:r w:rsidRPr="00C23FAD">
        <w:rPr>
          <w:rFonts w:eastAsia="Times New Roman" w:cs="Arial"/>
          <w:color w:val="000000"/>
          <w:szCs w:val="20"/>
          <w:lang w:val="en-US"/>
        </w:rPr>
        <w:t>SCAR</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включително остра генерализирана екзантематозна пустулоза </w:t>
      </w:r>
      <w:r w:rsidRPr="00C23FAD">
        <w:rPr>
          <w:rFonts w:eastAsia="Times New Roman" w:cs="Arial"/>
          <w:color w:val="000000"/>
          <w:szCs w:val="20"/>
          <w:lang w:val="ru-RU"/>
        </w:rPr>
        <w:t>(</w:t>
      </w:r>
      <w:r w:rsidRPr="00C23FAD">
        <w:rPr>
          <w:rFonts w:eastAsia="Times New Roman" w:cs="Arial"/>
          <w:color w:val="000000"/>
          <w:szCs w:val="20"/>
          <w:lang w:val="en-US"/>
        </w:rPr>
        <w:t>AGEP</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синдром на </w:t>
      </w:r>
      <w:r w:rsidRPr="00C23FAD">
        <w:rPr>
          <w:rFonts w:eastAsia="Times New Roman" w:cs="Arial"/>
          <w:color w:val="000000"/>
          <w:szCs w:val="20"/>
          <w:lang w:val="en-US"/>
        </w:rPr>
        <w:t>Stevens</w:t>
      </w:r>
      <w:r w:rsidRPr="00C23FAD">
        <w:rPr>
          <w:rFonts w:eastAsia="Times New Roman" w:cs="Arial"/>
          <w:color w:val="000000"/>
          <w:szCs w:val="20"/>
          <w:lang w:val="ru-RU"/>
        </w:rPr>
        <w:t>-</w:t>
      </w:r>
      <w:r w:rsidRPr="00C23FAD">
        <w:rPr>
          <w:rFonts w:eastAsia="Times New Roman" w:cs="Arial"/>
          <w:color w:val="000000"/>
          <w:szCs w:val="20"/>
          <w:lang w:val="en-US"/>
        </w:rPr>
        <w:t>Johnson</w:t>
      </w:r>
      <w:r w:rsidRPr="00C23FAD">
        <w:rPr>
          <w:rFonts w:eastAsia="Times New Roman" w:cs="Arial"/>
          <w:color w:val="000000"/>
          <w:szCs w:val="20"/>
          <w:lang w:val="ru-RU"/>
        </w:rPr>
        <w:t xml:space="preserve"> (</w:t>
      </w:r>
      <w:r w:rsidRPr="00C23FAD">
        <w:rPr>
          <w:rFonts w:eastAsia="Times New Roman" w:cs="Arial"/>
          <w:color w:val="000000"/>
          <w:szCs w:val="20"/>
          <w:lang w:val="en-US"/>
        </w:rPr>
        <w:t>SJS</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токсична епидермална некролиза </w:t>
      </w:r>
      <w:r w:rsidRPr="00C23FAD">
        <w:rPr>
          <w:rFonts w:eastAsia="Times New Roman" w:cs="Arial"/>
          <w:color w:val="000000"/>
          <w:szCs w:val="20"/>
          <w:lang w:val="ru-RU"/>
        </w:rPr>
        <w:t>(</w:t>
      </w:r>
      <w:r w:rsidRPr="00C23FAD">
        <w:rPr>
          <w:rFonts w:eastAsia="Times New Roman" w:cs="Arial"/>
          <w:color w:val="000000"/>
          <w:szCs w:val="20"/>
          <w:lang w:val="en-US"/>
        </w:rPr>
        <w:t>TEN</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(рядко фатална) и лекарствена реакция с еозинофилия и системни симптоми </w:t>
      </w:r>
      <w:r w:rsidRPr="00C23FAD">
        <w:rPr>
          <w:rFonts w:eastAsia="Times New Roman" w:cs="Arial"/>
          <w:color w:val="000000"/>
          <w:szCs w:val="20"/>
          <w:lang w:val="ru-RU"/>
        </w:rPr>
        <w:t>(</w:t>
      </w:r>
      <w:r w:rsidRPr="00C23FAD">
        <w:rPr>
          <w:rFonts w:eastAsia="Times New Roman" w:cs="Arial"/>
          <w:color w:val="000000"/>
          <w:szCs w:val="20"/>
          <w:lang w:val="en-US"/>
        </w:rPr>
        <w:t>DRESS</w:t>
      </w:r>
      <w:r w:rsidRPr="00C23FAD">
        <w:rPr>
          <w:rFonts w:eastAsia="Times New Roman" w:cs="Arial"/>
          <w:color w:val="000000"/>
          <w:szCs w:val="20"/>
          <w:lang w:val="ru-RU"/>
        </w:rPr>
        <w:t xml:space="preserve">). </w:t>
      </w:r>
      <w:r w:rsidRPr="00C23FAD">
        <w:rPr>
          <w:rFonts w:eastAsia="Times New Roman" w:cs="Arial"/>
          <w:color w:val="000000"/>
          <w:szCs w:val="20"/>
          <w:lang w:eastAsia="bg-BG"/>
        </w:rPr>
        <w:t>Някои от тези реакции, свързани с приложение на азитромицин, водят до рецидивиране на симптомите и се налага по-дълъг период на наблюдение и лечение.</w:t>
      </w:r>
    </w:p>
    <w:p w14:paraId="7104CF4F" w14:textId="77777777" w:rsidR="00C23FAD" w:rsidRPr="00C23FAD" w:rsidRDefault="00C23FAD" w:rsidP="00C23FAD">
      <w:pPr>
        <w:spacing w:line="240" w:lineRule="auto"/>
        <w:rPr>
          <w:rFonts w:eastAsia="Times New Roman" w:cs="Arial"/>
          <w:color w:val="000000"/>
          <w:szCs w:val="20"/>
          <w:lang w:eastAsia="bg-BG"/>
        </w:rPr>
      </w:pPr>
    </w:p>
    <w:p w14:paraId="66D06A22" w14:textId="6FECF8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Ако възникне алергична реакция, употребата на лекарството трябва да се преустанови и да се приложи подходяща терапия. Лекарите трябва да са наясно, че алергичните симптоми могат да се възобновят при прекратяване на симптоматичната терапия.</w:t>
      </w:r>
    </w:p>
    <w:p w14:paraId="71449AA1" w14:textId="77777777" w:rsidR="00C23FAD" w:rsidRPr="00C23FAD" w:rsidRDefault="00C23FAD" w:rsidP="00C23FAD">
      <w:pPr>
        <w:rPr>
          <w:rFonts w:eastAsia="Times New Roman" w:cs="Arial"/>
          <w:color w:val="000000"/>
          <w:szCs w:val="20"/>
          <w:lang w:eastAsia="bg-BG"/>
        </w:rPr>
      </w:pPr>
    </w:p>
    <w:p w14:paraId="59BFB460" w14:textId="6092010F" w:rsidR="00C23FAD" w:rsidRPr="00C23FAD" w:rsidRDefault="00C23FAD" w:rsidP="00C23FAD">
      <w:pPr>
        <w:rPr>
          <w:rFonts w:eastAsia="Times New Roman" w:cs="Arial"/>
          <w:color w:val="000000"/>
          <w:szCs w:val="20"/>
          <w:lang w:eastAsia="bg-BG"/>
        </w:rPr>
      </w:pPr>
      <w:r w:rsidRPr="00C23FAD">
        <w:rPr>
          <w:rFonts w:eastAsia="Times New Roman" w:cs="Arial"/>
          <w:color w:val="000000"/>
          <w:szCs w:val="20"/>
          <w:lang w:eastAsia="bg-BG"/>
        </w:rPr>
        <w:t>Тъй като черният дроб е основният път на елиминиране на азитромицин, необходимо е</w:t>
      </w:r>
      <w:r w:rsidRPr="00C23FAD">
        <w:rPr>
          <w:rFonts w:eastAsia="Times New Roman" w:cs="Arial"/>
          <w:color w:val="000000"/>
          <w:szCs w:val="20"/>
          <w:u w:val="single"/>
          <w:lang w:eastAsia="bg-BG"/>
        </w:rPr>
        <w:t xml:space="preserve"> </w:t>
      </w:r>
      <w:r w:rsidRPr="00C23FAD">
        <w:rPr>
          <w:rFonts w:eastAsia="Times New Roman" w:cs="Arial"/>
          <w:color w:val="000000"/>
          <w:szCs w:val="20"/>
          <w:lang w:eastAsia="bg-BG"/>
        </w:rPr>
        <w:t>повишено внимание при неговото приложение при пациенти, страдащи от сериозни чернодробни заболявалия. Съществуват съобщения за случаи на фулминантен хепатит е потенциален риск от развитие на животозастрашаваща чернодробна недостатъчност след</w:t>
      </w:r>
      <w:r w:rsidRPr="00C23FAD">
        <w:rPr>
          <w:rFonts w:eastAsia="Times New Roman" w:cs="Arial"/>
          <w:color w:val="000000"/>
          <w:szCs w:val="20"/>
          <w:vertAlign w:val="superscript"/>
          <w:lang w:eastAsia="bg-BG"/>
        </w:rPr>
        <w:t xml:space="preserve"> </w:t>
      </w:r>
      <w:r w:rsidRPr="00C23FAD">
        <w:rPr>
          <w:rFonts w:eastAsia="Times New Roman" w:cs="Arial"/>
          <w:color w:val="000000"/>
          <w:szCs w:val="20"/>
          <w:lang w:eastAsia="bg-BG"/>
        </w:rPr>
        <w:t>приложение на азитромицин (вж. точка 4.8). Възможно е някои от тези пациенти да са имали съществуващо чернодробно увреждане или да са приемали други хепатотоксични лекарствени продукти.</w:t>
      </w:r>
    </w:p>
    <w:p w14:paraId="37425714" w14:textId="0D54C446" w:rsidR="00C23FAD" w:rsidRPr="00C23FAD" w:rsidRDefault="00C23FAD" w:rsidP="00C23FAD">
      <w:pPr>
        <w:rPr>
          <w:rFonts w:eastAsia="Times New Roman" w:cs="Arial"/>
          <w:color w:val="000000"/>
          <w:szCs w:val="20"/>
          <w:lang w:eastAsia="bg-BG"/>
        </w:rPr>
      </w:pPr>
    </w:p>
    <w:p w14:paraId="329DF0C3"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В случай на признаци и симптоми на чернодробна дисфункция, като бързо развиваща се астения, придружена от жълтеница, потъмняване на урината, склонност към кървене или чернодробна енцефалопатия, незабавно трябва да се проведат тестове/изследвания на чернодробната функция. Ако се установи чернодробна дисфункция, приложението на азитромицин трябва да се преустанови.</w:t>
      </w:r>
    </w:p>
    <w:p w14:paraId="702A2E25"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При пациенти, получаващи ерго-производни, е наблюдаван ерготизъм при едновременно приложение на някои макролидни антибиотици. Няма данни относно вероятността за взаимодействие между ерготаминови производни и азитромицин. Въпреки това, поради теоретичната възможност за ерготизъм, азитромицин и ерго-производни не трябва да се прилагат едновременно (вж. точка 4.5).</w:t>
      </w:r>
    </w:p>
    <w:p w14:paraId="507F3104" w14:textId="77777777" w:rsidR="00C23FAD" w:rsidRPr="00C23FAD" w:rsidRDefault="00C23FAD" w:rsidP="00C23FAD">
      <w:pPr>
        <w:spacing w:line="240" w:lineRule="auto"/>
        <w:rPr>
          <w:rFonts w:eastAsia="Times New Roman" w:cs="Arial"/>
          <w:color w:val="000000"/>
          <w:szCs w:val="20"/>
          <w:lang w:eastAsia="bg-BG"/>
        </w:rPr>
      </w:pPr>
    </w:p>
    <w:p w14:paraId="1D394252" w14:textId="371C3738"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Суперинфекции</w:t>
      </w:r>
    </w:p>
    <w:p w14:paraId="38B20773"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Както при всички антибиотици, необходимо е внимателно наблюдение за признаци на суперинфекция с нечувствителни микроорганизми, включително гъбички. При суперинфекция може да се наложи преустановяване на лечението с азитромицин и предприемане на адекватни мерки.</w:t>
      </w:r>
    </w:p>
    <w:p w14:paraId="23921AD6" w14:textId="77777777" w:rsidR="00C23FAD" w:rsidRPr="00C23FAD" w:rsidRDefault="00C23FAD" w:rsidP="00C23FAD">
      <w:pPr>
        <w:spacing w:line="240" w:lineRule="auto"/>
        <w:rPr>
          <w:rFonts w:eastAsia="Times New Roman" w:cs="Arial"/>
          <w:color w:val="000000"/>
          <w:szCs w:val="20"/>
          <w:lang w:eastAsia="bg-BG"/>
        </w:rPr>
      </w:pPr>
    </w:p>
    <w:p w14:paraId="20D4A171" w14:textId="22BC0ED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Свързана с </w:t>
      </w:r>
      <w:r w:rsidRPr="00C23FAD">
        <w:rPr>
          <w:rFonts w:eastAsia="Times New Roman" w:cs="Arial"/>
          <w:i/>
          <w:iCs/>
          <w:color w:val="000000"/>
          <w:szCs w:val="20"/>
          <w:lang w:val="en-US"/>
        </w:rPr>
        <w:t>Clostridium</w:t>
      </w:r>
      <w:r w:rsidRPr="00C23FAD">
        <w:rPr>
          <w:rFonts w:eastAsia="Times New Roman" w:cs="Arial"/>
          <w:i/>
          <w:iCs/>
          <w:color w:val="000000"/>
          <w:szCs w:val="20"/>
          <w:lang w:val="ru-RU"/>
        </w:rPr>
        <w:t xml:space="preserve"> </w:t>
      </w:r>
      <w:r w:rsidRPr="00C23FAD">
        <w:rPr>
          <w:rFonts w:eastAsia="Times New Roman" w:cs="Arial"/>
          <w:i/>
          <w:iCs/>
          <w:color w:val="000000"/>
          <w:szCs w:val="20"/>
          <w:lang w:val="en-US"/>
        </w:rPr>
        <w:t>difficile</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диария </w:t>
      </w:r>
      <w:r w:rsidRPr="00C23FAD">
        <w:rPr>
          <w:rFonts w:eastAsia="Times New Roman" w:cs="Arial"/>
          <w:color w:val="000000"/>
          <w:szCs w:val="20"/>
          <w:lang w:val="ru-RU"/>
        </w:rPr>
        <w:t>(</w:t>
      </w:r>
      <w:r w:rsidRPr="00C23FAD">
        <w:rPr>
          <w:rFonts w:eastAsia="Times New Roman" w:cs="Arial"/>
          <w:color w:val="000000"/>
          <w:szCs w:val="20"/>
          <w:lang w:val="en-US"/>
        </w:rPr>
        <w:t>CDAD</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е съобщавана при употребата на почти всички видове антибактериални средства, включително азитромицин и тежестта и може да бъде от лека диария до фатален колит. Лечението с антибактериални средства променя нормалната флора на дебелото черво и довежда до свръхрастеж на С. </w:t>
      </w:r>
      <w:proofErr w:type="gramStart"/>
      <w:r w:rsidRPr="00C23FAD">
        <w:rPr>
          <w:rFonts w:eastAsia="Times New Roman" w:cs="Arial"/>
          <w:i/>
          <w:iCs/>
          <w:color w:val="000000"/>
          <w:szCs w:val="20"/>
          <w:lang w:val="en-US"/>
        </w:rPr>
        <w:t>difficile</w:t>
      </w:r>
      <w:proofErr w:type="gramEnd"/>
      <w:r w:rsidRPr="00C23FAD">
        <w:rPr>
          <w:rFonts w:eastAsia="Times New Roman" w:cs="Arial"/>
          <w:i/>
          <w:iCs/>
          <w:color w:val="000000"/>
          <w:szCs w:val="20"/>
          <w:lang w:val="ru-RU"/>
        </w:rPr>
        <w:t>.</w:t>
      </w:r>
    </w:p>
    <w:p w14:paraId="1F9E9B64" w14:textId="77777777" w:rsidR="00C23FAD" w:rsidRPr="00C23FAD" w:rsidRDefault="00C23FAD" w:rsidP="00C23FAD">
      <w:pPr>
        <w:spacing w:line="240" w:lineRule="auto"/>
        <w:rPr>
          <w:rFonts w:eastAsia="Times New Roman" w:cs="Arial"/>
          <w:i/>
          <w:iCs/>
          <w:color w:val="000000"/>
          <w:szCs w:val="20"/>
          <w:lang w:eastAsia="bg-BG"/>
        </w:rPr>
      </w:pPr>
    </w:p>
    <w:p w14:paraId="18423DA7" w14:textId="118B1483"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 xml:space="preserve">С. </w:t>
      </w:r>
      <w:proofErr w:type="gramStart"/>
      <w:r w:rsidRPr="00C23FAD">
        <w:rPr>
          <w:rFonts w:eastAsia="Times New Roman" w:cs="Arial"/>
          <w:i/>
          <w:iCs/>
          <w:color w:val="000000"/>
          <w:szCs w:val="20"/>
          <w:lang w:val="en-US"/>
        </w:rPr>
        <w:t>difficile</w:t>
      </w:r>
      <w:proofErr w:type="gramEnd"/>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произвежда токсините А и В, които допринасят за развитието на свързана с </w:t>
      </w:r>
      <w:r w:rsidRPr="00C23FAD">
        <w:rPr>
          <w:rFonts w:eastAsia="Times New Roman" w:cs="Arial"/>
          <w:i/>
          <w:iCs/>
          <w:color w:val="000000"/>
          <w:szCs w:val="20"/>
          <w:lang w:val="en-US"/>
        </w:rPr>
        <w:t>Clostridium</w:t>
      </w:r>
      <w:r w:rsidRPr="00C23FAD">
        <w:rPr>
          <w:rFonts w:eastAsia="Times New Roman" w:cs="Arial"/>
          <w:i/>
          <w:iCs/>
          <w:color w:val="000000"/>
          <w:szCs w:val="20"/>
          <w:lang w:val="ru-RU"/>
        </w:rPr>
        <w:t xml:space="preserve"> </w:t>
      </w:r>
      <w:r w:rsidRPr="00C23FAD">
        <w:rPr>
          <w:rFonts w:eastAsia="Times New Roman" w:cs="Arial"/>
          <w:i/>
          <w:iCs/>
          <w:color w:val="000000"/>
          <w:szCs w:val="20"/>
          <w:lang w:val="en-US"/>
        </w:rPr>
        <w:t>difficile</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диария </w:t>
      </w:r>
      <w:r w:rsidRPr="00C23FAD">
        <w:rPr>
          <w:rFonts w:eastAsia="Times New Roman" w:cs="Arial"/>
          <w:color w:val="000000"/>
          <w:szCs w:val="20"/>
          <w:lang w:val="ru-RU"/>
        </w:rPr>
        <w:t>(</w:t>
      </w:r>
      <w:r w:rsidRPr="00C23FAD">
        <w:rPr>
          <w:rFonts w:eastAsia="Times New Roman" w:cs="Arial"/>
          <w:color w:val="000000"/>
          <w:szCs w:val="20"/>
          <w:lang w:val="en-US"/>
        </w:rPr>
        <w:t>CDAD</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Щамове на С. </w:t>
      </w:r>
      <w:proofErr w:type="gramStart"/>
      <w:r w:rsidRPr="00C23FAD">
        <w:rPr>
          <w:rFonts w:eastAsia="Times New Roman" w:cs="Arial"/>
          <w:color w:val="000000"/>
          <w:szCs w:val="20"/>
          <w:lang w:val="en-US"/>
        </w:rPr>
        <w:t>difficile</w:t>
      </w:r>
      <w:proofErr w:type="gramEnd"/>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със свръхпродукция на токсини повишават заболеваемостта и смъртността тъй като тези инфекции могат да бъдат рефрактерни на антимикробната терапия и да изискват колектомия. </w:t>
      </w:r>
      <w:r w:rsidRPr="00C23FAD">
        <w:rPr>
          <w:rFonts w:eastAsia="Times New Roman" w:cs="Arial"/>
          <w:color w:val="000000"/>
          <w:szCs w:val="20"/>
          <w:lang w:val="en-US"/>
        </w:rPr>
        <w:t>CDAD</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трябва да се има предвид при всички пациенти, при които се наблюдава диария след употреба на антибиотици. Изисква се внимателно събиране на анамнеза, тъй като в някои случаи </w:t>
      </w:r>
      <w:r w:rsidRPr="00C23FAD">
        <w:rPr>
          <w:rFonts w:eastAsia="Times New Roman" w:cs="Arial"/>
          <w:color w:val="000000"/>
          <w:szCs w:val="20"/>
          <w:lang w:val="en-US"/>
        </w:rPr>
        <w:t>CDAD</w:t>
      </w:r>
      <w:r w:rsidRPr="00C23FAD">
        <w:rPr>
          <w:rFonts w:eastAsia="Times New Roman" w:cs="Arial"/>
          <w:color w:val="000000"/>
          <w:szCs w:val="20"/>
          <w:lang w:val="ru-RU"/>
        </w:rPr>
        <w:t xml:space="preserve"> </w:t>
      </w:r>
      <w:r w:rsidRPr="00C23FAD">
        <w:rPr>
          <w:rFonts w:eastAsia="Times New Roman" w:cs="Arial"/>
          <w:color w:val="000000"/>
          <w:szCs w:val="20"/>
          <w:lang w:eastAsia="bg-BG"/>
        </w:rPr>
        <w:t>се наблюдава след период, по-дълъг от два месеца след прекратяване на лечението с антибактериалния продукт.</w:t>
      </w:r>
    </w:p>
    <w:p w14:paraId="1BAE8759" w14:textId="77777777" w:rsidR="00C23FAD" w:rsidRPr="00C23FAD" w:rsidRDefault="00C23FAD" w:rsidP="00C23FAD">
      <w:pPr>
        <w:spacing w:line="240" w:lineRule="auto"/>
        <w:rPr>
          <w:rFonts w:eastAsia="Times New Roman" w:cs="Arial"/>
          <w:color w:val="000000"/>
          <w:szCs w:val="20"/>
          <w:lang w:eastAsia="bg-BG"/>
        </w:rPr>
      </w:pPr>
    </w:p>
    <w:p w14:paraId="11D67376" w14:textId="6B183B79" w:rsidR="00C23FAD" w:rsidRPr="00C23FAD" w:rsidRDefault="00C23FAD" w:rsidP="00C23FAD">
      <w:pPr>
        <w:spacing w:line="240" w:lineRule="auto"/>
        <w:rPr>
          <w:rFonts w:eastAsia="Times New Roman" w:cs="Arial"/>
          <w:color w:val="000000"/>
          <w:szCs w:val="20"/>
          <w:lang w:eastAsia="bg-BG"/>
        </w:rPr>
      </w:pPr>
      <w:r w:rsidRPr="00C23FAD">
        <w:rPr>
          <w:rFonts w:eastAsia="Times New Roman" w:cs="Arial"/>
          <w:color w:val="000000"/>
          <w:szCs w:val="20"/>
          <w:lang w:eastAsia="bg-BG"/>
        </w:rPr>
        <w:t xml:space="preserve">При пациенти с тежко бъбречно увреждане </w:t>
      </w:r>
      <w:r w:rsidRPr="00C23FAD">
        <w:rPr>
          <w:rFonts w:eastAsia="Times New Roman" w:cs="Arial"/>
          <w:color w:val="000000"/>
          <w:szCs w:val="20"/>
          <w:lang w:val="ru-RU"/>
        </w:rPr>
        <w:t>(</w:t>
      </w:r>
      <w:r w:rsidRPr="00C23FAD">
        <w:rPr>
          <w:rFonts w:eastAsia="Times New Roman" w:cs="Arial"/>
          <w:color w:val="000000"/>
          <w:szCs w:val="20"/>
          <w:lang w:val="en-US"/>
        </w:rPr>
        <w:t>GFR</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&lt;10 </w:t>
      </w:r>
      <w:r w:rsidRPr="00C23FAD">
        <w:rPr>
          <w:rFonts w:eastAsia="Times New Roman" w:cs="Arial"/>
          <w:color w:val="000000"/>
          <w:szCs w:val="20"/>
          <w:lang w:val="en-US"/>
        </w:rPr>
        <w:t>ml</w:t>
      </w:r>
      <w:r w:rsidRPr="00C23FAD">
        <w:rPr>
          <w:rFonts w:eastAsia="Times New Roman" w:cs="Arial"/>
          <w:color w:val="000000"/>
          <w:szCs w:val="20"/>
          <w:lang w:val="ru-RU"/>
        </w:rPr>
        <w:t>/</w:t>
      </w:r>
      <w:r w:rsidRPr="00C23FAD">
        <w:rPr>
          <w:rFonts w:eastAsia="Times New Roman" w:cs="Arial"/>
          <w:color w:val="000000"/>
          <w:szCs w:val="20"/>
          <w:lang w:val="en-US"/>
        </w:rPr>
        <w:t>min</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се наблюдава повишаване на системната </w:t>
      </w:r>
    </w:p>
    <w:p w14:paraId="4043DBBA" w14:textId="2CECC1E0"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експозиция на азитромицин с 33 % (вж. точка 5.2).</w:t>
      </w:r>
    </w:p>
    <w:p w14:paraId="065140EC"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При лечение с други макролиди, включително с азитромицин, са наблюдавани удължена сърдечна реполяризация и </w:t>
      </w:r>
      <w:r w:rsidRPr="00C23FAD">
        <w:rPr>
          <w:rFonts w:eastAsia="Times New Roman" w:cs="Arial"/>
          <w:color w:val="000000"/>
          <w:szCs w:val="20"/>
          <w:lang w:val="en-US"/>
        </w:rPr>
        <w:t>QT</w:t>
      </w:r>
      <w:r w:rsidRPr="00C23FAD">
        <w:rPr>
          <w:rFonts w:eastAsia="Times New Roman" w:cs="Arial"/>
          <w:color w:val="000000"/>
          <w:szCs w:val="20"/>
          <w:lang w:eastAsia="bg-BG"/>
        </w:rPr>
        <w:t xml:space="preserve">-интервал, свързани с риск от развитие на сърдечна аритмия и </w:t>
      </w:r>
      <w:proofErr w:type="spellStart"/>
      <w:r w:rsidRPr="00C23FAD">
        <w:rPr>
          <w:rFonts w:eastAsia="Times New Roman" w:cs="Arial"/>
          <w:color w:val="000000"/>
          <w:szCs w:val="20"/>
          <w:lang w:val="en-US"/>
        </w:rPr>
        <w:t>torsades</w:t>
      </w:r>
      <w:proofErr w:type="spellEnd"/>
      <w:r w:rsidRPr="00C23FAD">
        <w:rPr>
          <w:rFonts w:eastAsia="Times New Roman" w:cs="Arial"/>
          <w:color w:val="000000"/>
          <w:szCs w:val="20"/>
          <w:lang w:val="ru-RU"/>
        </w:rPr>
        <w:t xml:space="preserve"> </w:t>
      </w:r>
      <w:r w:rsidRPr="00C23FAD">
        <w:rPr>
          <w:rFonts w:eastAsia="Times New Roman" w:cs="Arial"/>
          <w:color w:val="000000"/>
          <w:szCs w:val="20"/>
          <w:lang w:val="en-US"/>
        </w:rPr>
        <w:t>de</w:t>
      </w:r>
      <w:r w:rsidRPr="00C23FAD">
        <w:rPr>
          <w:rFonts w:eastAsia="Times New Roman" w:cs="Arial"/>
          <w:color w:val="000000"/>
          <w:szCs w:val="20"/>
          <w:lang w:val="ru-RU"/>
        </w:rPr>
        <w:t xml:space="preserve"> </w:t>
      </w:r>
      <w:r w:rsidRPr="00C23FAD">
        <w:rPr>
          <w:rFonts w:eastAsia="Times New Roman" w:cs="Arial"/>
          <w:color w:val="000000"/>
          <w:szCs w:val="20"/>
          <w:lang w:val="en-US"/>
        </w:rPr>
        <w:t>pointes</w:t>
      </w:r>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(вж точка 4.8). Затова, тъй като следните ситуации могат да </w:t>
      </w:r>
      <w:r w:rsidRPr="00C23FAD">
        <w:rPr>
          <w:rFonts w:eastAsia="Times New Roman" w:cs="Arial"/>
          <w:color w:val="000000"/>
          <w:szCs w:val="20"/>
          <w:lang w:eastAsia="bg-BG"/>
        </w:rPr>
        <w:lastRenderedPageBreak/>
        <w:t xml:space="preserve">доведат до повишен риск от камерни аритмии (включително и </w:t>
      </w:r>
      <w:r w:rsidRPr="00C23FAD">
        <w:rPr>
          <w:rFonts w:eastAsia="Times New Roman" w:cs="Arial"/>
          <w:color w:val="000000"/>
          <w:szCs w:val="20"/>
          <w:lang w:val="en-US"/>
        </w:rPr>
        <w:t>torsade</w:t>
      </w:r>
      <w:r w:rsidRPr="00C23FAD">
        <w:rPr>
          <w:rFonts w:eastAsia="Times New Roman" w:cs="Arial"/>
          <w:color w:val="000000"/>
          <w:szCs w:val="20"/>
          <w:lang w:val="ru-RU"/>
        </w:rPr>
        <w:t xml:space="preserve"> </w:t>
      </w:r>
      <w:r w:rsidRPr="00C23FAD">
        <w:rPr>
          <w:rFonts w:eastAsia="Times New Roman" w:cs="Arial"/>
          <w:color w:val="000000"/>
          <w:szCs w:val="20"/>
          <w:lang w:val="en-US"/>
        </w:rPr>
        <w:t>de</w:t>
      </w:r>
      <w:r w:rsidRPr="00C23FAD">
        <w:rPr>
          <w:rFonts w:eastAsia="Times New Roman" w:cs="Arial"/>
          <w:color w:val="000000"/>
          <w:szCs w:val="20"/>
          <w:lang w:val="ru-RU"/>
        </w:rPr>
        <w:t xml:space="preserve"> </w:t>
      </w:r>
      <w:r w:rsidRPr="00C23FAD">
        <w:rPr>
          <w:rFonts w:eastAsia="Times New Roman" w:cs="Arial"/>
          <w:color w:val="000000"/>
          <w:szCs w:val="20"/>
          <w:lang w:val="en-US"/>
        </w:rPr>
        <w:t>pointes</w:t>
      </w:r>
      <w:r w:rsidRPr="00C23FAD">
        <w:rPr>
          <w:rFonts w:eastAsia="Times New Roman" w:cs="Arial"/>
          <w:color w:val="000000"/>
          <w:szCs w:val="20"/>
          <w:lang w:val="ru-RU"/>
        </w:rPr>
        <w:t xml:space="preserve"> </w:t>
      </w:r>
      <w:r w:rsidRPr="00C23FAD">
        <w:rPr>
          <w:rFonts w:eastAsia="Times New Roman" w:cs="Arial"/>
          <w:color w:val="000000"/>
          <w:szCs w:val="20"/>
          <w:lang w:eastAsia="bg-BG"/>
        </w:rPr>
        <w:t>), които могат да предизвикат сърдечен арест, азитромицин трябва да се прилага с повишено внимание при пациенти с проаритмични състояния (особено жени и пациенти в старческа възраст), например пациенти:</w:t>
      </w:r>
    </w:p>
    <w:p w14:paraId="763442BF" w14:textId="5FD8BEA4" w:rsidR="00C23FAD" w:rsidRPr="00C23FAD" w:rsidRDefault="00C23FAD" w:rsidP="00C23FAD">
      <w:pPr>
        <w:pStyle w:val="ListParagraph"/>
        <w:numPr>
          <w:ilvl w:val="0"/>
          <w:numId w:val="32"/>
        </w:numPr>
        <w:spacing w:line="240" w:lineRule="auto"/>
        <w:rPr>
          <w:rFonts w:eastAsia="Times New Roman" w:cs="Arial"/>
          <w:sz w:val="28"/>
          <w:szCs w:val="24"/>
        </w:rPr>
      </w:pPr>
      <w:r w:rsidRPr="00C23FAD">
        <w:rPr>
          <w:rFonts w:eastAsia="Times New Roman" w:cs="Arial"/>
          <w:color w:val="000000"/>
          <w:szCs w:val="20"/>
          <w:lang w:eastAsia="bg-BG"/>
        </w:rPr>
        <w:t xml:space="preserve">с вродено или установено придобито удължаване на </w:t>
      </w:r>
      <w:r w:rsidRPr="00C23FAD">
        <w:rPr>
          <w:rFonts w:eastAsia="Times New Roman" w:cs="Arial"/>
          <w:color w:val="000000"/>
          <w:szCs w:val="20"/>
          <w:lang w:val="en-US"/>
        </w:rPr>
        <w:t>QT</w:t>
      </w:r>
      <w:r w:rsidRPr="00C23FAD">
        <w:rPr>
          <w:rFonts w:eastAsia="Times New Roman" w:cs="Arial"/>
          <w:color w:val="000000"/>
          <w:szCs w:val="20"/>
          <w:lang w:eastAsia="bg-BG"/>
        </w:rPr>
        <w:t>-интервала;</w:t>
      </w:r>
    </w:p>
    <w:p w14:paraId="4DF18F40" w14:textId="246DF977" w:rsidR="00C23FAD" w:rsidRPr="00C23FAD" w:rsidRDefault="00C23FAD" w:rsidP="00C23FAD">
      <w:pPr>
        <w:pStyle w:val="ListParagraph"/>
        <w:numPr>
          <w:ilvl w:val="0"/>
          <w:numId w:val="32"/>
        </w:numPr>
        <w:spacing w:line="240" w:lineRule="auto"/>
        <w:rPr>
          <w:rFonts w:eastAsia="Times New Roman" w:cs="Arial"/>
          <w:sz w:val="28"/>
          <w:szCs w:val="24"/>
        </w:rPr>
      </w:pPr>
      <w:r w:rsidRPr="00C23FAD">
        <w:rPr>
          <w:rFonts w:eastAsia="Times New Roman" w:cs="Arial"/>
          <w:color w:val="000000"/>
          <w:szCs w:val="20"/>
          <w:lang w:eastAsia="bg-BG"/>
        </w:rPr>
        <w:t xml:space="preserve">получаващи в момента лечение с други активни вещества, за които е известно, че удължават </w:t>
      </w:r>
      <w:r w:rsidRPr="00C23FAD">
        <w:rPr>
          <w:rFonts w:eastAsia="Times New Roman" w:cs="Arial"/>
          <w:color w:val="000000"/>
          <w:szCs w:val="20"/>
          <w:lang w:val="en-US"/>
        </w:rPr>
        <w:t>QT</w:t>
      </w:r>
      <w:r w:rsidRPr="00C23FAD">
        <w:rPr>
          <w:rFonts w:eastAsia="Times New Roman" w:cs="Arial"/>
          <w:color w:val="000000"/>
          <w:szCs w:val="20"/>
          <w:lang w:eastAsia="bg-BG"/>
        </w:rPr>
        <w:t xml:space="preserve">-интервала, като антиаритмици клас </w:t>
      </w:r>
      <w:r w:rsidRPr="00C23FAD">
        <w:rPr>
          <w:rFonts w:eastAsia="Times New Roman" w:cs="Arial"/>
          <w:color w:val="000000"/>
          <w:szCs w:val="20"/>
          <w:lang w:val="en-US"/>
        </w:rPr>
        <w:t>I</w:t>
      </w:r>
      <w:r w:rsidRPr="00C23FAD">
        <w:rPr>
          <w:rFonts w:eastAsia="Times New Roman" w:cs="Arial"/>
          <w:color w:val="000000"/>
          <w:szCs w:val="20"/>
          <w:lang w:eastAsia="bg-BG"/>
        </w:rPr>
        <w:t>а (хинидин и прокаинамид) и клас III (дофетилид, амиодарон и соталол), цизаприд и терфенадин; антипсихотици като пимозид; антидепресанти, напр. циталопрам; и флуорохинолони, напр. моксифлоксацин и левофлоксацин;</w:t>
      </w:r>
    </w:p>
    <w:p w14:paraId="3B24A12E" w14:textId="77777777" w:rsidR="00C23FAD" w:rsidRPr="00C23FAD" w:rsidRDefault="00C23FAD" w:rsidP="00C23FAD">
      <w:pPr>
        <w:pStyle w:val="ListParagraph"/>
        <w:numPr>
          <w:ilvl w:val="0"/>
          <w:numId w:val="32"/>
        </w:numPr>
        <w:spacing w:line="240" w:lineRule="auto"/>
        <w:rPr>
          <w:rFonts w:eastAsia="Times New Roman" w:cs="Arial"/>
          <w:sz w:val="28"/>
          <w:szCs w:val="24"/>
        </w:rPr>
      </w:pPr>
      <w:r w:rsidRPr="00C23FAD">
        <w:rPr>
          <w:rFonts w:eastAsia="Times New Roman" w:cs="Arial"/>
          <w:color w:val="000000"/>
          <w:szCs w:val="20"/>
          <w:lang w:eastAsia="bg-BG"/>
        </w:rPr>
        <w:t>с електролитни нарушения, особено в случаи на хипокалиемия и хипомагнезиемия;</w:t>
      </w:r>
    </w:p>
    <w:p w14:paraId="7FA16A63" w14:textId="0BA45A30" w:rsidR="00C23FAD" w:rsidRPr="00C23FAD" w:rsidRDefault="00C23FAD" w:rsidP="00C23FAD">
      <w:pPr>
        <w:pStyle w:val="ListParagraph"/>
        <w:numPr>
          <w:ilvl w:val="0"/>
          <w:numId w:val="32"/>
        </w:numPr>
        <w:spacing w:line="240" w:lineRule="auto"/>
        <w:rPr>
          <w:rFonts w:eastAsia="Times New Roman" w:cs="Arial"/>
          <w:sz w:val="28"/>
          <w:szCs w:val="24"/>
        </w:rPr>
      </w:pPr>
      <w:r w:rsidRPr="00C23FAD">
        <w:rPr>
          <w:rFonts w:eastAsia="Times New Roman" w:cs="Arial"/>
          <w:color w:val="000000"/>
          <w:szCs w:val="20"/>
          <w:lang w:eastAsia="bg-BG"/>
        </w:rPr>
        <w:t>с клинично значима брадикардия, сърдечна аритмия или тежка сърдечна недостатъчност.</w:t>
      </w:r>
    </w:p>
    <w:p w14:paraId="2DFBB8C9" w14:textId="77777777" w:rsidR="00C23FAD" w:rsidRPr="00C23FAD" w:rsidRDefault="00C23FAD" w:rsidP="00C23FAD">
      <w:pPr>
        <w:spacing w:line="240" w:lineRule="auto"/>
        <w:rPr>
          <w:rFonts w:eastAsia="Times New Roman" w:cs="Arial"/>
          <w:color w:val="000000"/>
          <w:szCs w:val="20"/>
          <w:lang w:eastAsia="bg-BG"/>
        </w:rPr>
      </w:pPr>
    </w:p>
    <w:p w14:paraId="6E7B6175" w14:textId="3DDBA2A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При пациенти на терапия с азитромицин е наблюдавана поява на миастения гравис или обостряне на симптомите й (вж. точка 4.8).</w:t>
      </w:r>
    </w:p>
    <w:p w14:paraId="1228AF59" w14:textId="77777777" w:rsidR="00C23FAD" w:rsidRPr="00C23FAD" w:rsidRDefault="00C23FAD" w:rsidP="00C23FAD">
      <w:pPr>
        <w:rPr>
          <w:rFonts w:eastAsia="Times New Roman" w:cs="Arial"/>
          <w:color w:val="000000"/>
          <w:szCs w:val="20"/>
          <w:lang w:eastAsia="bg-BG"/>
        </w:rPr>
      </w:pPr>
    </w:p>
    <w:p w14:paraId="07FA607D" w14:textId="3A883FD8" w:rsidR="00C23FAD" w:rsidRPr="00C23FAD" w:rsidRDefault="00C23FAD" w:rsidP="00C23FAD">
      <w:pPr>
        <w:rPr>
          <w:rFonts w:eastAsia="Times New Roman" w:cs="Arial"/>
          <w:color w:val="000000"/>
          <w:szCs w:val="20"/>
          <w:lang w:eastAsia="bg-BG"/>
        </w:rPr>
      </w:pPr>
      <w:r w:rsidRPr="00C23FAD">
        <w:rPr>
          <w:rFonts w:eastAsia="Times New Roman" w:cs="Arial"/>
          <w:color w:val="000000"/>
          <w:szCs w:val="20"/>
          <w:lang w:eastAsia="bg-BG"/>
        </w:rPr>
        <w:t xml:space="preserve">Безопасността и ефикасността за профилактика и лечение на МАС </w:t>
      </w:r>
      <w:r w:rsidRPr="00C23FAD">
        <w:rPr>
          <w:rFonts w:eastAsia="Times New Roman" w:cs="Arial"/>
          <w:i/>
          <w:iCs/>
          <w:color w:val="000000"/>
          <w:szCs w:val="20"/>
          <w:lang w:eastAsia="bg-BG"/>
        </w:rPr>
        <w:t>(</w:t>
      </w:r>
      <w:r w:rsidRPr="00C23FAD">
        <w:rPr>
          <w:rFonts w:eastAsia="Times New Roman" w:cs="Arial"/>
          <w:i/>
          <w:iCs/>
          <w:color w:val="000000"/>
          <w:szCs w:val="20"/>
          <w:lang w:val="en-US"/>
        </w:rPr>
        <w:t>Mycobacterium</w:t>
      </w:r>
      <w:r w:rsidRPr="00C23FAD">
        <w:rPr>
          <w:rFonts w:eastAsia="Times New Roman" w:cs="Arial"/>
          <w:i/>
          <w:iCs/>
          <w:color w:val="000000"/>
          <w:szCs w:val="20"/>
          <w:lang w:val="ru-RU"/>
        </w:rPr>
        <w:t xml:space="preserve"> </w:t>
      </w:r>
      <w:proofErr w:type="spellStart"/>
      <w:r w:rsidRPr="00C23FAD">
        <w:rPr>
          <w:rFonts w:eastAsia="Times New Roman" w:cs="Arial"/>
          <w:i/>
          <w:iCs/>
          <w:color w:val="000000"/>
          <w:szCs w:val="20"/>
          <w:lang w:val="en-US"/>
        </w:rPr>
        <w:t>avium</w:t>
      </w:r>
      <w:proofErr w:type="spellEnd"/>
      <w:r w:rsidRPr="00C23FAD">
        <w:rPr>
          <w:rFonts w:eastAsia="Times New Roman" w:cs="Arial"/>
          <w:i/>
          <w:iCs/>
          <w:color w:val="000000"/>
          <w:szCs w:val="20"/>
          <w:lang w:val="ru-RU"/>
        </w:rPr>
        <w:t xml:space="preserve"> </w:t>
      </w:r>
      <w:r w:rsidRPr="00C23FAD">
        <w:rPr>
          <w:rFonts w:eastAsia="Times New Roman" w:cs="Arial"/>
          <w:i/>
          <w:iCs/>
          <w:color w:val="000000"/>
          <w:szCs w:val="20"/>
          <w:lang w:val="en-US"/>
        </w:rPr>
        <w:t>complex</w:t>
      </w:r>
      <w:r w:rsidRPr="00C23FAD">
        <w:rPr>
          <w:rFonts w:eastAsia="Times New Roman" w:cs="Arial"/>
          <w:i/>
          <w:iCs/>
          <w:color w:val="000000"/>
          <w:szCs w:val="20"/>
          <w:lang w:val="ru-RU"/>
        </w:rPr>
        <w:t>)</w:t>
      </w:r>
      <w:r w:rsidRPr="00C23FAD">
        <w:rPr>
          <w:rFonts w:eastAsia="Times New Roman" w:cs="Arial"/>
          <w:color w:val="000000"/>
          <w:szCs w:val="20"/>
          <w:lang w:val="ru-RU"/>
        </w:rPr>
        <w:t xml:space="preserve"> </w:t>
      </w:r>
      <w:r w:rsidRPr="00C23FAD">
        <w:rPr>
          <w:rFonts w:eastAsia="Times New Roman" w:cs="Arial"/>
          <w:color w:val="000000"/>
          <w:szCs w:val="20"/>
          <w:lang w:eastAsia="bg-BG"/>
        </w:rPr>
        <w:t>при деца не е установена.</w:t>
      </w:r>
    </w:p>
    <w:p w14:paraId="18060FB2" w14:textId="07482EF7" w:rsidR="00C23FAD" w:rsidRDefault="00C23FAD" w:rsidP="00C23FAD"/>
    <w:p w14:paraId="2EB14FE9" w14:textId="77777777" w:rsidR="00C23FAD" w:rsidRPr="00C23FAD" w:rsidRDefault="00C23FAD" w:rsidP="00C23FAD">
      <w:pPr>
        <w:spacing w:line="240" w:lineRule="auto"/>
        <w:rPr>
          <w:rFonts w:eastAsia="Times New Roman" w:cs="Arial"/>
          <w:sz w:val="28"/>
          <w:szCs w:val="24"/>
        </w:rPr>
      </w:pPr>
      <w:bookmarkStart w:id="2" w:name="bookmark0"/>
      <w:r w:rsidRPr="00C23FAD">
        <w:rPr>
          <w:rFonts w:eastAsia="Times New Roman" w:cs="Arial"/>
          <w:b/>
          <w:bCs/>
          <w:color w:val="000000"/>
          <w:szCs w:val="20"/>
          <w:lang w:eastAsia="bg-BG"/>
        </w:rPr>
        <w:t>Трябва да се имат предвид следните фактори, преди предписване на азитромицин:</w:t>
      </w:r>
      <w:bookmarkEnd w:id="2"/>
    </w:p>
    <w:p w14:paraId="0ECDD2C9" w14:textId="77777777" w:rsidR="00C23FAD" w:rsidRPr="00C23FAD" w:rsidRDefault="00C23FAD" w:rsidP="00C23FAD">
      <w:pPr>
        <w:spacing w:line="240" w:lineRule="auto"/>
        <w:rPr>
          <w:rFonts w:eastAsia="Times New Roman" w:cs="Arial"/>
          <w:color w:val="000000"/>
          <w:szCs w:val="20"/>
          <w:lang w:eastAsia="bg-BG"/>
        </w:rPr>
      </w:pPr>
    </w:p>
    <w:p w14:paraId="63537802" w14:textId="37E2B1DA"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Азатрил не е подходящ за лечение на тежки инфекции, където е необходимо бързо да се достигне висока концентрация на антибиотика в кръвта.</w:t>
      </w:r>
    </w:p>
    <w:p w14:paraId="604450F5" w14:textId="77777777" w:rsidR="00C23FAD" w:rsidRPr="00C23FAD" w:rsidRDefault="00C23FAD" w:rsidP="00C23FAD">
      <w:pPr>
        <w:spacing w:line="240" w:lineRule="auto"/>
        <w:rPr>
          <w:rFonts w:eastAsia="Times New Roman" w:cs="Arial"/>
          <w:color w:val="000000"/>
          <w:szCs w:val="20"/>
          <w:lang w:eastAsia="bg-BG"/>
        </w:rPr>
      </w:pPr>
    </w:p>
    <w:p w14:paraId="142FC0D1" w14:textId="32541F5F"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При избор на азитромицин за лечението на всеки отделен пациент трябва да се прецени дали е целесъобразно използването на макролиден антибактериален агент, въз основа на адекватна диагностика, с установена бактериална етиология на инфекцията при одобрените индикации и като се има предвид разпространението на резистентност към азитромицин или други макролиди.</w:t>
      </w:r>
    </w:p>
    <w:p w14:paraId="1946205C" w14:textId="77777777" w:rsidR="00C23FAD" w:rsidRPr="00C23FAD" w:rsidRDefault="00C23FAD" w:rsidP="00C23FAD">
      <w:pPr>
        <w:spacing w:line="240" w:lineRule="auto"/>
        <w:rPr>
          <w:rFonts w:eastAsia="Times New Roman" w:cs="Arial"/>
          <w:color w:val="000000"/>
          <w:szCs w:val="20"/>
          <w:lang w:eastAsia="bg-BG"/>
        </w:rPr>
      </w:pPr>
    </w:p>
    <w:p w14:paraId="0704CE79" w14:textId="05F814E4"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В райони с висока честота на резистентност към еритромицин А е особено важно да се има предвид промяната на чувствителността към азитромицин и други антибиотици.</w:t>
      </w:r>
    </w:p>
    <w:p w14:paraId="5E71A271"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Както за другите макролиди, така и при азитромицин в някои европейски страни се съобщава за висока степен на резистентност на </w:t>
      </w:r>
      <w:r w:rsidRPr="00C23FAD">
        <w:rPr>
          <w:rFonts w:eastAsia="Times New Roman" w:cs="Arial"/>
          <w:i/>
          <w:iCs/>
          <w:color w:val="000000"/>
          <w:szCs w:val="20"/>
          <w:lang w:val="en-US"/>
        </w:rPr>
        <w:t>Streptococcus</w:t>
      </w:r>
      <w:r w:rsidRPr="00C23FAD">
        <w:rPr>
          <w:rFonts w:eastAsia="Times New Roman" w:cs="Arial"/>
          <w:i/>
          <w:iCs/>
          <w:color w:val="000000"/>
          <w:szCs w:val="20"/>
          <w:lang w:val="ru-RU"/>
        </w:rPr>
        <w:t xml:space="preserve"> </w:t>
      </w:r>
      <w:proofErr w:type="spellStart"/>
      <w:r w:rsidRPr="00C23FAD">
        <w:rPr>
          <w:rFonts w:eastAsia="Times New Roman" w:cs="Arial"/>
          <w:i/>
          <w:iCs/>
          <w:color w:val="000000"/>
          <w:szCs w:val="20"/>
          <w:lang w:val="en-US"/>
        </w:rPr>
        <w:t>pneumoniae</w:t>
      </w:r>
      <w:proofErr w:type="spellEnd"/>
      <w:r w:rsidRPr="00C23FAD">
        <w:rPr>
          <w:rFonts w:eastAsia="Times New Roman" w:cs="Arial"/>
          <w:color w:val="000000"/>
          <w:szCs w:val="20"/>
          <w:lang w:val="ru-RU"/>
        </w:rPr>
        <w:t xml:space="preserve"> </w:t>
      </w:r>
      <w:r w:rsidRPr="00C23FAD">
        <w:rPr>
          <w:rFonts w:eastAsia="Times New Roman" w:cs="Arial"/>
          <w:color w:val="000000"/>
          <w:szCs w:val="20"/>
          <w:lang w:eastAsia="bg-BG"/>
        </w:rPr>
        <w:t>към азитромицин (вж.</w:t>
      </w:r>
    </w:p>
    <w:p w14:paraId="4871A284"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точка 5.1). Това трябва да се има предвид при лечение на инфекции, причинени от </w:t>
      </w:r>
      <w:r w:rsidRPr="00C23FAD">
        <w:rPr>
          <w:rFonts w:eastAsia="Times New Roman" w:cs="Arial"/>
          <w:i/>
          <w:iCs/>
          <w:color w:val="000000"/>
          <w:szCs w:val="20"/>
          <w:lang w:val="en-US"/>
        </w:rPr>
        <w:t>Streptococcus</w:t>
      </w:r>
      <w:r w:rsidRPr="00C23FAD">
        <w:rPr>
          <w:rFonts w:eastAsia="Times New Roman" w:cs="Arial"/>
          <w:i/>
          <w:iCs/>
          <w:color w:val="000000"/>
          <w:szCs w:val="20"/>
          <w:lang w:val="ru-RU"/>
        </w:rPr>
        <w:t xml:space="preserve"> </w:t>
      </w:r>
      <w:proofErr w:type="spellStart"/>
      <w:r w:rsidRPr="00C23FAD">
        <w:rPr>
          <w:rFonts w:eastAsia="Times New Roman" w:cs="Arial"/>
          <w:i/>
          <w:iCs/>
          <w:color w:val="000000"/>
          <w:szCs w:val="20"/>
          <w:lang w:val="en-US"/>
        </w:rPr>
        <w:t>pneumoniae</w:t>
      </w:r>
      <w:proofErr w:type="spellEnd"/>
      <w:r w:rsidRPr="00C23FAD">
        <w:rPr>
          <w:rFonts w:eastAsia="Times New Roman" w:cs="Arial"/>
          <w:i/>
          <w:iCs/>
          <w:color w:val="000000"/>
          <w:szCs w:val="20"/>
          <w:lang w:val="ru-RU"/>
        </w:rPr>
        <w:t>.</w:t>
      </w:r>
    </w:p>
    <w:p w14:paraId="72140B08" w14:textId="77777777" w:rsidR="00C23FAD" w:rsidRPr="00C23FAD" w:rsidRDefault="00C23FAD" w:rsidP="00C23FAD">
      <w:pPr>
        <w:spacing w:line="240" w:lineRule="auto"/>
        <w:rPr>
          <w:rFonts w:eastAsia="Times New Roman" w:cs="Arial"/>
          <w:color w:val="000000"/>
          <w:szCs w:val="20"/>
          <w:lang w:eastAsia="bg-BG"/>
        </w:rPr>
      </w:pPr>
    </w:p>
    <w:p w14:paraId="4A747725" w14:textId="5942C889"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При бактериален фарингит използването на азитромицин се препоръчва само в случаите, когато прилагането на бета-лактами като първа линия на лечение е невъзможно.</w:t>
      </w:r>
    </w:p>
    <w:p w14:paraId="2E1791D8" w14:textId="77777777" w:rsidR="00C23FAD" w:rsidRPr="00C23FAD" w:rsidRDefault="00C23FAD" w:rsidP="00C23FAD">
      <w:pPr>
        <w:spacing w:line="240" w:lineRule="auto"/>
        <w:rPr>
          <w:rFonts w:eastAsia="Times New Roman" w:cs="Arial"/>
          <w:i/>
          <w:iCs/>
          <w:color w:val="000000"/>
          <w:szCs w:val="20"/>
          <w:lang w:eastAsia="bg-BG"/>
        </w:rPr>
      </w:pPr>
    </w:p>
    <w:p w14:paraId="710BB46F" w14:textId="799A435F"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Инфекции на кожата и меките тъкани</w:t>
      </w:r>
    </w:p>
    <w:p w14:paraId="6915F90A"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Основният причинител на инфекциите на меките тъкани, </w:t>
      </w:r>
      <w:r w:rsidRPr="00C23FAD">
        <w:rPr>
          <w:rFonts w:eastAsia="Times New Roman" w:cs="Arial"/>
          <w:i/>
          <w:iCs/>
          <w:color w:val="000000"/>
          <w:szCs w:val="20"/>
          <w:lang w:val="en-US"/>
        </w:rPr>
        <w:t>Staphylococcus</w:t>
      </w:r>
      <w:r w:rsidRPr="00C23FAD">
        <w:rPr>
          <w:rFonts w:eastAsia="Times New Roman" w:cs="Arial"/>
          <w:i/>
          <w:iCs/>
          <w:color w:val="000000"/>
          <w:szCs w:val="20"/>
          <w:lang w:val="ru-RU"/>
        </w:rPr>
        <w:t xml:space="preserve"> </w:t>
      </w:r>
      <w:r w:rsidRPr="00C23FAD">
        <w:rPr>
          <w:rFonts w:eastAsia="Times New Roman" w:cs="Arial"/>
          <w:i/>
          <w:iCs/>
          <w:color w:val="000000"/>
          <w:szCs w:val="20"/>
          <w:lang w:val="en-US"/>
        </w:rPr>
        <w:t>aureus</w:t>
      </w:r>
      <w:r w:rsidRPr="00C23FAD">
        <w:rPr>
          <w:rFonts w:eastAsia="Times New Roman" w:cs="Arial"/>
          <w:color w:val="000000"/>
          <w:szCs w:val="20"/>
          <w:lang w:val="ru-RU"/>
        </w:rPr>
        <w:t xml:space="preserve"> </w:t>
      </w:r>
      <w:r w:rsidRPr="00C23FAD">
        <w:rPr>
          <w:rFonts w:eastAsia="Times New Roman" w:cs="Arial"/>
          <w:color w:val="000000"/>
          <w:szCs w:val="20"/>
          <w:lang w:eastAsia="bg-BG"/>
        </w:rPr>
        <w:t>е често резистентен към азитромицин. Ето защо определянето на чувствителността е предварително условие за лечение на инфекциите на меките тъкани с азитромицин^</w:t>
      </w:r>
    </w:p>
    <w:p w14:paraId="479D5387" w14:textId="77777777" w:rsidR="00C23FAD" w:rsidRPr="00C23FAD" w:rsidRDefault="00C23FAD" w:rsidP="00C23FAD">
      <w:pPr>
        <w:spacing w:line="240" w:lineRule="auto"/>
        <w:rPr>
          <w:rFonts w:eastAsia="Times New Roman" w:cs="Arial"/>
          <w:i/>
          <w:iCs/>
          <w:color w:val="000000"/>
          <w:szCs w:val="20"/>
          <w:lang w:eastAsia="bg-BG"/>
        </w:rPr>
      </w:pPr>
    </w:p>
    <w:p w14:paraId="0AFFD212" w14:textId="7515279B"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Инфектирани рани, получени от изгаряне</w:t>
      </w:r>
    </w:p>
    <w:p w14:paraId="132AC36D"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Азитромицин не е показан за лечение на инфектирани рани, получени от изгаряне.</w:t>
      </w:r>
    </w:p>
    <w:p w14:paraId="0FC43440" w14:textId="77777777" w:rsidR="00C23FAD" w:rsidRPr="00C23FAD" w:rsidRDefault="00C23FAD" w:rsidP="00C23FAD">
      <w:pPr>
        <w:spacing w:line="240" w:lineRule="auto"/>
        <w:rPr>
          <w:rFonts w:eastAsia="Times New Roman" w:cs="Arial"/>
          <w:i/>
          <w:iCs/>
          <w:color w:val="000000"/>
          <w:szCs w:val="20"/>
          <w:lang w:eastAsia="bg-BG"/>
        </w:rPr>
      </w:pPr>
    </w:p>
    <w:p w14:paraId="6A97D9A1" w14:textId="16387A9A"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Болести, предавани по полов път</w:t>
      </w:r>
    </w:p>
    <w:p w14:paraId="5E84D5B2"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 xml:space="preserve">В случай на болести, предавани по полов път, трябва да се изключи вероятността от съпътстваща инфекция с </w:t>
      </w:r>
      <w:r w:rsidRPr="00C23FAD">
        <w:rPr>
          <w:rFonts w:eastAsia="Times New Roman" w:cs="Arial"/>
          <w:i/>
          <w:iCs/>
          <w:color w:val="000000"/>
          <w:szCs w:val="20"/>
          <w:lang w:eastAsia="bg-BG"/>
        </w:rPr>
        <w:t xml:space="preserve">Т. </w:t>
      </w:r>
      <w:proofErr w:type="spellStart"/>
      <w:proofErr w:type="gramStart"/>
      <w:r w:rsidRPr="00C23FAD">
        <w:rPr>
          <w:rFonts w:eastAsia="Times New Roman" w:cs="Arial"/>
          <w:i/>
          <w:iCs/>
          <w:color w:val="000000"/>
          <w:szCs w:val="20"/>
          <w:lang w:val="en-US"/>
        </w:rPr>
        <w:t>pallidium</w:t>
      </w:r>
      <w:proofErr w:type="spellEnd"/>
      <w:proofErr w:type="gramEnd"/>
      <w:r w:rsidRPr="00C23FAD">
        <w:rPr>
          <w:rFonts w:eastAsia="Times New Roman" w:cs="Arial"/>
          <w:i/>
          <w:iCs/>
          <w:color w:val="000000"/>
          <w:szCs w:val="20"/>
          <w:lang w:val="ru-RU"/>
        </w:rPr>
        <w:t>.</w:t>
      </w:r>
    </w:p>
    <w:p w14:paraId="608CD79D" w14:textId="77777777" w:rsidR="00C23FAD" w:rsidRPr="00C23FAD" w:rsidRDefault="00C23FAD" w:rsidP="00C23FAD">
      <w:pPr>
        <w:spacing w:line="240" w:lineRule="auto"/>
        <w:rPr>
          <w:rFonts w:eastAsia="Times New Roman" w:cs="Arial"/>
          <w:i/>
          <w:iCs/>
          <w:color w:val="000000"/>
          <w:szCs w:val="20"/>
          <w:lang w:eastAsia="bg-BG"/>
        </w:rPr>
      </w:pPr>
    </w:p>
    <w:p w14:paraId="2906F032" w14:textId="61AA6260"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Неврологични или психични заболявания</w:t>
      </w:r>
    </w:p>
    <w:p w14:paraId="0A398289"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Азитромицин трябва да се използва с повишено внимание при пациенти с неврологични или психични разстройства.</w:t>
      </w:r>
    </w:p>
    <w:p w14:paraId="3871A42B" w14:textId="77777777" w:rsidR="00C23FAD" w:rsidRPr="00C23FAD" w:rsidRDefault="00C23FAD" w:rsidP="00C23FAD">
      <w:pPr>
        <w:spacing w:line="240" w:lineRule="auto"/>
        <w:rPr>
          <w:rFonts w:eastAsia="Times New Roman" w:cs="Arial"/>
          <w:color w:val="000000"/>
          <w:szCs w:val="20"/>
          <w:u w:val="single"/>
          <w:lang w:eastAsia="bg-BG"/>
        </w:rPr>
      </w:pPr>
    </w:p>
    <w:p w14:paraId="5B518979" w14:textId="6949348B"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u w:val="single"/>
          <w:lang w:eastAsia="bg-BG"/>
        </w:rPr>
        <w:t>Помощни вещества</w:t>
      </w:r>
    </w:p>
    <w:p w14:paraId="6213E0A4" w14:textId="7AB3E022"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u w:val="single"/>
          <w:lang w:eastAsia="bg-BG"/>
        </w:rPr>
        <w:t>Лактоза</w:t>
      </w:r>
    </w:p>
    <w:p w14:paraId="2F9DCCD2" w14:textId="7448A4CC"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33A8551A" w14:textId="77777777" w:rsidR="00C23FAD" w:rsidRPr="00C23FAD" w:rsidRDefault="00C23FAD" w:rsidP="00C23FAD">
      <w:pPr>
        <w:spacing w:line="240" w:lineRule="auto"/>
        <w:rPr>
          <w:rFonts w:eastAsia="Times New Roman" w:cs="Arial"/>
          <w:i/>
          <w:iCs/>
          <w:color w:val="000000"/>
          <w:szCs w:val="20"/>
          <w:lang w:eastAsia="bg-BG"/>
        </w:rPr>
      </w:pPr>
    </w:p>
    <w:p w14:paraId="53C75494" w14:textId="458C5511" w:rsidR="00C23FAD" w:rsidRPr="00C23FAD" w:rsidRDefault="00C23FAD" w:rsidP="00C23FAD">
      <w:pPr>
        <w:spacing w:line="240" w:lineRule="auto"/>
        <w:rPr>
          <w:rFonts w:eastAsia="Times New Roman" w:cs="Arial"/>
          <w:sz w:val="28"/>
          <w:szCs w:val="24"/>
        </w:rPr>
      </w:pPr>
      <w:r w:rsidRPr="00C23FAD">
        <w:rPr>
          <w:rFonts w:eastAsia="Times New Roman" w:cs="Arial"/>
          <w:i/>
          <w:iCs/>
          <w:color w:val="000000"/>
          <w:szCs w:val="20"/>
          <w:lang w:eastAsia="bg-BG"/>
        </w:rPr>
        <w:t>Натрий</w:t>
      </w:r>
    </w:p>
    <w:p w14:paraId="773E779E" w14:textId="1211F7A5" w:rsidR="00C23FAD" w:rsidRDefault="00C23FAD" w:rsidP="00C23FAD">
      <w:pPr>
        <w:rPr>
          <w:rFonts w:eastAsia="Times New Roman" w:cs="Arial"/>
          <w:color w:val="000000"/>
          <w:szCs w:val="20"/>
          <w:lang w:eastAsia="bg-BG"/>
        </w:rPr>
      </w:pPr>
      <w:r w:rsidRPr="00C23FAD">
        <w:rPr>
          <w:rFonts w:eastAsia="Times New Roman" w:cs="Arial"/>
          <w:color w:val="000000"/>
          <w:szCs w:val="20"/>
          <w:lang w:eastAsia="bg-BG"/>
        </w:rPr>
        <w:t xml:space="preserve">Това лекарство съдържа по-малко от 1 </w:t>
      </w:r>
      <w:proofErr w:type="spellStart"/>
      <w:r w:rsidRPr="00C23FAD">
        <w:rPr>
          <w:rFonts w:eastAsia="Times New Roman" w:cs="Arial"/>
          <w:color w:val="000000"/>
          <w:szCs w:val="20"/>
          <w:lang w:val="en-US"/>
        </w:rPr>
        <w:t>mmol</w:t>
      </w:r>
      <w:proofErr w:type="spellEnd"/>
      <w:r w:rsidRPr="00C23FAD">
        <w:rPr>
          <w:rFonts w:eastAsia="Times New Roman" w:cs="Arial"/>
          <w:color w:val="000000"/>
          <w:szCs w:val="20"/>
          <w:lang w:val="ru-RU"/>
        </w:rPr>
        <w:t xml:space="preserve"> </w:t>
      </w:r>
      <w:r w:rsidRPr="00C23FAD">
        <w:rPr>
          <w:rFonts w:eastAsia="Times New Roman" w:cs="Arial"/>
          <w:color w:val="000000"/>
          <w:szCs w:val="20"/>
          <w:lang w:eastAsia="bg-BG"/>
        </w:rPr>
        <w:t xml:space="preserve">натрий (23 </w:t>
      </w:r>
      <w:r w:rsidRPr="00C23FAD">
        <w:rPr>
          <w:rFonts w:eastAsia="Times New Roman" w:cs="Arial"/>
          <w:color w:val="000000"/>
          <w:szCs w:val="20"/>
          <w:lang w:val="en-US"/>
        </w:rPr>
        <w:t>mg</w:t>
      </w:r>
      <w:r w:rsidRPr="00C23FAD">
        <w:rPr>
          <w:rFonts w:eastAsia="Times New Roman" w:cs="Arial"/>
          <w:color w:val="000000"/>
          <w:szCs w:val="20"/>
          <w:lang w:val="ru-RU"/>
        </w:rPr>
        <w:t xml:space="preserve">) </w:t>
      </w:r>
      <w:r w:rsidRPr="00C23FAD">
        <w:rPr>
          <w:rFonts w:eastAsia="Times New Roman" w:cs="Arial"/>
          <w:color w:val="000000"/>
          <w:szCs w:val="20"/>
          <w:lang w:eastAsia="bg-BG"/>
        </w:rPr>
        <w:t>на филмирана таблетка, т.е. може да се каже, че практически не съдържа натрий.</w:t>
      </w:r>
    </w:p>
    <w:p w14:paraId="56562951" w14:textId="77777777" w:rsidR="00C23FAD" w:rsidRPr="00C23FAD" w:rsidRDefault="00C23FAD" w:rsidP="00C23FAD">
      <w:pPr>
        <w:rPr>
          <w:rFonts w:cs="Arial"/>
          <w:sz w:val="24"/>
        </w:rPr>
      </w:pPr>
    </w:p>
    <w:p w14:paraId="1244F76A" w14:textId="427BE0FE" w:rsidR="00395555" w:rsidRDefault="002C50EE" w:rsidP="008A6AF2">
      <w:pPr>
        <w:pStyle w:val="Heading2"/>
      </w:pPr>
      <w:r>
        <w:t>4.5. Взаимодействие с други лекарствени продукти и други форми на взаимодействие</w:t>
      </w:r>
    </w:p>
    <w:p w14:paraId="25733E93" w14:textId="5134601F" w:rsidR="00C23FAD" w:rsidRDefault="00C23FAD" w:rsidP="00C23FAD"/>
    <w:p w14:paraId="0E1D7DEC" w14:textId="7777777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Антиациди</w:t>
      </w:r>
    </w:p>
    <w:p w14:paraId="6158737B" w14:textId="374CA724" w:rsidR="00C23FAD" w:rsidRPr="00C23FAD" w:rsidRDefault="00C23FAD" w:rsidP="00C23FAD">
      <w:pPr>
        <w:rPr>
          <w:rFonts w:eastAsia="Times New Roman" w:cs="Arial"/>
          <w:color w:val="000000"/>
          <w:lang w:eastAsia="bg-BG"/>
        </w:rPr>
      </w:pPr>
      <w:r w:rsidRPr="00C23FAD">
        <w:rPr>
          <w:rFonts w:eastAsia="Times New Roman" w:cs="Arial"/>
          <w:color w:val="000000"/>
          <w:lang w:eastAsia="bg-BG"/>
        </w:rPr>
        <w:t>При едновременно прилагане на антиациди и азитромицин във фармакокинетични проучвания, е установено че общата бионаличност не се повлиява, въпреки че максималните плазмени концентрации на азитромицин са понижени с приблизително 25%. Азитромицин трябва да се приема най-малко 1 час преди или 2 часа след прием на антиацидни лекарствени продукти.</w:t>
      </w:r>
    </w:p>
    <w:p w14:paraId="12B4E054" w14:textId="400EBE99" w:rsidR="00C23FAD" w:rsidRPr="00C23FAD" w:rsidRDefault="00C23FAD" w:rsidP="00C23FAD">
      <w:pPr>
        <w:rPr>
          <w:rFonts w:eastAsia="Times New Roman" w:cs="Arial"/>
          <w:color w:val="000000"/>
          <w:lang w:eastAsia="bg-BG"/>
        </w:rPr>
      </w:pPr>
    </w:p>
    <w:p w14:paraId="1AE01865" w14:textId="7777777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Цетиризин</w:t>
      </w:r>
    </w:p>
    <w:p w14:paraId="2214A745"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здрави доброволци не са наблюдавани фармакокинстични взаимодействия и статистически значимо удължаване на </w:t>
      </w:r>
      <w:r w:rsidRPr="00C23FAD">
        <w:rPr>
          <w:rFonts w:eastAsia="Times New Roman" w:cs="Arial"/>
          <w:color w:val="000000"/>
          <w:lang w:val="en-US"/>
        </w:rPr>
        <w:t>QT</w:t>
      </w:r>
      <w:r w:rsidRPr="00C23FAD">
        <w:rPr>
          <w:rFonts w:eastAsia="Times New Roman" w:cs="Arial"/>
          <w:color w:val="000000"/>
          <w:lang w:val="ru-RU"/>
        </w:rPr>
        <w:t xml:space="preserve"> </w:t>
      </w:r>
      <w:r w:rsidRPr="00C23FAD">
        <w:rPr>
          <w:rFonts w:eastAsia="Times New Roman" w:cs="Arial"/>
          <w:color w:val="000000"/>
          <w:lang w:eastAsia="bg-BG"/>
        </w:rPr>
        <w:t xml:space="preserve">интервала при едновременното приложение на азитромицин в продължение на 5 дни заедно с 20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цетиризин в равновесно състояние.</w:t>
      </w:r>
    </w:p>
    <w:p w14:paraId="08078464" w14:textId="77777777" w:rsidR="00C23FAD" w:rsidRPr="00C23FAD" w:rsidRDefault="00C23FAD" w:rsidP="00C23FAD">
      <w:pPr>
        <w:spacing w:line="240" w:lineRule="auto"/>
        <w:rPr>
          <w:rFonts w:eastAsia="Times New Roman" w:cs="Arial"/>
          <w:i/>
          <w:iCs/>
          <w:color w:val="000000"/>
          <w:lang w:eastAsia="bg-BG"/>
        </w:rPr>
      </w:pPr>
    </w:p>
    <w:p w14:paraId="0D61CDF9" w14:textId="1D5604EC"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Диданозин (Дидеоксиинозин)</w:t>
      </w:r>
    </w:p>
    <w:p w14:paraId="7C277D01"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6 </w:t>
      </w:r>
      <w:r w:rsidRPr="00C23FAD">
        <w:rPr>
          <w:rFonts w:eastAsia="Times New Roman" w:cs="Arial"/>
          <w:color w:val="000000"/>
          <w:lang w:val="en-US"/>
        </w:rPr>
        <w:t>HIV</w:t>
      </w:r>
      <w:r w:rsidRPr="00C23FAD">
        <w:rPr>
          <w:rFonts w:eastAsia="Times New Roman" w:cs="Arial"/>
          <w:color w:val="000000"/>
          <w:lang w:eastAsia="bg-BG"/>
        </w:rPr>
        <w:t xml:space="preserve">-позитивни пациенти след едновременно приложение на азитромицин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с диданозин 400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дневно не се наблюдава повлияване на фармакокинетиката в равновесно състояние на диданозин, в сравнение с плацебо.</w:t>
      </w:r>
    </w:p>
    <w:p w14:paraId="65587579" w14:textId="77777777" w:rsidR="00C23FAD" w:rsidRPr="00C23FAD" w:rsidRDefault="00C23FAD" w:rsidP="00C23FAD">
      <w:pPr>
        <w:spacing w:line="240" w:lineRule="auto"/>
        <w:rPr>
          <w:rFonts w:eastAsia="Times New Roman" w:cs="Arial"/>
          <w:i/>
          <w:iCs/>
          <w:color w:val="000000"/>
          <w:lang w:eastAsia="bg-BG"/>
        </w:rPr>
      </w:pPr>
    </w:p>
    <w:p w14:paraId="11F38E5F" w14:textId="236E9BB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 xml:space="preserve">Дигоксин и колхицин </w:t>
      </w:r>
      <w:r w:rsidRPr="00C23FAD">
        <w:rPr>
          <w:rFonts w:eastAsia="Times New Roman" w:cs="Arial"/>
          <w:i/>
          <w:iCs/>
          <w:color w:val="000000"/>
          <w:lang w:val="ru-RU"/>
        </w:rPr>
        <w:t>(</w:t>
      </w:r>
      <w:r w:rsidRPr="00C23FAD">
        <w:rPr>
          <w:rFonts w:eastAsia="Times New Roman" w:cs="Arial"/>
          <w:i/>
          <w:iCs/>
          <w:color w:val="000000"/>
          <w:lang w:val="en-US"/>
        </w:rPr>
        <w:t>P</w:t>
      </w:r>
      <w:r w:rsidRPr="00C23FAD">
        <w:rPr>
          <w:rFonts w:eastAsia="Times New Roman" w:cs="Arial"/>
          <w:i/>
          <w:iCs/>
          <w:color w:val="000000"/>
          <w:lang w:val="ru-RU"/>
        </w:rPr>
        <w:t>-</w:t>
      </w:r>
      <w:proofErr w:type="spellStart"/>
      <w:r w:rsidRPr="00C23FAD">
        <w:rPr>
          <w:rFonts w:eastAsia="Times New Roman" w:cs="Arial"/>
          <w:i/>
          <w:iCs/>
          <w:color w:val="000000"/>
          <w:lang w:val="en-US"/>
        </w:rPr>
        <w:t>gp</w:t>
      </w:r>
      <w:proofErr w:type="spellEnd"/>
      <w:r w:rsidRPr="00C23FAD">
        <w:rPr>
          <w:rFonts w:eastAsia="Times New Roman" w:cs="Arial"/>
          <w:i/>
          <w:iCs/>
          <w:color w:val="000000"/>
          <w:lang w:val="ru-RU"/>
        </w:rPr>
        <w:t xml:space="preserve"> </w:t>
      </w:r>
      <w:r w:rsidRPr="00C23FAD">
        <w:rPr>
          <w:rFonts w:eastAsia="Times New Roman" w:cs="Arial"/>
          <w:i/>
          <w:iCs/>
          <w:color w:val="000000"/>
          <w:lang w:eastAsia="bg-BG"/>
        </w:rPr>
        <w:t>субстрати)</w:t>
      </w:r>
    </w:p>
    <w:p w14:paraId="47A9817E"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Има съобщения, че едновременното приложение на макролидни антибиотици, включително азитромицин, с Р-глюкопротеин субстрати като дигоксин и колхицин, води до повишени плазмени нива на Р-глюкопротеиновия субстрат. Ето защо, трябва да се има предвид вероятността за повишаване плазмените концентрации на субстрата при едновременно приложение на азитромицин и </w:t>
      </w:r>
      <w:r w:rsidRPr="00C23FAD">
        <w:rPr>
          <w:rFonts w:eastAsia="Times New Roman" w:cs="Arial"/>
          <w:color w:val="000000"/>
          <w:lang w:val="en-US"/>
        </w:rPr>
        <w:t>P</w:t>
      </w:r>
      <w:r w:rsidRPr="00C23FAD">
        <w:rPr>
          <w:rFonts w:eastAsia="Times New Roman" w:cs="Arial"/>
          <w:color w:val="000000"/>
          <w:lang w:val="ru-RU"/>
        </w:rPr>
        <w:t>-</w:t>
      </w:r>
      <w:proofErr w:type="spellStart"/>
      <w:r w:rsidRPr="00C23FAD">
        <w:rPr>
          <w:rFonts w:eastAsia="Times New Roman" w:cs="Arial"/>
          <w:color w:val="000000"/>
          <w:lang w:val="en-US"/>
        </w:rPr>
        <w:t>gp</w:t>
      </w:r>
      <w:proofErr w:type="spellEnd"/>
      <w:r w:rsidRPr="00C23FAD">
        <w:rPr>
          <w:rFonts w:eastAsia="Times New Roman" w:cs="Arial"/>
          <w:color w:val="000000"/>
          <w:lang w:val="ru-RU"/>
        </w:rPr>
        <w:t xml:space="preserve"> </w:t>
      </w:r>
      <w:r w:rsidRPr="00C23FAD">
        <w:rPr>
          <w:rFonts w:eastAsia="Times New Roman" w:cs="Arial"/>
          <w:color w:val="000000"/>
          <w:lang w:eastAsia="bg-BG"/>
        </w:rPr>
        <w:t>субстрати, напр. дигоксин.</w:t>
      </w:r>
    </w:p>
    <w:p w14:paraId="3DE788BA" w14:textId="77777777" w:rsidR="00C23FAD" w:rsidRPr="00C23FAD" w:rsidRDefault="00C23FAD" w:rsidP="00C23FAD">
      <w:pPr>
        <w:spacing w:line="240" w:lineRule="auto"/>
        <w:rPr>
          <w:rFonts w:eastAsia="Times New Roman" w:cs="Arial"/>
          <w:i/>
          <w:iCs/>
          <w:color w:val="000000"/>
          <w:lang w:eastAsia="bg-BG"/>
        </w:rPr>
      </w:pPr>
    </w:p>
    <w:p w14:paraId="4CD99457" w14:textId="0D9F936E"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Зидовудин</w:t>
      </w:r>
    </w:p>
    <w:p w14:paraId="521CB814"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Еднократни дози от 1 000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и многократни дози от 600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или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азитромицин имат слаб ефект върху плазмената фармакокинетика или екскрецията с урината на зидовудин или неговия глюкурониран метаболит. Приложението на азитромицин, обаче, </w:t>
      </w:r>
      <w:r w:rsidRPr="00C23FAD">
        <w:rPr>
          <w:rFonts w:eastAsia="Times New Roman" w:cs="Arial"/>
          <w:color w:val="000000"/>
          <w:lang w:eastAsia="bg-BG"/>
        </w:rPr>
        <w:lastRenderedPageBreak/>
        <w:t>повишава концентрацията на фосфорилирания зидовудин, клинично активния метаболит, в периферните мононуклеарни кръвни клетки. Клиничното значение на тази находка е неясно, но е възможно това да е в полза на пациентите.</w:t>
      </w:r>
    </w:p>
    <w:p w14:paraId="32CEB560"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Азитромицин не взаимодейства значимо с цитохром Р-450 чернодробната система. При него не се наблюдават фармакокинетични взаимодействия, характерни за еритромицин и други макролиди. При азитромицин не се наблюдава чернодробна цитохром Р-450 индукция или инактивация чрез цитохром-метаболитния комплекс.</w:t>
      </w:r>
    </w:p>
    <w:p w14:paraId="03F4A8D3" w14:textId="77777777" w:rsidR="00C23FAD" w:rsidRPr="00C23FAD" w:rsidRDefault="00C23FAD" w:rsidP="00C23FAD">
      <w:pPr>
        <w:spacing w:line="240" w:lineRule="auto"/>
        <w:rPr>
          <w:rFonts w:eastAsia="Times New Roman" w:cs="Arial"/>
          <w:i/>
          <w:iCs/>
          <w:color w:val="000000"/>
          <w:lang w:eastAsia="bg-BG"/>
        </w:rPr>
      </w:pPr>
    </w:p>
    <w:p w14:paraId="3F11031C" w14:textId="76751006"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Ерготаминови производни</w:t>
      </w:r>
    </w:p>
    <w:p w14:paraId="0AB11DD8"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Поради теоретична възможност за ерготизъм едновременното приложение на азитромицин с ерготаминови производни не се препоръчва (вж. точка 4.4).</w:t>
      </w:r>
    </w:p>
    <w:p w14:paraId="47D2A4AF"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Проведени са фармакокинетични проучвания между азитромицин и следните лекарства, за които е известно, че подлежат на значителен цитохром Р450 медииран метаболизъм.</w:t>
      </w:r>
    </w:p>
    <w:p w14:paraId="20F8FB5A" w14:textId="77777777" w:rsidR="00C23FAD" w:rsidRPr="00C23FAD" w:rsidRDefault="00C23FAD" w:rsidP="00C23FAD">
      <w:pPr>
        <w:spacing w:line="240" w:lineRule="auto"/>
        <w:rPr>
          <w:rFonts w:eastAsia="Times New Roman" w:cs="Arial"/>
          <w:i/>
          <w:iCs/>
          <w:color w:val="000000"/>
          <w:lang w:eastAsia="bg-BG"/>
        </w:rPr>
      </w:pPr>
    </w:p>
    <w:p w14:paraId="7704B6C5" w14:textId="5BFD56D4"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Астемизол, алфентанил</w:t>
      </w:r>
    </w:p>
    <w:p w14:paraId="0AE4A4AC"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Няма данни за взаимодействие с астемизол или алфентанил. Препоръчва се повишено внимание при едновременното приложение на тези лекарства с азитромицин, поради известно усилване на ефекта на тези лекарства, когато се прилагат едновременно с макролидния антибиотик еритромицин.</w:t>
      </w:r>
    </w:p>
    <w:p w14:paraId="549EFD52" w14:textId="77777777" w:rsidR="00C23FAD" w:rsidRPr="00C23FAD" w:rsidRDefault="00C23FAD" w:rsidP="00C23FAD">
      <w:pPr>
        <w:spacing w:line="240" w:lineRule="auto"/>
        <w:rPr>
          <w:rFonts w:eastAsia="Times New Roman" w:cs="Arial"/>
          <w:i/>
          <w:iCs/>
          <w:color w:val="000000"/>
          <w:lang w:eastAsia="bg-BG"/>
        </w:rPr>
      </w:pPr>
    </w:p>
    <w:p w14:paraId="008E0CC4" w14:textId="0ACF7A99"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Аторвастатин</w:t>
      </w:r>
    </w:p>
    <w:p w14:paraId="648C6A1B"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едновременно приложение на аторвастатин (10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и азитромицин (500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не се повлиява плазмената концентрация на аторвастатин (определено чрез </w:t>
      </w:r>
      <w:r w:rsidRPr="00C23FAD">
        <w:rPr>
          <w:rFonts w:eastAsia="Times New Roman" w:cs="Arial"/>
          <w:color w:val="000000"/>
          <w:lang w:val="en-US"/>
        </w:rPr>
        <w:t>HMG</w:t>
      </w:r>
      <w:r w:rsidRPr="00C23FAD">
        <w:rPr>
          <w:rFonts w:eastAsia="Times New Roman" w:cs="Arial"/>
          <w:color w:val="000000"/>
          <w:lang w:val="ru-RU"/>
        </w:rPr>
        <w:t xml:space="preserve"> </w:t>
      </w:r>
      <w:r w:rsidRPr="00C23FAD">
        <w:rPr>
          <w:rFonts w:eastAsia="Times New Roman" w:cs="Arial"/>
          <w:color w:val="000000"/>
          <w:lang w:eastAsia="bg-BG"/>
        </w:rPr>
        <w:t>СоА - редуктазно инхибиране). Съобщава се, обаче, за постмаркетингови случаи на рабдомиолиза при пациенти, лекувани с азитромицин и статини.</w:t>
      </w:r>
    </w:p>
    <w:p w14:paraId="46F321AC" w14:textId="77777777" w:rsidR="00C23FAD" w:rsidRPr="00C23FAD" w:rsidRDefault="00C23FAD" w:rsidP="00C23FAD">
      <w:pPr>
        <w:spacing w:line="240" w:lineRule="auto"/>
        <w:rPr>
          <w:rFonts w:eastAsia="Times New Roman" w:cs="Arial"/>
          <w:i/>
          <w:iCs/>
          <w:color w:val="000000"/>
          <w:lang w:eastAsia="bg-BG"/>
        </w:rPr>
      </w:pPr>
    </w:p>
    <w:p w14:paraId="79CF82C5" w14:textId="7269266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Карбамазепин</w:t>
      </w:r>
    </w:p>
    <w:p w14:paraId="10B2C362" w14:textId="785F9ED2" w:rsidR="00C23FAD" w:rsidRPr="00C23FAD" w:rsidRDefault="00C23FAD" w:rsidP="00C23FAD">
      <w:pPr>
        <w:rPr>
          <w:rFonts w:eastAsia="Times New Roman" w:cs="Arial"/>
          <w:color w:val="000000"/>
          <w:lang w:eastAsia="bg-BG"/>
        </w:rPr>
      </w:pPr>
      <w:r w:rsidRPr="00C23FAD">
        <w:rPr>
          <w:rFonts w:eastAsia="Times New Roman" w:cs="Arial"/>
          <w:color w:val="000000"/>
          <w:lang w:eastAsia="bg-BG"/>
        </w:rPr>
        <w:t>Във фармакокинетично изследване при здрави доброволци не са наблюдавани значими ефекти върху плазмените концентрации на карбамазепин или на неговия активен метаболит при пациенти, които приемат едновременно азитромицин.</w:t>
      </w:r>
    </w:p>
    <w:p w14:paraId="075CC83E" w14:textId="0D7AA002" w:rsidR="00C23FAD" w:rsidRPr="00C23FAD" w:rsidRDefault="00C23FAD" w:rsidP="00C23FAD">
      <w:pPr>
        <w:rPr>
          <w:rFonts w:eastAsia="Times New Roman" w:cs="Arial"/>
          <w:color w:val="000000"/>
          <w:lang w:eastAsia="bg-BG"/>
        </w:rPr>
      </w:pPr>
    </w:p>
    <w:p w14:paraId="686E18EF" w14:textId="7777777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Цизаприд</w:t>
      </w:r>
    </w:p>
    <w:p w14:paraId="62BF7997"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Цизаприд се метаболизира в черния дроб от ензима </w:t>
      </w:r>
      <w:r w:rsidRPr="00C23FAD">
        <w:rPr>
          <w:rFonts w:eastAsia="Times New Roman" w:cs="Arial"/>
          <w:color w:val="000000"/>
          <w:lang w:val="en-US"/>
        </w:rPr>
        <w:t>CYP</w:t>
      </w:r>
      <w:r w:rsidRPr="00C23FAD">
        <w:rPr>
          <w:rFonts w:eastAsia="Times New Roman" w:cs="Arial"/>
          <w:color w:val="000000"/>
          <w:lang w:val="ru-RU"/>
        </w:rPr>
        <w:t xml:space="preserve"> </w:t>
      </w:r>
      <w:r w:rsidRPr="00C23FAD">
        <w:rPr>
          <w:rFonts w:eastAsia="Times New Roman" w:cs="Arial"/>
          <w:color w:val="000000"/>
          <w:lang w:eastAsia="bg-BG"/>
        </w:rPr>
        <w:t xml:space="preserve">ЗА4. Тъй като макролидите инхибират този ензим, едновременното приложение на цизаприд може да доведе до повишена честота на удължаване на </w:t>
      </w:r>
      <w:r w:rsidRPr="00C23FAD">
        <w:rPr>
          <w:rFonts w:eastAsia="Times New Roman" w:cs="Arial"/>
          <w:color w:val="000000"/>
          <w:lang w:val="en-US"/>
        </w:rPr>
        <w:t>QT</w:t>
      </w:r>
      <w:r w:rsidRPr="00C23FAD">
        <w:rPr>
          <w:rFonts w:eastAsia="Times New Roman" w:cs="Arial"/>
          <w:color w:val="000000"/>
          <w:lang w:val="ru-RU"/>
        </w:rPr>
        <w:t xml:space="preserve"> </w:t>
      </w:r>
      <w:r w:rsidRPr="00C23FAD">
        <w:rPr>
          <w:rFonts w:eastAsia="Times New Roman" w:cs="Arial"/>
          <w:color w:val="000000"/>
          <w:lang w:eastAsia="bg-BG"/>
        </w:rPr>
        <w:t xml:space="preserve">интервала, камерни аритмии и </w:t>
      </w:r>
      <w:proofErr w:type="spellStart"/>
      <w:r w:rsidRPr="00C23FAD">
        <w:rPr>
          <w:rFonts w:eastAsia="Times New Roman" w:cs="Arial"/>
          <w:color w:val="000000"/>
          <w:lang w:val="en-US"/>
        </w:rPr>
        <w:t>torsades</w:t>
      </w:r>
      <w:proofErr w:type="spellEnd"/>
      <w:r w:rsidRPr="00C23FAD">
        <w:rPr>
          <w:rFonts w:eastAsia="Times New Roman" w:cs="Arial"/>
          <w:color w:val="000000"/>
          <w:lang w:val="ru-RU"/>
        </w:rPr>
        <w:t xml:space="preserve"> </w:t>
      </w:r>
      <w:r w:rsidRPr="00C23FAD">
        <w:rPr>
          <w:rFonts w:eastAsia="Times New Roman" w:cs="Arial"/>
          <w:color w:val="000000"/>
          <w:lang w:val="en-US"/>
        </w:rPr>
        <w:t>de</w:t>
      </w:r>
      <w:r w:rsidRPr="00C23FAD">
        <w:rPr>
          <w:rFonts w:eastAsia="Times New Roman" w:cs="Arial"/>
          <w:color w:val="000000"/>
          <w:lang w:val="ru-RU"/>
        </w:rPr>
        <w:t xml:space="preserve"> </w:t>
      </w:r>
      <w:r w:rsidRPr="00C23FAD">
        <w:rPr>
          <w:rFonts w:eastAsia="Times New Roman" w:cs="Arial"/>
          <w:color w:val="000000"/>
          <w:lang w:val="en-US"/>
        </w:rPr>
        <w:t>pointes</w:t>
      </w:r>
      <w:r w:rsidRPr="00C23FAD">
        <w:rPr>
          <w:rFonts w:eastAsia="Times New Roman" w:cs="Arial"/>
          <w:color w:val="000000"/>
          <w:lang w:val="ru-RU"/>
        </w:rPr>
        <w:t>,</w:t>
      </w:r>
    </w:p>
    <w:p w14:paraId="2440675D" w14:textId="77777777" w:rsidR="00C23FAD" w:rsidRPr="00C23FAD" w:rsidRDefault="00C23FAD" w:rsidP="00C23FAD">
      <w:pPr>
        <w:spacing w:line="240" w:lineRule="auto"/>
        <w:rPr>
          <w:rFonts w:eastAsia="Times New Roman" w:cs="Arial"/>
          <w:i/>
          <w:iCs/>
          <w:color w:val="000000"/>
          <w:lang w:eastAsia="bg-BG"/>
        </w:rPr>
      </w:pPr>
    </w:p>
    <w:p w14:paraId="66A87DDB" w14:textId="53349B8E"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Циметидин</w:t>
      </w:r>
    </w:p>
    <w:p w14:paraId="68F118E4"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Във фармакокинетично проучване, изследващо ефектите на еднократна доза циметидин върху фармакокинетиката на азитромицин, не се наблюдава промяна на фармакокинетиката на азитромицин, когато циметидин се прилага </w:t>
      </w:r>
      <w:r w:rsidRPr="00C23FAD">
        <w:rPr>
          <w:rFonts w:eastAsia="Times New Roman" w:cs="Arial"/>
          <w:i/>
          <w:iCs/>
          <w:color w:val="000000"/>
          <w:lang w:eastAsia="bg-BG"/>
        </w:rPr>
        <w:t>2</w:t>
      </w:r>
      <w:r w:rsidRPr="00C23FAD">
        <w:rPr>
          <w:rFonts w:eastAsia="Times New Roman" w:cs="Arial"/>
          <w:color w:val="000000"/>
          <w:lang w:eastAsia="bg-BG"/>
        </w:rPr>
        <w:t xml:space="preserve"> часа преди азитромицин.</w:t>
      </w:r>
    </w:p>
    <w:p w14:paraId="012713F0" w14:textId="77777777" w:rsidR="00C23FAD" w:rsidRPr="00C23FAD" w:rsidRDefault="00C23FAD" w:rsidP="00C23FAD">
      <w:pPr>
        <w:spacing w:line="240" w:lineRule="auto"/>
        <w:rPr>
          <w:rFonts w:eastAsia="Times New Roman" w:cs="Arial"/>
          <w:i/>
          <w:iCs/>
          <w:color w:val="000000"/>
          <w:lang w:eastAsia="bg-BG"/>
        </w:rPr>
      </w:pPr>
    </w:p>
    <w:p w14:paraId="0454D6F9" w14:textId="4CD421F2"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Перорални антикоагуланти от кумаринов тип</w:t>
      </w:r>
    </w:p>
    <w:p w14:paraId="45C7B066"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В проучване за фармакокинетично взаимодействие, азитромицин не променя антикоагулантния ефект на еднократна доза варфарин 15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приложена при здрави доброволци. През постмаркетинговия период са получени съобщения за засилена антикоагулация след едновременно приложение на азитромицин и антикоагуланти от кумаринов тип. Въпреки, че не е установена причинно-следствена връзка, необходимо е </w:t>
      </w:r>
      <w:r w:rsidRPr="00C23FAD">
        <w:rPr>
          <w:rFonts w:eastAsia="Times New Roman" w:cs="Arial"/>
          <w:color w:val="000000"/>
          <w:lang w:eastAsia="bg-BG"/>
        </w:rPr>
        <w:lastRenderedPageBreak/>
        <w:t>да се има предвид по-често мониториране на протромбиновото време, когато азитромицин се прилага при пациенти, получаващи антикоагуланти от кумаринов тип.</w:t>
      </w:r>
    </w:p>
    <w:p w14:paraId="46A541A5" w14:textId="77777777" w:rsidR="00C23FAD" w:rsidRPr="00C23FAD" w:rsidRDefault="00C23FAD" w:rsidP="00C23FAD">
      <w:pPr>
        <w:spacing w:line="240" w:lineRule="auto"/>
        <w:rPr>
          <w:rFonts w:eastAsia="Times New Roman" w:cs="Arial"/>
          <w:i/>
          <w:iCs/>
          <w:color w:val="000000"/>
          <w:lang w:eastAsia="bg-BG"/>
        </w:rPr>
      </w:pPr>
    </w:p>
    <w:p w14:paraId="18C71DC3" w14:textId="73C77A21"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Циклоспорин</w:t>
      </w:r>
    </w:p>
    <w:p w14:paraId="29CD7A1D" w14:textId="0730BCCB"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Във фармакокинетично проучване при здрави доброволци, при които е приложена перорална доза от 500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азитромицин за 3 дни, последвана от еднократна перорална доза циклоспорин 10 </w:t>
      </w:r>
      <w:r w:rsidRPr="00C23FAD">
        <w:rPr>
          <w:rFonts w:eastAsia="Times New Roman" w:cs="Arial"/>
          <w:color w:val="000000"/>
          <w:lang w:val="en-US"/>
        </w:rPr>
        <w:t>mg</w:t>
      </w:r>
      <w:r w:rsidRPr="00C23FAD">
        <w:rPr>
          <w:rFonts w:eastAsia="Times New Roman" w:cs="Arial"/>
          <w:color w:val="000000"/>
          <w:lang w:val="ru-RU"/>
        </w:rPr>
        <w:t>/</w:t>
      </w:r>
      <w:r w:rsidRPr="00C23FAD">
        <w:rPr>
          <w:rFonts w:eastAsia="Times New Roman" w:cs="Arial"/>
          <w:color w:val="000000"/>
          <w:lang w:val="en-US"/>
        </w:rPr>
        <w:t>kg</w:t>
      </w:r>
      <w:r w:rsidRPr="00C23FAD">
        <w:rPr>
          <w:rFonts w:eastAsia="Times New Roman" w:cs="Arial"/>
          <w:color w:val="000000"/>
          <w:lang w:val="ru-RU"/>
        </w:rPr>
        <w:t xml:space="preserve">, </w:t>
      </w:r>
      <w:r w:rsidRPr="00C23FAD">
        <w:rPr>
          <w:rFonts w:eastAsia="Times New Roman" w:cs="Arial"/>
          <w:color w:val="000000"/>
          <w:lang w:eastAsia="bg-BG"/>
        </w:rPr>
        <w:t>е установено, че получените С</w:t>
      </w:r>
      <w:r w:rsidRPr="00C23FAD">
        <w:rPr>
          <w:rFonts w:eastAsia="Times New Roman" w:cs="Arial"/>
          <w:color w:val="000000"/>
          <w:vertAlign w:val="subscript"/>
          <w:lang w:val="en-US"/>
        </w:rPr>
        <w:t>max</w:t>
      </w:r>
      <w:r w:rsidRPr="00C23FAD">
        <w:rPr>
          <w:rFonts w:eastAsia="Times New Roman" w:cs="Arial"/>
          <w:color w:val="000000"/>
          <w:lang w:eastAsia="bg-BG"/>
        </w:rPr>
        <w:t xml:space="preserve"> и </w:t>
      </w:r>
      <w:r w:rsidRPr="00C23FAD">
        <w:rPr>
          <w:rFonts w:eastAsia="Times New Roman" w:cs="Arial"/>
          <w:color w:val="000000"/>
          <w:lang w:val="en-US"/>
        </w:rPr>
        <w:t>AUC</w:t>
      </w:r>
      <w:r w:rsidRPr="00C23FAD">
        <w:rPr>
          <w:rFonts w:eastAsia="Times New Roman" w:cs="Arial"/>
          <w:color w:val="000000"/>
          <w:vertAlign w:val="subscript"/>
          <w:lang w:val="ru-RU"/>
        </w:rPr>
        <w:t>0-5</w:t>
      </w:r>
      <w:r w:rsidRPr="00C23FAD">
        <w:rPr>
          <w:rFonts w:eastAsia="Times New Roman" w:cs="Arial"/>
          <w:color w:val="000000"/>
          <w:lang w:val="ru-RU"/>
        </w:rPr>
        <w:t xml:space="preserve"> </w:t>
      </w:r>
      <w:r w:rsidRPr="00C23FAD">
        <w:rPr>
          <w:rFonts w:eastAsia="Times New Roman" w:cs="Arial"/>
          <w:color w:val="000000"/>
          <w:lang w:eastAsia="bg-BG"/>
        </w:rPr>
        <w:t>на циклоспорин са значително повишени. Следователно е необходимо внимание преди да се предприеме съпътстващо приложение на тези лекарства. Ако е необходимо едновременно приложение на тези лекарства, стойностите на циклоспорин трябва да бъдат мониторирани и дозата трябва да се коригира по съответен начин.</w:t>
      </w:r>
    </w:p>
    <w:p w14:paraId="031CB771" w14:textId="77777777" w:rsidR="00C23FAD" w:rsidRPr="00C23FAD" w:rsidRDefault="00C23FAD" w:rsidP="00C23FAD">
      <w:pPr>
        <w:spacing w:line="240" w:lineRule="auto"/>
        <w:rPr>
          <w:rFonts w:eastAsia="Times New Roman" w:cs="Arial"/>
          <w:i/>
          <w:iCs/>
          <w:color w:val="000000"/>
          <w:lang w:eastAsia="bg-BG"/>
        </w:rPr>
      </w:pPr>
    </w:p>
    <w:p w14:paraId="4AD26DD2" w14:textId="6B6454F9"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Ефавиренц</w:t>
      </w:r>
    </w:p>
    <w:p w14:paraId="05CBEF7A"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едновременно приложение на азитромицин в еднократна доза от 600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и ефавиренц 400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дневно в продължение на 7 дни не са наблюдавани клинично значими фармакокинетични взаимодействия.</w:t>
      </w:r>
    </w:p>
    <w:p w14:paraId="62BF992E" w14:textId="77777777" w:rsidR="00C23FAD" w:rsidRPr="00C23FAD" w:rsidRDefault="00C23FAD" w:rsidP="00C23FAD">
      <w:pPr>
        <w:spacing w:line="240" w:lineRule="auto"/>
        <w:rPr>
          <w:rFonts w:eastAsia="Times New Roman" w:cs="Arial"/>
          <w:i/>
          <w:iCs/>
          <w:color w:val="000000"/>
          <w:lang w:eastAsia="bg-BG"/>
        </w:rPr>
      </w:pPr>
    </w:p>
    <w:p w14:paraId="7BAEDB28" w14:textId="62AEB0C0"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Флуконазол</w:t>
      </w:r>
    </w:p>
    <w:p w14:paraId="7E1A8470"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Еднократна доза от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азитромицин не оказва влияние върху фармакокинетиката на еднократна доза флуконазол 800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Общата експозиция и полуживотьт на азитромицин остават непроменени при едновременно приложение с флуконазол, въпреки че се наблюдава несигнификантно понижаване на стойностите на С</w:t>
      </w:r>
      <w:r w:rsidRPr="00C23FAD">
        <w:rPr>
          <w:rFonts w:eastAsia="Times New Roman" w:cs="Arial"/>
          <w:color w:val="000000"/>
          <w:vertAlign w:val="subscript"/>
          <w:lang w:val="en-US"/>
        </w:rPr>
        <w:t>max</w:t>
      </w:r>
      <w:r w:rsidRPr="00C23FAD">
        <w:rPr>
          <w:rFonts w:eastAsia="Times New Roman" w:cs="Arial"/>
          <w:color w:val="000000"/>
          <w:lang w:eastAsia="bg-BG"/>
        </w:rPr>
        <w:t xml:space="preserve"> (18%) на азитромицин.</w:t>
      </w:r>
    </w:p>
    <w:p w14:paraId="79B2FD5C" w14:textId="77777777" w:rsidR="00C23FAD" w:rsidRPr="00C23FAD" w:rsidRDefault="00C23FAD" w:rsidP="00C23FAD">
      <w:pPr>
        <w:spacing w:line="240" w:lineRule="auto"/>
        <w:rPr>
          <w:rFonts w:eastAsia="Times New Roman" w:cs="Arial"/>
          <w:i/>
          <w:iCs/>
          <w:color w:val="000000"/>
          <w:lang w:eastAsia="bg-BG"/>
        </w:rPr>
      </w:pPr>
    </w:p>
    <w:p w14:paraId="5A57C714" w14:textId="3633BBA8"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Индинавир</w:t>
      </w:r>
    </w:p>
    <w:p w14:paraId="747D36FC"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Едновременното приложение на еднократна доза от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азитромицин няма статистически значим ефект върху фармакокинетиката на индинавир, приложен в доза от 800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три пъти дневно в продължение на 5 дни.</w:t>
      </w:r>
    </w:p>
    <w:p w14:paraId="7E163D1F" w14:textId="77777777" w:rsidR="00C23FAD" w:rsidRPr="00C23FAD" w:rsidRDefault="00C23FAD" w:rsidP="00C23FAD">
      <w:pPr>
        <w:spacing w:line="240" w:lineRule="auto"/>
        <w:rPr>
          <w:rFonts w:eastAsia="Times New Roman" w:cs="Arial"/>
          <w:i/>
          <w:iCs/>
          <w:color w:val="000000"/>
          <w:lang w:eastAsia="bg-BG"/>
        </w:rPr>
      </w:pPr>
    </w:p>
    <w:p w14:paraId="02B350E5" w14:textId="4F97654E"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Метилпреднизолон</w:t>
      </w:r>
    </w:p>
    <w:p w14:paraId="343311AC"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В проучване за фармакокинетично взаимодействие при здрави доброволци, азитромицин няма сигнификантен ефект върху фармакокинетиката на метилпреднизолон.</w:t>
      </w:r>
    </w:p>
    <w:p w14:paraId="738850F9" w14:textId="77777777" w:rsidR="00C23FAD" w:rsidRPr="00C23FAD" w:rsidRDefault="00C23FAD" w:rsidP="00C23FAD">
      <w:pPr>
        <w:spacing w:line="240" w:lineRule="auto"/>
        <w:rPr>
          <w:rFonts w:eastAsia="Times New Roman" w:cs="Arial"/>
          <w:i/>
          <w:iCs/>
          <w:color w:val="000000"/>
          <w:lang w:eastAsia="bg-BG"/>
        </w:rPr>
      </w:pPr>
    </w:p>
    <w:p w14:paraId="2639BAF8" w14:textId="4FC92B20"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Мидазолам</w:t>
      </w:r>
    </w:p>
    <w:p w14:paraId="34592A05" w14:textId="55CA1262" w:rsidR="00C23FAD" w:rsidRPr="00C23FAD" w:rsidRDefault="00C23FAD" w:rsidP="00C23FAD">
      <w:pPr>
        <w:rPr>
          <w:rFonts w:eastAsia="Times New Roman" w:cs="Arial"/>
          <w:color w:val="000000"/>
          <w:lang w:eastAsia="bg-BG"/>
        </w:rPr>
      </w:pPr>
      <w:r w:rsidRPr="00C23FAD">
        <w:rPr>
          <w:rFonts w:eastAsia="Times New Roman" w:cs="Arial"/>
          <w:color w:val="000000"/>
          <w:lang w:eastAsia="bg-BG"/>
        </w:rPr>
        <w:t xml:space="preserve">При здрави доброволци едновременно приложение на азитромицин 500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в продължение на 3 дни не предизвика клинично значими промени във фармакокинетиката и фармакодинамиката на еднократна доза от 15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мидазолам.</w:t>
      </w:r>
    </w:p>
    <w:p w14:paraId="44300AE6" w14:textId="021EF678" w:rsidR="00C23FAD" w:rsidRPr="00C23FAD" w:rsidRDefault="00C23FAD" w:rsidP="00C23FAD">
      <w:pPr>
        <w:rPr>
          <w:rFonts w:eastAsia="Times New Roman" w:cs="Arial"/>
          <w:color w:val="000000"/>
          <w:lang w:eastAsia="bg-BG"/>
        </w:rPr>
      </w:pPr>
    </w:p>
    <w:p w14:paraId="33C2307A" w14:textId="77777777"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Нелфинавир</w:t>
      </w:r>
    </w:p>
    <w:p w14:paraId="3BCA8C04"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Едновременното приложение на азитромицин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и нелфинавир при равновесно състояние (750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три пъти дневно) води до повишени концентрации на азитромицин. Не са наблюдавани клинично значими нежелани лекарствени реакции и не се изисква корекция на дозата.</w:t>
      </w:r>
    </w:p>
    <w:p w14:paraId="73E13076" w14:textId="77777777" w:rsidR="00C23FAD" w:rsidRPr="00C23FAD" w:rsidRDefault="00C23FAD" w:rsidP="00C23FAD">
      <w:pPr>
        <w:spacing w:line="240" w:lineRule="auto"/>
        <w:rPr>
          <w:rFonts w:eastAsia="Times New Roman" w:cs="Arial"/>
          <w:i/>
          <w:iCs/>
          <w:color w:val="000000"/>
          <w:lang w:eastAsia="bg-BG"/>
        </w:rPr>
      </w:pPr>
    </w:p>
    <w:p w14:paraId="646A4B2B" w14:textId="70EA9EF6"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Рифабутин</w:t>
      </w:r>
    </w:p>
    <w:p w14:paraId="5CD2A908"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Едновременно приложение на азитромицин и рифабутин не повлиява серумните концентрации на нито едно от двете лекарства.</w:t>
      </w:r>
    </w:p>
    <w:p w14:paraId="18AB6DC7"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Наблюдавана е неутропения при лица, получаващи съпътстваща терапия с азитромицин и рифабутин. Въпреки, че неутропенията се асоциира с приложението на рифабутин, не е установена причинно-следствена връзка с комбинацията с азитромицин (вж. точка 4.8).</w:t>
      </w:r>
    </w:p>
    <w:p w14:paraId="339EDF55" w14:textId="77777777" w:rsidR="00C23FAD" w:rsidRPr="00C23FAD" w:rsidRDefault="00C23FAD" w:rsidP="00C23FAD">
      <w:pPr>
        <w:spacing w:line="240" w:lineRule="auto"/>
        <w:rPr>
          <w:rFonts w:eastAsia="Times New Roman" w:cs="Arial"/>
          <w:i/>
          <w:iCs/>
          <w:color w:val="000000"/>
          <w:lang w:eastAsia="bg-BG"/>
        </w:rPr>
      </w:pPr>
    </w:p>
    <w:p w14:paraId="039F24EB" w14:textId="568E7EAF"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Силденафил</w:t>
      </w:r>
    </w:p>
    <w:p w14:paraId="0B57F2A3"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здрави мъже доброволци няма данни за ефект на азитромицин (500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дневно за 3 дни) върху </w:t>
      </w:r>
      <w:r w:rsidRPr="00C23FAD">
        <w:rPr>
          <w:rFonts w:eastAsia="Times New Roman" w:cs="Arial"/>
          <w:color w:val="000000"/>
          <w:lang w:val="en-US"/>
        </w:rPr>
        <w:t>AUC</w:t>
      </w:r>
      <w:r w:rsidRPr="00C23FAD">
        <w:rPr>
          <w:rFonts w:eastAsia="Times New Roman" w:cs="Arial"/>
          <w:color w:val="000000"/>
          <w:lang w:val="ru-RU"/>
        </w:rPr>
        <w:t xml:space="preserve"> </w:t>
      </w:r>
      <w:r w:rsidRPr="00C23FAD">
        <w:rPr>
          <w:rFonts w:eastAsia="Times New Roman" w:cs="Arial"/>
          <w:color w:val="000000"/>
          <w:lang w:eastAsia="bg-BG"/>
        </w:rPr>
        <w:t>и С</w:t>
      </w:r>
      <w:r w:rsidRPr="00C23FAD">
        <w:rPr>
          <w:rFonts w:eastAsia="Times New Roman" w:cs="Arial"/>
          <w:color w:val="000000"/>
          <w:vertAlign w:val="subscript"/>
          <w:lang w:val="en-US"/>
        </w:rPr>
        <w:t>max</w:t>
      </w:r>
      <w:r w:rsidRPr="00C23FAD">
        <w:rPr>
          <w:rFonts w:eastAsia="Times New Roman" w:cs="Arial"/>
          <w:color w:val="000000"/>
          <w:lang w:eastAsia="bg-BG"/>
        </w:rPr>
        <w:t xml:space="preserve"> на силденафил или неговия главен метаболит в кръвообращението.</w:t>
      </w:r>
    </w:p>
    <w:p w14:paraId="1B062A39" w14:textId="77777777" w:rsidR="00C23FAD" w:rsidRPr="00C23FAD" w:rsidRDefault="00C23FAD" w:rsidP="00C23FAD">
      <w:pPr>
        <w:spacing w:line="240" w:lineRule="auto"/>
        <w:rPr>
          <w:rFonts w:eastAsia="Times New Roman" w:cs="Arial"/>
          <w:i/>
          <w:iCs/>
          <w:color w:val="000000"/>
          <w:lang w:eastAsia="bg-BG"/>
        </w:rPr>
      </w:pPr>
    </w:p>
    <w:p w14:paraId="48041195" w14:textId="05D36CEB"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Терфенадин</w:t>
      </w:r>
    </w:p>
    <w:p w14:paraId="5F236E13"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От фармакокинетични проучвания няма данни за взаимодействие между азитромицин и терфенадин. Съобщавани са редки случаи, при които вероятността за подобно взаимодействие не може да бъде напълно изключена; въпреки това, няма специфични данни, че подобни взаимодействия могат да се наблюдават.</w:t>
      </w:r>
    </w:p>
    <w:p w14:paraId="30F017F2" w14:textId="77777777" w:rsidR="00C23FAD" w:rsidRPr="00C23FAD" w:rsidRDefault="00C23FAD" w:rsidP="00C23FAD">
      <w:pPr>
        <w:spacing w:line="240" w:lineRule="auto"/>
        <w:rPr>
          <w:rFonts w:eastAsia="Times New Roman" w:cs="Arial"/>
          <w:i/>
          <w:iCs/>
          <w:color w:val="000000"/>
          <w:lang w:eastAsia="bg-BG"/>
        </w:rPr>
      </w:pPr>
    </w:p>
    <w:p w14:paraId="6D42ACC9" w14:textId="3ACBA119"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Теофилин</w:t>
      </w:r>
    </w:p>
    <w:p w14:paraId="31EB8BB6"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Няма данни за клинично значимо фармакокинетично взаимодействие при едновременно приложение на азитромицин и теофилин при здрави доброволци. Тъй като се съобщава за взаимодействие на други макролиди с теофилин, се препоръчва наблюдаване за признаци, характерни за повишени концентрации на теофилин.</w:t>
      </w:r>
    </w:p>
    <w:p w14:paraId="48E2AB1F" w14:textId="77777777" w:rsidR="00C23FAD" w:rsidRPr="00C23FAD" w:rsidRDefault="00C23FAD" w:rsidP="00C23FAD">
      <w:pPr>
        <w:spacing w:line="240" w:lineRule="auto"/>
        <w:rPr>
          <w:rFonts w:eastAsia="Times New Roman" w:cs="Arial"/>
          <w:i/>
          <w:iCs/>
          <w:color w:val="000000"/>
          <w:lang w:eastAsia="bg-BG"/>
        </w:rPr>
      </w:pPr>
    </w:p>
    <w:p w14:paraId="345BA626" w14:textId="32FDAD00"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Триазолам</w:t>
      </w:r>
    </w:p>
    <w:p w14:paraId="3B01E243"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При 14 здрави доброволци, при едновременното прилагане на азитромицин 500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през първия ден и 250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през втория ден, заедно със 0,125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триазолам на ден втори, не са наблюдавани значими ефекти върху нито един от фармакокинетичните параметри на триазолам, сравнено с триазолам и плацебо.</w:t>
      </w:r>
    </w:p>
    <w:p w14:paraId="04C920D8" w14:textId="77777777" w:rsidR="00C23FAD" w:rsidRPr="00C23FAD" w:rsidRDefault="00C23FAD" w:rsidP="00C23FAD">
      <w:pPr>
        <w:spacing w:line="240" w:lineRule="auto"/>
        <w:rPr>
          <w:rFonts w:eastAsia="Times New Roman" w:cs="Arial"/>
          <w:i/>
          <w:iCs/>
          <w:color w:val="000000"/>
          <w:lang w:eastAsia="bg-BG"/>
        </w:rPr>
      </w:pPr>
    </w:p>
    <w:p w14:paraId="5251F1BD" w14:textId="09866B25" w:rsidR="00C23FAD" w:rsidRPr="00C23FAD" w:rsidRDefault="00C23FAD" w:rsidP="00C23FAD">
      <w:pPr>
        <w:spacing w:line="240" w:lineRule="auto"/>
        <w:rPr>
          <w:rFonts w:eastAsia="Times New Roman" w:cs="Arial"/>
        </w:rPr>
      </w:pPr>
      <w:r w:rsidRPr="00C23FAD">
        <w:rPr>
          <w:rFonts w:eastAsia="Times New Roman" w:cs="Arial"/>
          <w:i/>
          <w:iCs/>
          <w:color w:val="000000"/>
          <w:lang w:eastAsia="bg-BG"/>
        </w:rPr>
        <w:t>Триметоприм/сулфаметоксазол</w:t>
      </w:r>
    </w:p>
    <w:p w14:paraId="2CB3D1DA" w14:textId="77777777" w:rsidR="00C23FAD" w:rsidRPr="00C23FAD" w:rsidRDefault="00C23FAD" w:rsidP="00C23FAD">
      <w:pPr>
        <w:spacing w:line="240" w:lineRule="auto"/>
        <w:rPr>
          <w:rFonts w:eastAsia="Times New Roman" w:cs="Arial"/>
        </w:rPr>
      </w:pPr>
      <w:r w:rsidRPr="00C23FAD">
        <w:rPr>
          <w:rFonts w:eastAsia="Times New Roman" w:cs="Arial"/>
          <w:color w:val="000000"/>
          <w:lang w:eastAsia="bg-BG"/>
        </w:rPr>
        <w:t xml:space="preserve">Едновременното приложение на триметоприм/сулфаметоксазол </w:t>
      </w:r>
      <w:r w:rsidRPr="00C23FAD">
        <w:rPr>
          <w:rFonts w:eastAsia="Times New Roman" w:cs="Arial"/>
          <w:color w:val="000000"/>
          <w:lang w:val="en-US"/>
        </w:rPr>
        <w:t>DS</w:t>
      </w:r>
      <w:r w:rsidRPr="00C23FAD">
        <w:rPr>
          <w:rFonts w:eastAsia="Times New Roman" w:cs="Arial"/>
          <w:color w:val="000000"/>
          <w:lang w:val="ru-RU"/>
        </w:rPr>
        <w:t xml:space="preserve"> </w:t>
      </w:r>
      <w:r w:rsidRPr="00C23FAD">
        <w:rPr>
          <w:rFonts w:eastAsia="Times New Roman" w:cs="Arial"/>
          <w:color w:val="000000"/>
          <w:lang w:eastAsia="bg-BG"/>
        </w:rPr>
        <w:t xml:space="preserve">(160 </w:t>
      </w:r>
      <w:r w:rsidRPr="00C23FAD">
        <w:rPr>
          <w:rFonts w:eastAsia="Times New Roman" w:cs="Arial"/>
          <w:color w:val="000000"/>
          <w:lang w:val="en-US"/>
        </w:rPr>
        <w:t>mg</w:t>
      </w:r>
      <w:r w:rsidRPr="00C23FAD">
        <w:rPr>
          <w:rFonts w:eastAsia="Times New Roman" w:cs="Arial"/>
          <w:color w:val="000000"/>
          <w:lang w:val="ru-RU"/>
        </w:rPr>
        <w:t xml:space="preserve">/800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 xml:space="preserve">в продължение на 7 дни с азитромицин 1 200 </w:t>
      </w:r>
      <w:r w:rsidRPr="00C23FAD">
        <w:rPr>
          <w:rFonts w:eastAsia="Times New Roman" w:cs="Arial"/>
          <w:color w:val="000000"/>
          <w:lang w:val="en-US"/>
        </w:rPr>
        <w:t>mg</w:t>
      </w:r>
      <w:r w:rsidRPr="00C23FAD">
        <w:rPr>
          <w:rFonts w:eastAsia="Times New Roman" w:cs="Arial"/>
          <w:color w:val="000000"/>
          <w:lang w:val="ru-RU"/>
        </w:rPr>
        <w:t xml:space="preserve"> </w:t>
      </w:r>
      <w:r w:rsidRPr="00C23FAD">
        <w:rPr>
          <w:rFonts w:eastAsia="Times New Roman" w:cs="Arial"/>
          <w:color w:val="000000"/>
          <w:lang w:eastAsia="bg-BG"/>
        </w:rPr>
        <w:t>на ден 7 не повлиява значимо максималната плазмена концентрация, общата експозиция или уринната екскреция нито на триметоприм, нито на сулфаметоксазол. Плазмените концентрации на азитромицин са като тези, наблюдавани в други проучвания.</w:t>
      </w:r>
    </w:p>
    <w:p w14:paraId="34213165" w14:textId="17FEEE74" w:rsidR="00C23FAD" w:rsidRPr="00C23FAD" w:rsidRDefault="00C23FAD" w:rsidP="00C23FAD"/>
    <w:p w14:paraId="6EADE4D6" w14:textId="7732663A" w:rsidR="00395555" w:rsidRDefault="002C50EE" w:rsidP="008A6AF2">
      <w:pPr>
        <w:pStyle w:val="Heading2"/>
      </w:pPr>
      <w:r>
        <w:t>4.6. Фертилитет, бременност и кърмене</w:t>
      </w:r>
    </w:p>
    <w:p w14:paraId="420A2CD3" w14:textId="2A0EA1A6" w:rsidR="00C23FAD" w:rsidRDefault="00C23FAD" w:rsidP="00C23FAD"/>
    <w:p w14:paraId="7DDE4590" w14:textId="77777777" w:rsidR="00C23FAD" w:rsidRPr="00C23FAD" w:rsidRDefault="00C23FAD" w:rsidP="00C23FAD">
      <w:pPr>
        <w:pStyle w:val="Heading3"/>
        <w:rPr>
          <w:rFonts w:eastAsia="Times New Roman"/>
          <w:i/>
        </w:rPr>
      </w:pPr>
      <w:r w:rsidRPr="00C23FAD">
        <w:rPr>
          <w:rFonts w:eastAsia="Times New Roman"/>
          <w:i/>
          <w:lang w:eastAsia="bg-BG"/>
        </w:rPr>
        <w:t>Бременност</w:t>
      </w:r>
    </w:p>
    <w:p w14:paraId="531FAA29" w14:textId="77777777" w:rsidR="00C23FAD" w:rsidRPr="00C23FAD" w:rsidRDefault="00C23FAD" w:rsidP="00C23FAD">
      <w:pPr>
        <w:rPr>
          <w:sz w:val="24"/>
          <w:szCs w:val="24"/>
        </w:rPr>
      </w:pPr>
      <w:r w:rsidRPr="00C23FAD">
        <w:rPr>
          <w:lang w:eastAsia="bg-BG"/>
        </w:rPr>
        <w:t>Няма адекватни данни за употребата на азитромицин при бременни жени. При проучванията за репродуктивна токсичност върху животни се наблюдава, че азитромицин преминава през плацентата, но не са наблюдавани тератогенни ефекти (вж. точка 5.3). Безопасността на азитромицин не е потвърдена при използване на активното вещество по време на бременност. Ето защо Азатрил трябва да се използва по време на бременност, само ако ползата надвишава риска.</w:t>
      </w:r>
    </w:p>
    <w:p w14:paraId="29831002" w14:textId="77777777" w:rsidR="00C23FAD" w:rsidRDefault="00C23FAD" w:rsidP="00C23FAD">
      <w:pPr>
        <w:rPr>
          <w:lang w:eastAsia="bg-BG"/>
        </w:rPr>
      </w:pPr>
    </w:p>
    <w:p w14:paraId="00CFC2B0" w14:textId="05A86DA5" w:rsidR="00C23FAD" w:rsidRPr="00C23FAD" w:rsidRDefault="00C23FAD" w:rsidP="00C23FAD">
      <w:pPr>
        <w:pStyle w:val="Heading3"/>
        <w:rPr>
          <w:rFonts w:eastAsia="Times New Roman"/>
          <w:i/>
        </w:rPr>
      </w:pPr>
      <w:r w:rsidRPr="00C23FAD">
        <w:rPr>
          <w:rFonts w:eastAsia="Times New Roman"/>
          <w:i/>
          <w:lang w:eastAsia="bg-BG"/>
        </w:rPr>
        <w:t>Кърмене</w:t>
      </w:r>
    </w:p>
    <w:p w14:paraId="0421DE9C" w14:textId="77777777" w:rsidR="00C23FAD" w:rsidRPr="00C23FAD" w:rsidRDefault="00C23FAD" w:rsidP="00C23FAD">
      <w:pPr>
        <w:rPr>
          <w:sz w:val="24"/>
          <w:szCs w:val="24"/>
        </w:rPr>
      </w:pPr>
      <w:r w:rsidRPr="00C23FAD">
        <w:rPr>
          <w:lang w:eastAsia="bg-BG"/>
        </w:rPr>
        <w:t>Има данни, че азитромицин преминава в майчиното мляко, но липсват адекватни и контролирани клинични проучвания при кърмачки, които да определят фармакокинетиката на екскрецията на азитромицин в майчиното мляко. Тъй като не е известно дали азитромицин</w:t>
      </w:r>
      <w:r>
        <w:rPr>
          <w:lang w:eastAsia="bg-BG"/>
        </w:rPr>
        <w:t xml:space="preserve"> </w:t>
      </w:r>
      <w:r w:rsidRPr="00C23FAD">
        <w:rPr>
          <w:lang w:eastAsia="bg-BG"/>
        </w:rPr>
        <w:t xml:space="preserve">може да има неблагоприятни ефекти за кърмачето, кърменето трябва да се преустанови по време на лечение с Азатрил. Едновременно с други неща, диария, гъбичка инфекция на лигавицата, както и сензибилизация са </w:t>
      </w:r>
      <w:r w:rsidRPr="00C23FAD">
        <w:rPr>
          <w:lang w:eastAsia="bg-BG"/>
        </w:rPr>
        <w:lastRenderedPageBreak/>
        <w:t>възможни при кърмачето. Препоръчва се кърмата по време на лечението и до 2 дни след прекратяване на лечението да се изхвърли. Кърменето може да се възобнови след това.</w:t>
      </w:r>
    </w:p>
    <w:p w14:paraId="29B0B608" w14:textId="77777777" w:rsidR="00C23FAD" w:rsidRDefault="00C23FAD" w:rsidP="00C23FAD">
      <w:pPr>
        <w:rPr>
          <w:lang w:eastAsia="bg-BG"/>
        </w:rPr>
      </w:pPr>
    </w:p>
    <w:p w14:paraId="2265B714" w14:textId="6934CD31" w:rsidR="00C23FAD" w:rsidRPr="00C23FAD" w:rsidRDefault="00C23FAD" w:rsidP="00C23FAD">
      <w:pPr>
        <w:pStyle w:val="Heading3"/>
        <w:rPr>
          <w:rFonts w:eastAsia="Times New Roman"/>
          <w:i/>
        </w:rPr>
      </w:pPr>
      <w:r w:rsidRPr="00C23FAD">
        <w:rPr>
          <w:rFonts w:eastAsia="Times New Roman"/>
          <w:i/>
          <w:lang w:eastAsia="bg-BG"/>
        </w:rPr>
        <w:t>Фертилитет</w:t>
      </w:r>
    </w:p>
    <w:p w14:paraId="0E5C180D" w14:textId="7B441397" w:rsidR="00C23FAD" w:rsidRDefault="00C23FAD" w:rsidP="00C23FAD">
      <w:pPr>
        <w:rPr>
          <w:lang w:eastAsia="bg-BG"/>
        </w:rPr>
      </w:pPr>
      <w:r w:rsidRPr="00C23FAD">
        <w:rPr>
          <w:lang w:eastAsia="bg-BG"/>
        </w:rPr>
        <w:t>При изследвания за фертилитет, проведени с плъхове, се наблюдава понижена честота на бременност след приложение на азитромицин. Значимостта на тази находка не е известна.</w:t>
      </w:r>
    </w:p>
    <w:p w14:paraId="7DB07B04" w14:textId="77777777" w:rsidR="00C23FAD" w:rsidRPr="00C23FAD" w:rsidRDefault="00C23FAD" w:rsidP="00C23FAD"/>
    <w:p w14:paraId="5766770B" w14:textId="766C4FB2" w:rsidR="00395555" w:rsidRDefault="002C50EE" w:rsidP="008A6AF2">
      <w:pPr>
        <w:pStyle w:val="Heading2"/>
      </w:pPr>
      <w:r>
        <w:t>4.7. Ефекти върху способността за шофиране и работа с машини</w:t>
      </w:r>
    </w:p>
    <w:p w14:paraId="343A5A9F" w14:textId="3DB36273" w:rsidR="00C23FAD" w:rsidRDefault="00C23FAD" w:rsidP="00C23FAD"/>
    <w:p w14:paraId="1D8837B4" w14:textId="77777777" w:rsidR="00C23FAD" w:rsidRPr="00C23FAD" w:rsidRDefault="00C23FAD" w:rsidP="00C23FAD">
      <w:pPr>
        <w:rPr>
          <w:sz w:val="24"/>
          <w:szCs w:val="24"/>
        </w:rPr>
      </w:pPr>
      <w:r w:rsidRPr="00C23FAD">
        <w:rPr>
          <w:lang w:eastAsia="bg-BG"/>
        </w:rPr>
        <w:t>Няма налични данни за влиянието на азитромицин върху способността на пациента да шофира или да работи с машини.</w:t>
      </w:r>
    </w:p>
    <w:p w14:paraId="25D4A3B4" w14:textId="26B075AF" w:rsidR="00C23FAD" w:rsidRDefault="00C23FAD" w:rsidP="00C23FAD">
      <w:pPr>
        <w:rPr>
          <w:lang w:eastAsia="bg-BG"/>
        </w:rPr>
      </w:pPr>
      <w:r w:rsidRPr="00C23FAD">
        <w:rPr>
          <w:lang w:eastAsia="bg-BG"/>
        </w:rPr>
        <w:t>Въпреки това, възможността за нежелани ефекти като замайване и Конвулсии трябва да се вземат предвид при извършване на тези дейности.</w:t>
      </w:r>
    </w:p>
    <w:p w14:paraId="5A9F7A56" w14:textId="77777777" w:rsidR="00C23FAD" w:rsidRPr="00C23FAD" w:rsidRDefault="00C23FAD" w:rsidP="00C23FAD"/>
    <w:p w14:paraId="4FE16E21" w14:textId="33252530" w:rsidR="00395555" w:rsidRDefault="002C50EE" w:rsidP="008A6AF2">
      <w:pPr>
        <w:pStyle w:val="Heading2"/>
      </w:pPr>
      <w:r>
        <w:t>4.8. Нежелани лекарствени реакции</w:t>
      </w:r>
    </w:p>
    <w:p w14:paraId="33106427" w14:textId="16DEEB1C" w:rsidR="00C23FAD" w:rsidRDefault="00C23FAD" w:rsidP="00C23FAD"/>
    <w:p w14:paraId="366BCEDA" w14:textId="77777777" w:rsidR="00C23FAD" w:rsidRPr="00C23FAD" w:rsidRDefault="00C23FAD" w:rsidP="00C23FAD">
      <w:pPr>
        <w:spacing w:line="240" w:lineRule="auto"/>
        <w:rPr>
          <w:rFonts w:eastAsia="Times New Roman" w:cs="Arial"/>
          <w:sz w:val="28"/>
          <w:szCs w:val="24"/>
        </w:rPr>
      </w:pPr>
      <w:r w:rsidRPr="00C23FAD">
        <w:rPr>
          <w:rFonts w:eastAsia="Times New Roman" w:cs="Arial"/>
          <w:color w:val="000000"/>
          <w:szCs w:val="20"/>
          <w:lang w:eastAsia="bg-BG"/>
        </w:rPr>
        <w:t>В таблицата по-долу са изброени нежеланите реакции, установени чрез клинични изпитвания и постмаркетинговото наблюдение, групирани по системо-органни класове и честота. Нежеланите лекарствени реакции от постмаркетинговото наблюдение са дадени в курсив. Нежеланите реакции са подредени по честота, според следната конвенция: много чести (≥ 1/10); чести (≥1/100 до &lt; 1/10); нечести (≥1/1 000 до &lt; 1/100); редки (≥1/10 000 до &lt; 1/1 000); много редки (&lt; 1/10 000); и с неизвестна честота (от наличните данни не може да бъде направена оценка). При всяко групиране по честота, нежеланите лекарствени реакции се изброяват в низходящ ред по отношение на тяхната сериозност.</w:t>
      </w:r>
    </w:p>
    <w:p w14:paraId="1052E746" w14:textId="77777777" w:rsidR="00C23FAD" w:rsidRPr="00C23FAD" w:rsidRDefault="00C23FAD" w:rsidP="00C23FAD">
      <w:pPr>
        <w:spacing w:line="240" w:lineRule="auto"/>
        <w:rPr>
          <w:rFonts w:eastAsia="Times New Roman" w:cs="Arial"/>
          <w:b/>
          <w:bCs/>
          <w:color w:val="000000"/>
          <w:szCs w:val="20"/>
          <w:lang w:eastAsia="bg-BG"/>
        </w:rPr>
      </w:pPr>
    </w:p>
    <w:p w14:paraId="60EB5F9A" w14:textId="40BF920E" w:rsidR="00C23FAD" w:rsidRPr="00C23FAD" w:rsidRDefault="00C23FAD" w:rsidP="00C23FAD">
      <w:pPr>
        <w:spacing w:line="240" w:lineRule="auto"/>
        <w:rPr>
          <w:rFonts w:eastAsia="Times New Roman" w:cs="Arial"/>
          <w:sz w:val="28"/>
          <w:szCs w:val="24"/>
        </w:rPr>
      </w:pPr>
      <w:r w:rsidRPr="00C23FAD">
        <w:rPr>
          <w:rFonts w:eastAsia="Times New Roman" w:cs="Arial"/>
          <w:b/>
          <w:bCs/>
          <w:color w:val="000000"/>
          <w:szCs w:val="20"/>
          <w:lang w:eastAsia="bg-BG"/>
        </w:rPr>
        <w:t>Нежелани реакции, възможно или вероятно свързани с азитромицин, въз основа на опита от клиничните изпитвания и постмапкетингово наблюдение:</w:t>
      </w:r>
    </w:p>
    <w:tbl>
      <w:tblPr>
        <w:tblStyle w:val="TableGrid"/>
        <w:tblW w:w="0" w:type="auto"/>
        <w:tblLook w:val="04A0" w:firstRow="1" w:lastRow="0" w:firstColumn="1" w:lastColumn="0" w:noHBand="0" w:noVBand="1"/>
      </w:tblPr>
      <w:tblGrid>
        <w:gridCol w:w="1342"/>
        <w:gridCol w:w="1388"/>
        <w:gridCol w:w="2178"/>
        <w:gridCol w:w="1739"/>
        <w:gridCol w:w="824"/>
        <w:gridCol w:w="2105"/>
      </w:tblGrid>
      <w:tr w:rsidR="00600CB7" w14:paraId="3F0B98F1" w14:textId="77777777" w:rsidTr="00600CB7">
        <w:tc>
          <w:tcPr>
            <w:tcW w:w="1342" w:type="dxa"/>
          </w:tcPr>
          <w:p w14:paraId="4B49CD9D" w14:textId="77777777" w:rsidR="00C23FAD" w:rsidRPr="00C23FAD" w:rsidRDefault="00C23FAD" w:rsidP="00C23FAD">
            <w:pPr>
              <w:jc w:val="both"/>
            </w:pPr>
            <w:r w:rsidRPr="00C23FAD">
              <w:rPr>
                <w:b/>
                <w:bCs/>
              </w:rPr>
              <w:t>Много чести</w:t>
            </w:r>
          </w:p>
          <w:p w14:paraId="246B49F4" w14:textId="6961E8A2" w:rsidR="00C23FAD" w:rsidRPr="00C23FAD" w:rsidRDefault="00C23FAD" w:rsidP="00C23FAD">
            <w:pPr>
              <w:jc w:val="both"/>
            </w:pPr>
            <w:r w:rsidRPr="00C23FAD">
              <w:t>≥1/10</w:t>
            </w:r>
          </w:p>
        </w:tc>
        <w:tc>
          <w:tcPr>
            <w:tcW w:w="1388" w:type="dxa"/>
            <w:vAlign w:val="center"/>
          </w:tcPr>
          <w:p w14:paraId="6C267E91" w14:textId="77777777" w:rsidR="00C23FAD" w:rsidRPr="00C23FAD" w:rsidRDefault="00C23FAD" w:rsidP="00C23FAD">
            <w:r w:rsidRPr="00C23FAD">
              <w:rPr>
                <w:b/>
                <w:bCs/>
              </w:rPr>
              <w:t>Чести</w:t>
            </w:r>
          </w:p>
          <w:p w14:paraId="1BD27A36" w14:textId="77777777" w:rsidR="00C23FAD" w:rsidRPr="00C23FAD" w:rsidRDefault="00C23FAD" w:rsidP="00C23FAD">
            <w:pPr>
              <w:jc w:val="both"/>
            </w:pPr>
            <w:r w:rsidRPr="00C23FAD">
              <w:t>≥ 1/100 до</w:t>
            </w:r>
          </w:p>
          <w:p w14:paraId="4300DABA" w14:textId="74A73511" w:rsidR="00C23FAD" w:rsidRPr="00C23FAD" w:rsidRDefault="00C23FAD" w:rsidP="00C23FAD">
            <w:pPr>
              <w:jc w:val="both"/>
            </w:pPr>
            <w:r w:rsidRPr="00C23FAD">
              <w:t>&lt; 1/10</w:t>
            </w:r>
          </w:p>
        </w:tc>
        <w:tc>
          <w:tcPr>
            <w:tcW w:w="2178" w:type="dxa"/>
          </w:tcPr>
          <w:p w14:paraId="4DABCA01" w14:textId="77777777" w:rsidR="00C23FAD" w:rsidRPr="00C23FAD" w:rsidRDefault="00C23FAD" w:rsidP="00C23FAD">
            <w:pPr>
              <w:jc w:val="both"/>
            </w:pPr>
            <w:r w:rsidRPr="00C23FAD">
              <w:rPr>
                <w:b/>
                <w:bCs/>
              </w:rPr>
              <w:t>Нечести</w:t>
            </w:r>
          </w:p>
          <w:p w14:paraId="12D3D72F" w14:textId="527179E1" w:rsidR="00C23FAD" w:rsidRPr="00C23FAD" w:rsidRDefault="00C23FAD" w:rsidP="00C23FAD">
            <w:pPr>
              <w:jc w:val="both"/>
            </w:pPr>
            <w:r w:rsidRPr="00C23FAD">
              <w:t>≥ 1/1 000 до &lt;1/100</w:t>
            </w:r>
          </w:p>
        </w:tc>
        <w:tc>
          <w:tcPr>
            <w:tcW w:w="1739" w:type="dxa"/>
            <w:vAlign w:val="center"/>
          </w:tcPr>
          <w:p w14:paraId="665D8DB2" w14:textId="77777777" w:rsidR="00C23FAD" w:rsidRPr="00C23FAD" w:rsidRDefault="00C23FAD" w:rsidP="00C23FAD">
            <w:pPr>
              <w:jc w:val="both"/>
            </w:pPr>
            <w:r w:rsidRPr="00C23FAD">
              <w:rPr>
                <w:b/>
                <w:bCs/>
              </w:rPr>
              <w:t>Редки</w:t>
            </w:r>
          </w:p>
          <w:p w14:paraId="2E11C127" w14:textId="77777777" w:rsidR="00C23FAD" w:rsidRPr="00C23FAD" w:rsidRDefault="00C23FAD" w:rsidP="00C23FAD">
            <w:pPr>
              <w:jc w:val="both"/>
            </w:pPr>
            <w:r w:rsidRPr="00C23FAD">
              <w:t>≥ 1/10 000 до</w:t>
            </w:r>
          </w:p>
          <w:p w14:paraId="63F2CFBC" w14:textId="7A2BC6B0" w:rsidR="00C23FAD" w:rsidRPr="00C23FAD" w:rsidRDefault="00C23FAD" w:rsidP="00C23FAD">
            <w:pPr>
              <w:jc w:val="both"/>
            </w:pPr>
            <w:r w:rsidRPr="00C23FAD">
              <w:t>&lt; 1/1 000</w:t>
            </w:r>
          </w:p>
        </w:tc>
        <w:tc>
          <w:tcPr>
            <w:tcW w:w="824" w:type="dxa"/>
            <w:vAlign w:val="center"/>
          </w:tcPr>
          <w:p w14:paraId="7C723FC0" w14:textId="1B4D1CAE" w:rsidR="00C23FAD" w:rsidRPr="00C23FAD" w:rsidRDefault="00C23FAD" w:rsidP="00C23FAD">
            <w:pPr>
              <w:jc w:val="both"/>
              <w:rPr>
                <w:b/>
                <w:bCs/>
              </w:rPr>
            </w:pPr>
            <w:r w:rsidRPr="00C23FAD">
              <w:rPr>
                <w:b/>
                <w:bCs/>
              </w:rPr>
              <w:t>Много редки</w:t>
            </w:r>
          </w:p>
          <w:p w14:paraId="751838D5" w14:textId="4604A5A8" w:rsidR="00C23FAD" w:rsidRPr="00C23FAD" w:rsidRDefault="00C23FAD" w:rsidP="00C23FAD">
            <w:pPr>
              <w:jc w:val="both"/>
            </w:pPr>
            <w:r w:rsidRPr="00C23FAD">
              <w:t>&lt; 1/10 000</w:t>
            </w:r>
          </w:p>
        </w:tc>
        <w:tc>
          <w:tcPr>
            <w:tcW w:w="2105" w:type="dxa"/>
            <w:vAlign w:val="bottom"/>
          </w:tcPr>
          <w:p w14:paraId="3B53F014" w14:textId="77777777" w:rsidR="00C23FAD" w:rsidRPr="00C23FAD" w:rsidRDefault="00C23FAD" w:rsidP="00C23FAD">
            <w:pPr>
              <w:jc w:val="both"/>
            </w:pPr>
            <w:r w:rsidRPr="00C23FAD">
              <w:rPr>
                <w:b/>
                <w:bCs/>
              </w:rPr>
              <w:t>С неизвестна</w:t>
            </w:r>
          </w:p>
          <w:p w14:paraId="1E2E0523" w14:textId="77777777" w:rsidR="00C23FAD" w:rsidRPr="00C23FAD" w:rsidRDefault="00C23FAD" w:rsidP="00C23FAD">
            <w:pPr>
              <w:jc w:val="both"/>
            </w:pPr>
            <w:r w:rsidRPr="00C23FAD">
              <w:rPr>
                <w:b/>
                <w:bCs/>
              </w:rPr>
              <w:t>честота</w:t>
            </w:r>
          </w:p>
          <w:p w14:paraId="3D4945E8" w14:textId="1D20D934" w:rsidR="00C23FAD" w:rsidRPr="00C23FAD" w:rsidRDefault="00C23FAD" w:rsidP="00C23FAD">
            <w:pPr>
              <w:jc w:val="both"/>
            </w:pPr>
            <w:r>
              <w:t xml:space="preserve">от наличните данни не може </w:t>
            </w:r>
            <w:r w:rsidRPr="00C23FAD">
              <w:t>да бъде направена оценка</w:t>
            </w:r>
          </w:p>
        </w:tc>
      </w:tr>
      <w:tr w:rsidR="00C23FAD" w14:paraId="5D55EA86" w14:textId="77777777" w:rsidTr="00C55A79">
        <w:tc>
          <w:tcPr>
            <w:tcW w:w="9576" w:type="dxa"/>
            <w:gridSpan w:val="6"/>
          </w:tcPr>
          <w:p w14:paraId="315D24B4" w14:textId="3AED1FB3" w:rsidR="00C23FAD" w:rsidRDefault="00C23FAD" w:rsidP="00C23FAD">
            <w:r w:rsidRPr="00C23FAD">
              <w:rPr>
                <w:b/>
                <w:bCs/>
                <w:szCs w:val="19"/>
              </w:rPr>
              <w:t>Инфекции и инфестации</w:t>
            </w:r>
          </w:p>
        </w:tc>
      </w:tr>
      <w:tr w:rsidR="00600CB7" w14:paraId="7B8912EF" w14:textId="77777777" w:rsidTr="00600CB7">
        <w:tc>
          <w:tcPr>
            <w:tcW w:w="1342" w:type="dxa"/>
          </w:tcPr>
          <w:p w14:paraId="44130E6A" w14:textId="77777777" w:rsidR="00C23FAD" w:rsidRPr="00C23FAD" w:rsidRDefault="00C23FAD" w:rsidP="00C23FAD"/>
        </w:tc>
        <w:tc>
          <w:tcPr>
            <w:tcW w:w="1388" w:type="dxa"/>
          </w:tcPr>
          <w:p w14:paraId="2A1CDC64" w14:textId="77777777" w:rsidR="00C23FAD" w:rsidRPr="00C23FAD" w:rsidRDefault="00C23FAD" w:rsidP="00C23FAD"/>
        </w:tc>
        <w:tc>
          <w:tcPr>
            <w:tcW w:w="2178" w:type="dxa"/>
            <w:vAlign w:val="bottom"/>
          </w:tcPr>
          <w:p w14:paraId="303FA0AD" w14:textId="21E91F4D" w:rsidR="00C23FAD" w:rsidRPr="00C23FAD" w:rsidRDefault="00C23FAD" w:rsidP="00C23FAD">
            <w:r w:rsidRPr="00C23FAD">
              <w:rPr>
                <w:szCs w:val="20"/>
              </w:rPr>
              <w:t xml:space="preserve">кандидози кандидози на устната кухина вагинална инфекция пневмония гъбичка инфекция, бактериална инфекция, фарингит, гастроентерит, </w:t>
            </w:r>
            <w:r w:rsidRPr="00C23FAD">
              <w:rPr>
                <w:szCs w:val="20"/>
              </w:rPr>
              <w:lastRenderedPageBreak/>
              <w:t>респираторни нарушения, ринит</w:t>
            </w:r>
          </w:p>
        </w:tc>
        <w:tc>
          <w:tcPr>
            <w:tcW w:w="1739" w:type="dxa"/>
          </w:tcPr>
          <w:p w14:paraId="1403D71B" w14:textId="77777777" w:rsidR="00C23FAD" w:rsidRPr="00C23FAD" w:rsidRDefault="00C23FAD" w:rsidP="00C23FAD"/>
        </w:tc>
        <w:tc>
          <w:tcPr>
            <w:tcW w:w="824" w:type="dxa"/>
          </w:tcPr>
          <w:p w14:paraId="725FDA82" w14:textId="77777777" w:rsidR="00C23FAD" w:rsidRPr="00C23FAD" w:rsidRDefault="00C23FAD" w:rsidP="00C23FAD"/>
        </w:tc>
        <w:tc>
          <w:tcPr>
            <w:tcW w:w="2105" w:type="dxa"/>
          </w:tcPr>
          <w:p w14:paraId="624E93CD" w14:textId="07629B6D" w:rsidR="00C23FAD" w:rsidRPr="00C23FAD" w:rsidRDefault="00C23FAD" w:rsidP="00C23FAD">
            <w:r w:rsidRPr="00C23FAD">
              <w:rPr>
                <w:szCs w:val="20"/>
              </w:rPr>
              <w:t>псевдомембранозен колит (вж. точка 4,4)</w:t>
            </w:r>
          </w:p>
        </w:tc>
      </w:tr>
      <w:tr w:rsidR="00C23FAD" w14:paraId="000D54AD" w14:textId="77777777" w:rsidTr="001847D3">
        <w:tc>
          <w:tcPr>
            <w:tcW w:w="9576" w:type="dxa"/>
            <w:gridSpan w:val="6"/>
          </w:tcPr>
          <w:p w14:paraId="3B0D15E2" w14:textId="3EBF4A1E" w:rsidR="00C23FAD" w:rsidRDefault="00C23FAD" w:rsidP="00C23FAD">
            <w:r w:rsidRPr="00C23FAD">
              <w:rPr>
                <w:b/>
                <w:bCs/>
                <w:szCs w:val="19"/>
              </w:rPr>
              <w:t>Нарушения на кръвта и лимфната система</w:t>
            </w:r>
          </w:p>
        </w:tc>
      </w:tr>
      <w:tr w:rsidR="00600CB7" w14:paraId="2BAB9682" w14:textId="77777777" w:rsidTr="00600CB7">
        <w:tc>
          <w:tcPr>
            <w:tcW w:w="1342" w:type="dxa"/>
          </w:tcPr>
          <w:p w14:paraId="1A760E99" w14:textId="77777777" w:rsidR="00C23FAD" w:rsidRPr="00C23FAD" w:rsidRDefault="00C23FAD" w:rsidP="00C23FAD"/>
        </w:tc>
        <w:tc>
          <w:tcPr>
            <w:tcW w:w="1388" w:type="dxa"/>
          </w:tcPr>
          <w:p w14:paraId="3E1ABB55" w14:textId="77777777" w:rsidR="00C23FAD" w:rsidRPr="00C23FAD" w:rsidRDefault="00C23FAD" w:rsidP="00C23FAD"/>
        </w:tc>
        <w:tc>
          <w:tcPr>
            <w:tcW w:w="2178" w:type="dxa"/>
            <w:vAlign w:val="bottom"/>
          </w:tcPr>
          <w:p w14:paraId="22917268" w14:textId="2D727B97" w:rsidR="00C23FAD" w:rsidRPr="00C23FAD" w:rsidRDefault="00C23FAD" w:rsidP="00C23FAD">
            <w:r w:rsidRPr="00C23FAD">
              <w:rPr>
                <w:szCs w:val="20"/>
              </w:rPr>
              <w:t>левкопения, неутропения, еозинофилия</w:t>
            </w:r>
          </w:p>
        </w:tc>
        <w:tc>
          <w:tcPr>
            <w:tcW w:w="1739" w:type="dxa"/>
          </w:tcPr>
          <w:p w14:paraId="40DECED5" w14:textId="77777777" w:rsidR="00C23FAD" w:rsidRPr="00C23FAD" w:rsidRDefault="00C23FAD" w:rsidP="00C23FAD"/>
        </w:tc>
        <w:tc>
          <w:tcPr>
            <w:tcW w:w="824" w:type="dxa"/>
          </w:tcPr>
          <w:p w14:paraId="3EB18D0F" w14:textId="77777777" w:rsidR="00C23FAD" w:rsidRPr="00C23FAD" w:rsidRDefault="00C23FAD" w:rsidP="00C23FAD"/>
        </w:tc>
        <w:tc>
          <w:tcPr>
            <w:tcW w:w="2105" w:type="dxa"/>
          </w:tcPr>
          <w:p w14:paraId="1BFC250D" w14:textId="77777777" w:rsidR="00C23FAD" w:rsidRPr="00C23FAD" w:rsidRDefault="00C23FAD" w:rsidP="00C23FAD">
            <w:r w:rsidRPr="00C23FAD">
              <w:rPr>
                <w:szCs w:val="20"/>
              </w:rPr>
              <w:t>тромбоцитопения,</w:t>
            </w:r>
          </w:p>
          <w:p w14:paraId="3C7D3D75" w14:textId="33262B5B" w:rsidR="00C23FAD" w:rsidRPr="00C23FAD" w:rsidRDefault="00C23FAD" w:rsidP="00C23FAD">
            <w:r w:rsidRPr="00C23FAD">
              <w:rPr>
                <w:szCs w:val="20"/>
              </w:rPr>
              <w:t>хемолитична анемия</w:t>
            </w:r>
          </w:p>
        </w:tc>
      </w:tr>
      <w:tr w:rsidR="00C23FAD" w14:paraId="6066F7C6" w14:textId="77777777" w:rsidTr="004474A4">
        <w:tc>
          <w:tcPr>
            <w:tcW w:w="9576" w:type="dxa"/>
            <w:gridSpan w:val="6"/>
          </w:tcPr>
          <w:p w14:paraId="7F2F9B55" w14:textId="49F9A2B3" w:rsidR="00C23FAD" w:rsidRDefault="00C23FAD" w:rsidP="00C23FAD">
            <w:r w:rsidRPr="00C23FAD">
              <w:rPr>
                <w:b/>
                <w:bCs/>
                <w:szCs w:val="19"/>
              </w:rPr>
              <w:t>Нарушения на имунната система</w:t>
            </w:r>
          </w:p>
        </w:tc>
      </w:tr>
      <w:tr w:rsidR="00600CB7" w14:paraId="010697F9" w14:textId="77777777" w:rsidTr="00600CB7">
        <w:tc>
          <w:tcPr>
            <w:tcW w:w="1342" w:type="dxa"/>
          </w:tcPr>
          <w:p w14:paraId="693C5659" w14:textId="77777777" w:rsidR="00C23FAD" w:rsidRPr="00C23FAD" w:rsidRDefault="00C23FAD" w:rsidP="00C23FAD"/>
        </w:tc>
        <w:tc>
          <w:tcPr>
            <w:tcW w:w="1388" w:type="dxa"/>
          </w:tcPr>
          <w:p w14:paraId="4AC971FE" w14:textId="77777777" w:rsidR="00C23FAD" w:rsidRPr="00C23FAD" w:rsidRDefault="00C23FAD" w:rsidP="00C23FAD"/>
        </w:tc>
        <w:tc>
          <w:tcPr>
            <w:tcW w:w="2178" w:type="dxa"/>
            <w:vAlign w:val="bottom"/>
          </w:tcPr>
          <w:p w14:paraId="2D26F910" w14:textId="66F64569" w:rsidR="00C23FAD" w:rsidRPr="00C23FAD" w:rsidRDefault="00C23FAD" w:rsidP="00C23FAD">
            <w:r w:rsidRPr="00C23FAD">
              <w:rPr>
                <w:szCs w:val="20"/>
              </w:rPr>
              <w:t>ангиоедем, свръхчувствител</w:t>
            </w:r>
            <w:r w:rsidRPr="00C23FAD">
              <w:rPr>
                <w:szCs w:val="20"/>
              </w:rPr>
              <w:softHyphen/>
              <w:t>ност</w:t>
            </w:r>
          </w:p>
        </w:tc>
        <w:tc>
          <w:tcPr>
            <w:tcW w:w="1739" w:type="dxa"/>
          </w:tcPr>
          <w:p w14:paraId="4B2DA1D8" w14:textId="77777777" w:rsidR="00C23FAD" w:rsidRPr="00C23FAD" w:rsidRDefault="00C23FAD" w:rsidP="00C23FAD"/>
        </w:tc>
        <w:tc>
          <w:tcPr>
            <w:tcW w:w="824" w:type="dxa"/>
          </w:tcPr>
          <w:p w14:paraId="30A6BCCD" w14:textId="77777777" w:rsidR="00C23FAD" w:rsidRPr="00C23FAD" w:rsidRDefault="00C23FAD" w:rsidP="00C23FAD"/>
        </w:tc>
        <w:tc>
          <w:tcPr>
            <w:tcW w:w="2105" w:type="dxa"/>
            <w:vAlign w:val="bottom"/>
          </w:tcPr>
          <w:p w14:paraId="10D1B094" w14:textId="77777777" w:rsidR="00C23FAD" w:rsidRPr="00C23FAD" w:rsidRDefault="00C23FAD" w:rsidP="00C23FAD">
            <w:r w:rsidRPr="00C23FAD">
              <w:rPr>
                <w:szCs w:val="20"/>
              </w:rPr>
              <w:t>анафилактична</w:t>
            </w:r>
          </w:p>
          <w:p w14:paraId="576FD2AA" w14:textId="77777777" w:rsidR="00C23FAD" w:rsidRPr="00C23FAD" w:rsidRDefault="00C23FAD" w:rsidP="00C23FAD">
            <w:r w:rsidRPr="00C23FAD">
              <w:rPr>
                <w:szCs w:val="20"/>
              </w:rPr>
              <w:t xml:space="preserve">реакция </w:t>
            </w:r>
          </w:p>
          <w:p w14:paraId="07A5DC71" w14:textId="77F1A6BC" w:rsidR="00C23FAD" w:rsidRPr="00C23FAD" w:rsidRDefault="00C23FAD" w:rsidP="00C23FAD">
            <w:r w:rsidRPr="00C23FAD">
              <w:rPr>
                <w:szCs w:val="20"/>
              </w:rPr>
              <w:t>(вж. точка 4.4.)</w:t>
            </w:r>
          </w:p>
        </w:tc>
      </w:tr>
      <w:tr w:rsidR="00C23FAD" w14:paraId="4D0F09FC" w14:textId="77777777" w:rsidTr="007D4344">
        <w:tc>
          <w:tcPr>
            <w:tcW w:w="9576" w:type="dxa"/>
            <w:gridSpan w:val="6"/>
          </w:tcPr>
          <w:p w14:paraId="4CD2C652" w14:textId="7159D6FB" w:rsidR="00C23FAD" w:rsidRPr="00C23FAD" w:rsidRDefault="00C23FAD" w:rsidP="00C23FAD">
            <w:pPr>
              <w:spacing w:line="240" w:lineRule="auto"/>
              <w:rPr>
                <w:rFonts w:eastAsia="Times New Roman" w:cs="Arial"/>
                <w:sz w:val="24"/>
                <w:szCs w:val="24"/>
              </w:rPr>
            </w:pPr>
            <w:r w:rsidRPr="00C23FAD">
              <w:rPr>
                <w:rFonts w:eastAsia="Times New Roman" w:cs="Arial"/>
                <w:b/>
                <w:bCs/>
                <w:color w:val="000000"/>
                <w:szCs w:val="19"/>
                <w:lang w:eastAsia="bg-BG"/>
              </w:rPr>
              <w:t>Нарушения на метаболизма и храненето</w:t>
            </w:r>
          </w:p>
        </w:tc>
      </w:tr>
      <w:tr w:rsidR="00600CB7" w14:paraId="03DE6876" w14:textId="77777777" w:rsidTr="00600CB7">
        <w:tc>
          <w:tcPr>
            <w:tcW w:w="1342" w:type="dxa"/>
          </w:tcPr>
          <w:p w14:paraId="54FEEC5A" w14:textId="77777777" w:rsidR="00C23FAD" w:rsidRDefault="00C23FAD" w:rsidP="00C23FAD"/>
        </w:tc>
        <w:tc>
          <w:tcPr>
            <w:tcW w:w="1388" w:type="dxa"/>
          </w:tcPr>
          <w:p w14:paraId="52BE106F" w14:textId="5ACF8EE9" w:rsidR="00C23FAD" w:rsidRDefault="00C23FAD" w:rsidP="00C23FAD">
            <w:r w:rsidRPr="00C23FAD">
              <w:rPr>
                <w:szCs w:val="20"/>
              </w:rPr>
              <w:t>анорексия</w:t>
            </w:r>
          </w:p>
        </w:tc>
        <w:tc>
          <w:tcPr>
            <w:tcW w:w="2178" w:type="dxa"/>
          </w:tcPr>
          <w:p w14:paraId="60896710" w14:textId="77777777" w:rsidR="00C23FAD" w:rsidRDefault="00C23FAD" w:rsidP="00C23FAD"/>
        </w:tc>
        <w:tc>
          <w:tcPr>
            <w:tcW w:w="1739" w:type="dxa"/>
          </w:tcPr>
          <w:p w14:paraId="1243AA81" w14:textId="77777777" w:rsidR="00C23FAD" w:rsidRDefault="00C23FAD" w:rsidP="00C23FAD"/>
        </w:tc>
        <w:tc>
          <w:tcPr>
            <w:tcW w:w="824" w:type="dxa"/>
          </w:tcPr>
          <w:p w14:paraId="48F0DA99" w14:textId="77777777" w:rsidR="00C23FAD" w:rsidRDefault="00C23FAD" w:rsidP="00C23FAD"/>
        </w:tc>
        <w:tc>
          <w:tcPr>
            <w:tcW w:w="2105" w:type="dxa"/>
          </w:tcPr>
          <w:p w14:paraId="5AFF0136" w14:textId="77777777" w:rsidR="00C23FAD" w:rsidRDefault="00C23FAD" w:rsidP="00C23FAD"/>
        </w:tc>
      </w:tr>
      <w:tr w:rsidR="00C23FAD" w14:paraId="7B221C51" w14:textId="77777777" w:rsidTr="002B21AD">
        <w:tc>
          <w:tcPr>
            <w:tcW w:w="9576" w:type="dxa"/>
            <w:gridSpan w:val="6"/>
          </w:tcPr>
          <w:p w14:paraId="00313746" w14:textId="3CDCB97B" w:rsidR="00C23FAD" w:rsidRPr="00C23FAD" w:rsidRDefault="00C23FAD" w:rsidP="00C23FAD">
            <w:pPr>
              <w:rPr>
                <w:b/>
                <w:sz w:val="24"/>
                <w:szCs w:val="24"/>
              </w:rPr>
            </w:pPr>
            <w:r w:rsidRPr="00C23FAD">
              <w:rPr>
                <w:b/>
                <w:lang w:eastAsia="bg-BG"/>
              </w:rPr>
              <w:t>Психични нарушения</w:t>
            </w:r>
          </w:p>
        </w:tc>
      </w:tr>
      <w:tr w:rsidR="00600CB7" w14:paraId="6B400D77" w14:textId="77777777" w:rsidTr="00600CB7">
        <w:tc>
          <w:tcPr>
            <w:tcW w:w="1342" w:type="dxa"/>
          </w:tcPr>
          <w:p w14:paraId="66A54FDA" w14:textId="77777777" w:rsidR="00C23FAD" w:rsidRPr="00C23FAD" w:rsidRDefault="00C23FAD" w:rsidP="00C23FAD"/>
        </w:tc>
        <w:tc>
          <w:tcPr>
            <w:tcW w:w="1388" w:type="dxa"/>
          </w:tcPr>
          <w:p w14:paraId="6EF55328" w14:textId="77777777" w:rsidR="00C23FAD" w:rsidRPr="00C23FAD" w:rsidRDefault="00C23FAD" w:rsidP="00C23FAD"/>
        </w:tc>
        <w:tc>
          <w:tcPr>
            <w:tcW w:w="2178" w:type="dxa"/>
          </w:tcPr>
          <w:p w14:paraId="54841420" w14:textId="60545D05" w:rsidR="00C23FAD" w:rsidRPr="00C23FAD" w:rsidRDefault="00C23FAD" w:rsidP="00C23FAD">
            <w:r w:rsidRPr="00C23FAD">
              <w:rPr>
                <w:szCs w:val="20"/>
              </w:rPr>
              <w:t>нервност, безсъние</w:t>
            </w:r>
          </w:p>
        </w:tc>
        <w:tc>
          <w:tcPr>
            <w:tcW w:w="1739" w:type="dxa"/>
          </w:tcPr>
          <w:p w14:paraId="6A04ED5C" w14:textId="1F8169B3" w:rsidR="00C23FAD" w:rsidRPr="00C23FAD" w:rsidRDefault="00C23FAD" w:rsidP="00C23FAD">
            <w:r w:rsidRPr="00C23FAD">
              <w:rPr>
                <w:szCs w:val="20"/>
              </w:rPr>
              <w:t>тревожност, деперсонализа</w:t>
            </w:r>
            <w:r w:rsidRPr="00C23FAD">
              <w:rPr>
                <w:szCs w:val="20"/>
              </w:rPr>
              <w:softHyphen/>
              <w:t>ция</w:t>
            </w:r>
          </w:p>
        </w:tc>
        <w:tc>
          <w:tcPr>
            <w:tcW w:w="824" w:type="dxa"/>
          </w:tcPr>
          <w:p w14:paraId="5A12C52D" w14:textId="77777777" w:rsidR="00C23FAD" w:rsidRPr="00C23FAD" w:rsidRDefault="00C23FAD" w:rsidP="00C23FAD"/>
        </w:tc>
        <w:tc>
          <w:tcPr>
            <w:tcW w:w="2105" w:type="dxa"/>
            <w:vAlign w:val="bottom"/>
          </w:tcPr>
          <w:p w14:paraId="1D2338A0" w14:textId="42C0CC8C" w:rsidR="00C23FAD" w:rsidRPr="00C23FAD" w:rsidRDefault="00C23FAD" w:rsidP="00C23FAD">
            <w:r w:rsidRPr="00C23FAD">
              <w:rPr>
                <w:szCs w:val="20"/>
              </w:rPr>
              <w:t>агресия, безпокойство, делириум, халюцинации</w:t>
            </w:r>
          </w:p>
        </w:tc>
      </w:tr>
      <w:tr w:rsidR="00C23FAD" w14:paraId="70BF58DE" w14:textId="77777777" w:rsidTr="00CE398D">
        <w:tc>
          <w:tcPr>
            <w:tcW w:w="9576" w:type="dxa"/>
            <w:gridSpan w:val="6"/>
          </w:tcPr>
          <w:p w14:paraId="4CC65BDF" w14:textId="13338654" w:rsidR="00C23FAD" w:rsidRPr="00C23FAD" w:rsidRDefault="00C23FAD" w:rsidP="00C23FAD">
            <w:pPr>
              <w:rPr>
                <w:rFonts w:cs="Arial"/>
              </w:rPr>
            </w:pPr>
            <w:r w:rsidRPr="00C23FAD">
              <w:rPr>
                <w:rFonts w:eastAsia="Times New Roman" w:cs="Arial"/>
                <w:b/>
                <w:bCs/>
                <w:color w:val="000000"/>
                <w:szCs w:val="19"/>
                <w:lang w:eastAsia="bg-BG"/>
              </w:rPr>
              <w:t>Нарушения на нервната система</w:t>
            </w:r>
          </w:p>
        </w:tc>
      </w:tr>
      <w:tr w:rsidR="00600CB7" w14:paraId="6FA3B08F" w14:textId="77777777" w:rsidTr="00600CB7">
        <w:tc>
          <w:tcPr>
            <w:tcW w:w="1342" w:type="dxa"/>
          </w:tcPr>
          <w:p w14:paraId="77C13B33" w14:textId="77777777" w:rsidR="00C23FAD" w:rsidRPr="00C23FAD" w:rsidRDefault="00C23FAD" w:rsidP="00C23FAD"/>
        </w:tc>
        <w:tc>
          <w:tcPr>
            <w:tcW w:w="1388" w:type="dxa"/>
          </w:tcPr>
          <w:p w14:paraId="4B090BC9" w14:textId="68B87549" w:rsidR="00C23FAD" w:rsidRPr="00C23FAD" w:rsidRDefault="00C23FAD" w:rsidP="00C23FAD">
            <w:r w:rsidRPr="00C23FAD">
              <w:rPr>
                <w:szCs w:val="20"/>
              </w:rPr>
              <w:t>замайване, главоболие, парестезия, дисгеузия</w:t>
            </w:r>
          </w:p>
        </w:tc>
        <w:tc>
          <w:tcPr>
            <w:tcW w:w="2178" w:type="dxa"/>
          </w:tcPr>
          <w:p w14:paraId="35160C64" w14:textId="07786630" w:rsidR="00C23FAD" w:rsidRPr="00C23FAD" w:rsidRDefault="00C23FAD" w:rsidP="00C23FAD">
            <w:r w:rsidRPr="00C23FAD">
              <w:rPr>
                <w:szCs w:val="20"/>
              </w:rPr>
              <w:t>хипоестезия сънливост</w:t>
            </w:r>
          </w:p>
        </w:tc>
        <w:tc>
          <w:tcPr>
            <w:tcW w:w="1739" w:type="dxa"/>
          </w:tcPr>
          <w:p w14:paraId="29E62129" w14:textId="77777777" w:rsidR="00C23FAD" w:rsidRPr="00C23FAD" w:rsidRDefault="00C23FAD" w:rsidP="00C23FAD"/>
        </w:tc>
        <w:tc>
          <w:tcPr>
            <w:tcW w:w="824" w:type="dxa"/>
          </w:tcPr>
          <w:p w14:paraId="7C92EAA6" w14:textId="77777777" w:rsidR="00C23FAD" w:rsidRPr="00C23FAD" w:rsidRDefault="00C23FAD" w:rsidP="00C23FAD"/>
        </w:tc>
        <w:tc>
          <w:tcPr>
            <w:tcW w:w="2105" w:type="dxa"/>
            <w:vAlign w:val="bottom"/>
          </w:tcPr>
          <w:p w14:paraId="2B40CA75" w14:textId="30F4EBCC" w:rsidR="00C23FAD" w:rsidRPr="00C23FAD" w:rsidRDefault="00C23FAD" w:rsidP="00C23FAD">
            <w:r w:rsidRPr="00C23FAD">
              <w:rPr>
                <w:szCs w:val="20"/>
              </w:rPr>
              <w:t>синкоп, конвулсии, психомоторна хиперактивност, аносмия, агеузия, паросмия, миастения гравис (вж. точка 4.4)</w:t>
            </w:r>
          </w:p>
        </w:tc>
      </w:tr>
      <w:tr w:rsidR="00C23FAD" w14:paraId="7F397A1B" w14:textId="77777777" w:rsidTr="00487299">
        <w:tc>
          <w:tcPr>
            <w:tcW w:w="9576" w:type="dxa"/>
            <w:gridSpan w:val="6"/>
          </w:tcPr>
          <w:p w14:paraId="67388B00" w14:textId="329F073C" w:rsidR="00C23FAD" w:rsidRDefault="00C23FAD" w:rsidP="00C23FAD">
            <w:r w:rsidRPr="00C23FAD">
              <w:rPr>
                <w:b/>
                <w:bCs/>
                <w:szCs w:val="19"/>
              </w:rPr>
              <w:t>Нарушения на очите</w:t>
            </w:r>
          </w:p>
        </w:tc>
      </w:tr>
      <w:tr w:rsidR="00600CB7" w14:paraId="168B3FB7" w14:textId="77777777" w:rsidTr="00600CB7">
        <w:tc>
          <w:tcPr>
            <w:tcW w:w="1342" w:type="dxa"/>
          </w:tcPr>
          <w:p w14:paraId="5B0E485B" w14:textId="77777777" w:rsidR="00C23FAD" w:rsidRDefault="00C23FAD" w:rsidP="00C23FAD"/>
        </w:tc>
        <w:tc>
          <w:tcPr>
            <w:tcW w:w="1388" w:type="dxa"/>
          </w:tcPr>
          <w:p w14:paraId="4DFAB049" w14:textId="4D57CF1B" w:rsidR="00C23FAD" w:rsidRDefault="00C23FAD" w:rsidP="00C23FAD">
            <w:r w:rsidRPr="00C23FAD">
              <w:rPr>
                <w:szCs w:val="20"/>
              </w:rPr>
              <w:t>зрителни нарушения</w:t>
            </w:r>
          </w:p>
        </w:tc>
        <w:tc>
          <w:tcPr>
            <w:tcW w:w="2178" w:type="dxa"/>
          </w:tcPr>
          <w:p w14:paraId="2549C992" w14:textId="77777777" w:rsidR="00C23FAD" w:rsidRDefault="00C23FAD" w:rsidP="00C23FAD"/>
        </w:tc>
        <w:tc>
          <w:tcPr>
            <w:tcW w:w="1739" w:type="dxa"/>
          </w:tcPr>
          <w:p w14:paraId="1AC6B2D8" w14:textId="77777777" w:rsidR="00C23FAD" w:rsidRDefault="00C23FAD" w:rsidP="00C23FAD"/>
        </w:tc>
        <w:tc>
          <w:tcPr>
            <w:tcW w:w="824" w:type="dxa"/>
          </w:tcPr>
          <w:p w14:paraId="53C7C2E9" w14:textId="77777777" w:rsidR="00C23FAD" w:rsidRDefault="00C23FAD" w:rsidP="00C23FAD"/>
        </w:tc>
        <w:tc>
          <w:tcPr>
            <w:tcW w:w="2105" w:type="dxa"/>
          </w:tcPr>
          <w:p w14:paraId="318D588F" w14:textId="77777777" w:rsidR="00C23FAD" w:rsidRDefault="00C23FAD" w:rsidP="00C23FAD"/>
        </w:tc>
      </w:tr>
      <w:tr w:rsidR="00C23FAD" w14:paraId="23486242" w14:textId="77777777" w:rsidTr="00F6319C">
        <w:tc>
          <w:tcPr>
            <w:tcW w:w="9576" w:type="dxa"/>
            <w:gridSpan w:val="6"/>
          </w:tcPr>
          <w:p w14:paraId="12640CB6" w14:textId="7F5CE486" w:rsidR="00C23FAD" w:rsidRDefault="00C23FAD" w:rsidP="00C23FAD">
            <w:r>
              <w:rPr>
                <w:b/>
                <w:bCs/>
                <w:sz w:val="19"/>
                <w:szCs w:val="19"/>
              </w:rPr>
              <w:t>Нарушения на</w:t>
            </w:r>
            <w:r>
              <w:rPr>
                <w:b/>
                <w:bCs/>
                <w:sz w:val="19"/>
                <w:szCs w:val="19"/>
              </w:rPr>
              <w:t xml:space="preserve"> ухото и лабиринта</w:t>
            </w:r>
          </w:p>
        </w:tc>
      </w:tr>
      <w:tr w:rsidR="00600CB7" w14:paraId="42A242E1" w14:textId="77777777" w:rsidTr="00600CB7">
        <w:tc>
          <w:tcPr>
            <w:tcW w:w="1342" w:type="dxa"/>
          </w:tcPr>
          <w:p w14:paraId="2AEE4409" w14:textId="77777777" w:rsidR="00600CB7" w:rsidRDefault="00600CB7" w:rsidP="00600CB7"/>
        </w:tc>
        <w:tc>
          <w:tcPr>
            <w:tcW w:w="1388" w:type="dxa"/>
          </w:tcPr>
          <w:p w14:paraId="11B4E0BE" w14:textId="01EB6338" w:rsidR="00600CB7" w:rsidRPr="00600CB7" w:rsidRDefault="00600CB7" w:rsidP="00600CB7">
            <w:r w:rsidRPr="00600CB7">
              <w:rPr>
                <w:szCs w:val="20"/>
              </w:rPr>
              <w:t>глухота</w:t>
            </w:r>
          </w:p>
        </w:tc>
        <w:tc>
          <w:tcPr>
            <w:tcW w:w="2178" w:type="dxa"/>
            <w:vAlign w:val="bottom"/>
          </w:tcPr>
          <w:p w14:paraId="631E99D6" w14:textId="3E4A12CB" w:rsidR="00600CB7" w:rsidRPr="00600CB7" w:rsidRDefault="00600CB7" w:rsidP="00600CB7">
            <w:r w:rsidRPr="00600CB7">
              <w:rPr>
                <w:szCs w:val="20"/>
              </w:rPr>
              <w:t>нарушения на ухото, световъртеж, увреден слух, шум в ушите</w:t>
            </w:r>
          </w:p>
        </w:tc>
        <w:tc>
          <w:tcPr>
            <w:tcW w:w="1739" w:type="dxa"/>
          </w:tcPr>
          <w:p w14:paraId="28008527" w14:textId="77777777" w:rsidR="00600CB7" w:rsidRDefault="00600CB7" w:rsidP="00600CB7"/>
        </w:tc>
        <w:tc>
          <w:tcPr>
            <w:tcW w:w="824" w:type="dxa"/>
          </w:tcPr>
          <w:p w14:paraId="3700FDEA" w14:textId="77777777" w:rsidR="00600CB7" w:rsidRDefault="00600CB7" w:rsidP="00600CB7"/>
        </w:tc>
        <w:tc>
          <w:tcPr>
            <w:tcW w:w="2105" w:type="dxa"/>
          </w:tcPr>
          <w:p w14:paraId="3C19BE31" w14:textId="77777777" w:rsidR="00600CB7" w:rsidRDefault="00600CB7" w:rsidP="00600CB7"/>
        </w:tc>
      </w:tr>
      <w:tr w:rsidR="00600CB7" w14:paraId="7199AC52" w14:textId="77777777" w:rsidTr="008857BD">
        <w:tc>
          <w:tcPr>
            <w:tcW w:w="9576" w:type="dxa"/>
            <w:gridSpan w:val="6"/>
          </w:tcPr>
          <w:p w14:paraId="313C4E6E" w14:textId="16F2AA6E" w:rsidR="00600CB7" w:rsidRDefault="00600CB7" w:rsidP="00C23FAD">
            <w:r w:rsidRPr="00600CB7">
              <w:rPr>
                <w:b/>
                <w:bCs/>
                <w:szCs w:val="19"/>
              </w:rPr>
              <w:t>Сърдечни нарушения</w:t>
            </w:r>
          </w:p>
        </w:tc>
      </w:tr>
      <w:tr w:rsidR="00600CB7" w14:paraId="28E38598" w14:textId="77777777" w:rsidTr="00600CB7">
        <w:trPr>
          <w:trHeight w:val="2352"/>
        </w:trPr>
        <w:tc>
          <w:tcPr>
            <w:tcW w:w="1342" w:type="dxa"/>
          </w:tcPr>
          <w:p w14:paraId="2F74C83E" w14:textId="77777777" w:rsidR="00600CB7" w:rsidRPr="00600CB7" w:rsidRDefault="00600CB7" w:rsidP="00600CB7"/>
        </w:tc>
        <w:tc>
          <w:tcPr>
            <w:tcW w:w="1388" w:type="dxa"/>
          </w:tcPr>
          <w:p w14:paraId="2E32AF24" w14:textId="77777777" w:rsidR="00600CB7" w:rsidRPr="00600CB7" w:rsidRDefault="00600CB7" w:rsidP="00600CB7"/>
        </w:tc>
        <w:tc>
          <w:tcPr>
            <w:tcW w:w="2178" w:type="dxa"/>
          </w:tcPr>
          <w:p w14:paraId="6975CFE4" w14:textId="6F18AC47" w:rsidR="00600CB7" w:rsidRPr="00600CB7" w:rsidRDefault="00600CB7" w:rsidP="00600CB7">
            <w:r w:rsidRPr="00600CB7">
              <w:rPr>
                <w:szCs w:val="20"/>
              </w:rPr>
              <w:t>палпитации</w:t>
            </w:r>
          </w:p>
        </w:tc>
        <w:tc>
          <w:tcPr>
            <w:tcW w:w="1739" w:type="dxa"/>
          </w:tcPr>
          <w:p w14:paraId="67B55988" w14:textId="77777777" w:rsidR="00600CB7" w:rsidRPr="00600CB7" w:rsidRDefault="00600CB7" w:rsidP="00600CB7"/>
        </w:tc>
        <w:tc>
          <w:tcPr>
            <w:tcW w:w="824" w:type="dxa"/>
          </w:tcPr>
          <w:p w14:paraId="3338B257" w14:textId="77777777" w:rsidR="00600CB7" w:rsidRPr="00600CB7" w:rsidRDefault="00600CB7" w:rsidP="00600CB7"/>
        </w:tc>
        <w:tc>
          <w:tcPr>
            <w:tcW w:w="2105" w:type="dxa"/>
            <w:vAlign w:val="bottom"/>
          </w:tcPr>
          <w:p w14:paraId="209621A5" w14:textId="77777777" w:rsidR="00600CB7" w:rsidRPr="00600CB7" w:rsidRDefault="00600CB7" w:rsidP="00600CB7">
            <w:proofErr w:type="spellStart"/>
            <w:r w:rsidRPr="00600CB7">
              <w:rPr>
                <w:szCs w:val="20"/>
                <w:lang w:val="en-US"/>
              </w:rPr>
              <w:t>torsades</w:t>
            </w:r>
            <w:proofErr w:type="spellEnd"/>
            <w:r w:rsidRPr="00600CB7">
              <w:rPr>
                <w:szCs w:val="20"/>
              </w:rPr>
              <w:t xml:space="preserve"> </w:t>
            </w:r>
            <w:r w:rsidRPr="00600CB7">
              <w:rPr>
                <w:szCs w:val="20"/>
                <w:lang w:val="en-US"/>
              </w:rPr>
              <w:t>de</w:t>
            </w:r>
            <w:r w:rsidRPr="00600CB7">
              <w:rPr>
                <w:szCs w:val="20"/>
              </w:rPr>
              <w:t xml:space="preserve"> </w:t>
            </w:r>
            <w:r w:rsidRPr="00600CB7">
              <w:rPr>
                <w:szCs w:val="20"/>
                <w:lang w:val="en-US"/>
              </w:rPr>
              <w:t>pointes</w:t>
            </w:r>
            <w:r w:rsidRPr="00600CB7">
              <w:rPr>
                <w:szCs w:val="20"/>
              </w:rPr>
              <w:t xml:space="preserve"> (вж. точка 4.4), аритмия (вж, точка 4.4) включително</w:t>
            </w:r>
          </w:p>
          <w:p w14:paraId="211E77B8" w14:textId="3A95888A" w:rsidR="00600CB7" w:rsidRPr="00600CB7" w:rsidRDefault="00600CB7" w:rsidP="00600CB7">
            <w:r w:rsidRPr="00600CB7">
              <w:rPr>
                <w:szCs w:val="20"/>
              </w:rPr>
              <w:t xml:space="preserve">камерна тахикардия; удължен </w:t>
            </w:r>
            <w:r w:rsidRPr="00600CB7">
              <w:rPr>
                <w:szCs w:val="20"/>
                <w:lang w:val="en-US"/>
              </w:rPr>
              <w:t>QT</w:t>
            </w:r>
            <w:r w:rsidRPr="00600CB7">
              <w:rPr>
                <w:szCs w:val="20"/>
                <w:lang w:val="ru-RU"/>
              </w:rPr>
              <w:t xml:space="preserve"> </w:t>
            </w:r>
            <w:r w:rsidRPr="00600CB7">
              <w:rPr>
                <w:szCs w:val="20"/>
              </w:rPr>
              <w:t>интервал на ЕКГ (вж. точка 4.4)</w:t>
            </w:r>
          </w:p>
        </w:tc>
      </w:tr>
      <w:tr w:rsidR="00600CB7" w14:paraId="6AFF97BF" w14:textId="77777777" w:rsidTr="0071570F">
        <w:tc>
          <w:tcPr>
            <w:tcW w:w="9576" w:type="dxa"/>
            <w:gridSpan w:val="6"/>
          </w:tcPr>
          <w:p w14:paraId="7256120E" w14:textId="27667F12" w:rsidR="00600CB7" w:rsidRPr="00600CB7" w:rsidRDefault="00600CB7" w:rsidP="00C23FAD">
            <w:r w:rsidRPr="00600CB7">
              <w:rPr>
                <w:b/>
                <w:bCs/>
                <w:szCs w:val="19"/>
              </w:rPr>
              <w:t>Съдови нарушения</w:t>
            </w:r>
          </w:p>
        </w:tc>
      </w:tr>
      <w:tr w:rsidR="00600CB7" w14:paraId="1F596562" w14:textId="77777777" w:rsidTr="00600CB7">
        <w:tc>
          <w:tcPr>
            <w:tcW w:w="1342" w:type="dxa"/>
          </w:tcPr>
          <w:p w14:paraId="6A6D738B" w14:textId="77777777" w:rsidR="00C23FAD" w:rsidRDefault="00C23FAD" w:rsidP="00C23FAD"/>
        </w:tc>
        <w:tc>
          <w:tcPr>
            <w:tcW w:w="1388" w:type="dxa"/>
          </w:tcPr>
          <w:p w14:paraId="03F690C3" w14:textId="77777777" w:rsidR="00C23FAD" w:rsidRDefault="00C23FAD" w:rsidP="00C23FAD"/>
        </w:tc>
        <w:tc>
          <w:tcPr>
            <w:tcW w:w="2178" w:type="dxa"/>
          </w:tcPr>
          <w:p w14:paraId="251C4695" w14:textId="01CCFFB0" w:rsidR="00C23FAD" w:rsidRPr="00600CB7" w:rsidRDefault="00600CB7" w:rsidP="00600CB7">
            <w:pPr>
              <w:rPr>
                <w:sz w:val="24"/>
                <w:szCs w:val="24"/>
              </w:rPr>
            </w:pPr>
            <w:r w:rsidRPr="00600CB7">
              <w:rPr>
                <w:lang w:eastAsia="bg-BG"/>
              </w:rPr>
              <w:t>горещи вълни</w:t>
            </w:r>
          </w:p>
        </w:tc>
        <w:tc>
          <w:tcPr>
            <w:tcW w:w="1739" w:type="dxa"/>
          </w:tcPr>
          <w:p w14:paraId="48CC8F61" w14:textId="77777777" w:rsidR="00C23FAD" w:rsidRDefault="00C23FAD" w:rsidP="00C23FAD"/>
        </w:tc>
        <w:tc>
          <w:tcPr>
            <w:tcW w:w="824" w:type="dxa"/>
          </w:tcPr>
          <w:p w14:paraId="6AA5607D" w14:textId="77777777" w:rsidR="00C23FAD" w:rsidRDefault="00C23FAD" w:rsidP="00C23FAD"/>
        </w:tc>
        <w:tc>
          <w:tcPr>
            <w:tcW w:w="2105" w:type="dxa"/>
          </w:tcPr>
          <w:p w14:paraId="65739CF6" w14:textId="77777777" w:rsidR="00C23FAD" w:rsidRDefault="00C23FAD" w:rsidP="00C23FAD"/>
        </w:tc>
      </w:tr>
      <w:tr w:rsidR="00600CB7" w14:paraId="1D7592BB" w14:textId="77777777" w:rsidTr="008B7E50">
        <w:tc>
          <w:tcPr>
            <w:tcW w:w="9576" w:type="dxa"/>
            <w:gridSpan w:val="6"/>
          </w:tcPr>
          <w:p w14:paraId="06BF7F99" w14:textId="77777777" w:rsidR="00600CB7" w:rsidRPr="00600CB7" w:rsidRDefault="00600CB7" w:rsidP="00600CB7">
            <w:pPr>
              <w:spacing w:line="240" w:lineRule="auto"/>
              <w:rPr>
                <w:rFonts w:eastAsia="Times New Roman" w:cs="Arial"/>
                <w:szCs w:val="24"/>
              </w:rPr>
            </w:pPr>
            <w:r w:rsidRPr="00600CB7">
              <w:rPr>
                <w:rFonts w:eastAsia="Times New Roman" w:cs="Arial"/>
                <w:b/>
                <w:bCs/>
                <w:color w:val="000000"/>
                <w:szCs w:val="19"/>
                <w:lang w:eastAsia="bg-BG"/>
              </w:rPr>
              <w:t>Респираторни,гръдни и медиастинални нарушения</w:t>
            </w:r>
          </w:p>
          <w:p w14:paraId="0251F6CC" w14:textId="77777777" w:rsidR="00600CB7" w:rsidRPr="00600CB7" w:rsidRDefault="00600CB7" w:rsidP="00C23FAD">
            <w:pPr>
              <w:rPr>
                <w:rFonts w:cs="Arial"/>
              </w:rPr>
            </w:pPr>
          </w:p>
        </w:tc>
      </w:tr>
      <w:tr w:rsidR="00600CB7" w14:paraId="3CED234A" w14:textId="77777777" w:rsidTr="00600CB7">
        <w:tc>
          <w:tcPr>
            <w:tcW w:w="1342" w:type="dxa"/>
          </w:tcPr>
          <w:p w14:paraId="428AC044" w14:textId="77777777" w:rsidR="00C23FAD" w:rsidRDefault="00C23FAD" w:rsidP="00C23FAD"/>
        </w:tc>
        <w:tc>
          <w:tcPr>
            <w:tcW w:w="1388" w:type="dxa"/>
          </w:tcPr>
          <w:p w14:paraId="5FFEC140" w14:textId="77777777" w:rsidR="00C23FAD" w:rsidRDefault="00C23FAD" w:rsidP="00C23FAD"/>
        </w:tc>
        <w:tc>
          <w:tcPr>
            <w:tcW w:w="2178" w:type="dxa"/>
          </w:tcPr>
          <w:p w14:paraId="4B489834" w14:textId="74F11871" w:rsidR="00C23FAD" w:rsidRDefault="00600CB7" w:rsidP="00600CB7">
            <w:r>
              <w:t>диспнея, епистаксис</w:t>
            </w:r>
          </w:p>
        </w:tc>
        <w:tc>
          <w:tcPr>
            <w:tcW w:w="1739" w:type="dxa"/>
          </w:tcPr>
          <w:p w14:paraId="3B03E892" w14:textId="77777777" w:rsidR="00C23FAD" w:rsidRDefault="00C23FAD" w:rsidP="00C23FAD"/>
        </w:tc>
        <w:tc>
          <w:tcPr>
            <w:tcW w:w="824" w:type="dxa"/>
          </w:tcPr>
          <w:p w14:paraId="1FFDEF2D" w14:textId="77777777" w:rsidR="00C23FAD" w:rsidRDefault="00C23FAD" w:rsidP="00C23FAD"/>
        </w:tc>
        <w:tc>
          <w:tcPr>
            <w:tcW w:w="2105" w:type="dxa"/>
          </w:tcPr>
          <w:p w14:paraId="6BCD456C" w14:textId="77777777" w:rsidR="00C23FAD" w:rsidRDefault="00C23FAD" w:rsidP="00C23FAD"/>
        </w:tc>
      </w:tr>
      <w:tr w:rsidR="00600CB7" w14:paraId="2CE2728E" w14:textId="77777777" w:rsidTr="00600CB7">
        <w:tc>
          <w:tcPr>
            <w:tcW w:w="1342" w:type="dxa"/>
          </w:tcPr>
          <w:p w14:paraId="706FACD0" w14:textId="77777777" w:rsidR="00C23FAD" w:rsidRDefault="00C23FAD" w:rsidP="00C23FAD"/>
        </w:tc>
        <w:tc>
          <w:tcPr>
            <w:tcW w:w="1388" w:type="dxa"/>
          </w:tcPr>
          <w:p w14:paraId="0745AD17" w14:textId="77777777" w:rsidR="00C23FAD" w:rsidRDefault="00C23FAD" w:rsidP="00C23FAD"/>
        </w:tc>
        <w:tc>
          <w:tcPr>
            <w:tcW w:w="2178" w:type="dxa"/>
          </w:tcPr>
          <w:p w14:paraId="170DF2D8" w14:textId="77777777" w:rsidR="00C23FAD" w:rsidRDefault="00C23FAD" w:rsidP="00C23FAD"/>
        </w:tc>
        <w:tc>
          <w:tcPr>
            <w:tcW w:w="1739" w:type="dxa"/>
          </w:tcPr>
          <w:p w14:paraId="0D2A17BF" w14:textId="77777777" w:rsidR="00C23FAD" w:rsidRDefault="00C23FAD" w:rsidP="00C23FAD"/>
        </w:tc>
        <w:tc>
          <w:tcPr>
            <w:tcW w:w="824" w:type="dxa"/>
          </w:tcPr>
          <w:p w14:paraId="22DDB49C" w14:textId="77777777" w:rsidR="00C23FAD" w:rsidRDefault="00C23FAD" w:rsidP="00C23FAD"/>
        </w:tc>
        <w:tc>
          <w:tcPr>
            <w:tcW w:w="2105" w:type="dxa"/>
          </w:tcPr>
          <w:p w14:paraId="2E667D52" w14:textId="77777777" w:rsidR="00C23FAD" w:rsidRDefault="00C23FAD" w:rsidP="00C23FAD"/>
        </w:tc>
      </w:tr>
      <w:tr w:rsidR="00600CB7" w14:paraId="021C5461" w14:textId="77777777" w:rsidTr="004F1DF9">
        <w:tc>
          <w:tcPr>
            <w:tcW w:w="9576" w:type="dxa"/>
            <w:gridSpan w:val="6"/>
          </w:tcPr>
          <w:p w14:paraId="2BA55E38" w14:textId="172FFF77" w:rsidR="00600CB7" w:rsidRPr="00600CB7" w:rsidRDefault="00600CB7" w:rsidP="00C23FAD">
            <w:r w:rsidRPr="00600CB7">
              <w:rPr>
                <w:b/>
                <w:bCs/>
                <w:szCs w:val="19"/>
              </w:rPr>
              <w:t>Стомашно-чревни нарушения</w:t>
            </w:r>
          </w:p>
        </w:tc>
      </w:tr>
      <w:tr w:rsidR="00600CB7" w14:paraId="7CA5A5C4" w14:textId="77777777" w:rsidTr="00600CB7">
        <w:tc>
          <w:tcPr>
            <w:tcW w:w="1342" w:type="dxa"/>
          </w:tcPr>
          <w:p w14:paraId="644A6C88" w14:textId="77777777" w:rsidR="00600CB7" w:rsidRPr="00600CB7" w:rsidRDefault="00600CB7" w:rsidP="00600CB7">
            <w:r w:rsidRPr="00600CB7">
              <w:rPr>
                <w:szCs w:val="20"/>
              </w:rPr>
              <w:t>диария, болка в областта на</w:t>
            </w:r>
          </w:p>
          <w:p w14:paraId="13DDAC09" w14:textId="16328E40" w:rsidR="00600CB7" w:rsidRPr="00600CB7" w:rsidRDefault="00600CB7" w:rsidP="00600CB7">
            <w:r w:rsidRPr="00600CB7">
              <w:rPr>
                <w:szCs w:val="20"/>
              </w:rPr>
              <w:t>корема, гадене, метеоризъм</w:t>
            </w:r>
          </w:p>
        </w:tc>
        <w:tc>
          <w:tcPr>
            <w:tcW w:w="1388" w:type="dxa"/>
          </w:tcPr>
          <w:p w14:paraId="3A1DA1D9" w14:textId="2C87F5DB" w:rsidR="00600CB7" w:rsidRPr="00600CB7" w:rsidRDefault="00600CB7" w:rsidP="00600CB7">
            <w:r w:rsidRPr="00600CB7">
              <w:rPr>
                <w:szCs w:val="20"/>
              </w:rPr>
              <w:t>повръщане, диспепсия</w:t>
            </w:r>
          </w:p>
        </w:tc>
        <w:tc>
          <w:tcPr>
            <w:tcW w:w="2178" w:type="dxa"/>
            <w:vAlign w:val="bottom"/>
          </w:tcPr>
          <w:p w14:paraId="1DD6E4BD" w14:textId="76EFACC5" w:rsidR="00600CB7" w:rsidRPr="00600CB7" w:rsidRDefault="00600CB7" w:rsidP="00600CB7">
            <w:r w:rsidRPr="00600CB7">
              <w:rPr>
                <w:szCs w:val="20"/>
              </w:rPr>
              <w:t>гастрит, запек, дисфагия, абдоминална дистензия, сухота в устата, еруктация, язви в устата, хиперсаливация</w:t>
            </w:r>
          </w:p>
        </w:tc>
        <w:tc>
          <w:tcPr>
            <w:tcW w:w="1739" w:type="dxa"/>
          </w:tcPr>
          <w:p w14:paraId="5811F782" w14:textId="77777777" w:rsidR="00600CB7" w:rsidRPr="00600CB7" w:rsidRDefault="00600CB7" w:rsidP="00600CB7"/>
        </w:tc>
        <w:tc>
          <w:tcPr>
            <w:tcW w:w="824" w:type="dxa"/>
          </w:tcPr>
          <w:p w14:paraId="44510FB1" w14:textId="77777777" w:rsidR="00600CB7" w:rsidRPr="00600CB7" w:rsidRDefault="00600CB7" w:rsidP="00600CB7"/>
        </w:tc>
        <w:tc>
          <w:tcPr>
            <w:tcW w:w="2105" w:type="dxa"/>
          </w:tcPr>
          <w:p w14:paraId="74D3CE7E" w14:textId="63C3F614" w:rsidR="00600CB7" w:rsidRPr="00600CB7" w:rsidRDefault="00600CB7" w:rsidP="00600CB7">
            <w:r w:rsidRPr="00600CB7">
              <w:rPr>
                <w:szCs w:val="20"/>
              </w:rPr>
              <w:t>панкреатит, промяна в цвета на езика и зъбите</w:t>
            </w:r>
          </w:p>
        </w:tc>
      </w:tr>
      <w:tr w:rsidR="00600CB7" w14:paraId="2A0134A8" w14:textId="77777777" w:rsidTr="0020578F">
        <w:tc>
          <w:tcPr>
            <w:tcW w:w="9576" w:type="dxa"/>
            <w:gridSpan w:val="6"/>
          </w:tcPr>
          <w:p w14:paraId="7F9FA170" w14:textId="40304128" w:rsidR="00600CB7" w:rsidRPr="00600CB7" w:rsidRDefault="00600CB7" w:rsidP="00C23FAD">
            <w:r w:rsidRPr="00600CB7">
              <w:rPr>
                <w:b/>
                <w:bCs/>
                <w:szCs w:val="19"/>
              </w:rPr>
              <w:t>Хепатобилиарни нарушения</w:t>
            </w:r>
          </w:p>
        </w:tc>
      </w:tr>
      <w:tr w:rsidR="00600CB7" w14:paraId="319BA8F3" w14:textId="77777777" w:rsidTr="00600CB7">
        <w:tc>
          <w:tcPr>
            <w:tcW w:w="1342" w:type="dxa"/>
          </w:tcPr>
          <w:p w14:paraId="0B4DEB53" w14:textId="77777777" w:rsidR="00600CB7" w:rsidRPr="00600CB7" w:rsidRDefault="00600CB7" w:rsidP="00600CB7"/>
        </w:tc>
        <w:tc>
          <w:tcPr>
            <w:tcW w:w="1388" w:type="dxa"/>
          </w:tcPr>
          <w:p w14:paraId="47497DE8" w14:textId="77777777" w:rsidR="00600CB7" w:rsidRPr="00600CB7" w:rsidRDefault="00600CB7" w:rsidP="00600CB7"/>
        </w:tc>
        <w:tc>
          <w:tcPr>
            <w:tcW w:w="2178" w:type="dxa"/>
          </w:tcPr>
          <w:p w14:paraId="6970144E" w14:textId="0DFC7A95" w:rsidR="00600CB7" w:rsidRPr="00600CB7" w:rsidRDefault="00600CB7" w:rsidP="00600CB7">
            <w:r w:rsidRPr="00600CB7">
              <w:rPr>
                <w:szCs w:val="20"/>
              </w:rPr>
              <w:t>хепатит</w:t>
            </w:r>
          </w:p>
        </w:tc>
        <w:tc>
          <w:tcPr>
            <w:tcW w:w="1739" w:type="dxa"/>
          </w:tcPr>
          <w:p w14:paraId="29F74E84" w14:textId="77777777" w:rsidR="00600CB7" w:rsidRPr="00600CB7" w:rsidRDefault="00600CB7" w:rsidP="00600CB7">
            <w:r w:rsidRPr="00600CB7">
              <w:rPr>
                <w:szCs w:val="20"/>
              </w:rPr>
              <w:t>абнормална чернодробна функция, холестатична</w:t>
            </w:r>
          </w:p>
          <w:p w14:paraId="0BC7EB2D" w14:textId="0F8BF420" w:rsidR="00600CB7" w:rsidRPr="00600CB7" w:rsidRDefault="00600CB7" w:rsidP="00600CB7">
            <w:r w:rsidRPr="00600CB7">
              <w:rPr>
                <w:szCs w:val="20"/>
              </w:rPr>
              <w:t>жълтеница</w:t>
            </w:r>
          </w:p>
        </w:tc>
        <w:tc>
          <w:tcPr>
            <w:tcW w:w="824" w:type="dxa"/>
            <w:vAlign w:val="bottom"/>
          </w:tcPr>
          <w:p w14:paraId="0F95D3F9" w14:textId="77777777" w:rsidR="00600CB7" w:rsidRPr="00600CB7" w:rsidRDefault="00600CB7" w:rsidP="00600CB7"/>
        </w:tc>
        <w:tc>
          <w:tcPr>
            <w:tcW w:w="2105" w:type="dxa"/>
          </w:tcPr>
          <w:p w14:paraId="07211EC2" w14:textId="77777777" w:rsidR="00600CB7" w:rsidRPr="00600CB7" w:rsidRDefault="00600CB7" w:rsidP="00600CB7">
            <w:r w:rsidRPr="00600CB7">
              <w:rPr>
                <w:szCs w:val="20"/>
              </w:rPr>
              <w:t>чернодробна недостатъчност (която рядко причинява смърт)</w:t>
            </w:r>
          </w:p>
          <w:p w14:paraId="1CA5B59F" w14:textId="77777777" w:rsidR="00600CB7" w:rsidRPr="00600CB7" w:rsidRDefault="00600CB7" w:rsidP="00600CB7">
            <w:r w:rsidRPr="00600CB7">
              <w:rPr>
                <w:szCs w:val="20"/>
              </w:rPr>
              <w:t>(вж.точка 4.4),</w:t>
            </w:r>
          </w:p>
          <w:p w14:paraId="1C3550A2" w14:textId="77777777" w:rsidR="00600CB7" w:rsidRPr="00600CB7" w:rsidRDefault="00600CB7" w:rsidP="00600CB7">
            <w:r w:rsidRPr="00600CB7">
              <w:rPr>
                <w:szCs w:val="20"/>
              </w:rPr>
              <w:t>фулминантен</w:t>
            </w:r>
          </w:p>
          <w:p w14:paraId="44630F59" w14:textId="77777777" w:rsidR="00600CB7" w:rsidRPr="00600CB7" w:rsidRDefault="00600CB7" w:rsidP="00600CB7">
            <w:r w:rsidRPr="00600CB7">
              <w:rPr>
                <w:szCs w:val="20"/>
              </w:rPr>
              <w:t>хепатит,</w:t>
            </w:r>
          </w:p>
          <w:p w14:paraId="01F1BAE6" w14:textId="2750A186" w:rsidR="00600CB7" w:rsidRPr="00600CB7" w:rsidRDefault="00600CB7" w:rsidP="00600CB7">
            <w:r w:rsidRPr="00600CB7">
              <w:rPr>
                <w:szCs w:val="20"/>
              </w:rPr>
              <w:t>чернодробна некроза</w:t>
            </w:r>
          </w:p>
        </w:tc>
      </w:tr>
      <w:tr w:rsidR="00600CB7" w14:paraId="43B65862" w14:textId="77777777" w:rsidTr="00002C65">
        <w:tc>
          <w:tcPr>
            <w:tcW w:w="9576" w:type="dxa"/>
            <w:gridSpan w:val="6"/>
          </w:tcPr>
          <w:p w14:paraId="3F629336" w14:textId="545EACD7" w:rsidR="00600CB7" w:rsidRPr="00600CB7" w:rsidRDefault="00600CB7" w:rsidP="00C23FAD">
            <w:r w:rsidRPr="00600CB7">
              <w:rPr>
                <w:b/>
                <w:bCs/>
                <w:szCs w:val="19"/>
              </w:rPr>
              <w:t>Нарушение на кожата и подкожната тъкан</w:t>
            </w:r>
          </w:p>
        </w:tc>
      </w:tr>
      <w:tr w:rsidR="00600CB7" w14:paraId="4B34A58C" w14:textId="77777777" w:rsidTr="00600CB7">
        <w:tc>
          <w:tcPr>
            <w:tcW w:w="1342" w:type="dxa"/>
          </w:tcPr>
          <w:p w14:paraId="4569724E" w14:textId="77777777" w:rsidR="00600CB7" w:rsidRPr="00600CB7" w:rsidRDefault="00600CB7" w:rsidP="00600CB7"/>
        </w:tc>
        <w:tc>
          <w:tcPr>
            <w:tcW w:w="1388" w:type="dxa"/>
          </w:tcPr>
          <w:p w14:paraId="7952F7D8" w14:textId="6623DF09" w:rsidR="00600CB7" w:rsidRPr="00600CB7" w:rsidRDefault="00600CB7" w:rsidP="00600CB7">
            <w:r w:rsidRPr="00600CB7">
              <w:rPr>
                <w:szCs w:val="20"/>
              </w:rPr>
              <w:t>обрив, пруритус</w:t>
            </w:r>
          </w:p>
        </w:tc>
        <w:tc>
          <w:tcPr>
            <w:tcW w:w="2178" w:type="dxa"/>
          </w:tcPr>
          <w:p w14:paraId="7EFB0DAE" w14:textId="09304E9D" w:rsidR="00600CB7" w:rsidRPr="00600CB7" w:rsidRDefault="00600CB7" w:rsidP="00600CB7">
            <w:r w:rsidRPr="00600CB7">
              <w:rPr>
                <w:szCs w:val="20"/>
              </w:rPr>
              <w:t>синдром на Стивънс- Джонсън, реакции на фоточувствителност, уртикария дерматит, суха кожа, хиперхидроза</w:t>
            </w:r>
          </w:p>
        </w:tc>
        <w:tc>
          <w:tcPr>
            <w:tcW w:w="1739" w:type="dxa"/>
          </w:tcPr>
          <w:p w14:paraId="0048C1ED" w14:textId="1D44978E" w:rsidR="00600CB7" w:rsidRPr="00600CB7" w:rsidRDefault="00600CB7" w:rsidP="00600CB7">
            <w:r w:rsidRPr="00600CB7">
              <w:rPr>
                <w:szCs w:val="20"/>
              </w:rPr>
              <w:t xml:space="preserve">алергични реакции включително ангионевроти- чен оток, остра генерализирана екзантематозна пустулоза </w:t>
            </w:r>
            <w:r w:rsidRPr="00600CB7">
              <w:rPr>
                <w:szCs w:val="20"/>
                <w:lang w:val="ru-RU"/>
              </w:rPr>
              <w:t>(</w:t>
            </w:r>
            <w:r w:rsidRPr="00600CB7">
              <w:rPr>
                <w:szCs w:val="20"/>
                <w:lang w:val="en-US"/>
              </w:rPr>
              <w:t>AGEP</w:t>
            </w:r>
            <w:r w:rsidRPr="00600CB7">
              <w:rPr>
                <w:szCs w:val="20"/>
                <w:lang w:val="ru-RU"/>
              </w:rPr>
              <w:t>)</w:t>
            </w:r>
          </w:p>
        </w:tc>
        <w:tc>
          <w:tcPr>
            <w:tcW w:w="824" w:type="dxa"/>
          </w:tcPr>
          <w:p w14:paraId="0244625D" w14:textId="77777777" w:rsidR="00600CB7" w:rsidRPr="00600CB7" w:rsidRDefault="00600CB7" w:rsidP="00600CB7"/>
        </w:tc>
        <w:tc>
          <w:tcPr>
            <w:tcW w:w="2105" w:type="dxa"/>
          </w:tcPr>
          <w:p w14:paraId="147E4548" w14:textId="6B76F71A" w:rsidR="00600CB7" w:rsidRPr="00600CB7" w:rsidRDefault="00600CB7" w:rsidP="00600CB7">
            <w:r w:rsidRPr="00600CB7">
              <w:rPr>
                <w:szCs w:val="20"/>
              </w:rPr>
              <w:t xml:space="preserve">токсична епидермална некролиза, еритема мултиформе </w:t>
            </w:r>
            <w:r w:rsidRPr="00600CB7">
              <w:rPr>
                <w:szCs w:val="20"/>
                <w:lang w:val="en-US"/>
              </w:rPr>
              <w:t>DRESS</w:t>
            </w:r>
            <w:r w:rsidRPr="00600CB7">
              <w:rPr>
                <w:szCs w:val="20"/>
                <w:lang w:val="ru-RU"/>
              </w:rPr>
              <w:t xml:space="preserve"> </w:t>
            </w:r>
            <w:r w:rsidRPr="00600CB7">
              <w:rPr>
                <w:szCs w:val="20"/>
              </w:rPr>
              <w:t>(лекарствена реакция с еозинофилия и системни симптоми)</w:t>
            </w:r>
          </w:p>
        </w:tc>
      </w:tr>
      <w:tr w:rsidR="00600CB7" w14:paraId="7DA30905" w14:textId="77777777" w:rsidTr="00E53F2C">
        <w:tc>
          <w:tcPr>
            <w:tcW w:w="9576" w:type="dxa"/>
            <w:gridSpan w:val="6"/>
          </w:tcPr>
          <w:p w14:paraId="0FFD25E2" w14:textId="450236BD" w:rsidR="00600CB7" w:rsidRPr="00600CB7" w:rsidRDefault="00600CB7" w:rsidP="00C23FAD">
            <w:r w:rsidRPr="00600CB7">
              <w:rPr>
                <w:b/>
                <w:bCs/>
                <w:szCs w:val="19"/>
              </w:rPr>
              <w:t>Нарушения на мускулно-скелетната система и съединителната тъкан</w:t>
            </w:r>
          </w:p>
        </w:tc>
      </w:tr>
      <w:tr w:rsidR="00600CB7" w14:paraId="3202DE40" w14:textId="77777777" w:rsidTr="00600CB7">
        <w:trPr>
          <w:trHeight w:val="1134"/>
        </w:trPr>
        <w:tc>
          <w:tcPr>
            <w:tcW w:w="1342" w:type="dxa"/>
          </w:tcPr>
          <w:p w14:paraId="729DEE50" w14:textId="77777777" w:rsidR="00600CB7" w:rsidRPr="00600CB7" w:rsidRDefault="00600CB7" w:rsidP="00600CB7"/>
        </w:tc>
        <w:tc>
          <w:tcPr>
            <w:tcW w:w="1388" w:type="dxa"/>
          </w:tcPr>
          <w:p w14:paraId="2FCC69AD" w14:textId="43F9940D" w:rsidR="00600CB7" w:rsidRPr="00600CB7" w:rsidRDefault="00600CB7" w:rsidP="00600CB7">
            <w:r w:rsidRPr="00600CB7">
              <w:rPr>
                <w:szCs w:val="20"/>
              </w:rPr>
              <w:t>артралгия</w:t>
            </w:r>
          </w:p>
        </w:tc>
        <w:tc>
          <w:tcPr>
            <w:tcW w:w="2178" w:type="dxa"/>
            <w:vAlign w:val="bottom"/>
          </w:tcPr>
          <w:p w14:paraId="4FFEDA01" w14:textId="58B18938" w:rsidR="00600CB7" w:rsidRPr="00600CB7" w:rsidRDefault="00600CB7" w:rsidP="00600CB7">
            <w:r w:rsidRPr="00600CB7">
              <w:rPr>
                <w:szCs w:val="20"/>
              </w:rPr>
              <w:t>остеоартрит, миалгия, болки в гърба, болки в шията</w:t>
            </w:r>
          </w:p>
        </w:tc>
        <w:tc>
          <w:tcPr>
            <w:tcW w:w="1739" w:type="dxa"/>
          </w:tcPr>
          <w:p w14:paraId="7EFE2F20" w14:textId="77777777" w:rsidR="00600CB7" w:rsidRPr="00600CB7" w:rsidRDefault="00600CB7" w:rsidP="00600CB7"/>
        </w:tc>
        <w:tc>
          <w:tcPr>
            <w:tcW w:w="824" w:type="dxa"/>
          </w:tcPr>
          <w:p w14:paraId="7862EBDD" w14:textId="77777777" w:rsidR="00600CB7" w:rsidRPr="00600CB7" w:rsidRDefault="00600CB7" w:rsidP="00600CB7"/>
        </w:tc>
        <w:tc>
          <w:tcPr>
            <w:tcW w:w="2105" w:type="dxa"/>
          </w:tcPr>
          <w:p w14:paraId="05FF6643" w14:textId="77777777" w:rsidR="00600CB7" w:rsidRPr="00600CB7" w:rsidRDefault="00600CB7" w:rsidP="00600CB7"/>
        </w:tc>
      </w:tr>
      <w:tr w:rsidR="00600CB7" w14:paraId="41E9D965" w14:textId="77777777" w:rsidTr="00182DB5">
        <w:tc>
          <w:tcPr>
            <w:tcW w:w="9576" w:type="dxa"/>
            <w:gridSpan w:val="6"/>
          </w:tcPr>
          <w:p w14:paraId="093B459A" w14:textId="22F03CF2" w:rsidR="00600CB7" w:rsidRPr="00600CB7" w:rsidRDefault="00600CB7" w:rsidP="00600CB7">
            <w:pPr>
              <w:spacing w:line="240" w:lineRule="auto"/>
              <w:rPr>
                <w:rFonts w:eastAsia="Times New Roman" w:cs="Arial"/>
                <w:szCs w:val="24"/>
              </w:rPr>
            </w:pPr>
            <w:r w:rsidRPr="00600CB7">
              <w:rPr>
                <w:rFonts w:eastAsia="Times New Roman" w:cs="Arial"/>
                <w:b/>
                <w:bCs/>
                <w:color w:val="000000"/>
                <w:szCs w:val="19"/>
                <w:lang w:eastAsia="bg-BG"/>
              </w:rPr>
              <w:t>Нарушения на бъбреците и пикочните пътища</w:t>
            </w:r>
          </w:p>
        </w:tc>
      </w:tr>
      <w:tr w:rsidR="00600CB7" w14:paraId="3DB40A44" w14:textId="77777777" w:rsidTr="00600CB7">
        <w:tc>
          <w:tcPr>
            <w:tcW w:w="1342" w:type="dxa"/>
          </w:tcPr>
          <w:p w14:paraId="4345D73A" w14:textId="77777777" w:rsidR="00600CB7" w:rsidRPr="00600CB7" w:rsidRDefault="00600CB7" w:rsidP="00600CB7"/>
        </w:tc>
        <w:tc>
          <w:tcPr>
            <w:tcW w:w="1388" w:type="dxa"/>
          </w:tcPr>
          <w:p w14:paraId="695E963F" w14:textId="77777777" w:rsidR="00600CB7" w:rsidRPr="00600CB7" w:rsidRDefault="00600CB7" w:rsidP="00600CB7"/>
        </w:tc>
        <w:tc>
          <w:tcPr>
            <w:tcW w:w="2178" w:type="dxa"/>
          </w:tcPr>
          <w:p w14:paraId="6CB6E858" w14:textId="1A705044" w:rsidR="00600CB7" w:rsidRPr="00600CB7" w:rsidRDefault="00600CB7" w:rsidP="00600CB7">
            <w:r w:rsidRPr="00600CB7">
              <w:rPr>
                <w:szCs w:val="20"/>
              </w:rPr>
              <w:t>дизурия, болки в бъбреците</w:t>
            </w:r>
          </w:p>
        </w:tc>
        <w:tc>
          <w:tcPr>
            <w:tcW w:w="1739" w:type="dxa"/>
          </w:tcPr>
          <w:p w14:paraId="3FFC62AB" w14:textId="61C3F23B" w:rsidR="00600CB7" w:rsidRPr="00600CB7" w:rsidRDefault="00600CB7" w:rsidP="00600CB7">
            <w:r w:rsidRPr="00600CB7">
              <w:rPr>
                <w:szCs w:val="20"/>
              </w:rPr>
              <w:t xml:space="preserve">остра бъбречна недостатъчност, </w:t>
            </w:r>
            <w:r w:rsidRPr="00600CB7">
              <w:rPr>
                <w:szCs w:val="20"/>
              </w:rPr>
              <w:lastRenderedPageBreak/>
              <w:t>интерстициален нефрит</w:t>
            </w:r>
          </w:p>
        </w:tc>
        <w:tc>
          <w:tcPr>
            <w:tcW w:w="824" w:type="dxa"/>
          </w:tcPr>
          <w:p w14:paraId="506206C6" w14:textId="77777777" w:rsidR="00600CB7" w:rsidRPr="00600CB7" w:rsidRDefault="00600CB7" w:rsidP="00600CB7"/>
        </w:tc>
        <w:tc>
          <w:tcPr>
            <w:tcW w:w="2105" w:type="dxa"/>
          </w:tcPr>
          <w:p w14:paraId="5BAAACCD" w14:textId="77777777" w:rsidR="00600CB7" w:rsidRPr="00600CB7" w:rsidRDefault="00600CB7" w:rsidP="00600CB7"/>
        </w:tc>
      </w:tr>
      <w:tr w:rsidR="00600CB7" w14:paraId="1CD19033" w14:textId="77777777" w:rsidTr="004A302F">
        <w:tc>
          <w:tcPr>
            <w:tcW w:w="9576" w:type="dxa"/>
            <w:gridSpan w:val="6"/>
          </w:tcPr>
          <w:p w14:paraId="3738E5B8" w14:textId="3D6A1370" w:rsidR="00600CB7" w:rsidRPr="00600CB7" w:rsidRDefault="00600CB7" w:rsidP="00C23FAD">
            <w:pPr>
              <w:rPr>
                <w:rFonts w:cs="Arial"/>
              </w:rPr>
            </w:pPr>
            <w:r w:rsidRPr="00600CB7">
              <w:rPr>
                <w:rFonts w:eastAsia="Times New Roman" w:cs="Arial"/>
                <w:b/>
                <w:bCs/>
                <w:color w:val="000000"/>
                <w:szCs w:val="19"/>
                <w:lang w:eastAsia="bg-BG"/>
              </w:rPr>
              <w:t>Нарушения на възпроизводителната система и гърдите</w:t>
            </w:r>
          </w:p>
        </w:tc>
      </w:tr>
      <w:tr w:rsidR="00600CB7" w14:paraId="01B7FFE7" w14:textId="77777777" w:rsidTr="00600CB7">
        <w:tc>
          <w:tcPr>
            <w:tcW w:w="1342" w:type="dxa"/>
          </w:tcPr>
          <w:p w14:paraId="2E95AB87" w14:textId="77777777" w:rsidR="00600CB7" w:rsidRPr="00600CB7" w:rsidRDefault="00600CB7" w:rsidP="00600CB7"/>
        </w:tc>
        <w:tc>
          <w:tcPr>
            <w:tcW w:w="1388" w:type="dxa"/>
          </w:tcPr>
          <w:p w14:paraId="3EE219F5" w14:textId="77777777" w:rsidR="00600CB7" w:rsidRPr="00600CB7" w:rsidRDefault="00600CB7" w:rsidP="00600CB7"/>
        </w:tc>
        <w:tc>
          <w:tcPr>
            <w:tcW w:w="2178" w:type="dxa"/>
            <w:vAlign w:val="bottom"/>
          </w:tcPr>
          <w:p w14:paraId="030AA386" w14:textId="65F77058" w:rsidR="00600CB7" w:rsidRPr="00600CB7" w:rsidRDefault="00600CB7" w:rsidP="00600CB7">
            <w:r w:rsidRPr="00600CB7">
              <w:rPr>
                <w:szCs w:val="20"/>
              </w:rPr>
              <w:t>метрорагия, нарушения в тестикулите</w:t>
            </w:r>
          </w:p>
        </w:tc>
        <w:tc>
          <w:tcPr>
            <w:tcW w:w="1739" w:type="dxa"/>
          </w:tcPr>
          <w:p w14:paraId="4A300526" w14:textId="77777777" w:rsidR="00600CB7" w:rsidRPr="00600CB7" w:rsidRDefault="00600CB7" w:rsidP="00600CB7"/>
        </w:tc>
        <w:tc>
          <w:tcPr>
            <w:tcW w:w="824" w:type="dxa"/>
          </w:tcPr>
          <w:p w14:paraId="2F4268DC" w14:textId="77777777" w:rsidR="00600CB7" w:rsidRPr="00600CB7" w:rsidRDefault="00600CB7" w:rsidP="00600CB7"/>
        </w:tc>
        <w:tc>
          <w:tcPr>
            <w:tcW w:w="2105" w:type="dxa"/>
          </w:tcPr>
          <w:p w14:paraId="21BD998A" w14:textId="77777777" w:rsidR="00600CB7" w:rsidRPr="00600CB7" w:rsidRDefault="00600CB7" w:rsidP="00600CB7"/>
        </w:tc>
      </w:tr>
      <w:tr w:rsidR="00600CB7" w14:paraId="0CD72C29" w14:textId="77777777" w:rsidTr="00E1536B">
        <w:tc>
          <w:tcPr>
            <w:tcW w:w="9576" w:type="dxa"/>
            <w:gridSpan w:val="6"/>
          </w:tcPr>
          <w:p w14:paraId="4548970A" w14:textId="072989EE" w:rsidR="00600CB7" w:rsidRPr="00600CB7" w:rsidRDefault="00600CB7" w:rsidP="00C23FAD">
            <w:pPr>
              <w:rPr>
                <w:rFonts w:cs="Arial"/>
              </w:rPr>
            </w:pPr>
            <w:r w:rsidRPr="00600CB7">
              <w:rPr>
                <w:rFonts w:eastAsia="Times New Roman" w:cs="Arial"/>
                <w:b/>
                <w:bCs/>
                <w:color w:val="000000"/>
                <w:szCs w:val="19"/>
                <w:lang w:eastAsia="bg-BG"/>
              </w:rPr>
              <w:t>Общи нарушения и ефекти на мястото на приложение</w:t>
            </w:r>
          </w:p>
        </w:tc>
      </w:tr>
      <w:tr w:rsidR="00600CB7" w14:paraId="65C92811" w14:textId="77777777" w:rsidTr="00600CB7">
        <w:tc>
          <w:tcPr>
            <w:tcW w:w="1342" w:type="dxa"/>
          </w:tcPr>
          <w:p w14:paraId="35C5C5FC" w14:textId="77777777" w:rsidR="00600CB7" w:rsidRPr="00600CB7" w:rsidRDefault="00600CB7" w:rsidP="00600CB7"/>
        </w:tc>
        <w:tc>
          <w:tcPr>
            <w:tcW w:w="1388" w:type="dxa"/>
          </w:tcPr>
          <w:p w14:paraId="7F492B03" w14:textId="5C6DDD34" w:rsidR="00600CB7" w:rsidRPr="00600CB7" w:rsidRDefault="00600CB7" w:rsidP="00600CB7">
            <w:r w:rsidRPr="00600CB7">
              <w:rPr>
                <w:szCs w:val="20"/>
              </w:rPr>
              <w:t>умора</w:t>
            </w:r>
          </w:p>
        </w:tc>
        <w:tc>
          <w:tcPr>
            <w:tcW w:w="2178" w:type="dxa"/>
            <w:vAlign w:val="bottom"/>
          </w:tcPr>
          <w:p w14:paraId="35040375" w14:textId="7DCC088D" w:rsidR="00600CB7" w:rsidRPr="00600CB7" w:rsidRDefault="00600CB7" w:rsidP="00600CB7">
            <w:r w:rsidRPr="00600CB7">
              <w:rPr>
                <w:szCs w:val="20"/>
              </w:rPr>
              <w:t>болка в областта на гърдите, лицев оток, пирексия, периферен оток, оток, неразположение, астения</w:t>
            </w:r>
          </w:p>
        </w:tc>
        <w:tc>
          <w:tcPr>
            <w:tcW w:w="1739" w:type="dxa"/>
          </w:tcPr>
          <w:p w14:paraId="76057299" w14:textId="77777777" w:rsidR="00600CB7" w:rsidRPr="00600CB7" w:rsidRDefault="00600CB7" w:rsidP="00600CB7"/>
        </w:tc>
        <w:tc>
          <w:tcPr>
            <w:tcW w:w="824" w:type="dxa"/>
          </w:tcPr>
          <w:p w14:paraId="4A0A4248" w14:textId="77777777" w:rsidR="00600CB7" w:rsidRPr="00600CB7" w:rsidRDefault="00600CB7" w:rsidP="00600CB7"/>
        </w:tc>
        <w:tc>
          <w:tcPr>
            <w:tcW w:w="2105" w:type="dxa"/>
          </w:tcPr>
          <w:p w14:paraId="069D90D0" w14:textId="77777777" w:rsidR="00600CB7" w:rsidRPr="00600CB7" w:rsidRDefault="00600CB7" w:rsidP="00600CB7"/>
        </w:tc>
      </w:tr>
      <w:tr w:rsidR="00600CB7" w14:paraId="23434D61" w14:textId="77777777" w:rsidTr="00D67953">
        <w:tc>
          <w:tcPr>
            <w:tcW w:w="9576" w:type="dxa"/>
            <w:gridSpan w:val="6"/>
          </w:tcPr>
          <w:p w14:paraId="4458F1DC" w14:textId="36DDEBA8" w:rsidR="00600CB7" w:rsidRPr="00600CB7" w:rsidRDefault="00600CB7" w:rsidP="00C23FAD">
            <w:r w:rsidRPr="00600CB7">
              <w:rPr>
                <w:b/>
                <w:bCs/>
                <w:szCs w:val="19"/>
              </w:rPr>
              <w:t>Изследвания</w:t>
            </w:r>
          </w:p>
        </w:tc>
      </w:tr>
      <w:tr w:rsidR="00600CB7" w14:paraId="1F006A3F" w14:textId="77777777" w:rsidTr="00600CB7">
        <w:tc>
          <w:tcPr>
            <w:tcW w:w="1342" w:type="dxa"/>
          </w:tcPr>
          <w:p w14:paraId="67FC4E83" w14:textId="77777777" w:rsidR="00600CB7" w:rsidRPr="00600CB7" w:rsidRDefault="00600CB7" w:rsidP="00600CB7"/>
        </w:tc>
        <w:tc>
          <w:tcPr>
            <w:tcW w:w="1388" w:type="dxa"/>
          </w:tcPr>
          <w:p w14:paraId="555CF458" w14:textId="36173736" w:rsidR="00600CB7" w:rsidRPr="00600CB7" w:rsidRDefault="00600CB7" w:rsidP="00600CB7">
            <w:r w:rsidRPr="00600CB7">
              <w:rPr>
                <w:szCs w:val="20"/>
              </w:rPr>
              <w:t>понижен брой на левкоцитите , повишен брой на еозинофили те, понижени стойности на бикарбонати в кръвта, повишен брой на базофили, повишен брой на моноцити, повишен брой на неутрофили</w:t>
            </w:r>
          </w:p>
        </w:tc>
        <w:tc>
          <w:tcPr>
            <w:tcW w:w="2178" w:type="dxa"/>
            <w:vAlign w:val="bottom"/>
          </w:tcPr>
          <w:p w14:paraId="6A16BE5D" w14:textId="7A9B38B4" w:rsidR="00600CB7" w:rsidRPr="00600CB7" w:rsidRDefault="00600CB7" w:rsidP="00600CB7">
            <w:r w:rsidRPr="00600CB7">
              <w:rPr>
                <w:szCs w:val="20"/>
              </w:rPr>
              <w:t xml:space="preserve">повишени стойности на аспартат аминотрансфераза, повишени стойности на аланин аминотрансфераза, повишени стойности на билирубин в кръвта, повишени стойности на урея в кръвта, повишени стойности на креатинин, абнормни стойности на калий в кръвта, повишени стойности на алкална фосфатаза в кръвта, повишени нива на хлориди, повишени нива на глюкоза, повишен брой тромбоцити, понижени стойности на хематокрит, </w:t>
            </w:r>
            <w:r w:rsidRPr="00600CB7">
              <w:rPr>
                <w:szCs w:val="20"/>
              </w:rPr>
              <w:lastRenderedPageBreak/>
              <w:t>повишени стойности на бикарбонати, абнормни нива на</w:t>
            </w:r>
            <w:r>
              <w:rPr>
                <w:szCs w:val="20"/>
              </w:rPr>
              <w:t xml:space="preserve"> </w:t>
            </w:r>
            <w:r w:rsidRPr="00600CB7">
              <w:rPr>
                <w:szCs w:val="20"/>
              </w:rPr>
              <w:t>натрий</w:t>
            </w:r>
          </w:p>
        </w:tc>
        <w:tc>
          <w:tcPr>
            <w:tcW w:w="1739" w:type="dxa"/>
          </w:tcPr>
          <w:p w14:paraId="0591F34B" w14:textId="77777777" w:rsidR="00600CB7" w:rsidRPr="00600CB7" w:rsidRDefault="00600CB7" w:rsidP="00600CB7"/>
        </w:tc>
        <w:tc>
          <w:tcPr>
            <w:tcW w:w="824" w:type="dxa"/>
          </w:tcPr>
          <w:p w14:paraId="4B2F413D" w14:textId="77777777" w:rsidR="00600CB7" w:rsidRPr="00600CB7" w:rsidRDefault="00600CB7" w:rsidP="00600CB7"/>
        </w:tc>
        <w:tc>
          <w:tcPr>
            <w:tcW w:w="2105" w:type="dxa"/>
            <w:vAlign w:val="bottom"/>
          </w:tcPr>
          <w:p w14:paraId="6EE69574" w14:textId="77777777" w:rsidR="00600CB7" w:rsidRPr="00600CB7" w:rsidRDefault="00600CB7" w:rsidP="00600CB7"/>
        </w:tc>
      </w:tr>
      <w:tr w:rsidR="00600CB7" w14:paraId="288DD154" w14:textId="77777777" w:rsidTr="001B58A0">
        <w:tc>
          <w:tcPr>
            <w:tcW w:w="9576" w:type="dxa"/>
            <w:gridSpan w:val="6"/>
          </w:tcPr>
          <w:p w14:paraId="5F06F264" w14:textId="54E5A0CF" w:rsidR="00600CB7" w:rsidRPr="00600CB7" w:rsidRDefault="00600CB7" w:rsidP="00600CB7">
            <w:pPr>
              <w:spacing w:line="240" w:lineRule="auto"/>
              <w:rPr>
                <w:rFonts w:eastAsia="Times New Roman" w:cs="Arial"/>
                <w:sz w:val="24"/>
                <w:szCs w:val="24"/>
              </w:rPr>
            </w:pPr>
            <w:r w:rsidRPr="00600CB7">
              <w:rPr>
                <w:rFonts w:eastAsia="Times New Roman" w:cs="Arial"/>
                <w:b/>
                <w:bCs/>
                <w:color w:val="000000"/>
                <w:szCs w:val="19"/>
                <w:lang w:eastAsia="bg-BG"/>
              </w:rPr>
              <w:t>Наранявания и отравяния</w:t>
            </w:r>
          </w:p>
        </w:tc>
      </w:tr>
      <w:tr w:rsidR="00600CB7" w14:paraId="0963E554" w14:textId="77777777" w:rsidTr="00600CB7">
        <w:tc>
          <w:tcPr>
            <w:tcW w:w="1342" w:type="dxa"/>
          </w:tcPr>
          <w:p w14:paraId="63A445AD" w14:textId="77777777" w:rsidR="00C23FAD" w:rsidRDefault="00C23FAD" w:rsidP="00C23FAD"/>
        </w:tc>
        <w:tc>
          <w:tcPr>
            <w:tcW w:w="1388" w:type="dxa"/>
          </w:tcPr>
          <w:p w14:paraId="3011E699" w14:textId="77777777" w:rsidR="00C23FAD" w:rsidRDefault="00C23FAD" w:rsidP="00C23FAD"/>
        </w:tc>
        <w:tc>
          <w:tcPr>
            <w:tcW w:w="2178" w:type="dxa"/>
          </w:tcPr>
          <w:p w14:paraId="39C852E0" w14:textId="31BC7730" w:rsidR="00C23FAD" w:rsidRPr="00600CB7" w:rsidRDefault="00600CB7" w:rsidP="00600CB7">
            <w:pPr>
              <w:rPr>
                <w:sz w:val="24"/>
                <w:szCs w:val="24"/>
              </w:rPr>
            </w:pPr>
            <w:r w:rsidRPr="00600CB7">
              <w:rPr>
                <w:lang w:eastAsia="bg-BG"/>
              </w:rPr>
              <w:t>постпроцедурни усложнения</w:t>
            </w:r>
          </w:p>
        </w:tc>
        <w:tc>
          <w:tcPr>
            <w:tcW w:w="1739" w:type="dxa"/>
          </w:tcPr>
          <w:p w14:paraId="5520264D" w14:textId="77777777" w:rsidR="00C23FAD" w:rsidRDefault="00C23FAD" w:rsidP="00C23FAD"/>
        </w:tc>
        <w:tc>
          <w:tcPr>
            <w:tcW w:w="824" w:type="dxa"/>
          </w:tcPr>
          <w:p w14:paraId="4D6A4A63" w14:textId="77777777" w:rsidR="00C23FAD" w:rsidRDefault="00C23FAD" w:rsidP="00C23FAD"/>
        </w:tc>
        <w:tc>
          <w:tcPr>
            <w:tcW w:w="2105" w:type="dxa"/>
          </w:tcPr>
          <w:p w14:paraId="01B49FD2" w14:textId="77777777" w:rsidR="00C23FAD" w:rsidRDefault="00C23FAD" w:rsidP="00C23FAD"/>
        </w:tc>
      </w:tr>
    </w:tbl>
    <w:p w14:paraId="462D5B1C" w14:textId="77777777" w:rsidR="00600CB7" w:rsidRDefault="00600CB7" w:rsidP="00600CB7">
      <w:pPr>
        <w:spacing w:line="240" w:lineRule="auto"/>
        <w:rPr>
          <w:rFonts w:ascii="Times New Roman" w:eastAsia="Times New Roman" w:hAnsi="Times New Roman" w:cs="Times New Roman"/>
          <w:color w:val="000000"/>
          <w:sz w:val="20"/>
          <w:szCs w:val="20"/>
          <w:lang w:eastAsia="bg-BG"/>
        </w:rPr>
      </w:pPr>
    </w:p>
    <w:p w14:paraId="3E78152F" w14:textId="6812B963" w:rsidR="00600CB7" w:rsidRDefault="00600CB7" w:rsidP="00600CB7">
      <w:pPr>
        <w:spacing w:line="240" w:lineRule="auto"/>
        <w:rPr>
          <w:rFonts w:eastAsia="Times New Roman" w:cs="Arial"/>
          <w:color w:val="000000"/>
          <w:szCs w:val="20"/>
          <w:lang w:eastAsia="bg-BG"/>
        </w:rPr>
      </w:pPr>
      <w:r w:rsidRPr="00600CB7">
        <w:rPr>
          <w:rFonts w:eastAsia="Times New Roman" w:cs="Arial"/>
          <w:color w:val="000000"/>
          <w:szCs w:val="20"/>
          <w:lang w:eastAsia="bg-BG"/>
        </w:rPr>
        <w:t xml:space="preserve">Нежелани реакции, които вероятно са свързани с комплексна профилактика и лечение на </w:t>
      </w:r>
      <w:r w:rsidRPr="00600CB7">
        <w:rPr>
          <w:rFonts w:eastAsia="Times New Roman" w:cs="Arial"/>
          <w:i/>
          <w:iCs/>
          <w:color w:val="000000"/>
          <w:szCs w:val="20"/>
          <w:lang w:val="en-US"/>
        </w:rPr>
        <w:t>Mycobacterium</w:t>
      </w:r>
      <w:r w:rsidRPr="00600CB7">
        <w:rPr>
          <w:rFonts w:eastAsia="Times New Roman" w:cs="Arial"/>
          <w:i/>
          <w:iCs/>
          <w:color w:val="000000"/>
          <w:szCs w:val="20"/>
          <w:lang w:val="ru-RU"/>
        </w:rPr>
        <w:t xml:space="preserve"> </w:t>
      </w:r>
      <w:proofErr w:type="spellStart"/>
      <w:r w:rsidRPr="00600CB7">
        <w:rPr>
          <w:rFonts w:eastAsia="Times New Roman" w:cs="Arial"/>
          <w:i/>
          <w:iCs/>
          <w:color w:val="000000"/>
          <w:szCs w:val="20"/>
          <w:lang w:val="en-US"/>
        </w:rPr>
        <w:t>Avium</w:t>
      </w:r>
      <w:proofErr w:type="spellEnd"/>
      <w:r w:rsidRPr="00600CB7">
        <w:rPr>
          <w:rFonts w:eastAsia="Times New Roman" w:cs="Arial"/>
          <w:color w:val="000000"/>
          <w:szCs w:val="20"/>
          <w:lang w:val="ru-RU"/>
        </w:rPr>
        <w:t xml:space="preserve"> </w:t>
      </w:r>
      <w:r w:rsidRPr="00600CB7">
        <w:rPr>
          <w:rFonts w:eastAsia="Times New Roman" w:cs="Arial"/>
          <w:color w:val="000000"/>
          <w:szCs w:val="20"/>
          <w:lang w:eastAsia="bg-BG"/>
        </w:rPr>
        <w:t>въз основа на опита от клинични изпитвания и постмаркетингово наблюдение. Тези нежелани реакции се различават по вид и честота от нежеланите реакции, съобщавани при приложение на формули с незабавно освобождаване или с удължено освобождаване.</w:t>
      </w:r>
    </w:p>
    <w:p w14:paraId="315F00C1" w14:textId="24ACB445" w:rsidR="00600CB7" w:rsidRDefault="00600CB7" w:rsidP="00600CB7">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92"/>
        <w:gridCol w:w="3192"/>
        <w:gridCol w:w="3192"/>
      </w:tblGrid>
      <w:tr w:rsidR="00600CB7" w14:paraId="4A14C5B6" w14:textId="77777777" w:rsidTr="00600CB7">
        <w:tc>
          <w:tcPr>
            <w:tcW w:w="3192" w:type="dxa"/>
          </w:tcPr>
          <w:p w14:paraId="2A83C48F" w14:textId="0319D485" w:rsidR="00600CB7" w:rsidRPr="00600CB7" w:rsidRDefault="00600CB7" w:rsidP="00600CB7">
            <w:pPr>
              <w:spacing w:line="240" w:lineRule="auto"/>
              <w:rPr>
                <w:rFonts w:eastAsia="Times New Roman" w:cs="Arial"/>
                <w:szCs w:val="24"/>
              </w:rPr>
            </w:pPr>
            <w:r w:rsidRPr="00600CB7">
              <w:rPr>
                <w:b/>
                <w:bCs/>
                <w:szCs w:val="20"/>
              </w:rPr>
              <w:t>Системо-органни класове</w:t>
            </w:r>
          </w:p>
        </w:tc>
        <w:tc>
          <w:tcPr>
            <w:tcW w:w="3192" w:type="dxa"/>
          </w:tcPr>
          <w:p w14:paraId="1C187C51" w14:textId="10FAA74B" w:rsidR="00600CB7" w:rsidRPr="00600CB7" w:rsidRDefault="00600CB7" w:rsidP="00600CB7">
            <w:pPr>
              <w:spacing w:line="240" w:lineRule="auto"/>
              <w:rPr>
                <w:rFonts w:eastAsia="Times New Roman" w:cs="Arial"/>
                <w:szCs w:val="24"/>
              </w:rPr>
            </w:pPr>
            <w:r w:rsidRPr="00600CB7">
              <w:rPr>
                <w:b/>
                <w:bCs/>
                <w:szCs w:val="20"/>
              </w:rPr>
              <w:t>Нежелани реакции</w:t>
            </w:r>
          </w:p>
        </w:tc>
        <w:tc>
          <w:tcPr>
            <w:tcW w:w="3192" w:type="dxa"/>
          </w:tcPr>
          <w:p w14:paraId="7265E526" w14:textId="7AF0ABD5" w:rsidR="00600CB7" w:rsidRPr="00600CB7" w:rsidRDefault="00600CB7" w:rsidP="00600CB7">
            <w:pPr>
              <w:spacing w:line="240" w:lineRule="auto"/>
              <w:rPr>
                <w:rFonts w:eastAsia="Times New Roman" w:cs="Arial"/>
                <w:szCs w:val="24"/>
              </w:rPr>
            </w:pPr>
            <w:r w:rsidRPr="00600CB7">
              <w:rPr>
                <w:b/>
                <w:bCs/>
                <w:szCs w:val="20"/>
              </w:rPr>
              <w:t>Честота</w:t>
            </w:r>
          </w:p>
        </w:tc>
      </w:tr>
      <w:tr w:rsidR="00600CB7" w14:paraId="744E800D" w14:textId="77777777" w:rsidTr="00600CB7">
        <w:tc>
          <w:tcPr>
            <w:tcW w:w="3192" w:type="dxa"/>
            <w:vMerge w:val="restart"/>
          </w:tcPr>
          <w:p w14:paraId="19F1A7F8" w14:textId="2C59C468" w:rsidR="00600CB7" w:rsidRPr="00600CB7" w:rsidRDefault="00600CB7" w:rsidP="00600CB7">
            <w:pPr>
              <w:spacing w:line="240" w:lineRule="auto"/>
              <w:rPr>
                <w:rFonts w:eastAsia="Times New Roman" w:cs="Arial"/>
                <w:szCs w:val="24"/>
              </w:rPr>
            </w:pPr>
            <w:r w:rsidRPr="00600CB7">
              <w:rPr>
                <w:b/>
                <w:bCs/>
                <w:szCs w:val="20"/>
              </w:rPr>
              <w:t>Нарушения на метаболизма и храненето</w:t>
            </w:r>
          </w:p>
        </w:tc>
        <w:tc>
          <w:tcPr>
            <w:tcW w:w="3192" w:type="dxa"/>
          </w:tcPr>
          <w:p w14:paraId="66C58831" w14:textId="0AD09730" w:rsidR="00600CB7" w:rsidRPr="00600CB7" w:rsidRDefault="00600CB7" w:rsidP="00600CB7">
            <w:pPr>
              <w:spacing w:line="240" w:lineRule="auto"/>
              <w:rPr>
                <w:rFonts w:eastAsia="Times New Roman" w:cs="Arial"/>
                <w:szCs w:val="24"/>
              </w:rPr>
            </w:pPr>
            <w:r w:rsidRPr="00600CB7">
              <w:rPr>
                <w:szCs w:val="20"/>
              </w:rPr>
              <w:t>анорексия</w:t>
            </w:r>
          </w:p>
        </w:tc>
        <w:tc>
          <w:tcPr>
            <w:tcW w:w="3192" w:type="dxa"/>
          </w:tcPr>
          <w:p w14:paraId="4306BB5C" w14:textId="7F44B1E6" w:rsidR="00600CB7" w:rsidRPr="00600CB7" w:rsidRDefault="00600CB7" w:rsidP="00600CB7">
            <w:pPr>
              <w:spacing w:line="240" w:lineRule="auto"/>
              <w:rPr>
                <w:rFonts w:eastAsia="Times New Roman" w:cs="Arial"/>
                <w:szCs w:val="24"/>
              </w:rPr>
            </w:pPr>
            <w:r w:rsidRPr="00600CB7">
              <w:rPr>
                <w:szCs w:val="20"/>
              </w:rPr>
              <w:t>чести</w:t>
            </w:r>
          </w:p>
        </w:tc>
      </w:tr>
      <w:tr w:rsidR="00600CB7" w14:paraId="06CCBEB4" w14:textId="77777777" w:rsidTr="00600CB7">
        <w:tc>
          <w:tcPr>
            <w:tcW w:w="3192" w:type="dxa"/>
            <w:vMerge/>
          </w:tcPr>
          <w:p w14:paraId="02936571" w14:textId="77777777" w:rsidR="00600CB7" w:rsidRPr="00600CB7" w:rsidRDefault="00600CB7" w:rsidP="00600CB7">
            <w:pPr>
              <w:spacing w:line="240" w:lineRule="auto"/>
              <w:rPr>
                <w:rFonts w:eastAsia="Times New Roman" w:cs="Arial"/>
                <w:szCs w:val="24"/>
              </w:rPr>
            </w:pPr>
          </w:p>
        </w:tc>
        <w:tc>
          <w:tcPr>
            <w:tcW w:w="3192" w:type="dxa"/>
          </w:tcPr>
          <w:p w14:paraId="6BA7571F" w14:textId="77777777" w:rsidR="00600CB7" w:rsidRPr="00600CB7" w:rsidRDefault="00600CB7" w:rsidP="00600CB7">
            <w:pPr>
              <w:spacing w:line="240" w:lineRule="auto"/>
              <w:rPr>
                <w:rFonts w:eastAsia="Times New Roman" w:cs="Arial"/>
                <w:szCs w:val="24"/>
              </w:rPr>
            </w:pPr>
          </w:p>
        </w:tc>
        <w:tc>
          <w:tcPr>
            <w:tcW w:w="3192" w:type="dxa"/>
          </w:tcPr>
          <w:p w14:paraId="0DC62D83" w14:textId="77777777" w:rsidR="00600CB7" w:rsidRPr="00600CB7" w:rsidRDefault="00600CB7" w:rsidP="00600CB7">
            <w:pPr>
              <w:spacing w:line="240" w:lineRule="auto"/>
              <w:rPr>
                <w:rFonts w:eastAsia="Times New Roman" w:cs="Arial"/>
                <w:szCs w:val="24"/>
              </w:rPr>
            </w:pPr>
          </w:p>
        </w:tc>
      </w:tr>
      <w:tr w:rsidR="00600CB7" w14:paraId="2994E55E" w14:textId="77777777" w:rsidTr="00600CB7">
        <w:tc>
          <w:tcPr>
            <w:tcW w:w="3192" w:type="dxa"/>
            <w:vMerge w:val="restart"/>
          </w:tcPr>
          <w:p w14:paraId="77BCB722" w14:textId="0969BDDE" w:rsidR="00600CB7" w:rsidRPr="00600CB7" w:rsidRDefault="00600CB7" w:rsidP="00600CB7">
            <w:pPr>
              <w:spacing w:line="240" w:lineRule="auto"/>
              <w:rPr>
                <w:rFonts w:eastAsia="Times New Roman" w:cs="Arial"/>
                <w:szCs w:val="24"/>
              </w:rPr>
            </w:pPr>
            <w:r w:rsidRPr="00600CB7">
              <w:rPr>
                <w:b/>
                <w:bCs/>
                <w:szCs w:val="20"/>
              </w:rPr>
              <w:t>Нарушения на нервната система</w:t>
            </w:r>
          </w:p>
        </w:tc>
        <w:tc>
          <w:tcPr>
            <w:tcW w:w="3192" w:type="dxa"/>
          </w:tcPr>
          <w:p w14:paraId="1DCA98F3" w14:textId="38A5A41F" w:rsidR="00600CB7" w:rsidRPr="00600CB7" w:rsidRDefault="00600CB7" w:rsidP="00600CB7">
            <w:pPr>
              <w:spacing w:line="240" w:lineRule="auto"/>
              <w:rPr>
                <w:rFonts w:eastAsia="Times New Roman" w:cs="Arial"/>
                <w:szCs w:val="24"/>
              </w:rPr>
            </w:pPr>
            <w:r w:rsidRPr="00600CB7">
              <w:rPr>
                <w:szCs w:val="20"/>
              </w:rPr>
              <w:t>замайване, главоболие, парестезия, дисгеузия</w:t>
            </w:r>
          </w:p>
        </w:tc>
        <w:tc>
          <w:tcPr>
            <w:tcW w:w="3192" w:type="dxa"/>
          </w:tcPr>
          <w:p w14:paraId="005A7707" w14:textId="45961520" w:rsidR="00600CB7" w:rsidRPr="00600CB7" w:rsidRDefault="00600CB7" w:rsidP="00600CB7">
            <w:pPr>
              <w:spacing w:line="240" w:lineRule="auto"/>
              <w:rPr>
                <w:rFonts w:eastAsia="Times New Roman" w:cs="Arial"/>
                <w:szCs w:val="24"/>
              </w:rPr>
            </w:pPr>
            <w:r w:rsidRPr="00600CB7">
              <w:rPr>
                <w:szCs w:val="20"/>
              </w:rPr>
              <w:t>чести</w:t>
            </w:r>
          </w:p>
        </w:tc>
      </w:tr>
      <w:tr w:rsidR="00600CB7" w14:paraId="18508A26" w14:textId="77777777" w:rsidTr="00600CB7">
        <w:tc>
          <w:tcPr>
            <w:tcW w:w="3192" w:type="dxa"/>
            <w:vMerge/>
          </w:tcPr>
          <w:p w14:paraId="503005DD" w14:textId="77777777" w:rsidR="00600CB7" w:rsidRPr="00600CB7" w:rsidRDefault="00600CB7" w:rsidP="00600CB7">
            <w:pPr>
              <w:spacing w:line="240" w:lineRule="auto"/>
              <w:rPr>
                <w:rFonts w:eastAsia="Times New Roman" w:cs="Arial"/>
                <w:szCs w:val="24"/>
              </w:rPr>
            </w:pPr>
          </w:p>
        </w:tc>
        <w:tc>
          <w:tcPr>
            <w:tcW w:w="3192" w:type="dxa"/>
          </w:tcPr>
          <w:p w14:paraId="5D5DD8C8" w14:textId="29B53AA1" w:rsidR="00600CB7" w:rsidRPr="00600CB7" w:rsidRDefault="00600CB7" w:rsidP="00600CB7">
            <w:pPr>
              <w:spacing w:line="240" w:lineRule="auto"/>
              <w:rPr>
                <w:rFonts w:eastAsia="Times New Roman" w:cs="Arial"/>
                <w:szCs w:val="24"/>
              </w:rPr>
            </w:pPr>
            <w:r w:rsidRPr="00600CB7">
              <w:rPr>
                <w:szCs w:val="20"/>
              </w:rPr>
              <w:t>хипоестезия</w:t>
            </w:r>
          </w:p>
        </w:tc>
        <w:tc>
          <w:tcPr>
            <w:tcW w:w="3192" w:type="dxa"/>
          </w:tcPr>
          <w:p w14:paraId="74526744" w14:textId="2896E956" w:rsidR="00600CB7" w:rsidRPr="00600CB7" w:rsidRDefault="00600CB7" w:rsidP="00600CB7">
            <w:pPr>
              <w:spacing w:line="240" w:lineRule="auto"/>
              <w:rPr>
                <w:rFonts w:eastAsia="Times New Roman" w:cs="Arial"/>
                <w:szCs w:val="24"/>
              </w:rPr>
            </w:pPr>
            <w:r w:rsidRPr="00600CB7">
              <w:rPr>
                <w:szCs w:val="20"/>
              </w:rPr>
              <w:t>нечести</w:t>
            </w:r>
          </w:p>
        </w:tc>
      </w:tr>
      <w:tr w:rsidR="00600CB7" w14:paraId="7D8F2D0E" w14:textId="77777777" w:rsidTr="00600CB7">
        <w:tc>
          <w:tcPr>
            <w:tcW w:w="3192" w:type="dxa"/>
          </w:tcPr>
          <w:p w14:paraId="64D0A3C0" w14:textId="40826095" w:rsidR="00600CB7" w:rsidRPr="00600CB7" w:rsidRDefault="00600CB7" w:rsidP="00600CB7">
            <w:pPr>
              <w:spacing w:line="240" w:lineRule="auto"/>
              <w:rPr>
                <w:rFonts w:eastAsia="Times New Roman" w:cs="Arial"/>
                <w:szCs w:val="24"/>
              </w:rPr>
            </w:pPr>
            <w:r w:rsidRPr="00600CB7">
              <w:rPr>
                <w:b/>
                <w:bCs/>
                <w:szCs w:val="20"/>
              </w:rPr>
              <w:t>Нарушения на очите</w:t>
            </w:r>
          </w:p>
        </w:tc>
        <w:tc>
          <w:tcPr>
            <w:tcW w:w="3192" w:type="dxa"/>
          </w:tcPr>
          <w:p w14:paraId="3326F5AF" w14:textId="64C013E3" w:rsidR="00600CB7" w:rsidRPr="00600CB7" w:rsidRDefault="00600CB7" w:rsidP="00600CB7">
            <w:pPr>
              <w:spacing w:line="240" w:lineRule="auto"/>
              <w:rPr>
                <w:rFonts w:eastAsia="Times New Roman" w:cs="Arial"/>
                <w:szCs w:val="24"/>
              </w:rPr>
            </w:pPr>
            <w:r w:rsidRPr="00600CB7">
              <w:rPr>
                <w:szCs w:val="20"/>
              </w:rPr>
              <w:t>зрителни нарушения</w:t>
            </w:r>
          </w:p>
        </w:tc>
        <w:tc>
          <w:tcPr>
            <w:tcW w:w="3192" w:type="dxa"/>
          </w:tcPr>
          <w:p w14:paraId="78AC1ADB" w14:textId="37C7CA8D" w:rsidR="00600CB7" w:rsidRPr="00600CB7" w:rsidRDefault="00600CB7" w:rsidP="00600CB7">
            <w:pPr>
              <w:spacing w:line="240" w:lineRule="auto"/>
              <w:rPr>
                <w:rFonts w:eastAsia="Times New Roman" w:cs="Arial"/>
                <w:szCs w:val="24"/>
              </w:rPr>
            </w:pPr>
            <w:r w:rsidRPr="00600CB7">
              <w:rPr>
                <w:szCs w:val="20"/>
              </w:rPr>
              <w:t>чести</w:t>
            </w:r>
          </w:p>
        </w:tc>
      </w:tr>
      <w:tr w:rsidR="00600CB7" w14:paraId="7E5876D9" w14:textId="77777777" w:rsidTr="00600CB7">
        <w:tc>
          <w:tcPr>
            <w:tcW w:w="3192" w:type="dxa"/>
            <w:vMerge w:val="restart"/>
          </w:tcPr>
          <w:p w14:paraId="78C068B2" w14:textId="06B249F5" w:rsidR="00600CB7" w:rsidRPr="00600CB7" w:rsidRDefault="00600CB7" w:rsidP="00600CB7">
            <w:pPr>
              <w:spacing w:line="240" w:lineRule="auto"/>
              <w:rPr>
                <w:rFonts w:eastAsia="Times New Roman" w:cs="Arial"/>
                <w:szCs w:val="24"/>
              </w:rPr>
            </w:pPr>
            <w:r w:rsidRPr="00600CB7">
              <w:rPr>
                <w:b/>
                <w:bCs/>
                <w:szCs w:val="20"/>
              </w:rPr>
              <w:t>Нарушения на ухото и лабиринта</w:t>
            </w:r>
          </w:p>
        </w:tc>
        <w:tc>
          <w:tcPr>
            <w:tcW w:w="3192" w:type="dxa"/>
          </w:tcPr>
          <w:p w14:paraId="087D6330" w14:textId="00CC0177" w:rsidR="00600CB7" w:rsidRPr="00600CB7" w:rsidRDefault="00600CB7" w:rsidP="00600CB7">
            <w:pPr>
              <w:spacing w:line="240" w:lineRule="auto"/>
              <w:rPr>
                <w:rFonts w:eastAsia="Times New Roman" w:cs="Arial"/>
                <w:szCs w:val="24"/>
              </w:rPr>
            </w:pPr>
            <w:r w:rsidRPr="00600CB7">
              <w:rPr>
                <w:szCs w:val="20"/>
              </w:rPr>
              <w:t>глухота</w:t>
            </w:r>
          </w:p>
        </w:tc>
        <w:tc>
          <w:tcPr>
            <w:tcW w:w="3192" w:type="dxa"/>
          </w:tcPr>
          <w:p w14:paraId="4D52D8EA" w14:textId="2D60F452" w:rsidR="00600CB7" w:rsidRPr="00600CB7" w:rsidRDefault="00600CB7" w:rsidP="00600CB7">
            <w:pPr>
              <w:spacing w:line="240" w:lineRule="auto"/>
              <w:rPr>
                <w:rFonts w:eastAsia="Times New Roman" w:cs="Arial"/>
                <w:szCs w:val="24"/>
              </w:rPr>
            </w:pPr>
            <w:r w:rsidRPr="00600CB7">
              <w:rPr>
                <w:szCs w:val="20"/>
              </w:rPr>
              <w:t>чести</w:t>
            </w:r>
          </w:p>
        </w:tc>
      </w:tr>
      <w:tr w:rsidR="00600CB7" w14:paraId="4DE95A45" w14:textId="77777777" w:rsidTr="00600CB7">
        <w:tc>
          <w:tcPr>
            <w:tcW w:w="3192" w:type="dxa"/>
            <w:vMerge/>
          </w:tcPr>
          <w:p w14:paraId="22D46DFA" w14:textId="77777777" w:rsidR="00600CB7" w:rsidRPr="00600CB7" w:rsidRDefault="00600CB7" w:rsidP="00600CB7">
            <w:pPr>
              <w:spacing w:line="240" w:lineRule="auto"/>
              <w:rPr>
                <w:rFonts w:eastAsia="Times New Roman" w:cs="Arial"/>
                <w:szCs w:val="24"/>
              </w:rPr>
            </w:pPr>
          </w:p>
        </w:tc>
        <w:tc>
          <w:tcPr>
            <w:tcW w:w="3192" w:type="dxa"/>
          </w:tcPr>
          <w:p w14:paraId="4A8BCF22" w14:textId="7B89A934" w:rsidR="00600CB7" w:rsidRPr="00600CB7" w:rsidRDefault="00600CB7" w:rsidP="00600CB7">
            <w:pPr>
              <w:spacing w:line="240" w:lineRule="auto"/>
              <w:rPr>
                <w:rFonts w:eastAsia="Times New Roman" w:cs="Arial"/>
                <w:szCs w:val="24"/>
              </w:rPr>
            </w:pPr>
            <w:r w:rsidRPr="00600CB7">
              <w:rPr>
                <w:szCs w:val="20"/>
              </w:rPr>
              <w:t>увреден слух, шум в ушите</w:t>
            </w:r>
          </w:p>
        </w:tc>
        <w:tc>
          <w:tcPr>
            <w:tcW w:w="3192" w:type="dxa"/>
          </w:tcPr>
          <w:p w14:paraId="709637D8" w14:textId="6B2D3D2A" w:rsidR="00600CB7" w:rsidRPr="00600CB7" w:rsidRDefault="00600CB7" w:rsidP="00600CB7">
            <w:pPr>
              <w:spacing w:line="240" w:lineRule="auto"/>
              <w:rPr>
                <w:rFonts w:eastAsia="Times New Roman" w:cs="Arial"/>
                <w:szCs w:val="24"/>
              </w:rPr>
            </w:pPr>
            <w:r w:rsidRPr="00600CB7">
              <w:rPr>
                <w:szCs w:val="20"/>
              </w:rPr>
              <w:t>нечести</w:t>
            </w:r>
          </w:p>
        </w:tc>
      </w:tr>
      <w:tr w:rsidR="00600CB7" w14:paraId="02BDC35A" w14:textId="77777777" w:rsidTr="00600CB7">
        <w:tc>
          <w:tcPr>
            <w:tcW w:w="3192" w:type="dxa"/>
          </w:tcPr>
          <w:p w14:paraId="0C38EC33" w14:textId="2F4F91CF" w:rsidR="00600CB7" w:rsidRPr="00600CB7" w:rsidRDefault="00600CB7" w:rsidP="00600CB7">
            <w:pPr>
              <w:spacing w:line="240" w:lineRule="auto"/>
              <w:rPr>
                <w:rFonts w:eastAsia="Times New Roman" w:cs="Arial"/>
                <w:szCs w:val="24"/>
              </w:rPr>
            </w:pPr>
            <w:r w:rsidRPr="00600CB7">
              <w:rPr>
                <w:b/>
                <w:bCs/>
                <w:szCs w:val="20"/>
              </w:rPr>
              <w:t>Сърдечни нарушения</w:t>
            </w:r>
          </w:p>
        </w:tc>
        <w:tc>
          <w:tcPr>
            <w:tcW w:w="3192" w:type="dxa"/>
          </w:tcPr>
          <w:p w14:paraId="7ECA1FEA" w14:textId="1A997E1B" w:rsidR="00600CB7" w:rsidRPr="00600CB7" w:rsidRDefault="00600CB7" w:rsidP="00600CB7">
            <w:pPr>
              <w:spacing w:line="240" w:lineRule="auto"/>
              <w:rPr>
                <w:rFonts w:eastAsia="Times New Roman" w:cs="Arial"/>
                <w:szCs w:val="24"/>
              </w:rPr>
            </w:pPr>
            <w:r w:rsidRPr="00600CB7">
              <w:rPr>
                <w:szCs w:val="20"/>
              </w:rPr>
              <w:t>палпитации</w:t>
            </w:r>
          </w:p>
        </w:tc>
        <w:tc>
          <w:tcPr>
            <w:tcW w:w="3192" w:type="dxa"/>
          </w:tcPr>
          <w:p w14:paraId="2B374779" w14:textId="0D879C5E" w:rsidR="00600CB7" w:rsidRPr="00600CB7" w:rsidRDefault="00600CB7" w:rsidP="00600CB7">
            <w:pPr>
              <w:spacing w:line="240" w:lineRule="auto"/>
              <w:rPr>
                <w:rFonts w:eastAsia="Times New Roman" w:cs="Arial"/>
                <w:szCs w:val="24"/>
              </w:rPr>
            </w:pPr>
            <w:r w:rsidRPr="00600CB7">
              <w:rPr>
                <w:szCs w:val="20"/>
              </w:rPr>
              <w:t>нечести</w:t>
            </w:r>
          </w:p>
        </w:tc>
      </w:tr>
      <w:tr w:rsidR="00600CB7" w14:paraId="6A4B7491" w14:textId="77777777" w:rsidTr="00600CB7">
        <w:tc>
          <w:tcPr>
            <w:tcW w:w="3192" w:type="dxa"/>
          </w:tcPr>
          <w:p w14:paraId="44FC17BB" w14:textId="26866B5C" w:rsidR="00600CB7" w:rsidRPr="00600CB7" w:rsidRDefault="00600CB7" w:rsidP="00600CB7">
            <w:pPr>
              <w:spacing w:line="240" w:lineRule="auto"/>
              <w:rPr>
                <w:rFonts w:eastAsia="Times New Roman" w:cs="Arial"/>
                <w:szCs w:val="24"/>
              </w:rPr>
            </w:pPr>
            <w:r w:rsidRPr="00600CB7">
              <w:rPr>
                <w:b/>
                <w:bCs/>
                <w:szCs w:val="20"/>
              </w:rPr>
              <w:t>Стомашно-чревни нарушения</w:t>
            </w:r>
          </w:p>
        </w:tc>
        <w:tc>
          <w:tcPr>
            <w:tcW w:w="3192" w:type="dxa"/>
          </w:tcPr>
          <w:p w14:paraId="16273815" w14:textId="0DD17E85" w:rsidR="00600CB7" w:rsidRPr="00600CB7" w:rsidRDefault="00600CB7" w:rsidP="00600CB7">
            <w:pPr>
              <w:spacing w:line="240" w:lineRule="auto"/>
              <w:rPr>
                <w:rFonts w:eastAsia="Times New Roman" w:cs="Arial"/>
                <w:szCs w:val="24"/>
              </w:rPr>
            </w:pPr>
            <w:r w:rsidRPr="00600CB7">
              <w:rPr>
                <w:szCs w:val="20"/>
              </w:rPr>
              <w:t>диария, болки в коремната област, гадене, флатуленция, дискомфорт в коремната област, редки изпражнения</w:t>
            </w:r>
          </w:p>
        </w:tc>
        <w:tc>
          <w:tcPr>
            <w:tcW w:w="3192" w:type="dxa"/>
          </w:tcPr>
          <w:p w14:paraId="799F2B42" w14:textId="38EF5C7B" w:rsidR="00600CB7" w:rsidRPr="00600CB7" w:rsidRDefault="00600CB7" w:rsidP="00600CB7">
            <w:pPr>
              <w:spacing w:line="240" w:lineRule="auto"/>
              <w:rPr>
                <w:rFonts w:eastAsia="Times New Roman" w:cs="Arial"/>
                <w:szCs w:val="24"/>
              </w:rPr>
            </w:pPr>
            <w:r w:rsidRPr="00600CB7">
              <w:rPr>
                <w:szCs w:val="20"/>
              </w:rPr>
              <w:t>много чести</w:t>
            </w:r>
          </w:p>
        </w:tc>
      </w:tr>
      <w:tr w:rsidR="00600CB7" w14:paraId="0A039C0B" w14:textId="77777777" w:rsidTr="00600CB7">
        <w:tc>
          <w:tcPr>
            <w:tcW w:w="3192" w:type="dxa"/>
          </w:tcPr>
          <w:p w14:paraId="6BC3C699" w14:textId="51BB9BF2" w:rsidR="00600CB7" w:rsidRPr="00600CB7" w:rsidRDefault="00600CB7" w:rsidP="00600CB7">
            <w:pPr>
              <w:spacing w:line="240" w:lineRule="auto"/>
              <w:rPr>
                <w:rFonts w:eastAsia="Times New Roman" w:cs="Arial"/>
                <w:szCs w:val="24"/>
              </w:rPr>
            </w:pPr>
            <w:r w:rsidRPr="00600CB7">
              <w:rPr>
                <w:b/>
                <w:bCs/>
                <w:szCs w:val="20"/>
              </w:rPr>
              <w:t>Хепатобилиарни нарушения</w:t>
            </w:r>
          </w:p>
        </w:tc>
        <w:tc>
          <w:tcPr>
            <w:tcW w:w="3192" w:type="dxa"/>
          </w:tcPr>
          <w:p w14:paraId="50A6D950" w14:textId="255A74C6" w:rsidR="00600CB7" w:rsidRPr="00600CB7" w:rsidRDefault="00600CB7" w:rsidP="00600CB7">
            <w:pPr>
              <w:spacing w:line="240" w:lineRule="auto"/>
              <w:rPr>
                <w:rFonts w:eastAsia="Times New Roman" w:cs="Arial"/>
                <w:szCs w:val="24"/>
              </w:rPr>
            </w:pPr>
            <w:r w:rsidRPr="00600CB7">
              <w:rPr>
                <w:szCs w:val="20"/>
              </w:rPr>
              <w:t>хепатит</w:t>
            </w:r>
          </w:p>
        </w:tc>
        <w:tc>
          <w:tcPr>
            <w:tcW w:w="3192" w:type="dxa"/>
          </w:tcPr>
          <w:p w14:paraId="2BEBA41C" w14:textId="1A3E8BF3" w:rsidR="00600CB7" w:rsidRPr="00600CB7" w:rsidRDefault="00600CB7" w:rsidP="00600CB7">
            <w:pPr>
              <w:spacing w:line="240" w:lineRule="auto"/>
              <w:rPr>
                <w:rFonts w:eastAsia="Times New Roman" w:cs="Arial"/>
                <w:szCs w:val="24"/>
              </w:rPr>
            </w:pPr>
            <w:r w:rsidRPr="00600CB7">
              <w:rPr>
                <w:szCs w:val="20"/>
              </w:rPr>
              <w:t>нечести</w:t>
            </w:r>
          </w:p>
        </w:tc>
      </w:tr>
      <w:tr w:rsidR="00600CB7" w14:paraId="2D3E8FAB" w14:textId="77777777" w:rsidTr="00600CB7">
        <w:tc>
          <w:tcPr>
            <w:tcW w:w="3192" w:type="dxa"/>
            <w:vMerge w:val="restart"/>
          </w:tcPr>
          <w:p w14:paraId="47860B9E" w14:textId="6C8BAFB5" w:rsidR="00600CB7" w:rsidRPr="00600CB7" w:rsidRDefault="00600CB7" w:rsidP="00600CB7">
            <w:pPr>
              <w:spacing w:line="240" w:lineRule="auto"/>
              <w:rPr>
                <w:rFonts w:eastAsia="Times New Roman" w:cs="Arial"/>
                <w:szCs w:val="24"/>
              </w:rPr>
            </w:pPr>
            <w:r w:rsidRPr="00600CB7">
              <w:rPr>
                <w:b/>
                <w:bCs/>
                <w:szCs w:val="20"/>
              </w:rPr>
              <w:t>Нарушения на кожата и подкожната тъкан</w:t>
            </w:r>
          </w:p>
        </w:tc>
        <w:tc>
          <w:tcPr>
            <w:tcW w:w="3192" w:type="dxa"/>
          </w:tcPr>
          <w:p w14:paraId="7C787A05" w14:textId="45E0A911" w:rsidR="00600CB7" w:rsidRPr="00600CB7" w:rsidRDefault="00600CB7" w:rsidP="00600CB7">
            <w:pPr>
              <w:spacing w:line="240" w:lineRule="auto"/>
              <w:rPr>
                <w:rFonts w:eastAsia="Times New Roman" w:cs="Arial"/>
                <w:szCs w:val="24"/>
              </w:rPr>
            </w:pPr>
            <w:r w:rsidRPr="00600CB7">
              <w:rPr>
                <w:szCs w:val="20"/>
              </w:rPr>
              <w:t>обрив, пруритус</w:t>
            </w:r>
          </w:p>
        </w:tc>
        <w:tc>
          <w:tcPr>
            <w:tcW w:w="3192" w:type="dxa"/>
          </w:tcPr>
          <w:p w14:paraId="34EE18EA" w14:textId="56C2C3D2" w:rsidR="00600CB7" w:rsidRPr="00600CB7" w:rsidRDefault="00600CB7" w:rsidP="00600CB7">
            <w:pPr>
              <w:spacing w:line="240" w:lineRule="auto"/>
              <w:rPr>
                <w:rFonts w:eastAsia="Times New Roman" w:cs="Arial"/>
                <w:szCs w:val="24"/>
              </w:rPr>
            </w:pPr>
            <w:r w:rsidRPr="00600CB7">
              <w:rPr>
                <w:szCs w:val="20"/>
              </w:rPr>
              <w:t>чести</w:t>
            </w:r>
          </w:p>
        </w:tc>
      </w:tr>
      <w:tr w:rsidR="00600CB7" w14:paraId="42C53265" w14:textId="77777777" w:rsidTr="00600CB7">
        <w:tc>
          <w:tcPr>
            <w:tcW w:w="3192" w:type="dxa"/>
            <w:vMerge/>
          </w:tcPr>
          <w:p w14:paraId="541A519C" w14:textId="77777777" w:rsidR="00600CB7" w:rsidRPr="00600CB7" w:rsidRDefault="00600CB7" w:rsidP="00600CB7">
            <w:pPr>
              <w:spacing w:line="240" w:lineRule="auto"/>
              <w:rPr>
                <w:rFonts w:eastAsia="Times New Roman" w:cs="Arial"/>
                <w:szCs w:val="24"/>
              </w:rPr>
            </w:pPr>
          </w:p>
        </w:tc>
        <w:tc>
          <w:tcPr>
            <w:tcW w:w="3192" w:type="dxa"/>
          </w:tcPr>
          <w:p w14:paraId="10B9BA3F" w14:textId="08DF368B" w:rsidR="00600CB7" w:rsidRPr="00600CB7" w:rsidRDefault="00600CB7" w:rsidP="00600CB7">
            <w:pPr>
              <w:spacing w:line="240" w:lineRule="auto"/>
              <w:rPr>
                <w:rFonts w:eastAsia="Times New Roman" w:cs="Arial"/>
                <w:szCs w:val="24"/>
              </w:rPr>
            </w:pPr>
            <w:r w:rsidRPr="00600CB7">
              <w:rPr>
                <w:szCs w:val="20"/>
              </w:rPr>
              <w:t>синдром на Стивънс-Джонсън, реакции на свръхчувствителност</w:t>
            </w:r>
          </w:p>
        </w:tc>
        <w:tc>
          <w:tcPr>
            <w:tcW w:w="3192" w:type="dxa"/>
          </w:tcPr>
          <w:p w14:paraId="402ABDEE" w14:textId="763C3182" w:rsidR="00600CB7" w:rsidRPr="00600CB7" w:rsidRDefault="00600CB7" w:rsidP="00600CB7">
            <w:pPr>
              <w:spacing w:line="240" w:lineRule="auto"/>
              <w:rPr>
                <w:rFonts w:eastAsia="Times New Roman" w:cs="Arial"/>
                <w:szCs w:val="24"/>
              </w:rPr>
            </w:pPr>
            <w:r w:rsidRPr="00600CB7">
              <w:rPr>
                <w:szCs w:val="20"/>
              </w:rPr>
              <w:t>нечести</w:t>
            </w:r>
          </w:p>
        </w:tc>
      </w:tr>
      <w:tr w:rsidR="00600CB7" w14:paraId="43617AA7" w14:textId="77777777" w:rsidTr="00600CB7">
        <w:tc>
          <w:tcPr>
            <w:tcW w:w="3192" w:type="dxa"/>
          </w:tcPr>
          <w:p w14:paraId="222B2BDA" w14:textId="27E91C7D" w:rsidR="00600CB7" w:rsidRPr="00600CB7" w:rsidRDefault="00600CB7" w:rsidP="00600CB7">
            <w:pPr>
              <w:spacing w:line="240" w:lineRule="auto"/>
              <w:rPr>
                <w:rFonts w:eastAsia="Times New Roman" w:cs="Arial"/>
                <w:szCs w:val="24"/>
              </w:rPr>
            </w:pPr>
            <w:r w:rsidRPr="00600CB7">
              <w:rPr>
                <w:b/>
                <w:bCs/>
                <w:szCs w:val="20"/>
              </w:rPr>
              <w:t>Нарушения на мускулно- скелетната система и съединителната тъкан</w:t>
            </w:r>
          </w:p>
        </w:tc>
        <w:tc>
          <w:tcPr>
            <w:tcW w:w="3192" w:type="dxa"/>
          </w:tcPr>
          <w:p w14:paraId="6D3E17E5" w14:textId="34F6A680" w:rsidR="00600CB7" w:rsidRPr="00600CB7" w:rsidRDefault="00600CB7" w:rsidP="00600CB7">
            <w:pPr>
              <w:spacing w:line="240" w:lineRule="auto"/>
              <w:rPr>
                <w:rFonts w:eastAsia="Times New Roman" w:cs="Arial"/>
                <w:szCs w:val="24"/>
              </w:rPr>
            </w:pPr>
            <w:r w:rsidRPr="00600CB7">
              <w:rPr>
                <w:szCs w:val="20"/>
              </w:rPr>
              <w:t>артралгия</w:t>
            </w:r>
          </w:p>
        </w:tc>
        <w:tc>
          <w:tcPr>
            <w:tcW w:w="3192" w:type="dxa"/>
          </w:tcPr>
          <w:p w14:paraId="022793E5" w14:textId="755E5417" w:rsidR="00600CB7" w:rsidRPr="00600CB7" w:rsidRDefault="00600CB7" w:rsidP="00600CB7">
            <w:pPr>
              <w:spacing w:line="240" w:lineRule="auto"/>
              <w:rPr>
                <w:rFonts w:eastAsia="Times New Roman" w:cs="Arial"/>
                <w:szCs w:val="24"/>
              </w:rPr>
            </w:pPr>
            <w:r w:rsidRPr="00600CB7">
              <w:rPr>
                <w:szCs w:val="20"/>
              </w:rPr>
              <w:t>чести</w:t>
            </w:r>
          </w:p>
        </w:tc>
      </w:tr>
      <w:tr w:rsidR="00600CB7" w14:paraId="1428409D" w14:textId="77777777" w:rsidTr="00600CB7">
        <w:tc>
          <w:tcPr>
            <w:tcW w:w="3192" w:type="dxa"/>
            <w:vMerge w:val="restart"/>
          </w:tcPr>
          <w:p w14:paraId="0DAB36EF" w14:textId="3ECCDD28" w:rsidR="00600CB7" w:rsidRPr="00600CB7" w:rsidRDefault="00600CB7" w:rsidP="00600CB7">
            <w:pPr>
              <w:spacing w:line="240" w:lineRule="auto"/>
              <w:rPr>
                <w:rFonts w:eastAsia="Times New Roman" w:cs="Arial"/>
                <w:szCs w:val="24"/>
              </w:rPr>
            </w:pPr>
            <w:r w:rsidRPr="00600CB7">
              <w:rPr>
                <w:b/>
                <w:bCs/>
                <w:szCs w:val="20"/>
              </w:rPr>
              <w:t>Общи нарушения и ефекти на мястото на приложение</w:t>
            </w:r>
          </w:p>
        </w:tc>
        <w:tc>
          <w:tcPr>
            <w:tcW w:w="3192" w:type="dxa"/>
          </w:tcPr>
          <w:p w14:paraId="7C672645" w14:textId="544D2976" w:rsidR="00600CB7" w:rsidRPr="00600CB7" w:rsidRDefault="00600CB7" w:rsidP="00600CB7">
            <w:pPr>
              <w:spacing w:line="240" w:lineRule="auto"/>
              <w:rPr>
                <w:rFonts w:eastAsia="Times New Roman" w:cs="Arial"/>
                <w:szCs w:val="24"/>
              </w:rPr>
            </w:pPr>
            <w:r w:rsidRPr="00600CB7">
              <w:rPr>
                <w:szCs w:val="20"/>
              </w:rPr>
              <w:t>умора</w:t>
            </w:r>
          </w:p>
        </w:tc>
        <w:tc>
          <w:tcPr>
            <w:tcW w:w="3192" w:type="dxa"/>
          </w:tcPr>
          <w:p w14:paraId="1C340ECB" w14:textId="2F3C7D38" w:rsidR="00600CB7" w:rsidRPr="00600CB7" w:rsidRDefault="00600CB7" w:rsidP="00600CB7">
            <w:pPr>
              <w:spacing w:line="240" w:lineRule="auto"/>
              <w:rPr>
                <w:rFonts w:eastAsia="Times New Roman" w:cs="Arial"/>
                <w:szCs w:val="24"/>
              </w:rPr>
            </w:pPr>
            <w:r w:rsidRPr="00600CB7">
              <w:rPr>
                <w:szCs w:val="20"/>
              </w:rPr>
              <w:t>чести</w:t>
            </w:r>
          </w:p>
        </w:tc>
      </w:tr>
      <w:tr w:rsidR="00600CB7" w14:paraId="4DB19152" w14:textId="77777777" w:rsidTr="00600CB7">
        <w:tc>
          <w:tcPr>
            <w:tcW w:w="3192" w:type="dxa"/>
            <w:vMerge/>
          </w:tcPr>
          <w:p w14:paraId="674389B8" w14:textId="77777777" w:rsidR="00600CB7" w:rsidRPr="00600CB7" w:rsidRDefault="00600CB7" w:rsidP="00600CB7">
            <w:pPr>
              <w:spacing w:line="240" w:lineRule="auto"/>
              <w:rPr>
                <w:rFonts w:eastAsia="Times New Roman" w:cs="Arial"/>
                <w:szCs w:val="24"/>
              </w:rPr>
            </w:pPr>
          </w:p>
        </w:tc>
        <w:tc>
          <w:tcPr>
            <w:tcW w:w="3192" w:type="dxa"/>
          </w:tcPr>
          <w:p w14:paraId="25074B03" w14:textId="3E9C8FA8" w:rsidR="00600CB7" w:rsidRPr="00600CB7" w:rsidRDefault="00600CB7" w:rsidP="00600CB7">
            <w:pPr>
              <w:spacing w:line="240" w:lineRule="auto"/>
              <w:rPr>
                <w:rFonts w:eastAsia="Times New Roman" w:cs="Arial"/>
                <w:szCs w:val="24"/>
              </w:rPr>
            </w:pPr>
            <w:r w:rsidRPr="00600CB7">
              <w:rPr>
                <w:szCs w:val="20"/>
              </w:rPr>
              <w:t>астения, неразположение</w:t>
            </w:r>
          </w:p>
        </w:tc>
        <w:tc>
          <w:tcPr>
            <w:tcW w:w="3192" w:type="dxa"/>
          </w:tcPr>
          <w:p w14:paraId="23D56C89" w14:textId="173FF05B" w:rsidR="00600CB7" w:rsidRPr="00600CB7" w:rsidRDefault="00600CB7" w:rsidP="00600CB7">
            <w:pPr>
              <w:spacing w:line="240" w:lineRule="auto"/>
              <w:rPr>
                <w:rFonts w:eastAsia="Times New Roman" w:cs="Arial"/>
                <w:szCs w:val="24"/>
              </w:rPr>
            </w:pPr>
            <w:r w:rsidRPr="00600CB7">
              <w:rPr>
                <w:szCs w:val="20"/>
              </w:rPr>
              <w:t>нечести</w:t>
            </w:r>
          </w:p>
        </w:tc>
      </w:tr>
    </w:tbl>
    <w:p w14:paraId="108C91D6" w14:textId="77777777" w:rsidR="00600CB7" w:rsidRPr="00600CB7" w:rsidRDefault="00600CB7" w:rsidP="00600CB7">
      <w:pPr>
        <w:spacing w:line="240" w:lineRule="auto"/>
        <w:rPr>
          <w:rFonts w:eastAsia="Times New Roman" w:cs="Arial"/>
          <w:sz w:val="28"/>
          <w:szCs w:val="24"/>
        </w:rPr>
      </w:pPr>
    </w:p>
    <w:p w14:paraId="1E15A6C0" w14:textId="77777777" w:rsidR="00600CB7" w:rsidRPr="00600CB7" w:rsidRDefault="00600CB7" w:rsidP="00600CB7">
      <w:pPr>
        <w:spacing w:line="240" w:lineRule="auto"/>
        <w:rPr>
          <w:rFonts w:eastAsia="Times New Roman" w:cs="Arial"/>
        </w:rPr>
      </w:pPr>
      <w:r w:rsidRPr="00600CB7">
        <w:rPr>
          <w:rFonts w:eastAsia="Times New Roman" w:cs="Arial"/>
          <w:color w:val="000000"/>
          <w:u w:val="single"/>
          <w:lang w:eastAsia="bg-BG"/>
        </w:rPr>
        <w:t>Съобщаване на подозирани нежелани реакции</w:t>
      </w:r>
    </w:p>
    <w:p w14:paraId="00EE5AD5" w14:textId="3FAACEA5" w:rsidR="00C23FAD" w:rsidRPr="00600CB7" w:rsidRDefault="00600CB7" w:rsidP="00600CB7">
      <w:pPr>
        <w:rPr>
          <w:rFonts w:cs="Arial"/>
        </w:rPr>
      </w:pPr>
      <w:r w:rsidRPr="00600CB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600CB7">
        <w:rPr>
          <w:rFonts w:eastAsia="Times New Roman" w:cs="Arial"/>
        </w:rPr>
        <w:fldChar w:fldCharType="begin"/>
      </w:r>
      <w:r w:rsidRPr="00600CB7">
        <w:rPr>
          <w:rFonts w:eastAsia="Times New Roman" w:cs="Arial"/>
        </w:rPr>
        <w:instrText xml:space="preserve"> HYPERLINK "http://www.bda.bg" </w:instrText>
      </w:r>
      <w:r w:rsidRPr="00600CB7">
        <w:rPr>
          <w:rFonts w:eastAsia="Times New Roman" w:cs="Arial"/>
        </w:rPr>
      </w:r>
      <w:r w:rsidRPr="00600CB7">
        <w:rPr>
          <w:rFonts w:eastAsia="Times New Roman" w:cs="Arial"/>
        </w:rPr>
        <w:fldChar w:fldCharType="separate"/>
      </w:r>
      <w:r w:rsidRPr="00600CB7">
        <w:rPr>
          <w:rFonts w:eastAsia="Times New Roman" w:cs="Arial"/>
          <w:color w:val="000000"/>
          <w:lang w:val="en-US"/>
        </w:rPr>
        <w:t>www.bda.bg</w:t>
      </w:r>
      <w:r w:rsidRPr="00600CB7">
        <w:rPr>
          <w:rFonts w:eastAsia="Times New Roman" w:cs="Arial"/>
        </w:rPr>
        <w:fldChar w:fldCharType="end"/>
      </w:r>
      <w:r w:rsidRPr="00600CB7">
        <w:rPr>
          <w:rFonts w:eastAsia="Times New Roman" w:cs="Arial"/>
          <w:color w:val="000000"/>
          <w:lang w:val="en-US"/>
        </w:rPr>
        <w:t>.</w:t>
      </w:r>
    </w:p>
    <w:p w14:paraId="4ED30546" w14:textId="6DCCFEEE" w:rsidR="007C605B" w:rsidRDefault="002C50EE" w:rsidP="009F1313">
      <w:pPr>
        <w:pStyle w:val="Heading2"/>
      </w:pPr>
      <w:r>
        <w:lastRenderedPageBreak/>
        <w:t>4.9. Предозиране</w:t>
      </w:r>
    </w:p>
    <w:p w14:paraId="6C5CE51F" w14:textId="42CECF6C" w:rsidR="00600CB7" w:rsidRDefault="00600CB7" w:rsidP="00600CB7"/>
    <w:p w14:paraId="1D793C43"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Нежеланите събития, получени при дози, по-високи от препоръчителните, са подобни на тези, които се наблюдават при нормални дози.</w:t>
      </w:r>
    </w:p>
    <w:p w14:paraId="664C5EDB" w14:textId="77777777" w:rsidR="00600CB7" w:rsidRPr="00600CB7" w:rsidRDefault="00600CB7" w:rsidP="00600CB7">
      <w:pPr>
        <w:spacing w:line="240" w:lineRule="auto"/>
        <w:rPr>
          <w:rFonts w:eastAsia="Times New Roman" w:cs="Arial"/>
          <w:i/>
          <w:iCs/>
          <w:color w:val="000000"/>
          <w:szCs w:val="20"/>
          <w:lang w:eastAsia="bg-BG"/>
        </w:rPr>
      </w:pPr>
    </w:p>
    <w:p w14:paraId="4F099966" w14:textId="7036183A" w:rsidR="00600CB7" w:rsidRPr="00600CB7" w:rsidRDefault="00600CB7" w:rsidP="00600CB7">
      <w:pPr>
        <w:pStyle w:val="Heading3"/>
        <w:rPr>
          <w:rFonts w:eastAsia="Times New Roman"/>
          <w:i/>
          <w:sz w:val="28"/>
        </w:rPr>
      </w:pPr>
      <w:r w:rsidRPr="00600CB7">
        <w:rPr>
          <w:rFonts w:eastAsia="Times New Roman"/>
          <w:i/>
          <w:lang w:eastAsia="bg-BG"/>
        </w:rPr>
        <w:t>Симптоми</w:t>
      </w:r>
    </w:p>
    <w:p w14:paraId="12F83123" w14:textId="181945C7" w:rsidR="00600CB7" w:rsidRPr="00600CB7" w:rsidRDefault="00600CB7" w:rsidP="00600CB7">
      <w:pPr>
        <w:rPr>
          <w:rFonts w:eastAsia="Times New Roman" w:cs="Arial"/>
          <w:color w:val="000000"/>
          <w:szCs w:val="20"/>
          <w:lang w:eastAsia="bg-BG"/>
        </w:rPr>
      </w:pPr>
      <w:r w:rsidRPr="00600CB7">
        <w:rPr>
          <w:rFonts w:eastAsia="Times New Roman" w:cs="Arial"/>
          <w:color w:val="000000"/>
          <w:szCs w:val="20"/>
          <w:lang w:eastAsia="bg-BG"/>
        </w:rPr>
        <w:t>Типичните симптоми на предозиране с макролидни антибиотици включват: обрататим загуба на слуха, тежко изразено гадене, повръщане и диария.</w:t>
      </w:r>
    </w:p>
    <w:p w14:paraId="1C9696B2" w14:textId="581FF55E" w:rsidR="00600CB7" w:rsidRPr="00600CB7" w:rsidRDefault="00600CB7" w:rsidP="00600CB7">
      <w:pPr>
        <w:rPr>
          <w:rFonts w:eastAsia="Times New Roman" w:cs="Arial"/>
          <w:color w:val="000000"/>
          <w:szCs w:val="20"/>
          <w:lang w:eastAsia="bg-BG"/>
        </w:rPr>
      </w:pPr>
    </w:p>
    <w:p w14:paraId="0DC1635F" w14:textId="77777777" w:rsidR="00600CB7" w:rsidRPr="00600CB7" w:rsidRDefault="00600CB7" w:rsidP="00600CB7">
      <w:pPr>
        <w:pStyle w:val="Heading3"/>
        <w:rPr>
          <w:rFonts w:eastAsia="Times New Roman"/>
          <w:i/>
          <w:sz w:val="28"/>
        </w:rPr>
      </w:pPr>
      <w:r w:rsidRPr="00600CB7">
        <w:rPr>
          <w:rFonts w:eastAsia="Times New Roman"/>
          <w:i/>
          <w:lang w:eastAsia="bg-BG"/>
        </w:rPr>
        <w:t>Лечение</w:t>
      </w:r>
    </w:p>
    <w:p w14:paraId="4F0DF9DE"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В случай на предозиране се препоръчват общи симптоматични и поддържащи мерки според необходимостта.</w:t>
      </w:r>
    </w:p>
    <w:p w14:paraId="5D14F4A8" w14:textId="77777777" w:rsidR="00600CB7" w:rsidRPr="00600CB7" w:rsidRDefault="00600CB7" w:rsidP="00600CB7"/>
    <w:p w14:paraId="02081B24" w14:textId="1F46E296" w:rsidR="00395555" w:rsidRPr="00395555" w:rsidRDefault="002C50EE" w:rsidP="008A6AF2">
      <w:pPr>
        <w:pStyle w:val="Heading1"/>
      </w:pPr>
      <w:r>
        <w:t>5. ФАРМАКОЛОГИЧНИ СВОЙСТВА</w:t>
      </w:r>
    </w:p>
    <w:p w14:paraId="5350637D" w14:textId="447C8409" w:rsidR="00395555" w:rsidRDefault="002C50EE" w:rsidP="008A6AF2">
      <w:pPr>
        <w:pStyle w:val="Heading2"/>
      </w:pPr>
      <w:r>
        <w:t>5.1. Фармакодинамични свойства</w:t>
      </w:r>
    </w:p>
    <w:p w14:paraId="77E2350B" w14:textId="3C19D6CA" w:rsidR="00600CB7" w:rsidRDefault="00600CB7" w:rsidP="00600CB7"/>
    <w:p w14:paraId="4BEA1E2F"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Фармакотерапевтична група: Антибактериални средства за системно приложение, макролиди. АТС код: </w:t>
      </w:r>
      <w:r w:rsidRPr="00600CB7">
        <w:rPr>
          <w:rFonts w:eastAsia="Times New Roman" w:cs="Arial"/>
          <w:color w:val="000000"/>
          <w:szCs w:val="20"/>
          <w:lang w:val="en-US"/>
        </w:rPr>
        <w:t>J</w:t>
      </w:r>
      <w:r w:rsidRPr="00600CB7">
        <w:rPr>
          <w:rFonts w:eastAsia="Times New Roman" w:cs="Arial"/>
          <w:color w:val="000000"/>
          <w:szCs w:val="20"/>
          <w:lang w:val="ru-RU"/>
        </w:rPr>
        <w:t>01</w:t>
      </w:r>
      <w:r w:rsidRPr="00600CB7">
        <w:rPr>
          <w:rFonts w:eastAsia="Times New Roman" w:cs="Arial"/>
          <w:color w:val="000000"/>
          <w:szCs w:val="20"/>
          <w:lang w:val="en-US"/>
        </w:rPr>
        <w:t>FA</w:t>
      </w:r>
      <w:r w:rsidRPr="00600CB7">
        <w:rPr>
          <w:rFonts w:eastAsia="Times New Roman" w:cs="Arial"/>
          <w:color w:val="000000"/>
          <w:szCs w:val="20"/>
          <w:lang w:val="ru-RU"/>
        </w:rPr>
        <w:t>10.</w:t>
      </w:r>
    </w:p>
    <w:p w14:paraId="714A10E4" w14:textId="77777777" w:rsidR="00600CB7" w:rsidRPr="00600CB7" w:rsidRDefault="00600CB7" w:rsidP="00600CB7">
      <w:pPr>
        <w:spacing w:line="240" w:lineRule="auto"/>
        <w:rPr>
          <w:rFonts w:eastAsia="Times New Roman" w:cs="Arial"/>
          <w:color w:val="000000"/>
          <w:szCs w:val="20"/>
          <w:lang w:eastAsia="bg-BG"/>
        </w:rPr>
      </w:pPr>
    </w:p>
    <w:p w14:paraId="6F94D4BA" w14:textId="1067984A"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Азитромицин е макролиден антибиотик от групата на азалидите. Химически се получава чрез прибавяне на азотен атом в лактонния пръстен на еритромицин А.</w:t>
      </w:r>
    </w:p>
    <w:p w14:paraId="3BB1D3BD"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Неговото химично име е 9-деокси-9а-аза-9а-метил-9а-хомоеритромицин А.</w:t>
      </w:r>
    </w:p>
    <w:p w14:paraId="3014D05A"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Молекулната му маса е 749,0.</w:t>
      </w:r>
    </w:p>
    <w:p w14:paraId="1D16D7F5" w14:textId="77777777" w:rsidR="00600CB7" w:rsidRPr="00600CB7" w:rsidRDefault="00600CB7" w:rsidP="00600CB7">
      <w:pPr>
        <w:spacing w:line="240" w:lineRule="auto"/>
        <w:rPr>
          <w:rFonts w:eastAsia="Times New Roman" w:cs="Arial"/>
          <w:color w:val="000000"/>
          <w:szCs w:val="20"/>
          <w:u w:val="single"/>
          <w:lang w:eastAsia="bg-BG"/>
        </w:rPr>
      </w:pPr>
    </w:p>
    <w:p w14:paraId="2989EC9B" w14:textId="45670AD1"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u w:val="single"/>
          <w:lang w:eastAsia="bg-BG"/>
        </w:rPr>
        <w:t>Механизъм на действие</w:t>
      </w:r>
    </w:p>
    <w:p w14:paraId="2B46BCF8"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Азитромицин е азалид-подклас на макролидните антибиотици. Като се свързва с рибозомните </w:t>
      </w:r>
      <w:r w:rsidRPr="00600CB7">
        <w:rPr>
          <w:rFonts w:eastAsia="Times New Roman" w:cs="Arial"/>
          <w:color w:val="000000"/>
          <w:szCs w:val="20"/>
          <w:lang w:val="ru-RU"/>
        </w:rPr>
        <w:t>50</w:t>
      </w:r>
      <w:r w:rsidRPr="00600CB7">
        <w:rPr>
          <w:rFonts w:eastAsia="Times New Roman" w:cs="Arial"/>
          <w:color w:val="000000"/>
          <w:szCs w:val="20"/>
          <w:lang w:val="en-US"/>
        </w:rPr>
        <w:t>S</w:t>
      </w:r>
      <w:r w:rsidRPr="00600CB7">
        <w:rPr>
          <w:rFonts w:eastAsia="Times New Roman" w:cs="Arial"/>
          <w:color w:val="000000"/>
          <w:szCs w:val="20"/>
          <w:lang w:val="ru-RU"/>
        </w:rPr>
        <w:t xml:space="preserve"> </w:t>
      </w:r>
      <w:r w:rsidRPr="00600CB7">
        <w:rPr>
          <w:rFonts w:eastAsia="Times New Roman" w:cs="Arial"/>
          <w:color w:val="000000"/>
          <w:szCs w:val="20"/>
          <w:lang w:eastAsia="bg-BG"/>
        </w:rPr>
        <w:t>субединици, азитромицин предотвратява транслокацията на пептидните вериги от едната страна на рибозомата до другата. Като следствие от това, РНК-зависимата синтеза на протеини при чувствителните микроорганизми се предотвратява.</w:t>
      </w:r>
    </w:p>
    <w:p w14:paraId="257645F8" w14:textId="77777777" w:rsidR="00600CB7" w:rsidRPr="00600CB7" w:rsidRDefault="00600CB7" w:rsidP="00600CB7">
      <w:pPr>
        <w:spacing w:line="240" w:lineRule="auto"/>
        <w:rPr>
          <w:rFonts w:eastAsia="Times New Roman" w:cs="Arial"/>
          <w:color w:val="000000"/>
          <w:szCs w:val="20"/>
          <w:u w:val="single"/>
          <w:lang w:eastAsia="bg-BG"/>
        </w:rPr>
      </w:pPr>
    </w:p>
    <w:p w14:paraId="53CC3495" w14:textId="22FB8050"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u w:val="single"/>
          <w:lang w:eastAsia="bg-BG"/>
        </w:rPr>
        <w:t>Връзка фармакокинетика/фармакодинамика</w:t>
      </w:r>
    </w:p>
    <w:p w14:paraId="5C0A24B3" w14:textId="1649A995"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При азитромицин съотношението между </w:t>
      </w:r>
      <w:r w:rsidRPr="00600CB7">
        <w:rPr>
          <w:rFonts w:eastAsia="Times New Roman" w:cs="Arial"/>
          <w:color w:val="000000"/>
          <w:szCs w:val="20"/>
          <w:lang w:val="en-US"/>
        </w:rPr>
        <w:t>AUC</w:t>
      </w:r>
      <w:r w:rsidRPr="00600CB7">
        <w:rPr>
          <w:rFonts w:eastAsia="Times New Roman" w:cs="Arial"/>
          <w:color w:val="000000"/>
          <w:szCs w:val="20"/>
          <w:lang w:val="ru-RU"/>
        </w:rPr>
        <w:t>/</w:t>
      </w:r>
      <w:r w:rsidRPr="00600CB7">
        <w:rPr>
          <w:rFonts w:eastAsia="Times New Roman" w:cs="Arial"/>
          <w:color w:val="000000"/>
          <w:szCs w:val="20"/>
          <w:lang w:val="en-US"/>
        </w:rPr>
        <w:t>MIC</w:t>
      </w:r>
      <w:r w:rsidRPr="00600CB7">
        <w:rPr>
          <w:rFonts w:eastAsia="Times New Roman" w:cs="Arial"/>
          <w:color w:val="000000"/>
          <w:szCs w:val="20"/>
          <w:lang w:val="ru-RU"/>
        </w:rPr>
        <w:t xml:space="preserve"> </w:t>
      </w:r>
      <w:r w:rsidRPr="00600CB7">
        <w:rPr>
          <w:rFonts w:eastAsia="Times New Roman" w:cs="Arial"/>
          <w:color w:val="000000"/>
          <w:szCs w:val="20"/>
          <w:lang w:eastAsia="bg-BG"/>
        </w:rPr>
        <w:t>е главният фармакокинетичен/фармакодинамичен параметър, корелиращ най-добре с ефикасността на азитромицин.</w:t>
      </w:r>
    </w:p>
    <w:p w14:paraId="58C75E5A" w14:textId="77777777" w:rsidR="00600CB7" w:rsidRPr="00600CB7" w:rsidRDefault="00600CB7" w:rsidP="00600CB7">
      <w:pPr>
        <w:spacing w:line="240" w:lineRule="auto"/>
        <w:rPr>
          <w:rFonts w:eastAsia="Times New Roman" w:cs="Arial"/>
          <w:color w:val="000000"/>
          <w:szCs w:val="20"/>
          <w:u w:val="single"/>
          <w:lang w:eastAsia="bg-BG"/>
        </w:rPr>
      </w:pPr>
    </w:p>
    <w:p w14:paraId="0C2EC870" w14:textId="0D8C41DC"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u w:val="single"/>
          <w:lang w:eastAsia="bg-BG"/>
        </w:rPr>
        <w:t>Механизъм на резистентност</w:t>
      </w:r>
    </w:p>
    <w:p w14:paraId="79CC2941"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Резистентностга към азитромицин може да бъде вродена или придобита. Има три основни механизма на резистентност при бактериите: увреждане на таргетната зона, увреждане на антибиотичния транспорт и модифициране на антибиотика.</w:t>
      </w:r>
    </w:p>
    <w:p w14:paraId="2857A823"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Пълна кръстосана резистентност съществува между </w:t>
      </w:r>
      <w:r w:rsidRPr="00600CB7">
        <w:rPr>
          <w:rFonts w:eastAsia="Times New Roman" w:cs="Arial"/>
          <w:i/>
          <w:iCs/>
          <w:color w:val="000000"/>
          <w:szCs w:val="20"/>
          <w:lang w:val="en-US"/>
        </w:rPr>
        <w:t>Streptococcus</w:t>
      </w:r>
      <w:r w:rsidRPr="00600CB7">
        <w:rPr>
          <w:rFonts w:eastAsia="Times New Roman" w:cs="Arial"/>
          <w:i/>
          <w:iCs/>
          <w:color w:val="000000"/>
          <w:szCs w:val="20"/>
        </w:rPr>
        <w:t xml:space="preserve"> </w:t>
      </w:r>
      <w:proofErr w:type="spellStart"/>
      <w:r w:rsidRPr="00600CB7">
        <w:rPr>
          <w:rFonts w:eastAsia="Times New Roman" w:cs="Arial"/>
          <w:i/>
          <w:iCs/>
          <w:color w:val="000000"/>
          <w:szCs w:val="20"/>
          <w:lang w:val="en-US"/>
        </w:rPr>
        <w:t>pneumoniae</w:t>
      </w:r>
      <w:proofErr w:type="spellEnd"/>
      <w:r w:rsidRPr="00600CB7">
        <w:rPr>
          <w:rFonts w:eastAsia="Times New Roman" w:cs="Arial"/>
          <w:i/>
          <w:iCs/>
          <w:color w:val="000000"/>
          <w:szCs w:val="20"/>
        </w:rPr>
        <w:t>,</w:t>
      </w:r>
      <w:r w:rsidRPr="00600CB7">
        <w:rPr>
          <w:rFonts w:eastAsia="Times New Roman" w:cs="Arial"/>
          <w:color w:val="000000"/>
          <w:szCs w:val="20"/>
        </w:rPr>
        <w:t xml:space="preserve"> </w:t>
      </w:r>
      <w:r w:rsidRPr="00600CB7">
        <w:rPr>
          <w:rFonts w:eastAsia="Times New Roman" w:cs="Arial"/>
          <w:color w:val="000000"/>
          <w:szCs w:val="20"/>
          <w:lang w:eastAsia="bg-BG"/>
        </w:rPr>
        <w:t xml:space="preserve">бета хемолитични стрептококи от група </w:t>
      </w:r>
      <w:r w:rsidRPr="00600CB7">
        <w:rPr>
          <w:rFonts w:eastAsia="Times New Roman" w:cs="Arial"/>
          <w:color w:val="000000"/>
          <w:szCs w:val="20"/>
          <w:lang w:val="en-US"/>
        </w:rPr>
        <w:t>A</w:t>
      </w:r>
      <w:r w:rsidRPr="00600CB7">
        <w:rPr>
          <w:rFonts w:eastAsia="Times New Roman" w:cs="Arial"/>
          <w:color w:val="000000"/>
          <w:szCs w:val="20"/>
        </w:rPr>
        <w:t xml:space="preserve">, </w:t>
      </w:r>
      <w:r w:rsidRPr="00600CB7">
        <w:rPr>
          <w:rFonts w:eastAsia="Times New Roman" w:cs="Arial"/>
          <w:i/>
          <w:iCs/>
          <w:color w:val="000000"/>
          <w:szCs w:val="20"/>
          <w:lang w:val="en-US"/>
        </w:rPr>
        <w:t>Enterococcus</w:t>
      </w:r>
      <w:r w:rsidRPr="00600CB7">
        <w:rPr>
          <w:rFonts w:eastAsia="Times New Roman" w:cs="Arial"/>
          <w:i/>
          <w:iCs/>
          <w:color w:val="000000"/>
          <w:szCs w:val="20"/>
        </w:rPr>
        <w:t xml:space="preserve"> </w:t>
      </w:r>
      <w:proofErr w:type="spellStart"/>
      <w:r w:rsidRPr="00600CB7">
        <w:rPr>
          <w:rFonts w:eastAsia="Times New Roman" w:cs="Arial"/>
          <w:i/>
          <w:iCs/>
          <w:color w:val="000000"/>
          <w:szCs w:val="20"/>
          <w:lang w:val="en-US"/>
        </w:rPr>
        <w:t>faecalis</w:t>
      </w:r>
      <w:proofErr w:type="spellEnd"/>
      <w:r w:rsidRPr="00600CB7">
        <w:rPr>
          <w:rFonts w:eastAsia="Times New Roman" w:cs="Arial"/>
          <w:color w:val="000000"/>
          <w:szCs w:val="20"/>
        </w:rPr>
        <w:t xml:space="preserve"> </w:t>
      </w:r>
      <w:r w:rsidRPr="00600CB7">
        <w:rPr>
          <w:rFonts w:eastAsia="Times New Roman" w:cs="Arial"/>
          <w:color w:val="000000"/>
          <w:szCs w:val="20"/>
          <w:lang w:eastAsia="bg-BG"/>
        </w:rPr>
        <w:t xml:space="preserve">и </w:t>
      </w:r>
      <w:r w:rsidRPr="00600CB7">
        <w:rPr>
          <w:rFonts w:eastAsia="Times New Roman" w:cs="Arial"/>
          <w:i/>
          <w:iCs/>
          <w:color w:val="000000"/>
          <w:szCs w:val="20"/>
          <w:lang w:val="en-US"/>
        </w:rPr>
        <w:t>Staphylococcus</w:t>
      </w:r>
      <w:r w:rsidRPr="00600CB7">
        <w:rPr>
          <w:rFonts w:eastAsia="Times New Roman" w:cs="Arial"/>
          <w:i/>
          <w:iCs/>
          <w:color w:val="000000"/>
          <w:szCs w:val="20"/>
        </w:rPr>
        <w:t xml:space="preserve"> </w:t>
      </w:r>
      <w:r w:rsidRPr="00600CB7">
        <w:rPr>
          <w:rFonts w:eastAsia="Times New Roman" w:cs="Arial"/>
          <w:i/>
          <w:iCs/>
          <w:color w:val="000000"/>
          <w:szCs w:val="20"/>
          <w:lang w:val="en-US"/>
        </w:rPr>
        <w:t>aureus</w:t>
      </w:r>
      <w:r w:rsidRPr="00600CB7">
        <w:rPr>
          <w:rFonts w:eastAsia="Times New Roman" w:cs="Arial"/>
          <w:i/>
          <w:iCs/>
          <w:color w:val="000000"/>
          <w:szCs w:val="20"/>
        </w:rPr>
        <w:t xml:space="preserve">, </w:t>
      </w:r>
      <w:r w:rsidRPr="00600CB7">
        <w:rPr>
          <w:rFonts w:eastAsia="Times New Roman" w:cs="Arial"/>
          <w:color w:val="000000"/>
          <w:szCs w:val="20"/>
          <w:lang w:eastAsia="bg-BG"/>
        </w:rPr>
        <w:t xml:space="preserve">включително метицилин резистентен </w:t>
      </w:r>
      <w:r w:rsidRPr="00600CB7">
        <w:rPr>
          <w:rFonts w:eastAsia="Times New Roman" w:cs="Arial"/>
          <w:color w:val="000000"/>
          <w:szCs w:val="20"/>
          <w:lang w:val="en-US"/>
        </w:rPr>
        <w:t>S</w:t>
      </w:r>
      <w:r w:rsidRPr="00600CB7">
        <w:rPr>
          <w:rFonts w:eastAsia="Times New Roman" w:cs="Arial"/>
          <w:color w:val="000000"/>
          <w:szCs w:val="20"/>
        </w:rPr>
        <w:t xml:space="preserve">. </w:t>
      </w:r>
      <w:proofErr w:type="gramStart"/>
      <w:r w:rsidRPr="00600CB7">
        <w:rPr>
          <w:rFonts w:eastAsia="Times New Roman" w:cs="Arial"/>
          <w:i/>
          <w:iCs/>
          <w:color w:val="000000"/>
          <w:szCs w:val="20"/>
          <w:lang w:val="en-US"/>
        </w:rPr>
        <w:t>aureus</w:t>
      </w:r>
      <w:proofErr w:type="gramEnd"/>
      <w:r w:rsidRPr="00600CB7">
        <w:rPr>
          <w:rFonts w:eastAsia="Times New Roman" w:cs="Arial"/>
          <w:color w:val="000000"/>
          <w:szCs w:val="20"/>
        </w:rPr>
        <w:t xml:space="preserve"> (</w:t>
      </w:r>
      <w:r w:rsidRPr="00600CB7">
        <w:rPr>
          <w:rFonts w:eastAsia="Times New Roman" w:cs="Arial"/>
          <w:color w:val="000000"/>
          <w:szCs w:val="20"/>
          <w:lang w:val="en-US"/>
        </w:rPr>
        <w:t>MRSA</w:t>
      </w:r>
      <w:r w:rsidRPr="00600CB7">
        <w:rPr>
          <w:rFonts w:eastAsia="Times New Roman" w:cs="Arial"/>
          <w:color w:val="000000"/>
          <w:szCs w:val="20"/>
        </w:rPr>
        <w:t xml:space="preserve">) </w:t>
      </w:r>
      <w:r w:rsidRPr="00600CB7">
        <w:rPr>
          <w:rFonts w:eastAsia="Times New Roman" w:cs="Arial"/>
          <w:color w:val="000000"/>
          <w:szCs w:val="20"/>
          <w:lang w:eastAsia="bg-BG"/>
        </w:rPr>
        <w:t>към еритромицин, азитромицин, други макролиди и линкозамиди.</w:t>
      </w:r>
    </w:p>
    <w:p w14:paraId="001A571A" w14:textId="77777777" w:rsidR="00600CB7" w:rsidRPr="00600CB7" w:rsidRDefault="00600CB7" w:rsidP="00600CB7">
      <w:pPr>
        <w:spacing w:line="240" w:lineRule="auto"/>
        <w:rPr>
          <w:rFonts w:eastAsia="Times New Roman" w:cs="Arial"/>
          <w:b/>
          <w:bCs/>
          <w:color w:val="000000"/>
          <w:szCs w:val="20"/>
          <w:lang w:eastAsia="bg-BG"/>
        </w:rPr>
      </w:pPr>
    </w:p>
    <w:p w14:paraId="45DA1491" w14:textId="5D617D8C" w:rsidR="00600CB7" w:rsidRPr="00600CB7" w:rsidRDefault="00600CB7" w:rsidP="00600CB7">
      <w:pPr>
        <w:spacing w:line="240" w:lineRule="auto"/>
        <w:rPr>
          <w:rFonts w:eastAsia="Times New Roman" w:cs="Arial"/>
          <w:sz w:val="28"/>
          <w:szCs w:val="24"/>
        </w:rPr>
      </w:pPr>
      <w:r w:rsidRPr="00600CB7">
        <w:rPr>
          <w:rFonts w:eastAsia="Times New Roman" w:cs="Arial"/>
          <w:b/>
          <w:bCs/>
          <w:color w:val="000000"/>
          <w:szCs w:val="20"/>
          <w:lang w:eastAsia="bg-BG"/>
        </w:rPr>
        <w:t>Граници на чувствителност</w:t>
      </w:r>
    </w:p>
    <w:p w14:paraId="26CE8F70" w14:textId="77777777" w:rsidR="00600CB7" w:rsidRPr="00600CB7" w:rsidRDefault="00600CB7" w:rsidP="00600CB7">
      <w:pPr>
        <w:rPr>
          <w:rFonts w:eastAsia="Times New Roman" w:cs="Arial"/>
          <w:color w:val="000000"/>
          <w:szCs w:val="20"/>
          <w:lang w:eastAsia="bg-BG"/>
        </w:rPr>
      </w:pPr>
    </w:p>
    <w:p w14:paraId="4651DD86" w14:textId="479DCE1C" w:rsidR="00600CB7" w:rsidRDefault="00600CB7" w:rsidP="00600CB7">
      <w:pPr>
        <w:rPr>
          <w:rFonts w:eastAsia="Times New Roman" w:cs="Arial"/>
          <w:color w:val="000000"/>
          <w:szCs w:val="20"/>
          <w:u w:val="single"/>
        </w:rPr>
      </w:pPr>
      <w:r w:rsidRPr="00600CB7">
        <w:rPr>
          <w:rFonts w:eastAsia="Times New Roman" w:cs="Arial"/>
          <w:color w:val="000000"/>
          <w:szCs w:val="20"/>
          <w:lang w:eastAsia="bg-BG"/>
        </w:rPr>
        <w:lastRenderedPageBreak/>
        <w:t xml:space="preserve">Европейски комитет по изпитване на антимикробната чувствителност </w:t>
      </w:r>
      <w:r w:rsidRPr="00600CB7">
        <w:rPr>
          <w:rFonts w:eastAsia="Times New Roman" w:cs="Arial"/>
          <w:color w:val="000000"/>
          <w:szCs w:val="20"/>
        </w:rPr>
        <w:t>(</w:t>
      </w:r>
      <w:r w:rsidRPr="00600CB7">
        <w:rPr>
          <w:rFonts w:eastAsia="Times New Roman" w:cs="Arial"/>
          <w:color w:val="000000"/>
          <w:szCs w:val="20"/>
          <w:lang w:val="en-US"/>
        </w:rPr>
        <w:t>EUCAST</w:t>
      </w:r>
      <w:r w:rsidRPr="00600CB7">
        <w:rPr>
          <w:rFonts w:eastAsia="Times New Roman" w:cs="Arial"/>
          <w:color w:val="000000"/>
          <w:szCs w:val="20"/>
        </w:rPr>
        <w:t>) (</w:t>
      </w:r>
      <w:r w:rsidRPr="00600CB7">
        <w:rPr>
          <w:rFonts w:eastAsia="Times New Roman" w:cs="Arial"/>
          <w:color w:val="000000"/>
          <w:szCs w:val="20"/>
          <w:lang w:val="en-US"/>
        </w:rPr>
        <w:t>European</w:t>
      </w:r>
      <w:r w:rsidRPr="00600CB7">
        <w:rPr>
          <w:rFonts w:eastAsia="Times New Roman" w:cs="Arial"/>
          <w:color w:val="000000"/>
          <w:szCs w:val="20"/>
        </w:rPr>
        <w:t xml:space="preserve"> </w:t>
      </w:r>
      <w:r w:rsidRPr="00600CB7">
        <w:rPr>
          <w:rFonts w:eastAsia="Times New Roman" w:cs="Arial"/>
          <w:color w:val="000000"/>
          <w:szCs w:val="20"/>
          <w:u w:val="single"/>
          <w:lang w:val="en-US"/>
        </w:rPr>
        <w:t>Committee</w:t>
      </w:r>
      <w:r w:rsidRPr="00600CB7">
        <w:rPr>
          <w:rFonts w:eastAsia="Times New Roman" w:cs="Arial"/>
          <w:color w:val="000000"/>
          <w:szCs w:val="20"/>
          <w:u w:val="single"/>
        </w:rPr>
        <w:t xml:space="preserve"> </w:t>
      </w:r>
      <w:r w:rsidRPr="00600CB7">
        <w:rPr>
          <w:rFonts w:eastAsia="Times New Roman" w:cs="Arial"/>
          <w:color w:val="000000"/>
          <w:szCs w:val="20"/>
          <w:u w:val="single"/>
          <w:lang w:val="en-US"/>
        </w:rPr>
        <w:t>on</w:t>
      </w:r>
      <w:r w:rsidRPr="00600CB7">
        <w:rPr>
          <w:rFonts w:eastAsia="Times New Roman" w:cs="Arial"/>
          <w:color w:val="000000"/>
          <w:szCs w:val="20"/>
          <w:u w:val="single"/>
        </w:rPr>
        <w:t xml:space="preserve"> </w:t>
      </w:r>
      <w:r w:rsidRPr="00600CB7">
        <w:rPr>
          <w:rFonts w:eastAsia="Times New Roman" w:cs="Arial"/>
          <w:color w:val="000000"/>
          <w:szCs w:val="20"/>
          <w:u w:val="single"/>
          <w:lang w:val="en-US"/>
        </w:rPr>
        <w:t>Antimicrobial</w:t>
      </w:r>
      <w:r w:rsidRPr="00600CB7">
        <w:rPr>
          <w:rFonts w:eastAsia="Times New Roman" w:cs="Arial"/>
          <w:color w:val="000000"/>
          <w:szCs w:val="20"/>
          <w:u w:val="single"/>
        </w:rPr>
        <w:t xml:space="preserve"> </w:t>
      </w:r>
      <w:r w:rsidRPr="00600CB7">
        <w:rPr>
          <w:rFonts w:eastAsia="Times New Roman" w:cs="Arial"/>
          <w:color w:val="000000"/>
          <w:szCs w:val="20"/>
          <w:u w:val="single"/>
          <w:lang w:val="en-US"/>
        </w:rPr>
        <w:t>Susceptibility</w:t>
      </w:r>
      <w:r w:rsidRPr="00600CB7">
        <w:rPr>
          <w:rFonts w:eastAsia="Times New Roman" w:cs="Arial"/>
          <w:color w:val="000000"/>
          <w:szCs w:val="20"/>
          <w:u w:val="single"/>
        </w:rPr>
        <w:t xml:space="preserve"> </w:t>
      </w:r>
      <w:r w:rsidRPr="00600CB7">
        <w:rPr>
          <w:rFonts w:eastAsia="Times New Roman" w:cs="Arial"/>
          <w:color w:val="000000"/>
          <w:szCs w:val="20"/>
          <w:u w:val="single"/>
          <w:lang w:val="en-US"/>
        </w:rPr>
        <w:t>Testing</w:t>
      </w:r>
      <w:r w:rsidRPr="00600CB7">
        <w:rPr>
          <w:rFonts w:eastAsia="Times New Roman" w:cs="Arial"/>
          <w:color w:val="000000"/>
          <w:szCs w:val="20"/>
          <w:u w:val="single"/>
        </w:rPr>
        <w:t>)</w:t>
      </w:r>
    </w:p>
    <w:p w14:paraId="0BF8E4F0" w14:textId="667379B7" w:rsidR="00600CB7" w:rsidRDefault="00600CB7" w:rsidP="00600CB7">
      <w:pPr>
        <w:rPr>
          <w:rFonts w:eastAsia="Times New Roman" w:cs="Arial"/>
          <w:color w:val="000000"/>
          <w:szCs w:val="20"/>
          <w:u w:val="single"/>
        </w:rPr>
      </w:pPr>
    </w:p>
    <w:tbl>
      <w:tblPr>
        <w:tblStyle w:val="TableGrid"/>
        <w:tblW w:w="0" w:type="auto"/>
        <w:tblLook w:val="04A0" w:firstRow="1" w:lastRow="0" w:firstColumn="1" w:lastColumn="0" w:noHBand="0" w:noVBand="1"/>
      </w:tblPr>
      <w:tblGrid>
        <w:gridCol w:w="3192"/>
        <w:gridCol w:w="3192"/>
        <w:gridCol w:w="3192"/>
      </w:tblGrid>
      <w:tr w:rsidR="00600CB7" w14:paraId="28114B1F" w14:textId="77777777" w:rsidTr="005C5250">
        <w:tc>
          <w:tcPr>
            <w:tcW w:w="3192" w:type="dxa"/>
          </w:tcPr>
          <w:p w14:paraId="10E0DF40" w14:textId="77777777" w:rsidR="00600CB7" w:rsidRPr="00600CB7" w:rsidRDefault="00600CB7" w:rsidP="00600CB7">
            <w:pPr>
              <w:rPr>
                <w:rFonts w:eastAsia="Times New Roman" w:cs="Arial"/>
                <w:color w:val="000000"/>
                <w:u w:val="single"/>
              </w:rPr>
            </w:pPr>
          </w:p>
        </w:tc>
        <w:tc>
          <w:tcPr>
            <w:tcW w:w="6384" w:type="dxa"/>
            <w:gridSpan w:val="2"/>
          </w:tcPr>
          <w:p w14:paraId="68BFFB1C" w14:textId="7A533552" w:rsidR="00600CB7" w:rsidRPr="00600CB7" w:rsidRDefault="00600CB7" w:rsidP="00600CB7">
            <w:pPr>
              <w:spacing w:line="240" w:lineRule="auto"/>
              <w:rPr>
                <w:rFonts w:eastAsia="Times New Roman" w:cs="Arial"/>
                <w:szCs w:val="24"/>
                <w:lang w:val="en-US"/>
              </w:rPr>
            </w:pPr>
            <w:r w:rsidRPr="00600CB7">
              <w:rPr>
                <w:rFonts w:eastAsia="Times New Roman" w:cs="Arial"/>
                <w:b/>
                <w:bCs/>
                <w:color w:val="000000"/>
                <w:szCs w:val="20"/>
                <w:lang w:val="en-US"/>
              </w:rPr>
              <w:t xml:space="preserve">MIC </w:t>
            </w:r>
            <w:r w:rsidRPr="00600CB7">
              <w:rPr>
                <w:rFonts w:eastAsia="Times New Roman" w:cs="Arial"/>
                <w:b/>
                <w:bCs/>
                <w:color w:val="000000"/>
                <w:szCs w:val="20"/>
                <w:lang w:eastAsia="bg-BG"/>
              </w:rPr>
              <w:t xml:space="preserve">норми </w:t>
            </w:r>
            <w:r w:rsidRPr="00600CB7">
              <w:rPr>
                <w:rFonts w:eastAsia="Times New Roman" w:cs="Arial"/>
                <w:b/>
                <w:bCs/>
                <w:color w:val="000000"/>
                <w:szCs w:val="20"/>
                <w:lang w:val="en-US"/>
              </w:rPr>
              <w:t>(mg/1)</w:t>
            </w:r>
          </w:p>
        </w:tc>
      </w:tr>
      <w:tr w:rsidR="00600CB7" w14:paraId="0018917C" w14:textId="77777777" w:rsidTr="00600CB7">
        <w:tc>
          <w:tcPr>
            <w:tcW w:w="3192" w:type="dxa"/>
          </w:tcPr>
          <w:p w14:paraId="3A7BB7F5" w14:textId="1C3140BE" w:rsidR="00600CB7" w:rsidRPr="00600CB7" w:rsidRDefault="00600CB7" w:rsidP="00600CB7">
            <w:pPr>
              <w:rPr>
                <w:rFonts w:eastAsia="Times New Roman" w:cs="Arial"/>
                <w:color w:val="000000"/>
                <w:u w:val="single"/>
              </w:rPr>
            </w:pPr>
            <w:r w:rsidRPr="00600CB7">
              <w:rPr>
                <w:b/>
                <w:bCs/>
                <w:lang w:eastAsia="bg-BG"/>
              </w:rPr>
              <w:t>Патогени</w:t>
            </w:r>
          </w:p>
        </w:tc>
        <w:tc>
          <w:tcPr>
            <w:tcW w:w="3192" w:type="dxa"/>
          </w:tcPr>
          <w:p w14:paraId="374D07B9" w14:textId="063B501E" w:rsidR="00600CB7" w:rsidRPr="00600CB7" w:rsidRDefault="00600CB7" w:rsidP="00600CB7">
            <w:pPr>
              <w:rPr>
                <w:rFonts w:eastAsia="Times New Roman" w:cs="Arial"/>
                <w:color w:val="000000"/>
                <w:szCs w:val="20"/>
                <w:u w:val="single"/>
              </w:rPr>
            </w:pPr>
            <w:r w:rsidRPr="00600CB7">
              <w:rPr>
                <w:bCs/>
                <w:szCs w:val="20"/>
                <w:lang w:eastAsia="bg-BG"/>
              </w:rPr>
              <w:t xml:space="preserve">Чувствителни </w:t>
            </w:r>
            <w:r w:rsidRPr="00600CB7">
              <w:rPr>
                <w:bCs/>
                <w:szCs w:val="20"/>
              </w:rPr>
              <w:t>(mg/1)</w:t>
            </w:r>
          </w:p>
        </w:tc>
        <w:tc>
          <w:tcPr>
            <w:tcW w:w="3192" w:type="dxa"/>
          </w:tcPr>
          <w:p w14:paraId="212E1641" w14:textId="2C7D4CF1" w:rsidR="00600CB7" w:rsidRPr="00600CB7" w:rsidRDefault="00600CB7" w:rsidP="00600CB7">
            <w:pPr>
              <w:rPr>
                <w:rFonts w:eastAsia="Times New Roman" w:cs="Arial"/>
                <w:color w:val="000000"/>
                <w:szCs w:val="20"/>
                <w:u w:val="single"/>
              </w:rPr>
            </w:pPr>
            <w:r w:rsidRPr="00600CB7">
              <w:rPr>
                <w:bCs/>
                <w:szCs w:val="20"/>
                <w:lang w:eastAsia="bg-BG"/>
              </w:rPr>
              <w:t xml:space="preserve">Резистентни </w:t>
            </w:r>
            <w:r w:rsidRPr="00600CB7">
              <w:rPr>
                <w:bCs/>
                <w:szCs w:val="20"/>
              </w:rPr>
              <w:t>(mg/1)</w:t>
            </w:r>
          </w:p>
        </w:tc>
      </w:tr>
      <w:tr w:rsidR="00600CB7" w14:paraId="03C69050" w14:textId="77777777" w:rsidTr="00600CB7">
        <w:tc>
          <w:tcPr>
            <w:tcW w:w="3192" w:type="dxa"/>
          </w:tcPr>
          <w:p w14:paraId="4991FBAB" w14:textId="288D73EB" w:rsidR="00600CB7" w:rsidRPr="00600CB7" w:rsidRDefault="00600CB7" w:rsidP="00600CB7">
            <w:pPr>
              <w:rPr>
                <w:rFonts w:eastAsia="Times New Roman" w:cs="Arial"/>
                <w:color w:val="000000"/>
                <w:u w:val="single"/>
              </w:rPr>
            </w:pPr>
            <w:r w:rsidRPr="00600CB7">
              <w:rPr>
                <w:i/>
                <w:iCs/>
              </w:rPr>
              <w:t>Staphylococcus spp.</w:t>
            </w:r>
          </w:p>
        </w:tc>
        <w:tc>
          <w:tcPr>
            <w:tcW w:w="3192" w:type="dxa"/>
          </w:tcPr>
          <w:p w14:paraId="00709CC1" w14:textId="5DFD7C4F"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1</w:t>
            </w:r>
          </w:p>
        </w:tc>
        <w:tc>
          <w:tcPr>
            <w:tcW w:w="3192" w:type="dxa"/>
          </w:tcPr>
          <w:p w14:paraId="7B3A39C1" w14:textId="6096DCD5" w:rsidR="00600CB7" w:rsidRPr="00600CB7" w:rsidRDefault="00600CB7" w:rsidP="00600CB7">
            <w:pPr>
              <w:rPr>
                <w:rFonts w:eastAsia="Times New Roman" w:cs="Arial"/>
                <w:color w:val="000000"/>
                <w:szCs w:val="20"/>
                <w:u w:val="single"/>
              </w:rPr>
            </w:pPr>
            <w:r w:rsidRPr="00600CB7">
              <w:rPr>
                <w:bCs/>
                <w:szCs w:val="20"/>
              </w:rPr>
              <w:t>&gt;2</w:t>
            </w:r>
          </w:p>
        </w:tc>
      </w:tr>
      <w:tr w:rsidR="00600CB7" w14:paraId="264EDF4B" w14:textId="77777777" w:rsidTr="00600CB7">
        <w:tc>
          <w:tcPr>
            <w:tcW w:w="3192" w:type="dxa"/>
          </w:tcPr>
          <w:p w14:paraId="739AFAFE" w14:textId="55A4CF5E" w:rsidR="00600CB7" w:rsidRPr="00600CB7" w:rsidRDefault="00600CB7" w:rsidP="00600CB7">
            <w:pPr>
              <w:rPr>
                <w:rFonts w:eastAsia="Times New Roman" w:cs="Arial"/>
                <w:color w:val="000000"/>
                <w:u w:val="single"/>
              </w:rPr>
            </w:pPr>
            <w:r w:rsidRPr="00600CB7">
              <w:rPr>
                <w:i/>
                <w:iCs/>
              </w:rPr>
              <w:t>Streptococcus spp.</w:t>
            </w:r>
            <w:r w:rsidRPr="00600CB7">
              <w:t xml:space="preserve"> </w:t>
            </w:r>
            <w:r w:rsidRPr="00600CB7">
              <w:rPr>
                <w:lang w:eastAsia="bg-BG"/>
              </w:rPr>
              <w:t xml:space="preserve">(Група А, В, </w:t>
            </w:r>
            <w:r w:rsidRPr="00600CB7">
              <w:t>C, G)</w:t>
            </w:r>
          </w:p>
        </w:tc>
        <w:tc>
          <w:tcPr>
            <w:tcW w:w="3192" w:type="dxa"/>
          </w:tcPr>
          <w:p w14:paraId="1B9BC961" w14:textId="16A2B411"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0,25</w:t>
            </w:r>
          </w:p>
        </w:tc>
        <w:tc>
          <w:tcPr>
            <w:tcW w:w="3192" w:type="dxa"/>
          </w:tcPr>
          <w:p w14:paraId="42893F51" w14:textId="7AE2BE19" w:rsidR="00600CB7" w:rsidRPr="00600CB7" w:rsidRDefault="00600CB7" w:rsidP="00600CB7">
            <w:pPr>
              <w:rPr>
                <w:rFonts w:eastAsia="Times New Roman" w:cs="Arial"/>
                <w:color w:val="000000"/>
                <w:szCs w:val="20"/>
                <w:u w:val="single"/>
              </w:rPr>
            </w:pPr>
            <w:r w:rsidRPr="00600CB7">
              <w:rPr>
                <w:bCs/>
                <w:szCs w:val="20"/>
              </w:rPr>
              <w:t>&gt; 0,5</w:t>
            </w:r>
          </w:p>
        </w:tc>
      </w:tr>
      <w:tr w:rsidR="00600CB7" w14:paraId="5749D26A" w14:textId="77777777" w:rsidTr="00600CB7">
        <w:tc>
          <w:tcPr>
            <w:tcW w:w="3192" w:type="dxa"/>
          </w:tcPr>
          <w:p w14:paraId="3AD9040F" w14:textId="2EB4308D" w:rsidR="00600CB7" w:rsidRPr="00600CB7" w:rsidRDefault="00600CB7" w:rsidP="00600CB7">
            <w:pPr>
              <w:rPr>
                <w:rFonts w:eastAsia="Times New Roman" w:cs="Arial"/>
                <w:color w:val="000000"/>
                <w:u w:val="single"/>
              </w:rPr>
            </w:pPr>
            <w:r w:rsidRPr="00600CB7">
              <w:rPr>
                <w:i/>
                <w:iCs/>
              </w:rPr>
              <w:t>Streptococcus pneumoniae</w:t>
            </w:r>
          </w:p>
        </w:tc>
        <w:tc>
          <w:tcPr>
            <w:tcW w:w="3192" w:type="dxa"/>
          </w:tcPr>
          <w:p w14:paraId="327D75B0" w14:textId="67A3C1B0"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0,25</w:t>
            </w:r>
          </w:p>
        </w:tc>
        <w:tc>
          <w:tcPr>
            <w:tcW w:w="3192" w:type="dxa"/>
          </w:tcPr>
          <w:p w14:paraId="1218AA4C" w14:textId="104A597A" w:rsidR="00600CB7" w:rsidRPr="00600CB7" w:rsidRDefault="00600CB7" w:rsidP="00600CB7">
            <w:pPr>
              <w:rPr>
                <w:rFonts w:eastAsia="Times New Roman" w:cs="Arial"/>
                <w:color w:val="000000"/>
                <w:szCs w:val="20"/>
                <w:u w:val="single"/>
              </w:rPr>
            </w:pPr>
            <w:r w:rsidRPr="00600CB7">
              <w:rPr>
                <w:bCs/>
                <w:szCs w:val="20"/>
              </w:rPr>
              <w:t>&gt;0,5</w:t>
            </w:r>
          </w:p>
        </w:tc>
      </w:tr>
      <w:tr w:rsidR="00600CB7" w14:paraId="09CB83E6" w14:textId="77777777" w:rsidTr="00600CB7">
        <w:tc>
          <w:tcPr>
            <w:tcW w:w="3192" w:type="dxa"/>
          </w:tcPr>
          <w:p w14:paraId="461A1E2D" w14:textId="51B75E2C" w:rsidR="00600CB7" w:rsidRPr="00600CB7" w:rsidRDefault="00600CB7" w:rsidP="00600CB7">
            <w:pPr>
              <w:rPr>
                <w:rFonts w:eastAsia="Times New Roman" w:cs="Arial"/>
                <w:color w:val="000000"/>
                <w:u w:val="single"/>
              </w:rPr>
            </w:pPr>
            <w:r w:rsidRPr="00600CB7">
              <w:rPr>
                <w:i/>
                <w:iCs/>
              </w:rPr>
              <w:t>Haemophilus influenzae</w:t>
            </w:r>
          </w:p>
        </w:tc>
        <w:tc>
          <w:tcPr>
            <w:tcW w:w="3192" w:type="dxa"/>
          </w:tcPr>
          <w:p w14:paraId="73046CE0" w14:textId="0F575D50"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0,125</w:t>
            </w:r>
          </w:p>
        </w:tc>
        <w:tc>
          <w:tcPr>
            <w:tcW w:w="3192" w:type="dxa"/>
          </w:tcPr>
          <w:p w14:paraId="0BD1C6FD" w14:textId="25A37E30" w:rsidR="00600CB7" w:rsidRPr="00600CB7" w:rsidRDefault="00600CB7" w:rsidP="00600CB7">
            <w:pPr>
              <w:rPr>
                <w:rFonts w:eastAsia="Times New Roman" w:cs="Arial"/>
                <w:color w:val="000000"/>
                <w:szCs w:val="20"/>
                <w:u w:val="single"/>
              </w:rPr>
            </w:pPr>
            <w:r w:rsidRPr="00600CB7">
              <w:rPr>
                <w:bCs/>
                <w:szCs w:val="20"/>
              </w:rPr>
              <w:t>&gt;4</w:t>
            </w:r>
          </w:p>
        </w:tc>
      </w:tr>
      <w:tr w:rsidR="00600CB7" w14:paraId="53A1CE9F" w14:textId="77777777" w:rsidTr="00600CB7">
        <w:tc>
          <w:tcPr>
            <w:tcW w:w="3192" w:type="dxa"/>
          </w:tcPr>
          <w:p w14:paraId="5F8FB391" w14:textId="02A4ACBC" w:rsidR="00600CB7" w:rsidRPr="00600CB7" w:rsidRDefault="00600CB7" w:rsidP="00600CB7">
            <w:pPr>
              <w:rPr>
                <w:rFonts w:eastAsia="Times New Roman" w:cs="Arial"/>
                <w:color w:val="000000"/>
                <w:u w:val="single"/>
              </w:rPr>
            </w:pPr>
            <w:r w:rsidRPr="00600CB7">
              <w:rPr>
                <w:i/>
                <w:iCs/>
              </w:rPr>
              <w:t>Moraxella catarrhalis</w:t>
            </w:r>
          </w:p>
        </w:tc>
        <w:tc>
          <w:tcPr>
            <w:tcW w:w="3192" w:type="dxa"/>
          </w:tcPr>
          <w:p w14:paraId="26E8B78A" w14:textId="0C2CACCA"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0,25</w:t>
            </w:r>
          </w:p>
        </w:tc>
        <w:tc>
          <w:tcPr>
            <w:tcW w:w="3192" w:type="dxa"/>
          </w:tcPr>
          <w:p w14:paraId="48D5F842" w14:textId="28ED8173" w:rsidR="00600CB7" w:rsidRPr="00600CB7" w:rsidRDefault="00600CB7" w:rsidP="00600CB7">
            <w:pPr>
              <w:rPr>
                <w:rFonts w:eastAsia="Times New Roman" w:cs="Arial"/>
                <w:color w:val="000000"/>
                <w:szCs w:val="20"/>
                <w:u w:val="single"/>
              </w:rPr>
            </w:pPr>
            <w:r w:rsidRPr="00600CB7">
              <w:rPr>
                <w:bCs/>
                <w:szCs w:val="20"/>
              </w:rPr>
              <w:t>&gt;0,5</w:t>
            </w:r>
          </w:p>
        </w:tc>
      </w:tr>
      <w:tr w:rsidR="00600CB7" w14:paraId="42CA3D5E" w14:textId="77777777" w:rsidTr="00600CB7">
        <w:tc>
          <w:tcPr>
            <w:tcW w:w="3192" w:type="dxa"/>
          </w:tcPr>
          <w:p w14:paraId="01809104" w14:textId="0283473F" w:rsidR="00600CB7" w:rsidRPr="00600CB7" w:rsidRDefault="00600CB7" w:rsidP="00600CB7">
            <w:pPr>
              <w:rPr>
                <w:rFonts w:eastAsia="Times New Roman" w:cs="Arial"/>
                <w:color w:val="000000"/>
                <w:u w:val="single"/>
              </w:rPr>
            </w:pPr>
            <w:r w:rsidRPr="00600CB7">
              <w:rPr>
                <w:i/>
                <w:iCs/>
              </w:rPr>
              <w:t>Neisseria gonorrhoeae</w:t>
            </w:r>
          </w:p>
        </w:tc>
        <w:tc>
          <w:tcPr>
            <w:tcW w:w="3192" w:type="dxa"/>
          </w:tcPr>
          <w:p w14:paraId="3C480578" w14:textId="3A8BD7DE" w:rsidR="00600CB7" w:rsidRPr="00600CB7" w:rsidRDefault="00600CB7" w:rsidP="00600CB7">
            <w:pPr>
              <w:rPr>
                <w:rFonts w:eastAsia="Times New Roman" w:cs="Arial"/>
                <w:color w:val="000000"/>
                <w:szCs w:val="20"/>
                <w:u w:val="single"/>
              </w:rPr>
            </w:pPr>
            <w:r w:rsidRPr="00600CB7">
              <w:rPr>
                <w:bCs/>
                <w:szCs w:val="20"/>
                <w:lang w:eastAsia="bg-BG"/>
              </w:rPr>
              <w:t>≤</w:t>
            </w:r>
            <w:r w:rsidRPr="00600CB7">
              <w:rPr>
                <w:bCs/>
                <w:szCs w:val="20"/>
              </w:rPr>
              <w:t>0,25</w:t>
            </w:r>
          </w:p>
        </w:tc>
        <w:tc>
          <w:tcPr>
            <w:tcW w:w="3192" w:type="dxa"/>
          </w:tcPr>
          <w:p w14:paraId="32069D38" w14:textId="21E5373E" w:rsidR="00600CB7" w:rsidRPr="00600CB7" w:rsidRDefault="00600CB7" w:rsidP="00600CB7">
            <w:pPr>
              <w:rPr>
                <w:rFonts w:eastAsia="Times New Roman" w:cs="Arial"/>
                <w:color w:val="000000"/>
                <w:szCs w:val="20"/>
                <w:u w:val="single"/>
              </w:rPr>
            </w:pPr>
            <w:r w:rsidRPr="00600CB7">
              <w:rPr>
                <w:bCs/>
                <w:szCs w:val="20"/>
              </w:rPr>
              <w:t>&gt;0,5</w:t>
            </w:r>
          </w:p>
        </w:tc>
      </w:tr>
    </w:tbl>
    <w:p w14:paraId="771159F6" w14:textId="718505F6" w:rsidR="00600CB7" w:rsidRDefault="00600CB7" w:rsidP="00600CB7">
      <w:pPr>
        <w:rPr>
          <w:rFonts w:eastAsia="Times New Roman" w:cs="Arial"/>
          <w:color w:val="000000"/>
          <w:szCs w:val="20"/>
          <w:u w:val="single"/>
        </w:rPr>
      </w:pPr>
    </w:p>
    <w:p w14:paraId="237A4348" w14:textId="77777777" w:rsidR="00600CB7" w:rsidRPr="00600CB7" w:rsidRDefault="00600CB7" w:rsidP="00600CB7">
      <w:pPr>
        <w:spacing w:line="240" w:lineRule="auto"/>
        <w:rPr>
          <w:rFonts w:eastAsia="Times New Roman" w:cs="Arial"/>
        </w:rPr>
      </w:pPr>
      <w:r w:rsidRPr="00600CB7">
        <w:rPr>
          <w:rFonts w:eastAsia="Times New Roman" w:cs="Arial"/>
          <w:b/>
          <w:bCs/>
          <w:color w:val="000000"/>
          <w:lang w:eastAsia="bg-BG"/>
        </w:rPr>
        <w:t>Чувствителност:</w:t>
      </w:r>
    </w:p>
    <w:p w14:paraId="7E552FAE" w14:textId="77777777" w:rsidR="00600CB7" w:rsidRPr="00600CB7" w:rsidRDefault="00600CB7" w:rsidP="00600CB7">
      <w:pPr>
        <w:rPr>
          <w:rFonts w:eastAsia="Times New Roman" w:cs="Arial"/>
        </w:rPr>
      </w:pPr>
      <w:r w:rsidRPr="00600CB7">
        <w:rPr>
          <w:rFonts w:eastAsia="Times New Roman" w:cs="Arial"/>
          <w:color w:val="000000"/>
          <w:lang w:eastAsia="bg-BG"/>
        </w:rPr>
        <w:t>Разпространението на придобитата резистентност може да варира географски и с времето за определени видове, и е желателно да се знае местната информация за резистентност, особено при лечение на тежки инфекции. При необходимост трябва да се потърси съвет от експерт, когато местната честота на резистентност е такава, че ползата от лекарството в поне някои видове инфекции е под въпрос.</w:t>
      </w:r>
    </w:p>
    <w:p w14:paraId="25132704" w14:textId="77777777" w:rsidR="00600CB7" w:rsidRPr="00600CB7" w:rsidRDefault="00600CB7" w:rsidP="00600CB7">
      <w:pPr>
        <w:spacing w:line="240" w:lineRule="auto"/>
        <w:rPr>
          <w:rFonts w:eastAsia="Times New Roman" w:cs="Arial"/>
        </w:rPr>
      </w:pPr>
      <w:r w:rsidRPr="00600CB7">
        <w:rPr>
          <w:rFonts w:eastAsia="Times New Roman" w:cs="Arial"/>
          <w:color w:val="000000"/>
          <w:lang w:eastAsia="bg-BG"/>
        </w:rPr>
        <w:t>Патогени, при които резистентността може да бъде проблем: Разпространението на резистентността е равна или по-голяма от 10 % в най-малко една държава в Европейския съюз.</w:t>
      </w:r>
    </w:p>
    <w:p w14:paraId="2F96B756" w14:textId="77777777" w:rsidR="00600CB7" w:rsidRPr="00600CB7" w:rsidRDefault="00600CB7" w:rsidP="00600CB7">
      <w:pPr>
        <w:rPr>
          <w:rFonts w:eastAsia="Times New Roman" w:cs="Arial"/>
          <w:color w:val="000000"/>
          <w:u w:val="single"/>
          <w:lang w:eastAsia="bg-BG"/>
        </w:rPr>
      </w:pPr>
    </w:p>
    <w:p w14:paraId="1742904D" w14:textId="371CBE48" w:rsidR="00600CB7" w:rsidRDefault="00600CB7" w:rsidP="00600CB7">
      <w:pPr>
        <w:rPr>
          <w:rFonts w:eastAsia="Times New Roman" w:cs="Arial"/>
          <w:color w:val="000000"/>
          <w:u w:val="single"/>
          <w:lang w:eastAsia="bg-BG"/>
        </w:rPr>
      </w:pPr>
      <w:r w:rsidRPr="00600CB7">
        <w:rPr>
          <w:rFonts w:eastAsia="Times New Roman" w:cs="Arial"/>
          <w:color w:val="000000"/>
          <w:u w:val="single"/>
          <w:lang w:eastAsia="bg-BG"/>
        </w:rPr>
        <w:t>Таблица на чувствителността</w:t>
      </w:r>
    </w:p>
    <w:tbl>
      <w:tblPr>
        <w:tblStyle w:val="TableGrid"/>
        <w:tblW w:w="0" w:type="auto"/>
        <w:tblLook w:val="04A0" w:firstRow="1" w:lastRow="0" w:firstColumn="1" w:lastColumn="0" w:noHBand="0" w:noVBand="1"/>
      </w:tblPr>
      <w:tblGrid>
        <w:gridCol w:w="9576"/>
      </w:tblGrid>
      <w:tr w:rsidR="00600CB7" w14:paraId="6399D524" w14:textId="77777777" w:rsidTr="00600CB7">
        <w:tc>
          <w:tcPr>
            <w:tcW w:w="9576" w:type="dxa"/>
          </w:tcPr>
          <w:p w14:paraId="35BE60F1" w14:textId="5ABF854E" w:rsidR="00600CB7" w:rsidRPr="00600CB7" w:rsidRDefault="00600CB7" w:rsidP="00600CB7">
            <w:pPr>
              <w:rPr>
                <w:rFonts w:eastAsia="Times New Roman" w:cs="Arial"/>
                <w:color w:val="000000"/>
                <w:u w:val="single"/>
              </w:rPr>
            </w:pPr>
            <w:r w:rsidRPr="00600CB7">
              <w:rPr>
                <w:b/>
                <w:bCs/>
                <w:szCs w:val="20"/>
              </w:rPr>
              <w:t>Обичайно чувствителни видове</w:t>
            </w:r>
          </w:p>
        </w:tc>
      </w:tr>
      <w:tr w:rsidR="00600CB7" w14:paraId="58FF15AB" w14:textId="77777777" w:rsidTr="00600CB7">
        <w:tc>
          <w:tcPr>
            <w:tcW w:w="9576" w:type="dxa"/>
          </w:tcPr>
          <w:p w14:paraId="1F92ACE2" w14:textId="77777777" w:rsidR="00600CB7" w:rsidRPr="00600CB7" w:rsidRDefault="00600CB7" w:rsidP="00600CB7">
            <w:pPr>
              <w:rPr>
                <w:rFonts w:eastAsia="Times New Roman" w:cs="Arial"/>
                <w:color w:val="000000"/>
                <w:u w:val="single"/>
              </w:rPr>
            </w:pPr>
          </w:p>
        </w:tc>
      </w:tr>
      <w:tr w:rsidR="00600CB7" w14:paraId="0E3D2646" w14:textId="77777777" w:rsidTr="00600CB7">
        <w:tc>
          <w:tcPr>
            <w:tcW w:w="9576" w:type="dxa"/>
          </w:tcPr>
          <w:p w14:paraId="4CEF2A78" w14:textId="0069F94D" w:rsidR="00600CB7" w:rsidRPr="00600CB7" w:rsidRDefault="00600CB7" w:rsidP="00600CB7">
            <w:pPr>
              <w:rPr>
                <w:rFonts w:eastAsia="Times New Roman" w:cs="Arial"/>
                <w:color w:val="000000"/>
                <w:u w:val="single"/>
              </w:rPr>
            </w:pPr>
            <w:r w:rsidRPr="00600CB7">
              <w:rPr>
                <w:b/>
                <w:bCs/>
                <w:szCs w:val="20"/>
              </w:rPr>
              <w:t>Аеробни грам-отрицателни микроорганизми</w:t>
            </w:r>
          </w:p>
        </w:tc>
      </w:tr>
      <w:tr w:rsidR="00600CB7" w14:paraId="0F5FCC61" w14:textId="77777777" w:rsidTr="00600CB7">
        <w:tc>
          <w:tcPr>
            <w:tcW w:w="9576" w:type="dxa"/>
          </w:tcPr>
          <w:p w14:paraId="58149D27" w14:textId="77777777" w:rsidR="00600CB7" w:rsidRDefault="00600CB7" w:rsidP="00600CB7">
            <w:pPr>
              <w:rPr>
                <w:i/>
                <w:iCs/>
                <w:szCs w:val="20"/>
              </w:rPr>
            </w:pPr>
            <w:proofErr w:type="spellStart"/>
            <w:r w:rsidRPr="00600CB7">
              <w:rPr>
                <w:i/>
                <w:iCs/>
                <w:szCs w:val="20"/>
                <w:lang w:val="en-US"/>
              </w:rPr>
              <w:t>Haemophilus</w:t>
            </w:r>
            <w:proofErr w:type="spellEnd"/>
            <w:r w:rsidRPr="00600CB7">
              <w:rPr>
                <w:i/>
                <w:iCs/>
                <w:szCs w:val="20"/>
              </w:rPr>
              <w:t xml:space="preserve"> </w:t>
            </w:r>
            <w:proofErr w:type="spellStart"/>
            <w:r w:rsidRPr="00600CB7">
              <w:rPr>
                <w:i/>
                <w:iCs/>
                <w:szCs w:val="20"/>
                <w:lang w:val="en-US"/>
              </w:rPr>
              <w:t>influenzae</w:t>
            </w:r>
            <w:proofErr w:type="spellEnd"/>
            <w:r w:rsidRPr="00600CB7">
              <w:rPr>
                <w:i/>
                <w:iCs/>
                <w:szCs w:val="20"/>
              </w:rPr>
              <w:t xml:space="preserve">* </w:t>
            </w:r>
          </w:p>
          <w:p w14:paraId="3E7AFDF0" w14:textId="77777777" w:rsidR="00600CB7" w:rsidRDefault="00600CB7" w:rsidP="00600CB7">
            <w:pPr>
              <w:rPr>
                <w:i/>
                <w:iCs/>
                <w:szCs w:val="20"/>
              </w:rPr>
            </w:pPr>
            <w:r w:rsidRPr="00600CB7">
              <w:rPr>
                <w:i/>
                <w:iCs/>
                <w:szCs w:val="20"/>
                <w:lang w:val="en-US"/>
              </w:rPr>
              <w:t>Moraxella</w:t>
            </w:r>
            <w:r w:rsidRPr="00600CB7">
              <w:rPr>
                <w:i/>
                <w:iCs/>
                <w:szCs w:val="20"/>
              </w:rPr>
              <w:t xml:space="preserve"> </w:t>
            </w:r>
            <w:proofErr w:type="spellStart"/>
            <w:r w:rsidRPr="00600CB7">
              <w:rPr>
                <w:i/>
                <w:iCs/>
                <w:szCs w:val="20"/>
                <w:lang w:val="en-US"/>
              </w:rPr>
              <w:t>catarrhalis</w:t>
            </w:r>
            <w:proofErr w:type="spellEnd"/>
            <w:r w:rsidRPr="00600CB7">
              <w:rPr>
                <w:i/>
                <w:iCs/>
                <w:szCs w:val="20"/>
              </w:rPr>
              <w:t xml:space="preserve">* </w:t>
            </w:r>
          </w:p>
          <w:p w14:paraId="56A86D0E" w14:textId="77777777" w:rsidR="00600CB7" w:rsidRDefault="00600CB7" w:rsidP="00600CB7">
            <w:pPr>
              <w:rPr>
                <w:szCs w:val="20"/>
              </w:rPr>
            </w:pPr>
            <w:r w:rsidRPr="00600CB7">
              <w:rPr>
                <w:szCs w:val="20"/>
              </w:rPr>
              <w:t xml:space="preserve">Други микроорганизми </w:t>
            </w:r>
          </w:p>
          <w:p w14:paraId="5CED7885" w14:textId="77777777" w:rsidR="00600CB7" w:rsidRDefault="00600CB7" w:rsidP="00600CB7">
            <w:pPr>
              <w:rPr>
                <w:i/>
                <w:iCs/>
                <w:szCs w:val="20"/>
              </w:rPr>
            </w:pPr>
            <w:r w:rsidRPr="00600CB7">
              <w:rPr>
                <w:i/>
                <w:iCs/>
                <w:szCs w:val="20"/>
                <w:lang w:val="en-US"/>
              </w:rPr>
              <w:t>Chlamydia</w:t>
            </w:r>
            <w:r w:rsidRPr="00600CB7">
              <w:rPr>
                <w:i/>
                <w:iCs/>
                <w:szCs w:val="20"/>
              </w:rPr>
              <w:t xml:space="preserve"> </w:t>
            </w:r>
            <w:proofErr w:type="spellStart"/>
            <w:r w:rsidRPr="00600CB7">
              <w:rPr>
                <w:i/>
                <w:iCs/>
                <w:szCs w:val="20"/>
                <w:lang w:val="en-US"/>
              </w:rPr>
              <w:t>pneumoniae</w:t>
            </w:r>
            <w:proofErr w:type="spellEnd"/>
            <w:r w:rsidRPr="00600CB7">
              <w:rPr>
                <w:i/>
                <w:iCs/>
                <w:szCs w:val="20"/>
              </w:rPr>
              <w:t xml:space="preserve"> </w:t>
            </w:r>
          </w:p>
          <w:p w14:paraId="244F095A" w14:textId="77777777" w:rsidR="00600CB7" w:rsidRDefault="00600CB7" w:rsidP="00600CB7">
            <w:pPr>
              <w:rPr>
                <w:i/>
                <w:iCs/>
                <w:szCs w:val="20"/>
              </w:rPr>
            </w:pPr>
            <w:r w:rsidRPr="00600CB7">
              <w:rPr>
                <w:i/>
                <w:iCs/>
                <w:szCs w:val="20"/>
                <w:lang w:val="en-US"/>
              </w:rPr>
              <w:t>Chlamydia</w:t>
            </w:r>
            <w:r w:rsidRPr="00600CB7">
              <w:rPr>
                <w:i/>
                <w:iCs/>
                <w:szCs w:val="20"/>
              </w:rPr>
              <w:t xml:space="preserve"> </w:t>
            </w:r>
            <w:r w:rsidRPr="00600CB7">
              <w:rPr>
                <w:i/>
                <w:iCs/>
                <w:szCs w:val="20"/>
                <w:lang w:val="en-US"/>
              </w:rPr>
              <w:t>trachomatis</w:t>
            </w:r>
            <w:r w:rsidRPr="00600CB7">
              <w:rPr>
                <w:i/>
                <w:iCs/>
                <w:szCs w:val="20"/>
              </w:rPr>
              <w:t xml:space="preserve"> </w:t>
            </w:r>
          </w:p>
          <w:p w14:paraId="6B1BF720" w14:textId="77777777" w:rsidR="00600CB7" w:rsidRDefault="00600CB7" w:rsidP="00600CB7">
            <w:pPr>
              <w:rPr>
                <w:i/>
                <w:iCs/>
                <w:szCs w:val="20"/>
              </w:rPr>
            </w:pPr>
            <w:r w:rsidRPr="00600CB7">
              <w:rPr>
                <w:i/>
                <w:iCs/>
                <w:szCs w:val="20"/>
                <w:lang w:val="en-US"/>
              </w:rPr>
              <w:t>Legionella</w:t>
            </w:r>
            <w:r w:rsidRPr="00600CB7">
              <w:rPr>
                <w:i/>
                <w:iCs/>
                <w:szCs w:val="20"/>
              </w:rPr>
              <w:t xml:space="preserve"> </w:t>
            </w:r>
            <w:proofErr w:type="spellStart"/>
            <w:r w:rsidRPr="00600CB7">
              <w:rPr>
                <w:i/>
                <w:iCs/>
                <w:szCs w:val="20"/>
                <w:lang w:val="en-US"/>
              </w:rPr>
              <w:t>pneumophila</w:t>
            </w:r>
            <w:proofErr w:type="spellEnd"/>
            <w:r w:rsidRPr="00600CB7">
              <w:rPr>
                <w:i/>
                <w:iCs/>
                <w:szCs w:val="20"/>
              </w:rPr>
              <w:t xml:space="preserve"> </w:t>
            </w:r>
          </w:p>
          <w:p w14:paraId="1ABF3414" w14:textId="77777777" w:rsidR="00600CB7" w:rsidRDefault="00600CB7" w:rsidP="00600CB7">
            <w:pPr>
              <w:rPr>
                <w:i/>
                <w:iCs/>
                <w:szCs w:val="20"/>
              </w:rPr>
            </w:pPr>
            <w:r w:rsidRPr="00600CB7">
              <w:rPr>
                <w:i/>
                <w:iCs/>
                <w:szCs w:val="20"/>
                <w:lang w:val="en-US"/>
              </w:rPr>
              <w:t>Mycobacterium</w:t>
            </w:r>
            <w:r w:rsidRPr="00600CB7">
              <w:rPr>
                <w:i/>
                <w:iCs/>
                <w:szCs w:val="20"/>
              </w:rPr>
              <w:t xml:space="preserve"> </w:t>
            </w:r>
            <w:proofErr w:type="spellStart"/>
            <w:r w:rsidRPr="00600CB7">
              <w:rPr>
                <w:i/>
                <w:iCs/>
                <w:szCs w:val="20"/>
                <w:lang w:val="en-US"/>
              </w:rPr>
              <w:t>avium</w:t>
            </w:r>
            <w:proofErr w:type="spellEnd"/>
            <w:r w:rsidRPr="00600CB7">
              <w:rPr>
                <w:i/>
                <w:iCs/>
                <w:szCs w:val="20"/>
              </w:rPr>
              <w:t xml:space="preserve"> </w:t>
            </w:r>
          </w:p>
          <w:p w14:paraId="5AF1F563" w14:textId="2AE47DEA" w:rsidR="00600CB7" w:rsidRPr="00600CB7" w:rsidRDefault="00600CB7" w:rsidP="00600CB7">
            <w:pPr>
              <w:rPr>
                <w:rFonts w:eastAsia="Times New Roman" w:cs="Arial"/>
                <w:color w:val="000000"/>
                <w:u w:val="single"/>
              </w:rPr>
            </w:pPr>
            <w:r w:rsidRPr="00600CB7">
              <w:rPr>
                <w:i/>
                <w:iCs/>
                <w:szCs w:val="20"/>
                <w:lang w:val="en-US"/>
              </w:rPr>
              <w:t>Mycoplasma</w:t>
            </w:r>
            <w:r w:rsidRPr="00600CB7">
              <w:rPr>
                <w:i/>
                <w:iCs/>
                <w:szCs w:val="20"/>
              </w:rPr>
              <w:t xml:space="preserve"> </w:t>
            </w:r>
            <w:proofErr w:type="spellStart"/>
            <w:r w:rsidRPr="00600CB7">
              <w:rPr>
                <w:i/>
                <w:iCs/>
                <w:szCs w:val="20"/>
                <w:lang w:val="en-US"/>
              </w:rPr>
              <w:t>pneumoniae</w:t>
            </w:r>
            <w:proofErr w:type="spellEnd"/>
            <w:r w:rsidRPr="00600CB7">
              <w:rPr>
                <w:i/>
                <w:iCs/>
                <w:szCs w:val="20"/>
              </w:rPr>
              <w:t>*</w:t>
            </w:r>
          </w:p>
        </w:tc>
      </w:tr>
      <w:tr w:rsidR="00600CB7" w14:paraId="0268AC62" w14:textId="77777777" w:rsidTr="00600CB7">
        <w:tc>
          <w:tcPr>
            <w:tcW w:w="9576" w:type="dxa"/>
          </w:tcPr>
          <w:p w14:paraId="61E72441" w14:textId="77777777" w:rsidR="00600CB7" w:rsidRPr="00600CB7" w:rsidRDefault="00600CB7" w:rsidP="00600CB7">
            <w:r w:rsidRPr="00600CB7">
              <w:rPr>
                <w:b/>
                <w:bCs/>
                <w:szCs w:val="20"/>
              </w:rPr>
              <w:t>Видове, при които придобитата резистентност може да бъде проблемна</w:t>
            </w:r>
          </w:p>
          <w:p w14:paraId="7B66AB73" w14:textId="77777777" w:rsidR="00600CB7" w:rsidRPr="00600CB7" w:rsidRDefault="00600CB7" w:rsidP="00600CB7">
            <w:r w:rsidRPr="00600CB7">
              <w:rPr>
                <w:szCs w:val="20"/>
              </w:rPr>
              <w:t>Аеробни грам-положителни микроорганизми</w:t>
            </w:r>
          </w:p>
          <w:p w14:paraId="2CCC52D0" w14:textId="77777777" w:rsidR="00600CB7" w:rsidRPr="00600CB7" w:rsidRDefault="00600CB7" w:rsidP="00600CB7">
            <w:r w:rsidRPr="00600CB7">
              <w:rPr>
                <w:i/>
                <w:iCs/>
                <w:szCs w:val="20"/>
                <w:lang w:val="en-US"/>
              </w:rPr>
              <w:t>Staphylococcus</w:t>
            </w:r>
            <w:r w:rsidRPr="00600CB7">
              <w:rPr>
                <w:i/>
                <w:iCs/>
                <w:szCs w:val="20"/>
                <w:lang w:val="ru-RU"/>
              </w:rPr>
              <w:t xml:space="preserve"> </w:t>
            </w:r>
            <w:r w:rsidRPr="00600CB7">
              <w:rPr>
                <w:i/>
                <w:iCs/>
                <w:szCs w:val="20"/>
                <w:lang w:val="en-US"/>
              </w:rPr>
              <w:t>aureus</w:t>
            </w:r>
            <w:r w:rsidRPr="00600CB7">
              <w:rPr>
                <w:i/>
                <w:iCs/>
                <w:szCs w:val="20"/>
                <w:lang w:val="ru-RU"/>
              </w:rPr>
              <w:t>*</w:t>
            </w:r>
          </w:p>
          <w:p w14:paraId="3591CF1A" w14:textId="77777777" w:rsidR="00600CB7" w:rsidRPr="00600CB7" w:rsidRDefault="00600CB7" w:rsidP="00600CB7">
            <w:r w:rsidRPr="00600CB7">
              <w:rPr>
                <w:i/>
                <w:iCs/>
                <w:szCs w:val="20"/>
                <w:lang w:val="en-US"/>
              </w:rPr>
              <w:t xml:space="preserve">Streptococcus </w:t>
            </w:r>
            <w:proofErr w:type="spellStart"/>
            <w:r w:rsidRPr="00600CB7">
              <w:rPr>
                <w:i/>
                <w:iCs/>
                <w:szCs w:val="20"/>
                <w:lang w:val="en-US"/>
              </w:rPr>
              <w:t>agalactiae</w:t>
            </w:r>
            <w:proofErr w:type="spellEnd"/>
          </w:p>
          <w:p w14:paraId="35C2F49C" w14:textId="77777777" w:rsidR="00600CB7" w:rsidRPr="00600CB7" w:rsidRDefault="00600CB7" w:rsidP="00600CB7">
            <w:r w:rsidRPr="00600CB7">
              <w:rPr>
                <w:i/>
                <w:iCs/>
                <w:szCs w:val="20"/>
                <w:lang w:val="en-US"/>
              </w:rPr>
              <w:t xml:space="preserve">Streptococcus </w:t>
            </w:r>
            <w:proofErr w:type="spellStart"/>
            <w:r w:rsidRPr="00600CB7">
              <w:rPr>
                <w:i/>
                <w:iCs/>
                <w:szCs w:val="20"/>
                <w:lang w:val="en-US"/>
              </w:rPr>
              <w:t>pneumoniae</w:t>
            </w:r>
            <w:proofErr w:type="spellEnd"/>
            <w:r w:rsidRPr="00600CB7">
              <w:rPr>
                <w:i/>
                <w:iCs/>
                <w:szCs w:val="20"/>
                <w:lang w:val="en-US"/>
              </w:rPr>
              <w:t>*</w:t>
            </w:r>
          </w:p>
          <w:p w14:paraId="132EC82F" w14:textId="77777777" w:rsidR="00600CB7" w:rsidRPr="00600CB7" w:rsidRDefault="00600CB7" w:rsidP="00600CB7">
            <w:r w:rsidRPr="00600CB7">
              <w:rPr>
                <w:i/>
                <w:iCs/>
                <w:szCs w:val="20"/>
                <w:lang w:val="en-US"/>
              </w:rPr>
              <w:t xml:space="preserve">Streptococcus </w:t>
            </w:r>
            <w:proofErr w:type="spellStart"/>
            <w:r w:rsidRPr="00600CB7">
              <w:rPr>
                <w:i/>
                <w:iCs/>
                <w:szCs w:val="20"/>
                <w:lang w:val="en-US"/>
              </w:rPr>
              <w:t>pyogenes</w:t>
            </w:r>
            <w:proofErr w:type="spellEnd"/>
            <w:r w:rsidRPr="00600CB7">
              <w:rPr>
                <w:i/>
                <w:iCs/>
                <w:szCs w:val="20"/>
                <w:lang w:val="en-US"/>
              </w:rPr>
              <w:t>*</w:t>
            </w:r>
          </w:p>
          <w:p w14:paraId="04C27FCE" w14:textId="77777777" w:rsidR="00600CB7" w:rsidRPr="00600CB7" w:rsidRDefault="00600CB7" w:rsidP="00600CB7">
            <w:r w:rsidRPr="00600CB7">
              <w:rPr>
                <w:szCs w:val="20"/>
              </w:rPr>
              <w:t>Други микроорганизми</w:t>
            </w:r>
          </w:p>
          <w:p w14:paraId="693070EA" w14:textId="34ADB550" w:rsidR="00600CB7" w:rsidRPr="00600CB7" w:rsidRDefault="00600CB7" w:rsidP="00600CB7">
            <w:pPr>
              <w:rPr>
                <w:rFonts w:eastAsia="Times New Roman" w:cs="Arial"/>
                <w:color w:val="000000"/>
                <w:u w:val="single"/>
              </w:rPr>
            </w:pPr>
            <w:proofErr w:type="spellStart"/>
            <w:r w:rsidRPr="00600CB7">
              <w:rPr>
                <w:i/>
                <w:iCs/>
                <w:szCs w:val="20"/>
                <w:lang w:val="en-US"/>
              </w:rPr>
              <w:t>Ureaplasma</w:t>
            </w:r>
            <w:proofErr w:type="spellEnd"/>
            <w:r w:rsidRPr="00600CB7">
              <w:rPr>
                <w:i/>
                <w:iCs/>
                <w:szCs w:val="20"/>
                <w:lang w:val="en-US"/>
              </w:rPr>
              <w:t xml:space="preserve"> </w:t>
            </w:r>
            <w:proofErr w:type="spellStart"/>
            <w:r w:rsidRPr="00600CB7">
              <w:rPr>
                <w:i/>
                <w:iCs/>
                <w:szCs w:val="20"/>
                <w:lang w:val="en-US"/>
              </w:rPr>
              <w:t>urealyticum</w:t>
            </w:r>
            <w:proofErr w:type="spellEnd"/>
          </w:p>
        </w:tc>
      </w:tr>
      <w:tr w:rsidR="00600CB7" w14:paraId="058C20AD" w14:textId="77777777" w:rsidTr="00600CB7">
        <w:tc>
          <w:tcPr>
            <w:tcW w:w="9576" w:type="dxa"/>
          </w:tcPr>
          <w:p w14:paraId="04A9EA3F" w14:textId="07118FBD" w:rsidR="00600CB7" w:rsidRPr="00600CB7" w:rsidRDefault="00600CB7" w:rsidP="00600CB7">
            <w:pPr>
              <w:rPr>
                <w:rFonts w:eastAsia="Times New Roman" w:cs="Arial"/>
                <w:color w:val="000000"/>
                <w:u w:val="single"/>
              </w:rPr>
            </w:pPr>
            <w:r w:rsidRPr="00600CB7">
              <w:rPr>
                <w:b/>
                <w:bCs/>
                <w:szCs w:val="20"/>
              </w:rPr>
              <w:t>Вродена резистентност</w:t>
            </w:r>
          </w:p>
        </w:tc>
      </w:tr>
      <w:tr w:rsidR="00600CB7" w14:paraId="601F0184" w14:textId="77777777" w:rsidTr="00600CB7">
        <w:tc>
          <w:tcPr>
            <w:tcW w:w="9576" w:type="dxa"/>
          </w:tcPr>
          <w:p w14:paraId="47C3F8B0" w14:textId="77777777" w:rsidR="00600CB7" w:rsidRPr="00600CB7" w:rsidRDefault="00600CB7" w:rsidP="00600CB7">
            <w:r w:rsidRPr="00600CB7">
              <w:rPr>
                <w:szCs w:val="20"/>
              </w:rPr>
              <w:t>Аеробни грам-положителни микроорганизми</w:t>
            </w:r>
          </w:p>
          <w:p w14:paraId="4428462A" w14:textId="77777777" w:rsidR="00600CB7" w:rsidRPr="00600CB7" w:rsidRDefault="00600CB7" w:rsidP="00600CB7">
            <w:r w:rsidRPr="00600CB7">
              <w:rPr>
                <w:i/>
                <w:iCs/>
                <w:szCs w:val="20"/>
                <w:lang w:val="en-US"/>
              </w:rPr>
              <w:t>Staphylococcus</w:t>
            </w:r>
            <w:r w:rsidRPr="00600CB7">
              <w:rPr>
                <w:i/>
                <w:iCs/>
                <w:szCs w:val="20"/>
                <w:lang w:val="ru-RU"/>
              </w:rPr>
              <w:t xml:space="preserve"> </w:t>
            </w:r>
            <w:r w:rsidRPr="00600CB7">
              <w:rPr>
                <w:i/>
                <w:iCs/>
                <w:szCs w:val="20"/>
                <w:lang w:val="en-US"/>
              </w:rPr>
              <w:t>aureus</w:t>
            </w:r>
            <w:r w:rsidRPr="00600CB7">
              <w:rPr>
                <w:i/>
                <w:iCs/>
                <w:szCs w:val="20"/>
                <w:lang w:val="ru-RU"/>
              </w:rPr>
              <w:t xml:space="preserve"> </w:t>
            </w:r>
            <w:r w:rsidRPr="00600CB7">
              <w:rPr>
                <w:i/>
                <w:iCs/>
                <w:szCs w:val="20"/>
              </w:rPr>
              <w:t>— метицилин резистентни и еритромицин резистентни щамове</w:t>
            </w:r>
          </w:p>
          <w:p w14:paraId="58188502" w14:textId="77777777" w:rsidR="00600CB7" w:rsidRPr="00600CB7" w:rsidRDefault="00600CB7" w:rsidP="00600CB7">
            <w:r w:rsidRPr="00600CB7">
              <w:rPr>
                <w:i/>
                <w:iCs/>
                <w:szCs w:val="20"/>
                <w:lang w:val="en-US"/>
              </w:rPr>
              <w:lastRenderedPageBreak/>
              <w:t>Streptococcus</w:t>
            </w:r>
            <w:r w:rsidRPr="00600CB7">
              <w:rPr>
                <w:i/>
                <w:iCs/>
                <w:szCs w:val="20"/>
              </w:rPr>
              <w:t xml:space="preserve"> </w:t>
            </w:r>
            <w:proofErr w:type="spellStart"/>
            <w:r w:rsidRPr="00600CB7">
              <w:rPr>
                <w:i/>
                <w:iCs/>
                <w:szCs w:val="20"/>
                <w:lang w:val="en-US"/>
              </w:rPr>
              <w:t>pneumoniae</w:t>
            </w:r>
            <w:proofErr w:type="spellEnd"/>
            <w:r w:rsidRPr="00600CB7">
              <w:rPr>
                <w:i/>
                <w:iCs/>
                <w:szCs w:val="20"/>
              </w:rPr>
              <w:t xml:space="preserve"> — пеницилин резистентни щамове</w:t>
            </w:r>
          </w:p>
          <w:p w14:paraId="3FB39011" w14:textId="77777777" w:rsidR="00600CB7" w:rsidRPr="00600CB7" w:rsidRDefault="00600CB7" w:rsidP="00600CB7">
            <w:r w:rsidRPr="00600CB7">
              <w:rPr>
                <w:szCs w:val="20"/>
              </w:rPr>
              <w:t>Аеробни грам-отрицателни микроорганизми</w:t>
            </w:r>
          </w:p>
          <w:p w14:paraId="66AABD0E" w14:textId="77777777" w:rsidR="00600CB7" w:rsidRPr="00600CB7" w:rsidRDefault="00600CB7" w:rsidP="00600CB7">
            <w:r w:rsidRPr="00600CB7">
              <w:rPr>
                <w:i/>
                <w:iCs/>
                <w:szCs w:val="20"/>
                <w:lang w:val="en-US"/>
              </w:rPr>
              <w:t>Escherichia coli</w:t>
            </w:r>
          </w:p>
          <w:p w14:paraId="3F23BCF8" w14:textId="77777777" w:rsidR="00600CB7" w:rsidRPr="00600CB7" w:rsidRDefault="00600CB7" w:rsidP="00600CB7">
            <w:r w:rsidRPr="00600CB7">
              <w:rPr>
                <w:i/>
                <w:iCs/>
                <w:szCs w:val="20"/>
                <w:lang w:val="en-US"/>
              </w:rPr>
              <w:t>Pseudomonas aeruginosa</w:t>
            </w:r>
          </w:p>
          <w:p w14:paraId="59154BBC" w14:textId="77777777" w:rsidR="00600CB7" w:rsidRPr="00600CB7" w:rsidRDefault="00600CB7" w:rsidP="00600CB7">
            <w:proofErr w:type="spellStart"/>
            <w:r w:rsidRPr="00600CB7">
              <w:rPr>
                <w:i/>
                <w:iCs/>
                <w:szCs w:val="20"/>
                <w:lang w:val="en-US"/>
              </w:rPr>
              <w:t>Klebsiella</w:t>
            </w:r>
            <w:proofErr w:type="spellEnd"/>
            <w:r w:rsidRPr="00600CB7">
              <w:rPr>
                <w:i/>
                <w:iCs/>
                <w:szCs w:val="20"/>
                <w:lang w:val="en-US"/>
              </w:rPr>
              <w:t xml:space="preserve"> spp.</w:t>
            </w:r>
          </w:p>
          <w:p w14:paraId="21075CBE" w14:textId="77777777" w:rsidR="00600CB7" w:rsidRPr="00600CB7" w:rsidRDefault="00600CB7" w:rsidP="00600CB7">
            <w:r w:rsidRPr="00600CB7">
              <w:rPr>
                <w:szCs w:val="20"/>
              </w:rPr>
              <w:t>Анаеробни грам-отрицателни микроорганизми</w:t>
            </w:r>
          </w:p>
          <w:p w14:paraId="6BCE3047" w14:textId="327D98A6" w:rsidR="00600CB7" w:rsidRPr="00600CB7" w:rsidRDefault="00600CB7" w:rsidP="00600CB7">
            <w:pPr>
              <w:rPr>
                <w:rFonts w:eastAsia="Times New Roman" w:cs="Arial"/>
                <w:color w:val="000000"/>
                <w:u w:val="single"/>
              </w:rPr>
            </w:pPr>
            <w:r w:rsidRPr="00600CB7">
              <w:rPr>
                <w:i/>
                <w:iCs/>
                <w:szCs w:val="20"/>
              </w:rPr>
              <w:t xml:space="preserve">Групата на </w:t>
            </w:r>
            <w:proofErr w:type="spellStart"/>
            <w:r w:rsidRPr="00600CB7">
              <w:rPr>
                <w:i/>
                <w:iCs/>
                <w:szCs w:val="20"/>
                <w:lang w:val="en-US"/>
              </w:rPr>
              <w:t>Bacteroides</w:t>
            </w:r>
            <w:proofErr w:type="spellEnd"/>
            <w:r w:rsidRPr="00600CB7">
              <w:rPr>
                <w:i/>
                <w:iCs/>
                <w:szCs w:val="20"/>
                <w:lang w:val="ru-RU"/>
              </w:rPr>
              <w:t xml:space="preserve"> </w:t>
            </w:r>
            <w:proofErr w:type="spellStart"/>
            <w:r w:rsidRPr="00600CB7">
              <w:rPr>
                <w:i/>
                <w:iCs/>
                <w:szCs w:val="20"/>
                <w:lang w:val="en-US"/>
              </w:rPr>
              <w:t>fragilis</w:t>
            </w:r>
            <w:proofErr w:type="spellEnd"/>
          </w:p>
        </w:tc>
      </w:tr>
    </w:tbl>
    <w:p w14:paraId="42AF16D4"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lastRenderedPageBreak/>
        <w:t>*Клиничната ефективност е доказана за чувствителни изолирани микроорганизми за одобрените клинични показания.</w:t>
      </w:r>
    </w:p>
    <w:p w14:paraId="5415C03A" w14:textId="77777777" w:rsidR="00600CB7" w:rsidRPr="00600CB7" w:rsidRDefault="00600CB7" w:rsidP="00600CB7">
      <w:pPr>
        <w:spacing w:line="240" w:lineRule="auto"/>
        <w:rPr>
          <w:rFonts w:eastAsia="Times New Roman" w:cs="Arial"/>
          <w:color w:val="000000"/>
          <w:szCs w:val="20"/>
          <w:u w:val="single"/>
          <w:lang w:eastAsia="bg-BG"/>
        </w:rPr>
      </w:pPr>
    </w:p>
    <w:p w14:paraId="520B9B81" w14:textId="6131F1CA"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u w:val="single"/>
          <w:lang w:eastAsia="bg-BG"/>
        </w:rPr>
        <w:t>Педиатрична популация</w:t>
      </w:r>
    </w:p>
    <w:p w14:paraId="64BCB036" w14:textId="617C55D9" w:rsidR="00600CB7" w:rsidRPr="00600CB7" w:rsidRDefault="00600CB7" w:rsidP="00600CB7">
      <w:pPr>
        <w:rPr>
          <w:rFonts w:eastAsia="Times New Roman" w:cs="Arial"/>
          <w:color w:val="000000"/>
          <w:szCs w:val="20"/>
          <w:lang w:eastAsia="bg-BG"/>
        </w:rPr>
      </w:pPr>
      <w:r w:rsidRPr="00600CB7">
        <w:rPr>
          <w:rFonts w:eastAsia="Times New Roman" w:cs="Arial"/>
          <w:color w:val="000000"/>
          <w:szCs w:val="20"/>
          <w:lang w:eastAsia="bg-BG"/>
        </w:rPr>
        <w:t>Въз основа на оценка на проучвания при деца не се препоръчва употреба на азитромицин за лечение на малария, както като монотерапия, така и в комбинация с хлороквин или артемизинин съдържащи лекарствени продукти, тъй като не е установена неинфериорност спрямо антималарийните лекарства, препоръчвани за лечение на неусложнена малария.</w:t>
      </w:r>
    </w:p>
    <w:p w14:paraId="79F64B6E" w14:textId="77777777" w:rsidR="00600CB7" w:rsidRPr="00600CB7" w:rsidRDefault="00600CB7" w:rsidP="00600CB7">
      <w:pPr>
        <w:rPr>
          <w:rFonts w:eastAsia="Times New Roman" w:cs="Arial"/>
          <w:color w:val="000000"/>
          <w:u w:val="single"/>
        </w:rPr>
      </w:pPr>
    </w:p>
    <w:p w14:paraId="26535098" w14:textId="2A4EE9BE" w:rsidR="00395555" w:rsidRDefault="002C50EE" w:rsidP="008A6AF2">
      <w:pPr>
        <w:pStyle w:val="Heading2"/>
      </w:pPr>
      <w:r>
        <w:t>5.2. Фармакокинетични свойства</w:t>
      </w:r>
    </w:p>
    <w:p w14:paraId="3069DCD1" w14:textId="6848F9A4" w:rsidR="00600CB7" w:rsidRDefault="00600CB7" w:rsidP="00600CB7"/>
    <w:p w14:paraId="56DFA142" w14:textId="77777777" w:rsidR="00600CB7" w:rsidRPr="00600CB7" w:rsidRDefault="00600CB7" w:rsidP="00600CB7">
      <w:pPr>
        <w:pStyle w:val="Heading3"/>
        <w:rPr>
          <w:rFonts w:eastAsia="Times New Roman"/>
          <w:sz w:val="28"/>
          <w:u w:val="single"/>
        </w:rPr>
      </w:pPr>
      <w:r w:rsidRPr="00600CB7">
        <w:rPr>
          <w:rFonts w:eastAsia="Times New Roman"/>
          <w:u w:val="single"/>
          <w:lang w:eastAsia="bg-BG"/>
        </w:rPr>
        <w:t>Абсорбция</w:t>
      </w:r>
    </w:p>
    <w:p w14:paraId="5C3A3A11"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Бионаличността след перорален прием е около 37%. Максимални плазмени концентрации се постигат 2-3 часа след приема на продукта. Средната максимална концентрация (С</w:t>
      </w:r>
      <w:r w:rsidRPr="00600CB7">
        <w:rPr>
          <w:rFonts w:eastAsia="Times New Roman" w:cs="Arial"/>
          <w:color w:val="000000"/>
          <w:szCs w:val="20"/>
          <w:vertAlign w:val="subscript"/>
          <w:lang w:val="en-US"/>
        </w:rPr>
        <w:t>max</w:t>
      </w:r>
      <w:r w:rsidRPr="00600CB7">
        <w:rPr>
          <w:rFonts w:eastAsia="Times New Roman" w:cs="Arial"/>
          <w:color w:val="000000"/>
          <w:szCs w:val="20"/>
          <w:lang w:eastAsia="bg-BG"/>
        </w:rPr>
        <w:t xml:space="preserve">), наблюдавана след прилагане на еднократна доза от 500 </w:t>
      </w:r>
      <w:r w:rsidRPr="00600CB7">
        <w:rPr>
          <w:rFonts w:eastAsia="Times New Roman" w:cs="Arial"/>
          <w:color w:val="000000"/>
          <w:szCs w:val="20"/>
          <w:lang w:val="en-US"/>
        </w:rPr>
        <w:t>mg</w:t>
      </w:r>
      <w:r w:rsidRPr="00600CB7">
        <w:rPr>
          <w:rFonts w:eastAsia="Times New Roman" w:cs="Arial"/>
          <w:color w:val="000000"/>
          <w:szCs w:val="20"/>
          <w:lang w:val="ru-RU"/>
        </w:rPr>
        <w:t xml:space="preserve"> </w:t>
      </w:r>
      <w:r w:rsidRPr="00600CB7">
        <w:rPr>
          <w:rFonts w:eastAsia="Times New Roman" w:cs="Arial"/>
          <w:color w:val="000000"/>
          <w:szCs w:val="20"/>
          <w:lang w:eastAsia="bg-BG"/>
        </w:rPr>
        <w:t>е около 0,4 μ</w:t>
      </w:r>
      <w:r w:rsidRPr="00600CB7">
        <w:rPr>
          <w:rFonts w:eastAsia="Times New Roman" w:cs="Arial"/>
          <w:color w:val="000000"/>
          <w:szCs w:val="20"/>
          <w:lang w:val="en-US"/>
        </w:rPr>
        <w:t>g</w:t>
      </w:r>
      <w:r w:rsidRPr="00600CB7">
        <w:rPr>
          <w:rFonts w:eastAsia="Times New Roman" w:cs="Arial"/>
          <w:color w:val="000000"/>
          <w:szCs w:val="20"/>
          <w:lang w:val="ru-RU"/>
        </w:rPr>
        <w:t>/</w:t>
      </w:r>
      <w:r w:rsidRPr="00600CB7">
        <w:rPr>
          <w:rFonts w:eastAsia="Times New Roman" w:cs="Arial"/>
          <w:color w:val="000000"/>
          <w:szCs w:val="20"/>
          <w:lang w:val="en-US"/>
        </w:rPr>
        <w:t>ml</w:t>
      </w:r>
      <w:r w:rsidRPr="00600CB7">
        <w:rPr>
          <w:rFonts w:eastAsia="Times New Roman" w:cs="Arial"/>
          <w:color w:val="000000"/>
          <w:szCs w:val="20"/>
          <w:lang w:val="ru-RU"/>
        </w:rPr>
        <w:t>.</w:t>
      </w:r>
    </w:p>
    <w:p w14:paraId="55C0BE51" w14:textId="77777777" w:rsidR="00600CB7" w:rsidRPr="00600CB7" w:rsidRDefault="00600CB7" w:rsidP="00600CB7">
      <w:pPr>
        <w:spacing w:line="240" w:lineRule="auto"/>
        <w:rPr>
          <w:rFonts w:eastAsia="Times New Roman" w:cs="Arial"/>
          <w:sz w:val="28"/>
          <w:szCs w:val="24"/>
        </w:rPr>
      </w:pPr>
    </w:p>
    <w:p w14:paraId="6527E510" w14:textId="4912151C" w:rsidR="00600CB7" w:rsidRPr="00600CB7" w:rsidRDefault="00600CB7" w:rsidP="00600CB7">
      <w:pPr>
        <w:pStyle w:val="Heading3"/>
        <w:rPr>
          <w:rFonts w:eastAsia="Times New Roman"/>
          <w:sz w:val="28"/>
          <w:u w:val="single"/>
        </w:rPr>
      </w:pPr>
      <w:r w:rsidRPr="00600CB7">
        <w:rPr>
          <w:rFonts w:eastAsia="Times New Roman"/>
          <w:u w:val="single"/>
          <w:lang w:eastAsia="bg-BG"/>
        </w:rPr>
        <w:t>Разпределение</w:t>
      </w:r>
    </w:p>
    <w:p w14:paraId="468B87A8"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Перорално приложеният азитромицин се разпространява широко в целия организъм.</w:t>
      </w:r>
    </w:p>
    <w:p w14:paraId="0F9E27FA" w14:textId="77777777" w:rsidR="00600CB7" w:rsidRPr="00600CB7" w:rsidRDefault="00600CB7" w:rsidP="00600CB7">
      <w:pPr>
        <w:rPr>
          <w:rFonts w:eastAsia="Times New Roman" w:cs="Arial"/>
          <w:color w:val="000000"/>
          <w:szCs w:val="20"/>
          <w:lang w:eastAsia="bg-BG"/>
        </w:rPr>
      </w:pPr>
    </w:p>
    <w:p w14:paraId="79BC097F" w14:textId="77777777" w:rsidR="00600CB7" w:rsidRPr="00600CB7" w:rsidRDefault="00600CB7" w:rsidP="00600CB7">
      <w:pPr>
        <w:rPr>
          <w:rFonts w:eastAsia="Times New Roman" w:cs="Arial"/>
          <w:sz w:val="28"/>
          <w:szCs w:val="24"/>
        </w:rPr>
      </w:pPr>
      <w:r w:rsidRPr="00600CB7">
        <w:rPr>
          <w:rFonts w:eastAsia="Times New Roman" w:cs="Arial"/>
          <w:color w:val="000000"/>
          <w:szCs w:val="20"/>
          <w:lang w:eastAsia="bg-BG"/>
        </w:rPr>
        <w:t xml:space="preserve">Във фармакокинетични проучвания е установено, че измерените концентрации на азитромицин в тъканите са отчетливо по-високи (до 50 пъти) от тези измерени в плазмата. Това показва, че лекарството се свързва в значителна степен с тъканите (обемът на разпределение при равновесни концентрации е приблизително 31 </w:t>
      </w:r>
      <w:r w:rsidRPr="00600CB7">
        <w:rPr>
          <w:rFonts w:eastAsia="Times New Roman" w:cs="Arial"/>
          <w:color w:val="000000"/>
          <w:szCs w:val="20"/>
          <w:lang w:val="ru-RU"/>
        </w:rPr>
        <w:t>1/</w:t>
      </w:r>
      <w:r w:rsidRPr="00600CB7">
        <w:rPr>
          <w:rFonts w:eastAsia="Times New Roman" w:cs="Arial"/>
          <w:color w:val="000000"/>
          <w:szCs w:val="20"/>
          <w:lang w:val="en-US"/>
        </w:rPr>
        <w:t>kg</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31 </w:t>
      </w:r>
      <w:r w:rsidRPr="00600CB7">
        <w:rPr>
          <w:rFonts w:eastAsia="Times New Roman" w:cs="Arial"/>
          <w:color w:val="000000"/>
          <w:szCs w:val="20"/>
          <w:lang w:val="ru-RU"/>
        </w:rPr>
        <w:t>1/</w:t>
      </w:r>
      <w:r w:rsidRPr="00600CB7">
        <w:rPr>
          <w:rFonts w:eastAsia="Times New Roman" w:cs="Arial"/>
          <w:color w:val="000000"/>
          <w:szCs w:val="20"/>
          <w:lang w:val="en-US"/>
        </w:rPr>
        <w:t>kg</w:t>
      </w:r>
      <w:r w:rsidRPr="00600CB7">
        <w:rPr>
          <w:rFonts w:eastAsia="Times New Roman" w:cs="Arial"/>
          <w:color w:val="000000"/>
          <w:szCs w:val="20"/>
          <w:lang w:val="ru-RU"/>
        </w:rPr>
        <w:t>).</w:t>
      </w:r>
    </w:p>
    <w:p w14:paraId="549273A5" w14:textId="77777777" w:rsidR="00600CB7" w:rsidRPr="00600CB7" w:rsidRDefault="00600CB7" w:rsidP="00600CB7">
      <w:pPr>
        <w:spacing w:line="240" w:lineRule="auto"/>
        <w:rPr>
          <w:rFonts w:eastAsia="Times New Roman" w:cs="Arial"/>
          <w:color w:val="000000"/>
          <w:szCs w:val="20"/>
          <w:lang w:eastAsia="bg-BG"/>
        </w:rPr>
      </w:pPr>
    </w:p>
    <w:p w14:paraId="3DC552E2" w14:textId="4DABD836"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При препоръчителните дози не се наблюдава кумулиране в серума. Кумулиране се наблюдава в тъканите, където концентрациите са много по-високи в сравнение с тези в серума. Три дни след прилагането на еднократна доза от 500 </w:t>
      </w:r>
      <w:r w:rsidRPr="00600CB7">
        <w:rPr>
          <w:rFonts w:eastAsia="Times New Roman" w:cs="Arial"/>
          <w:color w:val="000000"/>
          <w:szCs w:val="20"/>
          <w:lang w:val="en-US"/>
        </w:rPr>
        <w:t>mg</w:t>
      </w:r>
      <w:r w:rsidRPr="00600CB7">
        <w:rPr>
          <w:rFonts w:eastAsia="Times New Roman" w:cs="Arial"/>
          <w:color w:val="000000"/>
          <w:szCs w:val="20"/>
          <w:lang w:val="ru-RU"/>
        </w:rPr>
        <w:t xml:space="preserve"> </w:t>
      </w:r>
      <w:r w:rsidRPr="00600CB7">
        <w:rPr>
          <w:rFonts w:eastAsia="Times New Roman" w:cs="Arial"/>
          <w:color w:val="000000"/>
          <w:szCs w:val="20"/>
          <w:lang w:eastAsia="bg-BG"/>
        </w:rPr>
        <w:t>или на частични дози се измерват концентрации от порядъка на 1,3 - 4,8 μ</w:t>
      </w:r>
      <w:r w:rsidRPr="00600CB7">
        <w:rPr>
          <w:rFonts w:eastAsia="Times New Roman" w:cs="Arial"/>
          <w:color w:val="000000"/>
          <w:szCs w:val="20"/>
          <w:lang w:val="en-US"/>
        </w:rPr>
        <w:t>g</w:t>
      </w:r>
      <w:r w:rsidRPr="00600CB7">
        <w:rPr>
          <w:rFonts w:eastAsia="Times New Roman" w:cs="Arial"/>
          <w:color w:val="000000"/>
          <w:szCs w:val="20"/>
          <w:lang w:val="ru-RU"/>
        </w:rPr>
        <w:t>/</w:t>
      </w:r>
      <w:r w:rsidRPr="00600CB7">
        <w:rPr>
          <w:rFonts w:eastAsia="Times New Roman" w:cs="Arial"/>
          <w:color w:val="000000"/>
          <w:szCs w:val="20"/>
          <w:lang w:val="en-US"/>
        </w:rPr>
        <w:t>g</w:t>
      </w:r>
      <w:r w:rsidRPr="00600CB7">
        <w:rPr>
          <w:rFonts w:eastAsia="Times New Roman" w:cs="Arial"/>
          <w:color w:val="000000"/>
          <w:szCs w:val="20"/>
          <w:lang w:val="ru-RU"/>
        </w:rPr>
        <w:t xml:space="preserve">, </w:t>
      </w:r>
      <w:r w:rsidRPr="00600CB7">
        <w:rPr>
          <w:rFonts w:eastAsia="Times New Roman" w:cs="Arial"/>
          <w:color w:val="000000"/>
          <w:szCs w:val="20"/>
          <w:lang w:eastAsia="bg-BG"/>
        </w:rPr>
        <w:t>0,6 - 2,3 μ</w:t>
      </w:r>
      <w:r w:rsidRPr="00600CB7">
        <w:rPr>
          <w:rFonts w:eastAsia="Times New Roman" w:cs="Arial"/>
          <w:color w:val="000000"/>
          <w:szCs w:val="20"/>
          <w:lang w:val="en-US"/>
        </w:rPr>
        <w:t>g</w:t>
      </w:r>
      <w:r w:rsidRPr="00600CB7">
        <w:rPr>
          <w:rFonts w:eastAsia="Times New Roman" w:cs="Arial"/>
          <w:color w:val="000000"/>
          <w:szCs w:val="20"/>
          <w:lang w:val="ru-RU"/>
        </w:rPr>
        <w:t>/</w:t>
      </w:r>
      <w:r w:rsidRPr="00600CB7">
        <w:rPr>
          <w:rFonts w:eastAsia="Times New Roman" w:cs="Arial"/>
          <w:color w:val="000000"/>
          <w:szCs w:val="20"/>
          <w:lang w:val="en-US"/>
        </w:rPr>
        <w:t>g</w:t>
      </w:r>
      <w:r w:rsidRPr="00600CB7">
        <w:rPr>
          <w:rFonts w:eastAsia="Times New Roman" w:cs="Arial"/>
          <w:color w:val="000000"/>
          <w:szCs w:val="20"/>
          <w:lang w:val="ru-RU"/>
        </w:rPr>
        <w:t xml:space="preserve">, </w:t>
      </w:r>
      <w:r w:rsidRPr="00600CB7">
        <w:rPr>
          <w:rFonts w:eastAsia="Times New Roman" w:cs="Arial"/>
          <w:color w:val="000000"/>
          <w:szCs w:val="20"/>
          <w:lang w:eastAsia="bg-BG"/>
        </w:rPr>
        <w:t>2,0 - 2,8 μ</w:t>
      </w:r>
      <w:r w:rsidRPr="00600CB7">
        <w:rPr>
          <w:rFonts w:eastAsia="Times New Roman" w:cs="Arial"/>
          <w:color w:val="000000"/>
          <w:szCs w:val="20"/>
          <w:lang w:val="en-US"/>
        </w:rPr>
        <w:t>g</w:t>
      </w:r>
      <w:r w:rsidRPr="00600CB7">
        <w:rPr>
          <w:rFonts w:eastAsia="Times New Roman" w:cs="Arial"/>
          <w:color w:val="000000"/>
          <w:szCs w:val="20"/>
          <w:lang w:val="ru-RU"/>
        </w:rPr>
        <w:t>/</w:t>
      </w:r>
      <w:r w:rsidRPr="00600CB7">
        <w:rPr>
          <w:rFonts w:eastAsia="Times New Roman" w:cs="Arial"/>
          <w:color w:val="000000"/>
          <w:szCs w:val="20"/>
          <w:lang w:val="en-US"/>
        </w:rPr>
        <w:t>g</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и 0 - 0,3 </w:t>
      </w:r>
      <w:proofErr w:type="spellStart"/>
      <w:r w:rsidRPr="00600CB7">
        <w:rPr>
          <w:rFonts w:eastAsia="Times New Roman" w:cs="Arial"/>
          <w:color w:val="000000"/>
          <w:szCs w:val="20"/>
          <w:lang w:val="en-US"/>
        </w:rPr>
        <w:t>pg</w:t>
      </w:r>
      <w:proofErr w:type="spellEnd"/>
      <w:r w:rsidRPr="00600CB7">
        <w:rPr>
          <w:rFonts w:eastAsia="Times New Roman" w:cs="Arial"/>
          <w:color w:val="000000"/>
          <w:szCs w:val="20"/>
          <w:lang w:val="ru-RU"/>
        </w:rPr>
        <w:t>/</w:t>
      </w:r>
      <w:r w:rsidRPr="00600CB7">
        <w:rPr>
          <w:rFonts w:eastAsia="Times New Roman" w:cs="Arial"/>
          <w:color w:val="000000"/>
          <w:szCs w:val="20"/>
          <w:lang w:val="en-US"/>
        </w:rPr>
        <w:t>ml</w:t>
      </w:r>
      <w:r w:rsidRPr="00600CB7">
        <w:rPr>
          <w:rFonts w:eastAsia="Times New Roman" w:cs="Arial"/>
          <w:color w:val="000000"/>
          <w:szCs w:val="20"/>
          <w:lang w:val="ru-RU"/>
        </w:rPr>
        <w:t xml:space="preserve"> </w:t>
      </w:r>
      <w:r w:rsidRPr="00600CB7">
        <w:rPr>
          <w:rFonts w:eastAsia="Times New Roman" w:cs="Arial"/>
          <w:color w:val="000000"/>
          <w:szCs w:val="20"/>
          <w:lang w:eastAsia="bg-BG"/>
        </w:rPr>
        <w:t>съответно в белия дроб, простата, сливиците и серума.</w:t>
      </w:r>
    </w:p>
    <w:p w14:paraId="731026C2" w14:textId="77777777" w:rsidR="00600CB7" w:rsidRPr="00600CB7" w:rsidRDefault="00600CB7" w:rsidP="00600CB7">
      <w:pPr>
        <w:spacing w:line="240" w:lineRule="auto"/>
        <w:rPr>
          <w:rFonts w:eastAsia="Times New Roman" w:cs="Arial"/>
          <w:color w:val="000000"/>
          <w:szCs w:val="20"/>
          <w:lang w:eastAsia="bg-BG"/>
        </w:rPr>
      </w:pPr>
    </w:p>
    <w:p w14:paraId="56098AC8" w14:textId="27549621"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При експериментални </w:t>
      </w:r>
      <w:r w:rsidRPr="00600CB7">
        <w:rPr>
          <w:rFonts w:eastAsia="Times New Roman" w:cs="Arial"/>
          <w:i/>
          <w:iCs/>
          <w:color w:val="000000"/>
          <w:szCs w:val="20"/>
          <w:lang w:val="en-US"/>
        </w:rPr>
        <w:t>in</w:t>
      </w:r>
      <w:r w:rsidRPr="00600CB7">
        <w:rPr>
          <w:rFonts w:eastAsia="Times New Roman" w:cs="Arial"/>
          <w:i/>
          <w:iCs/>
          <w:color w:val="000000"/>
          <w:szCs w:val="20"/>
        </w:rPr>
        <w:t xml:space="preserve"> </w:t>
      </w:r>
      <w:r w:rsidRPr="00600CB7">
        <w:rPr>
          <w:rFonts w:eastAsia="Times New Roman" w:cs="Arial"/>
          <w:i/>
          <w:iCs/>
          <w:color w:val="000000"/>
          <w:szCs w:val="20"/>
          <w:lang w:val="en-US"/>
        </w:rPr>
        <w:t>vitro</w:t>
      </w:r>
      <w:r w:rsidRPr="00600CB7">
        <w:rPr>
          <w:rFonts w:eastAsia="Times New Roman" w:cs="Arial"/>
          <w:color w:val="000000"/>
          <w:szCs w:val="20"/>
        </w:rPr>
        <w:t xml:space="preserve"> </w:t>
      </w:r>
      <w:r w:rsidRPr="00600CB7">
        <w:rPr>
          <w:rFonts w:eastAsia="Times New Roman" w:cs="Arial"/>
          <w:color w:val="000000"/>
          <w:szCs w:val="20"/>
          <w:lang w:eastAsia="bg-BG"/>
        </w:rPr>
        <w:t xml:space="preserve">и </w:t>
      </w:r>
      <w:r w:rsidRPr="00600CB7">
        <w:rPr>
          <w:rFonts w:eastAsia="Times New Roman" w:cs="Arial"/>
          <w:i/>
          <w:iCs/>
          <w:color w:val="000000"/>
          <w:szCs w:val="20"/>
          <w:lang w:val="en-US"/>
        </w:rPr>
        <w:t>in</w:t>
      </w:r>
      <w:r w:rsidRPr="00600CB7">
        <w:rPr>
          <w:rFonts w:eastAsia="Times New Roman" w:cs="Arial"/>
          <w:i/>
          <w:iCs/>
          <w:color w:val="000000"/>
          <w:szCs w:val="20"/>
        </w:rPr>
        <w:t xml:space="preserve"> </w:t>
      </w:r>
      <w:r w:rsidRPr="00600CB7">
        <w:rPr>
          <w:rFonts w:eastAsia="Times New Roman" w:cs="Arial"/>
          <w:i/>
          <w:iCs/>
          <w:color w:val="000000"/>
          <w:szCs w:val="20"/>
          <w:lang w:val="en-US"/>
        </w:rPr>
        <w:t>vivo</w:t>
      </w:r>
      <w:r w:rsidRPr="00600CB7">
        <w:rPr>
          <w:rFonts w:eastAsia="Times New Roman" w:cs="Arial"/>
          <w:color w:val="000000"/>
          <w:szCs w:val="20"/>
        </w:rPr>
        <w:t xml:space="preserve"> </w:t>
      </w:r>
      <w:r w:rsidRPr="00600CB7">
        <w:rPr>
          <w:rFonts w:eastAsia="Times New Roman" w:cs="Arial"/>
          <w:color w:val="000000"/>
          <w:szCs w:val="20"/>
          <w:lang w:eastAsia="bg-BG"/>
        </w:rPr>
        <w:t>проучвания азитромицин кумулира във фагоцитите. Освобождаването се стимулира чрез активна фагоцитоза. В животински модели това води до осигуряване на високи концентрации на азитромицин в тъканите.</w:t>
      </w:r>
    </w:p>
    <w:p w14:paraId="471DFCF6"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Свързването на азитромицин с плазмените протеини е променлива величина и варира от 52 % при 0,05 </w:t>
      </w:r>
      <w:r w:rsidRPr="00600CB7">
        <w:rPr>
          <w:rFonts w:eastAsia="Times New Roman" w:cs="Arial"/>
          <w:color w:val="000000"/>
          <w:szCs w:val="20"/>
          <w:lang w:val="en-US"/>
        </w:rPr>
        <w:t>mg</w:t>
      </w:r>
      <w:r w:rsidRPr="00600CB7">
        <w:rPr>
          <w:rFonts w:eastAsia="Times New Roman" w:cs="Arial"/>
          <w:color w:val="000000"/>
          <w:szCs w:val="20"/>
          <w:lang w:val="ru-RU"/>
        </w:rPr>
        <w:t xml:space="preserve">/1 </w:t>
      </w:r>
      <w:r w:rsidRPr="00600CB7">
        <w:rPr>
          <w:rFonts w:eastAsia="Times New Roman" w:cs="Arial"/>
          <w:color w:val="000000"/>
          <w:szCs w:val="20"/>
          <w:lang w:eastAsia="bg-BG"/>
        </w:rPr>
        <w:t xml:space="preserve">до 18% при 0,5 </w:t>
      </w:r>
      <w:r w:rsidRPr="00600CB7">
        <w:rPr>
          <w:rFonts w:eastAsia="Times New Roman" w:cs="Arial"/>
          <w:color w:val="000000"/>
          <w:szCs w:val="20"/>
          <w:lang w:val="en-US"/>
        </w:rPr>
        <w:t>mg</w:t>
      </w:r>
      <w:r w:rsidRPr="00600CB7">
        <w:rPr>
          <w:rFonts w:eastAsia="Times New Roman" w:cs="Arial"/>
          <w:color w:val="000000"/>
          <w:szCs w:val="20"/>
          <w:lang w:val="ru-RU"/>
        </w:rPr>
        <w:t xml:space="preserve">/1, </w:t>
      </w:r>
      <w:r w:rsidRPr="00600CB7">
        <w:rPr>
          <w:rFonts w:eastAsia="Times New Roman" w:cs="Arial"/>
          <w:color w:val="000000"/>
          <w:szCs w:val="20"/>
          <w:lang w:eastAsia="bg-BG"/>
        </w:rPr>
        <w:t>в зависимост от плазмената концентрация.</w:t>
      </w:r>
    </w:p>
    <w:p w14:paraId="596C35B0" w14:textId="77777777" w:rsidR="00600CB7" w:rsidRPr="00600CB7" w:rsidRDefault="00600CB7" w:rsidP="00600CB7">
      <w:pPr>
        <w:spacing w:line="240" w:lineRule="auto"/>
        <w:rPr>
          <w:rFonts w:eastAsia="Times New Roman" w:cs="Arial"/>
          <w:color w:val="000000"/>
          <w:szCs w:val="20"/>
          <w:u w:val="single"/>
          <w:lang w:eastAsia="bg-BG"/>
        </w:rPr>
      </w:pPr>
    </w:p>
    <w:p w14:paraId="647E4F31" w14:textId="33EE5629" w:rsidR="00600CB7" w:rsidRPr="00600CB7" w:rsidRDefault="00600CB7" w:rsidP="00600CB7">
      <w:pPr>
        <w:pStyle w:val="Heading3"/>
        <w:rPr>
          <w:rFonts w:eastAsia="Times New Roman"/>
          <w:sz w:val="28"/>
          <w:u w:val="single"/>
        </w:rPr>
      </w:pPr>
      <w:r w:rsidRPr="00600CB7">
        <w:rPr>
          <w:rFonts w:eastAsia="Times New Roman"/>
          <w:u w:val="single"/>
          <w:lang w:eastAsia="bg-BG"/>
        </w:rPr>
        <w:lastRenderedPageBreak/>
        <w:t>Елиминиране</w:t>
      </w:r>
    </w:p>
    <w:p w14:paraId="5CB1053B"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Терминалният плазмен полуживот е непосредствено свързан с елиминационния полуживот от тъканите от 2 - 4 дни.</w:t>
      </w:r>
    </w:p>
    <w:p w14:paraId="61A5E27A" w14:textId="77777777" w:rsidR="00600CB7" w:rsidRPr="00600CB7" w:rsidRDefault="00600CB7" w:rsidP="00600CB7">
      <w:pPr>
        <w:spacing w:line="240" w:lineRule="auto"/>
        <w:rPr>
          <w:rFonts w:eastAsia="Times New Roman" w:cs="Arial"/>
          <w:color w:val="000000"/>
          <w:szCs w:val="20"/>
          <w:lang w:eastAsia="bg-BG"/>
        </w:rPr>
      </w:pPr>
    </w:p>
    <w:p w14:paraId="0E22A0FF" w14:textId="3FE224AD"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Около 12 % от интравенозно приложения азитромицин се екскретира непроменен с урината в рамките на 3 дни, основно в първите 24 часа. Два дни след пет дневен курс на лечение, в жлъчката при хора се откриват концентрации до 237 </w:t>
      </w:r>
      <w:proofErr w:type="spellStart"/>
      <w:r w:rsidRPr="00600CB7">
        <w:rPr>
          <w:rFonts w:eastAsia="Times New Roman" w:cs="Arial"/>
          <w:color w:val="000000"/>
          <w:szCs w:val="20"/>
          <w:lang w:val="en-US"/>
        </w:rPr>
        <w:t>pg</w:t>
      </w:r>
      <w:proofErr w:type="spellEnd"/>
      <w:r w:rsidRPr="00600CB7">
        <w:rPr>
          <w:rFonts w:eastAsia="Times New Roman" w:cs="Arial"/>
          <w:color w:val="000000"/>
          <w:szCs w:val="20"/>
          <w:lang w:val="ru-RU"/>
        </w:rPr>
        <w:t>/</w:t>
      </w:r>
      <w:r w:rsidRPr="00600CB7">
        <w:rPr>
          <w:rFonts w:eastAsia="Times New Roman" w:cs="Arial"/>
          <w:color w:val="000000"/>
          <w:szCs w:val="20"/>
          <w:lang w:val="en-US"/>
        </w:rPr>
        <w:t>ml</w:t>
      </w:r>
      <w:r w:rsidRPr="00600CB7">
        <w:rPr>
          <w:rFonts w:eastAsia="Times New Roman" w:cs="Arial"/>
          <w:color w:val="000000"/>
          <w:szCs w:val="20"/>
          <w:lang w:eastAsia="bg-BG"/>
        </w:rPr>
        <w:t xml:space="preserve">. В жлъчката са открити също така и десет метаболита, които са получени чрез </w:t>
      </w:r>
      <w:r w:rsidRPr="00600CB7">
        <w:rPr>
          <w:rFonts w:eastAsia="Times New Roman" w:cs="Arial"/>
          <w:color w:val="000000"/>
          <w:szCs w:val="20"/>
          <w:lang w:val="en-US"/>
        </w:rPr>
        <w:t>N</w:t>
      </w:r>
      <w:r w:rsidRPr="00600CB7">
        <w:rPr>
          <w:rFonts w:eastAsia="Times New Roman" w:cs="Arial"/>
          <w:color w:val="000000"/>
          <w:szCs w:val="20"/>
          <w:lang w:val="ru-RU"/>
        </w:rPr>
        <w:t xml:space="preserve"> </w:t>
      </w:r>
      <w:r w:rsidRPr="00600CB7">
        <w:rPr>
          <w:rFonts w:eastAsia="Times New Roman" w:cs="Arial"/>
          <w:color w:val="000000"/>
          <w:szCs w:val="20"/>
          <w:lang w:eastAsia="bg-BG"/>
        </w:rPr>
        <w:t>и О-деметилиране, хидроксилиране на дезоксаминовите и агликоновите пръстени и разцепване на кладинозния конюгат.</w:t>
      </w:r>
    </w:p>
    <w:p w14:paraId="61871414"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Изследванията показват, че метаболитите на азитромицин не са микробиологично активни.</w:t>
      </w:r>
    </w:p>
    <w:p w14:paraId="4BB6D3A4" w14:textId="77777777" w:rsidR="00600CB7" w:rsidRPr="00600CB7" w:rsidRDefault="00600CB7" w:rsidP="00600CB7">
      <w:pPr>
        <w:spacing w:line="240" w:lineRule="auto"/>
        <w:rPr>
          <w:rFonts w:eastAsia="Times New Roman" w:cs="Arial"/>
          <w:color w:val="000000"/>
          <w:szCs w:val="20"/>
          <w:u w:val="single"/>
          <w:lang w:eastAsia="bg-BG"/>
        </w:rPr>
      </w:pPr>
    </w:p>
    <w:p w14:paraId="161A1B02" w14:textId="1AE7DA85"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u w:val="single"/>
          <w:lang w:eastAsia="bg-BG"/>
        </w:rPr>
        <w:t>Фармакокинетика при специални популации</w:t>
      </w:r>
    </w:p>
    <w:p w14:paraId="4DC1B274" w14:textId="77777777" w:rsidR="00600CB7" w:rsidRPr="00600CB7" w:rsidRDefault="00600CB7" w:rsidP="00600CB7">
      <w:pPr>
        <w:spacing w:line="240" w:lineRule="auto"/>
        <w:rPr>
          <w:rFonts w:eastAsia="Times New Roman" w:cs="Arial"/>
          <w:i/>
          <w:iCs/>
          <w:color w:val="000000"/>
          <w:szCs w:val="20"/>
          <w:lang w:eastAsia="bg-BG"/>
        </w:rPr>
      </w:pPr>
    </w:p>
    <w:p w14:paraId="028AEA1B" w14:textId="63DA6E2D"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Бъбречна недостатъчност:</w:t>
      </w:r>
    </w:p>
    <w:p w14:paraId="2643C123"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След прием на единична перорална доза от 1 </w:t>
      </w:r>
      <w:r w:rsidRPr="00600CB7">
        <w:rPr>
          <w:rFonts w:eastAsia="Times New Roman" w:cs="Arial"/>
          <w:color w:val="000000"/>
          <w:szCs w:val="20"/>
          <w:lang w:val="en-US"/>
        </w:rPr>
        <w:t>g</w:t>
      </w:r>
      <w:r w:rsidRPr="00600CB7">
        <w:rPr>
          <w:rFonts w:eastAsia="Times New Roman" w:cs="Arial"/>
          <w:color w:val="000000"/>
          <w:szCs w:val="20"/>
          <w:lang w:val="ru-RU"/>
        </w:rPr>
        <w:t xml:space="preserve"> </w:t>
      </w:r>
      <w:r w:rsidRPr="00600CB7">
        <w:rPr>
          <w:rFonts w:eastAsia="Times New Roman" w:cs="Arial"/>
          <w:color w:val="000000"/>
          <w:szCs w:val="20"/>
          <w:lang w:eastAsia="bg-BG"/>
        </w:rPr>
        <w:t>азитромицин, средните С</w:t>
      </w:r>
      <w:r w:rsidRPr="00600CB7">
        <w:rPr>
          <w:rFonts w:eastAsia="Times New Roman" w:cs="Arial"/>
          <w:color w:val="000000"/>
          <w:szCs w:val="20"/>
          <w:vertAlign w:val="subscript"/>
          <w:lang w:val="en-US"/>
        </w:rPr>
        <w:t>max</w:t>
      </w:r>
      <w:r w:rsidRPr="00600CB7">
        <w:rPr>
          <w:rFonts w:eastAsia="Times New Roman" w:cs="Arial"/>
          <w:color w:val="000000"/>
          <w:szCs w:val="20"/>
          <w:lang w:eastAsia="bg-BG"/>
        </w:rPr>
        <w:t xml:space="preserve"> и </w:t>
      </w:r>
      <w:r w:rsidRPr="00600CB7">
        <w:rPr>
          <w:rFonts w:eastAsia="Times New Roman" w:cs="Arial"/>
          <w:color w:val="000000"/>
          <w:szCs w:val="20"/>
          <w:lang w:val="en-US"/>
        </w:rPr>
        <w:t>AUC</w:t>
      </w:r>
      <w:r w:rsidRPr="00600CB7">
        <w:rPr>
          <w:rFonts w:eastAsia="Times New Roman" w:cs="Arial"/>
          <w:color w:val="000000"/>
          <w:szCs w:val="20"/>
          <w:vertAlign w:val="subscript"/>
          <w:lang w:val="ru-RU"/>
        </w:rPr>
        <w:t>0-120</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се повишават с 5,1 % и 4,2 % съответно, при пациенти с леки до умерени бъбречни нарушения (степен на гломерулна филтрация от 10 - 80 </w:t>
      </w:r>
      <w:r w:rsidRPr="00600CB7">
        <w:rPr>
          <w:rFonts w:eastAsia="Times New Roman" w:cs="Arial"/>
          <w:color w:val="000000"/>
          <w:szCs w:val="20"/>
          <w:lang w:val="en-US"/>
        </w:rPr>
        <w:t>ml</w:t>
      </w:r>
      <w:r w:rsidRPr="00600CB7">
        <w:rPr>
          <w:rFonts w:eastAsia="Times New Roman" w:cs="Arial"/>
          <w:color w:val="000000"/>
          <w:szCs w:val="20"/>
          <w:lang w:val="ru-RU"/>
        </w:rPr>
        <w:t>/</w:t>
      </w:r>
      <w:r w:rsidRPr="00600CB7">
        <w:rPr>
          <w:rFonts w:eastAsia="Times New Roman" w:cs="Arial"/>
          <w:color w:val="000000"/>
          <w:szCs w:val="20"/>
          <w:lang w:val="en-US"/>
        </w:rPr>
        <w:t>min</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в сравнение с пациенти с нормална бъбречна функция (ГФР &gt; </w:t>
      </w:r>
      <w:r w:rsidRPr="00600CB7">
        <w:rPr>
          <w:rFonts w:eastAsia="Times New Roman" w:cs="Arial"/>
          <w:color w:val="000000"/>
          <w:szCs w:val="20"/>
          <w:lang w:val="ru-RU"/>
        </w:rPr>
        <w:t>80</w:t>
      </w:r>
      <w:r w:rsidRPr="00600CB7">
        <w:rPr>
          <w:rFonts w:eastAsia="Times New Roman" w:cs="Arial"/>
          <w:color w:val="000000"/>
          <w:szCs w:val="20"/>
          <w:lang w:val="en-US"/>
        </w:rPr>
        <w:t>ml</w:t>
      </w:r>
      <w:r w:rsidRPr="00600CB7">
        <w:rPr>
          <w:rFonts w:eastAsia="Times New Roman" w:cs="Arial"/>
          <w:color w:val="000000"/>
          <w:szCs w:val="20"/>
          <w:lang w:val="ru-RU"/>
        </w:rPr>
        <w:t>/</w:t>
      </w:r>
      <w:r w:rsidRPr="00600CB7">
        <w:rPr>
          <w:rFonts w:eastAsia="Times New Roman" w:cs="Arial"/>
          <w:color w:val="000000"/>
          <w:szCs w:val="20"/>
          <w:lang w:val="en-US"/>
        </w:rPr>
        <w:t>min</w:t>
      </w:r>
      <w:r w:rsidRPr="00600CB7">
        <w:rPr>
          <w:rFonts w:eastAsia="Times New Roman" w:cs="Arial"/>
          <w:color w:val="000000"/>
          <w:szCs w:val="20"/>
          <w:lang w:val="ru-RU"/>
        </w:rPr>
        <w:t xml:space="preserve">). </w:t>
      </w:r>
      <w:r w:rsidRPr="00600CB7">
        <w:rPr>
          <w:rFonts w:eastAsia="Times New Roman" w:cs="Arial"/>
          <w:color w:val="000000"/>
          <w:szCs w:val="20"/>
          <w:lang w:eastAsia="bg-BG"/>
        </w:rPr>
        <w:t>При индивиди с тежки бъбречни нарушения средните С</w:t>
      </w:r>
      <w:r w:rsidRPr="00600CB7">
        <w:rPr>
          <w:rFonts w:eastAsia="Times New Roman" w:cs="Arial"/>
          <w:color w:val="000000"/>
          <w:szCs w:val="20"/>
          <w:vertAlign w:val="subscript"/>
          <w:lang w:val="en-US"/>
        </w:rPr>
        <w:t>max</w:t>
      </w:r>
      <w:r w:rsidRPr="00600CB7">
        <w:rPr>
          <w:rFonts w:eastAsia="Times New Roman" w:cs="Arial"/>
          <w:color w:val="000000"/>
          <w:szCs w:val="20"/>
          <w:lang w:eastAsia="bg-BG"/>
        </w:rPr>
        <w:t xml:space="preserve">И </w:t>
      </w:r>
      <w:r w:rsidRPr="00600CB7">
        <w:rPr>
          <w:rFonts w:eastAsia="Times New Roman" w:cs="Arial"/>
          <w:smallCaps/>
          <w:color w:val="000000"/>
          <w:szCs w:val="20"/>
          <w:lang w:val="en-US"/>
        </w:rPr>
        <w:t>AUC</w:t>
      </w:r>
      <w:r w:rsidRPr="00600CB7">
        <w:rPr>
          <w:rFonts w:eastAsia="Times New Roman" w:cs="Arial"/>
          <w:smallCaps/>
          <w:color w:val="000000"/>
          <w:szCs w:val="20"/>
          <w:vertAlign w:val="subscript"/>
          <w:lang w:val="ru-RU"/>
        </w:rPr>
        <w:t>0-120</w:t>
      </w:r>
      <w:r w:rsidRPr="00600CB7">
        <w:rPr>
          <w:rFonts w:eastAsia="Times New Roman" w:cs="Arial"/>
          <w:color w:val="000000"/>
          <w:szCs w:val="20"/>
          <w:lang w:val="ru-RU"/>
        </w:rPr>
        <w:t xml:space="preserve"> </w:t>
      </w:r>
      <w:r w:rsidRPr="00600CB7">
        <w:rPr>
          <w:rFonts w:eastAsia="Times New Roman" w:cs="Arial"/>
          <w:color w:val="000000"/>
          <w:szCs w:val="20"/>
          <w:lang w:eastAsia="bg-BG"/>
        </w:rPr>
        <w:t>се повишават съответно с 61% и 35% в сравнение с нормата.</w:t>
      </w:r>
    </w:p>
    <w:p w14:paraId="5B8A4DE0" w14:textId="77777777" w:rsidR="00600CB7" w:rsidRPr="00600CB7" w:rsidRDefault="00600CB7" w:rsidP="00600CB7">
      <w:pPr>
        <w:spacing w:line="240" w:lineRule="auto"/>
        <w:rPr>
          <w:rFonts w:eastAsia="Times New Roman" w:cs="Arial"/>
          <w:i/>
          <w:iCs/>
          <w:color w:val="000000"/>
          <w:szCs w:val="20"/>
          <w:lang w:eastAsia="bg-BG"/>
        </w:rPr>
      </w:pPr>
    </w:p>
    <w:p w14:paraId="10551F75" w14:textId="29CA9386"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Чернодробна недостатъчност:</w:t>
      </w:r>
    </w:p>
    <w:p w14:paraId="2CA4776A"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При пациенти с леко до умерено чернодробно увреждане няма доказателства за изразена промяна в серумната фармакокинетиката на азитромицин в сравнение с нормалната чернодробна функция. При тези пациенти клирънсът на азитромицин с урината изглежда се увеличава, вероятно, за да се компенсира редуцирания чернодробен клирънс.</w:t>
      </w:r>
    </w:p>
    <w:p w14:paraId="4AD35E04" w14:textId="77777777" w:rsidR="00600CB7" w:rsidRPr="00600CB7" w:rsidRDefault="00600CB7" w:rsidP="00600CB7">
      <w:pPr>
        <w:spacing w:line="240" w:lineRule="auto"/>
        <w:rPr>
          <w:rFonts w:eastAsia="Times New Roman" w:cs="Arial"/>
          <w:i/>
          <w:iCs/>
          <w:color w:val="000000"/>
          <w:szCs w:val="20"/>
          <w:lang w:eastAsia="bg-BG"/>
        </w:rPr>
      </w:pPr>
    </w:p>
    <w:p w14:paraId="3C85E1EB" w14:textId="40E275F0"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Пациенти в старческа възраст:</w:t>
      </w:r>
    </w:p>
    <w:p w14:paraId="7738C7FD"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Фармакокинетиката на азитромицин при мъже в старческа възраст е подобна на тази при млади възрастни; въпреки че при жени в старческа възраст са установени по-високи максимални концентрации (увеличени с 30 - 50 %), не се наблюдава значително акумулиране на азитромицин.</w:t>
      </w:r>
    </w:p>
    <w:p w14:paraId="585D2A06"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При доброволци в старческа възраст (&gt; 65 години) са установени по-високи стойности на </w:t>
      </w:r>
      <w:r w:rsidRPr="00600CB7">
        <w:rPr>
          <w:rFonts w:eastAsia="Times New Roman" w:cs="Arial"/>
          <w:color w:val="000000"/>
          <w:szCs w:val="20"/>
          <w:lang w:val="en-US"/>
        </w:rPr>
        <w:t>AUC</w:t>
      </w:r>
      <w:r w:rsidRPr="00600CB7">
        <w:rPr>
          <w:rFonts w:eastAsia="Times New Roman" w:cs="Arial"/>
          <w:color w:val="000000"/>
          <w:szCs w:val="20"/>
          <w:lang w:val="ru-RU"/>
        </w:rPr>
        <w:t xml:space="preserve"> </w:t>
      </w:r>
      <w:r w:rsidRPr="00600CB7">
        <w:rPr>
          <w:rFonts w:eastAsia="Times New Roman" w:cs="Arial"/>
          <w:color w:val="000000"/>
          <w:szCs w:val="20"/>
          <w:lang w:eastAsia="bg-BG"/>
        </w:rPr>
        <w:t>(29%) след лечение в продължение на 5 дни, в сравнение с млади доброволци (&lt; 45 години). Тази разлика не се счита за клинично значима, поради което не се препоръчва корекция на дозата.</w:t>
      </w:r>
    </w:p>
    <w:p w14:paraId="5D3B240A" w14:textId="77777777" w:rsidR="00600CB7" w:rsidRPr="00600CB7" w:rsidRDefault="00600CB7" w:rsidP="00600CB7">
      <w:pPr>
        <w:spacing w:line="240" w:lineRule="auto"/>
        <w:rPr>
          <w:rFonts w:eastAsia="Times New Roman" w:cs="Arial"/>
          <w:i/>
          <w:iCs/>
          <w:color w:val="000000"/>
          <w:szCs w:val="20"/>
          <w:lang w:eastAsia="bg-BG"/>
        </w:rPr>
      </w:pPr>
    </w:p>
    <w:p w14:paraId="0921FE6D" w14:textId="0A8CF90D"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Кърмачета, малки деца, деца и юноши:</w:t>
      </w:r>
    </w:p>
    <w:p w14:paraId="529DFFDD" w14:textId="3704ADB3" w:rsidR="00600CB7" w:rsidRPr="00600CB7" w:rsidRDefault="00600CB7" w:rsidP="00600CB7">
      <w:pPr>
        <w:rPr>
          <w:rFonts w:cs="Arial"/>
          <w:szCs w:val="20"/>
        </w:rPr>
      </w:pPr>
      <w:r w:rsidRPr="00600CB7">
        <w:rPr>
          <w:rFonts w:eastAsia="Times New Roman" w:cs="Arial"/>
          <w:color w:val="000000"/>
          <w:szCs w:val="20"/>
          <w:lang w:eastAsia="bg-BG"/>
        </w:rPr>
        <w:t>Фармакокинетиката е проучена при деца на възраст от 4 месеца до 15</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години, които са приемали капсули, гранули или перорална суспензия. При 10 </w:t>
      </w:r>
      <w:r w:rsidRPr="00600CB7">
        <w:rPr>
          <w:rFonts w:eastAsia="Times New Roman" w:cs="Arial"/>
          <w:color w:val="000000"/>
          <w:szCs w:val="20"/>
          <w:lang w:val="en-US"/>
        </w:rPr>
        <w:t>mg</w:t>
      </w:r>
      <w:r w:rsidRPr="00600CB7">
        <w:rPr>
          <w:rFonts w:eastAsia="Times New Roman" w:cs="Arial"/>
          <w:color w:val="000000"/>
          <w:szCs w:val="20"/>
          <w:lang w:val="ru-RU"/>
        </w:rPr>
        <w:t>/</w:t>
      </w:r>
      <w:r w:rsidRPr="00600CB7">
        <w:rPr>
          <w:rFonts w:eastAsia="Times New Roman" w:cs="Arial"/>
          <w:color w:val="000000"/>
          <w:szCs w:val="20"/>
          <w:lang w:val="en-US"/>
        </w:rPr>
        <w:t>kg</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в ден 1 проследвани от 5 </w:t>
      </w:r>
      <w:r w:rsidRPr="00600CB7">
        <w:rPr>
          <w:rFonts w:eastAsia="Times New Roman" w:cs="Arial"/>
          <w:color w:val="000000"/>
          <w:szCs w:val="20"/>
          <w:lang w:val="en-US"/>
        </w:rPr>
        <w:t>mg</w:t>
      </w:r>
      <w:r w:rsidRPr="00600CB7">
        <w:rPr>
          <w:rFonts w:eastAsia="Times New Roman" w:cs="Arial"/>
          <w:color w:val="000000"/>
          <w:szCs w:val="20"/>
          <w:lang w:val="ru-RU"/>
        </w:rPr>
        <w:t>/</w:t>
      </w:r>
      <w:r w:rsidRPr="00600CB7">
        <w:rPr>
          <w:rFonts w:eastAsia="Times New Roman" w:cs="Arial"/>
          <w:color w:val="000000"/>
          <w:szCs w:val="20"/>
          <w:lang w:val="en-US"/>
        </w:rPr>
        <w:t>kg</w:t>
      </w:r>
      <w:r w:rsidRPr="00600CB7">
        <w:rPr>
          <w:rFonts w:eastAsia="Times New Roman" w:cs="Arial"/>
          <w:color w:val="000000"/>
          <w:szCs w:val="20"/>
          <w:lang w:val="ru-RU"/>
        </w:rPr>
        <w:t xml:space="preserve"> </w:t>
      </w:r>
      <w:r w:rsidRPr="00600CB7">
        <w:rPr>
          <w:rFonts w:eastAsia="Times New Roman" w:cs="Arial"/>
          <w:color w:val="000000"/>
          <w:szCs w:val="20"/>
          <w:lang w:eastAsia="bg-BG"/>
        </w:rPr>
        <w:t>в дните 2-5, достигнатата С</w:t>
      </w:r>
      <w:r w:rsidRPr="00600CB7">
        <w:rPr>
          <w:rFonts w:eastAsia="Times New Roman" w:cs="Arial"/>
          <w:color w:val="000000"/>
          <w:szCs w:val="20"/>
          <w:vertAlign w:val="subscript"/>
          <w:lang w:val="en-US"/>
        </w:rPr>
        <w:t>max</w:t>
      </w:r>
      <w:r w:rsidRPr="00600CB7">
        <w:rPr>
          <w:rFonts w:eastAsia="Times New Roman" w:cs="Arial"/>
          <w:color w:val="000000"/>
          <w:szCs w:val="20"/>
          <w:lang w:eastAsia="bg-BG"/>
        </w:rPr>
        <w:t xml:space="preserve"> е малко по-ниска от тази при възрастни (224 μ</w:t>
      </w:r>
      <w:r w:rsidRPr="00600CB7">
        <w:rPr>
          <w:rFonts w:eastAsia="Times New Roman" w:cs="Arial"/>
          <w:color w:val="000000"/>
          <w:szCs w:val="20"/>
          <w:lang w:val="en-US"/>
        </w:rPr>
        <w:t>g</w:t>
      </w:r>
      <w:r w:rsidRPr="00600CB7">
        <w:rPr>
          <w:rFonts w:eastAsia="Times New Roman" w:cs="Arial"/>
          <w:color w:val="000000"/>
          <w:szCs w:val="20"/>
          <w:lang w:val="ru-RU"/>
        </w:rPr>
        <w:t>/</w:t>
      </w:r>
      <w:r w:rsidRPr="00600CB7">
        <w:rPr>
          <w:rFonts w:eastAsia="Times New Roman" w:cs="Arial"/>
          <w:color w:val="000000"/>
          <w:szCs w:val="20"/>
          <w:lang w:val="en-US"/>
        </w:rPr>
        <w:t>l</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при </w:t>
      </w:r>
      <w:r w:rsidRPr="00600CB7">
        <w:rPr>
          <w:rFonts w:cs="Arial"/>
          <w:szCs w:val="20"/>
        </w:rPr>
        <w:t>деца на възраст от 0,6 - 5 години след тридневно дозиране, и 383 μ</w:t>
      </w:r>
      <w:r w:rsidRPr="00600CB7">
        <w:rPr>
          <w:rFonts w:cs="Arial"/>
          <w:szCs w:val="20"/>
          <w:lang w:val="en-US"/>
        </w:rPr>
        <w:t>g</w:t>
      </w:r>
      <w:r w:rsidRPr="00600CB7">
        <w:rPr>
          <w:rFonts w:cs="Arial"/>
          <w:szCs w:val="20"/>
          <w:lang w:val="ru-RU"/>
        </w:rPr>
        <w:t>/</w:t>
      </w:r>
      <w:r w:rsidRPr="00600CB7">
        <w:rPr>
          <w:rFonts w:cs="Arial"/>
          <w:szCs w:val="20"/>
          <w:lang w:val="en-US"/>
        </w:rPr>
        <w:t>l</w:t>
      </w:r>
      <w:r w:rsidRPr="00600CB7">
        <w:rPr>
          <w:rFonts w:cs="Arial"/>
          <w:szCs w:val="20"/>
          <w:lang w:val="ru-RU"/>
        </w:rPr>
        <w:t xml:space="preserve"> </w:t>
      </w:r>
      <w:r w:rsidRPr="00600CB7">
        <w:rPr>
          <w:rFonts w:cs="Arial"/>
          <w:szCs w:val="20"/>
        </w:rPr>
        <w:t>при деца на възраст 6 - 15 години). Полуживотът от 36 часа при по-големите деца е в очаквания интервал за възрастни.</w:t>
      </w:r>
    </w:p>
    <w:p w14:paraId="498884D1" w14:textId="77777777" w:rsidR="00600CB7" w:rsidRPr="00600CB7" w:rsidRDefault="00600CB7" w:rsidP="00600CB7"/>
    <w:p w14:paraId="028E658A" w14:textId="185B42EA" w:rsidR="00395555" w:rsidRDefault="002C50EE" w:rsidP="008A6AF2">
      <w:pPr>
        <w:pStyle w:val="Heading2"/>
      </w:pPr>
      <w:r>
        <w:t>5.3. Предклинични данни за безопасност</w:t>
      </w:r>
    </w:p>
    <w:p w14:paraId="0022D8A3" w14:textId="53DD9F95" w:rsidR="00600CB7" w:rsidRDefault="00600CB7" w:rsidP="00600CB7"/>
    <w:p w14:paraId="79FC8405"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lastRenderedPageBreak/>
        <w:t>При проучвания върху животни, използващи експозиции 40 пъти над тези, които се постигат при клинични терапевтични дози, се установява, че азитромицин прйчинява обратима фосфолипидоза, която по правило не се свързва с токсикологични последствия. Значението на тази находка за хората, получаващи азитромицин в съответствие с препоръките е неизвестно.</w:t>
      </w:r>
    </w:p>
    <w:p w14:paraId="5A96A694" w14:textId="77777777" w:rsidR="00600CB7" w:rsidRPr="00600CB7" w:rsidRDefault="00600CB7" w:rsidP="00600CB7">
      <w:pPr>
        <w:spacing w:line="240" w:lineRule="auto"/>
        <w:rPr>
          <w:rFonts w:eastAsia="Times New Roman" w:cs="Arial"/>
          <w:color w:val="000000"/>
          <w:szCs w:val="20"/>
          <w:lang w:eastAsia="bg-BG"/>
        </w:rPr>
      </w:pPr>
    </w:p>
    <w:p w14:paraId="67619CDD" w14:textId="08F282F5"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Електрофизиологичните изследвания показват, че азитромицин удължава </w:t>
      </w:r>
      <w:r w:rsidRPr="00600CB7">
        <w:rPr>
          <w:rFonts w:eastAsia="Times New Roman" w:cs="Arial"/>
          <w:color w:val="000000"/>
          <w:szCs w:val="20"/>
          <w:lang w:val="en-US"/>
        </w:rPr>
        <w:t>QT</w:t>
      </w:r>
      <w:r w:rsidRPr="00600CB7">
        <w:rPr>
          <w:rFonts w:eastAsia="Times New Roman" w:cs="Arial"/>
          <w:color w:val="000000"/>
          <w:szCs w:val="20"/>
          <w:lang w:eastAsia="bg-BG"/>
        </w:rPr>
        <w:t>-интервала.</w:t>
      </w:r>
    </w:p>
    <w:p w14:paraId="6960CA18" w14:textId="77777777" w:rsidR="00600CB7" w:rsidRPr="00600CB7" w:rsidRDefault="00600CB7" w:rsidP="00600CB7">
      <w:pPr>
        <w:spacing w:line="240" w:lineRule="auto"/>
        <w:rPr>
          <w:rFonts w:eastAsia="Times New Roman" w:cs="Arial"/>
          <w:i/>
          <w:iCs/>
          <w:color w:val="000000"/>
          <w:szCs w:val="20"/>
          <w:lang w:eastAsia="bg-BG"/>
        </w:rPr>
      </w:pPr>
    </w:p>
    <w:p w14:paraId="26CBBD9A" w14:textId="397F72B8"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Карциногенен потенциал:</w:t>
      </w:r>
    </w:p>
    <w:p w14:paraId="71358553"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Не са провеждани дългосрочни проучвания при животни за оценка на карциногенния потенциал.</w:t>
      </w:r>
    </w:p>
    <w:p w14:paraId="4AB7D1A5" w14:textId="77777777" w:rsidR="00600CB7" w:rsidRPr="00600CB7" w:rsidRDefault="00600CB7" w:rsidP="00600CB7">
      <w:pPr>
        <w:spacing w:line="240" w:lineRule="auto"/>
        <w:rPr>
          <w:rFonts w:eastAsia="Times New Roman" w:cs="Arial"/>
          <w:i/>
          <w:iCs/>
          <w:color w:val="000000"/>
          <w:szCs w:val="20"/>
          <w:lang w:eastAsia="bg-BG"/>
        </w:rPr>
      </w:pPr>
    </w:p>
    <w:p w14:paraId="2D48ACD3" w14:textId="4135DEF9"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Мутагенен потенциал:</w:t>
      </w:r>
    </w:p>
    <w:p w14:paraId="581AF53D"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Не са установени данни за потенциал за генетични и хромозомни мутации при </w:t>
      </w:r>
      <w:r w:rsidRPr="00600CB7">
        <w:rPr>
          <w:rFonts w:eastAsia="Times New Roman" w:cs="Arial"/>
          <w:i/>
          <w:iCs/>
          <w:color w:val="000000"/>
          <w:szCs w:val="20"/>
          <w:lang w:val="en-US"/>
        </w:rPr>
        <w:t>in</w:t>
      </w:r>
      <w:r w:rsidRPr="00600CB7">
        <w:rPr>
          <w:rFonts w:eastAsia="Times New Roman" w:cs="Arial"/>
          <w:i/>
          <w:iCs/>
          <w:color w:val="000000"/>
          <w:szCs w:val="20"/>
          <w:lang w:val="ru-RU"/>
        </w:rPr>
        <w:t xml:space="preserve"> </w:t>
      </w:r>
      <w:r w:rsidRPr="00600CB7">
        <w:rPr>
          <w:rFonts w:eastAsia="Times New Roman" w:cs="Arial"/>
          <w:i/>
          <w:iCs/>
          <w:color w:val="000000"/>
          <w:szCs w:val="20"/>
          <w:lang w:val="en-US"/>
        </w:rPr>
        <w:t>vivo</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и </w:t>
      </w:r>
      <w:r w:rsidRPr="00600CB7">
        <w:rPr>
          <w:rFonts w:eastAsia="Times New Roman" w:cs="Arial"/>
          <w:i/>
          <w:iCs/>
          <w:color w:val="000000"/>
          <w:szCs w:val="20"/>
          <w:lang w:val="en-US"/>
        </w:rPr>
        <w:t>in</w:t>
      </w:r>
      <w:r w:rsidRPr="00600CB7">
        <w:rPr>
          <w:rFonts w:eastAsia="Times New Roman" w:cs="Arial"/>
          <w:i/>
          <w:iCs/>
          <w:color w:val="000000"/>
          <w:szCs w:val="20"/>
          <w:lang w:val="ru-RU"/>
        </w:rPr>
        <w:t xml:space="preserve"> </w:t>
      </w:r>
      <w:r w:rsidRPr="00600CB7">
        <w:rPr>
          <w:rFonts w:eastAsia="Times New Roman" w:cs="Arial"/>
          <w:i/>
          <w:iCs/>
          <w:color w:val="000000"/>
          <w:szCs w:val="20"/>
          <w:lang w:val="en-US"/>
        </w:rPr>
        <w:t>vitro</w:t>
      </w:r>
      <w:r w:rsidRPr="00600CB7">
        <w:rPr>
          <w:rFonts w:eastAsia="Times New Roman" w:cs="Arial"/>
          <w:color w:val="000000"/>
          <w:szCs w:val="20"/>
          <w:lang w:val="ru-RU"/>
        </w:rPr>
        <w:t xml:space="preserve"> </w:t>
      </w:r>
      <w:r w:rsidRPr="00600CB7">
        <w:rPr>
          <w:rFonts w:eastAsia="Times New Roman" w:cs="Arial"/>
          <w:color w:val="000000"/>
          <w:szCs w:val="20"/>
          <w:lang w:eastAsia="bg-BG"/>
        </w:rPr>
        <w:t>тестови модели.</w:t>
      </w:r>
    </w:p>
    <w:p w14:paraId="47BD0541" w14:textId="77777777" w:rsidR="00600CB7" w:rsidRPr="00600CB7" w:rsidRDefault="00600CB7" w:rsidP="00600CB7">
      <w:pPr>
        <w:spacing w:line="240" w:lineRule="auto"/>
        <w:rPr>
          <w:rFonts w:eastAsia="Times New Roman" w:cs="Arial"/>
          <w:i/>
          <w:iCs/>
          <w:color w:val="000000"/>
          <w:szCs w:val="20"/>
          <w:lang w:eastAsia="bg-BG"/>
        </w:rPr>
      </w:pPr>
    </w:p>
    <w:p w14:paraId="1D3F1628" w14:textId="2A8B9417" w:rsidR="00600CB7" w:rsidRPr="00600CB7" w:rsidRDefault="00600CB7" w:rsidP="00600CB7">
      <w:pPr>
        <w:spacing w:line="240" w:lineRule="auto"/>
        <w:rPr>
          <w:rFonts w:eastAsia="Times New Roman" w:cs="Arial"/>
          <w:sz w:val="28"/>
          <w:szCs w:val="24"/>
        </w:rPr>
      </w:pPr>
      <w:r w:rsidRPr="00600CB7">
        <w:rPr>
          <w:rFonts w:eastAsia="Times New Roman" w:cs="Arial"/>
          <w:i/>
          <w:iCs/>
          <w:color w:val="000000"/>
          <w:szCs w:val="20"/>
          <w:lang w:eastAsia="bg-BG"/>
        </w:rPr>
        <w:t>Репродуктивна токсичност:</w:t>
      </w:r>
    </w:p>
    <w:p w14:paraId="1841ACB7" w14:textId="77777777" w:rsidR="00600CB7" w:rsidRPr="00600CB7" w:rsidRDefault="00600CB7" w:rsidP="00600CB7">
      <w:pPr>
        <w:spacing w:line="240" w:lineRule="auto"/>
        <w:rPr>
          <w:rFonts w:eastAsia="Times New Roman" w:cs="Arial"/>
          <w:sz w:val="28"/>
          <w:szCs w:val="24"/>
        </w:rPr>
      </w:pPr>
      <w:r w:rsidRPr="00600CB7">
        <w:rPr>
          <w:rFonts w:eastAsia="Times New Roman" w:cs="Arial"/>
          <w:color w:val="000000"/>
          <w:szCs w:val="20"/>
          <w:lang w:eastAsia="bg-BG"/>
        </w:rPr>
        <w:t xml:space="preserve">При проучвания за репродуктивна токсичност върху плъхове не са наблюдавани тератогенни ефекти. При плъхове прилагането на дневни дози от 100 и 200 </w:t>
      </w:r>
      <w:r w:rsidRPr="00600CB7">
        <w:rPr>
          <w:rFonts w:eastAsia="Times New Roman" w:cs="Arial"/>
          <w:color w:val="000000"/>
          <w:szCs w:val="20"/>
          <w:lang w:val="en-US"/>
        </w:rPr>
        <w:t>mg</w:t>
      </w:r>
      <w:r w:rsidRPr="00600CB7">
        <w:rPr>
          <w:rFonts w:eastAsia="Times New Roman" w:cs="Arial"/>
          <w:color w:val="000000"/>
          <w:szCs w:val="20"/>
          <w:lang w:val="ru-RU"/>
        </w:rPr>
        <w:t>/</w:t>
      </w:r>
      <w:r w:rsidRPr="00600CB7">
        <w:rPr>
          <w:rFonts w:eastAsia="Times New Roman" w:cs="Arial"/>
          <w:color w:val="000000"/>
          <w:szCs w:val="20"/>
          <w:lang w:val="en-US"/>
        </w:rPr>
        <w:t>kg</w:t>
      </w:r>
      <w:r w:rsidRPr="00600CB7">
        <w:rPr>
          <w:rFonts w:eastAsia="Times New Roman" w:cs="Arial"/>
          <w:color w:val="000000"/>
          <w:szCs w:val="20"/>
          <w:lang w:val="ru-RU"/>
        </w:rPr>
        <w:t xml:space="preserve"> </w:t>
      </w:r>
      <w:r w:rsidRPr="00600CB7">
        <w:rPr>
          <w:rFonts w:eastAsia="Times New Roman" w:cs="Arial"/>
          <w:color w:val="000000"/>
          <w:szCs w:val="20"/>
          <w:lang w:eastAsia="bg-BG"/>
        </w:rPr>
        <w:t xml:space="preserve">телесно тегло азитромицин води до леко забавяне на феталната осификация и наддаването на телесното тегло при майката. При пери- и постнатални проучвания върху плъхове след проведено лечение с прилагане на азитромицин в дневни дози от 50 </w:t>
      </w:r>
      <w:r w:rsidRPr="00600CB7">
        <w:rPr>
          <w:rFonts w:eastAsia="Times New Roman" w:cs="Arial"/>
          <w:color w:val="000000"/>
          <w:szCs w:val="20"/>
          <w:lang w:val="en-US"/>
        </w:rPr>
        <w:t>mg</w:t>
      </w:r>
      <w:r w:rsidRPr="00600CB7">
        <w:rPr>
          <w:rFonts w:eastAsia="Times New Roman" w:cs="Arial"/>
          <w:color w:val="000000"/>
          <w:szCs w:val="20"/>
          <w:lang w:val="ru-RU"/>
        </w:rPr>
        <w:t>/</w:t>
      </w:r>
      <w:r w:rsidRPr="00600CB7">
        <w:rPr>
          <w:rFonts w:eastAsia="Times New Roman" w:cs="Arial"/>
          <w:color w:val="000000"/>
          <w:szCs w:val="20"/>
          <w:lang w:val="en-US"/>
        </w:rPr>
        <w:t>kg</w:t>
      </w:r>
      <w:r w:rsidRPr="00600CB7">
        <w:rPr>
          <w:rFonts w:eastAsia="Times New Roman" w:cs="Arial"/>
          <w:color w:val="000000"/>
          <w:szCs w:val="20"/>
          <w:lang w:val="ru-RU"/>
        </w:rPr>
        <w:t xml:space="preserve"> </w:t>
      </w:r>
      <w:r w:rsidRPr="00600CB7">
        <w:rPr>
          <w:rFonts w:eastAsia="Times New Roman" w:cs="Arial"/>
          <w:color w:val="000000"/>
          <w:szCs w:val="20"/>
          <w:lang w:eastAsia="bg-BG"/>
        </w:rPr>
        <w:t>и повече се наблюдава леко забавяне във физическото развитие и рефлексите.</w:t>
      </w:r>
    </w:p>
    <w:p w14:paraId="78400413" w14:textId="77777777" w:rsidR="00600CB7" w:rsidRPr="00600CB7" w:rsidRDefault="00600CB7" w:rsidP="00600CB7"/>
    <w:p w14:paraId="6A7820AB" w14:textId="74C0CB0D" w:rsidR="008A6AF2" w:rsidRDefault="002C50EE" w:rsidP="00395555">
      <w:pPr>
        <w:pStyle w:val="Heading1"/>
      </w:pPr>
      <w:r>
        <w:t>7. ПРИТЕЖАТЕЛ НА РАЗРЕШЕНИЕТО ЗА УПОТРЕБА</w:t>
      </w:r>
    </w:p>
    <w:p w14:paraId="233AA809" w14:textId="1C4D33EB" w:rsidR="00600CB7" w:rsidRDefault="00600CB7" w:rsidP="00600CB7"/>
    <w:p w14:paraId="216CD0F2" w14:textId="77777777" w:rsidR="00600CB7" w:rsidRPr="00600CB7" w:rsidRDefault="00600CB7" w:rsidP="00600CB7">
      <w:pPr>
        <w:rPr>
          <w:sz w:val="24"/>
          <w:szCs w:val="24"/>
        </w:rPr>
      </w:pPr>
      <w:r w:rsidRPr="00600CB7">
        <w:rPr>
          <w:lang w:eastAsia="bg-BG"/>
        </w:rPr>
        <w:t>Алвоген Фарма Трейдинг Юръп ЕООД</w:t>
      </w:r>
    </w:p>
    <w:p w14:paraId="66989E17" w14:textId="77777777" w:rsidR="00600CB7" w:rsidRPr="00600CB7" w:rsidRDefault="00600CB7" w:rsidP="00600CB7">
      <w:pPr>
        <w:rPr>
          <w:sz w:val="24"/>
          <w:szCs w:val="24"/>
        </w:rPr>
      </w:pPr>
      <w:r w:rsidRPr="00600CB7">
        <w:rPr>
          <w:lang w:eastAsia="bg-BG"/>
        </w:rPr>
        <w:t>Бул. България № 86, ет. 1,</w:t>
      </w:r>
    </w:p>
    <w:p w14:paraId="07F5D1D1" w14:textId="77777777" w:rsidR="00600CB7" w:rsidRPr="00600CB7" w:rsidRDefault="00600CB7" w:rsidP="00600CB7">
      <w:pPr>
        <w:rPr>
          <w:sz w:val="24"/>
          <w:szCs w:val="24"/>
        </w:rPr>
      </w:pPr>
      <w:r w:rsidRPr="00600CB7">
        <w:rPr>
          <w:lang w:eastAsia="bg-BG"/>
        </w:rPr>
        <w:t>София 1680</w:t>
      </w:r>
    </w:p>
    <w:p w14:paraId="58CD7F42" w14:textId="7C7F0342" w:rsidR="00600CB7" w:rsidRPr="00600CB7" w:rsidRDefault="00600CB7" w:rsidP="00600CB7">
      <w:r w:rsidRPr="00600CB7">
        <w:rPr>
          <w:lang w:eastAsia="bg-BG"/>
        </w:rPr>
        <w:t>България</w:t>
      </w:r>
    </w:p>
    <w:p w14:paraId="04840D59" w14:textId="2FACEDFE" w:rsidR="002C50EE" w:rsidRDefault="002C50EE" w:rsidP="00395555">
      <w:pPr>
        <w:pStyle w:val="Heading1"/>
      </w:pPr>
      <w:r>
        <w:t>8. НОМЕР НА РАЗРЕШЕНИЕТО ЗА УПОТРЕБА</w:t>
      </w:r>
    </w:p>
    <w:p w14:paraId="1832FC39" w14:textId="78A58C49" w:rsidR="00600CB7" w:rsidRPr="00600CB7" w:rsidRDefault="00600CB7" w:rsidP="00600CB7">
      <w:r>
        <w:rPr>
          <w:lang w:val="en-US"/>
        </w:rPr>
        <w:t>Per</w:t>
      </w:r>
      <w:r w:rsidRPr="00600CB7">
        <w:rPr>
          <w:lang w:val="ru-RU"/>
        </w:rPr>
        <w:t xml:space="preserve">. </w:t>
      </w:r>
      <w:r>
        <w:t>№20120533</w:t>
      </w:r>
    </w:p>
    <w:p w14:paraId="2CCB5832" w14:textId="0203CB74" w:rsidR="007C605B" w:rsidRDefault="002C50EE" w:rsidP="007C605B">
      <w:pPr>
        <w:pStyle w:val="Heading1"/>
      </w:pPr>
      <w:r>
        <w:t>9. ДАТА НА ПЪРВО РАЗРЕШАВАНЕ/ПОДНОВЯВАНЕ НА РАЗРЕШЕНИЕТО ЗА УПОТРЕБА</w:t>
      </w:r>
    </w:p>
    <w:p w14:paraId="35A2E137" w14:textId="77777777" w:rsidR="00600CB7" w:rsidRPr="00600CB7" w:rsidRDefault="00600CB7" w:rsidP="00600CB7">
      <w:pPr>
        <w:rPr>
          <w:sz w:val="24"/>
          <w:szCs w:val="24"/>
        </w:rPr>
      </w:pPr>
      <w:r w:rsidRPr="00600CB7">
        <w:rPr>
          <w:lang w:eastAsia="bg-BG"/>
        </w:rPr>
        <w:t>Дата на първо разрешаване: 07.11.2012 г.</w:t>
      </w:r>
    </w:p>
    <w:p w14:paraId="66A0C93A" w14:textId="44A6BE31" w:rsidR="00600CB7" w:rsidRPr="00600CB7" w:rsidRDefault="00600CB7" w:rsidP="00600CB7">
      <w:r w:rsidRPr="00600CB7">
        <w:rPr>
          <w:lang w:eastAsia="bg-BG"/>
        </w:rPr>
        <w:t>Дата на последно подновяване: 27.11.2018 г.</w:t>
      </w:r>
    </w:p>
    <w:p w14:paraId="0E9D0119" w14:textId="0245C6D7" w:rsidR="002C50EE" w:rsidRDefault="002C50EE" w:rsidP="002C50EE">
      <w:pPr>
        <w:pStyle w:val="Heading1"/>
      </w:pPr>
      <w:r>
        <w:t>10. ДАТА НА АКТУАЛИЗИРАНЕ НА ТЕКСТА</w:t>
      </w:r>
    </w:p>
    <w:bookmarkEnd w:id="0"/>
    <w:p w14:paraId="43FB38A2" w14:textId="369A1875" w:rsidR="007C605B" w:rsidRPr="003E3126" w:rsidRDefault="00600CB7" w:rsidP="00600CB7">
      <w:r>
        <w:t>11.2019</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159A"/>
    <w:multiLevelType w:val="hybridMultilevel"/>
    <w:tmpl w:val="F8E64E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0CB7"/>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23FAD"/>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5350</Words>
  <Characters>30496</Characters>
  <Application>Microsoft Office Word</Application>
  <DocSecurity>0</DocSecurity>
  <Lines>254</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2022-02-09T14:37:00Z</dcterms:created>
  <dcterms:modified xsi:type="dcterms:W3CDTF">2022-02-09T14:37:00Z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