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6AF1D2F0" w14:textId="553BDDD4" w:rsidR="002C50EE" w:rsidRDefault="002C50EE" w:rsidP="00EB6364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355377FC" w14:textId="77777777" w:rsidR="00A75EFF" w:rsidRPr="00A75EFF" w:rsidRDefault="00A75EFF" w:rsidP="00A75EFF">
      <w:pPr>
        <w:rPr>
          <w:sz w:val="24"/>
          <w:szCs w:val="24"/>
        </w:rPr>
      </w:pPr>
      <w:r w:rsidRPr="00A75EFF">
        <w:t xml:space="preserve">BACLOFEN - POLPHARMA </w:t>
      </w:r>
    </w:p>
    <w:p w14:paraId="41A152D3" w14:textId="562230B0" w:rsidR="00EB6364" w:rsidRPr="00A75EFF" w:rsidRDefault="00A75EFF" w:rsidP="00EB6364">
      <w:pPr>
        <w:rPr>
          <w:sz w:val="24"/>
          <w:szCs w:val="24"/>
        </w:rPr>
      </w:pPr>
      <w:r w:rsidRPr="00A75EFF">
        <w:rPr>
          <w:lang w:val="bg-BG" w:eastAsia="bg-BG"/>
        </w:rPr>
        <w:t xml:space="preserve">БАКЛОФЕН </w:t>
      </w:r>
      <w:r w:rsidRPr="00A75EFF">
        <w:t xml:space="preserve">- </w:t>
      </w:r>
      <w:r w:rsidRPr="00A75EFF">
        <w:rPr>
          <w:lang w:val="bg-BG" w:eastAsia="bg-BG"/>
        </w:rPr>
        <w:t>ПОЛФАРМА</w:t>
      </w:r>
    </w:p>
    <w:p w14:paraId="09D7AC26" w14:textId="78B2B65D" w:rsidR="00C83063" w:rsidRDefault="002C50EE" w:rsidP="00C83063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6C177E87" w14:textId="77777777" w:rsidR="00A75EFF" w:rsidRPr="00A75EFF" w:rsidRDefault="00A75EFF" w:rsidP="00A75EFF">
      <w:pPr>
        <w:rPr>
          <w:sz w:val="24"/>
          <w:szCs w:val="24"/>
        </w:rPr>
      </w:pPr>
      <w:r w:rsidRPr="00A75EFF">
        <w:rPr>
          <w:lang w:val="bg-BG" w:eastAsia="bg-BG"/>
        </w:rPr>
        <w:t xml:space="preserve">1 таблетка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- </w:t>
      </w:r>
      <w:proofErr w:type="spellStart"/>
      <w:r w:rsidRPr="00A75EFF">
        <w:rPr>
          <w:lang w:val="bg-BG" w:eastAsia="bg-BG"/>
        </w:rPr>
        <w:t>Полфарма</w:t>
      </w:r>
      <w:proofErr w:type="spellEnd"/>
      <w:r w:rsidRPr="00A75EFF">
        <w:rPr>
          <w:lang w:val="bg-BG" w:eastAsia="bg-BG"/>
        </w:rPr>
        <w:t xml:space="preserve"> съдържа </w:t>
      </w:r>
      <w:r w:rsidRPr="00A75EFF">
        <w:t xml:space="preserve">10mg </w:t>
      </w:r>
      <w:r w:rsidRPr="00A75EFF">
        <w:rPr>
          <w:lang w:val="bg-BG" w:eastAsia="bg-BG"/>
        </w:rPr>
        <w:t xml:space="preserve">или </w:t>
      </w:r>
      <w:r w:rsidRPr="00A75EFF">
        <w:t xml:space="preserve">25mg baclofen /4-amino-3-( p-chloro- </w:t>
      </w:r>
      <w:proofErr w:type="spellStart"/>
      <w:r w:rsidRPr="00A75EFF">
        <w:t>phenil</w:t>
      </w:r>
      <w:proofErr w:type="spellEnd"/>
      <w:r w:rsidRPr="00A75EFF">
        <w:t xml:space="preserve">)-butyric acid </w:t>
      </w:r>
      <w:r w:rsidRPr="00A75EFF">
        <w:rPr>
          <w:lang w:val="bg-BG" w:eastAsia="bg-BG"/>
        </w:rPr>
        <w:t>/</w:t>
      </w:r>
    </w:p>
    <w:p w14:paraId="7B0AF33C" w14:textId="5FBA19AE" w:rsidR="00A75EFF" w:rsidRPr="00A75EFF" w:rsidRDefault="00A75EFF" w:rsidP="00A75EFF">
      <w:pPr>
        <w:rPr>
          <w:sz w:val="24"/>
          <w:szCs w:val="24"/>
        </w:rPr>
      </w:pPr>
      <w:r w:rsidRPr="00A75EFF">
        <w:rPr>
          <w:i/>
          <w:iCs/>
          <w:u w:val="single"/>
          <w:lang w:val="bg-BG" w:eastAsia="bg-BG"/>
        </w:rPr>
        <w:t>Помощни вещества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5EFF" w14:paraId="2687F4D7" w14:textId="77777777" w:rsidTr="00A75EFF">
        <w:tc>
          <w:tcPr>
            <w:tcW w:w="3116" w:type="dxa"/>
          </w:tcPr>
          <w:p w14:paraId="42A200AE" w14:textId="77777777" w:rsidR="00A75EFF" w:rsidRDefault="00A75EFF" w:rsidP="00A75EFF"/>
        </w:tc>
        <w:tc>
          <w:tcPr>
            <w:tcW w:w="3117" w:type="dxa"/>
          </w:tcPr>
          <w:p w14:paraId="5C00DE23" w14:textId="6C8531C9" w:rsidR="00A75EFF" w:rsidRDefault="00A75EFF" w:rsidP="00A75EFF">
            <w:r>
              <w:rPr>
                <w:lang w:val="bg-BG" w:eastAsia="bg-BG"/>
              </w:rPr>
              <w:t xml:space="preserve">таблетки от </w:t>
            </w:r>
            <w:proofErr w:type="spellStart"/>
            <w:r>
              <w:t>lOmg</w:t>
            </w:r>
            <w:proofErr w:type="spellEnd"/>
          </w:p>
        </w:tc>
        <w:tc>
          <w:tcPr>
            <w:tcW w:w="3117" w:type="dxa"/>
          </w:tcPr>
          <w:p w14:paraId="2856D722" w14:textId="50B3EC64" w:rsidR="00A75EFF" w:rsidRDefault="00A75EFF" w:rsidP="00A75EFF">
            <w:r>
              <w:rPr>
                <w:lang w:val="bg-BG" w:eastAsia="bg-BG"/>
              </w:rPr>
              <w:t xml:space="preserve">таблетки от </w:t>
            </w:r>
            <w:r>
              <w:t>25mg</w:t>
            </w:r>
          </w:p>
        </w:tc>
      </w:tr>
      <w:tr w:rsidR="00A75EFF" w14:paraId="3F245FC7" w14:textId="77777777" w:rsidTr="00A75EFF">
        <w:tc>
          <w:tcPr>
            <w:tcW w:w="3116" w:type="dxa"/>
          </w:tcPr>
          <w:p w14:paraId="48C8AC81" w14:textId="3E0EA446" w:rsidR="00A75EFF" w:rsidRDefault="00A75EFF" w:rsidP="00A75EFF">
            <w:r>
              <w:t>Lactose</w:t>
            </w:r>
          </w:p>
        </w:tc>
        <w:tc>
          <w:tcPr>
            <w:tcW w:w="3117" w:type="dxa"/>
          </w:tcPr>
          <w:p w14:paraId="558EA6E1" w14:textId="4CD3CAE1" w:rsidR="00A75EFF" w:rsidRDefault="00A75EFF" w:rsidP="00A75EFF">
            <w:r>
              <w:t>60.00 mg</w:t>
            </w:r>
          </w:p>
        </w:tc>
        <w:tc>
          <w:tcPr>
            <w:tcW w:w="3117" w:type="dxa"/>
          </w:tcPr>
          <w:p w14:paraId="5CA4F3A8" w14:textId="218090E5" w:rsidR="00A75EFF" w:rsidRDefault="00A75EFF" w:rsidP="00A75EFF">
            <w:r>
              <w:t>50.00 mg</w:t>
            </w:r>
          </w:p>
        </w:tc>
      </w:tr>
      <w:tr w:rsidR="00A75EFF" w14:paraId="0BD5ABF3" w14:textId="77777777" w:rsidTr="00A75EFF">
        <w:tc>
          <w:tcPr>
            <w:tcW w:w="3116" w:type="dxa"/>
          </w:tcPr>
          <w:p w14:paraId="717B36C6" w14:textId="52C0E499" w:rsidR="00A75EFF" w:rsidRDefault="00A75EFF" w:rsidP="00A75EFF">
            <w:r>
              <w:t>Potato starch</w:t>
            </w:r>
          </w:p>
        </w:tc>
        <w:tc>
          <w:tcPr>
            <w:tcW w:w="3117" w:type="dxa"/>
          </w:tcPr>
          <w:p w14:paraId="1EF12FD6" w14:textId="741AF213" w:rsidR="00A75EFF" w:rsidRDefault="00A75EFF" w:rsidP="00A75EFF">
            <w:r>
              <w:t>34.55 mg</w:t>
            </w:r>
          </w:p>
        </w:tc>
        <w:tc>
          <w:tcPr>
            <w:tcW w:w="3117" w:type="dxa"/>
          </w:tcPr>
          <w:p w14:paraId="25C4D96B" w14:textId="5C436F7D" w:rsidR="00A75EFF" w:rsidRDefault="00A75EFF" w:rsidP="00A75EFF">
            <w:r>
              <w:t>29.55 mg</w:t>
            </w:r>
          </w:p>
        </w:tc>
      </w:tr>
      <w:tr w:rsidR="00A75EFF" w14:paraId="17D56F5B" w14:textId="77777777" w:rsidTr="00A75EFF">
        <w:tc>
          <w:tcPr>
            <w:tcW w:w="3116" w:type="dxa"/>
          </w:tcPr>
          <w:p w14:paraId="1F324718" w14:textId="4D0EB33F" w:rsidR="00A75EFF" w:rsidRDefault="00A75EFF" w:rsidP="00A75EFF">
            <w:proofErr w:type="spellStart"/>
            <w:r>
              <w:t>Gelatine</w:t>
            </w:r>
            <w:proofErr w:type="spellEnd"/>
          </w:p>
        </w:tc>
        <w:tc>
          <w:tcPr>
            <w:tcW w:w="3117" w:type="dxa"/>
          </w:tcPr>
          <w:p w14:paraId="66DE37F0" w14:textId="48C5C906" w:rsidR="00A75EFF" w:rsidRDefault="00A75EFF" w:rsidP="00A75EFF">
            <w:r>
              <w:t>2.25 mg</w:t>
            </w:r>
          </w:p>
        </w:tc>
        <w:tc>
          <w:tcPr>
            <w:tcW w:w="3117" w:type="dxa"/>
          </w:tcPr>
          <w:p w14:paraId="7614D251" w14:textId="2219077F" w:rsidR="00A75EFF" w:rsidRDefault="00A75EFF" w:rsidP="00A75EFF">
            <w:r>
              <w:t>2.25 mg</w:t>
            </w:r>
          </w:p>
        </w:tc>
      </w:tr>
      <w:tr w:rsidR="00A75EFF" w14:paraId="30604FD9" w14:textId="77777777" w:rsidTr="00A75EFF">
        <w:tc>
          <w:tcPr>
            <w:tcW w:w="3116" w:type="dxa"/>
          </w:tcPr>
          <w:p w14:paraId="721DA855" w14:textId="47FF66C8" w:rsidR="00A75EFF" w:rsidRDefault="00A75EFF" w:rsidP="00A75EFF">
            <w:proofErr w:type="spellStart"/>
            <w:r>
              <w:t>Glicerme</w:t>
            </w:r>
            <w:proofErr w:type="spellEnd"/>
          </w:p>
        </w:tc>
        <w:tc>
          <w:tcPr>
            <w:tcW w:w="3117" w:type="dxa"/>
          </w:tcPr>
          <w:p w14:paraId="76CFC082" w14:textId="66BDCA69" w:rsidR="00A75EFF" w:rsidRDefault="00A75EFF" w:rsidP="00A75EFF">
            <w:r>
              <w:t>0.20 mg</w:t>
            </w:r>
          </w:p>
        </w:tc>
        <w:tc>
          <w:tcPr>
            <w:tcW w:w="3117" w:type="dxa"/>
          </w:tcPr>
          <w:p w14:paraId="1B193058" w14:textId="35415AFE" w:rsidR="00A75EFF" w:rsidRDefault="00A75EFF" w:rsidP="00A75EFF">
            <w:r>
              <w:t>0.20 mg</w:t>
            </w:r>
          </w:p>
        </w:tc>
      </w:tr>
      <w:tr w:rsidR="00A75EFF" w14:paraId="79A5CAEC" w14:textId="77777777" w:rsidTr="00A75EFF">
        <w:tc>
          <w:tcPr>
            <w:tcW w:w="3116" w:type="dxa"/>
          </w:tcPr>
          <w:p w14:paraId="79E4144A" w14:textId="2C16D9E7" w:rsidR="00A75EFF" w:rsidRDefault="00A75EFF" w:rsidP="00A75EFF">
            <w:r>
              <w:t>Talk</w:t>
            </w:r>
          </w:p>
        </w:tc>
        <w:tc>
          <w:tcPr>
            <w:tcW w:w="3117" w:type="dxa"/>
          </w:tcPr>
          <w:p w14:paraId="3DEB60A1" w14:textId="1A0B192E" w:rsidR="00A75EFF" w:rsidRDefault="00A75EFF" w:rsidP="00A75EFF">
            <w:r>
              <w:t>1.00 mg</w:t>
            </w:r>
          </w:p>
        </w:tc>
        <w:tc>
          <w:tcPr>
            <w:tcW w:w="3117" w:type="dxa"/>
          </w:tcPr>
          <w:p w14:paraId="09E6E32C" w14:textId="274CA388" w:rsidR="00A75EFF" w:rsidRDefault="00A75EFF" w:rsidP="00A75EFF">
            <w:r>
              <w:t>1.00 mg</w:t>
            </w:r>
          </w:p>
        </w:tc>
      </w:tr>
      <w:tr w:rsidR="00A75EFF" w14:paraId="16EB05A0" w14:textId="77777777" w:rsidTr="00A75EFF">
        <w:tc>
          <w:tcPr>
            <w:tcW w:w="3116" w:type="dxa"/>
          </w:tcPr>
          <w:p w14:paraId="6866CBEC" w14:textId="03B24531" w:rsidR="00A75EFF" w:rsidRDefault="00A75EFF" w:rsidP="00A75EFF">
            <w:r>
              <w:t>Magnesium stearate</w:t>
            </w:r>
          </w:p>
        </w:tc>
        <w:tc>
          <w:tcPr>
            <w:tcW w:w="3117" w:type="dxa"/>
          </w:tcPr>
          <w:p w14:paraId="4AAA173E" w14:textId="36D1B6EE" w:rsidR="00A75EFF" w:rsidRDefault="00A75EFF" w:rsidP="00A75EFF">
            <w:r>
              <w:t>0.50 mg</w:t>
            </w:r>
          </w:p>
        </w:tc>
        <w:tc>
          <w:tcPr>
            <w:tcW w:w="3117" w:type="dxa"/>
          </w:tcPr>
          <w:p w14:paraId="7A4A7EAF" w14:textId="422A6967" w:rsidR="00A75EFF" w:rsidRDefault="00A75EFF" w:rsidP="00A75EFF">
            <w:r>
              <w:t>0.50 mg</w:t>
            </w:r>
          </w:p>
        </w:tc>
      </w:tr>
      <w:tr w:rsidR="00A75EFF" w14:paraId="6FC62025" w14:textId="77777777" w:rsidTr="00A75EFF">
        <w:tc>
          <w:tcPr>
            <w:tcW w:w="3116" w:type="dxa"/>
          </w:tcPr>
          <w:p w14:paraId="51437CF4" w14:textId="69152D35" w:rsidR="00A75EFF" w:rsidRDefault="00A75EFF" w:rsidP="00A75EFF">
            <w:proofErr w:type="spellStart"/>
            <w:r>
              <w:t>Ethylcellulose</w:t>
            </w:r>
            <w:proofErr w:type="spellEnd"/>
          </w:p>
        </w:tc>
        <w:tc>
          <w:tcPr>
            <w:tcW w:w="3117" w:type="dxa"/>
          </w:tcPr>
          <w:p w14:paraId="251D6E77" w14:textId="26638B4D" w:rsidR="00A75EFF" w:rsidRDefault="00A75EFF" w:rsidP="00A75EFF">
            <w:r>
              <w:t>1.50 mg</w:t>
            </w:r>
          </w:p>
        </w:tc>
        <w:tc>
          <w:tcPr>
            <w:tcW w:w="3117" w:type="dxa"/>
          </w:tcPr>
          <w:p w14:paraId="75238C31" w14:textId="701A7BD1" w:rsidR="00A75EFF" w:rsidRDefault="00A75EFF" w:rsidP="00A75EFF">
            <w:r>
              <w:t>1.50 mg</w:t>
            </w:r>
          </w:p>
        </w:tc>
      </w:tr>
    </w:tbl>
    <w:p w14:paraId="27F76272" w14:textId="2A5D380C" w:rsidR="00EB6364" w:rsidRPr="00EB6364" w:rsidRDefault="00EB6364" w:rsidP="00EB6364"/>
    <w:p w14:paraId="6CCB29CE" w14:textId="430CF43E" w:rsidR="002C50EE" w:rsidRDefault="002C50EE" w:rsidP="00EB6364">
      <w:pPr>
        <w:pStyle w:val="Heading1"/>
        <w:numPr>
          <w:ilvl w:val="0"/>
          <w:numId w:val="11"/>
        </w:numPr>
      </w:pPr>
      <w:r>
        <w:t>ЛЕКАРСТВЕНА ФОРМА</w:t>
      </w:r>
    </w:p>
    <w:p w14:paraId="6302B6FA" w14:textId="25A1D173" w:rsidR="00A75EFF" w:rsidRPr="00A75EFF" w:rsidRDefault="00A75EFF" w:rsidP="00A75EFF">
      <w:proofErr w:type="spellStart"/>
      <w:r>
        <w:t>Таблетки</w:t>
      </w:r>
      <w:proofErr w:type="spellEnd"/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326DC84A" w14:textId="5FA55122" w:rsidR="0075649D" w:rsidRDefault="002C50EE" w:rsidP="00C83063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6DF26614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Спастични състояния при:</w:t>
      </w:r>
    </w:p>
    <w:p w14:paraId="074309A6" w14:textId="7379CF16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r w:rsidRPr="00A75EFF">
        <w:rPr>
          <w:lang w:val="bg-BG" w:eastAsia="bg-BG"/>
        </w:rPr>
        <w:t>мултиплена склероза;</w:t>
      </w:r>
    </w:p>
    <w:p w14:paraId="31D5ECDD" w14:textId="32CA9DEF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r w:rsidRPr="00A75EFF">
        <w:rPr>
          <w:lang w:val="bg-BG" w:eastAsia="bg-BG"/>
        </w:rPr>
        <w:t xml:space="preserve">други увреждания на гръбначния мозък (като тумори, </w:t>
      </w:r>
      <w:proofErr w:type="spellStart"/>
      <w:r w:rsidRPr="00A75EFF">
        <w:rPr>
          <w:lang w:val="bg-BG" w:eastAsia="bg-BG"/>
        </w:rPr>
        <w:t>сирингомиелия</w:t>
      </w:r>
      <w:proofErr w:type="spellEnd"/>
      <w:r w:rsidRPr="00A75EFF">
        <w:rPr>
          <w:lang w:val="bg-BG" w:eastAsia="bg-BG"/>
        </w:rPr>
        <w:t xml:space="preserve">, заболявалия на моторните неврони, </w:t>
      </w:r>
      <w:proofErr w:type="spellStart"/>
      <w:r w:rsidRPr="00A75EFF">
        <w:rPr>
          <w:lang w:val="bg-BG" w:eastAsia="bg-BG"/>
        </w:rPr>
        <w:t>трансверзален</w:t>
      </w:r>
      <w:proofErr w:type="spellEnd"/>
      <w:r w:rsidRPr="00A75EFF">
        <w:rPr>
          <w:lang w:val="bg-BG" w:eastAsia="bg-BG"/>
        </w:rPr>
        <w:t xml:space="preserve"> </w:t>
      </w:r>
      <w:proofErr w:type="spellStart"/>
      <w:r w:rsidRPr="00A75EFF">
        <w:rPr>
          <w:lang w:val="bg-BG" w:eastAsia="bg-BG"/>
        </w:rPr>
        <w:t>миелит</w:t>
      </w:r>
      <w:proofErr w:type="spellEnd"/>
      <w:r w:rsidRPr="00A75EFF">
        <w:rPr>
          <w:lang w:val="bg-BG" w:eastAsia="bg-BG"/>
        </w:rPr>
        <w:t>, травма на гръбначния мозък);</w:t>
      </w:r>
    </w:p>
    <w:p w14:paraId="76EC9FAA" w14:textId="233B9B9F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proofErr w:type="spellStart"/>
      <w:r w:rsidRPr="00A75EFF">
        <w:rPr>
          <w:lang w:val="bg-BG" w:eastAsia="bg-BG"/>
        </w:rPr>
        <w:t>васкуларен</w:t>
      </w:r>
      <w:proofErr w:type="spellEnd"/>
      <w:r w:rsidRPr="00A75EFF">
        <w:rPr>
          <w:lang w:val="bg-BG" w:eastAsia="bg-BG"/>
        </w:rPr>
        <w:t xml:space="preserve"> церебрален инсулт;</w:t>
      </w:r>
    </w:p>
    <w:p w14:paraId="6EB6449A" w14:textId="0D11B857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r w:rsidRPr="00A75EFF">
        <w:rPr>
          <w:lang w:val="bg-BG" w:eastAsia="bg-BG"/>
        </w:rPr>
        <w:t>церебрална парализа;</w:t>
      </w:r>
    </w:p>
    <w:p w14:paraId="6172ADEC" w14:textId="14BBADE9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r w:rsidRPr="00A75EFF">
        <w:rPr>
          <w:lang w:val="bg-BG" w:eastAsia="bg-BG"/>
        </w:rPr>
        <w:t>менингити;</w:t>
      </w:r>
    </w:p>
    <w:p w14:paraId="078718D2" w14:textId="684F4288" w:rsidR="00A75EFF" w:rsidRPr="00A75EFF" w:rsidRDefault="00A75EFF" w:rsidP="00A75EFF">
      <w:pPr>
        <w:pStyle w:val="ListParagraph"/>
        <w:numPr>
          <w:ilvl w:val="0"/>
          <w:numId w:val="17"/>
        </w:numPr>
        <w:rPr>
          <w:lang w:val="bg-BG" w:eastAsia="bg-BG"/>
        </w:rPr>
      </w:pPr>
      <w:r w:rsidRPr="00A75EFF">
        <w:rPr>
          <w:lang w:val="bg-BG" w:eastAsia="bg-BG"/>
        </w:rPr>
        <w:t>травма на главата;</w:t>
      </w:r>
    </w:p>
    <w:p w14:paraId="64266063" w14:textId="77777777" w:rsidR="00A75EFF" w:rsidRPr="00A75EFF" w:rsidRDefault="00A75EFF" w:rsidP="00A75EFF"/>
    <w:p w14:paraId="3DB2ABFA" w14:textId="215103A6" w:rsidR="00605BCA" w:rsidRDefault="002C50EE" w:rsidP="00C83063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7CC27A1D" w14:textId="77777777" w:rsid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479F2C2B" w14:textId="2EE0AFBC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Дозирането е индивидуално с цел да се приложи най-ниската ефективна доза и да се избегнат нежеланите лекарствени реакции.</w:t>
      </w:r>
    </w:p>
    <w:p w14:paraId="31AF5871" w14:textId="77777777" w:rsidR="00A75EFF" w:rsidRDefault="00A75EFF" w:rsidP="00A75EFF">
      <w:pPr>
        <w:rPr>
          <w:lang w:val="bg-BG" w:eastAsia="bg-BG"/>
        </w:rPr>
      </w:pPr>
    </w:p>
    <w:p w14:paraId="406E52C6" w14:textId="287F2B5D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Препоръчват се следните </w:t>
      </w:r>
      <w:proofErr w:type="spellStart"/>
      <w:r w:rsidRPr="00A75EFF">
        <w:rPr>
          <w:lang w:val="bg-BG" w:eastAsia="bg-BG"/>
        </w:rPr>
        <w:t>дозови</w:t>
      </w:r>
      <w:proofErr w:type="spellEnd"/>
      <w:r w:rsidRPr="00A75EFF">
        <w:rPr>
          <w:lang w:val="bg-BG" w:eastAsia="bg-BG"/>
        </w:rPr>
        <w:t xml:space="preserve"> режими:</w:t>
      </w:r>
    </w:p>
    <w:p w14:paraId="636A5802" w14:textId="50B96FE8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b/>
          <w:bCs/>
          <w:i/>
          <w:iCs/>
          <w:lang w:val="bg-BG" w:eastAsia="bg-BG"/>
        </w:rPr>
        <w:t>Възрастни:</w:t>
      </w:r>
    </w:p>
    <w:p w14:paraId="01BF3C04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През първите 3 дни - 5 </w:t>
      </w:r>
      <w:r w:rsidRPr="00A75EFF">
        <w:t xml:space="preserve">mg </w:t>
      </w:r>
      <w:r w:rsidRPr="00A75EFF">
        <w:rPr>
          <w:lang w:val="bg-BG" w:eastAsia="bg-BG"/>
        </w:rPr>
        <w:t xml:space="preserve">(1/2 таблетка от 10 </w:t>
      </w:r>
      <w:r w:rsidRPr="00A75EFF">
        <w:t xml:space="preserve">mg) </w:t>
      </w:r>
      <w:r w:rsidRPr="00A75EFF">
        <w:rPr>
          <w:lang w:val="bg-BG" w:eastAsia="bg-BG"/>
        </w:rPr>
        <w:t>3 пъти дневно,</w:t>
      </w:r>
    </w:p>
    <w:p w14:paraId="206E1F86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През следващите 3 дни - по 10 </w:t>
      </w:r>
      <w:r w:rsidRPr="00A75EFF">
        <w:t xml:space="preserve">mg </w:t>
      </w:r>
      <w:r w:rsidRPr="00A75EFF">
        <w:rPr>
          <w:lang w:val="bg-BG" w:eastAsia="bg-BG"/>
        </w:rPr>
        <w:t>3 пъти дневно,</w:t>
      </w:r>
    </w:p>
    <w:p w14:paraId="3BBC28C1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lastRenderedPageBreak/>
        <w:t xml:space="preserve">През следващите 3 дни - 15 </w:t>
      </w:r>
      <w:r w:rsidRPr="00A75EFF">
        <w:t xml:space="preserve">mg </w:t>
      </w:r>
      <w:r w:rsidRPr="00A75EFF">
        <w:rPr>
          <w:lang w:val="bg-BG" w:eastAsia="bg-BG"/>
        </w:rPr>
        <w:t xml:space="preserve">(11/2 таблетка от 10 </w:t>
      </w:r>
      <w:r w:rsidRPr="00A75EFF">
        <w:t xml:space="preserve">mg) </w:t>
      </w:r>
      <w:r w:rsidRPr="00A75EFF">
        <w:rPr>
          <w:lang w:val="bg-BG" w:eastAsia="bg-BG"/>
        </w:rPr>
        <w:t>3 пъти дневно, И</w:t>
      </w:r>
      <w:r w:rsidRPr="00A75EFF">
        <w:rPr>
          <w:b/>
          <w:bCs/>
          <w:lang w:val="bg-BG" w:eastAsia="bg-BG"/>
        </w:rPr>
        <w:t xml:space="preserve"> </w:t>
      </w:r>
      <w:r w:rsidRPr="00A75EFF">
        <w:rPr>
          <w:lang w:val="bg-BG" w:eastAsia="bg-BG"/>
        </w:rPr>
        <w:t xml:space="preserve">през следващите 3 дни - 20 </w:t>
      </w:r>
      <w:r w:rsidRPr="00A75EFF">
        <w:t xml:space="preserve">mg </w:t>
      </w:r>
      <w:r w:rsidRPr="00A75EFF">
        <w:rPr>
          <w:lang w:val="bg-BG" w:eastAsia="bg-BG"/>
        </w:rPr>
        <w:t xml:space="preserve">(2 таблетки от 10 </w:t>
      </w:r>
      <w:r w:rsidRPr="00A75EFF">
        <w:t xml:space="preserve">mg) </w:t>
      </w:r>
      <w:r w:rsidRPr="00A75EFF">
        <w:rPr>
          <w:lang w:val="bg-BG" w:eastAsia="bg-BG"/>
        </w:rPr>
        <w:t>3 пъти дневно.</w:t>
      </w:r>
    </w:p>
    <w:p w14:paraId="0FEB619F" w14:textId="77777777" w:rsidR="00A75EFF" w:rsidRDefault="00A75EFF" w:rsidP="00A75EFF">
      <w:pPr>
        <w:rPr>
          <w:lang w:val="bg-BG" w:eastAsia="bg-BG"/>
        </w:rPr>
      </w:pPr>
    </w:p>
    <w:p w14:paraId="3C74531F" w14:textId="4BD39AED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По този начин на дозиране се постига добра лекарствена поносимост.</w:t>
      </w:r>
    </w:p>
    <w:p w14:paraId="55A5B263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При повечето пациенти терапевтични ефекти се наблюдават при прием</w:t>
      </w:r>
      <w:r w:rsidRPr="00A75EFF">
        <w:t xml:space="preserve"> </w:t>
      </w:r>
      <w:r w:rsidRPr="00A75EFF">
        <w:rPr>
          <w:lang w:val="bg-BG" w:eastAsia="bg-BG"/>
        </w:rPr>
        <w:t xml:space="preserve">на 30-75 </w:t>
      </w:r>
      <w:r w:rsidRPr="00A75EFF">
        <w:t xml:space="preserve">mg </w:t>
      </w:r>
      <w:r w:rsidRPr="00A75EFF">
        <w:rPr>
          <w:lang w:val="bg-BG" w:eastAsia="bg-BG"/>
        </w:rPr>
        <w:t>дневно</w:t>
      </w:r>
    </w:p>
    <w:p w14:paraId="3C05B592" w14:textId="540CDD56" w:rsidR="00A75EFF" w:rsidRDefault="00A75EFF" w:rsidP="00A75EFF"/>
    <w:p w14:paraId="2F4F4877" w14:textId="77777777" w:rsidR="00A75EFF" w:rsidRP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Ако е необходимо дозата може да бъде повишавана постепенно, но </w:t>
      </w:r>
      <w:proofErr w:type="spellStart"/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пациентаът</w:t>
      </w:r>
      <w:proofErr w:type="spellEnd"/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трябва да се проследява с особено внимание.</w:t>
      </w:r>
    </w:p>
    <w:p w14:paraId="0F9BBAFA" w14:textId="77777777" w:rsidR="00A75EFF" w:rsidRP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Ако е необходимо да се прилагат по-високи дози от лекарството (75-100 </w:t>
      </w:r>
      <w:r w:rsidRPr="00A75EFF">
        <w:rPr>
          <w:rFonts w:ascii="Times New Roman" w:eastAsia="Times New Roman" w:hAnsi="Times New Roman" w:cs="Times New Roman"/>
          <w:color w:val="000000"/>
        </w:rPr>
        <w:t xml:space="preserve">mg 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дневно), могат да се използват таблетки от 25 </w:t>
      </w:r>
      <w:r w:rsidRPr="00A75EFF">
        <w:rPr>
          <w:rFonts w:ascii="Times New Roman" w:eastAsia="Times New Roman" w:hAnsi="Times New Roman" w:cs="Times New Roman"/>
          <w:color w:val="000000"/>
        </w:rPr>
        <w:t>mg.</w:t>
      </w:r>
    </w:p>
    <w:p w14:paraId="6460AFB5" w14:textId="77777777" w:rsidR="00A75EFF" w:rsidRP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Не бива да се превишава дневната доза над 100 </w:t>
      </w:r>
      <w:r w:rsidRPr="00A75EFF">
        <w:rPr>
          <w:rFonts w:ascii="Times New Roman" w:eastAsia="Times New Roman" w:hAnsi="Times New Roman" w:cs="Times New Roman"/>
          <w:color w:val="000000"/>
        </w:rPr>
        <w:t>mg.</w:t>
      </w:r>
    </w:p>
    <w:p w14:paraId="6C419701" w14:textId="77777777" w:rsidR="00A75EFF" w:rsidRP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Продължителността на терапията зависи от клиничното състояние на пациента.</w:t>
      </w:r>
    </w:p>
    <w:p w14:paraId="2B4B02EA" w14:textId="77777777" w:rsidR="00A75EFF" w:rsidRP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Лечението с </w:t>
      </w:r>
      <w:proofErr w:type="spellStart"/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баклофен</w:t>
      </w:r>
      <w:proofErr w:type="spellEnd"/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не бива да се спира рязко, поради опасност от халюцинации и влошаване на спастичните състояния.</w:t>
      </w:r>
    </w:p>
    <w:p w14:paraId="26AC5D06" w14:textId="77777777" w:rsid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val="bg-BG" w:eastAsia="bg-BG"/>
        </w:rPr>
      </w:pPr>
    </w:p>
    <w:p w14:paraId="77BBA717" w14:textId="521910F5" w:rsidR="00A75EFF" w:rsidRPr="00A75EFF" w:rsidRDefault="00A75EFF" w:rsidP="00A75EFF">
      <w:pPr>
        <w:rPr>
          <w:b/>
          <w:bCs/>
          <w:sz w:val="24"/>
          <w:szCs w:val="24"/>
          <w:lang w:val="bg-BG"/>
        </w:rPr>
      </w:pPr>
      <w:r w:rsidRPr="00A75EFF">
        <w:rPr>
          <w:b/>
          <w:bCs/>
          <w:lang w:val="bg-BG" w:eastAsia="bg-BG"/>
        </w:rPr>
        <w:t>Гериатрични пациенти</w:t>
      </w:r>
    </w:p>
    <w:p w14:paraId="7506269F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При гериатрични пациенти дозата трябва да се повишава с особено внимание, поради по- честата проява на нежелани реакции.</w:t>
      </w:r>
    </w:p>
    <w:p w14:paraId="77CCF60A" w14:textId="77777777" w:rsidR="00A75EFF" w:rsidRDefault="00A75EFF" w:rsidP="00A75EFF">
      <w:pPr>
        <w:rPr>
          <w:lang w:val="bg-BG" w:eastAsia="bg-BG"/>
        </w:rPr>
      </w:pPr>
    </w:p>
    <w:p w14:paraId="080498FA" w14:textId="3D7976BD" w:rsidR="00A75EFF" w:rsidRPr="00A75EFF" w:rsidRDefault="00A75EFF" w:rsidP="00A75EFF">
      <w:pPr>
        <w:rPr>
          <w:b/>
          <w:bCs/>
          <w:sz w:val="24"/>
          <w:szCs w:val="24"/>
          <w:lang w:val="bg-BG"/>
        </w:rPr>
      </w:pPr>
      <w:r w:rsidRPr="00A75EFF">
        <w:rPr>
          <w:b/>
          <w:bCs/>
          <w:lang w:val="bg-BG" w:eastAsia="bg-BG"/>
        </w:rPr>
        <w:t>Деца</w:t>
      </w:r>
    </w:p>
    <w:p w14:paraId="336D61FF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Обикновено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се дозира по 0.75-2 </w:t>
      </w:r>
      <w:r w:rsidRPr="00A75EFF">
        <w:t xml:space="preserve">mg/kg </w:t>
      </w:r>
      <w:r w:rsidRPr="00A75EFF">
        <w:rPr>
          <w:lang w:val="bg-BG" w:eastAsia="bg-BG"/>
        </w:rPr>
        <w:t>телесно тегло.</w:t>
      </w:r>
    </w:p>
    <w:p w14:paraId="06554FCD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Следната схема на дозиране се препоръчва:</w:t>
      </w:r>
    </w:p>
    <w:p w14:paraId="11E32EFC" w14:textId="40AC215B" w:rsidR="00A75EFF" w:rsidRPr="00A75EFF" w:rsidRDefault="00A75EFF" w:rsidP="00A75EFF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От 12 месеца до 2 годишна възраст - 10-20 </w:t>
      </w:r>
      <w:r w:rsidRPr="00A75EFF">
        <w:rPr>
          <w:rFonts w:ascii="Times New Roman" w:eastAsia="Times New Roman" w:hAnsi="Times New Roman" w:cs="Times New Roman"/>
          <w:color w:val="000000"/>
        </w:rPr>
        <w:t xml:space="preserve">mg 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дневно,</w:t>
      </w:r>
    </w:p>
    <w:p w14:paraId="538E4646" w14:textId="35B90CC9" w:rsidR="00A75EFF" w:rsidRPr="00A75EFF" w:rsidRDefault="00A75EFF" w:rsidP="00A75EFF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От 2 до 6 годишна възраст - 20-30 </w:t>
      </w:r>
      <w:r w:rsidRPr="00A75EFF">
        <w:rPr>
          <w:rFonts w:ascii="Times New Roman" w:eastAsia="Times New Roman" w:hAnsi="Times New Roman" w:cs="Times New Roman"/>
          <w:color w:val="000000"/>
        </w:rPr>
        <w:t xml:space="preserve">mg 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дневно,</w:t>
      </w:r>
    </w:p>
    <w:p w14:paraId="142AC546" w14:textId="1566E7A4" w:rsidR="00A75EFF" w:rsidRPr="00A75EFF" w:rsidRDefault="00A75EFF" w:rsidP="00A75EFF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От 6 до 10 годишна възраст 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-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30-60 </w:t>
      </w:r>
      <w:r w:rsidRPr="00A75EFF">
        <w:rPr>
          <w:rFonts w:ascii="Times New Roman" w:eastAsia="Times New Roman" w:hAnsi="Times New Roman" w:cs="Times New Roman"/>
          <w:color w:val="000000"/>
        </w:rPr>
        <w:t xml:space="preserve">mg </w:t>
      </w:r>
      <w:r w:rsidRPr="00A75EFF">
        <w:rPr>
          <w:rFonts w:ascii="Times New Roman" w:eastAsia="Times New Roman" w:hAnsi="Times New Roman" w:cs="Times New Roman"/>
          <w:color w:val="000000"/>
          <w:lang w:val="bg-BG" w:eastAsia="bg-BG"/>
        </w:rPr>
        <w:t>дневно.</w:t>
      </w:r>
    </w:p>
    <w:p w14:paraId="47DEB9BD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При деца над 10 годишна възраст максималната дневна доза е 2.5 </w:t>
      </w:r>
      <w:r w:rsidRPr="00A75EFF">
        <w:t xml:space="preserve">mg/kg </w:t>
      </w:r>
      <w:r w:rsidRPr="00A75EFF">
        <w:rPr>
          <w:lang w:val="bg-BG" w:eastAsia="bg-BG"/>
        </w:rPr>
        <w:t>телесно тегло.</w:t>
      </w:r>
    </w:p>
    <w:p w14:paraId="4688610D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Лечението започва с 5 </w:t>
      </w:r>
      <w:r w:rsidRPr="00A75EFF">
        <w:t xml:space="preserve">mg </w:t>
      </w:r>
      <w:r w:rsidRPr="00A75EFF">
        <w:rPr>
          <w:lang w:val="bg-BG" w:eastAsia="bg-BG"/>
        </w:rPr>
        <w:t>2 пъти дневно.</w:t>
      </w:r>
    </w:p>
    <w:p w14:paraId="78FFFDF2" w14:textId="34D33AC7" w:rsidR="00A75EFF" w:rsidRPr="00A75EFF" w:rsidRDefault="00A75EFF" w:rsidP="00A75EFF">
      <w:pPr>
        <w:rPr>
          <w:lang w:val="bg-BG" w:eastAsia="bg-BG"/>
        </w:rPr>
      </w:pPr>
      <w:r w:rsidRPr="00A75EFF">
        <w:rPr>
          <w:lang w:val="bg-BG" w:eastAsia="bg-BG"/>
        </w:rPr>
        <w:t xml:space="preserve">Ако е необходимо дозата може да бъде внимателно повишавана на всеки </w:t>
      </w:r>
      <w:proofErr w:type="spellStart"/>
      <w:r w:rsidRPr="00A75EFF">
        <w:rPr>
          <w:lang w:val="bg-BG" w:eastAsia="bg-BG"/>
        </w:rPr>
        <w:t>Зти</w:t>
      </w:r>
      <w:proofErr w:type="spellEnd"/>
      <w:r w:rsidRPr="00A75EFF">
        <w:rPr>
          <w:lang w:val="bg-BG" w:eastAsia="bg-BG"/>
        </w:rPr>
        <w:t xml:space="preserve"> ден, до достигане на адекватен терапевтичен ефект.</w:t>
      </w:r>
    </w:p>
    <w:p w14:paraId="02FB5F4D" w14:textId="77777777" w:rsidR="00A75EFF" w:rsidRDefault="00A75EFF" w:rsidP="00A75EF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val="bg-BG" w:eastAsia="bg-BG"/>
        </w:rPr>
      </w:pPr>
    </w:p>
    <w:p w14:paraId="0FBE1F08" w14:textId="0D07E57B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>Пациенти с бъбречна недостатъчност</w:t>
      </w:r>
    </w:p>
    <w:p w14:paraId="0BB941F6" w14:textId="77777777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При пациенти с бъбречна недостатъчност или такива на диализа </w:t>
      </w:r>
      <w:proofErr w:type="spellStart"/>
      <w:r w:rsidRPr="00A75EFF">
        <w:rPr>
          <w:lang w:val="bg-BG" w:eastAsia="bg-BG"/>
        </w:rPr>
        <w:t>препоръчватата</w:t>
      </w:r>
      <w:proofErr w:type="spellEnd"/>
      <w:r w:rsidRPr="00A75EFF">
        <w:rPr>
          <w:lang w:val="bg-BG" w:eastAsia="bg-BG"/>
        </w:rPr>
        <w:t xml:space="preserve"> доза трябва да бъде намалена до 5 </w:t>
      </w:r>
      <w:r w:rsidRPr="00A75EFF">
        <w:t xml:space="preserve">mg </w:t>
      </w:r>
      <w:r w:rsidRPr="00A75EFF">
        <w:rPr>
          <w:lang w:val="bg-BG" w:eastAsia="bg-BG"/>
        </w:rPr>
        <w:t>дневно.</w:t>
      </w:r>
    </w:p>
    <w:p w14:paraId="4B4BC310" w14:textId="77777777" w:rsidR="00A75EFF" w:rsidRDefault="00A75EFF" w:rsidP="00A75EFF">
      <w:pPr>
        <w:rPr>
          <w:lang w:val="bg-BG" w:eastAsia="bg-BG"/>
        </w:rPr>
      </w:pPr>
    </w:p>
    <w:p w14:paraId="0C941E83" w14:textId="348719F3" w:rsidR="00A75EFF" w:rsidRDefault="00A75EFF" w:rsidP="00A75EFF">
      <w:pPr>
        <w:rPr>
          <w:lang w:val="bg-BG" w:eastAsia="bg-BG"/>
        </w:rPr>
      </w:pPr>
      <w:r w:rsidRPr="00A75EFF">
        <w:rPr>
          <w:lang w:val="bg-BG" w:eastAsia="bg-BG"/>
        </w:rPr>
        <w:t>Лекарството трябва да се приема по време на хранене.</w:t>
      </w:r>
    </w:p>
    <w:p w14:paraId="3DFB50A6" w14:textId="77777777" w:rsidR="00A75EFF" w:rsidRPr="00A75EFF" w:rsidRDefault="00A75EFF" w:rsidP="00A75EFF"/>
    <w:p w14:paraId="455D6048" w14:textId="2A9B1EF1" w:rsidR="002C50EE" w:rsidRDefault="002C50EE" w:rsidP="002C50EE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1BFED2E7" w14:textId="77777777" w:rsidR="00A75EFF" w:rsidRPr="00A75EFF" w:rsidRDefault="00A75EFF" w:rsidP="00A75EFF"/>
    <w:p w14:paraId="5EBBDDC6" w14:textId="6C9C3E66" w:rsidR="00A75EFF" w:rsidRPr="00A75EFF" w:rsidRDefault="00A75EFF" w:rsidP="00A75EFF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Свръхчувствителност към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или някое от помощните вещества</w:t>
      </w:r>
    </w:p>
    <w:p w14:paraId="7745EDC8" w14:textId="76B3181A" w:rsidR="00A75EFF" w:rsidRPr="00A75EFF" w:rsidRDefault="00A75EFF" w:rsidP="00A75EFF">
      <w:pPr>
        <w:pStyle w:val="ListParagraph"/>
        <w:numPr>
          <w:ilvl w:val="0"/>
          <w:numId w:val="18"/>
        </w:numPr>
      </w:pPr>
      <w:proofErr w:type="spellStart"/>
      <w:r w:rsidRPr="00A75EFF">
        <w:rPr>
          <w:lang w:val="bg-BG" w:eastAsia="bg-BG"/>
        </w:rPr>
        <w:t>Пептична</w:t>
      </w:r>
      <w:proofErr w:type="spellEnd"/>
      <w:r w:rsidRPr="00A75EFF">
        <w:rPr>
          <w:lang w:val="bg-BG" w:eastAsia="bg-BG"/>
        </w:rPr>
        <w:t xml:space="preserve"> язва</w:t>
      </w:r>
    </w:p>
    <w:p w14:paraId="1C9566F2" w14:textId="77777777" w:rsidR="00A75EFF" w:rsidRPr="00A75EFF" w:rsidRDefault="00A75EFF" w:rsidP="00A75EFF"/>
    <w:p w14:paraId="2A4373D0" w14:textId="19EDA91C" w:rsidR="002C50EE" w:rsidRDefault="002C50EE" w:rsidP="002C50EE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19F445B1" w14:textId="77777777" w:rsidR="00A75EFF" w:rsidRDefault="00A75EFF" w:rsidP="00A75EFF">
      <w:pPr>
        <w:rPr>
          <w:lang w:val="bg-BG" w:eastAsia="bg-BG"/>
        </w:rPr>
      </w:pPr>
    </w:p>
    <w:p w14:paraId="4CE5CCA7" w14:textId="0D0BD4ED" w:rsidR="00A75EFF" w:rsidRPr="00A75EFF" w:rsidRDefault="00A75EFF" w:rsidP="00A75EFF">
      <w:p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По време на лечение с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, психотични синдроми, шизофрения, конвулсии и състояния на обърканост могат да се влошат. При такива пациенти,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трябва да </w:t>
      </w:r>
      <w:r w:rsidRPr="00A75EFF">
        <w:rPr>
          <w:lang w:val="bg-BG" w:eastAsia="bg-BG"/>
        </w:rPr>
        <w:lastRenderedPageBreak/>
        <w:t>се използва с особено внимание и тези пациенти трябва да бъдат под строг лекарски контрол.</w:t>
      </w:r>
    </w:p>
    <w:p w14:paraId="1CDB5FFD" w14:textId="77777777" w:rsidR="00A75EFF" w:rsidRPr="00A75EFF" w:rsidRDefault="00A75EFF" w:rsidP="00A75EFF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A75EFF">
        <w:rPr>
          <w:lang w:val="bg-BG" w:eastAsia="bg-BG"/>
        </w:rPr>
        <w:t>Тревожност, обърканост, халюцинации, психози, мания, параноя и конвулсии могат да се проявят след рязко спиране на лекарството. Спастичните състояния могат да се влошат. намаляването на дозата на лекарството трябва да става постепенно в рамките на 1-2 седмици.</w:t>
      </w:r>
    </w:p>
    <w:p w14:paraId="017EC39C" w14:textId="77777777" w:rsidR="00A75EFF" w:rsidRPr="00A75EFF" w:rsidRDefault="00A75EFF" w:rsidP="00A75EFF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се </w:t>
      </w:r>
      <w:proofErr w:type="spellStart"/>
      <w:r w:rsidRPr="00A75EFF">
        <w:rPr>
          <w:lang w:val="bg-BG" w:eastAsia="bg-BG"/>
        </w:rPr>
        <w:t>екскретира</w:t>
      </w:r>
      <w:proofErr w:type="spellEnd"/>
      <w:r w:rsidRPr="00A75EFF">
        <w:rPr>
          <w:lang w:val="bg-BG" w:eastAsia="bg-BG"/>
        </w:rPr>
        <w:t xml:space="preserve"> с урината, главно като непроменено лекарство и затова трябва да се използва с особено внимание при пациенти с </w:t>
      </w:r>
      <w:proofErr w:type="spellStart"/>
      <w:r w:rsidRPr="00A75EFF">
        <w:rPr>
          <w:lang w:val="bg-BG" w:eastAsia="bg-BG"/>
        </w:rPr>
        <w:t>ренална</w:t>
      </w:r>
      <w:proofErr w:type="spellEnd"/>
      <w:r w:rsidRPr="00A75EFF">
        <w:rPr>
          <w:lang w:val="bg-BG" w:eastAsia="bg-BG"/>
        </w:rPr>
        <w:t xml:space="preserve"> недостатъчност. При тези пациенти дозата трябва да бъде намалена адекватно.</w:t>
      </w:r>
    </w:p>
    <w:p w14:paraId="5C23E851" w14:textId="77777777" w:rsidR="00E043B1" w:rsidRPr="00E043B1" w:rsidRDefault="00A75EFF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A75EFF">
        <w:rPr>
          <w:lang w:val="bg-BG" w:eastAsia="bg-BG"/>
        </w:rPr>
        <w:t xml:space="preserve">С особено внимание трябва да се прилага </w:t>
      </w:r>
      <w:proofErr w:type="spellStart"/>
      <w:r w:rsidRPr="00A75EFF">
        <w:rPr>
          <w:lang w:val="bg-BG" w:eastAsia="bg-BG"/>
        </w:rPr>
        <w:t>баклофен</w:t>
      </w:r>
      <w:proofErr w:type="spellEnd"/>
      <w:r w:rsidRPr="00A75EFF">
        <w:rPr>
          <w:lang w:val="bg-BG" w:eastAsia="bg-BG"/>
        </w:rPr>
        <w:t xml:space="preserve"> при възрастни пацие</w:t>
      </w:r>
      <w:r w:rsidRPr="00A75EFF">
        <w:rPr>
          <w:u w:val="single"/>
          <w:lang w:val="bg-BG" w:eastAsia="bg-BG"/>
        </w:rPr>
        <w:t>нти, п</w:t>
      </w:r>
      <w:r w:rsidRPr="00A75EFF">
        <w:rPr>
          <w:lang w:val="bg-BG" w:eastAsia="bg-BG"/>
        </w:rPr>
        <w:t>оради повишен риск от нежелани лекарствени реакции.</w:t>
      </w:r>
    </w:p>
    <w:p w14:paraId="7C532093" w14:textId="77777777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Пациенти с епилепсия и при които се налага терапия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, трябва да бъдат под строг лекарски контрол и редовно проследяване на ЕЕГ, поради намаляване ефективността на антиепилептичните лекарства от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и наблюдавани промени в ЕЕГ.</w:t>
      </w:r>
    </w:p>
    <w:p w14:paraId="418AB888" w14:textId="77777777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С особено внимание трябва да се провежда лечение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при пациенти при които </w:t>
      </w:r>
      <w:proofErr w:type="spellStart"/>
      <w:r w:rsidRPr="00E043B1">
        <w:rPr>
          <w:lang w:val="bg-BG" w:eastAsia="bg-BG"/>
        </w:rPr>
        <w:t>подържането</w:t>
      </w:r>
      <w:proofErr w:type="spellEnd"/>
      <w:r w:rsidRPr="00E043B1">
        <w:rPr>
          <w:lang w:val="bg-BG" w:eastAsia="bg-BG"/>
        </w:rPr>
        <w:t xml:space="preserve"> на вертикалната позиция на тялото и равновесието или движенията зависят от повишения мускулен тонус.</w:t>
      </w:r>
    </w:p>
    <w:p w14:paraId="580B95C9" w14:textId="77777777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трябва да се използва с особено внимание при пациенти приемащи антихипертензивни лекарства (поради възможност от взаимодействия).</w:t>
      </w:r>
    </w:p>
    <w:p w14:paraId="405F0693" w14:textId="77777777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трябва да се използва с особено внимание при пациенти с мозъчен инсулт, респираторна недостатъчност или чернодробна недостатъчност.</w:t>
      </w:r>
    </w:p>
    <w:p w14:paraId="18B61ED2" w14:textId="77777777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трябва да се използва с особено внимание при пациенти с повишен тонус на </w:t>
      </w:r>
      <w:proofErr w:type="spellStart"/>
      <w:r w:rsidRPr="00E043B1">
        <w:rPr>
          <w:lang w:val="bg-BG" w:eastAsia="bg-BG"/>
        </w:rPr>
        <w:t>сфинктера</w:t>
      </w:r>
      <w:proofErr w:type="spellEnd"/>
      <w:r w:rsidRPr="00E043B1">
        <w:rPr>
          <w:lang w:val="bg-BG" w:eastAsia="bg-BG"/>
        </w:rPr>
        <w:t xml:space="preserve"> на пикочния мехур (може да се наблюдава задръжка на урина).</w:t>
      </w:r>
    </w:p>
    <w:p w14:paraId="15329007" w14:textId="1259C3B8" w:rsidR="00E043B1" w:rsidRPr="00E043B1" w:rsidRDefault="00E043B1" w:rsidP="00E043B1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някои пациенти лекувани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могат да се наблюдават повишени нива на </w:t>
      </w:r>
      <w:r w:rsidRPr="00E043B1">
        <w:t xml:space="preserve">ASAT, </w:t>
      </w:r>
      <w:r w:rsidRPr="00E043B1">
        <w:rPr>
          <w:lang w:val="bg-BG" w:eastAsia="bg-BG"/>
        </w:rPr>
        <w:t xml:space="preserve">алкална </w:t>
      </w:r>
      <w:proofErr w:type="spellStart"/>
      <w:r w:rsidRPr="00E043B1">
        <w:rPr>
          <w:lang w:val="bg-BG" w:eastAsia="bg-BG"/>
        </w:rPr>
        <w:t>фосфатаза</w:t>
      </w:r>
      <w:proofErr w:type="spellEnd"/>
      <w:r w:rsidRPr="00E043B1">
        <w:rPr>
          <w:lang w:val="bg-BG" w:eastAsia="bg-BG"/>
        </w:rPr>
        <w:t xml:space="preserve"> или глюкоза. Препоръчва се да се правят лабораторни тестове, особено при пациенти с чернодробна недостатъчност или захарен диабет.</w:t>
      </w:r>
    </w:p>
    <w:p w14:paraId="4B2B2AB1" w14:textId="77777777" w:rsidR="00605BCA" w:rsidRPr="00605BCA" w:rsidRDefault="00605BCA" w:rsidP="00605BCA"/>
    <w:p w14:paraId="78BEBB3D" w14:textId="1DC921E0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4031A66D" w14:textId="77777777" w:rsidR="00E043B1" w:rsidRDefault="00E043B1" w:rsidP="00E043B1">
      <w:pPr>
        <w:rPr>
          <w:lang w:val="bg-BG" w:eastAsia="bg-BG"/>
        </w:rPr>
      </w:pPr>
    </w:p>
    <w:p w14:paraId="0AAF39D8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</w:t>
      </w:r>
      <w:proofErr w:type="spellStart"/>
      <w:r w:rsidRPr="00E043B1">
        <w:rPr>
          <w:lang w:val="bg-BG" w:eastAsia="bg-BG"/>
        </w:rPr>
        <w:t>потенцира</w:t>
      </w:r>
      <w:proofErr w:type="spellEnd"/>
      <w:r w:rsidRPr="00E043B1">
        <w:rPr>
          <w:lang w:val="bg-BG" w:eastAsia="bg-BG"/>
        </w:rPr>
        <w:t xml:space="preserve"> седативния ефект на други лекарствени продукти, имащи ефект върху ЦНС или алкохол.</w:t>
      </w:r>
    </w:p>
    <w:p w14:paraId="79B9993F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</w:t>
      </w:r>
      <w:proofErr w:type="spellStart"/>
      <w:r w:rsidRPr="00E043B1">
        <w:rPr>
          <w:lang w:val="bg-BG" w:eastAsia="bg-BG"/>
        </w:rPr>
        <w:t>потенцира</w:t>
      </w:r>
      <w:proofErr w:type="spellEnd"/>
      <w:r w:rsidRPr="00E043B1">
        <w:rPr>
          <w:lang w:val="bg-BG" w:eastAsia="bg-BG"/>
        </w:rPr>
        <w:t xml:space="preserve"> хиперкинетичните симптоми при пациенти приемащи литиеви соли.</w:t>
      </w:r>
    </w:p>
    <w:p w14:paraId="093FAB8E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Трицикличните антидепресанти </w:t>
      </w:r>
      <w:proofErr w:type="spellStart"/>
      <w:r w:rsidRPr="00E043B1">
        <w:rPr>
          <w:lang w:val="bg-BG" w:eastAsia="bg-BG"/>
        </w:rPr>
        <w:t>потенцират</w:t>
      </w:r>
      <w:proofErr w:type="spellEnd"/>
      <w:r w:rsidRPr="00E043B1">
        <w:rPr>
          <w:lang w:val="bg-BG" w:eastAsia="bg-BG"/>
        </w:rPr>
        <w:t xml:space="preserve"> действието на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>, водейки до значително намаляване на мускулния тонус.</w:t>
      </w:r>
    </w:p>
    <w:p w14:paraId="0EA00EFE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може да </w:t>
      </w:r>
      <w:proofErr w:type="spellStart"/>
      <w:r w:rsidRPr="00E043B1">
        <w:rPr>
          <w:lang w:val="bg-BG" w:eastAsia="bg-BG"/>
        </w:rPr>
        <w:t>потенцира</w:t>
      </w:r>
      <w:proofErr w:type="spellEnd"/>
      <w:r w:rsidRPr="00E043B1">
        <w:rPr>
          <w:lang w:val="bg-BG" w:eastAsia="bg-BG"/>
        </w:rPr>
        <w:t xml:space="preserve"> ефектите на антихипертензивните лекарства (може да се наложи коригиране на дозата).</w:t>
      </w:r>
    </w:p>
    <w:p w14:paraId="70ECACC7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Лекарства, които могат до доведат до бъбречна недостатъчност (като ибупрофен), могат да забавят екскрецията на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и да доведат до проява на токсични ефекти.</w:t>
      </w:r>
    </w:p>
    <w:p w14:paraId="711D6375" w14:textId="77777777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E043B1">
        <w:rPr>
          <w:lang w:val="bg-BG" w:eastAsia="bg-BG"/>
        </w:rPr>
        <w:lastRenderedPageBreak/>
        <w:t xml:space="preserve">Обърканост, халюцинации и възбуда могат да се наблюдават при пациенти с болестта на Паркинсон, лекувани едновременно с </w:t>
      </w:r>
      <w:proofErr w:type="spellStart"/>
      <w:r w:rsidRPr="00E043B1">
        <w:rPr>
          <w:lang w:val="bg-BG" w:eastAsia="bg-BG"/>
        </w:rPr>
        <w:t>леводопа</w:t>
      </w:r>
      <w:proofErr w:type="spellEnd"/>
      <w:r w:rsidRPr="00E043B1">
        <w:rPr>
          <w:lang w:val="bg-BG" w:eastAsia="bg-BG"/>
        </w:rPr>
        <w:t>/</w:t>
      </w:r>
      <w:proofErr w:type="spellStart"/>
      <w:r w:rsidRPr="00E043B1">
        <w:rPr>
          <w:lang w:val="bg-BG" w:eastAsia="bg-BG"/>
        </w:rPr>
        <w:t>карбидопа</w:t>
      </w:r>
      <w:proofErr w:type="spellEnd"/>
      <w:r w:rsidRPr="00E043B1">
        <w:rPr>
          <w:lang w:val="bg-BG" w:eastAsia="bg-BG"/>
        </w:rPr>
        <w:t xml:space="preserve"> и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>.</w:t>
      </w:r>
    </w:p>
    <w:p w14:paraId="3A36897A" w14:textId="7DE263D8" w:rsidR="00E043B1" w:rsidRPr="00E043B1" w:rsidRDefault="00E043B1" w:rsidP="00E043B1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удължава фентанил-индуцираната </w:t>
      </w:r>
      <w:proofErr w:type="spellStart"/>
      <w:r w:rsidRPr="00E043B1">
        <w:rPr>
          <w:lang w:val="bg-BG" w:eastAsia="bg-BG"/>
        </w:rPr>
        <w:t>аналгезия</w:t>
      </w:r>
      <w:proofErr w:type="spellEnd"/>
      <w:r w:rsidRPr="00E043B1">
        <w:rPr>
          <w:lang w:val="bg-BG" w:eastAsia="bg-BG"/>
        </w:rPr>
        <w:t>.</w:t>
      </w:r>
    </w:p>
    <w:p w14:paraId="48256212" w14:textId="77777777" w:rsidR="00E043B1" w:rsidRPr="00E043B1" w:rsidRDefault="00E043B1" w:rsidP="00E043B1"/>
    <w:p w14:paraId="48221AB5" w14:textId="0F7D6170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61A47298" w14:textId="77777777" w:rsidR="00E043B1" w:rsidRDefault="00E043B1" w:rsidP="00E043B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bg-BG" w:eastAsia="bg-BG"/>
        </w:rPr>
      </w:pPr>
      <w:bookmarkStart w:id="1" w:name="bookmark0"/>
    </w:p>
    <w:p w14:paraId="7CCB9890" w14:textId="04919F99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b/>
          <w:bCs/>
          <w:u w:val="single"/>
          <w:lang w:val="bg-BG" w:eastAsia="bg-BG"/>
        </w:rPr>
        <w:t>Бременност</w:t>
      </w:r>
      <w:r w:rsidRPr="00E043B1">
        <w:rPr>
          <w:b/>
          <w:bCs/>
          <w:lang w:val="bg-BG" w:eastAsia="bg-BG"/>
        </w:rPr>
        <w:t xml:space="preserve">: </w:t>
      </w:r>
      <w:r w:rsidRPr="00E043B1">
        <w:rPr>
          <w:lang w:val="bg-BG" w:eastAsia="bg-BG"/>
        </w:rPr>
        <w:t>Категория С,</w:t>
      </w:r>
      <w:bookmarkEnd w:id="1"/>
    </w:p>
    <w:p w14:paraId="29A8BC42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проучвания с плъхове, третирани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в доза 13 пъти по-висока от препоръчваната максимална доза при човек, по-често е наблюдавана </w:t>
      </w:r>
      <w:proofErr w:type="spellStart"/>
      <w:r w:rsidRPr="00E043B1">
        <w:rPr>
          <w:lang w:val="bg-BG" w:eastAsia="bg-BG"/>
        </w:rPr>
        <w:t>умбеликална</w:t>
      </w:r>
      <w:proofErr w:type="spellEnd"/>
      <w:r w:rsidRPr="00E043B1">
        <w:rPr>
          <w:lang w:val="bg-BG" w:eastAsia="bg-BG"/>
        </w:rPr>
        <w:t xml:space="preserve"> херния на </w:t>
      </w:r>
      <w:proofErr w:type="spellStart"/>
      <w:r w:rsidRPr="00E043B1">
        <w:rPr>
          <w:lang w:val="bg-BG" w:eastAsia="bg-BG"/>
        </w:rPr>
        <w:t>фетуса</w:t>
      </w:r>
      <w:proofErr w:type="spellEnd"/>
      <w:r w:rsidRPr="00E043B1">
        <w:rPr>
          <w:lang w:val="bg-BG" w:eastAsia="bg-BG"/>
        </w:rPr>
        <w:t xml:space="preserve">. Не са наблюдавани тератогенни ефекти при мишки и зайци, но е наблюдавано намалено тегло на </w:t>
      </w:r>
      <w:proofErr w:type="spellStart"/>
      <w:r w:rsidRPr="00E043B1">
        <w:rPr>
          <w:lang w:val="bg-BG" w:eastAsia="bg-BG"/>
        </w:rPr>
        <w:t>фетуса</w:t>
      </w:r>
      <w:proofErr w:type="spellEnd"/>
      <w:r w:rsidRPr="00E043B1">
        <w:rPr>
          <w:lang w:val="bg-BG" w:eastAsia="bg-BG"/>
        </w:rPr>
        <w:t xml:space="preserve"> и нарушения на феталната скелетна </w:t>
      </w:r>
      <w:proofErr w:type="spellStart"/>
      <w:r w:rsidRPr="00E043B1">
        <w:rPr>
          <w:lang w:val="bg-BG" w:eastAsia="bg-BG"/>
        </w:rPr>
        <w:t>осификация</w:t>
      </w:r>
      <w:proofErr w:type="spellEnd"/>
      <w:r w:rsidRPr="00E043B1">
        <w:rPr>
          <w:lang w:val="bg-BG" w:eastAsia="bg-BG"/>
        </w:rPr>
        <w:t xml:space="preserve"> при мишки третирани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в доза 17 до 34 пъти по-висока </w:t>
      </w:r>
      <w:proofErr w:type="spellStart"/>
      <w:r w:rsidRPr="00E043B1">
        <w:rPr>
          <w:lang w:val="bg-BG" w:eastAsia="bg-BG"/>
        </w:rPr>
        <w:t>отдозата</w:t>
      </w:r>
      <w:proofErr w:type="spellEnd"/>
      <w:r w:rsidRPr="00E043B1">
        <w:rPr>
          <w:lang w:val="bg-BG" w:eastAsia="bg-BG"/>
        </w:rPr>
        <w:t xml:space="preserve"> при хората.</w:t>
      </w:r>
    </w:p>
    <w:p w14:paraId="191D3340" w14:textId="77777777" w:rsidR="00E043B1" w:rsidRDefault="00E043B1" w:rsidP="00E043B1">
      <w:pPr>
        <w:rPr>
          <w:lang w:val="bg-BG" w:eastAsia="bg-BG"/>
        </w:rPr>
      </w:pPr>
    </w:p>
    <w:p w14:paraId="494AF1D7" w14:textId="282E73CC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друго изследване проведено с женски плъхове третирани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в продължение на 2 години, са наблюдавани </w:t>
      </w:r>
      <w:proofErr w:type="spellStart"/>
      <w:r w:rsidRPr="00E043B1">
        <w:rPr>
          <w:lang w:val="bg-BG" w:eastAsia="bg-BG"/>
        </w:rPr>
        <w:t>дозо</w:t>
      </w:r>
      <w:proofErr w:type="spellEnd"/>
      <w:r w:rsidRPr="00E043B1">
        <w:rPr>
          <w:lang w:val="bg-BG" w:eastAsia="bg-BG"/>
        </w:rPr>
        <w:t xml:space="preserve">-зависими промени в </w:t>
      </w:r>
      <w:proofErr w:type="spellStart"/>
      <w:r w:rsidRPr="00E043B1">
        <w:rPr>
          <w:lang w:val="bg-BG" w:eastAsia="bg-BG"/>
        </w:rPr>
        <w:t>овариите</w:t>
      </w:r>
      <w:proofErr w:type="spellEnd"/>
      <w:r w:rsidRPr="00E043B1">
        <w:rPr>
          <w:lang w:val="bg-BG" w:eastAsia="bg-BG"/>
        </w:rPr>
        <w:t>.</w:t>
      </w:r>
    </w:p>
    <w:p w14:paraId="17C59C3B" w14:textId="77777777" w:rsidR="00E043B1" w:rsidRDefault="00E043B1" w:rsidP="00E043B1">
      <w:pPr>
        <w:rPr>
          <w:lang w:val="bg-BG" w:eastAsia="bg-BG"/>
        </w:rPr>
      </w:pPr>
    </w:p>
    <w:p w14:paraId="61536E70" w14:textId="58C0AF4E" w:rsidR="00E043B1" w:rsidRPr="00E043B1" w:rsidRDefault="00E043B1" w:rsidP="00E043B1">
      <w:pPr>
        <w:rPr>
          <w:lang w:val="bg-BG" w:eastAsia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преминава през </w:t>
      </w:r>
      <w:proofErr w:type="spellStart"/>
      <w:r w:rsidRPr="00E043B1">
        <w:rPr>
          <w:lang w:val="bg-BG" w:eastAsia="bg-BG"/>
        </w:rPr>
        <w:t>плацентарната</w:t>
      </w:r>
      <w:proofErr w:type="spellEnd"/>
      <w:r w:rsidRPr="00E043B1">
        <w:rPr>
          <w:lang w:val="bg-BG" w:eastAsia="bg-BG"/>
        </w:rPr>
        <w:t xml:space="preserve"> бариера.</w:t>
      </w:r>
    </w:p>
    <w:p w14:paraId="1B0E0990" w14:textId="77777777" w:rsidR="00E043B1" w:rsidRDefault="00E043B1" w:rsidP="00E043B1">
      <w:pPr>
        <w:rPr>
          <w:lang w:val="bg-BG" w:eastAsia="bg-BG"/>
        </w:rPr>
      </w:pPr>
    </w:p>
    <w:p w14:paraId="276CFA1C" w14:textId="18FEB8A2" w:rsidR="00E043B1" w:rsidRDefault="00E043B1" w:rsidP="00E043B1">
      <w:pPr>
        <w:rPr>
          <w:lang w:val="bg-BG" w:eastAsia="bg-BG"/>
        </w:rPr>
      </w:pPr>
      <w:r w:rsidRPr="00E043B1">
        <w:rPr>
          <w:lang w:val="bg-BG" w:eastAsia="bg-BG"/>
        </w:rPr>
        <w:t xml:space="preserve">Няма провеждани клинични контролирани изследвания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при бременни жени</w:t>
      </w:r>
      <w:r>
        <w:rPr>
          <w:lang w:val="bg-BG" w:eastAsia="bg-BG"/>
        </w:rPr>
        <w:t>.</w:t>
      </w:r>
    </w:p>
    <w:p w14:paraId="7EFDEBF3" w14:textId="6E51C5F5" w:rsidR="00E043B1" w:rsidRDefault="00E043B1" w:rsidP="00E043B1">
      <w:pPr>
        <w:rPr>
          <w:lang w:val="bg-BG" w:eastAsia="bg-BG"/>
        </w:rPr>
      </w:pPr>
    </w:p>
    <w:p w14:paraId="5BB89B05" w14:textId="77777777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аклофен</w:t>
      </w:r>
      <w:proofErr w:type="spellEnd"/>
      <w:r w:rsidRPr="00E043B1">
        <w:rPr>
          <w:lang w:val="bg-BG" w:eastAsia="bg-BG"/>
        </w:rPr>
        <w:t xml:space="preserve"> може да се прилага по време на бременност, само ако лекаря прецени, че ползата за майката надхвърля риска за плода.</w:t>
      </w:r>
    </w:p>
    <w:p w14:paraId="5A101968" w14:textId="77777777" w:rsidR="00E043B1" w:rsidRDefault="00E043B1" w:rsidP="00E043B1">
      <w:pPr>
        <w:rPr>
          <w:b/>
          <w:bCs/>
          <w:u w:val="single"/>
          <w:lang w:val="bg-BG" w:eastAsia="bg-BG"/>
        </w:rPr>
      </w:pPr>
    </w:p>
    <w:p w14:paraId="541FF2EB" w14:textId="4EDEF2A9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b/>
          <w:bCs/>
          <w:u w:val="single"/>
          <w:lang w:val="bg-BG" w:eastAsia="bg-BG"/>
        </w:rPr>
        <w:t>Използване по време на лактация</w:t>
      </w:r>
    </w:p>
    <w:p w14:paraId="68B714FC" w14:textId="36AB86B8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се секретира с майчиното мляко.</w:t>
      </w:r>
    </w:p>
    <w:p w14:paraId="0688D076" w14:textId="77777777" w:rsidR="00E043B1" w:rsidRDefault="00E043B1" w:rsidP="00E043B1">
      <w:pPr>
        <w:rPr>
          <w:lang w:val="bg-BG" w:eastAsia="bg-BG"/>
        </w:rPr>
      </w:pPr>
    </w:p>
    <w:p w14:paraId="52ACEBCD" w14:textId="00BDA5A8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Не се препоръчва кърмене по време на терапия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>.</w:t>
      </w:r>
    </w:p>
    <w:p w14:paraId="52242B6F" w14:textId="77777777" w:rsidR="00E043B1" w:rsidRPr="00E043B1" w:rsidRDefault="00E043B1" w:rsidP="00E043B1"/>
    <w:p w14:paraId="5F675BDB" w14:textId="49B1FBB6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549D430B" w14:textId="77777777" w:rsidR="00E043B1" w:rsidRDefault="00E043B1" w:rsidP="00E043B1">
      <w:pPr>
        <w:rPr>
          <w:lang w:val="bg-BG" w:eastAsia="bg-BG"/>
        </w:rPr>
      </w:pPr>
    </w:p>
    <w:p w14:paraId="71D66F24" w14:textId="29CA654F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може да има седативен ефект и да наруши концентрацията.</w:t>
      </w:r>
    </w:p>
    <w:p w14:paraId="4A729BA8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Пациентите лекувани с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не бива да шофират или да работят с машини, както и не бива да извършват потенциално опасни дейности.</w:t>
      </w:r>
    </w:p>
    <w:p w14:paraId="4C1246F9" w14:textId="77777777" w:rsidR="00E043B1" w:rsidRPr="00E043B1" w:rsidRDefault="00E043B1" w:rsidP="00E043B1"/>
    <w:p w14:paraId="1B3BD30D" w14:textId="3021D171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35C21651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Нежелани лекарствени реакции се наблюдават по-често при бързо покачване на дозата, прилагане на високи дози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или при възрастни пациенти.</w:t>
      </w:r>
    </w:p>
    <w:p w14:paraId="71DEF2B8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Тези ефекти </w:t>
      </w:r>
      <w:proofErr w:type="spellStart"/>
      <w:r w:rsidRPr="00E043B1">
        <w:rPr>
          <w:lang w:val="bg-BG" w:eastAsia="bg-BG"/>
        </w:rPr>
        <w:t>обикновенно</w:t>
      </w:r>
      <w:proofErr w:type="spellEnd"/>
      <w:r w:rsidRPr="00E043B1">
        <w:rPr>
          <w:lang w:val="bg-BG" w:eastAsia="bg-BG"/>
        </w:rPr>
        <w:t xml:space="preserve"> са преходни и отзвучават при намаляване на дозата. При тежки нежелани реакции е необходимо преустановяване на терапията.</w:t>
      </w:r>
    </w:p>
    <w:p w14:paraId="14E58CD1" w14:textId="77777777" w:rsidR="00E043B1" w:rsidRDefault="00E043B1" w:rsidP="00E043B1">
      <w:pPr>
        <w:rPr>
          <w:lang w:val="bg-BG" w:eastAsia="bg-BG"/>
        </w:rPr>
      </w:pPr>
    </w:p>
    <w:p w14:paraId="1C6CAABA" w14:textId="4557E526" w:rsidR="00E043B1" w:rsidRDefault="00E043B1" w:rsidP="00E043B1">
      <w:pPr>
        <w:rPr>
          <w:lang w:val="bg-BG" w:eastAsia="bg-BG"/>
        </w:rPr>
      </w:pPr>
      <w:r w:rsidRPr="00E043B1">
        <w:rPr>
          <w:lang w:val="bg-BG" w:eastAsia="bg-BG"/>
        </w:rPr>
        <w:t xml:space="preserve">Следните нежелани реакции се наблюдавани при прием на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>:</w:t>
      </w:r>
    </w:p>
    <w:p w14:paraId="57FEB79F" w14:textId="61D74047" w:rsidR="00E043B1" w:rsidRDefault="00E043B1" w:rsidP="00E043B1">
      <w:pPr>
        <w:rPr>
          <w:lang w:val="bg-BG" w:eastAsia="bg-BG"/>
        </w:rPr>
      </w:pPr>
    </w:p>
    <w:p w14:paraId="19C9C4C1" w14:textId="1C86AC19" w:rsidR="00E043B1" w:rsidRDefault="00E043B1" w:rsidP="00E043B1">
      <w:pPr>
        <w:rPr>
          <w:b/>
          <w:bCs/>
          <w:lang w:val="bg-BG"/>
        </w:rPr>
      </w:pPr>
      <w:proofErr w:type="spellStart"/>
      <w:r w:rsidRPr="00E043B1">
        <w:rPr>
          <w:b/>
          <w:bCs/>
        </w:rPr>
        <w:t>Централна</w:t>
      </w:r>
      <w:proofErr w:type="spellEnd"/>
      <w:r w:rsidRPr="00E043B1">
        <w:rPr>
          <w:b/>
          <w:bCs/>
        </w:rPr>
        <w:t xml:space="preserve"> </w:t>
      </w:r>
      <w:proofErr w:type="spellStart"/>
      <w:r w:rsidRPr="00E043B1">
        <w:rPr>
          <w:b/>
          <w:bCs/>
        </w:rPr>
        <w:t>нервна</w:t>
      </w:r>
      <w:proofErr w:type="spellEnd"/>
      <w:r w:rsidRPr="00E043B1">
        <w:rPr>
          <w:b/>
          <w:bCs/>
        </w:rPr>
        <w:t xml:space="preserve"> </w:t>
      </w:r>
      <w:proofErr w:type="spellStart"/>
      <w:r w:rsidRPr="00E043B1">
        <w:rPr>
          <w:b/>
          <w:bCs/>
        </w:rPr>
        <w:t>система</w:t>
      </w:r>
      <w:proofErr w:type="spellEnd"/>
      <w:r>
        <w:rPr>
          <w:b/>
          <w:bCs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E043B1" w14:paraId="0D47E5E1" w14:textId="77777777" w:rsidTr="00E043B1">
        <w:tc>
          <w:tcPr>
            <w:tcW w:w="988" w:type="dxa"/>
          </w:tcPr>
          <w:p w14:paraId="2FF3DEDA" w14:textId="6EBF0416" w:rsidR="00E043B1" w:rsidRDefault="00E043B1" w:rsidP="00E043B1">
            <w:pPr>
              <w:rPr>
                <w:b/>
                <w:bCs/>
                <w:lang w:val="bg-BG"/>
              </w:rPr>
            </w:pPr>
            <w:r>
              <w:t>10-63%</w:t>
            </w:r>
          </w:p>
        </w:tc>
        <w:tc>
          <w:tcPr>
            <w:tcW w:w="8362" w:type="dxa"/>
          </w:tcPr>
          <w:p w14:paraId="39B91ADA" w14:textId="5BF716C3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Сомнолентност</w:t>
            </w:r>
            <w:proofErr w:type="spellEnd"/>
          </w:p>
        </w:tc>
      </w:tr>
      <w:tr w:rsidR="00E043B1" w14:paraId="66BB5857" w14:textId="77777777" w:rsidTr="00E043B1">
        <w:tc>
          <w:tcPr>
            <w:tcW w:w="988" w:type="dxa"/>
            <w:vAlign w:val="bottom"/>
          </w:tcPr>
          <w:p w14:paraId="1A4AA38F" w14:textId="310CA5F9" w:rsidR="00E043B1" w:rsidRDefault="00E043B1" w:rsidP="00E043B1">
            <w:pPr>
              <w:rPr>
                <w:b/>
                <w:bCs/>
                <w:lang w:val="bg-BG"/>
              </w:rPr>
            </w:pPr>
            <w:r>
              <w:lastRenderedPageBreak/>
              <w:t>5-15%</w:t>
            </w:r>
          </w:p>
        </w:tc>
        <w:tc>
          <w:tcPr>
            <w:tcW w:w="8362" w:type="dxa"/>
            <w:vAlign w:val="bottom"/>
          </w:tcPr>
          <w:p w14:paraId="3C716EFB" w14:textId="3131176C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Вертиго</w:t>
            </w:r>
            <w:proofErr w:type="spellEnd"/>
          </w:p>
        </w:tc>
      </w:tr>
      <w:tr w:rsidR="00E043B1" w14:paraId="5AAE94C1" w14:textId="77777777" w:rsidTr="00E043B1">
        <w:tc>
          <w:tcPr>
            <w:tcW w:w="988" w:type="dxa"/>
          </w:tcPr>
          <w:p w14:paraId="3C38F48C" w14:textId="4D47FD2D" w:rsidR="00E043B1" w:rsidRDefault="00E043B1" w:rsidP="00E043B1">
            <w:pPr>
              <w:rPr>
                <w:b/>
                <w:bCs/>
                <w:lang w:val="bg-BG"/>
              </w:rPr>
            </w:pPr>
            <w:r>
              <w:t>4-12%</w:t>
            </w:r>
          </w:p>
        </w:tc>
        <w:tc>
          <w:tcPr>
            <w:tcW w:w="8362" w:type="dxa"/>
          </w:tcPr>
          <w:p w14:paraId="700A6AC2" w14:textId="435C693E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Гадене</w:t>
            </w:r>
            <w:proofErr w:type="spellEnd"/>
          </w:p>
        </w:tc>
      </w:tr>
      <w:tr w:rsidR="00E043B1" w14:paraId="3674635A" w14:textId="77777777" w:rsidTr="00E043B1">
        <w:tc>
          <w:tcPr>
            <w:tcW w:w="988" w:type="dxa"/>
          </w:tcPr>
          <w:p w14:paraId="768D88C0" w14:textId="5DC87845" w:rsidR="00E043B1" w:rsidRDefault="00E043B1" w:rsidP="00E043B1">
            <w:pPr>
              <w:rPr>
                <w:b/>
                <w:bCs/>
                <w:lang w:val="bg-BG"/>
              </w:rPr>
            </w:pPr>
            <w:r>
              <w:t>1-11%</w:t>
            </w:r>
          </w:p>
        </w:tc>
        <w:tc>
          <w:tcPr>
            <w:tcW w:w="8362" w:type="dxa"/>
          </w:tcPr>
          <w:p w14:paraId="2EC42962" w14:textId="4B3E55A6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Обърканост</w:t>
            </w:r>
            <w:proofErr w:type="spellEnd"/>
          </w:p>
        </w:tc>
      </w:tr>
      <w:tr w:rsidR="00E043B1" w14:paraId="47C04DCC" w14:textId="77777777" w:rsidTr="00E043B1">
        <w:tc>
          <w:tcPr>
            <w:tcW w:w="988" w:type="dxa"/>
          </w:tcPr>
          <w:p w14:paraId="2A1449DD" w14:textId="6EBACF7F" w:rsidR="00E043B1" w:rsidRDefault="00E043B1" w:rsidP="00E043B1">
            <w:pPr>
              <w:rPr>
                <w:b/>
                <w:bCs/>
                <w:lang w:val="bg-BG"/>
              </w:rPr>
            </w:pPr>
            <w:r>
              <w:t>4-8%</w:t>
            </w:r>
          </w:p>
        </w:tc>
        <w:tc>
          <w:tcPr>
            <w:tcW w:w="8362" w:type="dxa"/>
          </w:tcPr>
          <w:p w14:paraId="676278C7" w14:textId="3168B140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Главоболие</w:t>
            </w:r>
            <w:proofErr w:type="spellEnd"/>
          </w:p>
        </w:tc>
      </w:tr>
      <w:tr w:rsidR="00E043B1" w14:paraId="5BA38A6B" w14:textId="77777777" w:rsidTr="00E043B1">
        <w:tc>
          <w:tcPr>
            <w:tcW w:w="988" w:type="dxa"/>
            <w:vAlign w:val="bottom"/>
          </w:tcPr>
          <w:p w14:paraId="37756D57" w14:textId="0FB73293" w:rsidR="00E043B1" w:rsidRDefault="00E043B1" w:rsidP="00E043B1">
            <w:pPr>
              <w:rPr>
                <w:b/>
                <w:bCs/>
                <w:lang w:val="bg-BG"/>
              </w:rPr>
            </w:pPr>
            <w:r>
              <w:t>2-7%</w:t>
            </w:r>
          </w:p>
        </w:tc>
        <w:tc>
          <w:tcPr>
            <w:tcW w:w="8362" w:type="dxa"/>
            <w:vAlign w:val="bottom"/>
          </w:tcPr>
          <w:p w14:paraId="2EF08177" w14:textId="1864A5F7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Безсъние</w:t>
            </w:r>
            <w:proofErr w:type="spellEnd"/>
          </w:p>
        </w:tc>
      </w:tr>
      <w:tr w:rsidR="00E043B1" w14:paraId="6814237D" w14:textId="77777777" w:rsidTr="00E043B1">
        <w:tc>
          <w:tcPr>
            <w:tcW w:w="988" w:type="dxa"/>
          </w:tcPr>
          <w:p w14:paraId="2C02230F" w14:textId="021BF990" w:rsidR="00E043B1" w:rsidRDefault="00E043B1" w:rsidP="00E043B1">
            <w:pPr>
              <w:rPr>
                <w:b/>
                <w:bCs/>
                <w:lang w:val="bg-BG"/>
              </w:rPr>
            </w:pPr>
            <w:r>
              <w:t>2-4%</w:t>
            </w:r>
          </w:p>
        </w:tc>
        <w:tc>
          <w:tcPr>
            <w:tcW w:w="8362" w:type="dxa"/>
          </w:tcPr>
          <w:p w14:paraId="6907B769" w14:textId="683FB3AB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Слабост</w:t>
            </w:r>
            <w:proofErr w:type="spellEnd"/>
            <w:r>
              <w:t xml:space="preserve"> и </w:t>
            </w:r>
            <w:proofErr w:type="spellStart"/>
            <w:r>
              <w:t>умора</w:t>
            </w:r>
            <w:proofErr w:type="spellEnd"/>
          </w:p>
        </w:tc>
      </w:tr>
      <w:tr w:rsidR="00E043B1" w14:paraId="0A2BD29C" w14:textId="77777777" w:rsidTr="00E043B1">
        <w:tc>
          <w:tcPr>
            <w:tcW w:w="988" w:type="dxa"/>
          </w:tcPr>
          <w:p w14:paraId="67A26546" w14:textId="0641B9B8" w:rsidR="00E043B1" w:rsidRDefault="00E043B1" w:rsidP="00E043B1">
            <w:pPr>
              <w:rPr>
                <w:b/>
                <w:bCs/>
                <w:lang w:val="bg-BG"/>
              </w:rPr>
            </w:pPr>
            <w:r>
              <w:rPr>
                <w:lang w:val="bg-BG" w:eastAsia="bg-BG"/>
              </w:rPr>
              <w:t>Рядко</w:t>
            </w:r>
          </w:p>
        </w:tc>
        <w:tc>
          <w:tcPr>
            <w:tcW w:w="8362" w:type="dxa"/>
          </w:tcPr>
          <w:p w14:paraId="5C1419BA" w14:textId="6EDC9723" w:rsidR="00E043B1" w:rsidRDefault="00E043B1" w:rsidP="00E043B1">
            <w:pPr>
              <w:rPr>
                <w:b/>
                <w:bCs/>
                <w:lang w:val="bg-BG"/>
              </w:rPr>
            </w:pPr>
            <w:proofErr w:type="spellStart"/>
            <w:r>
              <w:t>Еуфория</w:t>
            </w:r>
            <w:proofErr w:type="spellEnd"/>
            <w:r>
              <w:t xml:space="preserve">, </w:t>
            </w:r>
            <w:proofErr w:type="spellStart"/>
            <w:r>
              <w:t>възбуда</w:t>
            </w:r>
            <w:proofErr w:type="spellEnd"/>
            <w:r>
              <w:t xml:space="preserve">, </w:t>
            </w:r>
            <w:proofErr w:type="spellStart"/>
            <w:r>
              <w:t>депресия</w:t>
            </w:r>
            <w:proofErr w:type="spellEnd"/>
            <w:r>
              <w:t xml:space="preserve">, </w:t>
            </w:r>
            <w:proofErr w:type="spellStart"/>
            <w:r>
              <w:t>халюцинации</w:t>
            </w:r>
            <w:proofErr w:type="spellEnd"/>
            <w:r>
              <w:t xml:space="preserve">, </w:t>
            </w:r>
            <w:proofErr w:type="spellStart"/>
            <w:r>
              <w:t>парестезии</w:t>
            </w:r>
            <w:proofErr w:type="spellEnd"/>
            <w:r>
              <w:t xml:space="preserve">, </w:t>
            </w:r>
            <w:proofErr w:type="spellStart"/>
            <w:r>
              <w:t>мускулна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атаксия,су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устата</w:t>
            </w:r>
            <w:proofErr w:type="spellEnd"/>
            <w:r>
              <w:t xml:space="preserve">, </w:t>
            </w:r>
            <w:proofErr w:type="spellStart"/>
            <w:r>
              <w:t>изтощение</w:t>
            </w:r>
            <w:proofErr w:type="spellEnd"/>
            <w:r>
              <w:t xml:space="preserve">, </w:t>
            </w:r>
            <w:proofErr w:type="spellStart"/>
            <w:r>
              <w:t>тремор</w:t>
            </w:r>
            <w:proofErr w:type="spellEnd"/>
            <w:r>
              <w:t xml:space="preserve">, </w:t>
            </w:r>
            <w:proofErr w:type="spellStart"/>
            <w:r>
              <w:t>астения</w:t>
            </w:r>
            <w:proofErr w:type="spellEnd"/>
            <w:r>
              <w:t xml:space="preserve">, </w:t>
            </w:r>
            <w:proofErr w:type="spellStart"/>
            <w:r>
              <w:t>респираторни</w:t>
            </w:r>
            <w:proofErr w:type="spellEnd"/>
            <w:r>
              <w:t xml:space="preserve"> </w:t>
            </w:r>
            <w:proofErr w:type="spellStart"/>
            <w:r>
              <w:t>спазми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спиране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дишането</w:t>
            </w:r>
            <w:proofErr w:type="spellEnd"/>
            <w:r>
              <w:t xml:space="preserve">, </w:t>
            </w:r>
            <w:proofErr w:type="spellStart"/>
            <w:r>
              <w:t>дезориентация</w:t>
            </w:r>
            <w:proofErr w:type="spellEnd"/>
            <w:r>
              <w:t xml:space="preserve">, </w:t>
            </w:r>
            <w:proofErr w:type="spellStart"/>
            <w:r>
              <w:t>позиви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повръщане</w:t>
            </w:r>
            <w:proofErr w:type="spellEnd"/>
            <w:r>
              <w:t xml:space="preserve">, </w:t>
            </w:r>
            <w:proofErr w:type="spellStart"/>
            <w:r>
              <w:t>повръщане</w:t>
            </w:r>
            <w:proofErr w:type="spellEnd"/>
            <w:r>
              <w:t xml:space="preserve">,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акомодацията</w:t>
            </w:r>
            <w:proofErr w:type="spellEnd"/>
            <w:r>
              <w:t xml:space="preserve">, </w:t>
            </w:r>
            <w:proofErr w:type="spellStart"/>
            <w:r>
              <w:t>кошмари</w:t>
            </w:r>
            <w:proofErr w:type="spellEnd"/>
            <w:r>
              <w:t xml:space="preserve">;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наблюдава</w:t>
            </w:r>
            <w:proofErr w:type="spellEnd"/>
            <w:r>
              <w:t xml:space="preserve"> </w:t>
            </w:r>
            <w:proofErr w:type="spellStart"/>
            <w:r>
              <w:t>намаляване</w:t>
            </w:r>
            <w:proofErr w:type="spellEnd"/>
            <w:r>
              <w:t xml:space="preserve"> </w:t>
            </w:r>
            <w:proofErr w:type="spellStart"/>
            <w:r>
              <w:t>прага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конвулсии</w:t>
            </w:r>
            <w:proofErr w:type="spellEnd"/>
            <w:r>
              <w:t xml:space="preserve"> и </w:t>
            </w:r>
            <w:proofErr w:type="spellStart"/>
            <w:r>
              <w:t>гърчове</w:t>
            </w:r>
            <w:proofErr w:type="spellEnd"/>
            <w:r>
              <w:t xml:space="preserve">, </w:t>
            </w:r>
            <w:proofErr w:type="spellStart"/>
            <w:r>
              <w:t>особено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пациенти</w:t>
            </w:r>
            <w:proofErr w:type="spellEnd"/>
            <w:r>
              <w:t xml:space="preserve"> с </w:t>
            </w:r>
            <w:proofErr w:type="spellStart"/>
            <w:r>
              <w:t>епилепсия</w:t>
            </w:r>
            <w:proofErr w:type="spellEnd"/>
          </w:p>
        </w:tc>
      </w:tr>
    </w:tbl>
    <w:p w14:paraId="7584FEBD" w14:textId="1F9F08C3" w:rsidR="00E043B1" w:rsidRDefault="00E043B1" w:rsidP="00E043B1">
      <w:pPr>
        <w:rPr>
          <w:b/>
          <w:bCs/>
          <w:lang w:val="bg-BG"/>
        </w:rPr>
      </w:pPr>
    </w:p>
    <w:p w14:paraId="331FDBCF" w14:textId="6B1798C9" w:rsidR="00E043B1" w:rsidRPr="00E043B1" w:rsidRDefault="00E043B1" w:rsidP="00E043B1">
      <w:pPr>
        <w:rPr>
          <w:b/>
          <w:bCs/>
          <w:lang w:val="bg-BG"/>
        </w:rPr>
      </w:pPr>
      <w:proofErr w:type="spellStart"/>
      <w:r w:rsidRPr="00E043B1">
        <w:rPr>
          <w:b/>
          <w:bCs/>
        </w:rPr>
        <w:t>Циркулаторна</w:t>
      </w:r>
      <w:proofErr w:type="spellEnd"/>
      <w:r w:rsidRPr="00E043B1">
        <w:rPr>
          <w:b/>
          <w:bCs/>
        </w:rPr>
        <w:t xml:space="preserve"> </w:t>
      </w:r>
      <w:proofErr w:type="spellStart"/>
      <w:r w:rsidRPr="00E043B1">
        <w:rPr>
          <w:b/>
          <w:bCs/>
        </w:rPr>
        <w:t>система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043B1" w14:paraId="023ED16C" w14:textId="77777777" w:rsidTr="00E043B1">
        <w:tc>
          <w:tcPr>
            <w:tcW w:w="1129" w:type="dxa"/>
          </w:tcPr>
          <w:p w14:paraId="476C3960" w14:textId="5B81440A" w:rsidR="00E043B1" w:rsidRDefault="00E043B1" w:rsidP="00E043B1">
            <w:r>
              <w:t>0-9%</w:t>
            </w:r>
          </w:p>
        </w:tc>
        <w:tc>
          <w:tcPr>
            <w:tcW w:w="8221" w:type="dxa"/>
          </w:tcPr>
          <w:p w14:paraId="1DE200A1" w14:textId="091C12CC" w:rsidR="00E043B1" w:rsidRDefault="00E043B1" w:rsidP="00E043B1">
            <w:proofErr w:type="spellStart"/>
            <w:r>
              <w:t>Хипотония</w:t>
            </w:r>
            <w:proofErr w:type="spellEnd"/>
          </w:p>
        </w:tc>
      </w:tr>
      <w:tr w:rsidR="00E043B1" w14:paraId="4F72C788" w14:textId="77777777" w:rsidTr="00E043B1">
        <w:tc>
          <w:tcPr>
            <w:tcW w:w="1129" w:type="dxa"/>
          </w:tcPr>
          <w:p w14:paraId="3EF4C0CD" w14:textId="1509C373" w:rsidR="00E043B1" w:rsidRDefault="00E043B1" w:rsidP="00E043B1">
            <w:proofErr w:type="spellStart"/>
            <w:r>
              <w:t>Рядко</w:t>
            </w:r>
            <w:proofErr w:type="spellEnd"/>
          </w:p>
        </w:tc>
        <w:tc>
          <w:tcPr>
            <w:tcW w:w="8221" w:type="dxa"/>
          </w:tcPr>
          <w:p w14:paraId="4E954487" w14:textId="329BD41E" w:rsidR="00E043B1" w:rsidRDefault="00E043B1" w:rsidP="00E043B1">
            <w:proofErr w:type="spellStart"/>
            <w:r>
              <w:t>Диспнея</w:t>
            </w:r>
            <w:proofErr w:type="spellEnd"/>
            <w:r>
              <w:t xml:space="preserve">, </w:t>
            </w:r>
            <w:proofErr w:type="spellStart"/>
            <w:r>
              <w:t>сърдечни</w:t>
            </w:r>
            <w:proofErr w:type="spellEnd"/>
            <w:r>
              <w:t xml:space="preserve"> </w:t>
            </w:r>
            <w:proofErr w:type="spellStart"/>
            <w:r>
              <w:t>палпитации</w:t>
            </w:r>
            <w:proofErr w:type="spellEnd"/>
            <w:r>
              <w:t xml:space="preserve">, </w:t>
            </w:r>
            <w:proofErr w:type="spellStart"/>
            <w:r>
              <w:t>гръдна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 и </w:t>
            </w:r>
            <w:proofErr w:type="spellStart"/>
            <w:r>
              <w:t>слабост</w:t>
            </w:r>
            <w:proofErr w:type="spellEnd"/>
          </w:p>
        </w:tc>
      </w:tr>
    </w:tbl>
    <w:p w14:paraId="46CAB20A" w14:textId="0F5FF1B1" w:rsidR="00E043B1" w:rsidRDefault="00E043B1" w:rsidP="002C50EE">
      <w:pPr>
        <w:pStyle w:val="Heading2"/>
      </w:pPr>
    </w:p>
    <w:p w14:paraId="6EC7D96E" w14:textId="56AD0C24" w:rsidR="00E043B1" w:rsidRPr="00E043B1" w:rsidRDefault="00E043B1" w:rsidP="00E043B1">
      <w:pPr>
        <w:rPr>
          <w:b/>
          <w:bCs/>
        </w:rPr>
      </w:pPr>
      <w:proofErr w:type="spellStart"/>
      <w:r w:rsidRPr="00E043B1">
        <w:rPr>
          <w:b/>
          <w:bCs/>
        </w:rPr>
        <w:t>Храносмилателна</w:t>
      </w:r>
      <w:proofErr w:type="spellEnd"/>
      <w:r w:rsidRPr="00E043B1">
        <w:rPr>
          <w:b/>
          <w:bCs/>
        </w:rPr>
        <w:t xml:space="preserve"> </w:t>
      </w:r>
      <w:proofErr w:type="spellStart"/>
      <w:r w:rsidRPr="00E043B1">
        <w:rPr>
          <w:b/>
          <w:bCs/>
        </w:rPr>
        <w:t>система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043B1" w14:paraId="7256F501" w14:textId="77777777" w:rsidTr="00E043B1">
        <w:tc>
          <w:tcPr>
            <w:tcW w:w="1129" w:type="dxa"/>
          </w:tcPr>
          <w:p w14:paraId="46EB5122" w14:textId="1B05AFD9" w:rsidR="00E043B1" w:rsidRDefault="00E043B1" w:rsidP="00E043B1">
            <w:pPr>
              <w:pStyle w:val="Heading2"/>
              <w:outlineLvl w:val="1"/>
            </w:pPr>
            <w:r>
              <w:rPr>
                <w:sz w:val="22"/>
                <w:szCs w:val="22"/>
              </w:rPr>
              <w:t>2-6%</w:t>
            </w:r>
          </w:p>
        </w:tc>
        <w:tc>
          <w:tcPr>
            <w:tcW w:w="8221" w:type="dxa"/>
          </w:tcPr>
          <w:p w14:paraId="4C945A3F" w14:textId="3B541EAF" w:rsidR="00E043B1" w:rsidRDefault="00E043B1" w:rsidP="00E043B1">
            <w:pPr>
              <w:pStyle w:val="Heading2"/>
              <w:outlineLvl w:val="1"/>
            </w:pPr>
            <w:proofErr w:type="spellStart"/>
            <w:r>
              <w:rPr>
                <w:sz w:val="22"/>
                <w:szCs w:val="22"/>
              </w:rPr>
              <w:t>Констипация</w:t>
            </w:r>
            <w:proofErr w:type="spellEnd"/>
          </w:p>
        </w:tc>
      </w:tr>
      <w:tr w:rsidR="00E043B1" w14:paraId="38EE1638" w14:textId="77777777" w:rsidTr="00E043B1">
        <w:tc>
          <w:tcPr>
            <w:tcW w:w="1129" w:type="dxa"/>
          </w:tcPr>
          <w:p w14:paraId="0D022A91" w14:textId="4437E562" w:rsidR="00E043B1" w:rsidRDefault="00E043B1" w:rsidP="00E043B1">
            <w:pPr>
              <w:pStyle w:val="Heading2"/>
              <w:outlineLvl w:val="1"/>
            </w:pPr>
            <w:proofErr w:type="spellStart"/>
            <w:r>
              <w:rPr>
                <w:sz w:val="22"/>
                <w:szCs w:val="22"/>
              </w:rPr>
              <w:t>Рядко</w:t>
            </w:r>
            <w:proofErr w:type="spellEnd"/>
          </w:p>
        </w:tc>
        <w:tc>
          <w:tcPr>
            <w:tcW w:w="8221" w:type="dxa"/>
          </w:tcPr>
          <w:p w14:paraId="2529F359" w14:textId="77777777" w:rsidR="00E043B1" w:rsidRDefault="00E043B1" w:rsidP="00E043B1">
            <w:proofErr w:type="spellStart"/>
            <w:r>
              <w:t>Анорексия</w:t>
            </w:r>
            <w:proofErr w:type="spellEnd"/>
            <w:r>
              <w:t xml:space="preserve">,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вкуса</w:t>
            </w:r>
            <w:proofErr w:type="spellEnd"/>
            <w:r>
              <w:t xml:space="preserve">, </w:t>
            </w:r>
            <w:proofErr w:type="spellStart"/>
            <w:r>
              <w:t>абдоминална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, </w:t>
            </w:r>
            <w:proofErr w:type="spellStart"/>
            <w:r>
              <w:t>диария</w:t>
            </w:r>
            <w:proofErr w:type="spellEnd"/>
            <w:r>
              <w:t>.</w:t>
            </w:r>
          </w:p>
          <w:p w14:paraId="2727B240" w14:textId="556953A7" w:rsidR="00E043B1" w:rsidRDefault="00E043B1" w:rsidP="00E043B1">
            <w:pPr>
              <w:pStyle w:val="Heading2"/>
              <w:outlineLvl w:val="1"/>
            </w:pPr>
            <w:proofErr w:type="spellStart"/>
            <w:r>
              <w:rPr>
                <w:sz w:val="22"/>
                <w:szCs w:val="22"/>
              </w:rPr>
              <w:t>Позитивни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окултна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кръв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фецеса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6C991A31" w14:textId="3D2E507B" w:rsidR="00E043B1" w:rsidRDefault="00E043B1" w:rsidP="002C50EE">
      <w:pPr>
        <w:pStyle w:val="Heading2"/>
      </w:pPr>
    </w:p>
    <w:p w14:paraId="34D24B43" w14:textId="0B4F3108" w:rsidR="00E043B1" w:rsidRPr="00E043B1" w:rsidRDefault="00E043B1" w:rsidP="00E043B1">
      <w:pPr>
        <w:rPr>
          <w:b/>
          <w:bCs/>
        </w:rPr>
      </w:pPr>
      <w:proofErr w:type="spellStart"/>
      <w:r w:rsidRPr="00E043B1">
        <w:rPr>
          <w:b/>
          <w:bCs/>
        </w:rPr>
        <w:t>Ген</w:t>
      </w:r>
      <w:r w:rsidRPr="00E043B1">
        <w:rPr>
          <w:b/>
          <w:bCs/>
          <w:lang w:val="bg-BG"/>
        </w:rPr>
        <w:t>ит</w:t>
      </w:r>
      <w:proofErr w:type="spellEnd"/>
      <w:r w:rsidRPr="00E043B1">
        <w:rPr>
          <w:b/>
          <w:bCs/>
        </w:rPr>
        <w:t>о-</w:t>
      </w:r>
      <w:proofErr w:type="spellStart"/>
      <w:r w:rsidRPr="00E043B1">
        <w:rPr>
          <w:b/>
          <w:bCs/>
        </w:rPr>
        <w:t>уринарна</w:t>
      </w:r>
      <w:proofErr w:type="spellEnd"/>
      <w:r w:rsidRPr="00E043B1">
        <w:rPr>
          <w:b/>
          <w:bCs/>
        </w:rPr>
        <w:t xml:space="preserve"> </w:t>
      </w:r>
      <w:proofErr w:type="spellStart"/>
      <w:r w:rsidRPr="00E043B1">
        <w:rPr>
          <w:b/>
          <w:bCs/>
        </w:rPr>
        <w:t>система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043B1" w14:paraId="57E58CD5" w14:textId="77777777" w:rsidTr="00E043B1">
        <w:tc>
          <w:tcPr>
            <w:tcW w:w="1129" w:type="dxa"/>
            <w:vAlign w:val="bottom"/>
          </w:tcPr>
          <w:p w14:paraId="1F194E63" w14:textId="4786661B" w:rsidR="00E043B1" w:rsidRDefault="00E043B1" w:rsidP="00E043B1">
            <w:r>
              <w:t>2-6%</w:t>
            </w:r>
          </w:p>
        </w:tc>
        <w:tc>
          <w:tcPr>
            <w:tcW w:w="8221" w:type="dxa"/>
            <w:vAlign w:val="bottom"/>
          </w:tcPr>
          <w:p w14:paraId="28E0ECB4" w14:textId="0A0806AF" w:rsidR="00E043B1" w:rsidRDefault="00E043B1" w:rsidP="00E043B1">
            <w:proofErr w:type="spellStart"/>
            <w:r>
              <w:t>Чести</w:t>
            </w:r>
            <w:proofErr w:type="spellEnd"/>
            <w:r>
              <w:t xml:space="preserve"> </w:t>
            </w:r>
            <w:proofErr w:type="spellStart"/>
            <w:r>
              <w:t>позиви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уриниране</w:t>
            </w:r>
            <w:proofErr w:type="spellEnd"/>
          </w:p>
        </w:tc>
      </w:tr>
      <w:tr w:rsidR="00E043B1" w14:paraId="4DA61943" w14:textId="77777777" w:rsidTr="00E043B1">
        <w:tc>
          <w:tcPr>
            <w:tcW w:w="1129" w:type="dxa"/>
          </w:tcPr>
          <w:p w14:paraId="1C58A03F" w14:textId="70F51820" w:rsidR="00E043B1" w:rsidRDefault="00E043B1" w:rsidP="00E043B1">
            <w:proofErr w:type="spellStart"/>
            <w:r>
              <w:t>рядко</w:t>
            </w:r>
            <w:proofErr w:type="spellEnd"/>
          </w:p>
        </w:tc>
        <w:tc>
          <w:tcPr>
            <w:tcW w:w="8221" w:type="dxa"/>
            <w:vAlign w:val="bottom"/>
          </w:tcPr>
          <w:p w14:paraId="0F0854B3" w14:textId="05AB7871" w:rsidR="00E043B1" w:rsidRDefault="00E043B1" w:rsidP="00E043B1">
            <w:proofErr w:type="spellStart"/>
            <w:r>
              <w:t>Неволево</w:t>
            </w:r>
            <w:proofErr w:type="spellEnd"/>
            <w:r>
              <w:t xml:space="preserve"> </w:t>
            </w:r>
            <w:proofErr w:type="spellStart"/>
            <w:r>
              <w:t>изпускане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урина</w:t>
            </w:r>
            <w:proofErr w:type="spellEnd"/>
            <w:r>
              <w:t xml:space="preserve">, </w:t>
            </w:r>
            <w:proofErr w:type="spellStart"/>
            <w:r>
              <w:t>задръжка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урина</w:t>
            </w:r>
            <w:proofErr w:type="spellEnd"/>
            <w:r>
              <w:t xml:space="preserve">, </w:t>
            </w:r>
            <w:proofErr w:type="spellStart"/>
            <w:r>
              <w:t>анурия</w:t>
            </w:r>
            <w:proofErr w:type="spellEnd"/>
            <w:r>
              <w:t xml:space="preserve">, </w:t>
            </w:r>
            <w:proofErr w:type="spellStart"/>
            <w:r>
              <w:t>импотентност</w:t>
            </w:r>
            <w:proofErr w:type="spellEnd"/>
            <w:r>
              <w:t xml:space="preserve">, </w:t>
            </w:r>
            <w:proofErr w:type="spellStart"/>
            <w:r>
              <w:t>нарушение</w:t>
            </w:r>
            <w:proofErr w:type="spellEnd"/>
            <w:r>
              <w:t xml:space="preserve"> в </w:t>
            </w:r>
            <w:proofErr w:type="spellStart"/>
            <w:r>
              <w:t>еякулацията</w:t>
            </w:r>
            <w:proofErr w:type="spellEnd"/>
            <w:r>
              <w:t xml:space="preserve">, </w:t>
            </w:r>
            <w:proofErr w:type="spellStart"/>
            <w:r>
              <w:t>енурезис</w:t>
            </w:r>
            <w:proofErr w:type="spellEnd"/>
            <w:r>
              <w:t xml:space="preserve"> </w:t>
            </w:r>
            <w:proofErr w:type="spellStart"/>
            <w:r>
              <w:t>ноктурна</w:t>
            </w:r>
            <w:proofErr w:type="spellEnd"/>
            <w:r>
              <w:t xml:space="preserve"> и </w:t>
            </w:r>
            <w:proofErr w:type="spellStart"/>
            <w:r>
              <w:t>хематурия</w:t>
            </w:r>
            <w:proofErr w:type="spellEnd"/>
            <w:r>
              <w:t>.</w:t>
            </w:r>
          </w:p>
        </w:tc>
      </w:tr>
    </w:tbl>
    <w:p w14:paraId="7818BF38" w14:textId="01433FD6" w:rsidR="00E043B1" w:rsidRDefault="00E043B1" w:rsidP="00E043B1"/>
    <w:p w14:paraId="0BF49F4E" w14:textId="4301A499" w:rsidR="00E043B1" w:rsidRPr="00E043B1" w:rsidRDefault="00E043B1" w:rsidP="00E043B1">
      <w:pPr>
        <w:rPr>
          <w:b/>
          <w:bCs/>
        </w:rPr>
      </w:pPr>
      <w:proofErr w:type="spellStart"/>
      <w:r w:rsidRPr="00E043B1">
        <w:rPr>
          <w:b/>
          <w:bCs/>
        </w:rPr>
        <w:t>Други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043B1" w14:paraId="6E73C82F" w14:textId="77777777" w:rsidTr="00E043B1">
        <w:tc>
          <w:tcPr>
            <w:tcW w:w="846" w:type="dxa"/>
          </w:tcPr>
          <w:p w14:paraId="7C580B7A" w14:textId="77777777" w:rsidR="00E043B1" w:rsidRDefault="00E043B1" w:rsidP="00E043B1"/>
        </w:tc>
        <w:tc>
          <w:tcPr>
            <w:tcW w:w="8504" w:type="dxa"/>
          </w:tcPr>
          <w:p w14:paraId="3C94723E" w14:textId="77777777" w:rsidR="00E043B1" w:rsidRPr="00E043B1" w:rsidRDefault="00E043B1" w:rsidP="00E04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3B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Нарушено виждане, нарушение във вкуса, обрив, </w:t>
            </w:r>
            <w:proofErr w:type="spellStart"/>
            <w:r w:rsidRPr="00E043B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пруритус</w:t>
            </w:r>
            <w:proofErr w:type="spellEnd"/>
            <w:r w:rsidRPr="00E043B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оток на глезена, засилено изпотяване, повишаване на телесното тегло, чувство за запушен нос.</w:t>
            </w:r>
          </w:p>
          <w:p w14:paraId="25EF799C" w14:textId="77777777" w:rsidR="00E043B1" w:rsidRPr="00E043B1" w:rsidRDefault="00E043B1" w:rsidP="00E04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3B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При някои пациенти се наблюдава влошаване на еластичните състояния (парадоксална реакция към лекарството).</w:t>
            </w:r>
          </w:p>
          <w:p w14:paraId="58BD3A56" w14:textId="77777777" w:rsidR="00E043B1" w:rsidRDefault="00E043B1" w:rsidP="00E043B1"/>
        </w:tc>
      </w:tr>
    </w:tbl>
    <w:p w14:paraId="3114684F" w14:textId="77777777" w:rsidR="00E043B1" w:rsidRPr="00E043B1" w:rsidRDefault="00E043B1" w:rsidP="00E043B1"/>
    <w:p w14:paraId="611C622D" w14:textId="5BF03019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070FADFC" w14:textId="77777777" w:rsidR="00E043B1" w:rsidRDefault="00E043B1" w:rsidP="00E043B1">
      <w:pPr>
        <w:rPr>
          <w:lang w:val="bg-BG" w:eastAsia="bg-BG"/>
        </w:rPr>
      </w:pPr>
    </w:p>
    <w:p w14:paraId="68CEEA38" w14:textId="41056565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предозиране, следните ЦНС ефекти могат да се проявят: </w:t>
      </w:r>
      <w:proofErr w:type="spellStart"/>
      <w:r w:rsidRPr="00E043B1">
        <w:rPr>
          <w:lang w:val="bg-BG" w:eastAsia="bg-BG"/>
        </w:rPr>
        <w:t>сомнолентност</w:t>
      </w:r>
      <w:proofErr w:type="spellEnd"/>
      <w:r w:rsidRPr="00E043B1">
        <w:rPr>
          <w:lang w:val="bg-BG" w:eastAsia="bg-BG"/>
        </w:rPr>
        <w:t>, загуба на съзнание, кома, респираторен арест.</w:t>
      </w:r>
    </w:p>
    <w:p w14:paraId="64FC6040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Други реакции също могат да се развият, като: обърканост, халюцинации, възбуда, нарушена акомодация, загуба на </w:t>
      </w:r>
      <w:proofErr w:type="spellStart"/>
      <w:r w:rsidRPr="00E043B1">
        <w:rPr>
          <w:lang w:val="bg-BG" w:eastAsia="bg-BG"/>
        </w:rPr>
        <w:t>пупиларния</w:t>
      </w:r>
      <w:proofErr w:type="spellEnd"/>
      <w:r w:rsidRPr="00E043B1">
        <w:rPr>
          <w:lang w:val="bg-BG" w:eastAsia="bg-BG"/>
        </w:rPr>
        <w:t xml:space="preserve"> рефлекс, мускулна хипотония, </w:t>
      </w:r>
      <w:proofErr w:type="spellStart"/>
      <w:r w:rsidRPr="00E043B1">
        <w:rPr>
          <w:lang w:val="bg-BG" w:eastAsia="bg-BG"/>
        </w:rPr>
        <w:t>клонични</w:t>
      </w:r>
      <w:proofErr w:type="spellEnd"/>
      <w:r w:rsidRPr="00E043B1">
        <w:rPr>
          <w:lang w:val="bg-BG" w:eastAsia="bg-BG"/>
        </w:rPr>
        <w:t xml:space="preserve"> гърчове, </w:t>
      </w:r>
      <w:proofErr w:type="spellStart"/>
      <w:r w:rsidRPr="00E043B1">
        <w:rPr>
          <w:lang w:val="bg-BG" w:eastAsia="bg-BG"/>
        </w:rPr>
        <w:t>хипорефлексия</w:t>
      </w:r>
      <w:proofErr w:type="spellEnd"/>
      <w:r w:rsidRPr="00E043B1">
        <w:rPr>
          <w:lang w:val="bg-BG" w:eastAsia="bg-BG"/>
        </w:rPr>
        <w:t xml:space="preserve"> или </w:t>
      </w:r>
      <w:proofErr w:type="spellStart"/>
      <w:r w:rsidRPr="00E043B1">
        <w:rPr>
          <w:lang w:val="bg-BG" w:eastAsia="bg-BG"/>
        </w:rPr>
        <w:t>арефлексия</w:t>
      </w:r>
      <w:proofErr w:type="spellEnd"/>
      <w:r w:rsidRPr="00E043B1">
        <w:rPr>
          <w:lang w:val="bg-BG" w:eastAsia="bg-BG"/>
        </w:rPr>
        <w:t xml:space="preserve">, конвулсии, периферна </w:t>
      </w:r>
      <w:proofErr w:type="spellStart"/>
      <w:r w:rsidRPr="00E043B1">
        <w:rPr>
          <w:lang w:val="bg-BG" w:eastAsia="bg-BG"/>
        </w:rPr>
        <w:t>вазодилатация</w:t>
      </w:r>
      <w:proofErr w:type="spellEnd"/>
      <w:r w:rsidRPr="00E043B1">
        <w:rPr>
          <w:lang w:val="bg-BG" w:eastAsia="bg-BG"/>
        </w:rPr>
        <w:t xml:space="preserve">, хипотония, брадикардия, намаляване на телесната температура, гадене, повръщане, диария, обилна </w:t>
      </w:r>
      <w:proofErr w:type="spellStart"/>
      <w:r w:rsidRPr="00E043B1">
        <w:rPr>
          <w:lang w:val="bg-BG" w:eastAsia="bg-BG"/>
        </w:rPr>
        <w:t>саливация</w:t>
      </w:r>
      <w:proofErr w:type="spellEnd"/>
      <w:r w:rsidRPr="00E043B1">
        <w:rPr>
          <w:lang w:val="bg-BG" w:eastAsia="bg-BG"/>
        </w:rPr>
        <w:t xml:space="preserve">, повишаване нивата на </w:t>
      </w:r>
      <w:r w:rsidRPr="00E043B1">
        <w:t xml:space="preserve">LDH, ASAT </w:t>
      </w:r>
      <w:r w:rsidRPr="00E043B1">
        <w:rPr>
          <w:lang w:val="bg-BG" w:eastAsia="bg-BG"/>
        </w:rPr>
        <w:t>и АР.</w:t>
      </w:r>
    </w:p>
    <w:p w14:paraId="28721F7A" w14:textId="7F924B4C" w:rsidR="00E043B1" w:rsidRDefault="00E043B1" w:rsidP="00E043B1"/>
    <w:p w14:paraId="0B6A9E70" w14:textId="77777777" w:rsidR="00E043B1" w:rsidRPr="00E043B1" w:rsidRDefault="00E043B1" w:rsidP="00E043B1">
      <w:pPr>
        <w:pStyle w:val="Heading3"/>
        <w:rPr>
          <w:rFonts w:eastAsia="Times New Roman"/>
          <w:u w:val="single"/>
          <w:lang w:val="bg-BG"/>
        </w:rPr>
      </w:pPr>
      <w:r w:rsidRPr="00E043B1">
        <w:rPr>
          <w:rFonts w:eastAsia="Times New Roman"/>
          <w:u w:val="single"/>
          <w:lang w:val="bg-BG" w:eastAsia="bg-BG"/>
        </w:rPr>
        <w:t>Лечение на предозирането</w:t>
      </w:r>
    </w:p>
    <w:p w14:paraId="144CF619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>Няма специфичен антидот.</w:t>
      </w:r>
    </w:p>
    <w:p w14:paraId="6789D487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lastRenderedPageBreak/>
        <w:t xml:space="preserve">Колкото е възможно най-бързо трябва да се предизвика повръщане, да се направи стомашен </w:t>
      </w:r>
      <w:proofErr w:type="spellStart"/>
      <w:r w:rsidRPr="00E043B1">
        <w:rPr>
          <w:lang w:val="bg-BG" w:eastAsia="bg-BG"/>
        </w:rPr>
        <w:t>лаваж</w:t>
      </w:r>
      <w:proofErr w:type="spellEnd"/>
      <w:r w:rsidRPr="00E043B1">
        <w:rPr>
          <w:lang w:val="bg-BG" w:eastAsia="bg-BG"/>
        </w:rPr>
        <w:t xml:space="preserve"> и да се приложи активен въглен.</w:t>
      </w:r>
    </w:p>
    <w:p w14:paraId="2DAB28C5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Пациентите в кома трябва първо да се </w:t>
      </w:r>
      <w:proofErr w:type="spellStart"/>
      <w:r w:rsidRPr="00E043B1">
        <w:rPr>
          <w:lang w:val="bg-BG" w:eastAsia="bg-BG"/>
        </w:rPr>
        <w:t>интубират</w:t>
      </w:r>
      <w:proofErr w:type="spellEnd"/>
      <w:r w:rsidRPr="00E043B1">
        <w:rPr>
          <w:lang w:val="bg-BG" w:eastAsia="bg-BG"/>
        </w:rPr>
        <w:t xml:space="preserve"> преди да се направи </w:t>
      </w:r>
      <w:proofErr w:type="spellStart"/>
      <w:r w:rsidRPr="00E043B1">
        <w:rPr>
          <w:lang w:val="bg-BG" w:eastAsia="bg-BG"/>
        </w:rPr>
        <w:t>сотмашен</w:t>
      </w:r>
      <w:proofErr w:type="spellEnd"/>
      <w:r w:rsidRPr="00E043B1">
        <w:rPr>
          <w:lang w:val="bg-BG" w:eastAsia="bg-BG"/>
        </w:rPr>
        <w:t xml:space="preserve"> </w:t>
      </w:r>
      <w:proofErr w:type="spellStart"/>
      <w:r w:rsidRPr="00E043B1">
        <w:rPr>
          <w:lang w:val="bg-BG" w:eastAsia="bg-BG"/>
        </w:rPr>
        <w:t>лаваж</w:t>
      </w:r>
      <w:proofErr w:type="spellEnd"/>
      <w:r w:rsidRPr="00E043B1">
        <w:rPr>
          <w:lang w:val="bg-BG" w:eastAsia="bg-BG"/>
        </w:rPr>
        <w:t>.</w:t>
      </w:r>
    </w:p>
    <w:p w14:paraId="1A47CC5C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Ако е необходимо, могат да се дадат </w:t>
      </w:r>
      <w:proofErr w:type="spellStart"/>
      <w:r w:rsidRPr="00E043B1">
        <w:rPr>
          <w:lang w:val="bg-BG" w:eastAsia="bg-BG"/>
        </w:rPr>
        <w:t>лаксативни</w:t>
      </w:r>
      <w:proofErr w:type="spellEnd"/>
      <w:r w:rsidRPr="00E043B1">
        <w:rPr>
          <w:lang w:val="bg-BG" w:eastAsia="bg-BG"/>
        </w:rPr>
        <w:t xml:space="preserve"> соли.</w:t>
      </w:r>
    </w:p>
    <w:p w14:paraId="4F77A124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пациенти с </w:t>
      </w:r>
      <w:proofErr w:type="spellStart"/>
      <w:r w:rsidRPr="00E043B1">
        <w:rPr>
          <w:lang w:val="bg-BG" w:eastAsia="bg-BG"/>
        </w:rPr>
        <w:t>редпираторен</w:t>
      </w:r>
      <w:proofErr w:type="spellEnd"/>
      <w:r w:rsidRPr="00E043B1">
        <w:rPr>
          <w:lang w:val="bg-BG" w:eastAsia="bg-BG"/>
        </w:rPr>
        <w:t xml:space="preserve"> арест, трябва да се направи изкуствено дишане, както и да се приложи </w:t>
      </w:r>
      <w:proofErr w:type="spellStart"/>
      <w:r w:rsidRPr="00E043B1">
        <w:rPr>
          <w:lang w:val="bg-BG" w:eastAsia="bg-BG"/>
        </w:rPr>
        <w:t>подържаща</w:t>
      </w:r>
      <w:proofErr w:type="spellEnd"/>
      <w:r w:rsidRPr="00E043B1">
        <w:rPr>
          <w:lang w:val="bg-BG" w:eastAsia="bg-BG"/>
        </w:rPr>
        <w:t xml:space="preserve"> терапия на циркулацията.</w:t>
      </w:r>
    </w:p>
    <w:p w14:paraId="3B6DB300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Според някои автори, </w:t>
      </w:r>
      <w:proofErr w:type="spellStart"/>
      <w:r w:rsidRPr="00E043B1">
        <w:rPr>
          <w:lang w:val="bg-BG" w:eastAsia="bg-BG"/>
        </w:rPr>
        <w:t>физостигмин</w:t>
      </w:r>
      <w:proofErr w:type="spellEnd"/>
      <w:r w:rsidRPr="00E043B1">
        <w:rPr>
          <w:lang w:val="bg-BG" w:eastAsia="bg-BG"/>
        </w:rPr>
        <w:t xml:space="preserve"> (при не тежки интоксикации) приложен интравенозно (1-2 </w:t>
      </w:r>
      <w:r w:rsidRPr="00E043B1">
        <w:t xml:space="preserve">mg </w:t>
      </w:r>
      <w:r w:rsidRPr="00E043B1">
        <w:rPr>
          <w:lang w:val="bg-BG" w:eastAsia="bg-BG"/>
        </w:rPr>
        <w:t xml:space="preserve">доза за 5-10 минути)предотвратява ЦНС нежеланите ефекти, особено </w:t>
      </w:r>
      <w:proofErr w:type="spellStart"/>
      <w:r w:rsidRPr="00E043B1">
        <w:rPr>
          <w:lang w:val="bg-BG" w:eastAsia="bg-BG"/>
        </w:rPr>
        <w:t>сомнолентността</w:t>
      </w:r>
      <w:proofErr w:type="spellEnd"/>
      <w:r w:rsidRPr="00E043B1">
        <w:rPr>
          <w:lang w:val="bg-BG" w:eastAsia="bg-BG"/>
        </w:rPr>
        <w:t xml:space="preserve"> и респираторната депресия. При положение, че няма подобрение след първата приложена доза, след 30-60 минути може да се приложи друга доза </w:t>
      </w:r>
      <w:proofErr w:type="spellStart"/>
      <w:r w:rsidRPr="00E043B1">
        <w:rPr>
          <w:lang w:val="bg-BG" w:eastAsia="bg-BG"/>
        </w:rPr>
        <w:t>физостигмин</w:t>
      </w:r>
      <w:proofErr w:type="spellEnd"/>
      <w:r w:rsidRPr="00E043B1">
        <w:rPr>
          <w:lang w:val="bg-BG" w:eastAsia="bg-BG"/>
        </w:rPr>
        <w:t xml:space="preserve">. Могат да се приложат течности и </w:t>
      </w:r>
      <w:proofErr w:type="spellStart"/>
      <w:r w:rsidRPr="00E043B1">
        <w:rPr>
          <w:lang w:val="bg-BG" w:eastAsia="bg-BG"/>
        </w:rPr>
        <w:t>диуретици</w:t>
      </w:r>
      <w:proofErr w:type="spellEnd"/>
      <w:r w:rsidRPr="00E043B1">
        <w:rPr>
          <w:lang w:val="bg-BG" w:eastAsia="bg-BG"/>
        </w:rPr>
        <w:t xml:space="preserve"> с цел да се засили елиминирането на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с урината.</w:t>
      </w:r>
    </w:p>
    <w:p w14:paraId="2A5FB000" w14:textId="7A78E76E" w:rsidR="00E043B1" w:rsidRPr="00E043B1" w:rsidRDefault="00E043B1" w:rsidP="00E043B1">
      <w:r w:rsidRPr="00E043B1">
        <w:rPr>
          <w:lang w:val="bg-BG" w:eastAsia="bg-BG"/>
        </w:rPr>
        <w:t>При поява на конвулсии, може с особено внимание да се приложи диазепам венозно.</w:t>
      </w:r>
    </w:p>
    <w:p w14:paraId="18EF4AFE" w14:textId="6C455CA2" w:rsidR="002C50EE" w:rsidRDefault="002C50EE" w:rsidP="002C50EE">
      <w:pPr>
        <w:pStyle w:val="Heading1"/>
      </w:pPr>
      <w:r>
        <w:t>5. ФАРМАКОЛОГИЧНИ СВОЙСТВА</w:t>
      </w:r>
    </w:p>
    <w:p w14:paraId="3BFFA7F7" w14:textId="77777777" w:rsidR="00E043B1" w:rsidRPr="00E043B1" w:rsidRDefault="00E043B1" w:rsidP="00E043B1"/>
    <w:p w14:paraId="11B13B7B" w14:textId="59DB84F9" w:rsidR="00E043B1" w:rsidRDefault="00E043B1" w:rsidP="00E043B1">
      <w:proofErr w:type="spellStart"/>
      <w:r>
        <w:t>Фармакотерапевтична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АТС </w:t>
      </w:r>
      <w:proofErr w:type="spellStart"/>
      <w:r>
        <w:t>код</w:t>
      </w:r>
      <w:proofErr w:type="spellEnd"/>
      <w:r>
        <w:t>: M03BX0J</w:t>
      </w:r>
    </w:p>
    <w:p w14:paraId="558920EB" w14:textId="77777777" w:rsidR="00E043B1" w:rsidRPr="00E043B1" w:rsidRDefault="00E043B1" w:rsidP="00E043B1"/>
    <w:p w14:paraId="2F1CA24E" w14:textId="08C0B6C2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4ABFC984" w14:textId="77777777" w:rsidR="00E043B1" w:rsidRDefault="00E043B1" w:rsidP="00E043B1"/>
    <w:p w14:paraId="642FECB8" w14:textId="793A4040" w:rsidR="00E043B1" w:rsidRDefault="00E043B1" w:rsidP="00E043B1">
      <w:proofErr w:type="spellStart"/>
      <w:r>
        <w:t>Баклофен</w:t>
      </w:r>
      <w:proofErr w:type="spellEnd"/>
      <w:r>
        <w:t xml:space="preserve"> е </w:t>
      </w:r>
      <w:proofErr w:type="spellStart"/>
      <w:r>
        <w:t>лекарство</w:t>
      </w:r>
      <w:proofErr w:type="spellEnd"/>
      <w:r>
        <w:t xml:space="preserve"> </w:t>
      </w:r>
      <w:proofErr w:type="spellStart"/>
      <w:r>
        <w:t>намаляващо</w:t>
      </w:r>
      <w:proofErr w:type="spellEnd"/>
      <w:r>
        <w:t xml:space="preserve"> </w:t>
      </w:r>
      <w:proofErr w:type="spellStart"/>
      <w:r>
        <w:t>повишения</w:t>
      </w:r>
      <w:proofErr w:type="spellEnd"/>
      <w:r>
        <w:t xml:space="preserve"> </w:t>
      </w:r>
      <w:proofErr w:type="spellStart"/>
      <w:r>
        <w:t>тонус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скелетната</w:t>
      </w:r>
      <w:proofErr w:type="spellEnd"/>
      <w:r>
        <w:t xml:space="preserve"> </w:t>
      </w:r>
      <w:proofErr w:type="spellStart"/>
      <w:r>
        <w:t>мускулатура</w:t>
      </w:r>
      <w:proofErr w:type="spellEnd"/>
      <w:r>
        <w:t xml:space="preserve">, </w:t>
      </w:r>
      <w:proofErr w:type="spellStart"/>
      <w:r>
        <w:t>причинено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увреждане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гръбначния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. </w:t>
      </w:r>
      <w:proofErr w:type="spellStart"/>
      <w:r>
        <w:t>Лекарството</w:t>
      </w:r>
      <w:proofErr w:type="spellEnd"/>
      <w:r>
        <w:t xml:space="preserve"> </w:t>
      </w:r>
      <w:proofErr w:type="spellStart"/>
      <w:r>
        <w:t>едновременно</w:t>
      </w:r>
      <w:proofErr w:type="spellEnd"/>
      <w:r>
        <w:t xml:space="preserve"> и в </w:t>
      </w:r>
      <w:proofErr w:type="spellStart"/>
      <w:r>
        <w:t>еднаква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</w:t>
      </w:r>
      <w:proofErr w:type="spellStart"/>
      <w:r>
        <w:t>кожните</w:t>
      </w:r>
      <w:proofErr w:type="spellEnd"/>
      <w:r>
        <w:t xml:space="preserve"> </w:t>
      </w:r>
      <w:proofErr w:type="spellStart"/>
      <w:r>
        <w:t>рефлекси</w:t>
      </w:r>
      <w:proofErr w:type="spellEnd"/>
      <w:r>
        <w:t xml:space="preserve"> и </w:t>
      </w:r>
      <w:proofErr w:type="spellStart"/>
      <w:r>
        <w:t>мускулния</w:t>
      </w:r>
      <w:proofErr w:type="spellEnd"/>
      <w:r>
        <w:t xml:space="preserve"> </w:t>
      </w:r>
      <w:proofErr w:type="spellStart"/>
      <w:r>
        <w:t>тонус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</w:t>
      </w:r>
      <w:proofErr w:type="spellStart"/>
      <w:r>
        <w:t>сухожилните</w:t>
      </w:r>
      <w:proofErr w:type="spellEnd"/>
      <w:r>
        <w:t xml:space="preserve"> </w:t>
      </w:r>
      <w:proofErr w:type="spellStart"/>
      <w:r>
        <w:t>рефлекси</w:t>
      </w:r>
      <w:proofErr w:type="spellEnd"/>
      <w:r>
        <w:t>.</w:t>
      </w:r>
    </w:p>
    <w:p w14:paraId="20690D91" w14:textId="77777777" w:rsidR="00E043B1" w:rsidRDefault="00E043B1" w:rsidP="00E043B1"/>
    <w:p w14:paraId="171E91FE" w14:textId="273B1388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Механизмът на действие най-вероятно включва хиперполаризация на </w:t>
      </w:r>
      <w:proofErr w:type="spellStart"/>
      <w:r w:rsidRPr="00E043B1">
        <w:rPr>
          <w:lang w:val="bg-BG" w:eastAsia="bg-BG"/>
        </w:rPr>
        <w:t>асцендентните</w:t>
      </w:r>
      <w:proofErr w:type="spellEnd"/>
      <w:r w:rsidRPr="00E043B1">
        <w:rPr>
          <w:lang w:val="bg-BG" w:eastAsia="bg-BG"/>
        </w:rPr>
        <w:t xml:space="preserve"> нерви и инхибиране на двете - </w:t>
      </w:r>
      <w:proofErr w:type="spellStart"/>
      <w:r w:rsidRPr="00E043B1">
        <w:rPr>
          <w:lang w:val="bg-BG" w:eastAsia="bg-BG"/>
        </w:rPr>
        <w:t>моносинаптични</w:t>
      </w:r>
      <w:proofErr w:type="spellEnd"/>
      <w:r w:rsidRPr="00E043B1">
        <w:rPr>
          <w:lang w:val="bg-BG" w:eastAsia="bg-BG"/>
        </w:rPr>
        <w:t xml:space="preserve"> и </w:t>
      </w:r>
      <w:proofErr w:type="spellStart"/>
      <w:r w:rsidRPr="00E043B1">
        <w:rPr>
          <w:lang w:val="bg-BG" w:eastAsia="bg-BG"/>
        </w:rPr>
        <w:t>полисинаптични</w:t>
      </w:r>
      <w:proofErr w:type="spellEnd"/>
      <w:r w:rsidRPr="00E043B1">
        <w:rPr>
          <w:lang w:val="bg-BG" w:eastAsia="bg-BG"/>
        </w:rPr>
        <w:t xml:space="preserve"> рефлекси на ниво гръбначен мозък.</w:t>
      </w:r>
    </w:p>
    <w:p w14:paraId="0AD38D9A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изследвания върху животни,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повишава допаминовия метаболизъм, но при хора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не променя нивата на 5-хидроксииндол ацетат и допаминовите метаболити в </w:t>
      </w:r>
      <w:proofErr w:type="spellStart"/>
      <w:r w:rsidRPr="00E043B1">
        <w:rPr>
          <w:lang w:val="bg-BG" w:eastAsia="bg-BG"/>
        </w:rPr>
        <w:t>церебро-спиналната</w:t>
      </w:r>
      <w:proofErr w:type="spellEnd"/>
      <w:r w:rsidRPr="00E043B1">
        <w:rPr>
          <w:lang w:val="bg-BG" w:eastAsia="bg-BG"/>
        </w:rPr>
        <w:t xml:space="preserve"> течност.</w:t>
      </w:r>
    </w:p>
    <w:p w14:paraId="70EBF5A1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Тъй като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приложен във високи дози може да предизвика потискане на функциите на ЦНС, се предполага, че лекарството има ефекти и в центрове, локализирани над нивото на гръбначния мозък.</w:t>
      </w:r>
    </w:p>
    <w:p w14:paraId="02E9C33A" w14:textId="77777777" w:rsidR="00E043B1" w:rsidRPr="00E043B1" w:rsidRDefault="00E043B1" w:rsidP="00E043B1"/>
    <w:p w14:paraId="788B4E5E" w14:textId="3AA2A6F1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6D7B772A" w14:textId="77777777" w:rsidR="00E043B1" w:rsidRDefault="00E043B1" w:rsidP="00E043B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val="bg-BG" w:eastAsia="bg-BG"/>
        </w:rPr>
      </w:pPr>
    </w:p>
    <w:p w14:paraId="6985406E" w14:textId="49D78E50" w:rsidR="00E043B1" w:rsidRPr="00E95DA2" w:rsidRDefault="00E043B1" w:rsidP="00E95DA2">
      <w:pPr>
        <w:pStyle w:val="Heading3"/>
        <w:rPr>
          <w:rFonts w:eastAsia="Times New Roman"/>
          <w:u w:val="single"/>
          <w:lang w:val="bg-BG"/>
        </w:rPr>
      </w:pPr>
      <w:r w:rsidRPr="00E95DA2">
        <w:rPr>
          <w:rFonts w:eastAsia="Times New Roman"/>
          <w:u w:val="single"/>
          <w:lang w:val="bg-BG" w:eastAsia="bg-BG"/>
        </w:rPr>
        <w:t>А</w:t>
      </w:r>
      <w:r w:rsidRPr="00E95DA2">
        <w:rPr>
          <w:rFonts w:eastAsia="Times New Roman"/>
          <w:u w:val="single"/>
          <w:lang w:val="bg-BG" w:eastAsia="bg-BG"/>
        </w:rPr>
        <w:t>бсорбция</w:t>
      </w:r>
    </w:p>
    <w:p w14:paraId="3805B33F" w14:textId="77777777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бързо и почти напълно се абсорбира в </w:t>
      </w:r>
      <w:proofErr w:type="spellStart"/>
      <w:r w:rsidRPr="00E043B1">
        <w:rPr>
          <w:lang w:val="bg-BG" w:eastAsia="bg-BG"/>
        </w:rPr>
        <w:t>гастро-интестиналния</w:t>
      </w:r>
      <w:proofErr w:type="spellEnd"/>
      <w:r w:rsidRPr="00E043B1">
        <w:rPr>
          <w:lang w:val="bg-BG" w:eastAsia="bg-BG"/>
        </w:rPr>
        <w:t xml:space="preserve"> тракт.</w:t>
      </w:r>
    </w:p>
    <w:p w14:paraId="4DBA5852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>След приемане на високи дози, абсорбцията е намалена.</w:t>
      </w:r>
    </w:p>
    <w:p w14:paraId="00DB12DE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Терапевтичните плазмени концентрации (по литературни данни) са 80-395 </w:t>
      </w:r>
      <w:r w:rsidRPr="00E043B1">
        <w:t>ng/ml.</w:t>
      </w:r>
    </w:p>
    <w:p w14:paraId="6F6F704A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При експерименти с животни е установено, че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се разпределя в много от тъканите, но само малко количество преминава през кръвно-мозъчната бариера.</w:t>
      </w:r>
    </w:p>
    <w:p w14:paraId="46A7E429" w14:textId="77777777" w:rsidR="00E95DA2" w:rsidRDefault="00E043B1" w:rsidP="00E043B1">
      <w:pPr>
        <w:rPr>
          <w:lang w:val="bg-BG" w:eastAsia="bg-BG"/>
        </w:rPr>
      </w:pPr>
      <w:r w:rsidRPr="00E043B1">
        <w:rPr>
          <w:lang w:val="bg-BG" w:eastAsia="bg-BG"/>
        </w:rPr>
        <w:t xml:space="preserve">При пациенти приемащи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, максималната плазмена концентрация </w:t>
      </w:r>
      <w:proofErr w:type="spellStart"/>
      <w:r w:rsidRPr="00E043B1">
        <w:rPr>
          <w:lang w:val="bg-BG" w:eastAsia="bg-BG"/>
        </w:rPr>
        <w:t>Сшах</w:t>
      </w:r>
      <w:proofErr w:type="spellEnd"/>
      <w:r w:rsidRPr="00E043B1">
        <w:rPr>
          <w:lang w:val="bg-BG" w:eastAsia="bg-BG"/>
        </w:rPr>
        <w:t xml:space="preserve"> (500-600 </w:t>
      </w:r>
      <w:r w:rsidRPr="00E043B1">
        <w:t xml:space="preserve">ng/ml) </w:t>
      </w:r>
      <w:r w:rsidRPr="00E043B1">
        <w:rPr>
          <w:lang w:val="bg-BG" w:eastAsia="bg-BG"/>
        </w:rPr>
        <w:t xml:space="preserve">се достига за 2-3 часа след приема и концентрация над 200 </w:t>
      </w:r>
      <w:r w:rsidRPr="00E043B1">
        <w:t xml:space="preserve">ng/ml </w:t>
      </w:r>
      <w:r w:rsidRPr="00E043B1">
        <w:rPr>
          <w:lang w:val="bg-BG" w:eastAsia="bg-BG"/>
        </w:rPr>
        <w:t xml:space="preserve">се подържа за 8 часа. </w:t>
      </w:r>
    </w:p>
    <w:p w14:paraId="2133B614" w14:textId="51F532BA" w:rsidR="00E043B1" w:rsidRPr="00E95DA2" w:rsidRDefault="00E043B1" w:rsidP="00E95DA2">
      <w:pPr>
        <w:pStyle w:val="Heading3"/>
        <w:rPr>
          <w:rFonts w:eastAsia="Times New Roman"/>
          <w:u w:val="single"/>
          <w:lang w:val="bg-BG"/>
        </w:rPr>
      </w:pPr>
      <w:r w:rsidRPr="00E95DA2">
        <w:rPr>
          <w:rFonts w:eastAsia="Times New Roman"/>
          <w:u w:val="single"/>
          <w:lang w:val="bg-BG" w:eastAsia="bg-BG"/>
        </w:rPr>
        <w:lastRenderedPageBreak/>
        <w:t>Разпределение</w:t>
      </w:r>
    </w:p>
    <w:p w14:paraId="57DCF18F" w14:textId="77777777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преминава през </w:t>
      </w:r>
      <w:proofErr w:type="spellStart"/>
      <w:r w:rsidRPr="00E043B1">
        <w:rPr>
          <w:lang w:val="bg-BG" w:eastAsia="bg-BG"/>
        </w:rPr>
        <w:t>плацентарната</w:t>
      </w:r>
      <w:proofErr w:type="spellEnd"/>
      <w:r w:rsidRPr="00E043B1">
        <w:rPr>
          <w:lang w:val="bg-BG" w:eastAsia="bg-BG"/>
        </w:rPr>
        <w:t xml:space="preserve"> бариера.</w:t>
      </w:r>
    </w:p>
    <w:p w14:paraId="49A1C239" w14:textId="77777777" w:rsidR="00E95DA2" w:rsidRDefault="00E95DA2" w:rsidP="00E043B1">
      <w:pPr>
        <w:rPr>
          <w:lang w:val="bg-BG" w:eastAsia="bg-BG"/>
        </w:rPr>
      </w:pPr>
    </w:p>
    <w:p w14:paraId="522BE20D" w14:textId="31E8C386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>Минимални количества се секретират с майчиното мляко.</w:t>
      </w:r>
    </w:p>
    <w:p w14:paraId="788BE429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Около 30% от </w:t>
      </w: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се свързва с плазмените протеини.</w:t>
      </w:r>
    </w:p>
    <w:p w14:paraId="6971B271" w14:textId="77777777" w:rsidR="00E043B1" w:rsidRDefault="00E043B1" w:rsidP="00E043B1">
      <w:pPr>
        <w:rPr>
          <w:lang w:val="bg-BG" w:eastAsia="bg-BG"/>
        </w:rPr>
      </w:pPr>
    </w:p>
    <w:p w14:paraId="29BCF820" w14:textId="21AC48CD" w:rsidR="00E043B1" w:rsidRPr="00E95DA2" w:rsidRDefault="00E043B1" w:rsidP="00E95DA2">
      <w:pPr>
        <w:pStyle w:val="Heading3"/>
        <w:rPr>
          <w:rFonts w:eastAsia="Times New Roman"/>
          <w:u w:val="single"/>
          <w:lang w:val="bg-BG"/>
        </w:rPr>
      </w:pPr>
      <w:r w:rsidRPr="00E95DA2">
        <w:rPr>
          <w:rFonts w:eastAsia="Times New Roman"/>
          <w:u w:val="single"/>
          <w:lang w:val="bg-BG" w:eastAsia="bg-BG"/>
        </w:rPr>
        <w:t>Метаболизъм</w:t>
      </w:r>
    </w:p>
    <w:p w14:paraId="5187A796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Около 15% от приетата доза се </w:t>
      </w:r>
      <w:proofErr w:type="spellStart"/>
      <w:r w:rsidRPr="00E043B1">
        <w:rPr>
          <w:lang w:val="bg-BG" w:eastAsia="bg-BG"/>
        </w:rPr>
        <w:t>метаболизира</w:t>
      </w:r>
      <w:proofErr w:type="spellEnd"/>
      <w:r w:rsidRPr="00E043B1">
        <w:rPr>
          <w:lang w:val="bg-BG" w:eastAsia="bg-BG"/>
        </w:rPr>
        <w:t xml:space="preserve"> в черния дроб, чрез </w:t>
      </w:r>
      <w:proofErr w:type="spellStart"/>
      <w:r w:rsidRPr="00E043B1">
        <w:rPr>
          <w:lang w:val="bg-BG" w:eastAsia="bg-BG"/>
        </w:rPr>
        <w:t>деаминиране</w:t>
      </w:r>
      <w:proofErr w:type="spellEnd"/>
      <w:r w:rsidRPr="00E043B1">
        <w:rPr>
          <w:lang w:val="bg-BG" w:eastAsia="bg-BG"/>
        </w:rPr>
        <w:t>.</w:t>
      </w:r>
    </w:p>
    <w:p w14:paraId="4E3D532A" w14:textId="77777777" w:rsidR="00E043B1" w:rsidRDefault="00E043B1" w:rsidP="00E043B1">
      <w:pPr>
        <w:rPr>
          <w:lang w:val="bg-BG" w:eastAsia="bg-BG"/>
        </w:rPr>
      </w:pPr>
    </w:p>
    <w:p w14:paraId="5C34F5AA" w14:textId="4EB9F01C" w:rsidR="00E043B1" w:rsidRPr="00E95DA2" w:rsidRDefault="00E043B1" w:rsidP="00E95DA2">
      <w:pPr>
        <w:pStyle w:val="Heading3"/>
        <w:rPr>
          <w:rFonts w:eastAsia="Times New Roman"/>
          <w:u w:val="single"/>
          <w:lang w:val="bg-BG"/>
        </w:rPr>
      </w:pPr>
      <w:r w:rsidRPr="00E95DA2">
        <w:rPr>
          <w:rFonts w:eastAsia="Times New Roman"/>
          <w:u w:val="single"/>
          <w:lang w:val="bg-BG" w:eastAsia="bg-BG"/>
        </w:rPr>
        <w:t>Екскреция</w:t>
      </w:r>
    </w:p>
    <w:p w14:paraId="76C1623B" w14:textId="77777777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>Времето на полу-елиминиране е 2.5 до 4 часа.</w:t>
      </w:r>
    </w:p>
    <w:p w14:paraId="73E26BB7" w14:textId="77777777" w:rsidR="00E043B1" w:rsidRPr="00E043B1" w:rsidRDefault="00E043B1" w:rsidP="00E043B1">
      <w:pPr>
        <w:rPr>
          <w:sz w:val="24"/>
          <w:szCs w:val="24"/>
          <w:lang w:val="bg-BG"/>
        </w:rPr>
      </w:pPr>
      <w:proofErr w:type="spellStart"/>
      <w:r w:rsidRPr="00E043B1">
        <w:rPr>
          <w:lang w:val="bg-BG" w:eastAsia="bg-BG"/>
        </w:rPr>
        <w:t>Баклофен</w:t>
      </w:r>
      <w:proofErr w:type="spellEnd"/>
      <w:r w:rsidRPr="00E043B1">
        <w:rPr>
          <w:lang w:val="bg-BG" w:eastAsia="bg-BG"/>
        </w:rPr>
        <w:t xml:space="preserve"> се </w:t>
      </w:r>
      <w:proofErr w:type="spellStart"/>
      <w:r w:rsidRPr="00E043B1">
        <w:rPr>
          <w:lang w:val="bg-BG" w:eastAsia="bg-BG"/>
        </w:rPr>
        <w:t>екскретира</w:t>
      </w:r>
      <w:proofErr w:type="spellEnd"/>
      <w:r w:rsidRPr="00E043B1">
        <w:rPr>
          <w:lang w:val="bg-BG" w:eastAsia="bg-BG"/>
        </w:rPr>
        <w:t xml:space="preserve"> в 70-80% с урината в непроменен вид или под форма на метаболити.</w:t>
      </w:r>
    </w:p>
    <w:p w14:paraId="321B0756" w14:textId="77777777" w:rsidR="00E95DA2" w:rsidRDefault="00E95DA2" w:rsidP="00E043B1">
      <w:pPr>
        <w:rPr>
          <w:lang w:val="bg-BG" w:eastAsia="bg-BG"/>
        </w:rPr>
      </w:pPr>
    </w:p>
    <w:p w14:paraId="504B361A" w14:textId="4AA1893F" w:rsidR="00E043B1" w:rsidRPr="00E043B1" w:rsidRDefault="00E043B1" w:rsidP="00E043B1">
      <w:pPr>
        <w:rPr>
          <w:sz w:val="24"/>
          <w:szCs w:val="24"/>
          <w:lang w:val="bg-BG"/>
        </w:rPr>
      </w:pPr>
      <w:r w:rsidRPr="00E043B1">
        <w:rPr>
          <w:lang w:val="bg-BG" w:eastAsia="bg-BG"/>
        </w:rPr>
        <w:t xml:space="preserve">Останалата част се </w:t>
      </w:r>
      <w:proofErr w:type="spellStart"/>
      <w:r w:rsidRPr="00E043B1">
        <w:rPr>
          <w:lang w:val="bg-BG" w:eastAsia="bg-BG"/>
        </w:rPr>
        <w:t>екскретира</w:t>
      </w:r>
      <w:proofErr w:type="spellEnd"/>
      <w:r w:rsidRPr="00E043B1">
        <w:rPr>
          <w:lang w:val="bg-BG" w:eastAsia="bg-BG"/>
        </w:rPr>
        <w:t xml:space="preserve"> с фекалиите.</w:t>
      </w:r>
    </w:p>
    <w:p w14:paraId="0CEB4B2A" w14:textId="5DA4D6AD" w:rsidR="00E043B1" w:rsidRDefault="00E043B1" w:rsidP="00E043B1">
      <w:pPr>
        <w:rPr>
          <w:lang w:val="bg-BG" w:eastAsia="bg-BG"/>
        </w:rPr>
      </w:pPr>
      <w:r w:rsidRPr="00E043B1">
        <w:rPr>
          <w:lang w:val="bg-BG" w:eastAsia="bg-BG"/>
        </w:rPr>
        <w:t xml:space="preserve">След перорално приложение, лекарството почти напълно се </w:t>
      </w:r>
      <w:proofErr w:type="spellStart"/>
      <w:r w:rsidRPr="00E043B1">
        <w:rPr>
          <w:lang w:val="bg-BG" w:eastAsia="bg-BG"/>
        </w:rPr>
        <w:t>екскретира</w:t>
      </w:r>
      <w:proofErr w:type="spellEnd"/>
      <w:r w:rsidRPr="00E043B1">
        <w:rPr>
          <w:lang w:val="bg-BG" w:eastAsia="bg-BG"/>
        </w:rPr>
        <w:t xml:space="preserve"> в рамките на 72 часа.</w:t>
      </w:r>
    </w:p>
    <w:p w14:paraId="17CCA01D" w14:textId="77777777" w:rsidR="00E95DA2" w:rsidRPr="00E043B1" w:rsidRDefault="00E95DA2" w:rsidP="00E043B1"/>
    <w:p w14:paraId="134A69A8" w14:textId="20273647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6E3C16CB" w14:textId="77777777" w:rsidR="00E95DA2" w:rsidRDefault="00E95DA2" w:rsidP="00E95DA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val="bg-BG" w:eastAsia="bg-BG"/>
        </w:rPr>
      </w:pPr>
    </w:p>
    <w:p w14:paraId="2831F079" w14:textId="7147E57E" w:rsidR="00E95DA2" w:rsidRPr="00E95DA2" w:rsidRDefault="00E95DA2" w:rsidP="00E95DA2">
      <w:pPr>
        <w:rPr>
          <w:b/>
          <w:bCs/>
          <w:sz w:val="24"/>
          <w:szCs w:val="24"/>
          <w:lang w:val="bg-BG"/>
        </w:rPr>
      </w:pPr>
      <w:r w:rsidRPr="00E95DA2">
        <w:rPr>
          <w:b/>
          <w:bCs/>
          <w:lang w:val="bg-BG" w:eastAsia="bg-BG"/>
        </w:rPr>
        <w:t>Остра токсичност</w:t>
      </w:r>
    </w:p>
    <w:p w14:paraId="1EE313BF" w14:textId="77777777" w:rsidR="00E95DA2" w:rsidRPr="00E95DA2" w:rsidRDefault="00E95DA2" w:rsidP="00E95DA2">
      <w:pPr>
        <w:rPr>
          <w:sz w:val="24"/>
          <w:szCs w:val="24"/>
          <w:lang w:val="bg-BG"/>
        </w:rPr>
      </w:pPr>
      <w:r w:rsidRPr="00E95DA2">
        <w:rPr>
          <w:lang w:val="bg-BG" w:eastAsia="bg-BG"/>
        </w:rPr>
        <w:t xml:space="preserve">Изследвания за остра (пер орална) токсичност са провеждани върху мишки и плъхове (женски). </w:t>
      </w:r>
      <w:proofErr w:type="spellStart"/>
      <w:r w:rsidRPr="00E95DA2">
        <w:rPr>
          <w:lang w:val="bg-BG" w:eastAsia="bg-BG"/>
        </w:rPr>
        <w:t>Баклофен</w:t>
      </w:r>
      <w:proofErr w:type="spellEnd"/>
      <w:r w:rsidRPr="00E95DA2">
        <w:rPr>
          <w:lang w:val="bg-BG" w:eastAsia="bg-BG"/>
        </w:rPr>
        <w:t xml:space="preserve"> причинява </w:t>
      </w:r>
      <w:proofErr w:type="spellStart"/>
      <w:r w:rsidRPr="00E95DA2">
        <w:rPr>
          <w:lang w:val="bg-BG" w:eastAsia="bg-BG"/>
        </w:rPr>
        <w:t>миелорелаксация</w:t>
      </w:r>
      <w:proofErr w:type="spellEnd"/>
      <w:r w:rsidRPr="00E95DA2">
        <w:rPr>
          <w:lang w:val="bg-BG" w:eastAsia="bg-BG"/>
        </w:rPr>
        <w:t xml:space="preserve"> и изчезването на реактивността към външни стимули. Смъртта при животните настъпва в рамките на 2-3 часа след приложението. </w:t>
      </w:r>
      <w:r w:rsidRPr="00E95DA2">
        <w:t xml:space="preserve">LD50 </w:t>
      </w:r>
      <w:r w:rsidRPr="00E95DA2">
        <w:rPr>
          <w:lang w:val="bg-BG" w:eastAsia="bg-BG"/>
        </w:rPr>
        <w:t xml:space="preserve">при перорално приложение на </w:t>
      </w:r>
      <w:proofErr w:type="spellStart"/>
      <w:r w:rsidRPr="00E95DA2">
        <w:rPr>
          <w:lang w:val="bg-BG" w:eastAsia="bg-BG"/>
        </w:rPr>
        <w:t>баклофен</w:t>
      </w:r>
      <w:proofErr w:type="spellEnd"/>
      <w:r w:rsidRPr="00E95DA2">
        <w:rPr>
          <w:lang w:val="bg-BG" w:eastAsia="bg-BG"/>
        </w:rPr>
        <w:t xml:space="preserve"> е 251 </w:t>
      </w:r>
      <w:r w:rsidRPr="00E95DA2">
        <w:t xml:space="preserve">mg/kg </w:t>
      </w:r>
      <w:r w:rsidRPr="00E95DA2">
        <w:rPr>
          <w:lang w:val="bg-BG" w:eastAsia="bg-BG"/>
        </w:rPr>
        <w:t xml:space="preserve">за женски плъхове и 130 </w:t>
      </w:r>
      <w:r w:rsidRPr="00E95DA2">
        <w:t xml:space="preserve">mg/kg </w:t>
      </w:r>
      <w:r w:rsidRPr="00E95DA2">
        <w:rPr>
          <w:lang w:val="bg-BG" w:eastAsia="bg-BG"/>
        </w:rPr>
        <w:t>за женски мишки.</w:t>
      </w:r>
    </w:p>
    <w:p w14:paraId="1B5A0F0C" w14:textId="08794C4C" w:rsidR="00E95DA2" w:rsidRDefault="00E95DA2" w:rsidP="00E95DA2"/>
    <w:p w14:paraId="4F6C035F" w14:textId="77777777" w:rsidR="00E95DA2" w:rsidRPr="00E95DA2" w:rsidRDefault="00E95DA2" w:rsidP="00E95DA2">
      <w:pPr>
        <w:rPr>
          <w:b/>
          <w:bCs/>
          <w:sz w:val="24"/>
          <w:szCs w:val="24"/>
          <w:lang w:val="bg-BG"/>
        </w:rPr>
      </w:pPr>
      <w:r w:rsidRPr="00E95DA2">
        <w:rPr>
          <w:b/>
          <w:bCs/>
          <w:lang w:val="bg-BG" w:eastAsia="bg-BG"/>
        </w:rPr>
        <w:t>Подостри токсичност</w:t>
      </w:r>
    </w:p>
    <w:p w14:paraId="7DCA4300" w14:textId="77777777" w:rsidR="00E95DA2" w:rsidRPr="00E95DA2" w:rsidRDefault="00E95DA2" w:rsidP="00E95DA2">
      <w:pPr>
        <w:rPr>
          <w:sz w:val="24"/>
          <w:szCs w:val="24"/>
          <w:lang w:val="bg-BG"/>
        </w:rPr>
      </w:pPr>
      <w:proofErr w:type="spellStart"/>
      <w:r w:rsidRPr="00E95DA2">
        <w:rPr>
          <w:lang w:val="bg-BG" w:eastAsia="bg-BG"/>
        </w:rPr>
        <w:t>Баклофен</w:t>
      </w:r>
      <w:proofErr w:type="spellEnd"/>
      <w:r w:rsidRPr="00E95DA2">
        <w:rPr>
          <w:lang w:val="bg-BG" w:eastAsia="bg-BG"/>
        </w:rPr>
        <w:t xml:space="preserve"> приложен перорално на плъхове в доза 12.5 </w:t>
      </w:r>
      <w:r w:rsidRPr="00E95DA2">
        <w:t xml:space="preserve">mg/kg </w:t>
      </w:r>
      <w:r w:rsidRPr="00E95DA2">
        <w:rPr>
          <w:lang w:val="bg-BG" w:eastAsia="bg-BG"/>
        </w:rPr>
        <w:t xml:space="preserve">и 25.1 </w:t>
      </w:r>
      <w:r w:rsidRPr="00E95DA2">
        <w:t xml:space="preserve">mg/kg </w:t>
      </w:r>
      <w:proofErr w:type="spellStart"/>
      <w:r w:rsidRPr="00E95DA2">
        <w:rPr>
          <w:lang w:val="bg-BG" w:eastAsia="bg-BG"/>
        </w:rPr>
        <w:t>т.т</w:t>
      </w:r>
      <w:proofErr w:type="spellEnd"/>
      <w:r w:rsidRPr="00E95DA2">
        <w:rPr>
          <w:lang w:val="bg-BG" w:eastAsia="bg-BG"/>
        </w:rPr>
        <w:t>. за 6 седмици, предизвиква намаляване на телесното тегло и намаляване теглото на вътрешните органи (черен дроб и бъбреци).</w:t>
      </w:r>
    </w:p>
    <w:p w14:paraId="537961FE" w14:textId="77777777" w:rsidR="00E95DA2" w:rsidRPr="00E95DA2" w:rsidRDefault="00E95DA2" w:rsidP="00E95DA2">
      <w:pPr>
        <w:rPr>
          <w:sz w:val="24"/>
          <w:szCs w:val="24"/>
          <w:lang w:val="bg-BG"/>
        </w:rPr>
      </w:pPr>
      <w:r w:rsidRPr="00E95DA2">
        <w:rPr>
          <w:lang w:val="bg-BG" w:eastAsia="bg-BG"/>
        </w:rPr>
        <w:t>При хистологично изследване не са наблюдавани патологични промени в черния дроб, сърцето, бъбреците и белите дробове на плъховете.</w:t>
      </w:r>
    </w:p>
    <w:p w14:paraId="3070C525" w14:textId="72B12503" w:rsidR="00E95DA2" w:rsidRDefault="00E95DA2" w:rsidP="00E95DA2"/>
    <w:p w14:paraId="10E5D8D5" w14:textId="7E13F52F" w:rsidR="00E95DA2" w:rsidRPr="00E95DA2" w:rsidRDefault="00E95DA2" w:rsidP="00E95DA2">
      <w:proofErr w:type="spellStart"/>
      <w:r>
        <w:t>Баклофен</w:t>
      </w:r>
      <w:proofErr w:type="spellEnd"/>
      <w:r>
        <w:t xml:space="preserve"> </w:t>
      </w:r>
      <w:proofErr w:type="spellStart"/>
      <w:r>
        <w:t>приложен</w:t>
      </w:r>
      <w:proofErr w:type="spellEnd"/>
      <w:r>
        <w:t xml:space="preserve"> </w:t>
      </w:r>
      <w:proofErr w:type="spellStart"/>
      <w:r>
        <w:t>перорално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мишки</w:t>
      </w:r>
      <w:proofErr w:type="spellEnd"/>
      <w:r>
        <w:t xml:space="preserve"> в </w:t>
      </w:r>
      <w:proofErr w:type="spellStart"/>
      <w:r>
        <w:t>доза</w:t>
      </w:r>
      <w:proofErr w:type="spellEnd"/>
      <w:r>
        <w:t xml:space="preserve"> 6.5 mg/kg и 13 mg/kg </w:t>
      </w:r>
      <w:proofErr w:type="spellStart"/>
      <w:r>
        <w:t>т.т</w:t>
      </w:r>
      <w:proofErr w:type="spellEnd"/>
      <w:r>
        <w:t xml:space="preserve">. </w:t>
      </w:r>
      <w:proofErr w:type="spellStart"/>
      <w:r>
        <w:t>намалява</w:t>
      </w:r>
      <w:proofErr w:type="spellEnd"/>
      <w:r>
        <w:t xml:space="preserve"> </w:t>
      </w:r>
      <w:proofErr w:type="spellStart"/>
      <w:r>
        <w:t>моторната</w:t>
      </w:r>
      <w:proofErr w:type="spellEnd"/>
      <w:r>
        <w:t xml:space="preserve"> </w:t>
      </w:r>
      <w:proofErr w:type="spellStart"/>
      <w:r>
        <w:t>координация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>.</w:t>
      </w:r>
    </w:p>
    <w:p w14:paraId="28C40F19" w14:textId="5EB1F7BF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69BEE4C8" w14:textId="77777777" w:rsidR="00E95DA2" w:rsidRPr="00E95DA2" w:rsidRDefault="00E95DA2" w:rsidP="00E95DA2">
      <w:pPr>
        <w:rPr>
          <w:sz w:val="24"/>
          <w:szCs w:val="24"/>
        </w:rPr>
      </w:pPr>
      <w:r w:rsidRPr="00E95DA2">
        <w:t>Pharmaceutical Works POLPHARMA SA</w:t>
      </w:r>
    </w:p>
    <w:p w14:paraId="5B5BC344" w14:textId="77777777" w:rsidR="00E95DA2" w:rsidRPr="00E95DA2" w:rsidRDefault="00E95DA2" w:rsidP="00E95DA2">
      <w:pPr>
        <w:rPr>
          <w:sz w:val="24"/>
          <w:szCs w:val="24"/>
        </w:rPr>
      </w:pPr>
      <w:r w:rsidRPr="00E95DA2">
        <w:t xml:space="preserve">19 </w:t>
      </w:r>
      <w:proofErr w:type="spellStart"/>
      <w:r w:rsidRPr="00E95DA2">
        <w:t>Pelplinska</w:t>
      </w:r>
      <w:proofErr w:type="spellEnd"/>
      <w:r w:rsidRPr="00E95DA2">
        <w:t xml:space="preserve"> Street, 83-200 </w:t>
      </w:r>
      <w:proofErr w:type="spellStart"/>
      <w:r w:rsidRPr="00E95DA2">
        <w:t>Starograd</w:t>
      </w:r>
      <w:proofErr w:type="spellEnd"/>
      <w:r w:rsidRPr="00E95DA2">
        <w:t xml:space="preserve"> </w:t>
      </w:r>
      <w:proofErr w:type="spellStart"/>
      <w:r w:rsidRPr="00E95DA2">
        <w:t>Gdanski</w:t>
      </w:r>
      <w:proofErr w:type="spellEnd"/>
      <w:r w:rsidRPr="00E95DA2">
        <w:t>, Poland</w:t>
      </w:r>
    </w:p>
    <w:p w14:paraId="6C7A34F9" w14:textId="77777777" w:rsidR="00E95DA2" w:rsidRPr="00E95DA2" w:rsidRDefault="00E95DA2" w:rsidP="00E95DA2"/>
    <w:p w14:paraId="04840D59" w14:textId="77777777" w:rsidR="002C50EE" w:rsidRDefault="002C50EE" w:rsidP="002C50EE">
      <w:pPr>
        <w:pStyle w:val="Heading1"/>
      </w:pPr>
      <w:r>
        <w:lastRenderedPageBreak/>
        <w:t>8. НОМЕР НА РАЗРЕШЕНИЕТО ЗА УПОТРЕБА</w:t>
      </w:r>
    </w:p>
    <w:p w14:paraId="5900CBF3" w14:textId="6A5EF62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5F6627B" w14:textId="1E136BD6" w:rsidR="00E95DA2" w:rsidRPr="00E95DA2" w:rsidRDefault="00E95DA2" w:rsidP="00E95DA2">
      <w:pPr>
        <w:rPr>
          <w:lang w:val="bg-BG" w:eastAsia="bg-BG"/>
        </w:rPr>
      </w:pPr>
      <w:r>
        <w:rPr>
          <w:lang w:val="bg-BG" w:eastAsia="bg-BG"/>
        </w:rPr>
        <w:t>21 Ю</w:t>
      </w:r>
      <w:r w:rsidRPr="00E95DA2">
        <w:rPr>
          <w:lang w:val="bg-BG" w:eastAsia="bg-BG"/>
        </w:rPr>
        <w:t>ли .1999 год.</w:t>
      </w:r>
    </w:p>
    <w:p w14:paraId="423F4C2A" w14:textId="42AFBA44" w:rsidR="00C87E90" w:rsidRDefault="002C50EE" w:rsidP="00E95DA2">
      <w:pPr>
        <w:pStyle w:val="Heading1"/>
      </w:pPr>
      <w:r>
        <w:t>10. ДАТА НА АКТУАЛИЗИРАНЕ НА ТЕКСТА</w:t>
      </w:r>
      <w:bookmarkEnd w:id="0"/>
    </w:p>
    <w:p w14:paraId="300F52CE" w14:textId="6A1CA4F7" w:rsidR="00E95DA2" w:rsidRPr="00E95DA2" w:rsidRDefault="00E95DA2" w:rsidP="00E95DA2">
      <w:pPr>
        <w:rPr>
          <w:lang w:val="bg-BG"/>
        </w:rPr>
      </w:pPr>
      <w:r>
        <w:rPr>
          <w:lang w:val="bg-BG"/>
        </w:rPr>
        <w:t>Май. 2005 год.</w:t>
      </w:r>
    </w:p>
    <w:sectPr w:rsidR="00E95DA2" w:rsidRPr="00E9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9104F9"/>
    <w:multiLevelType w:val="hybridMultilevel"/>
    <w:tmpl w:val="D47E61A6"/>
    <w:lvl w:ilvl="0" w:tplc="7B2253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48F"/>
    <w:multiLevelType w:val="hybridMultilevel"/>
    <w:tmpl w:val="468CB84C"/>
    <w:lvl w:ilvl="0" w:tplc="7B2253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0E1"/>
    <w:multiLevelType w:val="hybridMultilevel"/>
    <w:tmpl w:val="CBD4221C"/>
    <w:lvl w:ilvl="0" w:tplc="326A85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120A3E"/>
    <w:multiLevelType w:val="hybridMultilevel"/>
    <w:tmpl w:val="98BE3620"/>
    <w:lvl w:ilvl="0" w:tplc="7B2253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35A0"/>
    <w:multiLevelType w:val="hybridMultilevel"/>
    <w:tmpl w:val="0F3CE398"/>
    <w:lvl w:ilvl="0" w:tplc="7B2253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5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D1B23"/>
    <w:rsid w:val="002C50EE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75EFF"/>
    <w:rsid w:val="00AC63CE"/>
    <w:rsid w:val="00AE2107"/>
    <w:rsid w:val="00B275A8"/>
    <w:rsid w:val="00BF2600"/>
    <w:rsid w:val="00C33464"/>
    <w:rsid w:val="00C83063"/>
    <w:rsid w:val="00C87E90"/>
    <w:rsid w:val="00E043B1"/>
    <w:rsid w:val="00E95DA2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chartTrackingRefBased/>
  <w15:docId w15:val="{E80DFEFD-57C5-41B2-9D83-CC42092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2021-05-18T16:12:00Z</dcterms:created>
  <dcterms:modified xsi:type="dcterms:W3CDTF">2021-05-18T16:12:00Z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