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B476C1E" w:rsidR="00AA23EC" w:rsidRDefault="00DD466D" w:rsidP="00DD466D">
      <w:pPr>
        <w:pStyle w:val="Heading1"/>
      </w:pPr>
      <w:r>
        <w:t>1.ИМЕ НА ЛЕКАРСТВЕНИЯ ПРОДУКТ</w:t>
      </w:r>
    </w:p>
    <w:p w14:paraId="3F6C2484" w14:textId="77777777" w:rsidR="00EA77A8" w:rsidRPr="00EA77A8" w:rsidRDefault="00EA77A8" w:rsidP="00EA77A8">
      <w:pPr>
        <w:rPr>
          <w:sz w:val="24"/>
          <w:szCs w:val="24"/>
          <w:lang w:val="en-US"/>
        </w:rPr>
      </w:pPr>
      <w:r w:rsidRPr="00EA77A8">
        <w:rPr>
          <w:lang w:eastAsia="bg-BG"/>
        </w:rPr>
        <w:t xml:space="preserve">БЕНДАФОЛИН10 </w:t>
      </w:r>
      <w:r w:rsidRPr="00EA77A8">
        <w:rPr>
          <w:lang w:val="en-US"/>
        </w:rPr>
        <w:t xml:space="preserve">mg/ml </w:t>
      </w:r>
      <w:r w:rsidRPr="00EA77A8">
        <w:rPr>
          <w:lang w:eastAsia="bg-BG"/>
        </w:rPr>
        <w:t>инжекционен разтвор</w:t>
      </w:r>
    </w:p>
    <w:p w14:paraId="2E0B9AF5" w14:textId="32C1C2FB" w:rsidR="00EA77A8" w:rsidRPr="00EA77A8" w:rsidRDefault="00EA77A8" w:rsidP="00EA77A8">
      <w:r w:rsidRPr="00EA77A8">
        <w:rPr>
          <w:lang w:val="en-US"/>
        </w:rPr>
        <w:t xml:space="preserve">BENDAFOLIN </w:t>
      </w:r>
      <w:r w:rsidRPr="00EA77A8">
        <w:rPr>
          <w:lang w:eastAsia="bg-BG"/>
        </w:rPr>
        <w:t xml:space="preserve">10 </w:t>
      </w:r>
      <w:r w:rsidRPr="00EA77A8">
        <w:rPr>
          <w:lang w:val="en-US"/>
        </w:rPr>
        <w:t>mg/ml solution for injection</w:t>
      </w:r>
    </w:p>
    <w:p w14:paraId="4D88B710" w14:textId="48C48440" w:rsidR="00D86297" w:rsidRDefault="00DD466D" w:rsidP="00AA23EC">
      <w:pPr>
        <w:pStyle w:val="Heading1"/>
      </w:pPr>
      <w:r>
        <w:t>2. КАЧЕСТВЕН И КОЛИЧЕСТВЕН СЪСТАВ</w:t>
      </w:r>
    </w:p>
    <w:p w14:paraId="2DE970AF" w14:textId="559E4D8E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Всеки флакон от 50 </w:t>
      </w:r>
      <w:r w:rsidRPr="00EA77A8">
        <w:rPr>
          <w:lang w:val="en-US"/>
        </w:rPr>
        <w:t xml:space="preserve">ml </w:t>
      </w:r>
      <w:r w:rsidRPr="00EA77A8">
        <w:rPr>
          <w:lang w:eastAsia="bg-BG"/>
        </w:rPr>
        <w:t xml:space="preserve">разтвор съдържа 10 </w:t>
      </w:r>
      <w:r w:rsidRPr="00EA77A8">
        <w:rPr>
          <w:lang w:val="en-US"/>
        </w:rPr>
        <w:t xml:space="preserve">mg/ml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 </w:t>
      </w:r>
      <w:r w:rsidRPr="00EA77A8">
        <w:rPr>
          <w:lang w:val="en-US"/>
        </w:rPr>
        <w:t>(</w:t>
      </w:r>
      <w:proofErr w:type="spellStart"/>
      <w:r w:rsidRPr="00EA77A8">
        <w:rPr>
          <w:lang w:val="en-US"/>
        </w:rPr>
        <w:t>folinic</w:t>
      </w:r>
      <w:proofErr w:type="spellEnd"/>
      <w:r w:rsidRPr="00EA77A8">
        <w:rPr>
          <w:lang w:val="en-US"/>
        </w:rPr>
        <w:t xml:space="preserve"> acid) </w:t>
      </w:r>
      <w:r w:rsidRPr="00EA77A8">
        <w:rPr>
          <w:lang w:eastAsia="bg-BG"/>
        </w:rPr>
        <w:t xml:space="preserve">под формата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</w:t>
      </w:r>
      <w:r w:rsidRPr="00EA77A8">
        <w:rPr>
          <w:lang w:val="en-US"/>
        </w:rPr>
        <w:t xml:space="preserve">(calcium folinate), </w:t>
      </w:r>
      <w:r w:rsidRPr="00EA77A8">
        <w:rPr>
          <w:lang w:eastAsia="bg-BG"/>
        </w:rPr>
        <w:t xml:space="preserve">т.е. </w:t>
      </w:r>
      <w:r w:rsidRPr="00EA77A8">
        <w:rPr>
          <w:lang w:val="en-US"/>
        </w:rPr>
        <w:t xml:space="preserve">50 ml </w:t>
      </w:r>
      <w:r w:rsidRPr="00EA77A8">
        <w:rPr>
          <w:lang w:eastAsia="bg-BG"/>
        </w:rPr>
        <w:t xml:space="preserve">инжекционен разтвор съдържа 540 </w:t>
      </w:r>
      <w:r w:rsidRPr="00EA77A8">
        <w:rPr>
          <w:lang w:val="en-US"/>
        </w:rPr>
        <w:t xml:space="preserve">mg </w:t>
      </w: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, еквивалентен на 500 </w:t>
      </w:r>
      <w:r w:rsidRPr="00EA77A8">
        <w:rPr>
          <w:lang w:val="en-US"/>
        </w:rPr>
        <w:t xml:space="preserve">mg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киселина.</w:t>
      </w:r>
    </w:p>
    <w:p w14:paraId="4B5D4EA1" w14:textId="77777777" w:rsidR="00EA77A8" w:rsidRDefault="00EA77A8" w:rsidP="00EA77A8">
      <w:pPr>
        <w:rPr>
          <w:lang w:eastAsia="bg-BG"/>
        </w:rPr>
      </w:pPr>
    </w:p>
    <w:p w14:paraId="6F94C3C9" w14:textId="3927EA89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Всеки флакон от 100 </w:t>
      </w:r>
      <w:r w:rsidRPr="00EA77A8">
        <w:rPr>
          <w:lang w:val="en-US"/>
        </w:rPr>
        <w:t xml:space="preserve">ml </w:t>
      </w:r>
      <w:r w:rsidRPr="00EA77A8">
        <w:rPr>
          <w:lang w:eastAsia="bg-BG"/>
        </w:rPr>
        <w:t xml:space="preserve">разтвор съдържа 10 </w:t>
      </w:r>
      <w:r w:rsidRPr="00EA77A8">
        <w:rPr>
          <w:lang w:val="en-US"/>
        </w:rPr>
        <w:t xml:space="preserve">mg/ml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 </w:t>
      </w:r>
      <w:r w:rsidRPr="00EA77A8">
        <w:rPr>
          <w:lang w:val="en-US"/>
        </w:rPr>
        <w:t>(</w:t>
      </w:r>
      <w:proofErr w:type="spellStart"/>
      <w:r w:rsidRPr="00EA77A8">
        <w:rPr>
          <w:lang w:val="en-US"/>
        </w:rPr>
        <w:t>folinic</w:t>
      </w:r>
      <w:proofErr w:type="spellEnd"/>
      <w:r w:rsidRPr="00EA77A8">
        <w:rPr>
          <w:lang w:val="en-US"/>
        </w:rPr>
        <w:t xml:space="preserve"> acid) </w:t>
      </w:r>
      <w:r w:rsidRPr="00EA77A8">
        <w:rPr>
          <w:lang w:eastAsia="bg-BG"/>
        </w:rPr>
        <w:t xml:space="preserve">под формата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</w:t>
      </w:r>
      <w:r w:rsidRPr="00EA77A8">
        <w:rPr>
          <w:lang w:val="en-US"/>
        </w:rPr>
        <w:t xml:space="preserve">(calcium folinate), </w:t>
      </w:r>
      <w:r w:rsidRPr="00EA77A8">
        <w:rPr>
          <w:lang w:eastAsia="bg-BG"/>
        </w:rPr>
        <w:t xml:space="preserve">т.е. 100 </w:t>
      </w:r>
      <w:r w:rsidRPr="00EA77A8">
        <w:rPr>
          <w:lang w:val="en-US"/>
        </w:rPr>
        <w:t xml:space="preserve">ml </w:t>
      </w:r>
      <w:r w:rsidRPr="00EA77A8">
        <w:rPr>
          <w:lang w:eastAsia="bg-BG"/>
        </w:rPr>
        <w:t xml:space="preserve">инжекционен разтвор съдържа 1080 </w:t>
      </w:r>
      <w:r w:rsidRPr="00EA77A8">
        <w:rPr>
          <w:lang w:val="en-US"/>
        </w:rPr>
        <w:t xml:space="preserve">mg </w:t>
      </w: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, еквивалентен на 1000 </w:t>
      </w:r>
      <w:r w:rsidRPr="00EA77A8">
        <w:rPr>
          <w:lang w:val="en-US"/>
        </w:rPr>
        <w:t xml:space="preserve">mg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киселина.</w:t>
      </w:r>
    </w:p>
    <w:p w14:paraId="3612775F" w14:textId="77777777" w:rsidR="00EA77A8" w:rsidRPr="00EA77A8" w:rsidRDefault="00EA77A8" w:rsidP="00EA77A8"/>
    <w:p w14:paraId="5E332777" w14:textId="12EE54E0" w:rsidR="005A66D9" w:rsidRDefault="00DD466D" w:rsidP="00CA1B57">
      <w:pPr>
        <w:pStyle w:val="Heading1"/>
      </w:pPr>
      <w:r>
        <w:t>3. ЛЕКАРСТВЕНА ФОРМА</w:t>
      </w:r>
    </w:p>
    <w:p w14:paraId="3515A1C5" w14:textId="77777777" w:rsidR="00EA77A8" w:rsidRDefault="00EA77A8" w:rsidP="00EA77A8">
      <w:r>
        <w:t xml:space="preserve">Инжекционен разтвор </w:t>
      </w:r>
    </w:p>
    <w:p w14:paraId="5C3AD5BD" w14:textId="1DD5FB47" w:rsidR="00EA77A8" w:rsidRPr="00EA77A8" w:rsidRDefault="00EA77A8" w:rsidP="00EA77A8">
      <w:r>
        <w:t>Бистър, жълтеникав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19EBC747" w:rsidR="00FD69E8" w:rsidRDefault="002C50EE" w:rsidP="00AA23EC">
      <w:pPr>
        <w:pStyle w:val="Heading2"/>
      </w:pPr>
      <w:r>
        <w:t>4.1. Терапевтични показания</w:t>
      </w:r>
    </w:p>
    <w:p w14:paraId="4944ACC6" w14:textId="77777777" w:rsidR="00EA77A8" w:rsidRDefault="00EA77A8" w:rsidP="00EA77A8">
      <w:pPr>
        <w:rPr>
          <w:lang w:eastAsia="bg-BG"/>
        </w:rPr>
      </w:pPr>
    </w:p>
    <w:p w14:paraId="2BD6F560" w14:textId="28F7E624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е показан за:</w:t>
      </w:r>
    </w:p>
    <w:p w14:paraId="56787D4A" w14:textId="77777777" w:rsidR="00EA77A8" w:rsidRDefault="00EA77A8" w:rsidP="00EA77A8">
      <w:pPr>
        <w:rPr>
          <w:lang w:eastAsia="bg-BG"/>
        </w:rPr>
      </w:pPr>
    </w:p>
    <w:p w14:paraId="70903A1D" w14:textId="6AA4FC85" w:rsidR="00EA77A8" w:rsidRPr="00EA77A8" w:rsidRDefault="00EA77A8" w:rsidP="00EA77A8">
      <w:pPr>
        <w:pStyle w:val="ListParagraph"/>
        <w:numPr>
          <w:ilvl w:val="0"/>
          <w:numId w:val="24"/>
        </w:numPr>
        <w:rPr>
          <w:lang w:eastAsia="bg-BG"/>
        </w:rPr>
      </w:pPr>
      <w:r w:rsidRPr="00EA77A8">
        <w:rPr>
          <w:lang w:eastAsia="bg-BG"/>
        </w:rPr>
        <w:t xml:space="preserve">за намаляване на токсичността или противодействие на антагонисти на фолиевата киселина като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при терапия с </w:t>
      </w:r>
      <w:proofErr w:type="spellStart"/>
      <w:r w:rsidRPr="00EA77A8">
        <w:rPr>
          <w:lang w:eastAsia="bg-BG"/>
        </w:rPr>
        <w:t>цитостатици</w:t>
      </w:r>
      <w:proofErr w:type="spellEnd"/>
      <w:r w:rsidRPr="00EA77A8">
        <w:rPr>
          <w:lang w:eastAsia="bg-BG"/>
        </w:rPr>
        <w:t xml:space="preserve"> или в случай на предозиране при възрастни и деца. В </w:t>
      </w:r>
      <w:proofErr w:type="spellStart"/>
      <w:r w:rsidRPr="00EA77A8">
        <w:rPr>
          <w:lang w:eastAsia="bg-BG"/>
        </w:rPr>
        <w:t>цитотоксичната</w:t>
      </w:r>
      <w:proofErr w:type="spellEnd"/>
      <w:r w:rsidRPr="00EA77A8">
        <w:rPr>
          <w:lang w:eastAsia="bg-BG"/>
        </w:rPr>
        <w:t xml:space="preserve"> терапия тази процедура обикновено е позната като "спасяване с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>”.</w:t>
      </w:r>
    </w:p>
    <w:p w14:paraId="32EAD5DB" w14:textId="77777777" w:rsidR="00EA77A8" w:rsidRDefault="00EA77A8" w:rsidP="00EA77A8">
      <w:pPr>
        <w:rPr>
          <w:lang w:eastAsia="bg-BG"/>
        </w:rPr>
      </w:pPr>
    </w:p>
    <w:p w14:paraId="58B4A3E7" w14:textId="77777777" w:rsidR="00EA77A8" w:rsidRDefault="00EA77A8" w:rsidP="00EA77A8">
      <w:pPr>
        <w:pStyle w:val="ListParagraph"/>
        <w:numPr>
          <w:ilvl w:val="0"/>
          <w:numId w:val="24"/>
        </w:numPr>
        <w:rPr>
          <w:lang w:eastAsia="bg-BG"/>
        </w:rPr>
      </w:pPr>
      <w:r w:rsidRPr="00EA77A8">
        <w:rPr>
          <w:lang w:eastAsia="bg-BG"/>
        </w:rPr>
        <w:t xml:space="preserve">в комбинация с 5-флуороурацил в </w:t>
      </w:r>
      <w:proofErr w:type="spellStart"/>
      <w:r w:rsidRPr="00EA77A8">
        <w:rPr>
          <w:lang w:eastAsia="bg-BG"/>
        </w:rPr>
        <w:t>цитотоксичната</w:t>
      </w:r>
      <w:proofErr w:type="spellEnd"/>
      <w:r w:rsidRPr="00EA77A8">
        <w:rPr>
          <w:lang w:eastAsia="bg-BG"/>
        </w:rPr>
        <w:t xml:space="preserve"> терапия </w:t>
      </w:r>
    </w:p>
    <w:p w14:paraId="31BD9795" w14:textId="77777777" w:rsidR="00EA77A8" w:rsidRDefault="00EA77A8" w:rsidP="00EA77A8">
      <w:pPr>
        <w:pStyle w:val="ListParagraph"/>
        <w:rPr>
          <w:lang w:eastAsia="bg-BG"/>
        </w:rPr>
      </w:pPr>
    </w:p>
    <w:p w14:paraId="70F77ACD" w14:textId="77777777" w:rsidR="00EA77A8" w:rsidRDefault="00EA77A8" w:rsidP="00EA77A8">
      <w:pPr>
        <w:pStyle w:val="ListParagraph"/>
        <w:numPr>
          <w:ilvl w:val="0"/>
          <w:numId w:val="25"/>
        </w:numPr>
        <w:rPr>
          <w:lang w:eastAsia="bg-BG"/>
        </w:rPr>
      </w:pPr>
      <w:r w:rsidRPr="00EA77A8">
        <w:rPr>
          <w:lang w:eastAsia="bg-BG"/>
        </w:rPr>
        <w:t xml:space="preserve">при напреднал или </w:t>
      </w:r>
      <w:proofErr w:type="spellStart"/>
      <w:r w:rsidRPr="00EA77A8">
        <w:rPr>
          <w:lang w:eastAsia="bg-BG"/>
        </w:rPr>
        <w:t>метастазирал</w:t>
      </w:r>
      <w:proofErr w:type="spellEnd"/>
      <w:r w:rsidRPr="00EA77A8">
        <w:rPr>
          <w:lang w:eastAsia="bg-BG"/>
        </w:rPr>
        <w:t xml:space="preserve"> </w:t>
      </w:r>
      <w:proofErr w:type="spellStart"/>
      <w:r w:rsidRPr="00EA77A8">
        <w:rPr>
          <w:lang w:eastAsia="bg-BG"/>
        </w:rPr>
        <w:t>колоректален</w:t>
      </w:r>
      <w:proofErr w:type="spellEnd"/>
      <w:r w:rsidRPr="00EA77A8">
        <w:rPr>
          <w:lang w:eastAsia="bg-BG"/>
        </w:rPr>
        <w:t xml:space="preserve"> карцином </w:t>
      </w:r>
    </w:p>
    <w:p w14:paraId="68126D5C" w14:textId="4ABDDDEC" w:rsidR="00EA77A8" w:rsidRPr="00EA77A8" w:rsidRDefault="00EA77A8" w:rsidP="00EA77A8">
      <w:pPr>
        <w:pStyle w:val="ListParagraph"/>
        <w:numPr>
          <w:ilvl w:val="0"/>
          <w:numId w:val="25"/>
        </w:numPr>
        <w:rPr>
          <w:lang w:eastAsia="bg-BG"/>
        </w:rPr>
      </w:pPr>
      <w:r w:rsidRPr="00EA77A8">
        <w:rPr>
          <w:lang w:eastAsia="bg-BG"/>
        </w:rPr>
        <w:t xml:space="preserve">като </w:t>
      </w:r>
      <w:proofErr w:type="spellStart"/>
      <w:r w:rsidRPr="00EA77A8">
        <w:rPr>
          <w:lang w:eastAsia="bg-BG"/>
        </w:rPr>
        <w:t>адювантна</w:t>
      </w:r>
      <w:proofErr w:type="spellEnd"/>
      <w:r w:rsidRPr="00EA77A8">
        <w:rPr>
          <w:lang w:eastAsia="bg-BG"/>
        </w:rPr>
        <w:t xml:space="preserve"> химиотерапия на рак на дебелото черво в стадий </w:t>
      </w:r>
      <w:r w:rsidRPr="00EA77A8">
        <w:rPr>
          <w:lang w:val="en-US"/>
        </w:rPr>
        <w:t xml:space="preserve">III (T1-4 N1-2) </w:t>
      </w:r>
      <w:r w:rsidRPr="00EA77A8">
        <w:rPr>
          <w:lang w:eastAsia="bg-BG"/>
        </w:rPr>
        <w:t xml:space="preserve">след предварителна </w:t>
      </w:r>
      <w:proofErr w:type="spellStart"/>
      <w:r w:rsidRPr="00EA77A8">
        <w:rPr>
          <w:lang w:eastAsia="bg-BG"/>
        </w:rPr>
        <w:t>резекция</w:t>
      </w:r>
      <w:proofErr w:type="spellEnd"/>
      <w:r w:rsidRPr="00EA77A8">
        <w:rPr>
          <w:lang w:eastAsia="bg-BG"/>
        </w:rPr>
        <w:t xml:space="preserve"> на първичния тумор.</w:t>
      </w:r>
    </w:p>
    <w:p w14:paraId="0548B7ED" w14:textId="77777777" w:rsidR="00EA77A8" w:rsidRPr="00EA77A8" w:rsidRDefault="00EA77A8" w:rsidP="00EA77A8"/>
    <w:p w14:paraId="127F2AC9" w14:textId="612F0308" w:rsidR="00FD69E8" w:rsidRDefault="002C50EE" w:rsidP="00AA23EC">
      <w:pPr>
        <w:pStyle w:val="Heading2"/>
      </w:pPr>
      <w:r>
        <w:t>4.2. Дозировка и начин на приложение</w:t>
      </w:r>
    </w:p>
    <w:p w14:paraId="5E8D9BCB" w14:textId="77777777" w:rsidR="00EA77A8" w:rsidRDefault="00EA77A8" w:rsidP="00EA77A8">
      <w:pPr>
        <w:rPr>
          <w:lang w:eastAsia="bg-BG"/>
        </w:rPr>
      </w:pPr>
    </w:p>
    <w:p w14:paraId="26F8CC9A" w14:textId="4DB2C71E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се прилага само интравенозно или интрамускулно. В случай на интравенозно приложение, трябва да се инжектират не повече от 160 </w:t>
      </w:r>
      <w:r w:rsidRPr="00EA77A8">
        <w:rPr>
          <w:lang w:val="en-US"/>
        </w:rPr>
        <w:t xml:space="preserve">mg </w:t>
      </w:r>
      <w:r w:rsidRPr="00EA77A8">
        <w:rPr>
          <w:lang w:eastAsia="bg-BG"/>
        </w:rPr>
        <w:t>на минута, поради съдържанието на калций в разтвора.</w:t>
      </w:r>
    </w:p>
    <w:p w14:paraId="31CE0357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се разреди преди интравенозната инфузия с 0,9% разтвор на натриев хлорид или 5% разтвор на глюкоза. Виж също т.6.3 и 6.6.</w:t>
      </w:r>
    </w:p>
    <w:p w14:paraId="308732C0" w14:textId="77777777" w:rsidR="00EA77A8" w:rsidRDefault="00EA77A8" w:rsidP="00EA77A8">
      <w:pPr>
        <w:rPr>
          <w:b/>
          <w:bCs/>
          <w:u w:val="single"/>
          <w:lang w:eastAsia="bg-BG"/>
        </w:rPr>
      </w:pPr>
      <w:bookmarkStart w:id="1" w:name="bookmark0"/>
    </w:p>
    <w:p w14:paraId="476300D0" w14:textId="4D14C2EF" w:rsidR="00EA77A8" w:rsidRPr="00EA77A8" w:rsidRDefault="00EA77A8" w:rsidP="00EA77A8">
      <w:pPr>
        <w:rPr>
          <w:sz w:val="24"/>
          <w:szCs w:val="24"/>
        </w:rPr>
      </w:pPr>
      <w:r w:rsidRPr="00EA77A8">
        <w:rPr>
          <w:b/>
          <w:bCs/>
          <w:u w:val="single"/>
          <w:lang w:eastAsia="bg-BG"/>
        </w:rPr>
        <w:lastRenderedPageBreak/>
        <w:t xml:space="preserve">Освобождаване на калциев </w:t>
      </w:r>
      <w:proofErr w:type="spellStart"/>
      <w:r w:rsidRPr="00EA77A8">
        <w:rPr>
          <w:b/>
          <w:bCs/>
          <w:u w:val="single"/>
          <w:lang w:eastAsia="bg-BG"/>
        </w:rPr>
        <w:t>фолинат</w:t>
      </w:r>
      <w:proofErr w:type="spellEnd"/>
      <w:r w:rsidRPr="00EA77A8">
        <w:rPr>
          <w:b/>
          <w:bCs/>
          <w:u w:val="single"/>
          <w:lang w:eastAsia="bg-BG"/>
        </w:rPr>
        <w:t xml:space="preserve"> при терапия с </w:t>
      </w:r>
      <w:proofErr w:type="spellStart"/>
      <w:r w:rsidRPr="00EA77A8">
        <w:rPr>
          <w:b/>
          <w:bCs/>
          <w:u w:val="single"/>
          <w:lang w:eastAsia="bg-BG"/>
        </w:rPr>
        <w:t>метотрексат</w:t>
      </w:r>
      <w:bookmarkEnd w:id="1"/>
      <w:proofErr w:type="spellEnd"/>
    </w:p>
    <w:p w14:paraId="357BED92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Тъй като режимът на дозиране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зависи до голяма степен от дозировката и начинът на приложение на средни или високи дози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, протоколът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не определи схемата на дозиране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>. Затова е препоръчително да се спазва</w:t>
      </w:r>
      <w:r>
        <w:rPr>
          <w:lang w:val="en-US" w:eastAsia="bg-BG"/>
        </w:rPr>
        <w:t xml:space="preserve"> </w:t>
      </w:r>
      <w:r w:rsidRPr="00EA77A8">
        <w:rPr>
          <w:lang w:eastAsia="bg-BG"/>
        </w:rPr>
        <w:t xml:space="preserve">протокола за </w:t>
      </w:r>
      <w:proofErr w:type="spellStart"/>
      <w:r w:rsidRPr="00EA77A8">
        <w:rPr>
          <w:lang w:eastAsia="bg-BG"/>
        </w:rPr>
        <w:t>среднодозова</w:t>
      </w:r>
      <w:proofErr w:type="spellEnd"/>
      <w:r w:rsidRPr="00EA77A8">
        <w:rPr>
          <w:lang w:eastAsia="bg-BG"/>
        </w:rPr>
        <w:t xml:space="preserve"> или </w:t>
      </w:r>
      <w:proofErr w:type="spellStart"/>
      <w:r w:rsidRPr="00EA77A8">
        <w:rPr>
          <w:lang w:eastAsia="bg-BG"/>
        </w:rPr>
        <w:t>високодозова</w:t>
      </w:r>
      <w:proofErr w:type="spellEnd"/>
      <w:r w:rsidRPr="00EA77A8">
        <w:rPr>
          <w:lang w:eastAsia="bg-BG"/>
        </w:rPr>
        <w:t xml:space="preserve"> терапия с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за определяне на дозировката и начина на приложение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>.</w:t>
      </w:r>
    </w:p>
    <w:p w14:paraId="02C5A30D" w14:textId="77777777" w:rsidR="00EA77A8" w:rsidRDefault="00EA77A8" w:rsidP="00EA77A8">
      <w:pPr>
        <w:rPr>
          <w:lang w:eastAsia="bg-BG"/>
        </w:rPr>
      </w:pPr>
    </w:p>
    <w:p w14:paraId="6E55CA82" w14:textId="789EE50A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>Следните насоки могат да послужат за илюстриране на протоколите, които се използват при възрастни, пациенти в старческа възраст и деца.</w:t>
      </w:r>
    </w:p>
    <w:p w14:paraId="07DB06C2" w14:textId="77777777" w:rsidR="00EA77A8" w:rsidRDefault="00EA77A8" w:rsidP="00EA77A8">
      <w:pPr>
        <w:rPr>
          <w:lang w:eastAsia="bg-BG"/>
        </w:rPr>
      </w:pPr>
    </w:p>
    <w:p w14:paraId="6C46E093" w14:textId="190249EF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Освобождаването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трябва да се извършва парентерално при пациенти със синдром на малабсорбция или други </w:t>
      </w:r>
      <w:proofErr w:type="spellStart"/>
      <w:r w:rsidRPr="00EA77A8">
        <w:rPr>
          <w:lang w:eastAsia="bg-BG"/>
        </w:rPr>
        <w:t>гастро-интестинални</w:t>
      </w:r>
      <w:proofErr w:type="spellEnd"/>
      <w:r w:rsidRPr="00EA77A8">
        <w:rPr>
          <w:lang w:eastAsia="bg-BG"/>
        </w:rPr>
        <w:t xml:space="preserve"> нарушения, когато чревната абсорбция не е гарантирана. Дози над 25 - 50 </w:t>
      </w:r>
      <w:r w:rsidRPr="00EA77A8">
        <w:rPr>
          <w:lang w:val="en-US"/>
        </w:rPr>
        <w:t xml:space="preserve">mg </w:t>
      </w:r>
      <w:r w:rsidRPr="00EA77A8">
        <w:rPr>
          <w:lang w:eastAsia="bg-BG"/>
        </w:rPr>
        <w:t xml:space="preserve">трябва да се прилагат парентерално поради насищане на чревната абсорбция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>.</w:t>
      </w:r>
    </w:p>
    <w:p w14:paraId="3428B707" w14:textId="77777777" w:rsidR="00EA77A8" w:rsidRDefault="00EA77A8" w:rsidP="00EA77A8">
      <w:pPr>
        <w:rPr>
          <w:lang w:eastAsia="bg-BG"/>
        </w:rPr>
      </w:pPr>
    </w:p>
    <w:p w14:paraId="76225146" w14:textId="07612081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Освобождаването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е необходимо, ако прилаганата доза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надвишава </w:t>
      </w:r>
      <w:r w:rsidRPr="00EA77A8">
        <w:rPr>
          <w:lang w:val="en-US"/>
        </w:rPr>
        <w:t>500mg/m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телесна повърхност и трябва да бъде от 100 </w:t>
      </w:r>
      <w:r w:rsidRPr="00EA77A8">
        <w:rPr>
          <w:lang w:val="en-US"/>
        </w:rPr>
        <w:t xml:space="preserve">mg </w:t>
      </w:r>
      <w:r w:rsidRPr="00EA77A8">
        <w:rPr>
          <w:lang w:eastAsia="bg-BG"/>
        </w:rPr>
        <w:t xml:space="preserve">до 500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>телесна повърхност.</w:t>
      </w:r>
    </w:p>
    <w:p w14:paraId="71D4AF97" w14:textId="77777777" w:rsidR="00EA77A8" w:rsidRDefault="00EA77A8" w:rsidP="00EA77A8">
      <w:pPr>
        <w:rPr>
          <w:lang w:eastAsia="bg-BG"/>
        </w:rPr>
      </w:pPr>
    </w:p>
    <w:p w14:paraId="1D94DD99" w14:textId="218120D1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Дозировката и продължителността на употребата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зависят главно от вида и дозировката на терапията с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, появата на токсични симптоми и индивидуалната </w:t>
      </w:r>
      <w:proofErr w:type="spellStart"/>
      <w:r w:rsidRPr="00EA77A8">
        <w:rPr>
          <w:lang w:eastAsia="bg-BG"/>
        </w:rPr>
        <w:t>способоност</w:t>
      </w:r>
      <w:proofErr w:type="spellEnd"/>
      <w:r w:rsidRPr="00EA77A8">
        <w:rPr>
          <w:lang w:eastAsia="bg-BG"/>
        </w:rPr>
        <w:t xml:space="preserve"> за </w:t>
      </w:r>
      <w:proofErr w:type="spellStart"/>
      <w:r w:rsidRPr="00EA77A8">
        <w:rPr>
          <w:lang w:eastAsia="bg-BG"/>
        </w:rPr>
        <w:t>екскретиране</w:t>
      </w:r>
      <w:proofErr w:type="spellEnd"/>
      <w:r w:rsidRPr="00EA77A8">
        <w:rPr>
          <w:lang w:eastAsia="bg-BG"/>
        </w:rPr>
        <w:t xml:space="preserve">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. Като правило, началната доза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от 15 </w:t>
      </w:r>
      <w:r w:rsidRPr="00EA77A8">
        <w:rPr>
          <w:lang w:val="en-US"/>
        </w:rPr>
        <w:t xml:space="preserve">mg </w:t>
      </w:r>
      <w:r w:rsidRPr="00EA77A8">
        <w:rPr>
          <w:lang w:eastAsia="bg-BG"/>
        </w:rPr>
        <w:t xml:space="preserve">(6-12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) </w:t>
      </w:r>
      <w:r w:rsidRPr="00EA77A8">
        <w:rPr>
          <w:lang w:eastAsia="bg-BG"/>
        </w:rPr>
        <w:t xml:space="preserve">трябва да се приеме 12-24 часа (24 часа най-късно) след започване на инфузията с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>. Същата доза се прилага на всеки шест часа в продължение на 72 часа. След приема на няколко парентерални доза, лечението може да бъде заменено с перорално.</w:t>
      </w:r>
    </w:p>
    <w:p w14:paraId="51897603" w14:textId="77777777" w:rsidR="00EA77A8" w:rsidRDefault="00EA77A8" w:rsidP="00EA77A8">
      <w:pPr>
        <w:rPr>
          <w:lang w:eastAsia="bg-BG"/>
        </w:rPr>
      </w:pPr>
    </w:p>
    <w:p w14:paraId="7305F119" w14:textId="2C7CF9D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В допълнение към приложението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е необходимо да се предприемат мерки за осигуряване на навременна екскреция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(отделяне на голямо количество урина и </w:t>
      </w:r>
      <w:proofErr w:type="spellStart"/>
      <w:r w:rsidRPr="00EA77A8">
        <w:rPr>
          <w:lang w:eastAsia="bg-BG"/>
        </w:rPr>
        <w:t>алкализирането</w:t>
      </w:r>
      <w:proofErr w:type="spellEnd"/>
      <w:r w:rsidRPr="00EA77A8">
        <w:rPr>
          <w:lang w:eastAsia="bg-BG"/>
        </w:rPr>
        <w:t xml:space="preserve"> й), които са важна част от освобождаването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. Бъбречната функция трябва да се следи чрез ежедневно измерване на серумния </w:t>
      </w:r>
      <w:proofErr w:type="spellStart"/>
      <w:r w:rsidRPr="00EA77A8">
        <w:rPr>
          <w:lang w:eastAsia="bg-BG"/>
        </w:rPr>
        <w:t>креатинин</w:t>
      </w:r>
      <w:proofErr w:type="spellEnd"/>
      <w:r w:rsidRPr="00EA77A8">
        <w:rPr>
          <w:lang w:eastAsia="bg-BG"/>
        </w:rPr>
        <w:t>.</w:t>
      </w:r>
    </w:p>
    <w:p w14:paraId="09C382C8" w14:textId="77777777" w:rsidR="00EA77A8" w:rsidRDefault="00EA77A8" w:rsidP="00EA77A8">
      <w:pPr>
        <w:rPr>
          <w:lang w:eastAsia="bg-BG"/>
        </w:rPr>
      </w:pPr>
    </w:p>
    <w:p w14:paraId="45FF46F7" w14:textId="0888F8F5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Нивото на остатъчен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трябва да се измерва 48 часа след започване на инфузията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. Ако остатъчният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е &gt; 0,5 </w:t>
      </w:r>
      <w:proofErr w:type="spellStart"/>
      <w:r w:rsidRPr="00EA77A8">
        <w:rPr>
          <w:lang w:val="en-US"/>
        </w:rPr>
        <w:t>μmol</w:t>
      </w:r>
      <w:proofErr w:type="spellEnd"/>
      <w:r w:rsidRPr="00EA77A8">
        <w:rPr>
          <w:lang w:val="en-US"/>
        </w:rPr>
        <w:t xml:space="preserve">/l, </w:t>
      </w:r>
      <w:r w:rsidRPr="00EA77A8">
        <w:rPr>
          <w:lang w:eastAsia="bg-BG"/>
        </w:rPr>
        <w:t xml:space="preserve">дозите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трябва да бъдат променени според следната таблица.</w:t>
      </w:r>
    </w:p>
    <w:p w14:paraId="3C230E18" w14:textId="6D52475F" w:rsidR="00EA77A8" w:rsidRPr="00EA77A8" w:rsidRDefault="00EA77A8" w:rsidP="00EA77A8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EA77A8" w14:paraId="2A093FB8" w14:textId="77777777" w:rsidTr="00EA77A8">
        <w:trPr>
          <w:trHeight w:val="1752"/>
        </w:trPr>
        <w:tc>
          <w:tcPr>
            <w:tcW w:w="4077" w:type="dxa"/>
          </w:tcPr>
          <w:p w14:paraId="569AB388" w14:textId="7B5B3D86" w:rsidR="00EA77A8" w:rsidRDefault="00EA77A8" w:rsidP="00EA77A8">
            <w:r>
              <w:t xml:space="preserve">Остатъчно ниво на </w:t>
            </w:r>
            <w:proofErr w:type="spellStart"/>
            <w:r>
              <w:t>метотрексат</w:t>
            </w:r>
            <w:proofErr w:type="spellEnd"/>
            <w:r>
              <w:t xml:space="preserve"> в плазмата 48 часа след началото на приложение на </w:t>
            </w:r>
            <w:proofErr w:type="spellStart"/>
            <w:r>
              <w:t>метотрексат</w:t>
            </w:r>
            <w:proofErr w:type="spellEnd"/>
            <w:r>
              <w:t>:</w:t>
            </w:r>
          </w:p>
        </w:tc>
        <w:tc>
          <w:tcPr>
            <w:tcW w:w="5499" w:type="dxa"/>
          </w:tcPr>
          <w:p w14:paraId="07E652F5" w14:textId="76543B08" w:rsidR="00EA77A8" w:rsidRDefault="00EA77A8" w:rsidP="00EA77A8">
            <w:r>
              <w:t xml:space="preserve">Калциев </w:t>
            </w:r>
            <w:proofErr w:type="spellStart"/>
            <w:r>
              <w:t>фолинат</w:t>
            </w:r>
            <w:proofErr w:type="spellEnd"/>
            <w:r>
              <w:t xml:space="preserve">, който трябва да се прилага допълнително на всеки 6 часа в продължение на 48 часа или докато нивото на </w:t>
            </w:r>
            <w:proofErr w:type="spellStart"/>
            <w:r>
              <w:t>метотрексат</w:t>
            </w:r>
            <w:proofErr w:type="spellEnd"/>
            <w:r>
              <w:t xml:space="preserve"> падне под 0.05 </w:t>
            </w:r>
            <w:proofErr w:type="spellStart"/>
            <w:r>
              <w:rPr>
                <w:lang w:val="en-US"/>
              </w:rPr>
              <w:t>μmol</w:t>
            </w:r>
            <w:proofErr w:type="spellEnd"/>
            <w:r>
              <w:rPr>
                <w:lang w:val="en-US"/>
              </w:rPr>
              <w:t>/1:</w:t>
            </w:r>
          </w:p>
        </w:tc>
      </w:tr>
      <w:tr w:rsidR="00EA77A8" w14:paraId="4D73586B" w14:textId="77777777" w:rsidTr="00EA77A8">
        <w:tc>
          <w:tcPr>
            <w:tcW w:w="4077" w:type="dxa"/>
          </w:tcPr>
          <w:p w14:paraId="3FDE50F5" w14:textId="18699DC4" w:rsidR="00EA77A8" w:rsidRDefault="00EA77A8" w:rsidP="00EA77A8">
            <w:r>
              <w:rPr>
                <w:lang w:val="en-US"/>
              </w:rPr>
              <w:t>≥</w:t>
            </w:r>
            <w:r>
              <w:t xml:space="preserve">0,5 </w:t>
            </w:r>
            <w:proofErr w:type="spellStart"/>
            <w:r>
              <w:rPr>
                <w:lang w:val="en-US"/>
              </w:rPr>
              <w:t>μmol</w:t>
            </w:r>
            <w:proofErr w:type="spellEnd"/>
            <w:r>
              <w:rPr>
                <w:lang w:val="en-US"/>
              </w:rPr>
              <w:t>/1</w:t>
            </w:r>
          </w:p>
        </w:tc>
        <w:tc>
          <w:tcPr>
            <w:tcW w:w="5499" w:type="dxa"/>
          </w:tcPr>
          <w:p w14:paraId="4ED49C0C" w14:textId="26D6256C" w:rsidR="00EA77A8" w:rsidRDefault="00EA77A8" w:rsidP="00EA77A8">
            <w:r>
              <w:t xml:space="preserve">15 </w:t>
            </w:r>
            <w:r>
              <w:rPr>
                <w:lang w:val="en-US"/>
              </w:rPr>
              <w:t>mg/m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EA77A8" w14:paraId="276CAF6D" w14:textId="77777777" w:rsidTr="00EA77A8">
        <w:tc>
          <w:tcPr>
            <w:tcW w:w="4077" w:type="dxa"/>
          </w:tcPr>
          <w:p w14:paraId="5D13D577" w14:textId="00666313" w:rsidR="00EA77A8" w:rsidRDefault="00EA77A8" w:rsidP="00EA77A8">
            <w:r>
              <w:rPr>
                <w:lang w:val="en-US"/>
              </w:rPr>
              <w:t>≥</w:t>
            </w:r>
            <w:r>
              <w:t xml:space="preserve">1,0 </w:t>
            </w:r>
            <w:proofErr w:type="spellStart"/>
            <w:r>
              <w:rPr>
                <w:lang w:val="en-US"/>
              </w:rPr>
              <w:t>μmol</w:t>
            </w:r>
            <w:proofErr w:type="spellEnd"/>
            <w:r>
              <w:rPr>
                <w:lang w:val="en-US"/>
              </w:rPr>
              <w:t>/l</w:t>
            </w:r>
          </w:p>
        </w:tc>
        <w:tc>
          <w:tcPr>
            <w:tcW w:w="5499" w:type="dxa"/>
          </w:tcPr>
          <w:p w14:paraId="5CF112D7" w14:textId="72F38446" w:rsidR="00EA77A8" w:rsidRDefault="00EA77A8" w:rsidP="00EA77A8">
            <w:r>
              <w:t xml:space="preserve">100 </w:t>
            </w:r>
            <w:r>
              <w:rPr>
                <w:lang w:val="en-US"/>
              </w:rPr>
              <w:t>mg/m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EA77A8" w14:paraId="2F18CC0C" w14:textId="77777777" w:rsidTr="00EA77A8">
        <w:trPr>
          <w:trHeight w:val="259"/>
        </w:trPr>
        <w:tc>
          <w:tcPr>
            <w:tcW w:w="4077" w:type="dxa"/>
          </w:tcPr>
          <w:p w14:paraId="0F92C2F7" w14:textId="0326705D" w:rsidR="00EA77A8" w:rsidRDefault="00EA77A8" w:rsidP="00EA77A8">
            <w:r>
              <w:rPr>
                <w:lang w:val="en-US"/>
              </w:rPr>
              <w:t>≥</w:t>
            </w:r>
            <w:r>
              <w:t xml:space="preserve">2,0 </w:t>
            </w:r>
            <w:proofErr w:type="spellStart"/>
            <w:r>
              <w:rPr>
                <w:lang w:val="en-US"/>
              </w:rPr>
              <w:t>μmol</w:t>
            </w:r>
            <w:proofErr w:type="spellEnd"/>
            <w:r>
              <w:rPr>
                <w:lang w:val="en-US"/>
              </w:rPr>
              <w:t>/l</w:t>
            </w:r>
          </w:p>
        </w:tc>
        <w:tc>
          <w:tcPr>
            <w:tcW w:w="5499" w:type="dxa"/>
          </w:tcPr>
          <w:p w14:paraId="0C4E3375" w14:textId="74B1561B" w:rsidR="00EA77A8" w:rsidRDefault="00EA77A8" w:rsidP="00EA77A8">
            <w:r>
              <w:t xml:space="preserve">200 </w:t>
            </w:r>
            <w:r>
              <w:rPr>
                <w:lang w:val="en-US"/>
              </w:rPr>
              <w:t>mg/m</w:t>
            </w:r>
            <w:r>
              <w:rPr>
                <w:vertAlign w:val="superscript"/>
                <w:lang w:val="en-US"/>
              </w:rPr>
              <w:t>2</w:t>
            </w:r>
          </w:p>
        </w:tc>
      </w:tr>
    </w:tbl>
    <w:p w14:paraId="7CB1AE77" w14:textId="77777777" w:rsidR="00EA77A8" w:rsidRPr="00EA77A8" w:rsidRDefault="00EA77A8" w:rsidP="00EA77A8">
      <w:pPr>
        <w:rPr>
          <w:b/>
          <w:bCs/>
          <w:sz w:val="24"/>
          <w:szCs w:val="24"/>
        </w:rPr>
      </w:pPr>
      <w:r w:rsidRPr="00EA77A8">
        <w:rPr>
          <w:b/>
          <w:bCs/>
          <w:lang w:eastAsia="bg-BG"/>
        </w:rPr>
        <w:lastRenderedPageBreak/>
        <w:t xml:space="preserve">В комбинация с 5-флуороурацил при </w:t>
      </w:r>
      <w:proofErr w:type="spellStart"/>
      <w:r w:rsidRPr="00EA77A8">
        <w:rPr>
          <w:b/>
          <w:bCs/>
          <w:lang w:eastAsia="bg-BG"/>
        </w:rPr>
        <w:t>цитотоксична</w:t>
      </w:r>
      <w:proofErr w:type="spellEnd"/>
      <w:r w:rsidRPr="00EA77A8">
        <w:rPr>
          <w:b/>
          <w:bCs/>
          <w:lang w:eastAsia="bg-BG"/>
        </w:rPr>
        <w:t xml:space="preserve"> терапия</w:t>
      </w:r>
    </w:p>
    <w:p w14:paraId="44A61538" w14:textId="77777777" w:rsidR="00EA77A8" w:rsidRDefault="00EA77A8" w:rsidP="00EA77A8">
      <w:pPr>
        <w:rPr>
          <w:u w:val="single"/>
          <w:lang w:eastAsia="bg-BG"/>
        </w:rPr>
      </w:pPr>
    </w:p>
    <w:p w14:paraId="477EF913" w14:textId="5A2B27E3" w:rsidR="00EA77A8" w:rsidRPr="00EA77A8" w:rsidRDefault="00EA77A8" w:rsidP="00EA77A8">
      <w:pPr>
        <w:rPr>
          <w:sz w:val="24"/>
          <w:szCs w:val="24"/>
        </w:rPr>
      </w:pPr>
      <w:r w:rsidRPr="00EA77A8">
        <w:rPr>
          <w:u w:val="single"/>
          <w:lang w:eastAsia="bg-BG"/>
        </w:rPr>
        <w:t xml:space="preserve">Напреднал или </w:t>
      </w:r>
      <w:proofErr w:type="spellStart"/>
      <w:r w:rsidRPr="00EA77A8">
        <w:rPr>
          <w:u w:val="single"/>
          <w:lang w:eastAsia="bg-BG"/>
        </w:rPr>
        <w:t>метастазирал</w:t>
      </w:r>
      <w:proofErr w:type="spellEnd"/>
      <w:r w:rsidRPr="00EA77A8">
        <w:rPr>
          <w:u w:val="single"/>
          <w:lang w:eastAsia="bg-BG"/>
        </w:rPr>
        <w:t xml:space="preserve"> </w:t>
      </w:r>
      <w:proofErr w:type="spellStart"/>
      <w:r w:rsidRPr="00EA77A8">
        <w:rPr>
          <w:u w:val="single"/>
          <w:lang w:eastAsia="bg-BG"/>
        </w:rPr>
        <w:t>колоректален</w:t>
      </w:r>
      <w:proofErr w:type="spellEnd"/>
      <w:r w:rsidRPr="00EA77A8">
        <w:rPr>
          <w:u w:val="single"/>
          <w:lang w:eastAsia="bg-BG"/>
        </w:rPr>
        <w:t xml:space="preserve"> карцином</w:t>
      </w:r>
    </w:p>
    <w:p w14:paraId="6D2632D4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>Използват се различни терапевтични протоколи и дози, без да има доказателства, че дадена дозировка е оптимална.</w:t>
      </w:r>
    </w:p>
    <w:p w14:paraId="5DD547AA" w14:textId="77777777" w:rsidR="00EA77A8" w:rsidRDefault="00EA77A8" w:rsidP="00EA77A8">
      <w:pPr>
        <w:rPr>
          <w:lang w:eastAsia="bg-BG"/>
        </w:rPr>
      </w:pPr>
    </w:p>
    <w:p w14:paraId="6D78E28D" w14:textId="1B1A5FAE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Следните режими, дадени като пример, са използвани при възрастни и пациенти в старческа възраст за терапия на напреднал или </w:t>
      </w:r>
      <w:proofErr w:type="spellStart"/>
      <w:r w:rsidRPr="00EA77A8">
        <w:rPr>
          <w:lang w:eastAsia="bg-BG"/>
        </w:rPr>
        <w:t>метастазирал</w:t>
      </w:r>
      <w:proofErr w:type="spellEnd"/>
      <w:r w:rsidRPr="00EA77A8">
        <w:rPr>
          <w:lang w:eastAsia="bg-BG"/>
        </w:rPr>
        <w:t xml:space="preserve"> </w:t>
      </w:r>
      <w:proofErr w:type="spellStart"/>
      <w:r w:rsidRPr="00EA77A8">
        <w:rPr>
          <w:lang w:eastAsia="bg-BG"/>
        </w:rPr>
        <w:t>колоректален</w:t>
      </w:r>
      <w:proofErr w:type="spellEnd"/>
      <w:r w:rsidRPr="00EA77A8">
        <w:rPr>
          <w:lang w:eastAsia="bg-BG"/>
        </w:rPr>
        <w:t xml:space="preserve"> карцином. Няма данни за употребата на тези комбинации при деца.</w:t>
      </w:r>
    </w:p>
    <w:p w14:paraId="0000005B" w14:textId="77777777" w:rsidR="00EA77A8" w:rsidRDefault="00EA77A8" w:rsidP="00EA77A8">
      <w:pPr>
        <w:rPr>
          <w:u w:val="single"/>
          <w:lang w:eastAsia="bg-BG"/>
        </w:rPr>
      </w:pPr>
    </w:p>
    <w:p w14:paraId="51983F05" w14:textId="6EC46913" w:rsidR="00EA77A8" w:rsidRPr="00EA77A8" w:rsidRDefault="00EA77A8" w:rsidP="00EA77A8">
      <w:pPr>
        <w:rPr>
          <w:sz w:val="24"/>
          <w:szCs w:val="24"/>
        </w:rPr>
      </w:pPr>
      <w:r w:rsidRPr="00EA77A8">
        <w:rPr>
          <w:u w:val="single"/>
          <w:lang w:eastAsia="bg-BG"/>
        </w:rPr>
        <w:t>Двумесечен режим</w:t>
      </w:r>
    </w:p>
    <w:p w14:paraId="63942DC9" w14:textId="3288D272" w:rsidR="00EA77A8" w:rsidRDefault="00EA77A8" w:rsidP="00EA77A8">
      <w:pPr>
        <w:rPr>
          <w:lang w:eastAsia="bg-BG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200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>като интравенозна инфузия в продължение на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два часа, последвана от </w:t>
      </w:r>
      <w:proofErr w:type="spellStart"/>
      <w:r w:rsidRPr="00EA77A8">
        <w:rPr>
          <w:lang w:eastAsia="bg-BG"/>
        </w:rPr>
        <w:t>болус</w:t>
      </w:r>
      <w:proofErr w:type="spellEnd"/>
      <w:r w:rsidRPr="00EA77A8">
        <w:rPr>
          <w:lang w:eastAsia="bg-BG"/>
        </w:rPr>
        <w:t xml:space="preserve"> от 400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5-FU </w:t>
      </w:r>
      <w:r w:rsidRPr="00EA77A8">
        <w:rPr>
          <w:lang w:eastAsia="bg-BG"/>
        </w:rPr>
        <w:t xml:space="preserve">и 22-часова инфузия на </w:t>
      </w:r>
      <w:r w:rsidRPr="00EA77A8">
        <w:rPr>
          <w:lang w:val="en-US"/>
        </w:rPr>
        <w:t xml:space="preserve">5-FU </w:t>
      </w:r>
      <w:r w:rsidRPr="00EA77A8">
        <w:rPr>
          <w:lang w:eastAsia="bg-BG"/>
        </w:rPr>
        <w:t xml:space="preserve">(600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) </w:t>
      </w:r>
      <w:r w:rsidRPr="00EA77A8">
        <w:rPr>
          <w:lang w:eastAsia="bg-BG"/>
        </w:rPr>
        <w:t>в два последователни дни всеки две седмици в първите два дни.</w:t>
      </w:r>
    </w:p>
    <w:p w14:paraId="45FE35BB" w14:textId="44602A5D" w:rsidR="00EA77A8" w:rsidRDefault="00EA77A8" w:rsidP="00EA77A8">
      <w:pPr>
        <w:rPr>
          <w:lang w:eastAsia="bg-BG"/>
        </w:rPr>
      </w:pPr>
    </w:p>
    <w:p w14:paraId="5D45C39A" w14:textId="77777777" w:rsidR="00EA77A8" w:rsidRPr="00EA77A8" w:rsidRDefault="00EA77A8" w:rsidP="00EA77A8">
      <w:pPr>
        <w:rPr>
          <w:sz w:val="24"/>
          <w:szCs w:val="24"/>
          <w:u w:val="single"/>
        </w:rPr>
      </w:pPr>
      <w:r w:rsidRPr="00EA77A8">
        <w:rPr>
          <w:u w:val="single"/>
          <w:lang w:eastAsia="bg-BG"/>
        </w:rPr>
        <w:t>Седмичен режим</w:t>
      </w:r>
    </w:p>
    <w:p w14:paraId="586DDAE3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500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като интравенозна инфузия за два часа с 500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5-флуороурацил като интравенозна </w:t>
      </w:r>
      <w:proofErr w:type="spellStart"/>
      <w:r w:rsidRPr="00EA77A8">
        <w:rPr>
          <w:lang w:eastAsia="bg-BG"/>
        </w:rPr>
        <w:t>болусна</w:t>
      </w:r>
      <w:proofErr w:type="spellEnd"/>
      <w:r w:rsidRPr="00EA77A8">
        <w:rPr>
          <w:lang w:eastAsia="bg-BG"/>
        </w:rPr>
        <w:t xml:space="preserve"> инжекция един час след началото на инфузията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>. Един цикъл се състои от шест седмична терапия последвана от двуседмична почивка.</w:t>
      </w:r>
    </w:p>
    <w:p w14:paraId="0D55A303" w14:textId="77777777" w:rsidR="00EA77A8" w:rsidRDefault="00EA77A8" w:rsidP="00EA77A8">
      <w:pPr>
        <w:rPr>
          <w:lang w:eastAsia="bg-BG"/>
        </w:rPr>
      </w:pPr>
    </w:p>
    <w:p w14:paraId="09731E8B" w14:textId="40AECF5B" w:rsidR="00EA77A8" w:rsidRPr="00EA77A8" w:rsidRDefault="00EA77A8" w:rsidP="00EA77A8">
      <w:pPr>
        <w:rPr>
          <w:sz w:val="24"/>
          <w:szCs w:val="24"/>
          <w:u w:val="single"/>
        </w:rPr>
      </w:pPr>
      <w:r w:rsidRPr="00EA77A8">
        <w:rPr>
          <w:u w:val="single"/>
          <w:lang w:eastAsia="bg-BG"/>
        </w:rPr>
        <w:t>Месечен режим</w:t>
      </w:r>
    </w:p>
    <w:p w14:paraId="20677970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в доза 20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като интравенозна </w:t>
      </w:r>
      <w:proofErr w:type="spellStart"/>
      <w:r w:rsidRPr="00EA77A8">
        <w:rPr>
          <w:lang w:eastAsia="bg-BG"/>
        </w:rPr>
        <w:t>болусна</w:t>
      </w:r>
      <w:proofErr w:type="spellEnd"/>
      <w:r w:rsidRPr="00EA77A8">
        <w:rPr>
          <w:lang w:eastAsia="bg-BG"/>
        </w:rPr>
        <w:t xml:space="preserve"> инжекция последвана веднага от 5- </w:t>
      </w:r>
      <w:proofErr w:type="spellStart"/>
      <w:r w:rsidRPr="00EA77A8">
        <w:rPr>
          <w:lang w:eastAsia="bg-BG"/>
        </w:rPr>
        <w:t>флуороурацил</w:t>
      </w:r>
      <w:proofErr w:type="spellEnd"/>
      <w:r w:rsidRPr="00EA77A8">
        <w:rPr>
          <w:lang w:eastAsia="bg-BG"/>
        </w:rPr>
        <w:t xml:space="preserve"> в доза 425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като интравенозна </w:t>
      </w:r>
      <w:proofErr w:type="spellStart"/>
      <w:r w:rsidRPr="00EA77A8">
        <w:rPr>
          <w:lang w:eastAsia="bg-BG"/>
        </w:rPr>
        <w:t>болусна</w:t>
      </w:r>
      <w:proofErr w:type="spellEnd"/>
      <w:r w:rsidRPr="00EA77A8">
        <w:rPr>
          <w:lang w:eastAsia="bg-BG"/>
        </w:rPr>
        <w:t xml:space="preserve"> инжекция през пет последователни дни, на всеки 4-5 седмици.</w:t>
      </w:r>
    </w:p>
    <w:p w14:paraId="7C50BEA6" w14:textId="77777777" w:rsidR="00EA77A8" w:rsidRDefault="00EA77A8" w:rsidP="00EA77A8">
      <w:pPr>
        <w:rPr>
          <w:lang w:eastAsia="bg-BG"/>
        </w:rPr>
      </w:pPr>
    </w:p>
    <w:p w14:paraId="3CAA8758" w14:textId="194161C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в доза 200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като интравенозна </w:t>
      </w:r>
      <w:proofErr w:type="spellStart"/>
      <w:r w:rsidRPr="00EA77A8">
        <w:rPr>
          <w:lang w:eastAsia="bg-BG"/>
        </w:rPr>
        <w:t>болусна</w:t>
      </w:r>
      <w:proofErr w:type="spellEnd"/>
      <w:r w:rsidRPr="00EA77A8">
        <w:rPr>
          <w:lang w:eastAsia="bg-BG"/>
        </w:rPr>
        <w:t xml:space="preserve"> инжекция, последвана веднага от 5- </w:t>
      </w:r>
      <w:proofErr w:type="spellStart"/>
      <w:r w:rsidRPr="00EA77A8">
        <w:rPr>
          <w:lang w:eastAsia="bg-BG"/>
        </w:rPr>
        <w:t>флуороурацил</w:t>
      </w:r>
      <w:proofErr w:type="spellEnd"/>
      <w:r w:rsidRPr="00EA77A8">
        <w:rPr>
          <w:lang w:eastAsia="bg-BG"/>
        </w:rPr>
        <w:t xml:space="preserve"> в доза 370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като интравенозна </w:t>
      </w:r>
      <w:proofErr w:type="spellStart"/>
      <w:r w:rsidRPr="00EA77A8">
        <w:rPr>
          <w:lang w:eastAsia="bg-BG"/>
        </w:rPr>
        <w:t>болусна</w:t>
      </w:r>
      <w:proofErr w:type="spellEnd"/>
      <w:r w:rsidRPr="00EA77A8">
        <w:rPr>
          <w:lang w:eastAsia="bg-BG"/>
        </w:rPr>
        <w:t xml:space="preserve"> инжекция през пет последователни дни, на всеки четири седмици.</w:t>
      </w:r>
    </w:p>
    <w:p w14:paraId="02873D25" w14:textId="77777777" w:rsidR="00EA77A8" w:rsidRDefault="00EA77A8" w:rsidP="00EA77A8">
      <w:pPr>
        <w:rPr>
          <w:lang w:eastAsia="bg-BG"/>
        </w:rPr>
      </w:pPr>
    </w:p>
    <w:p w14:paraId="751703A5" w14:textId="22F3EAE6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>Броят на повтарящите се цикли се определя по преценка на лекуващия лекар в зависимост от терапевтичния отговор и/или нежеланите лекарствени реакции. Обикновено се прилагат шест цикъла на комбинираната терапия, като се използва седмичен или месечен режим.</w:t>
      </w:r>
    </w:p>
    <w:p w14:paraId="123F56DC" w14:textId="77777777" w:rsidR="00EA77A8" w:rsidRDefault="00EA77A8" w:rsidP="00EA77A8">
      <w:pPr>
        <w:rPr>
          <w:lang w:eastAsia="bg-BG"/>
        </w:rPr>
      </w:pPr>
    </w:p>
    <w:p w14:paraId="0EF3D87D" w14:textId="0DE48141" w:rsidR="00EA77A8" w:rsidRPr="00EA77A8" w:rsidRDefault="00EA77A8" w:rsidP="00EA77A8">
      <w:pPr>
        <w:rPr>
          <w:sz w:val="24"/>
          <w:szCs w:val="24"/>
          <w:u w:val="single"/>
        </w:rPr>
      </w:pPr>
      <w:r w:rsidRPr="00EA77A8">
        <w:rPr>
          <w:u w:val="single"/>
          <w:lang w:eastAsia="bg-BG"/>
        </w:rPr>
        <w:t>Модификация на дозировката на 5-флуороурацил</w:t>
      </w:r>
    </w:p>
    <w:p w14:paraId="3BC4FD84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За комбинирана терапия с 5-флуороурацил може да се наложи модификация на дозировката на 5- </w:t>
      </w:r>
      <w:proofErr w:type="spellStart"/>
      <w:r w:rsidRPr="00EA77A8">
        <w:rPr>
          <w:lang w:eastAsia="bg-BG"/>
        </w:rPr>
        <w:t>флуороурацил</w:t>
      </w:r>
      <w:proofErr w:type="spellEnd"/>
      <w:r w:rsidRPr="00EA77A8">
        <w:rPr>
          <w:lang w:eastAsia="bg-BG"/>
        </w:rPr>
        <w:t xml:space="preserve"> и интервалите на приложение, в зависимост от състоянието на пациента, клиничния отговор и </w:t>
      </w:r>
      <w:proofErr w:type="spellStart"/>
      <w:r w:rsidRPr="00EA77A8">
        <w:rPr>
          <w:lang w:eastAsia="bg-BG"/>
        </w:rPr>
        <w:t>дозо</w:t>
      </w:r>
      <w:proofErr w:type="spellEnd"/>
      <w:r w:rsidRPr="00EA77A8">
        <w:rPr>
          <w:lang w:eastAsia="bg-BG"/>
        </w:rPr>
        <w:t>-ограничената токсичност, посочена в информацията за продукта за 5- -</w:t>
      </w:r>
      <w:proofErr w:type="spellStart"/>
      <w:r w:rsidRPr="00EA77A8">
        <w:rPr>
          <w:lang w:eastAsia="bg-BG"/>
        </w:rPr>
        <w:t>флуороурацил</w:t>
      </w:r>
      <w:proofErr w:type="spellEnd"/>
      <w:r w:rsidRPr="00EA77A8">
        <w:rPr>
          <w:lang w:eastAsia="bg-BG"/>
        </w:rPr>
        <w:t xml:space="preserve">. Не е необходимо да се намалява дозата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>.</w:t>
      </w:r>
    </w:p>
    <w:p w14:paraId="4D388F76" w14:textId="77777777" w:rsidR="00EA77A8" w:rsidRDefault="00EA77A8" w:rsidP="00EA77A8">
      <w:pPr>
        <w:rPr>
          <w:lang w:eastAsia="bg-BG"/>
        </w:rPr>
      </w:pPr>
    </w:p>
    <w:p w14:paraId="0F3E7D15" w14:textId="10594F01" w:rsidR="00EA77A8" w:rsidRPr="00EA77A8" w:rsidRDefault="00EA77A8" w:rsidP="00EA77A8">
      <w:pPr>
        <w:rPr>
          <w:sz w:val="24"/>
          <w:szCs w:val="24"/>
          <w:u w:val="single"/>
        </w:rPr>
      </w:pPr>
      <w:proofErr w:type="spellStart"/>
      <w:r w:rsidRPr="00EA77A8">
        <w:rPr>
          <w:u w:val="single"/>
          <w:lang w:eastAsia="bg-BG"/>
        </w:rPr>
        <w:t>Адювантна</w:t>
      </w:r>
      <w:proofErr w:type="spellEnd"/>
      <w:r w:rsidRPr="00EA77A8">
        <w:rPr>
          <w:u w:val="single"/>
          <w:lang w:eastAsia="bg-BG"/>
        </w:rPr>
        <w:t xml:space="preserve"> химиотерапия на рак на дебелото черво стадий </w:t>
      </w:r>
      <w:r w:rsidRPr="00EA77A8">
        <w:rPr>
          <w:u w:val="single"/>
          <w:lang w:val="en-US"/>
        </w:rPr>
        <w:t xml:space="preserve">III (T1-4 N1-2) </w:t>
      </w:r>
      <w:r w:rsidRPr="00EA77A8">
        <w:rPr>
          <w:u w:val="single"/>
          <w:lang w:eastAsia="bg-BG"/>
        </w:rPr>
        <w:t xml:space="preserve">след предшестваща </w:t>
      </w:r>
      <w:proofErr w:type="spellStart"/>
      <w:r w:rsidRPr="00EA77A8">
        <w:rPr>
          <w:u w:val="single"/>
          <w:lang w:eastAsia="bg-BG"/>
        </w:rPr>
        <w:t>резекция</w:t>
      </w:r>
      <w:proofErr w:type="spellEnd"/>
      <w:r w:rsidRPr="00EA77A8">
        <w:rPr>
          <w:u w:val="single"/>
          <w:lang w:eastAsia="bg-BG"/>
        </w:rPr>
        <w:t xml:space="preserve"> на първичния тумор</w:t>
      </w:r>
    </w:p>
    <w:p w14:paraId="4EF10BAA" w14:textId="77777777" w:rsidR="00EA77A8" w:rsidRDefault="00EA77A8" w:rsidP="00EA77A8">
      <w:pPr>
        <w:rPr>
          <w:lang w:eastAsia="bg-BG"/>
        </w:rPr>
      </w:pPr>
    </w:p>
    <w:p w14:paraId="6B515715" w14:textId="76845D02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>Понастоящем могат да се препоръчат следните режими на дозиране.</w:t>
      </w:r>
    </w:p>
    <w:p w14:paraId="6AB32AF8" w14:textId="77777777" w:rsidR="00EA77A8" w:rsidRDefault="00EA77A8" w:rsidP="00EA77A8">
      <w:pPr>
        <w:rPr>
          <w:lang w:eastAsia="bg-BG"/>
        </w:rPr>
      </w:pPr>
    </w:p>
    <w:p w14:paraId="2A86B345" w14:textId="735DA5EB" w:rsidR="00EA77A8" w:rsidRPr="00EA77A8" w:rsidRDefault="00EA77A8" w:rsidP="00EA77A8">
      <w:pPr>
        <w:rPr>
          <w:sz w:val="24"/>
          <w:szCs w:val="24"/>
        </w:rPr>
      </w:pPr>
      <w:r w:rsidRPr="00EA77A8">
        <w:rPr>
          <w:u w:val="single"/>
          <w:lang w:eastAsia="bg-BG"/>
        </w:rPr>
        <w:t>Седмичен</w:t>
      </w:r>
      <w:r w:rsidRPr="00EA77A8">
        <w:rPr>
          <w:lang w:eastAsia="bg-BG"/>
        </w:rPr>
        <w:t xml:space="preserve"> </w:t>
      </w:r>
      <w:r w:rsidRPr="00EA77A8">
        <w:rPr>
          <w:u w:val="single"/>
          <w:lang w:eastAsia="bg-BG"/>
        </w:rPr>
        <w:t>режим</w:t>
      </w:r>
    </w:p>
    <w:p w14:paraId="0C98349D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lastRenderedPageBreak/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500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телесна повърхност като интравенозна инфузия за два часа, последвана от 500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телесна повърхност 5-флуороурацил като интравенозна </w:t>
      </w:r>
      <w:proofErr w:type="spellStart"/>
      <w:r w:rsidRPr="00EA77A8">
        <w:rPr>
          <w:lang w:eastAsia="bg-BG"/>
        </w:rPr>
        <w:t>болус</w:t>
      </w:r>
      <w:proofErr w:type="spellEnd"/>
      <w:r w:rsidRPr="00EA77A8">
        <w:rPr>
          <w:lang w:eastAsia="bg-BG"/>
        </w:rPr>
        <w:t xml:space="preserve"> инжекция един час след започване на инфузията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един път седмично в продължение на шест седмици. Препоръчват се шест цикъла, като се оставя двуседмична почивка между курсовете на лечение. Терапията не трябва да продължава повече от една година, независимо от корекциите в дозата или прекъсване на лечението.</w:t>
      </w:r>
    </w:p>
    <w:p w14:paraId="511024B9" w14:textId="77777777" w:rsidR="00EA77A8" w:rsidRDefault="00EA77A8" w:rsidP="00EA77A8">
      <w:pPr>
        <w:rPr>
          <w:lang w:eastAsia="bg-BG"/>
        </w:rPr>
      </w:pPr>
    </w:p>
    <w:p w14:paraId="462716A5" w14:textId="08D43C0B" w:rsidR="00EA77A8" w:rsidRPr="00EA77A8" w:rsidRDefault="00EA77A8" w:rsidP="00EA77A8">
      <w:pPr>
        <w:rPr>
          <w:sz w:val="24"/>
          <w:szCs w:val="24"/>
          <w:u w:val="single"/>
        </w:rPr>
      </w:pPr>
      <w:proofErr w:type="spellStart"/>
      <w:r w:rsidRPr="00EA77A8">
        <w:rPr>
          <w:u w:val="single"/>
          <w:lang w:eastAsia="bg-BG"/>
        </w:rPr>
        <w:t>Нискодозов</w:t>
      </w:r>
      <w:proofErr w:type="spellEnd"/>
      <w:r w:rsidRPr="00EA77A8">
        <w:rPr>
          <w:u w:val="single"/>
          <w:lang w:eastAsia="bg-BG"/>
        </w:rPr>
        <w:t xml:space="preserve"> режим с </w:t>
      </w:r>
      <w:proofErr w:type="spellStart"/>
      <w:r w:rsidRPr="00EA77A8">
        <w:rPr>
          <w:u w:val="single"/>
          <w:lang w:eastAsia="bg-BG"/>
        </w:rPr>
        <w:t>фолинова</w:t>
      </w:r>
      <w:proofErr w:type="spellEnd"/>
      <w:r w:rsidRPr="00EA77A8">
        <w:rPr>
          <w:u w:val="single"/>
          <w:lang w:eastAsia="bg-BG"/>
        </w:rPr>
        <w:t xml:space="preserve"> киселина</w:t>
      </w:r>
    </w:p>
    <w:p w14:paraId="649C86D7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20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телесна повърхност като интравенозна </w:t>
      </w:r>
      <w:proofErr w:type="spellStart"/>
      <w:r w:rsidRPr="00EA77A8">
        <w:rPr>
          <w:lang w:eastAsia="bg-BG"/>
        </w:rPr>
        <w:t>болус</w:t>
      </w:r>
      <w:proofErr w:type="spellEnd"/>
      <w:r w:rsidRPr="00EA77A8">
        <w:rPr>
          <w:lang w:eastAsia="bg-BG"/>
        </w:rPr>
        <w:t xml:space="preserve"> инжекция, последвана от 425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телесна повърхност 5-флуороурацил като интравенозна </w:t>
      </w:r>
      <w:proofErr w:type="spellStart"/>
      <w:r w:rsidRPr="00EA77A8">
        <w:rPr>
          <w:lang w:eastAsia="bg-BG"/>
        </w:rPr>
        <w:t>болус</w:t>
      </w:r>
      <w:proofErr w:type="spellEnd"/>
      <w:r w:rsidRPr="00EA77A8">
        <w:rPr>
          <w:lang w:eastAsia="bg-BG"/>
        </w:rPr>
        <w:t xml:space="preserve"> инжекция през първите пет дни от цикъла на лечение в продължение на общо шест цикъла на лечение. Тези цикли се повтарят след четири и осем седмици, както и на всеки пет седмици след това.</w:t>
      </w:r>
    </w:p>
    <w:p w14:paraId="20A22E3A" w14:textId="77777777" w:rsidR="00EA77A8" w:rsidRDefault="00EA77A8" w:rsidP="00EA77A8">
      <w:pPr>
        <w:rPr>
          <w:lang w:eastAsia="bg-BG"/>
        </w:rPr>
      </w:pPr>
    </w:p>
    <w:p w14:paraId="63EDCA35" w14:textId="10FBA2D3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>В зависимост от токсичните нежелани ефекти може да се наложи корекция на дозата.</w:t>
      </w:r>
    </w:p>
    <w:p w14:paraId="5813F71B" w14:textId="77777777" w:rsidR="00EA77A8" w:rsidRDefault="00EA77A8" w:rsidP="00EA77A8">
      <w:pPr>
        <w:rPr>
          <w:b/>
          <w:bCs/>
          <w:lang w:eastAsia="bg-BG"/>
        </w:rPr>
      </w:pPr>
    </w:p>
    <w:p w14:paraId="347346DF" w14:textId="295B7279" w:rsidR="00EA77A8" w:rsidRDefault="00EA77A8" w:rsidP="00EA77A8">
      <w:pPr>
        <w:rPr>
          <w:b/>
          <w:bCs/>
          <w:lang w:eastAsia="bg-BG"/>
        </w:rPr>
      </w:pPr>
      <w:r w:rsidRPr="00EA77A8">
        <w:rPr>
          <w:b/>
          <w:bCs/>
          <w:lang w:eastAsia="bg-BG"/>
        </w:rPr>
        <w:t>Прекратяване на лечението вследствие хематологична токсичност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77A8" w14:paraId="449C161B" w14:textId="77777777" w:rsidTr="00EA77A8">
        <w:tc>
          <w:tcPr>
            <w:tcW w:w="4788" w:type="dxa"/>
          </w:tcPr>
          <w:p w14:paraId="3BC17B55" w14:textId="242B5D88" w:rsidR="00EA77A8" w:rsidRDefault="00EA77A8" w:rsidP="00EA77A8">
            <w:pPr>
              <w:rPr>
                <w:sz w:val="24"/>
                <w:szCs w:val="24"/>
              </w:rPr>
            </w:pPr>
            <w:r>
              <w:t xml:space="preserve">Левкоцити &lt; 3 500 или </w:t>
            </w:r>
            <w:proofErr w:type="spellStart"/>
            <w:r>
              <w:t>тромбоцити</w:t>
            </w:r>
            <w:proofErr w:type="spellEnd"/>
            <w:r>
              <w:t xml:space="preserve"> &lt;100 000</w:t>
            </w:r>
          </w:p>
        </w:tc>
        <w:tc>
          <w:tcPr>
            <w:tcW w:w="4788" w:type="dxa"/>
          </w:tcPr>
          <w:p w14:paraId="08A532D7" w14:textId="2EB00260" w:rsidR="00EA77A8" w:rsidRDefault="00EA77A8" w:rsidP="00EA77A8">
            <w:pPr>
              <w:rPr>
                <w:sz w:val="24"/>
                <w:szCs w:val="24"/>
              </w:rPr>
            </w:pPr>
            <w:r>
              <w:t>Терапията се прекратява докато се повиши броят на левкоцитите (</w:t>
            </w:r>
            <w:r>
              <w:rPr>
                <w:lang w:val="en-US"/>
              </w:rPr>
              <w:t>≥</w:t>
            </w:r>
            <w:r>
              <w:t xml:space="preserve"> 3 500) и </w:t>
            </w:r>
            <w:proofErr w:type="spellStart"/>
            <w:r>
              <w:t>тромбоцитите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≥</w:t>
            </w:r>
            <w:r>
              <w:t>100 000)</w:t>
            </w:r>
          </w:p>
        </w:tc>
      </w:tr>
      <w:tr w:rsidR="00EA77A8" w14:paraId="7AFB40ED" w14:textId="77777777" w:rsidTr="00EA77A8">
        <w:tc>
          <w:tcPr>
            <w:tcW w:w="4788" w:type="dxa"/>
          </w:tcPr>
          <w:p w14:paraId="3308E5E6" w14:textId="3157D9CB" w:rsidR="00EA77A8" w:rsidRDefault="00EA77A8" w:rsidP="00EA77A8">
            <w:pPr>
              <w:rPr>
                <w:sz w:val="24"/>
                <w:szCs w:val="24"/>
              </w:rPr>
            </w:pPr>
            <w:r>
              <w:t xml:space="preserve">Левкоцити &lt; 2 500 или </w:t>
            </w:r>
            <w:proofErr w:type="spellStart"/>
            <w:r>
              <w:t>тромбоцити</w:t>
            </w:r>
            <w:proofErr w:type="spellEnd"/>
            <w:r>
              <w:t xml:space="preserve"> &lt; 75 000</w:t>
            </w:r>
          </w:p>
        </w:tc>
        <w:tc>
          <w:tcPr>
            <w:tcW w:w="4788" w:type="dxa"/>
          </w:tcPr>
          <w:p w14:paraId="77686518" w14:textId="124B0E13" w:rsidR="00EA77A8" w:rsidRDefault="00EA77A8" w:rsidP="00EA77A8">
            <w:pPr>
              <w:rPr>
                <w:sz w:val="24"/>
                <w:szCs w:val="24"/>
              </w:rPr>
            </w:pPr>
            <w:r>
              <w:t>Терапията се прекратява докато се повиши броят на левкоцитите (</w:t>
            </w:r>
            <w:r>
              <w:rPr>
                <w:lang w:val="en-US"/>
              </w:rPr>
              <w:t>≥</w:t>
            </w:r>
            <w:r>
              <w:t xml:space="preserve"> 3 500) и </w:t>
            </w:r>
            <w:proofErr w:type="spellStart"/>
            <w:r>
              <w:t>тромбоцитите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≥</w:t>
            </w:r>
            <w:r>
              <w:t xml:space="preserve"> 100 000), но най-малко за три седмици</w:t>
            </w:r>
          </w:p>
        </w:tc>
      </w:tr>
    </w:tbl>
    <w:p w14:paraId="34435144" w14:textId="77777777" w:rsidR="00EA77A8" w:rsidRPr="00EA77A8" w:rsidRDefault="00EA77A8" w:rsidP="00EA77A8">
      <w:pPr>
        <w:rPr>
          <w:sz w:val="24"/>
          <w:szCs w:val="24"/>
        </w:rPr>
      </w:pPr>
    </w:p>
    <w:p w14:paraId="0901E5AA" w14:textId="77777777" w:rsidR="00EA77A8" w:rsidRPr="00EA77A8" w:rsidRDefault="00EA77A8" w:rsidP="00EA77A8">
      <w:pPr>
        <w:rPr>
          <w:b/>
          <w:bCs/>
          <w:sz w:val="24"/>
          <w:szCs w:val="24"/>
          <w:u w:val="single"/>
        </w:rPr>
      </w:pPr>
      <w:r w:rsidRPr="00EA77A8">
        <w:rPr>
          <w:b/>
          <w:bCs/>
          <w:u w:val="single"/>
          <w:lang w:eastAsia="bg-BG"/>
        </w:rPr>
        <w:t xml:space="preserve">Прекратяване на терапията вследствие </w:t>
      </w:r>
      <w:proofErr w:type="spellStart"/>
      <w:r w:rsidRPr="00EA77A8">
        <w:rPr>
          <w:b/>
          <w:bCs/>
          <w:u w:val="single"/>
          <w:lang w:eastAsia="bg-BG"/>
        </w:rPr>
        <w:t>гастро-интестинална</w:t>
      </w:r>
      <w:proofErr w:type="spellEnd"/>
      <w:r w:rsidRPr="00EA77A8">
        <w:rPr>
          <w:b/>
          <w:bCs/>
          <w:u w:val="single"/>
          <w:lang w:eastAsia="bg-BG"/>
        </w:rPr>
        <w:t xml:space="preserve"> токсичност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77A8" w14:paraId="32CAFBE8" w14:textId="77777777" w:rsidTr="00EA77A8">
        <w:tc>
          <w:tcPr>
            <w:tcW w:w="4788" w:type="dxa"/>
          </w:tcPr>
          <w:p w14:paraId="0BD05A1C" w14:textId="63CC54E6" w:rsidR="00EA77A8" w:rsidRDefault="00EA77A8" w:rsidP="00EA77A8">
            <w:r>
              <w:t>Леко до умерен стоматит и/или лека диария (2 пъти/дневно)</w:t>
            </w:r>
          </w:p>
        </w:tc>
        <w:tc>
          <w:tcPr>
            <w:tcW w:w="4788" w:type="dxa"/>
          </w:tcPr>
          <w:p w14:paraId="531DA18A" w14:textId="30E1F491" w:rsidR="00EA77A8" w:rsidRDefault="00EA77A8" w:rsidP="00EA77A8">
            <w:r>
              <w:t>Терапията се прекратява до нормализиране на състоянието</w:t>
            </w:r>
          </w:p>
        </w:tc>
      </w:tr>
      <w:tr w:rsidR="00EA77A8" w14:paraId="262FF3EE" w14:textId="77777777" w:rsidTr="00EA77A8">
        <w:tc>
          <w:tcPr>
            <w:tcW w:w="4788" w:type="dxa"/>
          </w:tcPr>
          <w:p w14:paraId="302EC5C7" w14:textId="67701F90" w:rsidR="00EA77A8" w:rsidRDefault="00EA77A8" w:rsidP="00EA77A8">
            <w:r>
              <w:t>Тежък стоматит и/или умерена до тежка диария (3-6 пъти дневно)</w:t>
            </w:r>
          </w:p>
        </w:tc>
        <w:tc>
          <w:tcPr>
            <w:tcW w:w="4788" w:type="dxa"/>
          </w:tcPr>
          <w:p w14:paraId="0D663C9C" w14:textId="5377BCB1" w:rsidR="00EA77A8" w:rsidRDefault="00EA77A8" w:rsidP="00EA77A8">
            <w:r>
              <w:t>Терапията се прекратява до нормализиране на състоянието, но най-малко за три седмици</w:t>
            </w:r>
          </w:p>
        </w:tc>
      </w:tr>
      <w:tr w:rsidR="00EA77A8" w14:paraId="6A3F01DF" w14:textId="77777777" w:rsidTr="00EA77A8">
        <w:tc>
          <w:tcPr>
            <w:tcW w:w="4788" w:type="dxa"/>
          </w:tcPr>
          <w:p w14:paraId="18ADC156" w14:textId="338EA2ED" w:rsidR="00EA77A8" w:rsidRDefault="00EA77A8" w:rsidP="00EA77A8">
            <w:r>
              <w:t>Стомашно-чревни кръвоизливи, остра диария (</w:t>
            </w:r>
            <w:r>
              <w:rPr>
                <w:lang w:val="en-US"/>
              </w:rPr>
              <w:t>≥</w:t>
            </w:r>
            <w:r>
              <w:t xml:space="preserve"> 7 пъти/дневно) ± </w:t>
            </w:r>
            <w:proofErr w:type="spellStart"/>
            <w:r>
              <w:t>ексфолиативен</w:t>
            </w:r>
            <w:proofErr w:type="spellEnd"/>
            <w:r>
              <w:t xml:space="preserve"> дерматит</w:t>
            </w:r>
          </w:p>
        </w:tc>
        <w:tc>
          <w:tcPr>
            <w:tcW w:w="4788" w:type="dxa"/>
          </w:tcPr>
          <w:p w14:paraId="5CDECBD8" w14:textId="020D22A9" w:rsidR="00EA77A8" w:rsidRDefault="00EA77A8" w:rsidP="00EA77A8">
            <w:r>
              <w:t>Терапията се прекратява!</w:t>
            </w:r>
          </w:p>
        </w:tc>
      </w:tr>
    </w:tbl>
    <w:p w14:paraId="5BF986BE" w14:textId="77777777" w:rsidR="00EA77A8" w:rsidRPr="00EA77A8" w:rsidRDefault="00EA77A8" w:rsidP="00EA77A8">
      <w:pPr>
        <w:rPr>
          <w:b/>
          <w:bCs/>
          <w:sz w:val="24"/>
          <w:szCs w:val="24"/>
          <w:u w:val="single"/>
        </w:rPr>
      </w:pPr>
      <w:r w:rsidRPr="00EA77A8">
        <w:rPr>
          <w:b/>
          <w:bCs/>
          <w:u w:val="single"/>
          <w:lang w:eastAsia="bg-BG"/>
        </w:rPr>
        <w:t xml:space="preserve">Антидот на антагонистите на фолиевата киселина </w:t>
      </w:r>
      <w:proofErr w:type="spellStart"/>
      <w:r w:rsidRPr="00EA77A8">
        <w:rPr>
          <w:b/>
          <w:bCs/>
          <w:u w:val="single"/>
          <w:lang w:eastAsia="bg-BG"/>
        </w:rPr>
        <w:t>триметрексат</w:t>
      </w:r>
      <w:proofErr w:type="spellEnd"/>
      <w:r w:rsidRPr="00EA77A8">
        <w:rPr>
          <w:b/>
          <w:bCs/>
          <w:u w:val="single"/>
          <w:lang w:eastAsia="bg-BG"/>
        </w:rPr>
        <w:t xml:space="preserve">, </w:t>
      </w:r>
      <w:proofErr w:type="spellStart"/>
      <w:r w:rsidRPr="00EA77A8">
        <w:rPr>
          <w:b/>
          <w:bCs/>
          <w:u w:val="single"/>
          <w:lang w:eastAsia="bg-BG"/>
        </w:rPr>
        <w:t>триметоприм</w:t>
      </w:r>
      <w:proofErr w:type="spellEnd"/>
      <w:r w:rsidRPr="00EA77A8">
        <w:rPr>
          <w:b/>
          <w:bCs/>
          <w:u w:val="single"/>
          <w:lang w:eastAsia="bg-BG"/>
        </w:rPr>
        <w:t xml:space="preserve"> </w:t>
      </w:r>
      <w:r w:rsidRPr="00EA77A8">
        <w:rPr>
          <w:b/>
          <w:bCs/>
          <w:i/>
          <w:iCs/>
          <w:u w:val="single"/>
          <w:lang w:eastAsia="bg-BG"/>
        </w:rPr>
        <w:t xml:space="preserve">и </w:t>
      </w:r>
      <w:proofErr w:type="spellStart"/>
      <w:r w:rsidRPr="00EA77A8">
        <w:rPr>
          <w:b/>
          <w:bCs/>
          <w:u w:val="single"/>
          <w:lang w:eastAsia="bg-BG"/>
        </w:rPr>
        <w:t>пирнметамин</w:t>
      </w:r>
      <w:proofErr w:type="spellEnd"/>
    </w:p>
    <w:p w14:paraId="0329A63F" w14:textId="77777777" w:rsidR="00EA77A8" w:rsidRDefault="00EA77A8" w:rsidP="00EA77A8">
      <w:pPr>
        <w:rPr>
          <w:lang w:eastAsia="bg-BG"/>
        </w:rPr>
      </w:pPr>
    </w:p>
    <w:p w14:paraId="0EB31C11" w14:textId="7635A5E1" w:rsidR="00EA77A8" w:rsidRPr="00EA77A8" w:rsidRDefault="00EA77A8" w:rsidP="00EA77A8">
      <w:pPr>
        <w:rPr>
          <w:b/>
          <w:bCs/>
          <w:u w:val="single"/>
          <w:lang w:eastAsia="bg-BG"/>
        </w:rPr>
      </w:pPr>
      <w:r w:rsidRPr="00EA77A8">
        <w:rPr>
          <w:b/>
          <w:bCs/>
          <w:u w:val="single"/>
          <w:lang w:eastAsia="bg-BG"/>
        </w:rPr>
        <w:t xml:space="preserve">Токсичност на </w:t>
      </w:r>
      <w:proofErr w:type="spellStart"/>
      <w:r w:rsidRPr="00EA77A8">
        <w:rPr>
          <w:b/>
          <w:bCs/>
          <w:u w:val="single"/>
          <w:lang w:eastAsia="bg-BG"/>
        </w:rPr>
        <w:t>триметрексат</w:t>
      </w:r>
      <w:proofErr w:type="spellEnd"/>
    </w:p>
    <w:p w14:paraId="08486104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Предпазни мерки: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трябва да се прилага ежедневно по време на лечението с </w:t>
      </w:r>
      <w:proofErr w:type="spellStart"/>
      <w:r w:rsidRPr="00EA77A8">
        <w:rPr>
          <w:lang w:eastAsia="bg-BG"/>
        </w:rPr>
        <w:t>триметрексат</w:t>
      </w:r>
      <w:proofErr w:type="spellEnd"/>
      <w:r w:rsidRPr="00EA77A8">
        <w:rPr>
          <w:lang w:eastAsia="bg-BG"/>
        </w:rPr>
        <w:t xml:space="preserve"> и 72 часа след последната доза </w:t>
      </w:r>
      <w:proofErr w:type="spellStart"/>
      <w:r w:rsidRPr="00EA77A8">
        <w:rPr>
          <w:lang w:eastAsia="bg-BG"/>
        </w:rPr>
        <w:t>триметрексат</w:t>
      </w:r>
      <w:proofErr w:type="spellEnd"/>
      <w:r w:rsidRPr="00EA77A8">
        <w:rPr>
          <w:lang w:eastAsia="bg-BG"/>
        </w:rPr>
        <w:t xml:space="preserve">.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се прилага интравенозно в доза 20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за 5 до 10 минути на всеки шест часа до достигане на обща дневна доза от 80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или перорално в четири приема на ден по 20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, </w:t>
      </w:r>
      <w:r w:rsidRPr="00EA77A8">
        <w:rPr>
          <w:lang w:eastAsia="bg-BG"/>
        </w:rPr>
        <w:t xml:space="preserve">през равни интервали. Дневните дози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трябва да се определят в зависимост от хематологичната токсичност на </w:t>
      </w:r>
      <w:proofErr w:type="spellStart"/>
      <w:r w:rsidRPr="00EA77A8">
        <w:rPr>
          <w:lang w:eastAsia="bg-BG"/>
        </w:rPr>
        <w:t>триметрексат</w:t>
      </w:r>
      <w:proofErr w:type="spellEnd"/>
      <w:r w:rsidRPr="00EA77A8">
        <w:rPr>
          <w:lang w:eastAsia="bg-BG"/>
        </w:rPr>
        <w:t>.</w:t>
      </w:r>
    </w:p>
    <w:p w14:paraId="5BBE89B4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Предозиране (вследствие прилагане на дози </w:t>
      </w:r>
      <w:proofErr w:type="spellStart"/>
      <w:r w:rsidRPr="00EA77A8">
        <w:rPr>
          <w:lang w:eastAsia="bg-BG"/>
        </w:rPr>
        <w:t>триметрексат</w:t>
      </w:r>
      <w:proofErr w:type="spellEnd"/>
      <w:r w:rsidRPr="00EA77A8">
        <w:rPr>
          <w:lang w:eastAsia="bg-BG"/>
        </w:rPr>
        <w:t xml:space="preserve"> над 90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>2</w:t>
      </w:r>
      <w:r w:rsidRPr="00EA77A8">
        <w:rPr>
          <w:lang w:val="en-US"/>
        </w:rPr>
        <w:t xml:space="preserve"> </w:t>
      </w:r>
      <w:r w:rsidRPr="00EA77A8">
        <w:rPr>
          <w:lang w:eastAsia="bg-BG"/>
        </w:rPr>
        <w:t xml:space="preserve">без да се прилага едновременно 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): след прекратяване на </w:t>
      </w:r>
      <w:proofErr w:type="spellStart"/>
      <w:r w:rsidRPr="00EA77A8">
        <w:rPr>
          <w:lang w:eastAsia="bg-BG"/>
        </w:rPr>
        <w:t>триметрексат</w:t>
      </w:r>
      <w:proofErr w:type="spellEnd"/>
      <w:r w:rsidRPr="00EA77A8">
        <w:rPr>
          <w:lang w:eastAsia="bg-BG"/>
        </w:rPr>
        <w:t xml:space="preserve">: </w:t>
      </w:r>
      <w:r w:rsidRPr="00EA77A8">
        <w:rPr>
          <w:lang w:eastAsia="bg-BG"/>
        </w:rPr>
        <w:lastRenderedPageBreak/>
        <w:t xml:space="preserve">приложение на 40 </w:t>
      </w:r>
      <w:r w:rsidRPr="00EA77A8">
        <w:rPr>
          <w:lang w:val="en-US"/>
        </w:rPr>
        <w:t>mg/m</w:t>
      </w:r>
      <w:r w:rsidRPr="00EA77A8">
        <w:rPr>
          <w:vertAlign w:val="superscript"/>
          <w:lang w:val="en-US"/>
        </w:rPr>
        <w:t xml:space="preserve">2 </w:t>
      </w: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интравенозно на всеки шест часа в продължение на три дни.</w:t>
      </w:r>
    </w:p>
    <w:p w14:paraId="18100620" w14:textId="77777777" w:rsidR="00EA77A8" w:rsidRDefault="00EA77A8" w:rsidP="00EA77A8">
      <w:pPr>
        <w:rPr>
          <w:lang w:eastAsia="bg-BG"/>
        </w:rPr>
      </w:pPr>
      <w:bookmarkStart w:id="2" w:name="bookmark2"/>
    </w:p>
    <w:p w14:paraId="37B5A186" w14:textId="701CB31B" w:rsidR="00EA77A8" w:rsidRPr="00EA77A8" w:rsidRDefault="00EA77A8" w:rsidP="00EA77A8">
      <w:pPr>
        <w:rPr>
          <w:b/>
          <w:bCs/>
          <w:sz w:val="24"/>
          <w:szCs w:val="24"/>
          <w:u w:val="single"/>
        </w:rPr>
      </w:pPr>
      <w:r w:rsidRPr="00EA77A8">
        <w:rPr>
          <w:b/>
          <w:bCs/>
          <w:u w:val="single"/>
          <w:lang w:eastAsia="bg-BG"/>
        </w:rPr>
        <w:t xml:space="preserve">Токсичност на </w:t>
      </w:r>
      <w:proofErr w:type="spellStart"/>
      <w:r w:rsidRPr="00EA77A8">
        <w:rPr>
          <w:b/>
          <w:bCs/>
          <w:u w:val="single"/>
          <w:lang w:eastAsia="bg-BG"/>
        </w:rPr>
        <w:t>триметоприм</w:t>
      </w:r>
      <w:bookmarkEnd w:id="2"/>
      <w:proofErr w:type="spellEnd"/>
    </w:p>
    <w:p w14:paraId="4E025112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След прекратяване на </w:t>
      </w:r>
      <w:proofErr w:type="spellStart"/>
      <w:r w:rsidRPr="00EA77A8">
        <w:rPr>
          <w:lang w:eastAsia="bg-BG"/>
        </w:rPr>
        <w:t>триметоприм</w:t>
      </w:r>
      <w:proofErr w:type="spellEnd"/>
      <w:r w:rsidRPr="00EA77A8">
        <w:rPr>
          <w:lang w:eastAsia="bg-BG"/>
        </w:rPr>
        <w:t xml:space="preserve">: прилагане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3-10 </w:t>
      </w:r>
      <w:r w:rsidRPr="00EA77A8">
        <w:rPr>
          <w:lang w:val="en-US"/>
        </w:rPr>
        <w:t>mg</w:t>
      </w:r>
      <w:r w:rsidRPr="00EA77A8">
        <w:rPr>
          <w:lang w:eastAsia="bg-BG"/>
        </w:rPr>
        <w:t>/ден до нормализиране стойностите на кръвната картина.</w:t>
      </w:r>
    </w:p>
    <w:p w14:paraId="443CEB53" w14:textId="77777777" w:rsidR="00EA77A8" w:rsidRDefault="00EA77A8" w:rsidP="00EA77A8">
      <w:pPr>
        <w:rPr>
          <w:lang w:eastAsia="bg-BG"/>
        </w:rPr>
      </w:pPr>
      <w:bookmarkStart w:id="3" w:name="bookmark4"/>
    </w:p>
    <w:p w14:paraId="49ECECA4" w14:textId="000E6B74" w:rsidR="00EA77A8" w:rsidRPr="00EA77A8" w:rsidRDefault="00EA77A8" w:rsidP="00EA77A8">
      <w:pPr>
        <w:rPr>
          <w:b/>
          <w:bCs/>
          <w:sz w:val="24"/>
          <w:szCs w:val="24"/>
          <w:u w:val="single"/>
        </w:rPr>
      </w:pPr>
      <w:r w:rsidRPr="00EA77A8">
        <w:rPr>
          <w:b/>
          <w:bCs/>
          <w:u w:val="single"/>
          <w:lang w:eastAsia="bg-BG"/>
        </w:rPr>
        <w:t xml:space="preserve">Токсичност на </w:t>
      </w:r>
      <w:proofErr w:type="spellStart"/>
      <w:r w:rsidRPr="00EA77A8">
        <w:rPr>
          <w:b/>
          <w:bCs/>
          <w:u w:val="single"/>
          <w:lang w:eastAsia="bg-BG"/>
        </w:rPr>
        <w:t>пирнметамин</w:t>
      </w:r>
      <w:bookmarkEnd w:id="3"/>
      <w:proofErr w:type="spellEnd"/>
    </w:p>
    <w:p w14:paraId="213F25E6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При </w:t>
      </w:r>
      <w:proofErr w:type="spellStart"/>
      <w:r w:rsidRPr="00EA77A8">
        <w:rPr>
          <w:lang w:eastAsia="bg-BG"/>
        </w:rPr>
        <w:t>високодозова</w:t>
      </w:r>
      <w:proofErr w:type="spellEnd"/>
      <w:r w:rsidRPr="00EA77A8">
        <w:rPr>
          <w:lang w:eastAsia="bg-BG"/>
        </w:rPr>
        <w:t xml:space="preserve"> терапия с </w:t>
      </w:r>
      <w:proofErr w:type="spellStart"/>
      <w:r w:rsidRPr="00EA77A8">
        <w:rPr>
          <w:lang w:eastAsia="bg-BG"/>
        </w:rPr>
        <w:t>пирнметамин</w:t>
      </w:r>
      <w:proofErr w:type="spellEnd"/>
      <w:r w:rsidRPr="00EA77A8">
        <w:rPr>
          <w:lang w:eastAsia="bg-BG"/>
        </w:rPr>
        <w:t xml:space="preserve"> или продължително </w:t>
      </w:r>
      <w:proofErr w:type="spellStart"/>
      <w:r w:rsidRPr="00EA77A8">
        <w:rPr>
          <w:lang w:eastAsia="bg-BG"/>
        </w:rPr>
        <w:t>нискодозово</w:t>
      </w:r>
      <w:proofErr w:type="spellEnd"/>
      <w:r w:rsidRPr="00EA77A8">
        <w:rPr>
          <w:lang w:eastAsia="bg-BG"/>
        </w:rPr>
        <w:t xml:space="preserve"> лечение,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трябва едновременно да се прилага в доза от 5 до 50 </w:t>
      </w:r>
      <w:r w:rsidRPr="00EA77A8">
        <w:rPr>
          <w:lang w:val="en-US"/>
        </w:rPr>
        <w:t>mg</w:t>
      </w:r>
      <w:r w:rsidRPr="00EA77A8">
        <w:rPr>
          <w:lang w:eastAsia="bg-BG"/>
        </w:rPr>
        <w:t>/ден в зависимост от показателите на периферната кръв.</w:t>
      </w:r>
    </w:p>
    <w:p w14:paraId="38460D0C" w14:textId="77777777" w:rsidR="00EA77A8" w:rsidRPr="00EA77A8" w:rsidRDefault="00EA77A8" w:rsidP="00EA77A8"/>
    <w:p w14:paraId="0E366821" w14:textId="6FDB7BF3" w:rsidR="00FD69E8" w:rsidRDefault="002C50EE" w:rsidP="00AA23EC">
      <w:pPr>
        <w:pStyle w:val="Heading2"/>
      </w:pPr>
      <w:r>
        <w:t>4.3. Противопоказания</w:t>
      </w:r>
    </w:p>
    <w:p w14:paraId="22148BEB" w14:textId="77777777" w:rsidR="00EA77A8" w:rsidRDefault="00EA77A8" w:rsidP="00EA77A8">
      <w:pPr>
        <w:rPr>
          <w:lang w:eastAsia="bg-BG"/>
        </w:rPr>
      </w:pPr>
    </w:p>
    <w:p w14:paraId="268EDB9A" w14:textId="4790BDCE" w:rsidR="00EA77A8" w:rsidRPr="00EA77A8" w:rsidRDefault="00EA77A8" w:rsidP="00EA77A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A77A8">
        <w:rPr>
          <w:lang w:eastAsia="bg-BG"/>
        </w:rPr>
        <w:t xml:space="preserve">доказана свръхчувствителност към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или към някое от помощните вещества.</w:t>
      </w:r>
    </w:p>
    <w:p w14:paraId="518B682E" w14:textId="3D7F189A" w:rsidR="00EA77A8" w:rsidRPr="00EA77A8" w:rsidRDefault="00EA77A8" w:rsidP="00EA77A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A77A8">
        <w:rPr>
          <w:lang w:eastAsia="bg-BG"/>
        </w:rPr>
        <w:t>злокачествена анемия или други анемии дължащи се на недостиг на витамин В</w:t>
      </w:r>
      <w:r w:rsidRPr="00EA77A8">
        <w:rPr>
          <w:vertAlign w:val="subscript"/>
          <w:lang w:eastAsia="bg-BG"/>
        </w:rPr>
        <w:t>12</w:t>
      </w:r>
      <w:r w:rsidRPr="00EA77A8">
        <w:rPr>
          <w:lang w:eastAsia="bg-BG"/>
        </w:rPr>
        <w:t>.</w:t>
      </w:r>
    </w:p>
    <w:p w14:paraId="34191457" w14:textId="77777777" w:rsidR="00EA77A8" w:rsidRDefault="00EA77A8" w:rsidP="00EA77A8">
      <w:pPr>
        <w:rPr>
          <w:lang w:eastAsia="bg-BG"/>
        </w:rPr>
      </w:pPr>
    </w:p>
    <w:p w14:paraId="6C288041" w14:textId="0E176F64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Относно лечението с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или 5-флуороурацил по време на бременност и кърмене, виж т. 4.6 "</w:t>
      </w:r>
      <w:proofErr w:type="spellStart"/>
      <w:r w:rsidRPr="00EA77A8">
        <w:rPr>
          <w:lang w:eastAsia="bg-BG"/>
        </w:rPr>
        <w:t>Фертилитет</w:t>
      </w:r>
      <w:proofErr w:type="spellEnd"/>
      <w:r w:rsidRPr="00EA77A8">
        <w:rPr>
          <w:lang w:eastAsia="bg-BG"/>
        </w:rPr>
        <w:t xml:space="preserve">, бременност и кърмене", както и Кратката характеристика на лекарствени продукти съдържащи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 5-флуороурацил.</w:t>
      </w:r>
    </w:p>
    <w:p w14:paraId="522F1AE8" w14:textId="77777777" w:rsidR="00EA77A8" w:rsidRPr="00EA77A8" w:rsidRDefault="00EA77A8" w:rsidP="00EA77A8"/>
    <w:p w14:paraId="6DDF89B4" w14:textId="412E0C3F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580A51BA" w14:textId="77777777" w:rsidR="00EA77A8" w:rsidRDefault="00EA77A8" w:rsidP="00EA77A8">
      <w:pPr>
        <w:rPr>
          <w:b/>
          <w:bCs/>
          <w:lang w:eastAsia="bg-BG"/>
        </w:rPr>
      </w:pPr>
    </w:p>
    <w:p w14:paraId="070775D8" w14:textId="76ACA386" w:rsidR="00EA77A8" w:rsidRPr="00EA77A8" w:rsidRDefault="00EA77A8" w:rsidP="00EA77A8">
      <w:pPr>
        <w:rPr>
          <w:sz w:val="24"/>
          <w:szCs w:val="24"/>
        </w:rPr>
      </w:pPr>
      <w:r w:rsidRPr="00EA77A8">
        <w:rPr>
          <w:b/>
          <w:bCs/>
          <w:lang w:eastAsia="bg-BG"/>
        </w:rPr>
        <w:t xml:space="preserve">Калциев </w:t>
      </w:r>
      <w:proofErr w:type="spellStart"/>
      <w:r w:rsidRPr="00EA77A8">
        <w:rPr>
          <w:b/>
          <w:bCs/>
          <w:lang w:eastAsia="bg-BG"/>
        </w:rPr>
        <w:t>фолинат</w:t>
      </w:r>
      <w:proofErr w:type="spellEnd"/>
      <w:r w:rsidRPr="00EA77A8">
        <w:rPr>
          <w:b/>
          <w:bCs/>
          <w:lang w:eastAsia="bg-BG"/>
        </w:rPr>
        <w:t xml:space="preserve"> трябва да се прилага само като интрамускулна или интравенозна инжекция и не трябва да се прилага </w:t>
      </w:r>
      <w:proofErr w:type="spellStart"/>
      <w:r w:rsidRPr="00EA77A8">
        <w:rPr>
          <w:b/>
          <w:bCs/>
          <w:lang w:eastAsia="bg-BG"/>
        </w:rPr>
        <w:t>интратекално</w:t>
      </w:r>
      <w:proofErr w:type="spellEnd"/>
      <w:r w:rsidRPr="00EA77A8">
        <w:rPr>
          <w:b/>
          <w:bCs/>
          <w:lang w:eastAsia="bg-BG"/>
        </w:rPr>
        <w:t xml:space="preserve">. </w:t>
      </w:r>
      <w:r w:rsidRPr="00EA77A8">
        <w:rPr>
          <w:lang w:eastAsia="bg-BG"/>
        </w:rPr>
        <w:t xml:space="preserve">Има съобщения за смъртни случаи в резултат на </w:t>
      </w:r>
      <w:proofErr w:type="spellStart"/>
      <w:r w:rsidRPr="00EA77A8">
        <w:rPr>
          <w:lang w:eastAsia="bg-BG"/>
        </w:rPr>
        <w:t>интратекално</w:t>
      </w:r>
      <w:proofErr w:type="spellEnd"/>
      <w:r w:rsidRPr="00EA77A8">
        <w:rPr>
          <w:lang w:eastAsia="bg-BG"/>
        </w:rPr>
        <w:t xml:space="preserve"> приложение на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 след </w:t>
      </w:r>
      <w:proofErr w:type="spellStart"/>
      <w:r w:rsidRPr="00EA77A8">
        <w:rPr>
          <w:lang w:eastAsia="bg-BG"/>
        </w:rPr>
        <w:t>интратекално</w:t>
      </w:r>
      <w:proofErr w:type="spellEnd"/>
      <w:r w:rsidRPr="00EA77A8">
        <w:rPr>
          <w:lang w:eastAsia="bg-BG"/>
        </w:rPr>
        <w:t xml:space="preserve"> предозиране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>.</w:t>
      </w:r>
    </w:p>
    <w:p w14:paraId="245BF402" w14:textId="77777777" w:rsidR="00EA77A8" w:rsidRDefault="00EA77A8" w:rsidP="00EA77A8">
      <w:pPr>
        <w:rPr>
          <w:i/>
          <w:iCs/>
          <w:u w:val="single"/>
          <w:lang w:eastAsia="bg-BG"/>
        </w:rPr>
      </w:pPr>
    </w:p>
    <w:p w14:paraId="444084C8" w14:textId="0B96698D" w:rsidR="00EA77A8" w:rsidRPr="00EA77A8" w:rsidRDefault="00EA77A8" w:rsidP="00EA77A8">
      <w:pPr>
        <w:rPr>
          <w:sz w:val="24"/>
          <w:szCs w:val="24"/>
        </w:rPr>
      </w:pPr>
      <w:r w:rsidRPr="00EA77A8">
        <w:rPr>
          <w:i/>
          <w:iCs/>
          <w:u w:val="single"/>
          <w:lang w:eastAsia="bg-BG"/>
        </w:rPr>
        <w:t>Обши</w:t>
      </w:r>
    </w:p>
    <w:p w14:paraId="7A32D806" w14:textId="1EEE24C3" w:rsidR="00EA77A8" w:rsidRDefault="00EA77A8" w:rsidP="00EA77A8">
      <w:pPr>
        <w:rPr>
          <w:lang w:eastAsia="bg-BG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се прилага с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или 5-флуороурацил само под пряк надзор на лекар, който има опит в приложението на </w:t>
      </w:r>
      <w:proofErr w:type="spellStart"/>
      <w:r w:rsidRPr="00EA77A8">
        <w:rPr>
          <w:lang w:eastAsia="bg-BG"/>
        </w:rPr>
        <w:t>химжлерапевтици</w:t>
      </w:r>
      <w:proofErr w:type="spellEnd"/>
      <w:r w:rsidRPr="00EA77A8">
        <w:rPr>
          <w:lang w:eastAsia="bg-BG"/>
        </w:rPr>
        <w:t xml:space="preserve"> при лечение на ракови заболявания.</w:t>
      </w:r>
    </w:p>
    <w:p w14:paraId="31051EAA" w14:textId="2C7620B9" w:rsidR="00EA77A8" w:rsidRDefault="00EA77A8" w:rsidP="00EA77A8">
      <w:pPr>
        <w:rPr>
          <w:lang w:eastAsia="bg-BG"/>
        </w:rPr>
      </w:pPr>
    </w:p>
    <w:p w14:paraId="640656E2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Лечението с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маскира симптомите на злокачествена анемия или други анемии дължащи се на недостиг на витамин В</w:t>
      </w:r>
      <w:r w:rsidRPr="00EA77A8">
        <w:rPr>
          <w:vertAlign w:val="subscript"/>
          <w:lang w:eastAsia="bg-BG"/>
        </w:rPr>
        <w:t>12</w:t>
      </w:r>
      <w:r w:rsidRPr="00EA77A8">
        <w:rPr>
          <w:lang w:eastAsia="bg-BG"/>
        </w:rPr>
        <w:t>.</w:t>
      </w:r>
    </w:p>
    <w:p w14:paraId="15F191EA" w14:textId="77777777" w:rsidR="00EA77A8" w:rsidRDefault="00EA77A8" w:rsidP="00EA77A8">
      <w:pPr>
        <w:rPr>
          <w:lang w:eastAsia="bg-BG"/>
        </w:rPr>
      </w:pPr>
    </w:p>
    <w:p w14:paraId="62400DEA" w14:textId="0BCEC1E8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Много </w:t>
      </w:r>
      <w:proofErr w:type="spellStart"/>
      <w:r w:rsidRPr="00EA77A8">
        <w:rPr>
          <w:lang w:eastAsia="bg-BG"/>
        </w:rPr>
        <w:t>цитотоксични</w:t>
      </w:r>
      <w:proofErr w:type="spellEnd"/>
      <w:r w:rsidRPr="00EA77A8">
        <w:rPr>
          <w:lang w:eastAsia="bg-BG"/>
        </w:rPr>
        <w:t xml:space="preserve"> лекарства - директни или индиректни инхибитори на ДНК синтеза, водят до </w:t>
      </w:r>
      <w:proofErr w:type="spellStart"/>
      <w:r w:rsidRPr="00EA77A8">
        <w:rPr>
          <w:lang w:eastAsia="bg-BG"/>
        </w:rPr>
        <w:t>макроцитоза</w:t>
      </w:r>
      <w:proofErr w:type="spellEnd"/>
      <w:r w:rsidRPr="00EA77A8">
        <w:rPr>
          <w:lang w:eastAsia="bg-BG"/>
        </w:rPr>
        <w:t xml:space="preserve"> (</w:t>
      </w:r>
      <w:proofErr w:type="spellStart"/>
      <w:r w:rsidRPr="00EA77A8">
        <w:rPr>
          <w:lang w:eastAsia="bg-BG"/>
        </w:rPr>
        <w:t>хидроксикарбамид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цитарабин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меркаптопурин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тиогуанин</w:t>
      </w:r>
      <w:proofErr w:type="spellEnd"/>
      <w:r w:rsidRPr="00EA77A8">
        <w:rPr>
          <w:lang w:eastAsia="bg-BG"/>
        </w:rPr>
        <w:t xml:space="preserve">). Такава </w:t>
      </w:r>
      <w:proofErr w:type="spellStart"/>
      <w:r w:rsidRPr="00EA77A8">
        <w:rPr>
          <w:lang w:eastAsia="bg-BG"/>
        </w:rPr>
        <w:t>макроцитоза</w:t>
      </w:r>
      <w:proofErr w:type="spellEnd"/>
      <w:r w:rsidRPr="00EA77A8">
        <w:rPr>
          <w:lang w:eastAsia="bg-BG"/>
        </w:rPr>
        <w:t xml:space="preserve"> не трябва да се лекува с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киселина.</w:t>
      </w:r>
    </w:p>
    <w:p w14:paraId="359AB998" w14:textId="77777777" w:rsidR="00EA77A8" w:rsidRDefault="00EA77A8" w:rsidP="00EA77A8">
      <w:pPr>
        <w:rPr>
          <w:lang w:eastAsia="bg-BG"/>
        </w:rPr>
      </w:pPr>
    </w:p>
    <w:p w14:paraId="4E62C6D6" w14:textId="255B2B59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Пациенти с епилепсия, лекувани с </w:t>
      </w:r>
      <w:proofErr w:type="spellStart"/>
      <w:r w:rsidRPr="00EA77A8">
        <w:rPr>
          <w:lang w:eastAsia="bg-BG"/>
        </w:rPr>
        <w:t>фенобарбитал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фенитоин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примидон</w:t>
      </w:r>
      <w:proofErr w:type="spellEnd"/>
      <w:r w:rsidRPr="00EA77A8">
        <w:rPr>
          <w:lang w:eastAsia="bg-BG"/>
        </w:rPr>
        <w:t xml:space="preserve"> и </w:t>
      </w:r>
      <w:proofErr w:type="spellStart"/>
      <w:r w:rsidRPr="00EA77A8">
        <w:rPr>
          <w:lang w:eastAsia="bg-BG"/>
        </w:rPr>
        <w:t>сукцинимиди</w:t>
      </w:r>
      <w:proofErr w:type="spellEnd"/>
      <w:r w:rsidRPr="00EA77A8">
        <w:rPr>
          <w:lang w:eastAsia="bg-BG"/>
        </w:rPr>
        <w:t xml:space="preserve"> са с риск от по-чести припадъци поради понижаване на плазмените концентрации на противоепилептичните лекарства. По време на терапията с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 след прекратяването й се препоръчва клинично мониториране, проследяване на плазмените концентрации и при необходимост коригиране дозата на противоепилептичното </w:t>
      </w:r>
      <w:r w:rsidRPr="00EA77A8">
        <w:rPr>
          <w:lang w:eastAsia="bg-BG"/>
        </w:rPr>
        <w:lastRenderedPageBreak/>
        <w:t>лекарство (виж също т. 4.5. Взаимодействие с други лекарствени продукти и други форми на взаимодействие).</w:t>
      </w:r>
    </w:p>
    <w:p w14:paraId="2C3FC451" w14:textId="77777777" w:rsidR="00EA77A8" w:rsidRDefault="00EA77A8" w:rsidP="00EA77A8">
      <w:pPr>
        <w:rPr>
          <w:i/>
          <w:iCs/>
          <w:lang w:eastAsia="bg-BG"/>
        </w:rPr>
      </w:pPr>
    </w:p>
    <w:p w14:paraId="3E72F11C" w14:textId="2C49F4C4" w:rsidR="00EA77A8" w:rsidRPr="00EA77A8" w:rsidRDefault="00EA77A8" w:rsidP="00EA77A8">
      <w:pPr>
        <w:rPr>
          <w:sz w:val="24"/>
          <w:szCs w:val="24"/>
        </w:rPr>
      </w:pPr>
      <w:r w:rsidRPr="00EA77A8">
        <w:rPr>
          <w:i/>
          <w:iCs/>
          <w:lang w:eastAsia="bg-BG"/>
        </w:rPr>
        <w:t xml:space="preserve">Калциев </w:t>
      </w:r>
      <w:proofErr w:type="spellStart"/>
      <w:r w:rsidRPr="00EA77A8">
        <w:rPr>
          <w:i/>
          <w:iCs/>
          <w:lang w:eastAsia="bg-BG"/>
        </w:rPr>
        <w:t>фолинат</w:t>
      </w:r>
      <w:proofErr w:type="spellEnd"/>
      <w:r w:rsidRPr="00EA77A8">
        <w:rPr>
          <w:i/>
          <w:iCs/>
          <w:lang w:eastAsia="bg-BG"/>
        </w:rPr>
        <w:t xml:space="preserve">/5- </w:t>
      </w:r>
      <w:proofErr w:type="spellStart"/>
      <w:r w:rsidRPr="00EA77A8">
        <w:rPr>
          <w:i/>
          <w:iCs/>
          <w:lang w:eastAsia="bg-BG"/>
        </w:rPr>
        <w:t>флуороурацил</w:t>
      </w:r>
      <w:proofErr w:type="spellEnd"/>
    </w:p>
    <w:p w14:paraId="5A989231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повиши риска от токсичност на 5-флуороурацил, особено при пациенти в старческа възраст или немощни пациенти. Най-честите признаци, които могат да бъдат </w:t>
      </w:r>
      <w:proofErr w:type="spellStart"/>
      <w:r w:rsidRPr="00EA77A8">
        <w:rPr>
          <w:lang w:eastAsia="bg-BG"/>
        </w:rPr>
        <w:t>дозолимитиращи</w:t>
      </w:r>
      <w:proofErr w:type="spellEnd"/>
      <w:r w:rsidRPr="00EA77A8">
        <w:rPr>
          <w:lang w:eastAsia="bg-BG"/>
        </w:rPr>
        <w:t xml:space="preserve">, са </w:t>
      </w:r>
      <w:proofErr w:type="spellStart"/>
      <w:r w:rsidRPr="00EA77A8">
        <w:rPr>
          <w:lang w:eastAsia="bg-BG"/>
        </w:rPr>
        <w:t>левкопения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мукозит</w:t>
      </w:r>
      <w:proofErr w:type="spellEnd"/>
      <w:r w:rsidRPr="00EA77A8">
        <w:rPr>
          <w:lang w:eastAsia="bg-BG"/>
        </w:rPr>
        <w:t xml:space="preserve">, стоматит и/или диария. Ако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се прилага в комбинация с 5-флуороурацил, дозировката на 5-флуороурацил трябва да се намали повече в случай на токсичност, отколкото ако 5-флуороурацил се прилага самостоятелно.</w:t>
      </w:r>
    </w:p>
    <w:p w14:paraId="65D15F82" w14:textId="77777777" w:rsidR="00EA77A8" w:rsidRDefault="00EA77A8" w:rsidP="00EA77A8">
      <w:pPr>
        <w:rPr>
          <w:lang w:eastAsia="bg-BG"/>
        </w:rPr>
      </w:pPr>
    </w:p>
    <w:p w14:paraId="2A2D4588" w14:textId="365E96F1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Комбинирана терапия с 5-флуороурацил 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не трябва да се започва или продължава при пациенти със симптоми на стомашно-чревна токсичност, независимо колко е сериозна, до отшумяване на симптомите.</w:t>
      </w:r>
    </w:p>
    <w:p w14:paraId="3458310D" w14:textId="77777777" w:rsidR="00EA77A8" w:rsidRDefault="00EA77A8" w:rsidP="00EA77A8">
      <w:pPr>
        <w:rPr>
          <w:lang w:eastAsia="bg-BG"/>
        </w:rPr>
      </w:pPr>
    </w:p>
    <w:p w14:paraId="25D1432E" w14:textId="11F9B9C3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Тъй като диарията може да бъде признак на стомашно-чревна токсичност, пациентите с диария трябва внимателно да се наблюдават до изчезване на симптомите, тъй като е възможно да настъпи бързо влошаване на клиничната картина, което да доведе до фатален изход. Ако настъпят диария и/или стоматит, препоръчително е да са намали дозата на </w:t>
      </w:r>
      <w:r w:rsidRPr="00EA77A8">
        <w:rPr>
          <w:lang w:val="en-US"/>
        </w:rPr>
        <w:t xml:space="preserve">5-FU </w:t>
      </w:r>
      <w:r w:rsidRPr="00EA77A8">
        <w:rPr>
          <w:lang w:eastAsia="bg-BG"/>
        </w:rPr>
        <w:t>до пълното отшумяване на симптомите. Пациентите в старческа възраст и тези в лошо общо състояние поради заболяването си, са с повишен риск от тези токсични ефекти. По тази причина лечението на такива пациенти трябва да се провежда особено внимателно.</w:t>
      </w:r>
    </w:p>
    <w:p w14:paraId="1DCE64B2" w14:textId="77777777" w:rsidR="00EA77A8" w:rsidRDefault="00EA77A8" w:rsidP="00EA77A8">
      <w:pPr>
        <w:rPr>
          <w:lang w:eastAsia="bg-BG"/>
        </w:rPr>
      </w:pPr>
    </w:p>
    <w:p w14:paraId="680B0E34" w14:textId="35D74066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>При пациенти в старческа възраст и такива, които са били подложени на лъчетерапия преди това, е препоръчително лечението да започне с по-ниска доза 5-флуороурацил.</w:t>
      </w:r>
    </w:p>
    <w:p w14:paraId="23B6C604" w14:textId="77777777" w:rsidR="00EA77A8" w:rsidRDefault="00EA77A8" w:rsidP="00EA77A8">
      <w:pPr>
        <w:rPr>
          <w:lang w:eastAsia="bg-BG"/>
        </w:rPr>
      </w:pPr>
    </w:p>
    <w:p w14:paraId="0B2CE092" w14:textId="51FE4C02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не трябва да се смесва в една интравенозна инжекция или инфузия с 5- </w:t>
      </w:r>
      <w:proofErr w:type="spellStart"/>
      <w:r w:rsidRPr="00EA77A8">
        <w:rPr>
          <w:lang w:eastAsia="bg-BG"/>
        </w:rPr>
        <w:t>флуороурацил</w:t>
      </w:r>
      <w:proofErr w:type="spellEnd"/>
      <w:r w:rsidRPr="00EA77A8">
        <w:rPr>
          <w:lang w:eastAsia="bg-BG"/>
        </w:rPr>
        <w:t xml:space="preserve"> (виж също т. 6.2 "Несъвместимости").</w:t>
      </w:r>
    </w:p>
    <w:p w14:paraId="74A751E9" w14:textId="77777777" w:rsidR="00EA77A8" w:rsidRDefault="00EA77A8" w:rsidP="00EA77A8">
      <w:pPr>
        <w:rPr>
          <w:lang w:eastAsia="bg-BG"/>
        </w:rPr>
      </w:pPr>
    </w:p>
    <w:p w14:paraId="53B0084C" w14:textId="6DFF4281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Пациенти на комбинирана терапия с 5-флуороурацил/калциев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трябва да бъдат наблюдавани по отношение нивото на калций и да им се дава допълнително калций, ако нивото му е ниско.</w:t>
      </w:r>
    </w:p>
    <w:p w14:paraId="46BA23E1" w14:textId="77777777" w:rsidR="00EA77A8" w:rsidRDefault="00EA77A8" w:rsidP="00EA77A8">
      <w:pPr>
        <w:rPr>
          <w:i/>
          <w:iCs/>
          <w:u w:val="single"/>
          <w:lang w:eastAsia="bg-BG"/>
        </w:rPr>
      </w:pPr>
    </w:p>
    <w:p w14:paraId="233B1B7C" w14:textId="0F22D7B6" w:rsidR="00EA77A8" w:rsidRPr="00EA77A8" w:rsidRDefault="00EA77A8" w:rsidP="00EA77A8">
      <w:pPr>
        <w:rPr>
          <w:sz w:val="24"/>
          <w:szCs w:val="24"/>
        </w:rPr>
      </w:pPr>
      <w:r w:rsidRPr="00EA77A8">
        <w:rPr>
          <w:i/>
          <w:iCs/>
          <w:u w:val="single"/>
          <w:lang w:eastAsia="bg-BG"/>
        </w:rPr>
        <w:t xml:space="preserve">Калциев </w:t>
      </w:r>
      <w:proofErr w:type="spellStart"/>
      <w:r w:rsidRPr="00EA77A8">
        <w:rPr>
          <w:i/>
          <w:iCs/>
          <w:u w:val="single"/>
          <w:lang w:eastAsia="bg-BG"/>
        </w:rPr>
        <w:t>фолинат</w:t>
      </w:r>
      <w:proofErr w:type="spellEnd"/>
      <w:r w:rsidRPr="00EA77A8">
        <w:rPr>
          <w:i/>
          <w:iCs/>
          <w:u w:val="single"/>
          <w:lang w:eastAsia="bg-BG"/>
        </w:rPr>
        <w:t>/</w:t>
      </w:r>
      <w:proofErr w:type="spellStart"/>
      <w:r w:rsidRPr="00EA77A8">
        <w:rPr>
          <w:i/>
          <w:iCs/>
          <w:u w:val="single"/>
          <w:lang w:eastAsia="bg-BG"/>
        </w:rPr>
        <w:t>метотрексат</w:t>
      </w:r>
      <w:proofErr w:type="spellEnd"/>
    </w:p>
    <w:p w14:paraId="2D9A2FA7" w14:textId="6F776D0F" w:rsidR="00EA77A8" w:rsidRDefault="00EA77A8" w:rsidP="00EA77A8">
      <w:pPr>
        <w:rPr>
          <w:lang w:eastAsia="bg-BG"/>
        </w:rPr>
      </w:pPr>
      <w:r w:rsidRPr="00EA77A8">
        <w:rPr>
          <w:lang w:eastAsia="bg-BG"/>
        </w:rPr>
        <w:t xml:space="preserve">За допълнителна информация относно понижаване на токсичността от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, виж Кратката характеристика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>.</w:t>
      </w:r>
    </w:p>
    <w:p w14:paraId="539FDB59" w14:textId="36AECBC3" w:rsidR="00EA77A8" w:rsidRDefault="00EA77A8" w:rsidP="00EA77A8">
      <w:pPr>
        <w:rPr>
          <w:lang w:eastAsia="bg-BG"/>
        </w:rPr>
      </w:pPr>
    </w:p>
    <w:p w14:paraId="50FA24CC" w14:textId="276274A3" w:rsidR="00EA77A8" w:rsidRDefault="00EA77A8" w:rsidP="00EA77A8">
      <w:pPr>
        <w:rPr>
          <w:lang w:eastAsia="bg-BG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няма ефект върху не-хематологичната токсичност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, например нефротоксичност в резултат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и/или </w:t>
      </w:r>
      <w:proofErr w:type="spellStart"/>
      <w:r w:rsidRPr="00EA77A8">
        <w:rPr>
          <w:lang w:eastAsia="bg-BG"/>
        </w:rPr>
        <w:t>преципитация</w:t>
      </w:r>
      <w:proofErr w:type="spellEnd"/>
      <w:r w:rsidRPr="00EA77A8">
        <w:rPr>
          <w:lang w:eastAsia="bg-BG"/>
        </w:rPr>
        <w:t xml:space="preserve"> на метаболити в бъбреците. Пациенти със забавено ранно елиминиране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по всяка вероятност ще развият обратима бъбречна недостатъчност и всички токсичности свързани с приложението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(виж Кратката характеристика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). Наличието на </w:t>
      </w:r>
      <w:proofErr w:type="spellStart"/>
      <w:r w:rsidRPr="00EA77A8">
        <w:rPr>
          <w:lang w:eastAsia="bg-BG"/>
        </w:rPr>
        <w:t>съшествуваща</w:t>
      </w:r>
      <w:proofErr w:type="spellEnd"/>
      <w:r w:rsidRPr="00EA77A8">
        <w:rPr>
          <w:lang w:eastAsia="bg-BG"/>
        </w:rPr>
        <w:t xml:space="preserve"> или индуцирана от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бъбречна недостатъчност вероятно е свързано със забавената</w:t>
      </w:r>
      <w:r w:rsidRPr="00EA77A8">
        <w:rPr>
          <w:smallCaps/>
          <w:lang w:eastAsia="bg-BG"/>
        </w:rPr>
        <w:t xml:space="preserve"> </w:t>
      </w:r>
      <w:r w:rsidRPr="00EA77A8">
        <w:rPr>
          <w:lang w:eastAsia="bg-BG"/>
        </w:rPr>
        <w:t xml:space="preserve">екскреция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 може да наложи прилагането на по-високи дози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или по-продължителната му употреба.</w:t>
      </w:r>
    </w:p>
    <w:p w14:paraId="07215DF2" w14:textId="261DC064" w:rsidR="00EA77A8" w:rsidRDefault="00EA77A8" w:rsidP="00EA77A8">
      <w:pPr>
        <w:rPr>
          <w:lang w:eastAsia="bg-BG"/>
        </w:rPr>
      </w:pPr>
    </w:p>
    <w:p w14:paraId="6C7170BD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lastRenderedPageBreak/>
        <w:t xml:space="preserve">Необходимо е да се избягват прекомерни дози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, тъй като те могат да намалят противотуморното действие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. Това важи особено за тумори на централната нервна система, които се натрупва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след многократни цикли на лечение.</w:t>
      </w:r>
    </w:p>
    <w:p w14:paraId="4E9F2390" w14:textId="77777777" w:rsidR="00EA77A8" w:rsidRDefault="00EA77A8" w:rsidP="00EA77A8">
      <w:pPr>
        <w:rPr>
          <w:lang w:eastAsia="bg-BG"/>
        </w:rPr>
      </w:pPr>
    </w:p>
    <w:p w14:paraId="56FF06C2" w14:textId="3C817CD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Резистентността към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в резултат на намалената мембранна пропускливост предполага също така и резистентност към освобождаване на </w:t>
      </w:r>
      <w:proofErr w:type="spellStart"/>
      <w:r w:rsidRPr="00EA77A8">
        <w:rPr>
          <w:lang w:eastAsia="bg-BG"/>
        </w:rPr>
        <w:t>фолинова</w:t>
      </w:r>
      <w:proofErr w:type="spellEnd"/>
      <w:r w:rsidRPr="00EA77A8">
        <w:rPr>
          <w:lang w:eastAsia="bg-BG"/>
        </w:rPr>
        <w:t xml:space="preserve"> киселина, тъй като и двата продукта имат един и същ транспортен механизъм.</w:t>
      </w:r>
    </w:p>
    <w:p w14:paraId="3E7C2AC4" w14:textId="77777777" w:rsidR="00EA77A8" w:rsidRDefault="00EA77A8" w:rsidP="00EA77A8">
      <w:pPr>
        <w:rPr>
          <w:lang w:eastAsia="bg-BG"/>
        </w:rPr>
      </w:pPr>
    </w:p>
    <w:p w14:paraId="10B3234F" w14:textId="7828561A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Неволното предозиране с антагонист на фолиевата киселина като например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, трябва да се лекува по спешност. Колкото по-голям е интервала между приложението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, толкова по-малък ефект ще има калциевия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да противодейства на токсичността.</w:t>
      </w:r>
    </w:p>
    <w:p w14:paraId="1EC49F84" w14:textId="77777777" w:rsidR="00EA77A8" w:rsidRDefault="00EA77A8" w:rsidP="00EA77A8">
      <w:pPr>
        <w:rPr>
          <w:lang w:eastAsia="bg-BG"/>
        </w:rPr>
      </w:pPr>
    </w:p>
    <w:p w14:paraId="435E5794" w14:textId="1552A65B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Винаги трябва да се взима под внимание възможността пациентът да приема други лекарства, които взаимодействат с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(например лекарства, които взаимодействат с екскрецията на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или свързването му със серумния албумин), ако се наблюдават лабораторни отклонения или клинични токсичности.</w:t>
      </w:r>
    </w:p>
    <w:p w14:paraId="1E98A109" w14:textId="77777777" w:rsidR="00EA77A8" w:rsidRPr="00EA77A8" w:rsidRDefault="00EA77A8" w:rsidP="00EA77A8"/>
    <w:p w14:paraId="5D37E947" w14:textId="2C7F6089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DF12062" w14:textId="77777777" w:rsidR="00EA77A8" w:rsidRDefault="00EA77A8" w:rsidP="00EA77A8">
      <w:pPr>
        <w:rPr>
          <w:lang w:eastAsia="bg-BG"/>
        </w:rPr>
      </w:pPr>
    </w:p>
    <w:p w14:paraId="159FEFE7" w14:textId="57FADCB0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Ако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се прилага с антагонист на фолиевата киселина (например </w:t>
      </w:r>
      <w:proofErr w:type="spellStart"/>
      <w:r w:rsidRPr="00EA77A8">
        <w:rPr>
          <w:lang w:eastAsia="bg-BG"/>
        </w:rPr>
        <w:t>котримоксазол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пириметамин</w:t>
      </w:r>
      <w:proofErr w:type="spellEnd"/>
      <w:r w:rsidRPr="00EA77A8">
        <w:rPr>
          <w:lang w:eastAsia="bg-BG"/>
        </w:rPr>
        <w:t>), ефикасността на антагониста на фолиева киселина може да се понижи или напълно да се неутрализира.</w:t>
      </w:r>
    </w:p>
    <w:p w14:paraId="3F7BBD34" w14:textId="77777777" w:rsidR="00EA77A8" w:rsidRDefault="00EA77A8" w:rsidP="00EA77A8">
      <w:pPr>
        <w:rPr>
          <w:lang w:eastAsia="bg-BG"/>
        </w:rPr>
      </w:pPr>
    </w:p>
    <w:p w14:paraId="33C31FD3" w14:textId="657E75D8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намали ефекта на противоепилептичните лекарства - </w:t>
      </w:r>
      <w:proofErr w:type="spellStart"/>
      <w:r w:rsidRPr="00EA77A8">
        <w:rPr>
          <w:lang w:eastAsia="bg-BG"/>
        </w:rPr>
        <w:t>фенобарбитал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примидон</w:t>
      </w:r>
      <w:proofErr w:type="spellEnd"/>
      <w:r w:rsidRPr="00EA77A8">
        <w:rPr>
          <w:lang w:eastAsia="bg-BG"/>
        </w:rPr>
        <w:t xml:space="preserve">, </w:t>
      </w:r>
      <w:proofErr w:type="spellStart"/>
      <w:r w:rsidRPr="00EA77A8">
        <w:rPr>
          <w:lang w:eastAsia="bg-BG"/>
        </w:rPr>
        <w:t>фенитоин</w:t>
      </w:r>
      <w:proofErr w:type="spellEnd"/>
      <w:r w:rsidRPr="00EA77A8">
        <w:rPr>
          <w:lang w:eastAsia="bg-BG"/>
        </w:rPr>
        <w:t xml:space="preserve"> или </w:t>
      </w:r>
      <w:proofErr w:type="spellStart"/>
      <w:r w:rsidRPr="00EA77A8">
        <w:rPr>
          <w:lang w:eastAsia="bg-BG"/>
        </w:rPr>
        <w:t>сукцинимид</w:t>
      </w:r>
      <w:proofErr w:type="spellEnd"/>
      <w:r w:rsidRPr="00EA77A8">
        <w:rPr>
          <w:lang w:eastAsia="bg-BG"/>
        </w:rPr>
        <w:t xml:space="preserve">, като по този начин предизвика зачестяване на припадъците (може да се наблюдава понижаване на плазмените нива на ензимните индуктори на </w:t>
      </w:r>
      <w:proofErr w:type="spellStart"/>
      <w:r w:rsidRPr="00EA77A8">
        <w:rPr>
          <w:lang w:eastAsia="bg-BG"/>
        </w:rPr>
        <w:t>антиконвулсантите</w:t>
      </w:r>
      <w:proofErr w:type="spellEnd"/>
      <w:r w:rsidRPr="00EA77A8">
        <w:rPr>
          <w:lang w:eastAsia="bg-BG"/>
        </w:rPr>
        <w:t xml:space="preserve">, тъй като се повишава чернодробния метаболизъм, при който </w:t>
      </w:r>
      <w:proofErr w:type="spellStart"/>
      <w:r w:rsidRPr="00EA77A8">
        <w:rPr>
          <w:lang w:eastAsia="bg-BG"/>
        </w:rPr>
        <w:t>фолатите</w:t>
      </w:r>
      <w:proofErr w:type="spellEnd"/>
      <w:r w:rsidRPr="00EA77A8">
        <w:rPr>
          <w:lang w:eastAsia="bg-BG"/>
        </w:rPr>
        <w:t xml:space="preserve"> са един от факторите) (виж също т. 4.4 и 4.8).</w:t>
      </w:r>
    </w:p>
    <w:p w14:paraId="3906E137" w14:textId="77777777" w:rsidR="00EA77A8" w:rsidRDefault="00EA77A8" w:rsidP="00EA77A8">
      <w:pPr>
        <w:rPr>
          <w:lang w:eastAsia="bg-BG"/>
        </w:rPr>
      </w:pPr>
    </w:p>
    <w:p w14:paraId="2DA737F2" w14:textId="091656A6" w:rsidR="00EA77A8" w:rsidRPr="00EA77A8" w:rsidRDefault="00EA77A8" w:rsidP="00EA77A8">
      <w:r w:rsidRPr="00EA77A8">
        <w:rPr>
          <w:lang w:eastAsia="bg-BG"/>
        </w:rPr>
        <w:t xml:space="preserve">Едновременното прилагане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 5-флуороурацил показва, че се засилва ефикасността и токсичността на 5-флуороурацил (виж също т. 4.2,4.4 и 4.8).</w:t>
      </w:r>
    </w:p>
    <w:p w14:paraId="6A0DBFAE" w14:textId="77777777" w:rsidR="00EA77A8" w:rsidRPr="00EA77A8" w:rsidRDefault="00EA77A8" w:rsidP="00EA77A8"/>
    <w:p w14:paraId="2A6346D7" w14:textId="36741E47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BC3A88C" w14:textId="77777777" w:rsidR="00EA77A8" w:rsidRPr="00EA77A8" w:rsidRDefault="00EA77A8" w:rsidP="00EA77A8">
      <w:pPr>
        <w:pStyle w:val="Heading3"/>
        <w:rPr>
          <w:u w:val="single"/>
          <w:lang w:eastAsia="bg-BG"/>
        </w:rPr>
      </w:pPr>
    </w:p>
    <w:p w14:paraId="4F6AC76E" w14:textId="63868C5D" w:rsidR="00EA77A8" w:rsidRPr="00EA77A8" w:rsidRDefault="00EA77A8" w:rsidP="00EA77A8">
      <w:pPr>
        <w:pStyle w:val="Heading3"/>
        <w:rPr>
          <w:rFonts w:eastAsia="Times New Roman"/>
          <w:u w:val="single"/>
        </w:rPr>
      </w:pPr>
      <w:r w:rsidRPr="00EA77A8">
        <w:rPr>
          <w:rFonts w:eastAsia="Times New Roman"/>
          <w:u w:val="single"/>
          <w:lang w:eastAsia="bg-BG"/>
        </w:rPr>
        <w:t>Бременност</w:t>
      </w:r>
    </w:p>
    <w:p w14:paraId="4E71B3D5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Не са провеждани контролирани проучвания при бременни и кърмачки. Не са провеждани н проучвания с животни върху репродуктивната токсичност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. Няма данни, че фолиевата киселина има вреден ефект, ако се прилага по време на бременност. По време на бременност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може да се прилага само по строго лекарско предписание, като се прави преценка на ползата от лекарството за майката срещу потенциалния риск за плода. Ако се провежда лечение с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или други антагонисти на фолиевата киселина въпреки бременността и кърменето, няма </w:t>
      </w:r>
      <w:r w:rsidRPr="00EA77A8">
        <w:rPr>
          <w:lang w:eastAsia="bg-BG"/>
        </w:rPr>
        <w:lastRenderedPageBreak/>
        <w:t xml:space="preserve">ограничения за употребата на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за намаляване на токсичността или за противодействие на ефектите.</w:t>
      </w:r>
    </w:p>
    <w:p w14:paraId="199AD268" w14:textId="77777777" w:rsidR="00EA77A8" w:rsidRDefault="00EA77A8" w:rsidP="00EA77A8">
      <w:pPr>
        <w:rPr>
          <w:lang w:eastAsia="bg-BG"/>
        </w:rPr>
      </w:pPr>
    </w:p>
    <w:p w14:paraId="7B0CC94B" w14:textId="29CC31AF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Употребата на 5-флуороурацил по време на бременност и кърмене обикновено е противопоказана. Това се отнася и до комбинацията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 5-флуороурацил.</w:t>
      </w:r>
    </w:p>
    <w:p w14:paraId="520520E7" w14:textId="77777777" w:rsidR="00EA77A8" w:rsidRDefault="00EA77A8" w:rsidP="00EA77A8">
      <w:pPr>
        <w:rPr>
          <w:lang w:eastAsia="bg-BG"/>
        </w:rPr>
      </w:pPr>
    </w:p>
    <w:p w14:paraId="3493370F" w14:textId="15900B10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Вижте също Кратките характеристики на лекарствените продукти съдържащи </w:t>
      </w:r>
      <w:proofErr w:type="spellStart"/>
      <w:r w:rsidRPr="00EA77A8">
        <w:rPr>
          <w:lang w:eastAsia="bg-BG"/>
        </w:rPr>
        <w:t>метотрексат</w:t>
      </w:r>
      <w:proofErr w:type="spellEnd"/>
      <w:r w:rsidRPr="00EA77A8">
        <w:rPr>
          <w:lang w:eastAsia="bg-BG"/>
        </w:rPr>
        <w:t xml:space="preserve"> и други антагонисти на фолиевата киселина, и 5-флуороурацил.</w:t>
      </w:r>
    </w:p>
    <w:p w14:paraId="2FF643B4" w14:textId="77777777" w:rsidR="00EA77A8" w:rsidRDefault="00EA77A8" w:rsidP="00EA77A8">
      <w:pPr>
        <w:rPr>
          <w:lang w:eastAsia="bg-BG"/>
        </w:rPr>
      </w:pPr>
    </w:p>
    <w:p w14:paraId="0EB41B2F" w14:textId="0AB72AEC" w:rsidR="00EA77A8" w:rsidRPr="00EA77A8" w:rsidRDefault="00EA77A8" w:rsidP="00EA77A8">
      <w:pPr>
        <w:pStyle w:val="Heading3"/>
        <w:rPr>
          <w:rFonts w:eastAsia="Times New Roman"/>
          <w:u w:val="single"/>
        </w:rPr>
      </w:pPr>
      <w:r w:rsidRPr="00EA77A8">
        <w:rPr>
          <w:rFonts w:eastAsia="Times New Roman"/>
          <w:u w:val="single"/>
          <w:lang w:eastAsia="bg-BG"/>
        </w:rPr>
        <w:t>Кърмене</w:t>
      </w:r>
    </w:p>
    <w:p w14:paraId="2E83A0A8" w14:textId="77777777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Не е известно дали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се </w:t>
      </w:r>
      <w:proofErr w:type="spellStart"/>
      <w:r w:rsidRPr="00EA77A8">
        <w:rPr>
          <w:lang w:eastAsia="bg-BG"/>
        </w:rPr>
        <w:t>екскретира</w:t>
      </w:r>
      <w:proofErr w:type="spellEnd"/>
      <w:r w:rsidRPr="00EA77A8">
        <w:rPr>
          <w:lang w:eastAsia="bg-BG"/>
        </w:rPr>
        <w:t xml:space="preserve"> в майчиното мляко.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може да се прилага по време на бременност, ако е по терапевтични показания.</w:t>
      </w:r>
    </w:p>
    <w:p w14:paraId="1FBA58FF" w14:textId="77777777" w:rsidR="00EA77A8" w:rsidRPr="00EA77A8" w:rsidRDefault="00EA77A8" w:rsidP="00EA77A8"/>
    <w:p w14:paraId="71DE6E9A" w14:textId="5C25D7C0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329C940A" w14:textId="77777777" w:rsidR="00EA77A8" w:rsidRDefault="00EA77A8" w:rsidP="00EA77A8">
      <w:pPr>
        <w:rPr>
          <w:lang w:eastAsia="bg-BG"/>
        </w:rPr>
      </w:pPr>
    </w:p>
    <w:p w14:paraId="1A86D8AB" w14:textId="4232D184" w:rsidR="00EA77A8" w:rsidRPr="00EA77A8" w:rsidRDefault="00EA77A8" w:rsidP="00EA77A8">
      <w:pPr>
        <w:rPr>
          <w:sz w:val="24"/>
          <w:szCs w:val="24"/>
        </w:rPr>
      </w:pPr>
      <w:r w:rsidRPr="00EA77A8">
        <w:rPr>
          <w:lang w:eastAsia="bg-BG"/>
        </w:rPr>
        <w:t xml:space="preserve">Няма доказателства, че калциев </w:t>
      </w:r>
      <w:proofErr w:type="spellStart"/>
      <w:r w:rsidRPr="00EA77A8">
        <w:rPr>
          <w:lang w:eastAsia="bg-BG"/>
        </w:rPr>
        <w:t>фолинат</w:t>
      </w:r>
      <w:proofErr w:type="spellEnd"/>
      <w:r w:rsidRPr="00EA77A8">
        <w:rPr>
          <w:lang w:eastAsia="bg-BG"/>
        </w:rPr>
        <w:t xml:space="preserve"> има ефект върху способността за шофиране и работа с машини.</w:t>
      </w:r>
    </w:p>
    <w:p w14:paraId="32D2D93C" w14:textId="77777777" w:rsidR="00EA77A8" w:rsidRPr="00EA77A8" w:rsidRDefault="00EA77A8" w:rsidP="00EA77A8"/>
    <w:p w14:paraId="6698E6B8" w14:textId="16198664" w:rsidR="00C809A7" w:rsidRDefault="002C50EE" w:rsidP="00AA23EC">
      <w:pPr>
        <w:pStyle w:val="Heading2"/>
      </w:pPr>
      <w:r>
        <w:t>4.8. Нежелани лекарствени реакции</w:t>
      </w:r>
    </w:p>
    <w:p w14:paraId="2A8DFC17" w14:textId="77777777" w:rsidR="00F90673" w:rsidRDefault="00F90673" w:rsidP="00F90673">
      <w:pPr>
        <w:rPr>
          <w:lang w:eastAsia="bg-BG"/>
        </w:rPr>
      </w:pPr>
    </w:p>
    <w:p w14:paraId="6A037B67" w14:textId="0F9036AB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За оценка на честотата на нежеланите реакции се използва следната класификация:</w:t>
      </w:r>
    </w:p>
    <w:p w14:paraId="7E53BF8A" w14:textId="77777777" w:rsidR="00F90673" w:rsidRDefault="00F90673" w:rsidP="00F90673">
      <w:pPr>
        <w:rPr>
          <w:lang w:eastAsia="bg-BG"/>
        </w:rPr>
      </w:pPr>
    </w:p>
    <w:p w14:paraId="22A1FC15" w14:textId="427785C5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Много чести (</w:t>
      </w:r>
      <w:r w:rsidRPr="00F90673">
        <w:rPr>
          <w:lang w:val="en-US"/>
        </w:rPr>
        <w:t>≥</w:t>
      </w:r>
      <w:r w:rsidRPr="00F90673">
        <w:rPr>
          <w:lang w:eastAsia="bg-BG"/>
        </w:rPr>
        <w:t xml:space="preserve"> 1/10)</w:t>
      </w:r>
    </w:p>
    <w:p w14:paraId="3B50670E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Чести (</w:t>
      </w:r>
      <w:r w:rsidRPr="00F90673">
        <w:rPr>
          <w:lang w:val="en-US"/>
        </w:rPr>
        <w:t>≥</w:t>
      </w:r>
      <w:r w:rsidRPr="00F90673">
        <w:rPr>
          <w:lang w:eastAsia="bg-BG"/>
        </w:rPr>
        <w:t xml:space="preserve"> 1/100 до &lt; 1/10)</w:t>
      </w:r>
    </w:p>
    <w:p w14:paraId="168E4B1F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Нечести (</w:t>
      </w:r>
      <w:r w:rsidRPr="00F90673">
        <w:rPr>
          <w:lang w:val="en-US"/>
        </w:rPr>
        <w:t>≥</w:t>
      </w:r>
      <w:r w:rsidRPr="00F90673">
        <w:rPr>
          <w:lang w:eastAsia="bg-BG"/>
        </w:rPr>
        <w:t xml:space="preserve"> 1/1 000 до &lt; 1/100)</w:t>
      </w:r>
    </w:p>
    <w:p w14:paraId="6BE49F3A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Редки(</w:t>
      </w:r>
      <w:r w:rsidRPr="00F90673">
        <w:rPr>
          <w:lang w:val="en-US"/>
        </w:rPr>
        <w:t>≥</w:t>
      </w:r>
      <w:r w:rsidRPr="00F90673">
        <w:rPr>
          <w:lang w:eastAsia="bg-BG"/>
        </w:rPr>
        <w:t>1/10 000 до &lt; 1/1 000)</w:t>
      </w:r>
    </w:p>
    <w:p w14:paraId="3CBD7266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Много редки (&lt; 1/10 000)</w:t>
      </w:r>
    </w:p>
    <w:p w14:paraId="4ADA967C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С неизвестна честота (не може да се определи от наличните данни)</w:t>
      </w:r>
    </w:p>
    <w:p w14:paraId="4DA4B318" w14:textId="77777777" w:rsidR="00F90673" w:rsidRDefault="00F90673" w:rsidP="00F90673">
      <w:pPr>
        <w:rPr>
          <w:i/>
          <w:iCs/>
          <w:lang w:eastAsia="bg-BG"/>
        </w:rPr>
      </w:pPr>
    </w:p>
    <w:p w14:paraId="3ECBEE4F" w14:textId="6391061F" w:rsidR="00F90673" w:rsidRPr="00F90673" w:rsidRDefault="00F90673" w:rsidP="00F90673">
      <w:pPr>
        <w:rPr>
          <w:sz w:val="24"/>
          <w:szCs w:val="24"/>
        </w:rPr>
      </w:pPr>
      <w:r w:rsidRPr="00F90673">
        <w:rPr>
          <w:i/>
          <w:iCs/>
          <w:lang w:eastAsia="bg-BG"/>
        </w:rPr>
        <w:t>За двете терапевтични показания</w:t>
      </w:r>
    </w:p>
    <w:p w14:paraId="73A38778" w14:textId="77777777" w:rsidR="00F90673" w:rsidRDefault="00F90673" w:rsidP="00F90673">
      <w:pPr>
        <w:rPr>
          <w:lang w:eastAsia="bg-BG"/>
        </w:rPr>
      </w:pPr>
    </w:p>
    <w:p w14:paraId="30822FAE" w14:textId="39DD2364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Нарушения на имунната система</w:t>
      </w:r>
    </w:p>
    <w:p w14:paraId="0D6BFE08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Много редки (&lt; 0,01%): алергични реакции, включително </w:t>
      </w:r>
      <w:proofErr w:type="spellStart"/>
      <w:r w:rsidRPr="00F90673">
        <w:rPr>
          <w:lang w:eastAsia="bg-BG"/>
        </w:rPr>
        <w:t>анафилактоидни</w:t>
      </w:r>
      <w:proofErr w:type="spellEnd"/>
      <w:r w:rsidRPr="00F90673">
        <w:rPr>
          <w:lang w:eastAsia="bg-BG"/>
        </w:rPr>
        <w:t xml:space="preserve"> реакции и уртикария</w:t>
      </w:r>
    </w:p>
    <w:p w14:paraId="0BCBA7D0" w14:textId="77777777" w:rsidR="00F90673" w:rsidRDefault="00F90673" w:rsidP="00F90673">
      <w:pPr>
        <w:rPr>
          <w:lang w:eastAsia="bg-BG"/>
        </w:rPr>
      </w:pPr>
    </w:p>
    <w:p w14:paraId="02FD27E4" w14:textId="1046EBAB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Психични нарушения</w:t>
      </w:r>
    </w:p>
    <w:p w14:paraId="44F00508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Редки (0,01 - 0,1%): безсъние, възбуда и депресии след прилагане на високи дози</w:t>
      </w:r>
    </w:p>
    <w:p w14:paraId="312A2BC0" w14:textId="77777777" w:rsidR="00F90673" w:rsidRDefault="00F90673" w:rsidP="00F90673">
      <w:pPr>
        <w:rPr>
          <w:lang w:eastAsia="bg-BG"/>
        </w:rPr>
      </w:pPr>
    </w:p>
    <w:p w14:paraId="46FDEE62" w14:textId="1EF17BE1" w:rsidR="00F90673" w:rsidRPr="00F90673" w:rsidRDefault="00F90673" w:rsidP="00F90673">
      <w:pPr>
        <w:rPr>
          <w:sz w:val="24"/>
          <w:szCs w:val="24"/>
        </w:rPr>
      </w:pPr>
      <w:proofErr w:type="spellStart"/>
      <w:r w:rsidRPr="00F90673">
        <w:rPr>
          <w:lang w:eastAsia="bg-BG"/>
        </w:rPr>
        <w:t>Стомашночревни</w:t>
      </w:r>
      <w:proofErr w:type="spellEnd"/>
      <w:r w:rsidRPr="00F90673">
        <w:rPr>
          <w:lang w:eastAsia="bg-BG"/>
        </w:rPr>
        <w:t xml:space="preserve"> нарушения</w:t>
      </w:r>
    </w:p>
    <w:p w14:paraId="16AEF45B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Редки (0,01 - 0,1 %): </w:t>
      </w:r>
      <w:proofErr w:type="spellStart"/>
      <w:r w:rsidRPr="00F90673">
        <w:rPr>
          <w:lang w:eastAsia="bg-BG"/>
        </w:rPr>
        <w:t>стомашночревни</w:t>
      </w:r>
      <w:proofErr w:type="spellEnd"/>
      <w:r w:rsidRPr="00F90673">
        <w:rPr>
          <w:lang w:eastAsia="bg-BG"/>
        </w:rPr>
        <w:t xml:space="preserve"> нарушения след прилагане на високи дози</w:t>
      </w:r>
    </w:p>
    <w:p w14:paraId="6B6156AC" w14:textId="77777777" w:rsidR="00F90673" w:rsidRDefault="00F90673" w:rsidP="00F90673">
      <w:pPr>
        <w:rPr>
          <w:lang w:eastAsia="bg-BG"/>
        </w:rPr>
      </w:pPr>
    </w:p>
    <w:p w14:paraId="50E0F6DD" w14:textId="02D974C5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Нарушения на нервната система</w:t>
      </w:r>
    </w:p>
    <w:p w14:paraId="616B51C7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Редки (0,01 - 0,1%): повишена честота на епилептични припадъци (виж също т. 4.5 Взаимодействие с други лекарствени продукти и други форми на взаимодействие).</w:t>
      </w:r>
    </w:p>
    <w:p w14:paraId="2F658E4E" w14:textId="77777777" w:rsidR="00F90673" w:rsidRDefault="00F90673" w:rsidP="00F90673">
      <w:pPr>
        <w:rPr>
          <w:lang w:eastAsia="bg-BG"/>
        </w:rPr>
      </w:pPr>
    </w:p>
    <w:p w14:paraId="6D2D22CC" w14:textId="5AD819E0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Нарушения от общ характер и реакции на мястото на приложение</w:t>
      </w:r>
    </w:p>
    <w:p w14:paraId="779CCE56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lastRenderedPageBreak/>
        <w:t xml:space="preserve">Нечести (0,1 - 1%): повишена температура след приложение на 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като инжекционен разтвор.</w:t>
      </w:r>
    </w:p>
    <w:p w14:paraId="025D92DF" w14:textId="77777777" w:rsidR="00F90673" w:rsidRDefault="00F90673" w:rsidP="00F90673">
      <w:pPr>
        <w:rPr>
          <w:i/>
          <w:iCs/>
          <w:lang w:eastAsia="bg-BG"/>
        </w:rPr>
      </w:pPr>
    </w:p>
    <w:p w14:paraId="55A4BE8A" w14:textId="240C2E6B" w:rsidR="00F90673" w:rsidRPr="00F90673" w:rsidRDefault="00F90673" w:rsidP="00F90673">
      <w:pPr>
        <w:rPr>
          <w:sz w:val="24"/>
          <w:szCs w:val="24"/>
        </w:rPr>
      </w:pPr>
      <w:r w:rsidRPr="00F90673">
        <w:rPr>
          <w:i/>
          <w:iCs/>
          <w:lang w:eastAsia="bg-BG"/>
        </w:rPr>
        <w:t>Комбинирана терапия с 5-флуороурацил</w:t>
      </w:r>
    </w:p>
    <w:p w14:paraId="1C87E295" w14:textId="77777777" w:rsidR="00F90673" w:rsidRDefault="00F90673" w:rsidP="00F90673">
      <w:pPr>
        <w:rPr>
          <w:lang w:eastAsia="bg-BG"/>
        </w:rPr>
      </w:pPr>
    </w:p>
    <w:p w14:paraId="2C2E935E" w14:textId="0C470B44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Профилът на безопасност обикновено зависи от прилагания терапевтичен режим за 5- </w:t>
      </w:r>
      <w:proofErr w:type="spellStart"/>
      <w:r w:rsidRPr="00F90673">
        <w:rPr>
          <w:lang w:eastAsia="bg-BG"/>
        </w:rPr>
        <w:t>флуороурацил</w:t>
      </w:r>
      <w:proofErr w:type="spellEnd"/>
      <w:r w:rsidRPr="00F90673">
        <w:rPr>
          <w:lang w:eastAsia="bg-BG"/>
        </w:rPr>
        <w:t xml:space="preserve"> поради засилената токсичност, до която води 5-флуороурацил.</w:t>
      </w:r>
    </w:p>
    <w:p w14:paraId="68C297D1" w14:textId="77777777" w:rsidR="00F90673" w:rsidRDefault="00F90673" w:rsidP="00F90673">
      <w:pPr>
        <w:rPr>
          <w:lang w:eastAsia="bg-BG"/>
        </w:rPr>
      </w:pPr>
    </w:p>
    <w:p w14:paraId="11D851D2" w14:textId="0159B006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Месечен режим</w:t>
      </w:r>
    </w:p>
    <w:p w14:paraId="53AF2635" w14:textId="77777777" w:rsidR="00F90673" w:rsidRDefault="00F90673" w:rsidP="00F90673">
      <w:pPr>
        <w:rPr>
          <w:lang w:eastAsia="bg-BG"/>
        </w:rPr>
      </w:pPr>
    </w:p>
    <w:p w14:paraId="32C7A282" w14:textId="68DBCF5E" w:rsidR="00F90673" w:rsidRPr="00F90673" w:rsidRDefault="00F90673" w:rsidP="00F90673">
      <w:pPr>
        <w:rPr>
          <w:sz w:val="24"/>
          <w:szCs w:val="24"/>
        </w:rPr>
      </w:pPr>
      <w:proofErr w:type="spellStart"/>
      <w:r w:rsidRPr="00F90673">
        <w:rPr>
          <w:lang w:eastAsia="bg-BG"/>
        </w:rPr>
        <w:t>Стомашночревни</w:t>
      </w:r>
      <w:proofErr w:type="spellEnd"/>
      <w:r w:rsidRPr="00F90673">
        <w:rPr>
          <w:lang w:eastAsia="bg-BG"/>
        </w:rPr>
        <w:t xml:space="preserve"> нарушения</w:t>
      </w:r>
    </w:p>
    <w:p w14:paraId="2FB21810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Много чести (&gt; 10%): повръщане и гадене</w:t>
      </w:r>
    </w:p>
    <w:p w14:paraId="04CAF553" w14:textId="77777777" w:rsidR="00F90673" w:rsidRDefault="00F90673" w:rsidP="00F90673">
      <w:pPr>
        <w:rPr>
          <w:lang w:eastAsia="bg-BG"/>
        </w:rPr>
      </w:pPr>
    </w:p>
    <w:p w14:paraId="12949319" w14:textId="77777777" w:rsidR="00F90673" w:rsidRDefault="00F90673" w:rsidP="00F90673">
      <w:pPr>
        <w:rPr>
          <w:lang w:eastAsia="bg-BG"/>
        </w:rPr>
      </w:pPr>
    </w:p>
    <w:p w14:paraId="5E51F88D" w14:textId="79321D22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Нарушения от общ характер и реакции на мястото на приложение</w:t>
      </w:r>
    </w:p>
    <w:p w14:paraId="09B911CB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Много чести (&gt; 10%): (тежка) </w:t>
      </w:r>
      <w:proofErr w:type="spellStart"/>
      <w:r w:rsidRPr="00F90673">
        <w:rPr>
          <w:lang w:eastAsia="bg-BG"/>
        </w:rPr>
        <w:t>мукозна</w:t>
      </w:r>
      <w:proofErr w:type="spellEnd"/>
      <w:r w:rsidRPr="00F90673">
        <w:rPr>
          <w:lang w:eastAsia="bg-BG"/>
        </w:rPr>
        <w:t xml:space="preserve"> токсичност</w:t>
      </w:r>
    </w:p>
    <w:p w14:paraId="51B7DA49" w14:textId="77777777" w:rsidR="00F90673" w:rsidRDefault="00F90673" w:rsidP="00F90673">
      <w:pPr>
        <w:rPr>
          <w:lang w:eastAsia="bg-BG"/>
        </w:rPr>
      </w:pPr>
    </w:p>
    <w:p w14:paraId="1BEC40AF" w14:textId="2811E62B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Не се наблюдава засилване на другите токсичности породени от 5-флуороурацил (например </w:t>
      </w:r>
      <w:proofErr w:type="spellStart"/>
      <w:r w:rsidRPr="00F90673">
        <w:rPr>
          <w:lang w:eastAsia="bg-BG"/>
        </w:rPr>
        <w:t>невротоксичност</w:t>
      </w:r>
      <w:proofErr w:type="spellEnd"/>
      <w:r w:rsidRPr="00F90673">
        <w:rPr>
          <w:lang w:eastAsia="bg-BG"/>
        </w:rPr>
        <w:t>).</w:t>
      </w:r>
    </w:p>
    <w:p w14:paraId="5EF64069" w14:textId="77777777" w:rsidR="00F90673" w:rsidRDefault="00F90673" w:rsidP="00F90673">
      <w:pPr>
        <w:rPr>
          <w:lang w:eastAsia="bg-BG"/>
        </w:rPr>
      </w:pPr>
    </w:p>
    <w:p w14:paraId="517A4C4B" w14:textId="7952222E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Седмичен режим</w:t>
      </w:r>
    </w:p>
    <w:p w14:paraId="7DC7E967" w14:textId="77777777" w:rsidR="00F90673" w:rsidRDefault="00F90673" w:rsidP="00F90673">
      <w:pPr>
        <w:rPr>
          <w:lang w:eastAsia="bg-BG"/>
        </w:rPr>
      </w:pPr>
    </w:p>
    <w:p w14:paraId="5BCDC777" w14:textId="240CBA26" w:rsidR="00F90673" w:rsidRDefault="00F90673" w:rsidP="00F90673">
      <w:pPr>
        <w:rPr>
          <w:lang w:eastAsia="bg-BG"/>
        </w:rPr>
      </w:pPr>
      <w:r w:rsidRPr="00F90673">
        <w:rPr>
          <w:lang w:eastAsia="bg-BG"/>
        </w:rPr>
        <w:t>Стомашно-чревни нарушения</w:t>
      </w:r>
    </w:p>
    <w:p w14:paraId="5F3D0289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Много чести (&gt; 10%): висока степен на диария и дехидратация, които налагат болнично лечение и могат да доведат до фатален изход.</w:t>
      </w:r>
    </w:p>
    <w:p w14:paraId="41B0F2B5" w14:textId="77777777" w:rsidR="00F90673" w:rsidRDefault="00F90673" w:rsidP="00F90673">
      <w:pPr>
        <w:rPr>
          <w:u w:val="single"/>
          <w:lang w:eastAsia="bg-BG"/>
        </w:rPr>
      </w:pPr>
    </w:p>
    <w:p w14:paraId="42971EC1" w14:textId="4CCBCE2A" w:rsidR="00F90673" w:rsidRPr="00F90673" w:rsidRDefault="00F90673" w:rsidP="00F90673">
      <w:pPr>
        <w:rPr>
          <w:sz w:val="24"/>
          <w:szCs w:val="24"/>
        </w:rPr>
      </w:pPr>
      <w:r w:rsidRPr="00F90673">
        <w:rPr>
          <w:u w:val="single"/>
          <w:lang w:eastAsia="bg-BG"/>
        </w:rPr>
        <w:t>Съобщаване на подозирани нежелани реакции</w:t>
      </w:r>
    </w:p>
    <w:p w14:paraId="3A83BBEA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</w:t>
      </w:r>
      <w:proofErr w:type="spellStart"/>
      <w:r w:rsidRPr="00F90673">
        <w:rPr>
          <w:lang w:eastAsia="bg-BG"/>
        </w:rPr>
        <w:t>важно.Това</w:t>
      </w:r>
      <w:proofErr w:type="spellEnd"/>
      <w:r w:rsidRPr="00F90673">
        <w:rPr>
          <w:lang w:eastAsia="bg-BG"/>
        </w:rPr>
        <w:t xml:space="preserve">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</w:t>
      </w:r>
    </w:p>
    <w:p w14:paraId="174E1BB3" w14:textId="0BAF8FE0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Изпълнителна агенция по лекарствата </w:t>
      </w:r>
      <w:proofErr w:type="spellStart"/>
      <w:r w:rsidRPr="00F90673">
        <w:rPr>
          <w:lang w:eastAsia="bg-BG"/>
        </w:rPr>
        <w:t>ул</w:t>
      </w:r>
      <w:proofErr w:type="spellEnd"/>
      <w:r w:rsidRPr="00F90673">
        <w:rPr>
          <w:lang w:eastAsia="bg-BG"/>
        </w:rPr>
        <w:t xml:space="preserve">.,Дамян Груев” </w:t>
      </w:r>
      <w:r w:rsidRPr="00F90673">
        <w:rPr>
          <w:lang w:val="en-US"/>
        </w:rPr>
        <w:t>№</w:t>
      </w:r>
      <w:r w:rsidRPr="00F90673">
        <w:rPr>
          <w:lang w:eastAsia="bg-BG"/>
        </w:rPr>
        <w:t xml:space="preserve">8,1303 София, Тел.:+35 928903417 уебсайт: </w:t>
      </w:r>
      <w:hyperlink r:id="rId5" w:history="1">
        <w:r w:rsidRPr="00F90673">
          <w:rPr>
            <w:u w:val="single"/>
            <w:lang w:val="en-US"/>
          </w:rPr>
          <w:t>www.bda.bg</w:t>
        </w:r>
      </w:hyperlink>
    </w:p>
    <w:p w14:paraId="6C4574E1" w14:textId="77777777" w:rsidR="00F90673" w:rsidRPr="00F90673" w:rsidRDefault="00F90673" w:rsidP="00F90673"/>
    <w:p w14:paraId="4239D218" w14:textId="3C5BCE3D" w:rsidR="00C809A7" w:rsidRDefault="002C50EE" w:rsidP="00AA23EC">
      <w:pPr>
        <w:pStyle w:val="Heading2"/>
      </w:pPr>
      <w:r>
        <w:t>4.9. Предозиране</w:t>
      </w:r>
    </w:p>
    <w:p w14:paraId="56C5B727" w14:textId="77777777" w:rsidR="00F90673" w:rsidRDefault="00F90673" w:rsidP="00F90673">
      <w:pPr>
        <w:rPr>
          <w:lang w:eastAsia="bg-BG"/>
        </w:rPr>
      </w:pPr>
    </w:p>
    <w:p w14:paraId="34100ECA" w14:textId="510563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Няма съобщения за последствия при пациенти, които са приели значително по-голяма от препоръчваната доза 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. Все пак 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в големи дози може да неутрализира </w:t>
      </w:r>
      <w:proofErr w:type="spellStart"/>
      <w:r w:rsidRPr="00F90673">
        <w:rPr>
          <w:lang w:eastAsia="bg-BG"/>
        </w:rPr>
        <w:t>химиотерапевтичния</w:t>
      </w:r>
      <w:proofErr w:type="spellEnd"/>
      <w:r w:rsidRPr="00F90673">
        <w:rPr>
          <w:lang w:eastAsia="bg-BG"/>
        </w:rPr>
        <w:t xml:space="preserve"> ефект на антагонистите на фолиева киселина.</w:t>
      </w:r>
    </w:p>
    <w:p w14:paraId="558100B8" w14:textId="77777777" w:rsidR="00F90673" w:rsidRDefault="00F90673" w:rsidP="00F90673">
      <w:pPr>
        <w:rPr>
          <w:lang w:eastAsia="bg-BG"/>
        </w:rPr>
      </w:pPr>
    </w:p>
    <w:p w14:paraId="67142A81" w14:textId="692F4543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В случай на предозиране с комбинация от 5-флуороурацил и 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>, трябва да се спазват инструкциите за действие при предозиране с 5-флуороурацил.</w:t>
      </w:r>
    </w:p>
    <w:p w14:paraId="2903D4C0" w14:textId="77777777" w:rsidR="00F90673" w:rsidRPr="00F90673" w:rsidRDefault="00F90673" w:rsidP="00F90673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7A1034B9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B519758" w14:textId="77777777" w:rsidR="00F90673" w:rsidRDefault="00F90673" w:rsidP="00F90673">
      <w:pPr>
        <w:rPr>
          <w:lang w:eastAsia="bg-BG"/>
        </w:rPr>
      </w:pPr>
    </w:p>
    <w:p w14:paraId="01874885" w14:textId="7001ACDD" w:rsidR="00F90673" w:rsidRPr="00F90673" w:rsidRDefault="00F90673" w:rsidP="00F90673">
      <w:pPr>
        <w:rPr>
          <w:sz w:val="24"/>
          <w:szCs w:val="24"/>
        </w:rPr>
      </w:pPr>
      <w:proofErr w:type="spellStart"/>
      <w:r w:rsidRPr="00F90673">
        <w:rPr>
          <w:lang w:eastAsia="bg-BG"/>
        </w:rPr>
        <w:lastRenderedPageBreak/>
        <w:t>Фармакотерапевтичен</w:t>
      </w:r>
      <w:proofErr w:type="spellEnd"/>
      <w:r w:rsidRPr="00F90673">
        <w:rPr>
          <w:lang w:eastAsia="bg-BG"/>
        </w:rPr>
        <w:t xml:space="preserve"> клас: </w:t>
      </w:r>
      <w:proofErr w:type="spellStart"/>
      <w:r w:rsidRPr="00F90673">
        <w:rPr>
          <w:lang w:eastAsia="bg-BG"/>
        </w:rPr>
        <w:t>детоксикиращи</w:t>
      </w:r>
      <w:proofErr w:type="spellEnd"/>
      <w:r w:rsidRPr="00F90673">
        <w:rPr>
          <w:lang w:eastAsia="bg-BG"/>
        </w:rPr>
        <w:t xml:space="preserve"> средства при лечение с </w:t>
      </w:r>
      <w:proofErr w:type="spellStart"/>
      <w:r w:rsidRPr="00F90673">
        <w:rPr>
          <w:lang w:eastAsia="bg-BG"/>
        </w:rPr>
        <w:t>цитостатици</w:t>
      </w:r>
      <w:proofErr w:type="spellEnd"/>
    </w:p>
    <w:p w14:paraId="3DF5B556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АТС код: </w:t>
      </w:r>
      <w:r w:rsidRPr="00F90673">
        <w:rPr>
          <w:lang w:val="en-US"/>
        </w:rPr>
        <w:t>V03AF03</w:t>
      </w:r>
    </w:p>
    <w:p w14:paraId="77721E4F" w14:textId="77777777" w:rsidR="00F90673" w:rsidRDefault="00F90673" w:rsidP="00F90673">
      <w:pPr>
        <w:rPr>
          <w:lang w:eastAsia="bg-BG"/>
        </w:rPr>
      </w:pPr>
    </w:p>
    <w:p w14:paraId="163A85BA" w14:textId="562C2AC8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представлява калциева сол на 5-формил </w:t>
      </w:r>
      <w:proofErr w:type="spellStart"/>
      <w:r w:rsidRPr="00F90673">
        <w:rPr>
          <w:lang w:eastAsia="bg-BG"/>
        </w:rPr>
        <w:t>тетрахидрофолиева</w:t>
      </w:r>
      <w:proofErr w:type="spellEnd"/>
      <w:r w:rsidRPr="00F90673">
        <w:rPr>
          <w:lang w:eastAsia="bg-BG"/>
        </w:rPr>
        <w:t xml:space="preserve"> киселина. Той е активен метаболит на </w:t>
      </w:r>
      <w:proofErr w:type="spellStart"/>
      <w:r w:rsidRPr="00F90673">
        <w:rPr>
          <w:lang w:eastAsia="bg-BG"/>
        </w:rPr>
        <w:t>фолиновата</w:t>
      </w:r>
      <w:proofErr w:type="spellEnd"/>
      <w:r w:rsidRPr="00F90673">
        <w:rPr>
          <w:lang w:eastAsia="bg-BG"/>
        </w:rPr>
        <w:t xml:space="preserve"> киселина и важен </w:t>
      </w:r>
      <w:proofErr w:type="spellStart"/>
      <w:r w:rsidRPr="00F90673">
        <w:rPr>
          <w:lang w:eastAsia="bg-BG"/>
        </w:rPr>
        <w:t>коензим</w:t>
      </w:r>
      <w:proofErr w:type="spellEnd"/>
      <w:r w:rsidRPr="00F90673">
        <w:rPr>
          <w:lang w:eastAsia="bg-BG"/>
        </w:rPr>
        <w:t xml:space="preserve"> за синтеза на нуклеиновата киселина в </w:t>
      </w:r>
      <w:proofErr w:type="spellStart"/>
      <w:r w:rsidRPr="00F90673">
        <w:rPr>
          <w:lang w:eastAsia="bg-BG"/>
        </w:rPr>
        <w:t>цитотоксичната</w:t>
      </w:r>
      <w:proofErr w:type="spellEnd"/>
      <w:r w:rsidRPr="00F90673">
        <w:rPr>
          <w:lang w:eastAsia="bg-BG"/>
        </w:rPr>
        <w:t xml:space="preserve"> терапия.</w:t>
      </w:r>
    </w:p>
    <w:p w14:paraId="444A2C7D" w14:textId="77777777" w:rsidR="00F90673" w:rsidRDefault="00F90673" w:rsidP="00F90673">
      <w:pPr>
        <w:rPr>
          <w:lang w:eastAsia="bg-BG"/>
        </w:rPr>
      </w:pPr>
      <w:r w:rsidRPr="00F90673">
        <w:rPr>
          <w:lang w:eastAsia="bg-BG"/>
        </w:rPr>
        <w:t xml:space="preserve">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се използва често да понижава токсичността и противодейства на ефекта на </w:t>
      </w:r>
      <w:proofErr w:type="spellStart"/>
      <w:r w:rsidRPr="00F90673">
        <w:rPr>
          <w:lang w:eastAsia="bg-BG"/>
        </w:rPr>
        <w:t>фолатните</w:t>
      </w:r>
      <w:proofErr w:type="spellEnd"/>
      <w:r w:rsidRPr="00F90673">
        <w:rPr>
          <w:lang w:eastAsia="bg-BG"/>
        </w:rPr>
        <w:t xml:space="preserve"> антагонисти като </w:t>
      </w:r>
      <w:proofErr w:type="spellStart"/>
      <w:r w:rsidRPr="00F90673">
        <w:rPr>
          <w:lang w:eastAsia="bg-BG"/>
        </w:rPr>
        <w:t>метотрексат</w:t>
      </w:r>
      <w:proofErr w:type="spellEnd"/>
      <w:r w:rsidRPr="00F90673">
        <w:rPr>
          <w:lang w:eastAsia="bg-BG"/>
        </w:rPr>
        <w:t xml:space="preserve">. </w:t>
      </w:r>
    </w:p>
    <w:p w14:paraId="5BFB63AF" w14:textId="77777777" w:rsidR="00F90673" w:rsidRDefault="00F90673" w:rsidP="00F90673">
      <w:pPr>
        <w:rPr>
          <w:lang w:eastAsia="bg-BG"/>
        </w:rPr>
      </w:pPr>
    </w:p>
    <w:p w14:paraId="3C3F7A5C" w14:textId="6C999BD0" w:rsidR="00F90673" w:rsidRDefault="00F90673" w:rsidP="00F90673">
      <w:pPr>
        <w:rPr>
          <w:lang w:eastAsia="bg-BG"/>
        </w:rPr>
      </w:pPr>
      <w:r w:rsidRPr="00F90673">
        <w:rPr>
          <w:lang w:eastAsia="bg-BG"/>
        </w:rPr>
        <w:t xml:space="preserve">Калциевият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и </w:t>
      </w:r>
      <w:proofErr w:type="spellStart"/>
      <w:r w:rsidRPr="00F90673">
        <w:rPr>
          <w:lang w:eastAsia="bg-BG"/>
        </w:rPr>
        <w:t>фолатните</w:t>
      </w:r>
      <w:proofErr w:type="spellEnd"/>
      <w:r w:rsidRPr="00F90673">
        <w:rPr>
          <w:lang w:eastAsia="bg-BG"/>
        </w:rPr>
        <w:t xml:space="preserve"> антагонисти имат един и същ клетъчен мембранен преносител и се състезават за транспорта в клетките, с което стимулират </w:t>
      </w:r>
      <w:proofErr w:type="spellStart"/>
      <w:r w:rsidRPr="00F90673">
        <w:rPr>
          <w:lang w:eastAsia="bg-BG"/>
        </w:rPr>
        <w:t>ефлукса</w:t>
      </w:r>
      <w:proofErr w:type="spellEnd"/>
      <w:r w:rsidRPr="00F90673">
        <w:rPr>
          <w:lang w:eastAsia="bg-BG"/>
        </w:rPr>
        <w:t xml:space="preserve"> на </w:t>
      </w:r>
      <w:proofErr w:type="spellStart"/>
      <w:r w:rsidRPr="00F90673">
        <w:rPr>
          <w:lang w:eastAsia="bg-BG"/>
        </w:rPr>
        <w:t>фолатните</w:t>
      </w:r>
      <w:proofErr w:type="spellEnd"/>
      <w:r w:rsidRPr="00F90673">
        <w:rPr>
          <w:lang w:eastAsia="bg-BG"/>
        </w:rPr>
        <w:t xml:space="preserve"> антагонисти. Освен това калциевият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предпазва клетките от ефекта на </w:t>
      </w:r>
      <w:proofErr w:type="spellStart"/>
      <w:r w:rsidRPr="00F90673">
        <w:rPr>
          <w:lang w:eastAsia="bg-BG"/>
        </w:rPr>
        <w:t>фолатните</w:t>
      </w:r>
      <w:proofErr w:type="spellEnd"/>
      <w:r w:rsidRPr="00F90673">
        <w:rPr>
          <w:lang w:eastAsia="bg-BG"/>
        </w:rPr>
        <w:t xml:space="preserve"> антагонисти като запълва редуцираното </w:t>
      </w:r>
      <w:proofErr w:type="spellStart"/>
      <w:r w:rsidRPr="00F90673">
        <w:rPr>
          <w:lang w:eastAsia="bg-BG"/>
        </w:rPr>
        <w:t>фолатно</w:t>
      </w:r>
      <w:proofErr w:type="spellEnd"/>
      <w:r w:rsidRPr="00F90673">
        <w:rPr>
          <w:lang w:eastAsia="bg-BG"/>
        </w:rPr>
        <w:t xml:space="preserve"> депо. </w:t>
      </w:r>
    </w:p>
    <w:p w14:paraId="18CABDEB" w14:textId="77777777" w:rsidR="00F90673" w:rsidRDefault="00F90673" w:rsidP="00F90673">
      <w:pPr>
        <w:rPr>
          <w:lang w:eastAsia="bg-BG"/>
        </w:rPr>
      </w:pPr>
    </w:p>
    <w:p w14:paraId="5E28FB92" w14:textId="6A45F4BC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Калциевият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служи за предварително редуциран източник на Н4 </w:t>
      </w:r>
      <w:proofErr w:type="spellStart"/>
      <w:r w:rsidRPr="00F90673">
        <w:rPr>
          <w:lang w:eastAsia="bg-BG"/>
        </w:rPr>
        <w:t>фолат</w:t>
      </w:r>
      <w:proofErr w:type="spellEnd"/>
      <w:r w:rsidRPr="00F90673">
        <w:rPr>
          <w:lang w:eastAsia="bg-BG"/>
        </w:rPr>
        <w:t xml:space="preserve">, затова той може да премине през блокажа на </w:t>
      </w:r>
      <w:proofErr w:type="spellStart"/>
      <w:r w:rsidRPr="00F90673">
        <w:rPr>
          <w:lang w:eastAsia="bg-BG"/>
        </w:rPr>
        <w:t>фолатните</w:t>
      </w:r>
      <w:proofErr w:type="spellEnd"/>
      <w:r w:rsidRPr="00F90673">
        <w:rPr>
          <w:lang w:eastAsia="bg-BG"/>
        </w:rPr>
        <w:t xml:space="preserve"> антагонисти и да послужи като източник на различни </w:t>
      </w:r>
      <w:proofErr w:type="spellStart"/>
      <w:r w:rsidRPr="00F90673">
        <w:rPr>
          <w:lang w:eastAsia="bg-BG"/>
        </w:rPr>
        <w:t>коензимни</w:t>
      </w:r>
      <w:proofErr w:type="spellEnd"/>
      <w:r w:rsidRPr="00F90673">
        <w:rPr>
          <w:lang w:eastAsia="bg-BG"/>
        </w:rPr>
        <w:t xml:space="preserve"> форми на фолиевата киселина.</w:t>
      </w:r>
    </w:p>
    <w:p w14:paraId="6548096C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се използва често и за биохимична модулация на </w:t>
      </w:r>
      <w:proofErr w:type="spellStart"/>
      <w:r w:rsidRPr="00F90673">
        <w:rPr>
          <w:lang w:eastAsia="bg-BG"/>
        </w:rPr>
        <w:t>флуоропиридин</w:t>
      </w:r>
      <w:proofErr w:type="spellEnd"/>
      <w:r w:rsidRPr="00F90673">
        <w:rPr>
          <w:lang w:eastAsia="bg-BG"/>
        </w:rPr>
        <w:t xml:space="preserve"> </w:t>
      </w:r>
      <w:r w:rsidRPr="00F90673">
        <w:rPr>
          <w:lang w:val="en-US"/>
        </w:rPr>
        <w:t xml:space="preserve">(5-FU) </w:t>
      </w:r>
      <w:r w:rsidRPr="00F90673">
        <w:rPr>
          <w:lang w:eastAsia="bg-BG"/>
        </w:rPr>
        <w:t xml:space="preserve">за повишаване на неговото </w:t>
      </w:r>
      <w:proofErr w:type="spellStart"/>
      <w:r w:rsidRPr="00F90673">
        <w:rPr>
          <w:lang w:eastAsia="bg-BG"/>
        </w:rPr>
        <w:t>цитотоксично</w:t>
      </w:r>
      <w:proofErr w:type="spellEnd"/>
      <w:r w:rsidRPr="00F90673">
        <w:rPr>
          <w:lang w:eastAsia="bg-BG"/>
        </w:rPr>
        <w:t xml:space="preserve"> действие. </w:t>
      </w:r>
      <w:r w:rsidRPr="00F90673">
        <w:rPr>
          <w:lang w:val="en-US"/>
        </w:rPr>
        <w:t xml:space="preserve">5-FU </w:t>
      </w:r>
      <w:r w:rsidRPr="00F90673">
        <w:rPr>
          <w:lang w:eastAsia="bg-BG"/>
        </w:rPr>
        <w:t xml:space="preserve">инхибира </w:t>
      </w:r>
      <w:proofErr w:type="spellStart"/>
      <w:r w:rsidRPr="00F90673">
        <w:rPr>
          <w:lang w:eastAsia="bg-BG"/>
        </w:rPr>
        <w:t>тимидилат</w:t>
      </w:r>
      <w:proofErr w:type="spellEnd"/>
      <w:r w:rsidRPr="00F90673">
        <w:rPr>
          <w:lang w:eastAsia="bg-BG"/>
        </w:rPr>
        <w:t xml:space="preserve"> </w:t>
      </w:r>
      <w:proofErr w:type="spellStart"/>
      <w:r w:rsidRPr="00F90673">
        <w:rPr>
          <w:lang w:eastAsia="bg-BG"/>
        </w:rPr>
        <w:t>синтазата</w:t>
      </w:r>
      <w:proofErr w:type="spellEnd"/>
      <w:r w:rsidRPr="00F90673">
        <w:rPr>
          <w:lang w:eastAsia="bg-BG"/>
        </w:rPr>
        <w:t xml:space="preserve"> (ТС) - ключов ензим, който участва в биосинтеза на </w:t>
      </w:r>
      <w:proofErr w:type="spellStart"/>
      <w:r w:rsidRPr="00F90673">
        <w:rPr>
          <w:lang w:eastAsia="bg-BG"/>
        </w:rPr>
        <w:t>пиримидин</w:t>
      </w:r>
      <w:proofErr w:type="spellEnd"/>
      <w:r w:rsidRPr="00F90673">
        <w:rPr>
          <w:lang w:eastAsia="bg-BG"/>
        </w:rPr>
        <w:t xml:space="preserve">, а калциевият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засилва инхибирането на ТС като увеличава вътреклетъчното </w:t>
      </w:r>
      <w:proofErr w:type="spellStart"/>
      <w:r w:rsidRPr="00F90673">
        <w:rPr>
          <w:lang w:eastAsia="bg-BG"/>
        </w:rPr>
        <w:t>фолатно</w:t>
      </w:r>
      <w:proofErr w:type="spellEnd"/>
      <w:r w:rsidRPr="00F90673">
        <w:rPr>
          <w:lang w:eastAsia="bg-BG"/>
        </w:rPr>
        <w:t xml:space="preserve"> депо, като по този начин стабилизира комплекса </w:t>
      </w:r>
      <w:r w:rsidRPr="00F90673">
        <w:rPr>
          <w:lang w:val="en-US"/>
        </w:rPr>
        <w:t xml:space="preserve">5-FU/TS </w:t>
      </w:r>
      <w:r w:rsidRPr="00F90673">
        <w:rPr>
          <w:lang w:eastAsia="bg-BG"/>
        </w:rPr>
        <w:t>и повишава неговата активност.</w:t>
      </w:r>
    </w:p>
    <w:p w14:paraId="179E57F7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Накрая, интравенозно приложеният 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може да се използва за предотвратяване и лечение на </w:t>
      </w:r>
      <w:proofErr w:type="spellStart"/>
      <w:r w:rsidRPr="00F90673">
        <w:rPr>
          <w:lang w:eastAsia="bg-BG"/>
        </w:rPr>
        <w:t>фолатен</w:t>
      </w:r>
      <w:proofErr w:type="spellEnd"/>
      <w:r w:rsidRPr="00F90673">
        <w:rPr>
          <w:lang w:eastAsia="bg-BG"/>
        </w:rPr>
        <w:t xml:space="preserve"> недостиг, когато предотвратяването и коригирането му не може да се осъществи чрез перорално приложение на фолиева киселина. Такъв е може би случаят на общо парентерално хранене и тежки нарушения на малабсорбция, а също при лечението на </w:t>
      </w:r>
      <w:proofErr w:type="spellStart"/>
      <w:r w:rsidRPr="00F90673">
        <w:rPr>
          <w:lang w:eastAsia="bg-BG"/>
        </w:rPr>
        <w:t>мегалобластна</w:t>
      </w:r>
      <w:proofErr w:type="spellEnd"/>
      <w:r w:rsidRPr="00F90673">
        <w:rPr>
          <w:lang w:eastAsia="bg-BG"/>
        </w:rPr>
        <w:t xml:space="preserve"> анемия поради недостиг на фолиева киселина, когато пероралното приложение не е възможно.</w:t>
      </w:r>
    </w:p>
    <w:p w14:paraId="5AC38A14" w14:textId="77777777" w:rsidR="00F90673" w:rsidRPr="00F90673" w:rsidRDefault="00F90673" w:rsidP="00F90673"/>
    <w:p w14:paraId="0A962168" w14:textId="5427C496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66F013AF" w14:textId="77777777" w:rsidR="00F90673" w:rsidRDefault="00F90673" w:rsidP="00F90673">
      <w:pPr>
        <w:rPr>
          <w:lang w:eastAsia="bg-BG"/>
        </w:rPr>
      </w:pPr>
    </w:p>
    <w:p w14:paraId="516DA487" w14:textId="3E79EFC4" w:rsidR="00F90673" w:rsidRPr="00F90673" w:rsidRDefault="00F90673" w:rsidP="00F90673">
      <w:pPr>
        <w:pStyle w:val="Heading3"/>
        <w:rPr>
          <w:rFonts w:eastAsia="Times New Roman"/>
          <w:u w:val="single"/>
        </w:rPr>
      </w:pPr>
      <w:r w:rsidRPr="00F90673">
        <w:rPr>
          <w:rFonts w:eastAsia="Times New Roman"/>
          <w:u w:val="single"/>
          <w:lang w:eastAsia="bg-BG"/>
        </w:rPr>
        <w:t>Абсорбция</w:t>
      </w:r>
    </w:p>
    <w:p w14:paraId="764DB77D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След интрамускулно приложение на воден разтвор, системната наличност в организма е сравнима с тази при интравенозно приложение. Постигат се обаче, по-ниски пикови серумни нива (С</w:t>
      </w:r>
      <w:r w:rsidRPr="00F90673">
        <w:rPr>
          <w:vertAlign w:val="subscript"/>
          <w:lang w:val="en-US"/>
        </w:rPr>
        <w:t>max</w:t>
      </w:r>
      <w:r w:rsidRPr="00F90673">
        <w:rPr>
          <w:lang w:eastAsia="bg-BG"/>
        </w:rPr>
        <w:t>) .</w:t>
      </w:r>
    </w:p>
    <w:p w14:paraId="7773CC3B" w14:textId="77777777" w:rsidR="00F90673" w:rsidRDefault="00F90673" w:rsidP="00F90673">
      <w:pPr>
        <w:rPr>
          <w:lang w:eastAsia="bg-BG"/>
        </w:rPr>
      </w:pPr>
    </w:p>
    <w:p w14:paraId="1E853E8F" w14:textId="14A77658" w:rsidR="00F90673" w:rsidRPr="00F90673" w:rsidRDefault="00F90673" w:rsidP="00F90673">
      <w:pPr>
        <w:pStyle w:val="Heading3"/>
        <w:rPr>
          <w:rFonts w:eastAsia="Times New Roman"/>
          <w:u w:val="single"/>
        </w:rPr>
      </w:pPr>
      <w:r w:rsidRPr="00F90673">
        <w:rPr>
          <w:rFonts w:eastAsia="Times New Roman"/>
          <w:u w:val="single"/>
          <w:lang w:eastAsia="bg-BG"/>
        </w:rPr>
        <w:t>Метаболизъм</w:t>
      </w:r>
    </w:p>
    <w:p w14:paraId="78BDA912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Калциев </w:t>
      </w:r>
      <w:proofErr w:type="spellStart"/>
      <w:r w:rsidRPr="00F90673">
        <w:rPr>
          <w:lang w:eastAsia="bg-BG"/>
        </w:rPr>
        <w:t>фолинат</w:t>
      </w:r>
      <w:proofErr w:type="spellEnd"/>
      <w:r w:rsidRPr="00F90673">
        <w:rPr>
          <w:lang w:eastAsia="bg-BG"/>
        </w:rPr>
        <w:t xml:space="preserve"> е </w:t>
      </w:r>
      <w:proofErr w:type="spellStart"/>
      <w:r w:rsidRPr="00F90673">
        <w:rPr>
          <w:lang w:eastAsia="bg-BG"/>
        </w:rPr>
        <w:t>рацемат</w:t>
      </w:r>
      <w:proofErr w:type="spellEnd"/>
      <w:r w:rsidRPr="00F90673">
        <w:rPr>
          <w:lang w:eastAsia="bg-BG"/>
        </w:rPr>
        <w:t xml:space="preserve">, като </w:t>
      </w:r>
      <w:r w:rsidRPr="00F90673">
        <w:rPr>
          <w:lang w:val="en-US"/>
        </w:rPr>
        <w:t>L</w:t>
      </w:r>
      <w:r w:rsidRPr="00F90673">
        <w:rPr>
          <w:lang w:eastAsia="bg-BG"/>
        </w:rPr>
        <w:t xml:space="preserve">-формата </w:t>
      </w:r>
      <w:r w:rsidRPr="00F90673">
        <w:rPr>
          <w:lang w:val="en-US"/>
        </w:rPr>
        <w:t>(L-5</w:t>
      </w:r>
      <w:r w:rsidRPr="00F90673">
        <w:rPr>
          <w:lang w:eastAsia="bg-BG"/>
        </w:rPr>
        <w:t>-</w:t>
      </w:r>
      <w:proofErr w:type="spellStart"/>
      <w:r w:rsidRPr="00F90673">
        <w:rPr>
          <w:lang w:eastAsia="bg-BG"/>
        </w:rPr>
        <w:t>формил-тетрахидрофолат</w:t>
      </w:r>
      <w:proofErr w:type="spellEnd"/>
      <w:r w:rsidRPr="00F90673">
        <w:rPr>
          <w:lang w:eastAsia="bg-BG"/>
        </w:rPr>
        <w:t xml:space="preserve">, </w:t>
      </w:r>
      <w:r w:rsidRPr="00F90673">
        <w:rPr>
          <w:lang w:val="en-US"/>
        </w:rPr>
        <w:t>L-5</w:t>
      </w:r>
      <w:r w:rsidRPr="00F90673">
        <w:rPr>
          <w:lang w:eastAsia="bg-BG"/>
        </w:rPr>
        <w:t>-</w:t>
      </w:r>
      <w:proofErr w:type="spellStart"/>
      <w:r w:rsidRPr="00F90673">
        <w:rPr>
          <w:lang w:eastAsia="bg-BG"/>
        </w:rPr>
        <w:t>формил</w:t>
      </w:r>
      <w:proofErr w:type="spellEnd"/>
      <w:r w:rsidRPr="00F90673">
        <w:rPr>
          <w:lang w:eastAsia="bg-BG"/>
        </w:rPr>
        <w:t>-ТН</w:t>
      </w:r>
      <w:r w:rsidRPr="00F90673">
        <w:rPr>
          <w:lang w:val="en-US"/>
        </w:rPr>
        <w:t>F</w:t>
      </w:r>
      <w:r w:rsidRPr="00F90673">
        <w:rPr>
          <w:lang w:eastAsia="bg-BG"/>
        </w:rPr>
        <w:t xml:space="preserve">) представлява активния </w:t>
      </w:r>
      <w:proofErr w:type="spellStart"/>
      <w:r w:rsidRPr="00F90673">
        <w:rPr>
          <w:lang w:eastAsia="bg-BG"/>
        </w:rPr>
        <w:t>енантиомер</w:t>
      </w:r>
      <w:proofErr w:type="spellEnd"/>
      <w:r w:rsidRPr="00F90673">
        <w:rPr>
          <w:lang w:eastAsia="bg-BG"/>
        </w:rPr>
        <w:t>.</w:t>
      </w:r>
    </w:p>
    <w:p w14:paraId="1F0C0F6D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Основният метаболитен продукт на </w:t>
      </w:r>
      <w:proofErr w:type="spellStart"/>
      <w:r w:rsidRPr="00F90673">
        <w:rPr>
          <w:lang w:eastAsia="bg-BG"/>
        </w:rPr>
        <w:t>фолиновата</w:t>
      </w:r>
      <w:proofErr w:type="spellEnd"/>
      <w:r w:rsidRPr="00F90673">
        <w:rPr>
          <w:lang w:eastAsia="bg-BG"/>
        </w:rPr>
        <w:t xml:space="preserve"> киселина е 5-метил-тетрахидрофолиева киселина (5-метил-ТН</w:t>
      </w:r>
      <w:r w:rsidRPr="00F90673">
        <w:rPr>
          <w:lang w:val="en-US"/>
        </w:rPr>
        <w:t>F</w:t>
      </w:r>
      <w:r w:rsidRPr="00F90673">
        <w:rPr>
          <w:lang w:eastAsia="bg-BG"/>
        </w:rPr>
        <w:t>), който се произвежда главно в черния дроб и чревната лигавица.</w:t>
      </w:r>
    </w:p>
    <w:p w14:paraId="270562AE" w14:textId="77777777" w:rsidR="00F90673" w:rsidRDefault="00F90673" w:rsidP="00F90673">
      <w:pPr>
        <w:rPr>
          <w:lang w:eastAsia="bg-BG"/>
        </w:rPr>
      </w:pPr>
    </w:p>
    <w:p w14:paraId="2CB8940D" w14:textId="65DB3ECE" w:rsidR="00F90673" w:rsidRPr="00F90673" w:rsidRDefault="00F90673" w:rsidP="00F90673">
      <w:pPr>
        <w:pStyle w:val="Heading3"/>
        <w:rPr>
          <w:rFonts w:eastAsia="Times New Roman"/>
          <w:u w:val="single"/>
        </w:rPr>
      </w:pPr>
      <w:r w:rsidRPr="00F90673">
        <w:rPr>
          <w:rFonts w:eastAsia="Times New Roman"/>
          <w:u w:val="single"/>
          <w:lang w:eastAsia="bg-BG"/>
        </w:rPr>
        <w:t>Разпределение</w:t>
      </w:r>
    </w:p>
    <w:p w14:paraId="40148D31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Обемът на разпределение на </w:t>
      </w:r>
      <w:proofErr w:type="spellStart"/>
      <w:r w:rsidRPr="00F90673">
        <w:rPr>
          <w:lang w:eastAsia="bg-BG"/>
        </w:rPr>
        <w:t>фолиновата</w:t>
      </w:r>
      <w:proofErr w:type="spellEnd"/>
      <w:r w:rsidRPr="00F90673">
        <w:rPr>
          <w:lang w:eastAsia="bg-BG"/>
        </w:rPr>
        <w:t xml:space="preserve"> киселина не е известен.</w:t>
      </w:r>
    </w:p>
    <w:p w14:paraId="0FDB29B2" w14:textId="77777777" w:rsidR="00F90673" w:rsidRDefault="00F90673" w:rsidP="00F90673">
      <w:pPr>
        <w:rPr>
          <w:lang w:eastAsia="bg-BG"/>
        </w:rPr>
      </w:pPr>
    </w:p>
    <w:p w14:paraId="6F795BCD" w14:textId="08D9353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lastRenderedPageBreak/>
        <w:t xml:space="preserve">Пиковите серумни нива на изходното вещество </w:t>
      </w:r>
      <w:r w:rsidRPr="00F90673">
        <w:rPr>
          <w:lang w:val="en-US"/>
        </w:rPr>
        <w:t>(D/L-5</w:t>
      </w:r>
      <w:r w:rsidRPr="00F90673">
        <w:rPr>
          <w:lang w:eastAsia="bg-BG"/>
        </w:rPr>
        <w:t>-</w:t>
      </w:r>
      <w:proofErr w:type="spellStart"/>
      <w:r w:rsidRPr="00F90673">
        <w:rPr>
          <w:lang w:eastAsia="bg-BG"/>
        </w:rPr>
        <w:t>формил-тетрахидрофолиева</w:t>
      </w:r>
      <w:proofErr w:type="spellEnd"/>
      <w:r w:rsidRPr="00F90673">
        <w:rPr>
          <w:lang w:eastAsia="bg-BG"/>
        </w:rPr>
        <w:t xml:space="preserve"> киселина, </w:t>
      </w:r>
      <w:proofErr w:type="spellStart"/>
      <w:r w:rsidRPr="00F90673">
        <w:rPr>
          <w:lang w:eastAsia="bg-BG"/>
        </w:rPr>
        <w:t>фолинова</w:t>
      </w:r>
      <w:proofErr w:type="spellEnd"/>
      <w:r w:rsidRPr="00F90673">
        <w:rPr>
          <w:lang w:eastAsia="bg-BG"/>
        </w:rPr>
        <w:t xml:space="preserve"> киселина) се достигат 10 минути след интравенозно приложение.</w:t>
      </w:r>
    </w:p>
    <w:p w14:paraId="01A3ED74" w14:textId="77777777" w:rsidR="00F90673" w:rsidRDefault="00F90673" w:rsidP="00F90673">
      <w:pPr>
        <w:rPr>
          <w:lang w:val="en-US"/>
        </w:rPr>
      </w:pPr>
    </w:p>
    <w:p w14:paraId="1DC3C0DC" w14:textId="79E5D832" w:rsidR="00F90673" w:rsidRPr="00F90673" w:rsidRDefault="00F90673" w:rsidP="00F90673">
      <w:pPr>
        <w:rPr>
          <w:sz w:val="24"/>
          <w:szCs w:val="24"/>
        </w:rPr>
      </w:pPr>
      <w:r w:rsidRPr="00F90673">
        <w:rPr>
          <w:lang w:val="en-US"/>
        </w:rPr>
        <w:t xml:space="preserve">AUC </w:t>
      </w:r>
      <w:r w:rsidRPr="00F90673">
        <w:rPr>
          <w:lang w:eastAsia="bg-BG"/>
        </w:rPr>
        <w:t xml:space="preserve">на </w:t>
      </w:r>
      <w:r w:rsidRPr="00F90673">
        <w:rPr>
          <w:lang w:val="en-US"/>
        </w:rPr>
        <w:t>L-5</w:t>
      </w:r>
      <w:r w:rsidRPr="00F90673">
        <w:rPr>
          <w:lang w:eastAsia="bg-BG"/>
        </w:rPr>
        <w:t>-</w:t>
      </w:r>
      <w:proofErr w:type="spellStart"/>
      <w:r w:rsidRPr="00F90673">
        <w:rPr>
          <w:lang w:eastAsia="bg-BG"/>
        </w:rPr>
        <w:t>формил</w:t>
      </w:r>
      <w:proofErr w:type="spellEnd"/>
      <w:r w:rsidRPr="00F90673">
        <w:rPr>
          <w:lang w:eastAsia="bg-BG"/>
        </w:rPr>
        <w:t>-ТН</w:t>
      </w:r>
      <w:r w:rsidRPr="00F90673">
        <w:rPr>
          <w:lang w:val="en-US"/>
        </w:rPr>
        <w:t>F</w:t>
      </w:r>
      <w:r w:rsidRPr="00F90673">
        <w:rPr>
          <w:lang w:eastAsia="bg-BG"/>
        </w:rPr>
        <w:t xml:space="preserve"> и 5-метил-ТН</w:t>
      </w:r>
      <w:r w:rsidRPr="00F90673">
        <w:rPr>
          <w:lang w:val="en-US"/>
        </w:rPr>
        <w:t>F</w:t>
      </w:r>
      <w:r w:rsidRPr="00F90673">
        <w:rPr>
          <w:lang w:eastAsia="bg-BG"/>
        </w:rPr>
        <w:t xml:space="preserve"> след прилагане на доза от 25 </w:t>
      </w:r>
      <w:r w:rsidRPr="00F90673">
        <w:rPr>
          <w:lang w:val="en-US"/>
        </w:rPr>
        <w:t xml:space="preserve">mg </w:t>
      </w:r>
      <w:r w:rsidRPr="00F90673">
        <w:rPr>
          <w:lang w:eastAsia="bg-BG"/>
        </w:rPr>
        <w:t xml:space="preserve">е 28,4 ± 3,5 </w:t>
      </w:r>
      <w:r w:rsidRPr="00F90673">
        <w:rPr>
          <w:lang w:val="en-US"/>
        </w:rPr>
        <w:t xml:space="preserve">mg min/l </w:t>
      </w:r>
      <w:r w:rsidRPr="00F90673">
        <w:rPr>
          <w:lang w:eastAsia="bg-BG"/>
        </w:rPr>
        <w:t xml:space="preserve">и 129 ± 112 </w:t>
      </w:r>
      <w:r w:rsidRPr="00F90673">
        <w:rPr>
          <w:lang w:val="en-US"/>
        </w:rPr>
        <w:t xml:space="preserve">mg min/l. </w:t>
      </w:r>
      <w:r w:rsidRPr="00F90673">
        <w:rPr>
          <w:lang w:eastAsia="bg-BG"/>
        </w:rPr>
        <w:t xml:space="preserve">Неактивният </w:t>
      </w:r>
      <w:r w:rsidRPr="00F90673">
        <w:rPr>
          <w:lang w:val="en-US"/>
        </w:rPr>
        <w:t>D</w:t>
      </w:r>
      <w:r w:rsidRPr="00F90673">
        <w:rPr>
          <w:lang w:eastAsia="bg-BG"/>
        </w:rPr>
        <w:t xml:space="preserve">-изомер се открива при по-високи концентрации отколкото </w:t>
      </w:r>
      <w:r w:rsidRPr="00F90673">
        <w:rPr>
          <w:lang w:val="en-US"/>
        </w:rPr>
        <w:t xml:space="preserve">L-5- </w:t>
      </w:r>
      <w:proofErr w:type="spellStart"/>
      <w:r w:rsidRPr="00F90673">
        <w:rPr>
          <w:lang w:eastAsia="bg-BG"/>
        </w:rPr>
        <w:t>формил-тетрахидрофолат</w:t>
      </w:r>
      <w:proofErr w:type="spellEnd"/>
      <w:r w:rsidRPr="00F90673">
        <w:rPr>
          <w:lang w:eastAsia="bg-BG"/>
        </w:rPr>
        <w:t>.</w:t>
      </w:r>
    </w:p>
    <w:p w14:paraId="1C7970B7" w14:textId="77777777" w:rsidR="00F90673" w:rsidRDefault="00F90673" w:rsidP="00F90673">
      <w:pPr>
        <w:rPr>
          <w:lang w:eastAsia="bg-BG"/>
        </w:rPr>
      </w:pPr>
    </w:p>
    <w:p w14:paraId="79CA7549" w14:textId="73E111EC" w:rsidR="00F90673" w:rsidRPr="00F90673" w:rsidRDefault="00F90673" w:rsidP="00F90673">
      <w:pPr>
        <w:pStyle w:val="Heading3"/>
        <w:rPr>
          <w:rFonts w:eastAsia="Times New Roman"/>
          <w:u w:val="single"/>
        </w:rPr>
      </w:pPr>
      <w:r w:rsidRPr="00F90673">
        <w:rPr>
          <w:rFonts w:eastAsia="Times New Roman"/>
          <w:u w:val="single"/>
          <w:lang w:eastAsia="bg-BG"/>
        </w:rPr>
        <w:t>Елиминиране</w:t>
      </w:r>
    </w:p>
    <w:p w14:paraId="670268A7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 xml:space="preserve">Елиминационният полуживот е 32 - 35 минути за активната </w:t>
      </w:r>
      <w:r w:rsidRPr="00F90673">
        <w:rPr>
          <w:lang w:val="en-US"/>
        </w:rPr>
        <w:t>L</w:t>
      </w:r>
      <w:r w:rsidRPr="00F90673">
        <w:rPr>
          <w:lang w:eastAsia="bg-BG"/>
        </w:rPr>
        <w:t xml:space="preserve">-форма и 352 - 485 минути за неактивната </w:t>
      </w:r>
      <w:r w:rsidRPr="00F90673">
        <w:rPr>
          <w:lang w:val="en-US"/>
        </w:rPr>
        <w:t>D</w:t>
      </w:r>
      <w:r w:rsidRPr="00F90673">
        <w:rPr>
          <w:lang w:eastAsia="bg-BG"/>
        </w:rPr>
        <w:t>-форма.</w:t>
      </w:r>
    </w:p>
    <w:p w14:paraId="2B3229CA" w14:textId="77777777" w:rsidR="00F90673" w:rsidRDefault="00F90673" w:rsidP="00F90673">
      <w:pPr>
        <w:rPr>
          <w:lang w:eastAsia="bg-BG"/>
        </w:rPr>
      </w:pPr>
    </w:p>
    <w:p w14:paraId="6275C7AD" w14:textId="306EF1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Общият терминален елиминационен полуживот за активния метаболит е около шест часа (след интравенозно или интрамускулно приложение).</w:t>
      </w:r>
    </w:p>
    <w:p w14:paraId="1FCD2856" w14:textId="77777777" w:rsidR="00F90673" w:rsidRDefault="00F90673" w:rsidP="00F90673">
      <w:pPr>
        <w:rPr>
          <w:lang w:eastAsia="bg-BG"/>
        </w:rPr>
      </w:pPr>
    </w:p>
    <w:p w14:paraId="5B7A1F19" w14:textId="05476A7E" w:rsidR="00F90673" w:rsidRPr="00F90673" w:rsidRDefault="00F90673" w:rsidP="00F90673">
      <w:pPr>
        <w:pStyle w:val="Heading3"/>
        <w:rPr>
          <w:rFonts w:eastAsia="Times New Roman"/>
          <w:u w:val="single"/>
        </w:rPr>
      </w:pPr>
      <w:r w:rsidRPr="00F90673">
        <w:rPr>
          <w:rFonts w:eastAsia="Times New Roman"/>
          <w:u w:val="single"/>
          <w:lang w:eastAsia="bg-BG"/>
        </w:rPr>
        <w:t>Екскреция</w:t>
      </w:r>
    </w:p>
    <w:p w14:paraId="14ADA27C" w14:textId="2330067B" w:rsidR="00F90673" w:rsidRDefault="00F90673" w:rsidP="00F90673">
      <w:pPr>
        <w:rPr>
          <w:lang w:eastAsia="bg-BG"/>
        </w:rPr>
      </w:pPr>
      <w:r w:rsidRPr="00F90673">
        <w:rPr>
          <w:lang w:eastAsia="bg-BG"/>
        </w:rPr>
        <w:t>80 - 90% с урината (5- и 10-формил-тетрахидрофолат, неактивни метаболити), 5 - 8% с фекалиите.</w:t>
      </w:r>
    </w:p>
    <w:p w14:paraId="0475515D" w14:textId="77777777" w:rsidR="00F90673" w:rsidRPr="00F90673" w:rsidRDefault="00F90673" w:rsidP="00F90673"/>
    <w:p w14:paraId="674BE4E2" w14:textId="23BF0480" w:rsidR="009B171C" w:rsidRDefault="002C50EE" w:rsidP="00CA1B57">
      <w:pPr>
        <w:pStyle w:val="Heading2"/>
      </w:pPr>
      <w:r>
        <w:t>5.3. Предклинични данни за безопасност</w:t>
      </w:r>
    </w:p>
    <w:p w14:paraId="51DEBF12" w14:textId="77777777" w:rsidR="00F90673" w:rsidRDefault="00F90673" w:rsidP="00F90673">
      <w:pPr>
        <w:rPr>
          <w:lang w:eastAsia="bg-BG"/>
        </w:rPr>
      </w:pPr>
    </w:p>
    <w:p w14:paraId="7510B977" w14:textId="1DA80544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Няма предклинични данни, които могат да бъдат от значение за клиничната безопасност освен данните, описани в други раздели на КХП.</w:t>
      </w:r>
    </w:p>
    <w:p w14:paraId="721C6050" w14:textId="77777777" w:rsidR="00F90673" w:rsidRPr="00F90673" w:rsidRDefault="00F90673" w:rsidP="00F90673"/>
    <w:p w14:paraId="6940F72E" w14:textId="6954E64F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4F69677C" w14:textId="77777777" w:rsidR="00F90673" w:rsidRPr="00F90673" w:rsidRDefault="00F90673" w:rsidP="00F90673">
      <w:pPr>
        <w:rPr>
          <w:sz w:val="24"/>
          <w:szCs w:val="24"/>
          <w:lang w:val="en-US"/>
        </w:rPr>
      </w:pPr>
      <w:proofErr w:type="spellStart"/>
      <w:r w:rsidRPr="00F90673">
        <w:rPr>
          <w:lang w:val="en-US"/>
        </w:rPr>
        <w:t>Lyomark</w:t>
      </w:r>
      <w:proofErr w:type="spellEnd"/>
      <w:r w:rsidRPr="00F90673">
        <w:rPr>
          <w:lang w:val="en-US"/>
        </w:rPr>
        <w:t xml:space="preserve"> Pharma GmbH</w:t>
      </w:r>
    </w:p>
    <w:p w14:paraId="61FF213C" w14:textId="77777777" w:rsidR="00F90673" w:rsidRDefault="00F90673" w:rsidP="00F90673">
      <w:pPr>
        <w:rPr>
          <w:lang w:val="en-US"/>
        </w:rPr>
      </w:pPr>
      <w:proofErr w:type="spellStart"/>
      <w:r w:rsidRPr="00F90673">
        <w:rPr>
          <w:lang w:val="en-US"/>
        </w:rPr>
        <w:t>Keltenring</w:t>
      </w:r>
      <w:proofErr w:type="spellEnd"/>
      <w:r w:rsidRPr="00F90673">
        <w:rPr>
          <w:lang w:val="en-US"/>
        </w:rPr>
        <w:t xml:space="preserve"> 17 82041 </w:t>
      </w:r>
    </w:p>
    <w:p w14:paraId="19B3EA39" w14:textId="333A6345" w:rsidR="00F90673" w:rsidRPr="00F90673" w:rsidRDefault="00F90673" w:rsidP="00F90673">
      <w:pPr>
        <w:rPr>
          <w:sz w:val="24"/>
          <w:szCs w:val="24"/>
          <w:lang w:val="en-US"/>
        </w:rPr>
      </w:pPr>
      <w:proofErr w:type="spellStart"/>
      <w:r w:rsidRPr="00F90673">
        <w:rPr>
          <w:lang w:val="en-US"/>
        </w:rPr>
        <w:t>Oberhaching</w:t>
      </w:r>
      <w:proofErr w:type="spellEnd"/>
    </w:p>
    <w:p w14:paraId="79145D8E" w14:textId="262D4EF2" w:rsidR="00F90673" w:rsidRPr="00F90673" w:rsidRDefault="00F90673" w:rsidP="00F90673">
      <w:r w:rsidRPr="00F90673">
        <w:rPr>
          <w:lang w:eastAsia="bg-BG"/>
        </w:rPr>
        <w:t>Германия</w:t>
      </w:r>
    </w:p>
    <w:p w14:paraId="04840D59" w14:textId="13AAEC77" w:rsidR="002C50EE" w:rsidRDefault="002C50EE" w:rsidP="002C50EE">
      <w:pPr>
        <w:pStyle w:val="Heading1"/>
      </w:pPr>
      <w:r>
        <w:t>8. НОМЕР НА РАЗРЕШЕНИЕТО ЗА УПОТРЕБА</w:t>
      </w:r>
    </w:p>
    <w:p w14:paraId="1F3E59C3" w14:textId="7FDAA133" w:rsidR="00F90673" w:rsidRPr="00F90673" w:rsidRDefault="00F90673" w:rsidP="00F90673">
      <w:r>
        <w:t>Регистрационен номер: 20130337</w:t>
      </w:r>
    </w:p>
    <w:p w14:paraId="5900CBF3" w14:textId="01671BA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3595B9FD" w14:textId="77777777" w:rsidR="00F90673" w:rsidRPr="00F90673" w:rsidRDefault="00F90673" w:rsidP="00F90673">
      <w:pPr>
        <w:rPr>
          <w:sz w:val="24"/>
          <w:szCs w:val="24"/>
        </w:rPr>
      </w:pPr>
      <w:r w:rsidRPr="00F90673">
        <w:rPr>
          <w:lang w:eastAsia="bg-BG"/>
        </w:rPr>
        <w:t>Дата на първо разрешаване: 15.10.2013</w:t>
      </w:r>
    </w:p>
    <w:p w14:paraId="6B9CFF3A" w14:textId="4C0CEA10" w:rsidR="00F90673" w:rsidRPr="00F90673" w:rsidRDefault="00F90673" w:rsidP="00F90673">
      <w:r w:rsidRPr="00F90673">
        <w:rPr>
          <w:lang w:eastAsia="bg-BG"/>
        </w:rPr>
        <w:t>Дата на последно подновяване: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7665381E" w:rsidR="00C87E90" w:rsidRPr="003E3126" w:rsidRDefault="00F90673" w:rsidP="00F90673">
      <w:r>
        <w:t>08/2018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8C00541"/>
    <w:multiLevelType w:val="hybridMultilevel"/>
    <w:tmpl w:val="A15A7F0A"/>
    <w:lvl w:ilvl="0" w:tplc="FF6EDA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A1F48"/>
    <w:multiLevelType w:val="hybridMultilevel"/>
    <w:tmpl w:val="EC3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23"/>
  </w:num>
  <w:num w:numId="12">
    <w:abstractNumId w:val="11"/>
  </w:num>
  <w:num w:numId="13">
    <w:abstractNumId w:val="16"/>
  </w:num>
  <w:num w:numId="14">
    <w:abstractNumId w:val="9"/>
  </w:num>
  <w:num w:numId="15">
    <w:abstractNumId w:val="22"/>
  </w:num>
  <w:num w:numId="16">
    <w:abstractNumId w:val="6"/>
  </w:num>
  <w:num w:numId="17">
    <w:abstractNumId w:val="18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A77A8"/>
    <w:rsid w:val="00EB6364"/>
    <w:rsid w:val="00F37B64"/>
    <w:rsid w:val="00F90673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2021-08-11T08:51:00Z</dcterms:created>
  <dcterms:modified xsi:type="dcterms:W3CDTF">2021-08-11T08:51:00Z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