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A328C" w14:textId="09CEB67B" w:rsidR="002C50EE" w:rsidRPr="00FB0891" w:rsidRDefault="002C50EE" w:rsidP="002C50EE">
      <w:pPr>
        <w:pStyle w:val="Heading1"/>
        <w:jc w:val="center"/>
      </w:pPr>
      <w:bookmarkStart w:id="0" w:name="_Hlk63124480"/>
      <w:r w:rsidRPr="00FB0891">
        <w:t>КРАТКА ХАРАКТЕРИСТИКА НА ПРОДУКТА</w:t>
      </w:r>
    </w:p>
    <w:p w14:paraId="5A3B4435" w14:textId="77777777" w:rsidR="0091385D" w:rsidRPr="00FB0891" w:rsidRDefault="0091385D" w:rsidP="0091385D"/>
    <w:p w14:paraId="3320F4BE" w14:textId="2EB48694" w:rsidR="00C40420" w:rsidRPr="00FB0891" w:rsidRDefault="00DD466D" w:rsidP="004A448E">
      <w:pPr>
        <w:pStyle w:val="Heading1"/>
      </w:pPr>
      <w:r w:rsidRPr="00FB0891">
        <w:t>1.ИМЕ НА ЛЕКАРСТВЕНИЯ ПРОДУКТ</w:t>
      </w:r>
    </w:p>
    <w:p w14:paraId="5E9BA472" w14:textId="14008A99" w:rsidR="0091385D" w:rsidRPr="00FB0891" w:rsidRDefault="0091385D" w:rsidP="0091385D"/>
    <w:p w14:paraId="1935E306" w14:textId="508B8899" w:rsidR="008F05B3" w:rsidRPr="00FB0891" w:rsidRDefault="008F05B3" w:rsidP="008F05B3">
      <w:pPr>
        <w:spacing w:line="240" w:lineRule="auto"/>
        <w:rPr>
          <w:rFonts w:eastAsia="Times New Roman" w:cs="Arial"/>
          <w:sz w:val="28"/>
          <w:szCs w:val="24"/>
          <w:lang w:eastAsia="bg-BG"/>
        </w:rPr>
      </w:pP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w:t>
      </w:r>
      <w:proofErr w:type="spellStart"/>
      <w:r w:rsidR="00026046" w:rsidRPr="00FB0891">
        <w:rPr>
          <w:rFonts w:eastAsia="Times New Roman" w:cs="Arial"/>
          <w:color w:val="000000"/>
          <w:szCs w:val="20"/>
          <w:lang w:eastAsia="bg-BG"/>
        </w:rPr>
        <w:t>Сандоз</w:t>
      </w:r>
      <w:proofErr w:type="spellEnd"/>
      <w:r w:rsidRPr="00FB0891">
        <w:rPr>
          <w:rFonts w:eastAsia="Times New Roman" w:cs="Arial"/>
          <w:color w:val="000000"/>
          <w:szCs w:val="20"/>
          <w:lang w:eastAsia="bg-BG"/>
        </w:rPr>
        <w:t xml:space="preserve"> 2,5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/ml </w:t>
      </w:r>
      <w:r w:rsidRPr="00FB0891">
        <w:rPr>
          <w:rFonts w:eastAsia="Times New Roman" w:cs="Arial"/>
          <w:color w:val="000000"/>
          <w:szCs w:val="20"/>
          <w:lang w:eastAsia="bg-BG"/>
        </w:rPr>
        <w:t>прах за концентрат за инфузионен разтвор</w:t>
      </w:r>
    </w:p>
    <w:p w14:paraId="73D1D99C" w14:textId="33959085" w:rsidR="0091385D" w:rsidRPr="00FB0891" w:rsidRDefault="00026046" w:rsidP="008F05B3">
      <w:pPr>
        <w:rPr>
          <w:rFonts w:cs="Arial"/>
          <w:sz w:val="24"/>
        </w:rPr>
      </w:pPr>
      <w:proofErr w:type="spellStart"/>
      <w:r w:rsidRPr="00FB0891">
        <w:rPr>
          <w:rFonts w:eastAsia="Times New Roman" w:cs="Arial"/>
          <w:color w:val="000000"/>
          <w:szCs w:val="20"/>
        </w:rPr>
        <w:t>Bendamustine</w:t>
      </w:r>
      <w:proofErr w:type="spellEnd"/>
      <w:r w:rsidRPr="00FB0891">
        <w:rPr>
          <w:rFonts w:eastAsia="Times New Roman" w:cs="Arial"/>
          <w:color w:val="000000"/>
          <w:szCs w:val="20"/>
        </w:rPr>
        <w:t xml:space="preserve"> </w:t>
      </w:r>
      <w:proofErr w:type="spellStart"/>
      <w:r w:rsidRPr="00FB0891">
        <w:rPr>
          <w:rFonts w:eastAsia="Times New Roman" w:cs="Arial"/>
          <w:color w:val="000000"/>
          <w:szCs w:val="20"/>
        </w:rPr>
        <w:t>Sandoz</w:t>
      </w:r>
      <w:proofErr w:type="spellEnd"/>
      <w:r w:rsidR="008F05B3" w:rsidRPr="00FB0891">
        <w:rPr>
          <w:rFonts w:eastAsia="Times New Roman" w:cs="Arial"/>
          <w:color w:val="000000"/>
          <w:szCs w:val="20"/>
        </w:rPr>
        <w:t xml:space="preserve"> </w:t>
      </w:r>
      <w:r w:rsidR="008F05B3" w:rsidRPr="00FB0891">
        <w:rPr>
          <w:rFonts w:eastAsia="Times New Roman" w:cs="Arial"/>
          <w:color w:val="000000"/>
          <w:szCs w:val="20"/>
          <w:lang w:eastAsia="bg-BG"/>
        </w:rPr>
        <w:t xml:space="preserve">2.5 </w:t>
      </w:r>
      <w:proofErr w:type="spellStart"/>
      <w:r w:rsidR="008F05B3" w:rsidRPr="00FB0891">
        <w:rPr>
          <w:rFonts w:eastAsia="Times New Roman" w:cs="Arial"/>
          <w:color w:val="000000"/>
          <w:szCs w:val="20"/>
        </w:rPr>
        <w:t>mg</w:t>
      </w:r>
      <w:proofErr w:type="spellEnd"/>
      <w:r w:rsidR="008F05B3" w:rsidRPr="00FB0891">
        <w:rPr>
          <w:rFonts w:eastAsia="Times New Roman" w:cs="Arial"/>
          <w:color w:val="000000"/>
          <w:szCs w:val="20"/>
        </w:rPr>
        <w:t xml:space="preserve">/ml </w:t>
      </w:r>
      <w:proofErr w:type="spellStart"/>
      <w:r w:rsidR="008F05B3" w:rsidRPr="00FB0891">
        <w:rPr>
          <w:rFonts w:eastAsia="Times New Roman" w:cs="Arial"/>
          <w:color w:val="000000"/>
          <w:szCs w:val="20"/>
        </w:rPr>
        <w:t>powder</w:t>
      </w:r>
      <w:proofErr w:type="spellEnd"/>
      <w:r w:rsidR="008F05B3" w:rsidRPr="00FB0891">
        <w:rPr>
          <w:rFonts w:eastAsia="Times New Roman" w:cs="Arial"/>
          <w:color w:val="000000"/>
          <w:szCs w:val="20"/>
        </w:rPr>
        <w:t xml:space="preserve"> </w:t>
      </w:r>
      <w:proofErr w:type="spellStart"/>
      <w:r w:rsidR="008F05B3" w:rsidRPr="00FB0891">
        <w:rPr>
          <w:rFonts w:eastAsia="Times New Roman" w:cs="Arial"/>
          <w:color w:val="000000"/>
          <w:szCs w:val="20"/>
        </w:rPr>
        <w:t>for</w:t>
      </w:r>
      <w:proofErr w:type="spellEnd"/>
      <w:r w:rsidR="008F05B3" w:rsidRPr="00FB0891">
        <w:rPr>
          <w:rFonts w:eastAsia="Times New Roman" w:cs="Arial"/>
          <w:color w:val="000000"/>
          <w:szCs w:val="20"/>
        </w:rPr>
        <w:t xml:space="preserve"> </w:t>
      </w:r>
      <w:proofErr w:type="spellStart"/>
      <w:r w:rsidR="008F05B3" w:rsidRPr="00FB0891">
        <w:rPr>
          <w:rFonts w:eastAsia="Times New Roman" w:cs="Arial"/>
          <w:color w:val="000000"/>
          <w:szCs w:val="20"/>
        </w:rPr>
        <w:t>concentrate</w:t>
      </w:r>
      <w:proofErr w:type="spellEnd"/>
      <w:r w:rsidR="008F05B3" w:rsidRPr="00FB0891">
        <w:rPr>
          <w:rFonts w:eastAsia="Times New Roman" w:cs="Arial"/>
          <w:color w:val="000000"/>
          <w:szCs w:val="20"/>
        </w:rPr>
        <w:t xml:space="preserve"> </w:t>
      </w:r>
      <w:proofErr w:type="spellStart"/>
      <w:r w:rsidR="008F05B3" w:rsidRPr="00FB0891">
        <w:rPr>
          <w:rFonts w:eastAsia="Times New Roman" w:cs="Arial"/>
          <w:color w:val="000000"/>
          <w:szCs w:val="20"/>
        </w:rPr>
        <w:t>for</w:t>
      </w:r>
      <w:proofErr w:type="spellEnd"/>
      <w:r w:rsidR="008F05B3" w:rsidRPr="00FB0891">
        <w:rPr>
          <w:rFonts w:eastAsia="Times New Roman" w:cs="Arial"/>
          <w:color w:val="000000"/>
          <w:szCs w:val="20"/>
        </w:rPr>
        <w:t xml:space="preserve"> </w:t>
      </w:r>
      <w:proofErr w:type="spellStart"/>
      <w:r w:rsidR="008F05B3" w:rsidRPr="00FB0891">
        <w:rPr>
          <w:rFonts w:eastAsia="Times New Roman" w:cs="Arial"/>
          <w:color w:val="000000"/>
          <w:szCs w:val="20"/>
        </w:rPr>
        <w:t>solution</w:t>
      </w:r>
      <w:proofErr w:type="spellEnd"/>
      <w:r w:rsidR="008F05B3" w:rsidRPr="00FB0891">
        <w:rPr>
          <w:rFonts w:eastAsia="Times New Roman" w:cs="Arial"/>
          <w:color w:val="000000"/>
          <w:szCs w:val="20"/>
        </w:rPr>
        <w:t xml:space="preserve"> </w:t>
      </w:r>
      <w:proofErr w:type="spellStart"/>
      <w:r w:rsidR="008F05B3" w:rsidRPr="00FB0891">
        <w:rPr>
          <w:rFonts w:eastAsia="Times New Roman" w:cs="Arial"/>
          <w:color w:val="000000"/>
          <w:szCs w:val="20"/>
        </w:rPr>
        <w:t>for</w:t>
      </w:r>
      <w:proofErr w:type="spellEnd"/>
      <w:r w:rsidR="008F05B3" w:rsidRPr="00FB0891">
        <w:rPr>
          <w:rFonts w:eastAsia="Times New Roman" w:cs="Arial"/>
          <w:color w:val="000000"/>
          <w:szCs w:val="20"/>
        </w:rPr>
        <w:t xml:space="preserve"> </w:t>
      </w:r>
      <w:proofErr w:type="spellStart"/>
      <w:r w:rsidR="008F05B3" w:rsidRPr="00FB0891">
        <w:rPr>
          <w:rFonts w:eastAsia="Times New Roman" w:cs="Arial"/>
          <w:color w:val="000000"/>
          <w:szCs w:val="20"/>
        </w:rPr>
        <w:t>infusion</w:t>
      </w:r>
      <w:proofErr w:type="spellEnd"/>
    </w:p>
    <w:p w14:paraId="1E8447D1" w14:textId="77777777" w:rsidR="0091385D" w:rsidRPr="00FB0891" w:rsidRDefault="0091385D" w:rsidP="0091385D"/>
    <w:p w14:paraId="6920A680" w14:textId="53C3EFCC" w:rsidR="00C40420" w:rsidRPr="00FB0891" w:rsidRDefault="00DD466D" w:rsidP="004A448E">
      <w:pPr>
        <w:pStyle w:val="Heading1"/>
      </w:pPr>
      <w:r w:rsidRPr="00FB0891">
        <w:t>2. КАЧЕСТВЕН И КОЛИЧЕСТВЕН СЪСТАВ</w:t>
      </w:r>
    </w:p>
    <w:p w14:paraId="1ED33AE8" w14:textId="288788EF" w:rsidR="0091385D" w:rsidRPr="00FB0891" w:rsidRDefault="0091385D" w:rsidP="0091385D"/>
    <w:p w14:paraId="29288076"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Един флакон съдържа 25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w:t>
      </w:r>
      <w:r w:rsidRPr="00FB0891">
        <w:rPr>
          <w:rFonts w:eastAsia="Times New Roman" w:cs="Arial"/>
          <w:i/>
          <w:iCs/>
          <w:color w:val="000000"/>
          <w:szCs w:val="20"/>
        </w:rPr>
        <w:t>(</w:t>
      </w:r>
      <w:proofErr w:type="spellStart"/>
      <w:r w:rsidRPr="00FB0891">
        <w:rPr>
          <w:rFonts w:eastAsia="Times New Roman" w:cs="Arial"/>
          <w:i/>
          <w:iCs/>
          <w:color w:val="000000"/>
          <w:szCs w:val="20"/>
        </w:rPr>
        <w:t>bendamustine</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hydrochloride</w:t>
      </w:r>
      <w:proofErr w:type="spellEnd"/>
      <w:r w:rsidRPr="00FB0891">
        <w:rPr>
          <w:rFonts w:eastAsia="Times New Roman" w:cs="Arial"/>
          <w:i/>
          <w:iCs/>
          <w:color w:val="000000"/>
          <w:szCs w:val="20"/>
        </w:rPr>
        <w:t>),</w:t>
      </w:r>
      <w:r w:rsidRPr="00FB0891">
        <w:rPr>
          <w:rFonts w:eastAsia="Times New Roman" w:cs="Arial"/>
          <w:color w:val="000000"/>
          <w:szCs w:val="20"/>
        </w:rPr>
        <w:t xml:space="preserve"> </w:t>
      </w:r>
      <w:r w:rsidRPr="00FB0891">
        <w:rPr>
          <w:rFonts w:eastAsia="Times New Roman" w:cs="Arial"/>
          <w:color w:val="000000"/>
          <w:szCs w:val="20"/>
          <w:lang w:eastAsia="bg-BG"/>
        </w:rPr>
        <w:t xml:space="preserve">като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w:t>
      </w:r>
      <w:proofErr w:type="spellStart"/>
      <w:r w:rsidRPr="00FB0891">
        <w:rPr>
          <w:rFonts w:eastAsia="Times New Roman" w:cs="Arial"/>
          <w:color w:val="000000"/>
          <w:szCs w:val="20"/>
          <w:lang w:eastAsia="bg-BG"/>
        </w:rPr>
        <w:t>монохидрат</w:t>
      </w:r>
      <w:proofErr w:type="spellEnd"/>
      <w:r w:rsidRPr="00FB0891">
        <w:rPr>
          <w:rFonts w:eastAsia="Times New Roman" w:cs="Arial"/>
          <w:color w:val="000000"/>
          <w:szCs w:val="20"/>
          <w:lang w:eastAsia="bg-BG"/>
        </w:rPr>
        <w:t xml:space="preserve"> </w:t>
      </w:r>
      <w:r w:rsidRPr="00FB0891">
        <w:rPr>
          <w:rFonts w:eastAsia="Times New Roman" w:cs="Arial"/>
          <w:i/>
          <w:iCs/>
          <w:color w:val="000000"/>
          <w:szCs w:val="20"/>
        </w:rPr>
        <w:t>(</w:t>
      </w:r>
      <w:proofErr w:type="spellStart"/>
      <w:r w:rsidRPr="00FB0891">
        <w:rPr>
          <w:rFonts w:eastAsia="Times New Roman" w:cs="Arial"/>
          <w:i/>
          <w:iCs/>
          <w:color w:val="000000"/>
          <w:szCs w:val="20"/>
        </w:rPr>
        <w:t>as</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bendamustine</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hydrochloride</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monohydrate</w:t>
      </w:r>
      <w:proofErr w:type="spellEnd"/>
      <w:r w:rsidRPr="00FB0891">
        <w:rPr>
          <w:rFonts w:eastAsia="Times New Roman" w:cs="Arial"/>
          <w:i/>
          <w:iCs/>
          <w:color w:val="000000"/>
          <w:szCs w:val="20"/>
        </w:rPr>
        <w:t>).</w:t>
      </w:r>
    </w:p>
    <w:p w14:paraId="11D4FBD2"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Един флакон съдържа 100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w:t>
      </w:r>
      <w:r w:rsidRPr="00FB0891">
        <w:rPr>
          <w:rFonts w:eastAsia="Times New Roman" w:cs="Arial"/>
          <w:i/>
          <w:iCs/>
          <w:color w:val="000000"/>
          <w:szCs w:val="20"/>
        </w:rPr>
        <w:t>(</w:t>
      </w:r>
      <w:proofErr w:type="spellStart"/>
      <w:r w:rsidRPr="00FB0891">
        <w:rPr>
          <w:rFonts w:eastAsia="Times New Roman" w:cs="Arial"/>
          <w:i/>
          <w:iCs/>
          <w:color w:val="000000"/>
          <w:szCs w:val="20"/>
        </w:rPr>
        <w:t>bendamustine</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hydrochloride</w:t>
      </w:r>
      <w:proofErr w:type="spellEnd"/>
      <w:r w:rsidRPr="00FB0891">
        <w:rPr>
          <w:rFonts w:eastAsia="Times New Roman" w:cs="Arial"/>
          <w:i/>
          <w:iCs/>
          <w:color w:val="000000"/>
          <w:szCs w:val="20"/>
        </w:rPr>
        <w:t>),</w:t>
      </w:r>
      <w:r w:rsidRPr="00FB0891">
        <w:rPr>
          <w:rFonts w:eastAsia="Times New Roman" w:cs="Arial"/>
          <w:color w:val="000000"/>
          <w:szCs w:val="20"/>
        </w:rPr>
        <w:t xml:space="preserve"> </w:t>
      </w:r>
      <w:r w:rsidRPr="00FB0891">
        <w:rPr>
          <w:rFonts w:eastAsia="Times New Roman" w:cs="Arial"/>
          <w:color w:val="000000"/>
          <w:szCs w:val="20"/>
          <w:lang w:eastAsia="bg-BG"/>
        </w:rPr>
        <w:t xml:space="preserve">като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w:t>
      </w:r>
      <w:proofErr w:type="spellStart"/>
      <w:r w:rsidRPr="00FB0891">
        <w:rPr>
          <w:rFonts w:eastAsia="Times New Roman" w:cs="Arial"/>
          <w:color w:val="000000"/>
          <w:szCs w:val="20"/>
          <w:lang w:eastAsia="bg-BG"/>
        </w:rPr>
        <w:t>монохидрат</w:t>
      </w:r>
      <w:proofErr w:type="spellEnd"/>
      <w:r w:rsidRPr="00FB0891">
        <w:rPr>
          <w:rFonts w:eastAsia="Times New Roman" w:cs="Arial"/>
          <w:color w:val="000000"/>
          <w:szCs w:val="20"/>
          <w:lang w:eastAsia="bg-BG"/>
        </w:rPr>
        <w:t xml:space="preserve"> </w:t>
      </w:r>
      <w:r w:rsidRPr="00FB0891">
        <w:rPr>
          <w:rFonts w:eastAsia="Times New Roman" w:cs="Arial"/>
          <w:i/>
          <w:iCs/>
          <w:color w:val="000000"/>
          <w:szCs w:val="20"/>
        </w:rPr>
        <w:t>(</w:t>
      </w:r>
      <w:proofErr w:type="spellStart"/>
      <w:r w:rsidRPr="00FB0891">
        <w:rPr>
          <w:rFonts w:eastAsia="Times New Roman" w:cs="Arial"/>
          <w:i/>
          <w:iCs/>
          <w:color w:val="000000"/>
          <w:szCs w:val="20"/>
        </w:rPr>
        <w:t>as</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bendamustine</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hydrochloride</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monohydrate</w:t>
      </w:r>
      <w:proofErr w:type="spellEnd"/>
      <w:r w:rsidRPr="00FB0891">
        <w:rPr>
          <w:rFonts w:eastAsia="Times New Roman" w:cs="Arial"/>
          <w:i/>
          <w:iCs/>
          <w:color w:val="000000"/>
          <w:szCs w:val="20"/>
        </w:rPr>
        <w:t>).</w:t>
      </w:r>
    </w:p>
    <w:p w14:paraId="10CBD75C" w14:textId="77777777" w:rsidR="008F05B3" w:rsidRPr="00FB0891" w:rsidRDefault="008F05B3" w:rsidP="008F05B3">
      <w:pPr>
        <w:spacing w:line="240" w:lineRule="auto"/>
        <w:rPr>
          <w:rFonts w:eastAsia="Times New Roman" w:cs="Arial"/>
          <w:color w:val="000000"/>
          <w:szCs w:val="20"/>
        </w:rPr>
      </w:pPr>
    </w:p>
    <w:p w14:paraId="32CD6FAC" w14:textId="0D7D775F" w:rsidR="008F05B3" w:rsidRPr="00FB0891" w:rsidRDefault="00026046" w:rsidP="008F05B3">
      <w:pPr>
        <w:spacing w:line="240" w:lineRule="auto"/>
        <w:rPr>
          <w:rFonts w:eastAsia="Times New Roman" w:cs="Arial"/>
          <w:sz w:val="28"/>
          <w:szCs w:val="24"/>
          <w:lang w:eastAsia="bg-BG"/>
        </w:rPr>
      </w:pPr>
      <w:r w:rsidRPr="00FB0891">
        <w:rPr>
          <w:rFonts w:eastAsia="Times New Roman" w:cs="Arial"/>
          <w:color w:val="000000"/>
          <w:szCs w:val="20"/>
        </w:rPr>
        <w:t>Всеки ml от концентрата</w:t>
      </w:r>
      <w:r w:rsidR="008F05B3" w:rsidRPr="00FB0891">
        <w:rPr>
          <w:rFonts w:eastAsia="Times New Roman" w:cs="Arial"/>
          <w:color w:val="000000"/>
          <w:szCs w:val="20"/>
          <w:lang w:eastAsia="bg-BG"/>
        </w:rPr>
        <w:t xml:space="preserve"> съдържа </w:t>
      </w:r>
      <w:r w:rsidR="008F05B3" w:rsidRPr="00FB0891">
        <w:rPr>
          <w:rFonts w:eastAsia="Times New Roman" w:cs="Arial"/>
          <w:color w:val="000000"/>
          <w:szCs w:val="20"/>
        </w:rPr>
        <w:t xml:space="preserve">2,5 </w:t>
      </w:r>
      <w:proofErr w:type="spellStart"/>
      <w:r w:rsidR="008F05B3" w:rsidRPr="00FB0891">
        <w:rPr>
          <w:rFonts w:eastAsia="Times New Roman" w:cs="Arial"/>
          <w:color w:val="000000"/>
          <w:szCs w:val="20"/>
        </w:rPr>
        <w:t>mg</w:t>
      </w:r>
      <w:proofErr w:type="spellEnd"/>
      <w:r w:rsidR="008F05B3" w:rsidRPr="00FB0891">
        <w:rPr>
          <w:rFonts w:eastAsia="Times New Roman" w:cs="Arial"/>
          <w:color w:val="000000"/>
          <w:szCs w:val="20"/>
        </w:rPr>
        <w:t xml:space="preserve">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когато е разтворен в</w:t>
      </w:r>
      <w:r w:rsidR="008F05B3" w:rsidRPr="00FB0891">
        <w:rPr>
          <w:rFonts w:eastAsia="Times New Roman" w:cs="Arial"/>
          <w:color w:val="000000"/>
          <w:szCs w:val="20"/>
          <w:lang w:eastAsia="bg-BG"/>
        </w:rPr>
        <w:t xml:space="preserve"> съ</w:t>
      </w:r>
      <w:r w:rsidRPr="00FB0891">
        <w:rPr>
          <w:rFonts w:eastAsia="Times New Roman" w:cs="Arial"/>
          <w:color w:val="000000"/>
          <w:szCs w:val="20"/>
          <w:lang w:eastAsia="bg-BG"/>
        </w:rPr>
        <w:t xml:space="preserve">ответствие с </w:t>
      </w:r>
      <w:r w:rsidR="008F05B3" w:rsidRPr="00FB0891">
        <w:rPr>
          <w:rFonts w:eastAsia="Times New Roman" w:cs="Arial"/>
          <w:color w:val="000000"/>
          <w:szCs w:val="20"/>
          <w:lang w:eastAsia="bg-BG"/>
        </w:rPr>
        <w:t>точка 6.6.</w:t>
      </w:r>
    </w:p>
    <w:p w14:paraId="5AD08A00" w14:textId="77777777" w:rsidR="008F05B3" w:rsidRPr="00FB0891" w:rsidRDefault="008F05B3" w:rsidP="008F05B3">
      <w:pPr>
        <w:rPr>
          <w:rFonts w:eastAsia="Times New Roman" w:cs="Arial"/>
          <w:color w:val="000000"/>
          <w:szCs w:val="20"/>
          <w:lang w:eastAsia="bg-BG"/>
        </w:rPr>
      </w:pPr>
    </w:p>
    <w:p w14:paraId="729D0A91" w14:textId="100CEC43" w:rsidR="0091385D" w:rsidRPr="00FB0891" w:rsidRDefault="008F05B3" w:rsidP="008F05B3">
      <w:pPr>
        <w:rPr>
          <w:rFonts w:cs="Arial"/>
          <w:sz w:val="24"/>
        </w:rPr>
      </w:pPr>
      <w:r w:rsidRPr="00FB0891">
        <w:rPr>
          <w:rFonts w:eastAsia="Times New Roman" w:cs="Arial"/>
          <w:color w:val="000000"/>
          <w:szCs w:val="20"/>
          <w:lang w:eastAsia="bg-BG"/>
        </w:rPr>
        <w:t>За пълния списък на помощните вещества вижте точка 6.1.</w:t>
      </w:r>
    </w:p>
    <w:p w14:paraId="03110A50" w14:textId="77777777" w:rsidR="0091385D" w:rsidRPr="00FB0891" w:rsidRDefault="0091385D" w:rsidP="0091385D"/>
    <w:p w14:paraId="614984C4" w14:textId="3FC552C3" w:rsidR="008A6AF2" w:rsidRPr="00FB0891" w:rsidRDefault="00DD466D" w:rsidP="002C50EE">
      <w:pPr>
        <w:pStyle w:val="Heading1"/>
      </w:pPr>
      <w:r w:rsidRPr="00FB0891">
        <w:t>3. ЛЕКАРСТВЕНА ФОРМА</w:t>
      </w:r>
    </w:p>
    <w:p w14:paraId="1004E96C" w14:textId="277B91E7" w:rsidR="0091385D" w:rsidRPr="00FB0891" w:rsidRDefault="0091385D" w:rsidP="0091385D"/>
    <w:p w14:paraId="2C1A1084" w14:textId="74E15CEF" w:rsidR="008F05B3" w:rsidRPr="00FB0891" w:rsidRDefault="008F05B3" w:rsidP="00026046">
      <w:pPr>
        <w:spacing w:line="240" w:lineRule="auto"/>
        <w:rPr>
          <w:rFonts w:eastAsia="Times New Roman" w:cs="Arial"/>
          <w:sz w:val="28"/>
          <w:szCs w:val="24"/>
          <w:lang w:eastAsia="bg-BG"/>
        </w:rPr>
      </w:pPr>
      <w:r w:rsidRPr="00FB0891">
        <w:rPr>
          <w:rFonts w:eastAsia="Times New Roman" w:cs="Arial"/>
          <w:color w:val="000000"/>
          <w:szCs w:val="20"/>
          <w:lang w:eastAsia="bg-BG"/>
        </w:rPr>
        <w:t>Прах за концентрат за инфузионен разтвор</w:t>
      </w:r>
    </w:p>
    <w:p w14:paraId="4A991133" w14:textId="420FAEB5" w:rsidR="0091385D" w:rsidRPr="00FB0891" w:rsidRDefault="008F05B3" w:rsidP="008F05B3">
      <w:pPr>
        <w:rPr>
          <w:rFonts w:cs="Arial"/>
          <w:sz w:val="24"/>
        </w:rPr>
      </w:pPr>
      <w:r w:rsidRPr="00FB0891">
        <w:rPr>
          <w:rFonts w:eastAsia="Times New Roman" w:cs="Arial"/>
          <w:color w:val="000000"/>
          <w:szCs w:val="20"/>
          <w:lang w:eastAsia="bg-BG"/>
        </w:rPr>
        <w:t>Бял</w:t>
      </w:r>
      <w:r w:rsidR="00026046" w:rsidRPr="00FB0891">
        <w:rPr>
          <w:rFonts w:eastAsia="Times New Roman" w:cs="Arial"/>
          <w:color w:val="000000"/>
          <w:szCs w:val="20"/>
          <w:lang w:eastAsia="bg-BG"/>
        </w:rPr>
        <w:t xml:space="preserve"> до почти бял</w:t>
      </w:r>
      <w:r w:rsidRPr="00FB0891">
        <w:rPr>
          <w:rFonts w:eastAsia="Times New Roman" w:cs="Arial"/>
          <w:color w:val="000000"/>
          <w:szCs w:val="20"/>
          <w:lang w:eastAsia="bg-BG"/>
        </w:rPr>
        <w:t xml:space="preserve"> прах</w:t>
      </w:r>
    </w:p>
    <w:p w14:paraId="4129ADBB" w14:textId="77777777" w:rsidR="0091385D" w:rsidRPr="00FB0891" w:rsidRDefault="0091385D" w:rsidP="0091385D"/>
    <w:p w14:paraId="490FC2C4" w14:textId="76FABE77" w:rsidR="002C50EE" w:rsidRPr="00FB0891" w:rsidRDefault="002C50EE" w:rsidP="002C50EE">
      <w:pPr>
        <w:pStyle w:val="Heading1"/>
      </w:pPr>
      <w:r w:rsidRPr="00FB0891">
        <w:t>4. КЛИНИЧНИ ДАННИ</w:t>
      </w:r>
    </w:p>
    <w:p w14:paraId="0C69CBC7" w14:textId="77777777" w:rsidR="0091385D" w:rsidRPr="00FB0891" w:rsidRDefault="0091385D" w:rsidP="0091385D"/>
    <w:p w14:paraId="0C8E6903" w14:textId="51BB3E2D" w:rsidR="008134C8" w:rsidRPr="00FB0891" w:rsidRDefault="002C50EE" w:rsidP="004A448E">
      <w:pPr>
        <w:pStyle w:val="Heading2"/>
      </w:pPr>
      <w:r w:rsidRPr="00FB0891">
        <w:t>4.1. Терапевтични показания</w:t>
      </w:r>
    </w:p>
    <w:p w14:paraId="174D169F" w14:textId="0369962D" w:rsidR="0091385D" w:rsidRPr="00FB0891" w:rsidRDefault="0091385D" w:rsidP="0091385D"/>
    <w:p w14:paraId="50B25B50" w14:textId="37341DE4" w:rsidR="008F05B3" w:rsidRPr="00FB0891" w:rsidRDefault="00026046" w:rsidP="008F05B3">
      <w:pPr>
        <w:spacing w:line="240" w:lineRule="auto"/>
        <w:rPr>
          <w:rFonts w:eastAsia="Times New Roman" w:cs="Arial"/>
          <w:sz w:val="28"/>
          <w:szCs w:val="24"/>
          <w:lang w:eastAsia="bg-BG"/>
        </w:rPr>
      </w:pPr>
      <w:r w:rsidRPr="00FB0891">
        <w:rPr>
          <w:rFonts w:eastAsia="Times New Roman" w:cs="Arial"/>
          <w:color w:val="000000"/>
          <w:szCs w:val="20"/>
          <w:lang w:eastAsia="bg-BG"/>
        </w:rPr>
        <w:t>Първа линия на терапия</w:t>
      </w:r>
      <w:r w:rsidR="008F05B3" w:rsidRPr="00FB0891">
        <w:rPr>
          <w:rFonts w:eastAsia="Times New Roman" w:cs="Arial"/>
          <w:color w:val="000000"/>
          <w:szCs w:val="20"/>
          <w:lang w:eastAsia="bg-BG"/>
        </w:rPr>
        <w:t xml:space="preserve"> на хронична лимфоцитна левкемия (стадий В или С по </w:t>
      </w:r>
      <w:proofErr w:type="spellStart"/>
      <w:r w:rsidR="008F05B3" w:rsidRPr="00FB0891">
        <w:rPr>
          <w:rFonts w:eastAsia="Times New Roman" w:cs="Arial"/>
          <w:color w:val="000000"/>
          <w:szCs w:val="20"/>
        </w:rPr>
        <w:t>Binet</w:t>
      </w:r>
      <w:proofErr w:type="spellEnd"/>
      <w:r w:rsidR="008F05B3" w:rsidRPr="00FB0891">
        <w:rPr>
          <w:rFonts w:eastAsia="Times New Roman" w:cs="Arial"/>
          <w:color w:val="000000"/>
          <w:szCs w:val="20"/>
        </w:rPr>
        <w:t xml:space="preserve">) </w:t>
      </w:r>
      <w:r w:rsidR="008F05B3" w:rsidRPr="00FB0891">
        <w:rPr>
          <w:rFonts w:eastAsia="Times New Roman" w:cs="Arial"/>
          <w:color w:val="000000"/>
          <w:szCs w:val="20"/>
          <w:lang w:eastAsia="bg-BG"/>
        </w:rPr>
        <w:t>при пациенти, за които комбиниранат</w:t>
      </w:r>
      <w:r w:rsidRPr="00FB0891">
        <w:rPr>
          <w:rFonts w:eastAsia="Times New Roman" w:cs="Arial"/>
          <w:color w:val="000000"/>
          <w:szCs w:val="20"/>
          <w:lang w:eastAsia="bg-BG"/>
        </w:rPr>
        <w:t xml:space="preserve">а химиотерапия с </w:t>
      </w:r>
      <w:proofErr w:type="spellStart"/>
      <w:r w:rsidRPr="00FB0891">
        <w:rPr>
          <w:rFonts w:eastAsia="Times New Roman" w:cs="Arial"/>
          <w:color w:val="000000"/>
          <w:szCs w:val="20"/>
          <w:lang w:eastAsia="bg-BG"/>
        </w:rPr>
        <w:t>флударабин</w:t>
      </w:r>
      <w:proofErr w:type="spellEnd"/>
      <w:r w:rsidRPr="00FB0891">
        <w:rPr>
          <w:rFonts w:eastAsia="Times New Roman" w:cs="Arial"/>
          <w:color w:val="000000"/>
          <w:szCs w:val="20"/>
          <w:lang w:eastAsia="bg-BG"/>
        </w:rPr>
        <w:t xml:space="preserve"> не е </w:t>
      </w:r>
      <w:r w:rsidR="008F05B3" w:rsidRPr="00FB0891">
        <w:rPr>
          <w:rFonts w:eastAsia="Times New Roman" w:cs="Arial"/>
          <w:color w:val="000000"/>
          <w:szCs w:val="20"/>
          <w:lang w:eastAsia="bg-BG"/>
        </w:rPr>
        <w:t>подходяща.</w:t>
      </w:r>
    </w:p>
    <w:p w14:paraId="2A624FE6" w14:textId="77777777" w:rsidR="008F05B3" w:rsidRPr="00FB0891" w:rsidRDefault="008F05B3" w:rsidP="008F05B3">
      <w:pPr>
        <w:spacing w:line="240" w:lineRule="auto"/>
        <w:rPr>
          <w:rFonts w:eastAsia="Times New Roman" w:cs="Arial"/>
          <w:color w:val="000000"/>
          <w:szCs w:val="20"/>
          <w:lang w:eastAsia="bg-BG"/>
        </w:rPr>
      </w:pPr>
    </w:p>
    <w:p w14:paraId="6565E573" w14:textId="0908E276"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Като </w:t>
      </w:r>
      <w:proofErr w:type="spellStart"/>
      <w:r w:rsidRPr="00FB0891">
        <w:rPr>
          <w:rFonts w:eastAsia="Times New Roman" w:cs="Arial"/>
          <w:color w:val="000000"/>
          <w:szCs w:val="20"/>
          <w:lang w:eastAsia="bg-BG"/>
        </w:rPr>
        <w:t>монотерапия</w:t>
      </w:r>
      <w:proofErr w:type="spellEnd"/>
      <w:r w:rsidRPr="00FB0891">
        <w:rPr>
          <w:rFonts w:eastAsia="Times New Roman" w:cs="Arial"/>
          <w:color w:val="000000"/>
          <w:szCs w:val="20"/>
          <w:lang w:eastAsia="bg-BG"/>
        </w:rPr>
        <w:t xml:space="preserve"> при </w:t>
      </w:r>
      <w:r w:rsidR="00026046" w:rsidRPr="00FB0891">
        <w:rPr>
          <w:rFonts w:eastAsia="Times New Roman" w:cs="Arial"/>
          <w:color w:val="000000"/>
          <w:szCs w:val="20"/>
          <w:lang w:eastAsia="bg-BG"/>
        </w:rPr>
        <w:t>бавноразвиващи се</w:t>
      </w:r>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нехочкинови</w:t>
      </w:r>
      <w:proofErr w:type="spellEnd"/>
      <w:r w:rsidRPr="00FB0891">
        <w:rPr>
          <w:rFonts w:eastAsia="Times New Roman" w:cs="Arial"/>
          <w:color w:val="000000"/>
          <w:szCs w:val="20"/>
          <w:lang w:eastAsia="bg-BG"/>
        </w:rPr>
        <w:t xml:space="preserve"> лимфоми</w:t>
      </w:r>
      <w:r w:rsidR="00026046" w:rsidRPr="00FB0891">
        <w:rPr>
          <w:rFonts w:eastAsia="Times New Roman" w:cs="Arial"/>
          <w:color w:val="000000"/>
          <w:szCs w:val="20"/>
          <w:lang w:eastAsia="bg-BG"/>
        </w:rPr>
        <w:t>, при пациенти, чието заболяване е прогресирало</w:t>
      </w:r>
      <w:r w:rsidRPr="00FB0891">
        <w:rPr>
          <w:rFonts w:eastAsia="Times New Roman" w:cs="Arial"/>
          <w:color w:val="000000"/>
          <w:szCs w:val="20"/>
          <w:lang w:eastAsia="bg-BG"/>
        </w:rPr>
        <w:t xml:space="preserve"> по време или в рамките на 6 месеца след лечение с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или </w:t>
      </w:r>
      <w:r w:rsidR="00026046" w:rsidRPr="00FB0891">
        <w:rPr>
          <w:rFonts w:eastAsia="Times New Roman" w:cs="Arial"/>
          <w:color w:val="000000"/>
          <w:szCs w:val="20"/>
          <w:lang w:eastAsia="bg-BG"/>
        </w:rPr>
        <w:t xml:space="preserve">съдържащ </w:t>
      </w:r>
      <w:proofErr w:type="spellStart"/>
      <w:r w:rsidR="00026046" w:rsidRPr="00FB0891">
        <w:rPr>
          <w:rFonts w:eastAsia="Times New Roman" w:cs="Arial"/>
          <w:color w:val="000000"/>
          <w:szCs w:val="20"/>
          <w:lang w:eastAsia="bg-BG"/>
        </w:rPr>
        <w:t>ритуксимаб</w:t>
      </w:r>
      <w:proofErr w:type="spellEnd"/>
      <w:r w:rsidR="00026046" w:rsidRPr="00FB0891">
        <w:rPr>
          <w:rFonts w:eastAsia="Times New Roman" w:cs="Arial"/>
          <w:color w:val="000000"/>
          <w:szCs w:val="20"/>
          <w:lang w:eastAsia="bg-BG"/>
        </w:rPr>
        <w:t xml:space="preserve"> лечебен режим.</w:t>
      </w:r>
    </w:p>
    <w:p w14:paraId="4923DE6C" w14:textId="77777777" w:rsidR="008F05B3" w:rsidRPr="00FB0891" w:rsidRDefault="008F05B3" w:rsidP="008F05B3">
      <w:pPr>
        <w:rPr>
          <w:rFonts w:eastAsia="Times New Roman" w:cs="Arial"/>
          <w:color w:val="000000"/>
          <w:szCs w:val="20"/>
          <w:lang w:eastAsia="bg-BG"/>
        </w:rPr>
      </w:pPr>
    </w:p>
    <w:p w14:paraId="04B2E99C" w14:textId="1EB4C2EB" w:rsidR="0091385D" w:rsidRPr="00FB0891" w:rsidRDefault="00026046" w:rsidP="008F05B3">
      <w:pPr>
        <w:rPr>
          <w:rFonts w:cs="Arial"/>
          <w:sz w:val="24"/>
        </w:rPr>
      </w:pPr>
      <w:r w:rsidRPr="00FB0891">
        <w:rPr>
          <w:rFonts w:eastAsia="Times New Roman" w:cs="Arial"/>
          <w:color w:val="000000"/>
          <w:szCs w:val="20"/>
          <w:lang w:eastAsia="bg-BG"/>
        </w:rPr>
        <w:t xml:space="preserve">Първа </w:t>
      </w:r>
      <w:r w:rsidR="008F05B3" w:rsidRPr="00FB0891">
        <w:rPr>
          <w:rFonts w:eastAsia="Times New Roman" w:cs="Arial"/>
          <w:color w:val="000000"/>
          <w:szCs w:val="20"/>
          <w:lang w:eastAsia="bg-BG"/>
        </w:rPr>
        <w:t>линия на</w:t>
      </w:r>
      <w:r w:rsidRPr="00FB0891">
        <w:rPr>
          <w:rFonts w:eastAsia="Times New Roman" w:cs="Arial"/>
          <w:color w:val="000000"/>
          <w:szCs w:val="20"/>
          <w:lang w:eastAsia="bg-BG"/>
        </w:rPr>
        <w:t xml:space="preserve"> терапия на множествен</w:t>
      </w:r>
      <w:r w:rsidR="008F05B3" w:rsidRPr="00FB0891">
        <w:rPr>
          <w:rFonts w:eastAsia="Times New Roman" w:cs="Arial"/>
          <w:color w:val="000000"/>
          <w:szCs w:val="20"/>
          <w:lang w:eastAsia="bg-BG"/>
        </w:rPr>
        <w:t xml:space="preserve"> миелом (стадий II с прогресия или стадий </w:t>
      </w:r>
      <w:r w:rsidR="008F05B3" w:rsidRPr="00FB0891">
        <w:rPr>
          <w:rFonts w:eastAsia="Times New Roman" w:cs="Arial"/>
          <w:color w:val="000000"/>
          <w:szCs w:val="20"/>
        </w:rPr>
        <w:t xml:space="preserve">III </w:t>
      </w:r>
      <w:r w:rsidR="008F05B3" w:rsidRPr="00FB0891">
        <w:rPr>
          <w:rFonts w:eastAsia="Times New Roman" w:cs="Arial"/>
          <w:color w:val="000000"/>
          <w:szCs w:val="20"/>
          <w:lang w:eastAsia="bg-BG"/>
        </w:rPr>
        <w:t xml:space="preserve">по </w:t>
      </w:r>
      <w:proofErr w:type="spellStart"/>
      <w:r w:rsidR="008F05B3" w:rsidRPr="00FB0891">
        <w:rPr>
          <w:rFonts w:eastAsia="Times New Roman" w:cs="Arial"/>
          <w:color w:val="000000"/>
          <w:szCs w:val="20"/>
        </w:rPr>
        <w:t>Durie</w:t>
      </w:r>
      <w:proofErr w:type="spellEnd"/>
      <w:r w:rsidR="008F05B3" w:rsidRPr="00FB0891">
        <w:rPr>
          <w:rFonts w:eastAsia="Times New Roman" w:cs="Arial"/>
          <w:color w:val="000000"/>
          <w:szCs w:val="20"/>
        </w:rPr>
        <w:t xml:space="preserve">- </w:t>
      </w:r>
      <w:proofErr w:type="spellStart"/>
      <w:r w:rsidR="008F05B3" w:rsidRPr="00FB0891">
        <w:rPr>
          <w:rFonts w:eastAsia="Times New Roman" w:cs="Arial"/>
          <w:color w:val="000000"/>
          <w:szCs w:val="20"/>
        </w:rPr>
        <w:t>Salmon</w:t>
      </w:r>
      <w:proofErr w:type="spellEnd"/>
      <w:r w:rsidR="008F05B3" w:rsidRPr="00FB0891">
        <w:rPr>
          <w:rFonts w:eastAsia="Times New Roman" w:cs="Arial"/>
          <w:color w:val="000000"/>
          <w:szCs w:val="20"/>
        </w:rPr>
        <w:t xml:space="preserve">) </w:t>
      </w:r>
      <w:r w:rsidR="008F05B3" w:rsidRPr="00FB0891">
        <w:rPr>
          <w:rFonts w:eastAsia="Times New Roman" w:cs="Arial"/>
          <w:color w:val="000000"/>
          <w:szCs w:val="20"/>
          <w:lang w:eastAsia="bg-BG"/>
        </w:rPr>
        <w:t xml:space="preserve">в комбинация с </w:t>
      </w:r>
      <w:proofErr w:type="spellStart"/>
      <w:r w:rsidR="008F05B3" w:rsidRPr="00FB0891">
        <w:rPr>
          <w:rFonts w:eastAsia="Times New Roman" w:cs="Arial"/>
          <w:color w:val="000000"/>
          <w:szCs w:val="20"/>
          <w:lang w:eastAsia="bg-BG"/>
        </w:rPr>
        <w:t>преднизон</w:t>
      </w:r>
      <w:proofErr w:type="spellEnd"/>
      <w:r w:rsidR="008F05B3" w:rsidRPr="00FB0891">
        <w:rPr>
          <w:rFonts w:eastAsia="Times New Roman" w:cs="Arial"/>
          <w:color w:val="000000"/>
          <w:szCs w:val="20"/>
          <w:lang w:eastAsia="bg-BG"/>
        </w:rPr>
        <w:t xml:space="preserve"> </w:t>
      </w:r>
      <w:r w:rsidRPr="00FB0891">
        <w:rPr>
          <w:rFonts w:eastAsia="Times New Roman" w:cs="Arial"/>
          <w:color w:val="000000"/>
          <w:szCs w:val="20"/>
          <w:lang w:eastAsia="bg-BG"/>
        </w:rPr>
        <w:t xml:space="preserve">за пациенти </w:t>
      </w:r>
      <w:r w:rsidR="008F05B3" w:rsidRPr="00FB0891">
        <w:rPr>
          <w:rFonts w:eastAsia="Times New Roman" w:cs="Arial"/>
          <w:color w:val="000000"/>
          <w:szCs w:val="20"/>
          <w:lang w:eastAsia="bg-BG"/>
        </w:rPr>
        <w:t xml:space="preserve">над 65 години, които не са подходящи за </w:t>
      </w:r>
      <w:proofErr w:type="spellStart"/>
      <w:r w:rsidR="008F05B3" w:rsidRPr="00FB0891">
        <w:rPr>
          <w:rFonts w:eastAsia="Times New Roman" w:cs="Arial"/>
          <w:color w:val="000000"/>
          <w:szCs w:val="20"/>
          <w:lang w:eastAsia="bg-BG"/>
        </w:rPr>
        <w:t>автоложна</w:t>
      </w:r>
      <w:proofErr w:type="spellEnd"/>
      <w:r w:rsidR="008F05B3" w:rsidRPr="00FB0891">
        <w:rPr>
          <w:rFonts w:eastAsia="Times New Roman" w:cs="Arial"/>
          <w:color w:val="000000"/>
          <w:szCs w:val="20"/>
          <w:lang w:eastAsia="bg-BG"/>
        </w:rPr>
        <w:t xml:space="preserve"> трансплантация на стволови клетки и които </w:t>
      </w:r>
      <w:r w:rsidRPr="00FB0891">
        <w:rPr>
          <w:rFonts w:eastAsia="Times New Roman" w:cs="Arial"/>
          <w:color w:val="000000"/>
          <w:szCs w:val="20"/>
          <w:lang w:eastAsia="bg-BG"/>
        </w:rPr>
        <w:t>към момента на поставяне на диагнозата, имат клинично изявена невропатия</w:t>
      </w:r>
      <w:r w:rsidR="008F05B3"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непозволяваща</w:t>
      </w:r>
      <w:proofErr w:type="spellEnd"/>
      <w:r w:rsidRPr="00FB0891">
        <w:rPr>
          <w:rFonts w:eastAsia="Times New Roman" w:cs="Arial"/>
          <w:color w:val="000000"/>
          <w:szCs w:val="20"/>
          <w:lang w:eastAsia="bg-BG"/>
        </w:rPr>
        <w:t xml:space="preserve"> употребата на</w:t>
      </w:r>
      <w:r w:rsidR="008F05B3" w:rsidRPr="00FB0891">
        <w:rPr>
          <w:rFonts w:eastAsia="Times New Roman" w:cs="Arial"/>
          <w:color w:val="000000"/>
          <w:szCs w:val="20"/>
          <w:lang w:eastAsia="bg-BG"/>
        </w:rPr>
        <w:t xml:space="preserve"> </w:t>
      </w:r>
      <w:r w:rsidRPr="00FB0891">
        <w:rPr>
          <w:rFonts w:eastAsia="Times New Roman" w:cs="Arial"/>
          <w:color w:val="000000"/>
          <w:szCs w:val="20"/>
          <w:lang w:eastAsia="bg-BG"/>
        </w:rPr>
        <w:t xml:space="preserve">съдържащ </w:t>
      </w:r>
      <w:proofErr w:type="spellStart"/>
      <w:r w:rsidRPr="00FB0891">
        <w:rPr>
          <w:rFonts w:eastAsia="Times New Roman" w:cs="Arial"/>
          <w:color w:val="000000"/>
          <w:szCs w:val="20"/>
          <w:lang w:eastAsia="bg-BG"/>
        </w:rPr>
        <w:t>талидомид</w:t>
      </w:r>
      <w:proofErr w:type="spellEnd"/>
      <w:r w:rsidRPr="00FB0891">
        <w:rPr>
          <w:rFonts w:eastAsia="Times New Roman" w:cs="Arial"/>
          <w:color w:val="000000"/>
          <w:szCs w:val="20"/>
          <w:lang w:eastAsia="bg-BG"/>
        </w:rPr>
        <w:t xml:space="preserve"> или </w:t>
      </w:r>
      <w:proofErr w:type="spellStart"/>
      <w:r w:rsidRPr="00FB0891">
        <w:rPr>
          <w:rFonts w:eastAsia="Times New Roman" w:cs="Arial"/>
          <w:color w:val="000000"/>
          <w:szCs w:val="20"/>
          <w:lang w:eastAsia="bg-BG"/>
        </w:rPr>
        <w:t>бортезомиб</w:t>
      </w:r>
      <w:proofErr w:type="spellEnd"/>
      <w:r w:rsidRPr="00FB0891">
        <w:rPr>
          <w:rFonts w:eastAsia="Times New Roman" w:cs="Arial"/>
          <w:color w:val="000000"/>
          <w:szCs w:val="20"/>
          <w:lang w:eastAsia="bg-BG"/>
        </w:rPr>
        <w:t xml:space="preserve"> терапевтичен режим.</w:t>
      </w:r>
    </w:p>
    <w:p w14:paraId="6DFA4B9D" w14:textId="77777777" w:rsidR="0091385D" w:rsidRPr="00FB0891" w:rsidRDefault="0091385D" w:rsidP="0091385D"/>
    <w:p w14:paraId="30BE2C7B" w14:textId="3633C1E4" w:rsidR="008134C8" w:rsidRPr="00FB0891" w:rsidRDefault="002C50EE" w:rsidP="004A448E">
      <w:pPr>
        <w:pStyle w:val="Heading2"/>
      </w:pPr>
      <w:r w:rsidRPr="00FB0891">
        <w:t>4.2. Дозировка и начин на приложение</w:t>
      </w:r>
    </w:p>
    <w:p w14:paraId="7AA22B68" w14:textId="3A681DFB" w:rsidR="0091385D" w:rsidRPr="00FB0891" w:rsidRDefault="0091385D" w:rsidP="0091385D"/>
    <w:p w14:paraId="545ADD93" w14:textId="77777777" w:rsidR="008F05B3" w:rsidRPr="00FB0891" w:rsidRDefault="008F05B3" w:rsidP="00861D11">
      <w:pPr>
        <w:pStyle w:val="Heading3"/>
        <w:rPr>
          <w:rFonts w:eastAsia="Times New Roman"/>
          <w:sz w:val="28"/>
          <w:u w:val="single"/>
          <w:lang w:eastAsia="bg-BG"/>
        </w:rPr>
      </w:pPr>
      <w:r w:rsidRPr="00FB0891">
        <w:rPr>
          <w:rFonts w:eastAsia="Times New Roman"/>
          <w:u w:val="single"/>
          <w:lang w:eastAsia="bg-BG"/>
        </w:rPr>
        <w:t>Дозировка</w:t>
      </w:r>
    </w:p>
    <w:p w14:paraId="62FCBE1A" w14:textId="77777777" w:rsidR="008F05B3" w:rsidRPr="00FB0891" w:rsidRDefault="008F05B3" w:rsidP="008F05B3">
      <w:pPr>
        <w:spacing w:line="240" w:lineRule="auto"/>
        <w:rPr>
          <w:rFonts w:eastAsia="Times New Roman" w:cs="Arial"/>
          <w:color w:val="000000"/>
          <w:szCs w:val="20"/>
          <w:u w:val="single"/>
          <w:lang w:eastAsia="bg-BG"/>
        </w:rPr>
      </w:pPr>
    </w:p>
    <w:p w14:paraId="3CF33F39" w14:textId="27FAFE5B" w:rsidR="008F05B3" w:rsidRPr="00FB0891" w:rsidRDefault="008F05B3" w:rsidP="008F05B3">
      <w:pPr>
        <w:spacing w:line="240" w:lineRule="auto"/>
        <w:rPr>
          <w:rFonts w:eastAsia="Times New Roman" w:cs="Arial"/>
          <w:i/>
          <w:sz w:val="28"/>
          <w:szCs w:val="24"/>
          <w:lang w:eastAsia="bg-BG"/>
        </w:rPr>
      </w:pPr>
      <w:proofErr w:type="spellStart"/>
      <w:r w:rsidRPr="00FB0891">
        <w:rPr>
          <w:rFonts w:eastAsia="Times New Roman" w:cs="Arial"/>
          <w:i/>
          <w:color w:val="000000"/>
          <w:szCs w:val="20"/>
          <w:lang w:eastAsia="bg-BG"/>
        </w:rPr>
        <w:t>Монотерапия</w:t>
      </w:r>
      <w:proofErr w:type="spellEnd"/>
      <w:r w:rsidRPr="00FB0891">
        <w:rPr>
          <w:rFonts w:eastAsia="Times New Roman" w:cs="Arial"/>
          <w:i/>
          <w:color w:val="000000"/>
          <w:szCs w:val="20"/>
          <w:lang w:eastAsia="bg-BG"/>
        </w:rPr>
        <w:t xml:space="preserve"> при хронична лимфоцитна левкемия</w:t>
      </w:r>
    </w:p>
    <w:p w14:paraId="5ACD39FC"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По 100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телесна повърхност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на дни 1 и 2; на всеки 4 седмици, до 6 пъти.</w:t>
      </w:r>
    </w:p>
    <w:p w14:paraId="07D24057" w14:textId="77777777" w:rsidR="008F05B3" w:rsidRPr="00FB0891" w:rsidRDefault="008F05B3" w:rsidP="008F05B3">
      <w:pPr>
        <w:spacing w:line="240" w:lineRule="auto"/>
        <w:rPr>
          <w:rFonts w:eastAsia="Times New Roman" w:cs="Arial"/>
          <w:color w:val="000000"/>
          <w:szCs w:val="20"/>
          <w:u w:val="single"/>
          <w:lang w:eastAsia="bg-BG"/>
        </w:rPr>
      </w:pPr>
    </w:p>
    <w:p w14:paraId="0E364EF1" w14:textId="13AA502B" w:rsidR="008F05B3" w:rsidRPr="00FB0891" w:rsidRDefault="008F05B3" w:rsidP="008F05B3">
      <w:pPr>
        <w:spacing w:line="240" w:lineRule="auto"/>
        <w:rPr>
          <w:rFonts w:eastAsia="Times New Roman" w:cs="Arial"/>
          <w:i/>
          <w:sz w:val="28"/>
          <w:szCs w:val="24"/>
          <w:lang w:eastAsia="bg-BG"/>
        </w:rPr>
      </w:pPr>
      <w:proofErr w:type="spellStart"/>
      <w:r w:rsidRPr="00FB0891">
        <w:rPr>
          <w:rFonts w:eastAsia="Times New Roman" w:cs="Arial"/>
          <w:i/>
          <w:color w:val="000000"/>
          <w:szCs w:val="20"/>
          <w:lang w:eastAsia="bg-BG"/>
        </w:rPr>
        <w:t>Монотерапия</w:t>
      </w:r>
      <w:proofErr w:type="spellEnd"/>
      <w:r w:rsidRPr="00FB0891">
        <w:rPr>
          <w:rFonts w:eastAsia="Times New Roman" w:cs="Arial"/>
          <w:i/>
          <w:color w:val="000000"/>
          <w:szCs w:val="20"/>
          <w:lang w:eastAsia="bg-BG"/>
        </w:rPr>
        <w:t xml:space="preserve"> на </w:t>
      </w:r>
      <w:proofErr w:type="spellStart"/>
      <w:r w:rsidRPr="00FB0891">
        <w:rPr>
          <w:rFonts w:eastAsia="Times New Roman" w:cs="Arial"/>
          <w:i/>
          <w:color w:val="000000"/>
          <w:szCs w:val="20"/>
          <w:lang w:eastAsia="bg-BG"/>
        </w:rPr>
        <w:t>индолентен</w:t>
      </w:r>
      <w:proofErr w:type="spellEnd"/>
      <w:r w:rsidRPr="00FB0891">
        <w:rPr>
          <w:rFonts w:eastAsia="Times New Roman" w:cs="Arial"/>
          <w:i/>
          <w:color w:val="000000"/>
          <w:szCs w:val="20"/>
          <w:lang w:eastAsia="bg-BG"/>
        </w:rPr>
        <w:t xml:space="preserve"> </w:t>
      </w:r>
      <w:proofErr w:type="spellStart"/>
      <w:r w:rsidRPr="00FB0891">
        <w:rPr>
          <w:rFonts w:eastAsia="Times New Roman" w:cs="Arial"/>
          <w:i/>
          <w:color w:val="000000"/>
          <w:szCs w:val="20"/>
          <w:lang w:eastAsia="bg-BG"/>
        </w:rPr>
        <w:t>нехочкинов</w:t>
      </w:r>
      <w:proofErr w:type="spellEnd"/>
      <w:r w:rsidRPr="00FB0891">
        <w:rPr>
          <w:rFonts w:eastAsia="Times New Roman" w:cs="Arial"/>
          <w:i/>
          <w:color w:val="000000"/>
          <w:szCs w:val="20"/>
          <w:lang w:eastAsia="bg-BG"/>
        </w:rPr>
        <w:t xml:space="preserve"> лимфом. </w:t>
      </w:r>
      <w:proofErr w:type="spellStart"/>
      <w:r w:rsidRPr="00FB0891">
        <w:rPr>
          <w:rFonts w:eastAsia="Times New Roman" w:cs="Arial"/>
          <w:i/>
          <w:color w:val="000000"/>
          <w:szCs w:val="20"/>
          <w:lang w:eastAsia="bg-BG"/>
        </w:rPr>
        <w:t>рефрактерен</w:t>
      </w:r>
      <w:proofErr w:type="spellEnd"/>
      <w:r w:rsidRPr="00FB0891">
        <w:rPr>
          <w:rFonts w:eastAsia="Times New Roman" w:cs="Arial"/>
          <w:i/>
          <w:color w:val="000000"/>
          <w:szCs w:val="20"/>
          <w:lang w:eastAsia="bg-BG"/>
        </w:rPr>
        <w:t xml:space="preserve"> на </w:t>
      </w:r>
      <w:proofErr w:type="spellStart"/>
      <w:r w:rsidRPr="00FB0891">
        <w:rPr>
          <w:rFonts w:eastAsia="Times New Roman" w:cs="Arial"/>
          <w:i/>
          <w:color w:val="000000"/>
          <w:szCs w:val="20"/>
          <w:lang w:eastAsia="bg-BG"/>
        </w:rPr>
        <w:t>ритуксимаб</w:t>
      </w:r>
      <w:proofErr w:type="spellEnd"/>
    </w:p>
    <w:p w14:paraId="547F3796"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По 120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телесна повърхност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на дни 1 и 2; на всеки 3 седмици, поне 6 пъти.</w:t>
      </w:r>
    </w:p>
    <w:p w14:paraId="5939A636" w14:textId="77777777" w:rsidR="008F05B3" w:rsidRPr="00FB0891" w:rsidRDefault="008F05B3" w:rsidP="008F05B3">
      <w:pPr>
        <w:spacing w:line="240" w:lineRule="auto"/>
        <w:rPr>
          <w:rFonts w:eastAsia="Times New Roman" w:cs="Arial"/>
          <w:color w:val="000000"/>
          <w:szCs w:val="20"/>
          <w:u w:val="single"/>
          <w:lang w:eastAsia="bg-BG"/>
        </w:rPr>
      </w:pPr>
    </w:p>
    <w:p w14:paraId="2F844CA3" w14:textId="45C6084F" w:rsidR="008F05B3" w:rsidRPr="00FB0891" w:rsidRDefault="008F05B3" w:rsidP="008F05B3">
      <w:pPr>
        <w:spacing w:line="240" w:lineRule="auto"/>
        <w:rPr>
          <w:rFonts w:eastAsia="Times New Roman" w:cs="Arial"/>
          <w:i/>
          <w:sz w:val="28"/>
          <w:szCs w:val="24"/>
          <w:lang w:eastAsia="bg-BG"/>
        </w:rPr>
      </w:pPr>
      <w:r w:rsidRPr="00FB0891">
        <w:rPr>
          <w:rFonts w:eastAsia="Times New Roman" w:cs="Arial"/>
          <w:i/>
          <w:color w:val="000000"/>
          <w:szCs w:val="20"/>
          <w:lang w:eastAsia="bg-BG"/>
        </w:rPr>
        <w:t>Мултиплен миелом</w:t>
      </w:r>
    </w:p>
    <w:p w14:paraId="475300EC" w14:textId="5B527766" w:rsidR="0091385D"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По 120-150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телесна повърхност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на дни 1 и 2, по 60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sz w:val="28"/>
          <w:szCs w:val="24"/>
          <w:lang w:eastAsia="bg-BG"/>
        </w:rPr>
        <w:t xml:space="preserve"> </w:t>
      </w:r>
      <w:r w:rsidRPr="00FB0891">
        <w:rPr>
          <w:rFonts w:eastAsia="Times New Roman" w:cs="Arial"/>
          <w:color w:val="000000"/>
          <w:szCs w:val="20"/>
          <w:lang w:eastAsia="bg-BG"/>
        </w:rPr>
        <w:t xml:space="preserve">телесна повърхност </w:t>
      </w:r>
      <w:proofErr w:type="spellStart"/>
      <w:r w:rsidRPr="00FB0891">
        <w:rPr>
          <w:rFonts w:eastAsia="Times New Roman" w:cs="Arial"/>
          <w:color w:val="000000"/>
          <w:szCs w:val="20"/>
          <w:lang w:eastAsia="bg-BG"/>
        </w:rPr>
        <w:t>преднизон</w:t>
      </w:r>
      <w:proofErr w:type="spellEnd"/>
      <w:r w:rsidRPr="00FB0891">
        <w:rPr>
          <w:rFonts w:eastAsia="Times New Roman" w:cs="Arial"/>
          <w:color w:val="000000"/>
          <w:szCs w:val="20"/>
          <w:lang w:eastAsia="bg-BG"/>
        </w:rPr>
        <w:t xml:space="preserve"> интравенозно или перорално на дни</w:t>
      </w:r>
      <w:r w:rsidRPr="00FB0891">
        <w:rPr>
          <w:rFonts w:eastAsia="Times New Roman" w:cs="Arial"/>
          <w:color w:val="000000"/>
          <w:szCs w:val="20"/>
        </w:rPr>
        <w:t xml:space="preserve"> 1</w:t>
      </w:r>
      <w:r w:rsidRPr="00FB0891">
        <w:rPr>
          <w:rFonts w:eastAsia="Times New Roman" w:cs="Arial"/>
          <w:color w:val="000000"/>
          <w:szCs w:val="20"/>
          <w:lang w:eastAsia="bg-BG"/>
        </w:rPr>
        <w:t xml:space="preserve"> до 4;</w:t>
      </w:r>
      <w:r w:rsidRPr="00FB0891">
        <w:rPr>
          <w:rFonts w:eastAsia="Times New Roman" w:cs="Arial"/>
          <w:color w:val="000000"/>
          <w:szCs w:val="20"/>
        </w:rPr>
        <w:t xml:space="preserve"> </w:t>
      </w:r>
      <w:r w:rsidRPr="00FB0891">
        <w:rPr>
          <w:rFonts w:eastAsia="Times New Roman" w:cs="Arial"/>
          <w:color w:val="000000"/>
          <w:szCs w:val="20"/>
          <w:lang w:eastAsia="bg-BG"/>
        </w:rPr>
        <w:t>на всеки 4 седмици,</w:t>
      </w:r>
      <w:r w:rsidRPr="00FB0891">
        <w:rPr>
          <w:rFonts w:eastAsia="Times New Roman" w:cs="Arial"/>
          <w:color w:val="000000"/>
          <w:szCs w:val="20"/>
        </w:rPr>
        <w:t xml:space="preserve"> </w:t>
      </w:r>
      <w:r w:rsidRPr="00FB0891">
        <w:rPr>
          <w:rFonts w:eastAsia="Times New Roman" w:cs="Arial"/>
          <w:color w:val="000000"/>
          <w:szCs w:val="20"/>
          <w:lang w:eastAsia="bg-BG"/>
        </w:rPr>
        <w:t>поне 3 пъти.</w:t>
      </w:r>
    </w:p>
    <w:p w14:paraId="6ACAF645" w14:textId="05BB7AF8" w:rsidR="0091385D" w:rsidRPr="00FB0891" w:rsidRDefault="0091385D" w:rsidP="0091385D"/>
    <w:p w14:paraId="4C7D2D8D" w14:textId="77777777" w:rsidR="008F05B3" w:rsidRPr="00FB0891" w:rsidRDefault="008F05B3" w:rsidP="008F05B3">
      <w:pPr>
        <w:spacing w:line="240" w:lineRule="auto"/>
        <w:rPr>
          <w:rFonts w:eastAsia="Times New Roman" w:cs="Arial"/>
          <w:i/>
          <w:sz w:val="28"/>
          <w:szCs w:val="24"/>
          <w:lang w:eastAsia="bg-BG"/>
        </w:rPr>
      </w:pPr>
      <w:r w:rsidRPr="00FB0891">
        <w:rPr>
          <w:rFonts w:eastAsia="Times New Roman" w:cs="Arial"/>
          <w:i/>
          <w:color w:val="000000"/>
          <w:szCs w:val="20"/>
          <w:lang w:eastAsia="bg-BG"/>
        </w:rPr>
        <w:t>Чернодробно увреждане</w:t>
      </w:r>
    </w:p>
    <w:p w14:paraId="79495602"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Въз основа на </w:t>
      </w:r>
      <w:proofErr w:type="spellStart"/>
      <w:r w:rsidRPr="00FB0891">
        <w:rPr>
          <w:rFonts w:eastAsia="Times New Roman" w:cs="Arial"/>
          <w:color w:val="000000"/>
          <w:szCs w:val="20"/>
          <w:lang w:eastAsia="bg-BG"/>
        </w:rPr>
        <w:t>фармакокинетичните</w:t>
      </w:r>
      <w:proofErr w:type="spellEnd"/>
      <w:r w:rsidRPr="00FB0891">
        <w:rPr>
          <w:rFonts w:eastAsia="Times New Roman" w:cs="Arial"/>
          <w:color w:val="000000"/>
          <w:szCs w:val="20"/>
          <w:lang w:eastAsia="bg-BG"/>
        </w:rPr>
        <w:t xml:space="preserve"> данни, при пациенти с леко чернодробно увреждане (серумен </w:t>
      </w:r>
      <w:proofErr w:type="spellStart"/>
      <w:r w:rsidRPr="00FB0891">
        <w:rPr>
          <w:rFonts w:eastAsia="Times New Roman" w:cs="Arial"/>
          <w:color w:val="000000"/>
          <w:szCs w:val="20"/>
          <w:lang w:eastAsia="bg-BG"/>
        </w:rPr>
        <w:t>билирубин</w:t>
      </w:r>
      <w:proofErr w:type="spellEnd"/>
      <w:r w:rsidRPr="00FB0891">
        <w:rPr>
          <w:rFonts w:eastAsia="Times New Roman" w:cs="Arial"/>
          <w:color w:val="000000"/>
          <w:szCs w:val="20"/>
          <w:lang w:eastAsia="bg-BG"/>
        </w:rPr>
        <w:t xml:space="preserve"> &lt;1,2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/dl) </w:t>
      </w:r>
      <w:r w:rsidRPr="00FB0891">
        <w:rPr>
          <w:rFonts w:eastAsia="Times New Roman" w:cs="Arial"/>
          <w:color w:val="000000"/>
          <w:szCs w:val="20"/>
          <w:lang w:eastAsia="bg-BG"/>
        </w:rPr>
        <w:t xml:space="preserve">не е необходимо коригиране на дозата. При пациенти с умерено чернодробно увреждане (серумен </w:t>
      </w:r>
      <w:proofErr w:type="spellStart"/>
      <w:r w:rsidRPr="00FB0891">
        <w:rPr>
          <w:rFonts w:eastAsia="Times New Roman" w:cs="Arial"/>
          <w:color w:val="000000"/>
          <w:szCs w:val="20"/>
          <w:lang w:eastAsia="bg-BG"/>
        </w:rPr>
        <w:t>билирубин</w:t>
      </w:r>
      <w:proofErr w:type="spellEnd"/>
      <w:r w:rsidRPr="00FB0891">
        <w:rPr>
          <w:rFonts w:eastAsia="Times New Roman" w:cs="Arial"/>
          <w:color w:val="000000"/>
          <w:szCs w:val="20"/>
          <w:lang w:eastAsia="bg-BG"/>
        </w:rPr>
        <w:t xml:space="preserve"> 1,2-3,0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/dl) </w:t>
      </w:r>
      <w:r w:rsidRPr="00FB0891">
        <w:rPr>
          <w:rFonts w:eastAsia="Times New Roman" w:cs="Arial"/>
          <w:color w:val="000000"/>
          <w:szCs w:val="20"/>
          <w:lang w:eastAsia="bg-BG"/>
        </w:rPr>
        <w:t>се препоръчва понижаване на дозата с 30%.</w:t>
      </w:r>
    </w:p>
    <w:p w14:paraId="0D757820"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Няма налични данни при пациенти с тежко чернодробно увреждане (стойности на серумния </w:t>
      </w:r>
      <w:proofErr w:type="spellStart"/>
      <w:r w:rsidRPr="00FB0891">
        <w:rPr>
          <w:rFonts w:eastAsia="Times New Roman" w:cs="Arial"/>
          <w:color w:val="000000"/>
          <w:szCs w:val="20"/>
          <w:lang w:eastAsia="bg-BG"/>
        </w:rPr>
        <w:t>билирубин</w:t>
      </w:r>
      <w:proofErr w:type="spellEnd"/>
      <w:r w:rsidRPr="00FB0891">
        <w:rPr>
          <w:rFonts w:eastAsia="Times New Roman" w:cs="Arial"/>
          <w:color w:val="000000"/>
          <w:szCs w:val="20"/>
          <w:lang w:eastAsia="bg-BG"/>
        </w:rPr>
        <w:t xml:space="preserve"> &gt;3,0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/dl) </w:t>
      </w:r>
      <w:r w:rsidRPr="00FB0891">
        <w:rPr>
          <w:rFonts w:eastAsia="Times New Roman" w:cs="Arial"/>
          <w:color w:val="000000"/>
          <w:szCs w:val="20"/>
          <w:lang w:eastAsia="bg-BG"/>
        </w:rPr>
        <w:t>(вж. точка 4.3).</w:t>
      </w:r>
    </w:p>
    <w:p w14:paraId="30569CF7" w14:textId="77777777" w:rsidR="008F05B3" w:rsidRPr="00FB0891" w:rsidRDefault="008F05B3" w:rsidP="008F05B3">
      <w:pPr>
        <w:spacing w:line="240" w:lineRule="auto"/>
        <w:rPr>
          <w:rFonts w:eastAsia="Times New Roman" w:cs="Arial"/>
          <w:color w:val="000000"/>
          <w:szCs w:val="20"/>
          <w:u w:val="single"/>
          <w:lang w:eastAsia="bg-BG"/>
        </w:rPr>
      </w:pPr>
    </w:p>
    <w:p w14:paraId="6E8E1E97" w14:textId="1F0F7DB7" w:rsidR="008F05B3" w:rsidRPr="00FB0891" w:rsidRDefault="008F05B3" w:rsidP="008F05B3">
      <w:pPr>
        <w:spacing w:line="240" w:lineRule="auto"/>
        <w:rPr>
          <w:rFonts w:eastAsia="Times New Roman" w:cs="Arial"/>
          <w:i/>
          <w:sz w:val="28"/>
          <w:szCs w:val="24"/>
          <w:lang w:eastAsia="bg-BG"/>
        </w:rPr>
      </w:pPr>
      <w:r w:rsidRPr="00FB0891">
        <w:rPr>
          <w:rFonts w:eastAsia="Times New Roman" w:cs="Arial"/>
          <w:i/>
          <w:color w:val="000000"/>
          <w:szCs w:val="20"/>
          <w:lang w:eastAsia="bg-BG"/>
        </w:rPr>
        <w:t>Бъбречно увреждане</w:t>
      </w:r>
    </w:p>
    <w:p w14:paraId="5D38852F"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Въз основа на </w:t>
      </w:r>
      <w:proofErr w:type="spellStart"/>
      <w:r w:rsidRPr="00FB0891">
        <w:rPr>
          <w:rFonts w:eastAsia="Times New Roman" w:cs="Arial"/>
          <w:color w:val="000000"/>
          <w:szCs w:val="20"/>
          <w:lang w:eastAsia="bg-BG"/>
        </w:rPr>
        <w:t>фармакокинетични</w:t>
      </w:r>
      <w:proofErr w:type="spellEnd"/>
      <w:r w:rsidRPr="00FB0891">
        <w:rPr>
          <w:rFonts w:eastAsia="Times New Roman" w:cs="Arial"/>
          <w:color w:val="000000"/>
          <w:szCs w:val="20"/>
          <w:lang w:eastAsia="bg-BG"/>
        </w:rPr>
        <w:t xml:space="preserve"> данни, при пациенти с </w:t>
      </w:r>
      <w:proofErr w:type="spellStart"/>
      <w:r w:rsidRPr="00FB0891">
        <w:rPr>
          <w:rFonts w:eastAsia="Times New Roman" w:cs="Arial"/>
          <w:color w:val="000000"/>
          <w:szCs w:val="20"/>
          <w:lang w:eastAsia="bg-BG"/>
        </w:rPr>
        <w:t>креатининов</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клирьнс</w:t>
      </w:r>
      <w:proofErr w:type="spellEnd"/>
      <w:r w:rsidRPr="00FB0891">
        <w:rPr>
          <w:rFonts w:eastAsia="Times New Roman" w:cs="Arial"/>
          <w:color w:val="000000"/>
          <w:szCs w:val="20"/>
          <w:lang w:eastAsia="bg-BG"/>
        </w:rPr>
        <w:t xml:space="preserve"> &gt;10 </w:t>
      </w:r>
      <w:r w:rsidRPr="00FB0891">
        <w:rPr>
          <w:rFonts w:eastAsia="Times New Roman" w:cs="Arial"/>
          <w:color w:val="000000"/>
          <w:szCs w:val="20"/>
        </w:rPr>
        <w:t>ml/</w:t>
      </w:r>
      <w:proofErr w:type="spellStart"/>
      <w:r w:rsidRPr="00FB0891">
        <w:rPr>
          <w:rFonts w:eastAsia="Times New Roman" w:cs="Arial"/>
          <w:color w:val="000000"/>
          <w:szCs w:val="20"/>
        </w:rPr>
        <w:t>min</w:t>
      </w:r>
      <w:proofErr w:type="spellEnd"/>
      <w:r w:rsidRPr="00FB0891">
        <w:rPr>
          <w:rFonts w:eastAsia="Times New Roman" w:cs="Arial"/>
          <w:color w:val="000000"/>
          <w:szCs w:val="20"/>
        </w:rPr>
        <w:t xml:space="preserve"> </w:t>
      </w:r>
      <w:r w:rsidRPr="00FB0891">
        <w:rPr>
          <w:rFonts w:eastAsia="Times New Roman" w:cs="Arial"/>
          <w:color w:val="000000"/>
          <w:szCs w:val="20"/>
          <w:lang w:eastAsia="bg-BG"/>
        </w:rPr>
        <w:t>не е необходима корекция на дозата. Опитът при пациенти с тежко бъбречно увреждане е ограничен.</w:t>
      </w:r>
    </w:p>
    <w:p w14:paraId="281E670C" w14:textId="77777777" w:rsidR="008F05B3" w:rsidRPr="00FB0891" w:rsidRDefault="008F05B3" w:rsidP="008F05B3">
      <w:pPr>
        <w:spacing w:line="240" w:lineRule="auto"/>
        <w:rPr>
          <w:rFonts w:eastAsia="Times New Roman" w:cs="Arial"/>
          <w:color w:val="000000"/>
          <w:szCs w:val="20"/>
          <w:u w:val="single"/>
          <w:lang w:eastAsia="bg-BG"/>
        </w:rPr>
      </w:pPr>
    </w:p>
    <w:p w14:paraId="5C5A3F81" w14:textId="05D06E26" w:rsidR="008F05B3" w:rsidRPr="00FB0891" w:rsidRDefault="008F05B3" w:rsidP="008F05B3">
      <w:pPr>
        <w:spacing w:line="240" w:lineRule="auto"/>
        <w:rPr>
          <w:rFonts w:eastAsia="Times New Roman" w:cs="Arial"/>
          <w:i/>
          <w:sz w:val="28"/>
          <w:szCs w:val="24"/>
          <w:lang w:eastAsia="bg-BG"/>
        </w:rPr>
      </w:pPr>
      <w:r w:rsidRPr="00FB0891">
        <w:rPr>
          <w:rFonts w:eastAsia="Times New Roman" w:cs="Arial"/>
          <w:i/>
          <w:color w:val="000000"/>
          <w:szCs w:val="20"/>
          <w:lang w:eastAsia="bg-BG"/>
        </w:rPr>
        <w:t>Педиатрична популация</w:t>
      </w:r>
    </w:p>
    <w:p w14:paraId="0D431321"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Безопасността и ефикасността на </w:t>
      </w:r>
      <w:proofErr w:type="spellStart"/>
      <w:r w:rsidRPr="00FB0891">
        <w:rPr>
          <w:rFonts w:eastAsia="Times New Roman" w:cs="Arial"/>
          <w:color w:val="000000"/>
          <w:szCs w:val="20"/>
          <w:lang w:eastAsia="bg-BG"/>
        </w:rPr>
        <w:t>бендамустиновия</w:t>
      </w:r>
      <w:proofErr w:type="spellEnd"/>
      <w:r w:rsidRPr="00FB0891">
        <w:rPr>
          <w:rFonts w:eastAsia="Times New Roman" w:cs="Arial"/>
          <w:color w:val="000000"/>
          <w:szCs w:val="20"/>
          <w:lang w:eastAsia="bg-BG"/>
        </w:rPr>
        <w:t xml:space="preserve"> хидрохлорид при деца все още не са установени. По настоящем налични данни не са достатъчни, за да се направи препоръка за дозировката.</w:t>
      </w:r>
    </w:p>
    <w:p w14:paraId="62F5513D" w14:textId="77777777" w:rsidR="008F05B3" w:rsidRPr="00FB0891" w:rsidRDefault="008F05B3" w:rsidP="008F05B3">
      <w:pPr>
        <w:spacing w:line="240" w:lineRule="auto"/>
        <w:rPr>
          <w:rFonts w:eastAsia="Times New Roman" w:cs="Arial"/>
          <w:color w:val="000000"/>
          <w:szCs w:val="20"/>
          <w:u w:val="single"/>
          <w:lang w:eastAsia="bg-BG"/>
        </w:rPr>
      </w:pPr>
    </w:p>
    <w:p w14:paraId="6141959B" w14:textId="3163F686" w:rsidR="008F05B3" w:rsidRPr="00FB0891" w:rsidRDefault="008F05B3" w:rsidP="008F05B3">
      <w:pPr>
        <w:spacing w:line="240" w:lineRule="auto"/>
        <w:rPr>
          <w:rFonts w:eastAsia="Times New Roman" w:cs="Arial"/>
          <w:i/>
          <w:sz w:val="28"/>
          <w:szCs w:val="24"/>
          <w:lang w:eastAsia="bg-BG"/>
        </w:rPr>
      </w:pPr>
      <w:r w:rsidRPr="00FB0891">
        <w:rPr>
          <w:rFonts w:eastAsia="Times New Roman" w:cs="Arial"/>
          <w:i/>
          <w:color w:val="000000"/>
          <w:szCs w:val="20"/>
          <w:lang w:eastAsia="bg-BG"/>
        </w:rPr>
        <w:t>Пациенти в старческа възраст</w:t>
      </w:r>
    </w:p>
    <w:p w14:paraId="2C153320"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Няма доказателства, че при пациенти в старческа възраст е необходимо дозата да се коригира (вж. точка 5.2).</w:t>
      </w:r>
    </w:p>
    <w:p w14:paraId="757AE169" w14:textId="77777777" w:rsidR="008F05B3" w:rsidRPr="00FB0891" w:rsidRDefault="008F05B3" w:rsidP="008F05B3">
      <w:pPr>
        <w:spacing w:line="240" w:lineRule="auto"/>
        <w:rPr>
          <w:rFonts w:eastAsia="Times New Roman" w:cs="Arial"/>
          <w:color w:val="000000"/>
          <w:szCs w:val="20"/>
          <w:u w:val="single"/>
          <w:lang w:eastAsia="bg-BG"/>
        </w:rPr>
      </w:pPr>
    </w:p>
    <w:p w14:paraId="445727F8" w14:textId="783A73D6" w:rsidR="008F05B3" w:rsidRPr="00FB0891" w:rsidRDefault="008F05B3" w:rsidP="00861D11">
      <w:pPr>
        <w:pStyle w:val="Heading3"/>
        <w:rPr>
          <w:rFonts w:eastAsia="Times New Roman"/>
          <w:sz w:val="28"/>
          <w:u w:val="single"/>
          <w:lang w:eastAsia="bg-BG"/>
        </w:rPr>
      </w:pPr>
      <w:r w:rsidRPr="00FB0891">
        <w:rPr>
          <w:rFonts w:eastAsia="Times New Roman"/>
          <w:u w:val="single"/>
          <w:lang w:eastAsia="bg-BG"/>
        </w:rPr>
        <w:t>Начин на приложение</w:t>
      </w:r>
    </w:p>
    <w:p w14:paraId="5EA52AA9"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За интравенозна инфузия в. продължение на 30-60 минути (вж. точка 6.6).</w:t>
      </w:r>
    </w:p>
    <w:p w14:paraId="09164A9B" w14:textId="77777777" w:rsidR="008F05B3" w:rsidRPr="00FB0891" w:rsidRDefault="008F05B3" w:rsidP="008F05B3">
      <w:pPr>
        <w:spacing w:line="240" w:lineRule="auto"/>
        <w:rPr>
          <w:rFonts w:eastAsia="Times New Roman" w:cs="Arial"/>
          <w:color w:val="000000"/>
          <w:szCs w:val="20"/>
          <w:lang w:eastAsia="bg-BG"/>
        </w:rPr>
      </w:pPr>
    </w:p>
    <w:p w14:paraId="01627FDF" w14:textId="06265EFA"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Вливането трябва да се извършва под наблюдението на лекар с квалификация и опит в използването на </w:t>
      </w:r>
      <w:proofErr w:type="spellStart"/>
      <w:r w:rsidRPr="00FB0891">
        <w:rPr>
          <w:rFonts w:eastAsia="Times New Roman" w:cs="Arial"/>
          <w:color w:val="000000"/>
          <w:szCs w:val="20"/>
          <w:lang w:eastAsia="bg-BG"/>
        </w:rPr>
        <w:t>химиотерапевтични</w:t>
      </w:r>
      <w:proofErr w:type="spellEnd"/>
      <w:r w:rsidRPr="00FB0891">
        <w:rPr>
          <w:rFonts w:eastAsia="Times New Roman" w:cs="Arial"/>
          <w:color w:val="000000"/>
          <w:szCs w:val="20"/>
          <w:lang w:eastAsia="bg-BG"/>
        </w:rPr>
        <w:t xml:space="preserve"> средства.</w:t>
      </w:r>
    </w:p>
    <w:p w14:paraId="196E44DC" w14:textId="77777777" w:rsidR="008F05B3" w:rsidRPr="00FB0891" w:rsidRDefault="008F05B3" w:rsidP="008F05B3">
      <w:pPr>
        <w:spacing w:line="240" w:lineRule="auto"/>
        <w:rPr>
          <w:rFonts w:eastAsia="Times New Roman" w:cs="Arial"/>
          <w:color w:val="000000"/>
          <w:szCs w:val="20"/>
          <w:lang w:eastAsia="bg-BG"/>
        </w:rPr>
      </w:pPr>
    </w:p>
    <w:p w14:paraId="3AD045C2" w14:textId="45836418"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Влошената функция на костния мозък е свързана с предизвиканата от химиотерапията повишена хематологична токсичност. Лечение не трябва да започва, ако броят на </w:t>
      </w:r>
      <w:r w:rsidRPr="00FB0891">
        <w:rPr>
          <w:rFonts w:eastAsia="Times New Roman" w:cs="Arial"/>
          <w:color w:val="000000"/>
          <w:szCs w:val="20"/>
          <w:lang w:eastAsia="bg-BG"/>
        </w:rPr>
        <w:lastRenderedPageBreak/>
        <w:t xml:space="preserve">левкоцитите и/или </w:t>
      </w:r>
      <w:proofErr w:type="spellStart"/>
      <w:r w:rsidRPr="00FB0891">
        <w:rPr>
          <w:rFonts w:eastAsia="Times New Roman" w:cs="Arial"/>
          <w:color w:val="000000"/>
          <w:szCs w:val="20"/>
          <w:lang w:eastAsia="bg-BG"/>
        </w:rPr>
        <w:t>тромбоцитите</w:t>
      </w:r>
      <w:proofErr w:type="spellEnd"/>
      <w:r w:rsidRPr="00FB0891">
        <w:rPr>
          <w:rFonts w:eastAsia="Times New Roman" w:cs="Arial"/>
          <w:color w:val="000000"/>
          <w:szCs w:val="20"/>
          <w:lang w:eastAsia="bg-BG"/>
        </w:rPr>
        <w:t xml:space="preserve"> е спаднал до &lt;3 000/</w:t>
      </w:r>
      <w:proofErr w:type="spellStart"/>
      <w:r w:rsidR="00234D57" w:rsidRPr="00FB0891">
        <w:rPr>
          <w:rFonts w:cs="Arial"/>
          <w:color w:val="202122"/>
          <w:shd w:val="clear" w:color="auto" w:fill="F8F9FA"/>
        </w:rPr>
        <w:t>μl</w:t>
      </w:r>
      <w:proofErr w:type="spellEnd"/>
      <w:r w:rsidR="00234D57" w:rsidRPr="00FB0891">
        <w:rPr>
          <w:rFonts w:eastAsia="Times New Roman" w:cs="Arial"/>
          <w:color w:val="000000"/>
          <w:szCs w:val="20"/>
          <w:lang w:eastAsia="bg-BG"/>
        </w:rPr>
        <w:t xml:space="preserve"> или &lt;75 000/</w:t>
      </w:r>
      <w:proofErr w:type="spellStart"/>
      <w:r w:rsidR="00234D57" w:rsidRPr="00FB0891">
        <w:rPr>
          <w:rFonts w:cs="Arial"/>
          <w:color w:val="202122"/>
          <w:shd w:val="clear" w:color="auto" w:fill="F8F9FA"/>
        </w:rPr>
        <w:t>μl</w:t>
      </w:r>
      <w:proofErr w:type="spellEnd"/>
      <w:r w:rsidRPr="00FB0891">
        <w:rPr>
          <w:rFonts w:eastAsia="Times New Roman" w:cs="Arial"/>
          <w:color w:val="000000"/>
          <w:szCs w:val="20"/>
          <w:lang w:eastAsia="bg-BG"/>
        </w:rPr>
        <w:t>, съответно (вж. точка 4.3).</w:t>
      </w:r>
    </w:p>
    <w:p w14:paraId="5D9A80B3" w14:textId="77777777" w:rsidR="008F05B3" w:rsidRPr="00FB0891" w:rsidRDefault="008F05B3" w:rsidP="008F05B3">
      <w:pPr>
        <w:spacing w:line="240" w:lineRule="auto"/>
        <w:rPr>
          <w:rFonts w:eastAsia="Times New Roman" w:cs="Arial"/>
          <w:color w:val="000000"/>
          <w:szCs w:val="20"/>
          <w:lang w:eastAsia="bg-BG"/>
        </w:rPr>
      </w:pPr>
    </w:p>
    <w:p w14:paraId="631102B6" w14:textId="0FE8C5F0"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Лечението трябва да се прекрати или отложи, ако стойностите на левкоцитите и/или </w:t>
      </w:r>
      <w:proofErr w:type="spellStart"/>
      <w:r w:rsidRPr="00FB0891">
        <w:rPr>
          <w:rFonts w:eastAsia="Times New Roman" w:cs="Arial"/>
          <w:color w:val="000000"/>
          <w:szCs w:val="20"/>
          <w:lang w:eastAsia="bg-BG"/>
        </w:rPr>
        <w:t>тромбоцитите</w:t>
      </w:r>
      <w:proofErr w:type="spellEnd"/>
      <w:r w:rsidRPr="00FB0891">
        <w:rPr>
          <w:rFonts w:eastAsia="Times New Roman" w:cs="Arial"/>
          <w:color w:val="000000"/>
          <w:szCs w:val="20"/>
          <w:lang w:eastAsia="bg-BG"/>
        </w:rPr>
        <w:t xml:space="preserve"> са спаднали под &lt;3 000/</w:t>
      </w:r>
      <w:proofErr w:type="spellStart"/>
      <w:r w:rsidR="00234D57" w:rsidRPr="00FB0891">
        <w:rPr>
          <w:rFonts w:cs="Arial"/>
          <w:color w:val="202122"/>
          <w:shd w:val="clear" w:color="auto" w:fill="F8F9FA"/>
        </w:rPr>
        <w:t>μl</w:t>
      </w:r>
      <w:proofErr w:type="spellEnd"/>
      <w:r w:rsidR="00234D57" w:rsidRPr="00FB0891">
        <w:rPr>
          <w:rFonts w:eastAsia="Times New Roman" w:cs="Arial"/>
          <w:color w:val="000000"/>
          <w:szCs w:val="20"/>
          <w:lang w:eastAsia="bg-BG"/>
        </w:rPr>
        <w:t xml:space="preserve"> или &lt;75 000/</w:t>
      </w:r>
      <w:proofErr w:type="spellStart"/>
      <w:r w:rsidR="00234D57" w:rsidRPr="00FB0891">
        <w:rPr>
          <w:rFonts w:cs="Arial"/>
          <w:color w:val="202122"/>
          <w:shd w:val="clear" w:color="auto" w:fill="F8F9FA"/>
        </w:rPr>
        <w:t>μl</w:t>
      </w:r>
      <w:proofErr w:type="spellEnd"/>
      <w:r w:rsidRPr="00FB0891">
        <w:rPr>
          <w:rFonts w:eastAsia="Times New Roman" w:cs="Arial"/>
          <w:color w:val="000000"/>
          <w:szCs w:val="20"/>
          <w:lang w:eastAsia="bg-BG"/>
        </w:rPr>
        <w:t>, съответно. Лечението може да бъде продължено след като стойностите на левкоцитите се повишат до &gt;4 000/</w:t>
      </w:r>
      <w:proofErr w:type="spellStart"/>
      <w:r w:rsidR="00234D57" w:rsidRPr="00FB0891">
        <w:rPr>
          <w:rFonts w:cs="Arial"/>
          <w:color w:val="202122"/>
          <w:shd w:val="clear" w:color="auto" w:fill="F8F9FA"/>
        </w:rPr>
        <w:t>μl</w:t>
      </w:r>
      <w:proofErr w:type="spellEnd"/>
      <w:r w:rsidRPr="00FB0891">
        <w:rPr>
          <w:rFonts w:eastAsia="Times New Roman" w:cs="Arial"/>
          <w:color w:val="000000"/>
          <w:szCs w:val="20"/>
          <w:lang w:eastAsia="bg-BG"/>
        </w:rPr>
        <w:t xml:space="preserve">, а стойностите на </w:t>
      </w:r>
      <w:proofErr w:type="spellStart"/>
      <w:r w:rsidRPr="00FB0891">
        <w:rPr>
          <w:rFonts w:eastAsia="Times New Roman" w:cs="Arial"/>
          <w:color w:val="000000"/>
          <w:szCs w:val="20"/>
          <w:lang w:eastAsia="bg-BG"/>
        </w:rPr>
        <w:t>тромбоцитите</w:t>
      </w:r>
      <w:proofErr w:type="spellEnd"/>
      <w:r w:rsidRPr="00FB0891">
        <w:rPr>
          <w:rFonts w:eastAsia="Times New Roman" w:cs="Arial"/>
          <w:color w:val="000000"/>
          <w:szCs w:val="20"/>
          <w:lang w:eastAsia="bg-BG"/>
        </w:rPr>
        <w:t xml:space="preserve"> до &gt; 100 000/</w:t>
      </w:r>
      <w:proofErr w:type="spellStart"/>
      <w:r w:rsidR="00234D57" w:rsidRPr="00FB0891">
        <w:rPr>
          <w:rFonts w:cs="Arial"/>
          <w:color w:val="202122"/>
          <w:shd w:val="clear" w:color="auto" w:fill="F8F9FA"/>
        </w:rPr>
        <w:t>μl</w:t>
      </w:r>
      <w:proofErr w:type="spellEnd"/>
      <w:r w:rsidRPr="00FB0891">
        <w:rPr>
          <w:rFonts w:eastAsia="Times New Roman" w:cs="Arial"/>
          <w:color w:val="000000"/>
          <w:szCs w:val="20"/>
          <w:lang w:eastAsia="bg-BG"/>
        </w:rPr>
        <w:t>.</w:t>
      </w:r>
    </w:p>
    <w:p w14:paraId="6D9193ED" w14:textId="77777777" w:rsidR="008F05B3" w:rsidRPr="00FB0891" w:rsidRDefault="008F05B3" w:rsidP="008F05B3">
      <w:pPr>
        <w:spacing w:line="240" w:lineRule="auto"/>
        <w:rPr>
          <w:rFonts w:eastAsia="Times New Roman" w:cs="Arial"/>
          <w:color w:val="000000"/>
          <w:szCs w:val="20"/>
          <w:lang w:eastAsia="bg-BG"/>
        </w:rPr>
      </w:pPr>
    </w:p>
    <w:p w14:paraId="1EA1E041" w14:textId="0B483E7A"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Най-ниски стойности на левкоцитите и </w:t>
      </w:r>
      <w:proofErr w:type="spellStart"/>
      <w:r w:rsidRPr="00FB0891">
        <w:rPr>
          <w:rFonts w:eastAsia="Times New Roman" w:cs="Arial"/>
          <w:color w:val="000000"/>
          <w:szCs w:val="20"/>
          <w:lang w:eastAsia="bg-BG"/>
        </w:rPr>
        <w:t>тромбоцитите</w:t>
      </w:r>
      <w:proofErr w:type="spellEnd"/>
      <w:r w:rsidRPr="00FB0891">
        <w:rPr>
          <w:rFonts w:eastAsia="Times New Roman" w:cs="Arial"/>
          <w:color w:val="000000"/>
          <w:szCs w:val="20"/>
          <w:lang w:eastAsia="bg-BG"/>
        </w:rPr>
        <w:t xml:space="preserve"> се достигат след 14-20 дни, като възстановяване настъпва след 3-5 седмици. По време на интервалите без терапия се препоръчва стриктно проследяване на кръвната картина (вж. точка 4.4).</w:t>
      </w:r>
    </w:p>
    <w:p w14:paraId="5BAB2B96" w14:textId="77777777" w:rsidR="008F05B3" w:rsidRPr="00FB0891" w:rsidRDefault="008F05B3" w:rsidP="008F05B3">
      <w:pPr>
        <w:spacing w:line="240" w:lineRule="auto"/>
        <w:rPr>
          <w:rFonts w:eastAsia="Times New Roman" w:cs="Arial"/>
          <w:color w:val="000000"/>
          <w:szCs w:val="20"/>
          <w:lang w:eastAsia="bg-BG"/>
        </w:rPr>
      </w:pPr>
    </w:p>
    <w:p w14:paraId="4324D2D0" w14:textId="04E4E17D"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При </w:t>
      </w:r>
      <w:proofErr w:type="spellStart"/>
      <w:r w:rsidRPr="00FB0891">
        <w:rPr>
          <w:rFonts w:eastAsia="Times New Roman" w:cs="Arial"/>
          <w:color w:val="000000"/>
          <w:szCs w:val="20"/>
          <w:lang w:eastAsia="bg-BG"/>
        </w:rPr>
        <w:t>нехематологична</w:t>
      </w:r>
      <w:proofErr w:type="spellEnd"/>
      <w:r w:rsidRPr="00FB0891">
        <w:rPr>
          <w:rFonts w:eastAsia="Times New Roman" w:cs="Arial"/>
          <w:color w:val="000000"/>
          <w:szCs w:val="20"/>
          <w:lang w:eastAsia="bg-BG"/>
        </w:rPr>
        <w:t xml:space="preserve"> токсичност, понижаването на дозата трябва да се основава на най-лошите степени по общите критерии за токсичност (СТС) от предходния цикъл. При токсичност от степен 3 по СТС се препоръчва понижаване на дозата с 50%. При токсичност от степен 4 по СТС се препоръчва прекратяване на лечението.</w:t>
      </w:r>
    </w:p>
    <w:p w14:paraId="76B84E0D"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Ако пациентът се нуждае от адаптиране на дозата, индивидуално изчислената понижена доза трябва да се приложи на ден 1 и 2 от съответния лечебен цикъл.</w:t>
      </w:r>
    </w:p>
    <w:p w14:paraId="22E3F18B" w14:textId="77777777" w:rsidR="008F05B3" w:rsidRPr="00FB0891" w:rsidRDefault="008F05B3" w:rsidP="008F05B3">
      <w:pPr>
        <w:rPr>
          <w:rFonts w:eastAsia="Times New Roman" w:cs="Arial"/>
          <w:color w:val="000000"/>
          <w:szCs w:val="20"/>
          <w:lang w:eastAsia="bg-BG"/>
        </w:rPr>
      </w:pPr>
    </w:p>
    <w:p w14:paraId="046939B0" w14:textId="50B3F5A7" w:rsidR="008F05B3" w:rsidRPr="00FB0891" w:rsidRDefault="008F05B3" w:rsidP="008F05B3">
      <w:pPr>
        <w:rPr>
          <w:rFonts w:cs="Arial"/>
          <w:sz w:val="24"/>
        </w:rPr>
      </w:pPr>
      <w:r w:rsidRPr="00FB0891">
        <w:rPr>
          <w:rFonts w:eastAsia="Times New Roman" w:cs="Arial"/>
          <w:color w:val="000000"/>
          <w:szCs w:val="20"/>
          <w:lang w:eastAsia="bg-BG"/>
        </w:rPr>
        <w:t>За инструкции относно разреждането и разтварянето на лекарствения продукт, вижте точка 6.6.</w:t>
      </w:r>
    </w:p>
    <w:p w14:paraId="739987BE" w14:textId="77777777" w:rsidR="008F05B3" w:rsidRPr="00FB0891" w:rsidRDefault="008F05B3" w:rsidP="0091385D"/>
    <w:p w14:paraId="28C984E8" w14:textId="0756AE28" w:rsidR="008134C8" w:rsidRPr="00FB0891" w:rsidRDefault="002C50EE" w:rsidP="004A448E">
      <w:pPr>
        <w:pStyle w:val="Heading2"/>
      </w:pPr>
      <w:r w:rsidRPr="00FB0891">
        <w:t>4.3. Противопоказания</w:t>
      </w:r>
    </w:p>
    <w:p w14:paraId="2363D607" w14:textId="48168570" w:rsidR="0091385D" w:rsidRPr="00FB0891" w:rsidRDefault="0091385D" w:rsidP="0091385D"/>
    <w:p w14:paraId="4DB90D22" w14:textId="77777777" w:rsidR="008F05B3" w:rsidRPr="00FB0891" w:rsidRDefault="008F05B3" w:rsidP="008F05B3">
      <w:pPr>
        <w:rPr>
          <w:rFonts w:cs="Arial"/>
        </w:rPr>
      </w:pPr>
      <w:r w:rsidRPr="00FB0891">
        <w:rPr>
          <w:rFonts w:cs="Arial"/>
        </w:rPr>
        <w:t>Свръхчувствителност към активното вещество или към някое от помощните вещества, изброени в точка 6.1.</w:t>
      </w:r>
    </w:p>
    <w:p w14:paraId="4F39A3E2" w14:textId="77777777" w:rsidR="008F05B3" w:rsidRPr="00FB0891" w:rsidRDefault="008F05B3" w:rsidP="008F05B3">
      <w:pPr>
        <w:rPr>
          <w:rFonts w:cs="Arial"/>
        </w:rPr>
      </w:pPr>
      <w:r w:rsidRPr="00FB0891">
        <w:rPr>
          <w:rFonts w:cs="Arial"/>
        </w:rPr>
        <w:t>Периода на кърмене</w:t>
      </w:r>
    </w:p>
    <w:p w14:paraId="2309EAB0" w14:textId="7151050B" w:rsidR="0091385D" w:rsidRPr="00FB0891" w:rsidRDefault="008F05B3" w:rsidP="008F05B3">
      <w:pPr>
        <w:rPr>
          <w:rFonts w:cs="Arial"/>
        </w:rPr>
      </w:pPr>
      <w:r w:rsidRPr="00FB0891">
        <w:rPr>
          <w:rFonts w:cs="Arial"/>
        </w:rPr>
        <w:t xml:space="preserve">Тежко чернодробно увреждане (серумен </w:t>
      </w:r>
      <w:proofErr w:type="spellStart"/>
      <w:r w:rsidRPr="00FB0891">
        <w:rPr>
          <w:rFonts w:cs="Arial"/>
        </w:rPr>
        <w:t>билирубин</w:t>
      </w:r>
      <w:proofErr w:type="spellEnd"/>
      <w:r w:rsidRPr="00FB0891">
        <w:rPr>
          <w:rFonts w:cs="Arial"/>
        </w:rPr>
        <w:t xml:space="preserve"> &gt;3,0 </w:t>
      </w:r>
      <w:proofErr w:type="spellStart"/>
      <w:r w:rsidRPr="00FB0891">
        <w:rPr>
          <w:rFonts w:cs="Arial"/>
        </w:rPr>
        <w:t>mg</w:t>
      </w:r>
      <w:proofErr w:type="spellEnd"/>
      <w:r w:rsidRPr="00FB0891">
        <w:rPr>
          <w:rFonts w:cs="Arial"/>
        </w:rPr>
        <w:t>/dl)</w:t>
      </w:r>
    </w:p>
    <w:p w14:paraId="31B39DC6" w14:textId="4C3B5F12" w:rsidR="0091385D" w:rsidRPr="00FB0891" w:rsidRDefault="0091385D" w:rsidP="0091385D">
      <w:pPr>
        <w:rPr>
          <w:rFonts w:cs="Arial"/>
        </w:rPr>
      </w:pPr>
    </w:p>
    <w:p w14:paraId="525BFFCE"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Жълтеница</w:t>
      </w:r>
    </w:p>
    <w:p w14:paraId="1CBB1AEB" w14:textId="2E71742E" w:rsidR="008F05B3" w:rsidRPr="00FB0891" w:rsidRDefault="008F05B3" w:rsidP="008F05B3">
      <w:pPr>
        <w:rPr>
          <w:rFonts w:cs="Arial"/>
        </w:rPr>
      </w:pPr>
      <w:r w:rsidRPr="00FB0891">
        <w:rPr>
          <w:rFonts w:eastAsia="Times New Roman" w:cs="Arial"/>
          <w:color w:val="000000"/>
          <w:lang w:eastAsia="bg-BG"/>
        </w:rPr>
        <w:t xml:space="preserve">Тежка </w:t>
      </w:r>
      <w:proofErr w:type="spellStart"/>
      <w:r w:rsidRPr="00FB0891">
        <w:rPr>
          <w:rFonts w:eastAsia="Times New Roman" w:cs="Arial"/>
          <w:color w:val="000000"/>
          <w:lang w:eastAsia="bg-BG"/>
        </w:rPr>
        <w:t>супресия</w:t>
      </w:r>
      <w:proofErr w:type="spellEnd"/>
      <w:r w:rsidRPr="00FB0891">
        <w:rPr>
          <w:rFonts w:eastAsia="Times New Roman" w:cs="Arial"/>
          <w:color w:val="000000"/>
          <w:lang w:eastAsia="bg-BG"/>
        </w:rPr>
        <w:t xml:space="preserve"> на костния мозък и тежки промени в кръвната картина (спадане на броя на левкоцитите и/или </w:t>
      </w:r>
      <w:proofErr w:type="spellStart"/>
      <w:r w:rsidRPr="00FB0891">
        <w:rPr>
          <w:rFonts w:eastAsia="Times New Roman" w:cs="Arial"/>
          <w:color w:val="000000"/>
          <w:lang w:eastAsia="bg-BG"/>
        </w:rPr>
        <w:t>тромбоцитите</w:t>
      </w:r>
      <w:proofErr w:type="spellEnd"/>
      <w:r w:rsidRPr="00FB0891">
        <w:rPr>
          <w:rFonts w:eastAsia="Times New Roman" w:cs="Arial"/>
          <w:color w:val="000000"/>
          <w:lang w:eastAsia="bg-BG"/>
        </w:rPr>
        <w:t xml:space="preserve"> до &lt; 3 000/</w:t>
      </w:r>
      <w:proofErr w:type="spellStart"/>
      <w:r w:rsidRPr="00FB0891">
        <w:rPr>
          <w:rFonts w:eastAsia="Times New Roman" w:cs="Arial"/>
          <w:color w:val="000000"/>
          <w:lang w:eastAsia="bg-BG"/>
        </w:rPr>
        <w:t>микролитьр</w:t>
      </w:r>
      <w:proofErr w:type="spellEnd"/>
      <w:r w:rsidRPr="00FB0891">
        <w:rPr>
          <w:rFonts w:eastAsia="Times New Roman" w:cs="Arial"/>
          <w:color w:val="000000"/>
          <w:lang w:eastAsia="bg-BG"/>
        </w:rPr>
        <w:t xml:space="preserve"> или &lt; 75 000/</w:t>
      </w:r>
      <w:proofErr w:type="spellStart"/>
      <w:r w:rsidRPr="00FB0891">
        <w:rPr>
          <w:rFonts w:eastAsia="Times New Roman" w:cs="Arial"/>
          <w:color w:val="000000"/>
          <w:lang w:eastAsia="bg-BG"/>
        </w:rPr>
        <w:t>микролитьр</w:t>
      </w:r>
      <w:proofErr w:type="spellEnd"/>
      <w:r w:rsidRPr="00FB0891">
        <w:rPr>
          <w:rFonts w:eastAsia="Times New Roman" w:cs="Arial"/>
          <w:color w:val="000000"/>
          <w:lang w:eastAsia="bg-BG"/>
        </w:rPr>
        <w:t xml:space="preserve">, съответно) Голяма хирургична интервенция по-малко от 30 дни преди началото на лечението Инфекции, особено с </w:t>
      </w:r>
      <w:proofErr w:type="spellStart"/>
      <w:r w:rsidRPr="00FB0891">
        <w:rPr>
          <w:rFonts w:eastAsia="Times New Roman" w:cs="Arial"/>
          <w:color w:val="000000"/>
          <w:lang w:eastAsia="bg-BG"/>
        </w:rPr>
        <w:t>левкопения</w:t>
      </w:r>
      <w:proofErr w:type="spellEnd"/>
      <w:r w:rsidRPr="00FB0891">
        <w:rPr>
          <w:rFonts w:eastAsia="Times New Roman" w:cs="Arial"/>
          <w:color w:val="000000"/>
          <w:lang w:eastAsia="bg-BG"/>
        </w:rPr>
        <w:t xml:space="preserve"> Ваксинация срещу жълта треска</w:t>
      </w:r>
    </w:p>
    <w:p w14:paraId="33C8F032" w14:textId="77777777" w:rsidR="008F05B3" w:rsidRPr="00FB0891" w:rsidRDefault="008F05B3" w:rsidP="0091385D"/>
    <w:p w14:paraId="212F509C" w14:textId="52B87D4F" w:rsidR="004F498A" w:rsidRPr="00FB0891" w:rsidRDefault="002C50EE" w:rsidP="004A448E">
      <w:pPr>
        <w:pStyle w:val="Heading2"/>
      </w:pPr>
      <w:r w:rsidRPr="00FB0891">
        <w:t>4.4. Специални предупреждения и предпазни мерки при употреба</w:t>
      </w:r>
    </w:p>
    <w:p w14:paraId="0AAC2B60" w14:textId="0A08B607" w:rsidR="0091385D" w:rsidRPr="00FB0891" w:rsidRDefault="0091385D" w:rsidP="0091385D"/>
    <w:p w14:paraId="5F54D9F1" w14:textId="77777777" w:rsidR="008F05B3" w:rsidRPr="00FB0891" w:rsidRDefault="008F05B3" w:rsidP="008F05B3">
      <w:pPr>
        <w:spacing w:line="240" w:lineRule="auto"/>
        <w:rPr>
          <w:rFonts w:eastAsia="Times New Roman" w:cs="Arial"/>
          <w:lang w:eastAsia="bg-BG"/>
        </w:rPr>
      </w:pPr>
      <w:proofErr w:type="spellStart"/>
      <w:r w:rsidRPr="00FB0891">
        <w:rPr>
          <w:rFonts w:eastAsia="Times New Roman" w:cs="Arial"/>
          <w:color w:val="000000"/>
          <w:u w:val="single"/>
          <w:lang w:eastAsia="bg-BG"/>
        </w:rPr>
        <w:t>Миелосупресия</w:t>
      </w:r>
      <w:proofErr w:type="spellEnd"/>
    </w:p>
    <w:p w14:paraId="5539D00F"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При пациенти, лекувани с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може да настъпи </w:t>
      </w:r>
      <w:proofErr w:type="spellStart"/>
      <w:r w:rsidRPr="00FB0891">
        <w:rPr>
          <w:rFonts w:eastAsia="Times New Roman" w:cs="Arial"/>
          <w:color w:val="000000"/>
          <w:lang w:eastAsia="bg-BG"/>
        </w:rPr>
        <w:t>миелосупресия</w:t>
      </w:r>
      <w:proofErr w:type="spellEnd"/>
      <w:r w:rsidRPr="00FB0891">
        <w:rPr>
          <w:rFonts w:eastAsia="Times New Roman" w:cs="Arial"/>
          <w:color w:val="000000"/>
          <w:lang w:eastAsia="bg-BG"/>
        </w:rPr>
        <w:t xml:space="preserve">. При свързана с лечението </w:t>
      </w:r>
      <w:proofErr w:type="spellStart"/>
      <w:r w:rsidRPr="00FB0891">
        <w:rPr>
          <w:rFonts w:eastAsia="Times New Roman" w:cs="Arial"/>
          <w:color w:val="000000"/>
          <w:lang w:eastAsia="bg-BG"/>
        </w:rPr>
        <w:t>миелосупресия</w:t>
      </w:r>
      <w:proofErr w:type="spellEnd"/>
      <w:r w:rsidRPr="00FB0891">
        <w:rPr>
          <w:rFonts w:eastAsia="Times New Roman" w:cs="Arial"/>
          <w:color w:val="000000"/>
          <w:lang w:eastAsia="bg-BG"/>
        </w:rPr>
        <w:t xml:space="preserve">, левкоцитите, </w:t>
      </w:r>
      <w:proofErr w:type="spellStart"/>
      <w:r w:rsidRPr="00FB0891">
        <w:rPr>
          <w:rFonts w:eastAsia="Times New Roman" w:cs="Arial"/>
          <w:color w:val="000000"/>
          <w:lang w:eastAsia="bg-BG"/>
        </w:rPr>
        <w:t>тромбоцитите</w:t>
      </w:r>
      <w:proofErr w:type="spellEnd"/>
      <w:r w:rsidRPr="00FB0891">
        <w:rPr>
          <w:rFonts w:eastAsia="Times New Roman" w:cs="Arial"/>
          <w:color w:val="000000"/>
          <w:lang w:eastAsia="bg-BG"/>
        </w:rPr>
        <w:t xml:space="preserve">, хемоглобинът и </w:t>
      </w:r>
      <w:proofErr w:type="spellStart"/>
      <w:r w:rsidRPr="00FB0891">
        <w:rPr>
          <w:rFonts w:eastAsia="Times New Roman" w:cs="Arial"/>
          <w:color w:val="000000"/>
          <w:lang w:eastAsia="bg-BG"/>
        </w:rPr>
        <w:t>неутрофилите</w:t>
      </w:r>
      <w:proofErr w:type="spellEnd"/>
      <w:r w:rsidRPr="00FB0891">
        <w:rPr>
          <w:rFonts w:eastAsia="Times New Roman" w:cs="Arial"/>
          <w:color w:val="000000"/>
          <w:lang w:eastAsia="bg-BG"/>
        </w:rPr>
        <w:t xml:space="preserve"> трябва да се контролират поне веднъж седмично. Преди началото на следващия цикъл на лечение, се препоръчва показателите да бъдат следните: брой на левкоцитите и/или </w:t>
      </w:r>
      <w:proofErr w:type="spellStart"/>
      <w:r w:rsidRPr="00FB0891">
        <w:rPr>
          <w:rFonts w:eastAsia="Times New Roman" w:cs="Arial"/>
          <w:color w:val="000000"/>
          <w:lang w:eastAsia="bg-BG"/>
        </w:rPr>
        <w:t>тромбоцитите</w:t>
      </w:r>
      <w:proofErr w:type="spellEnd"/>
      <w:r w:rsidRPr="00FB0891">
        <w:rPr>
          <w:rFonts w:eastAsia="Times New Roman" w:cs="Arial"/>
          <w:color w:val="000000"/>
          <w:lang w:eastAsia="bg-BG"/>
        </w:rPr>
        <w:t xml:space="preserve"> &gt; 4 000/ микролитър или &gt; 100 000/ микролитър, съответно.</w:t>
      </w:r>
    </w:p>
    <w:p w14:paraId="69CC6F00" w14:textId="77777777" w:rsidR="008F05B3" w:rsidRPr="00FB0891" w:rsidRDefault="008F05B3" w:rsidP="008F05B3">
      <w:pPr>
        <w:spacing w:line="240" w:lineRule="auto"/>
        <w:rPr>
          <w:rFonts w:eastAsia="Times New Roman" w:cs="Arial"/>
          <w:color w:val="000000"/>
          <w:u w:val="single"/>
          <w:lang w:eastAsia="bg-BG"/>
        </w:rPr>
      </w:pPr>
    </w:p>
    <w:p w14:paraId="25EFC3AA" w14:textId="0FA28B73" w:rsidR="008F05B3" w:rsidRPr="00FB0891" w:rsidRDefault="008F05B3" w:rsidP="008F05B3">
      <w:pPr>
        <w:spacing w:line="240" w:lineRule="auto"/>
        <w:rPr>
          <w:rFonts w:eastAsia="Times New Roman" w:cs="Arial"/>
          <w:lang w:eastAsia="bg-BG"/>
        </w:rPr>
      </w:pPr>
      <w:r w:rsidRPr="00FB0891">
        <w:rPr>
          <w:rFonts w:eastAsia="Times New Roman" w:cs="Arial"/>
          <w:color w:val="000000"/>
          <w:u w:val="single"/>
          <w:lang w:eastAsia="bg-BG"/>
        </w:rPr>
        <w:t>Инфекции</w:t>
      </w:r>
    </w:p>
    <w:p w14:paraId="7A322007"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Наблюдавани са сериозни и летални инфекции с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включително бактериални (сепсис, пневмония) и опортюнистични инфекции като пневмония, причинена от </w:t>
      </w:r>
      <w:proofErr w:type="spellStart"/>
      <w:r w:rsidRPr="00FB0891">
        <w:rPr>
          <w:rFonts w:eastAsia="Times New Roman" w:cs="Arial"/>
          <w:i/>
          <w:iCs/>
          <w:color w:val="000000"/>
        </w:rPr>
        <w:t>Pneumocystis</w:t>
      </w:r>
      <w:proofErr w:type="spellEnd"/>
      <w:r w:rsidRPr="00FB0891">
        <w:rPr>
          <w:rFonts w:eastAsia="Times New Roman" w:cs="Arial"/>
          <w:i/>
          <w:iCs/>
          <w:color w:val="000000"/>
        </w:rPr>
        <w:t xml:space="preserve"> </w:t>
      </w:r>
      <w:proofErr w:type="spellStart"/>
      <w:r w:rsidRPr="00FB0891">
        <w:rPr>
          <w:rFonts w:eastAsia="Times New Roman" w:cs="Arial"/>
          <w:i/>
          <w:iCs/>
          <w:color w:val="000000"/>
        </w:rPr>
        <w:t>jirovecii</w:t>
      </w:r>
      <w:proofErr w:type="spellEnd"/>
      <w:r w:rsidRPr="00FB0891">
        <w:rPr>
          <w:rFonts w:eastAsia="Times New Roman" w:cs="Arial"/>
          <w:color w:val="000000"/>
        </w:rPr>
        <w:t xml:space="preserve"> (PJP), </w:t>
      </w:r>
      <w:r w:rsidRPr="00FB0891">
        <w:rPr>
          <w:rFonts w:eastAsia="Times New Roman" w:cs="Arial"/>
          <w:color w:val="000000"/>
          <w:lang w:eastAsia="bg-BG"/>
        </w:rPr>
        <w:t xml:space="preserve">варицела зостер вирус </w:t>
      </w:r>
      <w:r w:rsidRPr="00FB0891">
        <w:rPr>
          <w:rFonts w:eastAsia="Times New Roman" w:cs="Arial"/>
          <w:color w:val="000000"/>
        </w:rPr>
        <w:t xml:space="preserve">(VZV) </w:t>
      </w:r>
      <w:r w:rsidRPr="00FB0891">
        <w:rPr>
          <w:rFonts w:eastAsia="Times New Roman" w:cs="Arial"/>
          <w:color w:val="000000"/>
          <w:lang w:eastAsia="bg-BG"/>
        </w:rPr>
        <w:t xml:space="preserve">и </w:t>
      </w:r>
      <w:proofErr w:type="spellStart"/>
      <w:r w:rsidRPr="00FB0891">
        <w:rPr>
          <w:rFonts w:eastAsia="Times New Roman" w:cs="Arial"/>
          <w:color w:val="000000"/>
          <w:lang w:eastAsia="bg-BG"/>
        </w:rPr>
        <w:lastRenderedPageBreak/>
        <w:t>цитомегаловирус</w:t>
      </w:r>
      <w:proofErr w:type="spellEnd"/>
      <w:r w:rsidRPr="00FB0891">
        <w:rPr>
          <w:rFonts w:eastAsia="Times New Roman" w:cs="Arial"/>
          <w:color w:val="000000"/>
          <w:lang w:eastAsia="bg-BG"/>
        </w:rPr>
        <w:t xml:space="preserve"> </w:t>
      </w:r>
      <w:r w:rsidRPr="00FB0891">
        <w:rPr>
          <w:rFonts w:eastAsia="Times New Roman" w:cs="Arial"/>
          <w:color w:val="000000"/>
        </w:rPr>
        <w:t xml:space="preserve">(CMV). </w:t>
      </w:r>
      <w:r w:rsidRPr="00FB0891">
        <w:rPr>
          <w:rFonts w:eastAsia="Times New Roman" w:cs="Arial"/>
          <w:color w:val="000000"/>
          <w:lang w:eastAsia="bg-BG"/>
        </w:rPr>
        <w:t xml:space="preserve">Лечението с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може да причини продължителна </w:t>
      </w:r>
      <w:proofErr w:type="spellStart"/>
      <w:r w:rsidRPr="00FB0891">
        <w:rPr>
          <w:rFonts w:eastAsia="Times New Roman" w:cs="Arial"/>
          <w:color w:val="000000"/>
          <w:lang w:eastAsia="bg-BG"/>
        </w:rPr>
        <w:t>лимфоцитопения</w:t>
      </w:r>
      <w:proofErr w:type="spellEnd"/>
      <w:r w:rsidRPr="00FB0891">
        <w:rPr>
          <w:rFonts w:eastAsia="Times New Roman" w:cs="Arial"/>
          <w:color w:val="000000"/>
          <w:lang w:eastAsia="bg-BG"/>
        </w:rPr>
        <w:t xml:space="preserve"> (&lt; 600/</w:t>
      </w:r>
      <w:proofErr w:type="spellStart"/>
      <w:r w:rsidRPr="00FB0891">
        <w:rPr>
          <w:rFonts w:eastAsia="Times New Roman" w:cs="Arial"/>
          <w:color w:val="000000"/>
          <w:lang w:eastAsia="bg-BG"/>
        </w:rPr>
        <w:t>μ</w:t>
      </w:r>
      <w:r w:rsidRPr="00FB0891">
        <w:rPr>
          <w:rFonts w:eastAsia="Times New Roman" w:cs="Arial"/>
          <w:color w:val="000000"/>
        </w:rPr>
        <w:t>l</w:t>
      </w:r>
      <w:proofErr w:type="spellEnd"/>
      <w:r w:rsidRPr="00FB0891">
        <w:rPr>
          <w:rFonts w:eastAsia="Times New Roman" w:cs="Arial"/>
          <w:color w:val="000000"/>
          <w:lang w:eastAsia="bg-BG"/>
        </w:rPr>
        <w:t>) и нисък брой (&lt; 200/</w:t>
      </w:r>
      <w:proofErr w:type="spellStart"/>
      <w:r w:rsidRPr="00FB0891">
        <w:rPr>
          <w:rFonts w:eastAsia="Times New Roman" w:cs="Arial"/>
          <w:color w:val="000000"/>
          <w:lang w:eastAsia="bg-BG"/>
        </w:rPr>
        <w:t>μ</w:t>
      </w:r>
      <w:r w:rsidRPr="00FB0891">
        <w:rPr>
          <w:rFonts w:eastAsia="Times New Roman" w:cs="Arial"/>
          <w:color w:val="000000"/>
        </w:rPr>
        <w:t>l</w:t>
      </w:r>
      <w:proofErr w:type="spellEnd"/>
      <w:r w:rsidRPr="00FB0891">
        <w:rPr>
          <w:rFonts w:eastAsia="Times New Roman" w:cs="Arial"/>
          <w:color w:val="000000"/>
          <w:lang w:eastAsia="bg-BG"/>
        </w:rPr>
        <w:t>) на С</w:t>
      </w:r>
      <w:r w:rsidRPr="00FB0891">
        <w:rPr>
          <w:rFonts w:eastAsia="Times New Roman" w:cs="Arial"/>
          <w:color w:val="000000"/>
        </w:rPr>
        <w:t>D</w:t>
      </w:r>
      <w:r w:rsidRPr="00FB0891">
        <w:rPr>
          <w:rFonts w:eastAsia="Times New Roman" w:cs="Arial"/>
          <w:color w:val="000000"/>
          <w:lang w:eastAsia="bg-BG"/>
        </w:rPr>
        <w:t>4-положителните Т-клетки (Т-</w:t>
      </w:r>
      <w:proofErr w:type="spellStart"/>
      <w:r w:rsidRPr="00FB0891">
        <w:rPr>
          <w:rFonts w:eastAsia="Times New Roman" w:cs="Arial"/>
          <w:color w:val="000000"/>
          <w:lang w:eastAsia="bg-BG"/>
        </w:rPr>
        <w:t>хелперни</w:t>
      </w:r>
      <w:proofErr w:type="spellEnd"/>
      <w:r w:rsidRPr="00FB0891">
        <w:rPr>
          <w:rFonts w:eastAsia="Times New Roman" w:cs="Arial"/>
          <w:color w:val="000000"/>
          <w:lang w:eastAsia="bg-BG"/>
        </w:rPr>
        <w:t xml:space="preserve"> клетки) за поне 7-9 месеца след приключване на лечението. </w:t>
      </w:r>
      <w:proofErr w:type="spellStart"/>
      <w:r w:rsidRPr="00FB0891">
        <w:rPr>
          <w:rFonts w:eastAsia="Times New Roman" w:cs="Arial"/>
          <w:color w:val="000000"/>
          <w:lang w:eastAsia="bg-BG"/>
        </w:rPr>
        <w:t>Лимфоцитопенията</w:t>
      </w:r>
      <w:proofErr w:type="spellEnd"/>
      <w:r w:rsidRPr="00FB0891">
        <w:rPr>
          <w:rFonts w:eastAsia="Times New Roman" w:cs="Arial"/>
          <w:color w:val="000000"/>
          <w:lang w:eastAsia="bg-BG"/>
        </w:rPr>
        <w:t xml:space="preserve"> и намаляването на </w:t>
      </w:r>
      <w:r w:rsidRPr="00FB0891">
        <w:rPr>
          <w:rFonts w:eastAsia="Times New Roman" w:cs="Arial"/>
          <w:color w:val="000000"/>
        </w:rPr>
        <w:t xml:space="preserve">CD4- </w:t>
      </w:r>
      <w:r w:rsidRPr="00FB0891">
        <w:rPr>
          <w:rFonts w:eastAsia="Times New Roman" w:cs="Arial"/>
          <w:color w:val="000000"/>
          <w:lang w:eastAsia="bg-BG"/>
        </w:rPr>
        <w:t xml:space="preserve">положителните Т-клетки са по-изразени, когато </w:t>
      </w:r>
      <w:proofErr w:type="spellStart"/>
      <w:r w:rsidRPr="00FB0891">
        <w:rPr>
          <w:rFonts w:eastAsia="Times New Roman" w:cs="Arial"/>
          <w:color w:val="000000"/>
          <w:lang w:eastAsia="bg-BG"/>
        </w:rPr>
        <w:t>бендамустин</w:t>
      </w:r>
      <w:proofErr w:type="spellEnd"/>
      <w:r w:rsidRPr="00FB0891">
        <w:rPr>
          <w:rFonts w:eastAsia="Times New Roman" w:cs="Arial"/>
          <w:color w:val="000000"/>
          <w:lang w:eastAsia="bg-BG"/>
        </w:rPr>
        <w:t xml:space="preserve"> се комбинира с </w:t>
      </w:r>
      <w:proofErr w:type="spellStart"/>
      <w:r w:rsidRPr="00FB0891">
        <w:rPr>
          <w:rFonts w:eastAsia="Times New Roman" w:cs="Arial"/>
          <w:color w:val="000000"/>
          <w:lang w:eastAsia="bg-BG"/>
        </w:rPr>
        <w:t>ретуксимаб</w:t>
      </w:r>
      <w:proofErr w:type="spellEnd"/>
      <w:r w:rsidRPr="00FB0891">
        <w:rPr>
          <w:rFonts w:eastAsia="Times New Roman" w:cs="Arial"/>
          <w:color w:val="000000"/>
          <w:lang w:eastAsia="bg-BG"/>
        </w:rPr>
        <w:t>.</w:t>
      </w:r>
    </w:p>
    <w:p w14:paraId="2D236D0A" w14:textId="77777777" w:rsidR="008F05B3" w:rsidRPr="00FB0891" w:rsidRDefault="008F05B3" w:rsidP="008F05B3">
      <w:pPr>
        <w:spacing w:line="240" w:lineRule="auto"/>
        <w:rPr>
          <w:rFonts w:eastAsia="Times New Roman" w:cs="Arial"/>
          <w:color w:val="000000"/>
          <w:lang w:eastAsia="bg-BG"/>
        </w:rPr>
      </w:pPr>
    </w:p>
    <w:p w14:paraId="7003B37C" w14:textId="62CB525C"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Пациентите с </w:t>
      </w:r>
      <w:proofErr w:type="spellStart"/>
      <w:r w:rsidRPr="00FB0891">
        <w:rPr>
          <w:rFonts w:eastAsia="Times New Roman" w:cs="Arial"/>
          <w:color w:val="000000"/>
          <w:lang w:eastAsia="bg-BG"/>
        </w:rPr>
        <w:t>лимфопения</w:t>
      </w:r>
      <w:proofErr w:type="spellEnd"/>
      <w:r w:rsidRPr="00FB0891">
        <w:rPr>
          <w:rFonts w:eastAsia="Times New Roman" w:cs="Arial"/>
          <w:color w:val="000000"/>
          <w:lang w:eastAsia="bg-BG"/>
        </w:rPr>
        <w:t xml:space="preserve"> и нисък брой на </w:t>
      </w:r>
      <w:r w:rsidRPr="00FB0891">
        <w:rPr>
          <w:rFonts w:eastAsia="Times New Roman" w:cs="Arial"/>
          <w:color w:val="000000"/>
        </w:rPr>
        <w:t>CD4</w:t>
      </w:r>
      <w:r w:rsidRPr="00FB0891">
        <w:rPr>
          <w:rFonts w:eastAsia="Times New Roman" w:cs="Arial"/>
          <w:color w:val="000000"/>
          <w:lang w:eastAsia="bg-BG"/>
        </w:rPr>
        <w:t xml:space="preserve">-положителните Т-клетки са по-податливи към (опортюнистични) инфекции след лечение с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В случай на нисък брой на </w:t>
      </w:r>
      <w:r w:rsidRPr="00FB0891">
        <w:rPr>
          <w:rFonts w:eastAsia="Times New Roman" w:cs="Arial"/>
          <w:color w:val="000000"/>
        </w:rPr>
        <w:t>CD4</w:t>
      </w:r>
      <w:r w:rsidRPr="00FB0891">
        <w:rPr>
          <w:rFonts w:eastAsia="Times New Roman" w:cs="Arial"/>
          <w:color w:val="000000"/>
          <w:lang w:eastAsia="bg-BG"/>
        </w:rPr>
        <w:t xml:space="preserve">-положителните Т-клетки (&lt; 200/μ1), трябва да се има предвид профилактика за пневмония, причинена от </w:t>
      </w:r>
      <w:proofErr w:type="spellStart"/>
      <w:r w:rsidRPr="00FB0891">
        <w:rPr>
          <w:rFonts w:eastAsia="Times New Roman" w:cs="Arial"/>
          <w:i/>
          <w:iCs/>
          <w:color w:val="000000"/>
        </w:rPr>
        <w:t>Pneumocystis</w:t>
      </w:r>
      <w:proofErr w:type="spellEnd"/>
      <w:r w:rsidRPr="00FB0891">
        <w:rPr>
          <w:rFonts w:eastAsia="Times New Roman" w:cs="Arial"/>
          <w:i/>
          <w:iCs/>
          <w:color w:val="000000"/>
        </w:rPr>
        <w:t xml:space="preserve"> </w:t>
      </w:r>
      <w:proofErr w:type="spellStart"/>
      <w:r w:rsidRPr="00FB0891">
        <w:rPr>
          <w:rFonts w:eastAsia="Times New Roman" w:cs="Arial"/>
          <w:i/>
          <w:iCs/>
          <w:color w:val="000000"/>
        </w:rPr>
        <w:t>jirovecii</w:t>
      </w:r>
      <w:proofErr w:type="spellEnd"/>
      <w:r w:rsidRPr="00FB0891">
        <w:rPr>
          <w:rFonts w:eastAsia="Times New Roman" w:cs="Arial"/>
          <w:i/>
          <w:iCs/>
          <w:color w:val="000000"/>
        </w:rPr>
        <w:t xml:space="preserve"> (PJP).</w:t>
      </w:r>
      <w:r w:rsidRPr="00FB0891">
        <w:rPr>
          <w:rFonts w:eastAsia="Times New Roman" w:cs="Arial"/>
          <w:color w:val="000000"/>
        </w:rPr>
        <w:t xml:space="preserve"> </w:t>
      </w:r>
      <w:r w:rsidRPr="00FB0891">
        <w:rPr>
          <w:rFonts w:eastAsia="Times New Roman" w:cs="Arial"/>
          <w:color w:val="000000"/>
          <w:lang w:eastAsia="bg-BG"/>
        </w:rPr>
        <w:t xml:space="preserve">Всички пациентите трябва да се наблюдават за респираторни признаци и симптоми по време на цялото лечение. Пациентите трябва да бъдат посъветвани незабавно да съобщават за нови признаци на инфекция, включително висока температура или респираторни симптоми. Трябва да се вземе предвид преустановяването на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при наличие на признаци на (опортюнистични) инфекции.</w:t>
      </w:r>
    </w:p>
    <w:p w14:paraId="004FC76F" w14:textId="77777777" w:rsidR="008F05B3" w:rsidRPr="00FB0891" w:rsidRDefault="008F05B3" w:rsidP="008F05B3">
      <w:pPr>
        <w:spacing w:line="240" w:lineRule="auto"/>
        <w:rPr>
          <w:rFonts w:eastAsia="Times New Roman" w:cs="Arial"/>
          <w:color w:val="000000"/>
          <w:u w:val="single"/>
          <w:lang w:eastAsia="bg-BG"/>
        </w:rPr>
      </w:pPr>
    </w:p>
    <w:p w14:paraId="5909A17E" w14:textId="4A0A1837" w:rsidR="008F05B3" w:rsidRPr="00FB0891" w:rsidRDefault="008F05B3" w:rsidP="008F05B3">
      <w:pPr>
        <w:spacing w:line="240" w:lineRule="auto"/>
        <w:rPr>
          <w:rFonts w:eastAsia="Times New Roman" w:cs="Arial"/>
          <w:lang w:eastAsia="bg-BG"/>
        </w:rPr>
      </w:pPr>
      <w:proofErr w:type="spellStart"/>
      <w:r w:rsidRPr="00FB0891">
        <w:rPr>
          <w:rFonts w:eastAsia="Times New Roman" w:cs="Arial"/>
          <w:color w:val="000000"/>
          <w:u w:val="single"/>
          <w:lang w:eastAsia="bg-BG"/>
        </w:rPr>
        <w:t>Реактивапия</w:t>
      </w:r>
      <w:proofErr w:type="spellEnd"/>
      <w:r w:rsidRPr="00FB0891">
        <w:rPr>
          <w:rFonts w:eastAsia="Times New Roman" w:cs="Arial"/>
          <w:color w:val="000000"/>
          <w:u w:val="single"/>
          <w:lang w:eastAsia="bg-BG"/>
        </w:rPr>
        <w:t xml:space="preserve"> на хепатит В</w:t>
      </w:r>
    </w:p>
    <w:p w14:paraId="61854BF1"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Наблюдава се </w:t>
      </w:r>
      <w:proofErr w:type="spellStart"/>
      <w:r w:rsidRPr="00FB0891">
        <w:rPr>
          <w:rFonts w:eastAsia="Times New Roman" w:cs="Arial"/>
          <w:color w:val="000000"/>
          <w:lang w:eastAsia="bg-BG"/>
        </w:rPr>
        <w:t>реактивация</w:t>
      </w:r>
      <w:proofErr w:type="spellEnd"/>
      <w:r w:rsidRPr="00FB0891">
        <w:rPr>
          <w:rFonts w:eastAsia="Times New Roman" w:cs="Arial"/>
          <w:color w:val="000000"/>
          <w:lang w:eastAsia="bg-BG"/>
        </w:rPr>
        <w:t xml:space="preserve"> на хепатит В при пациенти, които са хронични носители на този вирус, след прием на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от тези пациенти. Някои случаи са завършили с остра чернодробна недостатъчност или с летален изход. Пациентите трябва да се изследват за </w:t>
      </w:r>
      <w:r w:rsidRPr="00FB0891">
        <w:rPr>
          <w:rFonts w:eastAsia="Times New Roman" w:cs="Arial"/>
          <w:color w:val="000000"/>
        </w:rPr>
        <w:t xml:space="preserve">HBV </w:t>
      </w:r>
      <w:r w:rsidRPr="00FB0891">
        <w:rPr>
          <w:rFonts w:eastAsia="Times New Roman" w:cs="Arial"/>
          <w:color w:val="000000"/>
          <w:lang w:eastAsia="bg-BG"/>
        </w:rPr>
        <w:t xml:space="preserve">инфекция преди започване на лечение с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Трябва да се направи консултация с експерти в областта на чернодробните заболявания и в лечението на хепатит В, преди да се започне лечение при пациенти с позитивни тестове за хепатит В (включително тези с активно заболяване) и пациенти с положителен </w:t>
      </w:r>
      <w:r w:rsidRPr="00FB0891">
        <w:rPr>
          <w:rFonts w:eastAsia="Times New Roman" w:cs="Arial"/>
          <w:color w:val="000000"/>
        </w:rPr>
        <w:t xml:space="preserve">HBV </w:t>
      </w:r>
      <w:r w:rsidRPr="00FB0891">
        <w:rPr>
          <w:rFonts w:eastAsia="Times New Roman" w:cs="Arial"/>
          <w:color w:val="000000"/>
          <w:lang w:eastAsia="bg-BG"/>
        </w:rPr>
        <w:t xml:space="preserve">тест по време на лечение. Носителите на </w:t>
      </w:r>
      <w:r w:rsidRPr="00FB0891">
        <w:rPr>
          <w:rFonts w:eastAsia="Times New Roman" w:cs="Arial"/>
          <w:color w:val="000000"/>
        </w:rPr>
        <w:t xml:space="preserve">HBV, </w:t>
      </w:r>
      <w:r w:rsidRPr="00FB0891">
        <w:rPr>
          <w:rFonts w:eastAsia="Times New Roman" w:cs="Arial"/>
          <w:color w:val="000000"/>
          <w:lang w:eastAsia="bg-BG"/>
        </w:rPr>
        <w:t xml:space="preserve">при които се налага лечение с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трябва да бъдат внимателно наблюдавани за признаци и симптоми на активна </w:t>
      </w:r>
      <w:r w:rsidRPr="00FB0891">
        <w:rPr>
          <w:rFonts w:eastAsia="Times New Roman" w:cs="Arial"/>
          <w:color w:val="000000"/>
        </w:rPr>
        <w:t xml:space="preserve">HBV </w:t>
      </w:r>
      <w:r w:rsidRPr="00FB0891">
        <w:rPr>
          <w:rFonts w:eastAsia="Times New Roman" w:cs="Arial"/>
          <w:color w:val="000000"/>
          <w:lang w:eastAsia="bg-BG"/>
        </w:rPr>
        <w:t>инфекция по време на цялото лечение и няколко месеца след приключване на терапията (вж. точка 4.8).</w:t>
      </w:r>
    </w:p>
    <w:p w14:paraId="2017BF14" w14:textId="77777777" w:rsidR="008F05B3" w:rsidRPr="00FB0891" w:rsidRDefault="008F05B3" w:rsidP="008F05B3">
      <w:pPr>
        <w:spacing w:line="240" w:lineRule="auto"/>
        <w:rPr>
          <w:rFonts w:eastAsia="Times New Roman" w:cs="Arial"/>
          <w:color w:val="000000"/>
          <w:u w:val="single"/>
          <w:lang w:eastAsia="bg-BG"/>
        </w:rPr>
      </w:pPr>
    </w:p>
    <w:p w14:paraId="51BF4F57" w14:textId="2A51D2FB" w:rsidR="008F05B3" w:rsidRPr="00FB0891" w:rsidRDefault="008F05B3" w:rsidP="008F05B3">
      <w:pPr>
        <w:spacing w:line="240" w:lineRule="auto"/>
        <w:rPr>
          <w:rFonts w:eastAsia="Times New Roman" w:cs="Arial"/>
          <w:lang w:eastAsia="bg-BG"/>
        </w:rPr>
      </w:pPr>
      <w:r w:rsidRPr="00FB0891">
        <w:rPr>
          <w:rFonts w:eastAsia="Times New Roman" w:cs="Arial"/>
          <w:color w:val="000000"/>
          <w:u w:val="single"/>
          <w:lang w:eastAsia="bg-BG"/>
        </w:rPr>
        <w:t>Кожни реакции</w:t>
      </w:r>
    </w:p>
    <w:p w14:paraId="2B1CCB19" w14:textId="708165FA" w:rsidR="008F05B3" w:rsidRPr="00FB0891" w:rsidRDefault="008F05B3" w:rsidP="008F05B3">
      <w:pPr>
        <w:rPr>
          <w:rFonts w:eastAsia="Times New Roman" w:cs="Arial"/>
          <w:sz w:val="28"/>
          <w:szCs w:val="24"/>
          <w:lang w:eastAsia="bg-BG"/>
        </w:rPr>
      </w:pPr>
      <w:r w:rsidRPr="00FB0891">
        <w:rPr>
          <w:rFonts w:eastAsia="Times New Roman" w:cs="Arial"/>
          <w:color w:val="000000"/>
          <w:lang w:eastAsia="bg-BG"/>
        </w:rPr>
        <w:t xml:space="preserve">Съобщава се за множество кожни реакции. Те са включват обрив, тежки кожни реакции и </w:t>
      </w:r>
      <w:proofErr w:type="spellStart"/>
      <w:r w:rsidRPr="00FB0891">
        <w:rPr>
          <w:rFonts w:eastAsia="Times New Roman" w:cs="Arial"/>
          <w:color w:val="000000"/>
          <w:lang w:eastAsia="bg-BG"/>
        </w:rPr>
        <w:t>булозен</w:t>
      </w:r>
      <w:proofErr w:type="spellEnd"/>
      <w:r w:rsidRPr="00FB0891">
        <w:rPr>
          <w:rFonts w:eastAsia="Times New Roman" w:cs="Arial"/>
          <w:color w:val="000000"/>
          <w:lang w:eastAsia="bg-BG"/>
        </w:rPr>
        <w:t xml:space="preserve"> </w:t>
      </w:r>
      <w:proofErr w:type="spellStart"/>
      <w:r w:rsidRPr="00FB0891">
        <w:rPr>
          <w:rFonts w:eastAsia="Times New Roman" w:cs="Arial"/>
          <w:color w:val="000000"/>
          <w:lang w:eastAsia="bg-BG"/>
        </w:rPr>
        <w:t>екзантем</w:t>
      </w:r>
      <w:proofErr w:type="spellEnd"/>
      <w:r w:rsidRPr="00FB0891">
        <w:rPr>
          <w:rFonts w:eastAsia="Times New Roman" w:cs="Arial"/>
          <w:color w:val="000000"/>
          <w:lang w:eastAsia="bg-BG"/>
        </w:rPr>
        <w:t xml:space="preserve">. Съобщават се случаи на синдром на </w:t>
      </w:r>
      <w:proofErr w:type="spellStart"/>
      <w:r w:rsidRPr="00FB0891">
        <w:rPr>
          <w:rFonts w:eastAsia="Times New Roman" w:cs="Arial"/>
          <w:color w:val="000000"/>
        </w:rPr>
        <w:t>Stevens</w:t>
      </w:r>
      <w:proofErr w:type="spellEnd"/>
      <w:r w:rsidRPr="00FB0891">
        <w:rPr>
          <w:rFonts w:eastAsia="Times New Roman" w:cs="Arial"/>
          <w:color w:val="000000"/>
        </w:rPr>
        <w:t xml:space="preserve">-Johnson (SJS), </w:t>
      </w:r>
      <w:r w:rsidRPr="00FB0891">
        <w:rPr>
          <w:rFonts w:eastAsia="Times New Roman" w:cs="Arial"/>
          <w:color w:val="000000"/>
          <w:lang w:eastAsia="bg-BG"/>
        </w:rPr>
        <w:t xml:space="preserve">токсична епидермална </w:t>
      </w:r>
      <w:proofErr w:type="spellStart"/>
      <w:r w:rsidRPr="00FB0891">
        <w:rPr>
          <w:rFonts w:eastAsia="Times New Roman" w:cs="Arial"/>
          <w:color w:val="000000"/>
          <w:lang w:eastAsia="bg-BG"/>
        </w:rPr>
        <w:t>некролиза</w:t>
      </w:r>
      <w:proofErr w:type="spellEnd"/>
      <w:r w:rsidRPr="00FB0891">
        <w:rPr>
          <w:rFonts w:eastAsia="Times New Roman" w:cs="Arial"/>
          <w:color w:val="000000"/>
          <w:lang w:eastAsia="bg-BG"/>
        </w:rPr>
        <w:t xml:space="preserve"> </w:t>
      </w:r>
      <w:r w:rsidRPr="00FB0891">
        <w:rPr>
          <w:rFonts w:eastAsia="Times New Roman" w:cs="Arial"/>
          <w:color w:val="000000"/>
        </w:rPr>
        <w:t xml:space="preserve">(TEN) </w:t>
      </w:r>
      <w:r w:rsidRPr="00FB0891">
        <w:rPr>
          <w:rFonts w:eastAsia="Times New Roman" w:cs="Arial"/>
          <w:color w:val="000000"/>
          <w:lang w:eastAsia="bg-BG"/>
        </w:rPr>
        <w:t xml:space="preserve">и лекарствена реакция с </w:t>
      </w:r>
      <w:proofErr w:type="spellStart"/>
      <w:r w:rsidRPr="00FB0891">
        <w:rPr>
          <w:rFonts w:eastAsia="Times New Roman" w:cs="Arial"/>
          <w:color w:val="000000"/>
          <w:lang w:eastAsia="bg-BG"/>
        </w:rPr>
        <w:t>еозинофилия</w:t>
      </w:r>
      <w:proofErr w:type="spellEnd"/>
      <w:r w:rsidRPr="00FB0891">
        <w:rPr>
          <w:rFonts w:eastAsia="Times New Roman" w:cs="Arial"/>
          <w:color w:val="000000"/>
          <w:lang w:eastAsia="bg-BG"/>
        </w:rPr>
        <w:t xml:space="preserve"> и системни симптоми </w:t>
      </w:r>
      <w:r w:rsidRPr="00FB0891">
        <w:rPr>
          <w:rFonts w:eastAsia="Times New Roman" w:cs="Arial"/>
          <w:color w:val="000000"/>
        </w:rPr>
        <w:t xml:space="preserve">(DRESS) </w:t>
      </w:r>
      <w:r w:rsidRPr="00FB0891">
        <w:rPr>
          <w:rFonts w:eastAsia="Times New Roman" w:cs="Arial"/>
          <w:color w:val="000000"/>
          <w:lang w:eastAsia="bg-BG"/>
        </w:rPr>
        <w:t xml:space="preserve">при употребата на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някои от които са с летален изход. Пациентите трябва да бъдат предупреждавани за признаците и симптомите на тези реакции от своите лекуващи лекари, като трябва да им се каже незабавно да потърсят медицинска помощ, ако развият някои от тези симптоми. Някои събития възникват след приложението на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в комбинация с други противоракови средства, така че не може да се посочи дали е налице категорична връзка. При поява на кожни реакции, те могат да прогресира тежестта им да се засили с по-нататъшното лечение. Ако кожните реакции прогресират, лечението с </w:t>
      </w:r>
      <w:proofErr w:type="spellStart"/>
      <w:r w:rsidRPr="00FB0891">
        <w:rPr>
          <w:rFonts w:eastAsia="Times New Roman" w:cs="Arial"/>
          <w:color w:val="000000"/>
          <w:lang w:eastAsia="bg-BG"/>
        </w:rPr>
        <w:t>бендамустин</w:t>
      </w:r>
      <w:proofErr w:type="spellEnd"/>
      <w:r w:rsidRPr="00FB0891">
        <w:rPr>
          <w:rFonts w:eastAsia="Times New Roman" w:cs="Arial"/>
          <w:color w:val="000000"/>
          <w:lang w:eastAsia="bg-BG"/>
        </w:rPr>
        <w:t xml:space="preserve"> </w:t>
      </w:r>
      <w:r w:rsidRPr="00FB0891">
        <w:rPr>
          <w:rFonts w:eastAsia="Times New Roman" w:cs="Arial"/>
          <w:color w:val="000000"/>
          <w:szCs w:val="20"/>
          <w:lang w:eastAsia="bg-BG"/>
        </w:rPr>
        <w:t xml:space="preserve">трябва да се отмени или да се преустанови. При тежки кожни реакции, за които се подозира, че са свързани с приложението на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лечението трябва да се преустанови.</w:t>
      </w:r>
    </w:p>
    <w:p w14:paraId="20C9D1CA" w14:textId="77777777" w:rsidR="008F05B3" w:rsidRPr="00FB0891" w:rsidRDefault="008F05B3" w:rsidP="008F05B3">
      <w:pPr>
        <w:spacing w:line="240" w:lineRule="auto"/>
        <w:rPr>
          <w:rFonts w:eastAsia="Times New Roman" w:cs="Arial"/>
          <w:color w:val="000000"/>
          <w:szCs w:val="20"/>
          <w:u w:val="single"/>
          <w:lang w:eastAsia="bg-BG"/>
        </w:rPr>
      </w:pPr>
    </w:p>
    <w:p w14:paraId="0AA83A07" w14:textId="478DAA44"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u w:val="single"/>
          <w:lang w:eastAsia="bg-BG"/>
        </w:rPr>
        <w:t>Сърдечни нарушения</w:t>
      </w:r>
    </w:p>
    <w:p w14:paraId="72C6DE01"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По време на лечение с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концентрацията на калий в кръвта при пациенти със сърдечни нарушения трябва да се проследява внимателно и при стойности на К+ &lt; 3,5 </w:t>
      </w:r>
      <w:proofErr w:type="spellStart"/>
      <w:r w:rsidRPr="00FB0891">
        <w:rPr>
          <w:rFonts w:eastAsia="Times New Roman" w:cs="Arial"/>
          <w:color w:val="000000"/>
          <w:szCs w:val="20"/>
        </w:rPr>
        <w:t>mEq</w:t>
      </w:r>
      <w:proofErr w:type="spellEnd"/>
      <w:r w:rsidRPr="00FB0891">
        <w:rPr>
          <w:rFonts w:eastAsia="Times New Roman" w:cs="Arial"/>
          <w:color w:val="000000"/>
          <w:szCs w:val="20"/>
        </w:rPr>
        <w:t xml:space="preserve">/l </w:t>
      </w:r>
      <w:r w:rsidRPr="00FB0891">
        <w:rPr>
          <w:rFonts w:eastAsia="Times New Roman" w:cs="Arial"/>
          <w:color w:val="000000"/>
          <w:szCs w:val="20"/>
          <w:lang w:eastAsia="bg-BG"/>
        </w:rPr>
        <w:t xml:space="preserve">трябва да се назначи добавка, съдържаща калий и да се направи ЕКГ. Съобщава се за фатални случаи на инфаркт на миокарда и сърдечна </w:t>
      </w:r>
      <w:r w:rsidRPr="00FB0891">
        <w:rPr>
          <w:rFonts w:eastAsia="Times New Roman" w:cs="Arial"/>
          <w:color w:val="000000"/>
          <w:szCs w:val="20"/>
          <w:lang w:eastAsia="bg-BG"/>
        </w:rPr>
        <w:lastRenderedPageBreak/>
        <w:t xml:space="preserve">недостатъчност при лечение с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Пациентите с анамнеза за подлежащо сърдечно заболяване трябва стриктно да се наблюдават.</w:t>
      </w:r>
    </w:p>
    <w:p w14:paraId="0A3EB95C" w14:textId="77777777" w:rsidR="008F05B3" w:rsidRPr="00FB0891" w:rsidRDefault="008F05B3" w:rsidP="008F05B3">
      <w:pPr>
        <w:spacing w:line="240" w:lineRule="auto"/>
        <w:rPr>
          <w:rFonts w:eastAsia="Times New Roman" w:cs="Arial"/>
          <w:color w:val="000000"/>
          <w:szCs w:val="20"/>
          <w:u w:val="single"/>
          <w:lang w:eastAsia="bg-BG"/>
        </w:rPr>
      </w:pPr>
    </w:p>
    <w:p w14:paraId="523FC6CC" w14:textId="7981F91D"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u w:val="single"/>
          <w:lang w:eastAsia="bg-BG"/>
        </w:rPr>
        <w:t>Гадене, повръщане</w:t>
      </w:r>
    </w:p>
    <w:p w14:paraId="3A19EA4D"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За симптоматичното лечение на гадене и повръщане могат да се приложат </w:t>
      </w:r>
      <w:proofErr w:type="spellStart"/>
      <w:r w:rsidRPr="00FB0891">
        <w:rPr>
          <w:rFonts w:eastAsia="Times New Roman" w:cs="Arial"/>
          <w:color w:val="000000"/>
          <w:szCs w:val="20"/>
          <w:lang w:eastAsia="bg-BG"/>
        </w:rPr>
        <w:t>антиеметици</w:t>
      </w:r>
      <w:proofErr w:type="spellEnd"/>
      <w:r w:rsidRPr="00FB0891">
        <w:rPr>
          <w:rFonts w:eastAsia="Times New Roman" w:cs="Arial"/>
          <w:color w:val="000000"/>
          <w:szCs w:val="20"/>
          <w:lang w:eastAsia="bg-BG"/>
        </w:rPr>
        <w:t>.</w:t>
      </w:r>
    </w:p>
    <w:p w14:paraId="6856086A" w14:textId="77777777" w:rsidR="008F05B3" w:rsidRPr="00FB0891" w:rsidRDefault="008F05B3" w:rsidP="008F05B3">
      <w:pPr>
        <w:spacing w:line="240" w:lineRule="auto"/>
        <w:rPr>
          <w:rFonts w:eastAsia="Times New Roman" w:cs="Arial"/>
          <w:sz w:val="28"/>
          <w:szCs w:val="24"/>
          <w:lang w:eastAsia="bg-BG"/>
        </w:rPr>
      </w:pPr>
    </w:p>
    <w:p w14:paraId="4DFA1DE2" w14:textId="0F3E6930"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u w:val="single"/>
          <w:lang w:eastAsia="bg-BG"/>
        </w:rPr>
        <w:t>Синдром на туморно разпадане</w:t>
      </w:r>
    </w:p>
    <w:p w14:paraId="0F5936C1"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При пациенти в клинични проучвания се съобщава за синдром на туморно разпадане </w:t>
      </w:r>
      <w:r w:rsidRPr="00FB0891">
        <w:rPr>
          <w:rFonts w:eastAsia="Times New Roman" w:cs="Arial"/>
          <w:color w:val="000000"/>
          <w:szCs w:val="20"/>
        </w:rPr>
        <w:t xml:space="preserve">(TLS), </w:t>
      </w:r>
      <w:r w:rsidRPr="00FB0891">
        <w:rPr>
          <w:rFonts w:eastAsia="Times New Roman" w:cs="Arial"/>
          <w:color w:val="000000"/>
          <w:szCs w:val="20"/>
          <w:lang w:eastAsia="bg-BG"/>
        </w:rPr>
        <w:t xml:space="preserve">свързан с лечението с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Обикновено той настъпва до 48 часа след прилагане на първата доза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и без намеса може да доведе до остра бъбречна недостатъчност и смърт. Превантивните мерки са адекватна хидратация и внимателно проследяване на биохимичните показатели на кръвта, особено на стойностите на калий и на пикочна киселина, и трябва да се има предвид употребата на </w:t>
      </w:r>
      <w:proofErr w:type="spellStart"/>
      <w:r w:rsidRPr="00FB0891">
        <w:rPr>
          <w:rFonts w:eastAsia="Times New Roman" w:cs="Arial"/>
          <w:color w:val="000000"/>
          <w:szCs w:val="20"/>
          <w:lang w:eastAsia="bg-BG"/>
        </w:rPr>
        <w:t>хипоуремични</w:t>
      </w:r>
      <w:proofErr w:type="spellEnd"/>
      <w:r w:rsidRPr="00FB0891">
        <w:rPr>
          <w:rFonts w:eastAsia="Times New Roman" w:cs="Arial"/>
          <w:color w:val="000000"/>
          <w:szCs w:val="20"/>
          <w:lang w:eastAsia="bg-BG"/>
        </w:rPr>
        <w:t xml:space="preserve"> продукти (</w:t>
      </w:r>
      <w:proofErr w:type="spellStart"/>
      <w:r w:rsidRPr="00FB0891">
        <w:rPr>
          <w:rFonts w:eastAsia="Times New Roman" w:cs="Arial"/>
          <w:color w:val="000000"/>
          <w:szCs w:val="20"/>
          <w:lang w:eastAsia="bg-BG"/>
        </w:rPr>
        <w:t>алопуринол</w:t>
      </w:r>
      <w:proofErr w:type="spellEnd"/>
      <w:r w:rsidRPr="00FB0891">
        <w:rPr>
          <w:rFonts w:eastAsia="Times New Roman" w:cs="Arial"/>
          <w:color w:val="000000"/>
          <w:szCs w:val="20"/>
          <w:lang w:eastAsia="bg-BG"/>
        </w:rPr>
        <w:t xml:space="preserve"> и </w:t>
      </w:r>
      <w:proofErr w:type="spellStart"/>
      <w:r w:rsidRPr="00FB0891">
        <w:rPr>
          <w:rFonts w:eastAsia="Times New Roman" w:cs="Arial"/>
          <w:color w:val="000000"/>
          <w:szCs w:val="20"/>
          <w:lang w:eastAsia="bg-BG"/>
        </w:rPr>
        <w:t>разбуриказа</w:t>
      </w:r>
      <w:proofErr w:type="spellEnd"/>
      <w:r w:rsidRPr="00FB0891">
        <w:rPr>
          <w:rFonts w:eastAsia="Times New Roman" w:cs="Arial"/>
          <w:color w:val="000000"/>
          <w:szCs w:val="20"/>
          <w:lang w:eastAsia="bg-BG"/>
        </w:rPr>
        <w:t xml:space="preserve">) преди лечението. При едновременното приложение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и </w:t>
      </w:r>
      <w:proofErr w:type="spellStart"/>
      <w:r w:rsidRPr="00FB0891">
        <w:rPr>
          <w:rFonts w:eastAsia="Times New Roman" w:cs="Arial"/>
          <w:color w:val="000000"/>
          <w:szCs w:val="20"/>
          <w:lang w:eastAsia="bg-BG"/>
        </w:rPr>
        <w:t>алопуринол</w:t>
      </w:r>
      <w:proofErr w:type="spellEnd"/>
      <w:r w:rsidRPr="00FB0891">
        <w:rPr>
          <w:rFonts w:eastAsia="Times New Roman" w:cs="Arial"/>
          <w:color w:val="000000"/>
          <w:szCs w:val="20"/>
          <w:lang w:eastAsia="bg-BG"/>
        </w:rPr>
        <w:t xml:space="preserve">, се съобщава за няколко случая на синдром на Стивънс-Джонсън и токсична епидермална </w:t>
      </w:r>
      <w:proofErr w:type="spellStart"/>
      <w:r w:rsidRPr="00FB0891">
        <w:rPr>
          <w:rFonts w:eastAsia="Times New Roman" w:cs="Arial"/>
          <w:color w:val="000000"/>
          <w:szCs w:val="20"/>
          <w:lang w:eastAsia="bg-BG"/>
        </w:rPr>
        <w:t>некролиза</w:t>
      </w:r>
      <w:proofErr w:type="spellEnd"/>
      <w:r w:rsidRPr="00FB0891">
        <w:rPr>
          <w:rFonts w:eastAsia="Times New Roman" w:cs="Arial"/>
          <w:color w:val="000000"/>
          <w:szCs w:val="20"/>
          <w:lang w:eastAsia="bg-BG"/>
        </w:rPr>
        <w:t>.</w:t>
      </w:r>
    </w:p>
    <w:p w14:paraId="1E3A15A2" w14:textId="77777777" w:rsidR="008F05B3" w:rsidRPr="00FB0891" w:rsidRDefault="008F05B3" w:rsidP="008F05B3">
      <w:pPr>
        <w:spacing w:line="240" w:lineRule="auto"/>
        <w:rPr>
          <w:rFonts w:eastAsia="Times New Roman" w:cs="Arial"/>
          <w:color w:val="000000"/>
          <w:szCs w:val="20"/>
          <w:u w:val="single"/>
          <w:lang w:eastAsia="bg-BG"/>
        </w:rPr>
      </w:pPr>
    </w:p>
    <w:p w14:paraId="6C9640CF" w14:textId="7DD2E221"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u w:val="single"/>
          <w:lang w:eastAsia="bg-BG"/>
        </w:rPr>
        <w:t>Анафилаксия</w:t>
      </w:r>
    </w:p>
    <w:p w14:paraId="5B4135F7"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 клинични проучвания често настъпват </w:t>
      </w:r>
      <w:proofErr w:type="spellStart"/>
      <w:r w:rsidRPr="00FB0891">
        <w:rPr>
          <w:rFonts w:eastAsia="Times New Roman" w:cs="Arial"/>
          <w:color w:val="000000"/>
          <w:szCs w:val="20"/>
          <w:lang w:eastAsia="bg-BG"/>
        </w:rPr>
        <w:t>инфузионни</w:t>
      </w:r>
      <w:proofErr w:type="spellEnd"/>
      <w:r w:rsidRPr="00FB0891">
        <w:rPr>
          <w:rFonts w:eastAsia="Times New Roman" w:cs="Arial"/>
          <w:color w:val="000000"/>
          <w:szCs w:val="20"/>
          <w:lang w:eastAsia="bg-BG"/>
        </w:rPr>
        <w:t xml:space="preserve"> реакции към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Обикновено симптомите са слабо изразени и включват висока температура, втрисане, сърбеж и обрив. В редки случаи се наблюдават тежки </w:t>
      </w:r>
      <w:proofErr w:type="spellStart"/>
      <w:r w:rsidRPr="00FB0891">
        <w:rPr>
          <w:rFonts w:eastAsia="Times New Roman" w:cs="Arial"/>
          <w:color w:val="000000"/>
          <w:szCs w:val="20"/>
          <w:lang w:eastAsia="bg-BG"/>
        </w:rPr>
        <w:t>анафилактични</w:t>
      </w:r>
      <w:proofErr w:type="spellEnd"/>
      <w:r w:rsidRPr="00FB0891">
        <w:rPr>
          <w:rFonts w:eastAsia="Times New Roman" w:cs="Arial"/>
          <w:color w:val="000000"/>
          <w:szCs w:val="20"/>
          <w:lang w:eastAsia="bg-BG"/>
        </w:rPr>
        <w:t xml:space="preserve"> и </w:t>
      </w:r>
      <w:proofErr w:type="spellStart"/>
      <w:r w:rsidRPr="00FB0891">
        <w:rPr>
          <w:rFonts w:eastAsia="Times New Roman" w:cs="Arial"/>
          <w:color w:val="000000"/>
          <w:szCs w:val="20"/>
          <w:lang w:eastAsia="bg-BG"/>
        </w:rPr>
        <w:t>анафилактоидни</w:t>
      </w:r>
      <w:proofErr w:type="spellEnd"/>
      <w:r w:rsidRPr="00FB0891">
        <w:rPr>
          <w:rFonts w:eastAsia="Times New Roman" w:cs="Arial"/>
          <w:color w:val="000000"/>
          <w:szCs w:val="20"/>
          <w:lang w:eastAsia="bg-BG"/>
        </w:rPr>
        <w:t xml:space="preserve"> реакции. След първия цикъл на лечение на пациентите трябва да бъде снета анамнеза за симптоми, предполагащи </w:t>
      </w:r>
      <w:proofErr w:type="spellStart"/>
      <w:r w:rsidRPr="00FB0891">
        <w:rPr>
          <w:rFonts w:eastAsia="Times New Roman" w:cs="Arial"/>
          <w:color w:val="000000"/>
          <w:szCs w:val="20"/>
          <w:lang w:eastAsia="bg-BG"/>
        </w:rPr>
        <w:t>инфузионни</w:t>
      </w:r>
      <w:proofErr w:type="spellEnd"/>
      <w:r w:rsidRPr="00FB0891">
        <w:rPr>
          <w:rFonts w:eastAsia="Times New Roman" w:cs="Arial"/>
          <w:color w:val="000000"/>
          <w:szCs w:val="20"/>
          <w:lang w:eastAsia="bg-BG"/>
        </w:rPr>
        <w:t xml:space="preserve"> реакции. При пациенти, които преди са имали </w:t>
      </w:r>
      <w:proofErr w:type="spellStart"/>
      <w:r w:rsidRPr="00FB0891">
        <w:rPr>
          <w:rFonts w:eastAsia="Times New Roman" w:cs="Arial"/>
          <w:color w:val="000000"/>
          <w:szCs w:val="20"/>
          <w:lang w:eastAsia="bg-BG"/>
        </w:rPr>
        <w:t>инфузионни</w:t>
      </w:r>
      <w:proofErr w:type="spellEnd"/>
      <w:r w:rsidRPr="00FB0891">
        <w:rPr>
          <w:rFonts w:eastAsia="Times New Roman" w:cs="Arial"/>
          <w:color w:val="000000"/>
          <w:szCs w:val="20"/>
          <w:lang w:eastAsia="bg-BG"/>
        </w:rPr>
        <w:t xml:space="preserve"> реакции, трябва да се обмисли дали в следващите цикли на лечение трябва да се предприемат мерки за предотвратяване на тежки реакции, включително приложение на </w:t>
      </w:r>
      <w:proofErr w:type="spellStart"/>
      <w:r w:rsidRPr="00FB0891">
        <w:rPr>
          <w:rFonts w:eastAsia="Times New Roman" w:cs="Arial"/>
          <w:color w:val="000000"/>
          <w:szCs w:val="20"/>
          <w:lang w:eastAsia="bg-BG"/>
        </w:rPr>
        <w:t>антихистамини</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антипиретици</w:t>
      </w:r>
      <w:proofErr w:type="spellEnd"/>
      <w:r w:rsidRPr="00FB0891">
        <w:rPr>
          <w:rFonts w:eastAsia="Times New Roman" w:cs="Arial"/>
          <w:color w:val="000000"/>
          <w:szCs w:val="20"/>
          <w:lang w:eastAsia="bg-BG"/>
        </w:rPr>
        <w:t xml:space="preserve"> и кортикостероиди. При пациенти, при които е наблюдавана алергична реакция от степен 3 или алергични реакции от по-тежка степен, лекарственият продукт обикновено не се прилага повторно.</w:t>
      </w:r>
    </w:p>
    <w:p w14:paraId="40A24A71" w14:textId="77777777" w:rsidR="008F05B3" w:rsidRPr="00FB0891" w:rsidRDefault="008F05B3" w:rsidP="008F05B3">
      <w:pPr>
        <w:spacing w:line="240" w:lineRule="auto"/>
        <w:rPr>
          <w:rFonts w:eastAsia="Times New Roman" w:cs="Arial"/>
          <w:color w:val="000000"/>
          <w:szCs w:val="20"/>
          <w:u w:val="single"/>
          <w:lang w:eastAsia="bg-BG"/>
        </w:rPr>
      </w:pPr>
    </w:p>
    <w:p w14:paraId="6FC02CCE" w14:textId="355CB541"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u w:val="single"/>
          <w:lang w:eastAsia="bg-BG"/>
        </w:rPr>
        <w:t>Контрацепция</w:t>
      </w:r>
    </w:p>
    <w:p w14:paraId="3A83C024" w14:textId="77777777" w:rsidR="008F05B3" w:rsidRPr="00FB0891" w:rsidRDefault="008F05B3" w:rsidP="008F05B3">
      <w:pPr>
        <w:spacing w:line="240" w:lineRule="auto"/>
        <w:rPr>
          <w:rFonts w:eastAsia="Times New Roman" w:cs="Arial"/>
          <w:sz w:val="28"/>
          <w:szCs w:val="24"/>
          <w:lang w:eastAsia="bg-BG"/>
        </w:rPr>
      </w:pP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е тератогенен и мутагенен.</w:t>
      </w:r>
    </w:p>
    <w:p w14:paraId="6B6EEEBB"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Жените не трябва да забременяват по време на лечението. Пациентите от мъжки пол не трябва да стават бащи по време на лечението и до 6 месеца след него. Преди началото на лечението с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те трябва да потърсят консултация относно съхранението на сперма, поради възможно настъпване на трайно безплодие.</w:t>
      </w:r>
    </w:p>
    <w:p w14:paraId="453DFCE1" w14:textId="77777777" w:rsidR="008F05B3" w:rsidRPr="00FB0891" w:rsidRDefault="008F05B3" w:rsidP="008F05B3">
      <w:pPr>
        <w:spacing w:line="240" w:lineRule="auto"/>
        <w:rPr>
          <w:rFonts w:eastAsia="Times New Roman" w:cs="Arial"/>
          <w:color w:val="000000"/>
          <w:szCs w:val="20"/>
          <w:u w:val="single"/>
          <w:lang w:eastAsia="bg-BG"/>
        </w:rPr>
      </w:pPr>
    </w:p>
    <w:p w14:paraId="19C96AFB" w14:textId="2359C096" w:rsidR="008F05B3" w:rsidRPr="00FB0891" w:rsidRDefault="008F05B3" w:rsidP="008F05B3">
      <w:pPr>
        <w:spacing w:line="240" w:lineRule="auto"/>
        <w:rPr>
          <w:rFonts w:eastAsia="Times New Roman" w:cs="Arial"/>
          <w:sz w:val="28"/>
          <w:szCs w:val="24"/>
          <w:lang w:eastAsia="bg-BG"/>
        </w:rPr>
      </w:pPr>
      <w:proofErr w:type="spellStart"/>
      <w:r w:rsidRPr="00FB0891">
        <w:rPr>
          <w:rFonts w:eastAsia="Times New Roman" w:cs="Arial"/>
          <w:color w:val="000000"/>
          <w:szCs w:val="20"/>
          <w:u w:val="single"/>
          <w:lang w:eastAsia="bg-BG"/>
        </w:rPr>
        <w:t>Екстравазация</w:t>
      </w:r>
      <w:proofErr w:type="spellEnd"/>
    </w:p>
    <w:p w14:paraId="0B3BEE35" w14:textId="5F19DA27" w:rsidR="0091385D" w:rsidRPr="00FB0891" w:rsidRDefault="008F05B3" w:rsidP="008F05B3">
      <w:pPr>
        <w:rPr>
          <w:rFonts w:cs="Arial"/>
          <w:sz w:val="24"/>
        </w:rPr>
      </w:pPr>
      <w:proofErr w:type="spellStart"/>
      <w:r w:rsidRPr="00FB0891">
        <w:rPr>
          <w:rFonts w:eastAsia="Times New Roman" w:cs="Arial"/>
          <w:color w:val="000000"/>
          <w:szCs w:val="20"/>
          <w:lang w:eastAsia="bg-BG"/>
        </w:rPr>
        <w:t>Екстравазалното</w:t>
      </w:r>
      <w:proofErr w:type="spellEnd"/>
      <w:r w:rsidRPr="00FB0891">
        <w:rPr>
          <w:rFonts w:eastAsia="Times New Roman" w:cs="Arial"/>
          <w:color w:val="000000"/>
          <w:szCs w:val="20"/>
          <w:lang w:eastAsia="bg-BG"/>
        </w:rPr>
        <w:t xml:space="preserve"> инжектиране трябва да се преустанови незабавно. Иглата трябва да се изтегли след кратка аспирация, след което засегнатият участък от тъканта трябва да се охлади. Ръката трябва да се повдигне. Няма определена полза от прилагането на допълнително лечение, като например употреба на кортикостероиди.</w:t>
      </w:r>
    </w:p>
    <w:p w14:paraId="24E3E82F" w14:textId="77777777" w:rsidR="0091385D" w:rsidRPr="00FB0891" w:rsidRDefault="0091385D" w:rsidP="0091385D"/>
    <w:p w14:paraId="619DED1E" w14:textId="564F257F" w:rsidR="004F498A" w:rsidRPr="00FB0891" w:rsidRDefault="002C50EE" w:rsidP="004A448E">
      <w:pPr>
        <w:pStyle w:val="Heading2"/>
      </w:pPr>
      <w:r w:rsidRPr="00FB0891">
        <w:t>4.5. Взаимодействие с други лекарствени продукти и други форми на</w:t>
      </w:r>
      <w:r w:rsidR="004F1CE7" w:rsidRPr="00FB0891">
        <w:t xml:space="preserve"> взаимодействие</w:t>
      </w:r>
      <w:r w:rsidRPr="00FB0891">
        <w:t xml:space="preserve"> </w:t>
      </w:r>
    </w:p>
    <w:p w14:paraId="355E4B7C" w14:textId="7D829F6C" w:rsidR="0091385D" w:rsidRPr="00FB0891" w:rsidRDefault="0091385D" w:rsidP="0091385D"/>
    <w:p w14:paraId="0DA04BFD"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Не са провеждани </w:t>
      </w:r>
      <w:proofErr w:type="spellStart"/>
      <w:r w:rsidRPr="00FB0891">
        <w:rPr>
          <w:rFonts w:eastAsia="Times New Roman" w:cs="Arial"/>
          <w:i/>
          <w:iCs/>
          <w:color w:val="000000"/>
        </w:rPr>
        <w:t>in</w:t>
      </w:r>
      <w:proofErr w:type="spellEnd"/>
      <w:r w:rsidRPr="00FB0891">
        <w:rPr>
          <w:rFonts w:eastAsia="Times New Roman" w:cs="Arial"/>
          <w:i/>
          <w:iCs/>
          <w:color w:val="000000"/>
        </w:rPr>
        <w:t xml:space="preserve"> </w:t>
      </w:r>
      <w:proofErr w:type="spellStart"/>
      <w:r w:rsidRPr="00FB0891">
        <w:rPr>
          <w:rFonts w:eastAsia="Times New Roman" w:cs="Arial"/>
          <w:i/>
          <w:iCs/>
          <w:color w:val="000000"/>
        </w:rPr>
        <w:t>vivo</w:t>
      </w:r>
      <w:proofErr w:type="spellEnd"/>
      <w:r w:rsidRPr="00FB0891">
        <w:rPr>
          <w:rFonts w:eastAsia="Times New Roman" w:cs="Arial"/>
          <w:color w:val="000000"/>
        </w:rPr>
        <w:t xml:space="preserve"> </w:t>
      </w:r>
      <w:r w:rsidRPr="00FB0891">
        <w:rPr>
          <w:rFonts w:eastAsia="Times New Roman" w:cs="Arial"/>
          <w:color w:val="000000"/>
          <w:lang w:eastAsia="bg-BG"/>
        </w:rPr>
        <w:t>проучвания за взаимодействия.</w:t>
      </w:r>
    </w:p>
    <w:p w14:paraId="0851EE47" w14:textId="77777777" w:rsidR="00234D57" w:rsidRPr="00FB0891" w:rsidRDefault="00234D57" w:rsidP="008F05B3">
      <w:pPr>
        <w:rPr>
          <w:rFonts w:eastAsia="Times New Roman" w:cs="Arial"/>
          <w:color w:val="000000"/>
          <w:lang w:eastAsia="bg-BG"/>
        </w:rPr>
      </w:pPr>
    </w:p>
    <w:p w14:paraId="172AE819" w14:textId="696A3681" w:rsidR="0091385D" w:rsidRPr="00FB0891" w:rsidRDefault="008F05B3" w:rsidP="008F05B3">
      <w:pPr>
        <w:rPr>
          <w:rFonts w:eastAsia="Times New Roman" w:cs="Arial"/>
          <w:color w:val="000000"/>
          <w:lang w:eastAsia="bg-BG"/>
        </w:rPr>
      </w:pPr>
      <w:r w:rsidRPr="00FB0891">
        <w:rPr>
          <w:rFonts w:eastAsia="Times New Roman" w:cs="Arial"/>
          <w:color w:val="000000"/>
          <w:lang w:eastAsia="bg-BG"/>
        </w:rPr>
        <w:t xml:space="preserve">При комбиниране на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lang w:eastAsia="bg-BG"/>
        </w:rPr>
        <w:t xml:space="preserve"> с </w:t>
      </w:r>
      <w:proofErr w:type="spellStart"/>
      <w:r w:rsidRPr="00FB0891">
        <w:rPr>
          <w:rFonts w:eastAsia="Times New Roman" w:cs="Arial"/>
          <w:color w:val="000000"/>
          <w:lang w:eastAsia="bg-BG"/>
        </w:rPr>
        <w:t>миелосупресивни</w:t>
      </w:r>
      <w:proofErr w:type="spellEnd"/>
      <w:r w:rsidRPr="00FB0891">
        <w:rPr>
          <w:rFonts w:eastAsia="Times New Roman" w:cs="Arial"/>
          <w:color w:val="000000"/>
          <w:lang w:eastAsia="bg-BG"/>
        </w:rPr>
        <w:t xml:space="preserve"> средства, ефектът на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lang w:eastAsia="bg-BG"/>
        </w:rPr>
        <w:t xml:space="preserve"> и/или на едновременно приложените лекарствени продукти върху </w:t>
      </w:r>
      <w:r w:rsidRPr="00FB0891">
        <w:rPr>
          <w:rFonts w:eastAsia="Times New Roman" w:cs="Arial"/>
          <w:color w:val="000000"/>
          <w:lang w:eastAsia="bg-BG"/>
        </w:rPr>
        <w:lastRenderedPageBreak/>
        <w:t xml:space="preserve">костния мозък може да се засили. Всяко лечение, което влошава общото състояние на пациента или уврежда функцията на костния мозък  може да засили токсичността на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lang w:eastAsia="bg-BG"/>
        </w:rPr>
        <w:t>.</w:t>
      </w:r>
    </w:p>
    <w:p w14:paraId="3DCB1E69" w14:textId="345A87AD" w:rsidR="008F05B3" w:rsidRPr="00FB0891" w:rsidRDefault="008F05B3" w:rsidP="008F05B3">
      <w:pPr>
        <w:rPr>
          <w:rFonts w:eastAsia="Times New Roman" w:cs="Arial"/>
          <w:color w:val="000000"/>
          <w:lang w:eastAsia="bg-BG"/>
        </w:rPr>
      </w:pPr>
    </w:p>
    <w:p w14:paraId="64EB505C" w14:textId="35E8FBD0"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Комбинирането на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lang w:eastAsia="bg-BG"/>
        </w:rPr>
        <w:t xml:space="preserve"> с циклоспорин или </w:t>
      </w:r>
      <w:proofErr w:type="spellStart"/>
      <w:r w:rsidRPr="00FB0891">
        <w:rPr>
          <w:rFonts w:eastAsia="Times New Roman" w:cs="Arial"/>
          <w:color w:val="000000"/>
          <w:lang w:eastAsia="bg-BG"/>
        </w:rPr>
        <w:t>такролимус</w:t>
      </w:r>
      <w:proofErr w:type="spellEnd"/>
      <w:r w:rsidRPr="00FB0891">
        <w:rPr>
          <w:rFonts w:eastAsia="Times New Roman" w:cs="Arial"/>
          <w:color w:val="000000"/>
          <w:lang w:eastAsia="bg-BG"/>
        </w:rPr>
        <w:t xml:space="preserve"> може да доведе до </w:t>
      </w:r>
      <w:proofErr w:type="spellStart"/>
      <w:r w:rsidRPr="00FB0891">
        <w:rPr>
          <w:rFonts w:eastAsia="Times New Roman" w:cs="Arial"/>
          <w:color w:val="000000"/>
          <w:lang w:eastAsia="bg-BG"/>
        </w:rPr>
        <w:t>ексцесивна</w:t>
      </w:r>
      <w:proofErr w:type="spellEnd"/>
      <w:r w:rsidRPr="00FB0891">
        <w:rPr>
          <w:rFonts w:eastAsia="Times New Roman" w:cs="Arial"/>
          <w:color w:val="000000"/>
          <w:lang w:eastAsia="bg-BG"/>
        </w:rPr>
        <w:t xml:space="preserve"> имуносупресия с риск от </w:t>
      </w:r>
      <w:proofErr w:type="spellStart"/>
      <w:r w:rsidRPr="00FB0891">
        <w:rPr>
          <w:rFonts w:eastAsia="Times New Roman" w:cs="Arial"/>
          <w:color w:val="000000"/>
          <w:lang w:eastAsia="bg-BG"/>
        </w:rPr>
        <w:t>лимфопролиферация</w:t>
      </w:r>
      <w:proofErr w:type="spellEnd"/>
      <w:r w:rsidRPr="00FB0891">
        <w:rPr>
          <w:rFonts w:eastAsia="Times New Roman" w:cs="Arial"/>
          <w:color w:val="000000"/>
          <w:lang w:eastAsia="bg-BG"/>
        </w:rPr>
        <w:t>.</w:t>
      </w:r>
    </w:p>
    <w:p w14:paraId="2132CE56" w14:textId="77777777" w:rsidR="008F05B3" w:rsidRPr="00FB0891" w:rsidRDefault="008F05B3" w:rsidP="008F05B3">
      <w:pPr>
        <w:spacing w:line="240" w:lineRule="auto"/>
        <w:rPr>
          <w:rFonts w:eastAsia="Times New Roman" w:cs="Arial"/>
          <w:color w:val="000000"/>
          <w:lang w:eastAsia="bg-BG"/>
        </w:rPr>
      </w:pPr>
    </w:p>
    <w:p w14:paraId="3276D3DB" w14:textId="2A8A92E9" w:rsidR="008F05B3" w:rsidRPr="00FB0891" w:rsidRDefault="008F05B3" w:rsidP="008F05B3">
      <w:pPr>
        <w:spacing w:line="240" w:lineRule="auto"/>
        <w:rPr>
          <w:rFonts w:eastAsia="Times New Roman" w:cs="Arial"/>
          <w:lang w:eastAsia="bg-BG"/>
        </w:rPr>
      </w:pPr>
      <w:proofErr w:type="spellStart"/>
      <w:r w:rsidRPr="00FB0891">
        <w:rPr>
          <w:rFonts w:eastAsia="Times New Roman" w:cs="Arial"/>
          <w:color w:val="000000"/>
          <w:lang w:eastAsia="bg-BG"/>
        </w:rPr>
        <w:t>Цитостатиците</w:t>
      </w:r>
      <w:proofErr w:type="spellEnd"/>
      <w:r w:rsidRPr="00FB0891">
        <w:rPr>
          <w:rFonts w:eastAsia="Times New Roman" w:cs="Arial"/>
          <w:color w:val="000000"/>
          <w:lang w:eastAsia="bg-BG"/>
        </w:rPr>
        <w:t xml:space="preserve"> могат да намалят образуването на антитела след ваксинация с живи вируси и да повишат риска от инфекция, което може да доведе до фатален изход. Този риск е повишен при пациенти, които вече са с потисната имунна система вследствие на подлежащото заболяване.</w:t>
      </w:r>
    </w:p>
    <w:p w14:paraId="07216475" w14:textId="77777777" w:rsidR="008F05B3" w:rsidRPr="00FB0891" w:rsidRDefault="008F05B3" w:rsidP="008F05B3">
      <w:pPr>
        <w:spacing w:line="240" w:lineRule="auto"/>
        <w:rPr>
          <w:rFonts w:eastAsia="Times New Roman" w:cs="Arial"/>
          <w:color w:val="000000"/>
          <w:lang w:eastAsia="bg-BG"/>
        </w:rPr>
      </w:pPr>
    </w:p>
    <w:p w14:paraId="13AA4AC2" w14:textId="35227CFA"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Метаболизмът на </w:t>
      </w:r>
      <w:proofErr w:type="spellStart"/>
      <w:r w:rsidRPr="00FB0891">
        <w:rPr>
          <w:rFonts w:eastAsia="Times New Roman" w:cs="Arial"/>
          <w:color w:val="000000"/>
          <w:lang w:eastAsia="bg-BG"/>
        </w:rPr>
        <w:t>бендамустин</w:t>
      </w:r>
      <w:proofErr w:type="spellEnd"/>
      <w:r w:rsidRPr="00FB0891">
        <w:rPr>
          <w:rFonts w:eastAsia="Times New Roman" w:cs="Arial"/>
          <w:color w:val="000000"/>
          <w:lang w:eastAsia="bg-BG"/>
        </w:rPr>
        <w:t xml:space="preserve"> включва </w:t>
      </w:r>
      <w:proofErr w:type="spellStart"/>
      <w:r w:rsidRPr="00FB0891">
        <w:rPr>
          <w:rFonts w:eastAsia="Times New Roman" w:cs="Arial"/>
          <w:color w:val="000000"/>
          <w:lang w:eastAsia="bg-BG"/>
        </w:rPr>
        <w:t>цитохром</w:t>
      </w:r>
      <w:proofErr w:type="spellEnd"/>
      <w:r w:rsidRPr="00FB0891">
        <w:rPr>
          <w:rFonts w:eastAsia="Times New Roman" w:cs="Arial"/>
          <w:color w:val="000000"/>
          <w:lang w:eastAsia="bg-BG"/>
        </w:rPr>
        <w:t xml:space="preserve"> Р450 </w:t>
      </w:r>
      <w:r w:rsidRPr="00FB0891">
        <w:rPr>
          <w:rFonts w:eastAsia="Times New Roman" w:cs="Arial"/>
          <w:color w:val="000000"/>
        </w:rPr>
        <w:t xml:space="preserve">(CYP) </w:t>
      </w:r>
      <w:r w:rsidRPr="00FB0891">
        <w:rPr>
          <w:rFonts w:eastAsia="Times New Roman" w:cs="Arial"/>
          <w:color w:val="000000"/>
          <w:lang w:eastAsia="bg-BG"/>
        </w:rPr>
        <w:t xml:space="preserve">1А2 </w:t>
      </w:r>
      <w:proofErr w:type="spellStart"/>
      <w:r w:rsidRPr="00FB0891">
        <w:rPr>
          <w:rFonts w:eastAsia="Times New Roman" w:cs="Arial"/>
          <w:color w:val="000000"/>
          <w:lang w:eastAsia="bg-BG"/>
        </w:rPr>
        <w:t>изоензима</w:t>
      </w:r>
      <w:proofErr w:type="spellEnd"/>
      <w:r w:rsidRPr="00FB0891">
        <w:rPr>
          <w:rFonts w:eastAsia="Times New Roman" w:cs="Arial"/>
          <w:color w:val="000000"/>
          <w:lang w:eastAsia="bg-BG"/>
        </w:rPr>
        <w:t xml:space="preserve"> (вж. точка 5.2). Следователно, съществува възможност за взаимодействие с инхибитори на </w:t>
      </w:r>
      <w:r w:rsidRPr="00FB0891">
        <w:rPr>
          <w:rFonts w:eastAsia="Times New Roman" w:cs="Arial"/>
          <w:color w:val="000000"/>
        </w:rPr>
        <w:t xml:space="preserve">CYP1A2, </w:t>
      </w:r>
      <w:r w:rsidRPr="00FB0891">
        <w:rPr>
          <w:rFonts w:eastAsia="Times New Roman" w:cs="Arial"/>
          <w:color w:val="000000"/>
          <w:lang w:eastAsia="bg-BG"/>
        </w:rPr>
        <w:t xml:space="preserve">като </w:t>
      </w:r>
      <w:proofErr w:type="spellStart"/>
      <w:r w:rsidRPr="00FB0891">
        <w:rPr>
          <w:rFonts w:eastAsia="Times New Roman" w:cs="Arial"/>
          <w:color w:val="000000"/>
          <w:lang w:eastAsia="bg-BG"/>
        </w:rPr>
        <w:t>флувоксамин</w:t>
      </w:r>
      <w:proofErr w:type="spellEnd"/>
      <w:r w:rsidRPr="00FB0891">
        <w:rPr>
          <w:rFonts w:eastAsia="Times New Roman" w:cs="Arial"/>
          <w:color w:val="000000"/>
          <w:lang w:eastAsia="bg-BG"/>
        </w:rPr>
        <w:t xml:space="preserve">, </w:t>
      </w:r>
      <w:proofErr w:type="spellStart"/>
      <w:r w:rsidRPr="00FB0891">
        <w:rPr>
          <w:rFonts w:eastAsia="Times New Roman" w:cs="Arial"/>
          <w:color w:val="000000"/>
          <w:lang w:eastAsia="bg-BG"/>
        </w:rPr>
        <w:t>ципрофлоксацин</w:t>
      </w:r>
      <w:proofErr w:type="spellEnd"/>
      <w:r w:rsidRPr="00FB0891">
        <w:rPr>
          <w:rFonts w:eastAsia="Times New Roman" w:cs="Arial"/>
          <w:color w:val="000000"/>
          <w:lang w:eastAsia="bg-BG"/>
        </w:rPr>
        <w:t xml:space="preserve">, </w:t>
      </w:r>
      <w:proofErr w:type="spellStart"/>
      <w:r w:rsidRPr="00FB0891">
        <w:rPr>
          <w:rFonts w:eastAsia="Times New Roman" w:cs="Arial"/>
          <w:color w:val="000000"/>
          <w:lang w:eastAsia="bg-BG"/>
        </w:rPr>
        <w:t>ацикловир</w:t>
      </w:r>
      <w:proofErr w:type="spellEnd"/>
      <w:r w:rsidRPr="00FB0891">
        <w:rPr>
          <w:rFonts w:eastAsia="Times New Roman" w:cs="Arial"/>
          <w:color w:val="000000"/>
          <w:lang w:eastAsia="bg-BG"/>
        </w:rPr>
        <w:t xml:space="preserve"> и </w:t>
      </w:r>
      <w:proofErr w:type="spellStart"/>
      <w:r w:rsidRPr="00FB0891">
        <w:rPr>
          <w:rFonts w:eastAsia="Times New Roman" w:cs="Arial"/>
          <w:color w:val="000000"/>
          <w:lang w:eastAsia="bg-BG"/>
        </w:rPr>
        <w:t>циметидин</w:t>
      </w:r>
      <w:proofErr w:type="spellEnd"/>
      <w:r w:rsidRPr="00FB0891">
        <w:rPr>
          <w:rFonts w:eastAsia="Times New Roman" w:cs="Arial"/>
          <w:color w:val="000000"/>
          <w:lang w:eastAsia="bg-BG"/>
        </w:rPr>
        <w:t>.</w:t>
      </w:r>
    </w:p>
    <w:p w14:paraId="4C211732" w14:textId="77777777" w:rsidR="008F05B3" w:rsidRPr="00FB0891" w:rsidRDefault="008F05B3" w:rsidP="008F05B3">
      <w:pPr>
        <w:spacing w:line="240" w:lineRule="auto"/>
        <w:rPr>
          <w:rFonts w:eastAsia="Times New Roman" w:cs="Arial"/>
          <w:color w:val="000000"/>
          <w:lang w:eastAsia="bg-BG"/>
        </w:rPr>
      </w:pPr>
    </w:p>
    <w:p w14:paraId="0702B1EC" w14:textId="2717839E"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Педиатрична популация</w:t>
      </w:r>
    </w:p>
    <w:p w14:paraId="1013C70D" w14:textId="0D705C1E" w:rsidR="008F05B3" w:rsidRPr="00FB0891" w:rsidRDefault="008F05B3" w:rsidP="008F05B3">
      <w:pPr>
        <w:rPr>
          <w:rFonts w:cs="Arial"/>
        </w:rPr>
      </w:pPr>
      <w:r w:rsidRPr="00FB0891">
        <w:rPr>
          <w:rFonts w:eastAsia="Times New Roman" w:cs="Arial"/>
          <w:color w:val="000000"/>
          <w:lang w:eastAsia="bg-BG"/>
        </w:rPr>
        <w:t>Проучвания за взаимодействие са провеждани само при възрастни.</w:t>
      </w:r>
    </w:p>
    <w:p w14:paraId="5B2761C5" w14:textId="77777777" w:rsidR="0091385D" w:rsidRPr="00FB0891" w:rsidRDefault="0091385D" w:rsidP="0091385D"/>
    <w:p w14:paraId="394A7584" w14:textId="10DEA5B3" w:rsidR="004F498A" w:rsidRPr="00FB0891" w:rsidRDefault="002C50EE" w:rsidP="004A448E">
      <w:pPr>
        <w:pStyle w:val="Heading2"/>
      </w:pPr>
      <w:r w:rsidRPr="00FB0891">
        <w:t>4.6. Фертилитет, бременност и кърмене</w:t>
      </w:r>
    </w:p>
    <w:p w14:paraId="4887836B" w14:textId="11C96CFA" w:rsidR="0091385D" w:rsidRPr="00FB0891" w:rsidRDefault="0091385D" w:rsidP="0091385D"/>
    <w:p w14:paraId="40AC281E" w14:textId="77777777" w:rsidR="008F05B3" w:rsidRPr="00FB0891" w:rsidRDefault="008F05B3" w:rsidP="008F05B3">
      <w:pPr>
        <w:pStyle w:val="Heading3"/>
        <w:rPr>
          <w:rFonts w:eastAsia="Times New Roman"/>
          <w:sz w:val="28"/>
          <w:u w:val="single"/>
          <w:lang w:eastAsia="bg-BG"/>
        </w:rPr>
      </w:pPr>
      <w:r w:rsidRPr="00FB0891">
        <w:rPr>
          <w:rFonts w:eastAsia="Times New Roman"/>
          <w:u w:val="single"/>
          <w:lang w:eastAsia="bg-BG"/>
        </w:rPr>
        <w:t>Бременност</w:t>
      </w:r>
    </w:p>
    <w:p w14:paraId="3B1CF123" w14:textId="797C383E"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Няма достатъчно данни за употребата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при бременни жени. В неклинични проучвания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е </w:t>
      </w:r>
      <w:proofErr w:type="spellStart"/>
      <w:r w:rsidRPr="00FB0891">
        <w:rPr>
          <w:rFonts w:eastAsia="Times New Roman" w:cs="Arial"/>
          <w:color w:val="000000"/>
          <w:szCs w:val="20"/>
          <w:lang w:eastAsia="bg-BG"/>
        </w:rPr>
        <w:t>ембрио</w:t>
      </w:r>
      <w:proofErr w:type="spellEnd"/>
      <w:r w:rsidRPr="00FB0891">
        <w:rPr>
          <w:rFonts w:eastAsia="Times New Roman" w:cs="Arial"/>
          <w:color w:val="000000"/>
          <w:szCs w:val="20"/>
          <w:lang w:eastAsia="bg-BG"/>
        </w:rPr>
        <w:t>-/</w:t>
      </w:r>
      <w:proofErr w:type="spellStart"/>
      <w:r w:rsidRPr="00FB0891">
        <w:rPr>
          <w:rFonts w:eastAsia="Times New Roman" w:cs="Arial"/>
          <w:color w:val="000000"/>
          <w:szCs w:val="20"/>
          <w:lang w:eastAsia="bg-BG"/>
        </w:rPr>
        <w:t>фетолетален</w:t>
      </w:r>
      <w:proofErr w:type="spellEnd"/>
      <w:r w:rsidRPr="00FB0891">
        <w:rPr>
          <w:rFonts w:eastAsia="Times New Roman" w:cs="Arial"/>
          <w:color w:val="000000"/>
          <w:szCs w:val="20"/>
          <w:lang w:eastAsia="bg-BG"/>
        </w:rPr>
        <w:t xml:space="preserve">, тератогенен и </w:t>
      </w:r>
      <w:proofErr w:type="spellStart"/>
      <w:r w:rsidRPr="00FB0891">
        <w:rPr>
          <w:rFonts w:eastAsia="Times New Roman" w:cs="Arial"/>
          <w:color w:val="000000"/>
          <w:szCs w:val="20"/>
          <w:lang w:eastAsia="bg-BG"/>
        </w:rPr>
        <w:t>генотоксичен</w:t>
      </w:r>
      <w:proofErr w:type="spellEnd"/>
      <w:r w:rsidRPr="00FB0891">
        <w:rPr>
          <w:rFonts w:eastAsia="Times New Roman" w:cs="Arial"/>
          <w:color w:val="000000"/>
          <w:szCs w:val="20"/>
          <w:lang w:eastAsia="bg-BG"/>
        </w:rPr>
        <w:t xml:space="preserve"> (вж. точка 5.3).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szCs w:val="20"/>
          <w:lang w:eastAsia="bg-BG"/>
        </w:rPr>
        <w:t xml:space="preserve"> не трябва да се използва по време на бременност, освен при категорична необходимост.</w:t>
      </w:r>
      <w:r w:rsidR="00234D57" w:rsidRPr="00FB0891">
        <w:rPr>
          <w:rFonts w:eastAsia="Times New Roman" w:cs="Arial"/>
          <w:sz w:val="28"/>
          <w:szCs w:val="24"/>
          <w:lang w:eastAsia="bg-BG"/>
        </w:rPr>
        <w:t xml:space="preserve"> </w:t>
      </w:r>
      <w:r w:rsidRPr="00FB0891">
        <w:rPr>
          <w:rFonts w:eastAsia="Times New Roman" w:cs="Arial"/>
          <w:color w:val="000000"/>
          <w:szCs w:val="20"/>
          <w:lang w:eastAsia="bg-BG"/>
        </w:rPr>
        <w:t xml:space="preserve">Майката трябва да бъдат информирана относно риска за плода. Ако лечението с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szCs w:val="20"/>
          <w:lang w:eastAsia="bg-BG"/>
        </w:rPr>
        <w:t xml:space="preserve"> е абсолютно необходимо по време на бременност или ако по време на лечението настъпи бременност, пациентката трябва да бъде информирана относно рисковете за нероденото дете и трябва да се проследява внимателно. Трябва да се обмисли възможността за генетична консултация.</w:t>
      </w:r>
    </w:p>
    <w:p w14:paraId="6B70751E" w14:textId="2D140FED" w:rsidR="008F05B3" w:rsidRPr="00FB0891" w:rsidRDefault="008F05B3" w:rsidP="008F05B3">
      <w:pPr>
        <w:spacing w:line="240" w:lineRule="auto"/>
        <w:rPr>
          <w:rFonts w:eastAsia="Times New Roman" w:cs="Arial"/>
          <w:color w:val="000000"/>
          <w:szCs w:val="20"/>
          <w:u w:val="single"/>
          <w:lang w:eastAsia="bg-BG"/>
        </w:rPr>
      </w:pPr>
    </w:p>
    <w:p w14:paraId="763B16FE" w14:textId="77777777" w:rsidR="00234D57" w:rsidRPr="00FB0891" w:rsidRDefault="00234D57" w:rsidP="00234D57">
      <w:pPr>
        <w:pStyle w:val="Heading3"/>
        <w:rPr>
          <w:rFonts w:eastAsia="Times New Roman"/>
          <w:sz w:val="28"/>
          <w:u w:val="single"/>
          <w:lang w:eastAsia="bg-BG"/>
        </w:rPr>
      </w:pPr>
      <w:r w:rsidRPr="00FB0891">
        <w:rPr>
          <w:rFonts w:eastAsia="Times New Roman"/>
          <w:u w:val="single"/>
          <w:lang w:eastAsia="bg-BG"/>
        </w:rPr>
        <w:t>Кърмене</w:t>
      </w:r>
    </w:p>
    <w:p w14:paraId="53EE149E" w14:textId="5A2E3DA3" w:rsidR="00234D57" w:rsidRPr="00FB0891" w:rsidRDefault="00234D57" w:rsidP="00234D57">
      <w:pPr>
        <w:rPr>
          <w:rFonts w:cs="Arial"/>
          <w:sz w:val="24"/>
        </w:rPr>
      </w:pPr>
      <w:r w:rsidRPr="00FB0891">
        <w:rPr>
          <w:rFonts w:eastAsia="Times New Roman" w:cs="Arial"/>
          <w:color w:val="000000"/>
          <w:szCs w:val="20"/>
          <w:lang w:eastAsia="bg-BG"/>
        </w:rPr>
        <w:t xml:space="preserve">Не е известно дали </w:t>
      </w:r>
      <w:proofErr w:type="spellStart"/>
      <w:r w:rsidR="003A059D"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преминава в кърмата, поради което употребата на </w:t>
      </w:r>
      <w:proofErr w:type="spellStart"/>
      <w:r w:rsidR="003A059D" w:rsidRPr="00FB0891">
        <w:rPr>
          <w:rFonts w:eastAsia="Times New Roman" w:cs="Arial"/>
          <w:color w:val="000000"/>
          <w:szCs w:val="20"/>
          <w:lang w:eastAsia="bg-BG"/>
        </w:rPr>
        <w:t>Бендамустин</w:t>
      </w:r>
      <w:proofErr w:type="spellEnd"/>
      <w:r w:rsidR="003A059D" w:rsidRPr="00FB0891">
        <w:rPr>
          <w:rFonts w:eastAsia="Times New Roman" w:cs="Arial"/>
          <w:color w:val="000000"/>
          <w:szCs w:val="20"/>
          <w:lang w:eastAsia="bg-BG"/>
        </w:rPr>
        <w:t xml:space="preserve"> </w:t>
      </w:r>
      <w:proofErr w:type="spellStart"/>
      <w:r w:rsidR="003A059D" w:rsidRPr="00FB0891">
        <w:rPr>
          <w:rFonts w:eastAsia="Times New Roman" w:cs="Arial"/>
          <w:color w:val="000000"/>
          <w:szCs w:val="20"/>
          <w:lang w:eastAsia="bg-BG"/>
        </w:rPr>
        <w:t>Сандоз</w:t>
      </w:r>
      <w:proofErr w:type="spellEnd"/>
      <w:r w:rsidR="003A059D" w:rsidRPr="00FB0891">
        <w:rPr>
          <w:rFonts w:eastAsia="Times New Roman" w:cs="Arial"/>
          <w:color w:val="000000"/>
          <w:szCs w:val="20"/>
          <w:lang w:eastAsia="bg-BG"/>
        </w:rPr>
        <w:t xml:space="preserve"> </w:t>
      </w:r>
      <w:r w:rsidRPr="00FB0891">
        <w:rPr>
          <w:rFonts w:eastAsia="Times New Roman" w:cs="Arial"/>
          <w:color w:val="000000"/>
          <w:szCs w:val="20"/>
          <w:lang w:eastAsia="bg-BG"/>
        </w:rPr>
        <w:t xml:space="preserve">е противопоказана в периода на кърмене (вж. точка 4.3). По време на лечение с </w:t>
      </w:r>
      <w:proofErr w:type="spellStart"/>
      <w:r w:rsidR="003A059D" w:rsidRPr="00FB0891">
        <w:rPr>
          <w:rFonts w:eastAsia="Times New Roman" w:cs="Arial"/>
          <w:color w:val="000000"/>
          <w:szCs w:val="20"/>
          <w:lang w:eastAsia="bg-BG"/>
        </w:rPr>
        <w:t>Бендамустин</w:t>
      </w:r>
      <w:proofErr w:type="spellEnd"/>
      <w:r w:rsidR="003A059D" w:rsidRPr="00FB0891">
        <w:rPr>
          <w:rFonts w:eastAsia="Times New Roman" w:cs="Arial"/>
          <w:color w:val="000000"/>
          <w:szCs w:val="20"/>
          <w:lang w:eastAsia="bg-BG"/>
        </w:rPr>
        <w:t xml:space="preserve"> </w:t>
      </w:r>
      <w:proofErr w:type="spellStart"/>
      <w:r w:rsidR="003A059D" w:rsidRPr="00FB0891">
        <w:rPr>
          <w:rFonts w:eastAsia="Times New Roman" w:cs="Arial"/>
          <w:color w:val="000000"/>
          <w:szCs w:val="20"/>
          <w:lang w:eastAsia="bg-BG"/>
        </w:rPr>
        <w:t>Сандоз</w:t>
      </w:r>
      <w:proofErr w:type="spellEnd"/>
      <w:r w:rsidRPr="00FB0891">
        <w:rPr>
          <w:rFonts w:eastAsia="Times New Roman" w:cs="Arial"/>
          <w:color w:val="000000"/>
          <w:szCs w:val="20"/>
          <w:lang w:eastAsia="bg-BG"/>
        </w:rPr>
        <w:t xml:space="preserve"> кърменето трябва да се преустанови.</w:t>
      </w:r>
    </w:p>
    <w:p w14:paraId="227ED195" w14:textId="6F99E576" w:rsidR="00234D57" w:rsidRPr="00FB0891" w:rsidRDefault="00234D57" w:rsidP="008F05B3">
      <w:pPr>
        <w:spacing w:line="240" w:lineRule="auto"/>
        <w:rPr>
          <w:rFonts w:eastAsia="Times New Roman" w:cs="Arial"/>
          <w:color w:val="000000"/>
          <w:szCs w:val="20"/>
          <w:u w:val="single"/>
          <w:lang w:eastAsia="bg-BG"/>
        </w:rPr>
      </w:pPr>
    </w:p>
    <w:p w14:paraId="605B9717" w14:textId="5F3410AC" w:rsidR="008F05B3" w:rsidRPr="00FB0891" w:rsidRDefault="008F05B3" w:rsidP="008F05B3">
      <w:pPr>
        <w:pStyle w:val="Heading3"/>
        <w:rPr>
          <w:rFonts w:eastAsia="Times New Roman"/>
          <w:sz w:val="28"/>
          <w:u w:val="single"/>
          <w:lang w:eastAsia="bg-BG"/>
        </w:rPr>
      </w:pPr>
      <w:r w:rsidRPr="00FB0891">
        <w:rPr>
          <w:rFonts w:eastAsia="Times New Roman"/>
          <w:u w:val="single"/>
          <w:lang w:eastAsia="bg-BG"/>
        </w:rPr>
        <w:t>Фертилитет</w:t>
      </w:r>
    </w:p>
    <w:p w14:paraId="34C04338" w14:textId="65EB6BFF"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Жените с детероден потенциал трябва да използват ефективни методи за контрацепция, преди и по време на лечение с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szCs w:val="20"/>
          <w:lang w:eastAsia="bg-BG"/>
        </w:rPr>
        <w:t>.</w:t>
      </w:r>
    </w:p>
    <w:p w14:paraId="1868EE81" w14:textId="77777777" w:rsidR="00234D57" w:rsidRPr="00FB0891" w:rsidRDefault="00234D57" w:rsidP="008F05B3">
      <w:pPr>
        <w:spacing w:line="240" w:lineRule="auto"/>
        <w:rPr>
          <w:rFonts w:eastAsia="Times New Roman" w:cs="Arial"/>
          <w:color w:val="000000"/>
          <w:szCs w:val="20"/>
          <w:lang w:eastAsia="bg-BG"/>
        </w:rPr>
      </w:pPr>
    </w:p>
    <w:p w14:paraId="4EDF8A78" w14:textId="77F83A29"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На мъжете, лекувани с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szCs w:val="20"/>
          <w:lang w:eastAsia="bg-BG"/>
        </w:rPr>
        <w:t xml:space="preserve">, се препоръчва да не стават бащи по време на лечението и до 6 месеца след неговото прекратяване. Преди началото на лечението трябва да се потърси консултация относно съхранение на сперма, тъй като е възможно да настъпи необратим стерилитет вследствие на лечението с </w:t>
      </w:r>
      <w:proofErr w:type="spellStart"/>
      <w:r w:rsidR="00234D57" w:rsidRPr="00FB0891">
        <w:rPr>
          <w:rFonts w:eastAsia="Times New Roman" w:cs="Arial"/>
          <w:color w:val="000000"/>
          <w:szCs w:val="20"/>
          <w:lang w:eastAsia="bg-BG"/>
        </w:rPr>
        <w:t>Бендамустин</w:t>
      </w:r>
      <w:proofErr w:type="spellEnd"/>
      <w:r w:rsidR="00234D57" w:rsidRPr="00FB0891">
        <w:rPr>
          <w:rFonts w:eastAsia="Times New Roman" w:cs="Arial"/>
          <w:color w:val="000000"/>
          <w:szCs w:val="20"/>
          <w:lang w:eastAsia="bg-BG"/>
        </w:rPr>
        <w:t xml:space="preserve"> </w:t>
      </w:r>
      <w:proofErr w:type="spellStart"/>
      <w:r w:rsidR="00234D57" w:rsidRPr="00FB0891">
        <w:rPr>
          <w:rFonts w:eastAsia="Times New Roman" w:cs="Arial"/>
          <w:color w:val="000000"/>
          <w:szCs w:val="20"/>
          <w:lang w:eastAsia="bg-BG"/>
        </w:rPr>
        <w:t>Сандоз</w:t>
      </w:r>
      <w:proofErr w:type="spellEnd"/>
      <w:r w:rsidRPr="00FB0891">
        <w:rPr>
          <w:rFonts w:eastAsia="Times New Roman" w:cs="Arial"/>
          <w:color w:val="000000"/>
          <w:szCs w:val="20"/>
          <w:lang w:eastAsia="bg-BG"/>
        </w:rPr>
        <w:t>.</w:t>
      </w:r>
    </w:p>
    <w:p w14:paraId="32917E32" w14:textId="77777777" w:rsidR="008F05B3" w:rsidRPr="00FB0891" w:rsidRDefault="008F05B3" w:rsidP="008F05B3">
      <w:pPr>
        <w:spacing w:line="240" w:lineRule="auto"/>
        <w:rPr>
          <w:rFonts w:eastAsia="Times New Roman" w:cs="Arial"/>
          <w:color w:val="000000"/>
          <w:szCs w:val="20"/>
          <w:u w:val="single"/>
          <w:lang w:eastAsia="bg-BG"/>
        </w:rPr>
      </w:pPr>
    </w:p>
    <w:p w14:paraId="3E8789C3" w14:textId="77777777" w:rsidR="0091385D" w:rsidRPr="00FB0891" w:rsidRDefault="0091385D" w:rsidP="0091385D"/>
    <w:p w14:paraId="064DF1DE" w14:textId="70BCC16C" w:rsidR="00CF77F7" w:rsidRPr="00FB0891" w:rsidRDefault="002C50EE" w:rsidP="004A448E">
      <w:pPr>
        <w:pStyle w:val="Heading2"/>
      </w:pPr>
      <w:r w:rsidRPr="00FB0891">
        <w:lastRenderedPageBreak/>
        <w:t>4.7. Ефекти върху способността за шофиране и работа с машини</w:t>
      </w:r>
    </w:p>
    <w:p w14:paraId="1455464C" w14:textId="2676810A" w:rsidR="0091385D" w:rsidRPr="00FB0891" w:rsidRDefault="0091385D" w:rsidP="0091385D"/>
    <w:p w14:paraId="2B4135A6" w14:textId="04DF5EBA" w:rsidR="0091385D" w:rsidRPr="00FB0891" w:rsidRDefault="003A059D" w:rsidP="003A059D">
      <w:pPr>
        <w:spacing w:line="240" w:lineRule="auto"/>
        <w:rPr>
          <w:rFonts w:eastAsia="Times New Roman" w:cs="Arial"/>
          <w:sz w:val="28"/>
          <w:szCs w:val="24"/>
          <w:lang w:eastAsia="bg-BG"/>
        </w:rPr>
      </w:pP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Сандоз</w:t>
      </w:r>
      <w:proofErr w:type="spellEnd"/>
      <w:r w:rsidR="008F05B3" w:rsidRPr="00FB0891">
        <w:rPr>
          <w:rFonts w:eastAsia="Times New Roman" w:cs="Arial"/>
          <w:color w:val="000000"/>
          <w:szCs w:val="20"/>
          <w:lang w:eastAsia="bg-BG"/>
        </w:rPr>
        <w:t xml:space="preserve"> повлиява в значителна степен способността за шофиране и работа с машини. Съобщава се за </w:t>
      </w:r>
      <w:proofErr w:type="spellStart"/>
      <w:r w:rsidR="008F05B3" w:rsidRPr="00FB0891">
        <w:rPr>
          <w:rFonts w:eastAsia="Times New Roman" w:cs="Arial"/>
          <w:color w:val="000000"/>
          <w:szCs w:val="20"/>
          <w:lang w:eastAsia="bg-BG"/>
        </w:rPr>
        <w:t>атаксия</w:t>
      </w:r>
      <w:proofErr w:type="spellEnd"/>
      <w:r w:rsidR="008F05B3" w:rsidRPr="00FB0891">
        <w:rPr>
          <w:rFonts w:eastAsia="Times New Roman" w:cs="Arial"/>
          <w:color w:val="000000"/>
          <w:szCs w:val="20"/>
          <w:lang w:eastAsia="bg-BG"/>
        </w:rPr>
        <w:t xml:space="preserve">, периферна невропатия </w:t>
      </w:r>
      <w:r w:rsidRPr="00FB0891">
        <w:rPr>
          <w:rFonts w:eastAsia="Times New Roman" w:cs="Arial"/>
          <w:color w:val="000000"/>
          <w:szCs w:val="20"/>
          <w:lang w:eastAsia="bg-BG"/>
        </w:rPr>
        <w:t>и сънливост (вж. точка 4.8).</w:t>
      </w:r>
      <w:r w:rsidRPr="00FB0891">
        <w:rPr>
          <w:rFonts w:eastAsia="Times New Roman" w:cs="Arial"/>
          <w:sz w:val="28"/>
          <w:szCs w:val="24"/>
          <w:lang w:eastAsia="bg-BG"/>
        </w:rPr>
        <w:t xml:space="preserve"> </w:t>
      </w:r>
      <w:r w:rsidR="008F05B3" w:rsidRPr="00FB0891">
        <w:rPr>
          <w:rFonts w:eastAsia="Times New Roman" w:cs="Arial"/>
          <w:color w:val="000000"/>
          <w:szCs w:val="20"/>
          <w:lang w:eastAsia="bg-BG"/>
        </w:rPr>
        <w:t>Пациентите трябва да бъдат посъветвани, че ако получат такива симптоми, трябва да избягват потенциално опасни дейности, като шофиране и работа с машини.</w:t>
      </w:r>
    </w:p>
    <w:p w14:paraId="35801A15" w14:textId="77777777" w:rsidR="0091385D" w:rsidRPr="00FB0891" w:rsidRDefault="0091385D" w:rsidP="0091385D"/>
    <w:p w14:paraId="37A3FD9F" w14:textId="0E7561E3" w:rsidR="00CF77F7" w:rsidRPr="00FB0891" w:rsidRDefault="002C50EE" w:rsidP="004A448E">
      <w:pPr>
        <w:pStyle w:val="Heading2"/>
      </w:pPr>
      <w:r w:rsidRPr="00FB0891">
        <w:t>4.8. Нежелани лекарствени реакции</w:t>
      </w:r>
    </w:p>
    <w:p w14:paraId="4838F52A" w14:textId="4C2232D6" w:rsidR="0091385D" w:rsidRPr="00FB0891" w:rsidRDefault="0091385D" w:rsidP="0091385D"/>
    <w:p w14:paraId="570508C4" w14:textId="38986419" w:rsidR="0091385D" w:rsidRPr="00FB0891" w:rsidRDefault="008F05B3" w:rsidP="0091385D">
      <w:pPr>
        <w:rPr>
          <w:rFonts w:cs="Arial"/>
          <w:sz w:val="24"/>
        </w:rPr>
      </w:pPr>
      <w:r w:rsidRPr="00FB0891">
        <w:rPr>
          <w:rFonts w:cs="Arial"/>
          <w:szCs w:val="20"/>
        </w:rPr>
        <w:t xml:space="preserve">Най-честите нежелани лекарствени реакции, наблюдавани при лечение с </w:t>
      </w:r>
      <w:proofErr w:type="spellStart"/>
      <w:r w:rsidRPr="00FB0891">
        <w:rPr>
          <w:rFonts w:cs="Arial"/>
          <w:szCs w:val="20"/>
        </w:rPr>
        <w:t>бендамустинов</w:t>
      </w:r>
      <w:proofErr w:type="spellEnd"/>
      <w:r w:rsidRPr="00FB0891">
        <w:rPr>
          <w:rFonts w:cs="Arial"/>
          <w:szCs w:val="20"/>
        </w:rPr>
        <w:t xml:space="preserve"> хидрохлорид са хематологични нежелани реакции (</w:t>
      </w:r>
      <w:proofErr w:type="spellStart"/>
      <w:r w:rsidRPr="00FB0891">
        <w:rPr>
          <w:rFonts w:cs="Arial"/>
          <w:szCs w:val="20"/>
        </w:rPr>
        <w:t>левкопения</w:t>
      </w:r>
      <w:proofErr w:type="spellEnd"/>
      <w:r w:rsidRPr="00FB0891">
        <w:rPr>
          <w:rFonts w:cs="Arial"/>
          <w:szCs w:val="20"/>
        </w:rPr>
        <w:t xml:space="preserve">, </w:t>
      </w:r>
      <w:proofErr w:type="spellStart"/>
      <w:r w:rsidRPr="00FB0891">
        <w:rPr>
          <w:rFonts w:cs="Arial"/>
          <w:szCs w:val="20"/>
        </w:rPr>
        <w:t>тромбоцитопения</w:t>
      </w:r>
      <w:proofErr w:type="spellEnd"/>
      <w:r w:rsidRPr="00FB0891">
        <w:rPr>
          <w:rFonts w:cs="Arial"/>
          <w:szCs w:val="20"/>
        </w:rPr>
        <w:t>, кожни токсични реакции (алергични реакции), системни симптоми (треска), стомашно-чревни симптоми (гадене, повръщане).</w:t>
      </w:r>
    </w:p>
    <w:p w14:paraId="43E3C48F" w14:textId="5BAC0870" w:rsidR="0091385D" w:rsidRPr="00FB0891" w:rsidRDefault="0091385D" w:rsidP="0091385D"/>
    <w:p w14:paraId="40EB33C1"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 таблицата по-долу са отразени данните, наблюдавани с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w:t>
      </w:r>
    </w:p>
    <w:p w14:paraId="44358E7C" w14:textId="77777777" w:rsidR="008F05B3" w:rsidRPr="00FB0891" w:rsidRDefault="008F05B3" w:rsidP="008F05B3">
      <w:pPr>
        <w:rPr>
          <w:rFonts w:eastAsia="Times New Roman" w:cs="Arial"/>
          <w:b/>
          <w:bCs/>
          <w:color w:val="000000"/>
          <w:szCs w:val="20"/>
          <w:lang w:eastAsia="bg-BG"/>
        </w:rPr>
      </w:pPr>
    </w:p>
    <w:p w14:paraId="71CC9550" w14:textId="5721BBFC" w:rsidR="008F05B3" w:rsidRPr="00FB0891" w:rsidRDefault="008F05B3" w:rsidP="008F05B3">
      <w:pPr>
        <w:rPr>
          <w:rFonts w:cs="Arial"/>
          <w:sz w:val="24"/>
        </w:rPr>
      </w:pPr>
      <w:r w:rsidRPr="00FB0891">
        <w:rPr>
          <w:rFonts w:eastAsia="Times New Roman" w:cs="Arial"/>
          <w:b/>
          <w:bCs/>
          <w:color w:val="000000"/>
          <w:szCs w:val="20"/>
          <w:lang w:eastAsia="bg-BG"/>
        </w:rPr>
        <w:t xml:space="preserve">Таблица 1 Нежелани реакции при пациенти, лекувани с </w:t>
      </w:r>
      <w:proofErr w:type="spellStart"/>
      <w:r w:rsidRPr="00FB0891">
        <w:rPr>
          <w:rFonts w:eastAsia="Times New Roman" w:cs="Arial"/>
          <w:b/>
          <w:bCs/>
          <w:color w:val="000000"/>
          <w:szCs w:val="20"/>
          <w:lang w:eastAsia="bg-BG"/>
        </w:rPr>
        <w:t>бендамустинов</w:t>
      </w:r>
      <w:proofErr w:type="spellEnd"/>
      <w:r w:rsidRPr="00FB0891">
        <w:rPr>
          <w:rFonts w:eastAsia="Times New Roman" w:cs="Arial"/>
          <w:b/>
          <w:bCs/>
          <w:color w:val="000000"/>
          <w:szCs w:val="20"/>
          <w:lang w:eastAsia="bg-BG"/>
        </w:rPr>
        <w:t xml:space="preserve"> хидрохлорид</w:t>
      </w:r>
    </w:p>
    <w:p w14:paraId="37078C47" w14:textId="112A0655" w:rsidR="008F05B3" w:rsidRPr="00FB0891" w:rsidRDefault="008F05B3" w:rsidP="0091385D"/>
    <w:tbl>
      <w:tblPr>
        <w:tblStyle w:val="TableGrid"/>
        <w:tblW w:w="0" w:type="auto"/>
        <w:tblLook w:val="04A0" w:firstRow="1" w:lastRow="0" w:firstColumn="1" w:lastColumn="0" w:noHBand="0" w:noVBand="1"/>
      </w:tblPr>
      <w:tblGrid>
        <w:gridCol w:w="1462"/>
        <w:gridCol w:w="1194"/>
        <w:gridCol w:w="1277"/>
        <w:gridCol w:w="1256"/>
        <w:gridCol w:w="1437"/>
        <w:gridCol w:w="1358"/>
        <w:gridCol w:w="1366"/>
      </w:tblGrid>
      <w:tr w:rsidR="008F05B3" w:rsidRPr="00FB0891" w14:paraId="34E8C908" w14:textId="77777777" w:rsidTr="008F05B3">
        <w:tc>
          <w:tcPr>
            <w:tcW w:w="1532" w:type="dxa"/>
          </w:tcPr>
          <w:p w14:paraId="08AADD85" w14:textId="084B463E" w:rsidR="008F05B3" w:rsidRPr="00FB0891" w:rsidRDefault="008F05B3" w:rsidP="008F05B3">
            <w:proofErr w:type="spellStart"/>
            <w:r w:rsidRPr="00FB0891">
              <w:rPr>
                <w:b/>
                <w:bCs/>
              </w:rPr>
              <w:t>Системо</w:t>
            </w:r>
            <w:proofErr w:type="spellEnd"/>
            <w:r w:rsidRPr="00FB0891">
              <w:rPr>
                <w:b/>
                <w:bCs/>
              </w:rPr>
              <w:t xml:space="preserve">- органен клас по </w:t>
            </w:r>
            <w:proofErr w:type="spellStart"/>
            <w:r w:rsidRPr="00FB0891">
              <w:rPr>
                <w:b/>
                <w:bCs/>
              </w:rPr>
              <w:t>MedDRA</w:t>
            </w:r>
            <w:proofErr w:type="spellEnd"/>
          </w:p>
        </w:tc>
        <w:tc>
          <w:tcPr>
            <w:tcW w:w="1294" w:type="dxa"/>
          </w:tcPr>
          <w:p w14:paraId="4AD26302" w14:textId="77777777" w:rsidR="008F05B3" w:rsidRPr="00FB0891" w:rsidRDefault="008F05B3" w:rsidP="008F05B3">
            <w:r w:rsidRPr="00FB0891">
              <w:rPr>
                <w:b/>
                <w:bCs/>
              </w:rPr>
              <w:t>Много чести</w:t>
            </w:r>
          </w:p>
          <w:p w14:paraId="1E00DCB5" w14:textId="042D1D32" w:rsidR="008F05B3" w:rsidRPr="00FB0891" w:rsidRDefault="008F05B3" w:rsidP="008F05B3">
            <w:r w:rsidRPr="00FB0891">
              <w:rPr>
                <w:b/>
                <w:bCs/>
              </w:rPr>
              <w:t>≥1/10</w:t>
            </w:r>
          </w:p>
        </w:tc>
        <w:tc>
          <w:tcPr>
            <w:tcW w:w="1326" w:type="dxa"/>
          </w:tcPr>
          <w:p w14:paraId="51C5B5FE" w14:textId="77777777" w:rsidR="008F05B3" w:rsidRPr="00FB0891" w:rsidRDefault="008F05B3" w:rsidP="008F05B3">
            <w:r w:rsidRPr="00FB0891">
              <w:rPr>
                <w:b/>
                <w:bCs/>
              </w:rPr>
              <w:t>Чести</w:t>
            </w:r>
          </w:p>
          <w:p w14:paraId="221FD7BC" w14:textId="28E3BF45" w:rsidR="008F05B3" w:rsidRPr="00FB0891" w:rsidRDefault="008F05B3" w:rsidP="008F05B3">
            <w:r w:rsidRPr="00FB0891">
              <w:rPr>
                <w:b/>
                <w:bCs/>
              </w:rPr>
              <w:t>≥1/100 до &lt;1/10</w:t>
            </w:r>
          </w:p>
        </w:tc>
        <w:tc>
          <w:tcPr>
            <w:tcW w:w="1432" w:type="dxa"/>
          </w:tcPr>
          <w:p w14:paraId="442D866B" w14:textId="77777777" w:rsidR="008F05B3" w:rsidRPr="00FB0891" w:rsidRDefault="008F05B3" w:rsidP="008F05B3">
            <w:r w:rsidRPr="00FB0891">
              <w:rPr>
                <w:b/>
                <w:bCs/>
              </w:rPr>
              <w:t xml:space="preserve">Нечести </w:t>
            </w:r>
          </w:p>
          <w:p w14:paraId="3AA401D1" w14:textId="218A943C" w:rsidR="008F05B3" w:rsidRPr="00FB0891" w:rsidRDefault="008F05B3" w:rsidP="008F05B3">
            <w:r w:rsidRPr="00FB0891">
              <w:rPr>
                <w:b/>
                <w:bCs/>
              </w:rPr>
              <w:t>≥1/1 000 до &lt;1/100</w:t>
            </w:r>
          </w:p>
        </w:tc>
        <w:tc>
          <w:tcPr>
            <w:tcW w:w="1411" w:type="dxa"/>
          </w:tcPr>
          <w:p w14:paraId="5C6581B6" w14:textId="77777777" w:rsidR="008F05B3" w:rsidRPr="00FB0891" w:rsidRDefault="008F05B3" w:rsidP="008F05B3">
            <w:r w:rsidRPr="00FB0891">
              <w:rPr>
                <w:b/>
                <w:bCs/>
              </w:rPr>
              <w:t>Редки</w:t>
            </w:r>
          </w:p>
          <w:p w14:paraId="40E68372" w14:textId="3D2DFAA2" w:rsidR="008F05B3" w:rsidRPr="00FB0891" w:rsidRDefault="008F05B3" w:rsidP="008F05B3">
            <w:r w:rsidRPr="00FB0891">
              <w:rPr>
                <w:b/>
                <w:bCs/>
              </w:rPr>
              <w:t>≥1/10 000 до &lt;1/1 000</w:t>
            </w:r>
          </w:p>
        </w:tc>
        <w:tc>
          <w:tcPr>
            <w:tcW w:w="1317" w:type="dxa"/>
          </w:tcPr>
          <w:p w14:paraId="664D820E" w14:textId="27F4F8B0" w:rsidR="008F05B3" w:rsidRPr="00FB0891" w:rsidRDefault="008F05B3" w:rsidP="008F05B3">
            <w:r w:rsidRPr="00FB0891">
              <w:rPr>
                <w:b/>
                <w:bCs/>
              </w:rPr>
              <w:t>Много редки &lt;1/10 000</w:t>
            </w:r>
          </w:p>
        </w:tc>
        <w:tc>
          <w:tcPr>
            <w:tcW w:w="1264" w:type="dxa"/>
          </w:tcPr>
          <w:p w14:paraId="46834487" w14:textId="7BF537A0" w:rsidR="008F05B3" w:rsidRPr="00FB0891" w:rsidRDefault="008F05B3" w:rsidP="008F05B3">
            <w:r w:rsidRPr="00FB0891">
              <w:rPr>
                <w:b/>
                <w:bCs/>
              </w:rPr>
              <w:t>С неизвестна честота (от наличните данни не може да бъде направена оценка)</w:t>
            </w:r>
          </w:p>
        </w:tc>
      </w:tr>
      <w:tr w:rsidR="008F05B3" w:rsidRPr="00FB0891" w14:paraId="0687E65C" w14:textId="77777777" w:rsidTr="008F05B3">
        <w:tc>
          <w:tcPr>
            <w:tcW w:w="1532" w:type="dxa"/>
          </w:tcPr>
          <w:p w14:paraId="61751783" w14:textId="0963DE1A" w:rsidR="008F05B3" w:rsidRPr="00FB0891" w:rsidRDefault="008F05B3" w:rsidP="008F05B3">
            <w:r w:rsidRPr="00FB0891">
              <w:t xml:space="preserve">Инфекции и </w:t>
            </w:r>
            <w:proofErr w:type="spellStart"/>
            <w:r w:rsidRPr="00FB0891">
              <w:t>инфестации</w:t>
            </w:r>
            <w:proofErr w:type="spellEnd"/>
          </w:p>
        </w:tc>
        <w:tc>
          <w:tcPr>
            <w:tcW w:w="1294" w:type="dxa"/>
          </w:tcPr>
          <w:p w14:paraId="6413F419" w14:textId="574C515A" w:rsidR="008F05B3" w:rsidRPr="00FB0891" w:rsidRDefault="008F05B3" w:rsidP="008F05B3">
            <w:r w:rsidRPr="00FB0891">
              <w:t>Инфекция NOS*, включител</w:t>
            </w:r>
            <w:r w:rsidRPr="00FB0891">
              <w:softHyphen/>
              <w:t>но опортюнис</w:t>
            </w:r>
            <w:r w:rsidRPr="00FB0891">
              <w:softHyphen/>
              <w:t xml:space="preserve">тични инфекции (напр. херпес зостер, </w:t>
            </w:r>
            <w:proofErr w:type="spellStart"/>
            <w:r w:rsidRPr="00FB0891">
              <w:t>цитомегало</w:t>
            </w:r>
            <w:proofErr w:type="spellEnd"/>
            <w:r w:rsidRPr="00FB0891">
              <w:t>- вирус, хепатит В)</w:t>
            </w:r>
          </w:p>
        </w:tc>
        <w:tc>
          <w:tcPr>
            <w:tcW w:w="1326" w:type="dxa"/>
          </w:tcPr>
          <w:p w14:paraId="6C88586B" w14:textId="77777777" w:rsidR="008F05B3" w:rsidRPr="00FB0891" w:rsidRDefault="008F05B3" w:rsidP="008F05B3"/>
        </w:tc>
        <w:tc>
          <w:tcPr>
            <w:tcW w:w="1432" w:type="dxa"/>
          </w:tcPr>
          <w:p w14:paraId="45B4EBF2" w14:textId="25D9D598" w:rsidR="008F05B3" w:rsidRPr="00FB0891" w:rsidRDefault="008F05B3" w:rsidP="008F05B3">
            <w:r w:rsidRPr="00FB0891">
              <w:t xml:space="preserve">Пневмония, причинена от </w:t>
            </w:r>
            <w:proofErr w:type="spellStart"/>
            <w:r w:rsidRPr="00FB0891">
              <w:rPr>
                <w:i/>
                <w:iCs/>
              </w:rPr>
              <w:t>Pneumocystis</w:t>
            </w:r>
            <w:proofErr w:type="spellEnd"/>
            <w:r w:rsidRPr="00FB0891">
              <w:rPr>
                <w:i/>
                <w:iCs/>
              </w:rPr>
              <w:t xml:space="preserve"> </w:t>
            </w:r>
            <w:proofErr w:type="spellStart"/>
            <w:r w:rsidRPr="00FB0891">
              <w:rPr>
                <w:i/>
                <w:iCs/>
              </w:rPr>
              <w:t>jirovecii</w:t>
            </w:r>
            <w:proofErr w:type="spellEnd"/>
          </w:p>
        </w:tc>
        <w:tc>
          <w:tcPr>
            <w:tcW w:w="1411" w:type="dxa"/>
          </w:tcPr>
          <w:p w14:paraId="48CC6C1E" w14:textId="30E3F146" w:rsidR="008F05B3" w:rsidRPr="00FB0891" w:rsidRDefault="008F05B3" w:rsidP="008F05B3">
            <w:r w:rsidRPr="00FB0891">
              <w:t>Сепсис</w:t>
            </w:r>
          </w:p>
        </w:tc>
        <w:tc>
          <w:tcPr>
            <w:tcW w:w="1317" w:type="dxa"/>
          </w:tcPr>
          <w:p w14:paraId="655CA67E" w14:textId="33ABE817" w:rsidR="008F05B3" w:rsidRPr="00FB0891" w:rsidRDefault="008F05B3" w:rsidP="008F05B3">
            <w:r w:rsidRPr="00FB0891">
              <w:t>Атипична първична пневмония</w:t>
            </w:r>
          </w:p>
        </w:tc>
        <w:tc>
          <w:tcPr>
            <w:tcW w:w="1264" w:type="dxa"/>
          </w:tcPr>
          <w:p w14:paraId="2E6C29AF" w14:textId="77777777" w:rsidR="008F05B3" w:rsidRPr="00FB0891" w:rsidRDefault="008F05B3" w:rsidP="008F05B3"/>
        </w:tc>
      </w:tr>
      <w:tr w:rsidR="008F05B3" w:rsidRPr="00FB0891" w14:paraId="0D2DF12F" w14:textId="77777777" w:rsidTr="008F05B3">
        <w:tc>
          <w:tcPr>
            <w:tcW w:w="1532" w:type="dxa"/>
          </w:tcPr>
          <w:p w14:paraId="269D0B59" w14:textId="0F16D762" w:rsidR="008F05B3" w:rsidRPr="00FB0891" w:rsidRDefault="008F05B3" w:rsidP="008F05B3">
            <w:proofErr w:type="spellStart"/>
            <w:r w:rsidRPr="00FB0891">
              <w:t>Неоплазми</w:t>
            </w:r>
            <w:proofErr w:type="spellEnd"/>
            <w:r w:rsidRPr="00FB0891">
              <w:t xml:space="preserve">- доброкачествени и </w:t>
            </w:r>
            <w:r w:rsidRPr="00FB0891">
              <w:lastRenderedPageBreak/>
              <w:t>злокачествени и неопределени (включително кисти и полипи)</w:t>
            </w:r>
          </w:p>
        </w:tc>
        <w:tc>
          <w:tcPr>
            <w:tcW w:w="1294" w:type="dxa"/>
          </w:tcPr>
          <w:p w14:paraId="71C92A73" w14:textId="77777777" w:rsidR="008F05B3" w:rsidRPr="00FB0891" w:rsidRDefault="008F05B3" w:rsidP="008F05B3"/>
        </w:tc>
        <w:tc>
          <w:tcPr>
            <w:tcW w:w="1326" w:type="dxa"/>
          </w:tcPr>
          <w:p w14:paraId="4D6E64CE" w14:textId="6FD3D079" w:rsidR="008F05B3" w:rsidRPr="00FB0891" w:rsidRDefault="008F05B3" w:rsidP="008F05B3">
            <w:r w:rsidRPr="00FB0891">
              <w:t xml:space="preserve">Синдром на туморно </w:t>
            </w:r>
            <w:r w:rsidRPr="00FB0891">
              <w:lastRenderedPageBreak/>
              <w:t>разпадане</w:t>
            </w:r>
          </w:p>
        </w:tc>
        <w:tc>
          <w:tcPr>
            <w:tcW w:w="1432" w:type="dxa"/>
          </w:tcPr>
          <w:p w14:paraId="1F1E0363" w14:textId="2BF1934A" w:rsidR="008F05B3" w:rsidRPr="00FB0891" w:rsidRDefault="008F05B3" w:rsidP="008F05B3">
            <w:proofErr w:type="spellStart"/>
            <w:r w:rsidRPr="00FB0891">
              <w:lastRenderedPageBreak/>
              <w:t>Миелодис</w:t>
            </w:r>
            <w:proofErr w:type="spellEnd"/>
            <w:r w:rsidRPr="00FB0891">
              <w:t>- пластиче</w:t>
            </w:r>
            <w:r w:rsidRPr="00FB0891">
              <w:lastRenderedPageBreak/>
              <w:t>н синдром, остра миелоидна левкемия</w:t>
            </w:r>
          </w:p>
        </w:tc>
        <w:tc>
          <w:tcPr>
            <w:tcW w:w="1411" w:type="dxa"/>
          </w:tcPr>
          <w:p w14:paraId="5D74AA8E" w14:textId="77777777" w:rsidR="008F05B3" w:rsidRPr="00FB0891" w:rsidRDefault="008F05B3" w:rsidP="008F05B3"/>
        </w:tc>
        <w:tc>
          <w:tcPr>
            <w:tcW w:w="1317" w:type="dxa"/>
          </w:tcPr>
          <w:p w14:paraId="5FBFEF43" w14:textId="77777777" w:rsidR="008F05B3" w:rsidRPr="00FB0891" w:rsidRDefault="008F05B3" w:rsidP="008F05B3"/>
        </w:tc>
        <w:tc>
          <w:tcPr>
            <w:tcW w:w="1264" w:type="dxa"/>
          </w:tcPr>
          <w:p w14:paraId="614AC9D6" w14:textId="77777777" w:rsidR="008F05B3" w:rsidRPr="00FB0891" w:rsidRDefault="008F05B3" w:rsidP="008F05B3"/>
        </w:tc>
      </w:tr>
      <w:tr w:rsidR="008F05B3" w:rsidRPr="00FB0891" w14:paraId="6CA3D862" w14:textId="77777777" w:rsidTr="008F05B3">
        <w:tc>
          <w:tcPr>
            <w:tcW w:w="1532" w:type="dxa"/>
          </w:tcPr>
          <w:p w14:paraId="368A54C4" w14:textId="6DAC55EC" w:rsidR="008F05B3" w:rsidRPr="00FB0891" w:rsidRDefault="008F05B3" w:rsidP="008F05B3">
            <w:r w:rsidRPr="00FB0891">
              <w:t>Нарушения на кръвта и лимфната система</w:t>
            </w:r>
          </w:p>
        </w:tc>
        <w:tc>
          <w:tcPr>
            <w:tcW w:w="1294" w:type="dxa"/>
          </w:tcPr>
          <w:p w14:paraId="73E2C1FC" w14:textId="076928FD" w:rsidR="008F05B3" w:rsidRPr="00FB0891" w:rsidRDefault="008F05B3" w:rsidP="008F05B3">
            <w:proofErr w:type="spellStart"/>
            <w:r w:rsidRPr="00FB0891">
              <w:t>Левкопения</w:t>
            </w:r>
            <w:proofErr w:type="spellEnd"/>
            <w:r w:rsidRPr="00FB0891">
              <w:t xml:space="preserve"> NOS, </w:t>
            </w:r>
            <w:proofErr w:type="spellStart"/>
            <w:r w:rsidRPr="00FB0891">
              <w:t>тромбоцито</w:t>
            </w:r>
            <w:proofErr w:type="spellEnd"/>
            <w:r w:rsidRPr="00FB0891">
              <w:t xml:space="preserve">- пения, </w:t>
            </w:r>
            <w:proofErr w:type="spellStart"/>
            <w:r w:rsidRPr="00FB0891">
              <w:t>лимфопения</w:t>
            </w:r>
            <w:proofErr w:type="spellEnd"/>
          </w:p>
        </w:tc>
        <w:tc>
          <w:tcPr>
            <w:tcW w:w="1326" w:type="dxa"/>
          </w:tcPr>
          <w:p w14:paraId="5D38D822" w14:textId="685614E6" w:rsidR="008F05B3" w:rsidRPr="00FB0891" w:rsidRDefault="008F05B3" w:rsidP="008F05B3">
            <w:r w:rsidRPr="00FB0891">
              <w:t xml:space="preserve">Кръвоизлив, анемия, </w:t>
            </w:r>
            <w:proofErr w:type="spellStart"/>
            <w:r w:rsidRPr="00FB0891">
              <w:t>неутропения</w:t>
            </w:r>
            <w:proofErr w:type="spellEnd"/>
          </w:p>
        </w:tc>
        <w:tc>
          <w:tcPr>
            <w:tcW w:w="1432" w:type="dxa"/>
          </w:tcPr>
          <w:p w14:paraId="68C8664B" w14:textId="496CB517" w:rsidR="008F05B3" w:rsidRPr="00FB0891" w:rsidRDefault="008F05B3" w:rsidP="008F05B3">
            <w:proofErr w:type="spellStart"/>
            <w:r w:rsidRPr="00FB0891">
              <w:t>Панцитопения</w:t>
            </w:r>
            <w:proofErr w:type="spellEnd"/>
          </w:p>
        </w:tc>
        <w:tc>
          <w:tcPr>
            <w:tcW w:w="1411" w:type="dxa"/>
          </w:tcPr>
          <w:p w14:paraId="6B093232" w14:textId="2D8BD666" w:rsidR="008F05B3" w:rsidRPr="00FB0891" w:rsidRDefault="008F05B3" w:rsidP="008F05B3">
            <w:proofErr w:type="spellStart"/>
            <w:r w:rsidRPr="00FB0891">
              <w:t>Костномозъчна</w:t>
            </w:r>
            <w:proofErr w:type="spellEnd"/>
            <w:r w:rsidRPr="00FB0891">
              <w:t xml:space="preserve"> недостатъч</w:t>
            </w:r>
            <w:r w:rsidRPr="00FB0891">
              <w:softHyphen/>
              <w:t>ност</w:t>
            </w:r>
          </w:p>
        </w:tc>
        <w:tc>
          <w:tcPr>
            <w:tcW w:w="1317" w:type="dxa"/>
          </w:tcPr>
          <w:p w14:paraId="5AD79808" w14:textId="4C1561ED" w:rsidR="008F05B3" w:rsidRPr="00FB0891" w:rsidRDefault="008F05B3" w:rsidP="008F05B3">
            <w:r w:rsidRPr="00FB0891">
              <w:t>Хемолиза</w:t>
            </w:r>
          </w:p>
        </w:tc>
        <w:tc>
          <w:tcPr>
            <w:tcW w:w="1264" w:type="dxa"/>
          </w:tcPr>
          <w:p w14:paraId="1BF04C17" w14:textId="77777777" w:rsidR="008F05B3" w:rsidRPr="00FB0891" w:rsidRDefault="008F05B3" w:rsidP="008F05B3"/>
        </w:tc>
      </w:tr>
      <w:tr w:rsidR="008F05B3" w:rsidRPr="00FB0891" w14:paraId="4831036C" w14:textId="77777777" w:rsidTr="008F05B3">
        <w:tc>
          <w:tcPr>
            <w:tcW w:w="1532" w:type="dxa"/>
          </w:tcPr>
          <w:p w14:paraId="64B1131F" w14:textId="6B5A9457" w:rsidR="008F05B3" w:rsidRPr="00FB0891" w:rsidRDefault="008F05B3" w:rsidP="008F05B3">
            <w:r w:rsidRPr="00FB0891">
              <w:t>Нарушения на имунната система</w:t>
            </w:r>
          </w:p>
        </w:tc>
        <w:tc>
          <w:tcPr>
            <w:tcW w:w="1294" w:type="dxa"/>
          </w:tcPr>
          <w:p w14:paraId="78377F46" w14:textId="77777777" w:rsidR="008F05B3" w:rsidRPr="00FB0891" w:rsidRDefault="008F05B3" w:rsidP="008F05B3"/>
        </w:tc>
        <w:tc>
          <w:tcPr>
            <w:tcW w:w="1326" w:type="dxa"/>
          </w:tcPr>
          <w:p w14:paraId="041A99AB" w14:textId="0CF9C63E" w:rsidR="008F05B3" w:rsidRPr="00FB0891" w:rsidRDefault="008F05B3" w:rsidP="008F05B3">
            <w:r w:rsidRPr="00FB0891">
              <w:t>Свръхчувст</w:t>
            </w:r>
            <w:r w:rsidRPr="00FB0891">
              <w:softHyphen/>
              <w:t>вителност NOS</w:t>
            </w:r>
          </w:p>
        </w:tc>
        <w:tc>
          <w:tcPr>
            <w:tcW w:w="1432" w:type="dxa"/>
          </w:tcPr>
          <w:p w14:paraId="0B85E4B4" w14:textId="77777777" w:rsidR="008F05B3" w:rsidRPr="00FB0891" w:rsidRDefault="008F05B3" w:rsidP="008F05B3"/>
        </w:tc>
        <w:tc>
          <w:tcPr>
            <w:tcW w:w="1411" w:type="dxa"/>
          </w:tcPr>
          <w:p w14:paraId="2AA38DFB" w14:textId="10B5A264" w:rsidR="008F05B3" w:rsidRPr="00FB0891" w:rsidRDefault="008F05B3" w:rsidP="008F05B3">
            <w:proofErr w:type="spellStart"/>
            <w:r w:rsidRPr="00FB0891">
              <w:t>Анафилактична</w:t>
            </w:r>
            <w:proofErr w:type="spellEnd"/>
            <w:r w:rsidRPr="00FB0891">
              <w:t xml:space="preserve"> реакция, </w:t>
            </w:r>
            <w:proofErr w:type="spellStart"/>
            <w:r w:rsidRPr="00FB0891">
              <w:t>анафилактоидна</w:t>
            </w:r>
            <w:proofErr w:type="spellEnd"/>
            <w:r w:rsidRPr="00FB0891">
              <w:t xml:space="preserve"> реакция</w:t>
            </w:r>
          </w:p>
        </w:tc>
        <w:tc>
          <w:tcPr>
            <w:tcW w:w="1317" w:type="dxa"/>
          </w:tcPr>
          <w:p w14:paraId="5F8A9FB0" w14:textId="245681ED" w:rsidR="008F05B3" w:rsidRPr="00FB0891" w:rsidRDefault="008F05B3" w:rsidP="008F05B3">
            <w:proofErr w:type="spellStart"/>
            <w:r w:rsidRPr="00FB0891">
              <w:t>Анафилактичен</w:t>
            </w:r>
            <w:proofErr w:type="spellEnd"/>
            <w:r w:rsidRPr="00FB0891">
              <w:t xml:space="preserve"> шок</w:t>
            </w:r>
          </w:p>
        </w:tc>
        <w:tc>
          <w:tcPr>
            <w:tcW w:w="1264" w:type="dxa"/>
          </w:tcPr>
          <w:p w14:paraId="641D040B" w14:textId="77777777" w:rsidR="008F05B3" w:rsidRPr="00FB0891" w:rsidRDefault="008F05B3" w:rsidP="008F05B3"/>
        </w:tc>
      </w:tr>
      <w:tr w:rsidR="008F05B3" w:rsidRPr="00FB0891" w14:paraId="1D7163F6" w14:textId="77777777" w:rsidTr="008F05B3">
        <w:tc>
          <w:tcPr>
            <w:tcW w:w="1532" w:type="dxa"/>
          </w:tcPr>
          <w:p w14:paraId="1B5D0F84" w14:textId="5C96F3D7" w:rsidR="008F05B3" w:rsidRPr="00FB0891" w:rsidRDefault="008F05B3" w:rsidP="008F05B3">
            <w:r w:rsidRPr="00FB0891">
              <w:t>Нарушения на нервната система</w:t>
            </w:r>
          </w:p>
        </w:tc>
        <w:tc>
          <w:tcPr>
            <w:tcW w:w="1294" w:type="dxa"/>
          </w:tcPr>
          <w:p w14:paraId="5C290727" w14:textId="26155A4C" w:rsidR="008F05B3" w:rsidRPr="00FB0891" w:rsidRDefault="008F05B3" w:rsidP="008F05B3">
            <w:r w:rsidRPr="00FB0891">
              <w:t>Главоболие</w:t>
            </w:r>
          </w:p>
        </w:tc>
        <w:tc>
          <w:tcPr>
            <w:tcW w:w="1326" w:type="dxa"/>
          </w:tcPr>
          <w:p w14:paraId="2D0458F5" w14:textId="1C35CB43" w:rsidR="008F05B3" w:rsidRPr="00FB0891" w:rsidRDefault="008F05B3" w:rsidP="008F05B3">
            <w:r w:rsidRPr="00FB0891">
              <w:t>Безсъние, замаяност</w:t>
            </w:r>
          </w:p>
        </w:tc>
        <w:tc>
          <w:tcPr>
            <w:tcW w:w="1432" w:type="dxa"/>
          </w:tcPr>
          <w:p w14:paraId="1AD5772A" w14:textId="77777777" w:rsidR="008F05B3" w:rsidRPr="00FB0891" w:rsidRDefault="008F05B3" w:rsidP="008F05B3"/>
        </w:tc>
        <w:tc>
          <w:tcPr>
            <w:tcW w:w="1411" w:type="dxa"/>
          </w:tcPr>
          <w:p w14:paraId="0A4936AA" w14:textId="56C37EEA" w:rsidR="008F05B3" w:rsidRPr="00FB0891" w:rsidRDefault="008F05B3" w:rsidP="008F05B3">
            <w:r w:rsidRPr="00FB0891">
              <w:t xml:space="preserve">Сънливост, </w:t>
            </w:r>
            <w:proofErr w:type="spellStart"/>
            <w:r w:rsidRPr="00FB0891">
              <w:t>афония</w:t>
            </w:r>
            <w:proofErr w:type="spellEnd"/>
          </w:p>
        </w:tc>
        <w:tc>
          <w:tcPr>
            <w:tcW w:w="1317" w:type="dxa"/>
          </w:tcPr>
          <w:p w14:paraId="35C2D846" w14:textId="49B3C928" w:rsidR="008F05B3" w:rsidRPr="00FB0891" w:rsidRDefault="008F05B3" w:rsidP="008F05B3">
            <w:proofErr w:type="spellStart"/>
            <w:r w:rsidRPr="00FB0891">
              <w:t>Д</w:t>
            </w:r>
            <w:r w:rsidR="00717778">
              <w:t>и</w:t>
            </w:r>
            <w:r w:rsidRPr="00FB0891">
              <w:t>сгеузия</w:t>
            </w:r>
            <w:proofErr w:type="spellEnd"/>
            <w:r w:rsidRPr="00FB0891">
              <w:t xml:space="preserve">, </w:t>
            </w:r>
            <w:proofErr w:type="spellStart"/>
            <w:r w:rsidRPr="00FB0891">
              <w:t>парестезия</w:t>
            </w:r>
            <w:proofErr w:type="spellEnd"/>
            <w:r w:rsidRPr="00FB0891">
              <w:t xml:space="preserve">, периферна сензорна невропатия, </w:t>
            </w:r>
            <w:proofErr w:type="spellStart"/>
            <w:r w:rsidRPr="00FB0891">
              <w:t>антихоли</w:t>
            </w:r>
            <w:proofErr w:type="spellEnd"/>
            <w:r w:rsidRPr="00FB0891">
              <w:t xml:space="preserve">- </w:t>
            </w:r>
            <w:proofErr w:type="spellStart"/>
            <w:r w:rsidRPr="00FB0891">
              <w:t>нергичен</w:t>
            </w:r>
            <w:proofErr w:type="spellEnd"/>
            <w:r w:rsidRPr="00FB0891">
              <w:t xml:space="preserve"> синдром, нев</w:t>
            </w:r>
            <w:r w:rsidRPr="00FB0891">
              <w:softHyphen/>
              <w:t xml:space="preserve">рологични нарушения, </w:t>
            </w:r>
            <w:proofErr w:type="spellStart"/>
            <w:r w:rsidRPr="00FB0891">
              <w:t>атаксия</w:t>
            </w:r>
            <w:proofErr w:type="spellEnd"/>
            <w:r w:rsidRPr="00FB0891">
              <w:t>, енцефалит</w:t>
            </w:r>
          </w:p>
        </w:tc>
        <w:tc>
          <w:tcPr>
            <w:tcW w:w="1264" w:type="dxa"/>
          </w:tcPr>
          <w:p w14:paraId="0EEFB7F8" w14:textId="77777777" w:rsidR="008F05B3" w:rsidRPr="00FB0891" w:rsidRDefault="008F05B3" w:rsidP="008F05B3"/>
        </w:tc>
      </w:tr>
      <w:tr w:rsidR="008F05B3" w:rsidRPr="00FB0891" w14:paraId="04F91985" w14:textId="77777777" w:rsidTr="008F05B3">
        <w:tc>
          <w:tcPr>
            <w:tcW w:w="1532" w:type="dxa"/>
          </w:tcPr>
          <w:p w14:paraId="2214970E" w14:textId="0D1A6EEA" w:rsidR="008F05B3" w:rsidRPr="00FB0891" w:rsidRDefault="008F05B3" w:rsidP="008F05B3">
            <w:r w:rsidRPr="00FB0891">
              <w:t>Сърдечни нарушения</w:t>
            </w:r>
          </w:p>
        </w:tc>
        <w:tc>
          <w:tcPr>
            <w:tcW w:w="1294" w:type="dxa"/>
          </w:tcPr>
          <w:p w14:paraId="0AF3C0E4" w14:textId="77777777" w:rsidR="008F05B3" w:rsidRPr="00FB0891" w:rsidRDefault="008F05B3" w:rsidP="008F05B3"/>
        </w:tc>
        <w:tc>
          <w:tcPr>
            <w:tcW w:w="1326" w:type="dxa"/>
          </w:tcPr>
          <w:p w14:paraId="443BA546" w14:textId="4A1DB95C" w:rsidR="008F05B3" w:rsidRPr="00FB0891" w:rsidRDefault="008F05B3" w:rsidP="008F05B3">
            <w:r w:rsidRPr="00FB0891">
              <w:t xml:space="preserve">Сърдечна дисфункция, като </w:t>
            </w:r>
            <w:proofErr w:type="spellStart"/>
            <w:r w:rsidRPr="00FB0891">
              <w:t>палпитации</w:t>
            </w:r>
            <w:proofErr w:type="spellEnd"/>
            <w:r w:rsidRPr="00FB0891">
              <w:t>, стенокардия, аритмия</w:t>
            </w:r>
          </w:p>
        </w:tc>
        <w:tc>
          <w:tcPr>
            <w:tcW w:w="1432" w:type="dxa"/>
          </w:tcPr>
          <w:p w14:paraId="3F403BFB" w14:textId="715CDAA8" w:rsidR="008F05B3" w:rsidRPr="00FB0891" w:rsidRDefault="008F05B3" w:rsidP="008F05B3">
            <w:proofErr w:type="spellStart"/>
            <w:r w:rsidRPr="00FB0891">
              <w:t>Перикарден</w:t>
            </w:r>
            <w:proofErr w:type="spellEnd"/>
            <w:r w:rsidRPr="00FB0891">
              <w:t xml:space="preserve"> излив, миокарден инфаркт, сърдечна недостатъч</w:t>
            </w:r>
            <w:r w:rsidRPr="00FB0891">
              <w:softHyphen/>
              <w:t>ност</w:t>
            </w:r>
          </w:p>
        </w:tc>
        <w:tc>
          <w:tcPr>
            <w:tcW w:w="1411" w:type="dxa"/>
          </w:tcPr>
          <w:p w14:paraId="1E49E5F3" w14:textId="77777777" w:rsidR="008F05B3" w:rsidRPr="00FB0891" w:rsidRDefault="008F05B3" w:rsidP="008F05B3"/>
        </w:tc>
        <w:tc>
          <w:tcPr>
            <w:tcW w:w="1317" w:type="dxa"/>
          </w:tcPr>
          <w:p w14:paraId="140765FC" w14:textId="123D4FE0" w:rsidR="008F05B3" w:rsidRPr="00FB0891" w:rsidRDefault="008F05B3" w:rsidP="008F05B3">
            <w:r w:rsidRPr="00FB0891">
              <w:t>Тахикардия,</w:t>
            </w:r>
          </w:p>
        </w:tc>
        <w:tc>
          <w:tcPr>
            <w:tcW w:w="1264" w:type="dxa"/>
          </w:tcPr>
          <w:p w14:paraId="7AE02BB1" w14:textId="552E0D21" w:rsidR="008F05B3" w:rsidRPr="00FB0891" w:rsidRDefault="008F05B3" w:rsidP="008F05B3">
            <w:proofErr w:type="spellStart"/>
            <w:r w:rsidRPr="00FB0891">
              <w:t>Предсърдно</w:t>
            </w:r>
            <w:proofErr w:type="spellEnd"/>
            <w:r w:rsidRPr="00FB0891">
              <w:t xml:space="preserve"> мъждене</w:t>
            </w:r>
          </w:p>
        </w:tc>
      </w:tr>
      <w:tr w:rsidR="008F05B3" w:rsidRPr="00FB0891" w14:paraId="003EFF92" w14:textId="77777777" w:rsidTr="008F05B3">
        <w:tc>
          <w:tcPr>
            <w:tcW w:w="1532" w:type="dxa"/>
          </w:tcPr>
          <w:p w14:paraId="6354AC4D" w14:textId="62BA9323" w:rsidR="008F05B3" w:rsidRPr="00FB0891" w:rsidRDefault="008F05B3" w:rsidP="008F05B3">
            <w:r w:rsidRPr="00FB0891">
              <w:t>Съдови нарушения</w:t>
            </w:r>
          </w:p>
        </w:tc>
        <w:tc>
          <w:tcPr>
            <w:tcW w:w="1294" w:type="dxa"/>
          </w:tcPr>
          <w:p w14:paraId="4262ED86" w14:textId="77777777" w:rsidR="008F05B3" w:rsidRPr="00FB0891" w:rsidRDefault="008F05B3" w:rsidP="008F05B3"/>
        </w:tc>
        <w:tc>
          <w:tcPr>
            <w:tcW w:w="1326" w:type="dxa"/>
          </w:tcPr>
          <w:p w14:paraId="683F0891" w14:textId="2AAB91FD" w:rsidR="008F05B3" w:rsidRPr="00FB0891" w:rsidRDefault="008F05B3" w:rsidP="008F05B3">
            <w:r w:rsidRPr="00FB0891">
              <w:t xml:space="preserve">Хипотония, </w:t>
            </w:r>
            <w:r w:rsidRPr="00FB0891">
              <w:lastRenderedPageBreak/>
              <w:t>хипертония</w:t>
            </w:r>
          </w:p>
        </w:tc>
        <w:tc>
          <w:tcPr>
            <w:tcW w:w="1432" w:type="dxa"/>
          </w:tcPr>
          <w:p w14:paraId="5538892D" w14:textId="77777777" w:rsidR="008F05B3" w:rsidRPr="00FB0891" w:rsidRDefault="008F05B3" w:rsidP="008F05B3"/>
        </w:tc>
        <w:tc>
          <w:tcPr>
            <w:tcW w:w="1411" w:type="dxa"/>
          </w:tcPr>
          <w:p w14:paraId="6E1F4436" w14:textId="684E4AE6" w:rsidR="008F05B3" w:rsidRPr="00FB0891" w:rsidRDefault="008F05B3" w:rsidP="008F05B3">
            <w:r w:rsidRPr="00FB0891">
              <w:t xml:space="preserve">Остра </w:t>
            </w:r>
            <w:proofErr w:type="spellStart"/>
            <w:r w:rsidRPr="00FB0891">
              <w:t>циркулатор</w:t>
            </w:r>
            <w:r w:rsidRPr="00FB0891">
              <w:lastRenderedPageBreak/>
              <w:t>на</w:t>
            </w:r>
            <w:proofErr w:type="spellEnd"/>
            <w:r w:rsidRPr="00FB0891">
              <w:t xml:space="preserve"> </w:t>
            </w:r>
            <w:proofErr w:type="spellStart"/>
            <w:r w:rsidRPr="00FB0891">
              <w:t>недостатъч</w:t>
            </w:r>
            <w:proofErr w:type="spellEnd"/>
          </w:p>
          <w:p w14:paraId="74F36FC4" w14:textId="06DC550F" w:rsidR="008F05B3" w:rsidRPr="00FB0891" w:rsidRDefault="008F05B3" w:rsidP="008F05B3">
            <w:proofErr w:type="spellStart"/>
            <w:r w:rsidRPr="004775CC">
              <w:t>ност</w:t>
            </w:r>
            <w:proofErr w:type="spellEnd"/>
          </w:p>
        </w:tc>
        <w:tc>
          <w:tcPr>
            <w:tcW w:w="1317" w:type="dxa"/>
          </w:tcPr>
          <w:p w14:paraId="5C434A78" w14:textId="77777777" w:rsidR="008F05B3" w:rsidRPr="00FB0891" w:rsidRDefault="008F05B3" w:rsidP="008F05B3">
            <w:r w:rsidRPr="00FB0891">
              <w:lastRenderedPageBreak/>
              <w:t>Флебит</w:t>
            </w:r>
          </w:p>
          <w:p w14:paraId="3A13AC0A" w14:textId="77777777" w:rsidR="008F05B3" w:rsidRPr="00FB0891" w:rsidRDefault="008F05B3" w:rsidP="008F05B3"/>
        </w:tc>
        <w:tc>
          <w:tcPr>
            <w:tcW w:w="1264" w:type="dxa"/>
            <w:textDirection w:val="btLr"/>
          </w:tcPr>
          <w:p w14:paraId="1FBBBC99" w14:textId="77777777" w:rsidR="008F05B3" w:rsidRPr="00FB0891" w:rsidRDefault="008F05B3" w:rsidP="008F05B3"/>
        </w:tc>
      </w:tr>
      <w:tr w:rsidR="008F05B3" w:rsidRPr="00FB0891" w14:paraId="5E8A2A9E" w14:textId="77777777" w:rsidTr="008F05B3">
        <w:tc>
          <w:tcPr>
            <w:tcW w:w="1532" w:type="dxa"/>
          </w:tcPr>
          <w:p w14:paraId="0BDF2A2E" w14:textId="5A77F3D3" w:rsidR="008F05B3" w:rsidRPr="00FB0891" w:rsidRDefault="008F05B3" w:rsidP="008F05B3">
            <w:pPr>
              <w:rPr>
                <w:rFonts w:cs="Arial"/>
              </w:rPr>
            </w:pPr>
            <w:r w:rsidRPr="00FB0891">
              <w:rPr>
                <w:rFonts w:cs="Arial"/>
              </w:rPr>
              <w:t xml:space="preserve">Респираторни, гръдни и </w:t>
            </w:r>
            <w:proofErr w:type="spellStart"/>
            <w:r w:rsidRPr="00FB0891">
              <w:rPr>
                <w:rFonts w:cs="Arial"/>
              </w:rPr>
              <w:t>медиастинални</w:t>
            </w:r>
            <w:proofErr w:type="spellEnd"/>
            <w:r w:rsidRPr="00FB0891">
              <w:rPr>
                <w:rFonts w:cs="Arial"/>
              </w:rPr>
              <w:t xml:space="preserve"> нарушения</w:t>
            </w:r>
          </w:p>
        </w:tc>
        <w:tc>
          <w:tcPr>
            <w:tcW w:w="1294" w:type="dxa"/>
          </w:tcPr>
          <w:p w14:paraId="0B61EBA6" w14:textId="77777777" w:rsidR="008F05B3" w:rsidRPr="00FB0891" w:rsidRDefault="008F05B3" w:rsidP="008F05B3">
            <w:pPr>
              <w:rPr>
                <w:rFonts w:cs="Arial"/>
              </w:rPr>
            </w:pPr>
          </w:p>
        </w:tc>
        <w:tc>
          <w:tcPr>
            <w:tcW w:w="1326" w:type="dxa"/>
          </w:tcPr>
          <w:p w14:paraId="469A055A" w14:textId="46D1DD2A" w:rsidR="008F05B3" w:rsidRPr="00FB0891" w:rsidRDefault="008F05B3" w:rsidP="008F05B3">
            <w:pPr>
              <w:rPr>
                <w:rFonts w:cs="Arial"/>
              </w:rPr>
            </w:pPr>
            <w:r w:rsidRPr="00FB0891">
              <w:rPr>
                <w:rFonts w:cs="Arial"/>
              </w:rPr>
              <w:t>Белодробна дисфункция</w:t>
            </w:r>
          </w:p>
        </w:tc>
        <w:tc>
          <w:tcPr>
            <w:tcW w:w="1432" w:type="dxa"/>
          </w:tcPr>
          <w:p w14:paraId="1DCC3846" w14:textId="77777777" w:rsidR="008F05B3" w:rsidRPr="00FB0891" w:rsidRDefault="008F05B3" w:rsidP="008F05B3">
            <w:pPr>
              <w:rPr>
                <w:rFonts w:cs="Arial"/>
              </w:rPr>
            </w:pPr>
          </w:p>
        </w:tc>
        <w:tc>
          <w:tcPr>
            <w:tcW w:w="1411" w:type="dxa"/>
          </w:tcPr>
          <w:p w14:paraId="3E979B90" w14:textId="77777777" w:rsidR="008F05B3" w:rsidRPr="00FB0891" w:rsidRDefault="008F05B3" w:rsidP="008F05B3">
            <w:pPr>
              <w:rPr>
                <w:rFonts w:cs="Arial"/>
              </w:rPr>
            </w:pPr>
          </w:p>
        </w:tc>
        <w:tc>
          <w:tcPr>
            <w:tcW w:w="1317" w:type="dxa"/>
          </w:tcPr>
          <w:p w14:paraId="5937BDC0" w14:textId="7C1E633B" w:rsidR="008F05B3" w:rsidRPr="00FB0891" w:rsidRDefault="008F05B3" w:rsidP="008F05B3">
            <w:pPr>
              <w:rPr>
                <w:rFonts w:cs="Arial"/>
              </w:rPr>
            </w:pPr>
            <w:r w:rsidRPr="00FB0891">
              <w:rPr>
                <w:rFonts w:cs="Arial"/>
              </w:rPr>
              <w:t>Белодробна фиброза</w:t>
            </w:r>
          </w:p>
        </w:tc>
        <w:tc>
          <w:tcPr>
            <w:tcW w:w="1264" w:type="dxa"/>
          </w:tcPr>
          <w:p w14:paraId="4A7751CE" w14:textId="34D1B982" w:rsidR="008F05B3" w:rsidRPr="00FB0891" w:rsidRDefault="008F05B3" w:rsidP="008F05B3">
            <w:pPr>
              <w:rPr>
                <w:rFonts w:cs="Arial"/>
              </w:rPr>
            </w:pPr>
            <w:proofErr w:type="spellStart"/>
            <w:r w:rsidRPr="00FB0891">
              <w:rPr>
                <w:rFonts w:cs="Arial"/>
              </w:rPr>
              <w:t>Пневмонит</w:t>
            </w:r>
            <w:proofErr w:type="spellEnd"/>
            <w:r w:rsidRPr="00FB0891">
              <w:rPr>
                <w:rFonts w:cs="Arial"/>
              </w:rPr>
              <w:t>, белодробен алвеоларен кръвоизлив</w:t>
            </w:r>
          </w:p>
        </w:tc>
      </w:tr>
      <w:tr w:rsidR="008F05B3" w:rsidRPr="00FB0891" w14:paraId="15D8A708" w14:textId="77777777" w:rsidTr="008F05B3">
        <w:tc>
          <w:tcPr>
            <w:tcW w:w="1532" w:type="dxa"/>
          </w:tcPr>
          <w:p w14:paraId="7591E6FB" w14:textId="6CC6796E" w:rsidR="008F05B3" w:rsidRPr="00FB0891" w:rsidRDefault="008F05B3" w:rsidP="008F05B3">
            <w:pPr>
              <w:rPr>
                <w:rFonts w:cs="Arial"/>
              </w:rPr>
            </w:pPr>
            <w:r w:rsidRPr="00FB0891">
              <w:rPr>
                <w:rFonts w:cs="Arial"/>
              </w:rPr>
              <w:t>Стомашно- чревни нарушения</w:t>
            </w:r>
          </w:p>
        </w:tc>
        <w:tc>
          <w:tcPr>
            <w:tcW w:w="1294" w:type="dxa"/>
          </w:tcPr>
          <w:p w14:paraId="7957277D" w14:textId="152D5C90" w:rsidR="008F05B3" w:rsidRPr="00FB0891" w:rsidRDefault="008F05B3" w:rsidP="008F05B3">
            <w:pPr>
              <w:rPr>
                <w:rFonts w:cs="Arial"/>
              </w:rPr>
            </w:pPr>
            <w:r w:rsidRPr="00FB0891">
              <w:rPr>
                <w:rFonts w:cs="Arial"/>
              </w:rPr>
              <w:t>Гадене, повръщане</w:t>
            </w:r>
          </w:p>
        </w:tc>
        <w:tc>
          <w:tcPr>
            <w:tcW w:w="1326" w:type="dxa"/>
          </w:tcPr>
          <w:p w14:paraId="1F92CD70" w14:textId="0844AD7F" w:rsidR="008F05B3" w:rsidRPr="00FB0891" w:rsidRDefault="008F05B3" w:rsidP="008F05B3">
            <w:pPr>
              <w:rPr>
                <w:rFonts w:cs="Arial"/>
              </w:rPr>
            </w:pPr>
            <w:r w:rsidRPr="00FB0891">
              <w:rPr>
                <w:rFonts w:cs="Arial"/>
              </w:rPr>
              <w:t>Диария, запек, стоматит</w:t>
            </w:r>
          </w:p>
        </w:tc>
        <w:tc>
          <w:tcPr>
            <w:tcW w:w="1432" w:type="dxa"/>
          </w:tcPr>
          <w:p w14:paraId="5DE0123C" w14:textId="77777777" w:rsidR="008F05B3" w:rsidRPr="00FB0891" w:rsidRDefault="008F05B3" w:rsidP="008F05B3">
            <w:pPr>
              <w:rPr>
                <w:rFonts w:cs="Arial"/>
              </w:rPr>
            </w:pPr>
          </w:p>
        </w:tc>
        <w:tc>
          <w:tcPr>
            <w:tcW w:w="1411" w:type="dxa"/>
          </w:tcPr>
          <w:p w14:paraId="78286BC0" w14:textId="77777777" w:rsidR="008F05B3" w:rsidRPr="00FB0891" w:rsidRDefault="008F05B3" w:rsidP="008F05B3">
            <w:pPr>
              <w:rPr>
                <w:rFonts w:cs="Arial"/>
              </w:rPr>
            </w:pPr>
          </w:p>
        </w:tc>
        <w:tc>
          <w:tcPr>
            <w:tcW w:w="1317" w:type="dxa"/>
            <w:vAlign w:val="bottom"/>
          </w:tcPr>
          <w:p w14:paraId="41BA8A6E" w14:textId="4DC0A8EB" w:rsidR="008F05B3" w:rsidRPr="00FB0891" w:rsidRDefault="008F05B3" w:rsidP="008F05B3">
            <w:pPr>
              <w:rPr>
                <w:rFonts w:cs="Arial"/>
              </w:rPr>
            </w:pPr>
            <w:r w:rsidRPr="00FB0891">
              <w:rPr>
                <w:rFonts w:cs="Arial"/>
              </w:rPr>
              <w:t xml:space="preserve">Хеморагичен </w:t>
            </w:r>
            <w:proofErr w:type="spellStart"/>
            <w:r w:rsidRPr="00FB0891">
              <w:rPr>
                <w:rFonts w:cs="Arial"/>
              </w:rPr>
              <w:t>езофагит</w:t>
            </w:r>
            <w:proofErr w:type="spellEnd"/>
            <w:r w:rsidRPr="00FB0891">
              <w:rPr>
                <w:rFonts w:cs="Arial"/>
              </w:rPr>
              <w:t>, стомашно- чревен кръвоизлив</w:t>
            </w:r>
          </w:p>
        </w:tc>
        <w:tc>
          <w:tcPr>
            <w:tcW w:w="1264" w:type="dxa"/>
          </w:tcPr>
          <w:p w14:paraId="2C5D642C" w14:textId="77777777" w:rsidR="008F05B3" w:rsidRPr="00FB0891" w:rsidRDefault="008F05B3" w:rsidP="008F05B3">
            <w:pPr>
              <w:rPr>
                <w:rFonts w:cs="Arial"/>
              </w:rPr>
            </w:pPr>
          </w:p>
        </w:tc>
      </w:tr>
      <w:tr w:rsidR="008F05B3" w:rsidRPr="00FB0891" w14:paraId="36C5B11C" w14:textId="77777777" w:rsidTr="008F05B3">
        <w:tc>
          <w:tcPr>
            <w:tcW w:w="1532" w:type="dxa"/>
          </w:tcPr>
          <w:p w14:paraId="338C967A" w14:textId="731D19A8" w:rsidR="008F05B3" w:rsidRPr="00FB0891" w:rsidRDefault="008F05B3" w:rsidP="008F05B3">
            <w:pPr>
              <w:rPr>
                <w:rFonts w:cs="Arial"/>
              </w:rPr>
            </w:pPr>
            <w:r w:rsidRPr="00FB0891">
              <w:rPr>
                <w:rFonts w:cs="Arial"/>
              </w:rPr>
              <w:t>Нарушения на кожата и подкожната тъкан</w:t>
            </w:r>
          </w:p>
        </w:tc>
        <w:tc>
          <w:tcPr>
            <w:tcW w:w="1294" w:type="dxa"/>
          </w:tcPr>
          <w:p w14:paraId="3375A57B" w14:textId="77777777" w:rsidR="008F05B3" w:rsidRPr="00FB0891" w:rsidRDefault="008F05B3" w:rsidP="008F05B3">
            <w:pPr>
              <w:rPr>
                <w:rFonts w:cs="Arial"/>
              </w:rPr>
            </w:pPr>
          </w:p>
        </w:tc>
        <w:tc>
          <w:tcPr>
            <w:tcW w:w="1326" w:type="dxa"/>
          </w:tcPr>
          <w:p w14:paraId="435A2D62" w14:textId="3E6E3D83" w:rsidR="008F05B3" w:rsidRPr="00FB0891" w:rsidRDefault="008F05B3" w:rsidP="008F05B3">
            <w:pPr>
              <w:rPr>
                <w:rFonts w:cs="Arial"/>
              </w:rPr>
            </w:pPr>
            <w:r w:rsidRPr="00FB0891">
              <w:rPr>
                <w:rFonts w:cs="Arial"/>
              </w:rPr>
              <w:t>Алопеция, кожни нарушения NOS*, уртикария</w:t>
            </w:r>
          </w:p>
        </w:tc>
        <w:tc>
          <w:tcPr>
            <w:tcW w:w="1432" w:type="dxa"/>
          </w:tcPr>
          <w:p w14:paraId="758BF04D" w14:textId="77777777" w:rsidR="008F05B3" w:rsidRPr="00FB0891" w:rsidRDefault="008F05B3" w:rsidP="008F05B3">
            <w:pPr>
              <w:rPr>
                <w:rFonts w:cs="Arial"/>
              </w:rPr>
            </w:pPr>
          </w:p>
        </w:tc>
        <w:tc>
          <w:tcPr>
            <w:tcW w:w="1411" w:type="dxa"/>
          </w:tcPr>
          <w:p w14:paraId="148EA2CD" w14:textId="263AB19E" w:rsidR="008F05B3" w:rsidRPr="00FB0891" w:rsidRDefault="008F05B3" w:rsidP="008F05B3">
            <w:pPr>
              <w:rPr>
                <w:rFonts w:cs="Arial"/>
              </w:rPr>
            </w:pPr>
            <w:r w:rsidRPr="00FB0891">
              <w:rPr>
                <w:rFonts w:cs="Arial"/>
              </w:rPr>
              <w:t xml:space="preserve">Еритема, дерматит, </w:t>
            </w:r>
            <w:proofErr w:type="spellStart"/>
            <w:r w:rsidRPr="00FB0891">
              <w:rPr>
                <w:rFonts w:cs="Arial"/>
              </w:rPr>
              <w:t>пруритус</w:t>
            </w:r>
            <w:proofErr w:type="spellEnd"/>
            <w:r w:rsidRPr="00FB0891">
              <w:rPr>
                <w:rFonts w:cs="Arial"/>
              </w:rPr>
              <w:t xml:space="preserve">, </w:t>
            </w:r>
            <w:proofErr w:type="spellStart"/>
            <w:r w:rsidRPr="00FB0891">
              <w:rPr>
                <w:rFonts w:cs="Arial"/>
              </w:rPr>
              <w:t>макуло</w:t>
            </w:r>
            <w:proofErr w:type="spellEnd"/>
            <w:r w:rsidRPr="00FB0891">
              <w:rPr>
                <w:rFonts w:cs="Arial"/>
              </w:rPr>
              <w:t xml:space="preserve">- </w:t>
            </w:r>
            <w:proofErr w:type="spellStart"/>
            <w:r w:rsidRPr="00FB0891">
              <w:rPr>
                <w:rFonts w:cs="Arial"/>
              </w:rPr>
              <w:t>папулозен</w:t>
            </w:r>
            <w:proofErr w:type="spellEnd"/>
            <w:r w:rsidRPr="00FB0891">
              <w:rPr>
                <w:rFonts w:cs="Arial"/>
              </w:rPr>
              <w:t xml:space="preserve"> обрив, </w:t>
            </w:r>
            <w:proofErr w:type="spellStart"/>
            <w:r w:rsidRPr="00FB0891">
              <w:rPr>
                <w:rFonts w:cs="Arial"/>
              </w:rPr>
              <w:t>хиперхидроза</w:t>
            </w:r>
            <w:proofErr w:type="spellEnd"/>
          </w:p>
        </w:tc>
        <w:tc>
          <w:tcPr>
            <w:tcW w:w="1317" w:type="dxa"/>
          </w:tcPr>
          <w:p w14:paraId="3F084A72" w14:textId="77777777" w:rsidR="008F05B3" w:rsidRPr="00FB0891" w:rsidRDefault="008F05B3" w:rsidP="008F05B3">
            <w:pPr>
              <w:rPr>
                <w:rFonts w:cs="Arial"/>
              </w:rPr>
            </w:pPr>
          </w:p>
        </w:tc>
        <w:tc>
          <w:tcPr>
            <w:tcW w:w="1264" w:type="dxa"/>
          </w:tcPr>
          <w:p w14:paraId="3C1CC531" w14:textId="34BCCADF" w:rsidR="008F05B3" w:rsidRPr="00FB0891" w:rsidRDefault="008F05B3" w:rsidP="008F05B3">
            <w:pPr>
              <w:rPr>
                <w:rFonts w:cs="Arial"/>
              </w:rPr>
            </w:pPr>
            <w:r w:rsidRPr="00FB0891">
              <w:rPr>
                <w:rFonts w:cs="Arial"/>
              </w:rPr>
              <w:t xml:space="preserve">Синдром на </w:t>
            </w:r>
            <w:proofErr w:type="spellStart"/>
            <w:r w:rsidRPr="00FB0891">
              <w:rPr>
                <w:rFonts w:cs="Arial"/>
              </w:rPr>
              <w:t>Stevens</w:t>
            </w:r>
            <w:proofErr w:type="spellEnd"/>
            <w:r w:rsidRPr="00FB0891">
              <w:rPr>
                <w:rFonts w:cs="Arial"/>
              </w:rPr>
              <w:t xml:space="preserve">-Johnson, токсична епидермална </w:t>
            </w:r>
            <w:proofErr w:type="spellStart"/>
            <w:r w:rsidRPr="00FB0891">
              <w:rPr>
                <w:rFonts w:cs="Arial"/>
              </w:rPr>
              <w:t>некролиза</w:t>
            </w:r>
            <w:proofErr w:type="spellEnd"/>
            <w:r w:rsidRPr="00FB0891">
              <w:rPr>
                <w:rFonts w:cs="Arial"/>
              </w:rPr>
              <w:t xml:space="preserve"> (TEN), лекарствена реакция с </w:t>
            </w:r>
            <w:proofErr w:type="spellStart"/>
            <w:r w:rsidRPr="00FB0891">
              <w:rPr>
                <w:rFonts w:cs="Arial"/>
              </w:rPr>
              <w:t>еозинофилия</w:t>
            </w:r>
            <w:proofErr w:type="spellEnd"/>
            <w:r w:rsidRPr="00FB0891">
              <w:rPr>
                <w:rFonts w:cs="Arial"/>
              </w:rPr>
              <w:t xml:space="preserve"> и системни симптоми (DRESS)*</w:t>
            </w:r>
          </w:p>
        </w:tc>
      </w:tr>
      <w:tr w:rsidR="008F05B3" w:rsidRPr="00FB0891" w14:paraId="741578E1" w14:textId="77777777" w:rsidTr="00811B4E">
        <w:tc>
          <w:tcPr>
            <w:tcW w:w="1532" w:type="dxa"/>
            <w:vAlign w:val="bottom"/>
          </w:tcPr>
          <w:p w14:paraId="59283D83" w14:textId="360DDDA4" w:rsidR="008F05B3" w:rsidRPr="00FB0891" w:rsidRDefault="008F05B3" w:rsidP="008F05B3">
            <w:pPr>
              <w:rPr>
                <w:rFonts w:cs="Arial"/>
              </w:rPr>
            </w:pPr>
            <w:r w:rsidRPr="00FB0891">
              <w:rPr>
                <w:rFonts w:cs="Arial"/>
              </w:rPr>
              <w:t>Нарушения на репродуктив</w:t>
            </w:r>
            <w:r w:rsidRPr="00FB0891">
              <w:rPr>
                <w:rFonts w:cs="Arial"/>
              </w:rPr>
              <w:softHyphen/>
              <w:t>ната система и гърдата</w:t>
            </w:r>
          </w:p>
        </w:tc>
        <w:tc>
          <w:tcPr>
            <w:tcW w:w="1294" w:type="dxa"/>
          </w:tcPr>
          <w:p w14:paraId="77CCA939" w14:textId="77777777" w:rsidR="008F05B3" w:rsidRPr="00FB0891" w:rsidRDefault="008F05B3" w:rsidP="008F05B3">
            <w:pPr>
              <w:rPr>
                <w:rFonts w:cs="Arial"/>
              </w:rPr>
            </w:pPr>
          </w:p>
        </w:tc>
        <w:tc>
          <w:tcPr>
            <w:tcW w:w="1326" w:type="dxa"/>
          </w:tcPr>
          <w:p w14:paraId="0184D95C" w14:textId="4CFCBEA9" w:rsidR="008F05B3" w:rsidRPr="00FB0891" w:rsidRDefault="008F05B3" w:rsidP="008F05B3">
            <w:pPr>
              <w:rPr>
                <w:rFonts w:cs="Arial"/>
              </w:rPr>
            </w:pPr>
            <w:proofErr w:type="spellStart"/>
            <w:r w:rsidRPr="00FB0891">
              <w:rPr>
                <w:rFonts w:cs="Arial"/>
              </w:rPr>
              <w:t>Аменорея</w:t>
            </w:r>
            <w:proofErr w:type="spellEnd"/>
          </w:p>
        </w:tc>
        <w:tc>
          <w:tcPr>
            <w:tcW w:w="1432" w:type="dxa"/>
          </w:tcPr>
          <w:p w14:paraId="60935664" w14:textId="77777777" w:rsidR="008F05B3" w:rsidRPr="00FB0891" w:rsidRDefault="008F05B3" w:rsidP="008F05B3">
            <w:pPr>
              <w:rPr>
                <w:rFonts w:cs="Arial"/>
              </w:rPr>
            </w:pPr>
          </w:p>
        </w:tc>
        <w:tc>
          <w:tcPr>
            <w:tcW w:w="1411" w:type="dxa"/>
          </w:tcPr>
          <w:p w14:paraId="0F662E79" w14:textId="77777777" w:rsidR="008F05B3" w:rsidRPr="00FB0891" w:rsidRDefault="008F05B3" w:rsidP="008F05B3">
            <w:pPr>
              <w:rPr>
                <w:rFonts w:cs="Arial"/>
              </w:rPr>
            </w:pPr>
          </w:p>
        </w:tc>
        <w:tc>
          <w:tcPr>
            <w:tcW w:w="1317" w:type="dxa"/>
          </w:tcPr>
          <w:p w14:paraId="5E11855D" w14:textId="172B2A52" w:rsidR="008F05B3" w:rsidRPr="00FB0891" w:rsidRDefault="008F05B3" w:rsidP="008F05B3">
            <w:pPr>
              <w:rPr>
                <w:rFonts w:cs="Arial"/>
              </w:rPr>
            </w:pPr>
            <w:r w:rsidRPr="00FB0891">
              <w:rPr>
                <w:rFonts w:cs="Arial"/>
              </w:rPr>
              <w:t>Стерилитет</w:t>
            </w:r>
          </w:p>
        </w:tc>
        <w:tc>
          <w:tcPr>
            <w:tcW w:w="1264" w:type="dxa"/>
          </w:tcPr>
          <w:p w14:paraId="61361D78" w14:textId="77777777" w:rsidR="008F05B3" w:rsidRPr="00FB0891" w:rsidRDefault="008F05B3" w:rsidP="008F05B3">
            <w:pPr>
              <w:rPr>
                <w:rFonts w:cs="Arial"/>
              </w:rPr>
            </w:pPr>
          </w:p>
        </w:tc>
      </w:tr>
      <w:tr w:rsidR="008F05B3" w:rsidRPr="00FB0891" w14:paraId="7B815D13" w14:textId="77777777" w:rsidTr="00811B4E">
        <w:tc>
          <w:tcPr>
            <w:tcW w:w="1532" w:type="dxa"/>
            <w:vAlign w:val="bottom"/>
          </w:tcPr>
          <w:p w14:paraId="76CB4C57" w14:textId="6E0345DB" w:rsidR="008F05B3" w:rsidRPr="00FB0891" w:rsidRDefault="008F05B3" w:rsidP="008F05B3">
            <w:pPr>
              <w:rPr>
                <w:rFonts w:cs="Arial"/>
              </w:rPr>
            </w:pPr>
            <w:r w:rsidRPr="00FB0891">
              <w:rPr>
                <w:rFonts w:cs="Arial"/>
              </w:rPr>
              <w:t>Нарушения на бъбреците и пикочните пътища</w:t>
            </w:r>
          </w:p>
        </w:tc>
        <w:tc>
          <w:tcPr>
            <w:tcW w:w="1294" w:type="dxa"/>
          </w:tcPr>
          <w:p w14:paraId="703CA881" w14:textId="77777777" w:rsidR="008F05B3" w:rsidRPr="00FB0891" w:rsidRDefault="008F05B3" w:rsidP="008F05B3">
            <w:pPr>
              <w:rPr>
                <w:rFonts w:cs="Arial"/>
              </w:rPr>
            </w:pPr>
          </w:p>
        </w:tc>
        <w:tc>
          <w:tcPr>
            <w:tcW w:w="1326" w:type="dxa"/>
          </w:tcPr>
          <w:p w14:paraId="6219434A" w14:textId="77777777" w:rsidR="008F05B3" w:rsidRPr="00FB0891" w:rsidRDefault="008F05B3" w:rsidP="008F05B3">
            <w:pPr>
              <w:rPr>
                <w:rFonts w:cs="Arial"/>
              </w:rPr>
            </w:pPr>
          </w:p>
        </w:tc>
        <w:tc>
          <w:tcPr>
            <w:tcW w:w="1432" w:type="dxa"/>
          </w:tcPr>
          <w:p w14:paraId="7E375368" w14:textId="77777777" w:rsidR="008F05B3" w:rsidRPr="00FB0891" w:rsidRDefault="008F05B3" w:rsidP="008F05B3">
            <w:pPr>
              <w:rPr>
                <w:rFonts w:cs="Arial"/>
              </w:rPr>
            </w:pPr>
          </w:p>
        </w:tc>
        <w:tc>
          <w:tcPr>
            <w:tcW w:w="1411" w:type="dxa"/>
          </w:tcPr>
          <w:p w14:paraId="2B87C1B5" w14:textId="77777777" w:rsidR="008F05B3" w:rsidRPr="00FB0891" w:rsidRDefault="008F05B3" w:rsidP="008F05B3">
            <w:pPr>
              <w:rPr>
                <w:rFonts w:cs="Arial"/>
              </w:rPr>
            </w:pPr>
          </w:p>
        </w:tc>
        <w:tc>
          <w:tcPr>
            <w:tcW w:w="1317" w:type="dxa"/>
          </w:tcPr>
          <w:p w14:paraId="121EF939" w14:textId="77777777" w:rsidR="008F05B3" w:rsidRPr="00FB0891" w:rsidRDefault="008F05B3" w:rsidP="008F05B3">
            <w:pPr>
              <w:rPr>
                <w:rFonts w:cs="Arial"/>
              </w:rPr>
            </w:pPr>
          </w:p>
        </w:tc>
        <w:tc>
          <w:tcPr>
            <w:tcW w:w="1264" w:type="dxa"/>
          </w:tcPr>
          <w:p w14:paraId="494BC996" w14:textId="0E9BD9FF" w:rsidR="008F05B3" w:rsidRPr="00FB0891" w:rsidRDefault="008F05B3" w:rsidP="008F05B3">
            <w:pPr>
              <w:rPr>
                <w:rFonts w:cs="Arial"/>
              </w:rPr>
            </w:pPr>
            <w:r w:rsidRPr="00FB0891">
              <w:rPr>
                <w:rFonts w:cs="Arial"/>
              </w:rPr>
              <w:t>Бъбречна недостатъчност</w:t>
            </w:r>
          </w:p>
        </w:tc>
      </w:tr>
      <w:tr w:rsidR="008F05B3" w:rsidRPr="00FB0891" w14:paraId="59758CC6" w14:textId="77777777" w:rsidTr="00811B4E">
        <w:tc>
          <w:tcPr>
            <w:tcW w:w="1532" w:type="dxa"/>
            <w:vAlign w:val="bottom"/>
          </w:tcPr>
          <w:p w14:paraId="2CDC9D16" w14:textId="0C06D3CC" w:rsidR="008F05B3" w:rsidRPr="00FB0891" w:rsidRDefault="008F05B3" w:rsidP="008F05B3">
            <w:pPr>
              <w:rPr>
                <w:rFonts w:cs="Arial"/>
              </w:rPr>
            </w:pPr>
            <w:proofErr w:type="spellStart"/>
            <w:r w:rsidRPr="00FB0891">
              <w:rPr>
                <w:rFonts w:cs="Arial"/>
              </w:rPr>
              <w:lastRenderedPageBreak/>
              <w:t>Хепатобилиарни</w:t>
            </w:r>
            <w:proofErr w:type="spellEnd"/>
            <w:r w:rsidRPr="00FB0891">
              <w:rPr>
                <w:rFonts w:cs="Arial"/>
              </w:rPr>
              <w:t xml:space="preserve"> нарушения</w:t>
            </w:r>
          </w:p>
        </w:tc>
        <w:tc>
          <w:tcPr>
            <w:tcW w:w="1294" w:type="dxa"/>
          </w:tcPr>
          <w:p w14:paraId="26832026" w14:textId="77777777" w:rsidR="008F05B3" w:rsidRPr="00FB0891" w:rsidRDefault="008F05B3" w:rsidP="008F05B3">
            <w:pPr>
              <w:rPr>
                <w:rFonts w:cs="Arial"/>
              </w:rPr>
            </w:pPr>
          </w:p>
        </w:tc>
        <w:tc>
          <w:tcPr>
            <w:tcW w:w="1326" w:type="dxa"/>
          </w:tcPr>
          <w:p w14:paraId="0F750C67" w14:textId="77777777" w:rsidR="008F05B3" w:rsidRPr="00FB0891" w:rsidRDefault="008F05B3" w:rsidP="008F05B3">
            <w:pPr>
              <w:rPr>
                <w:rFonts w:cs="Arial"/>
              </w:rPr>
            </w:pPr>
          </w:p>
        </w:tc>
        <w:tc>
          <w:tcPr>
            <w:tcW w:w="1432" w:type="dxa"/>
          </w:tcPr>
          <w:p w14:paraId="1869808B" w14:textId="77777777" w:rsidR="008F05B3" w:rsidRPr="00FB0891" w:rsidRDefault="008F05B3" w:rsidP="008F05B3">
            <w:pPr>
              <w:rPr>
                <w:rFonts w:cs="Arial"/>
              </w:rPr>
            </w:pPr>
          </w:p>
        </w:tc>
        <w:tc>
          <w:tcPr>
            <w:tcW w:w="1411" w:type="dxa"/>
          </w:tcPr>
          <w:p w14:paraId="22752605" w14:textId="77777777" w:rsidR="008F05B3" w:rsidRPr="00FB0891" w:rsidRDefault="008F05B3" w:rsidP="008F05B3">
            <w:pPr>
              <w:rPr>
                <w:rFonts w:cs="Arial"/>
              </w:rPr>
            </w:pPr>
          </w:p>
        </w:tc>
        <w:tc>
          <w:tcPr>
            <w:tcW w:w="1317" w:type="dxa"/>
          </w:tcPr>
          <w:p w14:paraId="03405946" w14:textId="77777777" w:rsidR="008F05B3" w:rsidRPr="00FB0891" w:rsidRDefault="008F05B3" w:rsidP="008F05B3">
            <w:pPr>
              <w:rPr>
                <w:rFonts w:cs="Arial"/>
              </w:rPr>
            </w:pPr>
          </w:p>
        </w:tc>
        <w:tc>
          <w:tcPr>
            <w:tcW w:w="1264" w:type="dxa"/>
            <w:vAlign w:val="bottom"/>
          </w:tcPr>
          <w:p w14:paraId="56AD8288" w14:textId="7CF7E982" w:rsidR="008F05B3" w:rsidRPr="00FB0891" w:rsidRDefault="008F05B3" w:rsidP="008F05B3">
            <w:pPr>
              <w:rPr>
                <w:rFonts w:cs="Arial"/>
              </w:rPr>
            </w:pPr>
            <w:r w:rsidRPr="00FB0891">
              <w:rPr>
                <w:rFonts w:cs="Arial"/>
              </w:rPr>
              <w:t>Чернодробна недостатъчност</w:t>
            </w:r>
          </w:p>
        </w:tc>
      </w:tr>
      <w:tr w:rsidR="008F05B3" w:rsidRPr="00FB0891" w14:paraId="157BE4F6" w14:textId="77777777" w:rsidTr="00811B4E">
        <w:tc>
          <w:tcPr>
            <w:tcW w:w="1532" w:type="dxa"/>
            <w:vAlign w:val="bottom"/>
          </w:tcPr>
          <w:p w14:paraId="0DA671F5" w14:textId="4DC62D77" w:rsidR="008F05B3" w:rsidRPr="00FB0891" w:rsidRDefault="008F05B3" w:rsidP="008F05B3">
            <w:pPr>
              <w:rPr>
                <w:rFonts w:cs="Arial"/>
              </w:rPr>
            </w:pPr>
            <w:r w:rsidRPr="00FB0891">
              <w:rPr>
                <w:rFonts w:cs="Arial"/>
              </w:rPr>
              <w:t>Общи нарушения и ефекти на мястото на приложение</w:t>
            </w:r>
          </w:p>
        </w:tc>
        <w:tc>
          <w:tcPr>
            <w:tcW w:w="1294" w:type="dxa"/>
            <w:vAlign w:val="bottom"/>
          </w:tcPr>
          <w:p w14:paraId="456E784E" w14:textId="46CB1734" w:rsidR="008F05B3" w:rsidRPr="00FB0891" w:rsidRDefault="008F05B3" w:rsidP="008F05B3">
            <w:pPr>
              <w:rPr>
                <w:rFonts w:cs="Arial"/>
              </w:rPr>
            </w:pPr>
            <w:r w:rsidRPr="00FB0891">
              <w:rPr>
                <w:rFonts w:cs="Arial"/>
              </w:rPr>
              <w:t xml:space="preserve">Възпаление на лигавиците, умора, </w:t>
            </w:r>
            <w:proofErr w:type="spellStart"/>
            <w:r w:rsidRPr="00FB0891">
              <w:rPr>
                <w:rFonts w:cs="Arial"/>
              </w:rPr>
              <w:t>пирексия</w:t>
            </w:r>
            <w:proofErr w:type="spellEnd"/>
          </w:p>
        </w:tc>
        <w:tc>
          <w:tcPr>
            <w:tcW w:w="1326" w:type="dxa"/>
          </w:tcPr>
          <w:p w14:paraId="3A0A19EF" w14:textId="78461215" w:rsidR="008F05B3" w:rsidRPr="00FB0891" w:rsidRDefault="008F05B3" w:rsidP="008F05B3">
            <w:pPr>
              <w:rPr>
                <w:rFonts w:cs="Arial"/>
              </w:rPr>
            </w:pPr>
            <w:r w:rsidRPr="00FB0891">
              <w:rPr>
                <w:rFonts w:cs="Arial"/>
              </w:rPr>
              <w:t>Болка, втрисане, дехидратация, анорексия</w:t>
            </w:r>
          </w:p>
        </w:tc>
        <w:tc>
          <w:tcPr>
            <w:tcW w:w="1432" w:type="dxa"/>
          </w:tcPr>
          <w:p w14:paraId="3091B83F" w14:textId="77777777" w:rsidR="008F05B3" w:rsidRPr="00FB0891" w:rsidRDefault="008F05B3" w:rsidP="008F05B3">
            <w:pPr>
              <w:rPr>
                <w:rFonts w:cs="Arial"/>
              </w:rPr>
            </w:pPr>
          </w:p>
        </w:tc>
        <w:tc>
          <w:tcPr>
            <w:tcW w:w="1411" w:type="dxa"/>
          </w:tcPr>
          <w:p w14:paraId="61561B3B" w14:textId="77777777" w:rsidR="008F05B3" w:rsidRPr="00FB0891" w:rsidRDefault="008F05B3" w:rsidP="008F05B3">
            <w:pPr>
              <w:rPr>
                <w:rFonts w:cs="Arial"/>
              </w:rPr>
            </w:pPr>
          </w:p>
        </w:tc>
        <w:tc>
          <w:tcPr>
            <w:tcW w:w="1317" w:type="dxa"/>
          </w:tcPr>
          <w:p w14:paraId="3F5F982D" w14:textId="3330BAEC" w:rsidR="008F05B3" w:rsidRPr="00FB0891" w:rsidRDefault="008F05B3" w:rsidP="008F05B3">
            <w:pPr>
              <w:rPr>
                <w:rFonts w:cs="Arial"/>
              </w:rPr>
            </w:pPr>
            <w:proofErr w:type="spellStart"/>
            <w:r w:rsidRPr="00FB0891">
              <w:rPr>
                <w:rFonts w:cs="Arial"/>
              </w:rPr>
              <w:t>Полиорганна</w:t>
            </w:r>
            <w:proofErr w:type="spellEnd"/>
            <w:r w:rsidRPr="00FB0891">
              <w:rPr>
                <w:rFonts w:cs="Arial"/>
              </w:rPr>
              <w:t xml:space="preserve"> недостатъч</w:t>
            </w:r>
            <w:r w:rsidRPr="00FB0891">
              <w:rPr>
                <w:rFonts w:cs="Arial"/>
              </w:rPr>
              <w:softHyphen/>
              <w:t>ност</w:t>
            </w:r>
          </w:p>
        </w:tc>
        <w:tc>
          <w:tcPr>
            <w:tcW w:w="1264" w:type="dxa"/>
          </w:tcPr>
          <w:p w14:paraId="515DC5D9" w14:textId="77777777" w:rsidR="008F05B3" w:rsidRPr="00FB0891" w:rsidRDefault="008F05B3" w:rsidP="008F05B3">
            <w:pPr>
              <w:rPr>
                <w:rFonts w:cs="Arial"/>
              </w:rPr>
            </w:pPr>
          </w:p>
        </w:tc>
      </w:tr>
      <w:tr w:rsidR="008F05B3" w:rsidRPr="00FB0891" w14:paraId="0E1D4283" w14:textId="77777777" w:rsidTr="00811B4E">
        <w:tc>
          <w:tcPr>
            <w:tcW w:w="1532" w:type="dxa"/>
          </w:tcPr>
          <w:p w14:paraId="4D0B5DA6" w14:textId="6F7FBCFC" w:rsidR="008F05B3" w:rsidRPr="00FB0891" w:rsidRDefault="008F05B3" w:rsidP="008F05B3">
            <w:pPr>
              <w:rPr>
                <w:rFonts w:cs="Arial"/>
              </w:rPr>
            </w:pPr>
            <w:r w:rsidRPr="00FB0891">
              <w:rPr>
                <w:rFonts w:cs="Arial"/>
              </w:rPr>
              <w:t>Изследвания</w:t>
            </w:r>
          </w:p>
        </w:tc>
        <w:tc>
          <w:tcPr>
            <w:tcW w:w="1294" w:type="dxa"/>
          </w:tcPr>
          <w:p w14:paraId="4814908E" w14:textId="01F37311" w:rsidR="008F05B3" w:rsidRPr="00FB0891" w:rsidRDefault="003A059D" w:rsidP="008F05B3">
            <w:pPr>
              <w:rPr>
                <w:rFonts w:cs="Arial"/>
              </w:rPr>
            </w:pPr>
            <w:r w:rsidRPr="00FB0891">
              <w:rPr>
                <w:rFonts w:cs="Arial"/>
              </w:rPr>
              <w:t>Понижаване</w:t>
            </w:r>
            <w:r w:rsidR="008F05B3" w:rsidRPr="00FB0891">
              <w:rPr>
                <w:rFonts w:cs="Arial"/>
              </w:rPr>
              <w:t xml:space="preserve"> на хемоглобина, </w:t>
            </w:r>
            <w:r w:rsidRPr="00FB0891">
              <w:rPr>
                <w:rFonts w:cs="Arial"/>
              </w:rPr>
              <w:t xml:space="preserve">повишение на </w:t>
            </w:r>
            <w:proofErr w:type="spellStart"/>
            <w:r w:rsidRPr="00FB0891">
              <w:rPr>
                <w:rFonts w:cs="Arial"/>
              </w:rPr>
              <w:t>креатинина</w:t>
            </w:r>
            <w:proofErr w:type="spellEnd"/>
            <w:r w:rsidRPr="00FB0891">
              <w:rPr>
                <w:rFonts w:cs="Arial"/>
              </w:rPr>
              <w:t>, повишение</w:t>
            </w:r>
            <w:r w:rsidR="008F05B3" w:rsidRPr="00FB0891">
              <w:rPr>
                <w:rFonts w:cs="Arial"/>
              </w:rPr>
              <w:t xml:space="preserve"> на уреята</w:t>
            </w:r>
          </w:p>
        </w:tc>
        <w:tc>
          <w:tcPr>
            <w:tcW w:w="1326" w:type="dxa"/>
            <w:vAlign w:val="bottom"/>
          </w:tcPr>
          <w:p w14:paraId="57FA7CF6" w14:textId="038CA631" w:rsidR="008F05B3" w:rsidRPr="00FB0891" w:rsidRDefault="003A059D" w:rsidP="008F05B3">
            <w:pPr>
              <w:rPr>
                <w:rFonts w:cs="Arial"/>
              </w:rPr>
            </w:pPr>
            <w:r w:rsidRPr="00FB0891">
              <w:rPr>
                <w:rFonts w:cs="Arial"/>
              </w:rPr>
              <w:t>Повишение</w:t>
            </w:r>
            <w:r w:rsidR="008F05B3" w:rsidRPr="00FB0891">
              <w:rPr>
                <w:rFonts w:cs="Arial"/>
              </w:rPr>
              <w:t xml:space="preserve"> на AST, </w:t>
            </w:r>
            <w:r w:rsidRPr="00FB0891">
              <w:rPr>
                <w:rFonts w:cs="Arial"/>
              </w:rPr>
              <w:t>повишение</w:t>
            </w:r>
            <w:r w:rsidR="008F05B3" w:rsidRPr="00FB0891">
              <w:rPr>
                <w:rFonts w:cs="Arial"/>
              </w:rPr>
              <w:t xml:space="preserve"> на ALT, </w:t>
            </w:r>
            <w:r w:rsidRPr="00FB0891">
              <w:rPr>
                <w:rFonts w:cs="Arial"/>
              </w:rPr>
              <w:t>повишение</w:t>
            </w:r>
            <w:r w:rsidR="008F05B3" w:rsidRPr="00FB0891">
              <w:rPr>
                <w:rFonts w:cs="Arial"/>
              </w:rPr>
              <w:t xml:space="preserve"> на</w:t>
            </w:r>
            <w:r w:rsidRPr="00FB0891">
              <w:rPr>
                <w:rFonts w:cs="Arial"/>
              </w:rPr>
              <w:t xml:space="preserve"> алкалната </w:t>
            </w:r>
            <w:proofErr w:type="spellStart"/>
            <w:r w:rsidRPr="00FB0891">
              <w:rPr>
                <w:rFonts w:cs="Arial"/>
              </w:rPr>
              <w:t>фосфатаза</w:t>
            </w:r>
            <w:proofErr w:type="spellEnd"/>
            <w:r w:rsidRPr="00FB0891">
              <w:rPr>
                <w:rFonts w:cs="Arial"/>
              </w:rPr>
              <w:t>, повишение</w:t>
            </w:r>
            <w:r w:rsidR="008F05B3" w:rsidRPr="00FB0891">
              <w:rPr>
                <w:rFonts w:cs="Arial"/>
              </w:rPr>
              <w:t xml:space="preserve"> на </w:t>
            </w:r>
            <w:proofErr w:type="spellStart"/>
            <w:r w:rsidR="008F05B3" w:rsidRPr="00FB0891">
              <w:rPr>
                <w:rFonts w:cs="Arial"/>
              </w:rPr>
              <w:t>билирубина</w:t>
            </w:r>
            <w:proofErr w:type="spellEnd"/>
            <w:r w:rsidR="008F05B3" w:rsidRPr="00FB0891">
              <w:rPr>
                <w:rFonts w:cs="Arial"/>
              </w:rPr>
              <w:t>, хипокалиемия</w:t>
            </w:r>
          </w:p>
        </w:tc>
        <w:tc>
          <w:tcPr>
            <w:tcW w:w="1432" w:type="dxa"/>
          </w:tcPr>
          <w:p w14:paraId="3F98E05B" w14:textId="77777777" w:rsidR="008F05B3" w:rsidRPr="00FB0891" w:rsidRDefault="008F05B3" w:rsidP="008F05B3">
            <w:pPr>
              <w:rPr>
                <w:rFonts w:cs="Arial"/>
              </w:rPr>
            </w:pPr>
          </w:p>
        </w:tc>
        <w:tc>
          <w:tcPr>
            <w:tcW w:w="1411" w:type="dxa"/>
          </w:tcPr>
          <w:p w14:paraId="66E3C79E" w14:textId="77777777" w:rsidR="008F05B3" w:rsidRPr="00FB0891" w:rsidRDefault="008F05B3" w:rsidP="008F05B3">
            <w:pPr>
              <w:rPr>
                <w:rFonts w:cs="Arial"/>
              </w:rPr>
            </w:pPr>
          </w:p>
        </w:tc>
        <w:tc>
          <w:tcPr>
            <w:tcW w:w="1317" w:type="dxa"/>
          </w:tcPr>
          <w:p w14:paraId="4B6DD9F4" w14:textId="77777777" w:rsidR="008F05B3" w:rsidRPr="00FB0891" w:rsidRDefault="008F05B3" w:rsidP="008F05B3">
            <w:pPr>
              <w:rPr>
                <w:rFonts w:cs="Arial"/>
              </w:rPr>
            </w:pPr>
          </w:p>
        </w:tc>
        <w:tc>
          <w:tcPr>
            <w:tcW w:w="1264" w:type="dxa"/>
          </w:tcPr>
          <w:p w14:paraId="504F5283" w14:textId="77777777" w:rsidR="008F05B3" w:rsidRPr="00FB0891" w:rsidRDefault="008F05B3" w:rsidP="008F05B3">
            <w:pPr>
              <w:rPr>
                <w:rFonts w:cs="Arial"/>
              </w:rPr>
            </w:pPr>
          </w:p>
        </w:tc>
      </w:tr>
    </w:tbl>
    <w:p w14:paraId="144194C4" w14:textId="11A31E33" w:rsidR="008F05B3" w:rsidRPr="00FB0891" w:rsidRDefault="008F05B3" w:rsidP="0091385D"/>
    <w:p w14:paraId="36FCC9C3" w14:textId="77777777" w:rsidR="008F05B3" w:rsidRPr="00FB0891" w:rsidRDefault="008F05B3" w:rsidP="0091385D">
      <w:pPr>
        <w:rPr>
          <w:szCs w:val="20"/>
        </w:rPr>
      </w:pPr>
      <w:r w:rsidRPr="00FB0891">
        <w:rPr>
          <w:szCs w:val="20"/>
        </w:rPr>
        <w:t>NOS - неопределени (</w:t>
      </w:r>
      <w:proofErr w:type="spellStart"/>
      <w:r w:rsidRPr="00FB0891">
        <w:rPr>
          <w:szCs w:val="20"/>
        </w:rPr>
        <w:t>not</w:t>
      </w:r>
      <w:proofErr w:type="spellEnd"/>
      <w:r w:rsidRPr="00FB0891">
        <w:rPr>
          <w:szCs w:val="20"/>
        </w:rPr>
        <w:t xml:space="preserve"> </w:t>
      </w:r>
      <w:proofErr w:type="spellStart"/>
      <w:r w:rsidRPr="00FB0891">
        <w:rPr>
          <w:szCs w:val="20"/>
        </w:rPr>
        <w:t>otherwise</w:t>
      </w:r>
      <w:proofErr w:type="spellEnd"/>
      <w:r w:rsidRPr="00FB0891">
        <w:rPr>
          <w:szCs w:val="20"/>
        </w:rPr>
        <w:t xml:space="preserve"> </w:t>
      </w:r>
      <w:proofErr w:type="spellStart"/>
      <w:r w:rsidRPr="00FB0891">
        <w:rPr>
          <w:szCs w:val="20"/>
        </w:rPr>
        <w:t>specified</w:t>
      </w:r>
      <w:proofErr w:type="spellEnd"/>
      <w:r w:rsidRPr="00FB0891">
        <w:rPr>
          <w:szCs w:val="20"/>
        </w:rPr>
        <w:t xml:space="preserve">) </w:t>
      </w:r>
    </w:p>
    <w:p w14:paraId="39CA4426" w14:textId="70E5B279" w:rsidR="008F05B3" w:rsidRPr="00FB0891" w:rsidRDefault="008F05B3" w:rsidP="0091385D">
      <w:pPr>
        <w:rPr>
          <w:sz w:val="24"/>
        </w:rPr>
      </w:pPr>
      <w:r w:rsidRPr="00FB0891">
        <w:rPr>
          <w:szCs w:val="20"/>
        </w:rPr>
        <w:t xml:space="preserve">(*= комбинирана терапия c </w:t>
      </w:r>
      <w:proofErr w:type="spellStart"/>
      <w:r w:rsidRPr="00FB0891">
        <w:rPr>
          <w:szCs w:val="20"/>
        </w:rPr>
        <w:t>ритуксимаб</w:t>
      </w:r>
      <w:proofErr w:type="spellEnd"/>
      <w:r w:rsidRPr="00FB0891">
        <w:rPr>
          <w:szCs w:val="20"/>
        </w:rPr>
        <w:t>)</w:t>
      </w:r>
    </w:p>
    <w:p w14:paraId="78F31F51" w14:textId="1AD516C8" w:rsidR="008F05B3" w:rsidRPr="00FB0891" w:rsidRDefault="008F05B3" w:rsidP="0091385D"/>
    <w:p w14:paraId="0395B37A" w14:textId="77777777" w:rsidR="008F05B3" w:rsidRPr="00FB0891" w:rsidRDefault="008F05B3" w:rsidP="008F05B3">
      <w:pPr>
        <w:spacing w:line="240" w:lineRule="auto"/>
        <w:rPr>
          <w:rFonts w:eastAsia="Times New Roman" w:cs="Arial"/>
          <w:lang w:eastAsia="bg-BG"/>
        </w:rPr>
      </w:pPr>
      <w:bookmarkStart w:id="1" w:name="bookmark0"/>
      <w:r w:rsidRPr="00FB0891">
        <w:rPr>
          <w:rFonts w:eastAsia="Times New Roman" w:cs="Arial"/>
          <w:b/>
          <w:bCs/>
          <w:color w:val="000000"/>
          <w:lang w:eastAsia="bg-BG"/>
        </w:rPr>
        <w:t>Описание на избрани нежелани реакции</w:t>
      </w:r>
      <w:bookmarkEnd w:id="1"/>
    </w:p>
    <w:p w14:paraId="086A4F87" w14:textId="77777777" w:rsidR="008F05B3" w:rsidRPr="00FB0891" w:rsidRDefault="008F05B3" w:rsidP="008F05B3">
      <w:pPr>
        <w:spacing w:line="240" w:lineRule="auto"/>
        <w:rPr>
          <w:rFonts w:eastAsia="Times New Roman" w:cs="Arial"/>
          <w:color w:val="000000"/>
          <w:lang w:eastAsia="bg-BG"/>
        </w:rPr>
      </w:pPr>
    </w:p>
    <w:p w14:paraId="2113087E" w14:textId="6875C09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Има отделни съобщения за некроза след случайно </w:t>
      </w:r>
      <w:proofErr w:type="spellStart"/>
      <w:r w:rsidRPr="00FB0891">
        <w:rPr>
          <w:rFonts w:eastAsia="Times New Roman" w:cs="Arial"/>
          <w:color w:val="000000"/>
          <w:lang w:eastAsia="bg-BG"/>
        </w:rPr>
        <w:t>екстравазално</w:t>
      </w:r>
      <w:proofErr w:type="spellEnd"/>
      <w:r w:rsidRPr="00FB0891">
        <w:rPr>
          <w:rFonts w:eastAsia="Times New Roman" w:cs="Arial"/>
          <w:color w:val="000000"/>
          <w:lang w:eastAsia="bg-BG"/>
        </w:rPr>
        <w:t xml:space="preserve"> приложение и на токсична епидермална </w:t>
      </w:r>
      <w:proofErr w:type="spellStart"/>
      <w:r w:rsidRPr="00FB0891">
        <w:rPr>
          <w:rFonts w:eastAsia="Times New Roman" w:cs="Arial"/>
          <w:color w:val="000000"/>
          <w:lang w:eastAsia="bg-BG"/>
        </w:rPr>
        <w:t>некролиза</w:t>
      </w:r>
      <w:proofErr w:type="spellEnd"/>
      <w:r w:rsidRPr="00FB0891">
        <w:rPr>
          <w:rFonts w:eastAsia="Times New Roman" w:cs="Arial"/>
          <w:color w:val="000000"/>
          <w:lang w:eastAsia="bg-BG"/>
        </w:rPr>
        <w:t>, синдром на туморно разпадане и анафилаксия.</w:t>
      </w:r>
    </w:p>
    <w:p w14:paraId="5BBFCF04" w14:textId="77777777" w:rsidR="008F05B3" w:rsidRPr="00FB0891" w:rsidRDefault="008F05B3" w:rsidP="008F05B3">
      <w:pPr>
        <w:spacing w:line="240" w:lineRule="auto"/>
        <w:rPr>
          <w:rFonts w:eastAsia="Times New Roman" w:cs="Arial"/>
          <w:color w:val="000000"/>
          <w:lang w:eastAsia="bg-BG"/>
        </w:rPr>
      </w:pPr>
    </w:p>
    <w:p w14:paraId="723993F3" w14:textId="2BD66A7C"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Рискът от </w:t>
      </w:r>
      <w:proofErr w:type="spellStart"/>
      <w:r w:rsidRPr="00FB0891">
        <w:rPr>
          <w:rFonts w:eastAsia="Times New Roman" w:cs="Arial"/>
          <w:color w:val="000000"/>
          <w:lang w:eastAsia="bg-BG"/>
        </w:rPr>
        <w:t>миелодиспластичен</w:t>
      </w:r>
      <w:proofErr w:type="spellEnd"/>
      <w:r w:rsidRPr="00FB0891">
        <w:rPr>
          <w:rFonts w:eastAsia="Times New Roman" w:cs="Arial"/>
          <w:color w:val="000000"/>
          <w:lang w:eastAsia="bg-BG"/>
        </w:rPr>
        <w:t xml:space="preserve"> синдром и остра миелоидна левкемия е повишен при пациенти лекувани с </w:t>
      </w:r>
      <w:proofErr w:type="spellStart"/>
      <w:r w:rsidRPr="00FB0891">
        <w:rPr>
          <w:rFonts w:eastAsia="Times New Roman" w:cs="Arial"/>
          <w:color w:val="000000"/>
          <w:lang w:eastAsia="bg-BG"/>
        </w:rPr>
        <w:t>алкилиращи</w:t>
      </w:r>
      <w:proofErr w:type="spellEnd"/>
      <w:r w:rsidRPr="00FB0891">
        <w:rPr>
          <w:rFonts w:eastAsia="Times New Roman" w:cs="Arial"/>
          <w:color w:val="000000"/>
          <w:lang w:eastAsia="bg-BG"/>
        </w:rPr>
        <w:t xml:space="preserve"> средства (включително </w:t>
      </w:r>
      <w:proofErr w:type="spellStart"/>
      <w:r w:rsidRPr="00FB0891">
        <w:rPr>
          <w:rFonts w:eastAsia="Times New Roman" w:cs="Arial"/>
          <w:color w:val="000000"/>
          <w:lang w:eastAsia="bg-BG"/>
        </w:rPr>
        <w:t>бендамустин</w:t>
      </w:r>
      <w:proofErr w:type="spellEnd"/>
      <w:r w:rsidRPr="00FB0891">
        <w:rPr>
          <w:rFonts w:eastAsia="Times New Roman" w:cs="Arial"/>
          <w:color w:val="000000"/>
          <w:lang w:eastAsia="bg-BG"/>
        </w:rPr>
        <w:t>). Може да се развие вторично злокачествено заболяване няколко години след преустановяване на химиотерапията.</w:t>
      </w:r>
    </w:p>
    <w:p w14:paraId="726F1DC8" w14:textId="77777777" w:rsidR="008F05B3" w:rsidRPr="00FB0891" w:rsidRDefault="008F05B3" w:rsidP="008F05B3">
      <w:pPr>
        <w:spacing w:line="240" w:lineRule="auto"/>
        <w:rPr>
          <w:rFonts w:eastAsia="Times New Roman" w:cs="Arial"/>
          <w:b/>
          <w:bCs/>
          <w:color w:val="000000"/>
          <w:lang w:eastAsia="bg-BG"/>
        </w:rPr>
      </w:pPr>
      <w:bookmarkStart w:id="2" w:name="bookmark2"/>
    </w:p>
    <w:p w14:paraId="25EDCABD" w14:textId="4122E319" w:rsidR="008F05B3" w:rsidRPr="00FB0891" w:rsidRDefault="008F05B3" w:rsidP="008F05B3">
      <w:pPr>
        <w:spacing w:line="240" w:lineRule="auto"/>
        <w:rPr>
          <w:rFonts w:eastAsia="Times New Roman" w:cs="Arial"/>
          <w:lang w:eastAsia="bg-BG"/>
        </w:rPr>
      </w:pPr>
      <w:r w:rsidRPr="00FB0891">
        <w:rPr>
          <w:rFonts w:eastAsia="Times New Roman" w:cs="Arial"/>
          <w:b/>
          <w:bCs/>
          <w:color w:val="000000"/>
          <w:lang w:eastAsia="bg-BG"/>
        </w:rPr>
        <w:t>Съобщаване на подозирани нежелани реакции</w:t>
      </w:r>
      <w:bookmarkEnd w:id="2"/>
    </w:p>
    <w:p w14:paraId="2E877912"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националната система за съобщаване:</w:t>
      </w:r>
    </w:p>
    <w:p w14:paraId="1E3C7B29"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 xml:space="preserve">Изпълнителна агенция по лекарствата, </w:t>
      </w:r>
      <w:proofErr w:type="spellStart"/>
      <w:r w:rsidRPr="00FB0891">
        <w:rPr>
          <w:rFonts w:eastAsia="Times New Roman" w:cs="Arial"/>
          <w:color w:val="000000"/>
          <w:lang w:eastAsia="bg-BG"/>
        </w:rPr>
        <w:t>ул</w:t>
      </w:r>
      <w:proofErr w:type="spellEnd"/>
      <w:r w:rsidRPr="00FB0891">
        <w:rPr>
          <w:rFonts w:eastAsia="Times New Roman" w:cs="Arial"/>
          <w:color w:val="000000"/>
          <w:lang w:eastAsia="bg-BG"/>
        </w:rPr>
        <w:t>.„Дамян Груев" № 8</w:t>
      </w:r>
    </w:p>
    <w:p w14:paraId="114DA2A6"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t>1303 София</w:t>
      </w:r>
    </w:p>
    <w:p w14:paraId="6A656A1B" w14:textId="77777777" w:rsidR="008F05B3" w:rsidRPr="00FB0891" w:rsidRDefault="008F05B3" w:rsidP="008F05B3">
      <w:pPr>
        <w:spacing w:line="240" w:lineRule="auto"/>
        <w:rPr>
          <w:rFonts w:eastAsia="Times New Roman" w:cs="Arial"/>
          <w:lang w:eastAsia="bg-BG"/>
        </w:rPr>
      </w:pPr>
      <w:r w:rsidRPr="00FB0891">
        <w:rPr>
          <w:rFonts w:eastAsia="Times New Roman" w:cs="Arial"/>
          <w:color w:val="000000"/>
          <w:lang w:eastAsia="bg-BG"/>
        </w:rPr>
        <w:lastRenderedPageBreak/>
        <w:t>тел.: 02 8903417</w:t>
      </w:r>
    </w:p>
    <w:p w14:paraId="7BD7C16E" w14:textId="4FA489AA" w:rsidR="008F05B3" w:rsidRPr="00FB0891" w:rsidRDefault="008F05B3" w:rsidP="008F05B3">
      <w:pPr>
        <w:rPr>
          <w:rFonts w:cs="Arial"/>
        </w:rPr>
      </w:pPr>
      <w:r w:rsidRPr="00FB0891">
        <w:rPr>
          <w:rFonts w:eastAsia="Times New Roman" w:cs="Arial"/>
          <w:color w:val="000000"/>
          <w:lang w:eastAsia="bg-BG"/>
        </w:rPr>
        <w:t xml:space="preserve">уебсайт: </w:t>
      </w:r>
      <w:hyperlink r:id="rId5" w:history="1">
        <w:r w:rsidRPr="00FB0891">
          <w:rPr>
            <w:rFonts w:eastAsia="Times New Roman" w:cs="Arial"/>
            <w:color w:val="000000"/>
          </w:rPr>
          <w:t>www.bda.bg</w:t>
        </w:r>
      </w:hyperlink>
    </w:p>
    <w:p w14:paraId="5BACDFA4" w14:textId="77777777" w:rsidR="008F05B3" w:rsidRPr="00FB0891" w:rsidRDefault="008F05B3" w:rsidP="0091385D"/>
    <w:p w14:paraId="0A023CE0" w14:textId="13F87CFD" w:rsidR="00CF77F7" w:rsidRPr="00FB0891" w:rsidRDefault="002C50EE" w:rsidP="004A448E">
      <w:pPr>
        <w:pStyle w:val="Heading2"/>
      </w:pPr>
      <w:r w:rsidRPr="00FB0891">
        <w:t>4.9. Предозиране</w:t>
      </w:r>
    </w:p>
    <w:p w14:paraId="3EDFC3FC" w14:textId="296E7EBA" w:rsidR="0091385D" w:rsidRPr="00FB0891" w:rsidRDefault="0091385D" w:rsidP="0091385D"/>
    <w:p w14:paraId="0C5871D3"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След приложение на 30-минутна инфузия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веднъж на всеки 3 седмици максималната поносима доза (МТ</w:t>
      </w:r>
      <w:r w:rsidRPr="00FB0891">
        <w:rPr>
          <w:rFonts w:eastAsia="Times New Roman" w:cs="Arial"/>
          <w:color w:val="000000"/>
          <w:szCs w:val="20"/>
        </w:rPr>
        <w:t>D</w:t>
      </w:r>
      <w:r w:rsidRPr="00FB0891">
        <w:rPr>
          <w:rFonts w:eastAsia="Times New Roman" w:cs="Arial"/>
          <w:color w:val="000000"/>
          <w:szCs w:val="20"/>
          <w:lang w:eastAsia="bg-BG"/>
        </w:rPr>
        <w:t xml:space="preserve">) е 280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Наблюдавани са сърдечни инциденти от степен 2 по СТС, които съответстват на настъпилите исхемични ЕКГ промени и се считат за </w:t>
      </w:r>
      <w:proofErr w:type="spellStart"/>
      <w:r w:rsidRPr="00FB0891">
        <w:rPr>
          <w:rFonts w:eastAsia="Times New Roman" w:cs="Arial"/>
          <w:color w:val="000000"/>
          <w:szCs w:val="20"/>
          <w:lang w:eastAsia="bg-BG"/>
        </w:rPr>
        <w:t>дозолимитиращи</w:t>
      </w:r>
      <w:proofErr w:type="spellEnd"/>
      <w:r w:rsidRPr="00FB0891">
        <w:rPr>
          <w:rFonts w:eastAsia="Times New Roman" w:cs="Arial"/>
          <w:color w:val="000000"/>
          <w:szCs w:val="20"/>
          <w:lang w:eastAsia="bg-BG"/>
        </w:rPr>
        <w:t>.</w:t>
      </w:r>
    </w:p>
    <w:p w14:paraId="3813614D" w14:textId="62583952"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 следващо изследване с 30-минутна инфузия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в ден 1 и </w:t>
      </w:r>
      <w:r w:rsidR="003A059D" w:rsidRPr="00FB0891">
        <w:rPr>
          <w:rFonts w:eastAsia="Times New Roman" w:cs="Arial"/>
          <w:color w:val="000000"/>
          <w:szCs w:val="20"/>
          <w:lang w:eastAsia="bg-BG"/>
        </w:rPr>
        <w:t xml:space="preserve">ден </w:t>
      </w:r>
      <w:r w:rsidRPr="00FB0891">
        <w:rPr>
          <w:rFonts w:eastAsia="Times New Roman" w:cs="Arial"/>
          <w:color w:val="000000"/>
          <w:szCs w:val="20"/>
          <w:lang w:eastAsia="bg-BG"/>
        </w:rPr>
        <w:t xml:space="preserve">2 на всеки 3 седмици е установено, че </w:t>
      </w:r>
      <w:r w:rsidRPr="00FB0891">
        <w:rPr>
          <w:rFonts w:eastAsia="Times New Roman" w:cs="Arial"/>
          <w:color w:val="000000"/>
          <w:szCs w:val="20"/>
        </w:rPr>
        <w:t xml:space="preserve">MTD </w:t>
      </w:r>
      <w:r w:rsidRPr="00FB0891">
        <w:rPr>
          <w:rFonts w:eastAsia="Times New Roman" w:cs="Arial"/>
          <w:color w:val="000000"/>
          <w:szCs w:val="20"/>
          <w:lang w:eastAsia="bg-BG"/>
        </w:rPr>
        <w:t xml:space="preserve">е 180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proofErr w:type="spellStart"/>
      <w:r w:rsidRPr="00FB0891">
        <w:rPr>
          <w:rFonts w:eastAsia="Times New Roman" w:cs="Arial"/>
          <w:color w:val="000000"/>
          <w:szCs w:val="20"/>
          <w:lang w:eastAsia="bg-BG"/>
        </w:rPr>
        <w:t>Дозолимитираща</w:t>
      </w:r>
      <w:proofErr w:type="spellEnd"/>
      <w:r w:rsidRPr="00FB0891">
        <w:rPr>
          <w:rFonts w:eastAsia="Times New Roman" w:cs="Arial"/>
          <w:color w:val="000000"/>
          <w:szCs w:val="20"/>
          <w:lang w:eastAsia="bg-BG"/>
        </w:rPr>
        <w:t xml:space="preserve"> токсичност е 4-та степен </w:t>
      </w:r>
      <w:proofErr w:type="spellStart"/>
      <w:r w:rsidRPr="00FB0891">
        <w:rPr>
          <w:rFonts w:eastAsia="Times New Roman" w:cs="Arial"/>
          <w:color w:val="000000"/>
          <w:szCs w:val="20"/>
          <w:lang w:eastAsia="bg-BG"/>
        </w:rPr>
        <w:t>тромбоцитопения</w:t>
      </w:r>
      <w:proofErr w:type="spellEnd"/>
      <w:r w:rsidRPr="00FB0891">
        <w:rPr>
          <w:rFonts w:eastAsia="Times New Roman" w:cs="Arial"/>
          <w:color w:val="000000"/>
          <w:szCs w:val="20"/>
          <w:lang w:eastAsia="bg-BG"/>
        </w:rPr>
        <w:t xml:space="preserve">. При тази схема сърдечната токсичност не е </w:t>
      </w:r>
      <w:proofErr w:type="spellStart"/>
      <w:r w:rsidRPr="00FB0891">
        <w:rPr>
          <w:rFonts w:eastAsia="Times New Roman" w:cs="Arial"/>
          <w:color w:val="000000"/>
          <w:szCs w:val="20"/>
          <w:lang w:eastAsia="bg-BG"/>
        </w:rPr>
        <w:t>дозолимитираща</w:t>
      </w:r>
      <w:proofErr w:type="spellEnd"/>
      <w:r w:rsidRPr="00FB0891">
        <w:rPr>
          <w:rFonts w:eastAsia="Times New Roman" w:cs="Arial"/>
          <w:color w:val="000000"/>
          <w:szCs w:val="20"/>
          <w:lang w:eastAsia="bg-BG"/>
        </w:rPr>
        <w:t>.</w:t>
      </w:r>
    </w:p>
    <w:p w14:paraId="3E2AD6D8" w14:textId="77777777" w:rsidR="008F05B3" w:rsidRPr="00FB0891" w:rsidRDefault="008F05B3" w:rsidP="008F05B3">
      <w:pPr>
        <w:spacing w:line="240" w:lineRule="auto"/>
        <w:rPr>
          <w:rFonts w:eastAsia="Times New Roman" w:cs="Arial"/>
          <w:color w:val="000000"/>
          <w:szCs w:val="20"/>
          <w:lang w:eastAsia="bg-BG"/>
        </w:rPr>
      </w:pPr>
    </w:p>
    <w:p w14:paraId="5A88A2E9" w14:textId="0043A558" w:rsidR="008F05B3" w:rsidRPr="00FB0891" w:rsidRDefault="008F05B3" w:rsidP="00861D11">
      <w:pPr>
        <w:pStyle w:val="Heading3"/>
        <w:rPr>
          <w:rFonts w:eastAsia="Times New Roman"/>
          <w:sz w:val="28"/>
          <w:u w:val="single"/>
          <w:lang w:eastAsia="bg-BG"/>
        </w:rPr>
      </w:pPr>
      <w:r w:rsidRPr="00FB0891">
        <w:rPr>
          <w:rFonts w:eastAsia="Times New Roman"/>
          <w:u w:val="single"/>
          <w:lang w:eastAsia="bg-BG"/>
        </w:rPr>
        <w:t>Мерки за противодействие</w:t>
      </w:r>
    </w:p>
    <w:p w14:paraId="46DE999D" w14:textId="77777777" w:rsidR="008F05B3" w:rsidRPr="00FB0891" w:rsidRDefault="008F05B3" w:rsidP="008F05B3">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Няма специфичен антидот. Като ефективни противодействащи мерки за овладяване на хематологичните нежелани реакции могат да се извършат </w:t>
      </w:r>
      <w:proofErr w:type="spellStart"/>
      <w:r w:rsidRPr="00FB0891">
        <w:rPr>
          <w:rFonts w:eastAsia="Times New Roman" w:cs="Arial"/>
          <w:color w:val="000000"/>
          <w:szCs w:val="20"/>
          <w:lang w:eastAsia="bg-BG"/>
        </w:rPr>
        <w:t>костномозъчна</w:t>
      </w:r>
      <w:proofErr w:type="spellEnd"/>
      <w:r w:rsidRPr="00FB0891">
        <w:rPr>
          <w:rFonts w:eastAsia="Times New Roman" w:cs="Arial"/>
          <w:color w:val="000000"/>
          <w:szCs w:val="20"/>
          <w:lang w:eastAsia="bg-BG"/>
        </w:rPr>
        <w:t xml:space="preserve"> трансплантация и трансфузии (на </w:t>
      </w:r>
      <w:proofErr w:type="spellStart"/>
      <w:r w:rsidRPr="00FB0891">
        <w:rPr>
          <w:rFonts w:eastAsia="Times New Roman" w:cs="Arial"/>
          <w:color w:val="000000"/>
          <w:szCs w:val="20"/>
          <w:lang w:eastAsia="bg-BG"/>
        </w:rPr>
        <w:t>тромбоцити</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еритроцитна</w:t>
      </w:r>
      <w:proofErr w:type="spellEnd"/>
      <w:r w:rsidRPr="00FB0891">
        <w:rPr>
          <w:rFonts w:eastAsia="Times New Roman" w:cs="Arial"/>
          <w:color w:val="000000"/>
          <w:szCs w:val="20"/>
          <w:lang w:eastAsia="bg-BG"/>
        </w:rPr>
        <w:t xml:space="preserve"> маса) или да се приложат хематологични растежни фактори.</w:t>
      </w:r>
    </w:p>
    <w:p w14:paraId="0F0079CB" w14:textId="64B7F51F" w:rsidR="0091385D" w:rsidRPr="00FB0891" w:rsidRDefault="008F05B3" w:rsidP="008F05B3">
      <w:pPr>
        <w:rPr>
          <w:rFonts w:cs="Arial"/>
          <w:sz w:val="24"/>
        </w:rPr>
      </w:pP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и неговите метаболити се </w:t>
      </w:r>
      <w:proofErr w:type="spellStart"/>
      <w:r w:rsidRPr="00FB0891">
        <w:rPr>
          <w:rFonts w:eastAsia="Times New Roman" w:cs="Arial"/>
          <w:color w:val="000000"/>
          <w:szCs w:val="20"/>
          <w:lang w:eastAsia="bg-BG"/>
        </w:rPr>
        <w:t>диализират</w:t>
      </w:r>
      <w:proofErr w:type="spellEnd"/>
      <w:r w:rsidRPr="00FB0891">
        <w:rPr>
          <w:rFonts w:eastAsia="Times New Roman" w:cs="Arial"/>
          <w:color w:val="000000"/>
          <w:szCs w:val="20"/>
          <w:lang w:eastAsia="bg-BG"/>
        </w:rPr>
        <w:t xml:space="preserve"> в малка степен.</w:t>
      </w:r>
    </w:p>
    <w:p w14:paraId="48FF1584" w14:textId="77777777" w:rsidR="0091385D" w:rsidRPr="00FB0891" w:rsidRDefault="0091385D" w:rsidP="0091385D"/>
    <w:p w14:paraId="02081B24" w14:textId="7CE94171" w:rsidR="00395555" w:rsidRPr="00FB0891" w:rsidRDefault="002C50EE" w:rsidP="008A6AF2">
      <w:pPr>
        <w:pStyle w:val="Heading1"/>
      </w:pPr>
      <w:r w:rsidRPr="00FB0891">
        <w:t>5. ФАРМАКОЛОГИЧНИ СВОЙСТВА</w:t>
      </w:r>
    </w:p>
    <w:p w14:paraId="1B8079C0" w14:textId="77777777" w:rsidR="0091385D" w:rsidRPr="00FB0891" w:rsidRDefault="0091385D" w:rsidP="0091385D"/>
    <w:p w14:paraId="32B6DE66" w14:textId="2ACB6B3B" w:rsidR="00CF77F7" w:rsidRPr="00FB0891" w:rsidRDefault="002C50EE" w:rsidP="004A448E">
      <w:pPr>
        <w:pStyle w:val="Heading2"/>
      </w:pPr>
      <w:r w:rsidRPr="00FB0891">
        <w:t xml:space="preserve">5.1. </w:t>
      </w:r>
      <w:proofErr w:type="spellStart"/>
      <w:r w:rsidRPr="00FB0891">
        <w:t>Фармакодинамични</w:t>
      </w:r>
      <w:proofErr w:type="spellEnd"/>
      <w:r w:rsidRPr="00FB0891">
        <w:t xml:space="preserve"> свойства</w:t>
      </w:r>
    </w:p>
    <w:p w14:paraId="58DD7DEA" w14:textId="44345EC9" w:rsidR="0091385D" w:rsidRPr="00FB0891" w:rsidRDefault="0091385D" w:rsidP="0091385D"/>
    <w:p w14:paraId="10A6D4F0" w14:textId="77777777" w:rsidR="00861D11" w:rsidRPr="00FB0891" w:rsidRDefault="00861D11" w:rsidP="00861D11">
      <w:pPr>
        <w:spacing w:line="240" w:lineRule="auto"/>
        <w:rPr>
          <w:rFonts w:eastAsia="Times New Roman" w:cs="Arial"/>
          <w:lang w:eastAsia="bg-BG"/>
        </w:rPr>
      </w:pPr>
      <w:r w:rsidRPr="00FB0891">
        <w:rPr>
          <w:rFonts w:eastAsia="Times New Roman" w:cs="Arial"/>
          <w:color w:val="000000"/>
          <w:lang w:eastAsia="bg-BG"/>
        </w:rPr>
        <w:t xml:space="preserve">Фармакотерапевтична група: </w:t>
      </w:r>
      <w:proofErr w:type="spellStart"/>
      <w:r w:rsidRPr="00FB0891">
        <w:rPr>
          <w:rFonts w:eastAsia="Times New Roman" w:cs="Arial"/>
          <w:color w:val="000000"/>
          <w:lang w:eastAsia="bg-BG"/>
        </w:rPr>
        <w:t>Антинеопластични</w:t>
      </w:r>
      <w:proofErr w:type="spellEnd"/>
      <w:r w:rsidRPr="00FB0891">
        <w:rPr>
          <w:rFonts w:eastAsia="Times New Roman" w:cs="Arial"/>
          <w:color w:val="000000"/>
          <w:lang w:eastAsia="bg-BG"/>
        </w:rPr>
        <w:t xml:space="preserve"> средства, </w:t>
      </w:r>
      <w:proofErr w:type="spellStart"/>
      <w:r w:rsidRPr="00FB0891">
        <w:rPr>
          <w:rFonts w:eastAsia="Times New Roman" w:cs="Arial"/>
          <w:color w:val="000000"/>
          <w:lang w:eastAsia="bg-BG"/>
        </w:rPr>
        <w:t>алкилиращи</w:t>
      </w:r>
      <w:proofErr w:type="spellEnd"/>
      <w:r w:rsidRPr="00FB0891">
        <w:rPr>
          <w:rFonts w:eastAsia="Times New Roman" w:cs="Arial"/>
          <w:color w:val="000000"/>
          <w:lang w:eastAsia="bg-BG"/>
        </w:rPr>
        <w:t xml:space="preserve"> средства</w:t>
      </w:r>
    </w:p>
    <w:p w14:paraId="61FA1F0F" w14:textId="77777777" w:rsidR="00861D11" w:rsidRPr="00FB0891" w:rsidRDefault="00861D11" w:rsidP="00861D11">
      <w:pPr>
        <w:spacing w:line="240" w:lineRule="auto"/>
        <w:rPr>
          <w:rFonts w:eastAsia="Times New Roman" w:cs="Arial"/>
          <w:color w:val="000000"/>
          <w:lang w:eastAsia="bg-BG"/>
        </w:rPr>
      </w:pPr>
    </w:p>
    <w:p w14:paraId="6B43B268" w14:textId="3282E0E2" w:rsidR="00861D11" w:rsidRPr="00FB0891" w:rsidRDefault="00861D11" w:rsidP="00861D11">
      <w:pPr>
        <w:spacing w:line="240" w:lineRule="auto"/>
        <w:rPr>
          <w:rFonts w:eastAsia="Times New Roman" w:cs="Arial"/>
          <w:lang w:eastAsia="bg-BG"/>
        </w:rPr>
      </w:pPr>
      <w:r w:rsidRPr="00FB0891">
        <w:rPr>
          <w:rFonts w:eastAsia="Times New Roman" w:cs="Arial"/>
          <w:color w:val="000000"/>
          <w:lang w:eastAsia="bg-BG"/>
        </w:rPr>
        <w:t xml:space="preserve">АТС код: </w:t>
      </w:r>
      <w:r w:rsidRPr="00FB0891">
        <w:rPr>
          <w:rFonts w:eastAsia="Times New Roman" w:cs="Arial"/>
          <w:color w:val="000000"/>
        </w:rPr>
        <w:t>L01AA09</w:t>
      </w:r>
    </w:p>
    <w:p w14:paraId="64CE91B5" w14:textId="6D9BF83F" w:rsidR="00861D11" w:rsidRPr="00FB0891" w:rsidRDefault="00861D11" w:rsidP="00861D11">
      <w:pPr>
        <w:rPr>
          <w:rFonts w:eastAsia="Times New Roman" w:cs="Arial"/>
          <w:color w:val="000000"/>
          <w:lang w:eastAsia="bg-BG"/>
        </w:rPr>
      </w:pPr>
    </w:p>
    <w:p w14:paraId="138F7396" w14:textId="6E245D3B" w:rsidR="003A059D" w:rsidRPr="00FB0891" w:rsidRDefault="003A059D" w:rsidP="00861D11">
      <w:pPr>
        <w:rPr>
          <w:rFonts w:eastAsia="Times New Roman" w:cs="Arial"/>
          <w:color w:val="000000"/>
          <w:u w:val="single"/>
          <w:lang w:eastAsia="bg-BG"/>
        </w:rPr>
      </w:pPr>
      <w:r w:rsidRPr="00FB0891">
        <w:rPr>
          <w:rFonts w:eastAsia="Times New Roman" w:cs="Arial"/>
          <w:color w:val="000000"/>
          <w:u w:val="single"/>
          <w:lang w:eastAsia="bg-BG"/>
        </w:rPr>
        <w:t>Механизъм на действие</w:t>
      </w:r>
    </w:p>
    <w:p w14:paraId="28252AA0" w14:textId="53865DF0" w:rsidR="0091385D" w:rsidRPr="00FB0891" w:rsidRDefault="00861D11" w:rsidP="00861D11">
      <w:pPr>
        <w:rPr>
          <w:rFonts w:cs="Arial"/>
        </w:rPr>
      </w:pP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е </w:t>
      </w:r>
      <w:proofErr w:type="spellStart"/>
      <w:r w:rsidRPr="00FB0891">
        <w:rPr>
          <w:rFonts w:eastAsia="Times New Roman" w:cs="Arial"/>
          <w:color w:val="000000"/>
          <w:lang w:eastAsia="bg-BG"/>
        </w:rPr>
        <w:t>алкилиращо</w:t>
      </w:r>
      <w:proofErr w:type="spellEnd"/>
      <w:r w:rsidRPr="00FB0891">
        <w:rPr>
          <w:rFonts w:eastAsia="Times New Roman" w:cs="Arial"/>
          <w:color w:val="000000"/>
          <w:lang w:eastAsia="bg-BG"/>
        </w:rPr>
        <w:t xml:space="preserve"> противотуморно средство с единствено по рода си действие. </w:t>
      </w:r>
      <w:proofErr w:type="spellStart"/>
      <w:r w:rsidRPr="00FB0891">
        <w:rPr>
          <w:rFonts w:eastAsia="Times New Roman" w:cs="Arial"/>
          <w:color w:val="000000"/>
          <w:lang w:eastAsia="bg-BG"/>
        </w:rPr>
        <w:t>Антинеопластичният</w:t>
      </w:r>
      <w:proofErr w:type="spellEnd"/>
      <w:r w:rsidRPr="00FB0891">
        <w:rPr>
          <w:rFonts w:eastAsia="Times New Roman" w:cs="Arial"/>
          <w:color w:val="000000"/>
          <w:lang w:eastAsia="bg-BG"/>
        </w:rPr>
        <w:t xml:space="preserve"> и </w:t>
      </w:r>
      <w:proofErr w:type="spellStart"/>
      <w:r w:rsidRPr="00FB0891">
        <w:rPr>
          <w:rFonts w:eastAsia="Times New Roman" w:cs="Arial"/>
          <w:color w:val="000000"/>
          <w:lang w:eastAsia="bg-BG"/>
        </w:rPr>
        <w:t>цитоциден</w:t>
      </w:r>
      <w:proofErr w:type="spellEnd"/>
      <w:r w:rsidRPr="00FB0891">
        <w:rPr>
          <w:rFonts w:eastAsia="Times New Roman" w:cs="Arial"/>
          <w:color w:val="000000"/>
          <w:lang w:eastAsia="bg-BG"/>
        </w:rPr>
        <w:t xml:space="preserve"> ефект на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се основават главно на кръстосано свързване на единични и двойни вериги на ДНК чрез </w:t>
      </w:r>
      <w:proofErr w:type="spellStart"/>
      <w:r w:rsidRPr="00FB0891">
        <w:rPr>
          <w:rFonts w:eastAsia="Times New Roman" w:cs="Arial"/>
          <w:color w:val="000000"/>
          <w:lang w:eastAsia="bg-BG"/>
        </w:rPr>
        <w:t>алкилиране</w:t>
      </w:r>
      <w:proofErr w:type="spellEnd"/>
      <w:r w:rsidRPr="00FB0891">
        <w:rPr>
          <w:rFonts w:eastAsia="Times New Roman" w:cs="Arial"/>
          <w:color w:val="000000"/>
          <w:lang w:eastAsia="bg-BG"/>
        </w:rPr>
        <w:t xml:space="preserve">. В резултат на това се нарушават матричната функция, както и синтеза и възстановяването на ДНК. Противотуморният ефект на </w:t>
      </w:r>
      <w:proofErr w:type="spellStart"/>
      <w:r w:rsidRPr="00FB0891">
        <w:rPr>
          <w:rFonts w:eastAsia="Times New Roman" w:cs="Arial"/>
          <w:color w:val="000000"/>
          <w:lang w:eastAsia="bg-BG"/>
        </w:rPr>
        <w:t>бендамустинов</w:t>
      </w:r>
      <w:proofErr w:type="spellEnd"/>
      <w:r w:rsidRPr="00FB0891">
        <w:rPr>
          <w:rFonts w:eastAsia="Times New Roman" w:cs="Arial"/>
          <w:color w:val="000000"/>
          <w:lang w:eastAsia="bg-BG"/>
        </w:rPr>
        <w:t xml:space="preserve"> хидрохлорид е доказан в няколко </w:t>
      </w:r>
      <w:proofErr w:type="spellStart"/>
      <w:r w:rsidRPr="00FB0891">
        <w:rPr>
          <w:rFonts w:eastAsia="Times New Roman" w:cs="Arial"/>
          <w:i/>
          <w:iCs/>
          <w:color w:val="000000"/>
        </w:rPr>
        <w:t>in</w:t>
      </w:r>
      <w:proofErr w:type="spellEnd"/>
      <w:r w:rsidRPr="00FB0891">
        <w:rPr>
          <w:rFonts w:eastAsia="Times New Roman" w:cs="Arial"/>
          <w:i/>
          <w:iCs/>
          <w:color w:val="000000"/>
        </w:rPr>
        <w:t xml:space="preserve"> </w:t>
      </w:r>
      <w:proofErr w:type="spellStart"/>
      <w:r w:rsidRPr="00FB0891">
        <w:rPr>
          <w:rFonts w:eastAsia="Times New Roman" w:cs="Arial"/>
          <w:i/>
          <w:iCs/>
          <w:color w:val="000000"/>
        </w:rPr>
        <w:t>vitro</w:t>
      </w:r>
      <w:proofErr w:type="spellEnd"/>
      <w:r w:rsidRPr="00FB0891">
        <w:rPr>
          <w:rFonts w:eastAsia="Times New Roman" w:cs="Arial"/>
          <w:color w:val="000000"/>
        </w:rPr>
        <w:t xml:space="preserve"> </w:t>
      </w:r>
      <w:r w:rsidRPr="00FB0891">
        <w:rPr>
          <w:rFonts w:eastAsia="Times New Roman" w:cs="Arial"/>
          <w:color w:val="000000"/>
          <w:lang w:eastAsia="bg-BG"/>
        </w:rPr>
        <w:t xml:space="preserve">проучвания, проведени с различни човешки туморни клетъчни линии (рак на гърдата, </w:t>
      </w:r>
      <w:proofErr w:type="spellStart"/>
      <w:r w:rsidRPr="00FB0891">
        <w:rPr>
          <w:rFonts w:eastAsia="Times New Roman" w:cs="Arial"/>
          <w:color w:val="000000"/>
          <w:lang w:eastAsia="bg-BG"/>
        </w:rPr>
        <w:t>недребноклетьчен</w:t>
      </w:r>
      <w:proofErr w:type="spellEnd"/>
      <w:r w:rsidRPr="00FB0891">
        <w:rPr>
          <w:rFonts w:eastAsia="Times New Roman" w:cs="Arial"/>
          <w:color w:val="000000"/>
          <w:lang w:eastAsia="bg-BG"/>
        </w:rPr>
        <w:t xml:space="preserve"> и </w:t>
      </w:r>
      <w:proofErr w:type="spellStart"/>
      <w:r w:rsidRPr="00FB0891">
        <w:rPr>
          <w:rFonts w:eastAsia="Times New Roman" w:cs="Arial"/>
          <w:color w:val="000000"/>
          <w:lang w:eastAsia="bg-BG"/>
        </w:rPr>
        <w:t>дребноклетьчен</w:t>
      </w:r>
      <w:proofErr w:type="spellEnd"/>
      <w:r w:rsidRPr="00FB0891">
        <w:rPr>
          <w:rFonts w:eastAsia="Times New Roman" w:cs="Arial"/>
          <w:color w:val="000000"/>
          <w:lang w:eastAsia="bg-BG"/>
        </w:rPr>
        <w:t xml:space="preserve"> белодробен карцином, карцином на яйчника и различни </w:t>
      </w:r>
      <w:proofErr w:type="spellStart"/>
      <w:r w:rsidRPr="00FB0891">
        <w:rPr>
          <w:rFonts w:eastAsia="Times New Roman" w:cs="Arial"/>
          <w:color w:val="000000"/>
          <w:lang w:eastAsia="bg-BG"/>
        </w:rPr>
        <w:t>левкемии</w:t>
      </w:r>
      <w:proofErr w:type="spellEnd"/>
      <w:r w:rsidRPr="00FB0891">
        <w:rPr>
          <w:rFonts w:eastAsia="Times New Roman" w:cs="Arial"/>
          <w:color w:val="000000"/>
          <w:lang w:eastAsia="bg-BG"/>
        </w:rPr>
        <w:t>)</w:t>
      </w:r>
      <w:r w:rsidRPr="00FB0891">
        <w:rPr>
          <w:rFonts w:eastAsia="Times New Roman" w:cs="Arial"/>
          <w:color w:val="000000"/>
        </w:rPr>
        <w:t xml:space="preserve"> </w:t>
      </w:r>
      <w:r w:rsidRPr="00FB0891">
        <w:rPr>
          <w:rFonts w:eastAsia="Times New Roman" w:cs="Arial"/>
          <w:color w:val="000000"/>
          <w:lang w:eastAsia="bg-BG"/>
        </w:rPr>
        <w:t xml:space="preserve">и </w:t>
      </w:r>
      <w:proofErr w:type="spellStart"/>
      <w:r w:rsidRPr="00FB0891">
        <w:rPr>
          <w:rFonts w:eastAsia="Times New Roman" w:cs="Arial"/>
          <w:i/>
          <w:iCs/>
          <w:color w:val="000000"/>
        </w:rPr>
        <w:t>in</w:t>
      </w:r>
      <w:proofErr w:type="spellEnd"/>
      <w:r w:rsidRPr="00FB0891">
        <w:rPr>
          <w:rFonts w:eastAsia="Times New Roman" w:cs="Arial"/>
          <w:i/>
          <w:iCs/>
          <w:color w:val="000000"/>
        </w:rPr>
        <w:t xml:space="preserve"> </w:t>
      </w:r>
      <w:proofErr w:type="spellStart"/>
      <w:r w:rsidRPr="00FB0891">
        <w:rPr>
          <w:rFonts w:eastAsia="Times New Roman" w:cs="Arial"/>
          <w:i/>
          <w:iCs/>
          <w:color w:val="000000"/>
        </w:rPr>
        <w:t>vivo</w:t>
      </w:r>
      <w:proofErr w:type="spellEnd"/>
      <w:r w:rsidRPr="00FB0891">
        <w:rPr>
          <w:rFonts w:eastAsia="Times New Roman" w:cs="Arial"/>
          <w:color w:val="000000"/>
        </w:rPr>
        <w:t xml:space="preserve"> </w:t>
      </w:r>
      <w:r w:rsidRPr="00FB0891">
        <w:rPr>
          <w:rFonts w:eastAsia="Times New Roman" w:cs="Arial"/>
          <w:color w:val="000000"/>
          <w:lang w:eastAsia="bg-BG"/>
        </w:rPr>
        <w:t>при различни експериментални туморни модели с тумори на мишка, плъх и с човешки произход (</w:t>
      </w:r>
      <w:proofErr w:type="spellStart"/>
      <w:r w:rsidRPr="00FB0891">
        <w:rPr>
          <w:rFonts w:eastAsia="Times New Roman" w:cs="Arial"/>
          <w:color w:val="000000"/>
          <w:lang w:eastAsia="bg-BG"/>
        </w:rPr>
        <w:t>меланом</w:t>
      </w:r>
      <w:proofErr w:type="spellEnd"/>
      <w:r w:rsidRPr="00FB0891">
        <w:rPr>
          <w:rFonts w:eastAsia="Times New Roman" w:cs="Arial"/>
          <w:color w:val="000000"/>
          <w:lang w:eastAsia="bg-BG"/>
        </w:rPr>
        <w:t xml:space="preserve">, карцином на млечната жлеза, </w:t>
      </w:r>
      <w:proofErr w:type="spellStart"/>
      <w:r w:rsidRPr="00FB0891">
        <w:rPr>
          <w:rFonts w:eastAsia="Times New Roman" w:cs="Arial"/>
          <w:color w:val="000000"/>
          <w:lang w:eastAsia="bg-BG"/>
        </w:rPr>
        <w:t>сарком</w:t>
      </w:r>
      <w:proofErr w:type="spellEnd"/>
      <w:r w:rsidRPr="00FB0891">
        <w:rPr>
          <w:rFonts w:eastAsia="Times New Roman" w:cs="Arial"/>
          <w:color w:val="000000"/>
          <w:lang w:eastAsia="bg-BG"/>
        </w:rPr>
        <w:t xml:space="preserve">, лимфом, левкемия и </w:t>
      </w:r>
      <w:proofErr w:type="spellStart"/>
      <w:r w:rsidRPr="00FB0891">
        <w:rPr>
          <w:rFonts w:eastAsia="Times New Roman" w:cs="Arial"/>
          <w:color w:val="000000"/>
          <w:lang w:eastAsia="bg-BG"/>
        </w:rPr>
        <w:t>дребноклетъчен</w:t>
      </w:r>
      <w:proofErr w:type="spellEnd"/>
      <w:r w:rsidRPr="00FB0891">
        <w:rPr>
          <w:rFonts w:eastAsia="Times New Roman" w:cs="Arial"/>
          <w:color w:val="000000"/>
          <w:lang w:eastAsia="bg-BG"/>
        </w:rPr>
        <w:t xml:space="preserve"> белодробен карцином).</w:t>
      </w:r>
    </w:p>
    <w:p w14:paraId="36152471" w14:textId="0419A13D" w:rsidR="0091385D" w:rsidRPr="00FB0891" w:rsidRDefault="0091385D" w:rsidP="0091385D"/>
    <w:p w14:paraId="664B5DED" w14:textId="220EB40A" w:rsidR="003A059D" w:rsidRPr="00FB0891" w:rsidRDefault="003A059D" w:rsidP="0091385D">
      <w:pPr>
        <w:rPr>
          <w:u w:val="single"/>
        </w:rPr>
      </w:pPr>
      <w:proofErr w:type="spellStart"/>
      <w:r w:rsidRPr="00FB0891">
        <w:rPr>
          <w:u w:val="single"/>
        </w:rPr>
        <w:t>Фармакодинамични</w:t>
      </w:r>
      <w:proofErr w:type="spellEnd"/>
      <w:r w:rsidRPr="00FB0891">
        <w:rPr>
          <w:u w:val="single"/>
        </w:rPr>
        <w:t xml:space="preserve"> ефекти</w:t>
      </w:r>
    </w:p>
    <w:p w14:paraId="1692154D" w14:textId="77777777" w:rsidR="003A059D" w:rsidRPr="00FB0891" w:rsidRDefault="00861D11" w:rsidP="00861D11">
      <w:pPr>
        <w:spacing w:line="240" w:lineRule="auto"/>
        <w:rPr>
          <w:rFonts w:eastAsia="Times New Roman" w:cs="Arial"/>
          <w:sz w:val="28"/>
          <w:szCs w:val="24"/>
          <w:lang w:eastAsia="bg-BG"/>
        </w:rPr>
      </w:pP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е показал профил на активност в човешки туморни клетъчни линии, различен от този на други </w:t>
      </w:r>
      <w:proofErr w:type="spellStart"/>
      <w:r w:rsidRPr="00FB0891">
        <w:rPr>
          <w:rFonts w:eastAsia="Times New Roman" w:cs="Arial"/>
          <w:color w:val="000000"/>
          <w:szCs w:val="20"/>
          <w:lang w:eastAsia="bg-BG"/>
        </w:rPr>
        <w:t>алкилиращи</w:t>
      </w:r>
      <w:proofErr w:type="spellEnd"/>
      <w:r w:rsidRPr="00FB0891">
        <w:rPr>
          <w:rFonts w:eastAsia="Times New Roman" w:cs="Arial"/>
          <w:color w:val="000000"/>
          <w:szCs w:val="20"/>
          <w:lang w:eastAsia="bg-BG"/>
        </w:rPr>
        <w:t xml:space="preserve"> средства. Активното вещество не показва или показва много ниска кръстосана резистентност при човешки туморни клетъчни линии с различни механизми на резистентност, което поне отчасти се дължи на относително персистиращо взаимодействие с ДНК. Допълнително, в клинични проучвания е доказано, </w:t>
      </w:r>
      <w:r w:rsidRPr="00FB0891">
        <w:rPr>
          <w:rFonts w:eastAsia="Times New Roman" w:cs="Arial"/>
          <w:color w:val="000000"/>
          <w:szCs w:val="20"/>
          <w:lang w:eastAsia="bg-BG"/>
        </w:rPr>
        <w:lastRenderedPageBreak/>
        <w:t xml:space="preserve">че няма пълна кръстосана резистентност между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с </w:t>
      </w:r>
      <w:proofErr w:type="spellStart"/>
      <w:r w:rsidRPr="00FB0891">
        <w:rPr>
          <w:rFonts w:eastAsia="Times New Roman" w:cs="Arial"/>
          <w:color w:val="000000"/>
          <w:szCs w:val="20"/>
          <w:lang w:eastAsia="bg-BG"/>
        </w:rPr>
        <w:t>антрациклини</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алкилиращи</w:t>
      </w:r>
      <w:proofErr w:type="spellEnd"/>
      <w:r w:rsidRPr="00FB0891">
        <w:rPr>
          <w:rFonts w:eastAsia="Times New Roman" w:cs="Arial"/>
          <w:color w:val="000000"/>
          <w:szCs w:val="20"/>
          <w:lang w:eastAsia="bg-BG"/>
        </w:rPr>
        <w:t xml:space="preserve"> средства или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Броят на оценените пациенти обаче е малък.</w:t>
      </w:r>
    </w:p>
    <w:p w14:paraId="48367E92" w14:textId="77777777" w:rsidR="003A059D" w:rsidRPr="00FB0891" w:rsidRDefault="003A059D" w:rsidP="00861D11">
      <w:pPr>
        <w:spacing w:line="240" w:lineRule="auto"/>
        <w:rPr>
          <w:rFonts w:eastAsia="Times New Roman" w:cs="Arial"/>
          <w:sz w:val="28"/>
          <w:szCs w:val="24"/>
          <w:lang w:eastAsia="bg-BG"/>
        </w:rPr>
      </w:pPr>
    </w:p>
    <w:p w14:paraId="089E844C" w14:textId="7D47D800" w:rsidR="00861D11" w:rsidRPr="00FB0891" w:rsidRDefault="003A059D" w:rsidP="00861D11">
      <w:pPr>
        <w:spacing w:line="240" w:lineRule="auto"/>
        <w:rPr>
          <w:rFonts w:eastAsia="Times New Roman" w:cs="Arial"/>
          <w:sz w:val="28"/>
          <w:szCs w:val="24"/>
          <w:lang w:eastAsia="bg-BG"/>
        </w:rPr>
      </w:pPr>
      <w:r w:rsidRPr="00FB0891">
        <w:rPr>
          <w:rFonts w:eastAsia="Times New Roman" w:cs="Arial"/>
          <w:color w:val="000000"/>
          <w:szCs w:val="20"/>
          <w:u w:val="single"/>
          <w:lang w:eastAsia="bg-BG"/>
        </w:rPr>
        <w:t>Клинична ефикасност и безопасност</w:t>
      </w:r>
    </w:p>
    <w:p w14:paraId="640A42EB" w14:textId="232CCC18" w:rsidR="00861D11" w:rsidRPr="00FB0891" w:rsidRDefault="00861D11" w:rsidP="00861D11">
      <w:pPr>
        <w:spacing w:line="240" w:lineRule="auto"/>
        <w:rPr>
          <w:rFonts w:eastAsia="Times New Roman" w:cs="Arial"/>
          <w:i/>
          <w:sz w:val="28"/>
          <w:szCs w:val="24"/>
          <w:lang w:eastAsia="bg-BG"/>
        </w:rPr>
      </w:pPr>
      <w:r w:rsidRPr="00FB0891">
        <w:rPr>
          <w:rFonts w:eastAsia="Times New Roman" w:cs="Arial"/>
          <w:i/>
          <w:color w:val="000000"/>
          <w:szCs w:val="20"/>
          <w:lang w:eastAsia="bg-BG"/>
        </w:rPr>
        <w:t>Хронична лимфоцитна левкемия</w:t>
      </w:r>
    </w:p>
    <w:p w14:paraId="78B6121A"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Показанието за употреба при хронична лимфоцитна левкемия се подкрепя от открито проучване, сравняващо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с </w:t>
      </w:r>
      <w:proofErr w:type="spellStart"/>
      <w:r w:rsidRPr="00FB0891">
        <w:rPr>
          <w:rFonts w:eastAsia="Times New Roman" w:cs="Arial"/>
          <w:color w:val="000000"/>
          <w:szCs w:val="20"/>
          <w:lang w:eastAsia="bg-BG"/>
        </w:rPr>
        <w:t>хлорамбуцил</w:t>
      </w:r>
      <w:proofErr w:type="spellEnd"/>
      <w:r w:rsidRPr="00FB0891">
        <w:rPr>
          <w:rFonts w:eastAsia="Times New Roman" w:cs="Arial"/>
          <w:color w:val="000000"/>
          <w:szCs w:val="20"/>
          <w:lang w:eastAsia="bg-BG"/>
        </w:rPr>
        <w:t xml:space="preserve">. В </w:t>
      </w:r>
      <w:proofErr w:type="spellStart"/>
      <w:r w:rsidRPr="00FB0891">
        <w:rPr>
          <w:rFonts w:eastAsia="Times New Roman" w:cs="Arial"/>
          <w:color w:val="000000"/>
          <w:szCs w:val="20"/>
          <w:lang w:eastAsia="bg-BG"/>
        </w:rPr>
        <w:t>проспективно</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многоцентрово</w:t>
      </w:r>
      <w:proofErr w:type="spellEnd"/>
      <w:r w:rsidRPr="00FB0891">
        <w:rPr>
          <w:rFonts w:eastAsia="Times New Roman" w:cs="Arial"/>
          <w:color w:val="000000"/>
          <w:szCs w:val="20"/>
          <w:lang w:eastAsia="bg-BG"/>
        </w:rPr>
        <w:t xml:space="preserve">, рандомизирано проучване са включени 319 </w:t>
      </w:r>
      <w:proofErr w:type="spellStart"/>
      <w:r w:rsidRPr="00FB0891">
        <w:rPr>
          <w:rFonts w:eastAsia="Times New Roman" w:cs="Arial"/>
          <w:color w:val="000000"/>
          <w:szCs w:val="20"/>
          <w:lang w:eastAsia="bg-BG"/>
        </w:rPr>
        <w:t>нелекувани</w:t>
      </w:r>
      <w:proofErr w:type="spellEnd"/>
      <w:r w:rsidRPr="00FB0891">
        <w:rPr>
          <w:rFonts w:eastAsia="Times New Roman" w:cs="Arial"/>
          <w:color w:val="000000"/>
          <w:szCs w:val="20"/>
          <w:lang w:eastAsia="bg-BG"/>
        </w:rPr>
        <w:t xml:space="preserve"> преди това пациенти с хронична лимфоцитна левкемия със степен В или С по </w:t>
      </w:r>
      <w:proofErr w:type="spellStart"/>
      <w:r w:rsidRPr="00FB0891">
        <w:rPr>
          <w:rFonts w:eastAsia="Times New Roman" w:cs="Arial"/>
          <w:color w:val="000000"/>
          <w:szCs w:val="20"/>
        </w:rPr>
        <w:t>Binet</w:t>
      </w:r>
      <w:proofErr w:type="spellEnd"/>
      <w:r w:rsidRPr="00FB0891">
        <w:rPr>
          <w:rFonts w:eastAsia="Times New Roman" w:cs="Arial"/>
          <w:color w:val="000000"/>
          <w:szCs w:val="20"/>
        </w:rPr>
        <w:t xml:space="preserve">, </w:t>
      </w:r>
      <w:r w:rsidRPr="00FB0891">
        <w:rPr>
          <w:rFonts w:eastAsia="Times New Roman" w:cs="Arial"/>
          <w:color w:val="000000"/>
          <w:szCs w:val="20"/>
          <w:lang w:eastAsia="bg-BG"/>
        </w:rPr>
        <w:t xml:space="preserve">които се нуждаят от лечение. Терапията от първа линия с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100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интравенозно на ден 1 и 2 </w:t>
      </w:r>
      <w:r w:rsidRPr="00FB0891">
        <w:rPr>
          <w:rFonts w:eastAsia="Times New Roman" w:cs="Arial"/>
          <w:color w:val="000000"/>
          <w:szCs w:val="20"/>
        </w:rPr>
        <w:t xml:space="preserve">(BEN) </w:t>
      </w:r>
      <w:r w:rsidRPr="00FB0891">
        <w:rPr>
          <w:rFonts w:eastAsia="Times New Roman" w:cs="Arial"/>
          <w:color w:val="000000"/>
          <w:szCs w:val="20"/>
          <w:lang w:eastAsia="bg-BG"/>
        </w:rPr>
        <w:t xml:space="preserve">е сравнена с лечението с </w:t>
      </w:r>
      <w:proofErr w:type="spellStart"/>
      <w:r w:rsidRPr="00FB0891">
        <w:rPr>
          <w:rFonts w:eastAsia="Times New Roman" w:cs="Arial"/>
          <w:color w:val="000000"/>
          <w:szCs w:val="20"/>
          <w:lang w:eastAsia="bg-BG"/>
        </w:rPr>
        <w:t>хлорамбуцил</w:t>
      </w:r>
      <w:proofErr w:type="spellEnd"/>
      <w:r w:rsidRPr="00FB0891">
        <w:rPr>
          <w:rFonts w:eastAsia="Times New Roman" w:cs="Arial"/>
          <w:color w:val="000000"/>
          <w:szCs w:val="20"/>
          <w:lang w:eastAsia="bg-BG"/>
        </w:rPr>
        <w:t xml:space="preserve"> 0,8 </w:t>
      </w:r>
      <w:proofErr w:type="spellStart"/>
      <w:r w:rsidRPr="00FB0891">
        <w:rPr>
          <w:rFonts w:eastAsia="Times New Roman" w:cs="Arial"/>
          <w:color w:val="000000"/>
          <w:szCs w:val="20"/>
        </w:rPr>
        <w:t>mg</w:t>
      </w:r>
      <w:proofErr w:type="spellEnd"/>
      <w:r w:rsidRPr="00FB0891">
        <w:rPr>
          <w:rFonts w:eastAsia="Times New Roman" w:cs="Arial"/>
          <w:color w:val="000000"/>
          <w:szCs w:val="20"/>
        </w:rPr>
        <w:t>/</w:t>
      </w:r>
      <w:proofErr w:type="spellStart"/>
      <w:r w:rsidRPr="00FB0891">
        <w:rPr>
          <w:rFonts w:eastAsia="Times New Roman" w:cs="Arial"/>
          <w:color w:val="000000"/>
          <w:szCs w:val="20"/>
        </w:rPr>
        <w:t>kg</w:t>
      </w:r>
      <w:proofErr w:type="spellEnd"/>
      <w:r w:rsidRPr="00FB0891">
        <w:rPr>
          <w:rFonts w:eastAsia="Times New Roman" w:cs="Arial"/>
          <w:color w:val="000000"/>
          <w:szCs w:val="20"/>
        </w:rPr>
        <w:t xml:space="preserve"> </w:t>
      </w:r>
      <w:r w:rsidRPr="00FB0891">
        <w:rPr>
          <w:rFonts w:eastAsia="Times New Roman" w:cs="Arial"/>
          <w:color w:val="000000"/>
          <w:szCs w:val="20"/>
          <w:lang w:eastAsia="bg-BG"/>
        </w:rPr>
        <w:t xml:space="preserve">на дни 1 и 15 </w:t>
      </w:r>
      <w:r w:rsidRPr="00FB0891">
        <w:rPr>
          <w:rFonts w:eastAsia="Times New Roman" w:cs="Arial"/>
          <w:color w:val="000000"/>
          <w:szCs w:val="20"/>
        </w:rPr>
        <w:t xml:space="preserve">(CLB) </w:t>
      </w:r>
      <w:r w:rsidRPr="00FB0891">
        <w:rPr>
          <w:rFonts w:eastAsia="Times New Roman" w:cs="Arial"/>
          <w:color w:val="000000"/>
          <w:szCs w:val="20"/>
          <w:lang w:eastAsia="bg-BG"/>
        </w:rPr>
        <w:t xml:space="preserve">в продължение на 6 цикъла в двете рамена. За профилактика на синдром на туморно разпадане пациентите са получавали </w:t>
      </w:r>
      <w:proofErr w:type="spellStart"/>
      <w:r w:rsidRPr="00FB0891">
        <w:rPr>
          <w:rFonts w:eastAsia="Times New Roman" w:cs="Arial"/>
          <w:color w:val="000000"/>
          <w:szCs w:val="20"/>
          <w:lang w:eastAsia="bg-BG"/>
        </w:rPr>
        <w:t>алопуринол</w:t>
      </w:r>
      <w:proofErr w:type="spellEnd"/>
      <w:r w:rsidRPr="00FB0891">
        <w:rPr>
          <w:rFonts w:eastAsia="Times New Roman" w:cs="Arial"/>
          <w:color w:val="000000"/>
          <w:szCs w:val="20"/>
          <w:lang w:eastAsia="bg-BG"/>
        </w:rPr>
        <w:t>.</w:t>
      </w:r>
    </w:p>
    <w:p w14:paraId="7BE15C63" w14:textId="625D13EF"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При лекуваните с </w:t>
      </w:r>
      <w:r w:rsidRPr="00FB0891">
        <w:rPr>
          <w:rFonts w:eastAsia="Times New Roman" w:cs="Arial"/>
          <w:color w:val="000000"/>
          <w:szCs w:val="20"/>
        </w:rPr>
        <w:t xml:space="preserve">BEN </w:t>
      </w:r>
      <w:r w:rsidRPr="00FB0891">
        <w:rPr>
          <w:rFonts w:eastAsia="Times New Roman" w:cs="Arial"/>
          <w:color w:val="000000"/>
          <w:szCs w:val="20"/>
          <w:lang w:eastAsia="bg-BG"/>
        </w:rPr>
        <w:t xml:space="preserve">пациенти, медианата на преживяемост без прогресия на заболяването е значително по-дълга, отколкото при пациенти, провели лечение с </w:t>
      </w:r>
      <w:r w:rsidRPr="00FB0891">
        <w:rPr>
          <w:rFonts w:eastAsia="Times New Roman" w:cs="Arial"/>
          <w:color w:val="000000"/>
          <w:szCs w:val="20"/>
        </w:rPr>
        <w:t xml:space="preserve">CLB </w:t>
      </w:r>
      <w:r w:rsidRPr="00FB0891">
        <w:rPr>
          <w:rFonts w:eastAsia="Times New Roman" w:cs="Arial"/>
          <w:color w:val="000000"/>
          <w:szCs w:val="20"/>
          <w:lang w:eastAsia="bg-BG"/>
        </w:rPr>
        <w:t xml:space="preserve">(21,5 спрямо 8,3 месеца, р&lt;0,0001 при последното проследяване). Разликата в общата преживяемост не е статистически значима (медиана не се достига). Медианата на продължителността на ремисия е била 19 месеца за лечението с </w:t>
      </w:r>
      <w:r w:rsidRPr="00FB0891">
        <w:rPr>
          <w:rFonts w:eastAsia="Times New Roman" w:cs="Arial"/>
          <w:color w:val="000000"/>
          <w:szCs w:val="20"/>
        </w:rPr>
        <w:t xml:space="preserve">BEN </w:t>
      </w:r>
      <w:r w:rsidRPr="00FB0891">
        <w:rPr>
          <w:rFonts w:eastAsia="Times New Roman" w:cs="Arial"/>
          <w:color w:val="000000"/>
          <w:szCs w:val="20"/>
          <w:lang w:eastAsia="bg-BG"/>
        </w:rPr>
        <w:t xml:space="preserve">и 6 месеца за лечението с </w:t>
      </w:r>
      <w:r w:rsidRPr="00FB0891">
        <w:rPr>
          <w:rFonts w:eastAsia="Times New Roman" w:cs="Arial"/>
          <w:color w:val="000000"/>
          <w:szCs w:val="20"/>
        </w:rPr>
        <w:t xml:space="preserve">CLB </w:t>
      </w:r>
      <w:r w:rsidRPr="00FB0891">
        <w:rPr>
          <w:rFonts w:eastAsia="Times New Roman" w:cs="Arial"/>
          <w:color w:val="000000"/>
          <w:szCs w:val="20"/>
          <w:lang w:eastAsia="bg-BG"/>
        </w:rPr>
        <w:t xml:space="preserve">(р &lt; 0,0001). При оценката на безопасността и в двете рамена на лечение не са наблюдавани неочаквани по естество и честота нежелани лекарствени реакции. Дозата на </w:t>
      </w:r>
      <w:r w:rsidRPr="00FB0891">
        <w:rPr>
          <w:rFonts w:eastAsia="Times New Roman" w:cs="Arial"/>
          <w:color w:val="000000"/>
          <w:szCs w:val="20"/>
        </w:rPr>
        <w:t xml:space="preserve">BEN </w:t>
      </w:r>
      <w:r w:rsidRPr="00FB0891">
        <w:rPr>
          <w:rFonts w:eastAsia="Times New Roman" w:cs="Arial"/>
          <w:color w:val="000000"/>
          <w:szCs w:val="20"/>
          <w:lang w:eastAsia="bg-BG"/>
        </w:rPr>
        <w:t xml:space="preserve">е понижена при 34% от пациентите. Лечението с </w:t>
      </w:r>
      <w:r w:rsidRPr="00FB0891">
        <w:rPr>
          <w:rFonts w:eastAsia="Times New Roman" w:cs="Arial"/>
          <w:color w:val="000000"/>
          <w:szCs w:val="20"/>
        </w:rPr>
        <w:t xml:space="preserve">BEN </w:t>
      </w:r>
      <w:r w:rsidRPr="00FB0891">
        <w:rPr>
          <w:rFonts w:eastAsia="Times New Roman" w:cs="Arial"/>
          <w:color w:val="000000"/>
          <w:szCs w:val="20"/>
          <w:lang w:eastAsia="bg-BG"/>
        </w:rPr>
        <w:t>е преустановено при 3,9% от пациентите, поради алергични реакции.</w:t>
      </w:r>
    </w:p>
    <w:p w14:paraId="003F9B13" w14:textId="77777777" w:rsidR="00861D11" w:rsidRPr="00FB0891" w:rsidRDefault="00861D11" w:rsidP="00861D11">
      <w:pPr>
        <w:spacing w:line="240" w:lineRule="auto"/>
        <w:rPr>
          <w:rFonts w:eastAsia="Times New Roman" w:cs="Arial"/>
          <w:color w:val="000000"/>
          <w:szCs w:val="20"/>
          <w:u w:val="single"/>
          <w:lang w:eastAsia="bg-BG"/>
        </w:rPr>
      </w:pPr>
    </w:p>
    <w:p w14:paraId="0FA2465E" w14:textId="2EBF08C3" w:rsidR="00861D11" w:rsidRPr="00FB0891" w:rsidRDefault="003A059D" w:rsidP="00861D11">
      <w:pPr>
        <w:spacing w:line="240" w:lineRule="auto"/>
        <w:rPr>
          <w:rFonts w:eastAsia="Times New Roman" w:cs="Arial"/>
          <w:i/>
          <w:sz w:val="28"/>
          <w:szCs w:val="24"/>
          <w:lang w:eastAsia="bg-BG"/>
        </w:rPr>
      </w:pPr>
      <w:r w:rsidRPr="00FB0891">
        <w:rPr>
          <w:rFonts w:eastAsia="Times New Roman" w:cs="Arial"/>
          <w:i/>
          <w:color w:val="000000"/>
          <w:szCs w:val="20"/>
          <w:lang w:eastAsia="bg-BG"/>
        </w:rPr>
        <w:t xml:space="preserve">Бавноразвиващи се </w:t>
      </w:r>
      <w:proofErr w:type="spellStart"/>
      <w:r w:rsidRPr="00FB0891">
        <w:rPr>
          <w:rFonts w:eastAsia="Times New Roman" w:cs="Arial"/>
          <w:i/>
          <w:color w:val="000000"/>
          <w:szCs w:val="20"/>
          <w:lang w:eastAsia="bg-BG"/>
        </w:rPr>
        <w:t>неходжкинови</w:t>
      </w:r>
      <w:proofErr w:type="spellEnd"/>
      <w:r w:rsidRPr="00FB0891">
        <w:rPr>
          <w:rFonts w:eastAsia="Times New Roman" w:cs="Arial"/>
          <w:i/>
          <w:color w:val="000000"/>
          <w:szCs w:val="20"/>
          <w:lang w:eastAsia="bg-BG"/>
        </w:rPr>
        <w:t xml:space="preserve"> </w:t>
      </w:r>
      <w:proofErr w:type="spellStart"/>
      <w:r w:rsidRPr="00FB0891">
        <w:rPr>
          <w:rFonts w:eastAsia="Times New Roman" w:cs="Arial"/>
          <w:i/>
          <w:color w:val="000000"/>
          <w:szCs w:val="20"/>
          <w:lang w:eastAsia="bg-BG"/>
        </w:rPr>
        <w:t>лимфони</w:t>
      </w:r>
      <w:proofErr w:type="spellEnd"/>
    </w:p>
    <w:p w14:paraId="5F723620"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Показанието за лечение на </w:t>
      </w:r>
      <w:proofErr w:type="spellStart"/>
      <w:r w:rsidRPr="00FB0891">
        <w:rPr>
          <w:rFonts w:eastAsia="Times New Roman" w:cs="Arial"/>
          <w:color w:val="000000"/>
          <w:szCs w:val="20"/>
          <w:lang w:eastAsia="bg-BG"/>
        </w:rPr>
        <w:t>индолентен</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нехочкинов</w:t>
      </w:r>
      <w:proofErr w:type="spellEnd"/>
      <w:r w:rsidRPr="00FB0891">
        <w:rPr>
          <w:rFonts w:eastAsia="Times New Roman" w:cs="Arial"/>
          <w:color w:val="000000"/>
          <w:szCs w:val="20"/>
          <w:lang w:eastAsia="bg-BG"/>
        </w:rPr>
        <w:t xml:space="preserve"> лимфом се подкрепя от две неконтролирани проучвания фаза II.</w:t>
      </w:r>
    </w:p>
    <w:p w14:paraId="3B934962"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 основното </w:t>
      </w:r>
      <w:proofErr w:type="spellStart"/>
      <w:r w:rsidRPr="00FB0891">
        <w:rPr>
          <w:rFonts w:eastAsia="Times New Roman" w:cs="Arial"/>
          <w:color w:val="000000"/>
          <w:szCs w:val="20"/>
          <w:lang w:eastAsia="bg-BG"/>
        </w:rPr>
        <w:t>проспективно</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многоцентрово</w:t>
      </w:r>
      <w:proofErr w:type="spellEnd"/>
      <w:r w:rsidRPr="00FB0891">
        <w:rPr>
          <w:rFonts w:eastAsia="Times New Roman" w:cs="Arial"/>
          <w:color w:val="000000"/>
          <w:szCs w:val="20"/>
          <w:lang w:eastAsia="bg-BG"/>
        </w:rPr>
        <w:t xml:space="preserve">, открито проучване 100 пациенти с </w:t>
      </w:r>
      <w:proofErr w:type="spellStart"/>
      <w:r w:rsidRPr="00FB0891">
        <w:rPr>
          <w:rFonts w:eastAsia="Times New Roman" w:cs="Arial"/>
          <w:color w:val="000000"/>
          <w:szCs w:val="20"/>
          <w:lang w:eastAsia="bg-BG"/>
        </w:rPr>
        <w:t>индолентни</w:t>
      </w:r>
      <w:proofErr w:type="spellEnd"/>
      <w:r w:rsidRPr="00FB0891">
        <w:rPr>
          <w:rFonts w:eastAsia="Times New Roman" w:cs="Arial"/>
          <w:color w:val="000000"/>
          <w:szCs w:val="20"/>
          <w:lang w:eastAsia="bg-BG"/>
        </w:rPr>
        <w:t xml:space="preserve"> В- клетъчни </w:t>
      </w:r>
      <w:proofErr w:type="spellStart"/>
      <w:r w:rsidRPr="00FB0891">
        <w:rPr>
          <w:rFonts w:eastAsia="Times New Roman" w:cs="Arial"/>
          <w:color w:val="000000"/>
          <w:szCs w:val="20"/>
          <w:lang w:eastAsia="bg-BG"/>
        </w:rPr>
        <w:t>нехочкинови</w:t>
      </w:r>
      <w:proofErr w:type="spellEnd"/>
      <w:r w:rsidRPr="00FB0891">
        <w:rPr>
          <w:rFonts w:eastAsia="Times New Roman" w:cs="Arial"/>
          <w:color w:val="000000"/>
          <w:szCs w:val="20"/>
          <w:lang w:eastAsia="bg-BG"/>
        </w:rPr>
        <w:t xml:space="preserve"> лимфоми, </w:t>
      </w:r>
      <w:proofErr w:type="spellStart"/>
      <w:r w:rsidRPr="00FB0891">
        <w:rPr>
          <w:rFonts w:eastAsia="Times New Roman" w:cs="Arial"/>
          <w:color w:val="000000"/>
          <w:szCs w:val="20"/>
          <w:lang w:eastAsia="bg-BG"/>
        </w:rPr>
        <w:t>рефрактерни</w:t>
      </w:r>
      <w:proofErr w:type="spellEnd"/>
      <w:r w:rsidRPr="00FB0891">
        <w:rPr>
          <w:rFonts w:eastAsia="Times New Roman" w:cs="Arial"/>
          <w:color w:val="000000"/>
          <w:szCs w:val="20"/>
          <w:lang w:eastAsia="bg-BG"/>
        </w:rPr>
        <w:t xml:space="preserve"> на моно- или комбинирана терапия с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са лекувани с </w:t>
      </w:r>
      <w:r w:rsidRPr="00FB0891">
        <w:rPr>
          <w:rFonts w:eastAsia="Times New Roman" w:cs="Arial"/>
          <w:color w:val="000000"/>
          <w:szCs w:val="20"/>
        </w:rPr>
        <w:t xml:space="preserve">BEN, </w:t>
      </w:r>
      <w:r w:rsidRPr="00FB0891">
        <w:rPr>
          <w:rFonts w:eastAsia="Times New Roman" w:cs="Arial"/>
          <w:color w:val="000000"/>
          <w:szCs w:val="20"/>
          <w:lang w:eastAsia="bg-BG"/>
        </w:rPr>
        <w:t xml:space="preserve">като </w:t>
      </w:r>
      <w:proofErr w:type="spellStart"/>
      <w:r w:rsidRPr="00FB0891">
        <w:rPr>
          <w:rFonts w:eastAsia="Times New Roman" w:cs="Arial"/>
          <w:color w:val="000000"/>
          <w:szCs w:val="20"/>
          <w:lang w:eastAsia="bg-BG"/>
        </w:rPr>
        <w:t>монотерапия</w:t>
      </w:r>
      <w:proofErr w:type="spellEnd"/>
      <w:r w:rsidRPr="00FB0891">
        <w:rPr>
          <w:rFonts w:eastAsia="Times New Roman" w:cs="Arial"/>
          <w:color w:val="000000"/>
          <w:szCs w:val="20"/>
          <w:lang w:eastAsia="bg-BG"/>
        </w:rPr>
        <w:t xml:space="preserve">. Медианата на броя предишни курсове на химиотерапия или биологична терапия, които пациентите са получавали е 3. Медианата на броя на предишните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съдържащи курсове е 2. Пациентите не са отговорили на лечението или са имали прогрес на заболяването в рамките на 6 месеца след лечението с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Дозата на </w:t>
      </w:r>
      <w:r w:rsidRPr="00FB0891">
        <w:rPr>
          <w:rFonts w:eastAsia="Times New Roman" w:cs="Arial"/>
          <w:color w:val="000000"/>
          <w:szCs w:val="20"/>
        </w:rPr>
        <w:t xml:space="preserve">BEN </w:t>
      </w:r>
      <w:r w:rsidRPr="00FB0891">
        <w:rPr>
          <w:rFonts w:eastAsia="Times New Roman" w:cs="Arial"/>
          <w:color w:val="000000"/>
          <w:szCs w:val="20"/>
          <w:lang w:eastAsia="bg-BG"/>
        </w:rPr>
        <w:t xml:space="preserve">е 120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интравенозно в дните 1 и 2, планирана за най-малко 6 цикъла. Продължителността на лечението зависи от отговора (6 планирани цикъла). Според оценка на Комисията за независим преглед общият клиничен отговор е 75%, включително 17% пълен </w:t>
      </w:r>
      <w:r w:rsidRPr="00FB0891">
        <w:rPr>
          <w:rFonts w:eastAsia="Times New Roman" w:cs="Arial"/>
          <w:color w:val="000000"/>
          <w:szCs w:val="20"/>
        </w:rPr>
        <w:t xml:space="preserve">(CR </w:t>
      </w:r>
      <w:r w:rsidRPr="00FB0891">
        <w:rPr>
          <w:rFonts w:eastAsia="Times New Roman" w:cs="Arial"/>
          <w:color w:val="000000"/>
          <w:szCs w:val="20"/>
          <w:lang w:eastAsia="bg-BG"/>
        </w:rPr>
        <w:t xml:space="preserve">и </w:t>
      </w:r>
      <w:proofErr w:type="spellStart"/>
      <w:r w:rsidRPr="00FB0891">
        <w:rPr>
          <w:rFonts w:eastAsia="Times New Roman" w:cs="Arial"/>
          <w:color w:val="000000"/>
          <w:szCs w:val="20"/>
        </w:rPr>
        <w:t>CRu</w:t>
      </w:r>
      <w:proofErr w:type="spellEnd"/>
      <w:r w:rsidRPr="00FB0891">
        <w:rPr>
          <w:rFonts w:eastAsia="Times New Roman" w:cs="Arial"/>
          <w:color w:val="000000"/>
          <w:szCs w:val="20"/>
        </w:rPr>
        <w:t xml:space="preserve">) </w:t>
      </w:r>
      <w:r w:rsidRPr="00FB0891">
        <w:rPr>
          <w:rFonts w:eastAsia="Times New Roman" w:cs="Arial"/>
          <w:color w:val="000000"/>
          <w:szCs w:val="20"/>
          <w:lang w:eastAsia="bg-BG"/>
        </w:rPr>
        <w:t xml:space="preserve">и 58% частичен отговор. Медианата на продължителност на ремисията е 40 седмици. Когато се прилага в тази доза и схема на лечение </w:t>
      </w:r>
      <w:r w:rsidRPr="00FB0891">
        <w:rPr>
          <w:rFonts w:eastAsia="Times New Roman" w:cs="Arial"/>
          <w:color w:val="000000"/>
          <w:szCs w:val="20"/>
        </w:rPr>
        <w:t xml:space="preserve">BEN </w:t>
      </w:r>
      <w:r w:rsidRPr="00FB0891">
        <w:rPr>
          <w:rFonts w:eastAsia="Times New Roman" w:cs="Arial"/>
          <w:color w:val="000000"/>
          <w:szCs w:val="20"/>
          <w:lang w:eastAsia="bg-BG"/>
        </w:rPr>
        <w:t>като цяло се понася добре.</w:t>
      </w:r>
    </w:p>
    <w:p w14:paraId="63AB1FD2" w14:textId="77777777" w:rsidR="00861D11" w:rsidRPr="00FB0891" w:rsidRDefault="00861D11" w:rsidP="00861D11">
      <w:pPr>
        <w:spacing w:line="240" w:lineRule="auto"/>
        <w:rPr>
          <w:rFonts w:eastAsia="Times New Roman" w:cs="Arial"/>
          <w:color w:val="000000"/>
          <w:szCs w:val="20"/>
          <w:lang w:eastAsia="bg-BG"/>
        </w:rPr>
      </w:pPr>
    </w:p>
    <w:p w14:paraId="1C7313B0" w14:textId="057B3BA0"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Индикацията е допълнително подкрепена от друго </w:t>
      </w:r>
      <w:proofErr w:type="spellStart"/>
      <w:r w:rsidRPr="00FB0891">
        <w:rPr>
          <w:rFonts w:eastAsia="Times New Roman" w:cs="Arial"/>
          <w:color w:val="000000"/>
          <w:szCs w:val="20"/>
          <w:lang w:eastAsia="bg-BG"/>
        </w:rPr>
        <w:t>проспективно</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многоцентрово</w:t>
      </w:r>
      <w:proofErr w:type="spellEnd"/>
      <w:r w:rsidRPr="00FB0891">
        <w:rPr>
          <w:rFonts w:eastAsia="Times New Roman" w:cs="Arial"/>
          <w:color w:val="000000"/>
          <w:szCs w:val="20"/>
          <w:lang w:eastAsia="bg-BG"/>
        </w:rPr>
        <w:t xml:space="preserve">, открито проучване, включващо 77 пациенти. Популацията пациенти е по-разнородна и включва: </w:t>
      </w:r>
      <w:proofErr w:type="spellStart"/>
      <w:r w:rsidRPr="00FB0891">
        <w:rPr>
          <w:rFonts w:eastAsia="Times New Roman" w:cs="Arial"/>
          <w:color w:val="000000"/>
          <w:szCs w:val="20"/>
          <w:lang w:eastAsia="bg-BG"/>
        </w:rPr>
        <w:t>индолентни</w:t>
      </w:r>
      <w:proofErr w:type="spellEnd"/>
      <w:r w:rsidRPr="00FB0891">
        <w:rPr>
          <w:rFonts w:eastAsia="Times New Roman" w:cs="Arial"/>
          <w:color w:val="000000"/>
          <w:szCs w:val="20"/>
          <w:lang w:eastAsia="bg-BG"/>
        </w:rPr>
        <w:t xml:space="preserve"> или трансформирани В-</w:t>
      </w:r>
      <w:proofErr w:type="spellStart"/>
      <w:r w:rsidRPr="00FB0891">
        <w:rPr>
          <w:rFonts w:eastAsia="Times New Roman" w:cs="Arial"/>
          <w:color w:val="000000"/>
          <w:szCs w:val="20"/>
          <w:lang w:eastAsia="bg-BG"/>
        </w:rPr>
        <w:t>клетьчни</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нехочкинови</w:t>
      </w:r>
      <w:proofErr w:type="spellEnd"/>
      <w:r w:rsidRPr="00FB0891">
        <w:rPr>
          <w:rFonts w:eastAsia="Times New Roman" w:cs="Arial"/>
          <w:color w:val="000000"/>
          <w:szCs w:val="20"/>
          <w:lang w:eastAsia="bg-BG"/>
        </w:rPr>
        <w:t xml:space="preserve"> лимфоми, </w:t>
      </w:r>
      <w:proofErr w:type="spellStart"/>
      <w:r w:rsidRPr="00FB0891">
        <w:rPr>
          <w:rFonts w:eastAsia="Times New Roman" w:cs="Arial"/>
          <w:color w:val="000000"/>
          <w:szCs w:val="20"/>
          <w:lang w:eastAsia="bg-BG"/>
        </w:rPr>
        <w:t>рефрактерни</w:t>
      </w:r>
      <w:proofErr w:type="spellEnd"/>
      <w:r w:rsidRPr="00FB0891">
        <w:rPr>
          <w:rFonts w:eastAsia="Times New Roman" w:cs="Arial"/>
          <w:color w:val="000000"/>
          <w:szCs w:val="20"/>
          <w:lang w:eastAsia="bg-BG"/>
        </w:rPr>
        <w:t xml:space="preserve"> на моно- или комбинирана терапия с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Пациентите не са се повлияли от лечението с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или са имали прогресия на заболяването в рамките на 6 месеца, или са имали нежелана лекарствена реакция към предишно лечение с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Медианата на броя на курсовете химиотерапия или биологична терапия, които пациентите са получили е 3. Медианата на броя на предишните курсове </w:t>
      </w:r>
      <w:proofErr w:type="spellStart"/>
      <w:r w:rsidRPr="00FB0891">
        <w:rPr>
          <w:rFonts w:eastAsia="Times New Roman" w:cs="Arial"/>
          <w:color w:val="000000"/>
          <w:szCs w:val="20"/>
          <w:lang w:eastAsia="bg-BG"/>
        </w:rPr>
        <w:t>курсове</w:t>
      </w:r>
      <w:proofErr w:type="spellEnd"/>
      <w:r w:rsidRPr="00FB0891">
        <w:rPr>
          <w:rFonts w:eastAsia="Times New Roman" w:cs="Arial"/>
          <w:color w:val="000000"/>
          <w:szCs w:val="20"/>
          <w:lang w:eastAsia="bg-BG"/>
        </w:rPr>
        <w:t xml:space="preserve">, съдържащи </w:t>
      </w:r>
      <w:proofErr w:type="spellStart"/>
      <w:r w:rsidRPr="00FB0891">
        <w:rPr>
          <w:rFonts w:eastAsia="Times New Roman" w:cs="Arial"/>
          <w:color w:val="000000"/>
          <w:szCs w:val="20"/>
          <w:lang w:eastAsia="bg-BG"/>
        </w:rPr>
        <w:t>ритуксимаб</w:t>
      </w:r>
      <w:proofErr w:type="spellEnd"/>
      <w:r w:rsidRPr="00FB0891">
        <w:rPr>
          <w:rFonts w:eastAsia="Times New Roman" w:cs="Arial"/>
          <w:color w:val="000000"/>
          <w:szCs w:val="20"/>
          <w:lang w:eastAsia="bg-BG"/>
        </w:rPr>
        <w:t xml:space="preserve"> е 2. Общият клиничен отговор е 76%, с медиана на продължителността на отговора от 5 месеца (29 [95% </w:t>
      </w:r>
      <w:r w:rsidRPr="00FB0891">
        <w:rPr>
          <w:rFonts w:eastAsia="Times New Roman" w:cs="Arial"/>
          <w:color w:val="000000"/>
          <w:szCs w:val="20"/>
        </w:rPr>
        <w:t xml:space="preserve">CI </w:t>
      </w:r>
      <w:r w:rsidRPr="00FB0891">
        <w:rPr>
          <w:rFonts w:eastAsia="Times New Roman" w:cs="Arial"/>
          <w:color w:val="000000"/>
          <w:szCs w:val="20"/>
          <w:lang w:eastAsia="bg-BG"/>
        </w:rPr>
        <w:t>22,1,43,1] седмици).</w:t>
      </w:r>
    </w:p>
    <w:p w14:paraId="4A057D16" w14:textId="77777777" w:rsidR="00861D11" w:rsidRPr="00FB0891" w:rsidRDefault="00861D11" w:rsidP="00861D11">
      <w:pPr>
        <w:spacing w:line="240" w:lineRule="auto"/>
        <w:rPr>
          <w:rFonts w:eastAsia="Times New Roman" w:cs="Arial"/>
          <w:color w:val="000000"/>
          <w:szCs w:val="20"/>
          <w:u w:val="single"/>
          <w:lang w:eastAsia="bg-BG"/>
        </w:rPr>
      </w:pPr>
    </w:p>
    <w:p w14:paraId="05C70DAC" w14:textId="2BA9E6C9" w:rsidR="00861D11" w:rsidRPr="00FB0891" w:rsidRDefault="00861D11" w:rsidP="00861D11">
      <w:pPr>
        <w:spacing w:line="240" w:lineRule="auto"/>
        <w:rPr>
          <w:rFonts w:eastAsia="Times New Roman" w:cs="Arial"/>
          <w:i/>
          <w:sz w:val="28"/>
          <w:szCs w:val="24"/>
          <w:lang w:eastAsia="bg-BG"/>
        </w:rPr>
      </w:pPr>
      <w:r w:rsidRPr="00FB0891">
        <w:rPr>
          <w:rFonts w:eastAsia="Times New Roman" w:cs="Arial"/>
          <w:i/>
          <w:color w:val="000000"/>
          <w:szCs w:val="20"/>
          <w:lang w:eastAsia="bg-BG"/>
        </w:rPr>
        <w:lastRenderedPageBreak/>
        <w:t>М</w:t>
      </w:r>
      <w:r w:rsidR="00E32A31" w:rsidRPr="00FB0891">
        <w:rPr>
          <w:rFonts w:eastAsia="Times New Roman" w:cs="Arial"/>
          <w:i/>
          <w:color w:val="000000"/>
          <w:szCs w:val="20"/>
          <w:lang w:eastAsia="bg-BG"/>
        </w:rPr>
        <w:t>ножествен</w:t>
      </w:r>
      <w:r w:rsidRPr="00FB0891">
        <w:rPr>
          <w:rFonts w:eastAsia="Times New Roman" w:cs="Arial"/>
          <w:i/>
          <w:color w:val="000000"/>
          <w:szCs w:val="20"/>
          <w:lang w:eastAsia="bg-BG"/>
        </w:rPr>
        <w:t xml:space="preserve"> миелом</w:t>
      </w:r>
    </w:p>
    <w:p w14:paraId="406444F1"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В </w:t>
      </w:r>
      <w:proofErr w:type="spellStart"/>
      <w:r w:rsidRPr="00FB0891">
        <w:rPr>
          <w:rFonts w:eastAsia="Times New Roman" w:cs="Arial"/>
          <w:color w:val="000000"/>
          <w:szCs w:val="20"/>
          <w:lang w:eastAsia="bg-BG"/>
        </w:rPr>
        <w:t>проспективно</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многоцентрово</w:t>
      </w:r>
      <w:proofErr w:type="spellEnd"/>
      <w:r w:rsidRPr="00FB0891">
        <w:rPr>
          <w:rFonts w:eastAsia="Times New Roman" w:cs="Arial"/>
          <w:color w:val="000000"/>
          <w:szCs w:val="20"/>
          <w:lang w:eastAsia="bg-BG"/>
        </w:rPr>
        <w:t xml:space="preserve">, рандомизирано, открито проучване са включени 131 пациенти с авансирал мултиплен миелом (с прогресия на заболяването стадий II или III по </w:t>
      </w:r>
      <w:proofErr w:type="spellStart"/>
      <w:r w:rsidRPr="00FB0891">
        <w:rPr>
          <w:rFonts w:eastAsia="Times New Roman" w:cs="Arial"/>
          <w:color w:val="000000"/>
          <w:szCs w:val="20"/>
        </w:rPr>
        <w:t>Durie-Salmon</w:t>
      </w:r>
      <w:proofErr w:type="spellEnd"/>
      <w:r w:rsidRPr="00FB0891">
        <w:rPr>
          <w:rFonts w:eastAsia="Times New Roman" w:cs="Arial"/>
          <w:color w:val="000000"/>
          <w:szCs w:val="20"/>
        </w:rPr>
        <w:t>).</w:t>
      </w:r>
    </w:p>
    <w:p w14:paraId="0152EF85" w14:textId="77777777" w:rsidR="00861D11" w:rsidRPr="00FB0891" w:rsidRDefault="00861D11" w:rsidP="00861D11">
      <w:pPr>
        <w:rPr>
          <w:rFonts w:eastAsia="Times New Roman" w:cs="Arial"/>
          <w:sz w:val="28"/>
          <w:szCs w:val="24"/>
          <w:lang w:eastAsia="bg-BG"/>
        </w:rPr>
      </w:pPr>
      <w:r w:rsidRPr="00FB0891">
        <w:rPr>
          <w:rFonts w:eastAsia="Times New Roman" w:cs="Arial"/>
          <w:color w:val="000000"/>
          <w:szCs w:val="20"/>
          <w:lang w:eastAsia="bg-BG"/>
        </w:rPr>
        <w:t xml:space="preserve">Лечението от първа линия с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в комбинация с </w:t>
      </w:r>
      <w:proofErr w:type="spellStart"/>
      <w:r w:rsidRPr="00FB0891">
        <w:rPr>
          <w:rFonts w:eastAsia="Times New Roman" w:cs="Arial"/>
          <w:color w:val="000000"/>
          <w:szCs w:val="20"/>
          <w:lang w:eastAsia="bg-BG"/>
        </w:rPr>
        <w:t>преднизон</w:t>
      </w:r>
      <w:proofErr w:type="spellEnd"/>
      <w:r w:rsidRPr="00FB0891">
        <w:rPr>
          <w:rFonts w:eastAsia="Times New Roman" w:cs="Arial"/>
          <w:color w:val="000000"/>
          <w:szCs w:val="20"/>
          <w:lang w:eastAsia="bg-BG"/>
        </w:rPr>
        <w:t xml:space="preserve"> (</w:t>
      </w:r>
      <w:r w:rsidRPr="00FB0891">
        <w:rPr>
          <w:rFonts w:eastAsia="Times New Roman" w:cs="Arial"/>
          <w:color w:val="000000"/>
          <w:szCs w:val="20"/>
        </w:rPr>
        <w:t xml:space="preserve">BP) </w:t>
      </w:r>
      <w:r w:rsidRPr="00FB0891">
        <w:rPr>
          <w:rFonts w:eastAsia="Times New Roman" w:cs="Arial"/>
          <w:color w:val="000000"/>
          <w:szCs w:val="20"/>
          <w:lang w:eastAsia="bg-BG"/>
        </w:rPr>
        <w:t xml:space="preserve">е 1сравнено с лечението с </w:t>
      </w:r>
      <w:proofErr w:type="spellStart"/>
      <w:r w:rsidRPr="00FB0891">
        <w:rPr>
          <w:rFonts w:eastAsia="Times New Roman" w:cs="Arial"/>
          <w:color w:val="000000"/>
          <w:szCs w:val="20"/>
          <w:lang w:eastAsia="bg-BG"/>
        </w:rPr>
        <w:t>мелфалан</w:t>
      </w:r>
      <w:proofErr w:type="spellEnd"/>
      <w:r w:rsidRPr="00FB0891">
        <w:rPr>
          <w:rFonts w:eastAsia="Times New Roman" w:cs="Arial"/>
          <w:color w:val="000000"/>
          <w:szCs w:val="20"/>
          <w:lang w:eastAsia="bg-BG"/>
        </w:rPr>
        <w:t xml:space="preserve"> и </w:t>
      </w:r>
      <w:proofErr w:type="spellStart"/>
      <w:r w:rsidRPr="00FB0891">
        <w:rPr>
          <w:rFonts w:eastAsia="Times New Roman" w:cs="Arial"/>
          <w:color w:val="000000"/>
          <w:szCs w:val="20"/>
          <w:lang w:eastAsia="bg-BG"/>
        </w:rPr>
        <w:t>преднизон</w:t>
      </w:r>
      <w:proofErr w:type="spellEnd"/>
      <w:r w:rsidRPr="00FB0891">
        <w:rPr>
          <w:rFonts w:eastAsia="Times New Roman" w:cs="Arial"/>
          <w:color w:val="000000"/>
          <w:szCs w:val="20"/>
          <w:lang w:eastAsia="bg-BG"/>
        </w:rPr>
        <w:t xml:space="preserve"> (МР). </w:t>
      </w:r>
      <w:proofErr w:type="spellStart"/>
      <w:r w:rsidRPr="00FB0891">
        <w:rPr>
          <w:rFonts w:eastAsia="Times New Roman" w:cs="Arial"/>
          <w:color w:val="000000"/>
          <w:szCs w:val="20"/>
          <w:lang w:eastAsia="bg-BG"/>
        </w:rPr>
        <w:t>Поносимостга</w:t>
      </w:r>
      <w:proofErr w:type="spellEnd"/>
      <w:r w:rsidRPr="00FB0891">
        <w:rPr>
          <w:rFonts w:eastAsia="Times New Roman" w:cs="Arial"/>
          <w:color w:val="000000"/>
          <w:szCs w:val="20"/>
          <w:lang w:eastAsia="bg-BG"/>
        </w:rPr>
        <w:t xml:space="preserve"> в двете терапевтични рамена е</w:t>
      </w:r>
      <w:r w:rsidRPr="00FB0891">
        <w:rPr>
          <w:rFonts w:eastAsia="Times New Roman" w:cs="Arial"/>
          <w:color w:val="000000"/>
          <w:sz w:val="24"/>
          <w:szCs w:val="20"/>
          <w:lang w:eastAsia="bg-BG"/>
        </w:rPr>
        <w:t xml:space="preserve"> </w:t>
      </w:r>
      <w:r w:rsidRPr="00FB0891">
        <w:rPr>
          <w:rFonts w:eastAsia="Times New Roman" w:cs="Arial"/>
          <w:color w:val="000000"/>
          <w:szCs w:val="20"/>
          <w:lang w:eastAsia="bg-BG"/>
        </w:rPr>
        <w:t xml:space="preserve">в съответствие с известния профил на безопасност на съответните лекарствени продукти със значително по-голямо намаляване на дозата в ВР рамото. Дозата </w:t>
      </w:r>
      <w:proofErr w:type="spellStart"/>
      <w:r w:rsidRPr="00FB0891">
        <w:rPr>
          <w:rFonts w:eastAsia="Times New Roman" w:cs="Arial"/>
          <w:color w:val="000000"/>
          <w:szCs w:val="20"/>
          <w:lang w:eastAsia="bg-BG"/>
        </w:rPr>
        <w:t>бендамустинов</w:t>
      </w:r>
      <w:proofErr w:type="spellEnd"/>
      <w:r w:rsidRPr="00FB0891">
        <w:rPr>
          <w:rFonts w:eastAsia="Times New Roman" w:cs="Arial"/>
          <w:color w:val="000000"/>
          <w:szCs w:val="20"/>
          <w:lang w:eastAsia="bg-BG"/>
        </w:rPr>
        <w:t xml:space="preserve"> хидрохлорид е 150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интравенозно на ден I и 2 или </w:t>
      </w:r>
      <w:proofErr w:type="spellStart"/>
      <w:r w:rsidRPr="00FB0891">
        <w:rPr>
          <w:rFonts w:eastAsia="Times New Roman" w:cs="Arial"/>
          <w:color w:val="000000"/>
          <w:szCs w:val="20"/>
          <w:lang w:eastAsia="bg-BG"/>
        </w:rPr>
        <w:t>мелфалан</w:t>
      </w:r>
      <w:proofErr w:type="spellEnd"/>
      <w:r w:rsidRPr="00FB0891">
        <w:rPr>
          <w:rFonts w:eastAsia="Times New Roman" w:cs="Arial"/>
          <w:color w:val="000000"/>
          <w:szCs w:val="20"/>
          <w:lang w:eastAsia="bg-BG"/>
        </w:rPr>
        <w:t xml:space="preserve"> 15 </w:t>
      </w:r>
      <w:proofErr w:type="spellStart"/>
      <w:r w:rsidRPr="00FB0891">
        <w:rPr>
          <w:rFonts w:eastAsia="Times New Roman" w:cs="Arial"/>
          <w:color w:val="000000"/>
          <w:szCs w:val="20"/>
        </w:rPr>
        <w:t>mg</w:t>
      </w:r>
      <w:proofErr w:type="spellEnd"/>
      <w:r w:rsidRPr="00FB0891">
        <w:rPr>
          <w:rFonts w:eastAsia="Times New Roman" w:cs="Arial"/>
          <w:color w:val="000000"/>
          <w:szCs w:val="20"/>
        </w:rPr>
        <w:t>/m</w:t>
      </w:r>
      <w:r w:rsidRPr="00FB0891">
        <w:rPr>
          <w:rFonts w:eastAsia="Times New Roman" w:cs="Arial"/>
          <w:color w:val="000000"/>
          <w:szCs w:val="20"/>
          <w:vertAlign w:val="superscript"/>
        </w:rPr>
        <w:t>2</w:t>
      </w:r>
      <w:r w:rsidRPr="00FB0891">
        <w:rPr>
          <w:rFonts w:eastAsia="Times New Roman" w:cs="Arial"/>
          <w:color w:val="000000"/>
          <w:szCs w:val="20"/>
        </w:rPr>
        <w:t xml:space="preserve"> </w:t>
      </w:r>
      <w:r w:rsidRPr="00FB0891">
        <w:rPr>
          <w:rFonts w:eastAsia="Times New Roman" w:cs="Arial"/>
          <w:color w:val="000000"/>
          <w:szCs w:val="20"/>
          <w:lang w:eastAsia="bg-BG"/>
        </w:rPr>
        <w:t xml:space="preserve">интравенозно на ден 1, всеки от тях в комбинация с </w:t>
      </w:r>
      <w:proofErr w:type="spellStart"/>
      <w:r w:rsidRPr="00FB0891">
        <w:rPr>
          <w:rFonts w:eastAsia="Times New Roman" w:cs="Arial"/>
          <w:color w:val="000000"/>
          <w:szCs w:val="20"/>
          <w:lang w:eastAsia="bg-BG"/>
        </w:rPr>
        <w:t>преднизон</w:t>
      </w:r>
      <w:proofErr w:type="spellEnd"/>
      <w:r w:rsidRPr="00FB0891">
        <w:rPr>
          <w:rFonts w:eastAsia="Times New Roman" w:cs="Arial"/>
          <w:color w:val="000000"/>
          <w:szCs w:val="20"/>
          <w:lang w:eastAsia="bg-BG"/>
        </w:rPr>
        <w:t>. Продължителността на лечението зависи от отговора и е средно 6,8 цикъла в групата на ВР и 8,7 цикъла в групата на МР.</w:t>
      </w:r>
    </w:p>
    <w:p w14:paraId="08DBA74C" w14:textId="77777777" w:rsidR="00861D11" w:rsidRPr="00FB0891" w:rsidRDefault="00861D11" w:rsidP="00861D11">
      <w:pPr>
        <w:rPr>
          <w:rFonts w:eastAsia="Times New Roman" w:cs="Arial"/>
          <w:color w:val="000000"/>
          <w:szCs w:val="20"/>
          <w:lang w:eastAsia="bg-BG"/>
        </w:rPr>
      </w:pPr>
    </w:p>
    <w:p w14:paraId="1CC971C9" w14:textId="60C1E0D8" w:rsidR="00861D11" w:rsidRPr="00FB0891" w:rsidRDefault="00861D11" w:rsidP="00861D11">
      <w:pPr>
        <w:rPr>
          <w:rFonts w:cs="Arial"/>
          <w:sz w:val="28"/>
        </w:rPr>
      </w:pPr>
      <w:r w:rsidRPr="00FB0891">
        <w:rPr>
          <w:rFonts w:eastAsia="Times New Roman" w:cs="Arial"/>
          <w:color w:val="000000"/>
          <w:szCs w:val="20"/>
          <w:lang w:eastAsia="bg-BG"/>
        </w:rPr>
        <w:t xml:space="preserve">Пациенти, провели лечение с ВР имат по-дълга медиана на преживяемост без прогресия, отколкото пациентите </w:t>
      </w:r>
      <w:proofErr w:type="spellStart"/>
      <w:r w:rsidRPr="00FB0891">
        <w:rPr>
          <w:rFonts w:eastAsia="Times New Roman" w:cs="Arial"/>
          <w:color w:val="000000"/>
          <w:szCs w:val="20"/>
          <w:lang w:eastAsia="bg-BG"/>
        </w:rPr>
        <w:t>налечениес</w:t>
      </w:r>
      <w:proofErr w:type="spellEnd"/>
      <w:r w:rsidRPr="00FB0891">
        <w:rPr>
          <w:rFonts w:eastAsia="Times New Roman" w:cs="Arial"/>
          <w:color w:val="000000"/>
          <w:szCs w:val="20"/>
          <w:lang w:eastAsia="bg-BG"/>
        </w:rPr>
        <w:t xml:space="preserve"> МР (15 [95% С1 12-21] спрямо 12 [95% С1 10-14] месеца) (р=0,056б). Медианата на времето до неуспех от лечението е 14 месеца с ВР и 9 месеца с лечението МР. Продължителността на ремисия е 18 месеца за лечение с ВР и 12 месеца за лечение с МР. Разликата в общата преживяемост не е статистически значима (35 месеца за ВР спрямо 33 месеца за МР). Поносимостта и в двете рамена на лечение е в съответствие с установения профил на безопасност на съответните лекарствени продукти, със значително по-голямо понижаваме на дозата в рамото на ВР.</w:t>
      </w:r>
    </w:p>
    <w:p w14:paraId="7B1CA701" w14:textId="77777777" w:rsidR="00861D11" w:rsidRPr="00FB0891" w:rsidRDefault="00861D11" w:rsidP="0091385D"/>
    <w:p w14:paraId="35F84B81" w14:textId="6423E5BB" w:rsidR="00CF77F7" w:rsidRPr="00FB0891" w:rsidRDefault="002C50EE" w:rsidP="004A448E">
      <w:pPr>
        <w:pStyle w:val="Heading2"/>
      </w:pPr>
      <w:r w:rsidRPr="00FB0891">
        <w:t>5.2. Фармакокинетични свойства</w:t>
      </w:r>
    </w:p>
    <w:p w14:paraId="5031193D" w14:textId="06A21EFE" w:rsidR="0091385D" w:rsidRPr="00FB0891" w:rsidRDefault="0091385D" w:rsidP="0091385D"/>
    <w:p w14:paraId="3F346F43" w14:textId="77777777" w:rsidR="00861D11" w:rsidRPr="00FB0891" w:rsidRDefault="00861D11" w:rsidP="00861D11">
      <w:pPr>
        <w:pStyle w:val="Heading3"/>
        <w:rPr>
          <w:rFonts w:eastAsia="Times New Roman"/>
          <w:sz w:val="28"/>
          <w:u w:val="single"/>
          <w:lang w:eastAsia="bg-BG"/>
        </w:rPr>
      </w:pPr>
      <w:r w:rsidRPr="00FB0891">
        <w:rPr>
          <w:rFonts w:eastAsia="Times New Roman"/>
          <w:u w:val="single"/>
          <w:lang w:eastAsia="bg-BG"/>
        </w:rPr>
        <w:t>Разпределение</w:t>
      </w:r>
    </w:p>
    <w:p w14:paraId="599D2E69"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Елиминационният полуживот </w:t>
      </w:r>
      <w:r w:rsidRPr="00FB0891">
        <w:rPr>
          <w:rFonts w:eastAsia="Times New Roman" w:cs="Arial"/>
          <w:color w:val="000000"/>
          <w:szCs w:val="20"/>
          <w:vertAlign w:val="subscript"/>
          <w:lang w:eastAsia="bg-BG"/>
        </w:rPr>
        <w:t>1/2β</w:t>
      </w:r>
      <w:r w:rsidRPr="00FB0891">
        <w:rPr>
          <w:rFonts w:eastAsia="Times New Roman" w:cs="Arial"/>
          <w:color w:val="000000"/>
          <w:szCs w:val="20"/>
          <w:lang w:eastAsia="bg-BG"/>
        </w:rPr>
        <w:t xml:space="preserve"> след 30-минутна интравенозна инфузия на 120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/m </w:t>
      </w:r>
      <w:r w:rsidRPr="00FB0891">
        <w:rPr>
          <w:rFonts w:eastAsia="Times New Roman" w:cs="Arial"/>
          <w:color w:val="000000"/>
          <w:szCs w:val="20"/>
          <w:lang w:eastAsia="bg-BG"/>
        </w:rPr>
        <w:t>повърхност при 12 пациенти е 28,2 минути.</w:t>
      </w:r>
    </w:p>
    <w:p w14:paraId="7F7FCCA6"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След 30 минути интравенозна инфузия централният обем на разпределение е 19,3 </w:t>
      </w:r>
      <w:r w:rsidRPr="00FB0891">
        <w:rPr>
          <w:rFonts w:eastAsia="Times New Roman" w:cs="Arial"/>
          <w:color w:val="000000"/>
          <w:szCs w:val="20"/>
        </w:rPr>
        <w:t>l</w:t>
      </w:r>
      <w:r w:rsidRPr="00FB0891">
        <w:rPr>
          <w:rFonts w:eastAsia="Times New Roman" w:cs="Arial"/>
          <w:color w:val="000000"/>
          <w:szCs w:val="20"/>
          <w:lang w:eastAsia="bg-BG"/>
        </w:rPr>
        <w:t xml:space="preserve">. В равновесно състояние след интравенозно </w:t>
      </w:r>
      <w:proofErr w:type="spellStart"/>
      <w:r w:rsidRPr="00FB0891">
        <w:rPr>
          <w:rFonts w:eastAsia="Times New Roman" w:cs="Arial"/>
          <w:color w:val="000000"/>
          <w:szCs w:val="20"/>
          <w:lang w:eastAsia="bg-BG"/>
        </w:rPr>
        <w:t>болус</w:t>
      </w:r>
      <w:proofErr w:type="spellEnd"/>
      <w:r w:rsidRPr="00FB0891">
        <w:rPr>
          <w:rFonts w:eastAsia="Times New Roman" w:cs="Arial"/>
          <w:color w:val="000000"/>
          <w:szCs w:val="20"/>
          <w:lang w:eastAsia="bg-BG"/>
        </w:rPr>
        <w:t xml:space="preserve"> инжектиране обемът на разпределение е 15,8-20,5 </w:t>
      </w:r>
      <w:r w:rsidRPr="00FB0891">
        <w:rPr>
          <w:rFonts w:eastAsia="Times New Roman" w:cs="Arial"/>
          <w:color w:val="000000"/>
          <w:szCs w:val="20"/>
        </w:rPr>
        <w:t>l</w:t>
      </w:r>
      <w:r w:rsidRPr="00FB0891">
        <w:rPr>
          <w:rFonts w:eastAsia="Times New Roman" w:cs="Arial"/>
          <w:color w:val="000000"/>
          <w:szCs w:val="20"/>
          <w:lang w:eastAsia="bg-BG"/>
        </w:rPr>
        <w:t>.</w:t>
      </w:r>
      <w:r w:rsidRPr="00FB0891">
        <w:rPr>
          <w:rFonts w:eastAsia="Times New Roman" w:cs="Arial"/>
          <w:sz w:val="28"/>
          <w:szCs w:val="24"/>
          <w:lang w:eastAsia="bg-BG"/>
        </w:rPr>
        <w:t xml:space="preserve"> </w:t>
      </w:r>
    </w:p>
    <w:p w14:paraId="6F2570C8" w14:textId="64E6A61E"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Повече от 95% от веществото се свързва с плазмените протеини (главно с албумин).</w:t>
      </w:r>
    </w:p>
    <w:p w14:paraId="7310678C" w14:textId="77777777" w:rsidR="00861D11" w:rsidRPr="00FB0891" w:rsidRDefault="00861D11" w:rsidP="00861D11">
      <w:pPr>
        <w:spacing w:line="240" w:lineRule="auto"/>
        <w:rPr>
          <w:rFonts w:eastAsia="Times New Roman" w:cs="Arial"/>
          <w:color w:val="000000"/>
          <w:szCs w:val="20"/>
          <w:u w:val="single"/>
          <w:lang w:eastAsia="bg-BG"/>
        </w:rPr>
      </w:pPr>
    </w:p>
    <w:p w14:paraId="0A6497C7" w14:textId="22355526" w:rsidR="00861D11" w:rsidRPr="00FB0891" w:rsidRDefault="00861D11" w:rsidP="00861D11">
      <w:pPr>
        <w:pStyle w:val="Heading3"/>
        <w:rPr>
          <w:rFonts w:eastAsia="Times New Roman"/>
          <w:sz w:val="28"/>
          <w:u w:val="single"/>
          <w:lang w:eastAsia="bg-BG"/>
        </w:rPr>
      </w:pPr>
      <w:r w:rsidRPr="00FB0891">
        <w:rPr>
          <w:rFonts w:eastAsia="Times New Roman"/>
          <w:u w:val="single"/>
          <w:lang w:eastAsia="bg-BG"/>
        </w:rPr>
        <w:t>Биотрансформация</w:t>
      </w:r>
    </w:p>
    <w:p w14:paraId="501F6F27"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Основният път за </w:t>
      </w:r>
      <w:proofErr w:type="spellStart"/>
      <w:r w:rsidRPr="00FB0891">
        <w:rPr>
          <w:rFonts w:eastAsia="Times New Roman" w:cs="Arial"/>
          <w:color w:val="000000"/>
          <w:szCs w:val="20"/>
          <w:lang w:eastAsia="bg-BG"/>
        </w:rPr>
        <w:t>клирънса</w:t>
      </w:r>
      <w:proofErr w:type="spellEnd"/>
      <w:r w:rsidRPr="00FB0891">
        <w:rPr>
          <w:rFonts w:eastAsia="Times New Roman" w:cs="Arial"/>
          <w:color w:val="000000"/>
          <w:szCs w:val="20"/>
          <w:lang w:eastAsia="bg-BG"/>
        </w:rPr>
        <w:t xml:space="preserve">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е хидролизата до </w:t>
      </w:r>
      <w:proofErr w:type="spellStart"/>
      <w:r w:rsidRPr="00FB0891">
        <w:rPr>
          <w:rFonts w:eastAsia="Times New Roman" w:cs="Arial"/>
          <w:color w:val="000000"/>
          <w:szCs w:val="20"/>
          <w:lang w:eastAsia="bg-BG"/>
        </w:rPr>
        <w:t>монохидрокси</w:t>
      </w:r>
      <w:proofErr w:type="spellEnd"/>
      <w:r w:rsidRPr="00FB0891">
        <w:rPr>
          <w:rFonts w:eastAsia="Times New Roman" w:cs="Arial"/>
          <w:color w:val="000000"/>
          <w:szCs w:val="20"/>
          <w:lang w:eastAsia="bg-BG"/>
        </w:rPr>
        <w:t xml:space="preserve">- и </w:t>
      </w:r>
      <w:proofErr w:type="spellStart"/>
      <w:r w:rsidRPr="00FB0891">
        <w:rPr>
          <w:rFonts w:eastAsia="Times New Roman" w:cs="Arial"/>
          <w:color w:val="000000"/>
          <w:szCs w:val="20"/>
          <w:lang w:eastAsia="bg-BG"/>
        </w:rPr>
        <w:t>дихидрокси</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Образуването на </w:t>
      </w:r>
      <w:r w:rsidRPr="00FB0891">
        <w:rPr>
          <w:rFonts w:eastAsia="Times New Roman" w:cs="Arial"/>
          <w:color w:val="000000"/>
          <w:szCs w:val="20"/>
        </w:rPr>
        <w:t>N</w:t>
      </w:r>
      <w:r w:rsidRPr="00FB0891">
        <w:rPr>
          <w:rFonts w:eastAsia="Times New Roman" w:cs="Arial"/>
          <w:color w:val="000000"/>
          <w:szCs w:val="20"/>
          <w:lang w:eastAsia="bg-BG"/>
        </w:rPr>
        <w:t>-</w:t>
      </w:r>
      <w:proofErr w:type="spellStart"/>
      <w:r w:rsidRPr="00FB0891">
        <w:rPr>
          <w:rFonts w:eastAsia="Times New Roman" w:cs="Arial"/>
          <w:color w:val="000000"/>
          <w:szCs w:val="20"/>
          <w:lang w:eastAsia="bg-BG"/>
        </w:rPr>
        <w:t>дезметил</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и гама-</w:t>
      </w:r>
      <w:proofErr w:type="spellStart"/>
      <w:r w:rsidRPr="00FB0891">
        <w:rPr>
          <w:rFonts w:eastAsia="Times New Roman" w:cs="Arial"/>
          <w:color w:val="000000"/>
          <w:szCs w:val="20"/>
          <w:lang w:eastAsia="bg-BG"/>
        </w:rPr>
        <w:t>хидрокси</w:t>
      </w:r>
      <w:proofErr w:type="spellEnd"/>
      <w:r w:rsidRPr="00FB0891">
        <w:rPr>
          <w:rFonts w:eastAsia="Times New Roman" w:cs="Arial"/>
          <w:color w:val="000000"/>
          <w:szCs w:val="20"/>
          <w:lang w:eastAsia="bg-BG"/>
        </w:rPr>
        <w:t>-</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чрез чернодробен метаболизъм включва </w:t>
      </w:r>
      <w:proofErr w:type="spellStart"/>
      <w:r w:rsidRPr="00FB0891">
        <w:rPr>
          <w:rFonts w:eastAsia="Times New Roman" w:cs="Arial"/>
          <w:color w:val="000000"/>
          <w:szCs w:val="20"/>
          <w:lang w:eastAsia="bg-BG"/>
        </w:rPr>
        <w:t>цитохром</w:t>
      </w:r>
      <w:proofErr w:type="spellEnd"/>
      <w:r w:rsidRPr="00FB0891">
        <w:rPr>
          <w:rFonts w:eastAsia="Times New Roman" w:cs="Arial"/>
          <w:color w:val="000000"/>
          <w:szCs w:val="20"/>
          <w:lang w:eastAsia="bg-BG"/>
        </w:rPr>
        <w:t xml:space="preserve"> Р450 </w:t>
      </w:r>
      <w:r w:rsidRPr="00FB0891">
        <w:rPr>
          <w:rFonts w:eastAsia="Times New Roman" w:cs="Arial"/>
          <w:color w:val="000000"/>
          <w:szCs w:val="20"/>
        </w:rPr>
        <w:t xml:space="preserve">(CYP) </w:t>
      </w:r>
      <w:r w:rsidRPr="00FB0891">
        <w:rPr>
          <w:rFonts w:eastAsia="Times New Roman" w:cs="Arial"/>
          <w:color w:val="000000"/>
          <w:szCs w:val="20"/>
          <w:lang w:eastAsia="bg-BG"/>
        </w:rPr>
        <w:t xml:space="preserve">1А2 </w:t>
      </w:r>
      <w:proofErr w:type="spellStart"/>
      <w:r w:rsidRPr="00FB0891">
        <w:rPr>
          <w:rFonts w:eastAsia="Times New Roman" w:cs="Arial"/>
          <w:color w:val="000000"/>
          <w:szCs w:val="20"/>
          <w:lang w:eastAsia="bg-BG"/>
        </w:rPr>
        <w:t>изоензима</w:t>
      </w:r>
      <w:proofErr w:type="spellEnd"/>
      <w:r w:rsidRPr="00FB0891">
        <w:rPr>
          <w:rFonts w:eastAsia="Times New Roman" w:cs="Arial"/>
          <w:color w:val="000000"/>
          <w:szCs w:val="20"/>
          <w:lang w:eastAsia="bg-BG"/>
        </w:rPr>
        <w:t xml:space="preserve">. Другият основен път за метаболизъм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е </w:t>
      </w:r>
      <w:proofErr w:type="spellStart"/>
      <w:r w:rsidRPr="00FB0891">
        <w:rPr>
          <w:rFonts w:eastAsia="Times New Roman" w:cs="Arial"/>
          <w:color w:val="000000"/>
          <w:szCs w:val="20"/>
          <w:lang w:eastAsia="bg-BG"/>
        </w:rPr>
        <w:t>конюгация</w:t>
      </w:r>
      <w:proofErr w:type="spellEnd"/>
      <w:r w:rsidRPr="00FB0891">
        <w:rPr>
          <w:rFonts w:eastAsia="Times New Roman" w:cs="Arial"/>
          <w:color w:val="000000"/>
          <w:szCs w:val="20"/>
          <w:lang w:eastAsia="bg-BG"/>
        </w:rPr>
        <w:t xml:space="preserve"> с </w:t>
      </w:r>
      <w:proofErr w:type="spellStart"/>
      <w:r w:rsidRPr="00FB0891">
        <w:rPr>
          <w:rFonts w:eastAsia="Times New Roman" w:cs="Arial"/>
          <w:color w:val="000000"/>
          <w:szCs w:val="20"/>
          <w:lang w:eastAsia="bg-BG"/>
        </w:rPr>
        <w:t>глутатион</w:t>
      </w:r>
      <w:proofErr w:type="spellEnd"/>
      <w:r w:rsidRPr="00FB0891">
        <w:rPr>
          <w:rFonts w:eastAsia="Times New Roman" w:cs="Arial"/>
          <w:color w:val="000000"/>
          <w:szCs w:val="20"/>
          <w:lang w:eastAsia="bg-BG"/>
        </w:rPr>
        <w:t>.</w:t>
      </w:r>
    </w:p>
    <w:p w14:paraId="60F81E68" w14:textId="77777777" w:rsidR="00861D11" w:rsidRPr="00FB0891" w:rsidRDefault="00861D11" w:rsidP="00861D11">
      <w:pPr>
        <w:spacing w:line="240" w:lineRule="auto"/>
        <w:rPr>
          <w:rFonts w:eastAsia="Times New Roman" w:cs="Arial"/>
          <w:sz w:val="28"/>
          <w:szCs w:val="24"/>
          <w:lang w:eastAsia="bg-BG"/>
        </w:rPr>
      </w:pPr>
      <w:proofErr w:type="spellStart"/>
      <w:r w:rsidRPr="00FB0891">
        <w:rPr>
          <w:rFonts w:eastAsia="Times New Roman" w:cs="Arial"/>
          <w:i/>
          <w:iCs/>
          <w:color w:val="000000"/>
          <w:szCs w:val="20"/>
        </w:rPr>
        <w:t>In</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vitro</w:t>
      </w:r>
      <w:proofErr w:type="spellEnd"/>
      <w:r w:rsidRPr="00FB0891">
        <w:rPr>
          <w:rFonts w:eastAsia="Times New Roman" w:cs="Arial"/>
          <w:color w:val="000000"/>
          <w:szCs w:val="20"/>
        </w:rPr>
        <w:t xml:space="preserve">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не инхибира </w:t>
      </w:r>
      <w:r w:rsidRPr="00FB0891">
        <w:rPr>
          <w:rFonts w:eastAsia="Times New Roman" w:cs="Arial"/>
          <w:color w:val="000000"/>
          <w:szCs w:val="20"/>
        </w:rPr>
        <w:t xml:space="preserve">CYP </w:t>
      </w:r>
      <w:r w:rsidRPr="00FB0891">
        <w:rPr>
          <w:rFonts w:eastAsia="Times New Roman" w:cs="Arial"/>
          <w:color w:val="000000"/>
          <w:szCs w:val="20"/>
          <w:lang w:eastAsia="bg-BG"/>
        </w:rPr>
        <w:t xml:space="preserve">1А4, </w:t>
      </w:r>
      <w:r w:rsidRPr="00FB0891">
        <w:rPr>
          <w:rFonts w:eastAsia="Times New Roman" w:cs="Arial"/>
          <w:color w:val="000000"/>
          <w:szCs w:val="20"/>
        </w:rPr>
        <w:t xml:space="preserve">CYP </w:t>
      </w:r>
      <w:r w:rsidRPr="00FB0891">
        <w:rPr>
          <w:rFonts w:eastAsia="Times New Roman" w:cs="Arial"/>
          <w:color w:val="000000"/>
          <w:szCs w:val="20"/>
          <w:lang w:eastAsia="bg-BG"/>
        </w:rPr>
        <w:t xml:space="preserve">2С9/10, </w:t>
      </w:r>
      <w:r w:rsidRPr="00FB0891">
        <w:rPr>
          <w:rFonts w:eastAsia="Times New Roman" w:cs="Arial"/>
          <w:color w:val="000000"/>
          <w:szCs w:val="20"/>
        </w:rPr>
        <w:t xml:space="preserve">CYP 2D6, CYP </w:t>
      </w:r>
      <w:r w:rsidRPr="00FB0891">
        <w:rPr>
          <w:rFonts w:eastAsia="Times New Roman" w:cs="Arial"/>
          <w:color w:val="000000"/>
          <w:szCs w:val="20"/>
          <w:lang w:eastAsia="bg-BG"/>
        </w:rPr>
        <w:t xml:space="preserve">2Е1 или </w:t>
      </w:r>
      <w:r w:rsidRPr="00FB0891">
        <w:rPr>
          <w:rFonts w:eastAsia="Times New Roman" w:cs="Arial"/>
          <w:color w:val="000000"/>
          <w:szCs w:val="20"/>
        </w:rPr>
        <w:t xml:space="preserve">CYP </w:t>
      </w:r>
      <w:r w:rsidRPr="00FB0891">
        <w:rPr>
          <w:rFonts w:eastAsia="Times New Roman" w:cs="Arial"/>
          <w:color w:val="000000"/>
          <w:szCs w:val="20"/>
          <w:lang w:eastAsia="bg-BG"/>
        </w:rPr>
        <w:t>ЗА4.</w:t>
      </w:r>
    </w:p>
    <w:p w14:paraId="4B568B02" w14:textId="77777777" w:rsidR="00861D11" w:rsidRPr="00FB0891" w:rsidRDefault="00861D11" w:rsidP="00861D11">
      <w:pPr>
        <w:spacing w:line="240" w:lineRule="auto"/>
        <w:rPr>
          <w:rFonts w:eastAsia="Times New Roman" w:cs="Arial"/>
          <w:color w:val="000000"/>
          <w:szCs w:val="20"/>
          <w:u w:val="single"/>
          <w:lang w:eastAsia="bg-BG"/>
        </w:rPr>
      </w:pPr>
    </w:p>
    <w:p w14:paraId="29B3638F" w14:textId="57615068" w:rsidR="00861D11" w:rsidRPr="00FB0891" w:rsidRDefault="00861D11" w:rsidP="00861D11">
      <w:pPr>
        <w:pStyle w:val="Heading3"/>
        <w:rPr>
          <w:rFonts w:eastAsia="Times New Roman"/>
          <w:sz w:val="28"/>
          <w:u w:val="single"/>
          <w:lang w:eastAsia="bg-BG"/>
        </w:rPr>
      </w:pPr>
      <w:r w:rsidRPr="00FB0891">
        <w:rPr>
          <w:rFonts w:eastAsia="Times New Roman"/>
          <w:u w:val="single"/>
          <w:lang w:eastAsia="bg-BG"/>
        </w:rPr>
        <w:t>Елиминиране</w:t>
      </w:r>
    </w:p>
    <w:p w14:paraId="61FF2E61"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Средният общ клирънс след 30-минутна интравенозна инфузия на 120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/m </w:t>
      </w:r>
      <w:r w:rsidRPr="00FB0891">
        <w:rPr>
          <w:rFonts w:eastAsia="Times New Roman" w:cs="Arial"/>
          <w:color w:val="000000"/>
          <w:szCs w:val="20"/>
          <w:lang w:eastAsia="bg-BG"/>
        </w:rPr>
        <w:t xml:space="preserve">телесна повърхност, при 12 пациенти е 639,4 </w:t>
      </w:r>
      <w:r w:rsidRPr="00FB0891">
        <w:rPr>
          <w:rFonts w:eastAsia="Times New Roman" w:cs="Arial"/>
          <w:color w:val="000000"/>
          <w:szCs w:val="20"/>
        </w:rPr>
        <w:t>ml/</w:t>
      </w:r>
      <w:proofErr w:type="spellStart"/>
      <w:r w:rsidRPr="00FB0891">
        <w:rPr>
          <w:rFonts w:eastAsia="Times New Roman" w:cs="Arial"/>
          <w:color w:val="000000"/>
          <w:szCs w:val="20"/>
        </w:rPr>
        <w:t>min</w:t>
      </w:r>
      <w:proofErr w:type="spellEnd"/>
      <w:r w:rsidRPr="00FB0891">
        <w:rPr>
          <w:rFonts w:eastAsia="Times New Roman" w:cs="Arial"/>
          <w:color w:val="000000"/>
          <w:szCs w:val="20"/>
        </w:rPr>
        <w:t xml:space="preserve">. </w:t>
      </w:r>
      <w:r w:rsidRPr="00FB0891">
        <w:rPr>
          <w:rFonts w:eastAsia="Times New Roman" w:cs="Arial"/>
          <w:color w:val="000000"/>
          <w:szCs w:val="20"/>
          <w:lang w:eastAsia="bg-BG"/>
        </w:rPr>
        <w:t xml:space="preserve">Около 20% от приложената доза се открива в урината в рамките на 24 часа. Количествата, </w:t>
      </w:r>
      <w:proofErr w:type="spellStart"/>
      <w:r w:rsidRPr="00FB0891">
        <w:rPr>
          <w:rFonts w:eastAsia="Times New Roman" w:cs="Arial"/>
          <w:color w:val="000000"/>
          <w:szCs w:val="20"/>
          <w:lang w:eastAsia="bg-BG"/>
        </w:rPr>
        <w:t>екскретирани</w:t>
      </w:r>
      <w:proofErr w:type="spellEnd"/>
      <w:r w:rsidRPr="00FB0891">
        <w:rPr>
          <w:rFonts w:eastAsia="Times New Roman" w:cs="Arial"/>
          <w:color w:val="000000"/>
          <w:szCs w:val="20"/>
          <w:lang w:eastAsia="bg-BG"/>
        </w:rPr>
        <w:t xml:space="preserve"> в урината са в реда: </w:t>
      </w:r>
      <w:proofErr w:type="spellStart"/>
      <w:r w:rsidRPr="00FB0891">
        <w:rPr>
          <w:rFonts w:eastAsia="Times New Roman" w:cs="Arial"/>
          <w:color w:val="000000"/>
          <w:szCs w:val="20"/>
          <w:lang w:eastAsia="bg-BG"/>
        </w:rPr>
        <w:t>монохидрокси-бендамустин</w:t>
      </w:r>
      <w:proofErr w:type="spellEnd"/>
      <w:r w:rsidRPr="00FB0891">
        <w:rPr>
          <w:rFonts w:eastAsia="Times New Roman" w:cs="Arial"/>
          <w:color w:val="000000"/>
          <w:szCs w:val="20"/>
          <w:lang w:eastAsia="bg-BG"/>
        </w:rPr>
        <w:t xml:space="preserve"> &gt;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&gt; </w:t>
      </w:r>
      <w:proofErr w:type="spellStart"/>
      <w:r w:rsidRPr="00FB0891">
        <w:rPr>
          <w:rFonts w:eastAsia="Times New Roman" w:cs="Arial"/>
          <w:color w:val="000000"/>
          <w:szCs w:val="20"/>
          <w:lang w:eastAsia="bg-BG"/>
        </w:rPr>
        <w:t>дихидрокси-бендамустин</w:t>
      </w:r>
      <w:proofErr w:type="spellEnd"/>
      <w:r w:rsidRPr="00FB0891">
        <w:rPr>
          <w:rFonts w:eastAsia="Times New Roman" w:cs="Arial"/>
          <w:color w:val="000000"/>
          <w:szCs w:val="20"/>
          <w:lang w:eastAsia="bg-BG"/>
        </w:rPr>
        <w:t xml:space="preserve"> &gt; оксидиран </w:t>
      </w:r>
      <w:proofErr w:type="spellStart"/>
      <w:r w:rsidRPr="00FB0891">
        <w:rPr>
          <w:rFonts w:eastAsia="Times New Roman" w:cs="Arial"/>
          <w:color w:val="000000"/>
          <w:szCs w:val="20"/>
          <w:lang w:eastAsia="bg-BG"/>
        </w:rPr>
        <w:t>мелаболит</w:t>
      </w:r>
      <w:proofErr w:type="spellEnd"/>
      <w:r w:rsidRPr="00FB0891">
        <w:rPr>
          <w:rFonts w:eastAsia="Times New Roman" w:cs="Arial"/>
          <w:color w:val="000000"/>
          <w:szCs w:val="20"/>
          <w:lang w:eastAsia="bg-BG"/>
        </w:rPr>
        <w:t xml:space="preserve"> &gt; </w:t>
      </w:r>
      <w:r w:rsidRPr="00FB0891">
        <w:rPr>
          <w:rFonts w:eastAsia="Times New Roman" w:cs="Arial"/>
          <w:color w:val="000000"/>
          <w:szCs w:val="20"/>
        </w:rPr>
        <w:t>N</w:t>
      </w:r>
      <w:r w:rsidRPr="00FB0891">
        <w:rPr>
          <w:rFonts w:eastAsia="Times New Roman" w:cs="Arial"/>
          <w:color w:val="000000"/>
          <w:szCs w:val="20"/>
          <w:lang w:eastAsia="bg-BG"/>
        </w:rPr>
        <w:t>-</w:t>
      </w:r>
      <w:proofErr w:type="spellStart"/>
      <w:r w:rsidRPr="00FB0891">
        <w:rPr>
          <w:rFonts w:eastAsia="Times New Roman" w:cs="Arial"/>
          <w:color w:val="000000"/>
          <w:szCs w:val="20"/>
          <w:lang w:eastAsia="bg-BG"/>
        </w:rPr>
        <w:t>дезметил</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Чрез жлъчката се елиминират предимно полярни метаболити.</w:t>
      </w:r>
    </w:p>
    <w:p w14:paraId="5F4D1BD0" w14:textId="77777777" w:rsidR="00861D11" w:rsidRPr="00FB0891" w:rsidRDefault="00861D11" w:rsidP="00861D11">
      <w:pPr>
        <w:spacing w:line="240" w:lineRule="auto"/>
        <w:rPr>
          <w:rFonts w:eastAsia="Times New Roman" w:cs="Arial"/>
          <w:color w:val="000000"/>
          <w:szCs w:val="20"/>
          <w:u w:val="single"/>
          <w:lang w:eastAsia="bg-BG"/>
        </w:rPr>
      </w:pPr>
    </w:p>
    <w:p w14:paraId="15A31961" w14:textId="30D7BBD1" w:rsidR="00861D11" w:rsidRPr="00FB0891" w:rsidRDefault="00861D11" w:rsidP="00E32A31">
      <w:pPr>
        <w:rPr>
          <w:i/>
        </w:rPr>
      </w:pPr>
      <w:r w:rsidRPr="00FB0891">
        <w:rPr>
          <w:i/>
        </w:rPr>
        <w:lastRenderedPageBreak/>
        <w:t>Чернодробно увреждане</w:t>
      </w:r>
    </w:p>
    <w:p w14:paraId="2D11656C"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При пациенти с 30-70% туморна </w:t>
      </w:r>
      <w:proofErr w:type="spellStart"/>
      <w:r w:rsidRPr="00FB0891">
        <w:rPr>
          <w:rFonts w:eastAsia="Times New Roman" w:cs="Arial"/>
          <w:color w:val="000000"/>
          <w:szCs w:val="20"/>
          <w:lang w:eastAsia="bg-BG"/>
        </w:rPr>
        <w:t>инфестация</w:t>
      </w:r>
      <w:proofErr w:type="spellEnd"/>
      <w:r w:rsidRPr="00FB0891">
        <w:rPr>
          <w:rFonts w:eastAsia="Times New Roman" w:cs="Arial"/>
          <w:color w:val="000000"/>
          <w:szCs w:val="20"/>
          <w:lang w:eastAsia="bg-BG"/>
        </w:rPr>
        <w:t xml:space="preserve"> на черния дроб и леко чернодробно увреждане (серумен </w:t>
      </w:r>
      <w:proofErr w:type="spellStart"/>
      <w:r w:rsidRPr="00FB0891">
        <w:rPr>
          <w:rFonts w:eastAsia="Times New Roman" w:cs="Arial"/>
          <w:color w:val="000000"/>
          <w:szCs w:val="20"/>
          <w:lang w:eastAsia="bg-BG"/>
        </w:rPr>
        <w:t>билирубин</w:t>
      </w:r>
      <w:proofErr w:type="spellEnd"/>
      <w:r w:rsidRPr="00FB0891">
        <w:rPr>
          <w:rFonts w:eastAsia="Times New Roman" w:cs="Arial"/>
          <w:color w:val="000000"/>
          <w:szCs w:val="20"/>
          <w:lang w:eastAsia="bg-BG"/>
        </w:rPr>
        <w:t xml:space="preserve"> &lt;1,2 </w:t>
      </w:r>
      <w:proofErr w:type="spellStart"/>
      <w:r w:rsidRPr="00FB0891">
        <w:rPr>
          <w:rFonts w:eastAsia="Times New Roman" w:cs="Arial"/>
          <w:color w:val="000000"/>
          <w:szCs w:val="20"/>
        </w:rPr>
        <w:t>mg</w:t>
      </w:r>
      <w:proofErr w:type="spellEnd"/>
      <w:r w:rsidRPr="00FB0891">
        <w:rPr>
          <w:rFonts w:eastAsia="Times New Roman" w:cs="Arial"/>
          <w:color w:val="000000"/>
          <w:szCs w:val="20"/>
        </w:rPr>
        <w:t xml:space="preserve">/dl) </w:t>
      </w:r>
      <w:r w:rsidRPr="00FB0891">
        <w:rPr>
          <w:rFonts w:eastAsia="Times New Roman" w:cs="Arial"/>
          <w:color w:val="000000"/>
          <w:szCs w:val="20"/>
          <w:lang w:eastAsia="bg-BG"/>
        </w:rPr>
        <w:t xml:space="preserve">фармакокинетиката не се променя. Няма статистически значима разлика спрямо пациентите с нормална чернодробна и бъбречна функция по отношение на </w:t>
      </w:r>
      <w:proofErr w:type="spellStart"/>
      <w:r w:rsidRPr="00FB0891">
        <w:rPr>
          <w:rFonts w:eastAsia="Times New Roman" w:cs="Arial"/>
          <w:color w:val="000000"/>
          <w:szCs w:val="20"/>
          <w:lang w:eastAsia="bg-BG"/>
        </w:rPr>
        <w:t>С</w:t>
      </w:r>
      <w:r w:rsidRPr="00FB0891">
        <w:rPr>
          <w:rFonts w:eastAsia="Times New Roman" w:cs="Arial"/>
          <w:color w:val="000000"/>
          <w:szCs w:val="20"/>
          <w:vertAlign w:val="subscript"/>
        </w:rPr>
        <w:t>max</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rPr>
        <w:t>t</w:t>
      </w:r>
      <w:r w:rsidRPr="00FB0891">
        <w:rPr>
          <w:rFonts w:eastAsia="Times New Roman" w:cs="Arial"/>
          <w:color w:val="000000"/>
          <w:szCs w:val="20"/>
          <w:vertAlign w:val="subscript"/>
        </w:rPr>
        <w:t>max</w:t>
      </w:r>
      <w:proofErr w:type="spellEnd"/>
      <w:r w:rsidRPr="00FB0891">
        <w:rPr>
          <w:rFonts w:eastAsia="Times New Roman" w:cs="Arial"/>
          <w:color w:val="000000"/>
          <w:szCs w:val="20"/>
        </w:rPr>
        <w:t>, AUC, t</w:t>
      </w:r>
      <w:r w:rsidRPr="00FB0891">
        <w:rPr>
          <w:rFonts w:eastAsia="Times New Roman" w:cs="Arial"/>
          <w:color w:val="000000"/>
          <w:szCs w:val="20"/>
          <w:vertAlign w:val="subscript"/>
          <w:lang w:eastAsia="bg-BG"/>
        </w:rPr>
        <w:t>1/2β</w:t>
      </w:r>
      <w:r w:rsidRPr="00FB0891">
        <w:rPr>
          <w:rFonts w:eastAsia="Times New Roman" w:cs="Arial"/>
          <w:color w:val="000000"/>
          <w:szCs w:val="20"/>
        </w:rPr>
        <w:t xml:space="preserve">„ </w:t>
      </w:r>
      <w:r w:rsidRPr="00FB0891">
        <w:rPr>
          <w:rFonts w:eastAsia="Times New Roman" w:cs="Arial"/>
          <w:color w:val="000000"/>
          <w:szCs w:val="20"/>
          <w:lang w:eastAsia="bg-BG"/>
        </w:rPr>
        <w:t xml:space="preserve">обема на разпределение и </w:t>
      </w:r>
      <w:proofErr w:type="spellStart"/>
      <w:r w:rsidRPr="00FB0891">
        <w:rPr>
          <w:rFonts w:eastAsia="Times New Roman" w:cs="Arial"/>
          <w:color w:val="000000"/>
          <w:szCs w:val="20"/>
          <w:lang w:eastAsia="bg-BG"/>
        </w:rPr>
        <w:t>клирънса</w:t>
      </w:r>
      <w:proofErr w:type="spellEnd"/>
      <w:r w:rsidRPr="00FB0891">
        <w:rPr>
          <w:rFonts w:eastAsia="Times New Roman" w:cs="Arial"/>
          <w:color w:val="000000"/>
          <w:szCs w:val="20"/>
          <w:lang w:eastAsia="bg-BG"/>
        </w:rPr>
        <w:t xml:space="preserve">. </w:t>
      </w:r>
      <w:r w:rsidRPr="00FB0891">
        <w:rPr>
          <w:rFonts w:eastAsia="Times New Roman" w:cs="Arial"/>
          <w:color w:val="000000"/>
          <w:szCs w:val="20"/>
        </w:rPr>
        <w:t xml:space="preserve">AUC </w:t>
      </w:r>
      <w:r w:rsidRPr="00FB0891">
        <w:rPr>
          <w:rFonts w:eastAsia="Times New Roman" w:cs="Arial"/>
          <w:color w:val="000000"/>
          <w:szCs w:val="20"/>
          <w:lang w:eastAsia="bg-BG"/>
        </w:rPr>
        <w:t xml:space="preserve">и общият телесен клирънс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корелират</w:t>
      </w:r>
      <w:proofErr w:type="spellEnd"/>
      <w:r w:rsidRPr="00FB0891">
        <w:rPr>
          <w:rFonts w:eastAsia="Times New Roman" w:cs="Arial"/>
          <w:color w:val="000000"/>
          <w:szCs w:val="20"/>
          <w:lang w:eastAsia="bg-BG"/>
        </w:rPr>
        <w:t xml:space="preserve"> обратно пропорционално на серумния </w:t>
      </w:r>
      <w:proofErr w:type="spellStart"/>
      <w:r w:rsidRPr="00FB0891">
        <w:rPr>
          <w:rFonts w:eastAsia="Times New Roman" w:cs="Arial"/>
          <w:color w:val="000000"/>
          <w:szCs w:val="20"/>
          <w:lang w:eastAsia="bg-BG"/>
        </w:rPr>
        <w:t>билирубин</w:t>
      </w:r>
      <w:proofErr w:type="spellEnd"/>
      <w:r w:rsidRPr="00FB0891">
        <w:rPr>
          <w:rFonts w:eastAsia="Times New Roman" w:cs="Arial"/>
          <w:color w:val="000000"/>
          <w:szCs w:val="20"/>
          <w:lang w:eastAsia="bg-BG"/>
        </w:rPr>
        <w:t>.</w:t>
      </w:r>
    </w:p>
    <w:p w14:paraId="6A370F3B" w14:textId="77777777" w:rsidR="00861D11" w:rsidRPr="00FB0891" w:rsidRDefault="00861D11" w:rsidP="00861D11">
      <w:pPr>
        <w:spacing w:line="240" w:lineRule="auto"/>
        <w:rPr>
          <w:rFonts w:eastAsia="Times New Roman" w:cs="Arial"/>
          <w:color w:val="000000"/>
          <w:szCs w:val="20"/>
          <w:u w:val="single"/>
          <w:lang w:eastAsia="bg-BG"/>
        </w:rPr>
      </w:pPr>
    </w:p>
    <w:p w14:paraId="0F6CA925" w14:textId="2C30E111" w:rsidR="00861D11" w:rsidRPr="00FB0891" w:rsidRDefault="00861D11" w:rsidP="00E32A31">
      <w:pPr>
        <w:rPr>
          <w:i/>
          <w:sz w:val="24"/>
          <w:lang w:eastAsia="bg-BG"/>
        </w:rPr>
      </w:pPr>
      <w:r w:rsidRPr="00FB0891">
        <w:rPr>
          <w:i/>
          <w:lang w:eastAsia="bg-BG"/>
        </w:rPr>
        <w:t>Бъбречно увреждане</w:t>
      </w:r>
    </w:p>
    <w:p w14:paraId="56A199CD"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При пациенти с </w:t>
      </w:r>
      <w:proofErr w:type="spellStart"/>
      <w:r w:rsidRPr="00FB0891">
        <w:rPr>
          <w:rFonts w:eastAsia="Times New Roman" w:cs="Arial"/>
          <w:color w:val="000000"/>
          <w:szCs w:val="20"/>
          <w:lang w:eastAsia="bg-BG"/>
        </w:rPr>
        <w:t>креатининов</w:t>
      </w:r>
      <w:proofErr w:type="spellEnd"/>
      <w:r w:rsidRPr="00FB0891">
        <w:rPr>
          <w:rFonts w:eastAsia="Times New Roman" w:cs="Arial"/>
          <w:color w:val="000000"/>
          <w:szCs w:val="20"/>
          <w:lang w:eastAsia="bg-BG"/>
        </w:rPr>
        <w:t xml:space="preserve"> клирънс &gt; 10 </w:t>
      </w:r>
      <w:r w:rsidRPr="00FB0891">
        <w:rPr>
          <w:rFonts w:eastAsia="Times New Roman" w:cs="Arial"/>
          <w:color w:val="000000"/>
          <w:szCs w:val="20"/>
        </w:rPr>
        <w:t>ml/</w:t>
      </w:r>
      <w:proofErr w:type="spellStart"/>
      <w:r w:rsidRPr="00FB0891">
        <w:rPr>
          <w:rFonts w:eastAsia="Times New Roman" w:cs="Arial"/>
          <w:color w:val="000000"/>
          <w:szCs w:val="20"/>
        </w:rPr>
        <w:t>min</w:t>
      </w:r>
      <w:proofErr w:type="spellEnd"/>
      <w:r w:rsidRPr="00FB0891">
        <w:rPr>
          <w:rFonts w:eastAsia="Times New Roman" w:cs="Arial"/>
          <w:color w:val="000000"/>
          <w:szCs w:val="20"/>
        </w:rPr>
        <w:t xml:space="preserve">, </w:t>
      </w:r>
      <w:r w:rsidRPr="00FB0891">
        <w:rPr>
          <w:rFonts w:eastAsia="Times New Roman" w:cs="Arial"/>
          <w:color w:val="000000"/>
          <w:szCs w:val="20"/>
          <w:lang w:eastAsia="bg-BG"/>
        </w:rPr>
        <w:t xml:space="preserve">включително пациенти на диализа, не се наблюдава значителна разлика спрямо пациентите с нормална чернодробна и бъбречна функция по отношение на </w:t>
      </w:r>
      <w:proofErr w:type="spellStart"/>
      <w:r w:rsidRPr="00FB0891">
        <w:rPr>
          <w:rFonts w:eastAsia="Times New Roman" w:cs="Arial"/>
          <w:color w:val="000000"/>
          <w:szCs w:val="20"/>
        </w:rPr>
        <w:t>C</w:t>
      </w:r>
      <w:r w:rsidRPr="00FB0891">
        <w:rPr>
          <w:rFonts w:eastAsia="Times New Roman" w:cs="Arial"/>
          <w:color w:val="000000"/>
          <w:szCs w:val="20"/>
          <w:vertAlign w:val="subscript"/>
        </w:rPr>
        <w:t>max</w:t>
      </w:r>
      <w:proofErr w:type="spellEnd"/>
      <w:r w:rsidRPr="00FB0891">
        <w:rPr>
          <w:rFonts w:eastAsia="Times New Roman" w:cs="Arial"/>
          <w:color w:val="000000"/>
          <w:szCs w:val="20"/>
        </w:rPr>
        <w:t xml:space="preserve">, AUC, </w:t>
      </w:r>
      <w:r w:rsidRPr="00FB0891">
        <w:rPr>
          <w:rFonts w:eastAsia="Times New Roman" w:cs="Arial"/>
          <w:color w:val="000000"/>
          <w:szCs w:val="20"/>
          <w:lang w:eastAsia="bg-BG"/>
        </w:rPr>
        <w:t xml:space="preserve">обема на разпределение и </w:t>
      </w:r>
      <w:proofErr w:type="spellStart"/>
      <w:r w:rsidRPr="00FB0891">
        <w:rPr>
          <w:rFonts w:eastAsia="Times New Roman" w:cs="Arial"/>
          <w:color w:val="000000"/>
          <w:szCs w:val="20"/>
          <w:lang w:eastAsia="bg-BG"/>
        </w:rPr>
        <w:t>клирънса</w:t>
      </w:r>
      <w:proofErr w:type="spellEnd"/>
      <w:r w:rsidRPr="00FB0891">
        <w:rPr>
          <w:rFonts w:eastAsia="Times New Roman" w:cs="Arial"/>
          <w:color w:val="000000"/>
          <w:szCs w:val="20"/>
          <w:lang w:eastAsia="bg-BG"/>
        </w:rPr>
        <w:t>.</w:t>
      </w:r>
    </w:p>
    <w:p w14:paraId="6B57CBE1" w14:textId="77777777" w:rsidR="00861D11" w:rsidRPr="00FB0891" w:rsidRDefault="00861D11" w:rsidP="00861D11">
      <w:pPr>
        <w:spacing w:line="240" w:lineRule="auto"/>
        <w:rPr>
          <w:rFonts w:eastAsia="Times New Roman" w:cs="Arial"/>
          <w:color w:val="000000"/>
          <w:szCs w:val="20"/>
          <w:u w:val="single"/>
          <w:lang w:eastAsia="bg-BG"/>
        </w:rPr>
      </w:pPr>
    </w:p>
    <w:p w14:paraId="10963181" w14:textId="5D504444" w:rsidR="00861D11" w:rsidRPr="00FB0891" w:rsidRDefault="00861D11" w:rsidP="00E32A31">
      <w:pPr>
        <w:rPr>
          <w:i/>
        </w:rPr>
      </w:pPr>
      <w:r w:rsidRPr="00FB0891">
        <w:rPr>
          <w:i/>
        </w:rPr>
        <w:t>Пациенти в старческа възраст</w:t>
      </w:r>
    </w:p>
    <w:p w14:paraId="148BA3FC" w14:textId="6CF5E825" w:rsidR="0091385D" w:rsidRPr="00FB0891" w:rsidRDefault="00861D11" w:rsidP="00861D11">
      <w:pPr>
        <w:rPr>
          <w:rFonts w:cs="Arial"/>
          <w:sz w:val="24"/>
        </w:rPr>
      </w:pPr>
      <w:r w:rsidRPr="00FB0891">
        <w:rPr>
          <w:rFonts w:eastAsia="Times New Roman" w:cs="Arial"/>
          <w:color w:val="000000"/>
          <w:szCs w:val="20"/>
          <w:lang w:eastAsia="bg-BG"/>
        </w:rPr>
        <w:t xml:space="preserve">Във </w:t>
      </w:r>
      <w:proofErr w:type="spellStart"/>
      <w:r w:rsidRPr="00FB0891">
        <w:rPr>
          <w:rFonts w:eastAsia="Times New Roman" w:cs="Arial"/>
          <w:color w:val="000000"/>
          <w:szCs w:val="20"/>
          <w:lang w:eastAsia="bg-BG"/>
        </w:rPr>
        <w:t>фармакокинетични</w:t>
      </w:r>
      <w:proofErr w:type="spellEnd"/>
      <w:r w:rsidRPr="00FB0891">
        <w:rPr>
          <w:rFonts w:eastAsia="Times New Roman" w:cs="Arial"/>
          <w:color w:val="000000"/>
          <w:szCs w:val="20"/>
          <w:lang w:eastAsia="bg-BG"/>
        </w:rPr>
        <w:t xml:space="preserve"> проучвания са включвани пациенти до 84-годишна възраст. По- напредналата възраст не оказва влияние върху фармакокинетиката на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w:t>
      </w:r>
    </w:p>
    <w:p w14:paraId="4EE1BB0B" w14:textId="77777777" w:rsidR="0091385D" w:rsidRPr="00FB0891" w:rsidRDefault="0091385D" w:rsidP="0091385D"/>
    <w:p w14:paraId="648E39DA" w14:textId="44D16CBD" w:rsidR="00CF77F7" w:rsidRPr="00FB0891" w:rsidRDefault="002C50EE" w:rsidP="004A448E">
      <w:pPr>
        <w:pStyle w:val="Heading2"/>
      </w:pPr>
      <w:r w:rsidRPr="00FB0891">
        <w:t>5.3. Предклинични данни за безопасност</w:t>
      </w:r>
    </w:p>
    <w:p w14:paraId="31455D09" w14:textId="4D0EFBF5" w:rsidR="0091385D" w:rsidRPr="00FB0891" w:rsidRDefault="0091385D" w:rsidP="0091385D"/>
    <w:p w14:paraId="09D126CA"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Нежеланите реакции, които не се наблюдават при клиничните проучвания, но се наблюдават при животни при нива на експозиция, подобни на нивата на клинична експозиция и е възможно да имат значение за клиничната употреба, са както следва:</w:t>
      </w:r>
    </w:p>
    <w:p w14:paraId="37C9D58C"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Хистологичните изследвания при кучета показват макроскопски видима </w:t>
      </w:r>
      <w:proofErr w:type="spellStart"/>
      <w:r w:rsidRPr="00FB0891">
        <w:rPr>
          <w:rFonts w:eastAsia="Times New Roman" w:cs="Arial"/>
          <w:color w:val="000000"/>
          <w:szCs w:val="20"/>
          <w:lang w:eastAsia="bg-BG"/>
        </w:rPr>
        <w:t>хиперемия</w:t>
      </w:r>
      <w:proofErr w:type="spellEnd"/>
      <w:r w:rsidRPr="00FB0891">
        <w:rPr>
          <w:rFonts w:eastAsia="Times New Roman" w:cs="Arial"/>
          <w:color w:val="000000"/>
          <w:szCs w:val="20"/>
          <w:lang w:eastAsia="bg-BG"/>
        </w:rPr>
        <w:t xml:space="preserve"> на </w:t>
      </w:r>
      <w:proofErr w:type="spellStart"/>
      <w:r w:rsidRPr="00FB0891">
        <w:rPr>
          <w:rFonts w:eastAsia="Times New Roman" w:cs="Arial"/>
          <w:color w:val="000000"/>
          <w:szCs w:val="20"/>
          <w:lang w:eastAsia="bg-BG"/>
        </w:rPr>
        <w:t>мукозата</w:t>
      </w:r>
      <w:proofErr w:type="spellEnd"/>
      <w:r w:rsidRPr="00FB0891">
        <w:rPr>
          <w:rFonts w:eastAsia="Times New Roman" w:cs="Arial"/>
          <w:color w:val="000000"/>
          <w:szCs w:val="20"/>
          <w:lang w:eastAsia="bg-BG"/>
        </w:rPr>
        <w:t xml:space="preserve"> и </w:t>
      </w:r>
      <w:proofErr w:type="spellStart"/>
      <w:r w:rsidRPr="00FB0891">
        <w:rPr>
          <w:rFonts w:eastAsia="Times New Roman" w:cs="Arial"/>
          <w:color w:val="000000"/>
          <w:szCs w:val="20"/>
          <w:lang w:eastAsia="bg-BG"/>
        </w:rPr>
        <w:t>и</w:t>
      </w:r>
      <w:proofErr w:type="spellEnd"/>
      <w:r w:rsidRPr="00FB0891">
        <w:rPr>
          <w:rFonts w:eastAsia="Times New Roman" w:cs="Arial"/>
          <w:color w:val="000000"/>
          <w:szCs w:val="20"/>
          <w:lang w:eastAsia="bg-BG"/>
        </w:rPr>
        <w:t xml:space="preserve"> кръвоизливи в стомашно-чревния тракт. Микроскопските изследвания показват промени на лимфната тъкан, характерни за имуносупресия и </w:t>
      </w:r>
      <w:proofErr w:type="spellStart"/>
      <w:r w:rsidRPr="00FB0891">
        <w:rPr>
          <w:rFonts w:eastAsia="Times New Roman" w:cs="Arial"/>
          <w:color w:val="000000"/>
          <w:szCs w:val="20"/>
          <w:lang w:eastAsia="bg-BG"/>
        </w:rPr>
        <w:t>тубулни</w:t>
      </w:r>
      <w:proofErr w:type="spellEnd"/>
      <w:r w:rsidRPr="00FB0891">
        <w:rPr>
          <w:rFonts w:eastAsia="Times New Roman" w:cs="Arial"/>
          <w:color w:val="000000"/>
          <w:szCs w:val="20"/>
          <w:lang w:eastAsia="bg-BG"/>
        </w:rPr>
        <w:t xml:space="preserve"> промени в тестисите, както и </w:t>
      </w:r>
      <w:proofErr w:type="spellStart"/>
      <w:r w:rsidRPr="00FB0891">
        <w:rPr>
          <w:rFonts w:eastAsia="Times New Roman" w:cs="Arial"/>
          <w:color w:val="000000"/>
          <w:szCs w:val="20"/>
          <w:lang w:eastAsia="bg-BG"/>
        </w:rPr>
        <w:t>атрофични</w:t>
      </w:r>
      <w:proofErr w:type="spellEnd"/>
      <w:r w:rsidRPr="00FB0891">
        <w:rPr>
          <w:rFonts w:eastAsia="Times New Roman" w:cs="Arial"/>
          <w:color w:val="000000"/>
          <w:szCs w:val="20"/>
          <w:lang w:eastAsia="bg-BG"/>
        </w:rPr>
        <w:t xml:space="preserve">, </w:t>
      </w:r>
      <w:proofErr w:type="spellStart"/>
      <w:r w:rsidRPr="00FB0891">
        <w:rPr>
          <w:rFonts w:eastAsia="Times New Roman" w:cs="Arial"/>
          <w:color w:val="000000"/>
          <w:szCs w:val="20"/>
          <w:lang w:eastAsia="bg-BG"/>
        </w:rPr>
        <w:t>некротични</w:t>
      </w:r>
      <w:proofErr w:type="spellEnd"/>
      <w:r w:rsidRPr="00FB0891">
        <w:rPr>
          <w:rFonts w:eastAsia="Times New Roman" w:cs="Arial"/>
          <w:color w:val="000000"/>
          <w:szCs w:val="20"/>
          <w:lang w:eastAsia="bg-BG"/>
        </w:rPr>
        <w:t xml:space="preserve"> промени в </w:t>
      </w:r>
      <w:proofErr w:type="spellStart"/>
      <w:r w:rsidRPr="00FB0891">
        <w:rPr>
          <w:rFonts w:eastAsia="Times New Roman" w:cs="Arial"/>
          <w:color w:val="000000"/>
          <w:szCs w:val="20"/>
          <w:lang w:eastAsia="bg-BG"/>
        </w:rPr>
        <w:t>епитела</w:t>
      </w:r>
      <w:proofErr w:type="spellEnd"/>
      <w:r w:rsidRPr="00FB0891">
        <w:rPr>
          <w:rFonts w:eastAsia="Times New Roman" w:cs="Arial"/>
          <w:color w:val="000000"/>
          <w:szCs w:val="20"/>
          <w:lang w:eastAsia="bg-BG"/>
        </w:rPr>
        <w:t xml:space="preserve"> на простатата.</w:t>
      </w:r>
    </w:p>
    <w:p w14:paraId="55121E3F" w14:textId="77777777" w:rsidR="00861D11" w:rsidRPr="00FB0891" w:rsidRDefault="00861D11" w:rsidP="00861D11">
      <w:pPr>
        <w:spacing w:line="240" w:lineRule="auto"/>
        <w:rPr>
          <w:rFonts w:eastAsia="Times New Roman" w:cs="Arial"/>
          <w:sz w:val="28"/>
          <w:szCs w:val="24"/>
          <w:lang w:eastAsia="bg-BG"/>
        </w:rPr>
      </w:pPr>
      <w:r w:rsidRPr="00FB0891">
        <w:rPr>
          <w:rFonts w:eastAsia="Times New Roman" w:cs="Arial"/>
          <w:color w:val="000000"/>
          <w:szCs w:val="20"/>
          <w:lang w:eastAsia="bg-BG"/>
        </w:rPr>
        <w:t xml:space="preserve">Проучванията при животни показват, че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е </w:t>
      </w:r>
      <w:proofErr w:type="spellStart"/>
      <w:r w:rsidRPr="00FB0891">
        <w:rPr>
          <w:rFonts w:eastAsia="Times New Roman" w:cs="Arial"/>
          <w:color w:val="000000"/>
          <w:szCs w:val="20"/>
          <w:lang w:eastAsia="bg-BG"/>
        </w:rPr>
        <w:t>ембриотоксичен</w:t>
      </w:r>
      <w:proofErr w:type="spellEnd"/>
      <w:r w:rsidRPr="00FB0891">
        <w:rPr>
          <w:rFonts w:eastAsia="Times New Roman" w:cs="Arial"/>
          <w:color w:val="000000"/>
          <w:szCs w:val="20"/>
          <w:lang w:eastAsia="bg-BG"/>
        </w:rPr>
        <w:t xml:space="preserve"> и тератогенен.</w:t>
      </w:r>
    </w:p>
    <w:p w14:paraId="52E4D01A" w14:textId="331F2E2E" w:rsidR="0091385D" w:rsidRPr="00FB0891" w:rsidRDefault="00861D11" w:rsidP="00861D11">
      <w:pPr>
        <w:rPr>
          <w:rFonts w:cs="Arial"/>
          <w:sz w:val="24"/>
        </w:rPr>
      </w:pP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индуцира хромозомни аберации и е мутагенен както </w:t>
      </w:r>
      <w:proofErr w:type="spellStart"/>
      <w:r w:rsidRPr="00FB0891">
        <w:rPr>
          <w:rFonts w:eastAsia="Times New Roman" w:cs="Arial"/>
          <w:i/>
          <w:iCs/>
          <w:color w:val="000000"/>
          <w:szCs w:val="20"/>
        </w:rPr>
        <w:t>in</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vivo</w:t>
      </w:r>
      <w:proofErr w:type="spellEnd"/>
      <w:r w:rsidRPr="00FB0891">
        <w:rPr>
          <w:rFonts w:eastAsia="Times New Roman" w:cs="Arial"/>
          <w:i/>
          <w:iCs/>
          <w:color w:val="000000"/>
          <w:szCs w:val="20"/>
        </w:rPr>
        <w:t>,</w:t>
      </w:r>
      <w:r w:rsidRPr="00FB0891">
        <w:rPr>
          <w:rFonts w:eastAsia="Times New Roman" w:cs="Arial"/>
          <w:color w:val="000000"/>
          <w:szCs w:val="20"/>
        </w:rPr>
        <w:t xml:space="preserve"> </w:t>
      </w:r>
      <w:r w:rsidRPr="00FB0891">
        <w:rPr>
          <w:rFonts w:eastAsia="Times New Roman" w:cs="Arial"/>
          <w:color w:val="000000"/>
          <w:szCs w:val="20"/>
          <w:lang w:eastAsia="bg-BG"/>
        </w:rPr>
        <w:t xml:space="preserve">така и </w:t>
      </w:r>
      <w:proofErr w:type="spellStart"/>
      <w:r w:rsidRPr="00FB0891">
        <w:rPr>
          <w:rFonts w:eastAsia="Times New Roman" w:cs="Arial"/>
          <w:i/>
          <w:iCs/>
          <w:color w:val="000000"/>
          <w:szCs w:val="20"/>
        </w:rPr>
        <w:t>in</w:t>
      </w:r>
      <w:proofErr w:type="spellEnd"/>
      <w:r w:rsidRPr="00FB0891">
        <w:rPr>
          <w:rFonts w:eastAsia="Times New Roman" w:cs="Arial"/>
          <w:i/>
          <w:iCs/>
          <w:color w:val="000000"/>
          <w:szCs w:val="20"/>
        </w:rPr>
        <w:t xml:space="preserve"> </w:t>
      </w:r>
      <w:proofErr w:type="spellStart"/>
      <w:r w:rsidRPr="00FB0891">
        <w:rPr>
          <w:rFonts w:eastAsia="Times New Roman" w:cs="Arial"/>
          <w:i/>
          <w:iCs/>
          <w:color w:val="000000"/>
          <w:szCs w:val="20"/>
        </w:rPr>
        <w:t>vitro</w:t>
      </w:r>
      <w:proofErr w:type="spellEnd"/>
      <w:r w:rsidRPr="00FB0891">
        <w:rPr>
          <w:rFonts w:eastAsia="Times New Roman" w:cs="Arial"/>
          <w:i/>
          <w:iCs/>
          <w:color w:val="000000"/>
          <w:szCs w:val="20"/>
        </w:rPr>
        <w:t>.</w:t>
      </w:r>
      <w:r w:rsidRPr="00FB0891">
        <w:rPr>
          <w:rFonts w:eastAsia="Times New Roman" w:cs="Arial"/>
          <w:color w:val="000000"/>
          <w:szCs w:val="20"/>
        </w:rPr>
        <w:t xml:space="preserve"> </w:t>
      </w:r>
      <w:r w:rsidRPr="00FB0891">
        <w:rPr>
          <w:rFonts w:eastAsia="Times New Roman" w:cs="Arial"/>
          <w:color w:val="000000"/>
          <w:szCs w:val="20"/>
          <w:lang w:eastAsia="bg-BG"/>
        </w:rPr>
        <w:t xml:space="preserve">При продължителни проучвания върху женски мишки </w:t>
      </w:r>
      <w:proofErr w:type="spellStart"/>
      <w:r w:rsidRPr="00FB0891">
        <w:rPr>
          <w:rFonts w:eastAsia="Times New Roman" w:cs="Arial"/>
          <w:color w:val="000000"/>
          <w:szCs w:val="20"/>
          <w:lang w:eastAsia="bg-BG"/>
        </w:rPr>
        <w:t>бендамустин</w:t>
      </w:r>
      <w:proofErr w:type="spellEnd"/>
      <w:r w:rsidRPr="00FB0891">
        <w:rPr>
          <w:rFonts w:eastAsia="Times New Roman" w:cs="Arial"/>
          <w:color w:val="000000"/>
          <w:szCs w:val="20"/>
          <w:lang w:eastAsia="bg-BG"/>
        </w:rPr>
        <w:t xml:space="preserve"> е канцерогенен.</w:t>
      </w:r>
    </w:p>
    <w:p w14:paraId="20E967BE" w14:textId="77777777" w:rsidR="0091385D" w:rsidRPr="00FB0891" w:rsidRDefault="0091385D" w:rsidP="0091385D"/>
    <w:p w14:paraId="6A7820AB" w14:textId="353DB6D2" w:rsidR="008A6AF2" w:rsidRPr="00FB0891" w:rsidRDefault="002C50EE" w:rsidP="00395555">
      <w:pPr>
        <w:pStyle w:val="Heading1"/>
      </w:pPr>
      <w:r w:rsidRPr="00FB0891">
        <w:t>7. ПРИТЕЖАТЕЛ НА РАЗРЕШЕНИЕТО ЗА УПОТРЕБА</w:t>
      </w:r>
    </w:p>
    <w:p w14:paraId="1B9B651E" w14:textId="3382E6AC" w:rsidR="0091385D" w:rsidRPr="00FB0891" w:rsidRDefault="0091385D" w:rsidP="0091385D"/>
    <w:p w14:paraId="3FD825DB" w14:textId="2BA57272" w:rsidR="0091385D" w:rsidRPr="00FB0891" w:rsidRDefault="00E32A31" w:rsidP="00861D11">
      <w:pPr>
        <w:rPr>
          <w:rFonts w:eastAsia="Times New Roman" w:cs="Arial"/>
          <w:color w:val="000000"/>
          <w:szCs w:val="20"/>
        </w:rPr>
      </w:pPr>
      <w:proofErr w:type="spellStart"/>
      <w:r w:rsidRPr="00FB0891">
        <w:rPr>
          <w:rFonts w:eastAsia="Times New Roman" w:cs="Arial"/>
          <w:color w:val="000000"/>
          <w:szCs w:val="20"/>
        </w:rPr>
        <w:t>Sandoz</w:t>
      </w:r>
      <w:proofErr w:type="spellEnd"/>
      <w:r w:rsidRPr="00FB0891">
        <w:rPr>
          <w:rFonts w:eastAsia="Times New Roman" w:cs="Arial"/>
          <w:color w:val="000000"/>
          <w:szCs w:val="20"/>
        </w:rPr>
        <w:t xml:space="preserve"> </w:t>
      </w:r>
      <w:proofErr w:type="spellStart"/>
      <w:r w:rsidRPr="00FB0891">
        <w:rPr>
          <w:rFonts w:eastAsia="Times New Roman" w:cs="Arial"/>
          <w:color w:val="000000"/>
          <w:szCs w:val="20"/>
        </w:rPr>
        <w:t>d.d</w:t>
      </w:r>
      <w:proofErr w:type="spellEnd"/>
      <w:r w:rsidRPr="00FB0891">
        <w:rPr>
          <w:rFonts w:eastAsia="Times New Roman" w:cs="Arial"/>
          <w:color w:val="000000"/>
          <w:szCs w:val="20"/>
        </w:rPr>
        <w:t>.</w:t>
      </w:r>
    </w:p>
    <w:p w14:paraId="052451FD" w14:textId="70057882" w:rsidR="00E32A31" w:rsidRPr="00FB0891" w:rsidRDefault="00E32A31" w:rsidP="00861D11">
      <w:pPr>
        <w:rPr>
          <w:rFonts w:cs="Arial"/>
          <w:color w:val="202124"/>
          <w:szCs w:val="30"/>
          <w:shd w:val="clear" w:color="auto" w:fill="FFFFFF"/>
        </w:rPr>
      </w:pPr>
      <w:proofErr w:type="spellStart"/>
      <w:r w:rsidRPr="00FB0891">
        <w:rPr>
          <w:rFonts w:cs="Arial"/>
          <w:color w:val="202124"/>
          <w:szCs w:val="30"/>
          <w:shd w:val="clear" w:color="auto" w:fill="FFFFFF"/>
        </w:rPr>
        <w:t>Verovškova</w:t>
      </w:r>
      <w:proofErr w:type="spellEnd"/>
      <w:r w:rsidRPr="00FB0891">
        <w:rPr>
          <w:rFonts w:cs="Arial"/>
          <w:color w:val="202124"/>
          <w:szCs w:val="30"/>
          <w:shd w:val="clear" w:color="auto" w:fill="FFFFFF"/>
        </w:rPr>
        <w:t xml:space="preserve"> 57</w:t>
      </w:r>
    </w:p>
    <w:p w14:paraId="1CECFA08" w14:textId="2EE3B889" w:rsidR="00E32A31" w:rsidRPr="00FB0891" w:rsidRDefault="00E32A31" w:rsidP="00861D11">
      <w:pPr>
        <w:rPr>
          <w:rFonts w:cs="Arial"/>
          <w:color w:val="202124"/>
          <w:szCs w:val="30"/>
          <w:shd w:val="clear" w:color="auto" w:fill="FFFFFF"/>
        </w:rPr>
      </w:pPr>
      <w:r w:rsidRPr="00FB0891">
        <w:rPr>
          <w:rFonts w:cs="Arial"/>
          <w:color w:val="202124"/>
          <w:szCs w:val="30"/>
          <w:shd w:val="clear" w:color="auto" w:fill="FFFFFF"/>
        </w:rPr>
        <w:t xml:space="preserve">1000 </w:t>
      </w:r>
      <w:proofErr w:type="spellStart"/>
      <w:r w:rsidRPr="00FB0891">
        <w:rPr>
          <w:rFonts w:cs="Arial"/>
          <w:color w:val="202124"/>
          <w:szCs w:val="30"/>
          <w:shd w:val="clear" w:color="auto" w:fill="FFFFFF"/>
        </w:rPr>
        <w:t>Ljubljana</w:t>
      </w:r>
      <w:proofErr w:type="spellEnd"/>
    </w:p>
    <w:p w14:paraId="712B3932" w14:textId="30B1CFE1" w:rsidR="00E32A31" w:rsidRPr="00FB0891" w:rsidRDefault="00E32A31" w:rsidP="00861D11">
      <w:pPr>
        <w:rPr>
          <w:rFonts w:cs="Arial"/>
          <w:sz w:val="18"/>
        </w:rPr>
      </w:pPr>
      <w:r w:rsidRPr="00FB0891">
        <w:rPr>
          <w:rFonts w:cs="Arial"/>
          <w:color w:val="202124"/>
          <w:szCs w:val="30"/>
          <w:shd w:val="clear" w:color="auto" w:fill="FFFFFF"/>
        </w:rPr>
        <w:t>Словения</w:t>
      </w:r>
    </w:p>
    <w:p w14:paraId="129C7566" w14:textId="77777777" w:rsidR="0091385D" w:rsidRPr="00FB0891" w:rsidRDefault="0091385D" w:rsidP="0091385D"/>
    <w:p w14:paraId="7BA1BA64" w14:textId="17509450" w:rsidR="00CF77F7" w:rsidRPr="00FB0891" w:rsidRDefault="002C50EE" w:rsidP="004A448E">
      <w:pPr>
        <w:pStyle w:val="Heading1"/>
      </w:pPr>
      <w:r w:rsidRPr="00FB0891">
        <w:t>8. НОМЕР НА РАЗРЕШЕНИЕТО ЗА УПОТРЕБА</w:t>
      </w:r>
    </w:p>
    <w:p w14:paraId="095674C4" w14:textId="54CA436A" w:rsidR="0091385D" w:rsidRPr="00FB0891" w:rsidRDefault="0091385D" w:rsidP="0091385D"/>
    <w:p w14:paraId="6E892CE5" w14:textId="6233593B" w:rsidR="0091385D" w:rsidRPr="00FB0891" w:rsidRDefault="00861D11" w:rsidP="0091385D">
      <w:pPr>
        <w:rPr>
          <w:rFonts w:cs="Arial"/>
          <w:sz w:val="24"/>
        </w:rPr>
      </w:pPr>
      <w:proofErr w:type="spellStart"/>
      <w:r w:rsidRPr="00FB0891">
        <w:rPr>
          <w:rFonts w:cs="Arial"/>
          <w:szCs w:val="20"/>
        </w:rPr>
        <w:t>Peг</w:t>
      </w:r>
      <w:proofErr w:type="spellEnd"/>
      <w:r w:rsidRPr="00FB0891">
        <w:rPr>
          <w:rFonts w:cs="Arial"/>
          <w:szCs w:val="20"/>
        </w:rPr>
        <w:t xml:space="preserve">. </w:t>
      </w:r>
      <w:r w:rsidR="00E32A31" w:rsidRPr="00FB0891">
        <w:rPr>
          <w:rFonts w:cs="Arial"/>
          <w:szCs w:val="20"/>
        </w:rPr>
        <w:t>№2019</w:t>
      </w:r>
      <w:r w:rsidRPr="00FB0891">
        <w:rPr>
          <w:rFonts w:cs="Arial"/>
          <w:szCs w:val="20"/>
        </w:rPr>
        <w:t>00</w:t>
      </w:r>
      <w:r w:rsidR="00E32A31" w:rsidRPr="00FB0891">
        <w:rPr>
          <w:rFonts w:cs="Arial"/>
          <w:szCs w:val="20"/>
        </w:rPr>
        <w:t>61</w:t>
      </w:r>
    </w:p>
    <w:p w14:paraId="62EF7F8B" w14:textId="77777777" w:rsidR="0091385D" w:rsidRPr="00FB0891" w:rsidRDefault="0091385D" w:rsidP="0091385D"/>
    <w:p w14:paraId="2CCB5832" w14:textId="18FCD95B" w:rsidR="007C605B" w:rsidRPr="00FB0891" w:rsidRDefault="002C50EE" w:rsidP="007C605B">
      <w:pPr>
        <w:pStyle w:val="Heading1"/>
      </w:pPr>
      <w:r w:rsidRPr="00FB0891">
        <w:t>9. ДАТА НА ПЪРВО РАЗРЕШАВАНЕ/ПОДНОВЯВАНЕ НА РАЗРЕШЕНИЕТО ЗА УПОТРЕБА</w:t>
      </w:r>
    </w:p>
    <w:p w14:paraId="372B3414" w14:textId="0F79A9B4" w:rsidR="0091385D" w:rsidRPr="00FB0891" w:rsidRDefault="0091385D" w:rsidP="0091385D"/>
    <w:p w14:paraId="780BA83A" w14:textId="44A384E5" w:rsidR="00E32A31" w:rsidRPr="00FB0891" w:rsidRDefault="00E32A31" w:rsidP="0091385D">
      <w:pPr>
        <w:rPr>
          <w:rFonts w:cs="Arial"/>
          <w:szCs w:val="20"/>
        </w:rPr>
      </w:pPr>
      <w:r w:rsidRPr="00FB0891">
        <w:rPr>
          <w:rFonts w:cs="Arial"/>
          <w:szCs w:val="20"/>
        </w:rPr>
        <w:lastRenderedPageBreak/>
        <w:t>Дата на първо разрешаване: 27.03</w:t>
      </w:r>
      <w:r w:rsidR="00861D11" w:rsidRPr="00FB0891">
        <w:rPr>
          <w:rFonts w:cs="Arial"/>
          <w:szCs w:val="20"/>
        </w:rPr>
        <w:t>.201</w:t>
      </w:r>
      <w:r w:rsidRPr="00FB0891">
        <w:rPr>
          <w:rFonts w:cs="Arial"/>
          <w:szCs w:val="20"/>
        </w:rPr>
        <w:t>9</w:t>
      </w:r>
    </w:p>
    <w:p w14:paraId="502E1477" w14:textId="77777777" w:rsidR="00E32A31" w:rsidRPr="00FB0891" w:rsidRDefault="00E32A31" w:rsidP="0091385D">
      <w:pPr>
        <w:rPr>
          <w:rFonts w:cs="Arial"/>
          <w:szCs w:val="20"/>
        </w:rPr>
      </w:pPr>
    </w:p>
    <w:p w14:paraId="0E9D0119" w14:textId="1FEC128A" w:rsidR="002C50EE" w:rsidRPr="00FB0891" w:rsidRDefault="002C50EE" w:rsidP="002C50EE">
      <w:pPr>
        <w:pStyle w:val="Heading1"/>
      </w:pPr>
      <w:r w:rsidRPr="00FB0891">
        <w:t>10. ДАТА НА АКТУАЛИЗИРАНЕ НА ТЕКСТА</w:t>
      </w:r>
    </w:p>
    <w:p w14:paraId="3E8FFCC4" w14:textId="34E0D3BB" w:rsidR="0091385D" w:rsidRPr="00FB0891" w:rsidRDefault="0091385D" w:rsidP="0091385D"/>
    <w:p w14:paraId="30276F52" w14:textId="3E095DC6" w:rsidR="0091385D" w:rsidRPr="00FB0891" w:rsidRDefault="00E32A31" w:rsidP="0091385D">
      <w:pPr>
        <w:rPr>
          <w:rFonts w:cs="Arial"/>
          <w:sz w:val="24"/>
        </w:rPr>
      </w:pPr>
      <w:r w:rsidRPr="00FB0891">
        <w:rPr>
          <w:rFonts w:cs="Arial"/>
          <w:szCs w:val="20"/>
        </w:rPr>
        <w:t>04/2021</w:t>
      </w:r>
    </w:p>
    <w:p w14:paraId="6B00148E" w14:textId="77777777" w:rsidR="0091385D" w:rsidRPr="00FB0891" w:rsidRDefault="0091385D" w:rsidP="0091385D"/>
    <w:bookmarkEnd w:id="0"/>
    <w:p w14:paraId="43FB38A2" w14:textId="5500C507" w:rsidR="007C605B" w:rsidRPr="00FB0891" w:rsidRDefault="007C605B" w:rsidP="00CF77F7"/>
    <w:sectPr w:rsidR="007C605B" w:rsidRPr="00F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293C633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2" w15:restartNumberingAfterBreak="0">
    <w:nsid w:val="00894126"/>
    <w:multiLevelType w:val="multilevel"/>
    <w:tmpl w:val="588ED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0AE4925"/>
    <w:multiLevelType w:val="multilevel"/>
    <w:tmpl w:val="4CC8ED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834C69"/>
    <w:multiLevelType w:val="multilevel"/>
    <w:tmpl w:val="DC0A14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9A0F47"/>
    <w:multiLevelType w:val="hybridMultilevel"/>
    <w:tmpl w:val="5F3E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2C2D"/>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7" w15:restartNumberingAfterBreak="0">
    <w:nsid w:val="19016EEE"/>
    <w:multiLevelType w:val="hybridMultilevel"/>
    <w:tmpl w:val="52F6376E"/>
    <w:lvl w:ilvl="0" w:tplc="4F7A938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343B0"/>
    <w:multiLevelType w:val="hybridMultilevel"/>
    <w:tmpl w:val="DD4E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258ED"/>
    <w:multiLevelType w:val="hybridMultilevel"/>
    <w:tmpl w:val="AA423BD4"/>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0" w15:restartNumberingAfterBreak="0">
    <w:nsid w:val="26177103"/>
    <w:multiLevelType w:val="multilevel"/>
    <w:tmpl w:val="E82C6D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C0F0359"/>
    <w:multiLevelType w:val="hybridMultilevel"/>
    <w:tmpl w:val="44C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60FB9"/>
    <w:multiLevelType w:val="hybridMultilevel"/>
    <w:tmpl w:val="BA3E8EEE"/>
    <w:lvl w:ilvl="0" w:tplc="D63C3370">
      <w:start w:val="4"/>
      <w:numFmt w:val="bullet"/>
      <w:lvlText w:val="-"/>
      <w:lvlJc w:val="left"/>
      <w:pPr>
        <w:ind w:left="720" w:hanging="360"/>
      </w:pPr>
      <w:rPr>
        <w:rFonts w:ascii="Arial" w:eastAsia="Times New Roman"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002FE"/>
    <w:multiLevelType w:val="hybridMultilevel"/>
    <w:tmpl w:val="60D4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87B88"/>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15" w15:restartNumberingAfterBreak="0">
    <w:nsid w:val="403D3417"/>
    <w:multiLevelType w:val="multilevel"/>
    <w:tmpl w:val="B57254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2823E3C"/>
    <w:multiLevelType w:val="hybridMultilevel"/>
    <w:tmpl w:val="80B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E33D8"/>
    <w:multiLevelType w:val="hybridMultilevel"/>
    <w:tmpl w:val="7130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D0C31"/>
    <w:multiLevelType w:val="hybridMultilevel"/>
    <w:tmpl w:val="2946DD8C"/>
    <w:lvl w:ilvl="0" w:tplc="83C2330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17B77"/>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20" w15:restartNumberingAfterBreak="0">
    <w:nsid w:val="4B960DEC"/>
    <w:multiLevelType w:val="hybridMultilevel"/>
    <w:tmpl w:val="DE7AABEA"/>
    <w:lvl w:ilvl="0" w:tplc="7E0614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1061F"/>
    <w:multiLevelType w:val="hybridMultilevel"/>
    <w:tmpl w:val="7BE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E48DA"/>
    <w:multiLevelType w:val="hybridMultilevel"/>
    <w:tmpl w:val="8D98AC54"/>
    <w:lvl w:ilvl="0" w:tplc="04090001">
      <w:start w:val="1"/>
      <w:numFmt w:val="bullet"/>
      <w:lvlText w:val=""/>
      <w:lvlJc w:val="left"/>
      <w:pPr>
        <w:ind w:left="720" w:hanging="360"/>
      </w:pPr>
      <w:rPr>
        <w:rFonts w:ascii="Symbol" w:hAnsi="Symbol" w:hint="default"/>
      </w:rPr>
    </w:lvl>
    <w:lvl w:ilvl="1" w:tplc="9F088CA4">
      <w:numFmt w:val="bullet"/>
      <w:lvlText w:val="•"/>
      <w:lvlJc w:val="left"/>
      <w:pPr>
        <w:ind w:left="1800" w:hanging="720"/>
      </w:pPr>
      <w:rPr>
        <w:rFonts w:ascii="Arial" w:eastAsiaTheme="minorHAnsi" w:hAnsi="Arial"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B1ABA"/>
    <w:multiLevelType w:val="hybridMultilevel"/>
    <w:tmpl w:val="EEEC7F7E"/>
    <w:lvl w:ilvl="0" w:tplc="E38E44DA">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8116B"/>
    <w:multiLevelType w:val="hybridMultilevel"/>
    <w:tmpl w:val="F18C2434"/>
    <w:lvl w:ilvl="0" w:tplc="04B87F8E">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2302E"/>
    <w:multiLevelType w:val="hybridMultilevel"/>
    <w:tmpl w:val="FF02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F677A"/>
    <w:multiLevelType w:val="hybridMultilevel"/>
    <w:tmpl w:val="96EC7004"/>
    <w:lvl w:ilvl="0" w:tplc="D63C3370">
      <w:start w:val="4"/>
      <w:numFmt w:val="bullet"/>
      <w:lvlText w:val="-"/>
      <w:lvlJc w:val="left"/>
      <w:pPr>
        <w:ind w:left="720" w:hanging="360"/>
      </w:pPr>
      <w:rPr>
        <w:rFonts w:ascii="Arial" w:eastAsia="Times New Roman"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22928"/>
    <w:multiLevelType w:val="hybridMultilevel"/>
    <w:tmpl w:val="A8F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539E2"/>
    <w:multiLevelType w:val="hybridMultilevel"/>
    <w:tmpl w:val="E3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C7DEC"/>
    <w:multiLevelType w:val="hybridMultilevel"/>
    <w:tmpl w:val="EE04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AD1413"/>
    <w:multiLevelType w:val="hybridMultilevel"/>
    <w:tmpl w:val="9B941132"/>
    <w:lvl w:ilvl="0" w:tplc="7E0614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46080"/>
    <w:multiLevelType w:val="hybridMultilevel"/>
    <w:tmpl w:val="AF3E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E39A0"/>
    <w:multiLevelType w:val="hybridMultilevel"/>
    <w:tmpl w:val="E28A72A8"/>
    <w:lvl w:ilvl="0" w:tplc="61A8CAF0">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B2D78"/>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num w:numId="1" w16cid:durableId="1588540032">
    <w:abstractNumId w:val="26"/>
  </w:num>
  <w:num w:numId="2" w16cid:durableId="1823548146">
    <w:abstractNumId w:val="0"/>
  </w:num>
  <w:num w:numId="3" w16cid:durableId="602490838">
    <w:abstractNumId w:val="12"/>
  </w:num>
  <w:num w:numId="4" w16cid:durableId="1513883294">
    <w:abstractNumId w:val="3"/>
  </w:num>
  <w:num w:numId="5" w16cid:durableId="563103179">
    <w:abstractNumId w:val="1"/>
  </w:num>
  <w:num w:numId="6" w16cid:durableId="427392691">
    <w:abstractNumId w:val="15"/>
  </w:num>
  <w:num w:numId="7" w16cid:durableId="1557275557">
    <w:abstractNumId w:val="10"/>
  </w:num>
  <w:num w:numId="8" w16cid:durableId="74400193">
    <w:abstractNumId w:val="14"/>
  </w:num>
  <w:num w:numId="9" w16cid:durableId="220558256">
    <w:abstractNumId w:val="2"/>
  </w:num>
  <w:num w:numId="10" w16cid:durableId="1389525820">
    <w:abstractNumId w:val="4"/>
  </w:num>
  <w:num w:numId="11" w16cid:durableId="522325708">
    <w:abstractNumId w:val="29"/>
  </w:num>
  <w:num w:numId="12" w16cid:durableId="861747025">
    <w:abstractNumId w:val="13"/>
  </w:num>
  <w:num w:numId="13" w16cid:durableId="1139305453">
    <w:abstractNumId w:val="18"/>
  </w:num>
  <w:num w:numId="14" w16cid:durableId="592671526">
    <w:abstractNumId w:val="11"/>
  </w:num>
  <w:num w:numId="15" w16cid:durableId="1859734026">
    <w:abstractNumId w:val="28"/>
  </w:num>
  <w:num w:numId="16" w16cid:durableId="113061973">
    <w:abstractNumId w:val="9"/>
  </w:num>
  <w:num w:numId="17" w16cid:durableId="1718360568">
    <w:abstractNumId w:val="23"/>
  </w:num>
  <w:num w:numId="18" w16cid:durableId="457378470">
    <w:abstractNumId w:val="7"/>
  </w:num>
  <w:num w:numId="19" w16cid:durableId="2059930717">
    <w:abstractNumId w:val="25"/>
  </w:num>
  <w:num w:numId="20" w16cid:durableId="48380835">
    <w:abstractNumId w:val="22"/>
  </w:num>
  <w:num w:numId="21" w16cid:durableId="221527602">
    <w:abstractNumId w:val="16"/>
  </w:num>
  <w:num w:numId="22" w16cid:durableId="1674409573">
    <w:abstractNumId w:val="24"/>
  </w:num>
  <w:num w:numId="23" w16cid:durableId="2111777856">
    <w:abstractNumId w:val="17"/>
  </w:num>
  <w:num w:numId="24" w16cid:durableId="152645876">
    <w:abstractNumId w:val="8"/>
  </w:num>
  <w:num w:numId="25" w16cid:durableId="987393897">
    <w:abstractNumId w:val="21"/>
  </w:num>
  <w:num w:numId="26" w16cid:durableId="723143671">
    <w:abstractNumId w:val="20"/>
  </w:num>
  <w:num w:numId="27" w16cid:durableId="366025664">
    <w:abstractNumId w:val="30"/>
  </w:num>
  <w:num w:numId="28" w16cid:durableId="1584535217">
    <w:abstractNumId w:val="6"/>
  </w:num>
  <w:num w:numId="29" w16cid:durableId="812409287">
    <w:abstractNumId w:val="19"/>
  </w:num>
  <w:num w:numId="30" w16cid:durableId="1960408786">
    <w:abstractNumId w:val="33"/>
  </w:num>
  <w:num w:numId="31" w16cid:durableId="695351770">
    <w:abstractNumId w:val="5"/>
  </w:num>
  <w:num w:numId="32" w16cid:durableId="558325033">
    <w:abstractNumId w:val="32"/>
  </w:num>
  <w:num w:numId="33" w16cid:durableId="778984486">
    <w:abstractNumId w:val="27"/>
  </w:num>
  <w:num w:numId="34" w16cid:durableId="5329655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00"/>
    <w:rsid w:val="00026046"/>
    <w:rsid w:val="00185A46"/>
    <w:rsid w:val="001915B6"/>
    <w:rsid w:val="001D1B23"/>
    <w:rsid w:val="00234D57"/>
    <w:rsid w:val="002B3C38"/>
    <w:rsid w:val="002B4DBB"/>
    <w:rsid w:val="002C50EE"/>
    <w:rsid w:val="00340A0A"/>
    <w:rsid w:val="003765DC"/>
    <w:rsid w:val="00395555"/>
    <w:rsid w:val="003A059D"/>
    <w:rsid w:val="003E3126"/>
    <w:rsid w:val="00426E5F"/>
    <w:rsid w:val="004775CC"/>
    <w:rsid w:val="004A448E"/>
    <w:rsid w:val="004D4D6B"/>
    <w:rsid w:val="004F1CE7"/>
    <w:rsid w:val="004F498A"/>
    <w:rsid w:val="00517A5B"/>
    <w:rsid w:val="00593A00"/>
    <w:rsid w:val="005A66D9"/>
    <w:rsid w:val="00605BCA"/>
    <w:rsid w:val="006158A1"/>
    <w:rsid w:val="00617B1F"/>
    <w:rsid w:val="00672487"/>
    <w:rsid w:val="00672600"/>
    <w:rsid w:val="00681D4A"/>
    <w:rsid w:val="00685882"/>
    <w:rsid w:val="0070240F"/>
    <w:rsid w:val="00717778"/>
    <w:rsid w:val="0075649D"/>
    <w:rsid w:val="007C605B"/>
    <w:rsid w:val="008134C8"/>
    <w:rsid w:val="00814073"/>
    <w:rsid w:val="00826F0D"/>
    <w:rsid w:val="00861D11"/>
    <w:rsid w:val="00893B92"/>
    <w:rsid w:val="008A6AF2"/>
    <w:rsid w:val="008C70A2"/>
    <w:rsid w:val="008F05B3"/>
    <w:rsid w:val="0091385D"/>
    <w:rsid w:val="009773E4"/>
    <w:rsid w:val="009B171C"/>
    <w:rsid w:val="009F1313"/>
    <w:rsid w:val="00A20351"/>
    <w:rsid w:val="00A65A81"/>
    <w:rsid w:val="00AA23EC"/>
    <w:rsid w:val="00AC63CE"/>
    <w:rsid w:val="00AE2107"/>
    <w:rsid w:val="00B275A8"/>
    <w:rsid w:val="00BF2600"/>
    <w:rsid w:val="00C0049F"/>
    <w:rsid w:val="00C07B84"/>
    <w:rsid w:val="00C33464"/>
    <w:rsid w:val="00C40420"/>
    <w:rsid w:val="00C809A7"/>
    <w:rsid w:val="00C83063"/>
    <w:rsid w:val="00C87E90"/>
    <w:rsid w:val="00CA1B57"/>
    <w:rsid w:val="00CF77F7"/>
    <w:rsid w:val="00D86297"/>
    <w:rsid w:val="00DD466D"/>
    <w:rsid w:val="00E32A31"/>
    <w:rsid w:val="00EB6364"/>
    <w:rsid w:val="00F37B64"/>
    <w:rsid w:val="00FB0891"/>
    <w:rsid w:val="00FD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4BA7"/>
  <w15:docId w15:val="{3DA60348-CCDC-4D6D-877F-EA9575E0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64"/>
    <w:pPr>
      <w:spacing w:after="0" w:line="256" w:lineRule="auto"/>
    </w:pPr>
    <w:rPr>
      <w:rFonts w:ascii="Arial" w:hAnsi="Arial"/>
      <w:lang w:val="bg-BG"/>
    </w:rPr>
  </w:style>
  <w:style w:type="paragraph" w:styleId="Heading1">
    <w:name w:val="heading 1"/>
    <w:basedOn w:val="Normal"/>
    <w:next w:val="Normal"/>
    <w:link w:val="Heading1Char"/>
    <w:uiPriority w:val="9"/>
    <w:qFormat/>
    <w:rsid w:val="00681D4A"/>
    <w:pPr>
      <w:keepNext/>
      <w:keepLines/>
      <w:spacing w:before="240" w:line="259" w:lineRule="auto"/>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681D4A"/>
    <w:pPr>
      <w:keepNext/>
      <w:keepLines/>
      <w:spacing w:before="40" w:line="259" w:lineRule="auto"/>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681D4A"/>
    <w:pPr>
      <w:keepNext/>
      <w:keepLines/>
      <w:spacing w:before="40" w:line="259" w:lineRule="auto"/>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681D4A"/>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1"/>
    <w:basedOn w:val="Heading3"/>
    <w:next w:val="Normal"/>
    <w:link w:val="10"/>
    <w:qFormat/>
    <w:rsid w:val="00C87E90"/>
    <w:pPr>
      <w:widowControl w:val="0"/>
      <w:spacing w:after="1080" w:line="240" w:lineRule="auto"/>
      <w:ind w:left="4400"/>
      <w:jc w:val="center"/>
    </w:pPr>
    <w:rPr>
      <w:b/>
      <w:sz w:val="22"/>
      <w:szCs w:val="22"/>
    </w:rPr>
  </w:style>
  <w:style w:type="character" w:customStyle="1" w:styleId="10">
    <w:name w:val="Стил1 Знак"/>
    <w:basedOn w:val="Heading3Char"/>
    <w:link w:val="1"/>
    <w:rsid w:val="00C87E90"/>
    <w:rPr>
      <w:rFonts w:ascii="Arial" w:eastAsiaTheme="majorEastAsia" w:hAnsi="Arial" w:cstheme="majorBidi"/>
      <w:b/>
      <w:color w:val="000000" w:themeColor="text1"/>
      <w:sz w:val="24"/>
      <w:szCs w:val="24"/>
    </w:rPr>
  </w:style>
  <w:style w:type="character" w:customStyle="1" w:styleId="Heading3Char">
    <w:name w:val="Heading 3 Char"/>
    <w:basedOn w:val="DefaultParagraphFont"/>
    <w:link w:val="Heading3"/>
    <w:uiPriority w:val="9"/>
    <w:rsid w:val="00681D4A"/>
    <w:rPr>
      <w:rFonts w:ascii="Arial" w:eastAsiaTheme="majorEastAsia" w:hAnsi="Arial" w:cstheme="majorBidi"/>
      <w:color w:val="000000" w:themeColor="text1"/>
      <w:sz w:val="24"/>
      <w:szCs w:val="24"/>
    </w:rPr>
  </w:style>
  <w:style w:type="paragraph" w:styleId="ListParagraph">
    <w:name w:val="List Paragraph"/>
    <w:basedOn w:val="Normal"/>
    <w:uiPriority w:val="34"/>
    <w:qFormat/>
    <w:rsid w:val="00685882"/>
    <w:pPr>
      <w:spacing w:line="259" w:lineRule="auto"/>
      <w:ind w:left="720"/>
      <w:contextualSpacing/>
    </w:pPr>
  </w:style>
  <w:style w:type="character" w:customStyle="1" w:styleId="Heading1Char">
    <w:name w:val="Heading 1 Char"/>
    <w:basedOn w:val="DefaultParagraphFont"/>
    <w:link w:val="Heading1"/>
    <w:uiPriority w:val="9"/>
    <w:rsid w:val="00681D4A"/>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681D4A"/>
    <w:rPr>
      <w:rFonts w:ascii="Arial" w:eastAsiaTheme="majorEastAsia" w:hAnsi="Arial" w:cstheme="majorBidi"/>
      <w:color w:val="000000" w:themeColor="text1"/>
      <w:sz w:val="26"/>
      <w:szCs w:val="26"/>
    </w:rPr>
  </w:style>
  <w:style w:type="character" w:customStyle="1" w:styleId="Heading4Char">
    <w:name w:val="Heading 4 Char"/>
    <w:basedOn w:val="DefaultParagraphFont"/>
    <w:link w:val="Heading4"/>
    <w:uiPriority w:val="9"/>
    <w:rsid w:val="00681D4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5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6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da.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4384</Words>
  <Characters>24990</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vasilev</dc:creator>
  <cp:keywords/>
  <dc:description/>
  <cp:lastModifiedBy>Maria Vasileva</cp:lastModifiedBy>
  <cp:revision>6</cp:revision>
  <dcterms:created xsi:type="dcterms:W3CDTF">2022-08-02T00:40:00Z</dcterms:created>
  <dcterms:modified xsi:type="dcterms:W3CDTF">2022-08-04T07:19:00Z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080e56-8894-418a-9b19-f357e77b996f_Enabled">
    <vt:lpwstr>true</vt:lpwstr>
  </property>
  <property fmtid="{D5CDD505-2E9C-101B-9397-08002B2CF9AE}" pid="3" name="MSIP_Label_78080e56-8894-418a-9b19-f357e77b996f_SetDate">
    <vt:lpwstr>2021-02-06T20:50:59Z</vt:lpwstr>
  </property>
  <property fmtid="{D5CDD505-2E9C-101B-9397-08002B2CF9AE}" pid="4" name="MSIP_Label_78080e56-8894-418a-9b19-f357e77b996f_Method">
    <vt:lpwstr>Standard</vt:lpwstr>
  </property>
  <property fmtid="{D5CDD505-2E9C-101B-9397-08002B2CF9AE}" pid="5" name="MSIP_Label_78080e56-8894-418a-9b19-f357e77b996f_Name">
    <vt:lpwstr>Internal Use Unencrypted</vt:lpwstr>
  </property>
  <property fmtid="{D5CDD505-2E9C-101B-9397-08002B2CF9AE}" pid="6" name="MSIP_Label_78080e56-8894-418a-9b19-f357e77b996f_SiteId">
    <vt:lpwstr>6c7fadf5-6b9d-485a-85cb-f8112e9720ec</vt:lpwstr>
  </property>
  <property fmtid="{D5CDD505-2E9C-101B-9397-08002B2CF9AE}" pid="7" name="MSIP_Label_78080e56-8894-418a-9b19-f357e77b996f_ActionId">
    <vt:lpwstr>0a32757c-47c4-4949-90c3-637a5e65fde2</vt:lpwstr>
  </property>
  <property fmtid="{D5CDD505-2E9C-101B-9397-08002B2CF9AE}" pid="8" name="MSIP_Label_78080e56-8894-418a-9b19-f357e77b996f_ContentBits">
    <vt:lpwstr>2</vt:lpwstr>
  </property>
</Properties>
</file>