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0A07AD2A" w:rsidR="00C40420" w:rsidRDefault="00DD466D" w:rsidP="004A448E">
      <w:pPr>
        <w:pStyle w:val="Heading1"/>
      </w:pPr>
      <w:r>
        <w:t>1.ИМЕ НА ЛЕКАРСТВЕНИЯ ПРОДУКТ</w:t>
      </w:r>
    </w:p>
    <w:p w14:paraId="638ACDB1" w14:textId="5F01EA4C" w:rsidR="00D06B3D" w:rsidRDefault="00D06B3D" w:rsidP="00D06B3D"/>
    <w:p w14:paraId="0423615D" w14:textId="77777777" w:rsidR="00D06B3D" w:rsidRPr="00D06B3D" w:rsidRDefault="00D06B3D" w:rsidP="00D06B3D">
      <w:pPr>
        <w:spacing w:line="240" w:lineRule="auto"/>
        <w:rPr>
          <w:rFonts w:eastAsia="Times New Roman" w:cs="Arial"/>
          <w:sz w:val="24"/>
          <w:szCs w:val="24"/>
          <w:lang w:val="en-US" w:eastAsia="bg-BG"/>
        </w:rPr>
      </w:pPr>
      <w:r w:rsidRPr="00D06B3D">
        <w:rPr>
          <w:rFonts w:eastAsia="Times New Roman" w:cs="Arial"/>
          <w:color w:val="000000"/>
          <w:lang w:eastAsia="bg-BG"/>
        </w:rPr>
        <w:t xml:space="preserve">Берлиприл 5 </w:t>
      </w:r>
      <w:r w:rsidRPr="00D06B3D">
        <w:rPr>
          <w:rFonts w:eastAsia="Times New Roman" w:cs="Arial"/>
          <w:color w:val="000000"/>
          <w:lang w:val="en-US"/>
        </w:rPr>
        <w:t xml:space="preserve">mg </w:t>
      </w:r>
      <w:r w:rsidRPr="00D06B3D">
        <w:rPr>
          <w:rFonts w:eastAsia="Times New Roman" w:cs="Arial"/>
          <w:color w:val="000000"/>
          <w:lang w:eastAsia="bg-BG"/>
        </w:rPr>
        <w:t>таблетки</w:t>
      </w:r>
    </w:p>
    <w:p w14:paraId="5C5AD4CC" w14:textId="77777777" w:rsidR="00D06B3D" w:rsidRPr="00D06B3D" w:rsidRDefault="00D06B3D" w:rsidP="00D06B3D">
      <w:pPr>
        <w:spacing w:line="240" w:lineRule="auto"/>
        <w:rPr>
          <w:rFonts w:eastAsia="Times New Roman" w:cs="Arial"/>
          <w:sz w:val="24"/>
          <w:szCs w:val="24"/>
          <w:lang w:val="en-US" w:eastAsia="bg-BG"/>
        </w:rPr>
      </w:pPr>
      <w:proofErr w:type="spellStart"/>
      <w:r w:rsidRPr="00D06B3D">
        <w:rPr>
          <w:rFonts w:eastAsia="Times New Roman" w:cs="Arial"/>
          <w:color w:val="000000"/>
          <w:lang w:val="en-US"/>
        </w:rPr>
        <w:t>Berlipril</w:t>
      </w:r>
      <w:proofErr w:type="spellEnd"/>
      <w:r w:rsidRPr="00D06B3D">
        <w:rPr>
          <w:rFonts w:eastAsia="Times New Roman" w:cs="Arial"/>
          <w:color w:val="000000"/>
          <w:lang w:val="en-US"/>
        </w:rPr>
        <w:t xml:space="preserve"> </w:t>
      </w:r>
      <w:r w:rsidRPr="00D06B3D">
        <w:rPr>
          <w:rFonts w:eastAsia="Times New Roman" w:cs="Arial"/>
          <w:color w:val="000000"/>
          <w:lang w:eastAsia="bg-BG"/>
        </w:rPr>
        <w:t xml:space="preserve">5 </w:t>
      </w:r>
      <w:r w:rsidRPr="00D06B3D">
        <w:rPr>
          <w:rFonts w:eastAsia="Times New Roman" w:cs="Arial"/>
          <w:color w:val="000000"/>
          <w:lang w:val="en-US"/>
        </w:rPr>
        <w:t>mg tablets</w:t>
      </w:r>
    </w:p>
    <w:p w14:paraId="5E518728" w14:textId="77777777" w:rsidR="00D06B3D" w:rsidRPr="00D06B3D" w:rsidRDefault="00D06B3D" w:rsidP="00D06B3D">
      <w:pPr>
        <w:spacing w:line="240" w:lineRule="auto"/>
        <w:rPr>
          <w:rFonts w:eastAsia="Times New Roman" w:cs="Arial"/>
          <w:color w:val="000000"/>
          <w:lang w:eastAsia="bg-BG"/>
        </w:rPr>
      </w:pPr>
    </w:p>
    <w:p w14:paraId="23A26FCD" w14:textId="459ACA59" w:rsidR="00D06B3D" w:rsidRPr="00D06B3D" w:rsidRDefault="00D06B3D" w:rsidP="00D06B3D">
      <w:pPr>
        <w:spacing w:line="240" w:lineRule="auto"/>
        <w:rPr>
          <w:rFonts w:eastAsia="Times New Roman" w:cs="Arial"/>
          <w:sz w:val="24"/>
          <w:szCs w:val="24"/>
          <w:lang w:val="en-US" w:eastAsia="bg-BG"/>
        </w:rPr>
      </w:pPr>
      <w:r w:rsidRPr="00D06B3D">
        <w:rPr>
          <w:rFonts w:eastAsia="Times New Roman" w:cs="Arial"/>
          <w:color w:val="000000"/>
          <w:lang w:eastAsia="bg-BG"/>
        </w:rPr>
        <w:t xml:space="preserve">Берлиприл 10 </w:t>
      </w:r>
      <w:r w:rsidRPr="00D06B3D">
        <w:rPr>
          <w:rFonts w:eastAsia="Times New Roman" w:cs="Arial"/>
          <w:color w:val="000000"/>
          <w:lang w:val="en-US"/>
        </w:rPr>
        <w:t xml:space="preserve">mg </w:t>
      </w:r>
      <w:r w:rsidRPr="00D06B3D">
        <w:rPr>
          <w:rFonts w:eastAsia="Times New Roman" w:cs="Arial"/>
          <w:color w:val="000000"/>
          <w:lang w:eastAsia="bg-BG"/>
        </w:rPr>
        <w:t>таблетки</w:t>
      </w:r>
    </w:p>
    <w:p w14:paraId="29A7CF36" w14:textId="77777777" w:rsidR="00D06B3D" w:rsidRPr="00D06B3D" w:rsidRDefault="00D06B3D" w:rsidP="00D06B3D">
      <w:pPr>
        <w:spacing w:line="240" w:lineRule="auto"/>
        <w:rPr>
          <w:rFonts w:eastAsia="Times New Roman" w:cs="Arial"/>
          <w:sz w:val="24"/>
          <w:szCs w:val="24"/>
          <w:lang w:val="en-US" w:eastAsia="bg-BG"/>
        </w:rPr>
      </w:pPr>
      <w:proofErr w:type="spellStart"/>
      <w:r w:rsidRPr="00D06B3D">
        <w:rPr>
          <w:rFonts w:eastAsia="Times New Roman" w:cs="Arial"/>
          <w:color w:val="000000"/>
          <w:lang w:val="en-US"/>
        </w:rPr>
        <w:t>Berlipril</w:t>
      </w:r>
      <w:proofErr w:type="spellEnd"/>
      <w:r w:rsidRPr="00D06B3D">
        <w:rPr>
          <w:rFonts w:eastAsia="Times New Roman" w:cs="Arial"/>
          <w:color w:val="000000"/>
          <w:lang w:val="en-US"/>
        </w:rPr>
        <w:t xml:space="preserve"> </w:t>
      </w:r>
      <w:r w:rsidRPr="00D06B3D">
        <w:rPr>
          <w:rFonts w:eastAsia="Times New Roman" w:cs="Arial"/>
          <w:color w:val="000000"/>
          <w:lang w:eastAsia="bg-BG"/>
        </w:rPr>
        <w:t xml:space="preserve">10 </w:t>
      </w:r>
      <w:r w:rsidRPr="00D06B3D">
        <w:rPr>
          <w:rFonts w:eastAsia="Times New Roman" w:cs="Arial"/>
          <w:color w:val="000000"/>
          <w:lang w:val="en-US"/>
        </w:rPr>
        <w:t>mg tablets</w:t>
      </w:r>
    </w:p>
    <w:p w14:paraId="352FFF7F" w14:textId="77777777" w:rsidR="00D06B3D" w:rsidRPr="00D06B3D" w:rsidRDefault="00D06B3D" w:rsidP="00D06B3D">
      <w:pPr>
        <w:spacing w:line="240" w:lineRule="auto"/>
        <w:rPr>
          <w:rFonts w:eastAsia="Times New Roman" w:cs="Arial"/>
          <w:color w:val="000000"/>
          <w:lang w:eastAsia="bg-BG"/>
        </w:rPr>
      </w:pPr>
    </w:p>
    <w:p w14:paraId="25C505E3" w14:textId="78BAE6AA" w:rsidR="00D06B3D" w:rsidRPr="00D06B3D" w:rsidRDefault="00D06B3D" w:rsidP="00D06B3D">
      <w:pPr>
        <w:spacing w:line="240" w:lineRule="auto"/>
        <w:rPr>
          <w:rFonts w:eastAsia="Times New Roman" w:cs="Arial"/>
          <w:sz w:val="24"/>
          <w:szCs w:val="24"/>
          <w:lang w:val="en-US" w:eastAsia="bg-BG"/>
        </w:rPr>
      </w:pPr>
      <w:r w:rsidRPr="00D06B3D">
        <w:rPr>
          <w:rFonts w:eastAsia="Times New Roman" w:cs="Arial"/>
          <w:color w:val="000000"/>
          <w:lang w:eastAsia="bg-BG"/>
        </w:rPr>
        <w:t xml:space="preserve">Берлиприл </w:t>
      </w:r>
      <w:r w:rsidRPr="00D06B3D">
        <w:rPr>
          <w:rFonts w:eastAsia="Times New Roman" w:cs="Arial"/>
          <w:color w:val="000000"/>
          <w:lang w:val="en-US"/>
        </w:rPr>
        <w:t xml:space="preserve">20 mg </w:t>
      </w:r>
      <w:r w:rsidRPr="00D06B3D">
        <w:rPr>
          <w:rFonts w:eastAsia="Times New Roman" w:cs="Arial"/>
          <w:color w:val="000000"/>
          <w:lang w:eastAsia="bg-BG"/>
        </w:rPr>
        <w:t>таблетки</w:t>
      </w:r>
    </w:p>
    <w:p w14:paraId="67864E22" w14:textId="127FA2F2" w:rsidR="00D06B3D" w:rsidRPr="00D06B3D" w:rsidRDefault="00D06B3D" w:rsidP="00D06B3D">
      <w:pPr>
        <w:rPr>
          <w:rFonts w:cs="Arial"/>
        </w:rPr>
      </w:pPr>
      <w:proofErr w:type="spellStart"/>
      <w:r w:rsidRPr="00D06B3D">
        <w:rPr>
          <w:rFonts w:eastAsia="Times New Roman" w:cs="Arial"/>
          <w:color w:val="000000"/>
          <w:lang w:val="en-US"/>
        </w:rPr>
        <w:t>Berlipril</w:t>
      </w:r>
      <w:proofErr w:type="spellEnd"/>
      <w:r w:rsidRPr="00D06B3D">
        <w:rPr>
          <w:rFonts w:eastAsia="Times New Roman" w:cs="Arial"/>
          <w:color w:val="000000"/>
          <w:lang w:val="en-US"/>
        </w:rPr>
        <w:t xml:space="preserve"> 20 mg tablets</w:t>
      </w:r>
    </w:p>
    <w:p w14:paraId="6920A680" w14:textId="57FE220E" w:rsidR="00C40420" w:rsidRDefault="00DD466D" w:rsidP="004A448E">
      <w:pPr>
        <w:pStyle w:val="Heading1"/>
      </w:pPr>
      <w:r>
        <w:t>2. КАЧЕСТВЕН И КОЛИЧЕСТВЕН СЪСТАВ</w:t>
      </w:r>
    </w:p>
    <w:p w14:paraId="4B6D63A1" w14:textId="3E940196" w:rsidR="00D06B3D" w:rsidRDefault="00D06B3D" w:rsidP="00D06B3D"/>
    <w:p w14:paraId="1212C3A7" w14:textId="77777777" w:rsidR="00D06B3D" w:rsidRPr="00D06B3D" w:rsidRDefault="00D06B3D" w:rsidP="00D06B3D">
      <w:pPr>
        <w:spacing w:line="240" w:lineRule="auto"/>
        <w:rPr>
          <w:rFonts w:eastAsia="Times New Roman" w:cs="Arial"/>
          <w:sz w:val="24"/>
          <w:szCs w:val="24"/>
          <w:lang w:eastAsia="bg-BG"/>
        </w:rPr>
      </w:pPr>
      <w:r w:rsidRPr="00D06B3D">
        <w:rPr>
          <w:rFonts w:eastAsia="Times New Roman" w:cs="Arial"/>
          <w:color w:val="000000"/>
          <w:u w:val="single"/>
          <w:lang w:eastAsia="bg-BG"/>
        </w:rPr>
        <w:t xml:space="preserve">Берлиприл 5 </w:t>
      </w:r>
      <w:r w:rsidRPr="00D06B3D">
        <w:rPr>
          <w:rFonts w:eastAsia="Times New Roman" w:cs="Arial"/>
          <w:color w:val="000000"/>
          <w:u w:val="single"/>
          <w:lang w:val="en-US"/>
        </w:rPr>
        <w:t>mg</w:t>
      </w:r>
    </w:p>
    <w:p w14:paraId="74E88AEC" w14:textId="77777777" w:rsidR="00D06B3D" w:rsidRPr="00D06B3D" w:rsidRDefault="00D06B3D" w:rsidP="00D06B3D">
      <w:pPr>
        <w:spacing w:line="240" w:lineRule="auto"/>
        <w:rPr>
          <w:rFonts w:eastAsia="Times New Roman" w:cs="Arial"/>
          <w:sz w:val="24"/>
          <w:szCs w:val="24"/>
          <w:lang w:eastAsia="bg-BG"/>
        </w:rPr>
      </w:pPr>
      <w:r w:rsidRPr="00D06B3D">
        <w:rPr>
          <w:rFonts w:eastAsia="Times New Roman" w:cs="Arial"/>
          <w:color w:val="000000"/>
          <w:lang w:eastAsia="bg-BG"/>
        </w:rPr>
        <w:t xml:space="preserve">Всяка таблетка съдържа 5 </w:t>
      </w:r>
      <w:r w:rsidRPr="00D06B3D">
        <w:rPr>
          <w:rFonts w:eastAsia="Times New Roman" w:cs="Arial"/>
          <w:color w:val="000000"/>
          <w:lang w:val="en-US"/>
        </w:rPr>
        <w:t xml:space="preserve">mg </w:t>
      </w:r>
      <w:r w:rsidRPr="00D06B3D">
        <w:rPr>
          <w:rFonts w:eastAsia="Times New Roman" w:cs="Arial"/>
          <w:color w:val="000000"/>
          <w:lang w:eastAsia="bg-BG"/>
        </w:rPr>
        <w:t xml:space="preserve">еналаприлов малеат </w:t>
      </w:r>
      <w:r w:rsidRPr="00D06B3D">
        <w:rPr>
          <w:rFonts w:eastAsia="Times New Roman" w:cs="Arial"/>
          <w:color w:val="000000"/>
          <w:lang w:val="en-US"/>
        </w:rPr>
        <w:t>(</w:t>
      </w:r>
      <w:proofErr w:type="spellStart"/>
      <w:r w:rsidRPr="00D06B3D">
        <w:rPr>
          <w:rFonts w:eastAsia="Times New Roman" w:cs="Arial"/>
          <w:color w:val="000000"/>
          <w:lang w:val="en-US"/>
        </w:rPr>
        <w:t>enalapril</w:t>
      </w:r>
      <w:proofErr w:type="spellEnd"/>
      <w:r w:rsidRPr="00D06B3D">
        <w:rPr>
          <w:rFonts w:eastAsia="Times New Roman" w:cs="Arial"/>
          <w:color w:val="000000"/>
          <w:lang w:val="en-US"/>
        </w:rPr>
        <w:t xml:space="preserve"> maleate).</w:t>
      </w:r>
    </w:p>
    <w:p w14:paraId="182674DA" w14:textId="77777777" w:rsidR="00D06B3D" w:rsidRPr="00D06B3D" w:rsidRDefault="00D06B3D" w:rsidP="00D06B3D">
      <w:pPr>
        <w:spacing w:line="240" w:lineRule="auto"/>
        <w:rPr>
          <w:rFonts w:eastAsia="Times New Roman" w:cs="Arial"/>
          <w:sz w:val="24"/>
          <w:szCs w:val="24"/>
          <w:lang w:eastAsia="bg-BG"/>
        </w:rPr>
      </w:pPr>
      <w:r w:rsidRPr="00D06B3D">
        <w:rPr>
          <w:rFonts w:eastAsia="Times New Roman" w:cs="Arial"/>
          <w:color w:val="000000"/>
          <w:u w:val="single"/>
          <w:lang w:eastAsia="bg-BG"/>
        </w:rPr>
        <w:t>Помощно вещество с известно действие</w:t>
      </w:r>
    </w:p>
    <w:p w14:paraId="165D7F14" w14:textId="77777777" w:rsidR="00D06B3D" w:rsidRPr="00D06B3D" w:rsidRDefault="00D06B3D" w:rsidP="00D06B3D">
      <w:pPr>
        <w:spacing w:line="240" w:lineRule="auto"/>
        <w:rPr>
          <w:rFonts w:eastAsia="Times New Roman" w:cs="Arial"/>
          <w:sz w:val="24"/>
          <w:szCs w:val="24"/>
          <w:lang w:eastAsia="bg-BG"/>
        </w:rPr>
      </w:pPr>
      <w:r w:rsidRPr="00D06B3D">
        <w:rPr>
          <w:rFonts w:eastAsia="Times New Roman" w:cs="Arial"/>
          <w:color w:val="000000"/>
          <w:lang w:eastAsia="bg-BG"/>
        </w:rPr>
        <w:t xml:space="preserve">Всяка таблетка съдържа 171 </w:t>
      </w:r>
      <w:r w:rsidRPr="00D06B3D">
        <w:rPr>
          <w:rFonts w:eastAsia="Times New Roman" w:cs="Arial"/>
          <w:color w:val="000000"/>
          <w:lang w:val="en-US"/>
        </w:rPr>
        <w:t xml:space="preserve">mg </w:t>
      </w:r>
      <w:r w:rsidRPr="00D06B3D">
        <w:rPr>
          <w:rFonts w:eastAsia="Times New Roman" w:cs="Arial"/>
          <w:color w:val="000000"/>
          <w:lang w:eastAsia="bg-BG"/>
        </w:rPr>
        <w:t>лактоза монохидрат.</w:t>
      </w:r>
    </w:p>
    <w:p w14:paraId="48A83B23" w14:textId="77777777" w:rsidR="00D06B3D" w:rsidRPr="00D06B3D" w:rsidRDefault="00D06B3D" w:rsidP="00D06B3D">
      <w:pPr>
        <w:spacing w:line="240" w:lineRule="auto"/>
        <w:rPr>
          <w:rFonts w:eastAsia="Times New Roman" w:cs="Arial"/>
          <w:color w:val="000000"/>
          <w:u w:val="single"/>
          <w:lang w:eastAsia="bg-BG"/>
        </w:rPr>
      </w:pPr>
    </w:p>
    <w:p w14:paraId="1BE0D85E" w14:textId="44ECB9FF" w:rsidR="00D06B3D" w:rsidRPr="00D06B3D" w:rsidRDefault="00D06B3D" w:rsidP="00D06B3D">
      <w:pPr>
        <w:spacing w:line="240" w:lineRule="auto"/>
        <w:rPr>
          <w:rFonts w:eastAsia="Times New Roman" w:cs="Arial"/>
          <w:sz w:val="24"/>
          <w:szCs w:val="24"/>
          <w:lang w:eastAsia="bg-BG"/>
        </w:rPr>
      </w:pPr>
      <w:r w:rsidRPr="00D06B3D">
        <w:rPr>
          <w:rFonts w:eastAsia="Times New Roman" w:cs="Arial"/>
          <w:color w:val="000000"/>
          <w:u w:val="single"/>
          <w:lang w:eastAsia="bg-BG"/>
        </w:rPr>
        <w:t xml:space="preserve">Берлиприл 10 </w:t>
      </w:r>
      <w:r w:rsidRPr="00D06B3D">
        <w:rPr>
          <w:rFonts w:eastAsia="Times New Roman" w:cs="Arial"/>
          <w:color w:val="000000"/>
          <w:u w:val="single"/>
          <w:lang w:val="en-US"/>
        </w:rPr>
        <w:t>mg</w:t>
      </w:r>
    </w:p>
    <w:p w14:paraId="1BD9472C" w14:textId="77777777" w:rsidR="00D06B3D" w:rsidRPr="00D06B3D" w:rsidRDefault="00D06B3D" w:rsidP="00D06B3D">
      <w:pPr>
        <w:spacing w:line="240" w:lineRule="auto"/>
        <w:rPr>
          <w:rFonts w:eastAsia="Times New Roman" w:cs="Arial"/>
          <w:sz w:val="24"/>
          <w:szCs w:val="24"/>
          <w:lang w:eastAsia="bg-BG"/>
        </w:rPr>
      </w:pPr>
      <w:r w:rsidRPr="00D06B3D">
        <w:rPr>
          <w:rFonts w:eastAsia="Times New Roman" w:cs="Arial"/>
          <w:color w:val="000000"/>
          <w:lang w:eastAsia="bg-BG"/>
        </w:rPr>
        <w:t xml:space="preserve">Всяка таблетка съдържа 10 </w:t>
      </w:r>
      <w:r w:rsidRPr="00D06B3D">
        <w:rPr>
          <w:rFonts w:eastAsia="Times New Roman" w:cs="Arial"/>
          <w:color w:val="000000"/>
          <w:lang w:val="en-US"/>
        </w:rPr>
        <w:t xml:space="preserve">mg </w:t>
      </w:r>
      <w:r w:rsidRPr="00D06B3D">
        <w:rPr>
          <w:rFonts w:eastAsia="Times New Roman" w:cs="Arial"/>
          <w:color w:val="000000"/>
          <w:lang w:eastAsia="bg-BG"/>
        </w:rPr>
        <w:t xml:space="preserve">еналаприлов малеат </w:t>
      </w:r>
      <w:r w:rsidRPr="00D06B3D">
        <w:rPr>
          <w:rFonts w:eastAsia="Times New Roman" w:cs="Arial"/>
          <w:color w:val="000000"/>
          <w:lang w:val="en-US"/>
        </w:rPr>
        <w:t>(</w:t>
      </w:r>
      <w:proofErr w:type="spellStart"/>
      <w:r w:rsidRPr="00D06B3D">
        <w:rPr>
          <w:rFonts w:eastAsia="Times New Roman" w:cs="Arial"/>
          <w:color w:val="000000"/>
          <w:lang w:val="en-US"/>
        </w:rPr>
        <w:t>enalapril</w:t>
      </w:r>
      <w:proofErr w:type="spellEnd"/>
      <w:r w:rsidRPr="00D06B3D">
        <w:rPr>
          <w:rFonts w:eastAsia="Times New Roman" w:cs="Arial"/>
          <w:color w:val="000000"/>
          <w:lang w:val="en-US"/>
        </w:rPr>
        <w:t xml:space="preserve"> maleate).</w:t>
      </w:r>
    </w:p>
    <w:p w14:paraId="798C1F39" w14:textId="77777777" w:rsidR="00D06B3D" w:rsidRPr="00D06B3D" w:rsidRDefault="00D06B3D" w:rsidP="00D06B3D">
      <w:pPr>
        <w:spacing w:line="240" w:lineRule="auto"/>
        <w:rPr>
          <w:rFonts w:eastAsia="Times New Roman" w:cs="Arial"/>
          <w:sz w:val="24"/>
          <w:szCs w:val="24"/>
          <w:lang w:eastAsia="bg-BG"/>
        </w:rPr>
      </w:pPr>
      <w:r w:rsidRPr="00D06B3D">
        <w:rPr>
          <w:rFonts w:eastAsia="Times New Roman" w:cs="Arial"/>
          <w:color w:val="000000"/>
          <w:lang w:eastAsia="bg-BG"/>
        </w:rPr>
        <w:t>Помощно вещество с известно действие</w:t>
      </w:r>
    </w:p>
    <w:p w14:paraId="0F96CF69" w14:textId="77777777" w:rsidR="00D06B3D" w:rsidRPr="00D06B3D" w:rsidRDefault="00D06B3D" w:rsidP="00D06B3D">
      <w:pPr>
        <w:spacing w:line="240" w:lineRule="auto"/>
        <w:rPr>
          <w:rFonts w:eastAsia="Times New Roman" w:cs="Arial"/>
          <w:sz w:val="24"/>
          <w:szCs w:val="24"/>
          <w:lang w:eastAsia="bg-BG"/>
        </w:rPr>
      </w:pPr>
      <w:r w:rsidRPr="00D06B3D">
        <w:rPr>
          <w:rFonts w:eastAsia="Times New Roman" w:cs="Arial"/>
          <w:color w:val="000000"/>
          <w:lang w:eastAsia="bg-BG"/>
        </w:rPr>
        <w:t xml:space="preserve">Всяка таблетка съдържа 166 </w:t>
      </w:r>
      <w:r w:rsidRPr="00D06B3D">
        <w:rPr>
          <w:rFonts w:eastAsia="Times New Roman" w:cs="Arial"/>
          <w:color w:val="000000"/>
          <w:lang w:val="en-US"/>
        </w:rPr>
        <w:t xml:space="preserve">mg </w:t>
      </w:r>
      <w:r w:rsidRPr="00D06B3D">
        <w:rPr>
          <w:rFonts w:eastAsia="Times New Roman" w:cs="Arial"/>
          <w:color w:val="000000"/>
          <w:lang w:eastAsia="bg-BG"/>
        </w:rPr>
        <w:t>лактоза монохидрат.</w:t>
      </w:r>
    </w:p>
    <w:p w14:paraId="634F16C0" w14:textId="77777777" w:rsidR="00D06B3D" w:rsidRPr="00D06B3D" w:rsidRDefault="00D06B3D" w:rsidP="00D06B3D">
      <w:pPr>
        <w:spacing w:line="240" w:lineRule="auto"/>
        <w:rPr>
          <w:rFonts w:eastAsia="Times New Roman" w:cs="Arial"/>
          <w:color w:val="000000"/>
          <w:u w:val="single"/>
          <w:lang w:eastAsia="bg-BG"/>
        </w:rPr>
      </w:pPr>
    </w:p>
    <w:p w14:paraId="279FB2CE" w14:textId="78F17CD6" w:rsidR="00D06B3D" w:rsidRPr="00D06B3D" w:rsidRDefault="00D06B3D" w:rsidP="00D06B3D">
      <w:pPr>
        <w:spacing w:line="240" w:lineRule="auto"/>
        <w:rPr>
          <w:rFonts w:eastAsia="Times New Roman" w:cs="Arial"/>
          <w:sz w:val="24"/>
          <w:szCs w:val="24"/>
          <w:lang w:eastAsia="bg-BG"/>
        </w:rPr>
      </w:pPr>
      <w:r w:rsidRPr="00D06B3D">
        <w:rPr>
          <w:rFonts w:eastAsia="Times New Roman" w:cs="Arial"/>
          <w:color w:val="000000"/>
          <w:u w:val="single"/>
          <w:lang w:eastAsia="bg-BG"/>
        </w:rPr>
        <w:t xml:space="preserve">Берлиприл 20 </w:t>
      </w:r>
      <w:r w:rsidRPr="00D06B3D">
        <w:rPr>
          <w:rFonts w:eastAsia="Times New Roman" w:cs="Arial"/>
          <w:color w:val="000000"/>
          <w:u w:val="single"/>
          <w:lang w:val="en-US"/>
        </w:rPr>
        <w:t>mg</w:t>
      </w:r>
    </w:p>
    <w:p w14:paraId="349B6380" w14:textId="77777777" w:rsidR="00D06B3D" w:rsidRPr="00D06B3D" w:rsidRDefault="00D06B3D" w:rsidP="00D06B3D">
      <w:pPr>
        <w:spacing w:line="240" w:lineRule="auto"/>
        <w:rPr>
          <w:rFonts w:eastAsia="Times New Roman" w:cs="Arial"/>
          <w:sz w:val="24"/>
          <w:szCs w:val="24"/>
          <w:lang w:eastAsia="bg-BG"/>
        </w:rPr>
      </w:pPr>
      <w:r w:rsidRPr="00D06B3D">
        <w:rPr>
          <w:rFonts w:eastAsia="Times New Roman" w:cs="Arial"/>
          <w:color w:val="000000"/>
          <w:lang w:eastAsia="bg-BG"/>
        </w:rPr>
        <w:t xml:space="preserve">Всяка таблетка съдържа 20 </w:t>
      </w:r>
      <w:r w:rsidRPr="00D06B3D">
        <w:rPr>
          <w:rFonts w:eastAsia="Times New Roman" w:cs="Arial"/>
          <w:color w:val="000000"/>
          <w:lang w:val="en-US"/>
        </w:rPr>
        <w:t xml:space="preserve">mg </w:t>
      </w:r>
      <w:r w:rsidRPr="00D06B3D">
        <w:rPr>
          <w:rFonts w:eastAsia="Times New Roman" w:cs="Arial"/>
          <w:color w:val="000000"/>
          <w:lang w:eastAsia="bg-BG"/>
        </w:rPr>
        <w:t xml:space="preserve">еналаприлов малеат </w:t>
      </w:r>
      <w:r w:rsidRPr="00D06B3D">
        <w:rPr>
          <w:rFonts w:eastAsia="Times New Roman" w:cs="Arial"/>
          <w:color w:val="000000"/>
          <w:lang w:val="en-US"/>
        </w:rPr>
        <w:t>(</w:t>
      </w:r>
      <w:proofErr w:type="spellStart"/>
      <w:r w:rsidRPr="00D06B3D">
        <w:rPr>
          <w:rFonts w:eastAsia="Times New Roman" w:cs="Arial"/>
          <w:color w:val="000000"/>
          <w:lang w:val="en-US"/>
        </w:rPr>
        <w:t>enalapril</w:t>
      </w:r>
      <w:proofErr w:type="spellEnd"/>
      <w:r w:rsidRPr="00D06B3D">
        <w:rPr>
          <w:rFonts w:eastAsia="Times New Roman" w:cs="Arial"/>
          <w:color w:val="000000"/>
          <w:lang w:val="en-US"/>
        </w:rPr>
        <w:t xml:space="preserve"> maleate).</w:t>
      </w:r>
    </w:p>
    <w:p w14:paraId="4844F719" w14:textId="77777777" w:rsidR="00D06B3D" w:rsidRPr="00D06B3D" w:rsidRDefault="00D06B3D" w:rsidP="00D06B3D">
      <w:pPr>
        <w:spacing w:line="240" w:lineRule="auto"/>
        <w:rPr>
          <w:rFonts w:eastAsia="Times New Roman" w:cs="Arial"/>
          <w:sz w:val="24"/>
          <w:szCs w:val="24"/>
          <w:lang w:eastAsia="bg-BG"/>
        </w:rPr>
      </w:pPr>
      <w:r w:rsidRPr="00D06B3D">
        <w:rPr>
          <w:rFonts w:eastAsia="Times New Roman" w:cs="Arial"/>
          <w:color w:val="000000"/>
          <w:lang w:eastAsia="bg-BG"/>
        </w:rPr>
        <w:t>Помощно вещество с известно действие</w:t>
      </w:r>
    </w:p>
    <w:p w14:paraId="18C84C82" w14:textId="77777777" w:rsidR="00D06B3D" w:rsidRPr="00D06B3D" w:rsidRDefault="00D06B3D" w:rsidP="00D06B3D">
      <w:pPr>
        <w:spacing w:line="240" w:lineRule="auto"/>
        <w:rPr>
          <w:rFonts w:eastAsia="Times New Roman" w:cs="Arial"/>
          <w:sz w:val="24"/>
          <w:szCs w:val="24"/>
          <w:lang w:eastAsia="bg-BG"/>
        </w:rPr>
      </w:pPr>
      <w:r w:rsidRPr="00D06B3D">
        <w:rPr>
          <w:rFonts w:eastAsia="Times New Roman" w:cs="Arial"/>
          <w:color w:val="000000"/>
          <w:lang w:eastAsia="bg-BG"/>
        </w:rPr>
        <w:t xml:space="preserve">Всяка таблетка съдържа 156 </w:t>
      </w:r>
      <w:r w:rsidRPr="00D06B3D">
        <w:rPr>
          <w:rFonts w:eastAsia="Times New Roman" w:cs="Arial"/>
          <w:color w:val="000000"/>
          <w:lang w:val="en-US"/>
        </w:rPr>
        <w:t xml:space="preserve">mg </w:t>
      </w:r>
      <w:r w:rsidRPr="00D06B3D">
        <w:rPr>
          <w:rFonts w:eastAsia="Times New Roman" w:cs="Arial"/>
          <w:color w:val="000000"/>
          <w:lang w:eastAsia="bg-BG"/>
        </w:rPr>
        <w:t>лактоза монохидрат.</w:t>
      </w:r>
    </w:p>
    <w:p w14:paraId="6F37E43F" w14:textId="77777777" w:rsidR="00D06B3D" w:rsidRPr="00D06B3D" w:rsidRDefault="00D06B3D" w:rsidP="00D06B3D">
      <w:pPr>
        <w:rPr>
          <w:rFonts w:eastAsia="Times New Roman" w:cs="Arial"/>
          <w:color w:val="000000"/>
          <w:lang w:eastAsia="bg-BG"/>
        </w:rPr>
      </w:pPr>
    </w:p>
    <w:p w14:paraId="4F0DB920" w14:textId="6C28AB13" w:rsidR="00D06B3D" w:rsidRPr="00D06B3D" w:rsidRDefault="00D06B3D" w:rsidP="00D06B3D">
      <w:pPr>
        <w:rPr>
          <w:rFonts w:cs="Arial"/>
        </w:rPr>
      </w:pPr>
      <w:r w:rsidRPr="00D06B3D">
        <w:rPr>
          <w:rFonts w:eastAsia="Times New Roman" w:cs="Arial"/>
          <w:color w:val="000000"/>
          <w:lang w:eastAsia="bg-BG"/>
        </w:rPr>
        <w:t>За пълния списък на помощните вещества вижте точка 6.1.</w:t>
      </w:r>
    </w:p>
    <w:p w14:paraId="614984C4" w14:textId="70EBDA0B" w:rsidR="008A6AF2" w:rsidRDefault="00DD466D" w:rsidP="002C50EE">
      <w:pPr>
        <w:pStyle w:val="Heading1"/>
      </w:pPr>
      <w:r>
        <w:t>3. ЛЕКАРСТВЕНА ФОРМА</w:t>
      </w:r>
    </w:p>
    <w:p w14:paraId="2318D368" w14:textId="0A72F68E" w:rsidR="00D06B3D" w:rsidRDefault="00D06B3D" w:rsidP="00D06B3D"/>
    <w:p w14:paraId="1CDB18D1" w14:textId="77777777" w:rsidR="00D06B3D" w:rsidRPr="00D06B3D" w:rsidRDefault="00D06B3D" w:rsidP="00D06B3D">
      <w:pPr>
        <w:spacing w:line="240" w:lineRule="auto"/>
        <w:rPr>
          <w:rFonts w:eastAsia="Times New Roman" w:cs="Arial"/>
          <w:sz w:val="24"/>
          <w:szCs w:val="24"/>
          <w:lang w:eastAsia="bg-BG"/>
        </w:rPr>
      </w:pPr>
      <w:r w:rsidRPr="00D06B3D">
        <w:rPr>
          <w:rFonts w:eastAsia="Times New Roman" w:cs="Arial"/>
          <w:color w:val="000000"/>
          <w:lang w:eastAsia="bg-BG"/>
        </w:rPr>
        <w:t>Таблетка</w:t>
      </w:r>
    </w:p>
    <w:p w14:paraId="64008585" w14:textId="77777777" w:rsidR="00D06B3D" w:rsidRPr="00D06B3D" w:rsidRDefault="00D06B3D" w:rsidP="00D06B3D">
      <w:pPr>
        <w:spacing w:line="240" w:lineRule="auto"/>
        <w:rPr>
          <w:rFonts w:eastAsia="Times New Roman" w:cs="Arial"/>
          <w:color w:val="000000"/>
          <w:u w:val="single"/>
          <w:lang w:eastAsia="bg-BG"/>
        </w:rPr>
      </w:pPr>
    </w:p>
    <w:p w14:paraId="1C53B935" w14:textId="4B53AC29" w:rsidR="00D06B3D" w:rsidRPr="00D06B3D" w:rsidRDefault="00D06B3D" w:rsidP="00D06B3D">
      <w:pPr>
        <w:spacing w:line="240" w:lineRule="auto"/>
        <w:rPr>
          <w:rFonts w:eastAsia="Times New Roman" w:cs="Arial"/>
          <w:sz w:val="24"/>
          <w:szCs w:val="24"/>
          <w:lang w:eastAsia="bg-BG"/>
        </w:rPr>
      </w:pPr>
      <w:r w:rsidRPr="00D06B3D">
        <w:rPr>
          <w:rFonts w:eastAsia="Times New Roman" w:cs="Arial"/>
          <w:color w:val="000000"/>
          <w:u w:val="single"/>
          <w:lang w:eastAsia="bg-BG"/>
        </w:rPr>
        <w:t xml:space="preserve">Берлиприл 5 </w:t>
      </w:r>
      <w:r w:rsidRPr="00D06B3D">
        <w:rPr>
          <w:rFonts w:eastAsia="Times New Roman" w:cs="Arial"/>
          <w:color w:val="000000"/>
          <w:u w:val="single"/>
          <w:lang w:val="en-US"/>
        </w:rPr>
        <w:t>mg</w:t>
      </w:r>
    </w:p>
    <w:p w14:paraId="52F4F155" w14:textId="77777777" w:rsidR="00D06B3D" w:rsidRPr="00D06B3D" w:rsidRDefault="00D06B3D" w:rsidP="00D06B3D">
      <w:pPr>
        <w:spacing w:line="240" w:lineRule="auto"/>
        <w:rPr>
          <w:rFonts w:eastAsia="Times New Roman" w:cs="Arial"/>
          <w:sz w:val="24"/>
          <w:szCs w:val="24"/>
          <w:lang w:eastAsia="bg-BG"/>
        </w:rPr>
      </w:pPr>
      <w:r w:rsidRPr="00D06B3D">
        <w:rPr>
          <w:rFonts w:eastAsia="Times New Roman" w:cs="Arial"/>
          <w:color w:val="000000"/>
          <w:lang w:eastAsia="bg-BG"/>
        </w:rPr>
        <w:t>Почти бяла, леко двойно изпъкнала таблетка със скосени ръбове и делителна черта от едната страна.</w:t>
      </w:r>
    </w:p>
    <w:p w14:paraId="7AB146BC" w14:textId="77777777" w:rsidR="00D06B3D" w:rsidRPr="00D06B3D" w:rsidRDefault="00D06B3D" w:rsidP="00D06B3D">
      <w:pPr>
        <w:spacing w:line="240" w:lineRule="auto"/>
        <w:rPr>
          <w:rFonts w:eastAsia="Times New Roman" w:cs="Arial"/>
          <w:color w:val="000000"/>
          <w:u w:val="single"/>
          <w:lang w:eastAsia="bg-BG"/>
        </w:rPr>
      </w:pPr>
    </w:p>
    <w:p w14:paraId="19DB23DF" w14:textId="030F3D5A" w:rsidR="00D06B3D" w:rsidRPr="00D06B3D" w:rsidRDefault="00D06B3D" w:rsidP="00D06B3D">
      <w:pPr>
        <w:spacing w:line="240" w:lineRule="auto"/>
        <w:rPr>
          <w:rFonts w:eastAsia="Times New Roman" w:cs="Arial"/>
          <w:sz w:val="24"/>
          <w:szCs w:val="24"/>
          <w:lang w:eastAsia="bg-BG"/>
        </w:rPr>
      </w:pPr>
      <w:r w:rsidRPr="00D06B3D">
        <w:rPr>
          <w:rFonts w:eastAsia="Times New Roman" w:cs="Arial"/>
          <w:color w:val="000000"/>
          <w:u w:val="single"/>
          <w:lang w:eastAsia="bg-BG"/>
        </w:rPr>
        <w:t xml:space="preserve">Берлиприл 10 </w:t>
      </w:r>
      <w:r w:rsidRPr="00D06B3D">
        <w:rPr>
          <w:rFonts w:eastAsia="Times New Roman" w:cs="Arial"/>
          <w:color w:val="000000"/>
          <w:u w:val="single"/>
          <w:lang w:val="en-US"/>
        </w:rPr>
        <w:t>mg</w:t>
      </w:r>
    </w:p>
    <w:p w14:paraId="06FBDB43" w14:textId="77777777" w:rsidR="00D06B3D" w:rsidRPr="00D06B3D" w:rsidRDefault="00D06B3D" w:rsidP="00D06B3D">
      <w:pPr>
        <w:spacing w:line="240" w:lineRule="auto"/>
        <w:rPr>
          <w:rFonts w:eastAsia="Times New Roman" w:cs="Arial"/>
          <w:sz w:val="24"/>
          <w:szCs w:val="24"/>
          <w:lang w:eastAsia="bg-BG"/>
        </w:rPr>
      </w:pPr>
      <w:r w:rsidRPr="00D06B3D">
        <w:rPr>
          <w:rFonts w:eastAsia="Times New Roman" w:cs="Arial"/>
          <w:color w:val="000000"/>
          <w:lang w:eastAsia="bg-BG"/>
        </w:rPr>
        <w:t>Светло кафява, леко двойно изпъкнала таблетка със скосени ръбове и делителна черта от едната страна.</w:t>
      </w:r>
    </w:p>
    <w:p w14:paraId="06136266" w14:textId="77777777" w:rsidR="00D06B3D" w:rsidRPr="00D06B3D" w:rsidRDefault="00D06B3D" w:rsidP="00D06B3D">
      <w:pPr>
        <w:spacing w:line="240" w:lineRule="auto"/>
        <w:rPr>
          <w:rFonts w:eastAsia="Times New Roman" w:cs="Arial"/>
          <w:color w:val="000000"/>
          <w:u w:val="single"/>
          <w:lang w:eastAsia="bg-BG"/>
        </w:rPr>
      </w:pPr>
    </w:p>
    <w:p w14:paraId="07174421" w14:textId="7DF39E78" w:rsidR="00D06B3D" w:rsidRPr="00D06B3D" w:rsidRDefault="00D06B3D" w:rsidP="00D06B3D">
      <w:pPr>
        <w:spacing w:line="240" w:lineRule="auto"/>
        <w:rPr>
          <w:rFonts w:eastAsia="Times New Roman" w:cs="Arial"/>
          <w:sz w:val="24"/>
          <w:szCs w:val="24"/>
          <w:lang w:eastAsia="bg-BG"/>
        </w:rPr>
      </w:pPr>
      <w:r w:rsidRPr="00D06B3D">
        <w:rPr>
          <w:rFonts w:eastAsia="Times New Roman" w:cs="Arial"/>
          <w:color w:val="000000"/>
          <w:u w:val="single"/>
          <w:lang w:eastAsia="bg-BG"/>
        </w:rPr>
        <w:t xml:space="preserve">Берлиприл 20 </w:t>
      </w:r>
      <w:r w:rsidRPr="00D06B3D">
        <w:rPr>
          <w:rFonts w:eastAsia="Times New Roman" w:cs="Arial"/>
          <w:color w:val="000000"/>
          <w:u w:val="single"/>
          <w:lang w:val="en-US"/>
        </w:rPr>
        <w:t>mg</w:t>
      </w:r>
    </w:p>
    <w:p w14:paraId="5A534566" w14:textId="77777777" w:rsidR="00D06B3D" w:rsidRPr="00D06B3D" w:rsidRDefault="00D06B3D" w:rsidP="00D06B3D">
      <w:pPr>
        <w:spacing w:line="240" w:lineRule="auto"/>
        <w:rPr>
          <w:rFonts w:eastAsia="Times New Roman" w:cs="Arial"/>
          <w:sz w:val="24"/>
          <w:szCs w:val="24"/>
          <w:lang w:eastAsia="bg-BG"/>
        </w:rPr>
      </w:pPr>
      <w:r w:rsidRPr="00D06B3D">
        <w:rPr>
          <w:rFonts w:eastAsia="Times New Roman" w:cs="Arial"/>
          <w:color w:val="000000"/>
          <w:lang w:eastAsia="bg-BG"/>
        </w:rPr>
        <w:t>Светло червена, леко двойно изпъкнала таблетка със скосени ръбове и делителна черта от едната страна.</w:t>
      </w:r>
    </w:p>
    <w:p w14:paraId="03359950" w14:textId="77777777" w:rsidR="00D06B3D" w:rsidRPr="00D06B3D" w:rsidRDefault="00D06B3D" w:rsidP="00D06B3D">
      <w:pPr>
        <w:spacing w:line="240" w:lineRule="auto"/>
        <w:rPr>
          <w:rFonts w:eastAsia="Times New Roman" w:cs="Arial"/>
          <w:sz w:val="24"/>
          <w:szCs w:val="24"/>
          <w:lang w:eastAsia="bg-BG"/>
        </w:rPr>
      </w:pPr>
    </w:p>
    <w:p w14:paraId="77695AC8" w14:textId="479A3D7C" w:rsidR="00D06B3D" w:rsidRPr="00D06B3D" w:rsidRDefault="00D06B3D" w:rsidP="00D06B3D">
      <w:pPr>
        <w:spacing w:line="240" w:lineRule="auto"/>
        <w:rPr>
          <w:rFonts w:eastAsia="Times New Roman" w:cs="Arial"/>
          <w:sz w:val="24"/>
          <w:szCs w:val="24"/>
          <w:lang w:eastAsia="bg-BG"/>
        </w:rPr>
      </w:pPr>
      <w:r w:rsidRPr="00D06B3D">
        <w:rPr>
          <w:rFonts w:eastAsia="Times New Roman" w:cs="Arial"/>
          <w:color w:val="000000"/>
          <w:lang w:eastAsia="bg-BG"/>
        </w:rPr>
        <w:t>Таблетките може да бъдат разделени на две равни дози.</w:t>
      </w:r>
    </w:p>
    <w:p w14:paraId="490FC2C4" w14:textId="57A595E3" w:rsidR="002C50EE" w:rsidRDefault="002C50EE" w:rsidP="002C50EE">
      <w:pPr>
        <w:pStyle w:val="Heading1"/>
      </w:pPr>
      <w:r>
        <w:t>4. КЛИНИЧНИ ДАННИ</w:t>
      </w:r>
    </w:p>
    <w:p w14:paraId="06741855" w14:textId="77777777" w:rsidR="00D06B3D" w:rsidRPr="00D06B3D" w:rsidRDefault="00D06B3D" w:rsidP="00D06B3D"/>
    <w:p w14:paraId="0C8E6903" w14:textId="2ED639D0" w:rsidR="008134C8" w:rsidRDefault="002C50EE" w:rsidP="004A448E">
      <w:pPr>
        <w:pStyle w:val="Heading2"/>
      </w:pPr>
      <w:r>
        <w:t>4.1. Терапевтични показания</w:t>
      </w:r>
    </w:p>
    <w:p w14:paraId="6B74BE98" w14:textId="78C0CBD8" w:rsidR="00D06B3D" w:rsidRDefault="00D06B3D" w:rsidP="00D06B3D"/>
    <w:p w14:paraId="6CA8E760" w14:textId="77777777" w:rsidR="00D06B3D" w:rsidRPr="00D06B3D" w:rsidRDefault="00D06B3D" w:rsidP="00D06B3D">
      <w:pPr>
        <w:spacing w:line="240" w:lineRule="auto"/>
        <w:rPr>
          <w:rFonts w:eastAsia="Times New Roman" w:cs="Arial"/>
          <w:sz w:val="24"/>
          <w:szCs w:val="24"/>
          <w:lang w:eastAsia="bg-BG"/>
        </w:rPr>
      </w:pPr>
      <w:r w:rsidRPr="00D06B3D">
        <w:rPr>
          <w:rFonts w:eastAsia="Times New Roman" w:cs="Arial"/>
          <w:color w:val="000000"/>
          <w:lang w:eastAsia="bg-BG"/>
        </w:rPr>
        <w:t>Лечение на хипертония</w:t>
      </w:r>
    </w:p>
    <w:p w14:paraId="26C12F0F" w14:textId="77777777" w:rsidR="00D06B3D" w:rsidRPr="00D06B3D" w:rsidRDefault="00D06B3D" w:rsidP="00D06B3D">
      <w:pPr>
        <w:spacing w:line="240" w:lineRule="auto"/>
        <w:rPr>
          <w:rFonts w:eastAsia="Times New Roman" w:cs="Arial"/>
          <w:sz w:val="24"/>
          <w:szCs w:val="24"/>
          <w:lang w:eastAsia="bg-BG"/>
        </w:rPr>
      </w:pPr>
      <w:r w:rsidRPr="00D06B3D">
        <w:rPr>
          <w:rFonts w:eastAsia="Times New Roman" w:cs="Arial"/>
          <w:color w:val="000000"/>
          <w:lang w:eastAsia="bg-BG"/>
        </w:rPr>
        <w:t>Лечение на симптоматична сърдечна недостатъчност</w:t>
      </w:r>
    </w:p>
    <w:p w14:paraId="17591CC6" w14:textId="494F3FB6" w:rsidR="00D06B3D" w:rsidRPr="00D06B3D" w:rsidRDefault="00D06B3D" w:rsidP="00D06B3D">
      <w:pPr>
        <w:rPr>
          <w:rFonts w:eastAsia="Times New Roman" w:cs="Arial"/>
          <w:color w:val="000000"/>
          <w:lang w:eastAsia="bg-BG"/>
        </w:rPr>
      </w:pPr>
      <w:r w:rsidRPr="00D06B3D">
        <w:rPr>
          <w:rFonts w:eastAsia="Times New Roman" w:cs="Arial"/>
          <w:color w:val="000000"/>
          <w:lang w:eastAsia="bg-BG"/>
        </w:rPr>
        <w:t>Профилактика на симптоматична сърдечна недостатъчност при пациенти с асимптоматична левокамерна дисфункция (левокамерна фракция на изтласкване [ЛКФИ] ≤ 35%).</w:t>
      </w:r>
    </w:p>
    <w:p w14:paraId="004C17F1" w14:textId="77777777" w:rsidR="00D06B3D" w:rsidRPr="00D06B3D" w:rsidRDefault="00D06B3D" w:rsidP="00D06B3D"/>
    <w:p w14:paraId="30BE2C7B" w14:textId="023F1E78" w:rsidR="008134C8" w:rsidRDefault="002C50EE" w:rsidP="004A448E">
      <w:pPr>
        <w:pStyle w:val="Heading2"/>
      </w:pPr>
      <w:r>
        <w:t>4.2. Дозировка и начин на приложение</w:t>
      </w:r>
    </w:p>
    <w:p w14:paraId="4A8091A0" w14:textId="415F7989" w:rsidR="00D06B3D" w:rsidRDefault="00D06B3D" w:rsidP="00D06B3D"/>
    <w:p w14:paraId="617B36EB" w14:textId="77777777" w:rsidR="00D06B3D" w:rsidRPr="0023653B" w:rsidRDefault="00D06B3D" w:rsidP="0023653B">
      <w:pPr>
        <w:pStyle w:val="Heading3"/>
        <w:rPr>
          <w:rFonts w:eastAsia="Times New Roman"/>
          <w:b/>
          <w:u w:val="single"/>
          <w:lang w:eastAsia="bg-BG"/>
        </w:rPr>
      </w:pPr>
      <w:bookmarkStart w:id="1" w:name="bookmark0"/>
      <w:r w:rsidRPr="0023653B">
        <w:rPr>
          <w:rFonts w:eastAsia="Times New Roman"/>
          <w:b/>
          <w:u w:val="single"/>
          <w:lang w:eastAsia="bg-BG"/>
        </w:rPr>
        <w:t>Дозировка</w:t>
      </w:r>
      <w:bookmarkEnd w:id="1"/>
    </w:p>
    <w:p w14:paraId="4EF6C1CB" w14:textId="77777777" w:rsidR="00D06B3D" w:rsidRPr="00D06B3D" w:rsidRDefault="00D06B3D" w:rsidP="00D06B3D">
      <w:pPr>
        <w:spacing w:line="240" w:lineRule="auto"/>
        <w:rPr>
          <w:rFonts w:eastAsia="Times New Roman" w:cs="Arial"/>
          <w:sz w:val="24"/>
          <w:szCs w:val="24"/>
          <w:lang w:eastAsia="bg-BG"/>
        </w:rPr>
      </w:pPr>
      <w:r w:rsidRPr="00D06B3D">
        <w:rPr>
          <w:rFonts w:eastAsia="Times New Roman" w:cs="Arial"/>
          <w:color w:val="000000"/>
          <w:lang w:eastAsia="bg-BG"/>
        </w:rPr>
        <w:t>Дозата трябва да се определи индивидуално в зависимост от профила на пациента (вж. точка 4.4) и отговора на кръвното налягане.</w:t>
      </w:r>
    </w:p>
    <w:p w14:paraId="6B757338" w14:textId="77777777" w:rsidR="00D06B3D" w:rsidRPr="00D06B3D" w:rsidRDefault="00D06B3D" w:rsidP="00D06B3D">
      <w:pPr>
        <w:spacing w:line="240" w:lineRule="auto"/>
        <w:rPr>
          <w:rFonts w:eastAsia="Times New Roman" w:cs="Arial"/>
          <w:sz w:val="24"/>
          <w:szCs w:val="24"/>
          <w:lang w:eastAsia="bg-BG"/>
        </w:rPr>
      </w:pPr>
      <w:r w:rsidRPr="00D06B3D">
        <w:rPr>
          <w:rFonts w:eastAsia="Times New Roman" w:cs="Arial"/>
          <w:color w:val="000000"/>
          <w:lang w:eastAsia="bg-BG"/>
        </w:rPr>
        <w:t>Абсорбцията на еналаприлов малеат не се повлиява от приема на храна.</w:t>
      </w:r>
    </w:p>
    <w:p w14:paraId="53C35BB4" w14:textId="77777777" w:rsidR="00D06B3D" w:rsidRPr="00D06B3D" w:rsidRDefault="00D06B3D" w:rsidP="00D06B3D">
      <w:pPr>
        <w:spacing w:line="240" w:lineRule="auto"/>
        <w:rPr>
          <w:rFonts w:eastAsia="Times New Roman" w:cs="Arial"/>
          <w:color w:val="000000"/>
          <w:u w:val="single"/>
          <w:lang w:eastAsia="bg-BG"/>
        </w:rPr>
      </w:pPr>
    </w:p>
    <w:p w14:paraId="13D20975" w14:textId="2F75C2EA" w:rsidR="00D06B3D" w:rsidRPr="00D06B3D" w:rsidRDefault="00D06B3D" w:rsidP="00D06B3D">
      <w:pPr>
        <w:spacing w:line="240" w:lineRule="auto"/>
        <w:rPr>
          <w:rFonts w:eastAsia="Times New Roman" w:cs="Arial"/>
          <w:sz w:val="24"/>
          <w:szCs w:val="24"/>
          <w:lang w:eastAsia="bg-BG"/>
        </w:rPr>
      </w:pPr>
      <w:r w:rsidRPr="00D06B3D">
        <w:rPr>
          <w:rFonts w:eastAsia="Times New Roman" w:cs="Arial"/>
          <w:color w:val="000000"/>
          <w:u w:val="single"/>
          <w:lang w:eastAsia="bg-BG"/>
        </w:rPr>
        <w:t>Хипертония</w:t>
      </w:r>
    </w:p>
    <w:p w14:paraId="7BC1865F" w14:textId="77777777" w:rsidR="00D06B3D" w:rsidRPr="00D06B3D" w:rsidRDefault="00D06B3D" w:rsidP="00D06B3D">
      <w:pPr>
        <w:spacing w:line="240" w:lineRule="auto"/>
        <w:rPr>
          <w:rFonts w:eastAsia="Times New Roman" w:cs="Arial"/>
          <w:sz w:val="24"/>
          <w:szCs w:val="24"/>
          <w:lang w:eastAsia="bg-BG"/>
        </w:rPr>
      </w:pPr>
      <w:r w:rsidRPr="00D06B3D">
        <w:rPr>
          <w:rFonts w:eastAsia="Times New Roman" w:cs="Arial"/>
          <w:color w:val="000000"/>
          <w:lang w:eastAsia="bg-BG"/>
        </w:rPr>
        <w:t xml:space="preserve">Началната доза е от 5 </w:t>
      </w:r>
      <w:r w:rsidRPr="00D06B3D">
        <w:rPr>
          <w:rFonts w:eastAsia="Times New Roman" w:cs="Arial"/>
          <w:color w:val="000000"/>
          <w:lang w:val="en-US"/>
        </w:rPr>
        <w:t xml:space="preserve">mg </w:t>
      </w:r>
      <w:r w:rsidRPr="00D06B3D">
        <w:rPr>
          <w:rFonts w:eastAsia="Times New Roman" w:cs="Arial"/>
          <w:color w:val="000000"/>
          <w:lang w:eastAsia="bg-BG"/>
        </w:rPr>
        <w:t xml:space="preserve">до максимално 20 </w:t>
      </w:r>
      <w:r w:rsidRPr="00D06B3D">
        <w:rPr>
          <w:rFonts w:eastAsia="Times New Roman" w:cs="Arial"/>
          <w:color w:val="000000"/>
          <w:lang w:val="en-US"/>
        </w:rPr>
        <w:t xml:space="preserve">mg, </w:t>
      </w:r>
      <w:r w:rsidRPr="00D06B3D">
        <w:rPr>
          <w:rFonts w:eastAsia="Times New Roman" w:cs="Arial"/>
          <w:color w:val="000000"/>
          <w:lang w:eastAsia="bg-BG"/>
        </w:rPr>
        <w:t>в зависимост от степента на хипертонията и състоянието на пациента (вж. по-долу). Берлиприл</w:t>
      </w:r>
      <w:r w:rsidRPr="00D06B3D">
        <w:rPr>
          <w:rFonts w:eastAsia="Times New Roman" w:cs="Arial"/>
          <w:color w:val="000000"/>
          <w:vertAlign w:val="superscript"/>
          <w:lang w:eastAsia="bg-BG"/>
        </w:rPr>
        <w:t>1</w:t>
      </w:r>
      <w:r w:rsidRPr="00D06B3D">
        <w:rPr>
          <w:rFonts w:eastAsia="Times New Roman" w:cs="Arial"/>
          <w:color w:val="000000"/>
          <w:lang w:eastAsia="bg-BG"/>
        </w:rPr>
        <w:t xml:space="preserve"> се прилага веднъж дневно. При лека хипертония препоръчваната начална доза е 5 до 10 </w:t>
      </w:r>
      <w:r w:rsidRPr="00D06B3D">
        <w:rPr>
          <w:rFonts w:eastAsia="Times New Roman" w:cs="Arial"/>
          <w:color w:val="000000"/>
          <w:lang w:val="en-US"/>
        </w:rPr>
        <w:t xml:space="preserve">mg. </w:t>
      </w:r>
      <w:r w:rsidRPr="00D06B3D">
        <w:rPr>
          <w:rFonts w:eastAsia="Times New Roman" w:cs="Arial"/>
          <w:color w:val="000000"/>
          <w:lang w:eastAsia="bg-BG"/>
        </w:rPr>
        <w:t xml:space="preserve">В началото на лечението може да се прояви рязко понижение на кръвното налягане при пациенти със силно активирана ренин- ангиотензин-алдостеронова система (напр. реноваскуларна хипертония, недостиг на соли и/или течности, сърдечна декомпенсация или тежка хипертония). При тези пациенти се препоръчва начална доза 5 </w:t>
      </w:r>
      <w:r w:rsidRPr="00D06B3D">
        <w:rPr>
          <w:rFonts w:eastAsia="Times New Roman" w:cs="Arial"/>
          <w:color w:val="000000"/>
          <w:lang w:val="en-US"/>
        </w:rPr>
        <w:t xml:space="preserve">mg </w:t>
      </w:r>
      <w:r w:rsidRPr="00D06B3D">
        <w:rPr>
          <w:rFonts w:eastAsia="Times New Roman" w:cs="Arial"/>
          <w:color w:val="000000"/>
          <w:lang w:eastAsia="bg-BG"/>
        </w:rPr>
        <w:t>или с по-ниска доза, като лечението трябва да започне под лекарско наблюдение.</w:t>
      </w:r>
    </w:p>
    <w:p w14:paraId="4A4CE58B" w14:textId="77777777" w:rsidR="00D06B3D" w:rsidRPr="00D06B3D" w:rsidRDefault="00D06B3D" w:rsidP="00D06B3D">
      <w:pPr>
        <w:spacing w:line="240" w:lineRule="auto"/>
        <w:rPr>
          <w:rFonts w:eastAsia="Times New Roman" w:cs="Arial"/>
          <w:sz w:val="24"/>
          <w:szCs w:val="24"/>
          <w:lang w:eastAsia="bg-BG"/>
        </w:rPr>
      </w:pPr>
      <w:r w:rsidRPr="00D06B3D">
        <w:rPr>
          <w:rFonts w:eastAsia="Times New Roman" w:cs="Arial"/>
          <w:color w:val="000000"/>
          <w:lang w:eastAsia="bg-BG"/>
        </w:rPr>
        <w:t xml:space="preserve">Предшестващо лечение с високи дози диуретици може да доведе до дефицит на течности и риск от хипотония при започване на лечение с еналаприл. При тези пациенти се препоръчва доза 5 </w:t>
      </w:r>
      <w:r w:rsidRPr="00D06B3D">
        <w:rPr>
          <w:rFonts w:eastAsia="Times New Roman" w:cs="Arial"/>
          <w:color w:val="000000"/>
          <w:lang w:val="en-US"/>
        </w:rPr>
        <w:t xml:space="preserve">mg </w:t>
      </w:r>
      <w:r w:rsidRPr="00D06B3D">
        <w:rPr>
          <w:rFonts w:eastAsia="Times New Roman" w:cs="Arial"/>
          <w:color w:val="000000"/>
          <w:lang w:eastAsia="bg-BG"/>
        </w:rPr>
        <w:t>или по-ниска доза. Ако е възможно, диуретичната терапия трябва да се преустанови за 2 до 3 дни преди започване на лечение с Берлиприл. Трябва да се проследяват бъбречната функция и серумния калий.</w:t>
      </w:r>
    </w:p>
    <w:p w14:paraId="030EE93B" w14:textId="77777777" w:rsidR="00D06B3D" w:rsidRPr="00D06B3D" w:rsidRDefault="00D06B3D" w:rsidP="00D06B3D">
      <w:pPr>
        <w:spacing w:line="240" w:lineRule="auto"/>
        <w:rPr>
          <w:rFonts w:eastAsia="Times New Roman" w:cs="Arial"/>
          <w:sz w:val="24"/>
          <w:szCs w:val="24"/>
          <w:lang w:eastAsia="bg-BG"/>
        </w:rPr>
      </w:pPr>
      <w:r w:rsidRPr="00D06B3D">
        <w:rPr>
          <w:rFonts w:eastAsia="Times New Roman" w:cs="Arial"/>
          <w:color w:val="000000"/>
          <w:lang w:eastAsia="bg-BG"/>
        </w:rPr>
        <w:t xml:space="preserve">Обичайната поддържаща доза е 20 </w:t>
      </w:r>
      <w:r w:rsidRPr="00D06B3D">
        <w:rPr>
          <w:rFonts w:eastAsia="Times New Roman" w:cs="Arial"/>
          <w:color w:val="000000"/>
          <w:lang w:val="en-US"/>
        </w:rPr>
        <w:t xml:space="preserve">mg </w:t>
      </w:r>
      <w:r w:rsidRPr="00D06B3D">
        <w:rPr>
          <w:rFonts w:eastAsia="Times New Roman" w:cs="Arial"/>
          <w:color w:val="000000"/>
          <w:lang w:eastAsia="bg-BG"/>
        </w:rPr>
        <w:t xml:space="preserve">дневно. Максималната поддържаща доза е 40 </w:t>
      </w:r>
      <w:r w:rsidRPr="00D06B3D">
        <w:rPr>
          <w:rFonts w:eastAsia="Times New Roman" w:cs="Arial"/>
          <w:color w:val="000000"/>
          <w:lang w:val="en-US"/>
        </w:rPr>
        <w:t xml:space="preserve">mg </w:t>
      </w:r>
      <w:r w:rsidRPr="00D06B3D">
        <w:rPr>
          <w:rFonts w:eastAsia="Times New Roman" w:cs="Arial"/>
          <w:color w:val="000000"/>
          <w:lang w:eastAsia="bg-BG"/>
        </w:rPr>
        <w:t>дневно.</w:t>
      </w:r>
    </w:p>
    <w:p w14:paraId="490B7997" w14:textId="77777777" w:rsidR="00D06B3D" w:rsidRPr="00D06B3D" w:rsidRDefault="00D06B3D" w:rsidP="00D06B3D">
      <w:pPr>
        <w:spacing w:line="240" w:lineRule="auto"/>
        <w:rPr>
          <w:rFonts w:eastAsia="Times New Roman" w:cs="Arial"/>
          <w:color w:val="000000"/>
          <w:u w:val="single"/>
          <w:lang w:eastAsia="bg-BG"/>
        </w:rPr>
      </w:pPr>
    </w:p>
    <w:p w14:paraId="6E1626D7" w14:textId="08A1FA49" w:rsidR="00D06B3D" w:rsidRPr="00D06B3D" w:rsidRDefault="00D06B3D" w:rsidP="00D06B3D">
      <w:pPr>
        <w:spacing w:line="240" w:lineRule="auto"/>
        <w:rPr>
          <w:rFonts w:eastAsia="Times New Roman" w:cs="Arial"/>
          <w:sz w:val="24"/>
          <w:szCs w:val="24"/>
          <w:lang w:eastAsia="bg-BG"/>
        </w:rPr>
      </w:pPr>
      <w:r w:rsidRPr="00D06B3D">
        <w:rPr>
          <w:rFonts w:eastAsia="Times New Roman" w:cs="Arial"/>
          <w:color w:val="000000"/>
          <w:u w:val="single"/>
          <w:lang w:eastAsia="bg-BG"/>
        </w:rPr>
        <w:t>Сърдечна недостатъчност/асимптоматична левокамерна дисфункция</w:t>
      </w:r>
    </w:p>
    <w:p w14:paraId="62DCFEF7" w14:textId="77777777" w:rsidR="00D06B3D" w:rsidRPr="00D06B3D" w:rsidRDefault="00D06B3D" w:rsidP="00D06B3D">
      <w:pPr>
        <w:spacing w:line="240" w:lineRule="auto"/>
        <w:rPr>
          <w:rFonts w:eastAsia="Times New Roman" w:cs="Arial"/>
          <w:sz w:val="24"/>
          <w:szCs w:val="24"/>
          <w:lang w:eastAsia="bg-BG"/>
        </w:rPr>
      </w:pPr>
      <w:r w:rsidRPr="00D06B3D">
        <w:rPr>
          <w:rFonts w:eastAsia="Times New Roman" w:cs="Arial"/>
          <w:color w:val="000000"/>
          <w:lang w:eastAsia="bg-BG"/>
        </w:rPr>
        <w:t xml:space="preserve">При лечение на симптоматична сърдечна недостатъчност, Берлиприл се прилага обикновено като допълнение към диуретици и, когато е подходящо, към дигиталис или бета-блокер. Началната доза Берлиприл при пациенти със симптоматична сърдечна недостатъчност или асимптоматична левокамерна дисфункция е 2,5 </w:t>
      </w:r>
      <w:r w:rsidRPr="00D06B3D">
        <w:rPr>
          <w:rFonts w:eastAsia="Times New Roman" w:cs="Arial"/>
          <w:color w:val="000000"/>
          <w:lang w:val="en-US"/>
        </w:rPr>
        <w:t xml:space="preserve">mg </w:t>
      </w:r>
      <w:r w:rsidRPr="00D06B3D">
        <w:rPr>
          <w:rFonts w:eastAsia="Times New Roman" w:cs="Arial"/>
          <w:color w:val="000000"/>
          <w:lang w:eastAsia="bg-BG"/>
        </w:rPr>
        <w:t xml:space="preserve">и трябва да се прилага под пряк лекарски контрол, за да се определи началния ефект върху кръвното налягане. При отсъствие на симптоматична хипотония или след ефективното й овладяване след започване на лечение с Берлиприл при сърдечна недостатъчност, дозата трябва да се увеличи постепенно до обичайна поддържаща доза от 20 </w:t>
      </w:r>
      <w:r w:rsidRPr="00D06B3D">
        <w:rPr>
          <w:rFonts w:eastAsia="Times New Roman" w:cs="Arial"/>
          <w:color w:val="000000"/>
          <w:lang w:val="en-US"/>
        </w:rPr>
        <w:t xml:space="preserve">mg, </w:t>
      </w:r>
      <w:r w:rsidRPr="00D06B3D">
        <w:rPr>
          <w:rFonts w:eastAsia="Times New Roman" w:cs="Arial"/>
          <w:color w:val="000000"/>
          <w:lang w:eastAsia="bg-BG"/>
        </w:rPr>
        <w:t xml:space="preserve">която се дава еднократно дневно или разделена на два приема в зависимост от поносимостта </w:t>
      </w:r>
      <w:r w:rsidRPr="00D06B3D">
        <w:rPr>
          <w:rFonts w:eastAsia="Times New Roman" w:cs="Arial"/>
          <w:color w:val="000000"/>
          <w:lang w:eastAsia="bg-BG"/>
        </w:rPr>
        <w:lastRenderedPageBreak/>
        <w:t xml:space="preserve">на пациента. Препоръчва се това титриране на дозата да се осъществява за период от 2 до 4 седмици. Максималната доза е 40 </w:t>
      </w:r>
      <w:r w:rsidRPr="00D06B3D">
        <w:rPr>
          <w:rFonts w:eastAsia="Times New Roman" w:cs="Arial"/>
          <w:color w:val="000000"/>
          <w:lang w:val="en-US"/>
        </w:rPr>
        <w:t xml:space="preserve">mg </w:t>
      </w:r>
      <w:r w:rsidRPr="00D06B3D">
        <w:rPr>
          <w:rFonts w:eastAsia="Times New Roman" w:cs="Arial"/>
          <w:color w:val="000000"/>
          <w:lang w:eastAsia="bg-BG"/>
        </w:rPr>
        <w:t>дневно, разделена на два приема.</w:t>
      </w:r>
    </w:p>
    <w:p w14:paraId="57664FD7" w14:textId="77777777" w:rsidR="00D06B3D" w:rsidRPr="00D06B3D" w:rsidRDefault="00D06B3D" w:rsidP="00D06B3D">
      <w:pPr>
        <w:rPr>
          <w:rFonts w:eastAsia="Times New Roman" w:cs="Arial"/>
          <w:i/>
          <w:iCs/>
          <w:color w:val="000000"/>
          <w:lang w:eastAsia="bg-BG"/>
        </w:rPr>
      </w:pPr>
    </w:p>
    <w:p w14:paraId="06C64F32" w14:textId="4ABAF8B5" w:rsidR="00D06B3D" w:rsidRDefault="00D06B3D" w:rsidP="00D06B3D">
      <w:pPr>
        <w:rPr>
          <w:rFonts w:eastAsia="Times New Roman" w:cs="Arial"/>
          <w:i/>
          <w:iCs/>
          <w:color w:val="000000"/>
          <w:lang w:eastAsia="bg-BG"/>
        </w:rPr>
      </w:pPr>
      <w:r w:rsidRPr="00D06B3D">
        <w:rPr>
          <w:rFonts w:eastAsia="Times New Roman" w:cs="Arial"/>
          <w:i/>
          <w:iCs/>
          <w:color w:val="000000"/>
          <w:lang w:eastAsia="bg-BG"/>
        </w:rPr>
        <w:t>Препоръчително титриране на дозата Берлиприл при пациенти със сърдечна недостатъчност/асимптоматична левокамерна дисфункция:</w:t>
      </w:r>
    </w:p>
    <w:tbl>
      <w:tblPr>
        <w:tblStyle w:val="TableGrid"/>
        <w:tblW w:w="0" w:type="auto"/>
        <w:tblLook w:val="04A0" w:firstRow="1" w:lastRow="0" w:firstColumn="1" w:lastColumn="0" w:noHBand="0" w:noVBand="1"/>
      </w:tblPr>
      <w:tblGrid>
        <w:gridCol w:w="4673"/>
        <w:gridCol w:w="4677"/>
      </w:tblGrid>
      <w:tr w:rsidR="00D06B3D" w14:paraId="5C3CD7D2" w14:textId="77777777" w:rsidTr="00D06B3D">
        <w:tc>
          <w:tcPr>
            <w:tcW w:w="4750" w:type="dxa"/>
          </w:tcPr>
          <w:p w14:paraId="0966CF51" w14:textId="647169B7" w:rsidR="00D06B3D" w:rsidRDefault="00D06B3D" w:rsidP="00D06B3D">
            <w:pPr>
              <w:rPr>
                <w:rFonts w:eastAsia="Times New Roman" w:cs="Arial"/>
                <w:i/>
                <w:iCs/>
                <w:color w:val="000000"/>
                <w:lang w:eastAsia="bg-BG"/>
              </w:rPr>
            </w:pPr>
            <w:r>
              <w:t>Седмица</w:t>
            </w:r>
          </w:p>
        </w:tc>
        <w:tc>
          <w:tcPr>
            <w:tcW w:w="4750" w:type="dxa"/>
          </w:tcPr>
          <w:p w14:paraId="482C0807" w14:textId="6DF18BFC" w:rsidR="00D06B3D" w:rsidRDefault="00D06B3D" w:rsidP="00D06B3D">
            <w:pPr>
              <w:rPr>
                <w:rFonts w:eastAsia="Times New Roman" w:cs="Arial"/>
                <w:i/>
                <w:iCs/>
                <w:color w:val="000000"/>
                <w:lang w:eastAsia="bg-BG"/>
              </w:rPr>
            </w:pPr>
            <w:r>
              <w:t xml:space="preserve">Доза </w:t>
            </w:r>
            <w:r>
              <w:rPr>
                <w:lang w:val="en-US"/>
              </w:rPr>
              <w:t>(mg</w:t>
            </w:r>
            <w:r>
              <w:t>/ден)</w:t>
            </w:r>
          </w:p>
        </w:tc>
      </w:tr>
      <w:tr w:rsidR="00D06B3D" w14:paraId="76EF4D0F" w14:textId="77777777" w:rsidTr="00D06B3D">
        <w:tc>
          <w:tcPr>
            <w:tcW w:w="4750" w:type="dxa"/>
          </w:tcPr>
          <w:p w14:paraId="253086FB" w14:textId="66944213" w:rsidR="00D06B3D" w:rsidRDefault="00D06B3D" w:rsidP="00D06B3D">
            <w:pPr>
              <w:rPr>
                <w:rFonts w:eastAsia="Times New Roman" w:cs="Arial"/>
                <w:i/>
                <w:iCs/>
                <w:color w:val="000000"/>
                <w:lang w:eastAsia="bg-BG"/>
              </w:rPr>
            </w:pPr>
            <w:r>
              <w:t>1. седмица</w:t>
            </w:r>
          </w:p>
        </w:tc>
        <w:tc>
          <w:tcPr>
            <w:tcW w:w="4750" w:type="dxa"/>
          </w:tcPr>
          <w:p w14:paraId="60B7B2BC" w14:textId="77777777" w:rsidR="00D06B3D" w:rsidRDefault="00D06B3D" w:rsidP="00D06B3D">
            <w:pPr>
              <w:jc w:val="right"/>
            </w:pPr>
            <w:r>
              <w:t>1. — 3. ден</w:t>
            </w:r>
            <w:r>
              <w:tab/>
              <w:t xml:space="preserve">2,5 </w:t>
            </w:r>
            <w:r>
              <w:rPr>
                <w:lang w:val="en-US"/>
              </w:rPr>
              <w:t>mg</w:t>
            </w:r>
            <w:r>
              <w:t>/ден* един път дневно</w:t>
            </w:r>
          </w:p>
          <w:p w14:paraId="51B7100B" w14:textId="6347360E" w:rsidR="00D06B3D" w:rsidRDefault="00D06B3D" w:rsidP="00D06B3D">
            <w:pPr>
              <w:jc w:val="right"/>
              <w:rPr>
                <w:rFonts w:eastAsia="Times New Roman" w:cs="Arial"/>
                <w:i/>
                <w:iCs/>
                <w:color w:val="000000"/>
                <w:lang w:eastAsia="bg-BG"/>
              </w:rPr>
            </w:pPr>
            <w:r>
              <w:t>4. - 7. ден</w:t>
            </w:r>
            <w:r>
              <w:tab/>
              <w:t xml:space="preserve">5 </w:t>
            </w:r>
            <w:r>
              <w:rPr>
                <w:lang w:val="en-US"/>
              </w:rPr>
              <w:t>mg</w:t>
            </w:r>
            <w:r>
              <w:t>/ден, разделена на два приема</w:t>
            </w:r>
          </w:p>
        </w:tc>
      </w:tr>
      <w:tr w:rsidR="00D06B3D" w14:paraId="7A964325" w14:textId="77777777" w:rsidTr="00D06B3D">
        <w:tc>
          <w:tcPr>
            <w:tcW w:w="4750" w:type="dxa"/>
          </w:tcPr>
          <w:p w14:paraId="556C3B33" w14:textId="6E568B4E" w:rsidR="00D06B3D" w:rsidRDefault="00D06B3D" w:rsidP="00D06B3D">
            <w:pPr>
              <w:rPr>
                <w:rFonts w:eastAsia="Times New Roman" w:cs="Arial"/>
                <w:i/>
                <w:iCs/>
                <w:color w:val="000000"/>
                <w:lang w:eastAsia="bg-BG"/>
              </w:rPr>
            </w:pPr>
            <w:r>
              <w:t>2. седмица</w:t>
            </w:r>
          </w:p>
        </w:tc>
        <w:tc>
          <w:tcPr>
            <w:tcW w:w="4750" w:type="dxa"/>
          </w:tcPr>
          <w:p w14:paraId="3427EC05" w14:textId="092B1B8A" w:rsidR="00D06B3D" w:rsidRDefault="00D06B3D" w:rsidP="0023653B">
            <w:pPr>
              <w:rPr>
                <w:rFonts w:eastAsia="Times New Roman" w:cs="Arial"/>
                <w:i/>
                <w:iCs/>
                <w:color w:val="000000"/>
                <w:lang w:eastAsia="bg-BG"/>
              </w:rPr>
            </w:pPr>
            <w:r>
              <w:t xml:space="preserve">10 </w:t>
            </w:r>
            <w:r>
              <w:rPr>
                <w:lang w:val="en-US"/>
              </w:rPr>
              <w:t>mg</w:t>
            </w:r>
            <w:r>
              <w:t>/ден един път дневно или разделена на два приема</w:t>
            </w:r>
          </w:p>
        </w:tc>
      </w:tr>
      <w:tr w:rsidR="00D06B3D" w14:paraId="78E1A5BE" w14:textId="77777777" w:rsidTr="00D06B3D">
        <w:tc>
          <w:tcPr>
            <w:tcW w:w="4750" w:type="dxa"/>
          </w:tcPr>
          <w:p w14:paraId="719ADFA5" w14:textId="55CC2C69" w:rsidR="00D06B3D" w:rsidRDefault="00D06B3D" w:rsidP="00D06B3D">
            <w:pPr>
              <w:rPr>
                <w:rFonts w:eastAsia="Times New Roman" w:cs="Arial"/>
                <w:i/>
                <w:iCs/>
                <w:color w:val="000000"/>
                <w:lang w:eastAsia="bg-BG"/>
              </w:rPr>
            </w:pPr>
            <w:r>
              <w:t>3. и 4. седмица</w:t>
            </w:r>
          </w:p>
        </w:tc>
        <w:tc>
          <w:tcPr>
            <w:tcW w:w="4750" w:type="dxa"/>
          </w:tcPr>
          <w:p w14:paraId="5D82AADC" w14:textId="14D0A997" w:rsidR="00D06B3D" w:rsidRDefault="00D06B3D" w:rsidP="0023653B">
            <w:pPr>
              <w:rPr>
                <w:rFonts w:eastAsia="Times New Roman" w:cs="Arial"/>
                <w:i/>
                <w:iCs/>
                <w:color w:val="000000"/>
                <w:lang w:eastAsia="bg-BG"/>
              </w:rPr>
            </w:pPr>
            <w:r>
              <w:t xml:space="preserve">20 </w:t>
            </w:r>
            <w:r>
              <w:rPr>
                <w:lang w:val="en-US"/>
              </w:rPr>
              <w:t>mg</w:t>
            </w:r>
            <w:r>
              <w:t>/ден един път дневно или разделена на два приема</w:t>
            </w:r>
          </w:p>
        </w:tc>
      </w:tr>
    </w:tbl>
    <w:p w14:paraId="7FF9758C" w14:textId="77777777"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*Трябва да се вземат предвид специални предпазни мерки за пациенти с нарушена бъбречна функция или получаващи диуретици (вж. т. 4.4).</w:t>
      </w:r>
    </w:p>
    <w:p w14:paraId="6D9CED77" w14:textId="77777777" w:rsidR="0023653B" w:rsidRPr="0023653B" w:rsidRDefault="0023653B" w:rsidP="0023653B">
      <w:pPr>
        <w:spacing w:line="240" w:lineRule="auto"/>
        <w:rPr>
          <w:rFonts w:eastAsia="Times New Roman" w:cs="Arial"/>
          <w:color w:val="000000"/>
          <w:lang w:eastAsia="bg-BG"/>
        </w:rPr>
      </w:pPr>
    </w:p>
    <w:p w14:paraId="201F6F07" w14:textId="10ECF5C3"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Кръвното налягане и бъбречната функция трябва да се проследяват внимателно както преди, така и след започване на лечението на Берлиприл (вж. т. 4.4), тъй като са съобщавани хипотония и (по-рядко) последваща бъбречна недостатъчност. При пациенти, които се лекуват с диуретици, ако е възможно, дозата трябва да се понижи преди лечението с Берлиприл.</w:t>
      </w:r>
    </w:p>
    <w:p w14:paraId="70F31A0F" w14:textId="77777777"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Появата на хипотония след началната доза Берлиприл не означава, че ще възникне хипотония при продължително лечение с Берлиприл и не изключва продължително лечение с този лекарствен продукт. Серумният калий и бъбречната функция трябва също да се проследяват.</w:t>
      </w:r>
    </w:p>
    <w:p w14:paraId="423B8241" w14:textId="77777777" w:rsidR="0023653B" w:rsidRPr="0023653B" w:rsidRDefault="0023653B" w:rsidP="0023653B">
      <w:pPr>
        <w:spacing w:line="240" w:lineRule="auto"/>
        <w:rPr>
          <w:rFonts w:eastAsia="Times New Roman" w:cs="Arial"/>
          <w:i/>
          <w:iCs/>
          <w:color w:val="000000"/>
          <w:lang w:eastAsia="bg-BG"/>
        </w:rPr>
      </w:pPr>
    </w:p>
    <w:p w14:paraId="393BAC55" w14:textId="384ECDD7" w:rsidR="0023653B" w:rsidRPr="0023653B" w:rsidRDefault="0023653B" w:rsidP="0023653B">
      <w:pPr>
        <w:spacing w:line="240" w:lineRule="auto"/>
        <w:rPr>
          <w:rFonts w:eastAsia="Times New Roman" w:cs="Arial"/>
          <w:sz w:val="24"/>
          <w:szCs w:val="24"/>
          <w:lang w:eastAsia="bg-BG"/>
        </w:rPr>
      </w:pPr>
      <w:r w:rsidRPr="0023653B">
        <w:rPr>
          <w:rFonts w:eastAsia="Times New Roman" w:cs="Arial"/>
          <w:i/>
          <w:iCs/>
          <w:color w:val="000000"/>
          <w:lang w:eastAsia="bg-BG"/>
        </w:rPr>
        <w:t>Дозировка при бъбречна недостатъчност</w:t>
      </w:r>
    </w:p>
    <w:p w14:paraId="01E417F7" w14:textId="414F0E86" w:rsidR="00D06B3D" w:rsidRPr="0023653B" w:rsidRDefault="0023653B" w:rsidP="0023653B">
      <w:pPr>
        <w:rPr>
          <w:rFonts w:eastAsia="Times New Roman" w:cs="Arial"/>
          <w:i/>
          <w:iCs/>
          <w:color w:val="000000"/>
          <w:lang w:eastAsia="bg-BG"/>
        </w:rPr>
      </w:pPr>
      <w:r w:rsidRPr="0023653B">
        <w:rPr>
          <w:rFonts w:eastAsia="Times New Roman" w:cs="Arial"/>
          <w:color w:val="000000"/>
          <w:lang w:eastAsia="bg-BG"/>
        </w:rPr>
        <w:t>По принцип интервалите между приложението на еналаприл трябва да бъдат удължени и/или дозата намалена.</w:t>
      </w:r>
    </w:p>
    <w:tbl>
      <w:tblPr>
        <w:tblStyle w:val="TableGrid"/>
        <w:tblW w:w="0" w:type="auto"/>
        <w:tblLook w:val="04A0" w:firstRow="1" w:lastRow="0" w:firstColumn="1" w:lastColumn="0" w:noHBand="0" w:noVBand="1"/>
      </w:tblPr>
      <w:tblGrid>
        <w:gridCol w:w="4678"/>
        <w:gridCol w:w="4672"/>
      </w:tblGrid>
      <w:tr w:rsidR="0023653B" w14:paraId="28B538F3" w14:textId="77777777" w:rsidTr="0023653B">
        <w:tc>
          <w:tcPr>
            <w:tcW w:w="4750" w:type="dxa"/>
          </w:tcPr>
          <w:p w14:paraId="79416E36" w14:textId="7E9835C8" w:rsidR="0023653B" w:rsidRDefault="0023653B" w:rsidP="0023653B">
            <w:r>
              <w:t xml:space="preserve">Креатининов клирънс </w:t>
            </w:r>
            <w:r>
              <w:rPr>
                <w:lang w:val="en-US"/>
              </w:rPr>
              <w:t>(</w:t>
            </w:r>
            <w:proofErr w:type="spellStart"/>
            <w:r>
              <w:rPr>
                <w:lang w:val="en-US"/>
              </w:rPr>
              <w:t>CrCl</w:t>
            </w:r>
            <w:proofErr w:type="spellEnd"/>
            <w:r>
              <w:rPr>
                <w:lang w:val="en-US"/>
              </w:rPr>
              <w:t>) ml/min</w:t>
            </w:r>
          </w:p>
        </w:tc>
        <w:tc>
          <w:tcPr>
            <w:tcW w:w="4750" w:type="dxa"/>
          </w:tcPr>
          <w:p w14:paraId="5E2E13AA" w14:textId="30542B40" w:rsidR="0023653B" w:rsidRDefault="0023653B" w:rsidP="0023653B">
            <w:r>
              <w:t xml:space="preserve">Начална доза </w:t>
            </w:r>
            <w:r>
              <w:rPr>
                <w:lang w:val="en-US"/>
              </w:rPr>
              <w:t>(mg</w:t>
            </w:r>
            <w:r>
              <w:t>/ден)</w:t>
            </w:r>
          </w:p>
        </w:tc>
      </w:tr>
      <w:tr w:rsidR="0023653B" w14:paraId="670B0420" w14:textId="77777777" w:rsidTr="0023653B">
        <w:tc>
          <w:tcPr>
            <w:tcW w:w="4750" w:type="dxa"/>
          </w:tcPr>
          <w:p w14:paraId="4B569419" w14:textId="280BF7D0" w:rsidR="0023653B" w:rsidRDefault="0023653B" w:rsidP="0023653B">
            <w:r>
              <w:t xml:space="preserve">30 &lt; </w:t>
            </w:r>
            <w:proofErr w:type="spellStart"/>
            <w:r>
              <w:rPr>
                <w:lang w:val="en-US"/>
              </w:rPr>
              <w:t>CrCl</w:t>
            </w:r>
            <w:proofErr w:type="spellEnd"/>
            <w:r>
              <w:rPr>
                <w:lang w:val="en-US"/>
              </w:rPr>
              <w:t xml:space="preserve"> </w:t>
            </w:r>
            <w:r>
              <w:t xml:space="preserve">&lt; 80 </w:t>
            </w:r>
            <w:r>
              <w:rPr>
                <w:lang w:val="en-US"/>
              </w:rPr>
              <w:t>ml/min</w:t>
            </w:r>
          </w:p>
        </w:tc>
        <w:tc>
          <w:tcPr>
            <w:tcW w:w="4750" w:type="dxa"/>
          </w:tcPr>
          <w:p w14:paraId="537C6A68" w14:textId="6E2EBDED" w:rsidR="0023653B" w:rsidRDefault="0023653B" w:rsidP="0023653B">
            <w:r>
              <w:rPr>
                <w:lang w:val="en-US"/>
              </w:rPr>
              <w:t>5-10 mg</w:t>
            </w:r>
          </w:p>
        </w:tc>
      </w:tr>
      <w:tr w:rsidR="0023653B" w14:paraId="2ED68DCA" w14:textId="77777777" w:rsidTr="0023653B">
        <w:tc>
          <w:tcPr>
            <w:tcW w:w="4750" w:type="dxa"/>
          </w:tcPr>
          <w:p w14:paraId="2CAA327E" w14:textId="1239255C" w:rsidR="0023653B" w:rsidRDefault="0023653B" w:rsidP="0023653B">
            <w:r>
              <w:t xml:space="preserve">10 &lt; </w:t>
            </w:r>
            <w:proofErr w:type="spellStart"/>
            <w:r>
              <w:rPr>
                <w:lang w:val="en-US"/>
              </w:rPr>
              <w:t>CrCl</w:t>
            </w:r>
            <w:proofErr w:type="spellEnd"/>
            <w:r>
              <w:rPr>
                <w:lang w:val="en-US"/>
              </w:rPr>
              <w:t xml:space="preserve"> </w:t>
            </w:r>
            <w:r>
              <w:t xml:space="preserve">≤ 30 </w:t>
            </w:r>
            <w:r>
              <w:rPr>
                <w:lang w:val="en-US"/>
              </w:rPr>
              <w:t>ml/min</w:t>
            </w:r>
          </w:p>
        </w:tc>
        <w:tc>
          <w:tcPr>
            <w:tcW w:w="4750" w:type="dxa"/>
          </w:tcPr>
          <w:p w14:paraId="185FD0B6" w14:textId="355B026E" w:rsidR="0023653B" w:rsidRDefault="0023653B" w:rsidP="0023653B">
            <w:r>
              <w:rPr>
                <w:lang w:val="en-US"/>
              </w:rPr>
              <w:t>2,5 mg</w:t>
            </w:r>
          </w:p>
        </w:tc>
      </w:tr>
      <w:tr w:rsidR="0023653B" w14:paraId="1CD63700" w14:textId="77777777" w:rsidTr="0023653B">
        <w:tc>
          <w:tcPr>
            <w:tcW w:w="4750" w:type="dxa"/>
          </w:tcPr>
          <w:p w14:paraId="780A56A5" w14:textId="7F78FECA" w:rsidR="0023653B" w:rsidRDefault="0023653B" w:rsidP="0023653B">
            <w:proofErr w:type="spellStart"/>
            <w:r>
              <w:rPr>
                <w:lang w:val="en-US"/>
              </w:rPr>
              <w:t>CrCl</w:t>
            </w:r>
            <w:proofErr w:type="spellEnd"/>
            <w:r>
              <w:rPr>
                <w:lang w:val="en-US"/>
              </w:rPr>
              <w:t xml:space="preserve"> </w:t>
            </w:r>
            <w:r>
              <w:t xml:space="preserve">≤ </w:t>
            </w:r>
            <w:r>
              <w:rPr>
                <w:lang w:val="en-US"/>
              </w:rPr>
              <w:t>10 ml/min</w:t>
            </w:r>
          </w:p>
        </w:tc>
        <w:tc>
          <w:tcPr>
            <w:tcW w:w="4750" w:type="dxa"/>
          </w:tcPr>
          <w:p w14:paraId="3FAAF718" w14:textId="5FD37A80" w:rsidR="0023653B" w:rsidRDefault="0023653B" w:rsidP="0023653B">
            <w:r>
              <w:rPr>
                <w:lang w:val="en-US"/>
              </w:rPr>
              <w:t xml:space="preserve">2,5 mg </w:t>
            </w:r>
            <w:r>
              <w:t>в дните на диализа**</w:t>
            </w:r>
          </w:p>
        </w:tc>
      </w:tr>
    </w:tbl>
    <w:p w14:paraId="0E5B6489" w14:textId="77777777"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Еналаприлат се диализира. Дозата през дните без хемодиализа трябва да се адаптира в зависимост от промените в кръвното налягане.</w:t>
      </w:r>
    </w:p>
    <w:p w14:paraId="2DEE3772" w14:textId="77777777" w:rsidR="0023653B" w:rsidRPr="0023653B" w:rsidRDefault="0023653B" w:rsidP="0023653B">
      <w:pPr>
        <w:spacing w:line="240" w:lineRule="auto"/>
        <w:rPr>
          <w:rFonts w:eastAsia="Times New Roman" w:cs="Arial"/>
          <w:i/>
          <w:iCs/>
          <w:color w:val="000000"/>
          <w:lang w:eastAsia="bg-BG"/>
        </w:rPr>
      </w:pPr>
    </w:p>
    <w:p w14:paraId="632C8222" w14:textId="1A9A5652" w:rsidR="0023653B" w:rsidRPr="0023653B" w:rsidRDefault="0023653B" w:rsidP="0023653B">
      <w:pPr>
        <w:spacing w:line="240" w:lineRule="auto"/>
        <w:rPr>
          <w:rFonts w:eastAsia="Times New Roman" w:cs="Arial"/>
          <w:sz w:val="24"/>
          <w:szCs w:val="24"/>
          <w:lang w:eastAsia="bg-BG"/>
        </w:rPr>
      </w:pPr>
      <w:r w:rsidRPr="0023653B">
        <w:rPr>
          <w:rFonts w:eastAsia="Times New Roman" w:cs="Arial"/>
          <w:i/>
          <w:iCs/>
          <w:color w:val="000000"/>
          <w:lang w:eastAsia="bg-BG"/>
        </w:rPr>
        <w:t>Старческа възраст</w:t>
      </w:r>
    </w:p>
    <w:p w14:paraId="3D892C31" w14:textId="77777777"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Дозата трябва да бъде съобразена с бъбречната функция на пациента в старческа възраст (вж. т. 4.4).</w:t>
      </w:r>
    </w:p>
    <w:p w14:paraId="5B5730D7" w14:textId="77777777" w:rsidR="0023653B" w:rsidRPr="0023653B" w:rsidRDefault="0023653B" w:rsidP="0023653B">
      <w:pPr>
        <w:spacing w:line="240" w:lineRule="auto"/>
        <w:rPr>
          <w:rFonts w:eastAsia="Times New Roman" w:cs="Arial"/>
          <w:i/>
          <w:iCs/>
          <w:color w:val="000000"/>
          <w:lang w:eastAsia="bg-BG"/>
        </w:rPr>
      </w:pPr>
    </w:p>
    <w:p w14:paraId="52712579" w14:textId="26D1D7F9" w:rsidR="0023653B" w:rsidRPr="0023653B" w:rsidRDefault="0023653B" w:rsidP="0023653B">
      <w:pPr>
        <w:spacing w:line="240" w:lineRule="auto"/>
        <w:rPr>
          <w:rFonts w:eastAsia="Times New Roman" w:cs="Arial"/>
          <w:sz w:val="24"/>
          <w:szCs w:val="24"/>
          <w:lang w:eastAsia="bg-BG"/>
        </w:rPr>
      </w:pPr>
      <w:r w:rsidRPr="0023653B">
        <w:rPr>
          <w:rFonts w:eastAsia="Times New Roman" w:cs="Arial"/>
          <w:i/>
          <w:iCs/>
          <w:color w:val="000000"/>
          <w:lang w:eastAsia="bg-BG"/>
        </w:rPr>
        <w:t>Педиатрична популация</w:t>
      </w:r>
    </w:p>
    <w:p w14:paraId="59B76C58" w14:textId="77777777"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Има ограничен опит от клиничните изпитвания за приложение на Берлиприл при деца с хипертония (вж. т. 4.4, 5.1, както и 5.2).</w:t>
      </w:r>
    </w:p>
    <w:p w14:paraId="12202566" w14:textId="77777777" w:rsidR="0023653B" w:rsidRPr="0023653B" w:rsidRDefault="0023653B" w:rsidP="0023653B">
      <w:pPr>
        <w:spacing w:line="240" w:lineRule="auto"/>
        <w:rPr>
          <w:rFonts w:eastAsia="Times New Roman" w:cs="Arial"/>
          <w:color w:val="000000"/>
          <w:lang w:eastAsia="bg-BG"/>
        </w:rPr>
      </w:pPr>
    </w:p>
    <w:p w14:paraId="4F07623E" w14:textId="77777777"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 xml:space="preserve">При пациенти, които могат да поглъщат таблетки, дозата трябва да се определи индивидуално в зависимост от профила на пациента и отговора на кръвното налягане. Препоръчваната начална доза е 2,5 </w:t>
      </w:r>
      <w:r w:rsidRPr="0023653B">
        <w:rPr>
          <w:rFonts w:eastAsia="Times New Roman" w:cs="Arial"/>
          <w:color w:val="000000"/>
          <w:lang w:val="en-US"/>
        </w:rPr>
        <w:t xml:space="preserve">mg </w:t>
      </w:r>
      <w:r w:rsidRPr="0023653B">
        <w:rPr>
          <w:rFonts w:eastAsia="Times New Roman" w:cs="Arial"/>
          <w:color w:val="000000"/>
          <w:lang w:eastAsia="bg-BG"/>
        </w:rPr>
        <w:t xml:space="preserve">за пациенти с тегло от 20 до &lt;50 </w:t>
      </w:r>
      <w:r w:rsidRPr="0023653B">
        <w:rPr>
          <w:rFonts w:eastAsia="Times New Roman" w:cs="Arial"/>
          <w:color w:val="000000"/>
          <w:lang w:val="en-US"/>
        </w:rPr>
        <w:t xml:space="preserve">kg </w:t>
      </w:r>
      <w:r w:rsidRPr="0023653B">
        <w:rPr>
          <w:rFonts w:eastAsia="Times New Roman" w:cs="Arial"/>
          <w:color w:val="000000"/>
          <w:lang w:eastAsia="bg-BG"/>
        </w:rPr>
        <w:t xml:space="preserve">и 5 </w:t>
      </w:r>
      <w:r w:rsidRPr="0023653B">
        <w:rPr>
          <w:rFonts w:eastAsia="Times New Roman" w:cs="Arial"/>
          <w:color w:val="000000"/>
          <w:lang w:val="en-US"/>
        </w:rPr>
        <w:t xml:space="preserve">mg </w:t>
      </w:r>
      <w:r w:rsidRPr="0023653B">
        <w:rPr>
          <w:rFonts w:eastAsia="Times New Roman" w:cs="Arial"/>
          <w:color w:val="000000"/>
          <w:lang w:eastAsia="bg-BG"/>
        </w:rPr>
        <w:t xml:space="preserve">за пациенти с тегло ≥50 </w:t>
      </w:r>
      <w:r w:rsidRPr="0023653B">
        <w:rPr>
          <w:rFonts w:eastAsia="Times New Roman" w:cs="Arial"/>
          <w:color w:val="000000"/>
          <w:lang w:val="en-US"/>
        </w:rPr>
        <w:t xml:space="preserve">kg. </w:t>
      </w:r>
      <w:r w:rsidRPr="0023653B">
        <w:rPr>
          <w:rFonts w:eastAsia="Times New Roman" w:cs="Arial"/>
          <w:color w:val="000000"/>
          <w:lang w:eastAsia="bg-BG"/>
        </w:rPr>
        <w:t xml:space="preserve">Берлиприл се прилага еднократно дневно. Дозата трябва да се </w:t>
      </w:r>
      <w:r w:rsidRPr="0023653B">
        <w:rPr>
          <w:rFonts w:eastAsia="Times New Roman" w:cs="Arial"/>
          <w:color w:val="000000"/>
          <w:lang w:eastAsia="bg-BG"/>
        </w:rPr>
        <w:lastRenderedPageBreak/>
        <w:t xml:space="preserve">адаптира според нуждите на пациента до максимално 20 </w:t>
      </w:r>
      <w:r w:rsidRPr="0023653B">
        <w:rPr>
          <w:rFonts w:eastAsia="Times New Roman" w:cs="Arial"/>
          <w:color w:val="000000"/>
          <w:lang w:val="en-US"/>
        </w:rPr>
        <w:t>mg</w:t>
      </w:r>
      <w:r w:rsidRPr="0023653B">
        <w:rPr>
          <w:rFonts w:eastAsia="Times New Roman" w:cs="Arial"/>
          <w:color w:val="000000"/>
          <w:lang w:eastAsia="bg-BG"/>
        </w:rPr>
        <w:t xml:space="preserve">/ден за пациенти с телесно тегло от 20 до &lt;50 </w:t>
      </w:r>
      <w:r w:rsidRPr="0023653B">
        <w:rPr>
          <w:rFonts w:eastAsia="Times New Roman" w:cs="Arial"/>
          <w:color w:val="000000"/>
          <w:lang w:val="en-US"/>
        </w:rPr>
        <w:t xml:space="preserve">kg </w:t>
      </w:r>
      <w:r w:rsidRPr="0023653B">
        <w:rPr>
          <w:rFonts w:eastAsia="Times New Roman" w:cs="Arial"/>
          <w:color w:val="000000"/>
          <w:lang w:eastAsia="bg-BG"/>
        </w:rPr>
        <w:t xml:space="preserve">и 40 </w:t>
      </w:r>
      <w:r w:rsidRPr="0023653B">
        <w:rPr>
          <w:rFonts w:eastAsia="Times New Roman" w:cs="Arial"/>
          <w:color w:val="000000"/>
          <w:lang w:val="en-US"/>
        </w:rPr>
        <w:t>mg</w:t>
      </w:r>
      <w:r w:rsidRPr="0023653B">
        <w:rPr>
          <w:rFonts w:eastAsia="Times New Roman" w:cs="Arial"/>
          <w:color w:val="000000"/>
          <w:lang w:eastAsia="bg-BG"/>
        </w:rPr>
        <w:t xml:space="preserve">/ден за пациенти с телесно тегло ≥50 </w:t>
      </w:r>
      <w:r w:rsidRPr="0023653B">
        <w:rPr>
          <w:rFonts w:eastAsia="Times New Roman" w:cs="Arial"/>
          <w:color w:val="000000"/>
          <w:lang w:val="en-US"/>
        </w:rPr>
        <w:t xml:space="preserve">kg </w:t>
      </w:r>
      <w:r w:rsidRPr="0023653B">
        <w:rPr>
          <w:rFonts w:eastAsia="Times New Roman" w:cs="Arial"/>
          <w:color w:val="000000"/>
          <w:lang w:eastAsia="bg-BG"/>
        </w:rPr>
        <w:t>(вж. т» 4.4).</w:t>
      </w:r>
    </w:p>
    <w:p w14:paraId="59590AD1" w14:textId="77777777" w:rsidR="0023653B" w:rsidRPr="0023653B" w:rsidRDefault="0023653B" w:rsidP="0023653B">
      <w:pPr>
        <w:spacing w:line="240" w:lineRule="auto"/>
        <w:rPr>
          <w:rFonts w:eastAsia="Times New Roman" w:cs="Arial"/>
          <w:sz w:val="24"/>
          <w:szCs w:val="24"/>
          <w:lang w:eastAsia="bg-BG"/>
        </w:rPr>
      </w:pPr>
    </w:p>
    <w:p w14:paraId="44B919B4" w14:textId="6950BC6A"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 xml:space="preserve">Берлиприл не се препоръчва при новородени и педиатрични пациенти със скорост на гломерулна филтрация &lt;30 </w:t>
      </w:r>
      <w:r w:rsidRPr="0023653B">
        <w:rPr>
          <w:rFonts w:eastAsia="Times New Roman" w:cs="Arial"/>
          <w:color w:val="000000"/>
          <w:lang w:val="en-US"/>
        </w:rPr>
        <w:t>ml/min/1</w:t>
      </w:r>
      <w:r w:rsidRPr="0023653B">
        <w:rPr>
          <w:rFonts w:eastAsia="Times New Roman" w:cs="Arial"/>
          <w:color w:val="000000"/>
          <w:lang w:eastAsia="bg-BG"/>
        </w:rPr>
        <w:t xml:space="preserve">,73 </w:t>
      </w:r>
      <w:r w:rsidRPr="0023653B">
        <w:rPr>
          <w:rFonts w:eastAsia="Times New Roman" w:cs="Arial"/>
          <w:color w:val="000000"/>
          <w:lang w:val="en-US"/>
        </w:rPr>
        <w:t>m</w:t>
      </w:r>
      <w:r w:rsidRPr="0023653B">
        <w:rPr>
          <w:rFonts w:eastAsia="Times New Roman" w:cs="Arial"/>
          <w:color w:val="000000"/>
          <w:vertAlign w:val="superscript"/>
          <w:lang w:val="en-US"/>
        </w:rPr>
        <w:t>2</w:t>
      </w:r>
      <w:r w:rsidRPr="0023653B">
        <w:rPr>
          <w:rFonts w:eastAsia="Times New Roman" w:cs="Arial"/>
          <w:color w:val="000000"/>
          <w:lang w:val="en-US"/>
        </w:rPr>
        <w:t xml:space="preserve">, </w:t>
      </w:r>
      <w:r w:rsidRPr="0023653B">
        <w:rPr>
          <w:rFonts w:eastAsia="Times New Roman" w:cs="Arial"/>
          <w:color w:val="000000"/>
          <w:lang w:eastAsia="bg-BG"/>
        </w:rPr>
        <w:t>поради липса на данни.</w:t>
      </w:r>
    </w:p>
    <w:p w14:paraId="66607625" w14:textId="77777777" w:rsidR="0023653B" w:rsidRPr="0023653B" w:rsidRDefault="0023653B" w:rsidP="0023653B">
      <w:pPr>
        <w:spacing w:line="240" w:lineRule="auto"/>
        <w:rPr>
          <w:rFonts w:eastAsia="Times New Roman" w:cs="Arial"/>
          <w:b/>
          <w:bCs/>
          <w:color w:val="000000"/>
          <w:lang w:eastAsia="bg-BG"/>
        </w:rPr>
      </w:pPr>
    </w:p>
    <w:p w14:paraId="0C1BDA72" w14:textId="4800EBBC" w:rsidR="0023653B" w:rsidRPr="0023653B" w:rsidRDefault="0023653B" w:rsidP="0023653B">
      <w:pPr>
        <w:pStyle w:val="Heading3"/>
        <w:rPr>
          <w:rFonts w:eastAsia="Times New Roman"/>
          <w:b/>
          <w:u w:val="single"/>
          <w:lang w:eastAsia="bg-BG"/>
        </w:rPr>
      </w:pPr>
      <w:r w:rsidRPr="0023653B">
        <w:rPr>
          <w:rFonts w:eastAsia="Times New Roman"/>
          <w:b/>
          <w:u w:val="single"/>
          <w:lang w:eastAsia="bg-BG"/>
        </w:rPr>
        <w:t>Начин на приложение</w:t>
      </w:r>
    </w:p>
    <w:p w14:paraId="50CCFC78" w14:textId="1DA14408" w:rsidR="00D06B3D" w:rsidRPr="0023653B" w:rsidRDefault="0023653B" w:rsidP="0023653B">
      <w:pPr>
        <w:rPr>
          <w:rFonts w:eastAsia="Times New Roman" w:cs="Arial"/>
          <w:color w:val="000000"/>
          <w:lang w:eastAsia="bg-BG"/>
        </w:rPr>
      </w:pPr>
      <w:r w:rsidRPr="0023653B">
        <w:rPr>
          <w:rFonts w:eastAsia="Times New Roman" w:cs="Arial"/>
          <w:color w:val="000000"/>
          <w:lang w:eastAsia="bg-BG"/>
        </w:rPr>
        <w:t>Перорално приложение</w:t>
      </w:r>
    </w:p>
    <w:p w14:paraId="4EBBB189" w14:textId="77777777" w:rsidR="0023653B" w:rsidRPr="00D06B3D" w:rsidRDefault="0023653B" w:rsidP="0023653B"/>
    <w:p w14:paraId="28C984E8" w14:textId="42569E2B" w:rsidR="008134C8" w:rsidRDefault="002C50EE" w:rsidP="004A448E">
      <w:pPr>
        <w:pStyle w:val="Heading2"/>
      </w:pPr>
      <w:r>
        <w:t>4.3. Противопоказания</w:t>
      </w:r>
    </w:p>
    <w:p w14:paraId="0FFEBBBB" w14:textId="3A749BD2" w:rsidR="0023653B" w:rsidRDefault="0023653B" w:rsidP="0023653B"/>
    <w:p w14:paraId="7628A6DE" w14:textId="77777777" w:rsidR="0023653B" w:rsidRPr="0023653B" w:rsidRDefault="0023653B" w:rsidP="0023653B">
      <w:pPr>
        <w:numPr>
          <w:ilvl w:val="0"/>
          <w:numId w:val="2"/>
        </w:numPr>
        <w:spacing w:line="240" w:lineRule="auto"/>
        <w:rPr>
          <w:rFonts w:eastAsia="Times New Roman" w:cs="Arial"/>
          <w:color w:val="000000"/>
          <w:lang w:eastAsia="bg-BG"/>
        </w:rPr>
      </w:pPr>
      <w:r w:rsidRPr="0023653B">
        <w:rPr>
          <w:rFonts w:eastAsia="Times New Roman" w:cs="Arial"/>
          <w:color w:val="000000"/>
          <w:lang w:eastAsia="bg-BG"/>
        </w:rPr>
        <w:t>свръхчувствителност към активното вещество, към някое от помощните вещества, изброени в т. 6.1 или към друг АСЕ инхибитор;</w:t>
      </w:r>
    </w:p>
    <w:p w14:paraId="109679E7" w14:textId="77777777" w:rsidR="0023653B" w:rsidRPr="0023653B" w:rsidRDefault="0023653B" w:rsidP="0023653B">
      <w:pPr>
        <w:numPr>
          <w:ilvl w:val="0"/>
          <w:numId w:val="2"/>
        </w:numPr>
        <w:spacing w:line="240" w:lineRule="auto"/>
        <w:rPr>
          <w:rFonts w:eastAsia="Times New Roman" w:cs="Arial"/>
          <w:color w:val="000000"/>
          <w:lang w:eastAsia="bg-BG"/>
        </w:rPr>
      </w:pPr>
      <w:r w:rsidRPr="0023653B">
        <w:rPr>
          <w:rFonts w:eastAsia="Times New Roman" w:cs="Arial"/>
          <w:color w:val="000000"/>
          <w:lang w:eastAsia="bg-BG"/>
        </w:rPr>
        <w:t>анамнеза за ангиоедем, свързан с предишно лечение с АСЕ инхибитор;</w:t>
      </w:r>
    </w:p>
    <w:p w14:paraId="77CF5214" w14:textId="77777777" w:rsidR="0023653B" w:rsidRPr="0023653B" w:rsidRDefault="0023653B" w:rsidP="0023653B">
      <w:pPr>
        <w:numPr>
          <w:ilvl w:val="0"/>
          <w:numId w:val="2"/>
        </w:numPr>
        <w:spacing w:line="240" w:lineRule="auto"/>
        <w:rPr>
          <w:rFonts w:eastAsia="Times New Roman" w:cs="Arial"/>
          <w:color w:val="000000"/>
          <w:lang w:eastAsia="bg-BG"/>
        </w:rPr>
      </w:pPr>
      <w:r w:rsidRPr="0023653B">
        <w:rPr>
          <w:rFonts w:eastAsia="Times New Roman" w:cs="Arial"/>
          <w:color w:val="000000"/>
          <w:lang w:eastAsia="bg-BG"/>
        </w:rPr>
        <w:t>наследствен или идиопатичен ангиоедем;</w:t>
      </w:r>
    </w:p>
    <w:p w14:paraId="678CCE30" w14:textId="77777777" w:rsidR="0023653B" w:rsidRPr="0023653B" w:rsidRDefault="0023653B" w:rsidP="0023653B">
      <w:pPr>
        <w:numPr>
          <w:ilvl w:val="0"/>
          <w:numId w:val="2"/>
        </w:numPr>
        <w:spacing w:line="240" w:lineRule="auto"/>
        <w:rPr>
          <w:rFonts w:eastAsia="Times New Roman" w:cs="Arial"/>
          <w:color w:val="000000"/>
          <w:lang w:eastAsia="bg-BG"/>
        </w:rPr>
      </w:pPr>
      <w:r w:rsidRPr="0023653B">
        <w:rPr>
          <w:rFonts w:eastAsia="Times New Roman" w:cs="Arial"/>
          <w:color w:val="000000"/>
          <w:lang w:eastAsia="bg-BG"/>
        </w:rPr>
        <w:t xml:space="preserve">едновременната употреба на Берлиприл с алискирен-съдържащи продукти е противопоказана при пациенти със захарен диабет или бъбречно увреждане </w:t>
      </w:r>
      <w:r w:rsidRPr="0023653B">
        <w:rPr>
          <w:rFonts w:eastAsia="Times New Roman" w:cs="Arial"/>
          <w:color w:val="000000"/>
          <w:lang w:val="en-US"/>
        </w:rPr>
        <w:t xml:space="preserve">(GFR </w:t>
      </w:r>
      <w:r w:rsidRPr="0023653B">
        <w:rPr>
          <w:rFonts w:eastAsia="Times New Roman" w:cs="Arial"/>
          <w:color w:val="000000"/>
          <w:lang w:eastAsia="bg-BG"/>
        </w:rPr>
        <w:t xml:space="preserve">&lt;60 </w:t>
      </w:r>
      <w:r w:rsidRPr="0023653B">
        <w:rPr>
          <w:rFonts w:eastAsia="Times New Roman" w:cs="Arial"/>
          <w:color w:val="000000"/>
          <w:lang w:val="en-US"/>
        </w:rPr>
        <w:t xml:space="preserve">ml/min/1,73 </w:t>
      </w:r>
      <w:r w:rsidRPr="0023653B">
        <w:rPr>
          <w:rFonts w:eastAsia="Times New Roman" w:cs="Arial"/>
          <w:color w:val="000000"/>
          <w:lang w:eastAsia="bg-BG"/>
        </w:rPr>
        <w:t>м</w:t>
      </w:r>
      <w:r w:rsidRPr="0023653B">
        <w:rPr>
          <w:rFonts w:eastAsia="Times New Roman" w:cs="Arial"/>
          <w:color w:val="000000"/>
          <w:vertAlign w:val="superscript"/>
          <w:lang w:eastAsia="bg-BG"/>
        </w:rPr>
        <w:t>2</w:t>
      </w:r>
      <w:r w:rsidRPr="0023653B">
        <w:rPr>
          <w:rFonts w:eastAsia="Times New Roman" w:cs="Arial"/>
          <w:color w:val="000000"/>
          <w:lang w:eastAsia="bg-BG"/>
        </w:rPr>
        <w:t>) (вж. т. 4.5 и 5.1);</w:t>
      </w:r>
    </w:p>
    <w:p w14:paraId="567B5052" w14:textId="77777777" w:rsidR="0023653B" w:rsidRDefault="0023653B" w:rsidP="0023653B">
      <w:pPr>
        <w:numPr>
          <w:ilvl w:val="0"/>
          <w:numId w:val="2"/>
        </w:numPr>
        <w:spacing w:line="240" w:lineRule="auto"/>
        <w:rPr>
          <w:rFonts w:eastAsia="Times New Roman" w:cs="Arial"/>
          <w:color w:val="000000"/>
          <w:lang w:eastAsia="bg-BG"/>
        </w:rPr>
      </w:pPr>
      <w:r w:rsidRPr="0023653B">
        <w:rPr>
          <w:rFonts w:eastAsia="Times New Roman" w:cs="Arial"/>
          <w:color w:val="000000"/>
          <w:lang w:eastAsia="bg-BG"/>
        </w:rPr>
        <w:t>втори и трети триместър на бременността (вж. т. 4.4 и 4.6).</w:t>
      </w:r>
    </w:p>
    <w:p w14:paraId="268AAB8C" w14:textId="0605707E" w:rsidR="0023653B" w:rsidRDefault="0023653B" w:rsidP="0023653B">
      <w:pPr>
        <w:numPr>
          <w:ilvl w:val="0"/>
          <w:numId w:val="2"/>
        </w:numPr>
        <w:spacing w:line="240" w:lineRule="auto"/>
        <w:rPr>
          <w:rFonts w:eastAsia="Times New Roman" w:cs="Arial"/>
          <w:color w:val="000000"/>
          <w:lang w:eastAsia="bg-BG"/>
        </w:rPr>
      </w:pPr>
      <w:r w:rsidRPr="0023653B">
        <w:rPr>
          <w:rFonts w:eastAsia="Times New Roman" w:cs="Arial"/>
          <w:color w:val="000000"/>
          <w:lang w:eastAsia="bg-BG"/>
        </w:rPr>
        <w:t>Съпътстваща употреба при лечение със сакубитрил/валсартан: Берлиприл не трябва да се започва по-рано от 36 часа след последната доза сакубитрил/валсартан (вж. също точки 4.4 и 4.5).</w:t>
      </w:r>
    </w:p>
    <w:p w14:paraId="19B9495F" w14:textId="77777777" w:rsidR="0023653B" w:rsidRPr="0023653B" w:rsidRDefault="0023653B" w:rsidP="00B904D1">
      <w:pPr>
        <w:spacing w:line="240" w:lineRule="auto"/>
        <w:rPr>
          <w:rFonts w:eastAsia="Times New Roman" w:cs="Arial"/>
          <w:color w:val="000000"/>
          <w:lang w:eastAsia="bg-BG"/>
        </w:rPr>
      </w:pPr>
    </w:p>
    <w:p w14:paraId="212F509C" w14:textId="53C54C47" w:rsidR="004F498A" w:rsidRDefault="002C50EE" w:rsidP="004A448E">
      <w:pPr>
        <w:pStyle w:val="Heading2"/>
      </w:pPr>
      <w:r>
        <w:t>4.4. Специални предупреждения и предпазни мерки при употреба</w:t>
      </w:r>
    </w:p>
    <w:p w14:paraId="530C2E9C" w14:textId="15650951" w:rsidR="0023653B" w:rsidRDefault="0023653B" w:rsidP="0023653B"/>
    <w:p w14:paraId="4E2D1BF8" w14:textId="77777777" w:rsidR="0023653B" w:rsidRPr="0023653B" w:rsidRDefault="0023653B" w:rsidP="0023653B">
      <w:pPr>
        <w:spacing w:line="240" w:lineRule="auto"/>
        <w:rPr>
          <w:rFonts w:eastAsia="Times New Roman" w:cs="Arial"/>
          <w:sz w:val="24"/>
          <w:szCs w:val="24"/>
          <w:lang w:eastAsia="bg-BG"/>
        </w:rPr>
      </w:pPr>
      <w:r w:rsidRPr="0023653B">
        <w:rPr>
          <w:rFonts w:eastAsia="Times New Roman" w:cs="Arial"/>
          <w:i/>
          <w:iCs/>
          <w:color w:val="000000"/>
          <w:lang w:eastAsia="bg-BG"/>
        </w:rPr>
        <w:t>Симптоматична хипотония</w:t>
      </w:r>
    </w:p>
    <w:p w14:paraId="3396E883" w14:textId="77777777"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 xml:space="preserve">Симптоматична хипотония се наблюдава рядко при пациенти с хипертония без усложнения. При хипертензивни пациенти, получаващи Берлиприл, е по-вероятно да възникне симптоматична хипотония при пациенти с дефицит на течности, като напр. при диуретична терапия, ограничаваща солта диета, диализа, диария или повръщане (вж. т. 4.5 и 4.8). Симптоматична хипотония е наблюдавана при пациенти със сърдечна недостатъчност, с или без асоциирана бъбречна недостатъчност. По-вероятно е тя да се появи при пациенти с по- тежка степен сърдечна недостатъчност, в резултат на приложение на високи дози бримкови диуретици, хипонатриемия или функционално бъбречно увреждане. При тези пациенти лечението трябва да започне под лекарски контрол и пациентите да продължават да се проследяват при по-нататъшно адаптиране на дозата на Берлиприл и/или диуретика. </w:t>
      </w:r>
      <w:r w:rsidRPr="0023653B">
        <w:rPr>
          <w:rFonts w:eastAsia="Times New Roman" w:cs="Arial"/>
          <w:i/>
          <w:iCs/>
          <w:color w:val="000000"/>
          <w:lang w:eastAsia="bg-BG"/>
        </w:rPr>
        <w:t xml:space="preserve">Подобни </w:t>
      </w:r>
      <w:r w:rsidRPr="0023653B">
        <w:rPr>
          <w:rFonts w:eastAsia="Times New Roman" w:cs="Arial"/>
          <w:color w:val="000000"/>
          <w:lang w:eastAsia="bg-BG"/>
        </w:rPr>
        <w:t>съображения трабва се имат предвид и при пациенти с исхемична болест на сърцето или мозъчно-съдови заболявания, при които рязкото спадане на кръвното налягане може да доведе до инфаркт на миокарда или до мозъчно-съдов инцидент.</w:t>
      </w:r>
    </w:p>
    <w:p w14:paraId="3F62C740" w14:textId="77777777"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При проява на хипотония, пациентът трябва да се постави в легнал по гръб и, ако е необходимо, да се приложи интравенозна инфузия с физиологичен разтвор. Преходна хипотонична реакция не е противопоказание за по-нататъшно лечение, което обикновено може да се продължи без проблеми след повишение на кръвното налягане с обемозаместителна терапия.</w:t>
      </w:r>
    </w:p>
    <w:p w14:paraId="4B82BE09" w14:textId="77777777"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 xml:space="preserve">При някои пациенти със сърдечна недостатъчност с нормално или ниско кръвно налягане, при приложение на Берлиприл системното кръвно налягане може допълнително да се понижи. Този ефект може да се очаква и обикновено не е причина за </w:t>
      </w:r>
      <w:r w:rsidRPr="0023653B">
        <w:rPr>
          <w:rFonts w:eastAsia="Times New Roman" w:cs="Arial"/>
          <w:color w:val="000000"/>
          <w:lang w:eastAsia="bg-BG"/>
        </w:rPr>
        <w:lastRenderedPageBreak/>
        <w:t>преустановяване на лечението. Ако хипотонията стане симптоматична, може да се наложи понижение на дозата и/или преустановяване на приложението на диуретик и/или Берлиприл.</w:t>
      </w:r>
    </w:p>
    <w:p w14:paraId="53C4EAB6" w14:textId="77777777" w:rsidR="0023653B" w:rsidRPr="0023653B" w:rsidRDefault="0023653B" w:rsidP="0023653B">
      <w:pPr>
        <w:spacing w:line="240" w:lineRule="auto"/>
        <w:rPr>
          <w:rFonts w:eastAsia="Times New Roman" w:cs="Arial"/>
          <w:i/>
          <w:iCs/>
          <w:color w:val="000000"/>
          <w:lang w:eastAsia="bg-BG"/>
        </w:rPr>
      </w:pPr>
    </w:p>
    <w:p w14:paraId="71C14CAA" w14:textId="3ED02FC2" w:rsidR="0023653B" w:rsidRPr="0023653B" w:rsidRDefault="0023653B" w:rsidP="0023653B">
      <w:pPr>
        <w:spacing w:line="240" w:lineRule="auto"/>
        <w:rPr>
          <w:rFonts w:eastAsia="Times New Roman" w:cs="Arial"/>
          <w:sz w:val="24"/>
          <w:szCs w:val="24"/>
          <w:lang w:eastAsia="bg-BG"/>
        </w:rPr>
      </w:pPr>
      <w:r w:rsidRPr="0023653B">
        <w:rPr>
          <w:rFonts w:eastAsia="Times New Roman" w:cs="Arial"/>
          <w:i/>
          <w:iCs/>
          <w:color w:val="000000"/>
          <w:lang w:eastAsia="bg-BG"/>
        </w:rPr>
        <w:t xml:space="preserve">Стеноза на аортната или митралната клапа/хипертрофична кардиомиопатия </w:t>
      </w:r>
      <w:r w:rsidRPr="0023653B">
        <w:rPr>
          <w:rFonts w:eastAsia="Times New Roman" w:cs="Arial"/>
          <w:color w:val="000000"/>
          <w:lang w:eastAsia="bg-BG"/>
        </w:rPr>
        <w:t>АСЕ инхибиторите, подобно на всички вазодилататори, трябва да се използват с внимание при пациенти с обструкция на клапата на лявата камера или на кръвотока на левокамерния изход. Приложението трябва да се избягва при кардиогенен шок и хемодинамично значима обструкция.</w:t>
      </w:r>
    </w:p>
    <w:p w14:paraId="28CB108A" w14:textId="77777777" w:rsidR="0023653B" w:rsidRPr="0023653B" w:rsidRDefault="0023653B" w:rsidP="0023653B">
      <w:pPr>
        <w:spacing w:line="240" w:lineRule="auto"/>
        <w:rPr>
          <w:rFonts w:eastAsia="Times New Roman" w:cs="Arial"/>
          <w:i/>
          <w:iCs/>
          <w:color w:val="000000"/>
          <w:lang w:eastAsia="bg-BG"/>
        </w:rPr>
      </w:pPr>
    </w:p>
    <w:p w14:paraId="1FA6F718" w14:textId="446D1BAA" w:rsidR="0023653B" w:rsidRPr="0023653B" w:rsidRDefault="0023653B" w:rsidP="0023653B">
      <w:pPr>
        <w:spacing w:line="240" w:lineRule="auto"/>
        <w:rPr>
          <w:rFonts w:eastAsia="Times New Roman" w:cs="Arial"/>
          <w:sz w:val="24"/>
          <w:szCs w:val="24"/>
          <w:lang w:eastAsia="bg-BG"/>
        </w:rPr>
      </w:pPr>
      <w:r w:rsidRPr="0023653B">
        <w:rPr>
          <w:rFonts w:eastAsia="Times New Roman" w:cs="Arial"/>
          <w:i/>
          <w:iCs/>
          <w:color w:val="000000"/>
          <w:lang w:eastAsia="bg-BG"/>
        </w:rPr>
        <w:t>Увреждане на бъбречната функция</w:t>
      </w:r>
    </w:p>
    <w:p w14:paraId="63620565" w14:textId="77777777"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 xml:space="preserve">При бъбречно увреждане (креатининов клирънс &lt;80 </w:t>
      </w:r>
      <w:r w:rsidRPr="0023653B">
        <w:rPr>
          <w:rFonts w:eastAsia="Times New Roman" w:cs="Arial"/>
          <w:color w:val="000000"/>
          <w:lang w:val="en-US"/>
        </w:rPr>
        <w:t xml:space="preserve">ml/min), </w:t>
      </w:r>
      <w:r w:rsidRPr="0023653B">
        <w:rPr>
          <w:rFonts w:eastAsia="Times New Roman" w:cs="Arial"/>
          <w:color w:val="000000"/>
          <w:lang w:eastAsia="bg-BG"/>
        </w:rPr>
        <w:t>началната доза еналаприлов малеат трябва да бъде коригирана според креатининовия клирънс на пациента (вж. т. 4.2), а след това - според отговора на пациента към лечението. Ругинното мониториране на калия и креатинина е част от обичайната лекарска практика при тези пациенти.</w:t>
      </w:r>
    </w:p>
    <w:p w14:paraId="60231874" w14:textId="1146586D" w:rsidR="0023653B" w:rsidRPr="0023653B" w:rsidRDefault="0023653B" w:rsidP="0023653B">
      <w:pPr>
        <w:rPr>
          <w:rFonts w:eastAsia="Times New Roman" w:cs="Arial"/>
          <w:color w:val="000000"/>
          <w:lang w:eastAsia="bg-BG"/>
        </w:rPr>
      </w:pPr>
      <w:r w:rsidRPr="0023653B">
        <w:rPr>
          <w:rFonts w:eastAsia="Times New Roman" w:cs="Arial"/>
          <w:color w:val="000000"/>
          <w:lang w:eastAsia="bg-BG"/>
        </w:rPr>
        <w:t>Има данни за бъбречна недостатъчност във връзка с приложението на еналаприлов малеат, особено при пациенти с тежка сърдечна недостатъчност или с подлежащо бъбречно заболяване,  включително стеноза на бъбречна артерия. Бъбречната недостатъчност, свързана с лечението с еналаприлов малеат, обикновено е обратима, когато е диагностицирана веднага и е приложено подходящо лечение.</w:t>
      </w:r>
    </w:p>
    <w:p w14:paraId="0357AE83" w14:textId="77777777"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При някои хипертоници без проявено предшестващо бъбречно заболяване се наблюдава повишение на нивата на урея и креатинин в кръвта когато еналаприлов малеат се прилага едновременно с диуретик. Може да се наложи намаление на дозата еналаприлов малеат и/или преустановяване на диуретика. В тези случаи трябва да се има предвид възможна подлежаща стеноза на бъбречната артерия (вж. т, 4.4 Реноваскуларна хипертония).</w:t>
      </w:r>
    </w:p>
    <w:p w14:paraId="59169B17" w14:textId="77777777" w:rsidR="0023653B" w:rsidRPr="0023653B" w:rsidRDefault="0023653B" w:rsidP="0023653B">
      <w:pPr>
        <w:spacing w:line="240" w:lineRule="auto"/>
        <w:rPr>
          <w:rFonts w:eastAsia="Times New Roman" w:cs="Arial"/>
          <w:i/>
          <w:iCs/>
          <w:color w:val="000000"/>
          <w:lang w:eastAsia="bg-BG"/>
        </w:rPr>
      </w:pPr>
    </w:p>
    <w:p w14:paraId="55CE9029" w14:textId="5EA0C79C" w:rsidR="0023653B" w:rsidRPr="0023653B" w:rsidRDefault="0023653B" w:rsidP="0023653B">
      <w:pPr>
        <w:spacing w:line="240" w:lineRule="auto"/>
        <w:rPr>
          <w:rFonts w:eastAsia="Times New Roman" w:cs="Arial"/>
          <w:sz w:val="24"/>
          <w:szCs w:val="24"/>
          <w:lang w:eastAsia="bg-BG"/>
        </w:rPr>
      </w:pPr>
      <w:r w:rsidRPr="0023653B">
        <w:rPr>
          <w:rFonts w:eastAsia="Times New Roman" w:cs="Arial"/>
          <w:i/>
          <w:iCs/>
          <w:color w:val="000000"/>
          <w:lang w:eastAsia="bg-BG"/>
        </w:rPr>
        <w:t>Реноваскуларна хипертония</w:t>
      </w:r>
    </w:p>
    <w:p w14:paraId="707D540D" w14:textId="77777777"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Пациенти с билатерална стеноза на бъбречните артерии или при стеноза на артерията при единствен функциониращ бъбрек са с повишен риск за хипотония или бъбречна недостатъчност при приложение на АСЕ инхибитор. Може да настъпи загуба на бъбречната функция само с леки промени в серумния креатинин. При тези пациенти лечението трябва да започне под пряк лекарски контрол с ниски дози, внимателно титриране и проследяване на бъбречната функция.</w:t>
      </w:r>
    </w:p>
    <w:p w14:paraId="2409383E" w14:textId="77777777" w:rsidR="0023653B" w:rsidRPr="0023653B" w:rsidRDefault="0023653B" w:rsidP="0023653B">
      <w:pPr>
        <w:spacing w:line="240" w:lineRule="auto"/>
        <w:rPr>
          <w:rFonts w:eastAsia="Times New Roman" w:cs="Arial"/>
          <w:i/>
          <w:iCs/>
          <w:color w:val="000000"/>
          <w:lang w:eastAsia="bg-BG"/>
        </w:rPr>
      </w:pPr>
    </w:p>
    <w:p w14:paraId="130E6ACA" w14:textId="53489F04" w:rsidR="0023653B" w:rsidRPr="0023653B" w:rsidRDefault="0023653B" w:rsidP="0023653B">
      <w:pPr>
        <w:spacing w:line="240" w:lineRule="auto"/>
        <w:rPr>
          <w:rFonts w:eastAsia="Times New Roman" w:cs="Arial"/>
          <w:sz w:val="24"/>
          <w:szCs w:val="24"/>
          <w:lang w:eastAsia="bg-BG"/>
        </w:rPr>
      </w:pPr>
      <w:r w:rsidRPr="0023653B">
        <w:rPr>
          <w:rFonts w:eastAsia="Times New Roman" w:cs="Arial"/>
          <w:i/>
          <w:iCs/>
          <w:color w:val="000000"/>
          <w:lang w:eastAsia="bg-BG"/>
        </w:rPr>
        <w:t>Бъбречна трансплантация</w:t>
      </w:r>
    </w:p>
    <w:p w14:paraId="2B2388CC" w14:textId="77777777"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Няма опит относно приложението на Берлиприл при пациенти с наскоро претърпяна бъбречна трансплантация. Поради това лечението с Берлиприл не се препоръчва.</w:t>
      </w:r>
    </w:p>
    <w:p w14:paraId="1A414DEC" w14:textId="77777777" w:rsidR="0023653B" w:rsidRPr="0023653B" w:rsidRDefault="0023653B" w:rsidP="0023653B">
      <w:pPr>
        <w:spacing w:line="240" w:lineRule="auto"/>
        <w:rPr>
          <w:rFonts w:eastAsia="Times New Roman" w:cs="Arial"/>
          <w:i/>
          <w:iCs/>
          <w:color w:val="000000"/>
          <w:lang w:eastAsia="bg-BG"/>
        </w:rPr>
      </w:pPr>
    </w:p>
    <w:p w14:paraId="0D43C38B" w14:textId="10BF698F" w:rsidR="0023653B" w:rsidRPr="0023653B" w:rsidRDefault="0023653B" w:rsidP="0023653B">
      <w:pPr>
        <w:spacing w:line="240" w:lineRule="auto"/>
        <w:rPr>
          <w:rFonts w:eastAsia="Times New Roman" w:cs="Arial"/>
          <w:sz w:val="24"/>
          <w:szCs w:val="24"/>
          <w:lang w:eastAsia="bg-BG"/>
        </w:rPr>
      </w:pPr>
      <w:r w:rsidRPr="0023653B">
        <w:rPr>
          <w:rFonts w:eastAsia="Times New Roman" w:cs="Arial"/>
          <w:i/>
          <w:iCs/>
          <w:color w:val="000000"/>
          <w:lang w:eastAsia="bg-BG"/>
        </w:rPr>
        <w:t>Чернодробна недостатъчност</w:t>
      </w:r>
    </w:p>
    <w:p w14:paraId="52BAFC5A" w14:textId="6E8A568E" w:rsidR="0023653B" w:rsidRDefault="0023653B" w:rsidP="0023653B">
      <w:pPr>
        <w:rPr>
          <w:rFonts w:eastAsia="Times New Roman" w:cs="Arial"/>
          <w:color w:val="000000"/>
          <w:lang w:eastAsia="bg-BG"/>
        </w:rPr>
      </w:pPr>
      <w:r w:rsidRPr="0023653B">
        <w:rPr>
          <w:rFonts w:eastAsia="Times New Roman" w:cs="Arial"/>
          <w:color w:val="000000"/>
          <w:lang w:eastAsia="bg-BG"/>
        </w:rPr>
        <w:t>Рядко АСЕ инхибиторите са били свързвани със синдром, който започва с холестатична жълтеница или хепатит и прогресира до фулминантна чернодробна некроза и (понякога) с летален изход. Механизмът на този синдром не е известен. Пациенти, които при лечение с АСЕ инхибитори развиват жълтеница или значително повишение на чернодробните ензими, трябва да преустановят лечението с АСЕ инхибитор и да получат подходящо лекарско проследяване след това.</w:t>
      </w:r>
    </w:p>
    <w:p w14:paraId="4C278856" w14:textId="23A623BC" w:rsidR="0023653B" w:rsidRDefault="0023653B" w:rsidP="0023653B">
      <w:pPr>
        <w:rPr>
          <w:rFonts w:eastAsia="Times New Roman" w:cs="Arial"/>
          <w:color w:val="000000"/>
          <w:lang w:eastAsia="bg-BG"/>
        </w:rPr>
      </w:pPr>
    </w:p>
    <w:p w14:paraId="79178DFD" w14:textId="77777777" w:rsidR="0023653B" w:rsidRPr="0023653B" w:rsidRDefault="0023653B" w:rsidP="0023653B">
      <w:pPr>
        <w:spacing w:line="240" w:lineRule="auto"/>
        <w:rPr>
          <w:rFonts w:eastAsia="Times New Roman" w:cs="Arial"/>
          <w:sz w:val="24"/>
          <w:szCs w:val="24"/>
          <w:lang w:eastAsia="bg-BG"/>
        </w:rPr>
      </w:pPr>
      <w:r w:rsidRPr="0023653B">
        <w:rPr>
          <w:rFonts w:eastAsia="Times New Roman" w:cs="Arial"/>
          <w:i/>
          <w:iCs/>
          <w:color w:val="000000"/>
          <w:lang w:eastAsia="bg-BG"/>
        </w:rPr>
        <w:t>Неутропения/агранулоцитоза</w:t>
      </w:r>
    </w:p>
    <w:p w14:paraId="17AF1D0C" w14:textId="77777777"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 xml:space="preserve">Неутропения/агранулоцитоза, тромбоцитопения и анемия са съобщавани при пациенти, лекувани с АСЕ инхибитори. Неутропения възниква рядко при пациенти с нормална </w:t>
      </w:r>
      <w:r w:rsidRPr="0023653B">
        <w:rPr>
          <w:rFonts w:eastAsia="Times New Roman" w:cs="Arial"/>
          <w:color w:val="000000"/>
          <w:lang w:eastAsia="bg-BG"/>
        </w:rPr>
        <w:lastRenderedPageBreak/>
        <w:t>бъбречна функция и без други усложняващи рискови фактори. Еналаприлов малеат трябва да се използва с особено внимание при пациенти със съдови колагенози, при имуносупресивно лечение, лечение с алопуринол,прокаинамид или при комбинация от тези усложняващи фактори, особено при предшестваща нарушена бъбречна функция. Някои от тези пациенти развиват сериозни инфекции, които понякога не отговарят на интензивно лечение с антибиотици. При приложение на еналаприлов малеат при тези пациенти се препоръчва периодично мониториране на броя на левкоцитите и пациентите трябва да са уведомени да съобщават на лекаря си всеки признак на инфекция.</w:t>
      </w:r>
    </w:p>
    <w:p w14:paraId="47E5462B" w14:textId="77777777" w:rsidR="0023653B" w:rsidRPr="0023653B" w:rsidRDefault="0023653B" w:rsidP="0023653B">
      <w:pPr>
        <w:spacing w:line="240" w:lineRule="auto"/>
        <w:rPr>
          <w:rFonts w:eastAsia="Times New Roman" w:cs="Arial"/>
          <w:i/>
          <w:iCs/>
          <w:color w:val="000000"/>
          <w:lang w:eastAsia="bg-BG"/>
        </w:rPr>
      </w:pPr>
    </w:p>
    <w:p w14:paraId="33FA0BD5" w14:textId="05451FE5" w:rsidR="0023653B" w:rsidRPr="0023653B" w:rsidRDefault="0023653B" w:rsidP="0023653B">
      <w:pPr>
        <w:spacing w:line="240" w:lineRule="auto"/>
        <w:rPr>
          <w:rFonts w:eastAsia="Times New Roman" w:cs="Arial"/>
          <w:sz w:val="24"/>
          <w:szCs w:val="24"/>
          <w:lang w:eastAsia="bg-BG"/>
        </w:rPr>
      </w:pPr>
      <w:r w:rsidRPr="0023653B">
        <w:rPr>
          <w:rFonts w:eastAsia="Times New Roman" w:cs="Arial"/>
          <w:i/>
          <w:iCs/>
          <w:color w:val="000000"/>
          <w:lang w:eastAsia="bg-BG"/>
        </w:rPr>
        <w:t>Свръхчувствителност/ангиоедем</w:t>
      </w:r>
    </w:p>
    <w:p w14:paraId="1AA4C63E" w14:textId="77777777"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Ангиоедем, обхващащ лицето, крайниците, устните, езика, глотиса и/или ларинкса, е съобщаван при пациенти, лекувани с АСЕ инхибитори, включително и с Берлиприл. Това може да се наблюдава по всяко време на лечението. В тези случаи приложението на Берлиприл трябва незабавно да се преустанови и да се проведе подходящо проследяване, за да се осигури пълно отзвучаване на симптомите преди изписването на пациента. Дори и в случаите, при които отокът обхваща само езика, без респираторен дистрес, може да е необходимо продължително наблюдение на пациентите, тъй като лечението с антихистамини и кортикостероиди може да не е достатъчно.</w:t>
      </w:r>
    </w:p>
    <w:p w14:paraId="40D7CB53" w14:textId="77777777" w:rsidR="0023653B" w:rsidRPr="0023653B" w:rsidRDefault="0023653B" w:rsidP="0023653B">
      <w:pPr>
        <w:rPr>
          <w:rFonts w:eastAsia="Times New Roman" w:cs="Arial"/>
          <w:color w:val="000000"/>
          <w:lang w:eastAsia="bg-BG"/>
        </w:rPr>
      </w:pPr>
    </w:p>
    <w:p w14:paraId="37B5AAA1" w14:textId="467DA82F" w:rsidR="0023653B" w:rsidRDefault="0023653B" w:rsidP="0023653B">
      <w:pPr>
        <w:rPr>
          <w:rFonts w:eastAsia="Times New Roman" w:cs="Arial"/>
          <w:color w:val="000000"/>
          <w:lang w:eastAsia="bg-BG"/>
        </w:rPr>
      </w:pPr>
      <w:r w:rsidRPr="0023653B">
        <w:rPr>
          <w:rFonts w:eastAsia="Times New Roman" w:cs="Arial"/>
          <w:color w:val="000000"/>
          <w:lang w:eastAsia="bg-BG"/>
        </w:rPr>
        <w:t xml:space="preserve">Много рядко са докладвани фатални случаи поради ангиоедем, свързан с ларингеален оток или оток на езика. Пациенти, при които са засегнати езика, глотиса или ларинкса, е вероятно да получат дихателна обструкция, особено при тези с прекарана операция на дихателните При засягане на езика, глотиса или ларинкса, което може да доведе до дихателна обструкция, веднага трябва да се започне подходящо лечение, което включва например подкожно приложение на разтвор на адреналин 1:1000 (0,3 </w:t>
      </w:r>
      <w:r w:rsidRPr="0023653B">
        <w:rPr>
          <w:rFonts w:eastAsia="Times New Roman" w:cs="Arial"/>
          <w:color w:val="000000"/>
          <w:lang w:val="en-US"/>
        </w:rPr>
        <w:t xml:space="preserve">ml </w:t>
      </w:r>
      <w:r w:rsidRPr="0023653B">
        <w:rPr>
          <w:rFonts w:eastAsia="Times New Roman" w:cs="Arial"/>
          <w:color w:val="000000"/>
          <w:lang w:eastAsia="bg-BG"/>
        </w:rPr>
        <w:t xml:space="preserve">до 0,5 </w:t>
      </w:r>
      <w:r w:rsidRPr="0023653B">
        <w:rPr>
          <w:rFonts w:eastAsia="Times New Roman" w:cs="Arial"/>
          <w:color w:val="000000"/>
          <w:lang w:val="en-US"/>
        </w:rPr>
        <w:t xml:space="preserve">ml) </w:t>
      </w:r>
      <w:r w:rsidRPr="0023653B">
        <w:rPr>
          <w:rFonts w:eastAsia="Times New Roman" w:cs="Arial"/>
          <w:color w:val="000000"/>
          <w:lang w:eastAsia="bg-BG"/>
        </w:rPr>
        <w:t>и/или мерки за осигуряване</w:t>
      </w:r>
      <w:r w:rsidRPr="0023653B">
        <w:rPr>
          <w:rFonts w:eastAsia="Times New Roman" w:cs="Arial"/>
          <w:b/>
          <w:bCs/>
          <w:i/>
          <w:iCs/>
          <w:smallCaps/>
          <w:color w:val="000000"/>
          <w:sz w:val="20"/>
          <w:szCs w:val="20"/>
          <w:lang w:eastAsia="bg-BG"/>
        </w:rPr>
        <w:t xml:space="preserve"> </w:t>
      </w:r>
      <w:r w:rsidRPr="0023653B">
        <w:rPr>
          <w:rFonts w:eastAsia="Times New Roman" w:cs="Arial"/>
          <w:color w:val="000000"/>
          <w:lang w:eastAsia="bg-BG"/>
        </w:rPr>
        <w:t>проходимост на дихателните пътища.</w:t>
      </w:r>
    </w:p>
    <w:p w14:paraId="5DA9F4DB" w14:textId="5C2350F8" w:rsidR="0023653B" w:rsidRDefault="0023653B" w:rsidP="0023653B">
      <w:pPr>
        <w:rPr>
          <w:rFonts w:eastAsia="Times New Roman" w:cs="Arial"/>
          <w:color w:val="000000"/>
          <w:lang w:eastAsia="bg-BG"/>
        </w:rPr>
      </w:pPr>
    </w:p>
    <w:p w14:paraId="45B59F6F" w14:textId="77777777"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При чернокожи пациенти се съобщава по-висока честота на ангиоедем при приложение на АСЕ инхибитори, в сравнение с нечернокожи пациенти.</w:t>
      </w:r>
    </w:p>
    <w:p w14:paraId="6EE71252" w14:textId="77777777" w:rsidR="0023653B" w:rsidRPr="0023653B" w:rsidRDefault="0023653B" w:rsidP="0023653B">
      <w:pPr>
        <w:spacing w:line="240" w:lineRule="auto"/>
        <w:rPr>
          <w:rFonts w:eastAsia="Times New Roman" w:cs="Arial"/>
          <w:color w:val="000000"/>
          <w:lang w:eastAsia="bg-BG"/>
        </w:rPr>
      </w:pPr>
    </w:p>
    <w:p w14:paraId="63B24322" w14:textId="56E37407"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Пациенти с анамнеза за ангиоедем, който не е свързан с лечение с АСЕ инхибитор, може да са с по-висок риск за ангиоедем при приложение на АСЕ инхибитор (вж. също т. 43).</w:t>
      </w:r>
    </w:p>
    <w:p w14:paraId="4E2BE63B" w14:textId="77777777" w:rsidR="0023653B" w:rsidRPr="0023653B" w:rsidRDefault="0023653B" w:rsidP="0023653B">
      <w:pPr>
        <w:spacing w:line="240" w:lineRule="auto"/>
        <w:rPr>
          <w:rFonts w:eastAsia="Times New Roman" w:cs="Arial"/>
          <w:color w:val="000000"/>
          <w:lang w:eastAsia="bg-BG"/>
        </w:rPr>
      </w:pPr>
    </w:p>
    <w:p w14:paraId="48C65913" w14:textId="31B6D591"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Съпътстващата употреба на АСЕ инхибитори със сакубитрил/валсартан е противопоказана, поради повишен риск от ангиоедем. Лечение със сакубитрил/валсартан не трябва да се започва по-рано от 36 часа след последната доза Берлиприл. Лечение с Берлиприл не трябва да се започва по-рано от 36 часа след последната доза сакубитрил/валсартан (вж. точки 4.3 и 4.5).</w:t>
      </w:r>
    </w:p>
    <w:p w14:paraId="0BFA63D3" w14:textId="77777777" w:rsidR="0023653B" w:rsidRPr="0023653B" w:rsidRDefault="0023653B" w:rsidP="0023653B">
      <w:pPr>
        <w:spacing w:line="240" w:lineRule="auto"/>
        <w:rPr>
          <w:rFonts w:eastAsia="Times New Roman" w:cs="Arial"/>
          <w:color w:val="000000"/>
          <w:lang w:eastAsia="bg-BG"/>
        </w:rPr>
      </w:pPr>
    </w:p>
    <w:p w14:paraId="7C54130D" w14:textId="052C3503"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 xml:space="preserve">Съпътстващата употреба на АСЕ инхибитори с рацекадотрил, </w:t>
      </w:r>
      <w:proofErr w:type="spellStart"/>
      <w:r w:rsidRPr="0023653B">
        <w:rPr>
          <w:rFonts w:eastAsia="Times New Roman" w:cs="Arial"/>
          <w:color w:val="000000"/>
          <w:lang w:val="en-US"/>
        </w:rPr>
        <w:t>mTOR</w:t>
      </w:r>
      <w:proofErr w:type="spellEnd"/>
      <w:r w:rsidRPr="0023653B">
        <w:rPr>
          <w:rFonts w:eastAsia="Times New Roman" w:cs="Arial"/>
          <w:color w:val="000000"/>
          <w:lang w:val="en-US"/>
        </w:rPr>
        <w:t xml:space="preserve"> </w:t>
      </w:r>
      <w:r w:rsidRPr="0023653B">
        <w:rPr>
          <w:rFonts w:eastAsia="Times New Roman" w:cs="Arial"/>
          <w:color w:val="000000"/>
          <w:lang w:eastAsia="bg-BG"/>
        </w:rPr>
        <w:t xml:space="preserve">инхибитори (напр. сиролимус, еверолимус, темсиролимус) и вилдаглиптин може да доведе до повишен риск от ангиоедем (напр. оток на дихателните пътища или езика, със или без нарушение на дишането) (вж. точка 4.5). Необходимо е да се подходи с повишено внимание, когато се започва лечение с рацекадотрил, </w:t>
      </w:r>
      <w:proofErr w:type="spellStart"/>
      <w:r w:rsidRPr="0023653B">
        <w:rPr>
          <w:rFonts w:eastAsia="Times New Roman" w:cs="Arial"/>
          <w:color w:val="000000"/>
          <w:lang w:val="en-US"/>
        </w:rPr>
        <w:t>mTOR</w:t>
      </w:r>
      <w:proofErr w:type="spellEnd"/>
      <w:r w:rsidRPr="0023653B">
        <w:rPr>
          <w:rFonts w:eastAsia="Times New Roman" w:cs="Arial"/>
          <w:color w:val="000000"/>
          <w:lang w:val="en-US"/>
        </w:rPr>
        <w:t xml:space="preserve"> </w:t>
      </w:r>
      <w:r w:rsidRPr="0023653B">
        <w:rPr>
          <w:rFonts w:eastAsia="Times New Roman" w:cs="Arial"/>
          <w:color w:val="000000"/>
          <w:lang w:eastAsia="bg-BG"/>
        </w:rPr>
        <w:t>инхибитори (напр. сиролимус, еверолимус, темсиролимус) и вилдаглиптин при пациенти, който вече приемат АСЕ инхибитор.</w:t>
      </w:r>
    </w:p>
    <w:p w14:paraId="2C543C31" w14:textId="77777777" w:rsidR="0023653B" w:rsidRPr="0023653B" w:rsidRDefault="0023653B" w:rsidP="0023653B">
      <w:pPr>
        <w:spacing w:line="240" w:lineRule="auto"/>
        <w:rPr>
          <w:rFonts w:eastAsia="Times New Roman" w:cs="Arial"/>
          <w:i/>
          <w:iCs/>
          <w:color w:val="000000"/>
          <w:lang w:eastAsia="bg-BG"/>
        </w:rPr>
      </w:pPr>
    </w:p>
    <w:p w14:paraId="406BE22B" w14:textId="1FD43DD1" w:rsidR="0023653B" w:rsidRPr="0023653B" w:rsidRDefault="0023653B" w:rsidP="0023653B">
      <w:pPr>
        <w:spacing w:line="240" w:lineRule="auto"/>
        <w:rPr>
          <w:rFonts w:eastAsia="Times New Roman" w:cs="Arial"/>
          <w:sz w:val="24"/>
          <w:szCs w:val="24"/>
          <w:lang w:eastAsia="bg-BG"/>
        </w:rPr>
      </w:pPr>
      <w:r w:rsidRPr="0023653B">
        <w:rPr>
          <w:rFonts w:eastAsia="Times New Roman" w:cs="Arial"/>
          <w:i/>
          <w:iCs/>
          <w:color w:val="000000"/>
          <w:lang w:eastAsia="bg-BG"/>
        </w:rPr>
        <w:t>Анафилактоидни реакции при десенсибилизиращо лечение към ципокрили насекоми</w:t>
      </w:r>
    </w:p>
    <w:p w14:paraId="05D05C9F" w14:textId="77777777"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 xml:space="preserve">Рядко при пациенти, получаващи АСЕ-инхибитор по време на десенсибилизиращо лечение към ципокрили насекоми, са съобщавани животозастрашаващи анафилактоидни </w:t>
      </w:r>
      <w:r w:rsidRPr="0023653B">
        <w:rPr>
          <w:rFonts w:eastAsia="Times New Roman" w:cs="Arial"/>
          <w:color w:val="000000"/>
          <w:lang w:eastAsia="bg-BG"/>
        </w:rPr>
        <w:lastRenderedPageBreak/>
        <w:t>реакции. Тези реакции са били избягвани чрез временно спиране на АСЕ инхибитори преди всяка десенсибилизация.</w:t>
      </w:r>
    </w:p>
    <w:p w14:paraId="2EA422A1" w14:textId="77777777" w:rsidR="0023653B" w:rsidRPr="0023653B" w:rsidRDefault="0023653B" w:rsidP="0023653B">
      <w:pPr>
        <w:spacing w:line="240" w:lineRule="auto"/>
        <w:rPr>
          <w:rFonts w:eastAsia="Times New Roman" w:cs="Arial"/>
          <w:i/>
          <w:iCs/>
          <w:color w:val="000000"/>
          <w:lang w:eastAsia="bg-BG"/>
        </w:rPr>
      </w:pPr>
    </w:p>
    <w:p w14:paraId="257E00CD" w14:textId="3695DF4B" w:rsidR="0023653B" w:rsidRPr="0023653B" w:rsidRDefault="0023653B" w:rsidP="0023653B">
      <w:pPr>
        <w:spacing w:line="240" w:lineRule="auto"/>
        <w:rPr>
          <w:rFonts w:eastAsia="Times New Roman" w:cs="Arial"/>
          <w:sz w:val="24"/>
          <w:szCs w:val="24"/>
          <w:lang w:eastAsia="bg-BG"/>
        </w:rPr>
      </w:pPr>
      <w:r w:rsidRPr="0023653B">
        <w:rPr>
          <w:rFonts w:eastAsia="Times New Roman" w:cs="Arial"/>
          <w:i/>
          <w:iCs/>
          <w:color w:val="000000"/>
          <w:lang w:eastAsia="bg-BG"/>
        </w:rPr>
        <w:t xml:space="preserve">Анафилактоидни реакции по време на </w:t>
      </w:r>
      <w:r w:rsidRPr="0023653B">
        <w:rPr>
          <w:rFonts w:eastAsia="Times New Roman" w:cs="Arial"/>
          <w:i/>
          <w:iCs/>
          <w:color w:val="000000"/>
          <w:lang w:val="en-US"/>
        </w:rPr>
        <w:t>LDL</w:t>
      </w:r>
      <w:r w:rsidRPr="0023653B">
        <w:rPr>
          <w:rFonts w:eastAsia="Times New Roman" w:cs="Arial"/>
          <w:i/>
          <w:iCs/>
          <w:color w:val="000000"/>
          <w:lang w:eastAsia="bg-BG"/>
        </w:rPr>
        <w:t>-афереза</w:t>
      </w:r>
    </w:p>
    <w:p w14:paraId="6DF1856C" w14:textId="77777777"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 xml:space="preserve">Рядко при пациенти, получаващи АСЕ-инхибитор по време на липопротеини с ниска плътност </w:t>
      </w:r>
      <w:r w:rsidRPr="0023653B">
        <w:rPr>
          <w:rFonts w:eastAsia="Times New Roman" w:cs="Arial"/>
          <w:color w:val="000000"/>
          <w:lang w:val="en-US"/>
        </w:rPr>
        <w:t>(LDL, low density lipoprotein</w:t>
      </w:r>
      <w:r w:rsidRPr="0023653B">
        <w:rPr>
          <w:rFonts w:eastAsia="Times New Roman" w:cs="Arial"/>
          <w:color w:val="000000"/>
          <w:lang w:eastAsia="bg-BG"/>
        </w:rPr>
        <w:t xml:space="preserve">)-афереза с декстран сулфат, са съобщавани животозастрашаващи анафилактоидни реакции. Ако е назначена </w:t>
      </w:r>
      <w:r w:rsidRPr="0023653B">
        <w:rPr>
          <w:rFonts w:eastAsia="Times New Roman" w:cs="Arial"/>
          <w:color w:val="000000"/>
          <w:lang w:val="en-US"/>
        </w:rPr>
        <w:t>LDL</w:t>
      </w:r>
      <w:r w:rsidRPr="0023653B">
        <w:rPr>
          <w:rFonts w:eastAsia="Times New Roman" w:cs="Arial"/>
          <w:color w:val="000000"/>
          <w:lang w:eastAsia="bg-BG"/>
        </w:rPr>
        <w:t>-афереза, АСЕ инхибиторът трябва временно да се замени с други лекарствени продукти за хипертония или сърдечна недостатъчност.</w:t>
      </w:r>
    </w:p>
    <w:p w14:paraId="1BB46DAF" w14:textId="77777777" w:rsidR="0023653B" w:rsidRPr="0023653B" w:rsidRDefault="0023653B" w:rsidP="0023653B">
      <w:pPr>
        <w:spacing w:line="240" w:lineRule="auto"/>
        <w:rPr>
          <w:rFonts w:eastAsia="Times New Roman" w:cs="Arial"/>
          <w:i/>
          <w:iCs/>
          <w:color w:val="000000"/>
          <w:lang w:eastAsia="bg-BG"/>
        </w:rPr>
      </w:pPr>
    </w:p>
    <w:p w14:paraId="65986EFA" w14:textId="69D140EB" w:rsidR="0023653B" w:rsidRPr="0023653B" w:rsidRDefault="0023653B" w:rsidP="0023653B">
      <w:pPr>
        <w:spacing w:line="240" w:lineRule="auto"/>
        <w:rPr>
          <w:rFonts w:eastAsia="Times New Roman" w:cs="Arial"/>
          <w:sz w:val="24"/>
          <w:szCs w:val="24"/>
          <w:lang w:eastAsia="bg-BG"/>
        </w:rPr>
      </w:pPr>
      <w:r w:rsidRPr="0023653B">
        <w:rPr>
          <w:rFonts w:eastAsia="Times New Roman" w:cs="Arial"/>
          <w:i/>
          <w:iCs/>
          <w:color w:val="000000"/>
          <w:lang w:eastAsia="bg-BG"/>
        </w:rPr>
        <w:t>Пациенти на хемодиализа</w:t>
      </w:r>
    </w:p>
    <w:p w14:paraId="51E62B03" w14:textId="73E0A524" w:rsidR="0023653B" w:rsidRPr="0023653B" w:rsidRDefault="0023653B" w:rsidP="0023653B">
      <w:pPr>
        <w:rPr>
          <w:rFonts w:eastAsia="Times New Roman" w:cs="Arial"/>
          <w:color w:val="000000"/>
          <w:lang w:eastAsia="bg-BG"/>
        </w:rPr>
      </w:pPr>
      <w:r w:rsidRPr="0023653B">
        <w:rPr>
          <w:rFonts w:eastAsia="Times New Roman" w:cs="Arial"/>
          <w:color w:val="000000"/>
          <w:lang w:eastAsia="bg-BG"/>
        </w:rPr>
        <w:t xml:space="preserve">Анафилактоидни реакции са съобщавани при пациенти на диализа с високо-флуксни мембрани (напр. </w:t>
      </w:r>
      <w:r w:rsidRPr="0023653B">
        <w:rPr>
          <w:rFonts w:eastAsia="Times New Roman" w:cs="Arial"/>
          <w:color w:val="000000"/>
          <w:lang w:val="en-US"/>
        </w:rPr>
        <w:t xml:space="preserve">AN </w:t>
      </w:r>
      <w:r w:rsidRPr="0023653B">
        <w:rPr>
          <w:rFonts w:eastAsia="Times New Roman" w:cs="Arial"/>
          <w:color w:val="000000"/>
          <w:lang w:eastAsia="bg-BG"/>
        </w:rPr>
        <w:t>69</w:t>
      </w:r>
      <w:r w:rsidRPr="0023653B">
        <w:rPr>
          <w:rFonts w:eastAsia="Times New Roman" w:cs="Arial"/>
          <w:color w:val="000000"/>
          <w:vertAlign w:val="superscript"/>
          <w:lang w:eastAsia="bg-BG"/>
        </w:rPr>
        <w:t>®</w:t>
      </w:r>
      <w:r w:rsidRPr="0023653B">
        <w:rPr>
          <w:rFonts w:eastAsia="Times New Roman" w:cs="Arial"/>
          <w:color w:val="000000"/>
          <w:lang w:eastAsia="bg-BG"/>
        </w:rPr>
        <w:t>) и едновременно лечение с АСЕ инхибитор. Ето защо при тези пациенти трябва да се обърне внимание за използването или друг тип диализна мембрана, или различен клас антихипертензивни лекарства.</w:t>
      </w:r>
    </w:p>
    <w:p w14:paraId="0C2C5CBA" w14:textId="77B2E6DA" w:rsidR="0023653B" w:rsidRDefault="0023653B" w:rsidP="0023653B">
      <w:pPr>
        <w:rPr>
          <w:rFonts w:cs="Arial"/>
        </w:rPr>
      </w:pPr>
    </w:p>
    <w:p w14:paraId="5B0DF553" w14:textId="77777777" w:rsidR="0023653B" w:rsidRPr="0023653B" w:rsidRDefault="0023653B" w:rsidP="0023653B">
      <w:pPr>
        <w:spacing w:line="240" w:lineRule="auto"/>
        <w:rPr>
          <w:rFonts w:eastAsia="Times New Roman" w:cs="Arial"/>
          <w:sz w:val="24"/>
          <w:szCs w:val="24"/>
          <w:lang w:eastAsia="bg-BG"/>
        </w:rPr>
      </w:pPr>
      <w:r w:rsidRPr="0023653B">
        <w:rPr>
          <w:rFonts w:eastAsia="Times New Roman" w:cs="Arial"/>
          <w:i/>
          <w:iCs/>
          <w:color w:val="000000"/>
          <w:lang w:eastAsia="bg-BG"/>
        </w:rPr>
        <w:t>Пациенти, страдащи от диабет</w:t>
      </w:r>
    </w:p>
    <w:p w14:paraId="41896943" w14:textId="77777777"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При диабетици, които се лекуват с перорални антидиабетни средства или инсулин, в началото на приложението на АСЕ инхибитор, трябва да бъдат посъветвани стриктно да проследяват за хипогликемия, особено през първия месец на едновременното приложение (вж. т. 4.5).</w:t>
      </w:r>
    </w:p>
    <w:p w14:paraId="39DEF974" w14:textId="77777777" w:rsidR="0023653B" w:rsidRPr="0023653B" w:rsidRDefault="0023653B" w:rsidP="0023653B">
      <w:pPr>
        <w:spacing w:line="240" w:lineRule="auto"/>
        <w:rPr>
          <w:rFonts w:eastAsia="Times New Roman" w:cs="Arial"/>
          <w:i/>
          <w:iCs/>
          <w:color w:val="000000"/>
          <w:lang w:eastAsia="bg-BG"/>
        </w:rPr>
      </w:pPr>
    </w:p>
    <w:p w14:paraId="4F980FB2" w14:textId="148E805C" w:rsidR="0023653B" w:rsidRPr="0023653B" w:rsidRDefault="0023653B" w:rsidP="0023653B">
      <w:pPr>
        <w:spacing w:line="240" w:lineRule="auto"/>
        <w:rPr>
          <w:rFonts w:eastAsia="Times New Roman" w:cs="Arial"/>
          <w:sz w:val="24"/>
          <w:szCs w:val="24"/>
          <w:lang w:eastAsia="bg-BG"/>
        </w:rPr>
      </w:pPr>
      <w:r w:rsidRPr="0023653B">
        <w:rPr>
          <w:rFonts w:eastAsia="Times New Roman" w:cs="Arial"/>
          <w:i/>
          <w:iCs/>
          <w:color w:val="000000"/>
          <w:lang w:eastAsia="bg-BG"/>
        </w:rPr>
        <w:t>Кашлица</w:t>
      </w:r>
    </w:p>
    <w:p w14:paraId="179F1022" w14:textId="77777777"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Събщавана е кашлица при употреба на АСЕ инхибитори. Обикновено кашлицата е непродуктивна, персистираща и отшумява при преустановяване на лечението. Кашлица, предизвикана от АСЕ инхибитор, трябва да се има предвид при диференциална диагноза на кашлица.</w:t>
      </w:r>
    </w:p>
    <w:p w14:paraId="47045CC9" w14:textId="77777777" w:rsidR="0023653B" w:rsidRPr="0023653B" w:rsidRDefault="0023653B" w:rsidP="0023653B">
      <w:pPr>
        <w:spacing w:line="240" w:lineRule="auto"/>
        <w:rPr>
          <w:rFonts w:eastAsia="Times New Roman" w:cs="Arial"/>
          <w:i/>
          <w:iCs/>
          <w:color w:val="000000"/>
          <w:lang w:eastAsia="bg-BG"/>
        </w:rPr>
      </w:pPr>
    </w:p>
    <w:p w14:paraId="4C3AB47A" w14:textId="3A14B22E" w:rsidR="0023653B" w:rsidRPr="0023653B" w:rsidRDefault="0023653B" w:rsidP="0023653B">
      <w:pPr>
        <w:spacing w:line="240" w:lineRule="auto"/>
        <w:rPr>
          <w:rFonts w:eastAsia="Times New Roman" w:cs="Arial"/>
          <w:sz w:val="24"/>
          <w:szCs w:val="24"/>
          <w:lang w:eastAsia="bg-BG"/>
        </w:rPr>
      </w:pPr>
      <w:r w:rsidRPr="0023653B">
        <w:rPr>
          <w:rFonts w:eastAsia="Times New Roman" w:cs="Arial"/>
          <w:i/>
          <w:iCs/>
          <w:color w:val="000000"/>
          <w:lang w:eastAsia="bg-BG"/>
        </w:rPr>
        <w:t>Хирургия/анестезия</w:t>
      </w:r>
    </w:p>
    <w:p w14:paraId="254F2F5C" w14:textId="032A9B25" w:rsidR="0023653B" w:rsidRPr="0023653B" w:rsidRDefault="0023653B" w:rsidP="0023653B">
      <w:pPr>
        <w:rPr>
          <w:rFonts w:cs="Arial"/>
        </w:rPr>
      </w:pPr>
      <w:r w:rsidRPr="0023653B">
        <w:rPr>
          <w:rFonts w:eastAsia="Times New Roman" w:cs="Arial"/>
          <w:color w:val="000000"/>
          <w:lang w:eastAsia="bg-BG"/>
        </w:rPr>
        <w:t>При пациенти, подложени на голяма хирургична интервенция, или по време на анестезия с вещества, водещи до хипотония, еналаприлов малеат инхибира образуването на ангиотензин II в резултат на компенсаторната ренинова секреция. При възникване на хипотония, която се</w:t>
      </w:r>
      <w:r w:rsidRPr="0023653B">
        <w:rPr>
          <w:rFonts w:eastAsia="Times New Roman" w:cs="Arial"/>
          <w:color w:val="000000"/>
          <w:u w:val="single"/>
          <w:lang w:eastAsia="bg-BG"/>
        </w:rPr>
        <w:t xml:space="preserve"> </w:t>
      </w:r>
      <w:r w:rsidRPr="0023653B">
        <w:rPr>
          <w:rFonts w:eastAsia="Times New Roman" w:cs="Arial"/>
          <w:color w:val="000000"/>
          <w:lang w:eastAsia="bg-BG"/>
        </w:rPr>
        <w:t>обяснява с този механизъм, тя може да се коригирана с обемна заместителна терапия.</w:t>
      </w:r>
    </w:p>
    <w:p w14:paraId="36AA5E7C" w14:textId="6D5B3E84" w:rsidR="0023653B" w:rsidRDefault="0023653B" w:rsidP="0023653B">
      <w:pPr>
        <w:rPr>
          <w:rFonts w:cs="Arial"/>
        </w:rPr>
      </w:pPr>
    </w:p>
    <w:p w14:paraId="6A7A457E" w14:textId="77777777" w:rsidR="0023653B" w:rsidRPr="0023653B" w:rsidRDefault="0023653B" w:rsidP="0023653B">
      <w:pPr>
        <w:spacing w:line="240" w:lineRule="auto"/>
        <w:rPr>
          <w:rFonts w:eastAsia="Times New Roman" w:cs="Arial"/>
          <w:sz w:val="24"/>
          <w:szCs w:val="24"/>
          <w:lang w:eastAsia="bg-BG"/>
        </w:rPr>
      </w:pPr>
      <w:r w:rsidRPr="0023653B">
        <w:rPr>
          <w:rFonts w:eastAsia="Times New Roman" w:cs="Arial"/>
          <w:i/>
          <w:iCs/>
          <w:color w:val="000000"/>
          <w:lang w:eastAsia="bg-BG"/>
        </w:rPr>
        <w:t>Серумен калий</w:t>
      </w:r>
    </w:p>
    <w:p w14:paraId="6FC8D06E" w14:textId="77777777"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АСЕ инхибиторите могат да предизвикат хиперкалиемия, тъй като инхибират освобождаването на алдостерон. Ефектът обикновено не е значителен при пациенти с нормална бъбречна функция. При пациенти с нарушена бъбречна функция обаче и/или при пациенти, приемащи хранителни добавки, съдържащи калий (включително заместители на солта), калий- съхраняващи диуретици, триметоприм или котримоксазол, известен също като триметоприм/сулфаметоксазол, и особено антагонисти на алдостерона или ангиотензин- рецепторни блокери, може да възникне хиперкалиемия. Калий-съхраняващите диуретици и ангиотензин-рецепторните блокери трябва да се прилагат внимателно при пациенти, приемащи АСЕ инхибитори, като серумният калий и бъбречната функция трябва да се проследяват (вж. точка 4.5)</w:t>
      </w:r>
    </w:p>
    <w:p w14:paraId="322A761F" w14:textId="77777777" w:rsidR="0023653B" w:rsidRPr="0023653B" w:rsidRDefault="0023653B" w:rsidP="0023653B">
      <w:pPr>
        <w:spacing w:line="240" w:lineRule="auto"/>
        <w:rPr>
          <w:rFonts w:eastAsia="Times New Roman" w:cs="Arial"/>
          <w:i/>
          <w:iCs/>
          <w:color w:val="000000"/>
          <w:lang w:eastAsia="bg-BG"/>
        </w:rPr>
      </w:pPr>
    </w:p>
    <w:p w14:paraId="05F10E1E" w14:textId="3B07B7FF" w:rsidR="0023653B" w:rsidRPr="0023653B" w:rsidRDefault="0023653B" w:rsidP="0023653B">
      <w:pPr>
        <w:spacing w:line="240" w:lineRule="auto"/>
        <w:rPr>
          <w:rFonts w:eastAsia="Times New Roman" w:cs="Arial"/>
          <w:sz w:val="24"/>
          <w:szCs w:val="24"/>
          <w:lang w:eastAsia="bg-BG"/>
        </w:rPr>
      </w:pPr>
      <w:r w:rsidRPr="0023653B">
        <w:rPr>
          <w:rFonts w:eastAsia="Times New Roman" w:cs="Arial"/>
          <w:i/>
          <w:iCs/>
          <w:color w:val="000000"/>
          <w:lang w:eastAsia="bg-BG"/>
        </w:rPr>
        <w:t>Литий</w:t>
      </w:r>
    </w:p>
    <w:p w14:paraId="0BB735A5" w14:textId="77777777"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По принцип не се препоръчва комбинирането на литий и еналаприл (вж. т. 4.5).</w:t>
      </w:r>
    </w:p>
    <w:p w14:paraId="4FD73ED3" w14:textId="77777777" w:rsidR="0023653B" w:rsidRDefault="0023653B" w:rsidP="0023653B">
      <w:pPr>
        <w:spacing w:line="240" w:lineRule="auto"/>
        <w:rPr>
          <w:rFonts w:ascii="Times New Roman" w:eastAsia="Times New Roman" w:hAnsi="Times New Roman" w:cs="Times New Roman"/>
          <w:i/>
          <w:iCs/>
          <w:color w:val="000000"/>
          <w:lang w:eastAsia="bg-BG"/>
        </w:rPr>
      </w:pPr>
    </w:p>
    <w:p w14:paraId="0E91BCE2" w14:textId="22025DDA" w:rsidR="0023653B" w:rsidRPr="0023653B" w:rsidRDefault="0023653B" w:rsidP="0023653B">
      <w:pPr>
        <w:spacing w:line="240" w:lineRule="auto"/>
        <w:rPr>
          <w:rFonts w:eastAsia="Times New Roman" w:cs="Arial"/>
          <w:sz w:val="24"/>
          <w:szCs w:val="24"/>
          <w:lang w:eastAsia="bg-BG"/>
        </w:rPr>
      </w:pPr>
      <w:r w:rsidRPr="0023653B">
        <w:rPr>
          <w:rFonts w:eastAsia="Times New Roman" w:cs="Arial"/>
          <w:i/>
          <w:iCs/>
          <w:color w:val="000000"/>
          <w:lang w:eastAsia="bg-BG"/>
        </w:rPr>
        <w:lastRenderedPageBreak/>
        <w:t>Двойно блокиране на ренинин-ангиотензин-алдостероновата система (РААС)</w:t>
      </w:r>
    </w:p>
    <w:p w14:paraId="0807D796" w14:textId="77777777"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Има данни, че едновременната употреба на АСЕ инхибитори, ангиотензин II-рецепторни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инхибитори, ангиотензин II-рецепторни блокери или алискирен (вж. точки 4.5 и 5.1).</w:t>
      </w:r>
    </w:p>
    <w:p w14:paraId="2FE652C9" w14:textId="77777777"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3202B2D3" w14:textId="77777777"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АСЕ инхибитори и ангиотензин II-рецепторни блокери не трябва да се използват едновременно при пациенти с диабетна нефропатия.</w:t>
      </w:r>
    </w:p>
    <w:p w14:paraId="6E5E7F22" w14:textId="77777777" w:rsidR="0023653B" w:rsidRPr="0023653B" w:rsidRDefault="0023653B" w:rsidP="0023653B">
      <w:pPr>
        <w:spacing w:line="240" w:lineRule="auto"/>
        <w:rPr>
          <w:rFonts w:eastAsia="Times New Roman" w:cs="Arial"/>
          <w:i/>
          <w:iCs/>
          <w:color w:val="000000"/>
          <w:lang w:eastAsia="bg-BG"/>
        </w:rPr>
      </w:pPr>
    </w:p>
    <w:p w14:paraId="2C931F45" w14:textId="0F91FB33" w:rsidR="0023653B" w:rsidRPr="0023653B" w:rsidRDefault="0023653B" w:rsidP="0023653B">
      <w:pPr>
        <w:spacing w:line="240" w:lineRule="auto"/>
        <w:rPr>
          <w:rFonts w:eastAsia="Times New Roman" w:cs="Arial"/>
          <w:sz w:val="24"/>
          <w:szCs w:val="24"/>
          <w:lang w:eastAsia="bg-BG"/>
        </w:rPr>
      </w:pPr>
      <w:r w:rsidRPr="0023653B">
        <w:rPr>
          <w:rFonts w:eastAsia="Times New Roman" w:cs="Arial"/>
          <w:i/>
          <w:iCs/>
          <w:color w:val="000000"/>
          <w:lang w:eastAsia="bg-BG"/>
        </w:rPr>
        <w:t>Лактоза</w:t>
      </w:r>
    </w:p>
    <w:p w14:paraId="23237302" w14:textId="77777777"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Това лекарство съдържа лактоза, пациенти с редки наследствени проблеми като непоносимост към галактоза, пълен лактазен дефицит или малабсорбция на глюкоза/галактоза не трябва да приемат това лекарство.</w:t>
      </w:r>
    </w:p>
    <w:p w14:paraId="21FFDE82" w14:textId="3B620EA5" w:rsidR="0023653B" w:rsidRPr="0023653B" w:rsidRDefault="0023653B" w:rsidP="0023653B">
      <w:pPr>
        <w:spacing w:line="240" w:lineRule="auto"/>
        <w:rPr>
          <w:rFonts w:eastAsia="Times New Roman" w:cs="Arial"/>
          <w:sz w:val="24"/>
          <w:szCs w:val="24"/>
          <w:lang w:eastAsia="bg-BG"/>
        </w:rPr>
      </w:pPr>
      <w:r w:rsidRPr="0023653B">
        <w:rPr>
          <w:rFonts w:eastAsia="Times New Roman" w:cs="Arial"/>
          <w:i/>
          <w:iCs/>
          <w:color w:val="000000"/>
          <w:lang w:eastAsia="bg-BG"/>
        </w:rPr>
        <w:t>Натрий</w:t>
      </w:r>
    </w:p>
    <w:p w14:paraId="7007DF57" w14:textId="77777777"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 xml:space="preserve">Това лекарство съдържа по-малко от 1 </w:t>
      </w:r>
      <w:proofErr w:type="spellStart"/>
      <w:r w:rsidRPr="0023653B">
        <w:rPr>
          <w:rFonts w:eastAsia="Times New Roman" w:cs="Arial"/>
          <w:color w:val="000000"/>
          <w:lang w:val="en-US"/>
        </w:rPr>
        <w:t>mmol</w:t>
      </w:r>
      <w:proofErr w:type="spellEnd"/>
      <w:r w:rsidRPr="0023653B">
        <w:rPr>
          <w:rFonts w:eastAsia="Times New Roman" w:cs="Arial"/>
          <w:color w:val="000000"/>
          <w:lang w:val="en-US"/>
        </w:rPr>
        <w:t xml:space="preserve"> </w:t>
      </w:r>
      <w:r w:rsidRPr="0023653B">
        <w:rPr>
          <w:rFonts w:eastAsia="Times New Roman" w:cs="Arial"/>
          <w:color w:val="000000"/>
          <w:lang w:eastAsia="bg-BG"/>
        </w:rPr>
        <w:t xml:space="preserve">натрий (23 </w:t>
      </w:r>
      <w:r w:rsidRPr="0023653B">
        <w:rPr>
          <w:rFonts w:eastAsia="Times New Roman" w:cs="Arial"/>
          <w:color w:val="000000"/>
          <w:lang w:val="en-US"/>
        </w:rPr>
        <w:t xml:space="preserve">mg) </w:t>
      </w:r>
      <w:r w:rsidRPr="0023653B">
        <w:rPr>
          <w:rFonts w:eastAsia="Times New Roman" w:cs="Arial"/>
          <w:color w:val="000000"/>
          <w:lang w:eastAsia="bg-BG"/>
        </w:rPr>
        <w:t>на таблетка, т.е. може да се каже, че практически не съдържа натрий.</w:t>
      </w:r>
    </w:p>
    <w:p w14:paraId="790FFCB2" w14:textId="4B0C8BF5" w:rsidR="0023653B" w:rsidRPr="0023653B" w:rsidRDefault="0023653B" w:rsidP="0023653B">
      <w:pPr>
        <w:spacing w:line="240" w:lineRule="auto"/>
        <w:rPr>
          <w:rFonts w:eastAsia="Times New Roman" w:cs="Arial"/>
          <w:sz w:val="24"/>
          <w:szCs w:val="24"/>
          <w:lang w:eastAsia="bg-BG"/>
        </w:rPr>
      </w:pPr>
      <w:r w:rsidRPr="0023653B">
        <w:rPr>
          <w:rFonts w:eastAsia="Times New Roman" w:cs="Arial"/>
          <w:i/>
          <w:iCs/>
          <w:color w:val="000000"/>
          <w:lang w:eastAsia="bg-BG"/>
        </w:rPr>
        <w:t>Употреба при деца</w:t>
      </w:r>
    </w:p>
    <w:p w14:paraId="755E2EAC" w14:textId="77777777"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Има ограничен опит за ефикасност и безопасност при деца над 6 години с хипертония, но няма опит за другите показания. Налице са ограничени фармакокинетични данни при деца над 2 месеца (вж. също т. 4.2, т. 5.1 и т. 5.2). Берлиприл не се препоръчва при деца за други показания освен за хипертония.</w:t>
      </w:r>
    </w:p>
    <w:p w14:paraId="607A4FF4" w14:textId="71331CF8" w:rsidR="0023653B" w:rsidRDefault="0023653B" w:rsidP="0023653B">
      <w:pPr>
        <w:rPr>
          <w:rFonts w:eastAsia="Times New Roman" w:cs="Arial"/>
          <w:color w:val="000000"/>
          <w:lang w:eastAsia="bg-BG"/>
        </w:rPr>
      </w:pPr>
      <w:r w:rsidRPr="0023653B">
        <w:rPr>
          <w:rFonts w:eastAsia="Times New Roman" w:cs="Arial"/>
          <w:color w:val="000000"/>
          <w:lang w:eastAsia="bg-BG"/>
        </w:rPr>
        <w:t xml:space="preserve">Еналаприл не се препоръчва за новородени и за деца със скорост на гломерулна филтрация &lt; 30 </w:t>
      </w:r>
      <w:r w:rsidRPr="0023653B">
        <w:rPr>
          <w:rFonts w:eastAsia="Times New Roman" w:cs="Arial"/>
          <w:color w:val="000000"/>
          <w:lang w:val="en-US"/>
        </w:rPr>
        <w:t>ml/min/1,73 m</w:t>
      </w:r>
      <w:r w:rsidRPr="0023653B">
        <w:rPr>
          <w:rFonts w:eastAsia="Times New Roman" w:cs="Arial"/>
          <w:color w:val="000000"/>
          <w:vertAlign w:val="superscript"/>
          <w:lang w:val="en-US"/>
        </w:rPr>
        <w:t>2</w:t>
      </w:r>
      <w:r w:rsidRPr="0023653B">
        <w:rPr>
          <w:rFonts w:eastAsia="Times New Roman" w:cs="Arial"/>
          <w:color w:val="000000"/>
          <w:lang w:val="en-US"/>
        </w:rPr>
        <w:t xml:space="preserve">, </w:t>
      </w:r>
      <w:r w:rsidRPr="0023653B">
        <w:rPr>
          <w:rFonts w:eastAsia="Times New Roman" w:cs="Arial"/>
          <w:color w:val="000000"/>
          <w:lang w:eastAsia="bg-BG"/>
        </w:rPr>
        <w:t>тъй като няма налични такива данни (вж. т. 4.2).</w:t>
      </w:r>
    </w:p>
    <w:p w14:paraId="50EB4DFA" w14:textId="6E1B61A2" w:rsidR="0023653B" w:rsidRDefault="0023653B" w:rsidP="0023653B">
      <w:pPr>
        <w:rPr>
          <w:rFonts w:eastAsia="Times New Roman" w:cs="Arial"/>
          <w:color w:val="000000"/>
          <w:lang w:eastAsia="bg-BG"/>
        </w:rPr>
      </w:pPr>
    </w:p>
    <w:p w14:paraId="5B65E866" w14:textId="77777777" w:rsidR="0023653B" w:rsidRDefault="0023653B" w:rsidP="0023653B">
      <w:r>
        <w:rPr>
          <w:i/>
          <w:iCs/>
        </w:rPr>
        <w:t>Бременност</w:t>
      </w:r>
    </w:p>
    <w:p w14:paraId="6F917741" w14:textId="77777777" w:rsidR="0023653B" w:rsidRDefault="0023653B" w:rsidP="0023653B">
      <w:r>
        <w:t>Лечение с АСЕ инхибитори не трябва да се започва по време на бременност.</w:t>
      </w:r>
    </w:p>
    <w:p w14:paraId="3A98EF86" w14:textId="77777777" w:rsidR="0023653B" w:rsidRDefault="0023653B" w:rsidP="0023653B">
      <w:r>
        <w:t>Освен ако продължаването на лечението с АСЕ инхибитори не е от съществена важност, лечението на пациентки, които планират бременност, трябва да се промени на други антихипертензивни лекарства, които имат установен профил на безопасност при употреба по време на бременност.</w:t>
      </w:r>
    </w:p>
    <w:p w14:paraId="29DB547C" w14:textId="77777777" w:rsidR="0023653B" w:rsidRDefault="0023653B" w:rsidP="0023653B"/>
    <w:p w14:paraId="1829CBB6" w14:textId="17DA3977" w:rsidR="0023653B" w:rsidRDefault="0023653B" w:rsidP="0023653B">
      <w:r>
        <w:t>При установяване на бременност, приложението на АСЕ инхибитори трябва да се преустанови незабавно, и, ако е уместно, трябва да се започне друга терапия (вж, т. 4.3 и т. 4.6).</w:t>
      </w:r>
    </w:p>
    <w:p w14:paraId="162F5FC0" w14:textId="77777777" w:rsidR="0023653B" w:rsidRDefault="0023653B" w:rsidP="0023653B">
      <w:pPr>
        <w:rPr>
          <w:i/>
          <w:iCs/>
        </w:rPr>
      </w:pPr>
    </w:p>
    <w:p w14:paraId="1678CB67" w14:textId="5E44F31C" w:rsidR="0023653B" w:rsidRDefault="0023653B" w:rsidP="0023653B">
      <w:r>
        <w:rPr>
          <w:i/>
          <w:iCs/>
        </w:rPr>
        <w:t>Расови различия</w:t>
      </w:r>
    </w:p>
    <w:p w14:paraId="331FF06E" w14:textId="77777777" w:rsidR="0023653B" w:rsidRDefault="0023653B" w:rsidP="0023653B">
      <w:r>
        <w:t>Подобно на други АСЕ инхибитори, еналаприл е явно по-малко ефективен за</w:t>
      </w:r>
      <w:r>
        <w:rPr>
          <w:lang w:val="en-US"/>
        </w:rPr>
        <w:t xml:space="preserve"> </w:t>
      </w:r>
      <w:r>
        <w:t>понижаване на кръвното налягане у чернокожи пациенти, в сравнение с останалите, може би защото</w:t>
      </w:r>
    </w:p>
    <w:p w14:paraId="2B7D80AF" w14:textId="7D1D1902" w:rsidR="0023653B" w:rsidRDefault="0023653B" w:rsidP="0023653B">
      <w:r>
        <w:t>чернокожите пациенти с хипертония често са с ниски нива на ренина.</w:t>
      </w:r>
    </w:p>
    <w:p w14:paraId="605562FA" w14:textId="77777777" w:rsidR="00B904D1" w:rsidRPr="0023653B" w:rsidRDefault="00B904D1" w:rsidP="0023653B">
      <w:pPr>
        <w:rPr>
          <w:rFonts w:cs="Arial"/>
        </w:rPr>
      </w:pPr>
    </w:p>
    <w:p w14:paraId="619DED1E" w14:textId="327915C7"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6A4542A4" w14:textId="7E1A7520" w:rsidR="0023653B" w:rsidRDefault="0023653B" w:rsidP="0023653B"/>
    <w:p w14:paraId="5ED7B07B" w14:textId="77777777" w:rsidR="0023653B" w:rsidRPr="0023653B" w:rsidRDefault="0023653B" w:rsidP="0023653B">
      <w:pPr>
        <w:spacing w:line="240" w:lineRule="auto"/>
        <w:rPr>
          <w:rFonts w:eastAsia="Times New Roman" w:cs="Arial"/>
          <w:sz w:val="24"/>
          <w:szCs w:val="24"/>
          <w:lang w:eastAsia="bg-BG"/>
        </w:rPr>
      </w:pPr>
      <w:r w:rsidRPr="0023653B">
        <w:rPr>
          <w:rFonts w:eastAsia="Times New Roman" w:cs="Arial"/>
          <w:i/>
          <w:iCs/>
          <w:color w:val="000000"/>
          <w:lang w:eastAsia="bg-BG"/>
        </w:rPr>
        <w:t>Лекарства, повишаващи риска от ангиоедем</w:t>
      </w:r>
    </w:p>
    <w:p w14:paraId="139A4124" w14:textId="77777777"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Съпътстващата употреба на АСЕ инхибитори със сакубитрил/валсартан е противопоказана, тъй като това повишава риска от ангиоедем (виж точка 4.3 и 4.4).</w:t>
      </w:r>
    </w:p>
    <w:p w14:paraId="1FC1CF7B" w14:textId="77777777"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lastRenderedPageBreak/>
        <w:t xml:space="preserve">Съпътстващата употреба на АСЕ инхибитори с рацекадотрил, </w:t>
      </w:r>
      <w:proofErr w:type="spellStart"/>
      <w:r w:rsidRPr="0023653B">
        <w:rPr>
          <w:rFonts w:eastAsia="Times New Roman" w:cs="Arial"/>
          <w:color w:val="000000"/>
          <w:lang w:val="en-US"/>
        </w:rPr>
        <w:t>mTOR</w:t>
      </w:r>
      <w:proofErr w:type="spellEnd"/>
      <w:r w:rsidRPr="0023653B">
        <w:rPr>
          <w:rFonts w:eastAsia="Times New Roman" w:cs="Arial"/>
          <w:color w:val="000000"/>
          <w:lang w:val="en-US"/>
        </w:rPr>
        <w:t xml:space="preserve"> </w:t>
      </w:r>
      <w:r w:rsidRPr="0023653B">
        <w:rPr>
          <w:rFonts w:eastAsia="Times New Roman" w:cs="Arial"/>
          <w:color w:val="000000"/>
          <w:lang w:eastAsia="bg-BG"/>
        </w:rPr>
        <w:t>инхибитори (напр. сиролимус, еверолимус, темсиролимус) и вилдаглиптин може да доведе до повишен риск от ангиоедем (вж. точка 4.4).</w:t>
      </w:r>
    </w:p>
    <w:p w14:paraId="15FA58EE" w14:textId="77777777" w:rsidR="0023653B" w:rsidRPr="0023653B" w:rsidRDefault="0023653B" w:rsidP="0023653B">
      <w:pPr>
        <w:spacing w:line="240" w:lineRule="auto"/>
        <w:rPr>
          <w:rFonts w:eastAsia="Times New Roman" w:cs="Arial"/>
          <w:i/>
          <w:iCs/>
          <w:color w:val="000000"/>
          <w:lang w:eastAsia="bg-BG"/>
        </w:rPr>
      </w:pPr>
    </w:p>
    <w:p w14:paraId="69416D82" w14:textId="340A9B73" w:rsidR="0023653B" w:rsidRPr="0023653B" w:rsidRDefault="0023653B" w:rsidP="0023653B">
      <w:pPr>
        <w:spacing w:line="240" w:lineRule="auto"/>
        <w:rPr>
          <w:rFonts w:eastAsia="Times New Roman" w:cs="Arial"/>
          <w:sz w:val="24"/>
          <w:szCs w:val="24"/>
          <w:lang w:eastAsia="bg-BG"/>
        </w:rPr>
      </w:pPr>
      <w:r w:rsidRPr="0023653B">
        <w:rPr>
          <w:rFonts w:eastAsia="Times New Roman" w:cs="Arial"/>
          <w:i/>
          <w:iCs/>
          <w:color w:val="000000"/>
          <w:lang w:eastAsia="bg-BG"/>
        </w:rPr>
        <w:t>Калий-съхраняващи диуретици, хранителни добавки, съдържащи калий или калий-съдържащи заместители на солта.</w:t>
      </w:r>
    </w:p>
    <w:p w14:paraId="0E130D8A" w14:textId="77777777"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Въпреки че серумният калий обикновено остава в рамките на нормалните граници, при някои пациенти, лекувани с еналаприл, може да възникне хиперкалиемия. Употребата на калий- съхраняващи диуретици (напр. спиронолактон, триамптерен или амилорид), хранителни добавки, съдържащи калий или калий-съдържащи заместители на солта може да доведе до значително повишение на серумния калий. Трябва също да се внимава, когато еналаприл се прилага едновременно с други средства, които повишават серумния калий, като напр. триметоприм и котримоксазол (триметоприм/сулфаметоксазол), тъй като е известно, че триметоприм действа като калий-съхраняващ диуретик подобно на амилорид. Поради това не се препоръчва комбинирането на еналаприл с гореспоменатите лекарства. Ако е показана съпътстваща употреба, те трябва да се използват с повишено внимание и при често проследяване на серумния калий</w:t>
      </w:r>
    </w:p>
    <w:p w14:paraId="68AFABFC" w14:textId="77777777" w:rsidR="0023653B" w:rsidRPr="0023653B" w:rsidRDefault="0023653B" w:rsidP="0023653B">
      <w:pPr>
        <w:spacing w:line="240" w:lineRule="auto"/>
        <w:rPr>
          <w:rFonts w:eastAsia="Times New Roman" w:cs="Arial"/>
          <w:i/>
          <w:iCs/>
          <w:color w:val="000000"/>
          <w:lang w:eastAsia="bg-BG"/>
        </w:rPr>
      </w:pPr>
    </w:p>
    <w:p w14:paraId="0BFB1D89" w14:textId="4032673F" w:rsidR="0023653B" w:rsidRPr="0023653B" w:rsidRDefault="0023653B" w:rsidP="0023653B">
      <w:pPr>
        <w:spacing w:line="240" w:lineRule="auto"/>
        <w:rPr>
          <w:rFonts w:eastAsia="Times New Roman" w:cs="Arial"/>
          <w:sz w:val="24"/>
          <w:szCs w:val="24"/>
          <w:lang w:eastAsia="bg-BG"/>
        </w:rPr>
      </w:pPr>
      <w:r w:rsidRPr="0023653B">
        <w:rPr>
          <w:rFonts w:eastAsia="Times New Roman" w:cs="Arial"/>
          <w:i/>
          <w:iCs/>
          <w:color w:val="000000"/>
          <w:lang w:eastAsia="bg-BG"/>
        </w:rPr>
        <w:t>Циклоспорин</w:t>
      </w:r>
    </w:p>
    <w:p w14:paraId="3BA8BF4D" w14:textId="77777777"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При съпътстваща употреба на АСЕ инхибитори с циклоспорин може да възникне хиперкалиемия. Препоръчва се проследяване на серумния калий</w:t>
      </w:r>
    </w:p>
    <w:p w14:paraId="78F8C820" w14:textId="77777777" w:rsidR="0023653B" w:rsidRPr="0023653B" w:rsidRDefault="0023653B" w:rsidP="0023653B">
      <w:pPr>
        <w:spacing w:line="240" w:lineRule="auto"/>
        <w:rPr>
          <w:rFonts w:eastAsia="Times New Roman" w:cs="Arial"/>
          <w:i/>
          <w:iCs/>
          <w:color w:val="000000"/>
          <w:u w:val="single"/>
          <w:lang w:eastAsia="bg-BG"/>
        </w:rPr>
      </w:pPr>
    </w:p>
    <w:p w14:paraId="53BFBF18" w14:textId="3665C30E" w:rsidR="0023653B" w:rsidRPr="0023653B" w:rsidRDefault="0023653B" w:rsidP="0023653B">
      <w:pPr>
        <w:spacing w:line="240" w:lineRule="auto"/>
        <w:rPr>
          <w:rFonts w:eastAsia="Times New Roman" w:cs="Arial"/>
          <w:sz w:val="24"/>
          <w:szCs w:val="24"/>
          <w:lang w:eastAsia="bg-BG"/>
        </w:rPr>
      </w:pPr>
      <w:r w:rsidRPr="0023653B">
        <w:rPr>
          <w:rFonts w:eastAsia="Times New Roman" w:cs="Arial"/>
          <w:i/>
          <w:iCs/>
          <w:color w:val="000000"/>
          <w:u w:val="single"/>
          <w:lang w:eastAsia="bg-BG"/>
        </w:rPr>
        <w:t>Хепарин</w:t>
      </w:r>
    </w:p>
    <w:p w14:paraId="580C4DE0" w14:textId="275A95D4" w:rsidR="0023653B" w:rsidRDefault="0023653B" w:rsidP="0023653B">
      <w:pPr>
        <w:rPr>
          <w:rFonts w:eastAsia="Times New Roman" w:cs="Arial"/>
          <w:color w:val="000000"/>
          <w:lang w:eastAsia="bg-BG"/>
        </w:rPr>
      </w:pPr>
      <w:r w:rsidRPr="0023653B">
        <w:rPr>
          <w:rFonts w:eastAsia="Times New Roman" w:cs="Arial"/>
          <w:color w:val="000000"/>
          <w:lang w:eastAsia="bg-BG"/>
        </w:rPr>
        <w:t>При съпътстваща употреба на АСЕ инхибитори с хепарин може да възникне хиперкалиемия. Препоръчва се проследяване на серумния калий.</w:t>
      </w:r>
    </w:p>
    <w:p w14:paraId="5932B583" w14:textId="096A5815" w:rsidR="0023653B" w:rsidRDefault="0023653B" w:rsidP="0023653B">
      <w:pPr>
        <w:rPr>
          <w:rFonts w:eastAsia="Times New Roman" w:cs="Arial"/>
          <w:color w:val="000000"/>
          <w:lang w:eastAsia="bg-BG"/>
        </w:rPr>
      </w:pPr>
    </w:p>
    <w:p w14:paraId="79B38617" w14:textId="77777777" w:rsidR="0023653B" w:rsidRPr="0023653B" w:rsidRDefault="0023653B" w:rsidP="0023653B">
      <w:pPr>
        <w:spacing w:line="240" w:lineRule="auto"/>
        <w:rPr>
          <w:rFonts w:eastAsia="Times New Roman" w:cs="Arial"/>
          <w:sz w:val="24"/>
          <w:szCs w:val="24"/>
          <w:lang w:eastAsia="bg-BG"/>
        </w:rPr>
      </w:pPr>
      <w:r w:rsidRPr="0023653B">
        <w:rPr>
          <w:rFonts w:eastAsia="Times New Roman" w:cs="Arial"/>
          <w:i/>
          <w:iCs/>
          <w:color w:val="000000"/>
          <w:lang w:eastAsia="bg-BG"/>
        </w:rPr>
        <w:t>Двойно блокиране на ренинин-ангиотензин-алдостероновата система</w:t>
      </w:r>
    </w:p>
    <w:p w14:paraId="772C0CA0" w14:textId="77777777"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Данни от клинични проучвания показват, че двойното блокиране на ренин- ангиотензин-алдостероновата система (РААС) чрез комбинираната употреба на АСЕ инхибитори, ангиотензин П-рецепторни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4.3,4.4 и 5.1).</w:t>
      </w:r>
    </w:p>
    <w:p w14:paraId="1EE941D3" w14:textId="77777777" w:rsidR="0023653B" w:rsidRPr="0023653B" w:rsidRDefault="0023653B" w:rsidP="0023653B">
      <w:pPr>
        <w:spacing w:line="240" w:lineRule="auto"/>
        <w:rPr>
          <w:rFonts w:eastAsia="Times New Roman" w:cs="Arial"/>
          <w:i/>
          <w:iCs/>
          <w:color w:val="000000"/>
          <w:lang w:eastAsia="bg-BG"/>
        </w:rPr>
      </w:pPr>
    </w:p>
    <w:p w14:paraId="6FED4218" w14:textId="039FA77E" w:rsidR="0023653B" w:rsidRPr="0023653B" w:rsidRDefault="0023653B" w:rsidP="0023653B">
      <w:pPr>
        <w:spacing w:line="240" w:lineRule="auto"/>
        <w:rPr>
          <w:rFonts w:eastAsia="Times New Roman" w:cs="Arial"/>
          <w:sz w:val="24"/>
          <w:szCs w:val="24"/>
          <w:lang w:eastAsia="bg-BG"/>
        </w:rPr>
      </w:pPr>
      <w:r w:rsidRPr="0023653B">
        <w:rPr>
          <w:rFonts w:eastAsia="Times New Roman" w:cs="Arial"/>
          <w:i/>
          <w:iCs/>
          <w:color w:val="000000"/>
          <w:lang w:eastAsia="bg-BG"/>
        </w:rPr>
        <w:t>Диуретици (тиазидни или бримкови диуретици)</w:t>
      </w:r>
    </w:p>
    <w:p w14:paraId="7C0D892D" w14:textId="77777777"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Предшестващо лечение с високи дози диуретици може да доведе до обемен дефицит и до риск от хипотония в началото на лечението с еналаприл (вж. т. 4.4). Хипотензивните ефекти могат да се намалят с преустановяване на диуретика, увеличен прием на течности и соли или чрез започване на лечението с еналаприл в ниски дози.</w:t>
      </w:r>
    </w:p>
    <w:p w14:paraId="0AEDEED5" w14:textId="77777777" w:rsidR="0023653B" w:rsidRPr="0023653B" w:rsidRDefault="0023653B" w:rsidP="0023653B">
      <w:pPr>
        <w:spacing w:line="240" w:lineRule="auto"/>
        <w:rPr>
          <w:rFonts w:eastAsia="Times New Roman" w:cs="Arial"/>
          <w:i/>
          <w:iCs/>
          <w:color w:val="000000"/>
          <w:lang w:eastAsia="bg-BG"/>
        </w:rPr>
      </w:pPr>
    </w:p>
    <w:p w14:paraId="2E548A4B" w14:textId="758F0634" w:rsidR="0023653B" w:rsidRPr="0023653B" w:rsidRDefault="0023653B" w:rsidP="0023653B">
      <w:pPr>
        <w:spacing w:line="240" w:lineRule="auto"/>
        <w:rPr>
          <w:rFonts w:eastAsia="Times New Roman" w:cs="Arial"/>
          <w:sz w:val="24"/>
          <w:szCs w:val="24"/>
          <w:lang w:eastAsia="bg-BG"/>
        </w:rPr>
      </w:pPr>
      <w:r w:rsidRPr="0023653B">
        <w:rPr>
          <w:rFonts w:eastAsia="Times New Roman" w:cs="Arial"/>
          <w:i/>
          <w:iCs/>
          <w:color w:val="000000"/>
          <w:lang w:eastAsia="bg-BG"/>
        </w:rPr>
        <w:t>Тромболитици</w:t>
      </w:r>
    </w:p>
    <w:p w14:paraId="7C4A3E54" w14:textId="77777777"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Съобщава се за повишен риск от ангиоедем при пациенти, приемащи едновременно алтеплаза с АСЕ инхибитори, включително еналаприл (вж. т. 4.4).</w:t>
      </w:r>
    </w:p>
    <w:p w14:paraId="68D2ED70" w14:textId="77777777" w:rsidR="0023653B" w:rsidRPr="0023653B" w:rsidRDefault="0023653B" w:rsidP="0023653B">
      <w:pPr>
        <w:spacing w:line="240" w:lineRule="auto"/>
        <w:rPr>
          <w:rFonts w:eastAsia="Times New Roman" w:cs="Arial"/>
          <w:i/>
          <w:iCs/>
          <w:color w:val="000000"/>
          <w:lang w:val="en-US"/>
        </w:rPr>
      </w:pPr>
    </w:p>
    <w:p w14:paraId="4746099C" w14:textId="64F01142" w:rsidR="0023653B" w:rsidRPr="0023653B" w:rsidRDefault="0023653B" w:rsidP="0023653B">
      <w:pPr>
        <w:spacing w:line="240" w:lineRule="auto"/>
        <w:rPr>
          <w:rFonts w:eastAsia="Times New Roman" w:cs="Arial"/>
          <w:sz w:val="24"/>
          <w:szCs w:val="24"/>
          <w:lang w:eastAsia="bg-BG"/>
        </w:rPr>
      </w:pPr>
      <w:proofErr w:type="spellStart"/>
      <w:proofErr w:type="gramStart"/>
      <w:r w:rsidRPr="0023653B">
        <w:rPr>
          <w:rFonts w:eastAsia="Times New Roman" w:cs="Arial"/>
          <w:i/>
          <w:iCs/>
          <w:color w:val="000000"/>
          <w:lang w:val="en-US"/>
        </w:rPr>
        <w:t>mTOR</w:t>
      </w:r>
      <w:proofErr w:type="spellEnd"/>
      <w:proofErr w:type="gramEnd"/>
      <w:r w:rsidRPr="0023653B">
        <w:rPr>
          <w:rFonts w:eastAsia="Times New Roman" w:cs="Arial"/>
          <w:i/>
          <w:iCs/>
          <w:color w:val="000000"/>
          <w:lang w:val="en-US"/>
        </w:rPr>
        <w:t xml:space="preserve"> </w:t>
      </w:r>
      <w:r w:rsidRPr="0023653B">
        <w:rPr>
          <w:rFonts w:eastAsia="Times New Roman" w:cs="Arial"/>
          <w:i/>
          <w:iCs/>
          <w:color w:val="000000"/>
          <w:lang w:eastAsia="bg-BG"/>
        </w:rPr>
        <w:t>инхибитори (например сиролимус, еверолимус, темсиролимус)</w:t>
      </w:r>
    </w:p>
    <w:p w14:paraId="64EB917E" w14:textId="77777777"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 xml:space="preserve">Пациентите, които получават съпътстващо лечение с </w:t>
      </w:r>
      <w:proofErr w:type="spellStart"/>
      <w:r w:rsidRPr="0023653B">
        <w:rPr>
          <w:rFonts w:eastAsia="Times New Roman" w:cs="Arial"/>
          <w:color w:val="000000"/>
          <w:lang w:val="en-US"/>
        </w:rPr>
        <w:t>mTOR</w:t>
      </w:r>
      <w:proofErr w:type="spellEnd"/>
      <w:r w:rsidRPr="0023653B">
        <w:rPr>
          <w:rFonts w:eastAsia="Times New Roman" w:cs="Arial"/>
          <w:color w:val="000000"/>
          <w:lang w:val="en-US"/>
        </w:rPr>
        <w:t xml:space="preserve"> </w:t>
      </w:r>
      <w:r w:rsidRPr="0023653B">
        <w:rPr>
          <w:rFonts w:eastAsia="Times New Roman" w:cs="Arial"/>
          <w:color w:val="000000"/>
          <w:lang w:eastAsia="bg-BG"/>
        </w:rPr>
        <w:t>инхибитори, могат да бъдат изложени на повишен риск от ангиоедем (вж. т. 4.4),</w:t>
      </w:r>
    </w:p>
    <w:p w14:paraId="355AB225" w14:textId="77777777" w:rsidR="0023653B" w:rsidRPr="0023653B" w:rsidRDefault="0023653B" w:rsidP="0023653B">
      <w:pPr>
        <w:rPr>
          <w:rFonts w:eastAsia="Times New Roman" w:cs="Arial"/>
          <w:i/>
          <w:iCs/>
          <w:color w:val="000000"/>
          <w:lang w:eastAsia="bg-BG"/>
        </w:rPr>
      </w:pPr>
    </w:p>
    <w:p w14:paraId="30AA8E69" w14:textId="01DFC3B1" w:rsidR="0023653B" w:rsidRDefault="0023653B" w:rsidP="0023653B">
      <w:pPr>
        <w:rPr>
          <w:rFonts w:eastAsia="Times New Roman" w:cs="Arial"/>
          <w:i/>
          <w:iCs/>
          <w:color w:val="000000"/>
          <w:lang w:eastAsia="bg-BG"/>
        </w:rPr>
      </w:pPr>
      <w:r w:rsidRPr="0023653B">
        <w:rPr>
          <w:rFonts w:eastAsia="Times New Roman" w:cs="Arial"/>
          <w:i/>
          <w:iCs/>
          <w:color w:val="000000"/>
          <w:lang w:eastAsia="bg-BG"/>
        </w:rPr>
        <w:t>Ко-тримоксазол (триметоприм/сулфаметоксазол)</w:t>
      </w:r>
    </w:p>
    <w:p w14:paraId="00631593" w14:textId="743F6BB0" w:rsidR="0023653B" w:rsidRDefault="0023653B" w:rsidP="0023653B">
      <w:pPr>
        <w:rPr>
          <w:rFonts w:eastAsia="Times New Roman" w:cs="Arial"/>
          <w:i/>
          <w:iCs/>
          <w:color w:val="000000"/>
          <w:lang w:eastAsia="bg-BG"/>
        </w:rPr>
      </w:pPr>
    </w:p>
    <w:p w14:paraId="4D52B858" w14:textId="77777777"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Пациентите, приемащи едновременно ко-тримоксазол (триметоприм / сулфаметоксазол), могат да бъдат изложени на повишен риск от хиперкалиемия (вж. т. 4.4).</w:t>
      </w:r>
    </w:p>
    <w:p w14:paraId="46826383" w14:textId="77777777" w:rsidR="0023653B" w:rsidRPr="0023653B" w:rsidRDefault="0023653B" w:rsidP="0023653B">
      <w:pPr>
        <w:spacing w:line="240" w:lineRule="auto"/>
        <w:rPr>
          <w:rFonts w:eastAsia="Times New Roman" w:cs="Arial"/>
          <w:i/>
          <w:iCs/>
          <w:color w:val="000000"/>
          <w:lang w:eastAsia="bg-BG"/>
        </w:rPr>
      </w:pPr>
    </w:p>
    <w:p w14:paraId="7976F895" w14:textId="75512EEE" w:rsidR="0023653B" w:rsidRPr="0023653B" w:rsidRDefault="0023653B" w:rsidP="0023653B">
      <w:pPr>
        <w:spacing w:line="240" w:lineRule="auto"/>
        <w:rPr>
          <w:rFonts w:eastAsia="Times New Roman" w:cs="Arial"/>
          <w:sz w:val="24"/>
          <w:szCs w:val="24"/>
          <w:lang w:eastAsia="bg-BG"/>
        </w:rPr>
      </w:pPr>
      <w:r w:rsidRPr="0023653B">
        <w:rPr>
          <w:rFonts w:eastAsia="Times New Roman" w:cs="Arial"/>
          <w:i/>
          <w:iCs/>
          <w:color w:val="000000"/>
          <w:lang w:eastAsia="bg-BG"/>
        </w:rPr>
        <w:t>Други антихипертензивни лекарства</w:t>
      </w:r>
    </w:p>
    <w:p w14:paraId="642B6C8E" w14:textId="77777777"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Едновременното приложение на тези лекарства може да усили хипотензивните ефекти на еналаприл. Едновременното приложение с нитроглицерин и други нитрати или други вазодилататори също може допълнително да понижи кръвното налягане.</w:t>
      </w:r>
    </w:p>
    <w:p w14:paraId="42DC8C11" w14:textId="77777777" w:rsidR="0023653B" w:rsidRPr="0023653B" w:rsidRDefault="0023653B" w:rsidP="0023653B">
      <w:pPr>
        <w:spacing w:line="240" w:lineRule="auto"/>
        <w:rPr>
          <w:rFonts w:eastAsia="Times New Roman" w:cs="Arial"/>
          <w:i/>
          <w:iCs/>
          <w:color w:val="000000"/>
          <w:lang w:eastAsia="bg-BG"/>
        </w:rPr>
      </w:pPr>
    </w:p>
    <w:p w14:paraId="70F06A4F" w14:textId="13306698" w:rsidR="0023653B" w:rsidRPr="0023653B" w:rsidRDefault="0023653B" w:rsidP="0023653B">
      <w:pPr>
        <w:spacing w:line="240" w:lineRule="auto"/>
        <w:rPr>
          <w:rFonts w:eastAsia="Times New Roman" w:cs="Arial"/>
          <w:sz w:val="24"/>
          <w:szCs w:val="24"/>
          <w:lang w:eastAsia="bg-BG"/>
        </w:rPr>
      </w:pPr>
      <w:r w:rsidRPr="0023653B">
        <w:rPr>
          <w:rFonts w:eastAsia="Times New Roman" w:cs="Arial"/>
          <w:i/>
          <w:iCs/>
          <w:color w:val="000000"/>
          <w:lang w:eastAsia="bg-BG"/>
        </w:rPr>
        <w:t>Литий</w:t>
      </w:r>
    </w:p>
    <w:p w14:paraId="522B5A06" w14:textId="77777777"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Обратимо повишение на концентрациите на серумния литий и токсичност са съобщавани при едновременното приложение на АСЕ инхибитори и литий. Едновременното приложение с тиазидни диуретици може допълнително да увеличи нивата на лития и риска от литиева токсичност с АСЕ инхибитори. Не се препоръчва приложението на еналаприл с литий, но ако тази комбинация е наложителна, трябва внимателно да се проследяват серумните нива на лития (вж. т. 4.4).</w:t>
      </w:r>
    </w:p>
    <w:p w14:paraId="7F15E7B5" w14:textId="77777777" w:rsidR="0023653B" w:rsidRPr="0023653B" w:rsidRDefault="0023653B" w:rsidP="0023653B">
      <w:pPr>
        <w:spacing w:line="240" w:lineRule="auto"/>
        <w:rPr>
          <w:rFonts w:eastAsia="Times New Roman" w:cs="Arial"/>
          <w:i/>
          <w:iCs/>
          <w:color w:val="000000"/>
          <w:lang w:eastAsia="bg-BG"/>
        </w:rPr>
      </w:pPr>
    </w:p>
    <w:p w14:paraId="642985CC" w14:textId="21F64085" w:rsidR="0023653B" w:rsidRPr="0023653B" w:rsidRDefault="0023653B" w:rsidP="0023653B">
      <w:pPr>
        <w:spacing w:line="240" w:lineRule="auto"/>
        <w:rPr>
          <w:rFonts w:eastAsia="Times New Roman" w:cs="Arial"/>
          <w:sz w:val="24"/>
          <w:szCs w:val="24"/>
          <w:lang w:eastAsia="bg-BG"/>
        </w:rPr>
      </w:pPr>
      <w:r w:rsidRPr="0023653B">
        <w:rPr>
          <w:rFonts w:eastAsia="Times New Roman" w:cs="Arial"/>
          <w:i/>
          <w:iCs/>
          <w:color w:val="000000"/>
          <w:lang w:eastAsia="bg-BG"/>
        </w:rPr>
        <w:t>Трициклични антидепресанти/антипсихотици/анестетици/наркотици</w:t>
      </w:r>
    </w:p>
    <w:p w14:paraId="27FED959" w14:textId="77777777"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Едновременното приложение на някои анестетици, трициклични антидепресанти и антипсихотици с АСЕ инхибитори може да доведе до допълнително намаление на кръвното налягане (вж. т. 4.4).</w:t>
      </w:r>
    </w:p>
    <w:p w14:paraId="3AE561B3" w14:textId="77777777" w:rsidR="0023653B" w:rsidRPr="0023653B" w:rsidRDefault="0023653B" w:rsidP="0023653B">
      <w:pPr>
        <w:spacing w:line="240" w:lineRule="auto"/>
        <w:rPr>
          <w:rFonts w:eastAsia="Times New Roman" w:cs="Arial"/>
          <w:i/>
          <w:iCs/>
          <w:color w:val="000000"/>
          <w:lang w:eastAsia="bg-BG"/>
        </w:rPr>
      </w:pPr>
    </w:p>
    <w:p w14:paraId="76E4F6EF" w14:textId="06671034" w:rsidR="0023653B" w:rsidRPr="0023653B" w:rsidRDefault="0023653B" w:rsidP="0023653B">
      <w:pPr>
        <w:spacing w:line="240" w:lineRule="auto"/>
        <w:rPr>
          <w:rFonts w:eastAsia="Times New Roman" w:cs="Arial"/>
          <w:sz w:val="24"/>
          <w:szCs w:val="24"/>
          <w:lang w:eastAsia="bg-BG"/>
        </w:rPr>
      </w:pPr>
      <w:r w:rsidRPr="0023653B">
        <w:rPr>
          <w:rFonts w:eastAsia="Times New Roman" w:cs="Arial"/>
          <w:i/>
          <w:iCs/>
          <w:color w:val="000000"/>
          <w:lang w:eastAsia="bg-BG"/>
        </w:rPr>
        <w:t>Нестероидни противовъзпалителни средства (НСПВС)</w:t>
      </w:r>
    </w:p>
    <w:p w14:paraId="48E2133A" w14:textId="77777777"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Продължителното лечение с НСПВС може да понижи антихипертензивния ефект на АСЕ инхибитора.</w:t>
      </w:r>
    </w:p>
    <w:p w14:paraId="4013341F" w14:textId="6225F7F7" w:rsidR="0023653B" w:rsidRDefault="0023653B" w:rsidP="0023653B">
      <w:pPr>
        <w:rPr>
          <w:rFonts w:eastAsia="Times New Roman" w:cs="Arial"/>
          <w:color w:val="000000"/>
          <w:lang w:eastAsia="bg-BG"/>
        </w:rPr>
      </w:pPr>
      <w:r w:rsidRPr="0023653B">
        <w:rPr>
          <w:rFonts w:eastAsia="Times New Roman" w:cs="Arial"/>
          <w:color w:val="000000"/>
          <w:lang w:eastAsia="bg-BG"/>
        </w:rPr>
        <w:t>НСПВС (включително СОХ-2 инхибитори) и АСЕ инхибиторите имат адитивен ефект върху повишението на серумния калий и това може да доведе до влошаване на бъбречната функция. Тези ефекти обикновено са обратими. Рядко може да възникне остра бъбречна недостатъчност, особено при пациенти с нарушена бъбречна функция (напр. при пациенти в старческа възраст или при пациенти с обемен дефицит, включително и тези на диуретична терапия). Пациентите трябва адекватно да се хидратират и трябва да се има предвид проследяване на бъбречната функция при започване на едновременна терапия и периодично след това.</w:t>
      </w:r>
    </w:p>
    <w:p w14:paraId="65A69738" w14:textId="43042D0A" w:rsidR="0023653B" w:rsidRDefault="0023653B" w:rsidP="0023653B">
      <w:pPr>
        <w:rPr>
          <w:rFonts w:eastAsia="Times New Roman" w:cs="Arial"/>
          <w:color w:val="000000"/>
          <w:lang w:eastAsia="bg-BG"/>
        </w:rPr>
      </w:pPr>
    </w:p>
    <w:p w14:paraId="798A8367" w14:textId="77777777" w:rsidR="0023653B" w:rsidRPr="0023653B" w:rsidRDefault="0023653B" w:rsidP="0023653B">
      <w:pPr>
        <w:spacing w:line="240" w:lineRule="auto"/>
        <w:rPr>
          <w:rFonts w:eastAsia="Times New Roman" w:cs="Arial"/>
          <w:sz w:val="24"/>
          <w:szCs w:val="24"/>
          <w:lang w:eastAsia="bg-BG"/>
        </w:rPr>
      </w:pPr>
      <w:r w:rsidRPr="0023653B">
        <w:rPr>
          <w:rFonts w:eastAsia="Times New Roman" w:cs="Arial"/>
          <w:i/>
          <w:iCs/>
          <w:color w:val="000000"/>
          <w:lang w:eastAsia="bg-BG"/>
        </w:rPr>
        <w:t>Злато</w:t>
      </w:r>
    </w:p>
    <w:p w14:paraId="51DFFE61" w14:textId="77777777"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Рядко са докладвани нитритоидни реакции (симптоми, включващи зачервяване на лицето, гадене, повръщане и хипотония) при пациенти на терапия с инжекционна форма, съдържаща злато (натриев ауротиомалат) и едновременно лечение с АСЕ инхибитори, включително еналаприл.</w:t>
      </w:r>
    </w:p>
    <w:p w14:paraId="7B027CD9" w14:textId="77777777" w:rsidR="0023653B" w:rsidRPr="0023653B" w:rsidRDefault="0023653B" w:rsidP="0023653B">
      <w:pPr>
        <w:spacing w:line="240" w:lineRule="auto"/>
        <w:rPr>
          <w:rFonts w:eastAsia="Times New Roman" w:cs="Arial"/>
          <w:i/>
          <w:iCs/>
          <w:color w:val="000000"/>
          <w:lang w:eastAsia="bg-BG"/>
        </w:rPr>
      </w:pPr>
    </w:p>
    <w:p w14:paraId="192EA1BD" w14:textId="037001D2" w:rsidR="0023653B" w:rsidRPr="0023653B" w:rsidRDefault="0023653B" w:rsidP="0023653B">
      <w:pPr>
        <w:spacing w:line="240" w:lineRule="auto"/>
        <w:rPr>
          <w:rFonts w:eastAsia="Times New Roman" w:cs="Arial"/>
          <w:sz w:val="24"/>
          <w:szCs w:val="24"/>
          <w:lang w:eastAsia="bg-BG"/>
        </w:rPr>
      </w:pPr>
      <w:r w:rsidRPr="0023653B">
        <w:rPr>
          <w:rFonts w:eastAsia="Times New Roman" w:cs="Arial"/>
          <w:i/>
          <w:iCs/>
          <w:color w:val="000000"/>
          <w:lang w:eastAsia="bg-BG"/>
        </w:rPr>
        <w:t>Симпатикомиметици</w:t>
      </w:r>
    </w:p>
    <w:p w14:paraId="2CFF829D" w14:textId="77777777"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Симпатикомиметиците могат да намалят антихипертензивните ефекти на АСЕ инхибиторите.</w:t>
      </w:r>
    </w:p>
    <w:p w14:paraId="2A4ADE3A" w14:textId="77777777" w:rsidR="0023653B" w:rsidRPr="0023653B" w:rsidRDefault="0023653B" w:rsidP="0023653B">
      <w:pPr>
        <w:spacing w:line="240" w:lineRule="auto"/>
        <w:rPr>
          <w:rFonts w:eastAsia="Times New Roman" w:cs="Arial"/>
          <w:i/>
          <w:iCs/>
          <w:color w:val="000000"/>
          <w:lang w:eastAsia="bg-BG"/>
        </w:rPr>
      </w:pPr>
    </w:p>
    <w:p w14:paraId="6142884A" w14:textId="297C8D71" w:rsidR="0023653B" w:rsidRPr="0023653B" w:rsidRDefault="0023653B" w:rsidP="0023653B">
      <w:pPr>
        <w:spacing w:line="240" w:lineRule="auto"/>
        <w:rPr>
          <w:rFonts w:eastAsia="Times New Roman" w:cs="Arial"/>
          <w:sz w:val="24"/>
          <w:szCs w:val="24"/>
          <w:lang w:eastAsia="bg-BG"/>
        </w:rPr>
      </w:pPr>
      <w:r w:rsidRPr="0023653B">
        <w:rPr>
          <w:rFonts w:eastAsia="Times New Roman" w:cs="Arial"/>
          <w:i/>
          <w:iCs/>
          <w:color w:val="000000"/>
          <w:lang w:eastAsia="bg-BG"/>
        </w:rPr>
        <w:t>Антидиабетни</w:t>
      </w:r>
    </w:p>
    <w:p w14:paraId="5073751E" w14:textId="77777777"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Епидемиологичните проучвания предполагат, че едновременното приложение на АСЕ инхибитори и антидиабетни средства (инсулин, перорални хипогликемични средства) може да доведе до усили понижаващият кръвната захар ефект с риск от хипогликемия. Този феномен възниква особено през първите седмици от комбинираното лечение, какго и при пациенти с бъбречно увреждане (вж. т. 4.4 и 4.8).</w:t>
      </w:r>
    </w:p>
    <w:p w14:paraId="3D4D78EF" w14:textId="77777777" w:rsidR="0023653B" w:rsidRPr="0023653B" w:rsidRDefault="0023653B" w:rsidP="0023653B">
      <w:pPr>
        <w:spacing w:line="240" w:lineRule="auto"/>
        <w:rPr>
          <w:rFonts w:eastAsia="Times New Roman" w:cs="Arial"/>
          <w:i/>
          <w:iCs/>
          <w:color w:val="000000"/>
          <w:lang w:eastAsia="bg-BG"/>
        </w:rPr>
      </w:pPr>
    </w:p>
    <w:p w14:paraId="7860F1DC" w14:textId="153C1710" w:rsidR="0023653B" w:rsidRPr="0023653B" w:rsidRDefault="0023653B" w:rsidP="0023653B">
      <w:pPr>
        <w:spacing w:line="240" w:lineRule="auto"/>
        <w:rPr>
          <w:rFonts w:eastAsia="Times New Roman" w:cs="Arial"/>
          <w:sz w:val="24"/>
          <w:szCs w:val="24"/>
          <w:lang w:eastAsia="bg-BG"/>
        </w:rPr>
      </w:pPr>
      <w:r w:rsidRPr="0023653B">
        <w:rPr>
          <w:rFonts w:eastAsia="Times New Roman" w:cs="Arial"/>
          <w:i/>
          <w:iCs/>
          <w:color w:val="000000"/>
          <w:lang w:eastAsia="bg-BG"/>
        </w:rPr>
        <w:t>Алкохол</w:t>
      </w:r>
    </w:p>
    <w:p w14:paraId="3A2B8FB1" w14:textId="77777777"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Алкохолът усилва хипотензивния ефект на АСЕ инхибиторите.</w:t>
      </w:r>
    </w:p>
    <w:p w14:paraId="10C32233" w14:textId="77777777" w:rsidR="0023653B" w:rsidRPr="0023653B" w:rsidRDefault="0023653B" w:rsidP="0023653B">
      <w:pPr>
        <w:spacing w:line="240" w:lineRule="auto"/>
        <w:rPr>
          <w:rFonts w:eastAsia="Times New Roman" w:cs="Arial"/>
          <w:i/>
          <w:iCs/>
          <w:color w:val="000000"/>
          <w:lang w:eastAsia="bg-BG"/>
        </w:rPr>
      </w:pPr>
    </w:p>
    <w:p w14:paraId="34343C10" w14:textId="60254489" w:rsidR="0023653B" w:rsidRPr="0023653B" w:rsidRDefault="0023653B" w:rsidP="0023653B">
      <w:pPr>
        <w:spacing w:line="240" w:lineRule="auto"/>
        <w:rPr>
          <w:rFonts w:eastAsia="Times New Roman" w:cs="Arial"/>
          <w:sz w:val="24"/>
          <w:szCs w:val="24"/>
          <w:lang w:eastAsia="bg-BG"/>
        </w:rPr>
      </w:pPr>
      <w:r w:rsidRPr="0023653B">
        <w:rPr>
          <w:rFonts w:eastAsia="Times New Roman" w:cs="Arial"/>
          <w:i/>
          <w:iCs/>
          <w:color w:val="000000"/>
          <w:lang w:eastAsia="bg-BG"/>
        </w:rPr>
        <w:t>Ацетилсалицилова киселина и бета-блокери</w:t>
      </w:r>
    </w:p>
    <w:p w14:paraId="1240AF7A" w14:textId="2903BD9E" w:rsidR="0023653B" w:rsidRPr="0023653B" w:rsidRDefault="0023653B" w:rsidP="0023653B">
      <w:pPr>
        <w:rPr>
          <w:rFonts w:eastAsia="Times New Roman" w:cs="Arial"/>
          <w:color w:val="000000"/>
          <w:lang w:eastAsia="bg-BG"/>
        </w:rPr>
      </w:pPr>
      <w:r w:rsidRPr="0023653B">
        <w:rPr>
          <w:rFonts w:eastAsia="Times New Roman" w:cs="Arial"/>
          <w:color w:val="000000"/>
          <w:lang w:eastAsia="bg-BG"/>
        </w:rPr>
        <w:t>Еналаприл може да се прилага безопасно едновременно с ацетилсалицилова киселина (в  кардиологични дози) и бета-блокери.</w:t>
      </w:r>
    </w:p>
    <w:p w14:paraId="0F8E2DFE" w14:textId="77777777" w:rsidR="0023653B" w:rsidRPr="0023653B" w:rsidRDefault="0023653B" w:rsidP="0023653B">
      <w:pPr>
        <w:rPr>
          <w:rFonts w:eastAsia="Times New Roman" w:cs="Arial"/>
          <w:i/>
          <w:iCs/>
          <w:color w:val="000000"/>
          <w:lang w:eastAsia="bg-BG"/>
        </w:rPr>
      </w:pPr>
    </w:p>
    <w:p w14:paraId="394A7584" w14:textId="79E5925B" w:rsidR="004F498A" w:rsidRDefault="002C50EE" w:rsidP="004A448E">
      <w:pPr>
        <w:pStyle w:val="Heading2"/>
      </w:pPr>
      <w:r>
        <w:t>4.6. Фертилитет, бременност и кърмене</w:t>
      </w:r>
    </w:p>
    <w:p w14:paraId="772CA970" w14:textId="076D1B9C" w:rsidR="0023653B" w:rsidRDefault="0023653B" w:rsidP="0023653B"/>
    <w:p w14:paraId="774AD1F5" w14:textId="77777777" w:rsidR="0023653B" w:rsidRPr="0023653B" w:rsidRDefault="0023653B" w:rsidP="0023653B">
      <w:pPr>
        <w:pStyle w:val="Heading3"/>
        <w:rPr>
          <w:rFonts w:eastAsia="Times New Roman"/>
          <w:u w:val="single"/>
          <w:lang w:eastAsia="bg-BG"/>
        </w:rPr>
      </w:pPr>
      <w:r w:rsidRPr="0023653B">
        <w:rPr>
          <w:rFonts w:eastAsia="Times New Roman"/>
          <w:u w:val="single"/>
          <w:lang w:eastAsia="bg-BG"/>
        </w:rPr>
        <w:t>Бременност</w:t>
      </w:r>
    </w:p>
    <w:p w14:paraId="18A3237B" w14:textId="77777777" w:rsidR="0023653B" w:rsidRPr="0023653B" w:rsidRDefault="0023653B" w:rsidP="0023653B">
      <w:pPr>
        <w:spacing w:line="240" w:lineRule="auto"/>
        <w:rPr>
          <w:rFonts w:eastAsia="Times New Roman" w:cs="Arial"/>
          <w:color w:val="000000"/>
          <w:lang w:eastAsia="bg-BG"/>
        </w:rPr>
      </w:pPr>
    </w:p>
    <w:p w14:paraId="0C65A5C8" w14:textId="14A1A77D"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Употребата на АСЕ инхибитори не се препоръчва през първия триместьр на бременността (вж. т. 4.4). Употребата на АСЕ инхибитори е противопоказана през втори и трети триместьр на бременността (вж. т. 43 и 4.4)</w:t>
      </w:r>
    </w:p>
    <w:p w14:paraId="7A92691B" w14:textId="77777777" w:rsidR="0023653B" w:rsidRPr="0023653B" w:rsidRDefault="0023653B" w:rsidP="0023653B">
      <w:pPr>
        <w:spacing w:line="240" w:lineRule="auto"/>
        <w:rPr>
          <w:rFonts w:eastAsia="Times New Roman" w:cs="Arial"/>
          <w:color w:val="000000"/>
          <w:lang w:eastAsia="bg-BG"/>
        </w:rPr>
      </w:pPr>
    </w:p>
    <w:p w14:paraId="3295B436" w14:textId="4594DA95"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Епидемиологични данни относно риск от тератогенност след експозиция на АСЕ инхибитори по време на първия триместьр на бременността не са убедителни; въпреки това не може да се изключи леко повишаване на риска.</w:t>
      </w:r>
    </w:p>
    <w:p w14:paraId="23327541" w14:textId="77777777" w:rsidR="0023653B" w:rsidRPr="0023653B" w:rsidRDefault="0023653B" w:rsidP="0023653B">
      <w:pPr>
        <w:spacing w:line="240" w:lineRule="auto"/>
        <w:rPr>
          <w:rFonts w:eastAsia="Times New Roman" w:cs="Arial"/>
          <w:color w:val="000000"/>
          <w:lang w:eastAsia="bg-BG"/>
        </w:rPr>
      </w:pPr>
    </w:p>
    <w:p w14:paraId="342F4B31" w14:textId="5DD72EFD"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Освен ако продължаването на лечението с АСЕ инхибитори не е от съществена важност, лечението на пациентки, които планират бременност, трябва да се промени на други антихипертензивни лекарства, които имат установен профил на безопасност при употреба по време на бременност.</w:t>
      </w:r>
    </w:p>
    <w:p w14:paraId="7A18132E" w14:textId="77777777" w:rsidR="0023653B" w:rsidRPr="0023653B" w:rsidRDefault="0023653B" w:rsidP="0023653B">
      <w:pPr>
        <w:spacing w:line="240" w:lineRule="auto"/>
        <w:rPr>
          <w:rFonts w:eastAsia="Times New Roman" w:cs="Arial"/>
          <w:color w:val="000000"/>
          <w:lang w:eastAsia="bg-BG"/>
        </w:rPr>
      </w:pPr>
    </w:p>
    <w:p w14:paraId="15646CE5" w14:textId="61C9142E"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При установяване на бременност, приложението на АСЕ инхибитори трябва да се преустанови незабавно, и, ако е уместно, трябва да се започне друга терапия.</w:t>
      </w:r>
    </w:p>
    <w:p w14:paraId="35D37A4F" w14:textId="77777777" w:rsidR="0023653B" w:rsidRPr="0023653B" w:rsidRDefault="0023653B" w:rsidP="0023653B">
      <w:pPr>
        <w:spacing w:line="240" w:lineRule="auto"/>
        <w:rPr>
          <w:rFonts w:eastAsia="Times New Roman" w:cs="Arial"/>
          <w:color w:val="000000"/>
          <w:lang w:eastAsia="bg-BG"/>
        </w:rPr>
      </w:pPr>
    </w:p>
    <w:p w14:paraId="48B25BB7" w14:textId="08A4D030"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Известно е, че експозицията на АСЕ инхибитори през втори и трети триместьр оказва фетотоксичност у хора (намалена бъбречна функция, олигохидрамнион, забавена осификация на черепните кости) и неонатална токсичност (бъбречна недостатъчност, хипотония, хиперкалиемия) (вж. също т. 5.3).</w:t>
      </w:r>
    </w:p>
    <w:p w14:paraId="068FE2BB" w14:textId="77777777" w:rsidR="0023653B" w:rsidRPr="0023653B" w:rsidRDefault="0023653B" w:rsidP="0023653B">
      <w:pPr>
        <w:spacing w:line="240" w:lineRule="auto"/>
        <w:rPr>
          <w:rFonts w:eastAsia="Times New Roman" w:cs="Arial"/>
          <w:color w:val="000000"/>
          <w:lang w:eastAsia="bg-BG"/>
        </w:rPr>
      </w:pPr>
    </w:p>
    <w:p w14:paraId="7D75631A" w14:textId="0D07FD5F"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Олигохидрамнион при майката, вероятно вследствие на намалена фетална бъбречна функция, се появява и може да доведе до контрактури на крайниците, черепно-лицеви деформации и хипопластично развитие на белия дроб.</w:t>
      </w:r>
    </w:p>
    <w:p w14:paraId="057D7A4F" w14:textId="77777777" w:rsidR="0023653B" w:rsidRPr="0023653B" w:rsidRDefault="0023653B" w:rsidP="0023653B">
      <w:pPr>
        <w:spacing w:line="240" w:lineRule="auto"/>
        <w:rPr>
          <w:rFonts w:eastAsia="Times New Roman" w:cs="Arial"/>
          <w:color w:val="000000"/>
          <w:lang w:eastAsia="bg-BG"/>
        </w:rPr>
      </w:pPr>
    </w:p>
    <w:p w14:paraId="1B67E4AB" w14:textId="58F9E2C5"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При експозиция на АСЕ инхибитор през втори триместьр на бременността се препоръчват ултразвуково изследване на бъбречната функция и черепа.</w:t>
      </w:r>
    </w:p>
    <w:p w14:paraId="7BBC3049" w14:textId="77777777"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Кърмачета, чиито майки са приемали АСЕ инхибитори, трябва да се проследяват много внимателно за хипотония (вж. също т. 4.3 и 4.4).</w:t>
      </w:r>
    </w:p>
    <w:p w14:paraId="0FDF9E39" w14:textId="77777777" w:rsidR="0023653B" w:rsidRPr="0023653B" w:rsidRDefault="0023653B" w:rsidP="0023653B">
      <w:pPr>
        <w:spacing w:line="240" w:lineRule="auto"/>
        <w:rPr>
          <w:rFonts w:eastAsia="Times New Roman" w:cs="Arial"/>
          <w:color w:val="000000"/>
          <w:u w:val="single"/>
          <w:lang w:eastAsia="bg-BG"/>
        </w:rPr>
      </w:pPr>
    </w:p>
    <w:p w14:paraId="7D955B40" w14:textId="39C9DAE7" w:rsidR="0023653B" w:rsidRPr="0023653B" w:rsidRDefault="0023653B" w:rsidP="0023653B">
      <w:pPr>
        <w:pStyle w:val="Heading3"/>
        <w:rPr>
          <w:rFonts w:eastAsia="Times New Roman"/>
          <w:u w:val="single"/>
          <w:lang w:eastAsia="bg-BG"/>
        </w:rPr>
      </w:pPr>
      <w:r w:rsidRPr="0023653B">
        <w:rPr>
          <w:rFonts w:eastAsia="Times New Roman"/>
          <w:u w:val="single"/>
          <w:lang w:eastAsia="bg-BG"/>
        </w:rPr>
        <w:t>Кърмене</w:t>
      </w:r>
    </w:p>
    <w:p w14:paraId="0D7EA0EE" w14:textId="54BE403F"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Ограничени фармакокинетични данни показват много ниски концентрации в кърмата (вж. т.</w:t>
      </w:r>
      <w:r>
        <w:rPr>
          <w:rFonts w:eastAsia="Times New Roman" w:cs="Arial"/>
          <w:sz w:val="24"/>
          <w:szCs w:val="24"/>
          <w:lang w:eastAsia="bg-BG"/>
        </w:rPr>
        <w:t xml:space="preserve"> </w:t>
      </w:r>
      <w:r w:rsidRPr="0023653B">
        <w:rPr>
          <w:rFonts w:eastAsia="Times New Roman" w:cs="Arial"/>
          <w:color w:val="000000"/>
          <w:lang w:eastAsia="bg-BG"/>
        </w:rPr>
        <w:t>5.2).</w:t>
      </w:r>
    </w:p>
    <w:p w14:paraId="4DF07C10" w14:textId="77777777"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t>Въпреки че тези концентрации изглежда нямат клинична значимост, употребата на Берлиприл по време на кърмене не се препоръчва при преждевременно родени кърмачета и през първите няколко седмици след раждането, поради хипотетичен риск от сърдечно-съдови и бъбречни ефекти и поради липсата на достатъчно клиничен опит.</w:t>
      </w:r>
    </w:p>
    <w:p w14:paraId="1DD45518" w14:textId="77777777" w:rsidR="0023653B" w:rsidRPr="0023653B" w:rsidRDefault="0023653B" w:rsidP="0023653B">
      <w:pPr>
        <w:spacing w:line="240" w:lineRule="auto"/>
        <w:rPr>
          <w:rFonts w:eastAsia="Times New Roman" w:cs="Arial"/>
          <w:sz w:val="24"/>
          <w:szCs w:val="24"/>
          <w:lang w:eastAsia="bg-BG"/>
        </w:rPr>
      </w:pPr>
      <w:r w:rsidRPr="0023653B">
        <w:rPr>
          <w:rFonts w:eastAsia="Times New Roman" w:cs="Arial"/>
          <w:color w:val="000000"/>
          <w:lang w:eastAsia="bg-BG"/>
        </w:rPr>
        <w:lastRenderedPageBreak/>
        <w:t>При по-големи кърмачета, употребата на Берлиприл от кърмещата майка може да се има предвид, ако лечението е необходимо за майката и ако детето се наблюдава за всякакви нежелани ефекти.</w:t>
      </w:r>
    </w:p>
    <w:p w14:paraId="08275D09" w14:textId="77777777" w:rsidR="0023653B" w:rsidRPr="0023653B" w:rsidRDefault="0023653B" w:rsidP="0023653B">
      <w:pPr>
        <w:spacing w:line="240" w:lineRule="auto"/>
        <w:rPr>
          <w:rFonts w:eastAsia="Times New Roman" w:cs="Arial"/>
          <w:color w:val="000000"/>
          <w:u w:val="single"/>
          <w:lang w:eastAsia="bg-BG"/>
        </w:rPr>
      </w:pPr>
    </w:p>
    <w:p w14:paraId="75D1470B" w14:textId="10C59D11" w:rsidR="0023653B" w:rsidRPr="0023653B" w:rsidRDefault="0023653B" w:rsidP="0023653B">
      <w:pPr>
        <w:pStyle w:val="Heading3"/>
        <w:rPr>
          <w:rFonts w:eastAsia="Times New Roman"/>
          <w:u w:val="single"/>
          <w:lang w:eastAsia="bg-BG"/>
        </w:rPr>
      </w:pPr>
      <w:r w:rsidRPr="0023653B">
        <w:rPr>
          <w:rFonts w:eastAsia="Times New Roman"/>
          <w:u w:val="single"/>
          <w:lang w:eastAsia="bg-BG"/>
        </w:rPr>
        <w:t>Фертилитет</w:t>
      </w:r>
    </w:p>
    <w:p w14:paraId="7FC8F520" w14:textId="6928DD29" w:rsidR="0023653B" w:rsidRPr="0023653B" w:rsidRDefault="0023653B" w:rsidP="0023653B">
      <w:pPr>
        <w:rPr>
          <w:rFonts w:eastAsia="Times New Roman" w:cs="Arial"/>
          <w:color w:val="000000"/>
          <w:lang w:eastAsia="bg-BG"/>
        </w:rPr>
      </w:pPr>
      <w:r w:rsidRPr="0023653B">
        <w:rPr>
          <w:rFonts w:eastAsia="Times New Roman" w:cs="Arial"/>
          <w:color w:val="000000"/>
          <w:lang w:eastAsia="bg-BG"/>
        </w:rPr>
        <w:t>Не са провеждани прочвания за ефекта на Берлиприл върху фертилитета при хора. Проучванията за репродуктивна токсичност показват, че еналаприл няма ефект върху фертилитета и репродуктивната способност при плъхове.</w:t>
      </w:r>
    </w:p>
    <w:p w14:paraId="5FB96541" w14:textId="77777777" w:rsidR="0023653B" w:rsidRPr="0023653B" w:rsidRDefault="0023653B" w:rsidP="0023653B"/>
    <w:p w14:paraId="064DF1DE" w14:textId="7AA95E11" w:rsidR="00CF77F7" w:rsidRDefault="002C50EE" w:rsidP="004A448E">
      <w:pPr>
        <w:pStyle w:val="Heading2"/>
      </w:pPr>
      <w:r>
        <w:t>4.7. Ефекти върху способността за шофиране и работа с машини</w:t>
      </w:r>
    </w:p>
    <w:p w14:paraId="4E8A9B86" w14:textId="367D4C81" w:rsidR="001E0BAF" w:rsidRDefault="001E0BAF" w:rsidP="001E0BAF"/>
    <w:p w14:paraId="7FECCF1F" w14:textId="22B84FE0" w:rsidR="001E0BAF" w:rsidRDefault="001E0BAF" w:rsidP="001E0BAF">
      <w:r>
        <w:t>Трябва да се има предвид че при шофиране или при работа с машини понякога може да възникне замайване или отпадналост.</w:t>
      </w:r>
    </w:p>
    <w:p w14:paraId="13DD196C" w14:textId="77777777" w:rsidR="001E0BAF" w:rsidRPr="001E0BAF" w:rsidRDefault="001E0BAF" w:rsidP="001E0BAF"/>
    <w:p w14:paraId="37A3FD9F" w14:textId="2424FDEE" w:rsidR="00CF77F7" w:rsidRDefault="002C50EE" w:rsidP="004A448E">
      <w:pPr>
        <w:pStyle w:val="Heading2"/>
      </w:pPr>
      <w:r>
        <w:t>4.8. Нежелани лекарствени реакции</w:t>
      </w:r>
    </w:p>
    <w:p w14:paraId="3A2E680E" w14:textId="215ABDB3" w:rsidR="001E0BAF" w:rsidRDefault="001E0BAF" w:rsidP="001E0BAF"/>
    <w:p w14:paraId="312C42FC" w14:textId="01B5D0AF" w:rsidR="001E0BAF" w:rsidRDefault="001E0BAF" w:rsidP="001E0BAF">
      <w:r>
        <w:t>Използва се следната честота за класифициране на нежелани лекарствени реакции:</w:t>
      </w:r>
    </w:p>
    <w:tbl>
      <w:tblPr>
        <w:tblStyle w:val="TableGrid"/>
        <w:tblW w:w="0" w:type="auto"/>
        <w:tblLook w:val="04A0" w:firstRow="1" w:lastRow="0" w:firstColumn="1" w:lastColumn="0" w:noHBand="0" w:noVBand="1"/>
      </w:tblPr>
      <w:tblGrid>
        <w:gridCol w:w="4676"/>
        <w:gridCol w:w="4674"/>
      </w:tblGrid>
      <w:tr w:rsidR="00387894" w14:paraId="7CAAF251" w14:textId="77777777" w:rsidTr="001E0BAF">
        <w:tc>
          <w:tcPr>
            <w:tcW w:w="4750" w:type="dxa"/>
          </w:tcPr>
          <w:p w14:paraId="1CE0F069" w14:textId="6C602ECA" w:rsidR="00387894" w:rsidRDefault="00387894" w:rsidP="00387894">
            <w:r>
              <w:t>Много чести:</w:t>
            </w:r>
          </w:p>
        </w:tc>
        <w:tc>
          <w:tcPr>
            <w:tcW w:w="4750" w:type="dxa"/>
          </w:tcPr>
          <w:p w14:paraId="7C73AC6E" w14:textId="40EFD9F1" w:rsidR="00387894" w:rsidRDefault="00387894" w:rsidP="00387894">
            <w:r>
              <w:t>≥ 1/10</w:t>
            </w:r>
          </w:p>
        </w:tc>
      </w:tr>
      <w:tr w:rsidR="00387894" w14:paraId="470BBE5E" w14:textId="77777777" w:rsidTr="001E0BAF">
        <w:tc>
          <w:tcPr>
            <w:tcW w:w="4750" w:type="dxa"/>
          </w:tcPr>
          <w:p w14:paraId="451EFF18" w14:textId="4C88D561" w:rsidR="00387894" w:rsidRDefault="00387894" w:rsidP="00387894">
            <w:r>
              <w:t>Чести:</w:t>
            </w:r>
          </w:p>
        </w:tc>
        <w:tc>
          <w:tcPr>
            <w:tcW w:w="4750" w:type="dxa"/>
          </w:tcPr>
          <w:p w14:paraId="512D0453" w14:textId="386EDA7B" w:rsidR="00387894" w:rsidRDefault="00387894" w:rsidP="00387894">
            <w:r>
              <w:t>≥ 1/100 до &lt;1/10</w:t>
            </w:r>
          </w:p>
        </w:tc>
      </w:tr>
      <w:tr w:rsidR="00387894" w14:paraId="76ADF292" w14:textId="77777777" w:rsidTr="001E0BAF">
        <w:tc>
          <w:tcPr>
            <w:tcW w:w="4750" w:type="dxa"/>
          </w:tcPr>
          <w:p w14:paraId="2892EA4D" w14:textId="0FC07E46" w:rsidR="00387894" w:rsidRDefault="00387894" w:rsidP="00387894">
            <w:r>
              <w:t>Нечести:</w:t>
            </w:r>
          </w:p>
        </w:tc>
        <w:tc>
          <w:tcPr>
            <w:tcW w:w="4750" w:type="dxa"/>
          </w:tcPr>
          <w:p w14:paraId="273350C2" w14:textId="66B8F1E2" w:rsidR="00387894" w:rsidRDefault="00387894" w:rsidP="00387894">
            <w:r>
              <w:t>≥ 1/1 000 до &lt;1/100</w:t>
            </w:r>
          </w:p>
        </w:tc>
      </w:tr>
      <w:tr w:rsidR="00387894" w14:paraId="2AB4B6D3" w14:textId="77777777" w:rsidTr="001E0BAF">
        <w:tc>
          <w:tcPr>
            <w:tcW w:w="4750" w:type="dxa"/>
          </w:tcPr>
          <w:p w14:paraId="0A3FD1EA" w14:textId="60245C9E" w:rsidR="00387894" w:rsidRDefault="00387894" w:rsidP="00387894">
            <w:r>
              <w:t>Редки:</w:t>
            </w:r>
          </w:p>
        </w:tc>
        <w:tc>
          <w:tcPr>
            <w:tcW w:w="4750" w:type="dxa"/>
          </w:tcPr>
          <w:p w14:paraId="4D64AFAF" w14:textId="6E01FA5A" w:rsidR="00387894" w:rsidRDefault="00387894" w:rsidP="00387894">
            <w:r>
              <w:t>≥ 1/10 000 до &lt;1/1 000</w:t>
            </w:r>
          </w:p>
        </w:tc>
      </w:tr>
      <w:tr w:rsidR="00387894" w14:paraId="415DE814" w14:textId="77777777" w:rsidTr="001E0BAF">
        <w:tc>
          <w:tcPr>
            <w:tcW w:w="4750" w:type="dxa"/>
          </w:tcPr>
          <w:p w14:paraId="71D685DB" w14:textId="5CEE508B" w:rsidR="00387894" w:rsidRDefault="00387894" w:rsidP="00387894">
            <w:r>
              <w:t>Много редки:</w:t>
            </w:r>
          </w:p>
        </w:tc>
        <w:tc>
          <w:tcPr>
            <w:tcW w:w="4750" w:type="dxa"/>
          </w:tcPr>
          <w:p w14:paraId="4DDA0E28" w14:textId="3D94DC75" w:rsidR="00387894" w:rsidRDefault="00387894" w:rsidP="00387894">
            <w:r>
              <w:t>&lt; 1/10 000,</w:t>
            </w:r>
          </w:p>
        </w:tc>
      </w:tr>
      <w:tr w:rsidR="00387894" w14:paraId="567FCA6C" w14:textId="77777777" w:rsidTr="001E0BAF">
        <w:tc>
          <w:tcPr>
            <w:tcW w:w="4750" w:type="dxa"/>
          </w:tcPr>
          <w:p w14:paraId="4A9D0F0C" w14:textId="12DA46EE" w:rsidR="00387894" w:rsidRDefault="00387894" w:rsidP="00387894">
            <w:r>
              <w:t>С неизвестна честота честотата).</w:t>
            </w:r>
          </w:p>
        </w:tc>
        <w:tc>
          <w:tcPr>
            <w:tcW w:w="4750" w:type="dxa"/>
          </w:tcPr>
          <w:p w14:paraId="065719A7" w14:textId="5ADFC471" w:rsidR="00387894" w:rsidRDefault="00387894" w:rsidP="00387894">
            <w:r>
              <w:t>(от наличните данни не може да бъде направена оценка за</w:t>
            </w:r>
          </w:p>
        </w:tc>
      </w:tr>
    </w:tbl>
    <w:p w14:paraId="065AA1BC" w14:textId="558014CA" w:rsidR="001E0BAF" w:rsidRDefault="001E0BAF" w:rsidP="001E0BAF"/>
    <w:p w14:paraId="2DAA7F3F" w14:textId="38643B73" w:rsidR="00387894" w:rsidRPr="00387894" w:rsidRDefault="00387894" w:rsidP="001E0BAF">
      <w:pPr>
        <w:rPr>
          <w:u w:val="single"/>
          <w:lang w:val="en-US"/>
        </w:rPr>
      </w:pPr>
      <w:r w:rsidRPr="00387894">
        <w:rPr>
          <w:u w:val="single"/>
        </w:rPr>
        <w:t>Нарушения на кръвта и лимфната система</w:t>
      </w:r>
      <w:r>
        <w:rPr>
          <w:u w:val="single"/>
          <w:lang w:val="en-US"/>
        </w:rPr>
        <w:t>:</w:t>
      </w:r>
    </w:p>
    <w:tbl>
      <w:tblPr>
        <w:tblStyle w:val="TableGrid"/>
        <w:tblW w:w="0" w:type="auto"/>
        <w:tblLook w:val="04A0" w:firstRow="1" w:lastRow="0" w:firstColumn="1" w:lastColumn="0" w:noHBand="0" w:noVBand="1"/>
      </w:tblPr>
      <w:tblGrid>
        <w:gridCol w:w="4664"/>
        <w:gridCol w:w="4686"/>
      </w:tblGrid>
      <w:tr w:rsidR="00387894" w14:paraId="27BD0AA8" w14:textId="77777777" w:rsidTr="00387894">
        <w:tc>
          <w:tcPr>
            <w:tcW w:w="4750" w:type="dxa"/>
          </w:tcPr>
          <w:p w14:paraId="1DC17D44" w14:textId="77777777" w:rsidR="00387894" w:rsidRDefault="00387894" w:rsidP="00387894">
            <w:r>
              <w:rPr>
                <w:i/>
                <w:iCs/>
              </w:rPr>
              <w:t>Нечести:</w:t>
            </w:r>
          </w:p>
          <w:p w14:paraId="6C146CCB" w14:textId="77777777" w:rsidR="00387894" w:rsidRDefault="00387894" w:rsidP="00387894">
            <w:pPr>
              <w:rPr>
                <w:i/>
                <w:iCs/>
              </w:rPr>
            </w:pPr>
          </w:p>
          <w:p w14:paraId="1E19BFE7" w14:textId="6C5DF888" w:rsidR="00387894" w:rsidRDefault="00387894" w:rsidP="00387894">
            <w:r>
              <w:rPr>
                <w:i/>
                <w:iCs/>
              </w:rPr>
              <w:t>Редки:</w:t>
            </w:r>
          </w:p>
        </w:tc>
        <w:tc>
          <w:tcPr>
            <w:tcW w:w="4750" w:type="dxa"/>
          </w:tcPr>
          <w:p w14:paraId="4F2D766B" w14:textId="77777777" w:rsidR="00387894" w:rsidRDefault="00387894" w:rsidP="00387894">
            <w:r>
              <w:t xml:space="preserve">Анемия (включително апластична и хемолитична) </w:t>
            </w:r>
          </w:p>
          <w:p w14:paraId="066BB07A" w14:textId="77777777" w:rsidR="00387894" w:rsidRDefault="00387894" w:rsidP="00387894"/>
          <w:p w14:paraId="5CE3BC56" w14:textId="1E24D77E" w:rsidR="00387894" w:rsidRDefault="00387894" w:rsidP="00387894">
            <w:r>
              <w:t>Неутропения, понижение на хемоглобина, понижение на хематокрита, тромбоцитопения, агранулоцитоза, подтискане на костно-мозъчната функция, панцитопения, лимфаденопатия, автоимунни заболявания</w:t>
            </w:r>
          </w:p>
        </w:tc>
      </w:tr>
    </w:tbl>
    <w:p w14:paraId="470F7E11" w14:textId="77777777" w:rsidR="00387894" w:rsidRPr="00387894" w:rsidRDefault="00387894" w:rsidP="001E0BAF"/>
    <w:p w14:paraId="54A162A3" w14:textId="77777777" w:rsidR="00387894" w:rsidRPr="00387894" w:rsidRDefault="00387894" w:rsidP="00387894">
      <w:pPr>
        <w:spacing w:line="240" w:lineRule="auto"/>
        <w:rPr>
          <w:rFonts w:eastAsia="Times New Roman" w:cs="Arial"/>
          <w:sz w:val="24"/>
          <w:szCs w:val="24"/>
          <w:lang w:eastAsia="bg-BG"/>
        </w:rPr>
      </w:pPr>
      <w:r w:rsidRPr="00387894">
        <w:rPr>
          <w:rFonts w:eastAsia="Times New Roman" w:cs="Arial"/>
          <w:color w:val="000000"/>
          <w:u w:val="single"/>
          <w:lang w:eastAsia="bg-BG"/>
        </w:rPr>
        <w:t>Нарушения на ендокринната система:</w:t>
      </w:r>
    </w:p>
    <w:p w14:paraId="4E51F5E2" w14:textId="77777777" w:rsidR="00387894" w:rsidRPr="00387894" w:rsidRDefault="00387894" w:rsidP="00387894">
      <w:pPr>
        <w:spacing w:line="240" w:lineRule="auto"/>
        <w:rPr>
          <w:rFonts w:eastAsia="Times New Roman" w:cs="Arial"/>
          <w:sz w:val="24"/>
          <w:szCs w:val="24"/>
          <w:lang w:eastAsia="bg-BG"/>
        </w:rPr>
      </w:pPr>
      <w:r w:rsidRPr="00387894">
        <w:rPr>
          <w:rFonts w:eastAsia="Times New Roman" w:cs="Arial"/>
          <w:i/>
          <w:iCs/>
          <w:color w:val="000000"/>
          <w:lang w:eastAsia="bg-BG"/>
        </w:rPr>
        <w:t>С неизвестна честота:</w:t>
      </w:r>
      <w:r w:rsidRPr="00387894">
        <w:rPr>
          <w:rFonts w:eastAsia="Times New Roman" w:cs="Arial"/>
          <w:color w:val="000000"/>
          <w:lang w:eastAsia="bg-BG"/>
        </w:rPr>
        <w:t xml:space="preserve"> Синдром на недостатъчна секреция на антидиуретичен хормон </w:t>
      </w:r>
      <w:r w:rsidRPr="00387894">
        <w:rPr>
          <w:rFonts w:eastAsia="Times New Roman" w:cs="Arial"/>
          <w:color w:val="000000"/>
          <w:lang w:val="en-US"/>
        </w:rPr>
        <w:t>(SIADH)</w:t>
      </w:r>
    </w:p>
    <w:p w14:paraId="25003EF5" w14:textId="77777777" w:rsidR="00387894" w:rsidRPr="00387894" w:rsidRDefault="00387894" w:rsidP="00387894">
      <w:pPr>
        <w:spacing w:line="240" w:lineRule="auto"/>
        <w:rPr>
          <w:rFonts w:eastAsia="Times New Roman" w:cs="Arial"/>
          <w:color w:val="000000"/>
          <w:u w:val="single"/>
          <w:lang w:eastAsia="bg-BG"/>
        </w:rPr>
      </w:pPr>
    </w:p>
    <w:p w14:paraId="3952C3CE" w14:textId="2E238DB6" w:rsidR="00387894" w:rsidRPr="00387894" w:rsidRDefault="00387894" w:rsidP="00387894">
      <w:pPr>
        <w:spacing w:line="240" w:lineRule="auto"/>
        <w:rPr>
          <w:rFonts w:eastAsia="Times New Roman" w:cs="Arial"/>
          <w:sz w:val="24"/>
          <w:szCs w:val="24"/>
          <w:lang w:eastAsia="bg-BG"/>
        </w:rPr>
      </w:pPr>
      <w:r w:rsidRPr="00387894">
        <w:rPr>
          <w:rFonts w:eastAsia="Times New Roman" w:cs="Arial"/>
          <w:color w:val="000000"/>
          <w:u w:val="single"/>
          <w:lang w:eastAsia="bg-BG"/>
        </w:rPr>
        <w:t>Нарушения на метаболизма и храненето</w:t>
      </w:r>
    </w:p>
    <w:p w14:paraId="372E9479" w14:textId="097B5C0A" w:rsidR="00387894" w:rsidRPr="00387894" w:rsidRDefault="00387894" w:rsidP="00387894">
      <w:pPr>
        <w:spacing w:line="240" w:lineRule="auto"/>
        <w:rPr>
          <w:rFonts w:eastAsia="Times New Roman" w:cs="Arial"/>
          <w:sz w:val="24"/>
          <w:szCs w:val="24"/>
          <w:lang w:eastAsia="bg-BG"/>
        </w:rPr>
      </w:pPr>
      <w:r w:rsidRPr="00387894">
        <w:rPr>
          <w:rFonts w:eastAsia="Times New Roman" w:cs="Arial"/>
          <w:i/>
          <w:iCs/>
          <w:color w:val="000000"/>
          <w:lang w:eastAsia="bg-BG"/>
        </w:rPr>
        <w:t>Нечести:</w:t>
      </w:r>
      <w:r w:rsidR="00F948DB">
        <w:rPr>
          <w:rFonts w:eastAsia="Times New Roman" w:cs="Arial"/>
          <w:color w:val="000000"/>
          <w:lang w:eastAsia="bg-BG"/>
        </w:rPr>
        <w:t xml:space="preserve"> </w:t>
      </w:r>
      <w:r w:rsidRPr="00387894">
        <w:rPr>
          <w:rFonts w:eastAsia="Times New Roman" w:cs="Arial"/>
          <w:color w:val="000000"/>
          <w:lang w:eastAsia="bg-BG"/>
        </w:rPr>
        <w:t>Хипогликемия (вж. т. 4.4)</w:t>
      </w:r>
    </w:p>
    <w:p w14:paraId="5320BE2D" w14:textId="77777777" w:rsidR="00387894" w:rsidRPr="00387894" w:rsidRDefault="00387894" w:rsidP="00387894">
      <w:pPr>
        <w:rPr>
          <w:rFonts w:eastAsia="Times New Roman" w:cs="Arial"/>
          <w:color w:val="000000"/>
          <w:u w:val="single"/>
          <w:lang w:eastAsia="bg-BG"/>
        </w:rPr>
      </w:pPr>
    </w:p>
    <w:p w14:paraId="52234696" w14:textId="157C0D8E" w:rsidR="00387894" w:rsidRPr="00387894" w:rsidRDefault="00387894" w:rsidP="00387894">
      <w:pPr>
        <w:rPr>
          <w:rFonts w:cs="Arial"/>
        </w:rPr>
      </w:pPr>
      <w:r w:rsidRPr="00387894">
        <w:rPr>
          <w:rFonts w:eastAsia="Times New Roman" w:cs="Arial"/>
          <w:color w:val="000000"/>
          <w:u w:val="single"/>
          <w:lang w:eastAsia="bg-BG"/>
        </w:rPr>
        <w:t>Нарушения на нервната система и психични нарушения</w:t>
      </w:r>
    </w:p>
    <w:tbl>
      <w:tblPr>
        <w:tblStyle w:val="TableGrid"/>
        <w:tblW w:w="0" w:type="auto"/>
        <w:tblLook w:val="04A0" w:firstRow="1" w:lastRow="0" w:firstColumn="1" w:lastColumn="0" w:noHBand="0" w:noVBand="1"/>
      </w:tblPr>
      <w:tblGrid>
        <w:gridCol w:w="4672"/>
        <w:gridCol w:w="4678"/>
      </w:tblGrid>
      <w:tr w:rsidR="00387894" w14:paraId="12865091" w14:textId="77777777" w:rsidTr="00387894">
        <w:tc>
          <w:tcPr>
            <w:tcW w:w="4750" w:type="dxa"/>
          </w:tcPr>
          <w:p w14:paraId="740F3A4D" w14:textId="77777777" w:rsidR="00387894" w:rsidRDefault="00387894" w:rsidP="00387894">
            <w:r>
              <w:rPr>
                <w:i/>
                <w:iCs/>
              </w:rPr>
              <w:t>Много чести:</w:t>
            </w:r>
          </w:p>
          <w:p w14:paraId="1A7E06F1" w14:textId="77777777" w:rsidR="00F948DB" w:rsidRDefault="00F948DB" w:rsidP="00387894">
            <w:pPr>
              <w:rPr>
                <w:i/>
                <w:iCs/>
              </w:rPr>
            </w:pPr>
          </w:p>
          <w:p w14:paraId="073C9BBB" w14:textId="2C60D953" w:rsidR="00387894" w:rsidRDefault="00387894" w:rsidP="00387894">
            <w:r>
              <w:rPr>
                <w:i/>
                <w:iCs/>
              </w:rPr>
              <w:t>Чести:</w:t>
            </w:r>
          </w:p>
          <w:p w14:paraId="0EF54E10" w14:textId="77777777" w:rsidR="00F948DB" w:rsidRDefault="00F948DB" w:rsidP="00387894">
            <w:pPr>
              <w:rPr>
                <w:i/>
                <w:iCs/>
              </w:rPr>
            </w:pPr>
          </w:p>
          <w:p w14:paraId="43368E82" w14:textId="77777777" w:rsidR="00F948DB" w:rsidRDefault="00F948DB" w:rsidP="00387894">
            <w:pPr>
              <w:rPr>
                <w:i/>
                <w:iCs/>
              </w:rPr>
            </w:pPr>
          </w:p>
          <w:p w14:paraId="3B2EFCDF" w14:textId="2AE8E218" w:rsidR="00387894" w:rsidRDefault="00387894" w:rsidP="00387894">
            <w:r>
              <w:rPr>
                <w:i/>
                <w:iCs/>
              </w:rPr>
              <w:t>Нечести:</w:t>
            </w:r>
          </w:p>
          <w:p w14:paraId="0EF3A167" w14:textId="77777777" w:rsidR="00F948DB" w:rsidRDefault="00F948DB" w:rsidP="00387894">
            <w:pPr>
              <w:rPr>
                <w:i/>
                <w:iCs/>
              </w:rPr>
            </w:pPr>
          </w:p>
          <w:p w14:paraId="68437D78" w14:textId="77777777" w:rsidR="00F948DB" w:rsidRDefault="00F948DB" w:rsidP="00387894">
            <w:pPr>
              <w:rPr>
                <w:i/>
                <w:iCs/>
              </w:rPr>
            </w:pPr>
          </w:p>
          <w:p w14:paraId="059204F9" w14:textId="494B492F" w:rsidR="00387894" w:rsidRDefault="00387894" w:rsidP="00387894">
            <w:r>
              <w:rPr>
                <w:i/>
                <w:iCs/>
              </w:rPr>
              <w:t>Редки:</w:t>
            </w:r>
          </w:p>
        </w:tc>
        <w:tc>
          <w:tcPr>
            <w:tcW w:w="4750" w:type="dxa"/>
          </w:tcPr>
          <w:p w14:paraId="03F2F928" w14:textId="321ED578" w:rsidR="00387894" w:rsidRDefault="00387894" w:rsidP="00387894">
            <w:r>
              <w:rPr>
                <w:u w:val="single"/>
              </w:rPr>
              <w:lastRenderedPageBreak/>
              <w:t>Замайване</w:t>
            </w:r>
          </w:p>
          <w:p w14:paraId="3A3207C5" w14:textId="77777777" w:rsidR="00F948DB" w:rsidRDefault="00F948DB" w:rsidP="00387894"/>
          <w:p w14:paraId="1B4D2E6D" w14:textId="73C07AC0" w:rsidR="00387894" w:rsidRDefault="00387894" w:rsidP="00387894">
            <w:r>
              <w:lastRenderedPageBreak/>
              <w:t>Главоболие, депресия, синкоп, промяна на вкуса</w:t>
            </w:r>
          </w:p>
          <w:p w14:paraId="7D546D0F" w14:textId="77777777" w:rsidR="00F948DB" w:rsidRDefault="00F948DB" w:rsidP="00387894"/>
          <w:p w14:paraId="7AFADC98" w14:textId="003145EE" w:rsidR="00387894" w:rsidRDefault="00387894" w:rsidP="00387894">
            <w:r>
              <w:t>Объркване, сънливост, безсъние, нервност, парестезии, вертиго</w:t>
            </w:r>
          </w:p>
          <w:p w14:paraId="5ED5C09E" w14:textId="77777777" w:rsidR="00F948DB" w:rsidRDefault="00F948DB" w:rsidP="00387894"/>
          <w:p w14:paraId="4DD57F6D" w14:textId="3383B579" w:rsidR="00387894" w:rsidRDefault="00387894" w:rsidP="00387894">
            <w:r>
              <w:t>Необичайни сънища, нарушен сън</w:t>
            </w:r>
          </w:p>
        </w:tc>
      </w:tr>
    </w:tbl>
    <w:p w14:paraId="032F9332" w14:textId="2A5192B7" w:rsidR="001E0BAF" w:rsidRDefault="001E0BAF" w:rsidP="001E0BAF"/>
    <w:p w14:paraId="16763EDD" w14:textId="6F4F691E" w:rsidR="00387894" w:rsidRDefault="00387894" w:rsidP="001E0BAF">
      <w:pPr>
        <w:rPr>
          <w:u w:val="single"/>
          <w:lang w:val="en-US"/>
        </w:rPr>
      </w:pPr>
      <w:r w:rsidRPr="00387894">
        <w:rPr>
          <w:u w:val="single"/>
        </w:rPr>
        <w:t>Нарушения на очите</w:t>
      </w:r>
      <w:r w:rsidRPr="00387894">
        <w:rPr>
          <w:u w:val="single"/>
          <w:lang w:val="en-US"/>
        </w:rPr>
        <w:t>:</w:t>
      </w:r>
    </w:p>
    <w:p w14:paraId="5480A932" w14:textId="519C4150" w:rsidR="00387894" w:rsidRDefault="00387894" w:rsidP="001E0BAF">
      <w:r>
        <w:rPr>
          <w:i/>
          <w:iCs/>
        </w:rPr>
        <w:t>Много чести:</w:t>
      </w:r>
      <w:r>
        <w:rPr>
          <w:i/>
          <w:iCs/>
          <w:lang w:val="en-US"/>
        </w:rPr>
        <w:t xml:space="preserve"> </w:t>
      </w:r>
      <w:r>
        <w:t>Замъглено виждане</w:t>
      </w:r>
    </w:p>
    <w:p w14:paraId="72828BE0" w14:textId="153D0D35" w:rsidR="00387894" w:rsidRDefault="00387894" w:rsidP="001E0BAF"/>
    <w:p w14:paraId="62307568" w14:textId="6DB620C2" w:rsidR="00387894" w:rsidRPr="00387894" w:rsidRDefault="00387894" w:rsidP="001E0BAF">
      <w:pPr>
        <w:rPr>
          <w:u w:val="single"/>
          <w:lang w:val="en-US"/>
        </w:rPr>
      </w:pPr>
      <w:r w:rsidRPr="00387894">
        <w:rPr>
          <w:u w:val="single"/>
        </w:rPr>
        <w:t>Нарушение на ухото</w:t>
      </w:r>
      <w:r w:rsidRPr="00387894">
        <w:rPr>
          <w:u w:val="single"/>
          <w:lang w:val="en-US"/>
        </w:rPr>
        <w:t xml:space="preserve"> </w:t>
      </w:r>
      <w:r w:rsidRPr="00387894">
        <w:rPr>
          <w:u w:val="single"/>
        </w:rPr>
        <w:t>и лабиринта</w:t>
      </w:r>
      <w:r>
        <w:rPr>
          <w:u w:val="single"/>
          <w:lang w:val="en-US"/>
        </w:rPr>
        <w:t>:</w:t>
      </w:r>
    </w:p>
    <w:p w14:paraId="66BFF8BC" w14:textId="3A348D03" w:rsidR="00387894" w:rsidRDefault="00387894" w:rsidP="001E0BAF">
      <w:r>
        <w:rPr>
          <w:i/>
          <w:iCs/>
        </w:rPr>
        <w:t>Нечести:</w:t>
      </w:r>
      <w:r>
        <w:rPr>
          <w:i/>
          <w:iCs/>
          <w:lang w:val="en-US"/>
        </w:rPr>
        <w:t xml:space="preserve"> </w:t>
      </w:r>
      <w:r>
        <w:t>Шум в ушите</w:t>
      </w:r>
    </w:p>
    <w:p w14:paraId="0D128196" w14:textId="1A0214A3" w:rsidR="00387894" w:rsidRDefault="00387894" w:rsidP="001E0BAF"/>
    <w:p w14:paraId="5CDE6D15" w14:textId="2E2FC670" w:rsidR="00387894" w:rsidRDefault="00387894" w:rsidP="001E0BAF">
      <w:pPr>
        <w:rPr>
          <w:u w:val="single"/>
          <w:lang w:val="en-US"/>
        </w:rPr>
      </w:pPr>
      <w:r>
        <w:rPr>
          <w:u w:val="single"/>
        </w:rPr>
        <w:t>Сърдечни и съдови нарушения</w:t>
      </w:r>
      <w:r>
        <w:rPr>
          <w:u w:val="single"/>
          <w:lang w:val="en-US"/>
        </w:rPr>
        <w:t>:</w:t>
      </w:r>
    </w:p>
    <w:tbl>
      <w:tblPr>
        <w:tblStyle w:val="TableGrid"/>
        <w:tblW w:w="0" w:type="auto"/>
        <w:tblLook w:val="04A0" w:firstRow="1" w:lastRow="0" w:firstColumn="1" w:lastColumn="0" w:noHBand="0" w:noVBand="1"/>
      </w:tblPr>
      <w:tblGrid>
        <w:gridCol w:w="4670"/>
        <w:gridCol w:w="4680"/>
      </w:tblGrid>
      <w:tr w:rsidR="00387894" w14:paraId="40B5E4DB" w14:textId="77777777" w:rsidTr="00387894">
        <w:tc>
          <w:tcPr>
            <w:tcW w:w="4750" w:type="dxa"/>
          </w:tcPr>
          <w:p w14:paraId="47B8878C" w14:textId="313651F1" w:rsidR="00387894" w:rsidRDefault="00387894" w:rsidP="00387894">
            <w:pPr>
              <w:rPr>
                <w:u w:val="single"/>
                <w:lang w:val="en-US"/>
              </w:rPr>
            </w:pPr>
            <w:r>
              <w:rPr>
                <w:i/>
                <w:iCs/>
              </w:rPr>
              <w:t>Чести:</w:t>
            </w:r>
          </w:p>
        </w:tc>
        <w:tc>
          <w:tcPr>
            <w:tcW w:w="4750" w:type="dxa"/>
          </w:tcPr>
          <w:p w14:paraId="0D34E15A" w14:textId="0BF248BF" w:rsidR="00387894" w:rsidRDefault="00387894" w:rsidP="00387894">
            <w:pPr>
              <w:rPr>
                <w:u w:val="single"/>
                <w:lang w:val="en-US"/>
              </w:rPr>
            </w:pPr>
            <w:r>
              <w:t>Хипотония (включително ортостатична хипотония), болка в гърдите, ритъмни нарушения, ангина пекторис, тахикардия</w:t>
            </w:r>
          </w:p>
        </w:tc>
      </w:tr>
      <w:tr w:rsidR="00387894" w14:paraId="583276F4" w14:textId="77777777" w:rsidTr="00387894">
        <w:tc>
          <w:tcPr>
            <w:tcW w:w="4750" w:type="dxa"/>
          </w:tcPr>
          <w:p w14:paraId="1D197104" w14:textId="68DD71B8" w:rsidR="00387894" w:rsidRDefault="00387894" w:rsidP="00387894">
            <w:pPr>
              <w:rPr>
                <w:u w:val="single"/>
                <w:lang w:val="en-US"/>
              </w:rPr>
            </w:pPr>
            <w:r>
              <w:rPr>
                <w:i/>
                <w:iCs/>
              </w:rPr>
              <w:t>Нечести:</w:t>
            </w:r>
          </w:p>
        </w:tc>
        <w:tc>
          <w:tcPr>
            <w:tcW w:w="4750" w:type="dxa"/>
          </w:tcPr>
          <w:p w14:paraId="7411568E" w14:textId="126091BD" w:rsidR="00387894" w:rsidRDefault="00387894" w:rsidP="00387894">
            <w:pPr>
              <w:rPr>
                <w:u w:val="single"/>
                <w:lang w:val="en-US"/>
              </w:rPr>
            </w:pPr>
            <w:r>
              <w:t>Ортостатична хипотония, зачервяване, палпитации, инфарктна миокарда или мозъчно-съдов инцидент</w:t>
            </w:r>
            <w:r>
              <w:rPr>
                <w:vertAlign w:val="superscript"/>
              </w:rPr>
              <w:t>2</w:t>
            </w:r>
            <w:r>
              <w:t>, вероятно причинен от ексцесивна хипотония при високо-рискови пациенти (вж. т. 4.4)</w:t>
            </w:r>
          </w:p>
        </w:tc>
      </w:tr>
      <w:tr w:rsidR="00387894" w14:paraId="266E0A4A" w14:textId="77777777" w:rsidTr="00387894">
        <w:tc>
          <w:tcPr>
            <w:tcW w:w="4750" w:type="dxa"/>
          </w:tcPr>
          <w:p w14:paraId="230A41BD" w14:textId="1DC3B6BC" w:rsidR="00387894" w:rsidRDefault="00387894" w:rsidP="00387894">
            <w:pPr>
              <w:rPr>
                <w:u w:val="single"/>
                <w:lang w:val="en-US"/>
              </w:rPr>
            </w:pPr>
            <w:r>
              <w:rPr>
                <w:i/>
                <w:iCs/>
              </w:rPr>
              <w:t>Редки:</w:t>
            </w:r>
          </w:p>
        </w:tc>
        <w:tc>
          <w:tcPr>
            <w:tcW w:w="4750" w:type="dxa"/>
          </w:tcPr>
          <w:p w14:paraId="5B88B3FE" w14:textId="7846112D" w:rsidR="00387894" w:rsidRDefault="00387894" w:rsidP="00387894">
            <w:pPr>
              <w:rPr>
                <w:u w:val="single"/>
                <w:lang w:val="en-US"/>
              </w:rPr>
            </w:pPr>
            <w:r>
              <w:t>Феномен на Рейно</w:t>
            </w:r>
          </w:p>
        </w:tc>
      </w:tr>
    </w:tbl>
    <w:p w14:paraId="79DC923F" w14:textId="330DE51B" w:rsidR="00387894" w:rsidRDefault="00387894" w:rsidP="001E0BAF">
      <w:pPr>
        <w:rPr>
          <w:u w:val="single"/>
          <w:lang w:val="en-US"/>
        </w:rPr>
      </w:pPr>
    </w:p>
    <w:p w14:paraId="371B1D18" w14:textId="30700D84" w:rsidR="00387894" w:rsidRPr="00387894" w:rsidRDefault="00F948DB" w:rsidP="001E0BAF">
      <w:pPr>
        <w:rPr>
          <w:u w:val="single"/>
          <w:lang w:val="en-US"/>
        </w:rPr>
      </w:pPr>
      <w:r>
        <w:t xml:space="preserve">2 </w:t>
      </w:r>
      <w:r w:rsidR="00387894" w:rsidRPr="00387894">
        <w:t>Честотата е сравнима с тази при плацебо групите и групите с активни контроли в клиничните проучвания.</w:t>
      </w:r>
    </w:p>
    <w:p w14:paraId="7B1DC6BB" w14:textId="5C8FEDB4" w:rsidR="00387894" w:rsidRDefault="00387894" w:rsidP="001E0BAF"/>
    <w:p w14:paraId="189EEDCE" w14:textId="2B5639B2" w:rsidR="00387894" w:rsidRPr="00387894" w:rsidRDefault="00387894" w:rsidP="001E0BAF">
      <w:pPr>
        <w:rPr>
          <w:u w:val="single"/>
          <w:lang w:val="en-US"/>
        </w:rPr>
      </w:pPr>
      <w:r>
        <w:rPr>
          <w:u w:val="single"/>
        </w:rPr>
        <w:t>Респираторни, гръдни и медиастинални нарушения</w:t>
      </w:r>
      <w:r>
        <w:rPr>
          <w:u w:val="single"/>
          <w:lang w:val="en-US"/>
        </w:rPr>
        <w:t>:</w:t>
      </w:r>
    </w:p>
    <w:tbl>
      <w:tblPr>
        <w:tblStyle w:val="TableGrid"/>
        <w:tblW w:w="0" w:type="auto"/>
        <w:tblLook w:val="04A0" w:firstRow="1" w:lastRow="0" w:firstColumn="1" w:lastColumn="0" w:noHBand="0" w:noVBand="1"/>
      </w:tblPr>
      <w:tblGrid>
        <w:gridCol w:w="4656"/>
        <w:gridCol w:w="4694"/>
      </w:tblGrid>
      <w:tr w:rsidR="00387894" w14:paraId="458F0E54" w14:textId="77777777" w:rsidTr="00387894">
        <w:tc>
          <w:tcPr>
            <w:tcW w:w="4750" w:type="dxa"/>
          </w:tcPr>
          <w:p w14:paraId="121AC585" w14:textId="090B4391" w:rsidR="00387894" w:rsidRDefault="00387894" w:rsidP="001E0BAF">
            <w:r>
              <w:rPr>
                <w:i/>
                <w:iCs/>
              </w:rPr>
              <w:t>Много чести:</w:t>
            </w:r>
          </w:p>
        </w:tc>
        <w:tc>
          <w:tcPr>
            <w:tcW w:w="4750" w:type="dxa"/>
          </w:tcPr>
          <w:p w14:paraId="28184154" w14:textId="0F47655F" w:rsidR="00387894" w:rsidRDefault="00387894" w:rsidP="001E0BAF">
            <w:r>
              <w:t>Кашлица</w:t>
            </w:r>
          </w:p>
        </w:tc>
      </w:tr>
      <w:tr w:rsidR="00387894" w14:paraId="6548A903" w14:textId="77777777" w:rsidTr="00387894">
        <w:tc>
          <w:tcPr>
            <w:tcW w:w="4750" w:type="dxa"/>
          </w:tcPr>
          <w:p w14:paraId="1C258C0D" w14:textId="7556B9B7" w:rsidR="00387894" w:rsidRPr="00387894" w:rsidRDefault="00387894" w:rsidP="001E0BAF">
            <w:pPr>
              <w:rPr>
                <w:i/>
                <w:lang w:val="en-US"/>
              </w:rPr>
            </w:pPr>
            <w:r w:rsidRPr="00387894">
              <w:rPr>
                <w:i/>
              </w:rPr>
              <w:t>Чести</w:t>
            </w:r>
            <w:r w:rsidRPr="00387894">
              <w:rPr>
                <w:i/>
                <w:lang w:val="en-US"/>
              </w:rPr>
              <w:t>:</w:t>
            </w:r>
          </w:p>
        </w:tc>
        <w:tc>
          <w:tcPr>
            <w:tcW w:w="4750" w:type="dxa"/>
          </w:tcPr>
          <w:p w14:paraId="677A98E6" w14:textId="55E56259" w:rsidR="00387894" w:rsidRDefault="00387894" w:rsidP="001E0BAF">
            <w:r>
              <w:t>Задух</w:t>
            </w:r>
          </w:p>
        </w:tc>
      </w:tr>
      <w:tr w:rsidR="00387894" w14:paraId="65FA0823" w14:textId="77777777" w:rsidTr="00387894">
        <w:tc>
          <w:tcPr>
            <w:tcW w:w="4750" w:type="dxa"/>
          </w:tcPr>
          <w:p w14:paraId="2F88C2CA" w14:textId="260D0648" w:rsidR="00387894" w:rsidRPr="00387894" w:rsidRDefault="00387894" w:rsidP="001E0BAF">
            <w:pPr>
              <w:rPr>
                <w:i/>
                <w:lang w:val="en-US"/>
              </w:rPr>
            </w:pPr>
            <w:r w:rsidRPr="00387894">
              <w:rPr>
                <w:i/>
              </w:rPr>
              <w:t>Нечести</w:t>
            </w:r>
            <w:r w:rsidRPr="00387894">
              <w:rPr>
                <w:i/>
                <w:lang w:val="en-US"/>
              </w:rPr>
              <w:t>:</w:t>
            </w:r>
          </w:p>
        </w:tc>
        <w:tc>
          <w:tcPr>
            <w:tcW w:w="4750" w:type="dxa"/>
          </w:tcPr>
          <w:p w14:paraId="2CA58C09" w14:textId="683CAE31" w:rsidR="00387894" w:rsidRDefault="00387894" w:rsidP="001E0BAF">
            <w:r>
              <w:t>Ринорея, възпалено гърло и дрезгав глас, бронхоспазъм/астма</w:t>
            </w:r>
          </w:p>
        </w:tc>
      </w:tr>
      <w:tr w:rsidR="00387894" w14:paraId="25E6675B" w14:textId="77777777" w:rsidTr="00387894">
        <w:tc>
          <w:tcPr>
            <w:tcW w:w="4750" w:type="dxa"/>
          </w:tcPr>
          <w:p w14:paraId="563BFC0D" w14:textId="3F5816C3" w:rsidR="00387894" w:rsidRPr="00387894" w:rsidRDefault="00387894" w:rsidP="001E0BAF">
            <w:pPr>
              <w:rPr>
                <w:i/>
                <w:lang w:val="en-US"/>
              </w:rPr>
            </w:pPr>
            <w:r>
              <w:rPr>
                <w:i/>
              </w:rPr>
              <w:t>Редки</w:t>
            </w:r>
            <w:r>
              <w:rPr>
                <w:i/>
                <w:lang w:val="en-US"/>
              </w:rPr>
              <w:t>:</w:t>
            </w:r>
          </w:p>
        </w:tc>
        <w:tc>
          <w:tcPr>
            <w:tcW w:w="4750" w:type="dxa"/>
          </w:tcPr>
          <w:p w14:paraId="4C9747A5" w14:textId="77777777" w:rsidR="00387894" w:rsidRPr="00387894" w:rsidRDefault="00387894" w:rsidP="00387894">
            <w:pPr>
              <w:spacing w:line="240" w:lineRule="auto"/>
              <w:rPr>
                <w:rFonts w:eastAsia="Times New Roman" w:cs="Arial"/>
                <w:sz w:val="24"/>
                <w:szCs w:val="24"/>
                <w:lang w:eastAsia="bg-BG"/>
              </w:rPr>
            </w:pPr>
            <w:r w:rsidRPr="00387894">
              <w:rPr>
                <w:rFonts w:eastAsia="Times New Roman" w:cs="Arial"/>
                <w:color w:val="000000"/>
                <w:lang w:eastAsia="bg-BG"/>
              </w:rPr>
              <w:t>Белодробни инфилтрати, ринит, алергичен алвеолит/еозинофилна</w:t>
            </w:r>
          </w:p>
          <w:p w14:paraId="564165AC" w14:textId="62A4655F" w:rsidR="00387894" w:rsidRDefault="00387894" w:rsidP="00387894">
            <w:r w:rsidRPr="00387894">
              <w:rPr>
                <w:rFonts w:eastAsia="Times New Roman" w:cs="Arial"/>
                <w:color w:val="000000"/>
                <w:lang w:eastAsia="bg-BG"/>
              </w:rPr>
              <w:t>пневмония</w:t>
            </w:r>
          </w:p>
        </w:tc>
      </w:tr>
    </w:tbl>
    <w:p w14:paraId="24B0BD2D" w14:textId="4E82E759" w:rsidR="00387894" w:rsidRDefault="00387894" w:rsidP="001E0BAF"/>
    <w:p w14:paraId="0EF23074" w14:textId="2453989A" w:rsidR="00387894" w:rsidRDefault="00387894" w:rsidP="001E0BAF">
      <w:pPr>
        <w:rPr>
          <w:u w:val="single"/>
          <w:lang w:val="en-US"/>
        </w:rPr>
      </w:pPr>
      <w:r>
        <w:rPr>
          <w:u w:val="single"/>
        </w:rPr>
        <w:t>Стомашно-чревни нарушения</w:t>
      </w:r>
      <w:r>
        <w:rPr>
          <w:u w:val="single"/>
          <w:lang w:val="en-US"/>
        </w:rPr>
        <w:t>:</w:t>
      </w:r>
    </w:p>
    <w:tbl>
      <w:tblPr>
        <w:tblStyle w:val="TableGrid"/>
        <w:tblW w:w="0" w:type="auto"/>
        <w:tblLook w:val="04A0" w:firstRow="1" w:lastRow="0" w:firstColumn="1" w:lastColumn="0" w:noHBand="0" w:noVBand="1"/>
      </w:tblPr>
      <w:tblGrid>
        <w:gridCol w:w="4664"/>
        <w:gridCol w:w="4686"/>
      </w:tblGrid>
      <w:tr w:rsidR="00387894" w14:paraId="6D10BA1D" w14:textId="77777777" w:rsidTr="00387894">
        <w:tc>
          <w:tcPr>
            <w:tcW w:w="4750" w:type="dxa"/>
          </w:tcPr>
          <w:p w14:paraId="1182B22B" w14:textId="77777777" w:rsidR="00387894" w:rsidRDefault="00387894" w:rsidP="00387894">
            <w:r>
              <w:rPr>
                <w:i/>
                <w:iCs/>
              </w:rPr>
              <w:t>Много чести:</w:t>
            </w:r>
          </w:p>
          <w:p w14:paraId="398370DD" w14:textId="77777777" w:rsidR="00F948DB" w:rsidRDefault="00F948DB" w:rsidP="00387894">
            <w:pPr>
              <w:rPr>
                <w:i/>
                <w:iCs/>
              </w:rPr>
            </w:pPr>
          </w:p>
          <w:p w14:paraId="58CAF1A5" w14:textId="6EA48B5D" w:rsidR="00F948DB" w:rsidRDefault="00387894" w:rsidP="00387894">
            <w:pPr>
              <w:rPr>
                <w:i/>
                <w:iCs/>
              </w:rPr>
            </w:pPr>
            <w:r>
              <w:rPr>
                <w:i/>
                <w:iCs/>
              </w:rPr>
              <w:t xml:space="preserve">Чести: </w:t>
            </w:r>
          </w:p>
          <w:p w14:paraId="29098E4B" w14:textId="77777777" w:rsidR="00F948DB" w:rsidRDefault="00F948DB" w:rsidP="00387894">
            <w:pPr>
              <w:rPr>
                <w:i/>
                <w:iCs/>
              </w:rPr>
            </w:pPr>
          </w:p>
          <w:p w14:paraId="130FA115" w14:textId="69B6E8B0" w:rsidR="00387894" w:rsidRDefault="00387894" w:rsidP="00387894">
            <w:pPr>
              <w:rPr>
                <w:u w:val="single"/>
                <w:lang w:val="en-US"/>
              </w:rPr>
            </w:pPr>
            <w:r>
              <w:rPr>
                <w:i/>
                <w:iCs/>
              </w:rPr>
              <w:t>Нечести:</w:t>
            </w:r>
          </w:p>
        </w:tc>
        <w:tc>
          <w:tcPr>
            <w:tcW w:w="4750" w:type="dxa"/>
          </w:tcPr>
          <w:p w14:paraId="51DBAE28" w14:textId="77777777" w:rsidR="00387894" w:rsidRDefault="00387894" w:rsidP="00387894">
            <w:r>
              <w:t>Гадене</w:t>
            </w:r>
          </w:p>
          <w:p w14:paraId="0B9AD1CA" w14:textId="77777777" w:rsidR="00F948DB" w:rsidRDefault="00F948DB" w:rsidP="00387894"/>
          <w:p w14:paraId="73B50933" w14:textId="028D8E5A" w:rsidR="00387894" w:rsidRDefault="00387894" w:rsidP="00387894">
            <w:r>
              <w:t>Диария, болка в корема</w:t>
            </w:r>
          </w:p>
          <w:p w14:paraId="68824C53" w14:textId="77777777" w:rsidR="00F948DB" w:rsidRDefault="00F948DB" w:rsidP="00387894"/>
          <w:p w14:paraId="59A3696F" w14:textId="7CA53229" w:rsidR="00387894" w:rsidRDefault="00387894" w:rsidP="00387894">
            <w:pPr>
              <w:rPr>
                <w:u w:val="single"/>
                <w:lang w:val="en-US"/>
              </w:rPr>
            </w:pPr>
            <w:r>
              <w:t>Илеус, панкреатит, повръщане, диспепсия, констипация, анорексия. стомашно дразнене, сухота в устата, пептична язва</w:t>
            </w:r>
          </w:p>
        </w:tc>
      </w:tr>
      <w:tr w:rsidR="00387894" w14:paraId="0D4E64D1" w14:textId="77777777" w:rsidTr="00387894">
        <w:tc>
          <w:tcPr>
            <w:tcW w:w="4750" w:type="dxa"/>
          </w:tcPr>
          <w:p w14:paraId="357F6E15" w14:textId="77777777" w:rsidR="00387894" w:rsidRDefault="00387894" w:rsidP="00387894">
            <w:r>
              <w:rPr>
                <w:i/>
                <w:iCs/>
              </w:rPr>
              <w:t>Редки:</w:t>
            </w:r>
          </w:p>
          <w:p w14:paraId="35C0CEDD" w14:textId="74AEFD56" w:rsidR="00387894" w:rsidRDefault="00387894" w:rsidP="00387894">
            <w:pPr>
              <w:rPr>
                <w:u w:val="single"/>
                <w:lang w:val="en-US"/>
              </w:rPr>
            </w:pPr>
            <w:r>
              <w:rPr>
                <w:i/>
                <w:iCs/>
              </w:rPr>
              <w:t>Много редки:</w:t>
            </w:r>
          </w:p>
        </w:tc>
        <w:tc>
          <w:tcPr>
            <w:tcW w:w="4750" w:type="dxa"/>
          </w:tcPr>
          <w:p w14:paraId="40CCD684" w14:textId="7839B7B0" w:rsidR="00387894" w:rsidRDefault="00387894" w:rsidP="00387894">
            <w:pPr>
              <w:rPr>
                <w:u w:val="single"/>
                <w:lang w:val="en-US"/>
              </w:rPr>
            </w:pPr>
            <w:r>
              <w:t>Стоматит/афтозни улцерации, глосит Чревен ангиоедем</w:t>
            </w:r>
          </w:p>
        </w:tc>
      </w:tr>
    </w:tbl>
    <w:p w14:paraId="36121946" w14:textId="1F05D843" w:rsidR="00387894" w:rsidRDefault="00387894" w:rsidP="001E0BAF">
      <w:pPr>
        <w:rPr>
          <w:u w:val="single"/>
          <w:lang w:val="en-US"/>
        </w:rPr>
      </w:pPr>
    </w:p>
    <w:p w14:paraId="16DFB817" w14:textId="77777777" w:rsidR="00F948DB" w:rsidRPr="00F948DB" w:rsidRDefault="00F948DB" w:rsidP="00F948DB">
      <w:pPr>
        <w:spacing w:line="240" w:lineRule="auto"/>
        <w:rPr>
          <w:rFonts w:eastAsia="Times New Roman" w:cs="Arial"/>
          <w:sz w:val="24"/>
          <w:szCs w:val="24"/>
          <w:lang w:eastAsia="bg-BG"/>
        </w:rPr>
      </w:pPr>
      <w:r w:rsidRPr="00F948DB">
        <w:rPr>
          <w:rFonts w:eastAsia="Times New Roman" w:cs="Arial"/>
          <w:color w:val="000000"/>
          <w:u w:val="single"/>
          <w:lang w:eastAsia="bg-BG"/>
        </w:rPr>
        <w:t>Хепато-билиарни нарушения</w:t>
      </w:r>
    </w:p>
    <w:p w14:paraId="1FA5F883" w14:textId="77777777" w:rsidR="00F948DB" w:rsidRPr="00F948DB" w:rsidRDefault="00F948DB" w:rsidP="00F948DB">
      <w:pPr>
        <w:spacing w:line="240" w:lineRule="auto"/>
        <w:rPr>
          <w:rFonts w:eastAsia="Times New Roman" w:cs="Arial"/>
          <w:sz w:val="24"/>
          <w:szCs w:val="24"/>
          <w:lang w:eastAsia="bg-BG"/>
        </w:rPr>
      </w:pPr>
      <w:r w:rsidRPr="00F948DB">
        <w:rPr>
          <w:rFonts w:eastAsia="Times New Roman" w:cs="Arial"/>
          <w:i/>
          <w:iCs/>
          <w:color w:val="000000"/>
          <w:lang w:eastAsia="bg-BG"/>
        </w:rPr>
        <w:t>Редки:</w:t>
      </w:r>
      <w:r w:rsidRPr="00F948DB">
        <w:rPr>
          <w:rFonts w:eastAsia="Times New Roman" w:cs="Arial"/>
          <w:color w:val="000000"/>
          <w:lang w:eastAsia="bg-BG"/>
        </w:rPr>
        <w:tab/>
        <w:t>Чернодробна недостатъчност, хепатит - хепатоцелуларен или</w:t>
      </w:r>
    </w:p>
    <w:p w14:paraId="3D3B8F3C" w14:textId="77777777" w:rsidR="00F948DB" w:rsidRPr="00F948DB" w:rsidRDefault="00F948DB" w:rsidP="00F948DB">
      <w:pPr>
        <w:spacing w:line="240" w:lineRule="auto"/>
        <w:rPr>
          <w:rFonts w:eastAsia="Times New Roman" w:cs="Arial"/>
          <w:sz w:val="24"/>
          <w:szCs w:val="24"/>
          <w:lang w:eastAsia="bg-BG"/>
        </w:rPr>
      </w:pPr>
      <w:r w:rsidRPr="00F948DB">
        <w:rPr>
          <w:rFonts w:eastAsia="Times New Roman" w:cs="Arial"/>
          <w:color w:val="000000"/>
          <w:lang w:eastAsia="bg-BG"/>
        </w:rPr>
        <w:t>холестатичен, хепатит, който включващ некроза, холестаза (включително жълтеница)</w:t>
      </w:r>
    </w:p>
    <w:p w14:paraId="4DBBA317" w14:textId="77777777" w:rsidR="00F948DB" w:rsidRPr="00F948DB" w:rsidRDefault="00F948DB" w:rsidP="00F948DB">
      <w:pPr>
        <w:spacing w:line="240" w:lineRule="auto"/>
        <w:rPr>
          <w:rFonts w:eastAsia="Times New Roman" w:cs="Arial"/>
          <w:color w:val="000000"/>
          <w:u w:val="single"/>
          <w:lang w:eastAsia="bg-BG"/>
        </w:rPr>
      </w:pPr>
    </w:p>
    <w:p w14:paraId="30F2BBE0" w14:textId="1C96515A" w:rsidR="00F948DB" w:rsidRPr="00F948DB" w:rsidRDefault="00F948DB" w:rsidP="00F948DB">
      <w:pPr>
        <w:spacing w:line="240" w:lineRule="auto"/>
        <w:rPr>
          <w:rFonts w:eastAsia="Times New Roman" w:cs="Arial"/>
          <w:sz w:val="24"/>
          <w:szCs w:val="24"/>
          <w:lang w:eastAsia="bg-BG"/>
        </w:rPr>
      </w:pPr>
      <w:r w:rsidRPr="00F948DB">
        <w:rPr>
          <w:rFonts w:eastAsia="Times New Roman" w:cs="Arial"/>
          <w:color w:val="000000"/>
          <w:u w:val="single"/>
          <w:lang w:eastAsia="bg-BG"/>
        </w:rPr>
        <w:t>Нарушения на кожата и подкожната тъкан</w:t>
      </w:r>
    </w:p>
    <w:p w14:paraId="6B1E5A5D" w14:textId="631014BC" w:rsidR="00F948DB" w:rsidRPr="00F948DB" w:rsidRDefault="00F948DB" w:rsidP="00F948DB">
      <w:pPr>
        <w:spacing w:line="240" w:lineRule="auto"/>
        <w:rPr>
          <w:rFonts w:eastAsia="Times New Roman" w:cs="Arial"/>
          <w:sz w:val="24"/>
          <w:szCs w:val="24"/>
          <w:lang w:eastAsia="bg-BG"/>
        </w:rPr>
      </w:pPr>
      <w:r w:rsidRPr="00F948DB">
        <w:rPr>
          <w:rFonts w:eastAsia="Times New Roman" w:cs="Arial"/>
          <w:i/>
          <w:iCs/>
          <w:color w:val="000000"/>
          <w:lang w:eastAsia="bg-BG"/>
        </w:rPr>
        <w:t>Чести:</w:t>
      </w:r>
      <w:r>
        <w:rPr>
          <w:rFonts w:eastAsia="Times New Roman" w:cs="Arial"/>
          <w:color w:val="000000"/>
          <w:lang w:eastAsia="bg-BG"/>
        </w:rPr>
        <w:t xml:space="preserve"> </w:t>
      </w:r>
      <w:r w:rsidRPr="00F948DB">
        <w:rPr>
          <w:rFonts w:eastAsia="Times New Roman" w:cs="Arial"/>
          <w:color w:val="000000"/>
          <w:lang w:eastAsia="bg-BG"/>
        </w:rPr>
        <w:t>Обрив, свръхчувствителност/ангиоедем: има данни за ангиоедем,</w:t>
      </w:r>
    </w:p>
    <w:p w14:paraId="067D8166" w14:textId="77777777" w:rsidR="00F948DB" w:rsidRPr="00F948DB" w:rsidRDefault="00F948DB" w:rsidP="00F948DB">
      <w:pPr>
        <w:spacing w:line="240" w:lineRule="auto"/>
        <w:rPr>
          <w:rFonts w:eastAsia="Times New Roman" w:cs="Arial"/>
          <w:sz w:val="24"/>
          <w:szCs w:val="24"/>
          <w:lang w:eastAsia="bg-BG"/>
        </w:rPr>
      </w:pPr>
      <w:r w:rsidRPr="00F948DB">
        <w:rPr>
          <w:rFonts w:eastAsia="Times New Roman" w:cs="Arial"/>
          <w:color w:val="000000"/>
          <w:lang w:eastAsia="bg-BG"/>
        </w:rPr>
        <w:t>обхващащ лицето, крайниците, устните, езика, глотиса и/или ларинкса (вж. т. 4.4)</w:t>
      </w:r>
    </w:p>
    <w:p w14:paraId="17D9D0D7" w14:textId="030E675C" w:rsidR="00F948DB" w:rsidRPr="00F948DB" w:rsidRDefault="00F948DB" w:rsidP="00F948DB">
      <w:pPr>
        <w:spacing w:line="240" w:lineRule="auto"/>
        <w:rPr>
          <w:rFonts w:eastAsia="Times New Roman" w:cs="Arial"/>
          <w:sz w:val="24"/>
          <w:szCs w:val="24"/>
          <w:lang w:eastAsia="bg-BG"/>
        </w:rPr>
      </w:pPr>
      <w:r w:rsidRPr="00F948DB">
        <w:rPr>
          <w:rFonts w:eastAsia="Times New Roman" w:cs="Arial"/>
          <w:i/>
          <w:iCs/>
          <w:color w:val="000000"/>
          <w:lang w:eastAsia="bg-BG"/>
        </w:rPr>
        <w:t>Нечести:</w:t>
      </w:r>
      <w:r>
        <w:rPr>
          <w:rFonts w:eastAsia="Times New Roman" w:cs="Arial"/>
          <w:color w:val="000000"/>
          <w:lang w:eastAsia="bg-BG"/>
        </w:rPr>
        <w:t xml:space="preserve"> </w:t>
      </w:r>
      <w:r w:rsidRPr="00F948DB">
        <w:rPr>
          <w:rFonts w:eastAsia="Times New Roman" w:cs="Arial"/>
          <w:color w:val="000000"/>
          <w:lang w:eastAsia="bg-BG"/>
        </w:rPr>
        <w:t>Диафореза, сърбеж, уртикария, алопеция</w:t>
      </w:r>
    </w:p>
    <w:p w14:paraId="1A2D9715" w14:textId="5A9FF3F6" w:rsidR="00F948DB" w:rsidRPr="00F948DB" w:rsidRDefault="00F948DB" w:rsidP="00F948DB">
      <w:pPr>
        <w:spacing w:line="240" w:lineRule="auto"/>
        <w:rPr>
          <w:rFonts w:eastAsia="Times New Roman" w:cs="Arial"/>
          <w:sz w:val="24"/>
          <w:szCs w:val="24"/>
          <w:lang w:eastAsia="bg-BG"/>
        </w:rPr>
      </w:pPr>
      <w:r w:rsidRPr="00F948DB">
        <w:rPr>
          <w:rFonts w:eastAsia="Times New Roman" w:cs="Arial"/>
          <w:i/>
          <w:iCs/>
          <w:color w:val="000000"/>
          <w:lang w:eastAsia="bg-BG"/>
        </w:rPr>
        <w:t>Редки:</w:t>
      </w:r>
      <w:r w:rsidRPr="00F948DB">
        <w:rPr>
          <w:rFonts w:eastAsia="Times New Roman" w:cs="Arial"/>
          <w:color w:val="000000"/>
          <w:lang w:eastAsia="bg-BG"/>
        </w:rPr>
        <w:tab/>
      </w:r>
      <w:r>
        <w:rPr>
          <w:rFonts w:eastAsia="Times New Roman" w:cs="Arial"/>
          <w:color w:val="000000"/>
          <w:lang w:val="en-US" w:eastAsia="bg-BG"/>
        </w:rPr>
        <w:t xml:space="preserve"> </w:t>
      </w:r>
      <w:r w:rsidRPr="00F948DB">
        <w:rPr>
          <w:rFonts w:eastAsia="Times New Roman" w:cs="Arial"/>
          <w:color w:val="000000"/>
          <w:lang w:eastAsia="bg-BG"/>
        </w:rPr>
        <w:t>Еритема мултиформе, синдром на Стивънс-Джонсън, ексфолиативен</w:t>
      </w:r>
    </w:p>
    <w:p w14:paraId="6209C556" w14:textId="77777777" w:rsidR="00F948DB" w:rsidRPr="00F948DB" w:rsidRDefault="00F948DB" w:rsidP="00F948DB">
      <w:pPr>
        <w:spacing w:line="240" w:lineRule="auto"/>
        <w:rPr>
          <w:rFonts w:eastAsia="Times New Roman" w:cs="Arial"/>
          <w:sz w:val="24"/>
          <w:szCs w:val="24"/>
          <w:lang w:eastAsia="bg-BG"/>
        </w:rPr>
      </w:pPr>
      <w:r w:rsidRPr="00F948DB">
        <w:rPr>
          <w:rFonts w:eastAsia="Times New Roman" w:cs="Arial"/>
          <w:color w:val="000000"/>
          <w:lang w:eastAsia="bg-BG"/>
        </w:rPr>
        <w:t>дерматит, токсична епидермална некролиза, пемфигус, еритродермия</w:t>
      </w:r>
    </w:p>
    <w:p w14:paraId="08BB1DC9" w14:textId="77777777" w:rsidR="00F948DB" w:rsidRPr="00F948DB" w:rsidRDefault="00F948DB" w:rsidP="00F948DB">
      <w:pPr>
        <w:spacing w:line="240" w:lineRule="auto"/>
        <w:rPr>
          <w:rFonts w:eastAsia="Times New Roman" w:cs="Arial"/>
          <w:i/>
          <w:iCs/>
          <w:color w:val="000000"/>
          <w:lang w:eastAsia="bg-BG"/>
        </w:rPr>
      </w:pPr>
    </w:p>
    <w:p w14:paraId="2BE463BD" w14:textId="326C8871" w:rsidR="00F948DB" w:rsidRPr="00F948DB" w:rsidRDefault="00F948DB" w:rsidP="00F948DB">
      <w:pPr>
        <w:spacing w:line="240" w:lineRule="auto"/>
        <w:rPr>
          <w:rFonts w:eastAsia="Times New Roman" w:cs="Arial"/>
          <w:sz w:val="24"/>
          <w:szCs w:val="24"/>
          <w:lang w:eastAsia="bg-BG"/>
        </w:rPr>
      </w:pPr>
      <w:r w:rsidRPr="00F948DB">
        <w:rPr>
          <w:rFonts w:eastAsia="Times New Roman" w:cs="Arial"/>
          <w:i/>
          <w:iCs/>
          <w:color w:val="000000"/>
          <w:lang w:eastAsia="bg-BG"/>
        </w:rPr>
        <w:t>С неизвестна честота:</w:t>
      </w:r>
      <w:r w:rsidRPr="00F948DB">
        <w:rPr>
          <w:rFonts w:eastAsia="Times New Roman" w:cs="Arial"/>
          <w:color w:val="000000"/>
          <w:lang w:eastAsia="bg-BG"/>
        </w:rPr>
        <w:t xml:space="preserve"> Съобщаван е симптомокомплекс, който може да включва някой или всички от следните: повишена температура, серозит, васкулит, миалгия/миозит, артралгия/артрит, положителни </w:t>
      </w:r>
      <w:r w:rsidRPr="00F948DB">
        <w:rPr>
          <w:rFonts w:eastAsia="Times New Roman" w:cs="Arial"/>
          <w:color w:val="000000"/>
          <w:lang w:val="en-US"/>
        </w:rPr>
        <w:t xml:space="preserve">ANA, </w:t>
      </w:r>
      <w:r w:rsidRPr="00F948DB">
        <w:rPr>
          <w:rFonts w:eastAsia="Times New Roman" w:cs="Arial"/>
          <w:color w:val="000000"/>
          <w:lang w:eastAsia="bg-BG"/>
        </w:rPr>
        <w:t>повишено СУЕ, еозинофилия и левкоцитоза. Могат да възникнат обрив, фоточувствителност или други кожни изяви.</w:t>
      </w:r>
    </w:p>
    <w:p w14:paraId="79DEC9C4" w14:textId="77777777" w:rsidR="00F948DB" w:rsidRPr="00F948DB" w:rsidRDefault="00F948DB" w:rsidP="00F948DB">
      <w:pPr>
        <w:spacing w:line="240" w:lineRule="auto"/>
        <w:rPr>
          <w:rFonts w:eastAsia="Times New Roman" w:cs="Arial"/>
          <w:color w:val="000000"/>
          <w:lang w:eastAsia="bg-BG"/>
        </w:rPr>
      </w:pPr>
    </w:p>
    <w:p w14:paraId="73D307EC" w14:textId="0D726D7B" w:rsidR="00F948DB" w:rsidRPr="00F948DB" w:rsidRDefault="00F948DB" w:rsidP="00F948DB">
      <w:pPr>
        <w:spacing w:line="240" w:lineRule="auto"/>
        <w:rPr>
          <w:rFonts w:eastAsia="Times New Roman" w:cs="Arial"/>
          <w:sz w:val="24"/>
          <w:szCs w:val="24"/>
          <w:u w:val="single"/>
          <w:lang w:eastAsia="bg-BG"/>
        </w:rPr>
      </w:pPr>
      <w:r w:rsidRPr="00F948DB">
        <w:rPr>
          <w:rFonts w:eastAsia="Times New Roman" w:cs="Arial"/>
          <w:color w:val="000000"/>
          <w:u w:val="single"/>
          <w:lang w:eastAsia="bg-BG"/>
        </w:rPr>
        <w:t>Нарушения на мускулно-скелетната система и съединителната тъкан</w:t>
      </w:r>
    </w:p>
    <w:p w14:paraId="01E3E6C5" w14:textId="2424F07E" w:rsidR="00F948DB" w:rsidRPr="00F948DB" w:rsidRDefault="00F948DB" w:rsidP="00F948DB">
      <w:pPr>
        <w:spacing w:line="240" w:lineRule="auto"/>
        <w:rPr>
          <w:rFonts w:eastAsia="Times New Roman" w:cs="Arial"/>
          <w:sz w:val="24"/>
          <w:szCs w:val="24"/>
          <w:lang w:eastAsia="bg-BG"/>
        </w:rPr>
      </w:pPr>
      <w:r w:rsidRPr="00F948DB">
        <w:rPr>
          <w:rFonts w:eastAsia="Times New Roman" w:cs="Arial"/>
          <w:i/>
          <w:iCs/>
          <w:color w:val="000000"/>
          <w:lang w:eastAsia="bg-BG"/>
        </w:rPr>
        <w:t>Нечести:</w:t>
      </w:r>
      <w:r>
        <w:rPr>
          <w:rFonts w:eastAsia="Times New Roman" w:cs="Arial"/>
          <w:color w:val="000000"/>
          <w:lang w:eastAsia="bg-BG"/>
        </w:rPr>
        <w:t xml:space="preserve"> </w:t>
      </w:r>
      <w:r w:rsidRPr="00F948DB">
        <w:rPr>
          <w:rFonts w:eastAsia="Times New Roman" w:cs="Arial"/>
          <w:color w:val="000000"/>
          <w:lang w:eastAsia="bg-BG"/>
        </w:rPr>
        <w:t>Мускулни крампи</w:t>
      </w:r>
    </w:p>
    <w:p w14:paraId="661C6DD1" w14:textId="77777777" w:rsidR="00F948DB" w:rsidRPr="00F948DB" w:rsidRDefault="00F948DB" w:rsidP="00F948DB">
      <w:pPr>
        <w:spacing w:line="240" w:lineRule="auto"/>
        <w:rPr>
          <w:rFonts w:eastAsia="Times New Roman" w:cs="Arial"/>
          <w:color w:val="000000"/>
          <w:u w:val="single"/>
          <w:lang w:eastAsia="bg-BG"/>
        </w:rPr>
      </w:pPr>
    </w:p>
    <w:p w14:paraId="1F18B4C3" w14:textId="72EF6C58" w:rsidR="00F948DB" w:rsidRPr="00F948DB" w:rsidRDefault="00F948DB" w:rsidP="00F948DB">
      <w:pPr>
        <w:spacing w:line="240" w:lineRule="auto"/>
        <w:rPr>
          <w:rFonts w:eastAsia="Times New Roman" w:cs="Arial"/>
          <w:sz w:val="24"/>
          <w:szCs w:val="24"/>
          <w:lang w:eastAsia="bg-BG"/>
        </w:rPr>
      </w:pPr>
      <w:r w:rsidRPr="00F948DB">
        <w:rPr>
          <w:rFonts w:eastAsia="Times New Roman" w:cs="Arial"/>
          <w:color w:val="000000"/>
          <w:u w:val="single"/>
          <w:lang w:eastAsia="bg-BG"/>
        </w:rPr>
        <w:t>Нарушения на бъбреците и пикочните пътища</w:t>
      </w:r>
    </w:p>
    <w:p w14:paraId="11DB623B" w14:textId="7F3949D3" w:rsidR="00F948DB" w:rsidRPr="00F948DB" w:rsidRDefault="00F948DB" w:rsidP="00F948DB">
      <w:pPr>
        <w:spacing w:line="240" w:lineRule="auto"/>
        <w:rPr>
          <w:rFonts w:eastAsia="Times New Roman" w:cs="Arial"/>
          <w:sz w:val="24"/>
          <w:szCs w:val="24"/>
          <w:lang w:eastAsia="bg-BG"/>
        </w:rPr>
      </w:pPr>
      <w:r w:rsidRPr="00F948DB">
        <w:rPr>
          <w:rFonts w:eastAsia="Times New Roman" w:cs="Arial"/>
          <w:i/>
          <w:iCs/>
          <w:color w:val="000000"/>
          <w:lang w:eastAsia="bg-BG"/>
        </w:rPr>
        <w:t>Нечести:</w:t>
      </w:r>
      <w:r>
        <w:rPr>
          <w:rFonts w:eastAsia="Times New Roman" w:cs="Arial"/>
          <w:color w:val="000000"/>
          <w:lang w:eastAsia="bg-BG"/>
        </w:rPr>
        <w:t xml:space="preserve"> </w:t>
      </w:r>
      <w:r w:rsidRPr="00F948DB">
        <w:rPr>
          <w:rFonts w:eastAsia="Times New Roman" w:cs="Arial"/>
          <w:color w:val="000000"/>
          <w:lang w:eastAsia="bg-BG"/>
        </w:rPr>
        <w:t>Нарушена бъбречна функция, бъбречна недостатъчност,</w:t>
      </w:r>
    </w:p>
    <w:p w14:paraId="28541D32" w14:textId="77777777" w:rsidR="00F948DB" w:rsidRPr="00F948DB" w:rsidRDefault="00F948DB" w:rsidP="00F948DB">
      <w:pPr>
        <w:spacing w:line="240" w:lineRule="auto"/>
        <w:rPr>
          <w:rFonts w:eastAsia="Times New Roman" w:cs="Arial"/>
          <w:sz w:val="24"/>
          <w:szCs w:val="24"/>
          <w:lang w:eastAsia="bg-BG"/>
        </w:rPr>
      </w:pPr>
      <w:r w:rsidRPr="00F948DB">
        <w:rPr>
          <w:rFonts w:eastAsia="Times New Roman" w:cs="Arial"/>
          <w:color w:val="000000"/>
          <w:lang w:eastAsia="bg-BG"/>
        </w:rPr>
        <w:t>протеинурия</w:t>
      </w:r>
    </w:p>
    <w:p w14:paraId="3DF0BDA3" w14:textId="77777777" w:rsidR="00F948DB" w:rsidRPr="00F948DB" w:rsidRDefault="00F948DB" w:rsidP="00F948DB">
      <w:pPr>
        <w:spacing w:line="240" w:lineRule="auto"/>
        <w:rPr>
          <w:rFonts w:eastAsia="Times New Roman" w:cs="Arial"/>
          <w:sz w:val="24"/>
          <w:szCs w:val="24"/>
          <w:lang w:eastAsia="bg-BG"/>
        </w:rPr>
      </w:pPr>
      <w:r w:rsidRPr="00F948DB">
        <w:rPr>
          <w:rFonts w:eastAsia="Times New Roman" w:cs="Arial"/>
          <w:i/>
          <w:iCs/>
          <w:color w:val="000000"/>
          <w:lang w:eastAsia="bg-BG"/>
        </w:rPr>
        <w:t>Редки:</w:t>
      </w:r>
      <w:r w:rsidRPr="00F948DB">
        <w:rPr>
          <w:rFonts w:eastAsia="Times New Roman" w:cs="Arial"/>
          <w:color w:val="000000"/>
          <w:lang w:eastAsia="bg-BG"/>
        </w:rPr>
        <w:tab/>
        <w:t>Олигоурия</w:t>
      </w:r>
    </w:p>
    <w:p w14:paraId="08E5F0E4" w14:textId="77777777" w:rsidR="00F948DB" w:rsidRPr="00F948DB" w:rsidRDefault="00F948DB" w:rsidP="00F948DB">
      <w:pPr>
        <w:spacing w:line="240" w:lineRule="auto"/>
        <w:rPr>
          <w:rFonts w:eastAsia="Times New Roman" w:cs="Arial"/>
          <w:color w:val="000000"/>
          <w:u w:val="single"/>
          <w:lang w:eastAsia="bg-BG"/>
        </w:rPr>
      </w:pPr>
    </w:p>
    <w:p w14:paraId="57A7F213" w14:textId="6BADE2E2" w:rsidR="00F948DB" w:rsidRPr="00F948DB" w:rsidRDefault="00F948DB" w:rsidP="00F948DB">
      <w:pPr>
        <w:spacing w:line="240" w:lineRule="auto"/>
        <w:rPr>
          <w:rFonts w:eastAsia="Times New Roman" w:cs="Arial"/>
          <w:sz w:val="24"/>
          <w:szCs w:val="24"/>
          <w:lang w:eastAsia="bg-BG"/>
        </w:rPr>
      </w:pPr>
      <w:r w:rsidRPr="00F948DB">
        <w:rPr>
          <w:rFonts w:eastAsia="Times New Roman" w:cs="Arial"/>
          <w:color w:val="000000"/>
          <w:u w:val="single"/>
          <w:lang w:eastAsia="bg-BG"/>
        </w:rPr>
        <w:t>Нарушения на възпроизводителната система и гърдата</w:t>
      </w:r>
    </w:p>
    <w:p w14:paraId="60FEB744" w14:textId="7A2B6561" w:rsidR="00F948DB" w:rsidRPr="00F948DB" w:rsidRDefault="00F948DB" w:rsidP="00F948DB">
      <w:pPr>
        <w:spacing w:line="240" w:lineRule="auto"/>
        <w:rPr>
          <w:rFonts w:eastAsia="Times New Roman" w:cs="Arial"/>
          <w:sz w:val="24"/>
          <w:szCs w:val="24"/>
          <w:lang w:eastAsia="bg-BG"/>
        </w:rPr>
      </w:pPr>
      <w:r w:rsidRPr="00F948DB">
        <w:rPr>
          <w:rFonts w:eastAsia="Times New Roman" w:cs="Arial"/>
          <w:i/>
          <w:iCs/>
          <w:color w:val="000000"/>
          <w:lang w:eastAsia="bg-BG"/>
        </w:rPr>
        <w:t>Нечести:</w:t>
      </w:r>
      <w:r>
        <w:rPr>
          <w:rFonts w:eastAsia="Times New Roman" w:cs="Arial"/>
          <w:color w:val="000000"/>
          <w:lang w:eastAsia="bg-BG"/>
        </w:rPr>
        <w:t xml:space="preserve"> </w:t>
      </w:r>
      <w:r w:rsidRPr="00F948DB">
        <w:rPr>
          <w:rFonts w:eastAsia="Times New Roman" w:cs="Arial"/>
          <w:color w:val="000000"/>
          <w:lang w:eastAsia="bg-BG"/>
        </w:rPr>
        <w:t>Импотентност</w:t>
      </w:r>
    </w:p>
    <w:p w14:paraId="3E463D4F" w14:textId="55C3522D" w:rsidR="00F948DB" w:rsidRDefault="00F948DB" w:rsidP="00F948DB">
      <w:pPr>
        <w:rPr>
          <w:rFonts w:eastAsia="Times New Roman" w:cs="Arial"/>
          <w:color w:val="000000"/>
          <w:lang w:eastAsia="bg-BG"/>
        </w:rPr>
      </w:pPr>
      <w:r w:rsidRPr="00F948DB">
        <w:rPr>
          <w:rFonts w:eastAsia="Times New Roman" w:cs="Arial"/>
          <w:i/>
          <w:iCs/>
          <w:color w:val="000000"/>
          <w:lang w:eastAsia="bg-BG"/>
        </w:rPr>
        <w:t>Редки:</w:t>
      </w:r>
      <w:r w:rsidRPr="00F948DB">
        <w:rPr>
          <w:rFonts w:eastAsia="Times New Roman" w:cs="Arial"/>
          <w:color w:val="000000"/>
          <w:lang w:eastAsia="bg-BG"/>
        </w:rPr>
        <w:tab/>
      </w:r>
      <w:r>
        <w:rPr>
          <w:rFonts w:eastAsia="Times New Roman" w:cs="Arial"/>
          <w:color w:val="000000"/>
          <w:lang w:val="en-US" w:eastAsia="bg-BG"/>
        </w:rPr>
        <w:t xml:space="preserve"> </w:t>
      </w:r>
      <w:r w:rsidRPr="00F948DB">
        <w:rPr>
          <w:rFonts w:eastAsia="Times New Roman" w:cs="Arial"/>
          <w:color w:val="000000"/>
          <w:lang w:eastAsia="bg-BG"/>
        </w:rPr>
        <w:t>Гинекомастия</w:t>
      </w:r>
    </w:p>
    <w:p w14:paraId="41345E4A" w14:textId="111223D6" w:rsidR="00F948DB" w:rsidRDefault="00F948DB" w:rsidP="00F948DB">
      <w:pPr>
        <w:rPr>
          <w:rFonts w:eastAsia="Times New Roman" w:cs="Arial"/>
          <w:color w:val="000000"/>
          <w:lang w:eastAsia="bg-BG"/>
        </w:rPr>
      </w:pPr>
    </w:p>
    <w:p w14:paraId="32749105" w14:textId="77777777" w:rsidR="00F948DB" w:rsidRPr="00F948DB" w:rsidRDefault="00F948DB" w:rsidP="00F948DB">
      <w:pPr>
        <w:spacing w:line="240" w:lineRule="auto"/>
        <w:rPr>
          <w:rFonts w:eastAsia="Times New Roman" w:cs="Arial"/>
          <w:sz w:val="24"/>
          <w:szCs w:val="24"/>
          <w:lang w:eastAsia="bg-BG"/>
        </w:rPr>
      </w:pPr>
      <w:r w:rsidRPr="00F948DB">
        <w:rPr>
          <w:rFonts w:eastAsia="Times New Roman" w:cs="Arial"/>
          <w:color w:val="000000"/>
          <w:u w:val="single"/>
          <w:lang w:eastAsia="bg-BG"/>
        </w:rPr>
        <w:t>Общи нарушения и ефекти на мястото</w:t>
      </w:r>
      <w:r w:rsidRPr="00F948DB">
        <w:rPr>
          <w:rFonts w:eastAsia="Times New Roman" w:cs="Arial"/>
          <w:color w:val="000000"/>
          <w:u w:val="single"/>
          <w:lang w:eastAsia="bg-BG"/>
        </w:rPr>
        <w:tab/>
        <w:t>на приложение</w:t>
      </w:r>
    </w:p>
    <w:p w14:paraId="3CEC47B4" w14:textId="069133E0" w:rsidR="00F948DB" w:rsidRPr="00F948DB" w:rsidRDefault="00F948DB" w:rsidP="00F948DB">
      <w:pPr>
        <w:spacing w:line="240" w:lineRule="auto"/>
        <w:rPr>
          <w:rFonts w:eastAsia="Times New Roman" w:cs="Arial"/>
          <w:sz w:val="24"/>
          <w:szCs w:val="24"/>
          <w:lang w:eastAsia="bg-BG"/>
        </w:rPr>
      </w:pPr>
      <w:r w:rsidRPr="00F948DB">
        <w:rPr>
          <w:rFonts w:eastAsia="Times New Roman" w:cs="Arial"/>
          <w:i/>
          <w:iCs/>
          <w:color w:val="000000"/>
          <w:lang w:eastAsia="bg-BG"/>
        </w:rPr>
        <w:t>Много чести:</w:t>
      </w:r>
      <w:r>
        <w:rPr>
          <w:rFonts w:eastAsia="Times New Roman" w:cs="Arial"/>
          <w:color w:val="000000"/>
          <w:lang w:eastAsia="bg-BG"/>
        </w:rPr>
        <w:t xml:space="preserve"> </w:t>
      </w:r>
      <w:r w:rsidRPr="00F948DB">
        <w:rPr>
          <w:rFonts w:eastAsia="Times New Roman" w:cs="Arial"/>
          <w:color w:val="000000"/>
          <w:lang w:eastAsia="bg-BG"/>
        </w:rPr>
        <w:t>Астения</w:t>
      </w:r>
    </w:p>
    <w:p w14:paraId="4F87AAE4" w14:textId="215E728D" w:rsidR="00F948DB" w:rsidRPr="00F948DB" w:rsidRDefault="00F948DB" w:rsidP="00F948DB">
      <w:pPr>
        <w:spacing w:line="240" w:lineRule="auto"/>
        <w:rPr>
          <w:rFonts w:eastAsia="Times New Roman" w:cs="Arial"/>
          <w:sz w:val="24"/>
          <w:szCs w:val="24"/>
          <w:lang w:eastAsia="bg-BG"/>
        </w:rPr>
      </w:pPr>
      <w:r w:rsidRPr="00F948DB">
        <w:rPr>
          <w:rFonts w:eastAsia="Times New Roman" w:cs="Arial"/>
          <w:i/>
          <w:iCs/>
          <w:color w:val="000000"/>
          <w:lang w:eastAsia="bg-BG"/>
        </w:rPr>
        <w:t>Чести:</w:t>
      </w:r>
      <w:r>
        <w:rPr>
          <w:rFonts w:eastAsia="Times New Roman" w:cs="Arial"/>
          <w:color w:val="000000"/>
          <w:lang w:eastAsia="bg-BG"/>
        </w:rPr>
        <w:t xml:space="preserve"> </w:t>
      </w:r>
      <w:r w:rsidRPr="00F948DB">
        <w:rPr>
          <w:rFonts w:eastAsia="Times New Roman" w:cs="Arial"/>
          <w:color w:val="000000"/>
          <w:lang w:eastAsia="bg-BG"/>
        </w:rPr>
        <w:t>Умора</w:t>
      </w:r>
    </w:p>
    <w:p w14:paraId="22B3D940" w14:textId="0C62BFDC" w:rsidR="00F948DB" w:rsidRPr="00F948DB" w:rsidRDefault="00F948DB" w:rsidP="00F948DB">
      <w:pPr>
        <w:spacing w:line="240" w:lineRule="auto"/>
        <w:rPr>
          <w:rFonts w:eastAsia="Times New Roman" w:cs="Arial"/>
          <w:sz w:val="24"/>
          <w:szCs w:val="24"/>
          <w:lang w:eastAsia="bg-BG"/>
        </w:rPr>
      </w:pPr>
      <w:r w:rsidRPr="00F948DB">
        <w:rPr>
          <w:rFonts w:eastAsia="Times New Roman" w:cs="Arial"/>
          <w:i/>
          <w:iCs/>
          <w:color w:val="000000"/>
          <w:lang w:eastAsia="bg-BG"/>
        </w:rPr>
        <w:t>Нечести:</w:t>
      </w:r>
      <w:r>
        <w:rPr>
          <w:rFonts w:eastAsia="Times New Roman" w:cs="Arial"/>
          <w:color w:val="000000"/>
          <w:lang w:eastAsia="bg-BG"/>
        </w:rPr>
        <w:t xml:space="preserve"> </w:t>
      </w:r>
      <w:r w:rsidRPr="00F948DB">
        <w:rPr>
          <w:rFonts w:eastAsia="Times New Roman" w:cs="Arial"/>
          <w:color w:val="000000"/>
          <w:lang w:eastAsia="bg-BG"/>
        </w:rPr>
        <w:t>Общо нерзположение, повишена температура</w:t>
      </w:r>
    </w:p>
    <w:p w14:paraId="32A09467" w14:textId="77777777" w:rsidR="00F948DB" w:rsidRPr="00F948DB" w:rsidRDefault="00F948DB" w:rsidP="00F948DB">
      <w:pPr>
        <w:spacing w:line="240" w:lineRule="auto"/>
        <w:rPr>
          <w:rFonts w:eastAsia="Times New Roman" w:cs="Arial"/>
          <w:color w:val="000000"/>
          <w:u w:val="single"/>
          <w:lang w:eastAsia="bg-BG"/>
        </w:rPr>
      </w:pPr>
    </w:p>
    <w:p w14:paraId="68A23FB8" w14:textId="3E03CB71" w:rsidR="00F948DB" w:rsidRPr="00F948DB" w:rsidRDefault="00F948DB" w:rsidP="00F948DB">
      <w:pPr>
        <w:spacing w:line="240" w:lineRule="auto"/>
        <w:rPr>
          <w:rFonts w:eastAsia="Times New Roman" w:cs="Arial"/>
          <w:sz w:val="24"/>
          <w:szCs w:val="24"/>
          <w:lang w:eastAsia="bg-BG"/>
        </w:rPr>
      </w:pPr>
      <w:r w:rsidRPr="00F948DB">
        <w:rPr>
          <w:rFonts w:eastAsia="Times New Roman" w:cs="Arial"/>
          <w:color w:val="000000"/>
          <w:u w:val="single"/>
          <w:lang w:eastAsia="bg-BG"/>
        </w:rPr>
        <w:t>Изследвания</w:t>
      </w:r>
    </w:p>
    <w:p w14:paraId="33735D05" w14:textId="77A28CFE" w:rsidR="00F948DB" w:rsidRPr="00F948DB" w:rsidRDefault="00F948DB" w:rsidP="00F948DB">
      <w:pPr>
        <w:spacing w:line="240" w:lineRule="auto"/>
        <w:rPr>
          <w:rFonts w:eastAsia="Times New Roman" w:cs="Arial"/>
          <w:sz w:val="24"/>
          <w:szCs w:val="24"/>
          <w:lang w:eastAsia="bg-BG"/>
        </w:rPr>
      </w:pPr>
      <w:r w:rsidRPr="00F948DB">
        <w:rPr>
          <w:rFonts w:eastAsia="Times New Roman" w:cs="Arial"/>
          <w:i/>
          <w:iCs/>
          <w:color w:val="000000"/>
          <w:lang w:eastAsia="bg-BG"/>
        </w:rPr>
        <w:t>Чести:</w:t>
      </w:r>
      <w:r>
        <w:rPr>
          <w:rFonts w:eastAsia="Times New Roman" w:cs="Arial"/>
          <w:color w:val="000000"/>
          <w:lang w:eastAsia="bg-BG"/>
        </w:rPr>
        <w:t xml:space="preserve"> </w:t>
      </w:r>
      <w:r w:rsidRPr="00F948DB">
        <w:rPr>
          <w:rFonts w:eastAsia="Times New Roman" w:cs="Arial"/>
          <w:color w:val="000000"/>
          <w:lang w:eastAsia="bg-BG"/>
        </w:rPr>
        <w:t>Хиперкалиемия, повишен серумен креатинин</w:t>
      </w:r>
    </w:p>
    <w:p w14:paraId="6BC46739" w14:textId="6C031983" w:rsidR="00F948DB" w:rsidRPr="00F948DB" w:rsidRDefault="00F948DB" w:rsidP="00F948DB">
      <w:pPr>
        <w:spacing w:line="240" w:lineRule="auto"/>
        <w:rPr>
          <w:rFonts w:eastAsia="Times New Roman" w:cs="Arial"/>
          <w:sz w:val="24"/>
          <w:szCs w:val="24"/>
          <w:lang w:eastAsia="bg-BG"/>
        </w:rPr>
      </w:pPr>
      <w:r w:rsidRPr="00F948DB">
        <w:rPr>
          <w:rFonts w:eastAsia="Times New Roman" w:cs="Arial"/>
          <w:i/>
          <w:iCs/>
          <w:color w:val="000000"/>
          <w:lang w:eastAsia="bg-BG"/>
        </w:rPr>
        <w:t>Нечести:</w:t>
      </w:r>
      <w:r>
        <w:rPr>
          <w:rFonts w:eastAsia="Times New Roman" w:cs="Arial"/>
          <w:color w:val="000000"/>
          <w:lang w:eastAsia="bg-BG"/>
        </w:rPr>
        <w:t xml:space="preserve"> </w:t>
      </w:r>
      <w:r w:rsidRPr="00F948DB">
        <w:rPr>
          <w:rFonts w:eastAsia="Times New Roman" w:cs="Arial"/>
          <w:color w:val="000000"/>
          <w:lang w:eastAsia="bg-BG"/>
        </w:rPr>
        <w:t>Повишена кръвна урея, хипонатриемия</w:t>
      </w:r>
    </w:p>
    <w:p w14:paraId="68B8F0D0" w14:textId="77777777" w:rsidR="00F948DB" w:rsidRPr="00F948DB" w:rsidRDefault="00F948DB" w:rsidP="00F948DB">
      <w:pPr>
        <w:spacing w:line="240" w:lineRule="auto"/>
        <w:rPr>
          <w:rFonts w:eastAsia="Times New Roman" w:cs="Arial"/>
          <w:sz w:val="24"/>
          <w:szCs w:val="24"/>
          <w:lang w:eastAsia="bg-BG"/>
        </w:rPr>
      </w:pPr>
      <w:r w:rsidRPr="00F948DB">
        <w:rPr>
          <w:rFonts w:eastAsia="Times New Roman" w:cs="Arial"/>
          <w:i/>
          <w:iCs/>
          <w:color w:val="000000"/>
          <w:lang w:eastAsia="bg-BG"/>
        </w:rPr>
        <w:t>Редки:</w:t>
      </w:r>
      <w:r w:rsidRPr="00F948DB">
        <w:rPr>
          <w:rFonts w:eastAsia="Times New Roman" w:cs="Arial"/>
          <w:color w:val="000000"/>
          <w:lang w:eastAsia="bg-BG"/>
        </w:rPr>
        <w:tab/>
        <w:t>Повишение на чернодробните ензими, повишение на серумния</w:t>
      </w:r>
    </w:p>
    <w:p w14:paraId="19FB4630" w14:textId="77777777" w:rsidR="00F948DB" w:rsidRPr="00F948DB" w:rsidRDefault="00F948DB" w:rsidP="00F948DB">
      <w:pPr>
        <w:spacing w:line="240" w:lineRule="auto"/>
        <w:rPr>
          <w:rFonts w:eastAsia="Times New Roman" w:cs="Arial"/>
          <w:sz w:val="24"/>
          <w:szCs w:val="24"/>
          <w:lang w:eastAsia="bg-BG"/>
        </w:rPr>
      </w:pPr>
      <w:r w:rsidRPr="00F948DB">
        <w:rPr>
          <w:rFonts w:eastAsia="Times New Roman" w:cs="Arial"/>
          <w:color w:val="000000"/>
          <w:lang w:eastAsia="bg-BG"/>
        </w:rPr>
        <w:t>билирубин</w:t>
      </w:r>
    </w:p>
    <w:p w14:paraId="613DA6A1" w14:textId="77777777" w:rsidR="00F948DB" w:rsidRPr="00F948DB" w:rsidRDefault="00F948DB" w:rsidP="00F948DB">
      <w:pPr>
        <w:spacing w:line="240" w:lineRule="auto"/>
        <w:rPr>
          <w:rFonts w:eastAsia="Times New Roman" w:cs="Arial"/>
          <w:color w:val="000000"/>
          <w:u w:val="single"/>
          <w:lang w:eastAsia="bg-BG"/>
        </w:rPr>
      </w:pPr>
    </w:p>
    <w:p w14:paraId="57C0651F" w14:textId="556A11E7" w:rsidR="00F948DB" w:rsidRPr="00F948DB" w:rsidRDefault="00F948DB" w:rsidP="00F948DB">
      <w:pPr>
        <w:spacing w:line="240" w:lineRule="auto"/>
        <w:rPr>
          <w:rFonts w:eastAsia="Times New Roman" w:cs="Arial"/>
          <w:sz w:val="24"/>
          <w:szCs w:val="24"/>
          <w:lang w:eastAsia="bg-BG"/>
        </w:rPr>
      </w:pPr>
      <w:r w:rsidRPr="00F948DB">
        <w:rPr>
          <w:rFonts w:eastAsia="Times New Roman" w:cs="Arial"/>
          <w:color w:val="000000"/>
          <w:u w:val="single"/>
          <w:lang w:eastAsia="bg-BG"/>
        </w:rPr>
        <w:t>Съобщаване на подозирани нежелани реакции</w:t>
      </w:r>
    </w:p>
    <w:p w14:paraId="7B1ABFB6" w14:textId="77777777" w:rsidR="00F948DB" w:rsidRDefault="00F948DB" w:rsidP="00F948DB">
      <w:pPr>
        <w:rPr>
          <w:rFonts w:eastAsia="Times New Roman" w:cs="Arial"/>
          <w:color w:val="000000"/>
          <w:lang w:eastAsia="bg-BG"/>
        </w:rPr>
      </w:pPr>
      <w:r w:rsidRPr="00F948DB">
        <w:rPr>
          <w:rFonts w:eastAsia="Times New Roman" w:cs="Arial"/>
          <w:color w:val="000000"/>
          <w:lang w:eastAsia="bg-BG"/>
        </w:rPr>
        <w:t>Съобщаването на подозирани нежелани реакции след разрешаване за употреба на лекарствения</w:t>
      </w:r>
      <w:r>
        <w:rPr>
          <w:rFonts w:eastAsia="Times New Roman" w:cs="Arial"/>
          <w:sz w:val="24"/>
          <w:szCs w:val="24"/>
          <w:lang w:val="en-US" w:eastAsia="bg-BG"/>
        </w:rPr>
        <w:t xml:space="preserve"> </w:t>
      </w:r>
      <w:r w:rsidRPr="00F948DB">
        <w:rPr>
          <w:rFonts w:eastAsia="Times New Roman" w:cs="Arial"/>
          <w:color w:val="000000"/>
          <w:lang w:eastAsia="bg-BG"/>
        </w:rPr>
        <w:t>продукт е важно. Това позволява да продължи наблюдението на съотношението полза/риск за</w:t>
      </w:r>
      <w:r>
        <w:rPr>
          <w:rFonts w:eastAsia="Times New Roman" w:cs="Arial"/>
          <w:color w:val="000000"/>
          <w:lang w:val="en-US" w:eastAsia="bg-BG"/>
        </w:rPr>
        <w:t xml:space="preserve"> </w:t>
      </w:r>
      <w:r w:rsidRPr="00F948DB">
        <w:rPr>
          <w:rFonts w:eastAsia="Times New Roman" w:cs="Arial"/>
          <w:color w:val="000000"/>
          <w:lang w:eastAsia="bg-BG"/>
        </w:rPr>
        <w:t xml:space="preserve">лекарствения продукт. От медицинските специалисти се изисква да съобщават всяка подозирана нежелана реакция чрез национална система за съобщаване: </w:t>
      </w:r>
    </w:p>
    <w:p w14:paraId="2AD47A1C" w14:textId="345D51E0" w:rsidR="00F948DB" w:rsidRDefault="00F948DB" w:rsidP="00F948DB">
      <w:pPr>
        <w:rPr>
          <w:rFonts w:eastAsia="Times New Roman" w:cs="Arial"/>
          <w:color w:val="000000"/>
          <w:lang w:eastAsia="bg-BG"/>
        </w:rPr>
      </w:pPr>
      <w:r w:rsidRPr="00F948DB">
        <w:rPr>
          <w:rFonts w:eastAsia="Times New Roman" w:cs="Arial"/>
          <w:color w:val="000000"/>
          <w:lang w:eastAsia="bg-BG"/>
        </w:rPr>
        <w:t xml:space="preserve">Изпълнителна агенция по лекарствата </w:t>
      </w:r>
    </w:p>
    <w:p w14:paraId="2D099321" w14:textId="635E118F" w:rsidR="00F948DB" w:rsidRDefault="00F948DB" w:rsidP="00F948DB">
      <w:pPr>
        <w:rPr>
          <w:rFonts w:eastAsia="Times New Roman" w:cs="Arial"/>
          <w:color w:val="000000"/>
          <w:lang w:eastAsia="bg-BG"/>
        </w:rPr>
      </w:pPr>
      <w:r w:rsidRPr="00F948DB">
        <w:rPr>
          <w:rFonts w:eastAsia="Times New Roman" w:cs="Arial"/>
          <w:color w:val="000000"/>
          <w:lang w:eastAsia="bg-BG"/>
        </w:rPr>
        <w:t xml:space="preserve">ул. „Дамян Груев” № 8 </w:t>
      </w:r>
    </w:p>
    <w:p w14:paraId="41EF1065" w14:textId="36F9ED18" w:rsidR="00F948DB" w:rsidRPr="00F948DB" w:rsidRDefault="00F948DB" w:rsidP="00F948DB">
      <w:pPr>
        <w:rPr>
          <w:rFonts w:eastAsia="Times New Roman" w:cs="Arial"/>
          <w:lang w:eastAsia="bg-BG"/>
        </w:rPr>
      </w:pPr>
      <w:r w:rsidRPr="00F948DB">
        <w:rPr>
          <w:rFonts w:eastAsia="Times New Roman" w:cs="Arial"/>
          <w:color w:val="000000"/>
          <w:lang w:eastAsia="bg-BG"/>
        </w:rPr>
        <w:t>1303 София</w:t>
      </w:r>
    </w:p>
    <w:p w14:paraId="0B54D813" w14:textId="77777777" w:rsidR="00F948DB" w:rsidRPr="00F948DB" w:rsidRDefault="00F948DB" w:rsidP="00F948DB">
      <w:pPr>
        <w:spacing w:line="240" w:lineRule="auto"/>
        <w:rPr>
          <w:rFonts w:eastAsia="Times New Roman" w:cs="Arial"/>
          <w:lang w:eastAsia="bg-BG"/>
        </w:rPr>
      </w:pPr>
      <w:r w:rsidRPr="00F948DB">
        <w:rPr>
          <w:rFonts w:eastAsia="Times New Roman" w:cs="Arial"/>
          <w:color w:val="000000"/>
          <w:lang w:eastAsia="bg-BG"/>
        </w:rPr>
        <w:t>Тел.:+359 28903417</w:t>
      </w:r>
    </w:p>
    <w:p w14:paraId="7FF5923E" w14:textId="50F1FB29" w:rsidR="00F948DB" w:rsidRPr="00F948DB" w:rsidRDefault="00F948DB" w:rsidP="00F948DB">
      <w:pPr>
        <w:spacing w:line="240" w:lineRule="auto"/>
        <w:rPr>
          <w:rFonts w:eastAsia="Times New Roman" w:cs="Arial"/>
          <w:lang w:val="en-US" w:eastAsia="bg-BG"/>
        </w:rPr>
      </w:pPr>
      <w:r w:rsidRPr="00F948DB">
        <w:rPr>
          <w:rFonts w:eastAsia="Times New Roman" w:cs="Arial"/>
          <w:color w:val="000000"/>
          <w:lang w:eastAsia="bg-BG"/>
        </w:rPr>
        <w:lastRenderedPageBreak/>
        <w:t xml:space="preserve">уебсайт: </w:t>
      </w:r>
      <w:hyperlink r:id="rId5" w:history="1">
        <w:r w:rsidRPr="00F948DB">
          <w:rPr>
            <w:rFonts w:eastAsia="Times New Roman" w:cs="Arial"/>
            <w:color w:val="000000"/>
            <w:lang w:val="en-US"/>
          </w:rPr>
          <w:t>www.bda.bg</w:t>
        </w:r>
      </w:hyperlink>
    </w:p>
    <w:p w14:paraId="5B15615F" w14:textId="77777777" w:rsidR="00387894" w:rsidRDefault="00387894" w:rsidP="001E0BAF"/>
    <w:p w14:paraId="09FCCE80" w14:textId="77777777" w:rsidR="00387894" w:rsidRPr="001E0BAF" w:rsidRDefault="00387894" w:rsidP="001E0BAF"/>
    <w:p w14:paraId="0A023CE0" w14:textId="4C3991F1" w:rsidR="00CF77F7" w:rsidRDefault="002C50EE" w:rsidP="004A448E">
      <w:pPr>
        <w:pStyle w:val="Heading2"/>
      </w:pPr>
      <w:r>
        <w:t>4.9. Предозиране</w:t>
      </w:r>
    </w:p>
    <w:p w14:paraId="57A0A8E2" w14:textId="497BDA3D" w:rsidR="00F948DB" w:rsidRDefault="00F948DB" w:rsidP="00F948DB"/>
    <w:p w14:paraId="6CC7D783" w14:textId="77777777" w:rsidR="00F948DB" w:rsidRPr="00F948DB" w:rsidRDefault="00F948DB" w:rsidP="00F948DB">
      <w:pPr>
        <w:spacing w:line="240" w:lineRule="auto"/>
        <w:rPr>
          <w:rFonts w:eastAsia="Times New Roman" w:cs="Arial"/>
          <w:sz w:val="24"/>
          <w:szCs w:val="24"/>
          <w:lang w:eastAsia="bg-BG"/>
        </w:rPr>
      </w:pPr>
      <w:r w:rsidRPr="00F948DB">
        <w:rPr>
          <w:rFonts w:eastAsia="Times New Roman" w:cs="Arial"/>
          <w:color w:val="000000"/>
          <w:lang w:eastAsia="bg-BG"/>
        </w:rPr>
        <w:t>За предозиране у хора са налице ограничени данни. Най-характерните симптоми при предозиране, наблюдавани засега, са изразена хипотония, която започва около 6 часа след прием на таблетките, с едновременно блокиране на ренин-ангистензиновата система и ступор. Симптомите, свързани с предозиране на АСЕ инхибитори, могат да включват циркулаторен шок, електролитни нарушения, бъбречна недостатъчност, хипервентилация, тахикардия, палпитации, брадикардия, замаяност, безпокойство и кашлица.</w:t>
      </w:r>
    </w:p>
    <w:p w14:paraId="49A3B706" w14:textId="77777777" w:rsidR="00F948DB" w:rsidRPr="00F948DB" w:rsidRDefault="00F948DB" w:rsidP="00F948DB">
      <w:pPr>
        <w:spacing w:line="240" w:lineRule="auto"/>
        <w:rPr>
          <w:rFonts w:eastAsia="Times New Roman" w:cs="Arial"/>
          <w:sz w:val="24"/>
          <w:szCs w:val="24"/>
          <w:lang w:eastAsia="bg-BG"/>
        </w:rPr>
      </w:pPr>
      <w:r w:rsidRPr="00F948DB">
        <w:rPr>
          <w:rFonts w:eastAsia="Times New Roman" w:cs="Arial"/>
          <w:color w:val="000000"/>
          <w:lang w:eastAsia="bg-BG"/>
        </w:rPr>
        <w:t xml:space="preserve">След прием на 300 </w:t>
      </w:r>
      <w:r w:rsidRPr="00F948DB">
        <w:rPr>
          <w:rFonts w:eastAsia="Times New Roman" w:cs="Arial"/>
          <w:color w:val="000000"/>
          <w:lang w:val="en-US"/>
        </w:rPr>
        <w:t xml:space="preserve">mg </w:t>
      </w:r>
      <w:r w:rsidRPr="00F948DB">
        <w:rPr>
          <w:rFonts w:eastAsia="Times New Roman" w:cs="Arial"/>
          <w:color w:val="000000"/>
          <w:lang w:eastAsia="bg-BG"/>
        </w:rPr>
        <w:t xml:space="preserve">и 440 </w:t>
      </w:r>
      <w:r w:rsidRPr="00F948DB">
        <w:rPr>
          <w:rFonts w:eastAsia="Times New Roman" w:cs="Arial"/>
          <w:color w:val="000000"/>
          <w:lang w:val="en-US"/>
        </w:rPr>
        <w:t xml:space="preserve">mg </w:t>
      </w:r>
      <w:r w:rsidRPr="00F948DB">
        <w:rPr>
          <w:rFonts w:eastAsia="Times New Roman" w:cs="Arial"/>
          <w:color w:val="000000"/>
          <w:lang w:eastAsia="bg-BG"/>
        </w:rPr>
        <w:t>еналаприлов малеат се определят серумни нива на еналаприлат съответно около 100- до 200 пъти по-високи от обичайните при терапевтични дози.</w:t>
      </w:r>
    </w:p>
    <w:p w14:paraId="2F7044D5" w14:textId="28B13387" w:rsidR="00F948DB" w:rsidRPr="00F948DB" w:rsidRDefault="00F948DB" w:rsidP="00F948DB">
      <w:pPr>
        <w:rPr>
          <w:rFonts w:cs="Arial"/>
        </w:rPr>
      </w:pPr>
      <w:r w:rsidRPr="00F948DB">
        <w:rPr>
          <w:rFonts w:eastAsia="Times New Roman" w:cs="Arial"/>
          <w:color w:val="000000"/>
          <w:lang w:eastAsia="bg-BG"/>
        </w:rPr>
        <w:t>Препоръчваното лечение на предозиране е интравенозна инфузия на изотоничен физиологичен разтвор. При възникване на хипотония, пациентът се поставя в антишоково положение. При наличие може да се има предвид и приложение на инфузия на ангиотензин II и/или интравенозна инфузия на катехоламини. Ако таблетките са приети наскоро, трябва да се предприемат мерки за елиминиране на еналаприлов малеат (напр. повръщане, стомашна промивка, приложение на абсорбенти или натриев сулфат). Еналаприлат може да се отстрани от системната циркулация чрез хемодиализа (вж. т. 4.4). При резистентна на лечение брадикардия е показан пейсмейкър. Жизнените показатели, серумните електролити и концентрациите на креатинина в серума трябва постоянно да се мониторират.</w:t>
      </w:r>
    </w:p>
    <w:p w14:paraId="02081B24" w14:textId="2F0EF66C" w:rsidR="00395555" w:rsidRDefault="002C50EE" w:rsidP="008A6AF2">
      <w:pPr>
        <w:pStyle w:val="Heading1"/>
      </w:pPr>
      <w:r>
        <w:t>5. ФАРМАКОЛОГИЧНИ СВОЙСТВА</w:t>
      </w:r>
    </w:p>
    <w:p w14:paraId="6C105FE1" w14:textId="77777777" w:rsidR="00F948DB" w:rsidRPr="00F948DB" w:rsidRDefault="00F948DB" w:rsidP="00F948DB"/>
    <w:p w14:paraId="32B6DE66" w14:textId="4B3B21FD" w:rsidR="00CF77F7" w:rsidRDefault="002C50EE" w:rsidP="004A448E">
      <w:pPr>
        <w:pStyle w:val="Heading2"/>
      </w:pPr>
      <w:r>
        <w:t>5.1. Фармакодинамични свойства</w:t>
      </w:r>
    </w:p>
    <w:p w14:paraId="3693CC70" w14:textId="5F16C33F" w:rsidR="00F948DB" w:rsidRDefault="00F948DB" w:rsidP="00F948DB"/>
    <w:p w14:paraId="43EF9F63" w14:textId="77777777" w:rsidR="00F948DB" w:rsidRPr="00F948DB" w:rsidRDefault="00F948DB" w:rsidP="00F948DB">
      <w:pPr>
        <w:spacing w:line="240" w:lineRule="auto"/>
        <w:rPr>
          <w:rFonts w:eastAsia="Times New Roman" w:cs="Arial"/>
          <w:sz w:val="24"/>
          <w:szCs w:val="24"/>
          <w:lang w:eastAsia="bg-BG"/>
        </w:rPr>
      </w:pPr>
      <w:r w:rsidRPr="00F948DB">
        <w:rPr>
          <w:rFonts w:eastAsia="Times New Roman" w:cs="Arial"/>
          <w:color w:val="000000"/>
          <w:lang w:eastAsia="bg-BG"/>
        </w:rPr>
        <w:t>Фармакотерапевтична група: инхибитори на ангиотензин-конвертиращия ензим АТС код: С09АА02</w:t>
      </w:r>
    </w:p>
    <w:p w14:paraId="542D3B07" w14:textId="77777777" w:rsidR="00F948DB" w:rsidRPr="00F948DB" w:rsidRDefault="00F948DB" w:rsidP="00F948DB">
      <w:pPr>
        <w:spacing w:line="240" w:lineRule="auto"/>
        <w:rPr>
          <w:rFonts w:eastAsia="Times New Roman" w:cs="Arial"/>
          <w:color w:val="000000"/>
          <w:lang w:eastAsia="bg-BG"/>
        </w:rPr>
      </w:pPr>
    </w:p>
    <w:p w14:paraId="5AC2799F" w14:textId="77A370D9" w:rsidR="00F948DB" w:rsidRPr="00F948DB" w:rsidRDefault="00F948DB" w:rsidP="00F948DB">
      <w:pPr>
        <w:spacing w:line="240" w:lineRule="auto"/>
        <w:rPr>
          <w:rFonts w:eastAsia="Times New Roman" w:cs="Arial"/>
          <w:sz w:val="24"/>
          <w:szCs w:val="24"/>
          <w:lang w:eastAsia="bg-BG"/>
        </w:rPr>
      </w:pPr>
      <w:r w:rsidRPr="00F948DB">
        <w:rPr>
          <w:rFonts w:eastAsia="Times New Roman" w:cs="Arial"/>
          <w:color w:val="000000"/>
          <w:lang w:eastAsia="bg-BG"/>
        </w:rPr>
        <w:t>Берлиприл (еналаприлов малеат) е малеатна сол на еналаприл, производно на две амино</w:t>
      </w:r>
      <w:r w:rsidRPr="00F948DB">
        <w:rPr>
          <w:rFonts w:eastAsia="Times New Roman" w:cs="Arial"/>
          <w:color w:val="000000"/>
          <w:lang w:eastAsia="bg-BG"/>
        </w:rPr>
        <w:softHyphen/>
        <w:t xml:space="preserve">киселини, </w:t>
      </w:r>
      <w:r w:rsidRPr="00F948DB">
        <w:rPr>
          <w:rFonts w:eastAsia="Times New Roman" w:cs="Arial"/>
          <w:color w:val="000000"/>
          <w:lang w:val="en-US"/>
        </w:rPr>
        <w:t>L</w:t>
      </w:r>
      <w:r w:rsidRPr="00F948DB">
        <w:rPr>
          <w:rFonts w:eastAsia="Times New Roman" w:cs="Arial"/>
          <w:color w:val="000000"/>
          <w:lang w:eastAsia="bg-BG"/>
        </w:rPr>
        <w:t xml:space="preserve">-аланин и </w:t>
      </w:r>
      <w:r w:rsidRPr="00F948DB">
        <w:rPr>
          <w:rFonts w:eastAsia="Times New Roman" w:cs="Arial"/>
          <w:color w:val="000000"/>
          <w:lang w:val="en-US"/>
        </w:rPr>
        <w:t>L</w:t>
      </w:r>
      <w:r w:rsidRPr="00F948DB">
        <w:rPr>
          <w:rFonts w:eastAsia="Times New Roman" w:cs="Arial"/>
          <w:color w:val="000000"/>
          <w:lang w:eastAsia="bg-BG"/>
        </w:rPr>
        <w:t>-пролин. Ангиотензин-конвертиращият ензим (АСЕ) е пептидил дипептидаза, която катализира превръщането на ангиотензин I във вазоконстрикторното вещество ангиотензин II. След резорбцията, еналаприлов малеат се хидролизира до еналаприлат, който инхибира АСЕ. Инхибирането на АСЕ води до намаление на ангиотензин II в плазмата. Това води до увеличение на активността на ренина в плазмата (поради отстраняването на отрицателната обратна връзка върху секрецията на ренин) и намалена секреция на алдостерона.</w:t>
      </w:r>
    </w:p>
    <w:p w14:paraId="71C0AEBD" w14:textId="77777777" w:rsidR="00F948DB" w:rsidRPr="00F948DB" w:rsidRDefault="00F948DB" w:rsidP="00F948DB">
      <w:pPr>
        <w:spacing w:line="240" w:lineRule="auto"/>
        <w:rPr>
          <w:rFonts w:eastAsia="Times New Roman" w:cs="Arial"/>
          <w:sz w:val="24"/>
          <w:szCs w:val="24"/>
          <w:lang w:eastAsia="bg-BG"/>
        </w:rPr>
      </w:pPr>
      <w:r w:rsidRPr="00F948DB">
        <w:rPr>
          <w:rFonts w:eastAsia="Times New Roman" w:cs="Arial"/>
          <w:color w:val="000000"/>
          <w:lang w:eastAsia="bg-BG"/>
        </w:rPr>
        <w:t>АСЕ е идентичен с кининаза II. Поради това е възможно Берлиприл също да инхибира разграждането на брадикинина, мощен вазодепресорен пептид. Ролята на този механизъм по отношение терапевтичните ефекти на еналаприл остава да бъде изяснена.</w:t>
      </w:r>
    </w:p>
    <w:p w14:paraId="4515FD4E" w14:textId="77777777" w:rsidR="00F948DB" w:rsidRPr="00F948DB" w:rsidRDefault="00F948DB" w:rsidP="00F948DB">
      <w:pPr>
        <w:spacing w:line="240" w:lineRule="auto"/>
        <w:rPr>
          <w:rFonts w:eastAsia="Times New Roman" w:cs="Arial"/>
          <w:color w:val="000000"/>
          <w:u w:val="single"/>
          <w:lang w:eastAsia="bg-BG"/>
        </w:rPr>
      </w:pPr>
    </w:p>
    <w:p w14:paraId="07FC6AAC" w14:textId="15BB14B4" w:rsidR="00F948DB" w:rsidRPr="00F948DB" w:rsidRDefault="00F948DB" w:rsidP="00F948DB">
      <w:pPr>
        <w:spacing w:line="240" w:lineRule="auto"/>
        <w:rPr>
          <w:rFonts w:eastAsia="Times New Roman" w:cs="Arial"/>
          <w:sz w:val="24"/>
          <w:szCs w:val="24"/>
          <w:lang w:eastAsia="bg-BG"/>
        </w:rPr>
      </w:pPr>
      <w:r w:rsidRPr="00F948DB">
        <w:rPr>
          <w:rFonts w:eastAsia="Times New Roman" w:cs="Arial"/>
          <w:color w:val="000000"/>
          <w:u w:val="single"/>
          <w:lang w:eastAsia="bg-BG"/>
        </w:rPr>
        <w:t>Механизъм на действие</w:t>
      </w:r>
    </w:p>
    <w:p w14:paraId="7994EC12" w14:textId="77777777" w:rsidR="00F948DB" w:rsidRPr="00F948DB" w:rsidRDefault="00F948DB" w:rsidP="00F948DB">
      <w:pPr>
        <w:spacing w:line="240" w:lineRule="auto"/>
        <w:rPr>
          <w:rFonts w:eastAsia="Times New Roman" w:cs="Arial"/>
          <w:sz w:val="24"/>
          <w:szCs w:val="24"/>
          <w:lang w:eastAsia="bg-BG"/>
        </w:rPr>
      </w:pPr>
      <w:r w:rsidRPr="00F948DB">
        <w:rPr>
          <w:rFonts w:eastAsia="Times New Roman" w:cs="Arial"/>
          <w:color w:val="000000"/>
          <w:lang w:eastAsia="bg-BG"/>
        </w:rPr>
        <w:lastRenderedPageBreak/>
        <w:t>Въпреки че се счита, че механизмът, по който Берлиприл понижава кръвното налягане е първично инхибиране на ренин-ангиотензин алдостероновата система, еналаприл оказва антихипертензивен ефект дори и при пациенти с ниско-ренинова хипертония.</w:t>
      </w:r>
    </w:p>
    <w:p w14:paraId="26F81144" w14:textId="77777777" w:rsidR="00F948DB" w:rsidRPr="00F948DB" w:rsidRDefault="00F948DB" w:rsidP="00F948DB">
      <w:pPr>
        <w:spacing w:line="240" w:lineRule="auto"/>
        <w:rPr>
          <w:rFonts w:eastAsia="Times New Roman" w:cs="Arial"/>
          <w:color w:val="000000"/>
          <w:u w:val="single"/>
          <w:lang w:eastAsia="bg-BG"/>
        </w:rPr>
      </w:pPr>
    </w:p>
    <w:p w14:paraId="61317974" w14:textId="1E6F17FD" w:rsidR="00F948DB" w:rsidRPr="00F948DB" w:rsidRDefault="00F948DB" w:rsidP="00F948DB">
      <w:pPr>
        <w:spacing w:line="240" w:lineRule="auto"/>
        <w:rPr>
          <w:rFonts w:eastAsia="Times New Roman" w:cs="Arial"/>
          <w:sz w:val="24"/>
          <w:szCs w:val="24"/>
          <w:lang w:eastAsia="bg-BG"/>
        </w:rPr>
      </w:pPr>
      <w:r w:rsidRPr="00F948DB">
        <w:rPr>
          <w:rFonts w:eastAsia="Times New Roman" w:cs="Arial"/>
          <w:color w:val="000000"/>
          <w:u w:val="single"/>
          <w:lang w:eastAsia="bg-BG"/>
        </w:rPr>
        <w:t>Фармакодинамични ефекти</w:t>
      </w:r>
    </w:p>
    <w:p w14:paraId="074D2A92" w14:textId="1383AC2A" w:rsidR="00F948DB" w:rsidRPr="00F948DB" w:rsidRDefault="00F948DB" w:rsidP="00F948DB">
      <w:pPr>
        <w:rPr>
          <w:rFonts w:eastAsia="Times New Roman" w:cs="Arial"/>
          <w:color w:val="000000"/>
          <w:lang w:eastAsia="bg-BG"/>
        </w:rPr>
      </w:pPr>
      <w:r w:rsidRPr="00F948DB">
        <w:rPr>
          <w:rFonts w:eastAsia="Times New Roman" w:cs="Arial"/>
          <w:color w:val="000000"/>
          <w:lang w:eastAsia="bg-BG"/>
        </w:rPr>
        <w:t>Приложението на Берлиприл води до понижаване на кръвното налягане както в легнало, така и  в изправено положение при пациенти с хипертония без значително повишение на сърдечната честота.</w:t>
      </w:r>
    </w:p>
    <w:p w14:paraId="3D707617" w14:textId="79DC8138" w:rsidR="00F948DB" w:rsidRDefault="00F948DB" w:rsidP="00F948DB"/>
    <w:p w14:paraId="001A2F3C" w14:textId="77777777" w:rsidR="00F948DB" w:rsidRPr="00F948DB" w:rsidRDefault="00F948DB" w:rsidP="00F948DB">
      <w:pPr>
        <w:spacing w:line="240" w:lineRule="auto"/>
        <w:rPr>
          <w:rFonts w:eastAsia="Times New Roman" w:cs="Arial"/>
          <w:sz w:val="24"/>
          <w:szCs w:val="24"/>
          <w:lang w:eastAsia="bg-BG"/>
        </w:rPr>
      </w:pPr>
      <w:r w:rsidRPr="00F948DB">
        <w:rPr>
          <w:rFonts w:eastAsia="Times New Roman" w:cs="Arial"/>
          <w:color w:val="000000"/>
          <w:lang w:eastAsia="bg-BG"/>
        </w:rPr>
        <w:t>Рядко възниква симптоматична ортостатична хипотония. При някои пациенти може да са необходими няколко седмици лечение за достигане на оптимално понижение на кръвното налягане. Внезапното преустановяване на приложението на Берлиприл не води до рязко повишение на кръвното налягане.</w:t>
      </w:r>
    </w:p>
    <w:p w14:paraId="0792CEFE" w14:textId="77777777" w:rsidR="00F948DB" w:rsidRPr="00F948DB" w:rsidRDefault="00F948DB" w:rsidP="00F948DB">
      <w:pPr>
        <w:spacing w:line="240" w:lineRule="auto"/>
        <w:rPr>
          <w:rFonts w:eastAsia="Times New Roman" w:cs="Arial"/>
          <w:sz w:val="24"/>
          <w:szCs w:val="24"/>
          <w:lang w:eastAsia="bg-BG"/>
        </w:rPr>
      </w:pPr>
      <w:r w:rsidRPr="00F948DB">
        <w:rPr>
          <w:rFonts w:eastAsia="Times New Roman" w:cs="Arial"/>
          <w:color w:val="000000"/>
          <w:lang w:eastAsia="bg-BG"/>
        </w:rPr>
        <w:t>Ефективното инхибиране на АСЕ активността обикновено настъпва 2 до 4 часа след перорален прием на единична доза еналаприлов малеат. Началото на антихипертензивния ефект се наблюдава в повечето случаи след 1 час, а максималното понижение на кръвното налягане - 4 до 6 часа след приема. Продължителността на действие зависи от дозата. При препоръчителните дози обаче, антихипертензивният и хемодинамичният ефект се поддържат поне 24 часа.</w:t>
      </w:r>
    </w:p>
    <w:p w14:paraId="11CD5F29" w14:textId="77777777" w:rsidR="00F948DB" w:rsidRPr="00F948DB" w:rsidRDefault="00F948DB" w:rsidP="00F948DB">
      <w:pPr>
        <w:spacing w:line="240" w:lineRule="auto"/>
        <w:rPr>
          <w:rFonts w:eastAsia="Times New Roman" w:cs="Arial"/>
          <w:color w:val="000000"/>
          <w:lang w:eastAsia="bg-BG"/>
        </w:rPr>
      </w:pPr>
    </w:p>
    <w:p w14:paraId="261B909C" w14:textId="7DADDB92" w:rsidR="00F948DB" w:rsidRPr="00F948DB" w:rsidRDefault="00F948DB" w:rsidP="00F948DB">
      <w:pPr>
        <w:spacing w:line="240" w:lineRule="auto"/>
        <w:rPr>
          <w:rFonts w:eastAsia="Times New Roman" w:cs="Arial"/>
          <w:sz w:val="24"/>
          <w:szCs w:val="24"/>
          <w:lang w:eastAsia="bg-BG"/>
        </w:rPr>
      </w:pPr>
      <w:r w:rsidRPr="00F948DB">
        <w:rPr>
          <w:rFonts w:eastAsia="Times New Roman" w:cs="Arial"/>
          <w:color w:val="000000"/>
          <w:lang w:eastAsia="bg-BG"/>
        </w:rPr>
        <w:t>Хемодинамичните проучвания при пациенти с есенциална хипертония показват, че понижението на кръвното налягане се съпровожда от намаление на периферното артериално съпротивление и увеличение на сърдечния минутен обем, но с малка или без промяна в сърдечната честота. След прием на Берлиприл се повишава бъбречният кръвоток, а скоростта на гломерулната филтрация остава непроменена. Няма признаци на задръжка на натрий и вода. Обаче при пациенти с ниска скорост на гломерулна филтрация преди лечението, тази скорост обикновено се увеличава.</w:t>
      </w:r>
    </w:p>
    <w:p w14:paraId="0A878A94" w14:textId="77777777" w:rsidR="00F948DB" w:rsidRPr="00F948DB" w:rsidRDefault="00F948DB" w:rsidP="00F948DB">
      <w:pPr>
        <w:spacing w:line="240" w:lineRule="auto"/>
        <w:rPr>
          <w:rFonts w:eastAsia="Times New Roman" w:cs="Arial"/>
          <w:sz w:val="24"/>
          <w:szCs w:val="24"/>
          <w:lang w:eastAsia="bg-BG"/>
        </w:rPr>
      </w:pPr>
      <w:r w:rsidRPr="00F948DB">
        <w:rPr>
          <w:rFonts w:eastAsia="Times New Roman" w:cs="Arial"/>
          <w:color w:val="000000"/>
          <w:lang w:eastAsia="bg-BG"/>
        </w:rPr>
        <w:t xml:space="preserve">В клинични краткосрочни проучвания при пациенти с бъбречни заболявания с или без диабет след прием на еналаприлов малеат се наблюдава намаление на албуминурията, както и на екскрецията на </w:t>
      </w:r>
      <w:r w:rsidRPr="00F948DB">
        <w:rPr>
          <w:rFonts w:eastAsia="Times New Roman" w:cs="Arial"/>
          <w:color w:val="000000"/>
          <w:lang w:val="en-US"/>
        </w:rPr>
        <w:t xml:space="preserve">IgG </w:t>
      </w:r>
      <w:r w:rsidRPr="00F948DB">
        <w:rPr>
          <w:rFonts w:eastAsia="Times New Roman" w:cs="Arial"/>
          <w:color w:val="000000"/>
          <w:lang w:eastAsia="bg-BG"/>
        </w:rPr>
        <w:t>и на протеини с урината.</w:t>
      </w:r>
    </w:p>
    <w:p w14:paraId="0CDC1929" w14:textId="77777777" w:rsidR="00F948DB" w:rsidRPr="00F948DB" w:rsidRDefault="00F948DB" w:rsidP="00F948DB">
      <w:pPr>
        <w:spacing w:line="240" w:lineRule="auto"/>
        <w:rPr>
          <w:rFonts w:eastAsia="Times New Roman" w:cs="Arial"/>
          <w:sz w:val="24"/>
          <w:szCs w:val="24"/>
          <w:lang w:eastAsia="bg-BG"/>
        </w:rPr>
      </w:pPr>
      <w:r w:rsidRPr="00F948DB">
        <w:rPr>
          <w:rFonts w:eastAsia="Times New Roman" w:cs="Arial"/>
          <w:color w:val="000000"/>
          <w:lang w:eastAsia="bg-BG"/>
        </w:rPr>
        <w:t>При комбинирано приложение с тиазидни диуретици, понижаващият кръвното налягане ефект на Берлиприл е най-малкото адитивен. Берлиприл може да намали или предпази от проявата на тиазид-индуцирана хипокалиемия.</w:t>
      </w:r>
    </w:p>
    <w:p w14:paraId="1B564DB0" w14:textId="1849D879" w:rsidR="00F948DB" w:rsidRDefault="00F948DB" w:rsidP="00F948DB">
      <w:pPr>
        <w:rPr>
          <w:rFonts w:eastAsia="Times New Roman" w:cs="Arial"/>
          <w:color w:val="000000"/>
          <w:lang w:eastAsia="bg-BG"/>
        </w:rPr>
      </w:pPr>
      <w:r w:rsidRPr="00F948DB">
        <w:rPr>
          <w:rFonts w:eastAsia="Times New Roman" w:cs="Arial"/>
          <w:color w:val="000000"/>
          <w:lang w:eastAsia="bg-BG"/>
        </w:rPr>
        <w:t xml:space="preserve">Приложението на еналаприлов малеат (перорално или интравенозно) при пациенти със сърдечна недостатъчност на лечение с дигиталис и диуретици, води до намаление на периферното съпротивление и кръвното налягане. Сърдечният минутен обем се повишава, а сърдечната честота (обикновено повишена при пациенти със сърдечна недостатъчност), се понижава. Белодробното капилярно заклинено налягане също се понижава. Физическата издържливост и тежестта на сърдечна недостатъчност (според критериите на </w:t>
      </w:r>
      <w:r w:rsidRPr="00F948DB">
        <w:rPr>
          <w:rFonts w:eastAsia="Times New Roman" w:cs="Arial"/>
          <w:color w:val="000000"/>
          <w:lang w:val="en-US"/>
        </w:rPr>
        <w:t xml:space="preserve">New York Heart Association) </w:t>
      </w:r>
      <w:r w:rsidRPr="00F948DB">
        <w:rPr>
          <w:rFonts w:eastAsia="Times New Roman" w:cs="Arial"/>
          <w:color w:val="000000"/>
          <w:lang w:eastAsia="bg-BG"/>
        </w:rPr>
        <w:t>също се подобряват. Тези ефекти се запазват при хронично лечение. Еналаприл забавя прогресията на дилатация/увеличение на сърцето и сърдечната недостатъчност при пациенти с лека до умерена сърдечна недостатъчност, което се обяснява с намаление на левокамерния краен диастолен и систолен обем и увеличение на фракцията на изтласкване.</w:t>
      </w:r>
    </w:p>
    <w:p w14:paraId="64026363" w14:textId="4AABA71A" w:rsidR="00F948DB" w:rsidRDefault="00F948DB" w:rsidP="00F948DB">
      <w:pPr>
        <w:rPr>
          <w:rFonts w:eastAsia="Times New Roman" w:cs="Arial"/>
          <w:color w:val="000000"/>
          <w:lang w:eastAsia="bg-BG"/>
        </w:rPr>
      </w:pPr>
    </w:p>
    <w:p w14:paraId="2F2CCB76" w14:textId="77777777" w:rsidR="00F948DB" w:rsidRPr="00F948DB" w:rsidRDefault="00F948DB" w:rsidP="00F948DB">
      <w:pPr>
        <w:spacing w:line="240" w:lineRule="auto"/>
        <w:rPr>
          <w:rFonts w:eastAsia="Times New Roman" w:cs="Arial"/>
          <w:sz w:val="24"/>
          <w:szCs w:val="24"/>
          <w:lang w:eastAsia="bg-BG"/>
        </w:rPr>
      </w:pPr>
      <w:r w:rsidRPr="00F948DB">
        <w:rPr>
          <w:rFonts w:eastAsia="Times New Roman" w:cs="Arial"/>
          <w:color w:val="000000"/>
          <w:u w:val="single"/>
          <w:lang w:eastAsia="bg-BG"/>
        </w:rPr>
        <w:t>Клинична ефикасност и безопасност</w:t>
      </w:r>
    </w:p>
    <w:p w14:paraId="64862E9A" w14:textId="77777777" w:rsidR="00F948DB" w:rsidRPr="00F948DB" w:rsidRDefault="00F948DB" w:rsidP="00F948DB">
      <w:pPr>
        <w:spacing w:line="240" w:lineRule="auto"/>
        <w:rPr>
          <w:rFonts w:eastAsia="Times New Roman" w:cs="Arial"/>
          <w:sz w:val="24"/>
          <w:szCs w:val="24"/>
          <w:lang w:eastAsia="bg-BG"/>
        </w:rPr>
      </w:pPr>
      <w:r w:rsidRPr="00F948DB">
        <w:rPr>
          <w:rFonts w:eastAsia="Times New Roman" w:cs="Arial"/>
          <w:color w:val="000000"/>
          <w:lang w:eastAsia="bg-BG"/>
        </w:rPr>
        <w:t xml:space="preserve">Популация с асимптоматична левокамерна дисфункция (ЛКФИ&lt;35 %) е проучена в многоцентрово, рандомизирано, двойно-сляпо, плацебо-контролирано проучване (проучването </w:t>
      </w:r>
      <w:r w:rsidRPr="00F948DB">
        <w:rPr>
          <w:rFonts w:eastAsia="Times New Roman" w:cs="Arial"/>
          <w:color w:val="000000"/>
          <w:lang w:val="en-US"/>
        </w:rPr>
        <w:t xml:space="preserve">SOLVD Prevention). </w:t>
      </w:r>
      <w:r w:rsidRPr="00F948DB">
        <w:rPr>
          <w:rFonts w:eastAsia="Times New Roman" w:cs="Arial"/>
          <w:color w:val="000000"/>
          <w:lang w:eastAsia="bg-BG"/>
        </w:rPr>
        <w:t>4228 пациента са рандомизирани и получават плацебо (</w:t>
      </w:r>
      <w:r w:rsidRPr="00F948DB">
        <w:rPr>
          <w:rFonts w:eastAsia="Times New Roman" w:cs="Arial"/>
          <w:color w:val="000000"/>
          <w:lang w:val="en-US"/>
        </w:rPr>
        <w:t>n</w:t>
      </w:r>
      <w:r w:rsidRPr="00F948DB">
        <w:rPr>
          <w:rFonts w:eastAsia="Times New Roman" w:cs="Arial"/>
          <w:color w:val="000000"/>
          <w:lang w:eastAsia="bg-BG"/>
        </w:rPr>
        <w:t xml:space="preserve">=2117) или еналаприлов малеат </w:t>
      </w:r>
      <w:r w:rsidRPr="00F948DB">
        <w:rPr>
          <w:rFonts w:eastAsia="Times New Roman" w:cs="Arial"/>
          <w:color w:val="000000"/>
          <w:lang w:val="en-US"/>
        </w:rPr>
        <w:t>(n=21</w:t>
      </w:r>
      <w:r w:rsidRPr="00F948DB">
        <w:rPr>
          <w:rFonts w:eastAsia="Times New Roman" w:cs="Arial"/>
          <w:color w:val="000000"/>
          <w:lang w:eastAsia="bg-BG"/>
        </w:rPr>
        <w:t xml:space="preserve">11). В плацебо-групата се наблюдават 818 случая </w:t>
      </w:r>
      <w:r w:rsidRPr="00F948DB">
        <w:rPr>
          <w:rFonts w:eastAsia="Times New Roman" w:cs="Arial"/>
          <w:color w:val="000000"/>
          <w:lang w:eastAsia="bg-BG"/>
        </w:rPr>
        <w:lastRenderedPageBreak/>
        <w:t>на сърдечна недостатъчност или смъртен изход (38,6%), в сравнение с 630 случая при еналаприлов малеат (29,8%) (намаление на риска: 29%; 95% доверителен интервал: 21-36%; р&lt;0,001). 518 пациента от плацебо-групата (24,5%) и 434 от групата с еналаприлов малеат (20,6%) умират или са хоспитализирани по повод новопроявила се или влошила се сърдечната недостатъчност (намаление на риска: 20%; 95 % доверителен интервал: 9-30%; р&lt;0,001).</w:t>
      </w:r>
    </w:p>
    <w:p w14:paraId="162DB9F6" w14:textId="4FB226AC" w:rsidR="00F948DB" w:rsidRPr="00F948DB" w:rsidRDefault="00F948DB" w:rsidP="00F948DB">
      <w:pPr>
        <w:rPr>
          <w:rFonts w:eastAsia="Times New Roman" w:cs="Arial"/>
          <w:sz w:val="24"/>
          <w:szCs w:val="24"/>
          <w:lang w:eastAsia="bg-BG"/>
        </w:rPr>
      </w:pPr>
      <w:r w:rsidRPr="00F948DB">
        <w:rPr>
          <w:rFonts w:eastAsia="Times New Roman" w:cs="Arial"/>
          <w:color w:val="000000"/>
          <w:lang w:eastAsia="bg-BG"/>
        </w:rPr>
        <w:t xml:space="preserve">Популация със симптоматична застойна сърдечна недостатъчност поради систолна дисфункция (фракция на изтласкване &lt;35%) е проучена в многоцентрово, рандомизирано, двойно-сляпо, плацебо-контролирано проучване (проучването </w:t>
      </w:r>
      <w:r w:rsidRPr="00F948DB">
        <w:rPr>
          <w:rFonts w:eastAsia="Times New Roman" w:cs="Arial"/>
          <w:color w:val="000000"/>
          <w:lang w:val="en-US"/>
        </w:rPr>
        <w:t xml:space="preserve">SOLVD treatment). </w:t>
      </w:r>
      <w:r w:rsidRPr="00F948DB">
        <w:rPr>
          <w:rFonts w:eastAsia="Times New Roman" w:cs="Arial"/>
          <w:color w:val="000000"/>
          <w:lang w:eastAsia="bg-BG"/>
        </w:rPr>
        <w:t>2569 пациенти, лекувани конвенционално за сърдечна недостатъчност, са рандомизирани да получават плацебо (</w:t>
      </w:r>
      <w:r w:rsidRPr="00F948DB">
        <w:rPr>
          <w:rFonts w:eastAsia="Times New Roman" w:cs="Arial"/>
          <w:color w:val="000000"/>
          <w:lang w:val="en-US"/>
        </w:rPr>
        <w:t>n</w:t>
      </w:r>
      <w:r w:rsidRPr="00F948DB">
        <w:rPr>
          <w:rFonts w:eastAsia="Times New Roman" w:cs="Arial"/>
          <w:color w:val="000000"/>
          <w:lang w:eastAsia="bg-BG"/>
        </w:rPr>
        <w:t>=1284) или на еналаприл (п=1285). В плацебо групата са наблюдавани 510 смъртни случая (39,7%), в сравнение с 452 (35,2%) в групата с еналаприлов малеат (намаление на риска: 16%; 95%</w:t>
      </w:r>
      <w:r w:rsidRPr="00F948DB">
        <w:rPr>
          <w:rFonts w:eastAsia="Times New Roman" w:cs="Arial"/>
          <w:color w:val="000000"/>
          <w:u w:val="single"/>
          <w:lang w:eastAsia="bg-BG"/>
        </w:rPr>
        <w:t xml:space="preserve"> </w:t>
      </w:r>
      <w:r w:rsidRPr="00F948DB">
        <w:rPr>
          <w:rFonts w:eastAsia="Times New Roman" w:cs="Arial"/>
          <w:color w:val="000000"/>
          <w:lang w:eastAsia="bg-BG"/>
        </w:rPr>
        <w:t>доверителен интервал: 5-26%; р=0,0036). В плацебо групата са наблюдавани 461</w:t>
      </w:r>
      <w:r w:rsidRPr="00F948DB">
        <w:rPr>
          <w:rFonts w:eastAsia="Times New Roman" w:cs="Arial"/>
          <w:color w:val="000000"/>
          <w:lang w:val="en-US"/>
        </w:rPr>
        <w:t xml:space="preserve"> </w:t>
      </w:r>
      <w:r w:rsidRPr="00F948DB">
        <w:rPr>
          <w:rFonts w:eastAsia="Times New Roman" w:cs="Arial"/>
          <w:color w:val="000000"/>
          <w:lang w:eastAsia="bg-BG"/>
        </w:rPr>
        <w:t>смъртни</w:t>
      </w:r>
      <w:r w:rsidRPr="00F948DB">
        <w:rPr>
          <w:rFonts w:eastAsia="Times New Roman" w:cs="Arial"/>
          <w:color w:val="000000"/>
          <w:lang w:val="en-US"/>
        </w:rPr>
        <w:t xml:space="preserve">   </w:t>
      </w:r>
      <w:r w:rsidRPr="00F948DB">
        <w:rPr>
          <w:rFonts w:eastAsia="Times New Roman" w:cs="Arial"/>
          <w:color w:val="000000"/>
          <w:lang w:eastAsia="bg-BG"/>
        </w:rPr>
        <w:t xml:space="preserve"> случая от сърдечно-съдови заболявания в сравнение с 399 случая в групата с еналаприл  (намаление на риска: 18%, 95% доверителен интервал: 6-28%; р&lt;0,002); това се обяснява най- вече с намаление на смъртните случаи по повод напреднала сърдечна недостатъчност (251 в плацебо-групата спрямо 209 в групата с еналаприлов малеат; намаление на риска 22%,</w:t>
      </w:r>
      <w:r w:rsidRPr="00F948DB">
        <w:rPr>
          <w:rFonts w:eastAsia="Times New Roman" w:cs="Arial"/>
          <w:color w:val="000000"/>
          <w:lang w:val="en-US"/>
        </w:rPr>
        <w:t xml:space="preserve"> 95%</w:t>
      </w:r>
      <w:r>
        <w:rPr>
          <w:rFonts w:eastAsia="Times New Roman" w:cs="Arial"/>
          <w:color w:val="000000"/>
          <w:lang w:val="en-US"/>
        </w:rPr>
        <w:t xml:space="preserve"> </w:t>
      </w:r>
      <w:r w:rsidRPr="00F948DB">
        <w:rPr>
          <w:rFonts w:eastAsia="Times New Roman" w:cs="Arial"/>
          <w:color w:val="000000"/>
          <w:lang w:eastAsia="bg-BG"/>
        </w:rPr>
        <w:t xml:space="preserve">доверителен интервал: 6-35 %). По-малка част от пациентите умират или са хоспитализирани по повод влошаване на сърдечната недостатъчност (736 в плацебо-групата и 613 в групата с еналаприлов малеат (намаление на риска 26%; 95% доверителен интервал: 18-34%; р&lt;0,0001). Като общо, еналаприлов малеат намалява риска от инфаркт на миокарда с 23% (95% доверителен интервал: 11-34%; р&lt;0,001) и риска от хоспитализиране по повод нестабилна ангина пекторис с 20% (95% доверителен интервал: 9-29%, р&lt;0,001) в проучването </w:t>
      </w:r>
      <w:r w:rsidRPr="00F948DB">
        <w:rPr>
          <w:rFonts w:eastAsia="Times New Roman" w:cs="Arial"/>
          <w:color w:val="000000"/>
          <w:lang w:val="en-US"/>
        </w:rPr>
        <w:t xml:space="preserve">SOLVD </w:t>
      </w:r>
      <w:r w:rsidRPr="00F948DB">
        <w:rPr>
          <w:rFonts w:eastAsia="Times New Roman" w:cs="Arial"/>
          <w:color w:val="000000"/>
          <w:lang w:eastAsia="bg-BG"/>
        </w:rPr>
        <w:t>при пациенти с левокамерна дисфункция.</w:t>
      </w:r>
    </w:p>
    <w:p w14:paraId="7343D0B4" w14:textId="77777777" w:rsidR="00F948DB" w:rsidRPr="00F948DB" w:rsidRDefault="00F948DB" w:rsidP="00F948DB">
      <w:pPr>
        <w:spacing w:line="240" w:lineRule="auto"/>
        <w:rPr>
          <w:rFonts w:eastAsia="Times New Roman" w:cs="Arial"/>
          <w:sz w:val="24"/>
          <w:szCs w:val="24"/>
          <w:lang w:eastAsia="bg-BG"/>
        </w:rPr>
      </w:pPr>
      <w:r w:rsidRPr="00F948DB">
        <w:rPr>
          <w:rFonts w:eastAsia="Times New Roman" w:cs="Arial"/>
          <w:color w:val="000000"/>
          <w:lang w:eastAsia="bg-BG"/>
        </w:rPr>
        <w:t xml:space="preserve">Две големи рандомизирани контролирани проучвания - </w:t>
      </w:r>
      <w:r w:rsidRPr="00F948DB">
        <w:rPr>
          <w:rFonts w:eastAsia="Times New Roman" w:cs="Arial"/>
          <w:color w:val="000000"/>
          <w:lang w:val="en-US"/>
        </w:rPr>
        <w:t>ONTARGET (</w:t>
      </w:r>
      <w:proofErr w:type="spellStart"/>
      <w:r w:rsidRPr="00F948DB">
        <w:rPr>
          <w:rFonts w:eastAsia="Times New Roman" w:cs="Arial"/>
          <w:color w:val="000000"/>
          <w:lang w:val="en-US"/>
        </w:rPr>
        <w:t>ONgoing</w:t>
      </w:r>
      <w:proofErr w:type="spellEnd"/>
      <w:r w:rsidRPr="00F948DB">
        <w:rPr>
          <w:rFonts w:eastAsia="Times New Roman" w:cs="Arial"/>
          <w:color w:val="000000"/>
          <w:lang w:val="en-US"/>
        </w:rPr>
        <w:t xml:space="preserve"> </w:t>
      </w:r>
      <w:proofErr w:type="spellStart"/>
      <w:r w:rsidRPr="00F948DB">
        <w:rPr>
          <w:rFonts w:eastAsia="Times New Roman" w:cs="Arial"/>
          <w:color w:val="000000"/>
          <w:lang w:val="en-US"/>
        </w:rPr>
        <w:t>Telmisartan</w:t>
      </w:r>
      <w:proofErr w:type="spellEnd"/>
      <w:r w:rsidRPr="00F948DB">
        <w:rPr>
          <w:rFonts w:eastAsia="Times New Roman" w:cs="Arial"/>
          <w:color w:val="000000"/>
          <w:lang w:val="en-US"/>
        </w:rPr>
        <w:t xml:space="preserve"> Alone and in combination with Ramipril Global Endpoint Trial - </w:t>
      </w:r>
      <w:r w:rsidRPr="00F948DB">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рамиприл) и </w:t>
      </w:r>
      <w:r w:rsidRPr="00F948DB">
        <w:rPr>
          <w:rFonts w:eastAsia="Times New Roman" w:cs="Arial"/>
          <w:color w:val="000000"/>
          <w:lang w:val="en-US"/>
        </w:rPr>
        <w:t xml:space="preserve">VANEPHRON-D </w:t>
      </w:r>
      <w:r w:rsidRPr="00F948DB">
        <w:rPr>
          <w:rFonts w:eastAsia="Times New Roman" w:cs="Arial"/>
          <w:color w:val="000000"/>
          <w:lang w:eastAsia="bg-BG"/>
        </w:rPr>
        <w:t>(Клинично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ангиотензин П-рецепторен блокер.</w:t>
      </w:r>
    </w:p>
    <w:p w14:paraId="0BAA8E64" w14:textId="77777777" w:rsidR="00F948DB" w:rsidRPr="00F948DB" w:rsidRDefault="00F948DB" w:rsidP="00F948DB">
      <w:pPr>
        <w:spacing w:line="240" w:lineRule="auto"/>
        <w:rPr>
          <w:rFonts w:eastAsia="Times New Roman" w:cs="Arial"/>
          <w:sz w:val="24"/>
          <w:szCs w:val="24"/>
          <w:lang w:eastAsia="bg-BG"/>
        </w:rPr>
      </w:pPr>
      <w:r w:rsidRPr="00F948DB">
        <w:rPr>
          <w:rFonts w:eastAsia="Times New Roman" w:cs="Arial"/>
          <w:color w:val="000000"/>
          <w:lang w:val="en-US"/>
        </w:rPr>
        <w:t xml:space="preserve">ONTARGET </w:t>
      </w:r>
      <w:r w:rsidRPr="00F948DB">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F948DB">
        <w:rPr>
          <w:rFonts w:eastAsia="Times New Roman" w:cs="Arial"/>
          <w:color w:val="000000"/>
          <w:lang w:val="en-US"/>
        </w:rPr>
        <w:t xml:space="preserve">VA NEPHRON-D </w:t>
      </w:r>
      <w:r w:rsidRPr="00F948DB">
        <w:rPr>
          <w:rFonts w:eastAsia="Times New Roman" w:cs="Arial"/>
          <w:color w:val="000000"/>
          <w:lang w:eastAsia="bg-BG"/>
        </w:rPr>
        <w:t>е проучване при пациенти със захарен диабет тип 2 и диабетна нефропатия.</w:t>
      </w:r>
    </w:p>
    <w:p w14:paraId="292555B1" w14:textId="77777777" w:rsidR="00F948DB" w:rsidRPr="00F948DB" w:rsidRDefault="00F948DB" w:rsidP="00F948DB">
      <w:pPr>
        <w:spacing w:line="240" w:lineRule="auto"/>
        <w:rPr>
          <w:rFonts w:eastAsia="Times New Roman" w:cs="Arial"/>
          <w:sz w:val="24"/>
          <w:szCs w:val="24"/>
          <w:lang w:eastAsia="bg-BG"/>
        </w:rPr>
      </w:pPr>
      <w:r w:rsidRPr="00F948DB">
        <w:rPr>
          <w:rFonts w:eastAsia="Times New Roman" w:cs="Arial"/>
          <w:color w:val="000000"/>
          <w:lang w:eastAsia="bg-BG"/>
        </w:rPr>
        <w:t>Тези проучвания не показват значим благоприятен ефект върху бъбречните и/или сърдечно</w:t>
      </w:r>
      <w:r w:rsidRPr="00F948DB">
        <w:rPr>
          <w:rFonts w:eastAsia="Times New Roman" w:cs="Arial"/>
          <w:color w:val="000000"/>
          <w:lang w:eastAsia="bg-BG"/>
        </w:rPr>
        <w:softHyphen/>
        <w:t>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 Като се имат предвид сходните им фармакодннамични свойства, тези резултати са приложими и за други АСЕ инхибитори и ангиотензин II-рецепторни блокери.</w:t>
      </w:r>
    </w:p>
    <w:p w14:paraId="18552618" w14:textId="77777777" w:rsidR="00F948DB" w:rsidRPr="00F948DB" w:rsidRDefault="00F948DB" w:rsidP="00F948DB">
      <w:pPr>
        <w:spacing w:line="240" w:lineRule="auto"/>
        <w:rPr>
          <w:rFonts w:eastAsia="Times New Roman" w:cs="Arial"/>
          <w:sz w:val="24"/>
          <w:szCs w:val="24"/>
          <w:lang w:eastAsia="bg-BG"/>
        </w:rPr>
      </w:pPr>
      <w:r w:rsidRPr="00F948DB">
        <w:rPr>
          <w:rFonts w:eastAsia="Times New Roman" w:cs="Arial"/>
          <w:color w:val="000000"/>
          <w:lang w:eastAsia="bg-BG"/>
        </w:rPr>
        <w:t>АСЕ инхибитори и ангиотензин II-рецепторни блокери следователно не трябва да се използват едновременно при пациенти с диабетна нефропатия.</w:t>
      </w:r>
    </w:p>
    <w:p w14:paraId="24EDC81F" w14:textId="77777777" w:rsidR="00F948DB" w:rsidRPr="00F948DB" w:rsidRDefault="00F948DB" w:rsidP="00F948DB">
      <w:pPr>
        <w:spacing w:line="240" w:lineRule="auto"/>
        <w:rPr>
          <w:rFonts w:eastAsia="Times New Roman" w:cs="Arial"/>
          <w:sz w:val="24"/>
          <w:szCs w:val="24"/>
          <w:lang w:eastAsia="bg-BG"/>
        </w:rPr>
      </w:pPr>
      <w:r w:rsidRPr="00F948DB">
        <w:rPr>
          <w:rFonts w:eastAsia="Times New Roman" w:cs="Arial"/>
          <w:color w:val="000000"/>
          <w:lang w:val="en-US"/>
        </w:rPr>
        <w:t xml:space="preserve">ALTITUDE </w:t>
      </w:r>
      <w:r w:rsidRPr="00F948DB">
        <w:rPr>
          <w:rFonts w:eastAsia="Times New Roman" w:cs="Arial"/>
          <w:color w:val="000000"/>
          <w:lang w:eastAsia="bg-BG"/>
        </w:rPr>
        <w:t xml:space="preserve">(Клинично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 инхибитор или ангиотензин II-рецепторен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Какго сърдечно-съдовата смърт, така и инсултът са по-чести </w:t>
      </w:r>
      <w:r w:rsidRPr="00F948DB">
        <w:rPr>
          <w:rFonts w:eastAsia="Times New Roman" w:cs="Arial"/>
          <w:color w:val="000000"/>
          <w:lang w:eastAsia="bg-BG"/>
        </w:rPr>
        <w:lastRenderedPageBreak/>
        <w:t>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49052BA1" w14:textId="77777777" w:rsidR="00F948DB" w:rsidRPr="00F948DB" w:rsidRDefault="00F948DB" w:rsidP="00F948DB">
      <w:pPr>
        <w:spacing w:line="240" w:lineRule="auto"/>
        <w:rPr>
          <w:rFonts w:eastAsia="Times New Roman" w:cs="Arial"/>
          <w:sz w:val="24"/>
          <w:szCs w:val="24"/>
          <w:lang w:eastAsia="bg-BG"/>
        </w:rPr>
      </w:pPr>
    </w:p>
    <w:p w14:paraId="2E6CF39D" w14:textId="51230F0C" w:rsidR="00F948DB" w:rsidRPr="00F948DB" w:rsidRDefault="00F948DB" w:rsidP="00F948DB">
      <w:pPr>
        <w:spacing w:line="240" w:lineRule="auto"/>
        <w:rPr>
          <w:rFonts w:eastAsia="Times New Roman" w:cs="Arial"/>
          <w:sz w:val="24"/>
          <w:szCs w:val="24"/>
          <w:lang w:eastAsia="bg-BG"/>
        </w:rPr>
      </w:pPr>
      <w:r w:rsidRPr="00F948DB">
        <w:rPr>
          <w:rFonts w:eastAsia="Times New Roman" w:cs="Arial"/>
          <w:color w:val="000000"/>
          <w:u w:val="single"/>
          <w:lang w:eastAsia="bg-BG"/>
        </w:rPr>
        <w:t>Педиатрична популация</w:t>
      </w:r>
    </w:p>
    <w:p w14:paraId="36367DFE" w14:textId="24CA881B" w:rsidR="00F948DB" w:rsidRPr="00F948DB" w:rsidRDefault="00F948DB" w:rsidP="00F948DB">
      <w:pPr>
        <w:rPr>
          <w:rFonts w:eastAsia="Times New Roman" w:cs="Arial"/>
          <w:color w:val="000000"/>
          <w:lang w:val="en-US"/>
        </w:rPr>
      </w:pPr>
      <w:r w:rsidRPr="00F948DB">
        <w:rPr>
          <w:rFonts w:eastAsia="Times New Roman" w:cs="Arial"/>
          <w:color w:val="000000"/>
          <w:lang w:eastAsia="bg-BG"/>
        </w:rPr>
        <w:t xml:space="preserve">Налице са ограничени данни за приложението при деца над 6 години с хипертония. В клинично проучване със 110 деца с хипертония на възраст 6 до16 години, телесно тегло ≥20 </w:t>
      </w:r>
      <w:r w:rsidRPr="00F948DB">
        <w:rPr>
          <w:rFonts w:eastAsia="Times New Roman" w:cs="Arial"/>
          <w:color w:val="000000"/>
          <w:lang w:val="en-US"/>
        </w:rPr>
        <w:t xml:space="preserve">kg </w:t>
      </w:r>
      <w:r w:rsidRPr="00F948DB">
        <w:rPr>
          <w:rFonts w:eastAsia="Times New Roman" w:cs="Arial"/>
          <w:color w:val="000000"/>
          <w:lang w:eastAsia="bg-BG"/>
        </w:rPr>
        <w:t xml:space="preserve">и скорост на гломерулна филтрация &gt;30 </w:t>
      </w:r>
      <w:r w:rsidRPr="00F948DB">
        <w:rPr>
          <w:rFonts w:eastAsia="Times New Roman" w:cs="Arial"/>
          <w:color w:val="000000"/>
          <w:lang w:val="en-US"/>
        </w:rPr>
        <w:t>ml/min/1</w:t>
      </w:r>
      <w:r w:rsidRPr="00F948DB">
        <w:rPr>
          <w:rFonts w:eastAsia="Times New Roman" w:cs="Arial"/>
          <w:color w:val="000000"/>
          <w:lang w:eastAsia="bg-BG"/>
        </w:rPr>
        <w:t xml:space="preserve">,73 </w:t>
      </w:r>
      <w:r w:rsidRPr="00F948DB">
        <w:rPr>
          <w:rFonts w:eastAsia="Times New Roman" w:cs="Arial"/>
          <w:color w:val="000000"/>
          <w:lang w:val="en-US"/>
        </w:rPr>
        <w:t>m</w:t>
      </w:r>
      <w:r w:rsidRPr="00F948DB">
        <w:rPr>
          <w:rFonts w:eastAsia="Times New Roman" w:cs="Arial"/>
          <w:color w:val="000000"/>
          <w:vertAlign w:val="superscript"/>
          <w:lang w:val="en-US"/>
        </w:rPr>
        <w:t>2</w:t>
      </w:r>
      <w:r w:rsidRPr="00F948DB">
        <w:rPr>
          <w:rFonts w:eastAsia="Times New Roman" w:cs="Arial"/>
          <w:color w:val="000000"/>
          <w:lang w:val="en-US"/>
        </w:rPr>
        <w:t xml:space="preserve">, </w:t>
      </w:r>
      <w:r w:rsidRPr="00F948DB">
        <w:rPr>
          <w:rFonts w:eastAsia="Times New Roman" w:cs="Arial"/>
          <w:color w:val="000000"/>
          <w:lang w:eastAsia="bg-BG"/>
        </w:rPr>
        <w:t xml:space="preserve">пациентите с тегло &lt;50 </w:t>
      </w:r>
      <w:r w:rsidRPr="00F948DB">
        <w:rPr>
          <w:rFonts w:eastAsia="Times New Roman" w:cs="Arial"/>
          <w:color w:val="000000"/>
          <w:lang w:val="en-US"/>
        </w:rPr>
        <w:t xml:space="preserve">kg </w:t>
      </w:r>
      <w:r w:rsidRPr="00F948DB">
        <w:rPr>
          <w:rFonts w:eastAsia="Times New Roman" w:cs="Arial"/>
          <w:color w:val="000000"/>
          <w:lang w:eastAsia="bg-BG"/>
        </w:rPr>
        <w:t xml:space="preserve">получават 0,625 </w:t>
      </w:r>
      <w:r w:rsidRPr="00F948DB">
        <w:rPr>
          <w:rFonts w:eastAsia="Times New Roman" w:cs="Arial"/>
          <w:color w:val="000000"/>
          <w:lang w:val="en-US"/>
        </w:rPr>
        <w:t xml:space="preserve">mg, </w:t>
      </w:r>
      <w:r w:rsidRPr="00F948DB">
        <w:rPr>
          <w:rFonts w:eastAsia="Times New Roman" w:cs="Arial"/>
          <w:color w:val="000000"/>
          <w:lang w:eastAsia="bg-BG"/>
        </w:rPr>
        <w:t xml:space="preserve">2,5 </w:t>
      </w:r>
      <w:r w:rsidRPr="00F948DB">
        <w:rPr>
          <w:rFonts w:eastAsia="Times New Roman" w:cs="Arial"/>
          <w:color w:val="000000"/>
          <w:lang w:val="en-US"/>
        </w:rPr>
        <w:t xml:space="preserve">mg </w:t>
      </w:r>
      <w:r w:rsidRPr="00F948DB">
        <w:rPr>
          <w:rFonts w:eastAsia="Times New Roman" w:cs="Arial"/>
          <w:color w:val="000000"/>
          <w:lang w:eastAsia="bg-BG"/>
        </w:rPr>
        <w:t xml:space="preserve">или 20 </w:t>
      </w:r>
      <w:r w:rsidRPr="00F948DB">
        <w:rPr>
          <w:rFonts w:eastAsia="Times New Roman" w:cs="Arial"/>
          <w:color w:val="000000"/>
          <w:lang w:val="en-US"/>
        </w:rPr>
        <w:t xml:space="preserve">mg </w:t>
      </w:r>
      <w:r w:rsidRPr="00F948DB">
        <w:rPr>
          <w:rFonts w:eastAsia="Times New Roman" w:cs="Arial"/>
          <w:color w:val="000000"/>
          <w:lang w:eastAsia="bg-BG"/>
        </w:rPr>
        <w:t xml:space="preserve">еналаприлов малеат на ден, а пациентите с телесно тегло ≥50 </w:t>
      </w:r>
      <w:r w:rsidRPr="00F948DB">
        <w:rPr>
          <w:rFonts w:eastAsia="Times New Roman" w:cs="Arial"/>
          <w:color w:val="000000"/>
          <w:lang w:val="en-US"/>
        </w:rPr>
        <w:t xml:space="preserve">kg </w:t>
      </w:r>
      <w:r w:rsidRPr="00F948DB">
        <w:rPr>
          <w:rFonts w:eastAsia="Times New Roman" w:cs="Arial"/>
          <w:color w:val="000000"/>
          <w:lang w:eastAsia="bg-BG"/>
        </w:rPr>
        <w:t xml:space="preserve">получават 1,25, 5 или 40 </w:t>
      </w:r>
      <w:r w:rsidRPr="00F948DB">
        <w:rPr>
          <w:rFonts w:eastAsia="Times New Roman" w:cs="Arial"/>
          <w:color w:val="000000"/>
          <w:lang w:val="en-US"/>
        </w:rPr>
        <w:t xml:space="preserve">mg </w:t>
      </w:r>
      <w:r w:rsidRPr="00F948DB">
        <w:rPr>
          <w:rFonts w:eastAsia="Times New Roman" w:cs="Arial"/>
          <w:color w:val="000000"/>
          <w:lang w:eastAsia="bg-BG"/>
        </w:rPr>
        <w:t xml:space="preserve">еналаприлов малеат на ден. Приложението на еналаприлов малеат еднократно дневно понижава кръвното налягане в зависимост от дозата. Дозозависимата антихипертензивна ефикасност на еналаприл е значителна при всички подгрупи (възраст, стадий по Танер, пол, раса). Най-ниските проучвани дози обаче, 0,625 </w:t>
      </w:r>
      <w:r w:rsidRPr="00F948DB">
        <w:rPr>
          <w:rFonts w:eastAsia="Times New Roman" w:cs="Arial"/>
          <w:color w:val="000000"/>
          <w:lang w:val="en-US"/>
        </w:rPr>
        <w:t xml:space="preserve">mg </w:t>
      </w:r>
      <w:r w:rsidRPr="00F948DB">
        <w:rPr>
          <w:rFonts w:eastAsia="Times New Roman" w:cs="Arial"/>
          <w:color w:val="000000"/>
          <w:lang w:eastAsia="bg-BG"/>
        </w:rPr>
        <w:t xml:space="preserve">и 1,25 </w:t>
      </w:r>
      <w:r w:rsidRPr="00F948DB">
        <w:rPr>
          <w:rFonts w:eastAsia="Times New Roman" w:cs="Arial"/>
          <w:color w:val="000000"/>
          <w:lang w:val="en-US"/>
        </w:rPr>
        <w:t xml:space="preserve">mg, </w:t>
      </w:r>
      <w:r w:rsidRPr="00F948DB">
        <w:rPr>
          <w:rFonts w:eastAsia="Times New Roman" w:cs="Arial"/>
          <w:color w:val="000000"/>
          <w:lang w:eastAsia="bg-BG"/>
        </w:rPr>
        <w:t xml:space="preserve">които съответстват на средно 0,02 </w:t>
      </w:r>
      <w:r w:rsidRPr="00F948DB">
        <w:rPr>
          <w:rFonts w:eastAsia="Times New Roman" w:cs="Arial"/>
          <w:color w:val="000000"/>
          <w:lang w:val="en-US"/>
        </w:rPr>
        <w:t xml:space="preserve">mg/kg </w:t>
      </w:r>
      <w:r w:rsidRPr="00F948DB">
        <w:rPr>
          <w:rFonts w:eastAsia="Times New Roman" w:cs="Arial"/>
          <w:color w:val="000000"/>
          <w:lang w:eastAsia="bg-BG"/>
        </w:rPr>
        <w:t xml:space="preserve">веднъж дневно, не демонстрират значителна антихипертензивна ефикасност. Максималната проучвана доза е 0,58 </w:t>
      </w:r>
      <w:r w:rsidRPr="00F948DB">
        <w:rPr>
          <w:rFonts w:eastAsia="Times New Roman" w:cs="Arial"/>
          <w:color w:val="000000"/>
          <w:lang w:val="en-US"/>
        </w:rPr>
        <w:t xml:space="preserve">mg/kg </w:t>
      </w:r>
      <w:r w:rsidRPr="00F948DB">
        <w:rPr>
          <w:rFonts w:eastAsia="Times New Roman" w:cs="Arial"/>
          <w:color w:val="000000"/>
          <w:lang w:eastAsia="bg-BG"/>
        </w:rPr>
        <w:t xml:space="preserve">(до 40 </w:t>
      </w:r>
      <w:r w:rsidRPr="00F948DB">
        <w:rPr>
          <w:rFonts w:eastAsia="Times New Roman" w:cs="Arial"/>
          <w:color w:val="000000"/>
          <w:lang w:val="en-US"/>
        </w:rPr>
        <w:t xml:space="preserve">mg) </w:t>
      </w:r>
      <w:r w:rsidRPr="00F948DB">
        <w:rPr>
          <w:rFonts w:eastAsia="Times New Roman" w:cs="Arial"/>
          <w:color w:val="000000"/>
          <w:lang w:eastAsia="bg-BG"/>
        </w:rPr>
        <w:t>веднъж дневно. Профилът на нежеланите ефекти при деца не се различава от този при възрастни.</w:t>
      </w:r>
    </w:p>
    <w:p w14:paraId="7A241635" w14:textId="77777777" w:rsidR="00F948DB" w:rsidRPr="00F948DB" w:rsidRDefault="00F948DB" w:rsidP="00F948DB">
      <w:pPr>
        <w:rPr>
          <w:rFonts w:cs="Arial"/>
        </w:rPr>
      </w:pPr>
    </w:p>
    <w:p w14:paraId="35F84B81" w14:textId="008277EB" w:rsidR="00CF77F7" w:rsidRDefault="002C50EE" w:rsidP="004A448E">
      <w:pPr>
        <w:pStyle w:val="Heading2"/>
      </w:pPr>
      <w:r>
        <w:t>5.2. Фармакокинетични свойства</w:t>
      </w:r>
    </w:p>
    <w:p w14:paraId="283F2746" w14:textId="19D2650D" w:rsidR="00F948DB" w:rsidRDefault="00F948DB" w:rsidP="00F948DB"/>
    <w:p w14:paraId="2F88CCE4" w14:textId="77777777" w:rsidR="00F948DB" w:rsidRPr="00B904D1" w:rsidRDefault="00F948DB" w:rsidP="00B904D1">
      <w:pPr>
        <w:pStyle w:val="Heading3"/>
        <w:rPr>
          <w:rFonts w:eastAsia="Times New Roman"/>
          <w:u w:val="single"/>
          <w:lang w:eastAsia="bg-BG"/>
        </w:rPr>
      </w:pPr>
      <w:r w:rsidRPr="00B904D1">
        <w:rPr>
          <w:rFonts w:eastAsia="Times New Roman"/>
          <w:u w:val="single"/>
          <w:lang w:eastAsia="bg-BG"/>
        </w:rPr>
        <w:t>Абсорбция</w:t>
      </w:r>
    </w:p>
    <w:p w14:paraId="377B60AD" w14:textId="7B63EB74" w:rsidR="00F948DB" w:rsidRPr="00F948DB" w:rsidRDefault="00F948DB" w:rsidP="00F948DB">
      <w:pPr>
        <w:rPr>
          <w:rFonts w:eastAsia="Times New Roman" w:cs="Arial"/>
          <w:color w:val="000000"/>
          <w:lang w:eastAsia="bg-BG"/>
        </w:rPr>
      </w:pPr>
      <w:r w:rsidRPr="00F948DB">
        <w:rPr>
          <w:rFonts w:eastAsia="Times New Roman" w:cs="Arial"/>
          <w:color w:val="000000"/>
          <w:lang w:eastAsia="bg-BG"/>
        </w:rPr>
        <w:t>Еналаприл се абсорбира бързо след перорално приложение, а максимални плазмени концентрации на еналаприл се достигат в рамките на един час. На базата на откриване в урината, при перорален прием на еналаприлов малеат под формата на таблетки, степента на абсорбция на еналаприлов малеат е около 60%. Абсорбцията на Берлиприл при перорален  прием не се повлиява от наличието на храна в стомашно-чревния тракт.</w:t>
      </w:r>
    </w:p>
    <w:p w14:paraId="434CB6C7" w14:textId="710CD106" w:rsidR="00F948DB" w:rsidRPr="00F948DB" w:rsidRDefault="00F948DB" w:rsidP="00F948DB">
      <w:pPr>
        <w:rPr>
          <w:rFonts w:eastAsia="Times New Roman" w:cs="Arial"/>
          <w:color w:val="000000"/>
          <w:lang w:eastAsia="bg-BG"/>
        </w:rPr>
      </w:pPr>
    </w:p>
    <w:p w14:paraId="609F475D" w14:textId="77777777" w:rsidR="00F948DB" w:rsidRPr="00F948DB" w:rsidRDefault="00F948DB" w:rsidP="00F948DB">
      <w:pPr>
        <w:spacing w:line="240" w:lineRule="auto"/>
        <w:rPr>
          <w:rFonts w:eastAsia="Times New Roman" w:cs="Arial"/>
          <w:sz w:val="24"/>
          <w:szCs w:val="24"/>
          <w:lang w:eastAsia="bg-BG"/>
        </w:rPr>
      </w:pPr>
      <w:r w:rsidRPr="00F948DB">
        <w:rPr>
          <w:rFonts w:eastAsia="Times New Roman" w:cs="Arial"/>
          <w:color w:val="000000"/>
          <w:lang w:eastAsia="bg-BG"/>
        </w:rPr>
        <w:t>След абсорбцията, перорално приложен еналаприл се хидролизира бързо и във висока степен до еналаприлат, мощен инхибитор на ангиотензин-конвертиращия ензим. Максималните плазмени концентрации еналаприлат се достигат около 4 часа след перорално приложение на еналаприл под формата на таблетки. Ефективното акумулативно време на полуживот на еналаприлат е 11 часа след многократно перорално приложение на еналаприлов малеат. Серумните концентрации на еналаприлат в равновесно състояние се достигат около 4 дни след началото на лечението при пациенти с нормална бъбречна функция.</w:t>
      </w:r>
    </w:p>
    <w:p w14:paraId="268CA386" w14:textId="77777777" w:rsidR="00F948DB" w:rsidRPr="00F948DB" w:rsidRDefault="00F948DB" w:rsidP="00F948DB">
      <w:pPr>
        <w:spacing w:line="240" w:lineRule="auto"/>
        <w:rPr>
          <w:rFonts w:eastAsia="Times New Roman" w:cs="Arial"/>
          <w:color w:val="000000"/>
          <w:u w:val="single"/>
          <w:lang w:eastAsia="bg-BG"/>
        </w:rPr>
      </w:pPr>
    </w:p>
    <w:p w14:paraId="59819A05" w14:textId="2989CD10" w:rsidR="00F948DB" w:rsidRPr="00B904D1" w:rsidRDefault="00F948DB" w:rsidP="00B904D1">
      <w:pPr>
        <w:pStyle w:val="Heading3"/>
        <w:rPr>
          <w:rFonts w:eastAsia="Times New Roman"/>
          <w:u w:val="single"/>
          <w:lang w:eastAsia="bg-BG"/>
        </w:rPr>
      </w:pPr>
      <w:r w:rsidRPr="00B904D1">
        <w:rPr>
          <w:rFonts w:eastAsia="Times New Roman"/>
          <w:u w:val="single"/>
          <w:lang w:eastAsia="bg-BG"/>
        </w:rPr>
        <w:t>Разпределение</w:t>
      </w:r>
    </w:p>
    <w:p w14:paraId="5BFE867C" w14:textId="77777777" w:rsidR="00F948DB" w:rsidRPr="00F948DB" w:rsidRDefault="00F948DB" w:rsidP="00F948DB">
      <w:pPr>
        <w:spacing w:line="240" w:lineRule="auto"/>
        <w:rPr>
          <w:rFonts w:eastAsia="Times New Roman" w:cs="Arial"/>
          <w:sz w:val="24"/>
          <w:szCs w:val="24"/>
          <w:lang w:eastAsia="bg-BG"/>
        </w:rPr>
      </w:pPr>
      <w:r w:rsidRPr="00F948DB">
        <w:rPr>
          <w:rFonts w:eastAsia="Times New Roman" w:cs="Arial"/>
          <w:color w:val="000000"/>
          <w:lang w:eastAsia="bg-BG"/>
        </w:rPr>
        <w:t>В рамките на терапевтично-значими концентрации, свързването на еналаприлат с плазмените протеини е не повече от 60%.</w:t>
      </w:r>
    </w:p>
    <w:p w14:paraId="0CAD2DD5" w14:textId="77777777" w:rsidR="00F948DB" w:rsidRPr="00F948DB" w:rsidRDefault="00F948DB" w:rsidP="00F948DB">
      <w:pPr>
        <w:spacing w:line="240" w:lineRule="auto"/>
        <w:rPr>
          <w:rFonts w:eastAsia="Times New Roman" w:cs="Arial"/>
          <w:color w:val="000000"/>
          <w:u w:val="single"/>
          <w:lang w:eastAsia="bg-BG"/>
        </w:rPr>
      </w:pPr>
    </w:p>
    <w:p w14:paraId="4E7A26A0" w14:textId="7C6A14CE" w:rsidR="00F948DB" w:rsidRPr="00B904D1" w:rsidRDefault="00F948DB" w:rsidP="00B904D1">
      <w:pPr>
        <w:pStyle w:val="Heading3"/>
        <w:rPr>
          <w:rFonts w:eastAsia="Times New Roman"/>
          <w:u w:val="single"/>
          <w:lang w:eastAsia="bg-BG"/>
        </w:rPr>
      </w:pPr>
      <w:r w:rsidRPr="00B904D1">
        <w:rPr>
          <w:rFonts w:eastAsia="Times New Roman"/>
          <w:u w:val="single"/>
          <w:lang w:eastAsia="bg-BG"/>
        </w:rPr>
        <w:t>Биотрансформация</w:t>
      </w:r>
    </w:p>
    <w:p w14:paraId="3F28B153" w14:textId="77777777" w:rsidR="00F948DB" w:rsidRPr="00F948DB" w:rsidRDefault="00F948DB" w:rsidP="00F948DB">
      <w:pPr>
        <w:spacing w:line="240" w:lineRule="auto"/>
        <w:rPr>
          <w:rFonts w:eastAsia="Times New Roman" w:cs="Arial"/>
          <w:sz w:val="24"/>
          <w:szCs w:val="24"/>
          <w:lang w:eastAsia="bg-BG"/>
        </w:rPr>
      </w:pPr>
      <w:r w:rsidRPr="00F948DB">
        <w:rPr>
          <w:rFonts w:eastAsia="Times New Roman" w:cs="Arial"/>
          <w:color w:val="000000"/>
          <w:lang w:eastAsia="bg-BG"/>
        </w:rPr>
        <w:t>Освен превръщането в еналаприлат, няма други данни за значителен метаболизъм на еналаприлов малеат.</w:t>
      </w:r>
    </w:p>
    <w:p w14:paraId="7AB7E1D9" w14:textId="77777777" w:rsidR="00F948DB" w:rsidRPr="00F948DB" w:rsidRDefault="00F948DB" w:rsidP="00F948DB">
      <w:pPr>
        <w:spacing w:line="240" w:lineRule="auto"/>
        <w:rPr>
          <w:rFonts w:eastAsia="Times New Roman" w:cs="Arial"/>
          <w:color w:val="000000"/>
          <w:u w:val="single"/>
          <w:lang w:eastAsia="bg-BG"/>
        </w:rPr>
      </w:pPr>
    </w:p>
    <w:p w14:paraId="172797E5" w14:textId="6AC3F5C1" w:rsidR="00F948DB" w:rsidRPr="00B904D1" w:rsidRDefault="00F948DB" w:rsidP="00B904D1">
      <w:pPr>
        <w:pStyle w:val="Heading3"/>
        <w:rPr>
          <w:rFonts w:eastAsia="Times New Roman"/>
          <w:u w:val="single"/>
          <w:lang w:eastAsia="bg-BG"/>
        </w:rPr>
      </w:pPr>
      <w:r w:rsidRPr="00B904D1">
        <w:rPr>
          <w:rFonts w:eastAsia="Times New Roman"/>
          <w:u w:val="single"/>
          <w:lang w:eastAsia="bg-BG"/>
        </w:rPr>
        <w:lastRenderedPageBreak/>
        <w:t>Елиминиране</w:t>
      </w:r>
    </w:p>
    <w:p w14:paraId="64FADE64" w14:textId="77777777" w:rsidR="00F948DB" w:rsidRPr="00F948DB" w:rsidRDefault="00F948DB" w:rsidP="00F948DB">
      <w:pPr>
        <w:spacing w:line="240" w:lineRule="auto"/>
        <w:rPr>
          <w:rFonts w:eastAsia="Times New Roman" w:cs="Arial"/>
          <w:sz w:val="24"/>
          <w:szCs w:val="24"/>
          <w:lang w:eastAsia="bg-BG"/>
        </w:rPr>
      </w:pPr>
      <w:r w:rsidRPr="00F948DB">
        <w:rPr>
          <w:rFonts w:eastAsia="Times New Roman" w:cs="Arial"/>
          <w:color w:val="000000"/>
          <w:lang w:eastAsia="bg-BG"/>
        </w:rPr>
        <w:t>Екскрецията на еналаприлат се осъществява главно с бъбреците. Основните компоненти в урината са еналаприлат, който съставлява около 40% от дозата, и непроменен еналаприлов малеат (около 20 %).</w:t>
      </w:r>
    </w:p>
    <w:p w14:paraId="36CC6547" w14:textId="77777777" w:rsidR="00F948DB" w:rsidRPr="00F948DB" w:rsidRDefault="00F948DB" w:rsidP="00F948DB">
      <w:pPr>
        <w:spacing w:line="240" w:lineRule="auto"/>
        <w:rPr>
          <w:rFonts w:eastAsia="Times New Roman" w:cs="Arial"/>
          <w:color w:val="000000"/>
          <w:u w:val="single"/>
          <w:lang w:eastAsia="bg-BG"/>
        </w:rPr>
      </w:pPr>
    </w:p>
    <w:p w14:paraId="073296FF" w14:textId="7B6041E2" w:rsidR="00F948DB" w:rsidRPr="00B904D1" w:rsidRDefault="00F948DB" w:rsidP="00B904D1">
      <w:pPr>
        <w:pStyle w:val="Heading3"/>
        <w:rPr>
          <w:rFonts w:eastAsia="Times New Roman"/>
          <w:u w:val="single"/>
          <w:lang w:eastAsia="bg-BG"/>
        </w:rPr>
      </w:pPr>
      <w:r w:rsidRPr="00B904D1">
        <w:rPr>
          <w:rFonts w:eastAsia="Times New Roman"/>
          <w:u w:val="single"/>
          <w:lang w:eastAsia="bg-BG"/>
        </w:rPr>
        <w:t>Бъбречно увреждане</w:t>
      </w:r>
    </w:p>
    <w:p w14:paraId="3AD760FF" w14:textId="77777777" w:rsidR="00F948DB" w:rsidRPr="00F948DB" w:rsidRDefault="00F948DB" w:rsidP="00F948DB">
      <w:pPr>
        <w:spacing w:line="240" w:lineRule="auto"/>
        <w:rPr>
          <w:rFonts w:eastAsia="Times New Roman" w:cs="Arial"/>
          <w:sz w:val="24"/>
          <w:szCs w:val="24"/>
          <w:lang w:eastAsia="bg-BG"/>
        </w:rPr>
      </w:pPr>
      <w:r w:rsidRPr="00F948DB">
        <w:rPr>
          <w:rFonts w:eastAsia="Times New Roman" w:cs="Arial"/>
          <w:color w:val="000000"/>
          <w:lang w:eastAsia="bg-BG"/>
        </w:rPr>
        <w:t>Експозицията към еналаприлов малеат и еналаприлат се увеличава при пациенти с бъбречна недостатъчност.</w:t>
      </w:r>
    </w:p>
    <w:p w14:paraId="73B0DE7D" w14:textId="77777777" w:rsidR="00F948DB" w:rsidRPr="00F948DB" w:rsidRDefault="00F948DB" w:rsidP="00F948DB">
      <w:pPr>
        <w:spacing w:line="240" w:lineRule="auto"/>
        <w:rPr>
          <w:rFonts w:eastAsia="Times New Roman" w:cs="Arial"/>
          <w:sz w:val="24"/>
          <w:szCs w:val="24"/>
          <w:lang w:eastAsia="bg-BG"/>
        </w:rPr>
      </w:pPr>
      <w:r w:rsidRPr="00F948DB">
        <w:rPr>
          <w:rFonts w:eastAsia="Times New Roman" w:cs="Arial"/>
          <w:color w:val="000000"/>
          <w:lang w:eastAsia="bg-BG"/>
        </w:rPr>
        <w:t xml:space="preserve">При пациенти с лека до умерена бъбречна недостатъчност (креатининов клирънс 40-60 </w:t>
      </w:r>
      <w:r w:rsidRPr="00F948DB">
        <w:rPr>
          <w:rFonts w:eastAsia="Times New Roman" w:cs="Arial"/>
          <w:color w:val="000000"/>
          <w:lang w:val="en-US"/>
        </w:rPr>
        <w:t xml:space="preserve">ml/min), AUC </w:t>
      </w:r>
      <w:r w:rsidRPr="00F948DB">
        <w:rPr>
          <w:rFonts w:eastAsia="Times New Roman" w:cs="Arial"/>
          <w:color w:val="000000"/>
          <w:lang w:eastAsia="bg-BG"/>
        </w:rPr>
        <w:t xml:space="preserve">на еналаприлат в равновесно състояние е около два пъти по-висока от тази при пациенти с нормална бъбречна функция при приложение на 5 </w:t>
      </w:r>
      <w:r w:rsidRPr="00F948DB">
        <w:rPr>
          <w:rFonts w:eastAsia="Times New Roman" w:cs="Arial"/>
          <w:color w:val="000000"/>
          <w:lang w:val="en-US"/>
        </w:rPr>
        <w:t xml:space="preserve">mg </w:t>
      </w:r>
      <w:r w:rsidRPr="00F948DB">
        <w:rPr>
          <w:rFonts w:eastAsia="Times New Roman" w:cs="Arial"/>
          <w:color w:val="000000"/>
          <w:lang w:eastAsia="bg-BG"/>
        </w:rPr>
        <w:t xml:space="preserve">веднъж дневно. При тежка бъбречна недостатъчност (креатининов клирънс ≤30 </w:t>
      </w:r>
      <w:r w:rsidRPr="00F948DB">
        <w:rPr>
          <w:rFonts w:eastAsia="Times New Roman" w:cs="Arial"/>
          <w:color w:val="000000"/>
          <w:lang w:val="en-US"/>
        </w:rPr>
        <w:t xml:space="preserve">ml/min), AUC </w:t>
      </w:r>
      <w:r w:rsidRPr="00F948DB">
        <w:rPr>
          <w:rFonts w:eastAsia="Times New Roman" w:cs="Arial"/>
          <w:color w:val="000000"/>
          <w:lang w:eastAsia="bg-BG"/>
        </w:rPr>
        <w:t>е повишена около 8 пъти.</w:t>
      </w:r>
    </w:p>
    <w:p w14:paraId="63546907" w14:textId="77777777" w:rsidR="00F948DB" w:rsidRPr="00F948DB" w:rsidRDefault="00F948DB" w:rsidP="00F948DB">
      <w:pPr>
        <w:spacing w:line="240" w:lineRule="auto"/>
        <w:rPr>
          <w:rFonts w:eastAsia="Times New Roman" w:cs="Arial"/>
          <w:sz w:val="24"/>
          <w:szCs w:val="24"/>
          <w:lang w:eastAsia="bg-BG"/>
        </w:rPr>
      </w:pPr>
      <w:r w:rsidRPr="00F948DB">
        <w:rPr>
          <w:rFonts w:eastAsia="Times New Roman" w:cs="Arial"/>
          <w:color w:val="000000"/>
          <w:lang w:eastAsia="bg-BG"/>
        </w:rPr>
        <w:t>Ефективното време на полуживот на еналаприлат след многократно дозиране на еналаприлов малеат се удължава до това ниво при бъбречна недостатъчност, а времето за достигане на равновесно състояние се удължава (вж. т. 4.2.).</w:t>
      </w:r>
    </w:p>
    <w:p w14:paraId="13BBC021" w14:textId="166CE267" w:rsidR="00F948DB" w:rsidRDefault="00F948DB" w:rsidP="00F948DB">
      <w:pPr>
        <w:rPr>
          <w:rFonts w:eastAsia="Times New Roman" w:cs="Arial"/>
          <w:color w:val="000000"/>
          <w:lang w:val="en-US"/>
        </w:rPr>
      </w:pPr>
      <w:r w:rsidRPr="00F948DB">
        <w:rPr>
          <w:rFonts w:eastAsia="Times New Roman" w:cs="Arial"/>
          <w:color w:val="000000"/>
          <w:lang w:eastAsia="bg-BG"/>
        </w:rPr>
        <w:t xml:space="preserve">Еналаприлат може да бъде отстранен от системното кръвообращение чрез хемодиализа. Диализният клирънс е 62 </w:t>
      </w:r>
      <w:r w:rsidRPr="00F948DB">
        <w:rPr>
          <w:rFonts w:eastAsia="Times New Roman" w:cs="Arial"/>
          <w:color w:val="000000"/>
          <w:lang w:val="en-US"/>
        </w:rPr>
        <w:t>ml/min.</w:t>
      </w:r>
    </w:p>
    <w:p w14:paraId="6A365518" w14:textId="416B6517" w:rsidR="00F948DB" w:rsidRDefault="00F948DB" w:rsidP="00F948DB">
      <w:pPr>
        <w:rPr>
          <w:rFonts w:eastAsia="Times New Roman" w:cs="Arial"/>
          <w:color w:val="000000"/>
          <w:lang w:val="en-US"/>
        </w:rPr>
      </w:pPr>
    </w:p>
    <w:p w14:paraId="10503E67" w14:textId="77777777" w:rsidR="00F948DB" w:rsidRPr="00B904D1" w:rsidRDefault="00F948DB" w:rsidP="00B904D1">
      <w:pPr>
        <w:pStyle w:val="Heading3"/>
        <w:rPr>
          <w:rFonts w:eastAsia="Times New Roman"/>
          <w:u w:val="single"/>
          <w:lang w:eastAsia="bg-BG"/>
        </w:rPr>
      </w:pPr>
      <w:r w:rsidRPr="00B904D1">
        <w:rPr>
          <w:rFonts w:eastAsia="Times New Roman"/>
          <w:u w:val="single"/>
          <w:lang w:eastAsia="bg-BG"/>
        </w:rPr>
        <w:t>Педиатрична популация</w:t>
      </w:r>
    </w:p>
    <w:p w14:paraId="7176B6C1" w14:textId="77777777" w:rsidR="00F948DB" w:rsidRPr="00F948DB" w:rsidRDefault="00F948DB" w:rsidP="00F948DB">
      <w:pPr>
        <w:spacing w:line="240" w:lineRule="auto"/>
        <w:rPr>
          <w:rFonts w:eastAsia="Times New Roman" w:cs="Arial"/>
          <w:sz w:val="24"/>
          <w:szCs w:val="24"/>
          <w:lang w:eastAsia="bg-BG"/>
        </w:rPr>
      </w:pPr>
      <w:r w:rsidRPr="00F948DB">
        <w:rPr>
          <w:rFonts w:eastAsia="Times New Roman" w:cs="Arial"/>
          <w:color w:val="000000"/>
          <w:lang w:eastAsia="bg-BG"/>
        </w:rPr>
        <w:t xml:space="preserve">Фармакокинетично проучване с многократно дозиране е проведено при 40 деца, момичета и момчета, с хипертония на възраст 2 месеца до ≤16 години след перорално приложение 0,07 до 0,14 </w:t>
      </w:r>
      <w:r w:rsidRPr="00F948DB">
        <w:rPr>
          <w:rFonts w:eastAsia="Times New Roman" w:cs="Arial"/>
          <w:color w:val="000000"/>
          <w:lang w:val="en-US"/>
        </w:rPr>
        <w:t xml:space="preserve">mg/kg </w:t>
      </w:r>
      <w:r w:rsidRPr="00F948DB">
        <w:rPr>
          <w:rFonts w:eastAsia="Times New Roman" w:cs="Arial"/>
          <w:color w:val="000000"/>
          <w:lang w:eastAsia="bg-BG"/>
        </w:rPr>
        <w:t xml:space="preserve">еналаприлов малеат дневно. Няма големи разлики във фармакокинетиката на еналаприлат при деца, в сравнение с наличните данни за възрастни. Данните показват нарастване в </w:t>
      </w:r>
      <w:r w:rsidRPr="00F948DB">
        <w:rPr>
          <w:rFonts w:eastAsia="Times New Roman" w:cs="Arial"/>
          <w:color w:val="000000"/>
          <w:lang w:val="en-US"/>
        </w:rPr>
        <w:t xml:space="preserve">AUC </w:t>
      </w:r>
      <w:r w:rsidRPr="00F948DB">
        <w:rPr>
          <w:rFonts w:eastAsia="Times New Roman" w:cs="Arial"/>
          <w:color w:val="000000"/>
          <w:lang w:eastAsia="bg-BG"/>
        </w:rPr>
        <w:t xml:space="preserve">(нормализирано според доза на телесно тегло) с увеличаване на възрастта. Когато обаче данните се нормализират според телесна повърхност, не се наблюдава нарастване в </w:t>
      </w:r>
      <w:r w:rsidRPr="00F948DB">
        <w:rPr>
          <w:rFonts w:eastAsia="Times New Roman" w:cs="Arial"/>
          <w:color w:val="000000"/>
          <w:lang w:val="en-US"/>
        </w:rPr>
        <w:t xml:space="preserve">AUC. </w:t>
      </w:r>
      <w:r w:rsidRPr="00F948DB">
        <w:rPr>
          <w:rFonts w:eastAsia="Times New Roman" w:cs="Arial"/>
          <w:color w:val="000000"/>
          <w:lang w:eastAsia="bg-BG"/>
        </w:rPr>
        <w:t>При равновесно състояние, средното ефективно време на полуживот за акумулация на еналаприлат е 14 часа.</w:t>
      </w:r>
    </w:p>
    <w:p w14:paraId="60889AC1" w14:textId="77777777" w:rsidR="00F948DB" w:rsidRPr="00F948DB" w:rsidRDefault="00F948DB" w:rsidP="00F948DB">
      <w:pPr>
        <w:spacing w:line="240" w:lineRule="auto"/>
        <w:rPr>
          <w:rFonts w:eastAsia="Times New Roman" w:cs="Arial"/>
          <w:color w:val="000000"/>
          <w:u w:val="single"/>
          <w:lang w:eastAsia="bg-BG"/>
        </w:rPr>
      </w:pPr>
    </w:p>
    <w:p w14:paraId="724DF2EF" w14:textId="405D90CB" w:rsidR="00F948DB" w:rsidRPr="00B904D1" w:rsidRDefault="00F948DB" w:rsidP="00B904D1">
      <w:pPr>
        <w:pStyle w:val="Heading3"/>
        <w:rPr>
          <w:rFonts w:eastAsia="Times New Roman"/>
          <w:u w:val="single"/>
          <w:lang w:eastAsia="bg-BG"/>
        </w:rPr>
      </w:pPr>
      <w:r w:rsidRPr="00B904D1">
        <w:rPr>
          <w:rFonts w:eastAsia="Times New Roman"/>
          <w:u w:val="single"/>
          <w:lang w:eastAsia="bg-BG"/>
        </w:rPr>
        <w:t>Кърмене</w:t>
      </w:r>
    </w:p>
    <w:p w14:paraId="336DBF86" w14:textId="77777777" w:rsidR="00F948DB" w:rsidRPr="00F948DB" w:rsidRDefault="00F948DB" w:rsidP="00F948DB">
      <w:pPr>
        <w:spacing w:line="240" w:lineRule="auto"/>
        <w:rPr>
          <w:rFonts w:eastAsia="Times New Roman" w:cs="Arial"/>
          <w:sz w:val="24"/>
          <w:szCs w:val="24"/>
          <w:lang w:eastAsia="bg-BG"/>
        </w:rPr>
      </w:pPr>
      <w:r w:rsidRPr="00F948DB">
        <w:rPr>
          <w:rFonts w:eastAsia="Times New Roman" w:cs="Arial"/>
          <w:color w:val="000000"/>
          <w:lang w:eastAsia="bg-BG"/>
        </w:rPr>
        <w:t xml:space="preserve">След перорално приложение на еднократна доза от 20 </w:t>
      </w:r>
      <w:r w:rsidRPr="00F948DB">
        <w:rPr>
          <w:rFonts w:eastAsia="Times New Roman" w:cs="Arial"/>
          <w:color w:val="000000"/>
          <w:lang w:val="en-US"/>
        </w:rPr>
        <w:t xml:space="preserve">mg </w:t>
      </w:r>
      <w:r w:rsidRPr="00F948DB">
        <w:rPr>
          <w:rFonts w:eastAsia="Times New Roman" w:cs="Arial"/>
          <w:color w:val="000000"/>
          <w:lang w:eastAsia="bg-BG"/>
        </w:rPr>
        <w:t>при пет жени в следродилния период, средното максимално ниво на еналаприл в кърмата е 1,7 μ</w:t>
      </w:r>
      <w:r w:rsidRPr="00F948DB">
        <w:rPr>
          <w:rFonts w:eastAsia="Times New Roman" w:cs="Arial"/>
          <w:color w:val="000000"/>
          <w:lang w:val="en-US"/>
        </w:rPr>
        <w:t xml:space="preserve">g/l </w:t>
      </w:r>
      <w:r w:rsidRPr="00F948DB">
        <w:rPr>
          <w:rFonts w:eastAsia="Times New Roman" w:cs="Arial"/>
          <w:color w:val="000000"/>
          <w:lang w:eastAsia="bg-BG"/>
        </w:rPr>
        <w:t>(в рамките на 0,54 до 5,9 μ</w:t>
      </w:r>
      <w:r w:rsidRPr="00F948DB">
        <w:rPr>
          <w:rFonts w:eastAsia="Times New Roman" w:cs="Arial"/>
          <w:color w:val="000000"/>
          <w:lang w:val="en-US"/>
        </w:rPr>
        <w:t xml:space="preserve">g/l) </w:t>
      </w:r>
      <w:r w:rsidRPr="00F948DB">
        <w:rPr>
          <w:rFonts w:eastAsia="Times New Roman" w:cs="Arial"/>
          <w:color w:val="000000"/>
          <w:lang w:eastAsia="bg-BG"/>
        </w:rPr>
        <w:t>на 4. и 6. час след приемане на дозата.</w:t>
      </w:r>
    </w:p>
    <w:p w14:paraId="14594588" w14:textId="77777777" w:rsidR="00F948DB" w:rsidRPr="00F948DB" w:rsidRDefault="00F948DB" w:rsidP="00F948DB">
      <w:pPr>
        <w:spacing w:line="240" w:lineRule="auto"/>
        <w:rPr>
          <w:rFonts w:eastAsia="Times New Roman" w:cs="Arial"/>
          <w:sz w:val="24"/>
          <w:szCs w:val="24"/>
          <w:lang w:eastAsia="bg-BG"/>
        </w:rPr>
      </w:pPr>
      <w:r w:rsidRPr="00F948DB">
        <w:rPr>
          <w:rFonts w:eastAsia="Times New Roman" w:cs="Arial"/>
          <w:color w:val="000000"/>
          <w:lang w:eastAsia="bg-BG"/>
        </w:rPr>
        <w:t>Средното максимално ниво на еналаприлат е 1,7 μ</w:t>
      </w:r>
      <w:r w:rsidRPr="00F948DB">
        <w:rPr>
          <w:rFonts w:eastAsia="Times New Roman" w:cs="Arial"/>
          <w:color w:val="000000"/>
          <w:lang w:val="en-US"/>
        </w:rPr>
        <w:t xml:space="preserve">g/l </w:t>
      </w:r>
      <w:r w:rsidRPr="00F948DB">
        <w:rPr>
          <w:rFonts w:eastAsia="Times New Roman" w:cs="Arial"/>
          <w:color w:val="000000"/>
          <w:lang w:eastAsia="bg-BG"/>
        </w:rPr>
        <w:t>(в рамките на 1,2 до 2,3 μ</w:t>
      </w:r>
      <w:r w:rsidRPr="00F948DB">
        <w:rPr>
          <w:rFonts w:eastAsia="Times New Roman" w:cs="Arial"/>
          <w:color w:val="000000"/>
          <w:lang w:val="en-US"/>
        </w:rPr>
        <w:t xml:space="preserve">g/l); </w:t>
      </w:r>
      <w:r w:rsidRPr="00F948DB">
        <w:rPr>
          <w:rFonts w:eastAsia="Times New Roman" w:cs="Arial"/>
          <w:color w:val="000000"/>
          <w:lang w:eastAsia="bg-BG"/>
        </w:rPr>
        <w:t>максимално ниво се достига в различно време през 24-часовия период. Като се имат предвид данните за максимални нива в кърмата, максималният прием от кърмаче, което се храни само с кърма, ще бъде около 0,16% от коригирана според теглото на майката доза.</w:t>
      </w:r>
    </w:p>
    <w:p w14:paraId="5012085C" w14:textId="04C90726" w:rsidR="00F948DB" w:rsidRDefault="00F948DB" w:rsidP="00F948DB">
      <w:pPr>
        <w:rPr>
          <w:rFonts w:eastAsia="Times New Roman" w:cs="Arial"/>
          <w:color w:val="000000"/>
          <w:lang w:val="en-US"/>
        </w:rPr>
      </w:pPr>
      <w:r w:rsidRPr="00F948DB">
        <w:rPr>
          <w:rFonts w:eastAsia="Times New Roman" w:cs="Arial"/>
          <w:color w:val="000000"/>
          <w:lang w:eastAsia="bg-BG"/>
        </w:rPr>
        <w:t xml:space="preserve">Жена, която е приемала перорално 10 </w:t>
      </w:r>
      <w:r w:rsidRPr="00F948DB">
        <w:rPr>
          <w:rFonts w:eastAsia="Times New Roman" w:cs="Arial"/>
          <w:color w:val="000000"/>
          <w:lang w:val="en-US"/>
        </w:rPr>
        <w:t xml:space="preserve">mg </w:t>
      </w:r>
      <w:r w:rsidRPr="00F948DB">
        <w:rPr>
          <w:rFonts w:eastAsia="Times New Roman" w:cs="Arial"/>
          <w:color w:val="000000"/>
          <w:lang w:eastAsia="bg-BG"/>
        </w:rPr>
        <w:t>еналаприл дневно за 11 месеца, има максимални нива на еналаприл в кърмата 2 μ</w:t>
      </w:r>
      <w:r w:rsidRPr="00F948DB">
        <w:rPr>
          <w:rFonts w:eastAsia="Times New Roman" w:cs="Arial"/>
          <w:color w:val="000000"/>
          <w:lang w:val="en-US"/>
        </w:rPr>
        <w:t xml:space="preserve">g/l </w:t>
      </w:r>
      <w:r w:rsidRPr="00F948DB">
        <w:rPr>
          <w:rFonts w:eastAsia="Times New Roman" w:cs="Arial"/>
          <w:color w:val="000000"/>
          <w:lang w:eastAsia="bg-BG"/>
        </w:rPr>
        <w:t>4 часа след прием на дозата и максимални нива на еналаприлат    0,75 μ</w:t>
      </w:r>
      <w:r w:rsidRPr="00F948DB">
        <w:rPr>
          <w:rFonts w:eastAsia="Times New Roman" w:cs="Arial"/>
          <w:color w:val="000000"/>
          <w:lang w:val="en-US"/>
        </w:rPr>
        <w:t xml:space="preserve">g/l </w:t>
      </w:r>
      <w:r w:rsidRPr="00F948DB">
        <w:rPr>
          <w:rFonts w:eastAsia="Times New Roman" w:cs="Arial"/>
          <w:color w:val="000000"/>
          <w:lang w:eastAsia="bg-BG"/>
        </w:rPr>
        <w:t>около 9 часа след прием на дозата. Общото количество на еналаприл и еналаприлат в кърмата, измерено за 24 часов период, е съответно 1,44 μ</w:t>
      </w:r>
      <w:r w:rsidRPr="00F948DB">
        <w:rPr>
          <w:rFonts w:eastAsia="Times New Roman" w:cs="Arial"/>
          <w:color w:val="000000"/>
          <w:lang w:val="en-US"/>
        </w:rPr>
        <w:t xml:space="preserve">g/l </w:t>
      </w:r>
      <w:r w:rsidRPr="00F948DB">
        <w:rPr>
          <w:rFonts w:eastAsia="Times New Roman" w:cs="Arial"/>
          <w:color w:val="000000"/>
          <w:lang w:eastAsia="bg-BG"/>
        </w:rPr>
        <w:t>и 0,63 μ</w:t>
      </w:r>
      <w:r w:rsidRPr="00F948DB">
        <w:rPr>
          <w:rFonts w:eastAsia="Times New Roman" w:cs="Arial"/>
          <w:color w:val="000000"/>
          <w:lang w:val="en-US"/>
        </w:rPr>
        <w:t>g/l.</w:t>
      </w:r>
    </w:p>
    <w:p w14:paraId="2F23DDA0" w14:textId="0DFA0C09" w:rsidR="00B904D1" w:rsidRDefault="00B904D1" w:rsidP="00F948DB">
      <w:pPr>
        <w:rPr>
          <w:rFonts w:eastAsia="Times New Roman" w:cs="Arial"/>
          <w:color w:val="000000"/>
          <w:lang w:val="en-US"/>
        </w:rPr>
      </w:pPr>
    </w:p>
    <w:p w14:paraId="4CAC5EA1" w14:textId="1DE47AED" w:rsidR="00B904D1" w:rsidRPr="00F948DB" w:rsidRDefault="00B904D1" w:rsidP="00F948DB">
      <w:pPr>
        <w:rPr>
          <w:rFonts w:eastAsia="Times New Roman" w:cs="Arial"/>
          <w:color w:val="000000"/>
          <w:lang w:eastAsia="bg-BG"/>
        </w:rPr>
      </w:pPr>
      <w:r>
        <w:t>Нива на еналаприлат в кърмата не се отчитат (&lt;0,2 μ</w:t>
      </w:r>
      <w:r>
        <w:rPr>
          <w:lang w:val="en-US"/>
        </w:rPr>
        <w:t xml:space="preserve">g/l) </w:t>
      </w:r>
      <w:r>
        <w:t xml:space="preserve">4 часа след прием на еднокрантна доза 5 </w:t>
      </w:r>
      <w:r>
        <w:rPr>
          <w:lang w:val="en-US"/>
        </w:rPr>
        <w:t xml:space="preserve">mg </w:t>
      </w:r>
      <w:r>
        <w:t xml:space="preserve">еналаприл при една майка и 10 </w:t>
      </w:r>
      <w:r>
        <w:rPr>
          <w:lang w:val="en-US"/>
        </w:rPr>
        <w:t xml:space="preserve">mg </w:t>
      </w:r>
      <w:r>
        <w:t>при две майки; нивата на еналаприл не са определени.</w:t>
      </w:r>
    </w:p>
    <w:p w14:paraId="6AD050A8" w14:textId="77777777" w:rsidR="00F948DB" w:rsidRPr="00F948DB" w:rsidRDefault="00F948DB" w:rsidP="00F948DB"/>
    <w:p w14:paraId="648E39DA" w14:textId="614C8B25" w:rsidR="00CF77F7" w:rsidRDefault="002C50EE" w:rsidP="004A448E">
      <w:pPr>
        <w:pStyle w:val="Heading2"/>
      </w:pPr>
      <w:r>
        <w:lastRenderedPageBreak/>
        <w:t>5.3. Предклинични данни за безопасност</w:t>
      </w:r>
    </w:p>
    <w:p w14:paraId="5082FB5C" w14:textId="4BF1C7FF" w:rsidR="00B904D1" w:rsidRDefault="00B904D1" w:rsidP="00B904D1"/>
    <w:p w14:paraId="23C78C78" w14:textId="77777777" w:rsidR="00B904D1" w:rsidRPr="00B904D1" w:rsidRDefault="00B904D1" w:rsidP="00B904D1">
      <w:pPr>
        <w:spacing w:line="240" w:lineRule="auto"/>
        <w:rPr>
          <w:rFonts w:eastAsia="Times New Roman" w:cs="Arial"/>
          <w:sz w:val="24"/>
          <w:szCs w:val="24"/>
          <w:lang w:eastAsia="bg-BG"/>
        </w:rPr>
      </w:pPr>
      <w:r w:rsidRPr="00B904D1">
        <w:rPr>
          <w:rFonts w:eastAsia="Times New Roman" w:cs="Arial"/>
          <w:color w:val="000000"/>
          <w:lang w:eastAsia="bg-BG"/>
        </w:rPr>
        <w:t>Предклинични данни не разкриват особени рискове за хора, базирайки се на конвенционални проучвания от фармакология на безопасност, токсичност при многократно дозиране, генотоксичност, канцерогенен потенциал, репродуктична токсичност.</w:t>
      </w:r>
    </w:p>
    <w:p w14:paraId="159257BB" w14:textId="3365C95C" w:rsidR="00B904D1" w:rsidRDefault="00B904D1" w:rsidP="00B904D1">
      <w:pPr>
        <w:rPr>
          <w:rFonts w:eastAsia="Times New Roman" w:cs="Arial"/>
          <w:color w:val="000000"/>
          <w:lang w:eastAsia="bg-BG"/>
        </w:rPr>
      </w:pPr>
      <w:r w:rsidRPr="00B904D1">
        <w:rPr>
          <w:rFonts w:eastAsia="Times New Roman" w:cs="Arial"/>
          <w:color w:val="000000"/>
          <w:lang w:eastAsia="bg-BG"/>
        </w:rPr>
        <w:t>Проучванията за репродуктивна токсичност предполагат, че еналаприлов малеат няма ефект върху възпроизводителната способност и репродуктивното поведение при плъхове и не е тератогенен. В проучване, в което женски плъхове са третирани преди чифтосване и по време на бременността, по време на лактацията се наблюдава повишена смъртност на поколението плъхове. Демонстрирано е, че веществото преминава през плацентата и се секретира в м</w:t>
      </w:r>
      <w:bookmarkStart w:id="2" w:name="_GoBack"/>
      <w:bookmarkEnd w:id="2"/>
      <w:r w:rsidRPr="00B904D1">
        <w:rPr>
          <w:rFonts w:eastAsia="Times New Roman" w:cs="Arial"/>
          <w:color w:val="000000"/>
          <w:lang w:eastAsia="bg-BG"/>
        </w:rPr>
        <w:t>лякото, Инхибиторите на ангиотензин-конвертиращия ензим, като клас, са демонстрирали фетотоксичност (чрез засягане и/или смърт на плода), когато се прилагат през втори или трети триместьр на бременността.</w:t>
      </w:r>
    </w:p>
    <w:p w14:paraId="62EA9946" w14:textId="77777777" w:rsidR="00B904D1" w:rsidRPr="00B904D1" w:rsidRDefault="00B904D1" w:rsidP="00B904D1">
      <w:pPr>
        <w:rPr>
          <w:rFonts w:cs="Arial"/>
        </w:rPr>
      </w:pPr>
    </w:p>
    <w:p w14:paraId="6A7820AB" w14:textId="5D06FDE0" w:rsidR="008A6AF2" w:rsidRDefault="002C50EE" w:rsidP="00395555">
      <w:pPr>
        <w:pStyle w:val="Heading1"/>
      </w:pPr>
      <w:r>
        <w:t>7. ПРИТЕЖАТЕЛ НА РАЗРЕШЕНИЕТО ЗА УПОТРЕБА</w:t>
      </w:r>
    </w:p>
    <w:p w14:paraId="70466658" w14:textId="57D1345B" w:rsidR="00B904D1" w:rsidRDefault="00B904D1" w:rsidP="00B904D1"/>
    <w:p w14:paraId="7E7093A6" w14:textId="77777777" w:rsidR="00B904D1" w:rsidRPr="00B904D1" w:rsidRDefault="00B904D1" w:rsidP="00B904D1">
      <w:pPr>
        <w:spacing w:line="240" w:lineRule="auto"/>
        <w:rPr>
          <w:rFonts w:eastAsia="Times New Roman" w:cs="Arial"/>
          <w:sz w:val="24"/>
          <w:szCs w:val="24"/>
          <w:lang w:val="en-US" w:eastAsia="bg-BG"/>
        </w:rPr>
      </w:pPr>
      <w:r w:rsidRPr="00B904D1">
        <w:rPr>
          <w:rFonts w:eastAsia="Times New Roman" w:cs="Arial"/>
          <w:color w:val="000000"/>
          <w:lang w:val="en-US"/>
        </w:rPr>
        <w:t>Berlin-</w:t>
      </w:r>
      <w:proofErr w:type="spellStart"/>
      <w:r w:rsidRPr="00B904D1">
        <w:rPr>
          <w:rFonts w:eastAsia="Times New Roman" w:cs="Arial"/>
          <w:color w:val="000000"/>
          <w:lang w:val="en-US"/>
        </w:rPr>
        <w:t>Chemie</w:t>
      </w:r>
      <w:proofErr w:type="spellEnd"/>
      <w:r w:rsidRPr="00B904D1">
        <w:rPr>
          <w:rFonts w:eastAsia="Times New Roman" w:cs="Arial"/>
          <w:color w:val="000000"/>
          <w:lang w:val="en-US"/>
        </w:rPr>
        <w:t xml:space="preserve"> AG (</w:t>
      </w:r>
      <w:proofErr w:type="spellStart"/>
      <w:r w:rsidRPr="00B904D1">
        <w:rPr>
          <w:rFonts w:eastAsia="Times New Roman" w:cs="Arial"/>
          <w:color w:val="000000"/>
          <w:lang w:val="en-US"/>
        </w:rPr>
        <w:t>Menarini</w:t>
      </w:r>
      <w:proofErr w:type="spellEnd"/>
      <w:r w:rsidRPr="00B904D1">
        <w:rPr>
          <w:rFonts w:eastAsia="Times New Roman" w:cs="Arial"/>
          <w:color w:val="000000"/>
          <w:lang w:val="en-US"/>
        </w:rPr>
        <w:t xml:space="preserve"> Group)</w:t>
      </w:r>
    </w:p>
    <w:p w14:paraId="208E9E47" w14:textId="77777777" w:rsidR="00B904D1" w:rsidRPr="00B904D1" w:rsidRDefault="00B904D1" w:rsidP="00B904D1">
      <w:pPr>
        <w:spacing w:line="240" w:lineRule="auto"/>
        <w:rPr>
          <w:rFonts w:eastAsia="Times New Roman" w:cs="Arial"/>
          <w:color w:val="000000"/>
          <w:lang w:val="en-US"/>
        </w:rPr>
      </w:pPr>
      <w:proofErr w:type="spellStart"/>
      <w:r w:rsidRPr="00B904D1">
        <w:rPr>
          <w:rFonts w:eastAsia="Times New Roman" w:cs="Arial"/>
          <w:color w:val="000000"/>
          <w:lang w:val="en-US"/>
        </w:rPr>
        <w:t>Glienicker</w:t>
      </w:r>
      <w:proofErr w:type="spellEnd"/>
      <w:r w:rsidRPr="00B904D1">
        <w:rPr>
          <w:rFonts w:eastAsia="Times New Roman" w:cs="Arial"/>
          <w:color w:val="000000"/>
          <w:lang w:val="en-US"/>
        </w:rPr>
        <w:t xml:space="preserve"> </w:t>
      </w:r>
      <w:proofErr w:type="spellStart"/>
      <w:r w:rsidRPr="00B904D1">
        <w:rPr>
          <w:rFonts w:eastAsia="Times New Roman" w:cs="Arial"/>
          <w:color w:val="000000"/>
          <w:lang w:val="en-US"/>
        </w:rPr>
        <w:t>Weg</w:t>
      </w:r>
      <w:proofErr w:type="spellEnd"/>
      <w:r w:rsidRPr="00B904D1">
        <w:rPr>
          <w:rFonts w:eastAsia="Times New Roman" w:cs="Arial"/>
          <w:color w:val="000000"/>
          <w:lang w:val="en-US"/>
        </w:rPr>
        <w:t xml:space="preserve"> 125 </w:t>
      </w:r>
    </w:p>
    <w:p w14:paraId="3FDD48B5" w14:textId="20C42A11" w:rsidR="00B904D1" w:rsidRPr="00B904D1" w:rsidRDefault="00B904D1" w:rsidP="00B904D1">
      <w:pPr>
        <w:spacing w:line="240" w:lineRule="auto"/>
        <w:rPr>
          <w:rFonts w:eastAsia="Times New Roman" w:cs="Arial"/>
          <w:sz w:val="24"/>
          <w:szCs w:val="24"/>
          <w:lang w:val="en-US" w:eastAsia="bg-BG"/>
        </w:rPr>
      </w:pPr>
      <w:r w:rsidRPr="00B904D1">
        <w:rPr>
          <w:rFonts w:eastAsia="Times New Roman" w:cs="Arial"/>
          <w:color w:val="000000"/>
          <w:lang w:val="en-US"/>
        </w:rPr>
        <w:t>12489 Berlin</w:t>
      </w:r>
    </w:p>
    <w:p w14:paraId="0FD2609A" w14:textId="3A461D10" w:rsidR="00B904D1" w:rsidRPr="00B904D1" w:rsidRDefault="00B904D1" w:rsidP="00B904D1">
      <w:pPr>
        <w:rPr>
          <w:rFonts w:eastAsia="Times New Roman" w:cs="Arial"/>
          <w:color w:val="000000"/>
          <w:lang w:eastAsia="bg-BG"/>
        </w:rPr>
      </w:pPr>
      <w:r w:rsidRPr="00B904D1">
        <w:rPr>
          <w:rFonts w:eastAsia="Times New Roman" w:cs="Arial"/>
          <w:color w:val="000000"/>
          <w:lang w:eastAsia="bg-BG"/>
        </w:rPr>
        <w:t>Германия</w:t>
      </w:r>
    </w:p>
    <w:p w14:paraId="2ED5C92D" w14:textId="77777777" w:rsidR="00B904D1" w:rsidRPr="00B904D1" w:rsidRDefault="00B904D1" w:rsidP="00B904D1"/>
    <w:p w14:paraId="7BA1BA64" w14:textId="273B15E8" w:rsidR="00CF77F7" w:rsidRDefault="002C50EE" w:rsidP="004A448E">
      <w:pPr>
        <w:pStyle w:val="Heading1"/>
      </w:pPr>
      <w:r>
        <w:t>8. НОМЕР НА РАЗРЕШЕНИЕТО ЗА УПОТРЕБА</w:t>
      </w:r>
    </w:p>
    <w:p w14:paraId="271BA63B" w14:textId="6AC4E951" w:rsidR="00B904D1" w:rsidRDefault="00B904D1" w:rsidP="00B904D1"/>
    <w:p w14:paraId="03F2545C" w14:textId="77777777" w:rsidR="00B904D1" w:rsidRPr="00B904D1" w:rsidRDefault="00B904D1" w:rsidP="00B904D1">
      <w:pPr>
        <w:spacing w:line="240" w:lineRule="auto"/>
        <w:rPr>
          <w:rFonts w:eastAsia="Times New Roman" w:cs="Arial"/>
          <w:sz w:val="24"/>
          <w:szCs w:val="24"/>
          <w:lang w:eastAsia="bg-BG"/>
        </w:rPr>
      </w:pPr>
      <w:r w:rsidRPr="00B904D1">
        <w:rPr>
          <w:rFonts w:eastAsia="Times New Roman" w:cs="Arial"/>
          <w:color w:val="000000"/>
          <w:lang w:eastAsia="bg-BG"/>
        </w:rPr>
        <w:t xml:space="preserve">Берлиприл 5 </w:t>
      </w:r>
      <w:r w:rsidRPr="00B904D1">
        <w:rPr>
          <w:rFonts w:eastAsia="Times New Roman" w:cs="Arial"/>
          <w:color w:val="000000"/>
          <w:lang w:val="en-US"/>
        </w:rPr>
        <w:t xml:space="preserve">mg - </w:t>
      </w:r>
      <w:r w:rsidRPr="00B904D1">
        <w:rPr>
          <w:rFonts w:eastAsia="Times New Roman" w:cs="Arial"/>
          <w:color w:val="000000"/>
          <w:lang w:eastAsia="bg-BG"/>
        </w:rPr>
        <w:t>9600019</w:t>
      </w:r>
    </w:p>
    <w:p w14:paraId="029AECD2" w14:textId="77777777" w:rsidR="00B904D1" w:rsidRPr="00B904D1" w:rsidRDefault="00B904D1" w:rsidP="00B904D1">
      <w:pPr>
        <w:spacing w:line="240" w:lineRule="auto"/>
        <w:rPr>
          <w:rFonts w:eastAsia="Times New Roman" w:cs="Arial"/>
          <w:sz w:val="24"/>
          <w:szCs w:val="24"/>
          <w:lang w:eastAsia="bg-BG"/>
        </w:rPr>
      </w:pPr>
      <w:r w:rsidRPr="00B904D1">
        <w:rPr>
          <w:rFonts w:eastAsia="Times New Roman" w:cs="Arial"/>
          <w:color w:val="000000"/>
          <w:lang w:eastAsia="bg-BG"/>
        </w:rPr>
        <w:t xml:space="preserve">Берлиприл 10 </w:t>
      </w:r>
      <w:r w:rsidRPr="00B904D1">
        <w:rPr>
          <w:rFonts w:eastAsia="Times New Roman" w:cs="Arial"/>
          <w:color w:val="000000"/>
          <w:lang w:val="en-US"/>
        </w:rPr>
        <w:t xml:space="preserve">mg </w:t>
      </w:r>
      <w:r w:rsidRPr="00B904D1">
        <w:rPr>
          <w:rFonts w:eastAsia="Times New Roman" w:cs="Arial"/>
          <w:color w:val="000000"/>
          <w:lang w:eastAsia="bg-BG"/>
        </w:rPr>
        <w:t>- 20020460</w:t>
      </w:r>
    </w:p>
    <w:p w14:paraId="1F37B7FF" w14:textId="0372D638" w:rsidR="00B904D1" w:rsidRPr="00B904D1" w:rsidRDefault="00B904D1" w:rsidP="00B904D1">
      <w:pPr>
        <w:rPr>
          <w:rFonts w:eastAsia="Times New Roman" w:cs="Arial"/>
          <w:color w:val="000000"/>
          <w:lang w:eastAsia="bg-BG"/>
        </w:rPr>
      </w:pPr>
      <w:r w:rsidRPr="00B904D1">
        <w:rPr>
          <w:rFonts w:eastAsia="Times New Roman" w:cs="Arial"/>
          <w:color w:val="000000"/>
          <w:lang w:eastAsia="bg-BG"/>
        </w:rPr>
        <w:t xml:space="preserve">Берлиприл 20 </w:t>
      </w:r>
      <w:r w:rsidRPr="00B904D1">
        <w:rPr>
          <w:rFonts w:eastAsia="Times New Roman" w:cs="Arial"/>
          <w:color w:val="000000"/>
          <w:lang w:val="en-US"/>
        </w:rPr>
        <w:t xml:space="preserve">mg – </w:t>
      </w:r>
      <w:r w:rsidRPr="00B904D1">
        <w:rPr>
          <w:rFonts w:eastAsia="Times New Roman" w:cs="Arial"/>
          <w:color w:val="000000"/>
          <w:lang w:eastAsia="bg-BG"/>
        </w:rPr>
        <w:t>20020461</w:t>
      </w:r>
    </w:p>
    <w:p w14:paraId="0D9610BF" w14:textId="77777777" w:rsidR="00B904D1" w:rsidRPr="00B904D1" w:rsidRDefault="00B904D1" w:rsidP="00B904D1"/>
    <w:p w14:paraId="2CCB5832" w14:textId="5A939F6F" w:rsidR="007C605B" w:rsidRDefault="002C50EE" w:rsidP="007C605B">
      <w:pPr>
        <w:pStyle w:val="Heading1"/>
      </w:pPr>
      <w:r>
        <w:t>9. ДАТА НА ПЪРВО РАЗРЕШАВАНЕ/ПОДНОВЯВАНЕ НА РАЗРЕШЕНИЕТО ЗА УПОТРЕБА</w:t>
      </w:r>
    </w:p>
    <w:p w14:paraId="6C58483A" w14:textId="11D7D049" w:rsidR="00B904D1" w:rsidRDefault="00B904D1" w:rsidP="00B904D1"/>
    <w:p w14:paraId="501C28A4" w14:textId="77777777" w:rsidR="00B904D1" w:rsidRPr="00B904D1" w:rsidRDefault="00B904D1" w:rsidP="00B904D1">
      <w:pPr>
        <w:spacing w:line="240" w:lineRule="auto"/>
        <w:rPr>
          <w:rFonts w:eastAsia="Times New Roman" w:cs="Arial"/>
          <w:sz w:val="24"/>
          <w:szCs w:val="24"/>
          <w:lang w:eastAsia="bg-BG"/>
        </w:rPr>
      </w:pPr>
      <w:r w:rsidRPr="00B904D1">
        <w:rPr>
          <w:rFonts w:eastAsia="Times New Roman" w:cs="Arial"/>
          <w:color w:val="000000"/>
          <w:lang w:eastAsia="bg-BG"/>
        </w:rPr>
        <w:t>Дата на първо разрешаване:</w:t>
      </w:r>
    </w:p>
    <w:p w14:paraId="635006A6" w14:textId="77777777" w:rsidR="00B904D1" w:rsidRPr="00B904D1" w:rsidRDefault="00B904D1" w:rsidP="00B904D1">
      <w:pPr>
        <w:spacing w:line="240" w:lineRule="auto"/>
        <w:rPr>
          <w:rFonts w:eastAsia="Times New Roman" w:cs="Arial"/>
          <w:sz w:val="24"/>
          <w:szCs w:val="24"/>
          <w:lang w:eastAsia="bg-BG"/>
        </w:rPr>
      </w:pPr>
      <w:r w:rsidRPr="00B904D1">
        <w:rPr>
          <w:rFonts w:eastAsia="Times New Roman" w:cs="Arial"/>
          <w:color w:val="000000"/>
          <w:lang w:eastAsia="bg-BG"/>
        </w:rPr>
        <w:t xml:space="preserve">Берлиприл 5 </w:t>
      </w:r>
      <w:r w:rsidRPr="00B904D1">
        <w:rPr>
          <w:rFonts w:eastAsia="Times New Roman" w:cs="Arial"/>
          <w:color w:val="000000"/>
          <w:lang w:val="en-US"/>
        </w:rPr>
        <w:t xml:space="preserve">mg </w:t>
      </w:r>
      <w:r w:rsidRPr="00B904D1">
        <w:rPr>
          <w:rFonts w:eastAsia="Times New Roman" w:cs="Arial"/>
          <w:color w:val="000000"/>
          <w:lang w:eastAsia="bg-BG"/>
        </w:rPr>
        <w:t>- 26.01.1996 г.</w:t>
      </w:r>
    </w:p>
    <w:p w14:paraId="101BFDCD" w14:textId="77777777" w:rsidR="00B904D1" w:rsidRPr="00B904D1" w:rsidRDefault="00B904D1" w:rsidP="00B904D1">
      <w:pPr>
        <w:spacing w:line="240" w:lineRule="auto"/>
        <w:rPr>
          <w:rFonts w:eastAsia="Times New Roman" w:cs="Arial"/>
          <w:sz w:val="24"/>
          <w:szCs w:val="24"/>
          <w:lang w:eastAsia="bg-BG"/>
        </w:rPr>
      </w:pPr>
      <w:r w:rsidRPr="00B904D1">
        <w:rPr>
          <w:rFonts w:eastAsia="Times New Roman" w:cs="Arial"/>
          <w:color w:val="000000"/>
          <w:lang w:eastAsia="bg-BG"/>
        </w:rPr>
        <w:t xml:space="preserve">Берлиприл 10 </w:t>
      </w:r>
      <w:r w:rsidRPr="00B904D1">
        <w:rPr>
          <w:rFonts w:eastAsia="Times New Roman" w:cs="Arial"/>
          <w:color w:val="000000"/>
          <w:lang w:val="en-US"/>
        </w:rPr>
        <w:t xml:space="preserve">mg </w:t>
      </w:r>
      <w:r w:rsidRPr="00B904D1">
        <w:rPr>
          <w:rFonts w:eastAsia="Times New Roman" w:cs="Arial"/>
          <w:color w:val="000000"/>
          <w:lang w:eastAsia="bg-BG"/>
        </w:rPr>
        <w:t xml:space="preserve">и Берлиприл 20 </w:t>
      </w:r>
      <w:r w:rsidRPr="00B904D1">
        <w:rPr>
          <w:rFonts w:eastAsia="Times New Roman" w:cs="Arial"/>
          <w:color w:val="000000"/>
          <w:lang w:val="en-US"/>
        </w:rPr>
        <w:t xml:space="preserve">mg </w:t>
      </w:r>
      <w:r w:rsidRPr="00B904D1">
        <w:rPr>
          <w:rFonts w:eastAsia="Times New Roman" w:cs="Arial"/>
          <w:color w:val="000000"/>
          <w:lang w:eastAsia="bg-BG"/>
        </w:rPr>
        <w:t>- 05.06.2002 г</w:t>
      </w:r>
    </w:p>
    <w:p w14:paraId="3FBB36EC" w14:textId="77777777" w:rsidR="00B904D1" w:rsidRPr="00B904D1" w:rsidRDefault="00B904D1" w:rsidP="00B904D1">
      <w:pPr>
        <w:rPr>
          <w:rFonts w:eastAsia="Times New Roman" w:cs="Arial"/>
          <w:color w:val="000000"/>
          <w:lang w:eastAsia="bg-BG"/>
        </w:rPr>
      </w:pPr>
    </w:p>
    <w:p w14:paraId="1F5E33B3" w14:textId="77F34A3F" w:rsidR="00B904D1" w:rsidRPr="00B904D1" w:rsidRDefault="00B904D1" w:rsidP="00B904D1">
      <w:pPr>
        <w:rPr>
          <w:rFonts w:eastAsia="Times New Roman" w:cs="Arial"/>
          <w:color w:val="000000"/>
          <w:lang w:eastAsia="bg-BG"/>
        </w:rPr>
      </w:pPr>
      <w:r w:rsidRPr="00B904D1">
        <w:rPr>
          <w:rFonts w:eastAsia="Times New Roman" w:cs="Arial"/>
          <w:color w:val="000000"/>
          <w:lang w:eastAsia="bg-BG"/>
        </w:rPr>
        <w:t>Дата на последно подновяване: 06.07.2007 г</w:t>
      </w:r>
    </w:p>
    <w:p w14:paraId="4B7439C3" w14:textId="77777777" w:rsidR="00B904D1" w:rsidRPr="00B904D1" w:rsidRDefault="00B904D1" w:rsidP="00B904D1"/>
    <w:p w14:paraId="0E9D0119" w14:textId="39DF453A" w:rsidR="002C50EE" w:rsidRDefault="002C50EE" w:rsidP="002C50EE">
      <w:pPr>
        <w:pStyle w:val="Heading1"/>
      </w:pPr>
      <w:r>
        <w:t>10. ДАТА НА АКТУАЛИЗИРАНЕ НА ТЕКСТА</w:t>
      </w:r>
    </w:p>
    <w:p w14:paraId="456F8E46" w14:textId="63B1E2DA" w:rsidR="00B904D1" w:rsidRDefault="00B904D1" w:rsidP="00B904D1"/>
    <w:p w14:paraId="3A58B3B7" w14:textId="77777777" w:rsidR="00B904D1" w:rsidRPr="00B904D1" w:rsidRDefault="00B904D1" w:rsidP="00B904D1"/>
    <w:bookmarkEnd w:id="0"/>
    <w:p w14:paraId="43FB38A2" w14:textId="24ECF34C" w:rsidR="007C605B" w:rsidRPr="00B904D1" w:rsidRDefault="00B904D1" w:rsidP="00CF77F7">
      <w:pPr>
        <w:rPr>
          <w:rFonts w:cs="Arial"/>
        </w:rPr>
      </w:pPr>
      <w:r w:rsidRPr="00B904D1">
        <w:rPr>
          <w:rFonts w:cs="Arial"/>
        </w:rPr>
        <w:t>01/2021</w:t>
      </w:r>
    </w:p>
    <w:sectPr w:rsidR="007C605B" w:rsidRPr="00B90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D02FA0"/>
    <w:multiLevelType w:val="hybridMultilevel"/>
    <w:tmpl w:val="777EAED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6"/>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4"/>
  </w:num>
  <w:num w:numId="11">
    <w:abstractNumId w:val="29"/>
  </w:num>
  <w:num w:numId="12">
    <w:abstractNumId w:val="13"/>
  </w:num>
  <w:num w:numId="13">
    <w:abstractNumId w:val="18"/>
  </w:num>
  <w:num w:numId="14">
    <w:abstractNumId w:val="11"/>
  </w:num>
  <w:num w:numId="15">
    <w:abstractNumId w:val="28"/>
  </w:num>
  <w:num w:numId="16">
    <w:abstractNumId w:val="9"/>
  </w:num>
  <w:num w:numId="17">
    <w:abstractNumId w:val="23"/>
  </w:num>
  <w:num w:numId="18">
    <w:abstractNumId w:val="7"/>
  </w:num>
  <w:num w:numId="19">
    <w:abstractNumId w:val="25"/>
  </w:num>
  <w:num w:numId="20">
    <w:abstractNumId w:val="22"/>
  </w:num>
  <w:num w:numId="21">
    <w:abstractNumId w:val="16"/>
  </w:num>
  <w:num w:numId="22">
    <w:abstractNumId w:val="24"/>
  </w:num>
  <w:num w:numId="23">
    <w:abstractNumId w:val="17"/>
  </w:num>
  <w:num w:numId="24">
    <w:abstractNumId w:val="8"/>
  </w:num>
  <w:num w:numId="25">
    <w:abstractNumId w:val="21"/>
  </w:num>
  <w:num w:numId="26">
    <w:abstractNumId w:val="20"/>
  </w:num>
  <w:num w:numId="27">
    <w:abstractNumId w:val="30"/>
  </w:num>
  <w:num w:numId="28">
    <w:abstractNumId w:val="6"/>
  </w:num>
  <w:num w:numId="29">
    <w:abstractNumId w:val="19"/>
  </w:num>
  <w:num w:numId="30">
    <w:abstractNumId w:val="34"/>
  </w:num>
  <w:num w:numId="31">
    <w:abstractNumId w:val="5"/>
  </w:num>
  <w:num w:numId="32">
    <w:abstractNumId w:val="33"/>
  </w:num>
  <w:num w:numId="33">
    <w:abstractNumId w:val="27"/>
  </w:num>
  <w:num w:numId="34">
    <w:abstractNumId w:val="31"/>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1E0BAF"/>
    <w:rsid w:val="0023653B"/>
    <w:rsid w:val="002B3C38"/>
    <w:rsid w:val="002B4DBB"/>
    <w:rsid w:val="002C50EE"/>
    <w:rsid w:val="00340A0A"/>
    <w:rsid w:val="003765DC"/>
    <w:rsid w:val="00387894"/>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9773E4"/>
    <w:rsid w:val="009B171C"/>
    <w:rsid w:val="009F1313"/>
    <w:rsid w:val="00A20351"/>
    <w:rsid w:val="00A65A81"/>
    <w:rsid w:val="00AA23EC"/>
    <w:rsid w:val="00AC63CE"/>
    <w:rsid w:val="00AE2107"/>
    <w:rsid w:val="00B275A8"/>
    <w:rsid w:val="00B904D1"/>
    <w:rsid w:val="00BF2600"/>
    <w:rsid w:val="00C0049F"/>
    <w:rsid w:val="00C07B84"/>
    <w:rsid w:val="00C33464"/>
    <w:rsid w:val="00C40420"/>
    <w:rsid w:val="00C809A7"/>
    <w:rsid w:val="00C83063"/>
    <w:rsid w:val="00C87E90"/>
    <w:rsid w:val="00CA1B57"/>
    <w:rsid w:val="00CF77F7"/>
    <w:rsid w:val="00D06B3D"/>
    <w:rsid w:val="00D86297"/>
    <w:rsid w:val="00DD466D"/>
    <w:rsid w:val="00EB6364"/>
    <w:rsid w:val="00F37B64"/>
    <w:rsid w:val="00F60548"/>
    <w:rsid w:val="00F948DB"/>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7311</Words>
  <Characters>41677</Characters>
  <Application>Microsoft Office Word</Application>
  <DocSecurity>0</DocSecurity>
  <Lines>347</Lines>
  <Paragraphs>97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2022-06-14T14:15:00Z</dcterms:created>
  <dcterms:modified xsi:type="dcterms:W3CDTF">2022-06-14T14:15:00Z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