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10D87BC1" w:rsidR="00F53FB7" w:rsidRDefault="00DD466D" w:rsidP="00A93499">
      <w:pPr>
        <w:pStyle w:val="Heading1"/>
      </w:pPr>
      <w:r>
        <w:t>1.ИМЕ НА ЛЕКАРСТВЕНИЯ ПРОДУКТ</w:t>
      </w:r>
    </w:p>
    <w:p w14:paraId="5C104B11" w14:textId="781CAE9A" w:rsidR="009616A4" w:rsidRDefault="009616A4" w:rsidP="009616A4"/>
    <w:p w14:paraId="535A1552" w14:textId="77777777" w:rsidR="009616A4" w:rsidRPr="009616A4" w:rsidRDefault="009616A4" w:rsidP="009616A4">
      <w:pPr>
        <w:rPr>
          <w:sz w:val="24"/>
          <w:szCs w:val="24"/>
          <w:lang w:val="en-US" w:eastAsia="bg-BG"/>
        </w:rPr>
      </w:pPr>
      <w:r w:rsidRPr="009616A4">
        <w:rPr>
          <w:lang w:eastAsia="bg-BG"/>
        </w:rPr>
        <w:t xml:space="preserve">Бестарен 25 </w:t>
      </w:r>
      <w:r w:rsidRPr="009616A4">
        <w:rPr>
          <w:lang w:val="en-US"/>
        </w:rPr>
        <w:t xml:space="preserve">mg </w:t>
      </w:r>
      <w:r w:rsidRPr="009616A4">
        <w:rPr>
          <w:lang w:eastAsia="bg-BG"/>
        </w:rPr>
        <w:t>филмирани таблетки</w:t>
      </w:r>
    </w:p>
    <w:p w14:paraId="41F0D018" w14:textId="77777777" w:rsidR="009616A4" w:rsidRPr="009616A4" w:rsidRDefault="009616A4" w:rsidP="009616A4">
      <w:pPr>
        <w:rPr>
          <w:sz w:val="24"/>
          <w:szCs w:val="24"/>
          <w:lang w:val="en-US" w:eastAsia="bg-BG"/>
        </w:rPr>
      </w:pPr>
      <w:proofErr w:type="spellStart"/>
      <w:r w:rsidRPr="009616A4">
        <w:rPr>
          <w:lang w:val="en-US"/>
        </w:rPr>
        <w:t>Bestaren</w:t>
      </w:r>
      <w:proofErr w:type="spellEnd"/>
      <w:r w:rsidRPr="009616A4">
        <w:rPr>
          <w:lang w:val="en-US"/>
        </w:rPr>
        <w:t xml:space="preserve"> </w:t>
      </w:r>
      <w:r w:rsidRPr="009616A4">
        <w:rPr>
          <w:lang w:eastAsia="bg-BG"/>
        </w:rPr>
        <w:t xml:space="preserve">25 </w:t>
      </w:r>
      <w:r w:rsidRPr="009616A4">
        <w:rPr>
          <w:lang w:val="en-US"/>
        </w:rPr>
        <w:t>mg film-coated tablets</w:t>
      </w:r>
    </w:p>
    <w:p w14:paraId="7F634B91" w14:textId="77777777" w:rsidR="009616A4" w:rsidRPr="009616A4" w:rsidRDefault="009616A4" w:rsidP="009616A4"/>
    <w:p w14:paraId="0DF202EC" w14:textId="2E8F7D41" w:rsidR="00F53FB7" w:rsidRDefault="00DD466D" w:rsidP="00A93499">
      <w:pPr>
        <w:pStyle w:val="Heading1"/>
      </w:pPr>
      <w:r>
        <w:t>2. КАЧЕСТВЕН И КОЛИЧЕСТВЕН СЪСТАВ</w:t>
      </w:r>
    </w:p>
    <w:p w14:paraId="51C5003A" w14:textId="0DA69FB5" w:rsidR="009616A4" w:rsidRDefault="009616A4" w:rsidP="009616A4"/>
    <w:p w14:paraId="4C498A77" w14:textId="56DD7FD2" w:rsidR="009616A4" w:rsidRPr="009616A4" w:rsidRDefault="009616A4" w:rsidP="009616A4">
      <w:r>
        <w:t xml:space="preserve">Една филмирана таблетка съдържа 36,9 </w:t>
      </w:r>
      <w:r>
        <w:rPr>
          <w:lang w:val="en-US"/>
        </w:rPr>
        <w:t xml:space="preserve">mg </w:t>
      </w:r>
      <w:r>
        <w:t xml:space="preserve">декскетопрофен трометамол </w:t>
      </w:r>
      <w:r>
        <w:rPr>
          <w:lang w:val="en-US"/>
        </w:rPr>
        <w:t>(</w:t>
      </w:r>
      <w:proofErr w:type="spellStart"/>
      <w:r>
        <w:rPr>
          <w:lang w:val="en-US"/>
        </w:rPr>
        <w:t>dexketoprofen</w:t>
      </w:r>
      <w:proofErr w:type="spellEnd"/>
      <w:r>
        <w:rPr>
          <w:lang w:val="en-US"/>
        </w:rPr>
        <w:t xml:space="preserve"> trometamol), </w:t>
      </w:r>
      <w:r>
        <w:t xml:space="preserve">еквивалентен съответно на 25 </w:t>
      </w:r>
      <w:r>
        <w:rPr>
          <w:lang w:val="en-US"/>
        </w:rPr>
        <w:t xml:space="preserve">mg </w:t>
      </w:r>
      <w:r>
        <w:t xml:space="preserve">декскетопрофен </w:t>
      </w:r>
      <w:r>
        <w:rPr>
          <w:lang w:val="en-US"/>
        </w:rPr>
        <w:t>(</w:t>
      </w:r>
      <w:proofErr w:type="spellStart"/>
      <w:r>
        <w:rPr>
          <w:lang w:val="en-US"/>
        </w:rPr>
        <w:t>dexketoprofen</w:t>
      </w:r>
      <w:proofErr w:type="spellEnd"/>
      <w:r>
        <w:rPr>
          <w:lang w:val="en-US"/>
        </w:rPr>
        <w:t>).</w:t>
      </w:r>
    </w:p>
    <w:p w14:paraId="4CABB9ED" w14:textId="0D67FFB5" w:rsidR="00F53FB7" w:rsidRDefault="00DD466D" w:rsidP="00A93499">
      <w:pPr>
        <w:pStyle w:val="Heading1"/>
      </w:pPr>
      <w:r>
        <w:t>3. ЛЕКАРСТВЕНА ФОРМА</w:t>
      </w:r>
    </w:p>
    <w:p w14:paraId="69C96F69" w14:textId="6FC3F2DF" w:rsidR="009616A4" w:rsidRDefault="009616A4" w:rsidP="009616A4"/>
    <w:p w14:paraId="19446469" w14:textId="77777777" w:rsidR="009616A4" w:rsidRPr="009616A4" w:rsidRDefault="009616A4" w:rsidP="009616A4">
      <w:pPr>
        <w:rPr>
          <w:sz w:val="24"/>
          <w:szCs w:val="24"/>
          <w:lang w:eastAsia="bg-BG"/>
        </w:rPr>
      </w:pPr>
      <w:r w:rsidRPr="009616A4">
        <w:rPr>
          <w:lang w:eastAsia="bg-BG"/>
        </w:rPr>
        <w:t>Филмирани таблетки</w:t>
      </w:r>
    </w:p>
    <w:p w14:paraId="4B494C26" w14:textId="31D8D5F9" w:rsidR="009616A4" w:rsidRPr="009616A4" w:rsidRDefault="009616A4" w:rsidP="009616A4">
      <w:pPr>
        <w:rPr>
          <w:sz w:val="24"/>
          <w:szCs w:val="24"/>
          <w:lang w:eastAsia="bg-BG"/>
        </w:rPr>
      </w:pPr>
      <w:r w:rsidRPr="009616A4">
        <w:rPr>
          <w:lang w:eastAsia="bg-BG"/>
        </w:rPr>
        <w:t>Бели, кръгли филмирани таблетки с делителна черта от двете страни. Таблетката може да бъде разделена на две равни дози.</w:t>
      </w:r>
    </w:p>
    <w:p w14:paraId="490FC2C4" w14:textId="6899DE43" w:rsidR="002C50EE" w:rsidRDefault="002C50EE" w:rsidP="002C50EE">
      <w:pPr>
        <w:pStyle w:val="Heading1"/>
      </w:pPr>
      <w:r>
        <w:t>4. КЛИНИЧНИ ДАННИ</w:t>
      </w:r>
    </w:p>
    <w:p w14:paraId="1AEF7FB6" w14:textId="73907A0F" w:rsidR="00A428B7" w:rsidRDefault="002C50EE" w:rsidP="00340E8D">
      <w:pPr>
        <w:pStyle w:val="Heading2"/>
      </w:pPr>
      <w:r>
        <w:t>4.1. Терапевтични показания</w:t>
      </w:r>
    </w:p>
    <w:p w14:paraId="08A78092" w14:textId="1CFC22E7" w:rsidR="009616A4" w:rsidRDefault="009616A4" w:rsidP="009616A4"/>
    <w:p w14:paraId="0FD3C4CC" w14:textId="324241B2" w:rsidR="009616A4" w:rsidRDefault="009616A4" w:rsidP="009616A4">
      <w:pPr>
        <w:rPr>
          <w:lang w:eastAsia="bg-BG"/>
        </w:rPr>
      </w:pPr>
      <w:r w:rsidRPr="009616A4">
        <w:rPr>
          <w:lang w:eastAsia="bg-BG"/>
        </w:rPr>
        <w:t>Симптоматично лечение на лека до умерена болка, напр. в мускулно-скелетната система, при дисменорея и зъбобол.</w:t>
      </w:r>
    </w:p>
    <w:p w14:paraId="32DF1D23" w14:textId="77777777" w:rsidR="009616A4" w:rsidRPr="009616A4" w:rsidRDefault="009616A4" w:rsidP="009616A4">
      <w:pPr>
        <w:rPr>
          <w:sz w:val="24"/>
          <w:szCs w:val="24"/>
          <w:lang w:eastAsia="bg-BG"/>
        </w:rPr>
      </w:pPr>
    </w:p>
    <w:p w14:paraId="4EC58B12" w14:textId="315E0F79" w:rsidR="00A428B7" w:rsidRDefault="002C50EE" w:rsidP="00340E8D">
      <w:pPr>
        <w:pStyle w:val="Heading2"/>
      </w:pPr>
      <w:r>
        <w:t>4.2. Дозировка и начин на приложение</w:t>
      </w:r>
    </w:p>
    <w:p w14:paraId="00846330" w14:textId="71DDCDD3" w:rsidR="009616A4" w:rsidRDefault="009616A4" w:rsidP="009616A4"/>
    <w:p w14:paraId="0B4D01C9" w14:textId="77777777" w:rsidR="009616A4" w:rsidRPr="009616A4" w:rsidRDefault="009616A4" w:rsidP="009616A4">
      <w:pPr>
        <w:pStyle w:val="Heading3"/>
        <w:rPr>
          <w:rFonts w:eastAsia="Times New Roman"/>
          <w:u w:val="single"/>
          <w:lang w:eastAsia="bg-BG"/>
        </w:rPr>
      </w:pPr>
      <w:r w:rsidRPr="009616A4">
        <w:rPr>
          <w:rFonts w:eastAsia="Times New Roman"/>
          <w:u w:val="single"/>
          <w:lang w:eastAsia="bg-BG"/>
        </w:rPr>
        <w:t>Дозировка</w:t>
      </w:r>
    </w:p>
    <w:p w14:paraId="259622A3" w14:textId="77777777" w:rsidR="009616A4" w:rsidRDefault="009616A4" w:rsidP="009616A4">
      <w:pPr>
        <w:spacing w:line="240" w:lineRule="auto"/>
        <w:rPr>
          <w:rFonts w:eastAsia="Times New Roman" w:cs="Arial"/>
          <w:i/>
          <w:iCs/>
          <w:color w:val="000000"/>
          <w:lang w:eastAsia="bg-BG"/>
        </w:rPr>
      </w:pPr>
    </w:p>
    <w:p w14:paraId="244A3E42" w14:textId="2EDB13DF" w:rsidR="009616A4" w:rsidRPr="009616A4" w:rsidRDefault="009616A4" w:rsidP="009616A4">
      <w:pPr>
        <w:spacing w:line="240" w:lineRule="auto"/>
        <w:rPr>
          <w:rFonts w:eastAsia="Times New Roman" w:cs="Arial"/>
          <w:lang w:eastAsia="bg-BG"/>
        </w:rPr>
      </w:pPr>
      <w:r w:rsidRPr="009616A4">
        <w:rPr>
          <w:rFonts w:eastAsia="Times New Roman" w:cs="Arial"/>
          <w:i/>
          <w:iCs/>
          <w:color w:val="000000"/>
          <w:lang w:eastAsia="bg-BG"/>
        </w:rPr>
        <w:t>Възрастни</w:t>
      </w:r>
    </w:p>
    <w:p w14:paraId="4F433355"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 xml:space="preserve">В зависимост от вида и интензитета на болката, препоръчителната доза е 12,5 </w:t>
      </w:r>
      <w:r w:rsidRPr="009616A4">
        <w:rPr>
          <w:rFonts w:eastAsia="Times New Roman" w:cs="Arial"/>
          <w:color w:val="000000"/>
          <w:lang w:val="en-US"/>
        </w:rPr>
        <w:t xml:space="preserve">mg </w:t>
      </w:r>
      <w:r w:rsidRPr="009616A4">
        <w:rPr>
          <w:rFonts w:eastAsia="Times New Roman" w:cs="Arial"/>
          <w:color w:val="000000"/>
          <w:lang w:eastAsia="bg-BG"/>
        </w:rPr>
        <w:t xml:space="preserve">на интервали 4-6 часа или 25 </w:t>
      </w:r>
      <w:r w:rsidRPr="009616A4">
        <w:rPr>
          <w:rFonts w:eastAsia="Times New Roman" w:cs="Arial"/>
          <w:color w:val="000000"/>
          <w:lang w:val="en-US"/>
        </w:rPr>
        <w:t xml:space="preserve">mg </w:t>
      </w:r>
      <w:r w:rsidRPr="009616A4">
        <w:rPr>
          <w:rFonts w:eastAsia="Times New Roman" w:cs="Arial"/>
          <w:color w:val="000000"/>
          <w:lang w:eastAsia="bg-BG"/>
        </w:rPr>
        <w:t xml:space="preserve">на всеки 8 часа. Общата дневна доза не трябва да надвишава 75 </w:t>
      </w:r>
      <w:r w:rsidRPr="009616A4">
        <w:rPr>
          <w:rFonts w:eastAsia="Times New Roman" w:cs="Arial"/>
          <w:color w:val="000000"/>
          <w:lang w:val="en-US"/>
        </w:rPr>
        <w:t>mg.</w:t>
      </w:r>
    </w:p>
    <w:p w14:paraId="6015170C"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Нежеланите лекарствени реакции могат да бъдат намалени като за контролиране на симптомите се използва най-ниската ефективна доза за най-кратък период от време (вж. точка 4.4).</w:t>
      </w:r>
    </w:p>
    <w:p w14:paraId="24221907"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Бестарен не е предназначен за продължително приложение и лечението трябва да се ограничи в периода на наличие на симптоми.</w:t>
      </w:r>
    </w:p>
    <w:p w14:paraId="34EE0C7D" w14:textId="77777777" w:rsidR="009616A4" w:rsidRDefault="009616A4" w:rsidP="009616A4">
      <w:pPr>
        <w:spacing w:line="240" w:lineRule="auto"/>
        <w:rPr>
          <w:rFonts w:eastAsia="Times New Roman" w:cs="Arial"/>
          <w:i/>
          <w:iCs/>
          <w:color w:val="000000"/>
          <w:lang w:eastAsia="bg-BG"/>
        </w:rPr>
      </w:pPr>
    </w:p>
    <w:p w14:paraId="4B26EA13" w14:textId="0BBB8BC7" w:rsidR="009616A4" w:rsidRPr="009616A4" w:rsidRDefault="009616A4" w:rsidP="009616A4">
      <w:pPr>
        <w:spacing w:line="240" w:lineRule="auto"/>
        <w:rPr>
          <w:rFonts w:eastAsia="Times New Roman" w:cs="Arial"/>
          <w:lang w:eastAsia="bg-BG"/>
        </w:rPr>
      </w:pPr>
      <w:r w:rsidRPr="009616A4">
        <w:rPr>
          <w:rFonts w:eastAsia="Times New Roman" w:cs="Arial"/>
          <w:i/>
          <w:iCs/>
          <w:color w:val="000000"/>
          <w:lang w:eastAsia="bg-BG"/>
        </w:rPr>
        <w:t>Пациенти в старческа възраст</w:t>
      </w:r>
    </w:p>
    <w:p w14:paraId="2EEEAE26"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 xml:space="preserve">При пациенти в старческа възраст се препоръчва лечението да започне с по-ниска доза в определените граници на дозировката (обща дневна доза 50 </w:t>
      </w:r>
      <w:r w:rsidRPr="009616A4">
        <w:rPr>
          <w:rFonts w:eastAsia="Times New Roman" w:cs="Arial"/>
          <w:color w:val="000000"/>
          <w:lang w:val="en-US"/>
        </w:rPr>
        <w:t xml:space="preserve">mg). </w:t>
      </w:r>
      <w:r w:rsidRPr="009616A4">
        <w:rPr>
          <w:rFonts w:eastAsia="Times New Roman" w:cs="Arial"/>
          <w:color w:val="000000"/>
          <w:lang w:eastAsia="bg-BG"/>
        </w:rPr>
        <w:t>Дозата може да се увеличи до препоръчителната за общата популация само след установяване на добра обща поносимост.</w:t>
      </w:r>
    </w:p>
    <w:p w14:paraId="648B5749" w14:textId="77777777" w:rsidR="009616A4" w:rsidRDefault="009616A4" w:rsidP="009616A4">
      <w:pPr>
        <w:spacing w:line="240" w:lineRule="auto"/>
        <w:rPr>
          <w:rFonts w:eastAsia="Times New Roman" w:cs="Arial"/>
          <w:i/>
          <w:iCs/>
          <w:color w:val="000000"/>
          <w:lang w:eastAsia="bg-BG"/>
        </w:rPr>
      </w:pPr>
    </w:p>
    <w:p w14:paraId="159BBA14" w14:textId="2B61DDEB" w:rsidR="009616A4" w:rsidRPr="009616A4" w:rsidRDefault="009616A4" w:rsidP="009616A4">
      <w:pPr>
        <w:spacing w:line="240" w:lineRule="auto"/>
        <w:rPr>
          <w:rFonts w:eastAsia="Times New Roman" w:cs="Arial"/>
          <w:lang w:eastAsia="bg-BG"/>
        </w:rPr>
      </w:pPr>
      <w:r w:rsidRPr="009616A4">
        <w:rPr>
          <w:rFonts w:eastAsia="Times New Roman" w:cs="Arial"/>
          <w:i/>
          <w:iCs/>
          <w:color w:val="000000"/>
          <w:lang w:eastAsia="bg-BG"/>
        </w:rPr>
        <w:lastRenderedPageBreak/>
        <w:t>Нарушена чернодробна функция</w:t>
      </w:r>
    </w:p>
    <w:p w14:paraId="123E55AE"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 xml:space="preserve">Пациенти с леко до умерено нарушена чернодробна функция трябва да започнат лечението с намалени дози (обща дневна доза 50 </w:t>
      </w:r>
      <w:r w:rsidRPr="009616A4">
        <w:rPr>
          <w:rFonts w:eastAsia="Times New Roman" w:cs="Arial"/>
          <w:color w:val="000000"/>
          <w:lang w:val="en-US"/>
        </w:rPr>
        <w:t xml:space="preserve">mg) </w:t>
      </w:r>
      <w:r w:rsidRPr="009616A4">
        <w:rPr>
          <w:rFonts w:eastAsia="Times New Roman" w:cs="Arial"/>
          <w:color w:val="000000"/>
          <w:lang w:eastAsia="bg-BG"/>
        </w:rPr>
        <w:t>и да се проследяват внимателно. Бестарен не трябва да се използва при пациенти с тежко нарушена чернодробна функция.</w:t>
      </w:r>
    </w:p>
    <w:p w14:paraId="38681D8A" w14:textId="77777777" w:rsidR="009616A4" w:rsidRDefault="009616A4" w:rsidP="009616A4">
      <w:pPr>
        <w:spacing w:line="240" w:lineRule="auto"/>
        <w:rPr>
          <w:rFonts w:eastAsia="Times New Roman" w:cs="Arial"/>
          <w:i/>
          <w:iCs/>
          <w:color w:val="000000"/>
          <w:lang w:eastAsia="bg-BG"/>
        </w:rPr>
      </w:pPr>
    </w:p>
    <w:p w14:paraId="7C69A177" w14:textId="50A08055" w:rsidR="009616A4" w:rsidRPr="009616A4" w:rsidRDefault="009616A4" w:rsidP="009616A4">
      <w:pPr>
        <w:spacing w:line="240" w:lineRule="auto"/>
        <w:rPr>
          <w:rFonts w:eastAsia="Times New Roman" w:cs="Arial"/>
          <w:lang w:eastAsia="bg-BG"/>
        </w:rPr>
      </w:pPr>
      <w:r w:rsidRPr="009616A4">
        <w:rPr>
          <w:rFonts w:eastAsia="Times New Roman" w:cs="Arial"/>
          <w:i/>
          <w:iCs/>
          <w:color w:val="000000"/>
          <w:lang w:eastAsia="bg-BG"/>
        </w:rPr>
        <w:t>Нарушена бъбречна функция</w:t>
      </w:r>
    </w:p>
    <w:p w14:paraId="7B644757"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При пациенти с леко нарушена бъбречна функция (креатининов клирънс 50-80</w:t>
      </w:r>
      <w:r w:rsidRPr="009616A4">
        <w:rPr>
          <w:rFonts w:eastAsia="Times New Roman" w:cs="Arial"/>
          <w:color w:val="000000"/>
          <w:lang w:val="en-US"/>
        </w:rPr>
        <w:t xml:space="preserve"> ml/min</w:t>
      </w:r>
      <w:r w:rsidRPr="009616A4">
        <w:rPr>
          <w:rFonts w:eastAsia="Times New Roman" w:cs="Arial"/>
          <w:color w:val="000000"/>
          <w:lang w:eastAsia="bg-BG"/>
        </w:rPr>
        <w:t xml:space="preserve"> </w:t>
      </w:r>
    </w:p>
    <w:p w14:paraId="3BEFF195" w14:textId="77777777" w:rsidR="009616A4" w:rsidRPr="009616A4" w:rsidRDefault="009616A4" w:rsidP="009616A4">
      <w:pPr>
        <w:rPr>
          <w:rFonts w:eastAsia="Times New Roman" w:cs="Arial"/>
          <w:lang w:eastAsia="bg-BG"/>
        </w:rPr>
      </w:pPr>
      <w:r w:rsidRPr="009616A4">
        <w:rPr>
          <w:rFonts w:eastAsia="Times New Roman" w:cs="Arial"/>
          <w:color w:val="000000"/>
          <w:lang w:eastAsia="bg-BG"/>
        </w:rPr>
        <w:t xml:space="preserve">началната доза трябва да се намали до 50 </w:t>
      </w:r>
      <w:r w:rsidRPr="009616A4">
        <w:rPr>
          <w:rFonts w:eastAsia="Times New Roman" w:cs="Arial"/>
          <w:color w:val="000000"/>
          <w:lang w:val="en-US"/>
        </w:rPr>
        <w:t xml:space="preserve">mg </w:t>
      </w:r>
      <w:r w:rsidRPr="009616A4">
        <w:rPr>
          <w:rFonts w:eastAsia="Times New Roman" w:cs="Arial"/>
          <w:color w:val="000000"/>
          <w:lang w:eastAsia="bg-BG"/>
        </w:rPr>
        <w:t>обща дневна доза (вж. точка</w:t>
      </w:r>
      <w:r w:rsidRPr="009616A4">
        <w:rPr>
          <w:rFonts w:eastAsia="Times New Roman" w:cs="Arial"/>
          <w:color w:val="000000"/>
          <w:lang w:val="en-US"/>
        </w:rPr>
        <w:t xml:space="preserve"> 4.4). </w:t>
      </w:r>
      <w:r w:rsidRPr="009616A4">
        <w:rPr>
          <w:rFonts w:eastAsia="Times New Roman" w:cs="Arial"/>
          <w:color w:val="000000"/>
          <w:lang w:eastAsia="bg-BG"/>
        </w:rPr>
        <w:t>Бестарен трявба да</w:t>
      </w:r>
      <w:r>
        <w:rPr>
          <w:rFonts w:eastAsia="Times New Roman" w:cs="Arial"/>
          <w:color w:val="000000"/>
          <w:lang w:eastAsia="bg-BG"/>
        </w:rPr>
        <w:t xml:space="preserve"> </w:t>
      </w:r>
      <w:r w:rsidRPr="009616A4">
        <w:rPr>
          <w:rFonts w:eastAsia="Times New Roman" w:cs="Arial"/>
          <w:color w:val="000000"/>
          <w:lang w:eastAsia="bg-BG"/>
        </w:rPr>
        <w:t xml:space="preserve">да се използва при пациенти с умерено до тежко нарушена бъбречна функция (креатининов клирънс &lt;50 </w:t>
      </w:r>
      <w:r w:rsidRPr="009616A4">
        <w:rPr>
          <w:rFonts w:eastAsia="Times New Roman" w:cs="Arial"/>
          <w:color w:val="000000"/>
          <w:lang w:val="en-US"/>
        </w:rPr>
        <w:t xml:space="preserve">ml/min) </w:t>
      </w:r>
      <w:r w:rsidRPr="009616A4">
        <w:rPr>
          <w:rFonts w:eastAsia="Times New Roman" w:cs="Arial"/>
          <w:color w:val="000000"/>
          <w:lang w:eastAsia="bg-BG"/>
        </w:rPr>
        <w:t>(вж. точка 4.3).</w:t>
      </w:r>
    </w:p>
    <w:p w14:paraId="7FF34774" w14:textId="77777777" w:rsidR="009616A4" w:rsidRDefault="009616A4" w:rsidP="009616A4">
      <w:pPr>
        <w:spacing w:line="240" w:lineRule="auto"/>
        <w:rPr>
          <w:rFonts w:eastAsia="Times New Roman" w:cs="Arial"/>
          <w:i/>
          <w:iCs/>
          <w:color w:val="000000"/>
          <w:lang w:eastAsia="bg-BG"/>
        </w:rPr>
      </w:pPr>
    </w:p>
    <w:p w14:paraId="7F13AF6D" w14:textId="4317B7CF" w:rsidR="009616A4" w:rsidRPr="009616A4" w:rsidRDefault="009616A4" w:rsidP="009616A4">
      <w:pPr>
        <w:spacing w:line="240" w:lineRule="auto"/>
        <w:rPr>
          <w:rFonts w:eastAsia="Times New Roman" w:cs="Arial"/>
          <w:lang w:eastAsia="bg-BG"/>
        </w:rPr>
      </w:pPr>
      <w:r w:rsidRPr="009616A4">
        <w:rPr>
          <w:rFonts w:eastAsia="Times New Roman" w:cs="Arial"/>
          <w:i/>
          <w:iCs/>
          <w:color w:val="000000"/>
          <w:lang w:eastAsia="bg-BG"/>
        </w:rPr>
        <w:t>Деца и юноши</w:t>
      </w:r>
    </w:p>
    <w:p w14:paraId="313DE1AF"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Бестарен не е проучен при деца и юноши. Тъй като безопасността и ефикасността не е проучена, продуктът не трябва да се прилага при деца и юноши.</w:t>
      </w:r>
    </w:p>
    <w:p w14:paraId="009F0BFF" w14:textId="77777777" w:rsidR="009616A4" w:rsidRDefault="009616A4" w:rsidP="009616A4">
      <w:pPr>
        <w:spacing w:line="240" w:lineRule="auto"/>
        <w:rPr>
          <w:rFonts w:eastAsia="Times New Roman" w:cs="Arial"/>
          <w:color w:val="000000"/>
          <w:lang w:eastAsia="bg-BG"/>
        </w:rPr>
      </w:pPr>
    </w:p>
    <w:p w14:paraId="2E07BE6F" w14:textId="33092361" w:rsidR="009616A4" w:rsidRPr="009616A4" w:rsidRDefault="009616A4" w:rsidP="009616A4">
      <w:pPr>
        <w:pStyle w:val="Heading3"/>
        <w:rPr>
          <w:rFonts w:eastAsia="Times New Roman"/>
          <w:u w:val="single"/>
          <w:lang w:eastAsia="bg-BG"/>
        </w:rPr>
      </w:pPr>
      <w:r w:rsidRPr="009616A4">
        <w:rPr>
          <w:rFonts w:eastAsia="Times New Roman"/>
          <w:u w:val="single"/>
          <w:lang w:eastAsia="bg-BG"/>
        </w:rPr>
        <w:t>Начин на приложение:</w:t>
      </w:r>
    </w:p>
    <w:p w14:paraId="7A216337"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Таблетката трябва да се поглъща с достатъчно количество течност (напр. една чаша вода).</w:t>
      </w:r>
    </w:p>
    <w:p w14:paraId="780DC3A6" w14:textId="77777777" w:rsidR="009616A4" w:rsidRDefault="009616A4" w:rsidP="009616A4">
      <w:pPr>
        <w:spacing w:line="240" w:lineRule="auto"/>
        <w:rPr>
          <w:rFonts w:eastAsia="Times New Roman" w:cs="Arial"/>
          <w:color w:val="000000"/>
          <w:lang w:eastAsia="bg-BG"/>
        </w:rPr>
      </w:pPr>
    </w:p>
    <w:p w14:paraId="6DE82C57" w14:textId="7AB7CBAE"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Едновременното приложение с храна забавя скоростта на резорбция на лекарството (вж. "Фармакокинетични свойства") и затова в случай на остра болка се препоръчва да се прилага поне 30 минути преди хранене.</w:t>
      </w:r>
    </w:p>
    <w:p w14:paraId="691B8173" w14:textId="77777777" w:rsidR="009616A4" w:rsidRPr="009616A4" w:rsidRDefault="009616A4" w:rsidP="009616A4"/>
    <w:p w14:paraId="6158ADF5" w14:textId="6283317A" w:rsidR="00A428B7" w:rsidRDefault="002C50EE" w:rsidP="00340E8D">
      <w:pPr>
        <w:pStyle w:val="Heading2"/>
      </w:pPr>
      <w:r>
        <w:t>4.3. Противопоказания</w:t>
      </w:r>
    </w:p>
    <w:p w14:paraId="5E0E0FFA" w14:textId="5C87D0EC" w:rsidR="009616A4" w:rsidRDefault="009616A4" w:rsidP="009616A4"/>
    <w:p w14:paraId="67E27DFF"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Бестарен не трябва да се прилага в следните случаи:</w:t>
      </w:r>
    </w:p>
    <w:p w14:paraId="0CE06947" w14:textId="77777777" w:rsidR="009616A4" w:rsidRPr="009616A4" w:rsidRDefault="009616A4" w:rsidP="009616A4">
      <w:pPr>
        <w:pStyle w:val="ListParagraph"/>
        <w:numPr>
          <w:ilvl w:val="0"/>
          <w:numId w:val="40"/>
        </w:numPr>
        <w:spacing w:line="240" w:lineRule="auto"/>
        <w:rPr>
          <w:rFonts w:eastAsia="Times New Roman" w:cs="Arial"/>
          <w:lang w:eastAsia="bg-BG"/>
        </w:rPr>
      </w:pPr>
      <w:r w:rsidRPr="009616A4">
        <w:rPr>
          <w:rFonts w:eastAsia="Times New Roman" w:cs="Arial"/>
          <w:color w:val="000000"/>
          <w:lang w:eastAsia="bg-BG"/>
        </w:rPr>
        <w:t>пациенти със свръхчувствителност към декскетопрофен, към някое друго нестероидно противовъзпалително средство (НСПВС) или към някое от помощните вещества, изброени в точка 6.1;</w:t>
      </w:r>
    </w:p>
    <w:p w14:paraId="14D68EDD" w14:textId="77777777" w:rsidR="009616A4" w:rsidRPr="009616A4" w:rsidRDefault="009616A4" w:rsidP="009616A4">
      <w:pPr>
        <w:pStyle w:val="ListParagraph"/>
        <w:numPr>
          <w:ilvl w:val="0"/>
          <w:numId w:val="40"/>
        </w:numPr>
        <w:spacing w:line="240" w:lineRule="auto"/>
        <w:rPr>
          <w:rFonts w:eastAsia="Times New Roman" w:cs="Arial"/>
          <w:lang w:eastAsia="bg-BG"/>
        </w:rPr>
      </w:pPr>
      <w:r w:rsidRPr="009616A4">
        <w:rPr>
          <w:rFonts w:eastAsia="Times New Roman" w:cs="Arial"/>
          <w:color w:val="000000"/>
          <w:lang w:eastAsia="bg-BG"/>
        </w:rPr>
        <w:t>пациенти, при които вещества с подобно действие (напр. ацитилсалицилова киселина или други НСПВС) предизвикват астматични пристъпи, бронхоспазъм, остър ринит или причиняват назална полипоза, уртикария или ангионевротичен едем;</w:t>
      </w:r>
    </w:p>
    <w:p w14:paraId="7589DFC5" w14:textId="77777777" w:rsidR="009616A4" w:rsidRPr="009616A4" w:rsidRDefault="009616A4" w:rsidP="009616A4">
      <w:pPr>
        <w:pStyle w:val="ListParagraph"/>
        <w:numPr>
          <w:ilvl w:val="0"/>
          <w:numId w:val="40"/>
        </w:numPr>
        <w:spacing w:line="240" w:lineRule="auto"/>
        <w:rPr>
          <w:rFonts w:eastAsia="Times New Roman" w:cs="Arial"/>
          <w:lang w:eastAsia="bg-BG"/>
        </w:rPr>
      </w:pPr>
      <w:r w:rsidRPr="009616A4">
        <w:rPr>
          <w:rFonts w:eastAsia="Times New Roman" w:cs="Arial"/>
          <w:color w:val="000000"/>
          <w:lang w:eastAsia="bg-BG"/>
        </w:rPr>
        <w:t>известна фоточувствителност при лечение с кетопрофен или фибрати</w:t>
      </w:r>
    </w:p>
    <w:p w14:paraId="5E9D659A" w14:textId="77777777" w:rsidR="009616A4" w:rsidRPr="009616A4" w:rsidRDefault="009616A4" w:rsidP="009616A4">
      <w:pPr>
        <w:pStyle w:val="ListParagraph"/>
        <w:numPr>
          <w:ilvl w:val="0"/>
          <w:numId w:val="40"/>
        </w:numPr>
        <w:spacing w:line="240" w:lineRule="auto"/>
        <w:rPr>
          <w:rFonts w:eastAsia="Times New Roman" w:cs="Arial"/>
          <w:lang w:eastAsia="bg-BG"/>
        </w:rPr>
      </w:pPr>
      <w:r w:rsidRPr="009616A4">
        <w:rPr>
          <w:rFonts w:eastAsia="Times New Roman" w:cs="Arial"/>
          <w:color w:val="000000"/>
          <w:lang w:eastAsia="bg-BG"/>
        </w:rPr>
        <w:t>пациенти с активна или суспектна пептична язва/кръвоизлив, анамнеза за рекурентна пептична язва/кръвоизлив (два или повече отделни епизода на доказана язва или кръвоизлив) или хронична диспепсия;</w:t>
      </w:r>
    </w:p>
    <w:p w14:paraId="1FB675B9" w14:textId="77777777" w:rsidR="009616A4" w:rsidRPr="009616A4" w:rsidRDefault="009616A4" w:rsidP="009616A4">
      <w:pPr>
        <w:pStyle w:val="ListParagraph"/>
        <w:numPr>
          <w:ilvl w:val="0"/>
          <w:numId w:val="40"/>
        </w:numPr>
        <w:spacing w:line="240" w:lineRule="auto"/>
        <w:rPr>
          <w:rFonts w:eastAsia="Times New Roman" w:cs="Arial"/>
          <w:lang w:eastAsia="bg-BG"/>
        </w:rPr>
      </w:pPr>
      <w:r w:rsidRPr="009616A4">
        <w:rPr>
          <w:rFonts w:eastAsia="Times New Roman" w:cs="Arial"/>
          <w:color w:val="000000"/>
          <w:lang w:eastAsia="bg-BG"/>
        </w:rPr>
        <w:t>пациенти с анамнеза за стомашно-чревен кръвоизлив или перфорация, в резултат на предшестващо лечение с НСПВС;</w:t>
      </w:r>
    </w:p>
    <w:p w14:paraId="0DD3934C" w14:textId="77777777" w:rsidR="009616A4" w:rsidRPr="009616A4" w:rsidRDefault="009616A4" w:rsidP="009616A4">
      <w:pPr>
        <w:pStyle w:val="ListParagraph"/>
        <w:numPr>
          <w:ilvl w:val="0"/>
          <w:numId w:val="40"/>
        </w:numPr>
        <w:spacing w:line="240" w:lineRule="auto"/>
        <w:rPr>
          <w:rFonts w:eastAsia="Times New Roman" w:cs="Arial"/>
          <w:lang w:eastAsia="bg-BG"/>
        </w:rPr>
      </w:pPr>
      <w:r w:rsidRPr="009616A4">
        <w:rPr>
          <w:rFonts w:eastAsia="Times New Roman" w:cs="Arial"/>
          <w:color w:val="000000"/>
          <w:lang w:eastAsia="bg-BG"/>
        </w:rPr>
        <w:t>пациенти със стомашно-чревен кръвоизлив, кръвоизлив от друг произход или други заболявания, свързани с кървене;</w:t>
      </w:r>
    </w:p>
    <w:p w14:paraId="5E9CAC50" w14:textId="77777777" w:rsidR="009616A4" w:rsidRPr="009616A4" w:rsidRDefault="009616A4" w:rsidP="009616A4">
      <w:pPr>
        <w:pStyle w:val="ListParagraph"/>
        <w:numPr>
          <w:ilvl w:val="0"/>
          <w:numId w:val="40"/>
        </w:numPr>
        <w:spacing w:line="240" w:lineRule="auto"/>
        <w:rPr>
          <w:rFonts w:eastAsia="Times New Roman" w:cs="Arial"/>
          <w:lang w:eastAsia="bg-BG"/>
        </w:rPr>
      </w:pPr>
      <w:r w:rsidRPr="009616A4">
        <w:rPr>
          <w:rFonts w:eastAsia="Times New Roman" w:cs="Arial"/>
          <w:color w:val="000000"/>
          <w:lang w:eastAsia="bg-BG"/>
        </w:rPr>
        <w:t xml:space="preserve">пациенти с болест на </w:t>
      </w:r>
      <w:r w:rsidRPr="009616A4">
        <w:rPr>
          <w:rFonts w:eastAsia="Times New Roman" w:cs="Arial"/>
          <w:color w:val="000000"/>
          <w:lang w:val="en-US"/>
        </w:rPr>
        <w:t xml:space="preserve">Crohn </w:t>
      </w:r>
      <w:r w:rsidRPr="009616A4">
        <w:rPr>
          <w:rFonts w:eastAsia="Times New Roman" w:cs="Arial"/>
          <w:color w:val="000000"/>
          <w:lang w:eastAsia="bg-BG"/>
        </w:rPr>
        <w:t>или улцерозен колит;</w:t>
      </w:r>
    </w:p>
    <w:p w14:paraId="3820E3CF" w14:textId="77777777" w:rsidR="009616A4" w:rsidRPr="009616A4" w:rsidRDefault="009616A4" w:rsidP="009616A4">
      <w:pPr>
        <w:pStyle w:val="ListParagraph"/>
        <w:numPr>
          <w:ilvl w:val="0"/>
          <w:numId w:val="40"/>
        </w:numPr>
        <w:spacing w:line="240" w:lineRule="auto"/>
        <w:rPr>
          <w:rFonts w:eastAsia="Times New Roman" w:cs="Arial"/>
          <w:lang w:eastAsia="bg-BG"/>
        </w:rPr>
      </w:pPr>
      <w:r w:rsidRPr="009616A4">
        <w:rPr>
          <w:rFonts w:eastAsia="Times New Roman" w:cs="Arial"/>
          <w:color w:val="000000"/>
          <w:lang w:eastAsia="bg-BG"/>
        </w:rPr>
        <w:t>пациенти с анамнеза за бронхиална астма;</w:t>
      </w:r>
    </w:p>
    <w:p w14:paraId="76898332" w14:textId="77777777" w:rsidR="009616A4" w:rsidRPr="009616A4" w:rsidRDefault="009616A4" w:rsidP="009616A4">
      <w:pPr>
        <w:pStyle w:val="ListParagraph"/>
        <w:numPr>
          <w:ilvl w:val="0"/>
          <w:numId w:val="40"/>
        </w:numPr>
        <w:spacing w:line="240" w:lineRule="auto"/>
        <w:rPr>
          <w:rFonts w:eastAsia="Times New Roman" w:cs="Arial"/>
          <w:lang w:eastAsia="bg-BG"/>
        </w:rPr>
      </w:pPr>
      <w:r w:rsidRPr="009616A4">
        <w:rPr>
          <w:rFonts w:eastAsia="Times New Roman" w:cs="Arial"/>
          <w:color w:val="000000"/>
          <w:lang w:eastAsia="bg-BG"/>
        </w:rPr>
        <w:t>пациенти с тежка сърдечна недостатъчност;</w:t>
      </w:r>
    </w:p>
    <w:p w14:paraId="32904981" w14:textId="77777777" w:rsidR="009616A4" w:rsidRPr="009616A4" w:rsidRDefault="009616A4" w:rsidP="009616A4">
      <w:pPr>
        <w:pStyle w:val="ListParagraph"/>
        <w:numPr>
          <w:ilvl w:val="0"/>
          <w:numId w:val="40"/>
        </w:numPr>
        <w:spacing w:line="240" w:lineRule="auto"/>
        <w:rPr>
          <w:rFonts w:eastAsia="Times New Roman" w:cs="Arial"/>
          <w:lang w:eastAsia="bg-BG"/>
        </w:rPr>
      </w:pPr>
      <w:r w:rsidRPr="009616A4">
        <w:rPr>
          <w:rFonts w:eastAsia="Times New Roman" w:cs="Arial"/>
          <w:color w:val="000000"/>
          <w:lang w:eastAsia="bg-BG"/>
        </w:rPr>
        <w:t xml:space="preserve">пациенти с умерено до тежко нарушена бъбречна функция (креатининов клирънс &lt;50 </w:t>
      </w:r>
      <w:r w:rsidRPr="009616A4">
        <w:rPr>
          <w:rFonts w:eastAsia="Times New Roman" w:cs="Arial"/>
          <w:color w:val="000000"/>
          <w:lang w:val="en-US"/>
        </w:rPr>
        <w:t>ml/min);</w:t>
      </w:r>
    </w:p>
    <w:p w14:paraId="6C30CFBD" w14:textId="77777777" w:rsidR="009616A4" w:rsidRPr="009616A4" w:rsidRDefault="009616A4" w:rsidP="009616A4">
      <w:pPr>
        <w:pStyle w:val="ListParagraph"/>
        <w:numPr>
          <w:ilvl w:val="0"/>
          <w:numId w:val="40"/>
        </w:numPr>
        <w:spacing w:line="240" w:lineRule="auto"/>
        <w:rPr>
          <w:rFonts w:eastAsia="Times New Roman" w:cs="Arial"/>
          <w:lang w:eastAsia="bg-BG"/>
        </w:rPr>
      </w:pPr>
      <w:r w:rsidRPr="009616A4">
        <w:rPr>
          <w:rFonts w:eastAsia="Times New Roman" w:cs="Arial"/>
          <w:color w:val="000000"/>
          <w:lang w:eastAsia="bg-BG"/>
        </w:rPr>
        <w:t xml:space="preserve">пациенти с тежко нарушена чернодробна функция </w:t>
      </w:r>
      <w:r w:rsidRPr="009616A4">
        <w:rPr>
          <w:rFonts w:eastAsia="Times New Roman" w:cs="Arial"/>
          <w:color w:val="000000"/>
          <w:lang w:val="en-US"/>
        </w:rPr>
        <w:t xml:space="preserve">(Child-Pugh score </w:t>
      </w:r>
      <w:r w:rsidRPr="009616A4">
        <w:rPr>
          <w:rFonts w:eastAsia="Times New Roman" w:cs="Arial"/>
          <w:color w:val="000000"/>
          <w:lang w:eastAsia="bg-BG"/>
        </w:rPr>
        <w:t>10-15);</w:t>
      </w:r>
    </w:p>
    <w:p w14:paraId="129601DE" w14:textId="77777777" w:rsidR="009616A4" w:rsidRPr="009616A4" w:rsidRDefault="009616A4" w:rsidP="009616A4">
      <w:pPr>
        <w:pStyle w:val="ListParagraph"/>
        <w:numPr>
          <w:ilvl w:val="0"/>
          <w:numId w:val="40"/>
        </w:numPr>
        <w:spacing w:line="240" w:lineRule="auto"/>
        <w:rPr>
          <w:rFonts w:eastAsia="Times New Roman" w:cs="Arial"/>
          <w:lang w:eastAsia="bg-BG"/>
        </w:rPr>
      </w:pPr>
      <w:r w:rsidRPr="009616A4">
        <w:rPr>
          <w:rFonts w:eastAsia="Times New Roman" w:cs="Arial"/>
          <w:color w:val="000000"/>
          <w:lang w:eastAsia="bg-BG"/>
        </w:rPr>
        <w:t>пациенти с хеморагична диатеза и други коагулационни нарушения;</w:t>
      </w:r>
    </w:p>
    <w:p w14:paraId="33F483AD" w14:textId="77777777" w:rsidR="009616A4" w:rsidRPr="009616A4" w:rsidRDefault="009616A4" w:rsidP="009616A4">
      <w:pPr>
        <w:pStyle w:val="ListParagraph"/>
        <w:numPr>
          <w:ilvl w:val="0"/>
          <w:numId w:val="40"/>
        </w:numPr>
        <w:spacing w:line="240" w:lineRule="auto"/>
        <w:rPr>
          <w:rFonts w:eastAsia="Times New Roman" w:cs="Arial"/>
          <w:lang w:eastAsia="bg-BG"/>
        </w:rPr>
      </w:pPr>
      <w:r w:rsidRPr="009616A4">
        <w:rPr>
          <w:rFonts w:eastAsia="Times New Roman" w:cs="Arial"/>
          <w:color w:val="000000"/>
          <w:lang w:eastAsia="bg-BG"/>
        </w:rPr>
        <w:lastRenderedPageBreak/>
        <w:t>по време на трети триместьр на бременността и по време на кърмене (вж. точка 4.6);</w:t>
      </w:r>
    </w:p>
    <w:p w14:paraId="2FF70505" w14:textId="152B29EF" w:rsidR="009616A4" w:rsidRPr="009616A4" w:rsidRDefault="009616A4" w:rsidP="009616A4">
      <w:pPr>
        <w:pStyle w:val="ListParagraph"/>
        <w:numPr>
          <w:ilvl w:val="0"/>
          <w:numId w:val="40"/>
        </w:numPr>
        <w:spacing w:line="240" w:lineRule="auto"/>
        <w:rPr>
          <w:rFonts w:eastAsia="Times New Roman" w:cs="Arial"/>
          <w:lang w:eastAsia="bg-BG"/>
        </w:rPr>
      </w:pPr>
      <w:r w:rsidRPr="009616A4">
        <w:rPr>
          <w:rFonts w:eastAsia="Times New Roman" w:cs="Arial"/>
          <w:color w:val="000000"/>
          <w:lang w:eastAsia="bg-BG"/>
        </w:rPr>
        <w:t>тежка дехидратация (дължаща се на повръщане, диария или недостатъчен прием на течности)</w:t>
      </w:r>
    </w:p>
    <w:p w14:paraId="2DBE89CB" w14:textId="77777777" w:rsidR="009616A4" w:rsidRPr="009616A4" w:rsidRDefault="009616A4" w:rsidP="009616A4"/>
    <w:p w14:paraId="45176B5B" w14:textId="466C531F" w:rsidR="00A428B7" w:rsidRDefault="002C50EE" w:rsidP="00340E8D">
      <w:pPr>
        <w:pStyle w:val="Heading2"/>
      </w:pPr>
      <w:r>
        <w:t>4.4. Специални предупреждения и предпазни мерки при употреба</w:t>
      </w:r>
    </w:p>
    <w:p w14:paraId="44BDACD8" w14:textId="3B9CB97A" w:rsidR="009616A4" w:rsidRDefault="009616A4" w:rsidP="009616A4"/>
    <w:p w14:paraId="33DB77A2"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Необходимо е повишено внимание при пациенти с:</w:t>
      </w:r>
    </w:p>
    <w:p w14:paraId="7BC21016" w14:textId="77777777" w:rsidR="009616A4" w:rsidRPr="009616A4" w:rsidRDefault="009616A4" w:rsidP="009616A4">
      <w:pPr>
        <w:pStyle w:val="ListParagraph"/>
        <w:numPr>
          <w:ilvl w:val="0"/>
          <w:numId w:val="41"/>
        </w:numPr>
        <w:spacing w:line="240" w:lineRule="auto"/>
        <w:rPr>
          <w:rFonts w:eastAsia="Times New Roman" w:cs="Arial"/>
          <w:lang w:eastAsia="bg-BG"/>
        </w:rPr>
      </w:pPr>
      <w:r w:rsidRPr="009616A4">
        <w:rPr>
          <w:rFonts w:eastAsia="Times New Roman" w:cs="Arial"/>
          <w:color w:val="000000"/>
          <w:lang w:eastAsia="bg-BG"/>
        </w:rPr>
        <w:t>Наследствено нарушение на порфириновия метаболизъм (напр. остра интермитентна порфирия)</w:t>
      </w:r>
    </w:p>
    <w:p w14:paraId="16D42F58" w14:textId="77777777" w:rsidR="009616A4" w:rsidRPr="009616A4" w:rsidRDefault="009616A4" w:rsidP="009616A4">
      <w:pPr>
        <w:pStyle w:val="ListParagraph"/>
        <w:numPr>
          <w:ilvl w:val="0"/>
          <w:numId w:val="41"/>
        </w:numPr>
        <w:spacing w:line="240" w:lineRule="auto"/>
        <w:rPr>
          <w:rFonts w:eastAsia="Times New Roman" w:cs="Arial"/>
          <w:lang w:eastAsia="bg-BG"/>
        </w:rPr>
      </w:pPr>
      <w:r w:rsidRPr="009616A4">
        <w:rPr>
          <w:rFonts w:eastAsia="Times New Roman" w:cs="Arial"/>
          <w:color w:val="000000"/>
          <w:lang w:eastAsia="bg-BG"/>
        </w:rPr>
        <w:t>Дехидратация</w:t>
      </w:r>
    </w:p>
    <w:p w14:paraId="7F4E037C" w14:textId="777D23D2" w:rsidR="009616A4" w:rsidRPr="009616A4" w:rsidRDefault="009616A4" w:rsidP="009616A4">
      <w:pPr>
        <w:pStyle w:val="ListParagraph"/>
        <w:numPr>
          <w:ilvl w:val="0"/>
          <w:numId w:val="41"/>
        </w:numPr>
        <w:spacing w:line="240" w:lineRule="auto"/>
        <w:rPr>
          <w:rFonts w:eastAsia="Times New Roman" w:cs="Arial"/>
          <w:lang w:eastAsia="bg-BG"/>
        </w:rPr>
      </w:pPr>
      <w:r w:rsidRPr="009616A4">
        <w:rPr>
          <w:rFonts w:eastAsia="Times New Roman" w:cs="Arial"/>
          <w:color w:val="000000"/>
          <w:lang w:eastAsia="bg-BG"/>
        </w:rPr>
        <w:t>Непосредствено след голяма оперативна интервенция;</w:t>
      </w:r>
    </w:p>
    <w:p w14:paraId="71F5E8E4" w14:textId="77777777" w:rsidR="009616A4" w:rsidRDefault="009616A4" w:rsidP="009616A4">
      <w:pPr>
        <w:spacing w:line="240" w:lineRule="auto"/>
        <w:rPr>
          <w:rFonts w:eastAsia="Times New Roman" w:cs="Arial"/>
          <w:color w:val="000000"/>
          <w:lang w:eastAsia="bg-BG"/>
        </w:rPr>
      </w:pPr>
    </w:p>
    <w:p w14:paraId="6EE89B04" w14:textId="652906C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При деца и юноши безопасността не е установена.</w:t>
      </w:r>
    </w:p>
    <w:p w14:paraId="1775681C" w14:textId="77777777" w:rsidR="009616A4" w:rsidRDefault="009616A4" w:rsidP="009616A4">
      <w:pPr>
        <w:spacing w:line="240" w:lineRule="auto"/>
        <w:rPr>
          <w:rFonts w:eastAsia="Times New Roman" w:cs="Arial"/>
          <w:color w:val="000000"/>
          <w:lang w:eastAsia="bg-BG"/>
        </w:rPr>
      </w:pPr>
    </w:p>
    <w:p w14:paraId="6C8FCE47" w14:textId="01F4628D"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При пациенти с анамнеза за алергични състояния трябва да се прилага с внимание.</w:t>
      </w:r>
    </w:p>
    <w:p w14:paraId="63E9744D" w14:textId="77777777" w:rsidR="009616A4" w:rsidRPr="009616A4" w:rsidRDefault="009616A4" w:rsidP="009616A4">
      <w:pPr>
        <w:spacing w:line="240" w:lineRule="auto"/>
        <w:rPr>
          <w:rFonts w:eastAsia="Times New Roman" w:cs="Arial"/>
          <w:lang w:eastAsia="bg-BG"/>
        </w:rPr>
      </w:pPr>
    </w:p>
    <w:p w14:paraId="23D6F03F" w14:textId="77777777" w:rsidR="009616A4" w:rsidRPr="009616A4" w:rsidRDefault="009616A4" w:rsidP="009616A4">
      <w:pPr>
        <w:rPr>
          <w:rFonts w:eastAsia="Times New Roman" w:cs="Arial"/>
          <w:lang w:eastAsia="bg-BG"/>
        </w:rPr>
      </w:pPr>
      <w:r w:rsidRPr="009616A4">
        <w:rPr>
          <w:rFonts w:eastAsia="Times New Roman" w:cs="Arial"/>
          <w:color w:val="000000"/>
          <w:lang w:eastAsia="bg-BG"/>
        </w:rPr>
        <w:t>Пациенти с астма, комбинирана с хроничен ринит, хроничен синузит и/или назална полипоза са с по-висок риск от алергия към ацетилсалицилова киселина и/или НСПВС отколко останалата</w:t>
      </w:r>
      <w:r>
        <w:rPr>
          <w:rFonts w:eastAsia="Times New Roman" w:cs="Arial"/>
          <w:color w:val="000000"/>
          <w:lang w:eastAsia="bg-BG"/>
        </w:rPr>
        <w:t xml:space="preserve"> </w:t>
      </w:r>
      <w:r w:rsidRPr="009616A4">
        <w:rPr>
          <w:rFonts w:eastAsia="Times New Roman" w:cs="Arial"/>
          <w:color w:val="000000"/>
          <w:lang w:eastAsia="bg-BG"/>
        </w:rPr>
        <w:t>част от популацията. Прилагането на този лекарствен продукт може да предизвика появата на асматичен пристъп или бронхоспазъм, особено при пациенти с известна алергия към АСК или НСПВС (вж. точка 4.3).</w:t>
      </w:r>
    </w:p>
    <w:p w14:paraId="7CC5B376" w14:textId="77777777" w:rsidR="009616A4" w:rsidRDefault="009616A4" w:rsidP="009616A4">
      <w:pPr>
        <w:spacing w:line="240" w:lineRule="auto"/>
        <w:rPr>
          <w:rFonts w:eastAsia="Times New Roman" w:cs="Arial"/>
          <w:color w:val="000000"/>
          <w:lang w:eastAsia="bg-BG"/>
        </w:rPr>
      </w:pPr>
    </w:p>
    <w:p w14:paraId="07CB612E" w14:textId="5618496D"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Трябва да се избягва едновременно приложение на Бестарен с други НСПВС, включително селективни инхибитори на циклооксигеназа-2.</w:t>
      </w:r>
    </w:p>
    <w:p w14:paraId="205BCF58" w14:textId="4782A00A"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Нежеланите лекарствени реакции могат да бъдат намалени като за контролиране на симптомите се употребява възможно най-ниската ефективна доза за възможно най-кратък период от време (вж. точка 4.2 и по-долу посочените гастро-интестинални и сърдечно-съдови рискове).</w:t>
      </w:r>
    </w:p>
    <w:p w14:paraId="6771283A" w14:textId="77777777" w:rsidR="009616A4" w:rsidRDefault="009616A4" w:rsidP="009616A4">
      <w:pPr>
        <w:spacing w:line="240" w:lineRule="auto"/>
        <w:rPr>
          <w:rFonts w:eastAsia="Times New Roman" w:cs="Arial"/>
          <w:color w:val="000000"/>
          <w:lang w:eastAsia="bg-BG"/>
        </w:rPr>
      </w:pPr>
    </w:p>
    <w:p w14:paraId="7D2E2E31" w14:textId="08740F0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Ако лекуващият лекар прецени, че е необходима продължителна терапия, трябва да се провеждат редовни изследвания на чернодробната и бъбречна функция и периферната кръвна картина.</w:t>
      </w:r>
    </w:p>
    <w:p w14:paraId="427FBC8B" w14:textId="77777777" w:rsidR="009616A4" w:rsidRDefault="009616A4" w:rsidP="009616A4">
      <w:pPr>
        <w:spacing w:line="240" w:lineRule="auto"/>
        <w:rPr>
          <w:rFonts w:eastAsia="Times New Roman" w:cs="Arial"/>
          <w:color w:val="000000"/>
          <w:lang w:eastAsia="bg-BG"/>
        </w:rPr>
      </w:pPr>
    </w:p>
    <w:p w14:paraId="6FAF1C16" w14:textId="7B212B1C"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Стомашно-чревен кръвоизлив, язва или перфорация, които може да са фатални, са съобщавани при всички НСПВС по всяко време на лечението, с или без предупредителни симптоми или предшестваща анамнеза за сериозни стомашно-чревни нарушения. Ако при приложение на Бестарен възникне стомашно-чревен кръвоизлив или язва, лечението трябва да се преустанови. Рискът от стомашно-чревен кръвоизлив, язва или перфорация е по-висок при увеличаване дозата на НСПВС, при пациенти с анамнеза за язва, особено ако е усложнена с кръвоизлив или перфорация (вж. точка 4.3) и в старческа възраст.</w:t>
      </w:r>
    </w:p>
    <w:p w14:paraId="3FEFB384" w14:textId="77777777" w:rsidR="009616A4" w:rsidRDefault="009616A4" w:rsidP="009616A4">
      <w:pPr>
        <w:spacing w:line="240" w:lineRule="auto"/>
        <w:rPr>
          <w:rFonts w:eastAsia="Times New Roman" w:cs="Arial"/>
          <w:color w:val="000000"/>
          <w:lang w:eastAsia="bg-BG"/>
        </w:rPr>
      </w:pPr>
      <w:r w:rsidRPr="009616A4">
        <w:rPr>
          <w:rFonts w:eastAsia="Times New Roman" w:cs="Arial"/>
          <w:color w:val="000000"/>
          <w:lang w:eastAsia="bg-BG"/>
        </w:rPr>
        <w:t xml:space="preserve">Употреба в старческа възраст: пациентите в старческа възраст са с по-висок риск за нежелани реакции към НСПВС, особено стомашно-чревен кръвоизлив и перфорация, които може да са фатални (вж. точка 4.2). Тези пациенти трябва да започнат лечението с </w:t>
      </w:r>
    </w:p>
    <w:p w14:paraId="2BD575CC" w14:textId="39710593"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възможно най-ниска доза.</w:t>
      </w:r>
    </w:p>
    <w:p w14:paraId="048E4DB3" w14:textId="77777777" w:rsidR="009616A4" w:rsidRDefault="009616A4" w:rsidP="009616A4">
      <w:pPr>
        <w:spacing w:line="240" w:lineRule="auto"/>
        <w:rPr>
          <w:rFonts w:eastAsia="Times New Roman" w:cs="Arial"/>
          <w:color w:val="000000"/>
          <w:lang w:eastAsia="bg-BG"/>
        </w:rPr>
      </w:pPr>
    </w:p>
    <w:p w14:paraId="3714EC0D" w14:textId="69C6A3FF"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 xml:space="preserve">Както при всички НСПВС, трябва внимателно да се търси анамнеза за езофагит, гастрит и/или пептична язва, с цел тяхното напълно излекуване преди започване на лечение с декскетопрофен трометамол. Пациентите със стомашно-чревни симптоми или с анамнеза </w:t>
      </w:r>
      <w:r w:rsidRPr="009616A4">
        <w:rPr>
          <w:rFonts w:eastAsia="Times New Roman" w:cs="Arial"/>
          <w:color w:val="000000"/>
          <w:lang w:eastAsia="bg-BG"/>
        </w:rPr>
        <w:lastRenderedPageBreak/>
        <w:t>за стомашно-чревно заболяване трябва да се наблюдават за храносмилателно нарушения, особено за стомашно- чревно кървене.</w:t>
      </w:r>
    </w:p>
    <w:p w14:paraId="6B2A1296" w14:textId="77777777" w:rsidR="009616A4" w:rsidRDefault="009616A4" w:rsidP="009616A4">
      <w:pPr>
        <w:spacing w:line="240" w:lineRule="auto"/>
        <w:rPr>
          <w:rFonts w:eastAsia="Times New Roman" w:cs="Arial"/>
          <w:color w:val="000000"/>
          <w:lang w:eastAsia="bg-BG"/>
        </w:rPr>
      </w:pPr>
    </w:p>
    <w:p w14:paraId="38B07980" w14:textId="62477A42"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НСПВС трябва да се прилагат внимателно при пациенти с анамнеза за стомашно-чревни заболявания (улцерозен колит, болест на Крон), тъй като тяхното заболяване може да се изостри (вж. точка 4.8). При тези пациенти, както и при пациенти, при които трябва едновременно да се прилагат ниски дози ацетилсалицилова киселина или други лекарства, които могат да увеличат стомашно-чревния риск, трябва да се има предвид комбинирано лечение с протективни агенти (напр. мизопростол или инхибитори на протонната помпа) (вж. точка 4.5).</w:t>
      </w:r>
    </w:p>
    <w:p w14:paraId="59A49300" w14:textId="77777777" w:rsidR="009616A4" w:rsidRDefault="009616A4" w:rsidP="009616A4">
      <w:pPr>
        <w:spacing w:line="240" w:lineRule="auto"/>
        <w:rPr>
          <w:rFonts w:eastAsia="Times New Roman" w:cs="Arial"/>
          <w:color w:val="000000"/>
          <w:lang w:eastAsia="bg-BG"/>
        </w:rPr>
      </w:pPr>
    </w:p>
    <w:p w14:paraId="653207FA" w14:textId="4817F1D0"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Пациенти с анамнеза за стомашно-чревна токсичност, особено в старческа възраст, трябва да съобщават всички необичайни коремни симптоми (особено стомашно-чревен кръвоизлив), особено в началните етапи на лечение.</w:t>
      </w:r>
    </w:p>
    <w:p w14:paraId="682DD9DE" w14:textId="77777777" w:rsidR="009616A4" w:rsidRDefault="009616A4" w:rsidP="009616A4">
      <w:pPr>
        <w:spacing w:line="240" w:lineRule="auto"/>
        <w:rPr>
          <w:rFonts w:eastAsia="Times New Roman" w:cs="Arial"/>
          <w:color w:val="000000"/>
          <w:lang w:eastAsia="bg-BG"/>
        </w:rPr>
      </w:pPr>
    </w:p>
    <w:p w14:paraId="4B68F1EA" w14:textId="19A84A0F"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Препоръчва се внимание при пациенти, които приемат едновременно лекарства, които могат да увеличат риска от улцерация и кървене, като перорални кортикостероиди, антикоагуланти, напр. варфарин, селективни инхибитори на обратното захващане на серотонина или антитромбоцитни лекарства, като ацетилсалицилова киселина (вж. точка 4.5).</w:t>
      </w:r>
    </w:p>
    <w:p w14:paraId="1FDDE422" w14:textId="77777777" w:rsidR="009616A4" w:rsidRDefault="009616A4" w:rsidP="009616A4">
      <w:pPr>
        <w:spacing w:line="240" w:lineRule="auto"/>
        <w:rPr>
          <w:rFonts w:eastAsia="Times New Roman" w:cs="Arial"/>
          <w:color w:val="000000"/>
          <w:lang w:eastAsia="bg-BG"/>
        </w:rPr>
      </w:pPr>
    </w:p>
    <w:p w14:paraId="14156DA9" w14:textId="4FF25CC5"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Всички неселективни НСПВС могат да инхибират тромбоцитната агрегация и да удължат времето на кървене чрез инхибиране на простагландиновата синтеза. Ето защо не се препоръчва приложението на декскетопрофен трометамол при пациенти, които получават други лекарства, повлияващи хемостазата, като варфарин или други кумарини или хепарин (вж. точка 4.5).</w:t>
      </w:r>
    </w:p>
    <w:p w14:paraId="0B818974" w14:textId="77777777" w:rsidR="009616A4" w:rsidRDefault="009616A4" w:rsidP="009616A4">
      <w:pPr>
        <w:spacing w:line="240" w:lineRule="auto"/>
        <w:rPr>
          <w:rFonts w:eastAsia="Times New Roman" w:cs="Arial"/>
          <w:color w:val="000000"/>
          <w:lang w:eastAsia="bg-BG"/>
        </w:rPr>
      </w:pPr>
    </w:p>
    <w:p w14:paraId="06846374" w14:textId="4D93D65F"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Както всички НСПВС, може да се повишат плазмените нива на уреята и креатинина. Както при други инхибитори на простагландиновата синтеза, това може да е свързано с нежелани реакции</w:t>
      </w:r>
      <w:r>
        <w:rPr>
          <w:rFonts w:eastAsia="Times New Roman" w:cs="Arial"/>
          <w:lang w:eastAsia="bg-BG"/>
        </w:rPr>
        <w:t xml:space="preserve"> </w:t>
      </w:r>
      <w:r w:rsidRPr="009616A4">
        <w:rPr>
          <w:rFonts w:eastAsia="Times New Roman" w:cs="Arial"/>
          <w:color w:val="000000"/>
          <w:lang w:eastAsia="bg-BG"/>
        </w:rPr>
        <w:t>от страна на бъбреците, които да доведат до гломерулонефрит, интерстицилаен нефрит бъбречна папиларна некроза, нефротичен синдром и остра бъбречна недостатъчност.</w:t>
      </w:r>
    </w:p>
    <w:p w14:paraId="4B2C1A01" w14:textId="3B93E369" w:rsidR="009616A4" w:rsidRDefault="009616A4" w:rsidP="009616A4">
      <w:pPr>
        <w:rPr>
          <w:rFonts w:cs="Arial"/>
        </w:rPr>
      </w:pPr>
    </w:p>
    <w:p w14:paraId="5A7303EC"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 xml:space="preserve">Подобно на други НСПВС, може да се предизвика преходно леко увеличение на някои чернодробни параметри, както и значително увеличение на </w:t>
      </w:r>
      <w:r w:rsidRPr="009616A4">
        <w:rPr>
          <w:rFonts w:eastAsia="Times New Roman" w:cs="Arial"/>
          <w:color w:val="000000"/>
          <w:lang w:val="en-US"/>
        </w:rPr>
        <w:t xml:space="preserve">SGOT </w:t>
      </w:r>
      <w:r w:rsidRPr="009616A4">
        <w:rPr>
          <w:rFonts w:eastAsia="Times New Roman" w:cs="Arial"/>
          <w:color w:val="000000"/>
          <w:lang w:eastAsia="bg-BG"/>
        </w:rPr>
        <w:t xml:space="preserve">и </w:t>
      </w:r>
      <w:r w:rsidRPr="009616A4">
        <w:rPr>
          <w:rFonts w:eastAsia="Times New Roman" w:cs="Arial"/>
          <w:color w:val="000000"/>
          <w:lang w:val="en-US"/>
        </w:rPr>
        <w:t xml:space="preserve">SGPT. </w:t>
      </w:r>
      <w:r w:rsidRPr="009616A4">
        <w:rPr>
          <w:rFonts w:eastAsia="Times New Roman" w:cs="Arial"/>
          <w:color w:val="000000"/>
          <w:lang w:eastAsia="bg-BG"/>
        </w:rPr>
        <w:t>В случай на значително увеличение на тези параметри, лечението трябва да се преустанови.</w:t>
      </w:r>
    </w:p>
    <w:p w14:paraId="17914AA3" w14:textId="77777777" w:rsidR="009616A4" w:rsidRDefault="009616A4" w:rsidP="009616A4">
      <w:pPr>
        <w:spacing w:line="240" w:lineRule="auto"/>
        <w:rPr>
          <w:rFonts w:eastAsia="Times New Roman" w:cs="Arial"/>
          <w:color w:val="000000"/>
          <w:lang w:eastAsia="bg-BG"/>
        </w:rPr>
      </w:pPr>
    </w:p>
    <w:p w14:paraId="096A5F49" w14:textId="7FBD2DC1"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Бестарен трябва да се прилага предпазливо при пациенти с хемопоетични нарушения, системен лупус еритематодес или смесена съединително-тъканна болест.</w:t>
      </w:r>
    </w:p>
    <w:p w14:paraId="790CE472" w14:textId="77777777" w:rsidR="009616A4" w:rsidRDefault="009616A4" w:rsidP="009616A4">
      <w:pPr>
        <w:spacing w:line="240" w:lineRule="auto"/>
        <w:rPr>
          <w:rFonts w:eastAsia="Times New Roman" w:cs="Arial"/>
          <w:color w:val="000000"/>
          <w:lang w:eastAsia="bg-BG"/>
        </w:rPr>
      </w:pPr>
    </w:p>
    <w:p w14:paraId="50D6323C" w14:textId="3BE91D11"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Както и другите НСПВС, декскетопрофен може да маскира симптомите на инфекциозни заболявалия.</w:t>
      </w:r>
    </w:p>
    <w:p w14:paraId="18A5D882" w14:textId="77777777" w:rsidR="009616A4" w:rsidRDefault="009616A4" w:rsidP="009616A4">
      <w:pPr>
        <w:spacing w:line="240" w:lineRule="auto"/>
        <w:rPr>
          <w:rFonts w:eastAsia="Times New Roman" w:cs="Arial"/>
          <w:color w:val="000000"/>
          <w:lang w:eastAsia="bg-BG"/>
        </w:rPr>
      </w:pPr>
    </w:p>
    <w:p w14:paraId="445202E9" w14:textId="7EA4F05B"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Внимание се изисква при пациенти с нарушена чернодробна и/или бъбречна функция, анамнеза за хипертония и/или сърдечна недостатъчност. При тези пациенти приложението на НСПВС може да доведе до нарушение на бъбречната функция, задръжка на течности и отоци. Внимание се налага и при пациенти на диуретична терапия или при риск от хиповолемия поради повишен риск от нефротоксичност. Особено внимание е необходимо при пациенти с анамнеза за сърдечно заболяване, особено при тези с предшестващи епизоди на сърдечна недостатъчност, тъй като е налице повишен риск от предизвикване на сърдечна недостатъчност.</w:t>
      </w:r>
    </w:p>
    <w:p w14:paraId="194679B1"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lastRenderedPageBreak/>
        <w:t>Пациентите в старческа възраст често страдат от нарушена бъбречна, сърдечно-съдова или чернодробна функция (вж. точка 4.2).</w:t>
      </w:r>
    </w:p>
    <w:p w14:paraId="3240B7B3" w14:textId="77777777" w:rsidR="009616A4" w:rsidRDefault="009616A4" w:rsidP="009616A4">
      <w:pPr>
        <w:spacing w:line="240" w:lineRule="auto"/>
        <w:rPr>
          <w:rFonts w:eastAsia="Times New Roman" w:cs="Arial"/>
          <w:color w:val="000000"/>
          <w:lang w:eastAsia="bg-BG"/>
        </w:rPr>
      </w:pPr>
    </w:p>
    <w:p w14:paraId="3FB734FF" w14:textId="2D6FBA09"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Необходимо е да се осигурят подходящо наблюдение и съвет за пациенти с анамнеза за хипертония и/или лека до умерена конгестивна сърдечна недостатъчност, тъй като има съобщения за задръжка на течности и отоци, свързани с лечението с НСПВС.</w:t>
      </w:r>
    </w:p>
    <w:p w14:paraId="1CDCF16F" w14:textId="77777777" w:rsidR="009616A4" w:rsidRDefault="009616A4" w:rsidP="009616A4">
      <w:pPr>
        <w:spacing w:line="240" w:lineRule="auto"/>
        <w:rPr>
          <w:rFonts w:eastAsia="Times New Roman" w:cs="Arial"/>
          <w:color w:val="000000"/>
          <w:lang w:eastAsia="bg-BG"/>
        </w:rPr>
      </w:pPr>
    </w:p>
    <w:p w14:paraId="7278EF3A" w14:textId="77D40BFD"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Клинични проучвания и епидемиологични данни показват, че употребата на някои НСПВС (особено във високи дози и при продължително приложение) може да бъде свързана с леко повишен риск от артериални тромботични събития (например миокарден инфаркт или инсулт). Няма достатъчно данни, за да се изключи такъв риск при декскетопрофен трометамол.</w:t>
      </w:r>
    </w:p>
    <w:p w14:paraId="2E25D512" w14:textId="77777777" w:rsidR="009616A4" w:rsidRDefault="009616A4" w:rsidP="009616A4">
      <w:pPr>
        <w:spacing w:line="240" w:lineRule="auto"/>
        <w:rPr>
          <w:rFonts w:eastAsia="Times New Roman" w:cs="Arial"/>
          <w:color w:val="000000"/>
          <w:lang w:eastAsia="bg-BG"/>
        </w:rPr>
      </w:pPr>
    </w:p>
    <w:p w14:paraId="247E870C" w14:textId="1974BA90" w:rsidR="009616A4" w:rsidRPr="009616A4" w:rsidRDefault="009616A4" w:rsidP="009616A4">
      <w:pPr>
        <w:spacing w:line="240" w:lineRule="auto"/>
        <w:rPr>
          <w:rFonts w:eastAsia="Times New Roman" w:cs="Arial"/>
          <w:color w:val="000000"/>
          <w:lang w:eastAsia="bg-BG"/>
        </w:rPr>
      </w:pPr>
      <w:r w:rsidRPr="009616A4">
        <w:rPr>
          <w:rFonts w:eastAsia="Times New Roman" w:cs="Arial"/>
          <w:color w:val="000000"/>
          <w:lang w:eastAsia="bg-BG"/>
        </w:rPr>
        <w:t>Пациенти с неконтролирана хипертония, застойна сърдечна недостатъчност, доказана исхемична болест на сърцето, заболяване на периферните артериии и/или мозъчно-съдова болест трябва да се лекуват с декскетопрофен трометамол само след внимателно обмисляне. Такова обмисляне трябва да се прави и преди започване на дългосрочно лечение на пациенти с рискови фактори за сърдечно-съдови заболявалия (напр. хипертония, хиперлипидемия, захарен диабет, тютюнопушене).</w:t>
      </w:r>
    </w:p>
    <w:p w14:paraId="4FB89F5D" w14:textId="77777777" w:rsidR="009616A4" w:rsidRDefault="009616A4" w:rsidP="009616A4">
      <w:pPr>
        <w:spacing w:line="240" w:lineRule="auto"/>
        <w:rPr>
          <w:rFonts w:eastAsia="Times New Roman" w:cs="Arial"/>
          <w:color w:val="000000"/>
          <w:lang w:eastAsia="bg-BG"/>
        </w:rPr>
      </w:pPr>
    </w:p>
    <w:p w14:paraId="250F9E52" w14:textId="7C6BD433"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Сериозни кожни реакции, някои от тях фатални, включително ексфолиативен дерматит, синдром на Стивънс-Джонсън и токсична епидермална некролиза са съобщавани много рядко във връзка с приложението на НСПВС (вж. точка 4.8). Рискът за тези реакции е най-висок рано в курса на лечението, като в по-голяма част от случаите началото на реакциите е през първия месец от лечението. Бестарен трябва да се преустанови при първата проява на кожен обрив, мукозни лезии или друг признак на свръхчувствителност.</w:t>
      </w:r>
    </w:p>
    <w:p w14:paraId="748C221B" w14:textId="77777777" w:rsidR="009616A4" w:rsidRDefault="009616A4" w:rsidP="009616A4">
      <w:pPr>
        <w:spacing w:line="240" w:lineRule="auto"/>
        <w:rPr>
          <w:rFonts w:eastAsia="Times New Roman" w:cs="Arial"/>
          <w:color w:val="000000"/>
          <w:lang w:eastAsia="bg-BG"/>
        </w:rPr>
      </w:pPr>
    </w:p>
    <w:p w14:paraId="633963CA" w14:textId="78C68FEB"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В много редки случаи са наблюдавани тежки остри реакции на свръхчувствителност (напр. анафилактичен шок). При първи прояви на тежки реакции на свръхчувствителност след прием на декскетопрофен е необходимо незабавно спиране на лечението. В зависимост от симптомите е необходимо да се предприемат всички необходими мерки за овладяването им.</w:t>
      </w:r>
    </w:p>
    <w:p w14:paraId="48EE8377" w14:textId="77777777" w:rsidR="009616A4" w:rsidRDefault="009616A4" w:rsidP="009616A4">
      <w:pPr>
        <w:spacing w:line="240" w:lineRule="auto"/>
        <w:rPr>
          <w:rFonts w:eastAsia="Times New Roman" w:cs="Arial"/>
          <w:color w:val="000000"/>
          <w:lang w:eastAsia="bg-BG"/>
        </w:rPr>
      </w:pPr>
    </w:p>
    <w:p w14:paraId="2BB61879" w14:textId="2F6F2450" w:rsidR="009616A4" w:rsidRPr="009616A4" w:rsidRDefault="009616A4" w:rsidP="009616A4">
      <w:pPr>
        <w:spacing w:line="240" w:lineRule="auto"/>
        <w:rPr>
          <w:rFonts w:eastAsia="Times New Roman" w:cs="Arial"/>
          <w:color w:val="000000"/>
          <w:lang w:eastAsia="bg-BG"/>
        </w:rPr>
      </w:pPr>
      <w:r w:rsidRPr="009616A4">
        <w:rPr>
          <w:rFonts w:eastAsia="Times New Roman" w:cs="Arial"/>
          <w:color w:val="000000"/>
          <w:lang w:eastAsia="bg-BG"/>
        </w:rPr>
        <w:t>По изключение, варицела може да бъде причина за сериозни инфекции на кожата и меките тъкани. Досега ролята на НСПВС за влошаването на тези инфекции, не може да бъде изключена. Поради това е препоръчително да се избягва употребата на Бестарен при варицела.</w:t>
      </w:r>
    </w:p>
    <w:p w14:paraId="75BE37D4" w14:textId="77777777" w:rsidR="009616A4" w:rsidRDefault="009616A4" w:rsidP="009616A4">
      <w:pPr>
        <w:spacing w:line="240" w:lineRule="auto"/>
        <w:rPr>
          <w:rFonts w:eastAsia="Times New Roman" w:cs="Arial"/>
          <w:color w:val="000000"/>
          <w:lang w:eastAsia="bg-BG"/>
        </w:rPr>
      </w:pPr>
    </w:p>
    <w:p w14:paraId="03D59681" w14:textId="7867DACD"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Подобно на другите НСПВС, приложението на декскетопрофен трометамол може да наруши фертилитета на жената и не се препоръчва при жени, които се опитват да забременеят. При жени които имат проблеми със забременяването или които се изследват за безплодие, трябва да се има предвид преустановяване на лечението с декскетопрофен трометамол. Декокестопрофен не</w:t>
      </w:r>
      <w:r>
        <w:rPr>
          <w:rFonts w:eastAsia="Times New Roman" w:cs="Arial"/>
          <w:color w:val="000000"/>
          <w:lang w:eastAsia="bg-BG"/>
        </w:rPr>
        <w:t xml:space="preserve"> </w:t>
      </w:r>
      <w:r w:rsidRPr="009616A4">
        <w:t>трябва да се прилага по време на първи и втори триместър на бременността, освен ако не е абсолютно необходимо.</w:t>
      </w:r>
    </w:p>
    <w:p w14:paraId="33881860" w14:textId="77777777" w:rsidR="009616A4" w:rsidRPr="009616A4" w:rsidRDefault="009616A4" w:rsidP="009616A4">
      <w:pPr>
        <w:rPr>
          <w:rFonts w:cs="Arial"/>
        </w:rPr>
      </w:pPr>
    </w:p>
    <w:p w14:paraId="3A35B3F5" w14:textId="7C5DD116" w:rsidR="00A428B7" w:rsidRDefault="002C50EE" w:rsidP="00340E8D">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362B2916" w14:textId="30D400A4" w:rsidR="009616A4" w:rsidRDefault="009616A4" w:rsidP="009616A4"/>
    <w:p w14:paraId="6F56C462"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По принцип за НСПВС са характерни следните взаимодействия:</w:t>
      </w:r>
    </w:p>
    <w:p w14:paraId="6EB8DD82"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Комбинации, които не се препоръчват:</w:t>
      </w:r>
    </w:p>
    <w:p w14:paraId="28EC6DAC" w14:textId="77777777" w:rsidR="009616A4" w:rsidRPr="009616A4" w:rsidRDefault="009616A4" w:rsidP="009616A4">
      <w:pPr>
        <w:pStyle w:val="ListParagraph"/>
        <w:numPr>
          <w:ilvl w:val="0"/>
          <w:numId w:val="42"/>
        </w:numPr>
        <w:spacing w:line="240" w:lineRule="auto"/>
        <w:rPr>
          <w:rFonts w:eastAsia="Times New Roman" w:cs="Arial"/>
          <w:lang w:eastAsia="bg-BG"/>
        </w:rPr>
      </w:pPr>
      <w:r w:rsidRPr="009616A4">
        <w:rPr>
          <w:rFonts w:eastAsia="Times New Roman" w:cs="Arial"/>
          <w:color w:val="000000"/>
          <w:lang w:eastAsia="bg-BG"/>
        </w:rPr>
        <w:lastRenderedPageBreak/>
        <w:t xml:space="preserve">Други НСПВС, включително високи дози салицилати (&gt;3 </w:t>
      </w:r>
      <w:r w:rsidRPr="009616A4">
        <w:rPr>
          <w:rFonts w:eastAsia="Times New Roman" w:cs="Arial"/>
          <w:color w:val="000000"/>
          <w:lang w:val="en-US"/>
        </w:rPr>
        <w:t>g</w:t>
      </w:r>
      <w:r w:rsidRPr="009616A4">
        <w:rPr>
          <w:rFonts w:eastAsia="Times New Roman" w:cs="Arial"/>
          <w:color w:val="000000"/>
          <w:lang w:eastAsia="bg-BG"/>
        </w:rPr>
        <w:t>/ден): едновременното приложение на няколко НСПВС може да увеличи риска от стомашно-чревна язва или кръвоизлив посредством синергичен ефект;</w:t>
      </w:r>
    </w:p>
    <w:p w14:paraId="35FFC4F4" w14:textId="77777777" w:rsidR="009616A4" w:rsidRPr="009616A4" w:rsidRDefault="009616A4" w:rsidP="009616A4">
      <w:pPr>
        <w:pStyle w:val="ListParagraph"/>
        <w:numPr>
          <w:ilvl w:val="0"/>
          <w:numId w:val="42"/>
        </w:numPr>
        <w:spacing w:line="240" w:lineRule="auto"/>
        <w:rPr>
          <w:rFonts w:eastAsia="Times New Roman" w:cs="Arial"/>
          <w:lang w:eastAsia="bg-BG"/>
        </w:rPr>
      </w:pPr>
      <w:r w:rsidRPr="009616A4">
        <w:rPr>
          <w:rFonts w:eastAsia="Times New Roman" w:cs="Arial"/>
          <w:color w:val="000000"/>
          <w:lang w:eastAsia="bg-BG"/>
        </w:rPr>
        <w:t>Антикоагуланти: НСПВС могат да усилят ефектите на антикоагулантиге, напр. варфарин (вж. точка 4.4), поради висока степен на свързване с плазмените протеини на декскетопрофен и инхибиране на тромбоцитната функция и увреждане на стомашно- чревната лигавица). Ако комбинираното лечение не може да се избегне е необходимо близко клинично наблюдение и проследяване на клиничните параметри;</w:t>
      </w:r>
    </w:p>
    <w:p w14:paraId="748AA86C" w14:textId="77777777" w:rsidR="009616A4" w:rsidRPr="009616A4" w:rsidRDefault="009616A4" w:rsidP="009616A4">
      <w:pPr>
        <w:pStyle w:val="ListParagraph"/>
        <w:numPr>
          <w:ilvl w:val="0"/>
          <w:numId w:val="42"/>
        </w:numPr>
        <w:spacing w:line="240" w:lineRule="auto"/>
        <w:rPr>
          <w:rFonts w:eastAsia="Times New Roman" w:cs="Arial"/>
          <w:lang w:eastAsia="bg-BG"/>
        </w:rPr>
      </w:pPr>
      <w:r w:rsidRPr="009616A4">
        <w:rPr>
          <w:rFonts w:eastAsia="Times New Roman" w:cs="Arial"/>
          <w:color w:val="000000"/>
          <w:lang w:eastAsia="bg-BG"/>
        </w:rPr>
        <w:t>Хепарини: повишен риск от кървене (поради инхибиране на тромбоцитната функция и увреждане на стомашно-чревната лигавица). Ако комбинираното лечение не може да се избегне е необходимо стриктно клинично наблюдение и проследяване на лабораторните показатели;</w:t>
      </w:r>
    </w:p>
    <w:p w14:paraId="48027C97" w14:textId="77777777" w:rsidR="009616A4" w:rsidRPr="009616A4" w:rsidRDefault="009616A4" w:rsidP="009616A4">
      <w:pPr>
        <w:pStyle w:val="ListParagraph"/>
        <w:numPr>
          <w:ilvl w:val="0"/>
          <w:numId w:val="42"/>
        </w:numPr>
        <w:spacing w:line="240" w:lineRule="auto"/>
        <w:rPr>
          <w:rFonts w:eastAsia="Times New Roman" w:cs="Arial"/>
          <w:lang w:eastAsia="bg-BG"/>
        </w:rPr>
      </w:pPr>
      <w:r w:rsidRPr="009616A4">
        <w:rPr>
          <w:rFonts w:eastAsia="Times New Roman" w:cs="Arial"/>
          <w:color w:val="000000"/>
          <w:lang w:eastAsia="bg-BG"/>
        </w:rPr>
        <w:t>Кортикостероцди: налице е повишен риск от стомашно-чревна язва или кръвоизлив (вж. точка 4.4);</w:t>
      </w:r>
    </w:p>
    <w:p w14:paraId="2A9D9239" w14:textId="77777777" w:rsidR="009616A4" w:rsidRPr="009616A4" w:rsidRDefault="009616A4" w:rsidP="009616A4">
      <w:pPr>
        <w:pStyle w:val="ListParagraph"/>
        <w:numPr>
          <w:ilvl w:val="0"/>
          <w:numId w:val="42"/>
        </w:numPr>
        <w:spacing w:line="240" w:lineRule="auto"/>
        <w:rPr>
          <w:rFonts w:eastAsia="Times New Roman" w:cs="Arial"/>
          <w:lang w:eastAsia="bg-BG"/>
        </w:rPr>
      </w:pPr>
      <w:r w:rsidRPr="009616A4">
        <w:rPr>
          <w:rFonts w:eastAsia="Times New Roman" w:cs="Arial"/>
          <w:color w:val="000000"/>
          <w:lang w:eastAsia="bg-BG"/>
        </w:rPr>
        <w:t>Литий (описано е с няколко НСПВС): НСПВС повишават нивата на литий в кръвта, които могат да достигнат токсични стойности (понижена бъбречна екскреция на литий). Следователно този параметър трябва да се проследява при започване, адаптиране и преустановяване на лечението с декскетопрофен;</w:t>
      </w:r>
    </w:p>
    <w:p w14:paraId="5F738EBA" w14:textId="77777777" w:rsidR="009616A4" w:rsidRPr="009616A4" w:rsidRDefault="009616A4" w:rsidP="009616A4">
      <w:pPr>
        <w:pStyle w:val="ListParagraph"/>
        <w:numPr>
          <w:ilvl w:val="0"/>
          <w:numId w:val="42"/>
        </w:numPr>
        <w:spacing w:line="240" w:lineRule="auto"/>
        <w:rPr>
          <w:rFonts w:eastAsia="Times New Roman" w:cs="Arial"/>
          <w:lang w:eastAsia="bg-BG"/>
        </w:rPr>
      </w:pPr>
      <w:r w:rsidRPr="009616A4">
        <w:rPr>
          <w:rFonts w:eastAsia="Times New Roman" w:cs="Arial"/>
          <w:color w:val="000000"/>
          <w:lang w:eastAsia="bg-BG"/>
        </w:rPr>
        <w:t xml:space="preserve">Метотрексат, използван във високи дози от 15 </w:t>
      </w:r>
      <w:r w:rsidRPr="009616A4">
        <w:rPr>
          <w:rFonts w:eastAsia="Times New Roman" w:cs="Arial"/>
          <w:color w:val="000000"/>
          <w:lang w:val="en-US"/>
        </w:rPr>
        <w:t>mg</w:t>
      </w:r>
      <w:r w:rsidRPr="009616A4">
        <w:rPr>
          <w:rFonts w:eastAsia="Times New Roman" w:cs="Arial"/>
          <w:color w:val="000000"/>
          <w:lang w:eastAsia="bg-BG"/>
        </w:rPr>
        <w:t>/седмица или повече: засилена хематологична токсичност на метотрексат посредством понижение на бъбречния му клирънс от противовъзпалителни средства по принцип;</w:t>
      </w:r>
    </w:p>
    <w:p w14:paraId="04BDB4D4" w14:textId="3F4F476A" w:rsidR="009616A4" w:rsidRPr="009616A4" w:rsidRDefault="009616A4" w:rsidP="009616A4">
      <w:pPr>
        <w:pStyle w:val="ListParagraph"/>
        <w:numPr>
          <w:ilvl w:val="0"/>
          <w:numId w:val="42"/>
        </w:numPr>
        <w:spacing w:line="240" w:lineRule="auto"/>
        <w:rPr>
          <w:rFonts w:eastAsia="Times New Roman" w:cs="Arial"/>
          <w:lang w:eastAsia="bg-BG"/>
        </w:rPr>
      </w:pPr>
      <w:r w:rsidRPr="009616A4">
        <w:rPr>
          <w:rFonts w:eastAsia="Times New Roman" w:cs="Arial"/>
          <w:color w:val="000000"/>
          <w:lang w:eastAsia="bg-BG"/>
        </w:rPr>
        <w:t>Хидантоини и сулфонамиди: токсичните ефекти на тези вещества могат да се засилят.</w:t>
      </w:r>
    </w:p>
    <w:p w14:paraId="38F3D50C" w14:textId="77777777" w:rsidR="009616A4" w:rsidRDefault="009616A4" w:rsidP="009616A4">
      <w:pPr>
        <w:spacing w:line="240" w:lineRule="auto"/>
        <w:rPr>
          <w:rFonts w:eastAsia="Times New Roman" w:cs="Arial"/>
          <w:color w:val="000000"/>
          <w:lang w:eastAsia="bg-BG"/>
        </w:rPr>
      </w:pPr>
    </w:p>
    <w:p w14:paraId="7CCEDF09" w14:textId="6F37563A"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Комбинации, които изискват предпазни мерки:</w:t>
      </w:r>
    </w:p>
    <w:p w14:paraId="3B6D75D7" w14:textId="77777777" w:rsidR="009616A4" w:rsidRPr="009616A4" w:rsidRDefault="009616A4" w:rsidP="009616A4">
      <w:pPr>
        <w:pStyle w:val="ListParagraph"/>
        <w:numPr>
          <w:ilvl w:val="0"/>
          <w:numId w:val="43"/>
        </w:numPr>
        <w:spacing w:line="240" w:lineRule="auto"/>
        <w:rPr>
          <w:rFonts w:eastAsia="Times New Roman" w:cs="Arial"/>
          <w:lang w:eastAsia="bg-BG"/>
        </w:rPr>
      </w:pPr>
      <w:r w:rsidRPr="009616A4">
        <w:rPr>
          <w:rFonts w:eastAsia="Times New Roman" w:cs="Arial"/>
          <w:color w:val="000000"/>
          <w:lang w:eastAsia="bg-BG"/>
        </w:rPr>
        <w:t>Диуретици, АСЕ-инхибитори, антибактериални аминогликозиди и антагонисти на ангиотензин II рецептор: декскетопрофен може да понижи ефектите на диуретиците и на други антихипертензивните лекарства. При някои пациенти с нарушена бъбречна функция (напр. дехидратирани пациенти или пациенти в старческа възраст с нарушена бъбречна функция), едновременното приложение на вещества, които инхибират циклооксигеназата и АСЕ-инхибитори, ангиотензин II рецепторни антагонисти или аминогликозидни антибиотици може да доведе до допълнително нарушение на бъбречна функция, което обикновено е обратимо. В случай на комбинирано предписване на декскетопрофен и диуретик е важно да се осигури адекватно хидратиране на пациента и да се изследва бъбречната функция при започване на лечението (вж. т. 4.4 Специални предупреждения и предпазни мерки при употреба);</w:t>
      </w:r>
    </w:p>
    <w:p w14:paraId="5C0E21A7" w14:textId="77777777" w:rsidR="009616A4" w:rsidRPr="009616A4" w:rsidRDefault="009616A4" w:rsidP="009616A4">
      <w:pPr>
        <w:pStyle w:val="ListParagraph"/>
        <w:numPr>
          <w:ilvl w:val="0"/>
          <w:numId w:val="43"/>
        </w:numPr>
        <w:spacing w:line="240" w:lineRule="auto"/>
        <w:rPr>
          <w:rFonts w:eastAsia="Times New Roman" w:cs="Arial"/>
          <w:lang w:eastAsia="bg-BG"/>
        </w:rPr>
      </w:pPr>
      <w:r w:rsidRPr="009616A4">
        <w:rPr>
          <w:rFonts w:eastAsia="Times New Roman" w:cs="Arial"/>
          <w:color w:val="000000"/>
          <w:lang w:eastAsia="bg-BG"/>
        </w:rPr>
        <w:t xml:space="preserve">Метотрексат, използван в ниски дози, по-малко от 15 </w:t>
      </w:r>
      <w:r w:rsidRPr="009616A4">
        <w:rPr>
          <w:rFonts w:eastAsia="Times New Roman" w:cs="Arial"/>
          <w:color w:val="000000"/>
          <w:lang w:val="en-US"/>
        </w:rPr>
        <w:t>mg</w:t>
      </w:r>
      <w:r w:rsidRPr="009616A4">
        <w:rPr>
          <w:rFonts w:eastAsia="Times New Roman" w:cs="Arial"/>
          <w:color w:val="000000"/>
          <w:lang w:eastAsia="bg-BG"/>
        </w:rPr>
        <w:t>/седмица: хематологичната токсичност на метотрексат по принцип се засилва при понижение на бъбречния му клирънс от противовъзпалителните средства. Ежеседмично изследване на кръвната картина през първите седмици от комбинираното лечение. Внимателно наблюдение при наличие дори и на леко увреждане на бъбречната функция, както и при пациенти в старческа възраст;</w:t>
      </w:r>
    </w:p>
    <w:p w14:paraId="24112252" w14:textId="77777777" w:rsidR="009616A4" w:rsidRPr="009616A4" w:rsidRDefault="009616A4" w:rsidP="009616A4">
      <w:pPr>
        <w:pStyle w:val="ListParagraph"/>
        <w:numPr>
          <w:ilvl w:val="0"/>
          <w:numId w:val="43"/>
        </w:numPr>
        <w:spacing w:line="240" w:lineRule="auto"/>
        <w:rPr>
          <w:rFonts w:eastAsia="Times New Roman" w:cs="Arial"/>
          <w:lang w:eastAsia="bg-BG"/>
        </w:rPr>
      </w:pPr>
      <w:r w:rsidRPr="009616A4">
        <w:rPr>
          <w:rFonts w:eastAsia="Times New Roman" w:cs="Arial"/>
          <w:color w:val="000000"/>
          <w:lang w:eastAsia="bg-BG"/>
        </w:rPr>
        <w:t>Пентоксифилин: повишен риск от кървене. По-активно клинично наблюдение и по-често изследване на времето на кървене;</w:t>
      </w:r>
    </w:p>
    <w:p w14:paraId="64763F2F" w14:textId="77777777" w:rsidR="009616A4" w:rsidRPr="009616A4" w:rsidRDefault="009616A4" w:rsidP="009616A4">
      <w:pPr>
        <w:pStyle w:val="ListParagraph"/>
        <w:numPr>
          <w:ilvl w:val="0"/>
          <w:numId w:val="43"/>
        </w:numPr>
        <w:spacing w:line="240" w:lineRule="auto"/>
        <w:rPr>
          <w:rFonts w:eastAsia="Times New Roman" w:cs="Arial"/>
          <w:lang w:eastAsia="bg-BG"/>
        </w:rPr>
      </w:pPr>
      <w:r w:rsidRPr="009616A4">
        <w:rPr>
          <w:rFonts w:eastAsia="Times New Roman" w:cs="Arial"/>
          <w:color w:val="000000"/>
          <w:lang w:eastAsia="bg-BG"/>
        </w:rPr>
        <w:t>Зидовудин: риск от засилване на токсичността върху еритроцитната редица посредством действие върху ретикулоцитите с възникване на тежка анемия една седмица след започване на НСПВС. Проверка на пълната кръвна картина и броя на ретирулоцитите една до две седмици след започване на лечението с НСПВС;</w:t>
      </w:r>
    </w:p>
    <w:p w14:paraId="6D3D6117" w14:textId="14A04B52" w:rsidR="009616A4" w:rsidRPr="009616A4" w:rsidRDefault="009616A4" w:rsidP="009616A4">
      <w:pPr>
        <w:pStyle w:val="ListParagraph"/>
        <w:numPr>
          <w:ilvl w:val="0"/>
          <w:numId w:val="43"/>
        </w:numPr>
        <w:spacing w:line="240" w:lineRule="auto"/>
        <w:rPr>
          <w:rFonts w:eastAsia="Times New Roman" w:cs="Arial"/>
          <w:lang w:eastAsia="bg-BG"/>
        </w:rPr>
      </w:pPr>
      <w:r w:rsidRPr="009616A4">
        <w:rPr>
          <w:rFonts w:eastAsia="Times New Roman" w:cs="Arial"/>
          <w:color w:val="000000"/>
          <w:lang w:eastAsia="bg-BG"/>
        </w:rPr>
        <w:lastRenderedPageBreak/>
        <w:t>Сулфанилурейни лекарства: НСПВС могат да засилят хипогликемичния ефект на сулфанилурейните лекарства посредством изместването им от местата за свързване с плазмените протеини.</w:t>
      </w:r>
    </w:p>
    <w:p w14:paraId="189E3401" w14:textId="77777777" w:rsidR="009616A4" w:rsidRDefault="009616A4" w:rsidP="009616A4">
      <w:pPr>
        <w:spacing w:line="240" w:lineRule="auto"/>
        <w:rPr>
          <w:rFonts w:eastAsia="Times New Roman" w:cs="Arial"/>
          <w:color w:val="000000"/>
          <w:lang w:eastAsia="bg-BG"/>
        </w:rPr>
      </w:pPr>
    </w:p>
    <w:p w14:paraId="66C2933C" w14:textId="2762E955"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Комбинации, които трябва да се имат предвид:</w:t>
      </w:r>
    </w:p>
    <w:p w14:paraId="594CE21C" w14:textId="77777777" w:rsidR="009616A4" w:rsidRPr="009616A4" w:rsidRDefault="009616A4" w:rsidP="009616A4">
      <w:pPr>
        <w:pStyle w:val="ListParagraph"/>
        <w:numPr>
          <w:ilvl w:val="0"/>
          <w:numId w:val="44"/>
        </w:numPr>
        <w:spacing w:line="240" w:lineRule="auto"/>
        <w:rPr>
          <w:rFonts w:eastAsia="Times New Roman" w:cs="Arial"/>
          <w:lang w:eastAsia="bg-BG"/>
        </w:rPr>
      </w:pPr>
      <w:r w:rsidRPr="009616A4">
        <w:rPr>
          <w:rFonts w:eastAsia="Times New Roman" w:cs="Arial"/>
          <w:color w:val="000000"/>
          <w:lang w:eastAsia="bg-BG"/>
        </w:rPr>
        <w:t>Бета-блокери: лечението с НСПВС може да понижи антихипертензивното им действие чрез инхибиране синтезата на простагландините;</w:t>
      </w:r>
    </w:p>
    <w:p w14:paraId="6B5B8E78" w14:textId="77777777" w:rsidR="009616A4" w:rsidRPr="009616A4" w:rsidRDefault="009616A4" w:rsidP="009616A4">
      <w:pPr>
        <w:pStyle w:val="ListParagraph"/>
        <w:numPr>
          <w:ilvl w:val="0"/>
          <w:numId w:val="44"/>
        </w:numPr>
        <w:spacing w:line="240" w:lineRule="auto"/>
        <w:rPr>
          <w:rFonts w:eastAsia="Times New Roman" w:cs="Arial"/>
          <w:lang w:eastAsia="bg-BG"/>
        </w:rPr>
      </w:pPr>
      <w:r w:rsidRPr="009616A4">
        <w:rPr>
          <w:rFonts w:eastAsia="Times New Roman" w:cs="Arial"/>
          <w:color w:val="000000"/>
          <w:lang w:eastAsia="bg-BG"/>
        </w:rPr>
        <w:t>Циклоспорин и такролимус: нефротоксичността може да се засили от НСПВС, посредством медииран от простагландините ефект върху бъбреците. По време на комбинирано лечение трябва да се изследва бъбречната функция;</w:t>
      </w:r>
    </w:p>
    <w:p w14:paraId="1101A53B" w14:textId="77777777" w:rsidR="009616A4" w:rsidRPr="009616A4" w:rsidRDefault="009616A4" w:rsidP="009616A4">
      <w:pPr>
        <w:pStyle w:val="ListParagraph"/>
        <w:numPr>
          <w:ilvl w:val="0"/>
          <w:numId w:val="44"/>
        </w:numPr>
        <w:spacing w:line="240" w:lineRule="auto"/>
        <w:rPr>
          <w:rFonts w:eastAsia="Times New Roman" w:cs="Arial"/>
          <w:lang w:eastAsia="bg-BG"/>
        </w:rPr>
      </w:pPr>
      <w:r w:rsidRPr="009616A4">
        <w:rPr>
          <w:rFonts w:eastAsia="Times New Roman" w:cs="Arial"/>
          <w:color w:val="000000"/>
          <w:lang w:eastAsia="bg-BG"/>
        </w:rPr>
        <w:t>Тромболитици: повишен риск от кървене;</w:t>
      </w:r>
    </w:p>
    <w:p w14:paraId="010DA69A" w14:textId="77777777" w:rsidR="009616A4" w:rsidRPr="009616A4" w:rsidRDefault="009616A4" w:rsidP="009616A4">
      <w:pPr>
        <w:pStyle w:val="ListParagraph"/>
        <w:numPr>
          <w:ilvl w:val="0"/>
          <w:numId w:val="44"/>
        </w:numPr>
        <w:spacing w:line="240" w:lineRule="auto"/>
        <w:rPr>
          <w:rFonts w:eastAsia="Times New Roman" w:cs="Arial"/>
          <w:lang w:eastAsia="bg-BG"/>
        </w:rPr>
      </w:pPr>
      <w:r w:rsidRPr="009616A4">
        <w:rPr>
          <w:rFonts w:eastAsia="Times New Roman" w:cs="Arial"/>
          <w:color w:val="000000"/>
          <w:lang w:eastAsia="bg-BG"/>
        </w:rPr>
        <w:t xml:space="preserve">Антитромбоцитни лекарства и селективни инхибитори на обратното захващане на серотонина </w:t>
      </w:r>
      <w:r w:rsidRPr="009616A4">
        <w:rPr>
          <w:rFonts w:eastAsia="Times New Roman" w:cs="Arial"/>
          <w:color w:val="000000"/>
          <w:lang w:val="en-US"/>
        </w:rPr>
        <w:t xml:space="preserve">(SSRI): </w:t>
      </w:r>
      <w:r w:rsidRPr="009616A4">
        <w:rPr>
          <w:rFonts w:eastAsia="Times New Roman" w:cs="Arial"/>
          <w:color w:val="000000"/>
          <w:lang w:eastAsia="bg-BG"/>
        </w:rPr>
        <w:t>повишен риск от стомашно-чревно кървене (вж. точка 4.4).</w:t>
      </w:r>
    </w:p>
    <w:p w14:paraId="3A3EB859" w14:textId="77777777" w:rsidR="009616A4" w:rsidRPr="009616A4" w:rsidRDefault="009616A4" w:rsidP="009616A4">
      <w:pPr>
        <w:pStyle w:val="ListParagraph"/>
        <w:numPr>
          <w:ilvl w:val="0"/>
          <w:numId w:val="44"/>
        </w:numPr>
        <w:spacing w:line="240" w:lineRule="auto"/>
        <w:rPr>
          <w:rFonts w:eastAsia="Times New Roman" w:cs="Arial"/>
          <w:lang w:eastAsia="bg-BG"/>
        </w:rPr>
      </w:pPr>
      <w:r w:rsidRPr="009616A4">
        <w:rPr>
          <w:rFonts w:eastAsia="Times New Roman" w:cs="Arial"/>
          <w:color w:val="000000"/>
          <w:lang w:eastAsia="bg-BG"/>
        </w:rPr>
        <w:t>Пробенецид: плазмените концентрации на декскетопрофен може да се повишат; това взаимодействие може да се дължи на инхибиране на мястото на бъбречната тубулна секреция и на глюкуроновата конюгация и се изисква адаптиране на дозата на декскетопрофен;</w:t>
      </w:r>
    </w:p>
    <w:p w14:paraId="600F2DE0" w14:textId="77777777" w:rsidR="009616A4" w:rsidRPr="009616A4" w:rsidRDefault="009616A4" w:rsidP="009616A4">
      <w:pPr>
        <w:pStyle w:val="ListParagraph"/>
        <w:numPr>
          <w:ilvl w:val="0"/>
          <w:numId w:val="44"/>
        </w:numPr>
        <w:spacing w:line="240" w:lineRule="auto"/>
        <w:rPr>
          <w:rFonts w:eastAsia="Times New Roman" w:cs="Arial"/>
          <w:lang w:eastAsia="bg-BG"/>
        </w:rPr>
      </w:pPr>
      <w:r w:rsidRPr="009616A4">
        <w:rPr>
          <w:rFonts w:eastAsia="Times New Roman" w:cs="Arial"/>
          <w:color w:val="000000"/>
          <w:lang w:eastAsia="bg-BG"/>
        </w:rPr>
        <w:t>Сърдечни гликозиди: НСПВС могат да увеличат плазмената концентрация на гликозидите;</w:t>
      </w:r>
    </w:p>
    <w:p w14:paraId="3C49F00A" w14:textId="77777777" w:rsidR="009616A4" w:rsidRPr="009616A4" w:rsidRDefault="009616A4" w:rsidP="009616A4">
      <w:pPr>
        <w:pStyle w:val="ListParagraph"/>
        <w:numPr>
          <w:ilvl w:val="0"/>
          <w:numId w:val="44"/>
        </w:numPr>
        <w:spacing w:line="240" w:lineRule="auto"/>
        <w:rPr>
          <w:rFonts w:eastAsia="Times New Roman" w:cs="Arial"/>
          <w:lang w:eastAsia="bg-BG"/>
        </w:rPr>
      </w:pPr>
      <w:r w:rsidRPr="009616A4">
        <w:rPr>
          <w:rFonts w:eastAsia="Times New Roman" w:cs="Arial"/>
          <w:color w:val="000000"/>
          <w:lang w:eastAsia="bg-BG"/>
        </w:rPr>
        <w:t>Мифепристон: поради теоретичния риск за промяна в ефективността на мифепристон от инхибиторите на простагландиновата синтеза, НСПВС не трябва да се използват за повече от 8-12 дни след приложението на мифепристон;</w:t>
      </w:r>
    </w:p>
    <w:p w14:paraId="7E3732B3" w14:textId="0A9CCBFA" w:rsidR="009616A4" w:rsidRPr="009616A4" w:rsidRDefault="009616A4" w:rsidP="009616A4">
      <w:pPr>
        <w:pStyle w:val="ListParagraph"/>
        <w:numPr>
          <w:ilvl w:val="0"/>
          <w:numId w:val="44"/>
        </w:numPr>
        <w:spacing w:line="240" w:lineRule="auto"/>
        <w:rPr>
          <w:rFonts w:eastAsia="Times New Roman" w:cs="Arial"/>
          <w:lang w:eastAsia="bg-BG"/>
        </w:rPr>
      </w:pPr>
      <w:r w:rsidRPr="009616A4">
        <w:rPr>
          <w:rFonts w:eastAsia="Times New Roman" w:cs="Arial"/>
          <w:color w:val="000000"/>
          <w:lang w:eastAsia="bg-BG"/>
        </w:rPr>
        <w:t>Хинолонови антибиотици: опитите при животни показват, че високи дози хинолони в комбинация с НСПВС могат да увеличат риска от проява на конвулсии.</w:t>
      </w:r>
    </w:p>
    <w:p w14:paraId="028DCC1B" w14:textId="77777777" w:rsidR="009616A4" w:rsidRPr="009616A4" w:rsidRDefault="009616A4" w:rsidP="009616A4">
      <w:pPr>
        <w:spacing w:line="240" w:lineRule="auto"/>
        <w:rPr>
          <w:rFonts w:eastAsia="Times New Roman" w:cs="Arial"/>
          <w:lang w:eastAsia="bg-BG"/>
        </w:rPr>
      </w:pPr>
    </w:p>
    <w:p w14:paraId="6085D4F7" w14:textId="7B8A8EA3" w:rsidR="00A428B7" w:rsidRDefault="002C50EE" w:rsidP="00340E8D">
      <w:pPr>
        <w:pStyle w:val="Heading2"/>
      </w:pPr>
      <w:r>
        <w:t>4.6. Фертилитет, бременност и кърмене</w:t>
      </w:r>
    </w:p>
    <w:p w14:paraId="0D8F0FB5" w14:textId="445A5C69" w:rsidR="009616A4" w:rsidRDefault="009616A4" w:rsidP="009616A4"/>
    <w:p w14:paraId="78712A82"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Бестарен е противопоказан през трети триместър от бременността и по време на кърмене (вж. точка 4.3).</w:t>
      </w:r>
    </w:p>
    <w:p w14:paraId="2F2B807C" w14:textId="77777777" w:rsidR="009616A4" w:rsidRDefault="009616A4" w:rsidP="009616A4">
      <w:pPr>
        <w:spacing w:line="240" w:lineRule="auto"/>
        <w:rPr>
          <w:rFonts w:eastAsia="Times New Roman" w:cs="Arial"/>
          <w:color w:val="000000"/>
          <w:u w:val="single"/>
          <w:lang w:eastAsia="bg-BG"/>
        </w:rPr>
      </w:pPr>
    </w:p>
    <w:p w14:paraId="2878B3D7" w14:textId="5A815876" w:rsidR="009616A4" w:rsidRPr="009616A4" w:rsidRDefault="009616A4" w:rsidP="009616A4">
      <w:pPr>
        <w:pStyle w:val="Heading3"/>
        <w:rPr>
          <w:rFonts w:eastAsia="Times New Roman"/>
          <w:u w:val="single"/>
          <w:lang w:eastAsia="bg-BG"/>
        </w:rPr>
      </w:pPr>
      <w:r w:rsidRPr="009616A4">
        <w:rPr>
          <w:rFonts w:eastAsia="Times New Roman"/>
          <w:u w:val="single"/>
          <w:lang w:eastAsia="bg-BG"/>
        </w:rPr>
        <w:t>Бременност</w:t>
      </w:r>
    </w:p>
    <w:p w14:paraId="39980743"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Инхибирането на простагландиновата синтеза може да повлияе неблагоприятно бременността и/или ембрио/феталното развитие. Данни от епидемиологични проучвания повдигат съмнение за повишен риск от аборти и сърдечна малформация и гастросхизис след приложение на инхибитори на простагландиновата синтеза при ранна бременност. Абсолютният риск за сърдечно-съдови малформации се увеличава от по-малко от 1 % до около 1,5 %. Счита се, че рискът се увеличава с увеличение на дозата и продължителността на лечението. При животни е демонстрирано, че инхибиторите на простагландиновата синтеза водят до увеличени пре- и постимплантационни загуби и ембрио-фетален леталитет. В допълнение към това при приложение на инхибитори на простагландиновата синтеза при животни по време на органогенезата се наблюдават различни малформации, включително и сърдечно-съдови. Независимо от това, проучванията при животни с декскетопрофен трометамол не са показали репродуктивна токсичност (вж. точка 5.3). По време на първия и втория триместър от бременността, декскетопрофен трометамол не трябва да се прилага, освен ако няма категорична необходимост. Ако декскетопрофен трометамол се използва от жени, които се опитват да забременеят или по време на първи или втори триместър на бременността, дозата трябва да се поддържа ниска и продължителността на лечение трябва да е възможно най- кратка.</w:t>
      </w:r>
    </w:p>
    <w:p w14:paraId="185B6C1C"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lastRenderedPageBreak/>
        <w:t>По време на трети триместър на бременността, всички инхибитори на простагландиновата синтеза може да причинят:</w:t>
      </w:r>
    </w:p>
    <w:p w14:paraId="064F2EB0" w14:textId="11FA3FDB" w:rsidR="009616A4" w:rsidRPr="009616A4" w:rsidRDefault="009616A4" w:rsidP="009616A4">
      <w:pPr>
        <w:pStyle w:val="ListParagraph"/>
        <w:numPr>
          <w:ilvl w:val="0"/>
          <w:numId w:val="44"/>
        </w:numPr>
        <w:spacing w:line="240" w:lineRule="auto"/>
        <w:rPr>
          <w:rFonts w:eastAsia="Times New Roman" w:cs="Arial"/>
          <w:lang w:eastAsia="bg-BG"/>
        </w:rPr>
      </w:pPr>
      <w:r w:rsidRPr="009616A4">
        <w:rPr>
          <w:rFonts w:eastAsia="Times New Roman" w:cs="Arial"/>
          <w:color w:val="000000"/>
          <w:lang w:eastAsia="bg-BG"/>
        </w:rPr>
        <w:t>на плода:</w:t>
      </w:r>
    </w:p>
    <w:p w14:paraId="26BED87A"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Кардиопулмонарна токсичност (с преждевременно затваряне на дуктус артериозус и белодробна хипертония); нарушена бъбречна функция, която може да прогресира до бъбречна недостатъчност с олиго-хидрамнион;</w:t>
      </w:r>
    </w:p>
    <w:p w14:paraId="4846B380" w14:textId="77777777" w:rsidR="009616A4" w:rsidRPr="009616A4" w:rsidRDefault="009616A4" w:rsidP="009616A4">
      <w:pPr>
        <w:pStyle w:val="ListParagraph"/>
        <w:numPr>
          <w:ilvl w:val="0"/>
          <w:numId w:val="44"/>
        </w:numPr>
        <w:spacing w:line="240" w:lineRule="auto"/>
        <w:rPr>
          <w:rFonts w:eastAsia="Times New Roman" w:cs="Arial"/>
          <w:lang w:eastAsia="bg-BG"/>
        </w:rPr>
      </w:pPr>
      <w:r w:rsidRPr="009616A4">
        <w:rPr>
          <w:rFonts w:eastAsia="Times New Roman" w:cs="Arial"/>
          <w:color w:val="000000"/>
          <w:lang w:eastAsia="bg-BG"/>
        </w:rPr>
        <w:t>на майката и новороденото в края на бременността:</w:t>
      </w:r>
    </w:p>
    <w:p w14:paraId="17291AA9" w14:textId="77777777" w:rsidR="009616A4" w:rsidRPr="009616A4" w:rsidRDefault="009616A4" w:rsidP="009616A4">
      <w:pPr>
        <w:pStyle w:val="ListParagraph"/>
        <w:numPr>
          <w:ilvl w:val="0"/>
          <w:numId w:val="44"/>
        </w:numPr>
        <w:spacing w:line="240" w:lineRule="auto"/>
        <w:rPr>
          <w:rFonts w:eastAsia="Times New Roman" w:cs="Arial"/>
          <w:lang w:eastAsia="bg-BG"/>
        </w:rPr>
      </w:pPr>
      <w:r w:rsidRPr="009616A4">
        <w:rPr>
          <w:rFonts w:eastAsia="Times New Roman" w:cs="Arial"/>
          <w:color w:val="000000"/>
          <w:lang w:eastAsia="bg-BG"/>
        </w:rPr>
        <w:t>възможно удължаване на времето на кървене, антиагрегантен ефект, които може да се наблюдава дори при много ниски дози;</w:t>
      </w:r>
    </w:p>
    <w:p w14:paraId="25FA7D10" w14:textId="791E36CC" w:rsidR="009616A4" w:rsidRPr="009616A4" w:rsidRDefault="009616A4" w:rsidP="009616A4">
      <w:pPr>
        <w:pStyle w:val="ListParagraph"/>
        <w:numPr>
          <w:ilvl w:val="0"/>
          <w:numId w:val="44"/>
        </w:numPr>
        <w:spacing w:line="240" w:lineRule="auto"/>
        <w:rPr>
          <w:rFonts w:eastAsia="Times New Roman" w:cs="Arial"/>
          <w:lang w:eastAsia="bg-BG"/>
        </w:rPr>
      </w:pPr>
      <w:r w:rsidRPr="009616A4">
        <w:rPr>
          <w:rFonts w:eastAsia="Times New Roman" w:cs="Arial"/>
          <w:color w:val="000000"/>
          <w:lang w:eastAsia="bg-BG"/>
        </w:rPr>
        <w:t>подтискане на маточните контракции, което води до забавено или удължено раждане.</w:t>
      </w:r>
    </w:p>
    <w:p w14:paraId="0C0EC108" w14:textId="77777777" w:rsidR="009616A4" w:rsidRDefault="009616A4" w:rsidP="009616A4">
      <w:pPr>
        <w:spacing w:line="240" w:lineRule="auto"/>
        <w:rPr>
          <w:rFonts w:eastAsia="Times New Roman" w:cs="Arial"/>
          <w:color w:val="000000"/>
          <w:lang w:eastAsia="bg-BG"/>
        </w:rPr>
      </w:pPr>
    </w:p>
    <w:p w14:paraId="159C8E5B" w14:textId="2D0FF659"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Не е известно дали декскетопрофен се излъчва с кърмата.</w:t>
      </w:r>
    </w:p>
    <w:p w14:paraId="5E09593B" w14:textId="77777777" w:rsidR="009616A4" w:rsidRDefault="009616A4" w:rsidP="009616A4">
      <w:pPr>
        <w:spacing w:line="240" w:lineRule="auto"/>
        <w:rPr>
          <w:rFonts w:eastAsia="Times New Roman" w:cs="Arial"/>
          <w:color w:val="000000"/>
          <w:u w:val="single"/>
          <w:lang w:eastAsia="bg-BG"/>
        </w:rPr>
      </w:pPr>
    </w:p>
    <w:p w14:paraId="320DEDBC" w14:textId="062895D9" w:rsidR="009616A4" w:rsidRPr="009616A4" w:rsidRDefault="009616A4" w:rsidP="009616A4">
      <w:pPr>
        <w:pStyle w:val="Heading3"/>
        <w:rPr>
          <w:rFonts w:eastAsia="Times New Roman"/>
          <w:u w:val="single"/>
          <w:lang w:eastAsia="bg-BG"/>
        </w:rPr>
      </w:pPr>
      <w:r w:rsidRPr="009616A4">
        <w:rPr>
          <w:rFonts w:eastAsia="Times New Roman"/>
          <w:u w:val="single"/>
          <w:lang w:eastAsia="bg-BG"/>
        </w:rPr>
        <w:t>Фертилитет</w:t>
      </w:r>
    </w:p>
    <w:p w14:paraId="5B66135F"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Както при всички НСПВС, употребата на декскетопрофен може да увреди фертилитета на жена и не се препоръчва на жени, които опитват да забременеят. При нарушение на фертилитета или изследване се препоръчва спиране употребата на декскетопрофен трометамол.</w:t>
      </w:r>
    </w:p>
    <w:p w14:paraId="6126E837" w14:textId="77777777" w:rsidR="009616A4" w:rsidRPr="009616A4" w:rsidRDefault="009616A4" w:rsidP="009616A4">
      <w:pPr>
        <w:spacing w:line="240" w:lineRule="auto"/>
        <w:rPr>
          <w:rFonts w:eastAsia="Times New Roman" w:cs="Arial"/>
          <w:lang w:eastAsia="bg-BG"/>
        </w:rPr>
      </w:pPr>
    </w:p>
    <w:p w14:paraId="4CE899F3" w14:textId="4B065F1C" w:rsidR="00A428B7" w:rsidRDefault="002C50EE" w:rsidP="00340E8D">
      <w:pPr>
        <w:pStyle w:val="Heading2"/>
      </w:pPr>
      <w:r>
        <w:t>4.7. Ефекти върху способността за шофиране и работа с машини</w:t>
      </w:r>
    </w:p>
    <w:p w14:paraId="4E7BA111" w14:textId="77DEF897" w:rsidR="009616A4" w:rsidRDefault="009616A4" w:rsidP="009616A4"/>
    <w:p w14:paraId="22E4A6EC" w14:textId="77777777" w:rsidR="009616A4" w:rsidRPr="009616A4" w:rsidRDefault="009616A4" w:rsidP="009616A4">
      <w:pPr>
        <w:rPr>
          <w:sz w:val="24"/>
          <w:szCs w:val="24"/>
          <w:lang w:eastAsia="bg-BG"/>
        </w:rPr>
      </w:pPr>
      <w:r w:rsidRPr="009616A4">
        <w:rPr>
          <w:lang w:eastAsia="bg-BG"/>
        </w:rPr>
        <w:t>Бестарен може леко до умерено да повлияе способността за шофиране и работа с машини, тъй като може да доведе до замаяност и сънливост.</w:t>
      </w:r>
    </w:p>
    <w:p w14:paraId="3FF3BCE1" w14:textId="77777777" w:rsidR="009616A4" w:rsidRPr="009616A4" w:rsidRDefault="009616A4" w:rsidP="009616A4"/>
    <w:p w14:paraId="6D9C6606" w14:textId="2BC9A343" w:rsidR="00A428B7" w:rsidRDefault="002C50EE" w:rsidP="00340E8D">
      <w:pPr>
        <w:pStyle w:val="Heading2"/>
      </w:pPr>
      <w:r>
        <w:t>4.8. Нежелани лекарствени реакции</w:t>
      </w:r>
    </w:p>
    <w:p w14:paraId="71891389" w14:textId="32BF5E14" w:rsidR="009616A4" w:rsidRDefault="009616A4" w:rsidP="009616A4"/>
    <w:p w14:paraId="2E3C7578" w14:textId="77777777" w:rsidR="009616A4" w:rsidRPr="009616A4" w:rsidRDefault="009616A4" w:rsidP="009616A4">
      <w:pPr>
        <w:rPr>
          <w:sz w:val="24"/>
          <w:szCs w:val="24"/>
          <w:lang w:eastAsia="bg-BG"/>
        </w:rPr>
      </w:pPr>
      <w:r w:rsidRPr="009616A4">
        <w:rPr>
          <w:lang w:eastAsia="bg-BG"/>
        </w:rPr>
        <w:t>В таблицата са описани нежеланите събития, които са поне вероятно свързани с парентералното приложение на декскетопрофен трометамол, подредени по системо-органна класификация и по честота.</w:t>
      </w:r>
    </w:p>
    <w:p w14:paraId="7288E554" w14:textId="6411D52A" w:rsidR="009616A4" w:rsidRDefault="009616A4" w:rsidP="009616A4"/>
    <w:tbl>
      <w:tblPr>
        <w:tblStyle w:val="TableGrid"/>
        <w:tblW w:w="0" w:type="auto"/>
        <w:tblLook w:val="04A0" w:firstRow="1" w:lastRow="0" w:firstColumn="1" w:lastColumn="0" w:noHBand="0" w:noVBand="1"/>
      </w:tblPr>
      <w:tblGrid>
        <w:gridCol w:w="2435"/>
        <w:gridCol w:w="1424"/>
        <w:gridCol w:w="1578"/>
        <w:gridCol w:w="1887"/>
        <w:gridCol w:w="2026"/>
      </w:tblGrid>
      <w:tr w:rsidR="009616A4" w14:paraId="51BB4C82" w14:textId="77777777" w:rsidTr="009616A4">
        <w:tc>
          <w:tcPr>
            <w:tcW w:w="1897" w:type="dxa"/>
          </w:tcPr>
          <w:p w14:paraId="7725EE16" w14:textId="1DE308E9" w:rsidR="009616A4" w:rsidRPr="009616A4" w:rsidRDefault="009616A4" w:rsidP="009616A4">
            <w:pPr>
              <w:rPr>
                <w:rFonts w:cs="Arial"/>
              </w:rPr>
            </w:pPr>
            <w:r w:rsidRPr="009616A4">
              <w:rPr>
                <w:rFonts w:cs="Arial"/>
                <w:b/>
                <w:bCs/>
              </w:rPr>
              <w:t>Системо-органни класове</w:t>
            </w:r>
          </w:p>
        </w:tc>
        <w:tc>
          <w:tcPr>
            <w:tcW w:w="1864" w:type="dxa"/>
          </w:tcPr>
          <w:p w14:paraId="052BC199" w14:textId="29D98BE4" w:rsidR="009616A4" w:rsidRPr="009616A4" w:rsidRDefault="009616A4" w:rsidP="009616A4">
            <w:pPr>
              <w:rPr>
                <w:rFonts w:cs="Arial"/>
              </w:rPr>
            </w:pPr>
            <w:r w:rsidRPr="009616A4">
              <w:rPr>
                <w:rFonts w:cs="Arial"/>
                <w:b/>
                <w:bCs/>
              </w:rPr>
              <w:t>Чести (1-10%)</w:t>
            </w:r>
          </w:p>
        </w:tc>
        <w:tc>
          <w:tcPr>
            <w:tcW w:w="1890" w:type="dxa"/>
          </w:tcPr>
          <w:p w14:paraId="7AAECAF1" w14:textId="19D87AFA" w:rsidR="009616A4" w:rsidRPr="009616A4" w:rsidRDefault="009616A4" w:rsidP="009616A4">
            <w:pPr>
              <w:rPr>
                <w:rFonts w:cs="Arial"/>
              </w:rPr>
            </w:pPr>
            <w:r w:rsidRPr="009616A4">
              <w:rPr>
                <w:rFonts w:cs="Arial"/>
                <w:b/>
                <w:bCs/>
              </w:rPr>
              <w:t>Нечести (0,1-1%)</w:t>
            </w:r>
          </w:p>
        </w:tc>
        <w:tc>
          <w:tcPr>
            <w:tcW w:w="1886" w:type="dxa"/>
          </w:tcPr>
          <w:p w14:paraId="1EAC80E1" w14:textId="20F297CC" w:rsidR="009616A4" w:rsidRPr="009616A4" w:rsidRDefault="009616A4" w:rsidP="009616A4">
            <w:pPr>
              <w:rPr>
                <w:rFonts w:cs="Arial"/>
              </w:rPr>
            </w:pPr>
            <w:r w:rsidRPr="009616A4">
              <w:rPr>
                <w:rFonts w:cs="Arial"/>
                <w:b/>
                <w:bCs/>
              </w:rPr>
              <w:t>Редки (0,01-0,1%)</w:t>
            </w:r>
          </w:p>
        </w:tc>
        <w:tc>
          <w:tcPr>
            <w:tcW w:w="2039" w:type="dxa"/>
          </w:tcPr>
          <w:p w14:paraId="5AD8FEFE" w14:textId="15B631D2" w:rsidR="009616A4" w:rsidRPr="009616A4" w:rsidRDefault="009616A4" w:rsidP="009616A4">
            <w:pPr>
              <w:rPr>
                <w:rFonts w:cs="Arial"/>
              </w:rPr>
            </w:pPr>
            <w:r w:rsidRPr="009616A4">
              <w:rPr>
                <w:rFonts w:cs="Arial"/>
                <w:b/>
                <w:bCs/>
              </w:rPr>
              <w:t>Много редки/ изолирани съобщения (&lt;0,01 %)</w:t>
            </w:r>
          </w:p>
        </w:tc>
      </w:tr>
      <w:tr w:rsidR="009616A4" w14:paraId="7F422F81" w14:textId="77777777" w:rsidTr="009616A4">
        <w:tc>
          <w:tcPr>
            <w:tcW w:w="1897" w:type="dxa"/>
          </w:tcPr>
          <w:p w14:paraId="19730932" w14:textId="09A20E6C" w:rsidR="009616A4" w:rsidRPr="009616A4" w:rsidRDefault="009616A4" w:rsidP="009616A4">
            <w:pPr>
              <w:rPr>
                <w:rFonts w:cs="Arial"/>
              </w:rPr>
            </w:pPr>
            <w:r w:rsidRPr="009616A4">
              <w:rPr>
                <w:rFonts w:cs="Arial"/>
              </w:rPr>
              <w:t>Нарушения на кръвта и лимфната система</w:t>
            </w:r>
          </w:p>
        </w:tc>
        <w:tc>
          <w:tcPr>
            <w:tcW w:w="1864" w:type="dxa"/>
          </w:tcPr>
          <w:p w14:paraId="6D348134" w14:textId="29100380" w:rsidR="009616A4" w:rsidRPr="009616A4" w:rsidRDefault="009616A4" w:rsidP="009616A4">
            <w:pPr>
              <w:rPr>
                <w:rFonts w:cs="Arial"/>
              </w:rPr>
            </w:pPr>
            <w:r w:rsidRPr="009616A4">
              <w:rPr>
                <w:rFonts w:cs="Arial"/>
              </w:rPr>
              <w:t>-</w:t>
            </w:r>
          </w:p>
        </w:tc>
        <w:tc>
          <w:tcPr>
            <w:tcW w:w="1890" w:type="dxa"/>
          </w:tcPr>
          <w:p w14:paraId="124D9105" w14:textId="66631D2A" w:rsidR="009616A4" w:rsidRPr="009616A4" w:rsidRDefault="009616A4" w:rsidP="009616A4">
            <w:pPr>
              <w:rPr>
                <w:rFonts w:cs="Arial"/>
              </w:rPr>
            </w:pPr>
            <w:r w:rsidRPr="009616A4">
              <w:rPr>
                <w:rFonts w:cs="Arial"/>
              </w:rPr>
              <w:t>-</w:t>
            </w:r>
          </w:p>
        </w:tc>
        <w:tc>
          <w:tcPr>
            <w:tcW w:w="1886" w:type="dxa"/>
          </w:tcPr>
          <w:p w14:paraId="44C11A4C" w14:textId="0362C208" w:rsidR="009616A4" w:rsidRPr="009616A4" w:rsidRDefault="009616A4" w:rsidP="009616A4">
            <w:pPr>
              <w:rPr>
                <w:rFonts w:cs="Arial"/>
              </w:rPr>
            </w:pPr>
            <w:r w:rsidRPr="009616A4">
              <w:rPr>
                <w:rFonts w:cs="Arial"/>
              </w:rPr>
              <w:t>-</w:t>
            </w:r>
          </w:p>
        </w:tc>
        <w:tc>
          <w:tcPr>
            <w:tcW w:w="2039" w:type="dxa"/>
          </w:tcPr>
          <w:p w14:paraId="3F1AB944" w14:textId="7EBA645A" w:rsidR="009616A4" w:rsidRPr="009616A4" w:rsidRDefault="009616A4" w:rsidP="009616A4">
            <w:pPr>
              <w:rPr>
                <w:rFonts w:cs="Arial"/>
              </w:rPr>
            </w:pPr>
            <w:r w:rsidRPr="009616A4">
              <w:rPr>
                <w:rFonts w:cs="Arial"/>
              </w:rPr>
              <w:t>Неутропения, тромбоцитопения</w:t>
            </w:r>
          </w:p>
        </w:tc>
      </w:tr>
      <w:tr w:rsidR="009616A4" w14:paraId="50CA8BC4" w14:textId="77777777" w:rsidTr="009616A4">
        <w:tc>
          <w:tcPr>
            <w:tcW w:w="1897" w:type="dxa"/>
          </w:tcPr>
          <w:p w14:paraId="292564D8" w14:textId="4FA8BA6B" w:rsidR="009616A4" w:rsidRPr="009616A4" w:rsidRDefault="009616A4" w:rsidP="009616A4">
            <w:pPr>
              <w:rPr>
                <w:rFonts w:cs="Arial"/>
              </w:rPr>
            </w:pPr>
            <w:r w:rsidRPr="009616A4">
              <w:rPr>
                <w:rFonts w:cs="Arial"/>
              </w:rPr>
              <w:t>Нарушения на имунната система</w:t>
            </w:r>
          </w:p>
        </w:tc>
        <w:tc>
          <w:tcPr>
            <w:tcW w:w="1864" w:type="dxa"/>
          </w:tcPr>
          <w:p w14:paraId="1A9A8B69" w14:textId="1704801A" w:rsidR="009616A4" w:rsidRPr="009616A4" w:rsidRDefault="009616A4" w:rsidP="009616A4">
            <w:pPr>
              <w:rPr>
                <w:rFonts w:cs="Arial"/>
              </w:rPr>
            </w:pPr>
            <w:r w:rsidRPr="009616A4">
              <w:rPr>
                <w:rFonts w:cs="Arial"/>
              </w:rPr>
              <w:t>-</w:t>
            </w:r>
          </w:p>
        </w:tc>
        <w:tc>
          <w:tcPr>
            <w:tcW w:w="1890" w:type="dxa"/>
          </w:tcPr>
          <w:p w14:paraId="35E305ED" w14:textId="22B32822" w:rsidR="009616A4" w:rsidRPr="009616A4" w:rsidRDefault="009616A4" w:rsidP="009616A4">
            <w:pPr>
              <w:rPr>
                <w:rFonts w:cs="Arial"/>
              </w:rPr>
            </w:pPr>
            <w:r w:rsidRPr="009616A4">
              <w:rPr>
                <w:rFonts w:cs="Arial"/>
              </w:rPr>
              <w:t>-</w:t>
            </w:r>
          </w:p>
        </w:tc>
        <w:tc>
          <w:tcPr>
            <w:tcW w:w="1886" w:type="dxa"/>
          </w:tcPr>
          <w:p w14:paraId="61671336" w14:textId="4E176D27" w:rsidR="009616A4" w:rsidRPr="009616A4" w:rsidRDefault="009616A4" w:rsidP="009616A4">
            <w:pPr>
              <w:rPr>
                <w:rFonts w:cs="Arial"/>
              </w:rPr>
            </w:pPr>
            <w:r w:rsidRPr="009616A4">
              <w:rPr>
                <w:rFonts w:cs="Arial"/>
              </w:rPr>
              <w:t>Оток на ларинкса</w:t>
            </w:r>
          </w:p>
        </w:tc>
        <w:tc>
          <w:tcPr>
            <w:tcW w:w="2039" w:type="dxa"/>
          </w:tcPr>
          <w:p w14:paraId="4A58EEB6" w14:textId="73C351F9" w:rsidR="009616A4" w:rsidRPr="009616A4" w:rsidRDefault="009616A4" w:rsidP="009616A4">
            <w:pPr>
              <w:rPr>
                <w:rFonts w:cs="Arial"/>
              </w:rPr>
            </w:pPr>
            <w:r w:rsidRPr="009616A4">
              <w:rPr>
                <w:rFonts w:cs="Arial"/>
              </w:rPr>
              <w:t>Анафилакгична реакция, включително анафилактичен шок</w:t>
            </w:r>
          </w:p>
        </w:tc>
      </w:tr>
      <w:tr w:rsidR="009616A4" w14:paraId="6AB5A82A" w14:textId="77777777" w:rsidTr="009616A4">
        <w:tc>
          <w:tcPr>
            <w:tcW w:w="1897" w:type="dxa"/>
          </w:tcPr>
          <w:p w14:paraId="0560BB45" w14:textId="272CB15F" w:rsidR="009616A4" w:rsidRPr="009616A4" w:rsidRDefault="009616A4" w:rsidP="009616A4">
            <w:pPr>
              <w:rPr>
                <w:rFonts w:cs="Arial"/>
              </w:rPr>
            </w:pPr>
            <w:r w:rsidRPr="009616A4">
              <w:rPr>
                <w:rFonts w:cs="Arial"/>
              </w:rPr>
              <w:t>Нарушения на метаболизма и храненето</w:t>
            </w:r>
          </w:p>
        </w:tc>
        <w:tc>
          <w:tcPr>
            <w:tcW w:w="1864" w:type="dxa"/>
          </w:tcPr>
          <w:p w14:paraId="6AFCEA1B" w14:textId="789D6359" w:rsidR="009616A4" w:rsidRPr="009616A4" w:rsidRDefault="009616A4" w:rsidP="009616A4">
            <w:pPr>
              <w:rPr>
                <w:rFonts w:cs="Arial"/>
              </w:rPr>
            </w:pPr>
            <w:r w:rsidRPr="009616A4">
              <w:rPr>
                <w:rFonts w:cs="Arial"/>
              </w:rPr>
              <w:t>-</w:t>
            </w:r>
          </w:p>
        </w:tc>
        <w:tc>
          <w:tcPr>
            <w:tcW w:w="1890" w:type="dxa"/>
          </w:tcPr>
          <w:p w14:paraId="03ADF5D0" w14:textId="48F9455E" w:rsidR="009616A4" w:rsidRPr="009616A4" w:rsidRDefault="009616A4" w:rsidP="009616A4">
            <w:pPr>
              <w:rPr>
                <w:rFonts w:cs="Arial"/>
              </w:rPr>
            </w:pPr>
            <w:r w:rsidRPr="009616A4">
              <w:rPr>
                <w:rFonts w:cs="Arial"/>
              </w:rPr>
              <w:t>-</w:t>
            </w:r>
          </w:p>
        </w:tc>
        <w:tc>
          <w:tcPr>
            <w:tcW w:w="1886" w:type="dxa"/>
          </w:tcPr>
          <w:p w14:paraId="43BBE489" w14:textId="1DE700B1" w:rsidR="009616A4" w:rsidRPr="009616A4" w:rsidRDefault="009616A4" w:rsidP="009616A4">
            <w:pPr>
              <w:rPr>
                <w:rFonts w:cs="Arial"/>
              </w:rPr>
            </w:pPr>
            <w:r w:rsidRPr="009616A4">
              <w:rPr>
                <w:rFonts w:cs="Arial"/>
              </w:rPr>
              <w:t>Анорексия</w:t>
            </w:r>
          </w:p>
        </w:tc>
        <w:tc>
          <w:tcPr>
            <w:tcW w:w="2039" w:type="dxa"/>
          </w:tcPr>
          <w:p w14:paraId="1A3B298C" w14:textId="42123C19" w:rsidR="009616A4" w:rsidRPr="009616A4" w:rsidRDefault="009616A4" w:rsidP="009616A4">
            <w:pPr>
              <w:rPr>
                <w:rFonts w:cs="Arial"/>
              </w:rPr>
            </w:pPr>
            <w:r w:rsidRPr="009616A4">
              <w:rPr>
                <w:rFonts w:cs="Arial"/>
              </w:rPr>
              <w:t>-</w:t>
            </w:r>
          </w:p>
        </w:tc>
      </w:tr>
      <w:tr w:rsidR="009616A4" w14:paraId="5B7AF695" w14:textId="77777777" w:rsidTr="009616A4">
        <w:tc>
          <w:tcPr>
            <w:tcW w:w="1897" w:type="dxa"/>
          </w:tcPr>
          <w:p w14:paraId="560137F6" w14:textId="509874F4" w:rsidR="009616A4" w:rsidRPr="009616A4" w:rsidRDefault="009616A4" w:rsidP="009616A4">
            <w:pPr>
              <w:rPr>
                <w:rFonts w:cs="Arial"/>
              </w:rPr>
            </w:pPr>
            <w:r w:rsidRPr="009616A4">
              <w:rPr>
                <w:rFonts w:cs="Arial"/>
              </w:rPr>
              <w:t>Психични нарушения</w:t>
            </w:r>
          </w:p>
        </w:tc>
        <w:tc>
          <w:tcPr>
            <w:tcW w:w="1864" w:type="dxa"/>
          </w:tcPr>
          <w:p w14:paraId="07CCB701" w14:textId="03CBA7BC" w:rsidR="009616A4" w:rsidRPr="009616A4" w:rsidRDefault="009616A4" w:rsidP="009616A4">
            <w:pPr>
              <w:rPr>
                <w:rFonts w:cs="Arial"/>
              </w:rPr>
            </w:pPr>
            <w:r w:rsidRPr="009616A4">
              <w:rPr>
                <w:rFonts w:cs="Arial"/>
              </w:rPr>
              <w:t>-</w:t>
            </w:r>
          </w:p>
        </w:tc>
        <w:tc>
          <w:tcPr>
            <w:tcW w:w="1890" w:type="dxa"/>
          </w:tcPr>
          <w:p w14:paraId="539564A6" w14:textId="36EE8AC6" w:rsidR="009616A4" w:rsidRPr="009616A4" w:rsidRDefault="009616A4" w:rsidP="009616A4">
            <w:pPr>
              <w:rPr>
                <w:rFonts w:cs="Arial"/>
              </w:rPr>
            </w:pPr>
            <w:r w:rsidRPr="009616A4">
              <w:rPr>
                <w:rFonts w:cs="Arial"/>
              </w:rPr>
              <w:t>Безсъние, безпокойство</w:t>
            </w:r>
          </w:p>
        </w:tc>
        <w:tc>
          <w:tcPr>
            <w:tcW w:w="1886" w:type="dxa"/>
          </w:tcPr>
          <w:p w14:paraId="2543127E" w14:textId="784E9F99" w:rsidR="009616A4" w:rsidRPr="009616A4" w:rsidRDefault="009616A4" w:rsidP="009616A4">
            <w:pPr>
              <w:rPr>
                <w:rFonts w:cs="Arial"/>
              </w:rPr>
            </w:pPr>
            <w:r w:rsidRPr="009616A4">
              <w:rPr>
                <w:rFonts w:cs="Arial"/>
              </w:rPr>
              <w:t>-</w:t>
            </w:r>
          </w:p>
        </w:tc>
        <w:tc>
          <w:tcPr>
            <w:tcW w:w="2039" w:type="dxa"/>
          </w:tcPr>
          <w:p w14:paraId="19292B9D" w14:textId="7B4DB055" w:rsidR="009616A4" w:rsidRPr="009616A4" w:rsidRDefault="009616A4" w:rsidP="009616A4">
            <w:pPr>
              <w:rPr>
                <w:rFonts w:cs="Arial"/>
              </w:rPr>
            </w:pPr>
            <w:r w:rsidRPr="009616A4">
              <w:rPr>
                <w:rFonts w:cs="Arial"/>
              </w:rPr>
              <w:t>-</w:t>
            </w:r>
          </w:p>
        </w:tc>
      </w:tr>
      <w:tr w:rsidR="009616A4" w14:paraId="5C0EF1F8" w14:textId="77777777" w:rsidTr="009616A4">
        <w:tc>
          <w:tcPr>
            <w:tcW w:w="1897" w:type="dxa"/>
          </w:tcPr>
          <w:p w14:paraId="17529616" w14:textId="6E72A18A" w:rsidR="009616A4" w:rsidRPr="009616A4" w:rsidRDefault="009616A4" w:rsidP="009616A4">
            <w:pPr>
              <w:rPr>
                <w:rFonts w:cs="Arial"/>
              </w:rPr>
            </w:pPr>
            <w:r w:rsidRPr="009616A4">
              <w:rPr>
                <w:rFonts w:cs="Arial"/>
              </w:rPr>
              <w:t xml:space="preserve">Нарушения на </w:t>
            </w:r>
            <w:r w:rsidRPr="009616A4">
              <w:rPr>
                <w:rFonts w:cs="Arial"/>
              </w:rPr>
              <w:lastRenderedPageBreak/>
              <w:t>нервната система</w:t>
            </w:r>
          </w:p>
        </w:tc>
        <w:tc>
          <w:tcPr>
            <w:tcW w:w="1864" w:type="dxa"/>
          </w:tcPr>
          <w:p w14:paraId="5654894E" w14:textId="3EAC244B" w:rsidR="009616A4" w:rsidRPr="009616A4" w:rsidRDefault="009616A4" w:rsidP="009616A4">
            <w:pPr>
              <w:rPr>
                <w:rFonts w:cs="Arial"/>
              </w:rPr>
            </w:pPr>
            <w:r w:rsidRPr="009616A4">
              <w:rPr>
                <w:rFonts w:cs="Arial"/>
              </w:rPr>
              <w:lastRenderedPageBreak/>
              <w:t>-</w:t>
            </w:r>
          </w:p>
        </w:tc>
        <w:tc>
          <w:tcPr>
            <w:tcW w:w="1890" w:type="dxa"/>
          </w:tcPr>
          <w:p w14:paraId="042461D6" w14:textId="6CF92025" w:rsidR="009616A4" w:rsidRPr="009616A4" w:rsidRDefault="009616A4" w:rsidP="009616A4">
            <w:pPr>
              <w:rPr>
                <w:rFonts w:cs="Arial"/>
              </w:rPr>
            </w:pPr>
            <w:r w:rsidRPr="009616A4">
              <w:rPr>
                <w:rFonts w:cs="Arial"/>
              </w:rPr>
              <w:t xml:space="preserve">Главоболие, </w:t>
            </w:r>
            <w:r w:rsidRPr="009616A4">
              <w:rPr>
                <w:rFonts w:cs="Arial"/>
              </w:rPr>
              <w:lastRenderedPageBreak/>
              <w:t>замаяност, сънливост</w:t>
            </w:r>
          </w:p>
        </w:tc>
        <w:tc>
          <w:tcPr>
            <w:tcW w:w="1886" w:type="dxa"/>
          </w:tcPr>
          <w:p w14:paraId="02CA02D2" w14:textId="2C530F8C" w:rsidR="009616A4" w:rsidRPr="009616A4" w:rsidRDefault="009616A4" w:rsidP="009616A4">
            <w:pPr>
              <w:rPr>
                <w:rFonts w:cs="Arial"/>
              </w:rPr>
            </w:pPr>
            <w:r w:rsidRPr="009616A4">
              <w:rPr>
                <w:rFonts w:cs="Arial"/>
              </w:rPr>
              <w:lastRenderedPageBreak/>
              <w:t xml:space="preserve">Парестезии, </w:t>
            </w:r>
            <w:r w:rsidRPr="009616A4">
              <w:rPr>
                <w:rFonts w:cs="Arial"/>
              </w:rPr>
              <w:lastRenderedPageBreak/>
              <w:t>синкоп</w:t>
            </w:r>
          </w:p>
        </w:tc>
        <w:tc>
          <w:tcPr>
            <w:tcW w:w="2039" w:type="dxa"/>
          </w:tcPr>
          <w:p w14:paraId="1ADAEEFC" w14:textId="09883B1D" w:rsidR="009616A4" w:rsidRPr="009616A4" w:rsidRDefault="009616A4" w:rsidP="009616A4">
            <w:pPr>
              <w:rPr>
                <w:rFonts w:cs="Arial"/>
              </w:rPr>
            </w:pPr>
            <w:r w:rsidRPr="009616A4">
              <w:rPr>
                <w:rFonts w:cs="Arial"/>
              </w:rPr>
              <w:lastRenderedPageBreak/>
              <w:t>-</w:t>
            </w:r>
          </w:p>
        </w:tc>
      </w:tr>
      <w:tr w:rsidR="009616A4" w14:paraId="43F6D44E" w14:textId="77777777" w:rsidTr="009616A4">
        <w:tc>
          <w:tcPr>
            <w:tcW w:w="1897" w:type="dxa"/>
          </w:tcPr>
          <w:p w14:paraId="44659F52" w14:textId="4A50856D" w:rsidR="009616A4" w:rsidRPr="009616A4" w:rsidRDefault="009616A4" w:rsidP="009616A4">
            <w:pPr>
              <w:rPr>
                <w:rFonts w:cs="Arial"/>
              </w:rPr>
            </w:pPr>
            <w:r w:rsidRPr="009616A4">
              <w:rPr>
                <w:rFonts w:cs="Arial"/>
              </w:rPr>
              <w:t>Нарушения на очите</w:t>
            </w:r>
          </w:p>
        </w:tc>
        <w:tc>
          <w:tcPr>
            <w:tcW w:w="1864" w:type="dxa"/>
          </w:tcPr>
          <w:p w14:paraId="099DD9AB" w14:textId="0E1B81CA" w:rsidR="009616A4" w:rsidRPr="009616A4" w:rsidRDefault="009616A4" w:rsidP="009616A4">
            <w:pPr>
              <w:rPr>
                <w:rFonts w:cs="Arial"/>
              </w:rPr>
            </w:pPr>
            <w:r w:rsidRPr="009616A4">
              <w:rPr>
                <w:rFonts w:cs="Arial"/>
              </w:rPr>
              <w:t>-</w:t>
            </w:r>
          </w:p>
        </w:tc>
        <w:tc>
          <w:tcPr>
            <w:tcW w:w="1890" w:type="dxa"/>
          </w:tcPr>
          <w:p w14:paraId="07B4368A" w14:textId="504ED808" w:rsidR="009616A4" w:rsidRPr="009616A4" w:rsidRDefault="009616A4" w:rsidP="009616A4">
            <w:pPr>
              <w:rPr>
                <w:rFonts w:cs="Arial"/>
              </w:rPr>
            </w:pPr>
            <w:r w:rsidRPr="009616A4">
              <w:rPr>
                <w:rFonts w:cs="Arial"/>
              </w:rPr>
              <w:t>***</w:t>
            </w:r>
          </w:p>
        </w:tc>
        <w:tc>
          <w:tcPr>
            <w:tcW w:w="1886" w:type="dxa"/>
          </w:tcPr>
          <w:p w14:paraId="279CEF33" w14:textId="7BC286D7" w:rsidR="009616A4" w:rsidRPr="009616A4" w:rsidRDefault="009616A4" w:rsidP="009616A4">
            <w:pPr>
              <w:rPr>
                <w:rFonts w:cs="Arial"/>
              </w:rPr>
            </w:pPr>
            <w:r w:rsidRPr="009616A4">
              <w:rPr>
                <w:rFonts w:cs="Arial"/>
              </w:rPr>
              <w:t>-</w:t>
            </w:r>
          </w:p>
        </w:tc>
        <w:tc>
          <w:tcPr>
            <w:tcW w:w="2039" w:type="dxa"/>
          </w:tcPr>
          <w:p w14:paraId="4A9151AA" w14:textId="70BBE16F" w:rsidR="009616A4" w:rsidRPr="009616A4" w:rsidRDefault="009616A4" w:rsidP="009616A4">
            <w:pPr>
              <w:rPr>
                <w:rFonts w:cs="Arial"/>
              </w:rPr>
            </w:pPr>
            <w:r w:rsidRPr="009616A4">
              <w:rPr>
                <w:rFonts w:cs="Arial"/>
              </w:rPr>
              <w:t>Замъглено виждане</w:t>
            </w:r>
          </w:p>
        </w:tc>
      </w:tr>
      <w:tr w:rsidR="009616A4" w14:paraId="39368FE3" w14:textId="77777777" w:rsidTr="009616A4">
        <w:tc>
          <w:tcPr>
            <w:tcW w:w="1897" w:type="dxa"/>
          </w:tcPr>
          <w:p w14:paraId="6F3B7D3D" w14:textId="72C45EED" w:rsidR="009616A4" w:rsidRPr="009616A4" w:rsidRDefault="009616A4" w:rsidP="009616A4">
            <w:pPr>
              <w:rPr>
                <w:rFonts w:cs="Arial"/>
              </w:rPr>
            </w:pPr>
            <w:r w:rsidRPr="009616A4">
              <w:rPr>
                <w:rFonts w:cs="Arial"/>
              </w:rPr>
              <w:t>Нарушения на ухото и лабиринта</w:t>
            </w:r>
          </w:p>
        </w:tc>
        <w:tc>
          <w:tcPr>
            <w:tcW w:w="1864" w:type="dxa"/>
          </w:tcPr>
          <w:p w14:paraId="5840833F" w14:textId="727A90D2" w:rsidR="009616A4" w:rsidRPr="009616A4" w:rsidRDefault="009616A4" w:rsidP="009616A4">
            <w:pPr>
              <w:rPr>
                <w:rFonts w:cs="Arial"/>
              </w:rPr>
            </w:pPr>
            <w:r w:rsidRPr="009616A4">
              <w:rPr>
                <w:rFonts w:cs="Arial"/>
              </w:rPr>
              <w:t>-</w:t>
            </w:r>
          </w:p>
        </w:tc>
        <w:tc>
          <w:tcPr>
            <w:tcW w:w="1890" w:type="dxa"/>
          </w:tcPr>
          <w:p w14:paraId="3DF7EBEB" w14:textId="6312C9B0" w:rsidR="009616A4" w:rsidRPr="009616A4" w:rsidRDefault="009616A4" w:rsidP="009616A4">
            <w:pPr>
              <w:rPr>
                <w:rFonts w:cs="Arial"/>
              </w:rPr>
            </w:pPr>
            <w:r w:rsidRPr="009616A4">
              <w:rPr>
                <w:rFonts w:cs="Arial"/>
              </w:rPr>
              <w:t>Вертиго</w:t>
            </w:r>
          </w:p>
        </w:tc>
        <w:tc>
          <w:tcPr>
            <w:tcW w:w="1886" w:type="dxa"/>
          </w:tcPr>
          <w:p w14:paraId="6B225CA7" w14:textId="62D05973" w:rsidR="009616A4" w:rsidRPr="009616A4" w:rsidRDefault="009616A4" w:rsidP="009616A4">
            <w:pPr>
              <w:rPr>
                <w:rFonts w:cs="Arial"/>
              </w:rPr>
            </w:pPr>
            <w:r w:rsidRPr="009616A4">
              <w:rPr>
                <w:rFonts w:cs="Arial"/>
              </w:rPr>
              <w:t>-</w:t>
            </w:r>
          </w:p>
        </w:tc>
        <w:tc>
          <w:tcPr>
            <w:tcW w:w="2039" w:type="dxa"/>
          </w:tcPr>
          <w:p w14:paraId="20495B0C" w14:textId="6E047BEC" w:rsidR="009616A4" w:rsidRPr="009616A4" w:rsidRDefault="009616A4" w:rsidP="009616A4">
            <w:pPr>
              <w:rPr>
                <w:rFonts w:cs="Arial"/>
              </w:rPr>
            </w:pPr>
            <w:r w:rsidRPr="009616A4">
              <w:rPr>
                <w:rFonts w:cs="Arial"/>
              </w:rPr>
              <w:t>Тинитус</w:t>
            </w:r>
          </w:p>
        </w:tc>
      </w:tr>
      <w:tr w:rsidR="009616A4" w14:paraId="11D1AD96" w14:textId="77777777" w:rsidTr="009616A4">
        <w:tc>
          <w:tcPr>
            <w:tcW w:w="1897" w:type="dxa"/>
          </w:tcPr>
          <w:p w14:paraId="7D3AB79A" w14:textId="3D130332" w:rsidR="009616A4" w:rsidRPr="009616A4" w:rsidRDefault="009616A4" w:rsidP="009616A4">
            <w:pPr>
              <w:rPr>
                <w:rFonts w:cs="Arial"/>
              </w:rPr>
            </w:pPr>
            <w:r w:rsidRPr="009616A4">
              <w:rPr>
                <w:rFonts w:cs="Arial"/>
              </w:rPr>
              <w:t>Сърдечни нарушения</w:t>
            </w:r>
          </w:p>
        </w:tc>
        <w:tc>
          <w:tcPr>
            <w:tcW w:w="1864" w:type="dxa"/>
          </w:tcPr>
          <w:p w14:paraId="50A27B5E" w14:textId="1D6E75C0" w:rsidR="009616A4" w:rsidRPr="009616A4" w:rsidRDefault="009616A4" w:rsidP="009616A4">
            <w:pPr>
              <w:rPr>
                <w:rFonts w:cs="Arial"/>
              </w:rPr>
            </w:pPr>
            <w:r w:rsidRPr="009616A4">
              <w:rPr>
                <w:rFonts w:cs="Arial"/>
              </w:rPr>
              <w:t>-</w:t>
            </w:r>
          </w:p>
        </w:tc>
        <w:tc>
          <w:tcPr>
            <w:tcW w:w="1890" w:type="dxa"/>
          </w:tcPr>
          <w:p w14:paraId="046398B3" w14:textId="31A7FF66" w:rsidR="009616A4" w:rsidRPr="009616A4" w:rsidRDefault="009616A4" w:rsidP="009616A4">
            <w:pPr>
              <w:rPr>
                <w:rFonts w:cs="Arial"/>
              </w:rPr>
            </w:pPr>
            <w:r w:rsidRPr="009616A4">
              <w:rPr>
                <w:rFonts w:cs="Arial"/>
              </w:rPr>
              <w:t>Сърцебиене</w:t>
            </w:r>
          </w:p>
        </w:tc>
        <w:tc>
          <w:tcPr>
            <w:tcW w:w="1886" w:type="dxa"/>
          </w:tcPr>
          <w:p w14:paraId="7BE5AC71" w14:textId="14FDABD2" w:rsidR="009616A4" w:rsidRPr="009616A4" w:rsidRDefault="009616A4" w:rsidP="009616A4">
            <w:pPr>
              <w:rPr>
                <w:rFonts w:cs="Arial"/>
              </w:rPr>
            </w:pPr>
            <w:r w:rsidRPr="009616A4">
              <w:rPr>
                <w:rFonts w:cs="Arial"/>
              </w:rPr>
              <w:t>-</w:t>
            </w:r>
          </w:p>
        </w:tc>
        <w:tc>
          <w:tcPr>
            <w:tcW w:w="2039" w:type="dxa"/>
          </w:tcPr>
          <w:p w14:paraId="35156BB4" w14:textId="62B560DE" w:rsidR="009616A4" w:rsidRPr="009616A4" w:rsidRDefault="009616A4" w:rsidP="009616A4">
            <w:pPr>
              <w:rPr>
                <w:rFonts w:cs="Arial"/>
              </w:rPr>
            </w:pPr>
            <w:r w:rsidRPr="009616A4">
              <w:rPr>
                <w:rFonts w:cs="Arial"/>
              </w:rPr>
              <w:t>Тахикардия</w:t>
            </w:r>
          </w:p>
        </w:tc>
      </w:tr>
      <w:tr w:rsidR="009616A4" w14:paraId="17BDD66F" w14:textId="77777777" w:rsidTr="009616A4">
        <w:tc>
          <w:tcPr>
            <w:tcW w:w="1897" w:type="dxa"/>
          </w:tcPr>
          <w:p w14:paraId="33FD1B20" w14:textId="63520CB9" w:rsidR="009616A4" w:rsidRPr="009616A4" w:rsidRDefault="009616A4" w:rsidP="009616A4">
            <w:pPr>
              <w:rPr>
                <w:rFonts w:cs="Arial"/>
              </w:rPr>
            </w:pPr>
            <w:r w:rsidRPr="009616A4">
              <w:rPr>
                <w:rFonts w:cs="Arial"/>
              </w:rPr>
              <w:t>Съдови нарушения</w:t>
            </w:r>
          </w:p>
        </w:tc>
        <w:tc>
          <w:tcPr>
            <w:tcW w:w="1864" w:type="dxa"/>
          </w:tcPr>
          <w:p w14:paraId="100666FB" w14:textId="5DBEFA82" w:rsidR="009616A4" w:rsidRPr="009616A4" w:rsidRDefault="009616A4" w:rsidP="009616A4">
            <w:pPr>
              <w:rPr>
                <w:rFonts w:cs="Arial"/>
              </w:rPr>
            </w:pPr>
            <w:r w:rsidRPr="009616A4">
              <w:rPr>
                <w:rFonts w:cs="Arial"/>
              </w:rPr>
              <w:t>-</w:t>
            </w:r>
          </w:p>
        </w:tc>
        <w:tc>
          <w:tcPr>
            <w:tcW w:w="1890" w:type="dxa"/>
          </w:tcPr>
          <w:p w14:paraId="60A9622E" w14:textId="029D3D40" w:rsidR="009616A4" w:rsidRPr="009616A4" w:rsidRDefault="009616A4" w:rsidP="009616A4">
            <w:pPr>
              <w:rPr>
                <w:rFonts w:cs="Arial"/>
              </w:rPr>
            </w:pPr>
            <w:r w:rsidRPr="009616A4">
              <w:rPr>
                <w:rFonts w:cs="Arial"/>
              </w:rPr>
              <w:t>Зачервяване</w:t>
            </w:r>
          </w:p>
        </w:tc>
        <w:tc>
          <w:tcPr>
            <w:tcW w:w="1886" w:type="dxa"/>
          </w:tcPr>
          <w:p w14:paraId="5D2864FD" w14:textId="65436291" w:rsidR="009616A4" w:rsidRPr="009616A4" w:rsidRDefault="009616A4" w:rsidP="009616A4">
            <w:pPr>
              <w:rPr>
                <w:rFonts w:cs="Arial"/>
              </w:rPr>
            </w:pPr>
            <w:r w:rsidRPr="009616A4">
              <w:rPr>
                <w:rFonts w:cs="Arial"/>
              </w:rPr>
              <w:t>Хипертония</w:t>
            </w:r>
          </w:p>
        </w:tc>
        <w:tc>
          <w:tcPr>
            <w:tcW w:w="2039" w:type="dxa"/>
          </w:tcPr>
          <w:p w14:paraId="71B7156C" w14:textId="652935DC" w:rsidR="009616A4" w:rsidRPr="009616A4" w:rsidRDefault="009616A4" w:rsidP="009616A4">
            <w:pPr>
              <w:rPr>
                <w:rFonts w:cs="Arial"/>
              </w:rPr>
            </w:pPr>
            <w:r w:rsidRPr="009616A4">
              <w:rPr>
                <w:rFonts w:cs="Arial"/>
              </w:rPr>
              <w:t>Хипотония</w:t>
            </w:r>
          </w:p>
        </w:tc>
      </w:tr>
      <w:tr w:rsidR="009616A4" w14:paraId="7FC9B271" w14:textId="77777777" w:rsidTr="009616A4">
        <w:tc>
          <w:tcPr>
            <w:tcW w:w="1897" w:type="dxa"/>
          </w:tcPr>
          <w:p w14:paraId="68D82016" w14:textId="790419F3" w:rsidR="009616A4" w:rsidRPr="009616A4" w:rsidRDefault="009616A4" w:rsidP="009616A4">
            <w:pPr>
              <w:rPr>
                <w:rFonts w:cs="Arial"/>
              </w:rPr>
            </w:pPr>
            <w:r w:rsidRPr="009616A4">
              <w:rPr>
                <w:rFonts w:cs="Arial"/>
              </w:rPr>
              <w:t>Респираторни, гръдни и медиастинални нарушения</w:t>
            </w:r>
          </w:p>
        </w:tc>
        <w:tc>
          <w:tcPr>
            <w:tcW w:w="1864" w:type="dxa"/>
          </w:tcPr>
          <w:p w14:paraId="4653DBEF" w14:textId="2D648819" w:rsidR="009616A4" w:rsidRPr="009616A4" w:rsidRDefault="009616A4" w:rsidP="009616A4">
            <w:pPr>
              <w:rPr>
                <w:rFonts w:cs="Arial"/>
              </w:rPr>
            </w:pPr>
            <w:r w:rsidRPr="009616A4">
              <w:rPr>
                <w:rFonts w:cs="Arial"/>
              </w:rPr>
              <w:t>-</w:t>
            </w:r>
          </w:p>
        </w:tc>
        <w:tc>
          <w:tcPr>
            <w:tcW w:w="1890" w:type="dxa"/>
          </w:tcPr>
          <w:p w14:paraId="1A2947E7" w14:textId="04C5F4A3" w:rsidR="009616A4" w:rsidRPr="009616A4" w:rsidRDefault="009616A4" w:rsidP="009616A4">
            <w:pPr>
              <w:rPr>
                <w:rFonts w:cs="Arial"/>
              </w:rPr>
            </w:pPr>
            <w:r w:rsidRPr="009616A4">
              <w:rPr>
                <w:rFonts w:cs="Arial"/>
              </w:rPr>
              <w:t>-</w:t>
            </w:r>
          </w:p>
        </w:tc>
        <w:tc>
          <w:tcPr>
            <w:tcW w:w="1886" w:type="dxa"/>
          </w:tcPr>
          <w:p w14:paraId="3CB827DC" w14:textId="3946C49E" w:rsidR="009616A4" w:rsidRPr="009616A4" w:rsidRDefault="009616A4" w:rsidP="009616A4">
            <w:pPr>
              <w:rPr>
                <w:rFonts w:cs="Arial"/>
              </w:rPr>
            </w:pPr>
            <w:r w:rsidRPr="009616A4">
              <w:rPr>
                <w:rFonts w:cs="Arial"/>
              </w:rPr>
              <w:t>Брадипнея</w:t>
            </w:r>
          </w:p>
        </w:tc>
        <w:tc>
          <w:tcPr>
            <w:tcW w:w="2039" w:type="dxa"/>
          </w:tcPr>
          <w:p w14:paraId="7FDDEC93" w14:textId="6AF1AC1A" w:rsidR="009616A4" w:rsidRPr="009616A4" w:rsidRDefault="009616A4" w:rsidP="009616A4">
            <w:pPr>
              <w:rPr>
                <w:rFonts w:cs="Arial"/>
              </w:rPr>
            </w:pPr>
            <w:r w:rsidRPr="009616A4">
              <w:rPr>
                <w:rFonts w:cs="Arial"/>
              </w:rPr>
              <w:t>Бронхоспазъм, дисплея</w:t>
            </w:r>
          </w:p>
        </w:tc>
      </w:tr>
      <w:tr w:rsidR="009616A4" w14:paraId="286C4670" w14:textId="77777777" w:rsidTr="009616A4">
        <w:tc>
          <w:tcPr>
            <w:tcW w:w="1897" w:type="dxa"/>
          </w:tcPr>
          <w:p w14:paraId="77CFA0BE" w14:textId="04F7E5E2" w:rsidR="009616A4" w:rsidRDefault="009616A4" w:rsidP="009616A4">
            <w:r>
              <w:t>Стомашно-чревни нарушения</w:t>
            </w:r>
          </w:p>
        </w:tc>
        <w:tc>
          <w:tcPr>
            <w:tcW w:w="1864" w:type="dxa"/>
          </w:tcPr>
          <w:p w14:paraId="7356976D" w14:textId="488EBCFF" w:rsidR="009616A4" w:rsidRDefault="009616A4" w:rsidP="009616A4">
            <w:r>
              <w:t xml:space="preserve">Гадене и/или повръщане, коремна болка, </w:t>
            </w:r>
            <w:r w:rsidRPr="009616A4">
              <w:t>диария, диспепсия</w:t>
            </w:r>
          </w:p>
        </w:tc>
        <w:tc>
          <w:tcPr>
            <w:tcW w:w="1890" w:type="dxa"/>
          </w:tcPr>
          <w:p w14:paraId="5BFC1AEB" w14:textId="27E334FC" w:rsidR="009616A4" w:rsidRDefault="009616A4" w:rsidP="009616A4">
            <w:r>
              <w:t>Гастрит, констипация, флатуленция сухота в устата</w:t>
            </w:r>
          </w:p>
        </w:tc>
        <w:tc>
          <w:tcPr>
            <w:tcW w:w="1886" w:type="dxa"/>
          </w:tcPr>
          <w:p w14:paraId="48A1C85F" w14:textId="77777777" w:rsidR="009616A4" w:rsidRPr="009616A4" w:rsidRDefault="009616A4" w:rsidP="009616A4">
            <w:pPr>
              <w:rPr>
                <w:sz w:val="24"/>
                <w:szCs w:val="24"/>
                <w:lang w:eastAsia="bg-BG"/>
              </w:rPr>
            </w:pPr>
            <w:r>
              <w:t xml:space="preserve">Пептична язва, кръвоизлив от пептична язва или перфорация на пептична </w:t>
            </w:r>
            <w:r w:rsidRPr="009616A4">
              <w:rPr>
                <w:lang w:eastAsia="bg-BG"/>
              </w:rPr>
              <w:t>язва (вж. точка</w:t>
            </w:r>
          </w:p>
          <w:p w14:paraId="71A19FFB" w14:textId="0190C519" w:rsidR="009616A4" w:rsidRDefault="009616A4" w:rsidP="009616A4">
            <w:r w:rsidRPr="009616A4">
              <w:rPr>
                <w:lang w:eastAsia="bg-BG"/>
              </w:rPr>
              <w:t>4.4.)</w:t>
            </w:r>
          </w:p>
        </w:tc>
        <w:tc>
          <w:tcPr>
            <w:tcW w:w="2039" w:type="dxa"/>
          </w:tcPr>
          <w:p w14:paraId="60834EA0" w14:textId="6DF5D78F" w:rsidR="009616A4" w:rsidRDefault="009616A4" w:rsidP="009616A4">
            <w:r>
              <w:t>Панкреатит</w:t>
            </w:r>
          </w:p>
        </w:tc>
      </w:tr>
      <w:tr w:rsidR="009616A4" w14:paraId="549C0C0F" w14:textId="77777777" w:rsidTr="009616A4">
        <w:tc>
          <w:tcPr>
            <w:tcW w:w="1897" w:type="dxa"/>
          </w:tcPr>
          <w:p w14:paraId="5CD70942" w14:textId="2BAD6AD1" w:rsidR="009616A4" w:rsidRPr="009616A4" w:rsidRDefault="009616A4" w:rsidP="009616A4">
            <w:r w:rsidRPr="009616A4">
              <w:t>Хепато-билиарни нарушения</w:t>
            </w:r>
          </w:p>
        </w:tc>
        <w:tc>
          <w:tcPr>
            <w:tcW w:w="1864" w:type="dxa"/>
          </w:tcPr>
          <w:p w14:paraId="408B0942" w14:textId="4B1A0EEE" w:rsidR="009616A4" w:rsidRPr="009616A4" w:rsidRDefault="009616A4" w:rsidP="009616A4">
            <w:r>
              <w:t>-</w:t>
            </w:r>
          </w:p>
        </w:tc>
        <w:tc>
          <w:tcPr>
            <w:tcW w:w="1890" w:type="dxa"/>
          </w:tcPr>
          <w:p w14:paraId="30EF127A" w14:textId="77777777" w:rsidR="009616A4" w:rsidRPr="009616A4" w:rsidRDefault="009616A4" w:rsidP="009616A4"/>
        </w:tc>
        <w:tc>
          <w:tcPr>
            <w:tcW w:w="1886" w:type="dxa"/>
          </w:tcPr>
          <w:p w14:paraId="5EA4A291" w14:textId="6D813239" w:rsidR="009616A4" w:rsidRPr="009616A4" w:rsidRDefault="009616A4" w:rsidP="009616A4">
            <w:r w:rsidRPr="009616A4">
              <w:t>Хепатит</w:t>
            </w:r>
          </w:p>
        </w:tc>
        <w:tc>
          <w:tcPr>
            <w:tcW w:w="2039" w:type="dxa"/>
          </w:tcPr>
          <w:p w14:paraId="6CFD831E" w14:textId="1070A1E1" w:rsidR="009616A4" w:rsidRPr="009616A4" w:rsidRDefault="009616A4" w:rsidP="009616A4">
            <w:r w:rsidRPr="009616A4">
              <w:t>Хепатоцелуларно увреждане</w:t>
            </w:r>
          </w:p>
        </w:tc>
      </w:tr>
      <w:tr w:rsidR="009616A4" w14:paraId="38274844" w14:textId="77777777" w:rsidTr="009616A4">
        <w:tc>
          <w:tcPr>
            <w:tcW w:w="1897" w:type="dxa"/>
          </w:tcPr>
          <w:p w14:paraId="01878687" w14:textId="4BFF013D" w:rsidR="009616A4" w:rsidRPr="009616A4" w:rsidRDefault="009616A4" w:rsidP="009616A4">
            <w:r w:rsidRPr="009616A4">
              <w:t>Нарушения на кожата и подкожната тъкан</w:t>
            </w:r>
          </w:p>
        </w:tc>
        <w:tc>
          <w:tcPr>
            <w:tcW w:w="1864" w:type="dxa"/>
          </w:tcPr>
          <w:p w14:paraId="47408BCF" w14:textId="77777777" w:rsidR="009616A4" w:rsidRPr="009616A4" w:rsidRDefault="009616A4" w:rsidP="009616A4"/>
        </w:tc>
        <w:tc>
          <w:tcPr>
            <w:tcW w:w="1890" w:type="dxa"/>
          </w:tcPr>
          <w:p w14:paraId="124068D5" w14:textId="10DF6C76" w:rsidR="009616A4" w:rsidRPr="009616A4" w:rsidRDefault="009616A4" w:rsidP="009616A4">
            <w:r w:rsidRPr="009616A4">
              <w:t>Обрив</w:t>
            </w:r>
          </w:p>
        </w:tc>
        <w:tc>
          <w:tcPr>
            <w:tcW w:w="1886" w:type="dxa"/>
          </w:tcPr>
          <w:p w14:paraId="4C027025" w14:textId="6650A289" w:rsidR="009616A4" w:rsidRPr="009616A4" w:rsidRDefault="009616A4" w:rsidP="009616A4">
            <w:r w:rsidRPr="009616A4">
              <w:t>Уртикария, акне, повишено изпотяване</w:t>
            </w:r>
          </w:p>
        </w:tc>
        <w:tc>
          <w:tcPr>
            <w:tcW w:w="2039" w:type="dxa"/>
          </w:tcPr>
          <w:p w14:paraId="14952132" w14:textId="3E786066" w:rsidR="009616A4" w:rsidRPr="009616A4" w:rsidRDefault="009616A4" w:rsidP="009616A4">
            <w:r w:rsidRPr="009616A4">
              <w:t xml:space="preserve">Синдром на </w:t>
            </w:r>
            <w:r w:rsidRPr="009616A4">
              <w:rPr>
                <w:lang w:val="en-US"/>
              </w:rPr>
              <w:t xml:space="preserve">Stevens Johnson, </w:t>
            </w:r>
            <w:r w:rsidRPr="009616A4">
              <w:t xml:space="preserve">токсична епидермална некролиза (синдром на </w:t>
            </w:r>
            <w:r w:rsidRPr="009616A4">
              <w:rPr>
                <w:lang w:val="en-US"/>
              </w:rPr>
              <w:t xml:space="preserve">Lyell), </w:t>
            </w:r>
            <w:r w:rsidRPr="009616A4">
              <w:t>ангиоедем, фациален оток, реакции на фото чувствителност, сърбеж</w:t>
            </w:r>
          </w:p>
        </w:tc>
      </w:tr>
      <w:tr w:rsidR="009616A4" w14:paraId="56788B16" w14:textId="77777777" w:rsidTr="009616A4">
        <w:tc>
          <w:tcPr>
            <w:tcW w:w="1897" w:type="dxa"/>
          </w:tcPr>
          <w:p w14:paraId="560C2F05" w14:textId="2B1701D9" w:rsidR="009616A4" w:rsidRPr="009616A4" w:rsidRDefault="009616A4" w:rsidP="009616A4">
            <w:r w:rsidRPr="009616A4">
              <w:t>Нарушения на мускулно- скелетната система и съединителната тъкан</w:t>
            </w:r>
          </w:p>
        </w:tc>
        <w:tc>
          <w:tcPr>
            <w:tcW w:w="1864" w:type="dxa"/>
          </w:tcPr>
          <w:p w14:paraId="2C74B63F" w14:textId="77777777" w:rsidR="009616A4" w:rsidRPr="009616A4" w:rsidRDefault="009616A4" w:rsidP="009616A4"/>
        </w:tc>
        <w:tc>
          <w:tcPr>
            <w:tcW w:w="1890" w:type="dxa"/>
          </w:tcPr>
          <w:p w14:paraId="14806A27" w14:textId="77777777" w:rsidR="009616A4" w:rsidRPr="009616A4" w:rsidRDefault="009616A4" w:rsidP="009616A4"/>
        </w:tc>
        <w:tc>
          <w:tcPr>
            <w:tcW w:w="1886" w:type="dxa"/>
          </w:tcPr>
          <w:p w14:paraId="1D7516CA" w14:textId="2CAE9EAD" w:rsidR="009616A4" w:rsidRPr="009616A4" w:rsidRDefault="009616A4" w:rsidP="009616A4">
            <w:r w:rsidRPr="009616A4">
              <w:t>Болки в гърба</w:t>
            </w:r>
          </w:p>
        </w:tc>
        <w:tc>
          <w:tcPr>
            <w:tcW w:w="2039" w:type="dxa"/>
          </w:tcPr>
          <w:p w14:paraId="2FF7F4D6" w14:textId="77777777" w:rsidR="009616A4" w:rsidRPr="009616A4" w:rsidRDefault="009616A4" w:rsidP="009616A4"/>
        </w:tc>
      </w:tr>
      <w:tr w:rsidR="009616A4" w14:paraId="0DCE1488" w14:textId="77777777" w:rsidTr="009616A4">
        <w:tc>
          <w:tcPr>
            <w:tcW w:w="1897" w:type="dxa"/>
          </w:tcPr>
          <w:p w14:paraId="697CA08F" w14:textId="420A1935" w:rsidR="009616A4" w:rsidRPr="009616A4" w:rsidRDefault="009616A4" w:rsidP="009616A4">
            <w:r w:rsidRPr="009616A4">
              <w:t>Нарушения на бъбреците и пикочните пътища</w:t>
            </w:r>
          </w:p>
        </w:tc>
        <w:tc>
          <w:tcPr>
            <w:tcW w:w="1864" w:type="dxa"/>
          </w:tcPr>
          <w:p w14:paraId="6D28786B" w14:textId="4E6F53B6" w:rsidR="009616A4" w:rsidRPr="009616A4" w:rsidRDefault="009616A4" w:rsidP="009616A4">
            <w:r>
              <w:t>-</w:t>
            </w:r>
          </w:p>
        </w:tc>
        <w:tc>
          <w:tcPr>
            <w:tcW w:w="1890" w:type="dxa"/>
          </w:tcPr>
          <w:p w14:paraId="44A0A558" w14:textId="77777777" w:rsidR="009616A4" w:rsidRPr="009616A4" w:rsidRDefault="009616A4" w:rsidP="009616A4"/>
        </w:tc>
        <w:tc>
          <w:tcPr>
            <w:tcW w:w="1886" w:type="dxa"/>
          </w:tcPr>
          <w:p w14:paraId="61F40033" w14:textId="7A9C077C" w:rsidR="009616A4" w:rsidRPr="009616A4" w:rsidRDefault="009616A4" w:rsidP="009616A4">
            <w:r w:rsidRPr="009616A4">
              <w:t>Остра бъбречна недостатъчност, полиурия</w:t>
            </w:r>
          </w:p>
        </w:tc>
        <w:tc>
          <w:tcPr>
            <w:tcW w:w="2039" w:type="dxa"/>
          </w:tcPr>
          <w:p w14:paraId="68B89F8F" w14:textId="4ED82651" w:rsidR="009616A4" w:rsidRPr="009616A4" w:rsidRDefault="009616A4" w:rsidP="009616A4">
            <w:r w:rsidRPr="009616A4">
              <w:t>Нефрит или нефротичен синдром</w:t>
            </w:r>
          </w:p>
        </w:tc>
      </w:tr>
      <w:tr w:rsidR="009616A4" w14:paraId="0131CA0E" w14:textId="77777777" w:rsidTr="009616A4">
        <w:tc>
          <w:tcPr>
            <w:tcW w:w="1897" w:type="dxa"/>
          </w:tcPr>
          <w:p w14:paraId="35F6683E" w14:textId="5542DE72" w:rsidR="009616A4" w:rsidRPr="009616A4" w:rsidRDefault="009616A4" w:rsidP="009616A4">
            <w:r w:rsidRPr="009616A4">
              <w:t>Нарушения на възпроизводителната система и гърдата</w:t>
            </w:r>
          </w:p>
        </w:tc>
        <w:tc>
          <w:tcPr>
            <w:tcW w:w="1864" w:type="dxa"/>
          </w:tcPr>
          <w:p w14:paraId="4909ED43" w14:textId="77777777" w:rsidR="009616A4" w:rsidRPr="009616A4" w:rsidRDefault="009616A4" w:rsidP="009616A4"/>
        </w:tc>
        <w:tc>
          <w:tcPr>
            <w:tcW w:w="1890" w:type="dxa"/>
          </w:tcPr>
          <w:p w14:paraId="1CDFFBE8" w14:textId="77777777" w:rsidR="009616A4" w:rsidRPr="009616A4" w:rsidRDefault="009616A4" w:rsidP="009616A4"/>
        </w:tc>
        <w:tc>
          <w:tcPr>
            <w:tcW w:w="1886" w:type="dxa"/>
          </w:tcPr>
          <w:p w14:paraId="57CFC195" w14:textId="015CA046" w:rsidR="009616A4" w:rsidRPr="009616A4" w:rsidRDefault="009616A4" w:rsidP="009616A4">
            <w:r w:rsidRPr="009616A4">
              <w:t>Менструални нарушения, засягане на простатата</w:t>
            </w:r>
          </w:p>
        </w:tc>
        <w:tc>
          <w:tcPr>
            <w:tcW w:w="2039" w:type="dxa"/>
          </w:tcPr>
          <w:p w14:paraId="584243D9" w14:textId="77777777" w:rsidR="009616A4" w:rsidRPr="009616A4" w:rsidRDefault="009616A4" w:rsidP="009616A4"/>
        </w:tc>
      </w:tr>
      <w:tr w:rsidR="009616A4" w14:paraId="64EBFF39" w14:textId="77777777" w:rsidTr="009616A4">
        <w:tc>
          <w:tcPr>
            <w:tcW w:w="1897" w:type="dxa"/>
          </w:tcPr>
          <w:p w14:paraId="6E2135FA" w14:textId="597D3D46" w:rsidR="009616A4" w:rsidRPr="009616A4" w:rsidRDefault="009616A4" w:rsidP="009616A4">
            <w:r w:rsidRPr="009616A4">
              <w:t xml:space="preserve">Общи нарушения и ефекти на мястото на </w:t>
            </w:r>
            <w:r w:rsidRPr="009616A4">
              <w:lastRenderedPageBreak/>
              <w:t>приложение</w:t>
            </w:r>
          </w:p>
        </w:tc>
        <w:tc>
          <w:tcPr>
            <w:tcW w:w="1864" w:type="dxa"/>
          </w:tcPr>
          <w:p w14:paraId="0B20AF30" w14:textId="77777777" w:rsidR="009616A4" w:rsidRPr="009616A4" w:rsidRDefault="009616A4" w:rsidP="009616A4"/>
        </w:tc>
        <w:tc>
          <w:tcPr>
            <w:tcW w:w="1890" w:type="dxa"/>
          </w:tcPr>
          <w:p w14:paraId="7FED6AB9" w14:textId="34A487D7" w:rsidR="009616A4" w:rsidRPr="009616A4" w:rsidRDefault="009616A4" w:rsidP="009616A4">
            <w:r w:rsidRPr="009616A4">
              <w:t xml:space="preserve">Умора, болка, </w:t>
            </w:r>
            <w:r w:rsidRPr="009616A4">
              <w:lastRenderedPageBreak/>
              <w:t>астения, ригор, обща слабост</w:t>
            </w:r>
          </w:p>
        </w:tc>
        <w:tc>
          <w:tcPr>
            <w:tcW w:w="1886" w:type="dxa"/>
          </w:tcPr>
          <w:p w14:paraId="52243471" w14:textId="26FC0724" w:rsidR="009616A4" w:rsidRPr="009616A4" w:rsidRDefault="009616A4" w:rsidP="009616A4">
            <w:r w:rsidRPr="009616A4">
              <w:lastRenderedPageBreak/>
              <w:t>Периферен оток</w:t>
            </w:r>
          </w:p>
        </w:tc>
        <w:tc>
          <w:tcPr>
            <w:tcW w:w="2039" w:type="dxa"/>
          </w:tcPr>
          <w:p w14:paraId="51FCA8FE" w14:textId="77777777" w:rsidR="009616A4" w:rsidRPr="009616A4" w:rsidRDefault="009616A4" w:rsidP="009616A4"/>
        </w:tc>
      </w:tr>
      <w:tr w:rsidR="009616A4" w14:paraId="43D5981C" w14:textId="77777777" w:rsidTr="009616A4">
        <w:tc>
          <w:tcPr>
            <w:tcW w:w="1897" w:type="dxa"/>
          </w:tcPr>
          <w:p w14:paraId="4CAB1D93" w14:textId="2DAAC739" w:rsidR="009616A4" w:rsidRPr="009616A4" w:rsidRDefault="009616A4" w:rsidP="009616A4">
            <w:r w:rsidRPr="009616A4">
              <w:t>Изследвания</w:t>
            </w:r>
          </w:p>
        </w:tc>
        <w:tc>
          <w:tcPr>
            <w:tcW w:w="1864" w:type="dxa"/>
          </w:tcPr>
          <w:p w14:paraId="5B9A7182" w14:textId="77777777" w:rsidR="009616A4" w:rsidRPr="009616A4" w:rsidRDefault="009616A4" w:rsidP="009616A4"/>
        </w:tc>
        <w:tc>
          <w:tcPr>
            <w:tcW w:w="1890" w:type="dxa"/>
          </w:tcPr>
          <w:p w14:paraId="4F0171A6" w14:textId="77777777" w:rsidR="009616A4" w:rsidRPr="009616A4" w:rsidRDefault="009616A4" w:rsidP="009616A4"/>
        </w:tc>
        <w:tc>
          <w:tcPr>
            <w:tcW w:w="1886" w:type="dxa"/>
          </w:tcPr>
          <w:p w14:paraId="0571DCF4" w14:textId="0BA992B4" w:rsidR="009616A4" w:rsidRPr="009616A4" w:rsidRDefault="009616A4" w:rsidP="009616A4">
            <w:r w:rsidRPr="009616A4">
              <w:t>Отклонение в чернодробните функционални проби</w:t>
            </w:r>
          </w:p>
        </w:tc>
        <w:tc>
          <w:tcPr>
            <w:tcW w:w="2039" w:type="dxa"/>
          </w:tcPr>
          <w:p w14:paraId="7C36227A" w14:textId="77777777" w:rsidR="009616A4" w:rsidRPr="009616A4" w:rsidRDefault="009616A4" w:rsidP="009616A4"/>
        </w:tc>
      </w:tr>
    </w:tbl>
    <w:p w14:paraId="1B2BA771" w14:textId="1FEB57BE" w:rsidR="009616A4" w:rsidRDefault="009616A4" w:rsidP="009616A4"/>
    <w:p w14:paraId="2D37C84E"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Най-често наблюдаваните нежелани реакции са стомашно-чревни. Може да се наблюдават пептична язва, перфорация или стомашно-чревен кръвоизлив, понякога фатални, особено в старческа възраст (вж. точка 4.4). След приложение са съобщавани гадене, повръщане, диария, флатуленция, констипация, диспепсия, коремна болка, мелена, хематемеза, улцеративен стоматит, усложняване на колит или болест на Крон (вж. точка 4.4). По-рядко е наблюдаван гастрит.</w:t>
      </w:r>
    </w:p>
    <w:p w14:paraId="500C11E1"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Има съобщения за отоци, хипертония и сърдечна недостатъчност, свързани с употребата на НСПВС.</w:t>
      </w:r>
    </w:p>
    <w:p w14:paraId="7A16D1C1"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Клинични проучвания и епидемиологични данни показват, че употребата на някои Н</w:t>
      </w:r>
      <w:r w:rsidRPr="009616A4">
        <w:rPr>
          <w:rFonts w:eastAsia="Times New Roman" w:cs="Arial"/>
          <w:color w:val="000000"/>
          <w:u w:val="single"/>
          <w:lang w:eastAsia="bg-BG"/>
        </w:rPr>
        <w:t xml:space="preserve">СПВС </w:t>
      </w:r>
      <w:r w:rsidRPr="009616A4">
        <w:rPr>
          <w:rFonts w:eastAsia="Times New Roman" w:cs="Arial"/>
          <w:color w:val="000000"/>
          <w:lang w:eastAsia="bg-BG"/>
        </w:rPr>
        <w:t>(особено във високи дози и при продължително приложение) може да се свърже с леко повишен риск от артериални тромботични събития (например миокарден инфаркт или инсулт) (вж. точка 4.4).</w:t>
      </w:r>
    </w:p>
    <w:p w14:paraId="1ADC6618" w14:textId="77777777" w:rsidR="009616A4" w:rsidRPr="009616A4" w:rsidRDefault="009616A4" w:rsidP="009616A4">
      <w:pPr>
        <w:spacing w:line="240" w:lineRule="auto"/>
        <w:rPr>
          <w:rFonts w:eastAsia="Times New Roman" w:cs="Arial"/>
          <w:lang w:eastAsia="bg-BG"/>
        </w:rPr>
      </w:pPr>
    </w:p>
    <w:p w14:paraId="6F31013A" w14:textId="77777777" w:rsidR="009616A4" w:rsidRPr="009616A4" w:rsidRDefault="009616A4" w:rsidP="009616A4">
      <w:pPr>
        <w:rPr>
          <w:rFonts w:eastAsia="Times New Roman" w:cs="Arial"/>
          <w:lang w:eastAsia="bg-BG"/>
        </w:rPr>
      </w:pPr>
      <w:r w:rsidRPr="009616A4">
        <w:rPr>
          <w:rFonts w:eastAsia="Times New Roman" w:cs="Arial"/>
          <w:color w:val="000000"/>
          <w:lang w:eastAsia="bg-BG"/>
        </w:rPr>
        <w:t>Подобно на други НСПВС, могат да се появят и следните нежелани лекарствени реакции асептичен менингит, който се проявява най-вече при пациенти със системен лупус еритематодес</w:t>
      </w:r>
      <w:r w:rsidRPr="009616A4">
        <w:rPr>
          <w:rFonts w:eastAsia="Times New Roman" w:cs="Arial"/>
          <w:color w:val="000000"/>
          <w:lang w:eastAsia="bg-BG"/>
        </w:rPr>
        <w:t xml:space="preserve"> </w:t>
      </w:r>
      <w:r w:rsidRPr="009616A4">
        <w:rPr>
          <w:rFonts w:eastAsia="Times New Roman" w:cs="Arial"/>
          <w:color w:val="000000"/>
          <w:lang w:eastAsia="bg-BG"/>
        </w:rPr>
        <w:t>или смесена съединително-тъканна болест; хематологични реакции (пурпура, апластична и хемолитична анемия, рядко агранулоцитоза или костно-мозъчна хипоплазия).</w:t>
      </w:r>
    </w:p>
    <w:p w14:paraId="46090236"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 xml:space="preserve">Булозни реакции, включително синдром на </w:t>
      </w:r>
      <w:r w:rsidRPr="009616A4">
        <w:rPr>
          <w:rFonts w:eastAsia="Times New Roman" w:cs="Arial"/>
          <w:color w:val="000000"/>
          <w:lang w:val="en-US"/>
        </w:rPr>
        <w:t xml:space="preserve">Stevens Johnson </w:t>
      </w:r>
      <w:r w:rsidRPr="009616A4">
        <w:rPr>
          <w:rFonts w:eastAsia="Times New Roman" w:cs="Arial"/>
          <w:color w:val="000000"/>
          <w:lang w:eastAsia="bg-BG"/>
        </w:rPr>
        <w:t>и токсична епидермална некролиза (много рядко).</w:t>
      </w:r>
    </w:p>
    <w:p w14:paraId="6A66C429" w14:textId="77777777" w:rsidR="009616A4" w:rsidRDefault="009616A4" w:rsidP="009616A4">
      <w:pPr>
        <w:spacing w:line="240" w:lineRule="auto"/>
        <w:rPr>
          <w:rFonts w:eastAsia="Times New Roman" w:cs="Arial"/>
          <w:color w:val="000000"/>
          <w:u w:val="single"/>
          <w:lang w:eastAsia="bg-BG"/>
        </w:rPr>
      </w:pPr>
    </w:p>
    <w:p w14:paraId="62A69A12" w14:textId="504461BF" w:rsidR="009616A4" w:rsidRPr="009616A4" w:rsidRDefault="009616A4" w:rsidP="009616A4">
      <w:pPr>
        <w:spacing w:line="240" w:lineRule="auto"/>
        <w:rPr>
          <w:rFonts w:eastAsia="Times New Roman" w:cs="Arial"/>
          <w:lang w:eastAsia="bg-BG"/>
        </w:rPr>
      </w:pPr>
      <w:r w:rsidRPr="009616A4">
        <w:rPr>
          <w:rFonts w:eastAsia="Times New Roman" w:cs="Arial"/>
          <w:color w:val="000000"/>
          <w:u w:val="single"/>
          <w:lang w:eastAsia="bg-BG"/>
        </w:rPr>
        <w:t>Съобщаване на подозирани нежелани реакции</w:t>
      </w:r>
    </w:p>
    <w:p w14:paraId="2C71972E"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6B716213" w14:textId="77777777" w:rsidR="009616A4" w:rsidRDefault="009616A4" w:rsidP="009616A4">
      <w:pPr>
        <w:spacing w:line="240" w:lineRule="auto"/>
        <w:rPr>
          <w:rFonts w:eastAsia="Times New Roman" w:cs="Arial"/>
          <w:color w:val="000000"/>
          <w:lang w:eastAsia="bg-BG"/>
        </w:rPr>
      </w:pPr>
    </w:p>
    <w:p w14:paraId="1CC1961B" w14:textId="038048B1"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Изпълнителна агенция по лекарствата</w:t>
      </w:r>
    </w:p>
    <w:p w14:paraId="49A84DD8"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ул. „Дамян Груев” № 8</w:t>
      </w:r>
    </w:p>
    <w:p w14:paraId="58BF2E9C"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1303 София</w:t>
      </w:r>
    </w:p>
    <w:p w14:paraId="396BFA07"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Тел.:+359 2 8903417</w:t>
      </w:r>
    </w:p>
    <w:p w14:paraId="7E63B2D5"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 xml:space="preserve">уебсайт: </w:t>
      </w:r>
      <w:hyperlink r:id="rId5" w:history="1">
        <w:r w:rsidRPr="009616A4">
          <w:rPr>
            <w:rFonts w:eastAsia="Times New Roman" w:cs="Arial"/>
            <w:color w:val="000000"/>
            <w:u w:val="single"/>
            <w:lang w:val="en-US"/>
          </w:rPr>
          <w:t>www.bda.bg</w:t>
        </w:r>
      </w:hyperlink>
    </w:p>
    <w:p w14:paraId="2291D9B5" w14:textId="77777777" w:rsidR="009616A4" w:rsidRPr="009616A4" w:rsidRDefault="009616A4" w:rsidP="009616A4"/>
    <w:p w14:paraId="378A0F20" w14:textId="77CC6072" w:rsidR="001D095A" w:rsidRDefault="002C50EE" w:rsidP="00340E8D">
      <w:pPr>
        <w:pStyle w:val="Heading2"/>
      </w:pPr>
      <w:r>
        <w:t>4.9. Предозиране</w:t>
      </w:r>
    </w:p>
    <w:p w14:paraId="769CE4D4" w14:textId="7C039D1C" w:rsidR="009616A4" w:rsidRDefault="009616A4" w:rsidP="009616A4"/>
    <w:p w14:paraId="6BC5B109" w14:textId="77777777" w:rsidR="009616A4" w:rsidRPr="009616A4" w:rsidRDefault="009616A4" w:rsidP="009616A4">
      <w:pPr>
        <w:rPr>
          <w:sz w:val="24"/>
          <w:szCs w:val="24"/>
          <w:lang w:eastAsia="bg-BG"/>
        </w:rPr>
      </w:pPr>
      <w:r w:rsidRPr="009616A4">
        <w:rPr>
          <w:lang w:eastAsia="bg-BG"/>
        </w:rPr>
        <w:t>Не са известни симптомите при предозиране. Подобни лекарствени продукти водят до стомашно-чревни (повръщане, анорексия, коремна болка) и неврологични (сомнолентност, вертиго, дезориентация, главоболие) нарушения.</w:t>
      </w:r>
    </w:p>
    <w:p w14:paraId="0DA071FF" w14:textId="77777777" w:rsidR="009616A4" w:rsidRDefault="009616A4" w:rsidP="009616A4">
      <w:pPr>
        <w:rPr>
          <w:lang w:eastAsia="bg-BG"/>
        </w:rPr>
      </w:pPr>
    </w:p>
    <w:p w14:paraId="31AF445E" w14:textId="5F19652C" w:rsidR="009616A4" w:rsidRDefault="009616A4" w:rsidP="009616A4">
      <w:pPr>
        <w:rPr>
          <w:lang w:eastAsia="bg-BG"/>
        </w:rPr>
      </w:pPr>
      <w:r w:rsidRPr="009616A4">
        <w:rPr>
          <w:lang w:eastAsia="bg-BG"/>
        </w:rPr>
        <w:t xml:space="preserve">В случай на непредумишлено предозиране или приложение на по-висока доза се налага незабавно симптоматично лечение в зависимост от клиничното състояние на пациента. </w:t>
      </w:r>
      <w:r w:rsidRPr="009616A4">
        <w:rPr>
          <w:lang w:eastAsia="bg-BG"/>
        </w:rPr>
        <w:lastRenderedPageBreak/>
        <w:t xml:space="preserve">Ако са приети повече от 5 </w:t>
      </w:r>
      <w:r w:rsidRPr="009616A4">
        <w:rPr>
          <w:lang w:val="en-US"/>
        </w:rPr>
        <w:t xml:space="preserve">mg/kg </w:t>
      </w:r>
      <w:r w:rsidRPr="009616A4">
        <w:rPr>
          <w:lang w:eastAsia="bg-BG"/>
        </w:rPr>
        <w:t>от възрастен или дете в рамките на един час трябва да се приложи активен въглен.</w:t>
      </w:r>
    </w:p>
    <w:p w14:paraId="6C4B2392" w14:textId="19A08909" w:rsidR="009616A4" w:rsidRDefault="009616A4" w:rsidP="009616A4">
      <w:pPr>
        <w:rPr>
          <w:lang w:eastAsia="bg-BG"/>
        </w:rPr>
      </w:pPr>
    </w:p>
    <w:p w14:paraId="3EB5CE73" w14:textId="2A172ACE" w:rsidR="009616A4" w:rsidRDefault="009616A4" w:rsidP="009616A4">
      <w:pPr>
        <w:rPr>
          <w:lang w:eastAsia="bg-BG"/>
        </w:rPr>
      </w:pPr>
      <w:r>
        <w:t>Декскетопрофен трометамол може да се елиминира с диализа.</w:t>
      </w:r>
    </w:p>
    <w:p w14:paraId="02DF8C1F" w14:textId="77777777" w:rsidR="009616A4" w:rsidRPr="009616A4" w:rsidRDefault="009616A4" w:rsidP="009616A4"/>
    <w:p w14:paraId="02081B24" w14:textId="36FE76F4" w:rsidR="00395555" w:rsidRPr="00395555" w:rsidRDefault="002C50EE" w:rsidP="008A6AF2">
      <w:pPr>
        <w:pStyle w:val="Heading1"/>
      </w:pPr>
      <w:r>
        <w:t>5. ФАРМАКОЛОГИЧНИ СВОЙСТВА</w:t>
      </w:r>
    </w:p>
    <w:p w14:paraId="1A152A95" w14:textId="42235995" w:rsidR="001D095A" w:rsidRDefault="002C50EE" w:rsidP="00340E8D">
      <w:pPr>
        <w:pStyle w:val="Heading2"/>
      </w:pPr>
      <w:r>
        <w:t>5.1. Фармакодинамични свойства</w:t>
      </w:r>
    </w:p>
    <w:p w14:paraId="61308105" w14:textId="1CD27921" w:rsidR="009616A4" w:rsidRDefault="009616A4" w:rsidP="009616A4"/>
    <w:p w14:paraId="2281E061" w14:textId="77777777" w:rsidR="009616A4" w:rsidRPr="009616A4" w:rsidRDefault="009616A4" w:rsidP="009616A4">
      <w:pPr>
        <w:spacing w:line="240" w:lineRule="auto"/>
        <w:rPr>
          <w:rFonts w:eastAsia="Times New Roman" w:cs="Arial"/>
          <w:lang w:eastAsia="bg-BG"/>
        </w:rPr>
      </w:pPr>
      <w:r w:rsidRPr="009616A4">
        <w:rPr>
          <w:rFonts w:eastAsia="Times New Roman" w:cs="Arial"/>
          <w:b/>
          <w:bCs/>
          <w:color w:val="000000"/>
          <w:lang w:eastAsia="bg-BG"/>
        </w:rPr>
        <w:t xml:space="preserve">Фармакотерапевтнчна </w:t>
      </w:r>
      <w:r w:rsidRPr="009616A4">
        <w:rPr>
          <w:rFonts w:eastAsia="Times New Roman" w:cs="Arial"/>
          <w:color w:val="000000"/>
          <w:lang w:eastAsia="bg-BG"/>
        </w:rPr>
        <w:t>група: производни на пропионова киселина, АТС код: М01АЕ17</w:t>
      </w:r>
    </w:p>
    <w:p w14:paraId="6B89A075"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 xml:space="preserve">Декскетопрофен трометамол е трометаминова сол на </w:t>
      </w:r>
      <w:r w:rsidRPr="009616A4">
        <w:rPr>
          <w:rFonts w:eastAsia="Times New Roman" w:cs="Arial"/>
          <w:color w:val="000000"/>
          <w:lang w:val="en-US"/>
        </w:rPr>
        <w:t xml:space="preserve">S-(+)-2-(3-benzoylphenyl)propionic acid - </w:t>
      </w:r>
      <w:r w:rsidRPr="009616A4">
        <w:rPr>
          <w:rFonts w:eastAsia="Times New Roman" w:cs="Arial"/>
          <w:color w:val="000000"/>
          <w:lang w:eastAsia="bg-BG"/>
        </w:rPr>
        <w:t>лекарствен продукт с аналгетични, противовъзпалителни и антипиретични свойства, което принадлежи към нестероидните противовъзпалителни средства (М01АЕ).</w:t>
      </w:r>
    </w:p>
    <w:p w14:paraId="3AC3FAC1" w14:textId="77777777" w:rsidR="009616A4" w:rsidRDefault="009616A4" w:rsidP="009616A4">
      <w:pPr>
        <w:spacing w:line="240" w:lineRule="auto"/>
        <w:rPr>
          <w:rFonts w:eastAsia="Times New Roman" w:cs="Arial"/>
          <w:color w:val="000000"/>
          <w:lang w:eastAsia="bg-BG"/>
        </w:rPr>
      </w:pPr>
    </w:p>
    <w:p w14:paraId="19DDA3B0" w14:textId="5F0E1838"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 xml:space="preserve">Механизмът на действие на нестероидните противовъзпалителни средства се свързва с намаление на простагландиновата синтеза чрез инхибиране на циклооксигеназата. По- специално е налице инхибиране на превръщането на арахидонова киселина в циклични ендопероксидази, </w:t>
      </w:r>
      <w:r w:rsidRPr="009616A4">
        <w:rPr>
          <w:rFonts w:eastAsia="Times New Roman" w:cs="Arial"/>
          <w:color w:val="000000"/>
          <w:lang w:val="en-US"/>
        </w:rPr>
        <w:t xml:space="preserve">PgG2 </w:t>
      </w:r>
      <w:r w:rsidRPr="009616A4">
        <w:rPr>
          <w:rFonts w:eastAsia="Times New Roman" w:cs="Arial"/>
          <w:i/>
          <w:iCs/>
          <w:color w:val="000000"/>
          <w:lang w:eastAsia="bg-BG"/>
        </w:rPr>
        <w:t>и</w:t>
      </w:r>
      <w:r w:rsidRPr="009616A4">
        <w:rPr>
          <w:rFonts w:eastAsia="Times New Roman" w:cs="Arial"/>
          <w:color w:val="000000"/>
          <w:lang w:eastAsia="bg-BG"/>
        </w:rPr>
        <w:t xml:space="preserve"> </w:t>
      </w:r>
      <w:r w:rsidRPr="009616A4">
        <w:rPr>
          <w:rFonts w:eastAsia="Times New Roman" w:cs="Arial"/>
          <w:color w:val="000000"/>
          <w:lang w:val="en-US"/>
        </w:rPr>
        <w:t xml:space="preserve">PgH2, </w:t>
      </w:r>
      <w:r w:rsidRPr="009616A4">
        <w:rPr>
          <w:rFonts w:eastAsia="Times New Roman" w:cs="Arial"/>
          <w:color w:val="000000"/>
          <w:lang w:eastAsia="bg-BG"/>
        </w:rPr>
        <w:t xml:space="preserve">които образуват </w:t>
      </w:r>
      <w:proofErr w:type="spellStart"/>
      <w:r w:rsidRPr="009616A4">
        <w:rPr>
          <w:rFonts w:eastAsia="Times New Roman" w:cs="Arial"/>
          <w:color w:val="000000"/>
          <w:lang w:val="en-US"/>
        </w:rPr>
        <w:t>PgEl</w:t>
      </w:r>
      <w:proofErr w:type="spellEnd"/>
      <w:r w:rsidRPr="009616A4">
        <w:rPr>
          <w:rFonts w:eastAsia="Times New Roman" w:cs="Arial"/>
          <w:color w:val="000000"/>
          <w:lang w:val="en-US"/>
        </w:rPr>
        <w:t>, PgE2, PgF2</w:t>
      </w:r>
      <w:r w:rsidRPr="009616A4">
        <w:rPr>
          <w:rFonts w:eastAsia="Times New Roman" w:cs="Arial"/>
          <w:color w:val="000000"/>
          <w:lang w:eastAsia="bg-BG"/>
        </w:rPr>
        <w:t>α</w:t>
      </w:r>
      <w:r w:rsidRPr="009616A4">
        <w:rPr>
          <w:rFonts w:eastAsia="Times New Roman" w:cs="Arial"/>
          <w:color w:val="000000"/>
          <w:lang w:val="en-US"/>
        </w:rPr>
        <w:t xml:space="preserve"> </w:t>
      </w:r>
      <w:r w:rsidRPr="009616A4">
        <w:rPr>
          <w:rFonts w:eastAsia="Times New Roman" w:cs="Arial"/>
          <w:color w:val="000000"/>
          <w:lang w:eastAsia="bg-BG"/>
        </w:rPr>
        <w:t xml:space="preserve">и </w:t>
      </w:r>
      <w:r w:rsidRPr="009616A4">
        <w:rPr>
          <w:rFonts w:eastAsia="Times New Roman" w:cs="Arial"/>
          <w:color w:val="000000"/>
          <w:lang w:val="en-US"/>
        </w:rPr>
        <w:t xml:space="preserve">PgD2 </w:t>
      </w:r>
      <w:r w:rsidRPr="009616A4">
        <w:rPr>
          <w:rFonts w:eastAsia="Times New Roman" w:cs="Arial"/>
          <w:color w:val="000000"/>
          <w:lang w:eastAsia="bg-BG"/>
        </w:rPr>
        <w:t xml:space="preserve">и също простациклини </w:t>
      </w:r>
      <w:r w:rsidRPr="009616A4">
        <w:rPr>
          <w:rFonts w:eastAsia="Times New Roman" w:cs="Arial"/>
          <w:color w:val="000000"/>
          <w:lang w:val="en-US"/>
        </w:rPr>
        <w:t xml:space="preserve">PgI2 </w:t>
      </w:r>
      <w:r w:rsidRPr="009616A4">
        <w:rPr>
          <w:rFonts w:eastAsia="Times New Roman" w:cs="Arial"/>
          <w:color w:val="000000"/>
          <w:lang w:eastAsia="bg-BG"/>
        </w:rPr>
        <w:t>и тромбоксани (ТхА2 и ТхВ2). Освен това, инхибирането на простагландиновата синтеза може да повлияе и други медиатори на възпалението, като кинините. Това е един индиректен ефект, който допълва директното действие.</w:t>
      </w:r>
    </w:p>
    <w:p w14:paraId="66DD6217" w14:textId="77777777" w:rsidR="009616A4" w:rsidRPr="009616A4" w:rsidRDefault="009616A4" w:rsidP="009616A4">
      <w:pPr>
        <w:spacing w:line="240" w:lineRule="auto"/>
        <w:rPr>
          <w:rFonts w:eastAsia="Times New Roman" w:cs="Arial"/>
          <w:lang w:eastAsia="bg-BG"/>
        </w:rPr>
      </w:pPr>
      <w:r w:rsidRPr="009616A4">
        <w:rPr>
          <w:rFonts w:eastAsia="Times New Roman" w:cs="Arial"/>
          <w:color w:val="000000"/>
          <w:lang w:eastAsia="bg-BG"/>
        </w:rPr>
        <w:t>В проучвания при животни и хора е доказано, че декскетопрофен инхибира активността на СОХ- 1 и СОХ-2.</w:t>
      </w:r>
    </w:p>
    <w:p w14:paraId="0549C61C" w14:textId="77777777" w:rsidR="009616A4" w:rsidRDefault="009616A4" w:rsidP="009616A4">
      <w:pPr>
        <w:rPr>
          <w:rFonts w:eastAsia="Times New Roman" w:cs="Arial"/>
          <w:color w:val="000000"/>
          <w:lang w:eastAsia="bg-BG"/>
        </w:rPr>
      </w:pPr>
    </w:p>
    <w:p w14:paraId="13FDA083" w14:textId="0B7792DC" w:rsidR="009616A4" w:rsidRPr="009616A4" w:rsidRDefault="009616A4" w:rsidP="009616A4">
      <w:pPr>
        <w:rPr>
          <w:rFonts w:eastAsia="Times New Roman" w:cs="Arial"/>
          <w:color w:val="000000"/>
          <w:lang w:eastAsia="bg-BG"/>
        </w:rPr>
      </w:pPr>
      <w:r w:rsidRPr="009616A4">
        <w:rPr>
          <w:rFonts w:eastAsia="Times New Roman" w:cs="Arial"/>
          <w:color w:val="000000"/>
          <w:lang w:eastAsia="bg-BG"/>
        </w:rPr>
        <w:t>Клинични проучвания върху различни болкови модели демонстрират ефективна аналгетична активност на декскетопрофен трометамол. В някои проучвания началото на аналгетичното действие се проявява до 30 минути след приложението. Аналгетичният ефект е с продължителност от 4 до 6 часа.</w:t>
      </w:r>
    </w:p>
    <w:p w14:paraId="2F65A9C9" w14:textId="77777777" w:rsidR="009616A4" w:rsidRPr="009616A4" w:rsidRDefault="009616A4" w:rsidP="009616A4"/>
    <w:p w14:paraId="7C8C9C46" w14:textId="7A41DEE2" w:rsidR="00E9184E" w:rsidRDefault="002C50EE" w:rsidP="00340E8D">
      <w:pPr>
        <w:pStyle w:val="Heading2"/>
      </w:pPr>
      <w:r>
        <w:t>5.2. Фармакокинетични свойства</w:t>
      </w:r>
    </w:p>
    <w:p w14:paraId="4C108594" w14:textId="30E153CF" w:rsidR="009616A4" w:rsidRDefault="009616A4" w:rsidP="009616A4"/>
    <w:p w14:paraId="4A3FFBE9" w14:textId="77777777" w:rsidR="0045086F" w:rsidRPr="0045086F" w:rsidRDefault="0045086F" w:rsidP="0045086F">
      <w:pPr>
        <w:spacing w:line="240" w:lineRule="auto"/>
        <w:rPr>
          <w:rFonts w:eastAsia="Times New Roman" w:cs="Arial"/>
          <w:lang w:eastAsia="bg-BG"/>
        </w:rPr>
      </w:pPr>
      <w:r w:rsidRPr="0045086F">
        <w:rPr>
          <w:rFonts w:eastAsia="Times New Roman" w:cs="Arial"/>
          <w:color w:val="000000"/>
          <w:u w:val="single"/>
          <w:lang w:eastAsia="bg-BG"/>
        </w:rPr>
        <w:t>Абсорбция</w:t>
      </w:r>
    </w:p>
    <w:p w14:paraId="13AFFEA7" w14:textId="77777777" w:rsidR="0045086F" w:rsidRPr="0045086F" w:rsidRDefault="0045086F" w:rsidP="0045086F">
      <w:pPr>
        <w:spacing w:line="240" w:lineRule="auto"/>
        <w:rPr>
          <w:rFonts w:eastAsia="Times New Roman" w:cs="Arial"/>
          <w:lang w:eastAsia="bg-BG"/>
        </w:rPr>
      </w:pPr>
      <w:r w:rsidRPr="0045086F">
        <w:rPr>
          <w:rFonts w:eastAsia="Times New Roman" w:cs="Arial"/>
          <w:color w:val="000000"/>
          <w:lang w:eastAsia="bg-BG"/>
        </w:rPr>
        <w:t>След перорално приложение на декскетопрофен трометамол при хора. С</w:t>
      </w:r>
      <w:r w:rsidRPr="0045086F">
        <w:rPr>
          <w:rFonts w:eastAsia="Times New Roman" w:cs="Arial"/>
          <w:color w:val="000000"/>
          <w:vertAlign w:val="subscript"/>
          <w:lang w:val="en-US"/>
        </w:rPr>
        <w:t>max</w:t>
      </w:r>
      <w:r w:rsidRPr="0045086F">
        <w:rPr>
          <w:rFonts w:eastAsia="Times New Roman" w:cs="Arial"/>
          <w:color w:val="000000"/>
          <w:lang w:eastAsia="bg-BG"/>
        </w:rPr>
        <w:t xml:space="preserve"> се постига на 30-тата минута (в границите 15-60 минути).</w:t>
      </w:r>
    </w:p>
    <w:p w14:paraId="3D2003C7" w14:textId="77777777" w:rsidR="0045086F" w:rsidRDefault="0045086F" w:rsidP="0045086F">
      <w:pPr>
        <w:spacing w:line="240" w:lineRule="auto"/>
        <w:rPr>
          <w:rFonts w:eastAsia="Times New Roman" w:cs="Arial"/>
          <w:color w:val="000000"/>
          <w:u w:val="single"/>
          <w:lang w:eastAsia="bg-BG"/>
        </w:rPr>
      </w:pPr>
    </w:p>
    <w:p w14:paraId="61C8FA73" w14:textId="70F33408" w:rsidR="0045086F" w:rsidRPr="0045086F" w:rsidRDefault="0045086F" w:rsidP="0045086F">
      <w:pPr>
        <w:spacing w:line="240" w:lineRule="auto"/>
        <w:rPr>
          <w:rFonts w:eastAsia="Times New Roman" w:cs="Arial"/>
          <w:lang w:eastAsia="bg-BG"/>
        </w:rPr>
      </w:pPr>
      <w:r w:rsidRPr="0045086F">
        <w:rPr>
          <w:rFonts w:eastAsia="Times New Roman" w:cs="Arial"/>
          <w:color w:val="000000"/>
          <w:u w:val="single"/>
          <w:lang w:eastAsia="bg-BG"/>
        </w:rPr>
        <w:t>Разпределение</w:t>
      </w:r>
    </w:p>
    <w:p w14:paraId="763CE6F0" w14:textId="77777777" w:rsidR="0045086F" w:rsidRPr="0045086F" w:rsidRDefault="0045086F" w:rsidP="0045086F">
      <w:pPr>
        <w:spacing w:line="240" w:lineRule="auto"/>
        <w:rPr>
          <w:rFonts w:eastAsia="Times New Roman" w:cs="Arial"/>
          <w:lang w:eastAsia="bg-BG"/>
        </w:rPr>
      </w:pPr>
      <w:r w:rsidRPr="0045086F">
        <w:rPr>
          <w:rFonts w:eastAsia="Times New Roman" w:cs="Arial"/>
          <w:color w:val="000000"/>
          <w:lang w:eastAsia="bg-BG"/>
        </w:rPr>
        <w:t xml:space="preserve">Времето на полуживот във фазата на разпределение и на елиминиране на декскетопрофен трометамол е съответно 0,35 часа и 1,65 часа. Както при други лекарства с висока степен на свързване с плазмените протеини (99%), обемът на разпределение е средно под 0.25 </w:t>
      </w:r>
      <w:r w:rsidRPr="0045086F">
        <w:rPr>
          <w:rFonts w:eastAsia="Times New Roman" w:cs="Arial"/>
          <w:color w:val="000000"/>
          <w:lang w:val="en-US"/>
        </w:rPr>
        <w:t>1/kg.</w:t>
      </w:r>
    </w:p>
    <w:p w14:paraId="19748B3D" w14:textId="77777777" w:rsidR="0045086F" w:rsidRPr="0045086F" w:rsidRDefault="0045086F" w:rsidP="0045086F">
      <w:pPr>
        <w:spacing w:line="240" w:lineRule="auto"/>
        <w:rPr>
          <w:rFonts w:eastAsia="Times New Roman" w:cs="Arial"/>
          <w:lang w:eastAsia="bg-BG"/>
        </w:rPr>
      </w:pPr>
      <w:r w:rsidRPr="0045086F">
        <w:rPr>
          <w:rFonts w:eastAsia="Times New Roman" w:cs="Arial"/>
          <w:color w:val="000000"/>
          <w:lang w:eastAsia="bg-BG"/>
        </w:rPr>
        <w:t xml:space="preserve">При фармакокинетични проучвания с многократно приложение се наблюдава, че </w:t>
      </w:r>
      <w:r w:rsidRPr="0045086F">
        <w:rPr>
          <w:rFonts w:eastAsia="Times New Roman" w:cs="Arial"/>
          <w:color w:val="000000"/>
          <w:lang w:val="en-US"/>
        </w:rPr>
        <w:t xml:space="preserve">AUC </w:t>
      </w:r>
      <w:r w:rsidRPr="0045086F">
        <w:rPr>
          <w:rFonts w:eastAsia="Times New Roman" w:cs="Arial"/>
          <w:color w:val="000000"/>
          <w:lang w:eastAsia="bg-BG"/>
        </w:rPr>
        <w:t>след последното приложение не се различава от получената след еднократно приложение, което показва, че няма кумулиране на лекарството.</w:t>
      </w:r>
    </w:p>
    <w:p w14:paraId="270E54FD" w14:textId="77777777" w:rsidR="0045086F" w:rsidRPr="0045086F" w:rsidRDefault="0045086F" w:rsidP="0045086F">
      <w:pPr>
        <w:spacing w:line="240" w:lineRule="auto"/>
        <w:rPr>
          <w:rFonts w:eastAsia="Times New Roman" w:cs="Arial"/>
          <w:lang w:eastAsia="bg-BG"/>
        </w:rPr>
      </w:pPr>
      <w:r w:rsidRPr="0045086F">
        <w:rPr>
          <w:rFonts w:eastAsia="Times New Roman" w:cs="Arial"/>
          <w:color w:val="000000"/>
          <w:lang w:eastAsia="bg-BG"/>
        </w:rPr>
        <w:t xml:space="preserve">При едновременно приложение с храна, </w:t>
      </w:r>
      <w:r w:rsidRPr="0045086F">
        <w:rPr>
          <w:rFonts w:eastAsia="Times New Roman" w:cs="Arial"/>
          <w:color w:val="000000"/>
          <w:lang w:val="en-US"/>
        </w:rPr>
        <w:t xml:space="preserve">AUC </w:t>
      </w:r>
      <w:r w:rsidRPr="0045086F">
        <w:rPr>
          <w:rFonts w:eastAsia="Times New Roman" w:cs="Arial"/>
          <w:color w:val="000000"/>
          <w:lang w:eastAsia="bg-BG"/>
        </w:rPr>
        <w:t>не се променя, въпреки че С</w:t>
      </w:r>
      <w:r w:rsidRPr="0045086F">
        <w:rPr>
          <w:rFonts w:eastAsia="Times New Roman" w:cs="Arial"/>
          <w:color w:val="000000"/>
          <w:vertAlign w:val="subscript"/>
          <w:lang w:val="en-US"/>
        </w:rPr>
        <w:t>max</w:t>
      </w:r>
      <w:r w:rsidRPr="0045086F">
        <w:rPr>
          <w:rFonts w:eastAsia="Times New Roman" w:cs="Arial"/>
          <w:color w:val="000000"/>
          <w:lang w:eastAsia="bg-BG"/>
        </w:rPr>
        <w:t xml:space="preserve"> на декскетопрофен трометамол се понижава и скоростта на резорбция се забавя (увеличава се </w:t>
      </w:r>
      <w:proofErr w:type="spellStart"/>
      <w:r w:rsidRPr="0045086F">
        <w:rPr>
          <w:rFonts w:eastAsia="Times New Roman" w:cs="Arial"/>
          <w:color w:val="000000"/>
          <w:lang w:val="en-US"/>
        </w:rPr>
        <w:t>t</w:t>
      </w:r>
      <w:r w:rsidRPr="0045086F">
        <w:rPr>
          <w:rFonts w:eastAsia="Times New Roman" w:cs="Arial"/>
          <w:color w:val="000000"/>
          <w:vertAlign w:val="subscript"/>
          <w:lang w:val="en-US"/>
        </w:rPr>
        <w:t>max</w:t>
      </w:r>
      <w:proofErr w:type="spellEnd"/>
      <w:r w:rsidRPr="0045086F">
        <w:rPr>
          <w:rFonts w:eastAsia="Times New Roman" w:cs="Arial"/>
          <w:color w:val="000000"/>
          <w:lang w:eastAsia="bg-BG"/>
        </w:rPr>
        <w:t>).</w:t>
      </w:r>
    </w:p>
    <w:p w14:paraId="2C0685F0" w14:textId="77777777" w:rsidR="0045086F" w:rsidRDefault="0045086F" w:rsidP="0045086F">
      <w:pPr>
        <w:spacing w:line="240" w:lineRule="auto"/>
        <w:rPr>
          <w:rFonts w:eastAsia="Times New Roman" w:cs="Arial"/>
          <w:color w:val="000000"/>
          <w:u w:val="single"/>
          <w:lang w:eastAsia="bg-BG"/>
        </w:rPr>
      </w:pPr>
    </w:p>
    <w:p w14:paraId="6BDF3FBB" w14:textId="103DC04A" w:rsidR="0045086F" w:rsidRPr="0045086F" w:rsidRDefault="0045086F" w:rsidP="0045086F">
      <w:pPr>
        <w:spacing w:line="240" w:lineRule="auto"/>
        <w:rPr>
          <w:rFonts w:eastAsia="Times New Roman" w:cs="Arial"/>
          <w:lang w:eastAsia="bg-BG"/>
        </w:rPr>
      </w:pPr>
      <w:r w:rsidRPr="0045086F">
        <w:rPr>
          <w:rFonts w:eastAsia="Times New Roman" w:cs="Arial"/>
          <w:color w:val="000000"/>
          <w:u w:val="single"/>
          <w:lang w:eastAsia="bg-BG"/>
        </w:rPr>
        <w:t>Биотрансформация и елиминиране</w:t>
      </w:r>
    </w:p>
    <w:p w14:paraId="6E9CD042" w14:textId="77777777" w:rsidR="0045086F" w:rsidRPr="0045086F" w:rsidRDefault="0045086F" w:rsidP="0045086F">
      <w:pPr>
        <w:spacing w:line="240" w:lineRule="auto"/>
        <w:rPr>
          <w:rFonts w:eastAsia="Times New Roman" w:cs="Arial"/>
          <w:lang w:eastAsia="bg-BG"/>
        </w:rPr>
      </w:pPr>
      <w:r w:rsidRPr="0045086F">
        <w:rPr>
          <w:rFonts w:eastAsia="Times New Roman" w:cs="Arial"/>
          <w:color w:val="000000"/>
          <w:lang w:eastAsia="bg-BG"/>
        </w:rPr>
        <w:lastRenderedPageBreak/>
        <w:t xml:space="preserve">След приложението на декскетопрофен трометамол, в урината се отделя само </w:t>
      </w:r>
      <w:r w:rsidRPr="0045086F">
        <w:rPr>
          <w:rFonts w:eastAsia="Times New Roman" w:cs="Arial"/>
          <w:color w:val="000000"/>
          <w:lang w:val="en-US"/>
        </w:rPr>
        <w:t xml:space="preserve">S-(+)- </w:t>
      </w:r>
      <w:r w:rsidRPr="0045086F">
        <w:rPr>
          <w:rFonts w:eastAsia="Times New Roman" w:cs="Arial"/>
          <w:color w:val="000000"/>
          <w:lang w:eastAsia="bg-BG"/>
        </w:rPr>
        <w:t xml:space="preserve">енантиомера, което показва, че при хората няма конверсия в </w:t>
      </w:r>
      <w:r w:rsidRPr="0045086F">
        <w:rPr>
          <w:rFonts w:eastAsia="Times New Roman" w:cs="Arial"/>
          <w:color w:val="000000"/>
          <w:lang w:val="en-US"/>
        </w:rPr>
        <w:t>R</w:t>
      </w:r>
      <w:r w:rsidRPr="0045086F">
        <w:rPr>
          <w:rFonts w:eastAsia="Times New Roman" w:cs="Arial"/>
          <w:color w:val="000000"/>
          <w:lang w:eastAsia="bg-BG"/>
        </w:rPr>
        <w:t>-(-)-енантиомер.</w:t>
      </w:r>
    </w:p>
    <w:p w14:paraId="5786B38F" w14:textId="77777777" w:rsidR="0045086F" w:rsidRDefault="0045086F" w:rsidP="0045086F">
      <w:pPr>
        <w:spacing w:line="240" w:lineRule="auto"/>
        <w:rPr>
          <w:rFonts w:eastAsia="Times New Roman" w:cs="Arial"/>
          <w:color w:val="000000"/>
          <w:lang w:eastAsia="bg-BG"/>
        </w:rPr>
      </w:pPr>
    </w:p>
    <w:p w14:paraId="10EE6067" w14:textId="114D24BA" w:rsidR="0045086F" w:rsidRPr="0045086F" w:rsidRDefault="0045086F" w:rsidP="0045086F">
      <w:pPr>
        <w:spacing w:line="240" w:lineRule="auto"/>
        <w:rPr>
          <w:rFonts w:eastAsia="Times New Roman" w:cs="Arial"/>
          <w:lang w:eastAsia="bg-BG"/>
        </w:rPr>
      </w:pPr>
      <w:r w:rsidRPr="0045086F">
        <w:rPr>
          <w:rFonts w:eastAsia="Times New Roman" w:cs="Arial"/>
          <w:color w:val="000000"/>
          <w:lang w:eastAsia="bg-BG"/>
        </w:rPr>
        <w:t>Основният път на елиминиране на декскетопрофен е с глюкуронова конюгация, последвана от излъчване през бъбреците.</w:t>
      </w:r>
    </w:p>
    <w:p w14:paraId="4F590C42" w14:textId="77777777" w:rsidR="009616A4" w:rsidRPr="009616A4" w:rsidRDefault="009616A4" w:rsidP="009616A4"/>
    <w:p w14:paraId="0BD5B037" w14:textId="65A3536F" w:rsidR="008F7F23" w:rsidRDefault="002C50EE" w:rsidP="00340E8D">
      <w:pPr>
        <w:pStyle w:val="Heading2"/>
      </w:pPr>
      <w:r>
        <w:t>5.3. Предклинични данни за безопасност</w:t>
      </w:r>
    </w:p>
    <w:p w14:paraId="45C4A509" w14:textId="23FC30B3" w:rsidR="0045086F" w:rsidRDefault="0045086F" w:rsidP="0045086F"/>
    <w:p w14:paraId="5D81494B" w14:textId="77777777" w:rsidR="0045086F" w:rsidRPr="0045086F" w:rsidRDefault="0045086F" w:rsidP="0045086F">
      <w:pPr>
        <w:rPr>
          <w:sz w:val="24"/>
          <w:szCs w:val="24"/>
          <w:lang w:eastAsia="bg-BG"/>
        </w:rPr>
      </w:pPr>
      <w:r w:rsidRPr="0045086F">
        <w:rPr>
          <w:lang w:eastAsia="bg-BG"/>
        </w:rPr>
        <w:t xml:space="preserve">Предклиничните данни не показват специфичен риск за хора, като се основават на конвенционални изследвания за безопасност, токсичност при многократно приложение генотоксичност, репродуктивна токсичност и имунофармакология. Проведените върху мишки и маймуни изследвания за хронична токсичност са показали ниво на липса на нежелани ефекти </w:t>
      </w:r>
      <w:r w:rsidRPr="0045086F">
        <w:rPr>
          <w:lang w:val="en-US"/>
        </w:rPr>
        <w:t xml:space="preserve">(NOAEL, No Observed Adverse Effect Level) </w:t>
      </w:r>
      <w:r w:rsidRPr="0045086F">
        <w:rPr>
          <w:lang w:eastAsia="bg-BG"/>
        </w:rPr>
        <w:t xml:space="preserve">при </w:t>
      </w:r>
      <w:r w:rsidRPr="0045086F">
        <w:rPr>
          <w:lang w:val="en-US"/>
        </w:rPr>
        <w:t>3 mg/kg</w:t>
      </w:r>
      <w:r w:rsidRPr="0045086F">
        <w:rPr>
          <w:lang w:eastAsia="bg-BG"/>
        </w:rPr>
        <w:t>/ден. Основните нежелани реакции наблюдавани при високи дози, са стомашно-чревни ерозии и язви, които се развиват в зависимост от дозата.</w:t>
      </w:r>
    </w:p>
    <w:p w14:paraId="1CE5021F" w14:textId="77777777" w:rsidR="0045086F" w:rsidRPr="0045086F" w:rsidRDefault="0045086F" w:rsidP="0045086F"/>
    <w:p w14:paraId="357049A8" w14:textId="761AF1BB" w:rsidR="00BB22B4" w:rsidRDefault="002C50EE" w:rsidP="00471F10">
      <w:pPr>
        <w:pStyle w:val="Heading1"/>
      </w:pPr>
      <w:r>
        <w:t>7. ПРИТЕЖАТЕЛ НА РАЗРЕШЕНИЕТО ЗА УПОТРЕБА</w:t>
      </w:r>
    </w:p>
    <w:p w14:paraId="02B89A8F" w14:textId="7F0E0ABB" w:rsidR="0045086F" w:rsidRDefault="0045086F" w:rsidP="0045086F"/>
    <w:p w14:paraId="5C7CF00C" w14:textId="77777777" w:rsidR="0045086F" w:rsidRDefault="0045086F" w:rsidP="0045086F">
      <w:r>
        <w:t xml:space="preserve">Беста Мед ЕООД </w:t>
      </w:r>
    </w:p>
    <w:p w14:paraId="3B0B1197" w14:textId="77777777" w:rsidR="0045086F" w:rsidRDefault="0045086F" w:rsidP="0045086F">
      <w:r>
        <w:t xml:space="preserve">ул. "Кънчо Скорчев" № 8 </w:t>
      </w:r>
    </w:p>
    <w:p w14:paraId="706454D8" w14:textId="77777777" w:rsidR="0045086F" w:rsidRDefault="0045086F" w:rsidP="0045086F">
      <w:r>
        <w:t xml:space="preserve">5350, гр.Трявна </w:t>
      </w:r>
    </w:p>
    <w:p w14:paraId="58BE9D46" w14:textId="32AEA107" w:rsidR="0045086F" w:rsidRPr="0045086F" w:rsidRDefault="0045086F" w:rsidP="0045086F">
      <w:r>
        <w:t>България</w:t>
      </w:r>
    </w:p>
    <w:p w14:paraId="1515CD8D" w14:textId="007B4709" w:rsidR="0045086F" w:rsidRPr="0045086F" w:rsidRDefault="00936AD0" w:rsidP="0045086F">
      <w:pPr>
        <w:pStyle w:val="Heading1"/>
      </w:pPr>
      <w:r>
        <w:t>8.</w:t>
      </w:r>
      <w:r w:rsidR="002C50EE">
        <w:t>НОМЕР НА РАЗРЕШЕНИЕТО ЗА УПОТРЕБА</w:t>
      </w:r>
    </w:p>
    <w:p w14:paraId="3715C10B" w14:textId="40BC2363" w:rsidR="00BB22B4" w:rsidRDefault="002C50EE" w:rsidP="00471F10">
      <w:pPr>
        <w:pStyle w:val="Heading1"/>
      </w:pPr>
      <w:r>
        <w:t>9. ДАТА НА ПЪРВО РАЗРЕШАВАНЕ/ПОДНОВЯВАНЕ НА РАЗРЕШЕНИЕТО ЗА УПОТРЕБА</w:t>
      </w:r>
    </w:p>
    <w:p w14:paraId="43FB38A2" w14:textId="0C18A683" w:rsidR="007C605B" w:rsidRDefault="002C50EE" w:rsidP="005726E3">
      <w:pPr>
        <w:pStyle w:val="Heading1"/>
      </w:pPr>
      <w:r>
        <w:t>10. ДАТА НА АКТУАЛИЗИРАНЕ НА ТЕКСТА</w:t>
      </w:r>
      <w:bookmarkEnd w:id="0"/>
    </w:p>
    <w:p w14:paraId="472617BD" w14:textId="4E52188C" w:rsidR="00BB22B4" w:rsidRPr="00BB22B4" w:rsidRDefault="00BB22B4" w:rsidP="008F7F23"/>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D7AE9"/>
    <w:multiLevelType w:val="hybridMultilevel"/>
    <w:tmpl w:val="2FA40B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B31FD"/>
    <w:multiLevelType w:val="hybridMultilevel"/>
    <w:tmpl w:val="915E2D78"/>
    <w:lvl w:ilvl="0" w:tplc="648A9924">
      <w:start w:val="4"/>
      <w:numFmt w:val="bullet"/>
      <w:lvlText w:val="-"/>
      <w:lvlJc w:val="left"/>
      <w:pPr>
        <w:ind w:left="720" w:hanging="360"/>
      </w:pPr>
      <w:rPr>
        <w:rFonts w:ascii="Arial" w:eastAsia="Times New Roman" w:hAnsi="Arial" w:cs="Arial"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09B76D7"/>
    <w:multiLevelType w:val="hybridMultilevel"/>
    <w:tmpl w:val="C8BA44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7"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830FB"/>
    <w:multiLevelType w:val="hybridMultilevel"/>
    <w:tmpl w:val="906297EC"/>
    <w:lvl w:ilvl="0" w:tplc="648A9924">
      <w:start w:val="4"/>
      <w:numFmt w:val="bullet"/>
      <w:lvlText w:val="-"/>
      <w:lvlJc w:val="left"/>
      <w:pPr>
        <w:ind w:left="720" w:hanging="360"/>
      </w:pPr>
      <w:rPr>
        <w:rFonts w:ascii="Arial" w:eastAsia="Times New Roman" w:hAnsi="Arial" w:cs="Arial"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F3919"/>
    <w:multiLevelType w:val="hybridMultilevel"/>
    <w:tmpl w:val="62A4A6D4"/>
    <w:lvl w:ilvl="0" w:tplc="648A9924">
      <w:start w:val="4"/>
      <w:numFmt w:val="bullet"/>
      <w:lvlText w:val="-"/>
      <w:lvlJc w:val="left"/>
      <w:pPr>
        <w:ind w:left="720" w:hanging="360"/>
      </w:pPr>
      <w:rPr>
        <w:rFonts w:ascii="Arial" w:eastAsia="Times New Roman" w:hAnsi="Arial" w:cs="Arial"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4"/>
  </w:num>
  <w:num w:numId="2" w16cid:durableId="1612932146">
    <w:abstractNumId w:val="0"/>
  </w:num>
  <w:num w:numId="3" w16cid:durableId="1810323821">
    <w:abstractNumId w:val="16"/>
  </w:num>
  <w:num w:numId="4" w16cid:durableId="2135319613">
    <w:abstractNumId w:val="3"/>
  </w:num>
  <w:num w:numId="5" w16cid:durableId="740105516">
    <w:abstractNumId w:val="1"/>
  </w:num>
  <w:num w:numId="6" w16cid:durableId="1668363208">
    <w:abstractNumId w:val="22"/>
  </w:num>
  <w:num w:numId="7" w16cid:durableId="1241988161">
    <w:abstractNumId w:val="13"/>
  </w:num>
  <w:num w:numId="8" w16cid:durableId="2102022361">
    <w:abstractNumId w:val="21"/>
  </w:num>
  <w:num w:numId="9" w16cid:durableId="1154613663">
    <w:abstractNumId w:val="2"/>
  </w:num>
  <w:num w:numId="10" w16cid:durableId="1733848127">
    <w:abstractNumId w:val="4"/>
  </w:num>
  <w:num w:numId="11" w16cid:durableId="1861704680">
    <w:abstractNumId w:val="37"/>
  </w:num>
  <w:num w:numId="12" w16cid:durableId="1434934028">
    <w:abstractNumId w:val="19"/>
  </w:num>
  <w:num w:numId="13" w16cid:durableId="479157895">
    <w:abstractNumId w:val="25"/>
  </w:num>
  <w:num w:numId="14" w16cid:durableId="1670476636">
    <w:abstractNumId w:val="15"/>
  </w:num>
  <w:num w:numId="15" w16cid:durableId="1000155783">
    <w:abstractNumId w:val="36"/>
  </w:num>
  <w:num w:numId="16" w16cid:durableId="2056420707">
    <w:abstractNumId w:val="12"/>
  </w:num>
  <w:num w:numId="17" w16cid:durableId="1787119182">
    <w:abstractNumId w:val="30"/>
  </w:num>
  <w:num w:numId="18" w16cid:durableId="722945139">
    <w:abstractNumId w:val="8"/>
  </w:num>
  <w:num w:numId="19" w16cid:durableId="1678728408">
    <w:abstractNumId w:val="33"/>
  </w:num>
  <w:num w:numId="20" w16cid:durableId="1970816657">
    <w:abstractNumId w:val="29"/>
  </w:num>
  <w:num w:numId="21" w16cid:durableId="1531146514">
    <w:abstractNumId w:val="23"/>
  </w:num>
  <w:num w:numId="22" w16cid:durableId="1276465">
    <w:abstractNumId w:val="31"/>
  </w:num>
  <w:num w:numId="23" w16cid:durableId="1624310558">
    <w:abstractNumId w:val="24"/>
  </w:num>
  <w:num w:numId="24" w16cid:durableId="1692877547">
    <w:abstractNumId w:val="9"/>
  </w:num>
  <w:num w:numId="25" w16cid:durableId="50930855">
    <w:abstractNumId w:val="28"/>
  </w:num>
  <w:num w:numId="26" w16cid:durableId="176701536">
    <w:abstractNumId w:val="27"/>
  </w:num>
  <w:num w:numId="27" w16cid:durableId="2050564750">
    <w:abstractNumId w:val="38"/>
  </w:num>
  <w:num w:numId="28" w16cid:durableId="1820733422">
    <w:abstractNumId w:val="6"/>
  </w:num>
  <w:num w:numId="29" w16cid:durableId="973678124">
    <w:abstractNumId w:val="26"/>
  </w:num>
  <w:num w:numId="30" w16cid:durableId="154884452">
    <w:abstractNumId w:val="43"/>
  </w:num>
  <w:num w:numId="31" w16cid:durableId="1053964910">
    <w:abstractNumId w:val="5"/>
  </w:num>
  <w:num w:numId="32" w16cid:durableId="2073575793">
    <w:abstractNumId w:val="41"/>
  </w:num>
  <w:num w:numId="33" w16cid:durableId="1566643170">
    <w:abstractNumId w:val="35"/>
  </w:num>
  <w:num w:numId="34" w16cid:durableId="2060787732">
    <w:abstractNumId w:val="39"/>
  </w:num>
  <w:num w:numId="35" w16cid:durableId="34161354">
    <w:abstractNumId w:val="7"/>
  </w:num>
  <w:num w:numId="36" w16cid:durableId="1976908676">
    <w:abstractNumId w:val="10"/>
  </w:num>
  <w:num w:numId="37" w16cid:durableId="758528303">
    <w:abstractNumId w:val="20"/>
  </w:num>
  <w:num w:numId="38" w16cid:durableId="178396561">
    <w:abstractNumId w:val="42"/>
  </w:num>
  <w:num w:numId="39" w16cid:durableId="934825996">
    <w:abstractNumId w:val="14"/>
  </w:num>
  <w:num w:numId="40" w16cid:durableId="1030913423">
    <w:abstractNumId w:val="11"/>
  </w:num>
  <w:num w:numId="41" w16cid:durableId="272129418">
    <w:abstractNumId w:val="18"/>
  </w:num>
  <w:num w:numId="42" w16cid:durableId="1460491687">
    <w:abstractNumId w:val="17"/>
  </w:num>
  <w:num w:numId="43" w16cid:durableId="218133144">
    <w:abstractNumId w:val="40"/>
  </w:num>
  <w:num w:numId="44" w16cid:durableId="80041768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95555"/>
    <w:rsid w:val="003E3126"/>
    <w:rsid w:val="00426E5F"/>
    <w:rsid w:val="0045086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616A4"/>
    <w:rsid w:val="009773E4"/>
    <w:rsid w:val="009B171C"/>
    <w:rsid w:val="009F1313"/>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4059</Words>
  <Characters>23139</Characters>
  <Application>Microsoft Office Word</Application>
  <DocSecurity>0</DocSecurity>
  <Lines>192</Lines>
  <Paragraphs>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2023-02-01T21:02:00Z</dcterms:created>
  <dcterms:modified xsi:type="dcterms:W3CDTF">2023-02-01T21:02:00Z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