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23D2E6CA" w:rsidR="00F53FB7" w:rsidRDefault="00DD466D" w:rsidP="00A93499">
      <w:pPr>
        <w:pStyle w:val="Heading1"/>
      </w:pPr>
      <w:r>
        <w:t>1.ИМЕ НА ЛЕКАРСТВЕНИЯ ПРОДУКТ</w:t>
      </w:r>
    </w:p>
    <w:p w14:paraId="6CEC905F" w14:textId="4A6B872B" w:rsidR="004800E5" w:rsidRDefault="004800E5" w:rsidP="004800E5"/>
    <w:p w14:paraId="48E3F4A4" w14:textId="77777777" w:rsidR="004800E5" w:rsidRPr="004800E5" w:rsidRDefault="004800E5" w:rsidP="004800E5">
      <w:pPr>
        <w:rPr>
          <w:sz w:val="24"/>
          <w:szCs w:val="24"/>
          <w:lang w:eastAsia="bg-BG"/>
        </w:rPr>
      </w:pPr>
      <w:r w:rsidRPr="004800E5">
        <w:rPr>
          <w:lang w:eastAsia="bg-BG"/>
        </w:rPr>
        <w:t xml:space="preserve">БЕТАК 20 </w:t>
      </w:r>
      <w:r w:rsidRPr="004800E5">
        <w:rPr>
          <w:lang w:val="en-US"/>
        </w:rPr>
        <w:t xml:space="preserve">mg </w:t>
      </w:r>
      <w:r w:rsidRPr="004800E5">
        <w:rPr>
          <w:lang w:eastAsia="bg-BG"/>
        </w:rPr>
        <w:t>филмирани таблетки</w:t>
      </w:r>
    </w:p>
    <w:p w14:paraId="1A2D63CD" w14:textId="631691F7" w:rsidR="004800E5" w:rsidRPr="004800E5" w:rsidRDefault="004800E5" w:rsidP="004800E5">
      <w:pPr>
        <w:rPr>
          <w:sz w:val="24"/>
          <w:szCs w:val="24"/>
          <w:lang w:eastAsia="bg-BG"/>
        </w:rPr>
      </w:pPr>
      <w:r w:rsidRPr="004800E5">
        <w:rPr>
          <w:lang w:eastAsia="bg-BG"/>
        </w:rPr>
        <w:t xml:space="preserve">ВЕТАС 20 </w:t>
      </w:r>
      <w:r w:rsidRPr="004800E5">
        <w:rPr>
          <w:lang w:val="en-US"/>
        </w:rPr>
        <w:t>mg film-coated tablets</w:t>
      </w:r>
    </w:p>
    <w:p w14:paraId="0DF202EC" w14:textId="71DBE0F9" w:rsidR="00F53FB7" w:rsidRDefault="00DD466D" w:rsidP="00A93499">
      <w:pPr>
        <w:pStyle w:val="Heading1"/>
      </w:pPr>
      <w:r>
        <w:t>2. КАЧЕСТВЕН И КОЛИЧЕСТВЕН СЪСТАВ</w:t>
      </w:r>
    </w:p>
    <w:p w14:paraId="1B52A1E7" w14:textId="4C19CEB1" w:rsidR="004800E5" w:rsidRDefault="004800E5" w:rsidP="004800E5"/>
    <w:p w14:paraId="1F409FE6" w14:textId="77777777" w:rsidR="004800E5" w:rsidRPr="004800E5" w:rsidRDefault="004800E5" w:rsidP="004800E5">
      <w:pPr>
        <w:rPr>
          <w:sz w:val="24"/>
          <w:szCs w:val="24"/>
          <w:lang w:eastAsia="bg-BG"/>
        </w:rPr>
      </w:pPr>
      <w:r w:rsidRPr="004800E5">
        <w:rPr>
          <w:lang w:eastAsia="bg-BG"/>
        </w:rPr>
        <w:t xml:space="preserve">Всяка филмирана таблетка съдържа бетаксололов хидрохлорид </w:t>
      </w:r>
      <w:r w:rsidRPr="004800E5">
        <w:rPr>
          <w:i/>
          <w:iCs/>
          <w:lang w:val="en-US"/>
        </w:rPr>
        <w:t>(</w:t>
      </w:r>
      <w:proofErr w:type="spellStart"/>
      <w:r w:rsidRPr="004800E5">
        <w:rPr>
          <w:i/>
          <w:iCs/>
          <w:lang w:val="en-US"/>
        </w:rPr>
        <w:t>betaxolol</w:t>
      </w:r>
      <w:proofErr w:type="spellEnd"/>
      <w:r w:rsidRPr="004800E5">
        <w:rPr>
          <w:i/>
          <w:iCs/>
          <w:lang w:val="en-US"/>
        </w:rPr>
        <w:t xml:space="preserve"> hydrochloride)</w:t>
      </w:r>
      <w:r w:rsidRPr="004800E5">
        <w:rPr>
          <w:lang w:val="en-US"/>
        </w:rPr>
        <w:t xml:space="preserve"> </w:t>
      </w:r>
      <w:r w:rsidRPr="004800E5">
        <w:rPr>
          <w:lang w:eastAsia="bg-BG"/>
        </w:rPr>
        <w:t xml:space="preserve">20 </w:t>
      </w:r>
      <w:r w:rsidRPr="004800E5">
        <w:rPr>
          <w:lang w:val="en-US"/>
        </w:rPr>
        <w:t>mg.</w:t>
      </w:r>
    </w:p>
    <w:p w14:paraId="052B3E6D" w14:textId="77777777" w:rsidR="004800E5" w:rsidRDefault="004800E5" w:rsidP="004800E5">
      <w:pPr>
        <w:rPr>
          <w:u w:val="single"/>
          <w:lang w:eastAsia="bg-BG"/>
        </w:rPr>
      </w:pPr>
    </w:p>
    <w:p w14:paraId="151B49D9" w14:textId="5397E4A4" w:rsidR="004800E5" w:rsidRPr="004800E5" w:rsidRDefault="004800E5" w:rsidP="004800E5">
      <w:r w:rsidRPr="004800E5">
        <w:rPr>
          <w:u w:val="single"/>
          <w:lang w:eastAsia="bg-BG"/>
        </w:rPr>
        <w:t>Помощно вещество с известно действие:</w:t>
      </w:r>
      <w:r w:rsidRPr="004800E5">
        <w:rPr>
          <w:lang w:eastAsia="bg-BG"/>
        </w:rPr>
        <w:t xml:space="preserve"> Една таблетка съдържа 100 </w:t>
      </w:r>
      <w:r w:rsidRPr="004800E5">
        <w:rPr>
          <w:lang w:val="en-US"/>
        </w:rPr>
        <w:t xml:space="preserve">mg </w:t>
      </w:r>
      <w:r w:rsidRPr="004800E5">
        <w:rPr>
          <w:lang w:eastAsia="bg-BG"/>
        </w:rPr>
        <w:t>лактоза монохидрат.</w:t>
      </w:r>
    </w:p>
    <w:p w14:paraId="4CABB9ED" w14:textId="64E9B4EA" w:rsidR="00F53FB7" w:rsidRDefault="00DD466D" w:rsidP="00A93499">
      <w:pPr>
        <w:pStyle w:val="Heading1"/>
      </w:pPr>
      <w:r>
        <w:t>3. ЛЕКАРСТВЕНА ФОРМА</w:t>
      </w:r>
    </w:p>
    <w:p w14:paraId="74CE6E50" w14:textId="2E6AF630" w:rsidR="004800E5" w:rsidRDefault="004800E5" w:rsidP="004800E5"/>
    <w:p w14:paraId="3131C0E3" w14:textId="77777777" w:rsidR="004800E5" w:rsidRPr="004800E5" w:rsidRDefault="004800E5" w:rsidP="004800E5">
      <w:pPr>
        <w:rPr>
          <w:sz w:val="24"/>
          <w:szCs w:val="24"/>
          <w:lang w:eastAsia="bg-BG"/>
        </w:rPr>
      </w:pPr>
      <w:r w:rsidRPr="004800E5">
        <w:rPr>
          <w:lang w:eastAsia="bg-BG"/>
        </w:rPr>
        <w:t>Филмирана таблетка</w:t>
      </w:r>
    </w:p>
    <w:p w14:paraId="5CC18D85" w14:textId="77777777" w:rsidR="004800E5" w:rsidRPr="004800E5" w:rsidRDefault="004800E5" w:rsidP="004800E5">
      <w:pPr>
        <w:rPr>
          <w:sz w:val="24"/>
          <w:szCs w:val="24"/>
          <w:lang w:eastAsia="bg-BG"/>
        </w:rPr>
      </w:pPr>
      <w:r w:rsidRPr="004800E5">
        <w:rPr>
          <w:lang w:eastAsia="bg-BG"/>
        </w:rPr>
        <w:t>Бяла, кръгла, изпъкнала филмирана таблетка с делителна черта.</w:t>
      </w:r>
    </w:p>
    <w:p w14:paraId="5873647B" w14:textId="085F04FB" w:rsidR="004800E5" w:rsidRPr="004800E5" w:rsidRDefault="004800E5" w:rsidP="004800E5">
      <w:r w:rsidRPr="004800E5">
        <w:rPr>
          <w:lang w:eastAsia="bg-BG"/>
        </w:rPr>
        <w:t>Таблетката може да бъде разделена на две равни дози.</w:t>
      </w:r>
    </w:p>
    <w:p w14:paraId="490FC2C4" w14:textId="6899DE43" w:rsidR="002C50EE" w:rsidRDefault="002C50EE" w:rsidP="002C50EE">
      <w:pPr>
        <w:pStyle w:val="Heading1"/>
      </w:pPr>
      <w:r>
        <w:t>4. КЛИНИЧНИ ДАННИ</w:t>
      </w:r>
    </w:p>
    <w:p w14:paraId="1AEF7FB6" w14:textId="2AC6BB19" w:rsidR="00A428B7" w:rsidRDefault="002C50EE" w:rsidP="00340E8D">
      <w:pPr>
        <w:pStyle w:val="Heading2"/>
      </w:pPr>
      <w:r>
        <w:t>4.1. Терапевтични показания</w:t>
      </w:r>
    </w:p>
    <w:p w14:paraId="250482FA" w14:textId="392182F1" w:rsidR="004800E5" w:rsidRDefault="004800E5" w:rsidP="004800E5"/>
    <w:p w14:paraId="0F7BC7EA" w14:textId="77777777" w:rsidR="004800E5" w:rsidRPr="004800E5" w:rsidRDefault="004800E5" w:rsidP="004800E5">
      <w:pPr>
        <w:rPr>
          <w:sz w:val="24"/>
          <w:szCs w:val="24"/>
          <w:lang w:eastAsia="bg-BG"/>
        </w:rPr>
      </w:pPr>
      <w:r w:rsidRPr="004800E5">
        <w:rPr>
          <w:lang w:eastAsia="bg-BG"/>
        </w:rPr>
        <w:t>Лечение на артериална хипертония.</w:t>
      </w:r>
    </w:p>
    <w:p w14:paraId="55A93463" w14:textId="11390D1C" w:rsidR="004800E5" w:rsidRDefault="004800E5" w:rsidP="004800E5">
      <w:pPr>
        <w:rPr>
          <w:lang w:eastAsia="bg-BG"/>
        </w:rPr>
      </w:pPr>
      <w:r w:rsidRPr="004800E5">
        <w:rPr>
          <w:lang w:eastAsia="bg-BG"/>
        </w:rPr>
        <w:t>Профилактика на стенокардия при усилие.</w:t>
      </w:r>
    </w:p>
    <w:p w14:paraId="54B89B20" w14:textId="77777777" w:rsidR="004800E5" w:rsidRPr="004800E5" w:rsidRDefault="004800E5" w:rsidP="004800E5">
      <w:pPr>
        <w:rPr>
          <w:sz w:val="24"/>
          <w:szCs w:val="24"/>
          <w:lang w:eastAsia="bg-BG"/>
        </w:rPr>
      </w:pPr>
    </w:p>
    <w:p w14:paraId="4EC58B12" w14:textId="795B4DDA" w:rsidR="00A428B7" w:rsidRDefault="002C50EE" w:rsidP="00340E8D">
      <w:pPr>
        <w:pStyle w:val="Heading2"/>
      </w:pPr>
      <w:r>
        <w:t>4.2. Дозировка и начин на приложение</w:t>
      </w:r>
    </w:p>
    <w:p w14:paraId="3EC6A4FF" w14:textId="65B4ADC4" w:rsidR="004800E5" w:rsidRDefault="004800E5" w:rsidP="004800E5"/>
    <w:p w14:paraId="08339DBD" w14:textId="77777777"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Дозировка</w:t>
      </w:r>
    </w:p>
    <w:p w14:paraId="3F37028C"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 xml:space="preserve">Обичайната доза е една таблетка от 20 </w:t>
      </w:r>
      <w:r w:rsidRPr="004800E5">
        <w:rPr>
          <w:rFonts w:eastAsia="Times New Roman" w:cs="Arial"/>
          <w:color w:val="000000"/>
          <w:lang w:val="en-US"/>
        </w:rPr>
        <w:t xml:space="preserve">mg </w:t>
      </w:r>
      <w:r w:rsidRPr="004800E5">
        <w:rPr>
          <w:rFonts w:eastAsia="Times New Roman" w:cs="Arial"/>
          <w:color w:val="000000"/>
          <w:lang w:eastAsia="bg-BG"/>
        </w:rPr>
        <w:t>на ден като единична доза и при двете показания.</w:t>
      </w:r>
    </w:p>
    <w:p w14:paraId="6CD81A41" w14:textId="77777777" w:rsidR="004800E5" w:rsidRPr="004800E5" w:rsidRDefault="004800E5" w:rsidP="004800E5">
      <w:pPr>
        <w:spacing w:line="240" w:lineRule="auto"/>
        <w:rPr>
          <w:rFonts w:eastAsia="Times New Roman" w:cs="Arial"/>
          <w:i/>
          <w:iCs/>
          <w:color w:val="000000"/>
          <w:u w:val="single"/>
          <w:lang w:eastAsia="bg-BG"/>
        </w:rPr>
      </w:pPr>
    </w:p>
    <w:p w14:paraId="3C69991D" w14:textId="647EBAFB" w:rsidR="004800E5" w:rsidRPr="004800E5" w:rsidRDefault="004800E5" w:rsidP="004800E5">
      <w:pPr>
        <w:spacing w:line="240" w:lineRule="auto"/>
        <w:rPr>
          <w:rFonts w:eastAsia="Times New Roman" w:cs="Arial"/>
          <w:sz w:val="28"/>
          <w:szCs w:val="28"/>
          <w:lang w:eastAsia="bg-BG"/>
        </w:rPr>
      </w:pPr>
      <w:r w:rsidRPr="004800E5">
        <w:rPr>
          <w:rFonts w:eastAsia="Times New Roman" w:cs="Arial"/>
          <w:i/>
          <w:iCs/>
          <w:color w:val="000000"/>
          <w:u w:val="single"/>
          <w:lang w:eastAsia="bg-BG"/>
        </w:rPr>
        <w:t>Бъбречна недостатъчност</w:t>
      </w:r>
    </w:p>
    <w:p w14:paraId="3A23C8B9"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 xml:space="preserve">Дозировката трябва да се коригира според състоянието на бъбречната функция: до креатининов клирънс от 20 </w:t>
      </w:r>
      <w:r w:rsidRPr="004800E5">
        <w:rPr>
          <w:rFonts w:eastAsia="Times New Roman" w:cs="Arial"/>
          <w:color w:val="000000"/>
          <w:lang w:val="en-US"/>
        </w:rPr>
        <w:t xml:space="preserve">ml </w:t>
      </w:r>
      <w:r w:rsidRPr="004800E5">
        <w:rPr>
          <w:rFonts w:eastAsia="Times New Roman" w:cs="Arial"/>
          <w:color w:val="000000"/>
          <w:lang w:eastAsia="bg-BG"/>
        </w:rPr>
        <w:t>на минута, не е необходимо да се променя дозата. Въпреки това се препоръчва клинично наблюдение в началото на лечението, докато нивата в кръвта се балансират (средно 4 дни).</w:t>
      </w:r>
    </w:p>
    <w:p w14:paraId="6D5E46E6" w14:textId="77777777" w:rsidR="004800E5" w:rsidRPr="004800E5" w:rsidRDefault="004800E5" w:rsidP="004800E5">
      <w:pPr>
        <w:spacing w:line="240" w:lineRule="auto"/>
        <w:rPr>
          <w:rFonts w:eastAsia="Times New Roman" w:cs="Arial"/>
          <w:color w:val="000000"/>
          <w:lang w:eastAsia="bg-BG"/>
        </w:rPr>
      </w:pPr>
    </w:p>
    <w:p w14:paraId="09D83D39" w14:textId="49CD8B1A"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 xml:space="preserve">В случай на тежка бъбречна недостатъчност (креатининов клирънс &lt;20 </w:t>
      </w:r>
      <w:r w:rsidRPr="004800E5">
        <w:rPr>
          <w:rFonts w:eastAsia="Times New Roman" w:cs="Arial"/>
          <w:color w:val="000000"/>
          <w:lang w:val="en-US"/>
        </w:rPr>
        <w:t xml:space="preserve">ml/min), </w:t>
      </w:r>
      <w:r w:rsidRPr="004800E5">
        <w:rPr>
          <w:rFonts w:eastAsia="Times New Roman" w:cs="Arial"/>
          <w:color w:val="000000"/>
          <w:lang w:eastAsia="bg-BG"/>
        </w:rPr>
        <w:t xml:space="preserve">препоръчителната начална доза е 10 </w:t>
      </w:r>
      <w:r w:rsidRPr="004800E5">
        <w:rPr>
          <w:rFonts w:eastAsia="Times New Roman" w:cs="Arial"/>
          <w:color w:val="000000"/>
          <w:lang w:val="en-US"/>
        </w:rPr>
        <w:t xml:space="preserve">mg/ </w:t>
      </w:r>
      <w:r w:rsidRPr="004800E5">
        <w:rPr>
          <w:rFonts w:eastAsia="Times New Roman" w:cs="Arial"/>
          <w:color w:val="000000"/>
          <w:lang w:eastAsia="bg-BG"/>
        </w:rPr>
        <w:t>дневно (взета независимо от ритъма и времето на извънбъбречно пречистване при пациенти на диализа).</w:t>
      </w:r>
    </w:p>
    <w:p w14:paraId="36DA3370" w14:textId="77777777" w:rsidR="004800E5" w:rsidRPr="004800E5" w:rsidRDefault="004800E5" w:rsidP="004800E5">
      <w:pPr>
        <w:spacing w:line="240" w:lineRule="auto"/>
        <w:rPr>
          <w:rFonts w:eastAsia="Times New Roman" w:cs="Arial"/>
          <w:i/>
          <w:iCs/>
          <w:color w:val="000000"/>
          <w:u w:val="single"/>
          <w:lang w:eastAsia="bg-BG"/>
        </w:rPr>
      </w:pPr>
    </w:p>
    <w:p w14:paraId="47B16948" w14:textId="39741F1B" w:rsidR="004800E5" w:rsidRPr="004800E5" w:rsidRDefault="004800E5" w:rsidP="004800E5">
      <w:pPr>
        <w:spacing w:line="240" w:lineRule="auto"/>
        <w:rPr>
          <w:rFonts w:eastAsia="Times New Roman" w:cs="Arial"/>
          <w:sz w:val="28"/>
          <w:szCs w:val="28"/>
          <w:lang w:eastAsia="bg-BG"/>
        </w:rPr>
      </w:pPr>
      <w:r w:rsidRPr="004800E5">
        <w:rPr>
          <w:rFonts w:eastAsia="Times New Roman" w:cs="Arial"/>
          <w:i/>
          <w:iCs/>
          <w:color w:val="000000"/>
          <w:u w:val="single"/>
          <w:lang w:eastAsia="bg-BG"/>
        </w:rPr>
        <w:t>Чернодробна недостатъчност</w:t>
      </w:r>
    </w:p>
    <w:p w14:paraId="10969578"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lastRenderedPageBreak/>
        <w:t xml:space="preserve">Не е необходимо адаптиране на дозата, но при започване на лечението се препоръчва клинично </w:t>
      </w:r>
    </w:p>
    <w:p w14:paraId="7C20C41F" w14:textId="6BF4275A"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проследяване.</w:t>
      </w:r>
    </w:p>
    <w:p w14:paraId="61064D3A" w14:textId="77777777" w:rsidR="004800E5" w:rsidRPr="004800E5" w:rsidRDefault="004800E5" w:rsidP="004800E5">
      <w:pPr>
        <w:spacing w:line="240" w:lineRule="auto"/>
        <w:rPr>
          <w:rFonts w:eastAsia="Times New Roman" w:cs="Arial"/>
          <w:color w:val="000000"/>
          <w:u w:val="single"/>
          <w:lang w:eastAsia="bg-BG"/>
        </w:rPr>
      </w:pPr>
    </w:p>
    <w:p w14:paraId="1010D8B8" w14:textId="7BF0D41D"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Начин на приложение</w:t>
      </w:r>
    </w:p>
    <w:p w14:paraId="7156BD45"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Перорално приложение.</w:t>
      </w:r>
    </w:p>
    <w:p w14:paraId="5F7B1DF4" w14:textId="024AD375" w:rsidR="004800E5" w:rsidRDefault="004800E5" w:rsidP="004800E5">
      <w:pPr>
        <w:rPr>
          <w:rFonts w:eastAsia="Times New Roman" w:cs="Arial"/>
          <w:color w:val="000000"/>
          <w:lang w:eastAsia="bg-BG"/>
        </w:rPr>
      </w:pPr>
      <w:r w:rsidRPr="004800E5">
        <w:rPr>
          <w:rFonts w:eastAsia="Times New Roman" w:cs="Arial"/>
          <w:color w:val="000000"/>
          <w:lang w:eastAsia="bg-BG"/>
        </w:rPr>
        <w:t>Бетаксолол се приема веднъж дневно. Храната не повлиява действието на продукта</w:t>
      </w:r>
    </w:p>
    <w:p w14:paraId="0B9EDF76" w14:textId="77777777" w:rsidR="004800E5" w:rsidRPr="004800E5" w:rsidRDefault="004800E5" w:rsidP="004800E5">
      <w:pPr>
        <w:rPr>
          <w:rFonts w:cs="Arial"/>
          <w:sz w:val="24"/>
          <w:szCs w:val="24"/>
        </w:rPr>
      </w:pPr>
    </w:p>
    <w:p w14:paraId="6158ADF5" w14:textId="3A625EA3" w:rsidR="00A428B7" w:rsidRDefault="002C50EE" w:rsidP="00340E8D">
      <w:pPr>
        <w:pStyle w:val="Heading2"/>
      </w:pPr>
      <w:r>
        <w:t>4.3. Противопоказания</w:t>
      </w:r>
    </w:p>
    <w:p w14:paraId="6AD56A21" w14:textId="185568CE" w:rsidR="004800E5" w:rsidRDefault="004800E5" w:rsidP="004800E5"/>
    <w:p w14:paraId="129EDED0"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 xml:space="preserve">Свръхчувствителност към активното вещество или към някое от помощните вещества, изброени в точка 6.1. Нелекувана сърдечна недостатъчност </w:t>
      </w:r>
    </w:p>
    <w:p w14:paraId="56E6E974" w14:textId="3D4EC9C2"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Кардиогенен шок</w:t>
      </w:r>
    </w:p>
    <w:p w14:paraId="54388E41"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 xml:space="preserve">Втора и трета степен </w:t>
      </w:r>
      <w:r w:rsidRPr="004800E5">
        <w:rPr>
          <w:rFonts w:eastAsia="Times New Roman" w:cs="Arial"/>
          <w:color w:val="000000"/>
          <w:lang w:val="en-US"/>
        </w:rPr>
        <w:t xml:space="preserve">AV </w:t>
      </w:r>
      <w:r w:rsidRPr="004800E5">
        <w:rPr>
          <w:rFonts w:eastAsia="Times New Roman" w:cs="Arial"/>
          <w:color w:val="000000"/>
          <w:lang w:eastAsia="bg-BG"/>
        </w:rPr>
        <w:t>блок (без „пейсмейкър”)</w:t>
      </w:r>
    </w:p>
    <w:p w14:paraId="4F279A14"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Брадикардия (&lt; 45 - 50 удара</w:t>
      </w:r>
      <w:r w:rsidRPr="004800E5">
        <w:rPr>
          <w:rFonts w:eastAsia="Times New Roman" w:cs="Arial"/>
          <w:color w:val="000000"/>
          <w:lang w:val="en-US"/>
        </w:rPr>
        <w:t>/min)</w:t>
      </w:r>
    </w:p>
    <w:p w14:paraId="0747A77B"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proofErr w:type="spellStart"/>
      <w:r w:rsidRPr="004800E5">
        <w:rPr>
          <w:rFonts w:eastAsia="Times New Roman" w:cs="Arial"/>
          <w:color w:val="000000"/>
          <w:lang w:val="en-US"/>
        </w:rPr>
        <w:t>Prinzmetal</w:t>
      </w:r>
      <w:proofErr w:type="spellEnd"/>
      <w:r w:rsidRPr="004800E5">
        <w:rPr>
          <w:rFonts w:eastAsia="Times New Roman" w:cs="Arial"/>
          <w:color w:val="000000"/>
          <w:lang w:val="en-US"/>
        </w:rPr>
        <w:t xml:space="preserve"> </w:t>
      </w:r>
      <w:r w:rsidRPr="004800E5">
        <w:rPr>
          <w:rFonts w:eastAsia="Times New Roman" w:cs="Arial"/>
          <w:color w:val="000000"/>
          <w:lang w:eastAsia="bg-BG"/>
        </w:rPr>
        <w:t xml:space="preserve">(вариантна) стенокардия (в чистите форми, при монотерапия) </w:t>
      </w:r>
    </w:p>
    <w:p w14:paraId="4CA4DC6D"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 xml:space="preserve">Синоатриална дисфункция (включително сино-атриален блок) </w:t>
      </w:r>
    </w:p>
    <w:p w14:paraId="5212A369"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 xml:space="preserve">Тежки форми на синдром на </w:t>
      </w:r>
      <w:r w:rsidRPr="004800E5">
        <w:rPr>
          <w:rFonts w:eastAsia="Times New Roman" w:cs="Arial"/>
          <w:color w:val="000000"/>
          <w:lang w:val="en-US"/>
        </w:rPr>
        <w:t xml:space="preserve">Raynaud </w:t>
      </w:r>
      <w:r w:rsidRPr="004800E5">
        <w:rPr>
          <w:rFonts w:eastAsia="Times New Roman" w:cs="Arial"/>
          <w:color w:val="000000"/>
          <w:lang w:eastAsia="bg-BG"/>
        </w:rPr>
        <w:t xml:space="preserve">и периферно артериално заболяване </w:t>
      </w:r>
    </w:p>
    <w:p w14:paraId="02F0AE1E"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 xml:space="preserve">Нелекуван феохромоцитом </w:t>
      </w:r>
    </w:p>
    <w:p w14:paraId="40907369"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Хипотония</w:t>
      </w:r>
    </w:p>
    <w:p w14:paraId="1788DE40"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Метаболитна ацидоза</w:t>
      </w:r>
    </w:p>
    <w:p w14:paraId="4E4297A2"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Едновременно приложение на флоктафенин или султоприд</w:t>
      </w:r>
    </w:p>
    <w:p w14:paraId="69B1F443" w14:textId="77777777"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Анамнеза за анафилактичен шок</w:t>
      </w:r>
    </w:p>
    <w:p w14:paraId="1FA26135" w14:textId="7A3E9BFC" w:rsidR="004800E5" w:rsidRPr="004800E5" w:rsidRDefault="004800E5" w:rsidP="004800E5">
      <w:pPr>
        <w:pStyle w:val="ListParagraph"/>
        <w:numPr>
          <w:ilvl w:val="0"/>
          <w:numId w:val="40"/>
        </w:numPr>
        <w:spacing w:line="240" w:lineRule="auto"/>
        <w:rPr>
          <w:rFonts w:eastAsia="Times New Roman" w:cs="Arial"/>
          <w:sz w:val="28"/>
          <w:szCs w:val="28"/>
          <w:lang w:eastAsia="bg-BG"/>
        </w:rPr>
      </w:pPr>
      <w:r w:rsidRPr="004800E5">
        <w:rPr>
          <w:rFonts w:eastAsia="Times New Roman" w:cs="Arial"/>
          <w:color w:val="000000"/>
          <w:lang w:eastAsia="bg-BG"/>
        </w:rPr>
        <w:t>Тежка форма на астма и хронична обструктивна белодробна болест.</w:t>
      </w:r>
    </w:p>
    <w:p w14:paraId="4EF2FCB8" w14:textId="77777777" w:rsidR="004800E5" w:rsidRPr="004800E5" w:rsidRDefault="004800E5" w:rsidP="004800E5">
      <w:pPr>
        <w:spacing w:line="240" w:lineRule="auto"/>
        <w:rPr>
          <w:rFonts w:eastAsia="Times New Roman" w:cs="Arial"/>
          <w:sz w:val="28"/>
          <w:szCs w:val="28"/>
          <w:lang w:eastAsia="bg-BG"/>
        </w:rPr>
      </w:pPr>
    </w:p>
    <w:p w14:paraId="45176B5B" w14:textId="51F41182" w:rsidR="00A428B7" w:rsidRDefault="002C50EE" w:rsidP="00340E8D">
      <w:pPr>
        <w:pStyle w:val="Heading2"/>
      </w:pPr>
      <w:r>
        <w:t>4.4. Специални предупреждения и предпазни мерки при употреба</w:t>
      </w:r>
    </w:p>
    <w:p w14:paraId="1B507FAC" w14:textId="0D1D7292" w:rsidR="004800E5" w:rsidRDefault="004800E5" w:rsidP="004800E5"/>
    <w:p w14:paraId="53C6025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пациенти със стенокардия трябва да се избягва рязко прекъсване на лечението. Рязкото спиране може да предизвика тежки ритъмни нарушения, или да доведе до миокарден инфаркт или внезапна сърдечна смърт.</w:t>
      </w:r>
    </w:p>
    <w:p w14:paraId="62801340" w14:textId="77777777" w:rsidR="004800E5" w:rsidRPr="004800E5" w:rsidRDefault="004800E5" w:rsidP="004800E5">
      <w:pPr>
        <w:spacing w:line="240" w:lineRule="auto"/>
        <w:rPr>
          <w:rFonts w:eastAsia="Times New Roman" w:cs="Arial"/>
          <w:i/>
          <w:iCs/>
          <w:color w:val="000000"/>
          <w:lang w:eastAsia="bg-BG"/>
        </w:rPr>
      </w:pPr>
    </w:p>
    <w:p w14:paraId="6E540A5C" w14:textId="0AEDDE91"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Прекъсване на лечението</w:t>
      </w:r>
    </w:p>
    <w:p w14:paraId="291E4DF4"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Трябва да се избягва рязко прекъсване на лечението, особено при пациенти с исхемична болест на сърцето. Дозата трябва да се намалява постепено в рамките на една до две седмици. Трябва, в същото време, да се започне заместително лечение, ако е необходимо, за да се избегне влошаване на стенокардията.</w:t>
      </w:r>
    </w:p>
    <w:p w14:paraId="5C1133CE" w14:textId="77777777" w:rsidR="004800E5" w:rsidRPr="004800E5" w:rsidRDefault="004800E5" w:rsidP="004800E5">
      <w:pPr>
        <w:spacing w:line="240" w:lineRule="auto"/>
        <w:rPr>
          <w:rFonts w:eastAsia="Times New Roman" w:cs="Arial"/>
          <w:i/>
          <w:iCs/>
          <w:color w:val="000000"/>
          <w:lang w:eastAsia="bg-BG"/>
        </w:rPr>
      </w:pPr>
    </w:p>
    <w:p w14:paraId="0AA15E17" w14:textId="666F6F64"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Астма и хронична обструктивна белодробна болест</w:t>
      </w:r>
    </w:p>
    <w:p w14:paraId="6BA340AA"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Бета-блокери могат да се прилагат само при пациенти с умерена форма на заболяването; трябва да се изберат бета-1 селективни бета-блокери във възможно най-ниските начални дози. Препоръчителни са функционални белодробни тестове преди започване на лечението.</w:t>
      </w:r>
    </w:p>
    <w:p w14:paraId="70F4AF5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Ако по време на лечението настъпи астматичен пристъп, може да се използват бета-2 селективни бронходилататори.</w:t>
      </w:r>
    </w:p>
    <w:p w14:paraId="03D65B1D" w14:textId="77777777" w:rsidR="004800E5" w:rsidRPr="004800E5" w:rsidRDefault="004800E5" w:rsidP="004800E5">
      <w:pPr>
        <w:spacing w:line="240" w:lineRule="auto"/>
        <w:rPr>
          <w:rFonts w:eastAsia="Times New Roman" w:cs="Arial"/>
          <w:i/>
          <w:iCs/>
          <w:color w:val="000000"/>
          <w:lang w:eastAsia="bg-BG"/>
        </w:rPr>
      </w:pPr>
    </w:p>
    <w:p w14:paraId="75F6B67A" w14:textId="1AFD55EE"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Сърдечна недостатъчност</w:t>
      </w:r>
    </w:p>
    <w:p w14:paraId="14C3507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При пациенти с лекарствено контролирана сърдечна недостатъчност, ако е необходимо, може да се прилага бетаксолол в постепено повишаващи се дози и под строго </w:t>
      </w:r>
      <w:r w:rsidRPr="004800E5">
        <w:rPr>
          <w:rFonts w:eastAsia="Times New Roman" w:cs="Arial"/>
          <w:color w:val="000000"/>
          <w:lang w:eastAsia="bg-BG"/>
        </w:rPr>
        <w:lastRenderedPageBreak/>
        <w:t>медицинско проследяване. При започване на лечението трябва да се използват много ниски дози.</w:t>
      </w:r>
    </w:p>
    <w:p w14:paraId="21FEAE34" w14:textId="77777777" w:rsidR="004800E5" w:rsidRPr="004800E5" w:rsidRDefault="004800E5" w:rsidP="004800E5">
      <w:pPr>
        <w:spacing w:line="240" w:lineRule="auto"/>
        <w:rPr>
          <w:rFonts w:eastAsia="Times New Roman" w:cs="Arial"/>
          <w:i/>
          <w:iCs/>
          <w:color w:val="000000"/>
          <w:lang w:eastAsia="bg-BG"/>
        </w:rPr>
      </w:pPr>
    </w:p>
    <w:p w14:paraId="23F3DA73" w14:textId="51721E3B"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Брадикардия</w:t>
      </w:r>
    </w:p>
    <w:p w14:paraId="5D103E19"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Дозата трябва да се намали, ако сърдечната честота в покой на пациента е по-малко от 50-55 удара в минута и се наблюдават симптоми, свърдани с брадикардията.</w:t>
      </w:r>
    </w:p>
    <w:p w14:paraId="07CC9362" w14:textId="77777777" w:rsidR="004800E5" w:rsidRPr="004800E5" w:rsidRDefault="004800E5" w:rsidP="004800E5">
      <w:pPr>
        <w:spacing w:line="240" w:lineRule="auto"/>
        <w:rPr>
          <w:rFonts w:eastAsia="Times New Roman" w:cs="Arial"/>
          <w:i/>
          <w:iCs/>
          <w:color w:val="000000"/>
          <w:lang w:eastAsia="bg-BG"/>
        </w:rPr>
      </w:pPr>
    </w:p>
    <w:p w14:paraId="532B3A7E" w14:textId="426DC28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 xml:space="preserve">Атрио-вентрикуларен </w:t>
      </w:r>
      <w:r w:rsidRPr="004800E5">
        <w:rPr>
          <w:rFonts w:eastAsia="Times New Roman" w:cs="Arial"/>
          <w:i/>
          <w:iCs/>
          <w:color w:val="000000"/>
          <w:lang w:val="en-US"/>
        </w:rPr>
        <w:t xml:space="preserve">(AV) </w:t>
      </w:r>
      <w:r w:rsidRPr="004800E5">
        <w:rPr>
          <w:rFonts w:eastAsia="Times New Roman" w:cs="Arial"/>
          <w:i/>
          <w:iCs/>
          <w:color w:val="000000"/>
          <w:lang w:eastAsia="bg-BG"/>
        </w:rPr>
        <w:t>блок първа степен</w:t>
      </w:r>
    </w:p>
    <w:p w14:paraId="3C6FE5D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Поради негативния дромотропен ефект на бета-блокерите, бетаксолол трябва да се прилага с внимание при пациенти с първа степен </w:t>
      </w:r>
      <w:r w:rsidRPr="004800E5">
        <w:rPr>
          <w:rFonts w:eastAsia="Times New Roman" w:cs="Arial"/>
          <w:color w:val="000000"/>
          <w:lang w:val="en-US"/>
        </w:rPr>
        <w:t>AV</w:t>
      </w:r>
      <w:r w:rsidRPr="004800E5">
        <w:rPr>
          <w:rFonts w:eastAsia="Times New Roman" w:cs="Arial"/>
          <w:color w:val="000000"/>
          <w:lang w:eastAsia="bg-BG"/>
        </w:rPr>
        <w:t>-блок.</w:t>
      </w:r>
    </w:p>
    <w:p w14:paraId="580C67C2" w14:textId="77777777" w:rsidR="004800E5" w:rsidRPr="004800E5" w:rsidRDefault="004800E5" w:rsidP="004800E5">
      <w:pPr>
        <w:spacing w:line="240" w:lineRule="auto"/>
        <w:rPr>
          <w:rFonts w:eastAsia="Times New Roman" w:cs="Arial"/>
          <w:i/>
          <w:iCs/>
          <w:color w:val="000000"/>
          <w:lang w:val="en-US"/>
        </w:rPr>
      </w:pPr>
    </w:p>
    <w:p w14:paraId="2BD047F0" w14:textId="4E3EBE03" w:rsidR="004800E5" w:rsidRPr="004800E5" w:rsidRDefault="004800E5" w:rsidP="004800E5">
      <w:pPr>
        <w:spacing w:line="240" w:lineRule="auto"/>
        <w:rPr>
          <w:rFonts w:eastAsia="Times New Roman" w:cs="Arial"/>
          <w:lang w:eastAsia="bg-BG"/>
        </w:rPr>
      </w:pPr>
      <w:proofErr w:type="spellStart"/>
      <w:r w:rsidRPr="004800E5">
        <w:rPr>
          <w:rFonts w:eastAsia="Times New Roman" w:cs="Arial"/>
          <w:i/>
          <w:iCs/>
          <w:color w:val="000000"/>
          <w:lang w:val="en-US"/>
        </w:rPr>
        <w:t>Prinzmetal</w:t>
      </w:r>
      <w:proofErr w:type="spellEnd"/>
      <w:r w:rsidRPr="004800E5">
        <w:rPr>
          <w:rFonts w:eastAsia="Times New Roman" w:cs="Arial"/>
          <w:i/>
          <w:iCs/>
          <w:color w:val="000000"/>
          <w:lang w:val="en-US"/>
        </w:rPr>
        <w:t xml:space="preserve"> </w:t>
      </w:r>
      <w:r w:rsidRPr="004800E5">
        <w:rPr>
          <w:rFonts w:eastAsia="Times New Roman" w:cs="Arial"/>
          <w:i/>
          <w:iCs/>
          <w:color w:val="000000"/>
          <w:lang w:eastAsia="bg-BG"/>
        </w:rPr>
        <w:t>(вариантна) стенокардия</w:t>
      </w:r>
    </w:p>
    <w:p w14:paraId="3DC0FFCA" w14:textId="6EF5622D" w:rsidR="004800E5" w:rsidRPr="004800E5" w:rsidRDefault="004800E5" w:rsidP="004800E5">
      <w:pPr>
        <w:rPr>
          <w:rFonts w:eastAsia="Times New Roman" w:cs="Arial"/>
          <w:color w:val="000000"/>
          <w:lang w:eastAsia="bg-BG"/>
        </w:rPr>
      </w:pPr>
      <w:r w:rsidRPr="004800E5">
        <w:rPr>
          <w:rFonts w:eastAsia="Times New Roman" w:cs="Arial"/>
          <w:color w:val="000000"/>
          <w:lang w:eastAsia="bg-BG"/>
        </w:rPr>
        <w:t xml:space="preserve">Броят и продължителността на стенокардиите пристъпи може да се повиши по време на приложение на бета-блокери на пациенти със стенокардия от типа на </w:t>
      </w:r>
      <w:proofErr w:type="spellStart"/>
      <w:r w:rsidRPr="004800E5">
        <w:rPr>
          <w:rFonts w:eastAsia="Times New Roman" w:cs="Arial"/>
          <w:color w:val="000000"/>
          <w:lang w:val="en-US"/>
        </w:rPr>
        <w:t>Prinzmetal</w:t>
      </w:r>
      <w:proofErr w:type="spellEnd"/>
      <w:r w:rsidRPr="004800E5">
        <w:rPr>
          <w:rFonts w:eastAsia="Times New Roman" w:cs="Arial"/>
          <w:color w:val="000000"/>
          <w:lang w:val="en-US"/>
        </w:rPr>
        <w:t xml:space="preserve">. </w:t>
      </w:r>
      <w:r w:rsidRPr="004800E5">
        <w:rPr>
          <w:rFonts w:eastAsia="Times New Roman" w:cs="Arial"/>
          <w:color w:val="000000"/>
          <w:lang w:eastAsia="bg-BG"/>
        </w:rPr>
        <w:t>Кардиоселективните бета-блокери може да се използват при лека и смесена форма при условие, че едновременно се приемат вазодилататори.</w:t>
      </w:r>
    </w:p>
    <w:p w14:paraId="56C45D58" w14:textId="463DE2B1" w:rsidR="004800E5" w:rsidRPr="004800E5" w:rsidRDefault="004800E5" w:rsidP="004800E5">
      <w:pPr>
        <w:rPr>
          <w:rFonts w:eastAsia="Times New Roman" w:cs="Arial"/>
          <w:color w:val="000000"/>
          <w:lang w:eastAsia="bg-BG"/>
        </w:rPr>
      </w:pPr>
    </w:p>
    <w:p w14:paraId="60F9994A"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Периферни артериални заболявалия</w:t>
      </w:r>
    </w:p>
    <w:p w14:paraId="627A905C"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пациенти с периферни артериални нарушения (болест или синдром на Рейно, артерит или хронично оклузивно артериално заболяване на долните крайници), бета-блокерите могат да влошат тези нарушения. В тези ситуации трябва да се предпочита кардиоселективен бета- блокер с частична агонистична сила, който трябва да се прилага с повишено внимание.</w:t>
      </w:r>
    </w:p>
    <w:p w14:paraId="00D02792" w14:textId="77777777" w:rsidR="004800E5" w:rsidRPr="004800E5" w:rsidRDefault="004800E5" w:rsidP="004800E5">
      <w:pPr>
        <w:spacing w:line="240" w:lineRule="auto"/>
        <w:rPr>
          <w:rFonts w:eastAsia="Times New Roman" w:cs="Arial"/>
          <w:i/>
          <w:iCs/>
          <w:color w:val="000000"/>
          <w:lang w:eastAsia="bg-BG"/>
        </w:rPr>
      </w:pPr>
    </w:p>
    <w:p w14:paraId="13010985" w14:textId="3E634162"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Феохромоцитом</w:t>
      </w:r>
    </w:p>
    <w:p w14:paraId="29D6DC9B"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Употребата на бета-блокери за лечение на хипертония, дължаща се на медикаментозно третиран феохромоцитом изисква строг контрол на артериалното налягане на пациента.</w:t>
      </w:r>
    </w:p>
    <w:p w14:paraId="7F135CF4" w14:textId="77777777" w:rsidR="004800E5" w:rsidRPr="004800E5" w:rsidRDefault="004800E5" w:rsidP="004800E5">
      <w:pPr>
        <w:spacing w:line="240" w:lineRule="auto"/>
        <w:rPr>
          <w:rFonts w:eastAsia="Times New Roman" w:cs="Arial"/>
          <w:i/>
          <w:iCs/>
          <w:color w:val="000000"/>
          <w:u w:val="single"/>
          <w:lang w:eastAsia="bg-BG"/>
        </w:rPr>
      </w:pPr>
    </w:p>
    <w:p w14:paraId="32D9DD02" w14:textId="4C8AACC8" w:rsidR="004800E5" w:rsidRPr="004800E5" w:rsidRDefault="004800E5" w:rsidP="004800E5">
      <w:pPr>
        <w:spacing w:line="240" w:lineRule="auto"/>
        <w:rPr>
          <w:rFonts w:eastAsia="Times New Roman" w:cs="Arial"/>
          <w:lang w:eastAsia="bg-BG"/>
        </w:rPr>
      </w:pPr>
      <w:r w:rsidRPr="004800E5">
        <w:rPr>
          <w:rFonts w:eastAsia="Times New Roman" w:cs="Arial"/>
          <w:i/>
          <w:iCs/>
          <w:color w:val="000000"/>
          <w:u w:val="single"/>
          <w:lang w:eastAsia="bg-BG"/>
        </w:rPr>
        <w:t>Педиатрична популаиия</w:t>
      </w:r>
    </w:p>
    <w:p w14:paraId="6B00602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Не е установена безопасността и ефикасността при педиатрични пациенти. Затова не се препоръчва бетаксолол при деца.</w:t>
      </w:r>
    </w:p>
    <w:p w14:paraId="0D7F92B4" w14:textId="77777777" w:rsidR="004800E5" w:rsidRPr="004800E5" w:rsidRDefault="004800E5" w:rsidP="004800E5">
      <w:pPr>
        <w:spacing w:line="240" w:lineRule="auto"/>
        <w:rPr>
          <w:rFonts w:eastAsia="Times New Roman" w:cs="Arial"/>
          <w:i/>
          <w:iCs/>
          <w:color w:val="000000"/>
          <w:lang w:eastAsia="bg-BG"/>
        </w:rPr>
      </w:pPr>
    </w:p>
    <w:p w14:paraId="0874B9FE" w14:textId="24E20251"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Старческа възраст:</w:t>
      </w:r>
    </w:p>
    <w:p w14:paraId="010FFD4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пациенти в старческа възраст абсолютното спазване на противопоказанията езадължително. Трябва да се внимава да се започне лечение с ниски дози и да се осигури строго проследяване.</w:t>
      </w:r>
    </w:p>
    <w:p w14:paraId="12EACAA0" w14:textId="77777777" w:rsidR="004800E5" w:rsidRPr="004800E5" w:rsidRDefault="004800E5" w:rsidP="004800E5">
      <w:pPr>
        <w:spacing w:line="240" w:lineRule="auto"/>
        <w:rPr>
          <w:rFonts w:eastAsia="Times New Roman" w:cs="Arial"/>
          <w:i/>
          <w:iCs/>
          <w:color w:val="000000"/>
          <w:lang w:eastAsia="bg-BG"/>
        </w:rPr>
      </w:pPr>
    </w:p>
    <w:p w14:paraId="5D7327A9" w14:textId="722BBC7C"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Пациенти с бъбречна недостатъчност (вижте точка 4.2)</w:t>
      </w:r>
    </w:p>
    <w:p w14:paraId="25C56D1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пациенти с бъбречна недостатъчност дозата трябва да се промени според нивата на серумния креатинин и креатининовия клирънс.</w:t>
      </w:r>
    </w:p>
    <w:p w14:paraId="503D9D03" w14:textId="77777777" w:rsidR="004800E5" w:rsidRPr="004800E5" w:rsidRDefault="004800E5" w:rsidP="004800E5">
      <w:pPr>
        <w:spacing w:line="240" w:lineRule="auto"/>
        <w:rPr>
          <w:rFonts w:eastAsia="Times New Roman" w:cs="Arial"/>
          <w:i/>
          <w:iCs/>
          <w:color w:val="000000"/>
          <w:lang w:eastAsia="bg-BG"/>
        </w:rPr>
      </w:pPr>
    </w:p>
    <w:p w14:paraId="21F5EEFB" w14:textId="546C0D0D"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Пациенти с диабет (вижте точки 4.5 и 4.8)</w:t>
      </w:r>
    </w:p>
    <w:p w14:paraId="72DDE9CC"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Пациентите трябва да бъдат предупредени, че е необходимо проследяване на нивата на глюкозата в началото на лечението. Началните симптоми на хипогликемия може да бъдат маскирани, особено тахикардията, треперенето и изпотяването</w:t>
      </w:r>
    </w:p>
    <w:p w14:paraId="0C4532B8" w14:textId="77777777" w:rsidR="004800E5" w:rsidRPr="004800E5" w:rsidRDefault="004800E5" w:rsidP="004800E5">
      <w:pPr>
        <w:spacing w:line="240" w:lineRule="auto"/>
        <w:rPr>
          <w:rFonts w:eastAsia="Times New Roman" w:cs="Arial"/>
          <w:i/>
          <w:iCs/>
          <w:color w:val="000000"/>
          <w:lang w:eastAsia="bg-BG"/>
        </w:rPr>
      </w:pPr>
    </w:p>
    <w:p w14:paraId="465F366A" w14:textId="66BD6E81"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Псориазис (вижте точка 4.8)</w:t>
      </w:r>
    </w:p>
    <w:p w14:paraId="4DB74B5C"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Ефектът от приложението на бета-блокери при пациенти с псориазис трябва внимателно да се прецени, тъй като те могат да доведат до влошаване заболяването.</w:t>
      </w:r>
    </w:p>
    <w:p w14:paraId="77F29BC1" w14:textId="77777777" w:rsidR="004800E5" w:rsidRPr="004800E5" w:rsidRDefault="004800E5" w:rsidP="004800E5">
      <w:pPr>
        <w:spacing w:line="240" w:lineRule="auto"/>
        <w:rPr>
          <w:rFonts w:eastAsia="Times New Roman" w:cs="Arial"/>
          <w:i/>
          <w:iCs/>
          <w:color w:val="000000"/>
          <w:lang w:eastAsia="bg-BG"/>
        </w:rPr>
      </w:pPr>
    </w:p>
    <w:p w14:paraId="0BD2F3DF" w14:textId="55B766E1"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lastRenderedPageBreak/>
        <w:t>Реакции на свръхчувствителност</w:t>
      </w:r>
    </w:p>
    <w:p w14:paraId="36E2779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пациенти с риск от тежка анафилактична реакция поради каквато и да е причина, особено към йодирани контрастни вещества или по време на десенсибилизираща терапия, лечението с бета-блокери може да доведе до влошаване на реакцията и резистентност към нейното лечение с адреналин в обичайни дози.</w:t>
      </w:r>
    </w:p>
    <w:p w14:paraId="1E8903BB" w14:textId="77777777" w:rsidR="004800E5" w:rsidRPr="004800E5" w:rsidRDefault="004800E5" w:rsidP="004800E5">
      <w:pPr>
        <w:spacing w:line="240" w:lineRule="auto"/>
        <w:rPr>
          <w:rFonts w:eastAsia="Times New Roman" w:cs="Arial"/>
          <w:i/>
          <w:iCs/>
          <w:color w:val="000000"/>
          <w:lang w:eastAsia="bg-BG"/>
        </w:rPr>
      </w:pPr>
    </w:p>
    <w:p w14:paraId="2913DEC9" w14:textId="314E2909"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Обща анестезия</w:t>
      </w:r>
    </w:p>
    <w:p w14:paraId="7A569E8E"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Бета-блокерите намаляват рефлексната тахикардия и повишават риска за хипотония. Продължителното лечение с бета-блокери намалява риска от аритмия, миокардна исхемия и хипертонични кризи. Ако пациентът приема бета-блокер, анестезиологьт трябва да бъде информиран за това.</w:t>
      </w:r>
    </w:p>
    <w:p w14:paraId="5F757232" w14:textId="77777777" w:rsidR="004800E5" w:rsidRPr="004800E5" w:rsidRDefault="004800E5" w:rsidP="004800E5">
      <w:pPr>
        <w:pStyle w:val="ListParagraph"/>
        <w:numPr>
          <w:ilvl w:val="0"/>
          <w:numId w:val="41"/>
        </w:numPr>
        <w:spacing w:line="240" w:lineRule="auto"/>
        <w:rPr>
          <w:rFonts w:eastAsia="Times New Roman" w:cs="Arial"/>
          <w:lang w:eastAsia="bg-BG"/>
        </w:rPr>
      </w:pPr>
      <w:r w:rsidRPr="004800E5">
        <w:rPr>
          <w:rFonts w:eastAsia="Times New Roman" w:cs="Arial"/>
          <w:color w:val="000000"/>
          <w:lang w:eastAsia="bg-BG"/>
        </w:rPr>
        <w:t>Ако е необходимо спиране на лечение с бета-блокери, достатъчен е 48-часов интервал за възстановяване на чувствителността към катехоламини.</w:t>
      </w:r>
    </w:p>
    <w:p w14:paraId="701230F4" w14:textId="77777777" w:rsidR="004800E5" w:rsidRPr="004800E5" w:rsidRDefault="004800E5" w:rsidP="004800E5">
      <w:pPr>
        <w:pStyle w:val="ListParagraph"/>
        <w:numPr>
          <w:ilvl w:val="0"/>
          <w:numId w:val="41"/>
        </w:numPr>
        <w:spacing w:line="240" w:lineRule="auto"/>
        <w:rPr>
          <w:rFonts w:eastAsia="Times New Roman" w:cs="Arial"/>
          <w:lang w:eastAsia="bg-BG"/>
        </w:rPr>
      </w:pPr>
      <w:r w:rsidRPr="004800E5">
        <w:rPr>
          <w:rFonts w:eastAsia="Times New Roman" w:cs="Arial"/>
          <w:color w:val="000000"/>
          <w:lang w:eastAsia="bg-BG"/>
        </w:rPr>
        <w:t>При някои пациенти, лечението не може да се прекъсне:</w:t>
      </w:r>
    </w:p>
    <w:p w14:paraId="1822B4D4" w14:textId="716CF8D6" w:rsidR="004800E5" w:rsidRPr="004800E5" w:rsidRDefault="004800E5" w:rsidP="004800E5">
      <w:pPr>
        <w:pStyle w:val="ListParagraph"/>
        <w:numPr>
          <w:ilvl w:val="0"/>
          <w:numId w:val="40"/>
        </w:numPr>
        <w:spacing w:line="240" w:lineRule="auto"/>
        <w:rPr>
          <w:rFonts w:eastAsia="Times New Roman" w:cs="Arial"/>
          <w:lang w:eastAsia="bg-BG"/>
        </w:rPr>
      </w:pPr>
      <w:r w:rsidRPr="004800E5">
        <w:rPr>
          <w:rFonts w:eastAsia="Times New Roman" w:cs="Arial"/>
          <w:color w:val="000000"/>
          <w:lang w:eastAsia="bg-BG"/>
        </w:rPr>
        <w:t>При пациенти с коронарна недостатъчност и възможен риск, свързан с рязкото прекъсване на лечението с бета-блокер, се препоръчва лечението да се продължи до операцията.</w:t>
      </w:r>
    </w:p>
    <w:p w14:paraId="067FFAC4" w14:textId="3444D60E" w:rsidR="004800E5" w:rsidRPr="004800E5" w:rsidRDefault="004800E5" w:rsidP="004800E5">
      <w:pPr>
        <w:pStyle w:val="ListParagraph"/>
        <w:numPr>
          <w:ilvl w:val="0"/>
          <w:numId w:val="40"/>
        </w:numPr>
        <w:spacing w:line="240" w:lineRule="auto"/>
        <w:rPr>
          <w:rFonts w:eastAsia="Times New Roman" w:cs="Arial"/>
          <w:lang w:eastAsia="bg-BG"/>
        </w:rPr>
      </w:pPr>
      <w:r w:rsidRPr="004800E5">
        <w:rPr>
          <w:rFonts w:eastAsia="Times New Roman" w:cs="Arial"/>
          <w:color w:val="000000"/>
          <w:lang w:eastAsia="bg-BG"/>
        </w:rPr>
        <w:t>При спешност или при невъзможност от прекъсване на лечението, пациентът трябва да бъде защитен от парасимпатикусова реакция чрез подходяща премедикация с атропин, която да се повтори при необходимост. Трябва да се използват анастетици с възможно най-нисък кардиодепресивен ефект.</w:t>
      </w:r>
    </w:p>
    <w:p w14:paraId="4F2E8574" w14:textId="78E90F3E" w:rsidR="004800E5" w:rsidRPr="004800E5" w:rsidRDefault="004800E5" w:rsidP="004800E5">
      <w:pPr>
        <w:pStyle w:val="ListParagraph"/>
        <w:numPr>
          <w:ilvl w:val="0"/>
          <w:numId w:val="42"/>
        </w:numPr>
        <w:rPr>
          <w:rFonts w:cs="Arial"/>
        </w:rPr>
      </w:pPr>
      <w:r w:rsidRPr="004800E5">
        <w:rPr>
          <w:rFonts w:eastAsia="Times New Roman" w:cs="Arial"/>
          <w:color w:val="000000"/>
          <w:lang w:eastAsia="bg-BG"/>
        </w:rPr>
        <w:t>Трябва да се има предвид риска от анафилаксия.</w:t>
      </w:r>
    </w:p>
    <w:p w14:paraId="1FFAB363" w14:textId="3E4F5D00" w:rsidR="004800E5" w:rsidRPr="004800E5" w:rsidRDefault="004800E5" w:rsidP="004800E5">
      <w:pPr>
        <w:rPr>
          <w:rFonts w:cs="Arial"/>
        </w:rPr>
      </w:pPr>
    </w:p>
    <w:p w14:paraId="3A7AD246"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Офталмология</w:t>
      </w:r>
    </w:p>
    <w:p w14:paraId="14E1AB2A" w14:textId="3A628AFA"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β-адренергичният блокер намалява вътреочното налягане и може да повлияе на скрининг изследването за глаукома. Трябва да се информира очният лекар, че пациентът приема бетаксолол. Пациентите, получаващи очно, както и системно лечение с бета-блокер трябва внимателно да се проследяват поради възможен адитивен ефект.</w:t>
      </w:r>
    </w:p>
    <w:p w14:paraId="02E39FAE" w14:textId="77777777" w:rsidR="004800E5" w:rsidRPr="004800E5" w:rsidRDefault="004800E5" w:rsidP="004800E5">
      <w:pPr>
        <w:spacing w:line="240" w:lineRule="auto"/>
        <w:rPr>
          <w:rFonts w:eastAsia="Times New Roman" w:cs="Arial"/>
          <w:i/>
          <w:iCs/>
          <w:color w:val="000000"/>
          <w:lang w:eastAsia="bg-BG"/>
        </w:rPr>
      </w:pPr>
    </w:p>
    <w:p w14:paraId="307014AB" w14:textId="717A7B93"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Тиреотоксикоза</w:t>
      </w:r>
    </w:p>
    <w:p w14:paraId="56D5B69E"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Бета-блокерите могат да маскират сърдечно-съдовите симптоми на тиреотоксикоза.</w:t>
      </w:r>
    </w:p>
    <w:p w14:paraId="2CECA8E8" w14:textId="77777777" w:rsidR="004800E5" w:rsidRPr="004800E5" w:rsidRDefault="004800E5" w:rsidP="004800E5">
      <w:pPr>
        <w:spacing w:line="240" w:lineRule="auto"/>
        <w:rPr>
          <w:rFonts w:eastAsia="Times New Roman" w:cs="Arial"/>
          <w:i/>
          <w:iCs/>
          <w:color w:val="000000"/>
          <w:lang w:eastAsia="bg-BG"/>
        </w:rPr>
      </w:pPr>
    </w:p>
    <w:p w14:paraId="5FCBA4B6" w14:textId="717191A0"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Спортисти</w:t>
      </w:r>
    </w:p>
    <w:p w14:paraId="227AC7BD"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Спортистите трябва да бъдат информирани, че този лекарствен продукт съдържа активно вещество, което може да предизвика положителна реакция при антидопинг тестовете.</w:t>
      </w:r>
    </w:p>
    <w:p w14:paraId="5E14F9B2" w14:textId="77777777" w:rsidR="004800E5" w:rsidRPr="004800E5" w:rsidRDefault="004800E5" w:rsidP="004800E5">
      <w:pPr>
        <w:spacing w:line="240" w:lineRule="auto"/>
        <w:rPr>
          <w:rFonts w:eastAsia="Times New Roman" w:cs="Arial"/>
          <w:i/>
          <w:iCs/>
          <w:color w:val="000000"/>
          <w:lang w:eastAsia="bg-BG"/>
        </w:rPr>
      </w:pPr>
    </w:p>
    <w:p w14:paraId="5B4D6D88" w14:textId="0E18878E"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Помощни вещества</w:t>
      </w:r>
    </w:p>
    <w:p w14:paraId="446FEC5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Този лекарствен продукт съдържа лактоза монохидрат. Пациенти с редки наследствени проблеми като галактозна непоносимост, пълен лактазен дефицит или глюкозо-галактозна малабсорбция не трябва да приемат това лекарство.</w:t>
      </w:r>
    </w:p>
    <w:p w14:paraId="7C5DDF79" w14:textId="77777777" w:rsidR="004800E5" w:rsidRPr="004800E5" w:rsidRDefault="004800E5" w:rsidP="004800E5">
      <w:pPr>
        <w:spacing w:line="240" w:lineRule="auto"/>
        <w:rPr>
          <w:rFonts w:eastAsia="Times New Roman" w:cs="Arial"/>
          <w:color w:val="000000"/>
          <w:lang w:eastAsia="bg-BG"/>
        </w:rPr>
      </w:pPr>
    </w:p>
    <w:p w14:paraId="14CBDCEB" w14:textId="65BC1AD2"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Това лекарство съдържа по-малко от 1 </w:t>
      </w:r>
      <w:r w:rsidRPr="004800E5">
        <w:rPr>
          <w:rFonts w:eastAsia="Times New Roman" w:cs="Arial"/>
          <w:color w:val="000000"/>
          <w:lang w:val="en-US"/>
        </w:rPr>
        <w:t xml:space="preserve">mmol </w:t>
      </w:r>
      <w:r w:rsidRPr="004800E5">
        <w:rPr>
          <w:rFonts w:eastAsia="Times New Roman" w:cs="Arial"/>
          <w:color w:val="000000"/>
          <w:lang w:eastAsia="bg-BG"/>
        </w:rPr>
        <w:t xml:space="preserve">натрий (23 </w:t>
      </w:r>
      <w:r w:rsidRPr="004800E5">
        <w:rPr>
          <w:rFonts w:eastAsia="Times New Roman" w:cs="Arial"/>
          <w:color w:val="000000"/>
          <w:lang w:val="en-US"/>
        </w:rPr>
        <w:t xml:space="preserve">mg) </w:t>
      </w:r>
      <w:r w:rsidRPr="004800E5">
        <w:rPr>
          <w:rFonts w:eastAsia="Times New Roman" w:cs="Arial"/>
          <w:color w:val="000000"/>
          <w:lang w:eastAsia="bg-BG"/>
        </w:rPr>
        <w:t>на таблетка, т.е. се счита, че не съдържа натрий.</w:t>
      </w:r>
    </w:p>
    <w:p w14:paraId="05AFAC6F" w14:textId="77777777" w:rsidR="004800E5" w:rsidRPr="004800E5" w:rsidRDefault="004800E5" w:rsidP="004800E5"/>
    <w:p w14:paraId="3A35B3F5" w14:textId="3347D576" w:rsidR="00A428B7" w:rsidRDefault="002C50EE" w:rsidP="00340E8D">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5D4DB2B" w14:textId="31E8EF84" w:rsidR="004800E5" w:rsidRDefault="004800E5" w:rsidP="004800E5"/>
    <w:p w14:paraId="35BEA4B9"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Брадикардни лекарства</w:t>
      </w:r>
    </w:p>
    <w:p w14:paraId="6DC217D5"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Много лекарства могат да причинят брадикардия. Такъв е случаят конкретно с бета-блокерите, антиаритмиците от клас </w:t>
      </w:r>
      <w:r w:rsidRPr="004800E5">
        <w:rPr>
          <w:rFonts w:eastAsia="Times New Roman" w:cs="Arial"/>
          <w:color w:val="000000"/>
          <w:lang w:val="en-US"/>
        </w:rPr>
        <w:t>I</w:t>
      </w:r>
      <w:r w:rsidRPr="004800E5">
        <w:rPr>
          <w:rFonts w:eastAsia="Times New Roman" w:cs="Arial"/>
          <w:color w:val="000000"/>
          <w:lang w:eastAsia="bg-BG"/>
        </w:rPr>
        <w:t xml:space="preserve">а, някои антиаритмици от клас III, някои калциеви </w:t>
      </w:r>
      <w:r w:rsidRPr="004800E5">
        <w:rPr>
          <w:rFonts w:eastAsia="Times New Roman" w:cs="Arial"/>
          <w:color w:val="000000"/>
          <w:lang w:eastAsia="bg-BG"/>
        </w:rPr>
        <w:lastRenderedPageBreak/>
        <w:t>антагонисти, дигиталис, пилокарпин, антихолинестерази и др. Синусов арест може да възникне, когато се използват бета-блокери, включително бетаксолол, в комбинация с други лекарства за което е известно, че предизвикват синусов арест (вижте точка 4.8.).</w:t>
      </w:r>
    </w:p>
    <w:p w14:paraId="6018672C" w14:textId="77777777" w:rsidR="004800E5" w:rsidRPr="004800E5" w:rsidRDefault="004800E5" w:rsidP="004800E5">
      <w:pPr>
        <w:spacing w:line="240" w:lineRule="auto"/>
        <w:rPr>
          <w:rFonts w:eastAsia="Times New Roman" w:cs="Arial"/>
          <w:color w:val="000000"/>
          <w:u w:val="single"/>
          <w:lang w:eastAsia="bg-BG"/>
        </w:rPr>
      </w:pPr>
    </w:p>
    <w:p w14:paraId="4A194349" w14:textId="4C43CCE6"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Противопоказани комбинации</w:t>
      </w:r>
    </w:p>
    <w:p w14:paraId="284CAD40" w14:textId="77777777" w:rsidR="004800E5" w:rsidRPr="004800E5" w:rsidRDefault="004800E5" w:rsidP="004800E5">
      <w:pPr>
        <w:spacing w:line="240" w:lineRule="auto"/>
        <w:rPr>
          <w:rFonts w:eastAsia="Times New Roman" w:cs="Arial"/>
          <w:i/>
          <w:iCs/>
          <w:color w:val="000000"/>
          <w:lang w:eastAsia="bg-BG"/>
        </w:rPr>
      </w:pPr>
    </w:p>
    <w:p w14:paraId="46371991" w14:textId="233AF819"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Флоктафенин</w:t>
      </w:r>
    </w:p>
    <w:p w14:paraId="4ADCA58B"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В случай на предизвикан от флоктафенин шок или хипотония, бета-блокерите намаляват сърдечно-съдовите компменсатори реакции.</w:t>
      </w:r>
    </w:p>
    <w:p w14:paraId="19436D88" w14:textId="77777777" w:rsidR="004800E5" w:rsidRPr="004800E5" w:rsidRDefault="004800E5" w:rsidP="004800E5">
      <w:pPr>
        <w:spacing w:line="240" w:lineRule="auto"/>
        <w:rPr>
          <w:rFonts w:eastAsia="Times New Roman" w:cs="Arial"/>
          <w:i/>
          <w:iCs/>
          <w:color w:val="000000"/>
          <w:lang w:eastAsia="bg-BG"/>
        </w:rPr>
      </w:pPr>
    </w:p>
    <w:p w14:paraId="0DC7A57C" w14:textId="209F45BF"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Султоприд</w:t>
      </w:r>
    </w:p>
    <w:p w14:paraId="3F242D4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Приложението на бетаксолол и султоприд може да причини нарушения в автоматизма (тежка брадикардия) поради кумулативни брадикардични ефекти.</w:t>
      </w:r>
    </w:p>
    <w:p w14:paraId="50D67A4A" w14:textId="77777777" w:rsidR="004800E5" w:rsidRPr="004800E5" w:rsidRDefault="004800E5" w:rsidP="004800E5">
      <w:pPr>
        <w:spacing w:line="240" w:lineRule="auto"/>
        <w:rPr>
          <w:rFonts w:eastAsia="Times New Roman" w:cs="Arial"/>
          <w:i/>
          <w:iCs/>
          <w:color w:val="000000"/>
          <w:lang w:eastAsia="bg-BG"/>
        </w:rPr>
      </w:pPr>
    </w:p>
    <w:p w14:paraId="69EB106E" w14:textId="4ACDB646"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Дилтиазем</w:t>
      </w:r>
    </w:p>
    <w:p w14:paraId="79E238E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Нарушения на автоматизма (прекомерна брадикардия, синусов арест), синоатриални и атриовентрикуларни нарушения на проводимостта и сърдечна недостатъчност. Такава комбинация трябва да се прави само при внимателно клинично и ЕКГ мониториране, особено при пациенти в старческа възраст или в началото на лечението. Съобщава се за повишен риск от депресия при съвместно приложение на бета-блокери с дилтиазем (вижте точка 4.8).</w:t>
      </w:r>
    </w:p>
    <w:p w14:paraId="56B347B9" w14:textId="77777777" w:rsidR="004800E5" w:rsidRPr="004800E5" w:rsidRDefault="004800E5" w:rsidP="004800E5">
      <w:pPr>
        <w:spacing w:line="240" w:lineRule="auto"/>
        <w:rPr>
          <w:rFonts w:eastAsia="Times New Roman" w:cs="Arial"/>
          <w:i/>
          <w:iCs/>
          <w:color w:val="000000"/>
          <w:lang w:eastAsia="bg-BG"/>
        </w:rPr>
      </w:pPr>
    </w:p>
    <w:p w14:paraId="76ADFA2A" w14:textId="4F1E4113"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Верапамил</w:t>
      </w:r>
    </w:p>
    <w:p w14:paraId="0B630E0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Нарушения на автоматизма (прекомерна брадикардия, синусов арест), синоатриални и атриовентрикуларни нарушения на проводимостта и сърдечна недостатъчност. Такава</w:t>
      </w:r>
      <w:r w:rsidRPr="004800E5">
        <w:rPr>
          <w:rFonts w:eastAsia="Times New Roman" w:cs="Arial"/>
          <w:color w:val="000000"/>
          <w:u w:val="single"/>
          <w:lang w:eastAsia="bg-BG"/>
        </w:rPr>
        <w:t xml:space="preserve"> </w:t>
      </w:r>
      <w:r w:rsidRPr="004800E5">
        <w:rPr>
          <w:rFonts w:eastAsia="Times New Roman" w:cs="Arial"/>
          <w:color w:val="000000"/>
          <w:lang w:eastAsia="bg-BG"/>
        </w:rPr>
        <w:t>комбинация трябва да се прави само при внимателно клинично и ЕКГ мониториране, особено при пациенти в старческа възраст или в началото на лечението.</w:t>
      </w:r>
    </w:p>
    <w:p w14:paraId="67D12CC0" w14:textId="77777777" w:rsidR="004800E5" w:rsidRPr="004800E5" w:rsidRDefault="004800E5" w:rsidP="004800E5">
      <w:pPr>
        <w:spacing w:line="240" w:lineRule="auto"/>
        <w:rPr>
          <w:rFonts w:eastAsia="Times New Roman" w:cs="Arial"/>
          <w:i/>
          <w:iCs/>
          <w:color w:val="000000"/>
          <w:lang w:eastAsia="bg-BG"/>
        </w:rPr>
      </w:pPr>
    </w:p>
    <w:p w14:paraId="721DE441" w14:textId="36D36B89"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Финголимод</w:t>
      </w:r>
    </w:p>
    <w:p w14:paraId="3237756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Потенциране на брадикардични ефекти, които могат да имат фатални последици. Бета- блокерите са още по-рискови, защото предотвратяват адренергичните компенсаторни механизми. Непрекъснато клинично и ЕКГ мониториране в продължение на 24 часа след първата доза.</w:t>
      </w:r>
    </w:p>
    <w:p w14:paraId="43E037B4" w14:textId="77777777" w:rsidR="004800E5" w:rsidRPr="004800E5" w:rsidRDefault="004800E5" w:rsidP="004800E5">
      <w:pPr>
        <w:spacing w:line="240" w:lineRule="auto"/>
        <w:rPr>
          <w:rFonts w:eastAsia="Times New Roman" w:cs="Arial"/>
          <w:color w:val="000000"/>
          <w:u w:val="single"/>
          <w:lang w:eastAsia="bg-BG"/>
        </w:rPr>
      </w:pPr>
    </w:p>
    <w:p w14:paraId="149FBA26" w14:textId="54E3D7F2"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Комбинации, които изискват внимание</w:t>
      </w:r>
    </w:p>
    <w:p w14:paraId="4EB51374"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Амиодарон</w:t>
      </w:r>
    </w:p>
    <w:p w14:paraId="13B82634"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Съвместното приложение на бетаксолол и амиодарон може да доведе до нарушаване на съдечния контрактилитет, автоматизъм и провеждане (потискане на симпатикусовите компенсаторни механизми). Тази комбинация трябва да се използва под клинично и ЕКГ мониториране.</w:t>
      </w:r>
    </w:p>
    <w:p w14:paraId="1A9E634C"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Дигиталисови гликозиди</w:t>
      </w:r>
    </w:p>
    <w:p w14:paraId="49541C3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Това взаимодействие може да удължи времето за атрио-вентрикуларното провеждане и да доведе до брадикардия.</w:t>
      </w:r>
    </w:p>
    <w:p w14:paraId="3FECCEF1" w14:textId="77777777" w:rsidR="004800E5" w:rsidRPr="004800E5" w:rsidRDefault="004800E5" w:rsidP="004800E5">
      <w:pPr>
        <w:spacing w:line="240" w:lineRule="auto"/>
        <w:rPr>
          <w:rFonts w:eastAsia="Times New Roman" w:cs="Arial"/>
          <w:i/>
          <w:iCs/>
          <w:color w:val="000000"/>
          <w:lang w:eastAsia="bg-BG"/>
        </w:rPr>
      </w:pPr>
    </w:p>
    <w:p w14:paraId="3ACC7B39" w14:textId="0BC5D799"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Летливи халогенирани анестетици</w:t>
      </w:r>
    </w:p>
    <w:p w14:paraId="51A0077B"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Бета-блокерите намаляват сърдечно-съдовите компенсаторни реакции. (Бета-адренергичното инхибиране може да се отстрани по време на интервенция като се изполват бета-миметици.) Трябва по правило да се избягва внезапното прекъсване на приложение на бета-блокери. Анастезиологьт трябва да бъде информиран за лечението с бета-блокери.</w:t>
      </w:r>
    </w:p>
    <w:p w14:paraId="750C8418" w14:textId="77777777" w:rsidR="004800E5" w:rsidRPr="004800E5" w:rsidRDefault="004800E5" w:rsidP="004800E5">
      <w:pPr>
        <w:spacing w:line="240" w:lineRule="auto"/>
        <w:rPr>
          <w:rFonts w:eastAsia="Times New Roman" w:cs="Arial"/>
          <w:i/>
          <w:iCs/>
          <w:color w:val="000000"/>
          <w:lang w:eastAsia="bg-BG"/>
        </w:rPr>
      </w:pPr>
    </w:p>
    <w:p w14:paraId="034BE85B" w14:textId="7ACBBC8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lastRenderedPageBreak/>
        <w:t>Калциеви антагонисти (бепридил, мибефрадил)</w:t>
      </w:r>
    </w:p>
    <w:p w14:paraId="121DA96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Съвместното приложение на бетаксолол и калциеви антагонисти може да повлияе на сърдечния автоматизъм (води до тежка брадикардия, синусов арест), на </w:t>
      </w:r>
      <w:r w:rsidRPr="004800E5">
        <w:rPr>
          <w:rFonts w:eastAsia="Times New Roman" w:cs="Arial"/>
          <w:color w:val="000000"/>
          <w:lang w:val="en-US"/>
        </w:rPr>
        <w:t xml:space="preserve">AV </w:t>
      </w:r>
      <w:r w:rsidRPr="004800E5">
        <w:rPr>
          <w:rFonts w:eastAsia="Times New Roman" w:cs="Arial"/>
          <w:color w:val="000000"/>
          <w:lang w:eastAsia="bg-BG"/>
        </w:rPr>
        <w:t>проводимостта и може да доведе до сърдечна недостатъчност (синергичен ефект).</w:t>
      </w:r>
    </w:p>
    <w:p w14:paraId="16F88CB2" w14:textId="7C349310"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Антиаритмични продукти (цибензолин, дизопирамид, флекаинид, хидрохинидин, мексилетин, пропафенон, хинидин) (с изключение на лидокаин)</w:t>
      </w:r>
    </w:p>
    <w:p w14:paraId="583A3C9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При едновременно приложение може да се засегне сърдечния контрактилитет, автоматизъм и проводимост (подтискане на компенсаторните реакции). Тази комбинация трябва да се използва под клинично и ЕКГ мониториране.</w:t>
      </w:r>
    </w:p>
    <w:p w14:paraId="4D3341F9"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Баклофен</w:t>
      </w:r>
    </w:p>
    <w:p w14:paraId="4276D47C"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Повишено антихипертензивно действие. Трябва да се проследява артериалното налягане и, ако е необходимо, да се промени дозата на антихипертензивния продукт.</w:t>
      </w:r>
    </w:p>
    <w:p w14:paraId="63C26985"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Инсулин и хипогликемични сулфонамиди, глиниди, глиптини (вижте точка 4.4)</w:t>
      </w:r>
    </w:p>
    <w:p w14:paraId="3456F04E"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Всички бета-блокери могат да маскират някои симптоми на хипогликемия (напр. треперене и тахикардия). Пациентът трябва да се предупреди за необходимостта от проследяване на нивата на глюкозата, особено в началото на лечението.</w:t>
      </w:r>
    </w:p>
    <w:p w14:paraId="064DA3C6"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Лидокаин интравенозно</w:t>
      </w:r>
    </w:p>
    <w:p w14:paraId="6B90A8B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Описани са взаимодействия с пропранолол, метопролол и надолол. Съобщени са повишени плазмени концентрации на лидокаин с възможно повишение на неврологичните и сърдечните нежелани реакции (поради намален метаболизъм на лидокаина в черния дроб). Дозата на лидокаина трябва да се коригира. Ако е възможно, плазмените концентрации на лидокаин трябва да се проследяват по време на лечение с бета-блокери и след тяхното спиране, както и да се извършва клинично и електрокардиографско проследяване.</w:t>
      </w:r>
    </w:p>
    <w:p w14:paraId="27A445E6"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Йод-съдържащи контрастни вещества</w:t>
      </w:r>
    </w:p>
    <w:p w14:paraId="641A5A0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В случай на шок или хипотония, предизвикани от йод-съдържащо контрастно вещество, бета- блокерите водят до отслабване на сърдечно-съдовите компенсаторни реакции. Когато е възможно, лечението с бета-блокери трябва да се прекъсне преди изследване с радиодиагностичен контраст. Ако е необходимо продължаване на лечението, изследването трябва да се извърши само ако непосредствено е налично интензивно отделение.</w:t>
      </w:r>
    </w:p>
    <w:p w14:paraId="048B569A" w14:textId="77777777" w:rsidR="004800E5" w:rsidRPr="004800E5" w:rsidRDefault="004800E5" w:rsidP="004800E5">
      <w:pPr>
        <w:spacing w:line="240" w:lineRule="auto"/>
        <w:rPr>
          <w:rFonts w:eastAsia="Times New Roman" w:cs="Arial"/>
          <w:i/>
          <w:iCs/>
          <w:color w:val="000000"/>
          <w:lang w:eastAsia="bg-BG"/>
        </w:rPr>
      </w:pPr>
    </w:p>
    <w:p w14:paraId="61FB9CD9" w14:textId="39C6392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Централни антихипертензивни лекарства (клонидин, метилдопа, гуанфацин, рилменидин)</w:t>
      </w:r>
    </w:p>
    <w:p w14:paraId="31874F6E" w14:textId="77777777" w:rsidR="004800E5" w:rsidRPr="004800E5" w:rsidRDefault="004800E5" w:rsidP="004800E5">
      <w:pPr>
        <w:rPr>
          <w:rFonts w:eastAsia="Times New Roman" w:cs="Arial"/>
          <w:lang w:eastAsia="bg-BG"/>
        </w:rPr>
      </w:pPr>
      <w:r w:rsidRPr="004800E5">
        <w:rPr>
          <w:rFonts w:eastAsia="Times New Roman" w:cs="Arial"/>
          <w:color w:val="000000"/>
          <w:lang w:eastAsia="bg-BG"/>
        </w:rPr>
        <w:t>Значително повишаване на кръвното налягане в случай на рязко прекратяване на лечението с централния антихипертензивен агент. Избягвайте внезапното спиране на лечението с</w:t>
      </w:r>
      <w:r w:rsidRPr="004800E5">
        <w:rPr>
          <w:rFonts w:eastAsia="Times New Roman" w:cs="Arial"/>
          <w:color w:val="000000"/>
          <w:lang w:eastAsia="bg-BG"/>
        </w:rPr>
        <w:t xml:space="preserve"> </w:t>
      </w:r>
      <w:r w:rsidRPr="004800E5">
        <w:rPr>
          <w:rFonts w:eastAsia="Times New Roman" w:cs="Arial"/>
          <w:color w:val="000000"/>
          <w:lang w:eastAsia="bg-BG"/>
        </w:rPr>
        <w:t>централния антихипертензивен агент. Тази комбинация трябва да се използва под клинично наблюдение.</w:t>
      </w:r>
    </w:p>
    <w:p w14:paraId="75A7B26B" w14:textId="77777777" w:rsidR="004800E5" w:rsidRPr="004800E5" w:rsidRDefault="004800E5" w:rsidP="004800E5">
      <w:pPr>
        <w:spacing w:line="240" w:lineRule="auto"/>
        <w:rPr>
          <w:rFonts w:eastAsia="Times New Roman" w:cs="Arial"/>
          <w:i/>
          <w:iCs/>
          <w:color w:val="000000"/>
          <w:lang w:eastAsia="bg-BG"/>
        </w:rPr>
      </w:pPr>
    </w:p>
    <w:p w14:paraId="2EFF08A7" w14:textId="35E38D12"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 xml:space="preserve">Лекарства, които могат да доведат до камерна тахикардия </w:t>
      </w:r>
      <w:proofErr w:type="spellStart"/>
      <w:r w:rsidRPr="004800E5">
        <w:rPr>
          <w:rFonts w:eastAsia="Times New Roman" w:cs="Arial"/>
          <w:i/>
          <w:iCs/>
          <w:color w:val="000000"/>
          <w:lang w:val="en-US"/>
        </w:rPr>
        <w:t>torsades</w:t>
      </w:r>
      <w:proofErr w:type="spellEnd"/>
      <w:r w:rsidRPr="004800E5">
        <w:rPr>
          <w:rFonts w:eastAsia="Times New Roman" w:cs="Arial"/>
          <w:i/>
          <w:iCs/>
          <w:color w:val="000000"/>
          <w:lang w:val="en-US"/>
        </w:rPr>
        <w:t xml:space="preserve"> de pointes </w:t>
      </w:r>
      <w:r w:rsidRPr="004800E5">
        <w:rPr>
          <w:rFonts w:eastAsia="Times New Roman" w:cs="Arial"/>
          <w:color w:val="000000"/>
          <w:lang w:eastAsia="bg-BG"/>
        </w:rPr>
        <w:t xml:space="preserve">Повишен риск от нарушения на камерния ритъм, по-специално </w:t>
      </w:r>
      <w:proofErr w:type="spellStart"/>
      <w:r w:rsidRPr="004800E5">
        <w:rPr>
          <w:rFonts w:eastAsia="Times New Roman" w:cs="Arial"/>
          <w:color w:val="000000"/>
          <w:lang w:val="en-US"/>
        </w:rPr>
        <w:t>torsades</w:t>
      </w:r>
      <w:proofErr w:type="spellEnd"/>
      <w:r w:rsidRPr="004800E5">
        <w:rPr>
          <w:rFonts w:eastAsia="Times New Roman" w:cs="Arial"/>
          <w:color w:val="000000"/>
          <w:lang w:val="en-US"/>
        </w:rPr>
        <w:t xml:space="preserve"> de pointes. </w:t>
      </w:r>
      <w:r w:rsidRPr="004800E5">
        <w:rPr>
          <w:rFonts w:eastAsia="Times New Roman" w:cs="Arial"/>
          <w:color w:val="000000"/>
          <w:lang w:eastAsia="bg-BG"/>
        </w:rPr>
        <w:t>Тази комбинация трябва да се използва под клинично и електрокардиографско наблюдение.</w:t>
      </w:r>
    </w:p>
    <w:p w14:paraId="400F7CC5" w14:textId="77777777" w:rsidR="004800E5" w:rsidRPr="004800E5" w:rsidRDefault="004800E5" w:rsidP="004800E5">
      <w:pPr>
        <w:spacing w:line="240" w:lineRule="auto"/>
        <w:rPr>
          <w:rFonts w:eastAsia="Times New Roman" w:cs="Arial"/>
          <w:color w:val="000000"/>
          <w:u w:val="single"/>
          <w:lang w:eastAsia="bg-BG"/>
        </w:rPr>
      </w:pPr>
    </w:p>
    <w:p w14:paraId="08FBB268" w14:textId="3D74ACA1"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Комбинации, които трябва да се вземат под внимание</w:t>
      </w:r>
    </w:p>
    <w:p w14:paraId="3AF7FB0D"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Нестероидни противовъзпалителни продукти</w:t>
      </w:r>
    </w:p>
    <w:p w14:paraId="5666EF3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Отслабване на антихипертензивното действие (инхибиране на вазодилататорните простагландини от нестероидните противовъзпалителни продукти) и задръжка на вода и натрий от пиразолоновите производни.</w:t>
      </w:r>
    </w:p>
    <w:p w14:paraId="45F34A53"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lastRenderedPageBreak/>
        <w:t>Блокери на калциевите канали (дихидропиридинови като амлодипин, барнидипин, клевидипин, фелодипин, исрадипин, лацидипин, лерканидипин, манидипин, никардипин, нифедипин, нимодипин, нитрендипин)</w:t>
      </w:r>
    </w:p>
    <w:p w14:paraId="217720FB"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Хипотония, сърдечна недостатъчност при пациенти с латентна или нелекувана сърдечна недостатъчност (негативен инотропен ефект на дихидропиридините </w:t>
      </w:r>
      <w:r w:rsidRPr="004800E5">
        <w:rPr>
          <w:rFonts w:eastAsia="Times New Roman" w:cs="Arial"/>
          <w:color w:val="000000"/>
          <w:lang w:val="en-US"/>
        </w:rPr>
        <w:t xml:space="preserve">in vitro, </w:t>
      </w:r>
      <w:r w:rsidRPr="004800E5">
        <w:rPr>
          <w:rFonts w:eastAsia="Times New Roman" w:cs="Arial"/>
          <w:color w:val="000000"/>
          <w:lang w:eastAsia="bg-BG"/>
        </w:rPr>
        <w:t>който зависи от конкретния продукт и вероятно повишаващ негативния инотропен ефект на бета-блокерите).</w:t>
      </w:r>
    </w:p>
    <w:p w14:paraId="04A80B6E" w14:textId="77777777" w:rsidR="004800E5" w:rsidRPr="004800E5" w:rsidRDefault="004800E5" w:rsidP="004800E5">
      <w:pPr>
        <w:spacing w:line="240" w:lineRule="auto"/>
        <w:rPr>
          <w:rFonts w:eastAsia="Times New Roman" w:cs="Arial"/>
          <w:i/>
          <w:iCs/>
          <w:color w:val="000000"/>
          <w:lang w:eastAsia="bg-BG"/>
        </w:rPr>
      </w:pPr>
    </w:p>
    <w:p w14:paraId="7238F3F4" w14:textId="2D327B11"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 xml:space="preserve">Лекарства, причиняващи постурална хипотония (имипраминови антидепресанти (трициклични), невролептици, нитрати, инхибитори на фосфодиестераза тип 5, урологични алфа-блокери, допаминови агонисти, леводопа) </w:t>
      </w:r>
      <w:r w:rsidRPr="004800E5">
        <w:rPr>
          <w:rFonts w:eastAsia="Times New Roman" w:cs="Arial"/>
          <w:color w:val="000000"/>
          <w:lang w:eastAsia="bg-BG"/>
        </w:rPr>
        <w:t>пПовишен антихипертензивен ефект и риск от постурална (ортостатична) хипотония (адитивен ефект).</w:t>
      </w:r>
    </w:p>
    <w:p w14:paraId="0DF3CF61" w14:textId="77777777" w:rsidR="004800E5" w:rsidRPr="004800E5" w:rsidRDefault="004800E5" w:rsidP="004800E5">
      <w:pPr>
        <w:spacing w:line="240" w:lineRule="auto"/>
        <w:rPr>
          <w:rFonts w:eastAsia="Times New Roman" w:cs="Arial"/>
          <w:lang w:eastAsia="bg-BG"/>
        </w:rPr>
      </w:pPr>
      <w:r w:rsidRPr="004800E5">
        <w:rPr>
          <w:rFonts w:eastAsia="Times New Roman" w:cs="Arial"/>
          <w:i/>
          <w:iCs/>
          <w:color w:val="000000"/>
          <w:lang w:eastAsia="bg-BG"/>
        </w:rPr>
        <w:t>Кортикостероиди и тетракосактиди</w:t>
      </w:r>
    </w:p>
    <w:p w14:paraId="5D6779E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Отслабен антихипертензивен ефект (задръжка на вода и натрий от кортикостероидите). </w:t>
      </w:r>
      <w:r w:rsidRPr="004800E5">
        <w:rPr>
          <w:rFonts w:eastAsia="Times New Roman" w:cs="Arial"/>
          <w:i/>
          <w:iCs/>
          <w:color w:val="000000"/>
          <w:lang w:eastAsia="bg-BG"/>
        </w:rPr>
        <w:t>Мефлоквин</w:t>
      </w:r>
    </w:p>
    <w:p w14:paraId="65BC7F9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Риск от брадикардия (адитивен ефект индуциращ брадикардия). </w:t>
      </w:r>
      <w:r w:rsidRPr="004800E5">
        <w:rPr>
          <w:rFonts w:eastAsia="Times New Roman" w:cs="Arial"/>
          <w:i/>
          <w:iCs/>
          <w:color w:val="000000"/>
          <w:lang w:eastAsia="bg-BG"/>
        </w:rPr>
        <w:t>Симпатикомиметици</w:t>
      </w:r>
    </w:p>
    <w:p w14:paraId="0B769FB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Риск от намаляване ефекта на бета-блокера.</w:t>
      </w:r>
    </w:p>
    <w:p w14:paraId="34180F03" w14:textId="77777777" w:rsidR="004800E5" w:rsidRPr="004800E5" w:rsidRDefault="004800E5" w:rsidP="004800E5">
      <w:pPr>
        <w:spacing w:line="240" w:lineRule="auto"/>
        <w:rPr>
          <w:rFonts w:eastAsia="Times New Roman" w:cs="Arial"/>
          <w:i/>
          <w:iCs/>
          <w:color w:val="000000"/>
          <w:lang w:eastAsia="bg-BG"/>
        </w:rPr>
      </w:pPr>
    </w:p>
    <w:p w14:paraId="401663BB" w14:textId="77777777" w:rsidR="004800E5" w:rsidRPr="004800E5" w:rsidRDefault="004800E5" w:rsidP="004800E5">
      <w:pPr>
        <w:spacing w:line="240" w:lineRule="auto"/>
        <w:rPr>
          <w:rFonts w:eastAsia="Times New Roman" w:cs="Arial"/>
          <w:i/>
          <w:iCs/>
          <w:color w:val="000000"/>
          <w:lang w:eastAsia="bg-BG"/>
        </w:rPr>
      </w:pPr>
      <w:r w:rsidRPr="004800E5">
        <w:rPr>
          <w:rFonts w:eastAsia="Times New Roman" w:cs="Arial"/>
          <w:i/>
          <w:iCs/>
          <w:color w:val="000000"/>
          <w:lang w:eastAsia="bg-BG"/>
        </w:rPr>
        <w:t xml:space="preserve">Дипиридамол (интравенозно приложение) </w:t>
      </w:r>
    </w:p>
    <w:p w14:paraId="60D8FDC0" w14:textId="1A04AABA"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Засилване на антихипертензивния ефект.</w:t>
      </w:r>
    </w:p>
    <w:p w14:paraId="50396E33" w14:textId="7F8B8E48" w:rsidR="004800E5" w:rsidRPr="004800E5" w:rsidRDefault="004800E5" w:rsidP="004800E5"/>
    <w:p w14:paraId="6085D4F7" w14:textId="4863C8CC" w:rsidR="00A428B7" w:rsidRDefault="002C50EE" w:rsidP="00340E8D">
      <w:pPr>
        <w:pStyle w:val="Heading2"/>
      </w:pPr>
      <w:r>
        <w:t>4.6. Фертилитет, бременност и кърмене</w:t>
      </w:r>
    </w:p>
    <w:p w14:paraId="371B1752" w14:textId="255A7D22" w:rsidR="004800E5" w:rsidRDefault="004800E5" w:rsidP="004800E5"/>
    <w:p w14:paraId="1BB3F68A" w14:textId="77777777"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Бременност</w:t>
      </w:r>
    </w:p>
    <w:p w14:paraId="6205D2A3"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i/>
          <w:iCs/>
          <w:color w:val="000000"/>
          <w:lang w:eastAsia="bg-BG"/>
        </w:rPr>
        <w:t>Тератогенност:</w:t>
      </w:r>
      <w:r w:rsidRPr="004800E5">
        <w:rPr>
          <w:rFonts w:eastAsia="Times New Roman" w:cs="Arial"/>
          <w:color w:val="000000"/>
          <w:lang w:eastAsia="bg-BG"/>
        </w:rPr>
        <w:t xml:space="preserve"> при проучвания с животни не са наблюдавани тератогенни ефекти. Не са докладвани тератогенни ефекти при хора. Бета-блокерите намаляват перфузията през плацентата, което може да причини вътрематочна смърт, мъртво раждане, аборт или преждевременно раждане. Освен това плодът може да има нежелани реакции (главно хипогликемия и брадикардия).</w:t>
      </w:r>
    </w:p>
    <w:p w14:paraId="146EB47F"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i/>
          <w:iCs/>
          <w:color w:val="000000"/>
          <w:lang w:eastAsia="bg-BG"/>
        </w:rPr>
        <w:t>Новородени:</w:t>
      </w:r>
      <w:r w:rsidRPr="004800E5">
        <w:rPr>
          <w:rFonts w:eastAsia="Times New Roman" w:cs="Arial"/>
          <w:color w:val="000000"/>
          <w:lang w:eastAsia="bg-BG"/>
        </w:rPr>
        <w:t xml:space="preserve"> Ефектите на бета-блокерите се наблюдават при новородени в продължение на няколко дни след раждане, ако майките са лекувани с бета-блокери. Има риск от сърдечни и белодробни усложнения през постнаталния период. Ако при новородено настъпи сърдечна недостатъчност е необходимо хоспитализиране в интензивно отделение (виж точка 4.9.) и трябва да се избягват заместители на плазмата (поради риск от остър белодробен оток). Също са докладвани и брадикардия, респираторен дистрес синдром и хипогликемия. Препоръчва се внимателно проследяване на новородените (сърдечен ритъм, гликемия) в неонатологично интензивно отделение по време на първите три до пет дни след раждане. Не се препоръчва приложение на бетаксолол по време на бременност, освен ако терапевтичният ефект не надхвърля възможните рискове.</w:t>
      </w:r>
    </w:p>
    <w:p w14:paraId="18AD46AD" w14:textId="77777777" w:rsidR="004800E5" w:rsidRPr="004800E5" w:rsidRDefault="004800E5" w:rsidP="004800E5">
      <w:pPr>
        <w:spacing w:line="240" w:lineRule="auto"/>
        <w:rPr>
          <w:rFonts w:eastAsia="Times New Roman" w:cs="Arial"/>
          <w:color w:val="000000"/>
          <w:u w:val="single"/>
          <w:lang w:eastAsia="bg-BG"/>
        </w:rPr>
      </w:pPr>
    </w:p>
    <w:p w14:paraId="760F3A95" w14:textId="4A7D2853" w:rsidR="004800E5" w:rsidRPr="004800E5" w:rsidRDefault="004800E5" w:rsidP="004800E5">
      <w:pPr>
        <w:pStyle w:val="Heading3"/>
        <w:rPr>
          <w:rFonts w:eastAsia="Times New Roman"/>
          <w:u w:val="single"/>
          <w:lang w:eastAsia="bg-BG"/>
        </w:rPr>
      </w:pPr>
      <w:r w:rsidRPr="004800E5">
        <w:rPr>
          <w:rFonts w:eastAsia="Times New Roman"/>
          <w:u w:val="single"/>
          <w:lang w:eastAsia="bg-BG"/>
        </w:rPr>
        <w:t>Кърмене</w:t>
      </w:r>
    </w:p>
    <w:p w14:paraId="3E80CAF3" w14:textId="3627D6AB"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Бетаксолол се излъчва в кърмата. Не е оценяван риска от брадикардия и хипогликемия за кърмачето; затова не се препоръчва кърмене.</w:t>
      </w:r>
    </w:p>
    <w:p w14:paraId="1B7F3AC0" w14:textId="77777777" w:rsidR="004800E5" w:rsidRPr="004800E5" w:rsidRDefault="004800E5" w:rsidP="004800E5"/>
    <w:p w14:paraId="4CE899F3" w14:textId="6A1FB935" w:rsidR="00A428B7" w:rsidRDefault="002C50EE" w:rsidP="00340E8D">
      <w:pPr>
        <w:pStyle w:val="Heading2"/>
      </w:pPr>
      <w:r>
        <w:t>4.7. Ефекти върху способността за шофиране и работа с машини</w:t>
      </w:r>
    </w:p>
    <w:p w14:paraId="5E1113DF" w14:textId="5034483F" w:rsidR="004800E5" w:rsidRDefault="004800E5" w:rsidP="004800E5"/>
    <w:p w14:paraId="448A0D19"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Няма проучвания за ефекта на бетаксолол върху способността за шофиране.</w:t>
      </w:r>
    </w:p>
    <w:p w14:paraId="7F25463B" w14:textId="77777777" w:rsidR="004800E5" w:rsidRPr="004800E5" w:rsidRDefault="004800E5" w:rsidP="004800E5">
      <w:pPr>
        <w:spacing w:line="240" w:lineRule="auto"/>
        <w:rPr>
          <w:rFonts w:ascii="Times New Roman" w:eastAsia="Times New Roman" w:hAnsi="Times New Roman" w:cs="Times New Roman"/>
          <w:sz w:val="24"/>
          <w:szCs w:val="24"/>
          <w:lang w:eastAsia="bg-BG"/>
        </w:rPr>
      </w:pPr>
      <w:r w:rsidRPr="004800E5">
        <w:rPr>
          <w:rFonts w:eastAsia="Times New Roman" w:cs="Arial"/>
          <w:color w:val="000000"/>
          <w:lang w:eastAsia="bg-BG"/>
        </w:rPr>
        <w:lastRenderedPageBreak/>
        <w:t>Когато се шофира или се работи с машини трябва да се имат предвид изолираните случаи на замаяност или умора.</w:t>
      </w:r>
    </w:p>
    <w:p w14:paraId="00C48ADB" w14:textId="77777777" w:rsidR="004800E5" w:rsidRPr="004800E5" w:rsidRDefault="004800E5" w:rsidP="004800E5"/>
    <w:p w14:paraId="6D9C6606" w14:textId="28ADC0B5" w:rsidR="00A428B7" w:rsidRDefault="002C50EE" w:rsidP="00340E8D">
      <w:pPr>
        <w:pStyle w:val="Heading2"/>
      </w:pPr>
      <w:r>
        <w:t>4.8. Нежелани лекарствени реакции</w:t>
      </w:r>
    </w:p>
    <w:p w14:paraId="2CC6ADFB" w14:textId="5D0D41EF" w:rsidR="004800E5" w:rsidRDefault="004800E5" w:rsidP="004800E5"/>
    <w:p w14:paraId="15EC14CF"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Нежеланите реакции по-долу са определени както следва: Много чести (≥1/10), Чести (&gt;1/100 до &lt;1/10),Нечести (&gt;1/1 000 до&lt;1/100),Редки (&gt;1/10 000 до &lt;1/1 000),Много редки (&lt;1/10 000), С неизвестна честота (от наличните данни не може да бъде направена оценка). Във всяка група нежеланите реакции са представени в низходящ ред по честота.</w:t>
      </w:r>
    </w:p>
    <w:p w14:paraId="72A543C7" w14:textId="77777777" w:rsidR="004800E5" w:rsidRPr="004800E5" w:rsidRDefault="004800E5" w:rsidP="004800E5">
      <w:pPr>
        <w:spacing w:line="240" w:lineRule="auto"/>
        <w:rPr>
          <w:rFonts w:eastAsia="Times New Roman" w:cs="Arial"/>
          <w:color w:val="000000"/>
          <w:u w:val="single"/>
          <w:lang w:eastAsia="bg-BG"/>
        </w:rPr>
      </w:pPr>
    </w:p>
    <w:p w14:paraId="1CE7176D" w14:textId="402F538E"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Нарушения на метаболизма и храненето</w:t>
      </w:r>
      <w:r w:rsidRPr="004800E5">
        <w:rPr>
          <w:rFonts w:eastAsia="Times New Roman" w:cs="Arial"/>
          <w:color w:val="000000"/>
          <w:lang w:eastAsia="bg-BG"/>
        </w:rPr>
        <w:t>:</w:t>
      </w:r>
    </w:p>
    <w:p w14:paraId="687A7C59"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Много редки: хипогликемия, хипергликемия.</w:t>
      </w:r>
    </w:p>
    <w:p w14:paraId="55583E3C" w14:textId="77777777" w:rsidR="004800E5" w:rsidRPr="004800E5" w:rsidRDefault="004800E5" w:rsidP="004800E5">
      <w:pPr>
        <w:spacing w:line="240" w:lineRule="auto"/>
        <w:rPr>
          <w:rFonts w:eastAsia="Times New Roman" w:cs="Arial"/>
          <w:color w:val="000000"/>
          <w:u w:val="single"/>
          <w:lang w:eastAsia="bg-BG"/>
        </w:rPr>
      </w:pPr>
    </w:p>
    <w:p w14:paraId="3E0154AC" w14:textId="4926174A"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Психични нарушения</w:t>
      </w:r>
      <w:r w:rsidRPr="004800E5">
        <w:rPr>
          <w:rFonts w:eastAsia="Times New Roman" w:cs="Arial"/>
          <w:color w:val="000000"/>
          <w:lang w:eastAsia="bg-BG"/>
        </w:rPr>
        <w:t>:</w:t>
      </w:r>
    </w:p>
    <w:p w14:paraId="541A2B5E"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астения, безсъние.</w:t>
      </w:r>
    </w:p>
    <w:p w14:paraId="0AFE89AC"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Редки: депресия.</w:t>
      </w:r>
    </w:p>
    <w:p w14:paraId="61F43AC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Много редки: халюцинации, обърканост, кошмари.</w:t>
      </w:r>
    </w:p>
    <w:p w14:paraId="1A9421D0" w14:textId="77777777" w:rsidR="004800E5" w:rsidRPr="004800E5" w:rsidRDefault="004800E5" w:rsidP="004800E5">
      <w:pPr>
        <w:spacing w:line="240" w:lineRule="auto"/>
        <w:rPr>
          <w:rFonts w:eastAsia="Times New Roman" w:cs="Arial"/>
          <w:color w:val="000000"/>
          <w:u w:val="single"/>
          <w:lang w:eastAsia="bg-BG"/>
        </w:rPr>
      </w:pPr>
    </w:p>
    <w:p w14:paraId="717F3C47" w14:textId="35586129"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Нарушения на нервната система:</w:t>
      </w:r>
    </w:p>
    <w:p w14:paraId="39387025"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замаяност, главоболие.</w:t>
      </w:r>
    </w:p>
    <w:p w14:paraId="45331B2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Много редки: дистална парестезия.</w:t>
      </w:r>
    </w:p>
    <w:p w14:paraId="54A472BD"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 неизвестна честота: летаргия.</w:t>
      </w:r>
    </w:p>
    <w:p w14:paraId="566A2150" w14:textId="77777777" w:rsidR="004800E5" w:rsidRPr="004800E5" w:rsidRDefault="004800E5" w:rsidP="004800E5">
      <w:pPr>
        <w:spacing w:line="240" w:lineRule="auto"/>
        <w:rPr>
          <w:rFonts w:eastAsia="Times New Roman" w:cs="Arial"/>
          <w:color w:val="000000"/>
          <w:u w:val="single"/>
          <w:lang w:eastAsia="bg-BG"/>
        </w:rPr>
      </w:pPr>
    </w:p>
    <w:p w14:paraId="43D2ADE0" w14:textId="3FE1D9B7"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Нарушения на очите:</w:t>
      </w:r>
    </w:p>
    <w:p w14:paraId="046555D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Редки: сухота в очите.</w:t>
      </w:r>
    </w:p>
    <w:p w14:paraId="3E9A454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Много редки: замъглено зрение, зрителни нарушения.</w:t>
      </w:r>
    </w:p>
    <w:p w14:paraId="777EA182" w14:textId="77777777" w:rsidR="004800E5" w:rsidRPr="004800E5" w:rsidRDefault="004800E5" w:rsidP="004800E5">
      <w:pPr>
        <w:spacing w:line="240" w:lineRule="auto"/>
        <w:rPr>
          <w:rFonts w:eastAsia="Times New Roman" w:cs="Arial"/>
          <w:color w:val="000000"/>
          <w:u w:val="single"/>
          <w:lang w:eastAsia="bg-BG"/>
        </w:rPr>
      </w:pPr>
    </w:p>
    <w:p w14:paraId="3F5FEB5D" w14:textId="408CE01D"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Сърдечни нарушения</w:t>
      </w:r>
      <w:r w:rsidRPr="004800E5">
        <w:rPr>
          <w:rFonts w:eastAsia="Times New Roman" w:cs="Arial"/>
          <w:color w:val="000000"/>
          <w:lang w:eastAsia="bg-BG"/>
        </w:rPr>
        <w:t>:</w:t>
      </w:r>
    </w:p>
    <w:p w14:paraId="5DD5285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брадикардия, включително тежка брадикардия.</w:t>
      </w:r>
    </w:p>
    <w:p w14:paraId="5578D45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Редки: сърдечна недостатъчност, понижение на артериалното налягане, или забавяне в </w:t>
      </w:r>
      <w:r w:rsidRPr="004800E5">
        <w:rPr>
          <w:rFonts w:eastAsia="Times New Roman" w:cs="Arial"/>
          <w:color w:val="000000"/>
          <w:lang w:val="en-US"/>
        </w:rPr>
        <w:t xml:space="preserve">AV </w:t>
      </w:r>
      <w:r w:rsidRPr="004800E5">
        <w:rPr>
          <w:rFonts w:eastAsia="Times New Roman" w:cs="Arial"/>
          <w:color w:val="000000"/>
          <w:lang w:eastAsia="bg-BG"/>
        </w:rPr>
        <w:t xml:space="preserve">провеждането или влошаване на наличен </w:t>
      </w:r>
      <w:r w:rsidRPr="004800E5">
        <w:rPr>
          <w:rFonts w:eastAsia="Times New Roman" w:cs="Arial"/>
          <w:color w:val="000000"/>
          <w:lang w:val="en-US"/>
        </w:rPr>
        <w:t>AV</w:t>
      </w:r>
      <w:r w:rsidRPr="004800E5">
        <w:rPr>
          <w:rFonts w:eastAsia="Times New Roman" w:cs="Arial"/>
          <w:color w:val="000000"/>
          <w:lang w:eastAsia="bg-BG"/>
        </w:rPr>
        <w:t>-блок.</w:t>
      </w:r>
    </w:p>
    <w:p w14:paraId="1775EAF0"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 неизвестна честота: Синусов арест при предразположени пациенти (напр. пациенти в старческа възраст или пациенти със съществуваща брадикардия, дисфункция на синусовите възли или атриовентрикуларен блок).</w:t>
      </w:r>
    </w:p>
    <w:p w14:paraId="3375E82A" w14:textId="77777777" w:rsidR="004800E5" w:rsidRPr="004800E5" w:rsidRDefault="004800E5" w:rsidP="004800E5">
      <w:pPr>
        <w:spacing w:line="240" w:lineRule="auto"/>
        <w:rPr>
          <w:rFonts w:eastAsia="Times New Roman" w:cs="Arial"/>
          <w:color w:val="000000"/>
          <w:u w:val="single"/>
          <w:lang w:eastAsia="bg-BG"/>
        </w:rPr>
      </w:pPr>
    </w:p>
    <w:p w14:paraId="21C2C5EB" w14:textId="5006E46C"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Съдови нарушения:</w:t>
      </w:r>
    </w:p>
    <w:p w14:paraId="482F7BD9"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студени крайници.</w:t>
      </w:r>
    </w:p>
    <w:p w14:paraId="60AF0581"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Редки: синдром на </w:t>
      </w:r>
      <w:r w:rsidRPr="004800E5">
        <w:rPr>
          <w:rFonts w:eastAsia="Times New Roman" w:cs="Arial"/>
          <w:color w:val="000000"/>
          <w:lang w:val="en-US"/>
        </w:rPr>
        <w:t xml:space="preserve">Raynaud, </w:t>
      </w:r>
      <w:r w:rsidRPr="004800E5">
        <w:rPr>
          <w:rFonts w:eastAsia="Times New Roman" w:cs="Arial"/>
          <w:color w:val="000000"/>
          <w:lang w:eastAsia="bg-BG"/>
        </w:rPr>
        <w:t>влошаване на налично интермитентно накуцване.</w:t>
      </w:r>
    </w:p>
    <w:p w14:paraId="52785F9C" w14:textId="77777777" w:rsidR="004800E5" w:rsidRPr="004800E5" w:rsidRDefault="004800E5" w:rsidP="004800E5">
      <w:pPr>
        <w:spacing w:line="240" w:lineRule="auto"/>
        <w:rPr>
          <w:rFonts w:eastAsia="Times New Roman" w:cs="Arial"/>
          <w:color w:val="000000"/>
          <w:u w:val="single"/>
          <w:lang w:eastAsia="bg-BG"/>
        </w:rPr>
      </w:pPr>
    </w:p>
    <w:p w14:paraId="3572FF41" w14:textId="4D58606F"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Респираторни, гръдни и медиастинални нарушения:</w:t>
      </w:r>
    </w:p>
    <w:p w14:paraId="17B72ED7"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Редки: бронхоспазъм.</w:t>
      </w:r>
    </w:p>
    <w:p w14:paraId="585CF2D2" w14:textId="77777777" w:rsidR="004800E5" w:rsidRPr="004800E5" w:rsidRDefault="004800E5" w:rsidP="004800E5">
      <w:pPr>
        <w:spacing w:line="240" w:lineRule="auto"/>
        <w:rPr>
          <w:rFonts w:eastAsia="Times New Roman" w:cs="Arial"/>
          <w:color w:val="000000"/>
          <w:u w:val="single"/>
          <w:lang w:eastAsia="bg-BG"/>
        </w:rPr>
      </w:pPr>
    </w:p>
    <w:p w14:paraId="698CB9DB" w14:textId="6EF8C2FA"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Стомашно-чревни нарушения</w:t>
      </w:r>
      <w:r w:rsidRPr="004800E5">
        <w:rPr>
          <w:rFonts w:eastAsia="Times New Roman" w:cs="Arial"/>
          <w:color w:val="000000"/>
          <w:lang w:eastAsia="bg-BG"/>
        </w:rPr>
        <w:t>:</w:t>
      </w:r>
    </w:p>
    <w:p w14:paraId="56C2F8E6"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гастралгия, диария, гадене и повръщане.</w:t>
      </w:r>
    </w:p>
    <w:p w14:paraId="1CD605D5" w14:textId="77777777" w:rsidR="004800E5" w:rsidRPr="004800E5" w:rsidRDefault="004800E5" w:rsidP="004800E5">
      <w:pPr>
        <w:spacing w:line="240" w:lineRule="auto"/>
        <w:rPr>
          <w:rFonts w:eastAsia="Times New Roman" w:cs="Arial"/>
          <w:color w:val="000000"/>
          <w:u w:val="single"/>
          <w:lang w:eastAsia="bg-BG"/>
        </w:rPr>
      </w:pPr>
    </w:p>
    <w:p w14:paraId="10D37071" w14:textId="00DC41D4"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Нарушения на кожата и подкожната тъкан</w:t>
      </w:r>
      <w:r w:rsidRPr="004800E5">
        <w:rPr>
          <w:rFonts w:eastAsia="Times New Roman" w:cs="Arial"/>
          <w:color w:val="000000"/>
          <w:lang w:eastAsia="bg-BG"/>
        </w:rPr>
        <w:t>:</w:t>
      </w:r>
    </w:p>
    <w:p w14:paraId="1A8D4D36" w14:textId="59AA8F79"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t xml:space="preserve">Редки: различни по тип кожни реакции, включително псориазоподобни </w:t>
      </w:r>
      <w:r w:rsidRPr="004800E5">
        <w:rPr>
          <w:rFonts w:eastAsia="Times New Roman" w:cs="Arial"/>
          <w:i/>
          <w:iCs/>
          <w:color w:val="000000"/>
          <w:lang w:eastAsia="bg-BG"/>
        </w:rPr>
        <w:t>обриви или влошаване на</w:t>
      </w:r>
      <w:r w:rsidRPr="004800E5">
        <w:rPr>
          <w:rFonts w:eastAsia="Times New Roman" w:cs="Arial"/>
          <w:color w:val="000000"/>
          <w:lang w:eastAsia="bg-BG"/>
        </w:rPr>
        <w:t xml:space="preserve"> псориазис (виж точка 4.4).</w:t>
      </w:r>
    </w:p>
    <w:p w14:paraId="073C9733"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 неизвестна честота: уртикария, пруритус, хиперхидроза.</w:t>
      </w:r>
    </w:p>
    <w:p w14:paraId="00824FF0" w14:textId="77777777" w:rsidR="004800E5" w:rsidRPr="004800E5" w:rsidRDefault="004800E5" w:rsidP="004800E5">
      <w:pPr>
        <w:spacing w:line="240" w:lineRule="auto"/>
        <w:rPr>
          <w:rFonts w:eastAsia="Times New Roman" w:cs="Arial"/>
          <w:color w:val="000000"/>
          <w:u w:val="single"/>
          <w:lang w:eastAsia="bg-BG"/>
        </w:rPr>
      </w:pPr>
    </w:p>
    <w:p w14:paraId="5C5B7D5C"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u w:val="single"/>
          <w:lang w:eastAsia="bg-BG"/>
        </w:rPr>
        <w:lastRenderedPageBreak/>
        <w:t>Нарушения на възпроизводителната система и гърдата</w:t>
      </w:r>
      <w:r w:rsidRPr="004800E5">
        <w:rPr>
          <w:rFonts w:eastAsia="Times New Roman" w:cs="Arial"/>
          <w:color w:val="000000"/>
          <w:lang w:eastAsia="bg-BG"/>
        </w:rPr>
        <w:t xml:space="preserve">: </w:t>
      </w:r>
    </w:p>
    <w:p w14:paraId="3A813720" w14:textId="563F7AEB"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Чести: импотентност.</w:t>
      </w:r>
    </w:p>
    <w:p w14:paraId="428A7F39" w14:textId="77777777" w:rsidR="004800E5" w:rsidRPr="004800E5" w:rsidRDefault="004800E5" w:rsidP="004800E5">
      <w:pPr>
        <w:spacing w:line="240" w:lineRule="auto"/>
        <w:rPr>
          <w:rFonts w:eastAsia="Times New Roman" w:cs="Arial"/>
          <w:color w:val="000000"/>
          <w:u w:val="single"/>
          <w:lang w:eastAsia="bg-BG"/>
        </w:rPr>
      </w:pPr>
    </w:p>
    <w:p w14:paraId="0A2C97ED" w14:textId="224169F4"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Изследвания:</w:t>
      </w:r>
    </w:p>
    <w:p w14:paraId="6BCD15A5" w14:textId="77777777"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Съобщавано е за поява на антинуклеарни антитела в редки случаи; това в редки случаи е съпроводено от клинични симптоми като на системен лупус еритематодес и изчезват след прекъсване на лечението.</w:t>
      </w:r>
    </w:p>
    <w:p w14:paraId="3B1CAC1D" w14:textId="77777777" w:rsidR="004800E5" w:rsidRPr="004800E5" w:rsidRDefault="004800E5" w:rsidP="004800E5">
      <w:pPr>
        <w:spacing w:line="240" w:lineRule="auto"/>
        <w:rPr>
          <w:rFonts w:eastAsia="Times New Roman" w:cs="Arial"/>
          <w:color w:val="000000"/>
          <w:u w:val="single"/>
          <w:lang w:eastAsia="bg-BG"/>
        </w:rPr>
      </w:pPr>
    </w:p>
    <w:p w14:paraId="35C43DC6" w14:textId="3CE51328" w:rsidR="004800E5" w:rsidRPr="004800E5" w:rsidRDefault="004800E5" w:rsidP="004800E5">
      <w:pPr>
        <w:spacing w:line="240" w:lineRule="auto"/>
        <w:rPr>
          <w:rFonts w:eastAsia="Times New Roman" w:cs="Arial"/>
          <w:lang w:eastAsia="bg-BG"/>
        </w:rPr>
      </w:pPr>
      <w:r w:rsidRPr="004800E5">
        <w:rPr>
          <w:rFonts w:eastAsia="Times New Roman" w:cs="Arial"/>
          <w:color w:val="000000"/>
          <w:u w:val="single"/>
          <w:lang w:eastAsia="bg-BG"/>
        </w:rPr>
        <w:t>Съобщаване на подозирани нежелани реакции</w:t>
      </w:r>
    </w:p>
    <w:p w14:paraId="66E0A390"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 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Изпълнителна агенция по лекарствата </w:t>
      </w:r>
    </w:p>
    <w:p w14:paraId="1082966B"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t xml:space="preserve">ул. </w:t>
      </w:r>
      <w:r w:rsidRPr="004800E5">
        <w:rPr>
          <w:rFonts w:eastAsia="Times New Roman" w:cs="Arial"/>
          <w:color w:val="000000"/>
          <w:lang w:eastAsia="bg-BG"/>
        </w:rPr>
        <w:t>,,</w:t>
      </w:r>
      <w:r w:rsidRPr="004800E5">
        <w:rPr>
          <w:rFonts w:eastAsia="Times New Roman" w:cs="Arial"/>
          <w:color w:val="000000"/>
          <w:lang w:eastAsia="bg-BG"/>
        </w:rPr>
        <w:t>Дамян Груев</w:t>
      </w:r>
      <w:r w:rsidRPr="004800E5">
        <w:rPr>
          <w:rFonts w:eastAsia="Times New Roman" w:cs="Arial"/>
          <w:color w:val="000000"/>
          <w:lang w:eastAsia="bg-BG"/>
        </w:rPr>
        <w:t>“</w:t>
      </w:r>
      <w:r w:rsidRPr="004800E5">
        <w:rPr>
          <w:rFonts w:eastAsia="Times New Roman" w:cs="Arial"/>
          <w:color w:val="000000"/>
          <w:lang w:eastAsia="bg-BG"/>
        </w:rPr>
        <w:t xml:space="preserve"> № 8, </w:t>
      </w:r>
    </w:p>
    <w:p w14:paraId="0167BDA1"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t xml:space="preserve">1303 София, </w:t>
      </w:r>
    </w:p>
    <w:p w14:paraId="22E0E168" w14:textId="77777777" w:rsidR="004800E5" w:rsidRPr="004800E5" w:rsidRDefault="004800E5" w:rsidP="004800E5">
      <w:pPr>
        <w:spacing w:line="240" w:lineRule="auto"/>
        <w:rPr>
          <w:rFonts w:eastAsia="Times New Roman" w:cs="Arial"/>
          <w:color w:val="000000"/>
          <w:lang w:eastAsia="bg-BG"/>
        </w:rPr>
      </w:pPr>
      <w:r w:rsidRPr="004800E5">
        <w:rPr>
          <w:rFonts w:eastAsia="Times New Roman" w:cs="Arial"/>
          <w:color w:val="000000"/>
          <w:lang w:eastAsia="bg-BG"/>
        </w:rPr>
        <w:t xml:space="preserve">тел.:+359 2 8903417 </w:t>
      </w:r>
    </w:p>
    <w:p w14:paraId="44829EE2" w14:textId="03E27CF8" w:rsidR="004800E5" w:rsidRPr="004800E5" w:rsidRDefault="004800E5" w:rsidP="004800E5">
      <w:pPr>
        <w:spacing w:line="240" w:lineRule="auto"/>
        <w:rPr>
          <w:rFonts w:eastAsia="Times New Roman" w:cs="Arial"/>
          <w:lang w:eastAsia="bg-BG"/>
        </w:rPr>
      </w:pPr>
      <w:r w:rsidRPr="004800E5">
        <w:rPr>
          <w:rFonts w:eastAsia="Times New Roman" w:cs="Arial"/>
          <w:color w:val="000000"/>
          <w:lang w:eastAsia="bg-BG"/>
        </w:rPr>
        <w:t xml:space="preserve">уебсайт: </w:t>
      </w:r>
      <w:r w:rsidRPr="004800E5">
        <w:rPr>
          <w:rFonts w:eastAsia="Times New Roman" w:cs="Arial"/>
          <w:lang w:eastAsia="bg-BG"/>
        </w:rPr>
        <w:fldChar w:fldCharType="begin"/>
      </w:r>
      <w:r w:rsidRPr="004800E5">
        <w:rPr>
          <w:rFonts w:eastAsia="Times New Roman" w:cs="Arial"/>
          <w:lang w:eastAsia="bg-BG"/>
        </w:rPr>
        <w:instrText xml:space="preserve"> HYPERLINK "http://www.bda.bg" </w:instrText>
      </w:r>
      <w:r w:rsidRPr="004800E5">
        <w:rPr>
          <w:rFonts w:eastAsia="Times New Roman" w:cs="Arial"/>
          <w:lang w:eastAsia="bg-BG"/>
        </w:rPr>
      </w:r>
      <w:r w:rsidRPr="004800E5">
        <w:rPr>
          <w:rFonts w:eastAsia="Times New Roman" w:cs="Arial"/>
          <w:lang w:eastAsia="bg-BG"/>
        </w:rPr>
        <w:fldChar w:fldCharType="separate"/>
      </w:r>
      <w:r w:rsidRPr="004800E5">
        <w:rPr>
          <w:rFonts w:eastAsia="Times New Roman" w:cs="Arial"/>
          <w:color w:val="000000"/>
          <w:u w:val="single"/>
          <w:lang w:val="en-US"/>
        </w:rPr>
        <w:t>www.bda.bg</w:t>
      </w:r>
      <w:r w:rsidRPr="004800E5">
        <w:rPr>
          <w:rFonts w:eastAsia="Times New Roman" w:cs="Arial"/>
          <w:lang w:eastAsia="bg-BG"/>
        </w:rPr>
        <w:fldChar w:fldCharType="end"/>
      </w:r>
    </w:p>
    <w:p w14:paraId="60A7602A" w14:textId="77777777" w:rsidR="004800E5" w:rsidRPr="004800E5" w:rsidRDefault="004800E5" w:rsidP="004800E5"/>
    <w:p w14:paraId="378A0F20" w14:textId="38006909" w:rsidR="001D095A" w:rsidRDefault="002C50EE" w:rsidP="00340E8D">
      <w:pPr>
        <w:pStyle w:val="Heading2"/>
      </w:pPr>
      <w:r>
        <w:t>4.9. Предозиране</w:t>
      </w:r>
    </w:p>
    <w:p w14:paraId="02CA623A" w14:textId="29270A63" w:rsidR="004800E5" w:rsidRDefault="004800E5" w:rsidP="004800E5"/>
    <w:p w14:paraId="1E1B86B1" w14:textId="77777777" w:rsidR="004800E5" w:rsidRPr="004800E5" w:rsidRDefault="004800E5" w:rsidP="004800E5">
      <w:pPr>
        <w:spacing w:line="240" w:lineRule="auto"/>
        <w:rPr>
          <w:rFonts w:eastAsia="Times New Roman" w:cs="Arial"/>
          <w:sz w:val="24"/>
          <w:szCs w:val="24"/>
          <w:lang w:eastAsia="bg-BG"/>
        </w:rPr>
      </w:pPr>
      <w:r w:rsidRPr="004800E5">
        <w:rPr>
          <w:rFonts w:eastAsia="Times New Roman" w:cs="Arial"/>
          <w:color w:val="000000"/>
          <w:sz w:val="20"/>
          <w:szCs w:val="20"/>
          <w:u w:val="single"/>
          <w:lang w:eastAsia="bg-BG"/>
        </w:rPr>
        <w:t>Симптомите на предозиране са брадикардия. хипотония, бронхоспазъм. остра сърдечна недостатъчност.</w:t>
      </w:r>
    </w:p>
    <w:p w14:paraId="210AE72E" w14:textId="77777777" w:rsidR="004800E5" w:rsidRPr="004800E5" w:rsidRDefault="004800E5" w:rsidP="004800E5">
      <w:pPr>
        <w:spacing w:line="240" w:lineRule="auto"/>
        <w:rPr>
          <w:rFonts w:eastAsia="Times New Roman" w:cs="Arial"/>
          <w:sz w:val="24"/>
          <w:szCs w:val="24"/>
          <w:lang w:eastAsia="bg-BG"/>
        </w:rPr>
      </w:pPr>
      <w:r w:rsidRPr="004800E5">
        <w:rPr>
          <w:rFonts w:eastAsia="Times New Roman" w:cs="Arial"/>
          <w:color w:val="000000"/>
          <w:sz w:val="20"/>
          <w:szCs w:val="20"/>
          <w:lang w:eastAsia="bg-BG"/>
        </w:rPr>
        <w:t>В случай на брадикардия или голямо понижение на артериалното налягане трябва да се приложат следните лекарствени продукти:</w:t>
      </w:r>
    </w:p>
    <w:p w14:paraId="3A271145" w14:textId="77777777" w:rsidR="004800E5" w:rsidRPr="004800E5" w:rsidRDefault="004800E5" w:rsidP="004800E5">
      <w:pPr>
        <w:pStyle w:val="ListParagraph"/>
        <w:numPr>
          <w:ilvl w:val="0"/>
          <w:numId w:val="42"/>
        </w:numPr>
        <w:spacing w:line="240" w:lineRule="auto"/>
        <w:rPr>
          <w:rFonts w:eastAsia="Times New Roman" w:cs="Arial"/>
          <w:sz w:val="24"/>
          <w:szCs w:val="24"/>
          <w:lang w:eastAsia="bg-BG"/>
        </w:rPr>
      </w:pPr>
      <w:r w:rsidRPr="004800E5">
        <w:rPr>
          <w:rFonts w:eastAsia="Times New Roman" w:cs="Arial"/>
          <w:color w:val="000000"/>
          <w:sz w:val="20"/>
          <w:szCs w:val="20"/>
          <w:lang w:eastAsia="bg-BG"/>
        </w:rPr>
        <w:t xml:space="preserve">атропин 1-2 </w:t>
      </w:r>
      <w:r w:rsidRPr="004800E5">
        <w:rPr>
          <w:rFonts w:eastAsia="Times New Roman" w:cs="Arial"/>
          <w:color w:val="000000"/>
          <w:sz w:val="20"/>
          <w:szCs w:val="20"/>
          <w:lang w:val="en-US"/>
        </w:rPr>
        <w:t xml:space="preserve">mg </w:t>
      </w:r>
      <w:proofErr w:type="spellStart"/>
      <w:r w:rsidRPr="004800E5">
        <w:rPr>
          <w:rFonts w:eastAsia="Times New Roman" w:cs="Arial"/>
          <w:color w:val="000000"/>
          <w:sz w:val="20"/>
          <w:szCs w:val="20"/>
          <w:lang w:val="en-US"/>
        </w:rPr>
        <w:t>i.v.</w:t>
      </w:r>
      <w:proofErr w:type="spellEnd"/>
    </w:p>
    <w:p w14:paraId="3F5F621A" w14:textId="77777777" w:rsidR="004800E5" w:rsidRPr="004800E5" w:rsidRDefault="004800E5" w:rsidP="004800E5">
      <w:pPr>
        <w:pStyle w:val="ListParagraph"/>
        <w:numPr>
          <w:ilvl w:val="0"/>
          <w:numId w:val="42"/>
        </w:numPr>
        <w:spacing w:line="240" w:lineRule="auto"/>
        <w:rPr>
          <w:rFonts w:eastAsia="Times New Roman" w:cs="Arial"/>
          <w:sz w:val="24"/>
          <w:szCs w:val="24"/>
          <w:lang w:eastAsia="bg-BG"/>
        </w:rPr>
      </w:pPr>
      <w:r w:rsidRPr="004800E5">
        <w:rPr>
          <w:rFonts w:eastAsia="Times New Roman" w:cs="Arial"/>
          <w:color w:val="000000"/>
          <w:sz w:val="20"/>
          <w:szCs w:val="20"/>
          <w:lang w:eastAsia="bg-BG"/>
        </w:rPr>
        <w:t xml:space="preserve">Глюкагон 1 </w:t>
      </w:r>
      <w:r w:rsidRPr="004800E5">
        <w:rPr>
          <w:rFonts w:eastAsia="Times New Roman" w:cs="Arial"/>
          <w:color w:val="000000"/>
          <w:sz w:val="20"/>
          <w:szCs w:val="20"/>
          <w:lang w:val="en-US"/>
        </w:rPr>
        <w:t xml:space="preserve">mg, </w:t>
      </w:r>
      <w:r w:rsidRPr="004800E5">
        <w:rPr>
          <w:rFonts w:eastAsia="Times New Roman" w:cs="Arial"/>
          <w:color w:val="000000"/>
          <w:sz w:val="20"/>
          <w:szCs w:val="20"/>
          <w:lang w:eastAsia="bg-BG"/>
        </w:rPr>
        <w:t>ако е необходимо се повтаря</w:t>
      </w:r>
    </w:p>
    <w:p w14:paraId="4319B8DD" w14:textId="1A9E20DC" w:rsidR="004800E5" w:rsidRPr="004800E5" w:rsidRDefault="004800E5" w:rsidP="004800E5">
      <w:pPr>
        <w:pStyle w:val="ListParagraph"/>
        <w:numPr>
          <w:ilvl w:val="0"/>
          <w:numId w:val="42"/>
        </w:numPr>
        <w:spacing w:line="240" w:lineRule="auto"/>
        <w:rPr>
          <w:rFonts w:eastAsia="Times New Roman" w:cs="Arial"/>
          <w:sz w:val="24"/>
          <w:szCs w:val="24"/>
          <w:lang w:eastAsia="bg-BG"/>
        </w:rPr>
      </w:pPr>
      <w:r w:rsidRPr="004800E5">
        <w:rPr>
          <w:rFonts w:eastAsia="Times New Roman" w:cs="Arial"/>
          <w:color w:val="000000"/>
          <w:sz w:val="20"/>
          <w:szCs w:val="20"/>
          <w:lang w:eastAsia="bg-BG"/>
        </w:rPr>
        <w:t xml:space="preserve">Освен това при необходимост изопреналин </w:t>
      </w:r>
      <w:r w:rsidRPr="004800E5">
        <w:rPr>
          <w:rFonts w:eastAsia="Times New Roman" w:cs="Arial"/>
          <w:color w:val="000000"/>
          <w:sz w:val="20"/>
          <w:szCs w:val="20"/>
          <w:lang w:val="en-US"/>
        </w:rPr>
        <w:t>25</w:t>
      </w:r>
      <w:r w:rsidRPr="004800E5">
        <w:rPr>
          <w:rFonts w:eastAsia="Times New Roman" w:cs="Arial"/>
          <w:color w:val="000000"/>
          <w:sz w:val="20"/>
          <w:szCs w:val="20"/>
          <w:lang w:eastAsia="bg-BG"/>
        </w:rPr>
        <w:t>μ</w:t>
      </w:r>
      <w:r w:rsidRPr="004800E5">
        <w:rPr>
          <w:rFonts w:eastAsia="Times New Roman" w:cs="Arial"/>
          <w:color w:val="000000"/>
          <w:sz w:val="20"/>
          <w:szCs w:val="20"/>
          <w:lang w:val="en-US"/>
        </w:rPr>
        <w:t xml:space="preserve">g </w:t>
      </w:r>
      <w:r w:rsidRPr="004800E5">
        <w:rPr>
          <w:rFonts w:eastAsia="Times New Roman" w:cs="Arial"/>
          <w:color w:val="000000"/>
          <w:sz w:val="20"/>
          <w:szCs w:val="20"/>
          <w:lang w:eastAsia="bg-BG"/>
        </w:rPr>
        <w:t>като бавна инжекция или добутамин в доза 2,5 — 10 μ</w:t>
      </w:r>
      <w:r w:rsidRPr="004800E5">
        <w:rPr>
          <w:rFonts w:eastAsia="Times New Roman" w:cs="Arial"/>
          <w:color w:val="000000"/>
          <w:sz w:val="20"/>
          <w:szCs w:val="20"/>
          <w:lang w:val="en-US"/>
        </w:rPr>
        <w:t>g/kg/min.</w:t>
      </w:r>
    </w:p>
    <w:p w14:paraId="4CD5DE36" w14:textId="77777777" w:rsidR="004800E5" w:rsidRPr="004800E5" w:rsidRDefault="004800E5" w:rsidP="004800E5">
      <w:pPr>
        <w:spacing w:line="240" w:lineRule="auto"/>
        <w:rPr>
          <w:rFonts w:eastAsia="Times New Roman" w:cs="Arial"/>
          <w:sz w:val="24"/>
          <w:szCs w:val="24"/>
          <w:lang w:eastAsia="bg-BG"/>
        </w:rPr>
      </w:pPr>
      <w:r w:rsidRPr="004800E5">
        <w:rPr>
          <w:rFonts w:eastAsia="Times New Roman" w:cs="Arial"/>
          <w:color w:val="000000"/>
          <w:sz w:val="20"/>
          <w:szCs w:val="20"/>
          <w:u w:val="single"/>
          <w:lang w:eastAsia="bg-BG"/>
        </w:rPr>
        <w:t>В случай на сърдечна недостатъчност при новородено от приемаща бета-блокер майка трябва да се приложи следното лечение</w:t>
      </w:r>
    </w:p>
    <w:p w14:paraId="6C897B92" w14:textId="77777777" w:rsidR="004800E5" w:rsidRPr="004800E5" w:rsidRDefault="004800E5" w:rsidP="004800E5">
      <w:pPr>
        <w:pStyle w:val="ListParagraph"/>
        <w:numPr>
          <w:ilvl w:val="0"/>
          <w:numId w:val="43"/>
        </w:numPr>
        <w:spacing w:line="240" w:lineRule="auto"/>
        <w:rPr>
          <w:rFonts w:eastAsia="Times New Roman" w:cs="Arial"/>
          <w:sz w:val="24"/>
          <w:szCs w:val="24"/>
          <w:lang w:eastAsia="bg-BG"/>
        </w:rPr>
      </w:pPr>
      <w:r w:rsidRPr="004800E5">
        <w:rPr>
          <w:rFonts w:eastAsia="Times New Roman" w:cs="Arial"/>
          <w:color w:val="000000"/>
          <w:sz w:val="20"/>
          <w:szCs w:val="20"/>
          <w:lang w:eastAsia="bg-BG"/>
        </w:rPr>
        <w:t xml:space="preserve">Глюкагон 0,3 </w:t>
      </w:r>
      <w:r w:rsidRPr="004800E5">
        <w:rPr>
          <w:rFonts w:eastAsia="Times New Roman" w:cs="Arial"/>
          <w:color w:val="000000"/>
          <w:sz w:val="20"/>
          <w:szCs w:val="20"/>
          <w:lang w:val="en-US"/>
        </w:rPr>
        <w:t>mg/kg</w:t>
      </w:r>
    </w:p>
    <w:p w14:paraId="27C577A1" w14:textId="77777777" w:rsidR="004800E5" w:rsidRPr="004800E5" w:rsidRDefault="004800E5" w:rsidP="004800E5">
      <w:pPr>
        <w:pStyle w:val="ListParagraph"/>
        <w:numPr>
          <w:ilvl w:val="0"/>
          <w:numId w:val="43"/>
        </w:numPr>
        <w:spacing w:line="240" w:lineRule="auto"/>
        <w:rPr>
          <w:rFonts w:eastAsia="Times New Roman" w:cs="Arial"/>
          <w:sz w:val="24"/>
          <w:szCs w:val="24"/>
          <w:lang w:eastAsia="bg-BG"/>
        </w:rPr>
      </w:pPr>
      <w:r w:rsidRPr="004800E5">
        <w:rPr>
          <w:rFonts w:eastAsia="Times New Roman" w:cs="Arial"/>
          <w:color w:val="000000"/>
          <w:sz w:val="20"/>
          <w:szCs w:val="20"/>
          <w:lang w:eastAsia="bg-BG"/>
        </w:rPr>
        <w:t>Хоспитализация в интензивно отделение за новородени</w:t>
      </w:r>
    </w:p>
    <w:p w14:paraId="575E3258" w14:textId="2E69B159" w:rsidR="004800E5" w:rsidRPr="004800E5" w:rsidRDefault="004800E5" w:rsidP="004800E5">
      <w:pPr>
        <w:pStyle w:val="ListParagraph"/>
        <w:numPr>
          <w:ilvl w:val="0"/>
          <w:numId w:val="43"/>
        </w:numPr>
        <w:spacing w:line="240" w:lineRule="auto"/>
        <w:rPr>
          <w:rFonts w:eastAsia="Times New Roman" w:cs="Arial"/>
          <w:sz w:val="24"/>
          <w:szCs w:val="24"/>
          <w:lang w:eastAsia="bg-BG"/>
        </w:rPr>
      </w:pPr>
      <w:r w:rsidRPr="004800E5">
        <w:rPr>
          <w:rFonts w:eastAsia="Times New Roman" w:cs="Arial"/>
          <w:color w:val="000000"/>
          <w:sz w:val="20"/>
          <w:szCs w:val="20"/>
          <w:lang w:eastAsia="bg-BG"/>
        </w:rPr>
        <w:t>изопреналин и добутамин: продължително лечение, обикновено с високи дози, изискващи специализирано проследяване</w:t>
      </w:r>
    </w:p>
    <w:p w14:paraId="59C63E19" w14:textId="77777777" w:rsidR="004800E5" w:rsidRPr="004800E5" w:rsidRDefault="004800E5" w:rsidP="004800E5"/>
    <w:p w14:paraId="02081B24" w14:textId="36FE76F4" w:rsidR="00395555" w:rsidRPr="00395555" w:rsidRDefault="002C50EE" w:rsidP="008A6AF2">
      <w:pPr>
        <w:pStyle w:val="Heading1"/>
      </w:pPr>
      <w:r>
        <w:t>5. ФАРМАКОЛОГИЧНИ СВОЙСТВА</w:t>
      </w:r>
    </w:p>
    <w:p w14:paraId="1A152A95" w14:textId="1AE3DAB7" w:rsidR="001D095A" w:rsidRDefault="002C50EE" w:rsidP="00340E8D">
      <w:pPr>
        <w:pStyle w:val="Heading2"/>
      </w:pPr>
      <w:r>
        <w:t>5.1. Фармакодинамични свойства</w:t>
      </w:r>
    </w:p>
    <w:p w14:paraId="324A6E48" w14:textId="6C7584CA" w:rsidR="004800E5" w:rsidRDefault="004800E5" w:rsidP="004800E5"/>
    <w:p w14:paraId="731BEFA6" w14:textId="77777777" w:rsidR="004800E5" w:rsidRPr="004800E5" w:rsidRDefault="004800E5" w:rsidP="004800E5">
      <w:pPr>
        <w:rPr>
          <w:sz w:val="24"/>
          <w:szCs w:val="24"/>
          <w:lang w:eastAsia="bg-BG"/>
        </w:rPr>
      </w:pPr>
      <w:r w:rsidRPr="004800E5">
        <w:rPr>
          <w:lang w:eastAsia="bg-BG"/>
        </w:rPr>
        <w:t>Фармакотерапевтична група: бета-блокери, селективни, АТС код: С07АВ05</w:t>
      </w:r>
    </w:p>
    <w:p w14:paraId="5F66552E" w14:textId="77777777" w:rsidR="004800E5" w:rsidRDefault="004800E5" w:rsidP="004800E5">
      <w:pPr>
        <w:rPr>
          <w:lang w:eastAsia="bg-BG"/>
        </w:rPr>
      </w:pPr>
    </w:p>
    <w:p w14:paraId="11C5AD97" w14:textId="42695ECA" w:rsidR="004800E5" w:rsidRPr="004800E5" w:rsidRDefault="004800E5" w:rsidP="004800E5">
      <w:pPr>
        <w:rPr>
          <w:sz w:val="24"/>
          <w:szCs w:val="24"/>
          <w:lang w:eastAsia="bg-BG"/>
        </w:rPr>
      </w:pPr>
      <w:r w:rsidRPr="004800E5">
        <w:rPr>
          <w:lang w:eastAsia="bg-BG"/>
        </w:rPr>
        <w:t xml:space="preserve">Бетаксолол е кардиоселекгивен бета-адренорецепторен блокер. Продуктът се характеризира с дълга продължителност на действие, липса на съществена симпатомиметична активност, слабо мембраностабилизиращо действие и ниска разтворимост в липиди. Бетаксолол индуцира намаление на париеталното налягане, удължаване на коронарното време на пълнене (удължаване на диастолата) и намаляване на миокардната консумация на кислород. Тези ефекти са свързани с леко негативно </w:t>
      </w:r>
      <w:r w:rsidRPr="004800E5">
        <w:rPr>
          <w:lang w:eastAsia="bg-BG"/>
        </w:rPr>
        <w:lastRenderedPageBreak/>
        <w:t>инотропно и дромотропно действие. Бетаксолол намалява също нивата на ренин и алдостерон, и по този начин намалява периферното артериално съпротивление.</w:t>
      </w:r>
    </w:p>
    <w:p w14:paraId="737421E8" w14:textId="77777777" w:rsidR="004800E5" w:rsidRPr="004800E5" w:rsidRDefault="004800E5" w:rsidP="004800E5"/>
    <w:p w14:paraId="7C8C9C46" w14:textId="3FBC9303" w:rsidR="00E9184E" w:rsidRDefault="002C50EE" w:rsidP="00340E8D">
      <w:pPr>
        <w:pStyle w:val="Heading2"/>
      </w:pPr>
      <w:r>
        <w:t>5.2. Фармакокинетични свойства</w:t>
      </w:r>
    </w:p>
    <w:p w14:paraId="4060A4CB" w14:textId="569EDD41" w:rsidR="004800E5" w:rsidRDefault="004800E5" w:rsidP="004800E5"/>
    <w:p w14:paraId="70FF3C56" w14:textId="77777777"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Абсорбция</w:t>
      </w:r>
    </w:p>
    <w:p w14:paraId="0ABA99A5"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След перорално приложение, бетаксолол се резорбира пълно и бързо. Метаболизмът при първо преминаване е много малък. Бионаличността е висока, приблизително 85%, което води до малка интра- и интериндивидуалната вариабилност по време на продължително лечение. Времето за достигане на върхови плазмени концентрации (Т</w:t>
      </w:r>
      <w:r w:rsidRPr="004800E5">
        <w:rPr>
          <w:rFonts w:eastAsia="Times New Roman" w:cs="Arial"/>
          <w:color w:val="000000"/>
          <w:lang w:val="en-US"/>
        </w:rPr>
        <w:t>max</w:t>
      </w:r>
      <w:r w:rsidRPr="004800E5">
        <w:rPr>
          <w:rFonts w:eastAsia="Times New Roman" w:cs="Arial"/>
          <w:color w:val="000000"/>
          <w:lang w:eastAsia="bg-BG"/>
        </w:rPr>
        <w:t>) за бетаксолол е около 3 часа. Свързването с протеините е около 50%; затова рискът от лекарствени взаимодействия е ограничен.</w:t>
      </w:r>
    </w:p>
    <w:p w14:paraId="2E5B7523" w14:textId="77777777" w:rsidR="004800E5" w:rsidRPr="004800E5" w:rsidRDefault="004800E5" w:rsidP="004800E5">
      <w:pPr>
        <w:spacing w:line="240" w:lineRule="auto"/>
        <w:rPr>
          <w:rFonts w:eastAsia="Times New Roman" w:cs="Arial"/>
          <w:color w:val="000000"/>
          <w:u w:val="single"/>
          <w:lang w:eastAsia="bg-BG"/>
        </w:rPr>
      </w:pPr>
    </w:p>
    <w:p w14:paraId="33A4FFB9" w14:textId="76BC3C1F"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Разпределение</w:t>
      </w:r>
    </w:p>
    <w:p w14:paraId="5BF31933"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Обемът на разпределение е около 6</w:t>
      </w:r>
      <w:r w:rsidRPr="004800E5">
        <w:rPr>
          <w:rFonts w:eastAsia="Times New Roman" w:cs="Arial"/>
          <w:color w:val="000000"/>
          <w:lang w:val="en-US"/>
        </w:rPr>
        <w:t>1/kg.</w:t>
      </w:r>
    </w:p>
    <w:p w14:paraId="54A8C2F3" w14:textId="77777777" w:rsidR="004800E5" w:rsidRPr="004800E5" w:rsidRDefault="004800E5" w:rsidP="004800E5">
      <w:pPr>
        <w:spacing w:line="240" w:lineRule="auto"/>
        <w:rPr>
          <w:rFonts w:eastAsia="Times New Roman" w:cs="Arial"/>
          <w:color w:val="000000"/>
          <w:u w:val="single"/>
          <w:lang w:eastAsia="bg-BG"/>
        </w:rPr>
      </w:pPr>
    </w:p>
    <w:p w14:paraId="181A8DD3" w14:textId="54BD946F"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Биотранс</w:t>
      </w:r>
      <w:r w:rsidRPr="004800E5">
        <w:rPr>
          <w:rFonts w:eastAsia="Times New Roman"/>
          <w:u w:val="single"/>
          <w:lang w:eastAsia="bg-BG"/>
        </w:rPr>
        <w:t>ф</w:t>
      </w:r>
      <w:r w:rsidRPr="004800E5">
        <w:rPr>
          <w:rFonts w:eastAsia="Times New Roman"/>
          <w:u w:val="single"/>
          <w:lang w:eastAsia="bg-BG"/>
        </w:rPr>
        <w:t>ормация</w:t>
      </w:r>
    </w:p>
    <w:p w14:paraId="4DBF9864" w14:textId="77777777" w:rsidR="004800E5" w:rsidRPr="004800E5" w:rsidRDefault="004800E5" w:rsidP="004800E5">
      <w:pPr>
        <w:spacing w:line="240" w:lineRule="auto"/>
        <w:rPr>
          <w:rFonts w:eastAsia="Times New Roman" w:cs="Arial"/>
          <w:sz w:val="28"/>
          <w:szCs w:val="28"/>
          <w:lang w:eastAsia="bg-BG"/>
        </w:rPr>
      </w:pPr>
      <w:r w:rsidRPr="004800E5">
        <w:rPr>
          <w:rFonts w:eastAsia="Times New Roman" w:cs="Arial"/>
          <w:color w:val="000000"/>
          <w:lang w:eastAsia="bg-BG"/>
        </w:rPr>
        <w:t>Повечето бетаксолол се метаболизира до неактивни метаболити. Активните метаболити също са кардиоселективни.</w:t>
      </w:r>
    </w:p>
    <w:p w14:paraId="1ACC0AEF" w14:textId="77777777" w:rsidR="004800E5" w:rsidRPr="004800E5" w:rsidRDefault="004800E5" w:rsidP="004800E5">
      <w:pPr>
        <w:spacing w:line="240" w:lineRule="auto"/>
        <w:rPr>
          <w:rFonts w:eastAsia="Times New Roman" w:cs="Arial"/>
          <w:color w:val="000000"/>
          <w:u w:val="single"/>
          <w:lang w:eastAsia="bg-BG"/>
        </w:rPr>
      </w:pPr>
    </w:p>
    <w:p w14:paraId="4A460BC5" w14:textId="694BC4DC" w:rsidR="004800E5" w:rsidRPr="004800E5" w:rsidRDefault="004800E5" w:rsidP="004800E5">
      <w:pPr>
        <w:pStyle w:val="Heading3"/>
        <w:rPr>
          <w:rFonts w:eastAsia="Times New Roman"/>
          <w:sz w:val="28"/>
          <w:szCs w:val="28"/>
          <w:u w:val="single"/>
          <w:lang w:eastAsia="bg-BG"/>
        </w:rPr>
      </w:pPr>
      <w:r w:rsidRPr="004800E5">
        <w:rPr>
          <w:rFonts w:eastAsia="Times New Roman"/>
          <w:u w:val="single"/>
          <w:lang w:eastAsia="bg-BG"/>
        </w:rPr>
        <w:t>Елиминиране</w:t>
      </w:r>
    </w:p>
    <w:p w14:paraId="279AFAD4" w14:textId="07F44E67" w:rsidR="004800E5" w:rsidRPr="004800E5" w:rsidRDefault="004800E5" w:rsidP="004800E5">
      <w:pPr>
        <w:rPr>
          <w:rFonts w:eastAsia="Times New Roman" w:cs="Arial"/>
          <w:color w:val="000000"/>
          <w:lang w:eastAsia="bg-BG"/>
        </w:rPr>
      </w:pPr>
      <w:r w:rsidRPr="004800E5">
        <w:rPr>
          <w:rFonts w:eastAsia="Times New Roman" w:cs="Arial"/>
          <w:color w:val="000000"/>
          <w:lang w:eastAsia="bg-BG"/>
        </w:rPr>
        <w:t>Само 10-15% от приложения продукт се отделя непроменен в урината. Елиминационният полуживот е между 15 и 20 часа, което позволява бетаксолол да се приема веднъж дневно.</w:t>
      </w:r>
    </w:p>
    <w:p w14:paraId="4270845C" w14:textId="77777777" w:rsidR="004800E5" w:rsidRPr="004800E5" w:rsidRDefault="004800E5" w:rsidP="004800E5"/>
    <w:p w14:paraId="0BD5B037" w14:textId="5E148B85" w:rsidR="008F7F23" w:rsidRDefault="002C50EE" w:rsidP="00340E8D">
      <w:pPr>
        <w:pStyle w:val="Heading2"/>
      </w:pPr>
      <w:r>
        <w:t>5.3. Предклинични данни за безопасност</w:t>
      </w:r>
    </w:p>
    <w:p w14:paraId="5539498D" w14:textId="11C79711" w:rsidR="004800E5" w:rsidRDefault="004800E5" w:rsidP="004800E5"/>
    <w:p w14:paraId="5BB4622B" w14:textId="77777777" w:rsidR="004800E5" w:rsidRPr="004800E5" w:rsidRDefault="004800E5" w:rsidP="004800E5">
      <w:pPr>
        <w:rPr>
          <w:sz w:val="24"/>
          <w:szCs w:val="24"/>
          <w:lang w:eastAsia="bg-BG"/>
        </w:rPr>
      </w:pPr>
      <w:r w:rsidRPr="004800E5">
        <w:rPr>
          <w:lang w:eastAsia="bg-BG"/>
        </w:rPr>
        <w:t>Продължително приложение на няколко породи животни показва, че бетаксолол се понася добре и има широк диапазон на терапевтична безопасност.</w:t>
      </w:r>
    </w:p>
    <w:p w14:paraId="32270395" w14:textId="77777777" w:rsidR="004800E5" w:rsidRPr="004800E5" w:rsidRDefault="004800E5" w:rsidP="004800E5">
      <w:pPr>
        <w:rPr>
          <w:sz w:val="24"/>
          <w:szCs w:val="24"/>
          <w:lang w:eastAsia="bg-BG"/>
        </w:rPr>
      </w:pPr>
      <w:r w:rsidRPr="004800E5">
        <w:rPr>
          <w:lang w:eastAsia="bg-BG"/>
        </w:rPr>
        <w:t>При неклинични проучвания не са доказани мутагенност и карциногенност.</w:t>
      </w:r>
    </w:p>
    <w:p w14:paraId="30FB2FC8" w14:textId="1DC13D8D" w:rsidR="004800E5" w:rsidRPr="004800E5" w:rsidRDefault="004800E5" w:rsidP="004800E5">
      <w:r w:rsidRPr="004800E5">
        <w:rPr>
          <w:lang w:eastAsia="bg-BG"/>
        </w:rPr>
        <w:t>Проучвания с животни не показват тератогенен ефект на бетаксолол. Няма достатъчно данни за хора. Не са идентифицирани доказателства за тератогенен потенциал на бетаксолол при хора.</w:t>
      </w:r>
    </w:p>
    <w:p w14:paraId="357049A8" w14:textId="40F9A1F5" w:rsidR="00BB22B4" w:rsidRDefault="002C50EE" w:rsidP="00471F10">
      <w:pPr>
        <w:pStyle w:val="Heading1"/>
      </w:pPr>
      <w:r>
        <w:t>7. ПРИТЕЖАТЕЛ НА РАЗРЕШЕНИЕТО ЗА УПОТРЕБА</w:t>
      </w:r>
    </w:p>
    <w:p w14:paraId="43C703CD" w14:textId="44E9BA78" w:rsidR="004800E5" w:rsidRDefault="004800E5" w:rsidP="004800E5"/>
    <w:p w14:paraId="55A3761E" w14:textId="3E177E8A" w:rsidR="004800E5" w:rsidRPr="004800E5" w:rsidRDefault="004800E5" w:rsidP="004800E5">
      <w:r>
        <w:t xml:space="preserve">Medochemie Ltd, </w:t>
      </w:r>
      <w:r>
        <w:rPr>
          <w:lang w:eastAsia="bg-BG"/>
        </w:rPr>
        <w:t xml:space="preserve">1-10 </w:t>
      </w:r>
      <w:r>
        <w:t xml:space="preserve">Constantinoupoleos street, 3011 Limassol, </w:t>
      </w:r>
      <w:r>
        <w:rPr>
          <w:lang w:eastAsia="bg-BG"/>
        </w:rPr>
        <w:t>Кипър</w:t>
      </w:r>
    </w:p>
    <w:p w14:paraId="0A53321D" w14:textId="01286842" w:rsidR="00EE6C97" w:rsidRDefault="00936AD0" w:rsidP="00A93499">
      <w:pPr>
        <w:pStyle w:val="Heading1"/>
      </w:pPr>
      <w:r>
        <w:t>8.</w:t>
      </w:r>
      <w:r w:rsidR="002C50EE">
        <w:t>НОМЕР НА РАЗРЕШЕНИЕТО ЗА УПОТРЕБА</w:t>
      </w:r>
    </w:p>
    <w:p w14:paraId="06346873" w14:textId="2397A74C" w:rsidR="004800E5" w:rsidRDefault="004800E5" w:rsidP="004800E5"/>
    <w:p w14:paraId="0BF9D155" w14:textId="0EBACB6D" w:rsidR="004800E5" w:rsidRPr="004800E5" w:rsidRDefault="004800E5" w:rsidP="004800E5">
      <w:pPr>
        <w:rPr>
          <w:sz w:val="24"/>
          <w:szCs w:val="24"/>
          <w:lang w:val="en-US" w:eastAsia="bg-BG"/>
        </w:rPr>
      </w:pPr>
      <w:r w:rsidRPr="004800E5">
        <w:rPr>
          <w:lang w:val="en-US"/>
        </w:rPr>
        <w:t>Per. №20080268</w:t>
      </w:r>
    </w:p>
    <w:p w14:paraId="3715C10B" w14:textId="63FDAF76" w:rsidR="00BB22B4" w:rsidRDefault="002C50EE" w:rsidP="00471F10">
      <w:pPr>
        <w:pStyle w:val="Heading1"/>
      </w:pPr>
      <w:r>
        <w:t>9. ДАТА НА ПЪРВО РАЗРЕШАВАНЕ/ПОДНОВЯВАНЕ НА РАЗРЕШЕНИЕТО ЗА УПОТРЕБА</w:t>
      </w:r>
    </w:p>
    <w:p w14:paraId="164137E2" w14:textId="5F098FCC" w:rsidR="004800E5" w:rsidRDefault="004800E5" w:rsidP="004800E5"/>
    <w:p w14:paraId="6D7C26D3" w14:textId="77777777" w:rsidR="004800E5" w:rsidRPr="004800E5" w:rsidRDefault="004800E5" w:rsidP="004800E5">
      <w:pPr>
        <w:rPr>
          <w:sz w:val="24"/>
          <w:szCs w:val="24"/>
          <w:lang w:eastAsia="bg-BG"/>
        </w:rPr>
      </w:pPr>
      <w:r w:rsidRPr="004800E5">
        <w:rPr>
          <w:lang w:eastAsia="bg-BG"/>
        </w:rPr>
        <w:lastRenderedPageBreak/>
        <w:t>Дата на първо разрешаване: 15 декември 2008 г.</w:t>
      </w:r>
    </w:p>
    <w:p w14:paraId="0CDE75E1" w14:textId="37D46122" w:rsidR="004800E5" w:rsidRPr="004800E5" w:rsidRDefault="004800E5" w:rsidP="004800E5">
      <w:pPr>
        <w:rPr>
          <w:sz w:val="24"/>
          <w:szCs w:val="24"/>
          <w:lang w:eastAsia="bg-BG"/>
        </w:rPr>
      </w:pPr>
      <w:r w:rsidRPr="004800E5">
        <w:rPr>
          <w:lang w:eastAsia="bg-BG"/>
        </w:rPr>
        <w:t>Дата на последно подновяване: 07 октомври 2013 г.</w:t>
      </w:r>
    </w:p>
    <w:p w14:paraId="43FB38A2" w14:textId="0C18A683" w:rsidR="007C605B" w:rsidRDefault="002C50EE" w:rsidP="005726E3">
      <w:pPr>
        <w:pStyle w:val="Heading1"/>
      </w:pPr>
      <w:r>
        <w:t>10. ДАТА НА АКТУАЛИЗИРАНЕ НА ТЕКСТА</w:t>
      </w:r>
      <w:bookmarkEnd w:id="0"/>
    </w:p>
    <w:p w14:paraId="472617BD" w14:textId="6B34DF8E" w:rsidR="00BB22B4" w:rsidRPr="00BB22B4" w:rsidRDefault="004800E5" w:rsidP="004800E5">
      <w:r>
        <w:t>11/2020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770F"/>
    <w:multiLevelType w:val="hybridMultilevel"/>
    <w:tmpl w:val="9C445FE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C04C40"/>
    <w:multiLevelType w:val="hybridMultilevel"/>
    <w:tmpl w:val="A1500D7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6"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876B7C"/>
    <w:multiLevelType w:val="hybridMultilevel"/>
    <w:tmpl w:val="6F5EF8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53A83"/>
    <w:multiLevelType w:val="hybridMultilevel"/>
    <w:tmpl w:val="52C47C80"/>
    <w:lvl w:ilvl="0" w:tplc="8C8EAC42">
      <w:start w:val="4"/>
      <w:numFmt w:val="bullet"/>
      <w:lvlText w:val="-"/>
      <w:lvlJc w:val="left"/>
      <w:pPr>
        <w:ind w:left="720" w:hanging="360"/>
      </w:pPr>
      <w:rPr>
        <w:rFonts w:ascii="Times New Roman" w:eastAsia="Times New Roman" w:hAnsi="Times New Roman" w:cs="Times New Roman" w:hint="default"/>
        <w:color w:val="00000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2"/>
  </w:num>
  <w:num w:numId="2" w16cid:durableId="1612932146">
    <w:abstractNumId w:val="0"/>
  </w:num>
  <w:num w:numId="3" w16cid:durableId="1810323821">
    <w:abstractNumId w:val="16"/>
  </w:num>
  <w:num w:numId="4" w16cid:durableId="2135319613">
    <w:abstractNumId w:val="3"/>
  </w:num>
  <w:num w:numId="5" w16cid:durableId="740105516">
    <w:abstractNumId w:val="1"/>
  </w:num>
  <w:num w:numId="6" w16cid:durableId="1668363208">
    <w:abstractNumId w:val="21"/>
  </w:num>
  <w:num w:numId="7" w16cid:durableId="1241988161">
    <w:abstractNumId w:val="13"/>
  </w:num>
  <w:num w:numId="8" w16cid:durableId="2102022361">
    <w:abstractNumId w:val="20"/>
  </w:num>
  <w:num w:numId="9" w16cid:durableId="1154613663">
    <w:abstractNumId w:val="2"/>
  </w:num>
  <w:num w:numId="10" w16cid:durableId="1733848127">
    <w:abstractNumId w:val="4"/>
  </w:num>
  <w:num w:numId="11" w16cid:durableId="1861704680">
    <w:abstractNumId w:val="36"/>
  </w:num>
  <w:num w:numId="12" w16cid:durableId="1434934028">
    <w:abstractNumId w:val="18"/>
  </w:num>
  <w:num w:numId="13" w16cid:durableId="479157895">
    <w:abstractNumId w:val="24"/>
  </w:num>
  <w:num w:numId="14" w16cid:durableId="1670476636">
    <w:abstractNumId w:val="15"/>
  </w:num>
  <w:num w:numId="15" w16cid:durableId="1000155783">
    <w:abstractNumId w:val="34"/>
  </w:num>
  <w:num w:numId="16" w16cid:durableId="2056420707">
    <w:abstractNumId w:val="12"/>
  </w:num>
  <w:num w:numId="17" w16cid:durableId="1787119182">
    <w:abstractNumId w:val="29"/>
  </w:num>
  <w:num w:numId="18" w16cid:durableId="722945139">
    <w:abstractNumId w:val="8"/>
  </w:num>
  <w:num w:numId="19" w16cid:durableId="1678728408">
    <w:abstractNumId w:val="31"/>
  </w:num>
  <w:num w:numId="20" w16cid:durableId="1970816657">
    <w:abstractNumId w:val="28"/>
  </w:num>
  <w:num w:numId="21" w16cid:durableId="1531146514">
    <w:abstractNumId w:val="22"/>
  </w:num>
  <w:num w:numId="22" w16cid:durableId="1276465">
    <w:abstractNumId w:val="30"/>
  </w:num>
  <w:num w:numId="23" w16cid:durableId="1624310558">
    <w:abstractNumId w:val="23"/>
  </w:num>
  <w:num w:numId="24" w16cid:durableId="1692877547">
    <w:abstractNumId w:val="9"/>
  </w:num>
  <w:num w:numId="25" w16cid:durableId="50930855">
    <w:abstractNumId w:val="27"/>
  </w:num>
  <w:num w:numId="26" w16cid:durableId="176701536">
    <w:abstractNumId w:val="26"/>
  </w:num>
  <w:num w:numId="27" w16cid:durableId="2050564750">
    <w:abstractNumId w:val="38"/>
  </w:num>
  <w:num w:numId="28" w16cid:durableId="1820733422">
    <w:abstractNumId w:val="6"/>
  </w:num>
  <w:num w:numId="29" w16cid:durableId="973678124">
    <w:abstractNumId w:val="25"/>
  </w:num>
  <w:num w:numId="30" w16cid:durableId="154884452">
    <w:abstractNumId w:val="42"/>
  </w:num>
  <w:num w:numId="31" w16cid:durableId="1053964910">
    <w:abstractNumId w:val="5"/>
  </w:num>
  <w:num w:numId="32" w16cid:durableId="2073575793">
    <w:abstractNumId w:val="40"/>
  </w:num>
  <w:num w:numId="33" w16cid:durableId="1566643170">
    <w:abstractNumId w:val="33"/>
  </w:num>
  <w:num w:numId="34" w16cid:durableId="2060787732">
    <w:abstractNumId w:val="39"/>
  </w:num>
  <w:num w:numId="35" w16cid:durableId="34161354">
    <w:abstractNumId w:val="7"/>
  </w:num>
  <w:num w:numId="36" w16cid:durableId="1976908676">
    <w:abstractNumId w:val="10"/>
  </w:num>
  <w:num w:numId="37" w16cid:durableId="758528303">
    <w:abstractNumId w:val="19"/>
  </w:num>
  <w:num w:numId="38" w16cid:durableId="178396561">
    <w:abstractNumId w:val="41"/>
  </w:num>
  <w:num w:numId="39" w16cid:durableId="934825996">
    <w:abstractNumId w:val="14"/>
  </w:num>
  <w:num w:numId="40" w16cid:durableId="1750423539">
    <w:abstractNumId w:val="37"/>
  </w:num>
  <w:num w:numId="41" w16cid:durableId="181171251">
    <w:abstractNumId w:val="11"/>
  </w:num>
  <w:num w:numId="42" w16cid:durableId="150105263">
    <w:abstractNumId w:val="17"/>
  </w:num>
  <w:num w:numId="43" w16cid:durableId="5408825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185A46"/>
    <w:rsid w:val="001915B6"/>
    <w:rsid w:val="001A6EBD"/>
    <w:rsid w:val="001D095A"/>
    <w:rsid w:val="001D1B23"/>
    <w:rsid w:val="002B3C38"/>
    <w:rsid w:val="002B4DBB"/>
    <w:rsid w:val="002C50EE"/>
    <w:rsid w:val="00340A0A"/>
    <w:rsid w:val="00340E8D"/>
    <w:rsid w:val="003765DC"/>
    <w:rsid w:val="00395555"/>
    <w:rsid w:val="003E3126"/>
    <w:rsid w:val="00426E5F"/>
    <w:rsid w:val="00471F10"/>
    <w:rsid w:val="004800E5"/>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3252</Words>
  <Characters>18540</Characters>
  <Application>Microsoft Office Word</Application>
  <DocSecurity>0</DocSecurity>
  <Lines>154</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2023-02-01T21:27:00Z</dcterms:created>
  <dcterms:modified xsi:type="dcterms:W3CDTF">2023-02-01T21:27:00Z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