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243A04CE" w:rsidR="00C40420" w:rsidRDefault="00DD466D" w:rsidP="004A448E">
      <w:pPr>
        <w:pStyle w:val="Heading1"/>
      </w:pPr>
      <w:r>
        <w:t>1.ИМЕ НА ЛЕКАРСТВЕНИЯ ПРОДУКТ</w:t>
      </w:r>
    </w:p>
    <w:p w14:paraId="60D714EC" w14:textId="364A8384" w:rsidR="00A41B7E" w:rsidRDefault="00A41B7E" w:rsidP="00A41B7E"/>
    <w:p w14:paraId="05783B29" w14:textId="77777777" w:rsidR="00A41B7E" w:rsidRPr="00A41B7E" w:rsidRDefault="00A41B7E" w:rsidP="00A41B7E">
      <w:pPr>
        <w:rPr>
          <w:sz w:val="24"/>
          <w:szCs w:val="24"/>
        </w:rPr>
      </w:pPr>
      <w:r w:rsidRPr="00A41B7E">
        <w:rPr>
          <w:lang w:eastAsia="bg-BG"/>
        </w:rPr>
        <w:t xml:space="preserve">БЕВИМ 10 </w:t>
      </w:r>
      <w:r w:rsidRPr="00A41B7E">
        <w:rPr>
          <w:lang w:val="en-US"/>
        </w:rPr>
        <w:t>mg</w:t>
      </w:r>
      <w:r w:rsidRPr="00A41B7E">
        <w:t xml:space="preserve"> </w:t>
      </w:r>
      <w:r w:rsidRPr="00A41B7E">
        <w:rPr>
          <w:lang w:eastAsia="bg-BG"/>
        </w:rPr>
        <w:t>филмирани таблетки</w:t>
      </w:r>
    </w:p>
    <w:p w14:paraId="70823649" w14:textId="77777777" w:rsidR="00A41B7E" w:rsidRPr="00A41B7E" w:rsidRDefault="00A41B7E" w:rsidP="00A41B7E">
      <w:pPr>
        <w:rPr>
          <w:sz w:val="24"/>
          <w:szCs w:val="24"/>
        </w:rPr>
      </w:pPr>
      <w:r w:rsidRPr="00A41B7E">
        <w:rPr>
          <w:lang w:val="en-US"/>
        </w:rPr>
        <w:t>BEWIM</w:t>
      </w:r>
      <w:r w:rsidRPr="00A41B7E">
        <w:t xml:space="preserve"> </w:t>
      </w:r>
      <w:r w:rsidRPr="00A41B7E">
        <w:rPr>
          <w:lang w:eastAsia="bg-BG"/>
        </w:rPr>
        <w:t xml:space="preserve">10 </w:t>
      </w:r>
      <w:r w:rsidRPr="00A41B7E">
        <w:rPr>
          <w:lang w:val="en-US"/>
        </w:rPr>
        <w:t>mg</w:t>
      </w:r>
      <w:r w:rsidRPr="00A41B7E">
        <w:t xml:space="preserve"> </w:t>
      </w:r>
      <w:r w:rsidRPr="00A41B7E">
        <w:rPr>
          <w:lang w:val="en-US"/>
        </w:rPr>
        <w:t>film</w:t>
      </w:r>
      <w:r w:rsidRPr="00A41B7E">
        <w:t>-</w:t>
      </w:r>
      <w:r w:rsidRPr="00A41B7E">
        <w:rPr>
          <w:lang w:val="en-US"/>
        </w:rPr>
        <w:t>coated</w:t>
      </w:r>
      <w:r w:rsidRPr="00A41B7E">
        <w:t xml:space="preserve"> </w:t>
      </w:r>
      <w:r w:rsidRPr="00A41B7E">
        <w:rPr>
          <w:lang w:val="en-US"/>
        </w:rPr>
        <w:t>tablets</w:t>
      </w:r>
    </w:p>
    <w:p w14:paraId="63A43A5D" w14:textId="77777777" w:rsidR="00A41B7E" w:rsidRPr="00A41B7E" w:rsidRDefault="00A41B7E" w:rsidP="00A41B7E"/>
    <w:p w14:paraId="6920A680" w14:textId="4E6976AB" w:rsidR="00C40420" w:rsidRDefault="00DD466D" w:rsidP="004A448E">
      <w:pPr>
        <w:pStyle w:val="Heading1"/>
      </w:pPr>
      <w:r>
        <w:t>2. КАЧЕСТВЕН И КОЛИЧЕСТВЕН СЪСТАВ</w:t>
      </w:r>
    </w:p>
    <w:p w14:paraId="3EFA6A8B" w14:textId="27D629F8" w:rsidR="00A41B7E" w:rsidRDefault="00A41B7E" w:rsidP="00A41B7E"/>
    <w:p w14:paraId="4EF590B6" w14:textId="77777777" w:rsidR="00A41B7E" w:rsidRPr="00A41B7E" w:rsidRDefault="00A41B7E" w:rsidP="00A41B7E">
      <w:pPr>
        <w:rPr>
          <w:sz w:val="24"/>
          <w:szCs w:val="24"/>
        </w:rPr>
      </w:pPr>
      <w:r w:rsidRPr="00A41B7E">
        <w:rPr>
          <w:lang w:eastAsia="bg-BG"/>
        </w:rPr>
        <w:t xml:space="preserve">Всяка таблетка съдържа 10 </w:t>
      </w:r>
      <w:r w:rsidRPr="00A41B7E">
        <w:rPr>
          <w:lang w:val="en-US"/>
        </w:rPr>
        <w:t>mg</w:t>
      </w:r>
      <w:r w:rsidRPr="00A41B7E">
        <w:t xml:space="preserve"> </w:t>
      </w:r>
      <w:r w:rsidRPr="00A41B7E">
        <w:rPr>
          <w:lang w:eastAsia="bg-BG"/>
        </w:rPr>
        <w:t xml:space="preserve">прасугрел </w:t>
      </w:r>
      <w:r w:rsidRPr="00A41B7E">
        <w:t>(</w:t>
      </w:r>
      <w:proofErr w:type="spellStart"/>
      <w:r w:rsidRPr="00A41B7E">
        <w:rPr>
          <w:lang w:val="en-US"/>
        </w:rPr>
        <w:t>prasugrel</w:t>
      </w:r>
      <w:proofErr w:type="spellEnd"/>
      <w:r w:rsidRPr="00A41B7E">
        <w:t xml:space="preserve">) </w:t>
      </w:r>
      <w:r w:rsidRPr="00A41B7E">
        <w:rPr>
          <w:lang w:eastAsia="bg-BG"/>
        </w:rPr>
        <w:t>(като прасугрел база).</w:t>
      </w:r>
    </w:p>
    <w:p w14:paraId="44F0AED8" w14:textId="77777777" w:rsidR="00A41B7E" w:rsidRDefault="00A41B7E" w:rsidP="00A41B7E">
      <w:pPr>
        <w:rPr>
          <w:u w:val="single"/>
          <w:lang w:eastAsia="bg-BG"/>
        </w:rPr>
      </w:pPr>
    </w:p>
    <w:p w14:paraId="5E14CFE8" w14:textId="271DFFF2" w:rsidR="00A41B7E" w:rsidRPr="00A41B7E" w:rsidRDefault="00A41B7E" w:rsidP="00A41B7E">
      <w:r w:rsidRPr="00A41B7E">
        <w:rPr>
          <w:u w:val="single"/>
          <w:lang w:eastAsia="bg-BG"/>
        </w:rPr>
        <w:t>Помощно вещество с известно действие:</w:t>
      </w:r>
      <w:r w:rsidRPr="00A41B7E">
        <w:rPr>
          <w:lang w:eastAsia="bg-BG"/>
        </w:rPr>
        <w:t xml:space="preserve"> всяка филмирана таблетка съдържа 246,5 </w:t>
      </w:r>
      <w:r w:rsidRPr="00A41B7E">
        <w:rPr>
          <w:lang w:val="en-US"/>
        </w:rPr>
        <w:t>mg</w:t>
      </w:r>
      <w:r w:rsidRPr="00A41B7E">
        <w:rPr>
          <w:lang w:val="ru-RU"/>
        </w:rPr>
        <w:t xml:space="preserve"> </w:t>
      </w:r>
      <w:r w:rsidRPr="00A41B7E">
        <w:rPr>
          <w:lang w:eastAsia="bg-BG"/>
        </w:rPr>
        <w:t>лактоза.</w:t>
      </w:r>
    </w:p>
    <w:p w14:paraId="614984C4" w14:textId="60707CB1" w:rsidR="008A6AF2" w:rsidRDefault="00DD466D" w:rsidP="002C50EE">
      <w:pPr>
        <w:pStyle w:val="Heading1"/>
      </w:pPr>
      <w:r>
        <w:t>3. ЛЕКАРСТВЕНА ФОРМА</w:t>
      </w:r>
    </w:p>
    <w:p w14:paraId="566C858A" w14:textId="1C4BE6E9" w:rsidR="00A41B7E" w:rsidRDefault="00A41B7E" w:rsidP="00A41B7E"/>
    <w:p w14:paraId="122A57FD" w14:textId="77777777" w:rsidR="00A41B7E" w:rsidRPr="00A41B7E" w:rsidRDefault="00A41B7E" w:rsidP="00A41B7E">
      <w:pPr>
        <w:rPr>
          <w:sz w:val="24"/>
          <w:szCs w:val="24"/>
        </w:rPr>
      </w:pPr>
      <w:r w:rsidRPr="00A41B7E">
        <w:rPr>
          <w:lang w:eastAsia="bg-BG"/>
        </w:rPr>
        <w:t>Филмирана таблетка (таблетка).</w:t>
      </w:r>
    </w:p>
    <w:p w14:paraId="7D7E52AF" w14:textId="77777777" w:rsidR="00A41B7E" w:rsidRPr="00A41B7E" w:rsidRDefault="00A41B7E" w:rsidP="00A41B7E">
      <w:pPr>
        <w:rPr>
          <w:sz w:val="24"/>
          <w:szCs w:val="24"/>
        </w:rPr>
      </w:pPr>
      <w:r w:rsidRPr="00A41B7E">
        <w:rPr>
          <w:lang w:eastAsia="bg-BG"/>
        </w:rPr>
        <w:t xml:space="preserve">Жълти, кръгли, двойноизпъкнали филмирани таблетки, гравирани с “В23” от едната страна и с делителна черта от другата. Диаметърът на таблетките е приблизително 10 </w:t>
      </w:r>
      <w:r w:rsidRPr="00A41B7E">
        <w:rPr>
          <w:lang w:val="en-US"/>
        </w:rPr>
        <w:t>mm</w:t>
      </w:r>
      <w:r w:rsidRPr="00A41B7E">
        <w:rPr>
          <w:lang w:val="ru-RU"/>
        </w:rPr>
        <w:t>.</w:t>
      </w:r>
    </w:p>
    <w:p w14:paraId="7237093E" w14:textId="77777777" w:rsidR="00A41B7E" w:rsidRPr="00A41B7E" w:rsidRDefault="00A41B7E" w:rsidP="00A41B7E">
      <w:pPr>
        <w:rPr>
          <w:sz w:val="24"/>
          <w:szCs w:val="24"/>
        </w:rPr>
      </w:pPr>
      <w:r w:rsidRPr="00A41B7E">
        <w:rPr>
          <w:lang w:eastAsia="bg-BG"/>
        </w:rPr>
        <w:t>Таблетката може да бъде разделена на равни дози.</w:t>
      </w:r>
    </w:p>
    <w:p w14:paraId="26E64213" w14:textId="77777777" w:rsidR="00A41B7E" w:rsidRPr="00A41B7E" w:rsidRDefault="00A41B7E" w:rsidP="00A41B7E"/>
    <w:p w14:paraId="490FC2C4" w14:textId="32682B15" w:rsidR="002C50EE" w:rsidRDefault="002C50EE" w:rsidP="002C50EE">
      <w:pPr>
        <w:pStyle w:val="Heading1"/>
      </w:pPr>
      <w:r>
        <w:t>4. КЛИНИЧНИ ДАННИ</w:t>
      </w:r>
    </w:p>
    <w:p w14:paraId="0C8E6903" w14:textId="446A9186" w:rsidR="008134C8" w:rsidRDefault="002C50EE" w:rsidP="004A448E">
      <w:pPr>
        <w:pStyle w:val="Heading2"/>
      </w:pPr>
      <w:r>
        <w:t>4.1. Терапевтични показания</w:t>
      </w:r>
    </w:p>
    <w:p w14:paraId="475DA137" w14:textId="6DFE8528" w:rsidR="00A41B7E" w:rsidRDefault="00A41B7E" w:rsidP="00A41B7E"/>
    <w:p w14:paraId="3DEE62C0" w14:textId="13973BD3" w:rsidR="00A41B7E" w:rsidRDefault="00A41B7E" w:rsidP="00A41B7E">
      <w:pPr>
        <w:rPr>
          <w:lang w:val="ru-RU"/>
        </w:rPr>
      </w:pPr>
      <w:r w:rsidRPr="00A41B7E">
        <w:rPr>
          <w:lang w:eastAsia="bg-BG"/>
        </w:rPr>
        <w:t xml:space="preserve">Бевим, прилаган едновременно с ацетилсалицилова киселина (АСК), е показан за предотвратяване на атеротромботични събития при възрастни пациенти с остър коронарен синдром (напр. нестабилна стенокардия, инфаркт на миокарда без елевация на </w:t>
      </w:r>
      <w:r w:rsidRPr="00A41B7E">
        <w:rPr>
          <w:lang w:val="en-US"/>
        </w:rPr>
        <w:t>ST</w:t>
      </w:r>
      <w:r w:rsidRPr="00A41B7E">
        <w:rPr>
          <w:lang w:val="ru-RU"/>
        </w:rPr>
        <w:t xml:space="preserve"> </w:t>
      </w:r>
      <w:r w:rsidRPr="00A41B7E">
        <w:rPr>
          <w:lang w:eastAsia="bg-BG"/>
        </w:rPr>
        <w:t xml:space="preserve">сегмент </w:t>
      </w:r>
      <w:r w:rsidRPr="00A41B7E">
        <w:rPr>
          <w:lang w:val="ru-RU"/>
        </w:rPr>
        <w:t>[</w:t>
      </w:r>
      <w:r w:rsidRPr="00A41B7E">
        <w:rPr>
          <w:lang w:val="en-US"/>
        </w:rPr>
        <w:t>UA</w:t>
      </w:r>
      <w:r w:rsidRPr="00A41B7E">
        <w:rPr>
          <w:lang w:val="ru-RU"/>
        </w:rPr>
        <w:t>/</w:t>
      </w:r>
      <w:r w:rsidRPr="00A41B7E">
        <w:rPr>
          <w:lang w:val="en-US"/>
        </w:rPr>
        <w:t>NSTEMI</w:t>
      </w:r>
      <w:r w:rsidRPr="00A41B7E">
        <w:rPr>
          <w:lang w:val="ru-RU"/>
        </w:rPr>
        <w:t xml:space="preserve">] </w:t>
      </w:r>
      <w:r w:rsidRPr="00A41B7E">
        <w:rPr>
          <w:lang w:eastAsia="bg-BG"/>
        </w:rPr>
        <w:t xml:space="preserve">или инфаркт на миокарда с елевация на </w:t>
      </w:r>
      <w:r w:rsidRPr="00A41B7E">
        <w:rPr>
          <w:lang w:val="en-US"/>
        </w:rPr>
        <w:t>ST</w:t>
      </w:r>
      <w:r w:rsidRPr="00A41B7E">
        <w:rPr>
          <w:lang w:val="ru-RU"/>
        </w:rPr>
        <w:t xml:space="preserve"> [</w:t>
      </w:r>
      <w:r w:rsidRPr="00A41B7E">
        <w:rPr>
          <w:lang w:val="en-US"/>
        </w:rPr>
        <w:t>STEMI</w:t>
      </w:r>
      <w:r w:rsidRPr="00A41B7E">
        <w:rPr>
          <w:lang w:val="ru-RU"/>
        </w:rPr>
        <w:t xml:space="preserve">]), </w:t>
      </w:r>
      <w:r w:rsidRPr="00A41B7E">
        <w:rPr>
          <w:lang w:eastAsia="bg-BG"/>
        </w:rPr>
        <w:t xml:space="preserve">подложени на първична или отложена перкутанна коронарна интервенция </w:t>
      </w:r>
      <w:r w:rsidRPr="00A41B7E">
        <w:rPr>
          <w:lang w:val="ru-RU"/>
        </w:rPr>
        <w:t>(</w:t>
      </w:r>
      <w:r w:rsidRPr="00A41B7E">
        <w:rPr>
          <w:lang w:val="en-US"/>
        </w:rPr>
        <w:t>PCI</w:t>
      </w:r>
      <w:r w:rsidRPr="00A41B7E">
        <w:rPr>
          <w:lang w:val="ru-RU"/>
        </w:rPr>
        <w:t>).</w:t>
      </w:r>
    </w:p>
    <w:p w14:paraId="2BDEBD9C" w14:textId="1B1CC6BE" w:rsidR="00A41B7E" w:rsidRDefault="00A41B7E" w:rsidP="00A41B7E">
      <w:pPr>
        <w:rPr>
          <w:lang w:val="ru-RU"/>
        </w:rPr>
      </w:pPr>
    </w:p>
    <w:p w14:paraId="3A011BEC" w14:textId="58CBE948" w:rsidR="00A41B7E" w:rsidRPr="00A41B7E" w:rsidRDefault="00A41B7E" w:rsidP="00A41B7E">
      <w:pPr>
        <w:rPr>
          <w:sz w:val="24"/>
          <w:szCs w:val="24"/>
        </w:rPr>
      </w:pPr>
      <w:r>
        <w:t>За допълнителна информация моля направете справка с точка 5.1.</w:t>
      </w:r>
    </w:p>
    <w:p w14:paraId="584748FD" w14:textId="77777777" w:rsidR="00A41B7E" w:rsidRPr="00A41B7E" w:rsidRDefault="00A41B7E" w:rsidP="00A41B7E"/>
    <w:p w14:paraId="30BE2C7B" w14:textId="7D4F25E1" w:rsidR="008134C8" w:rsidRDefault="002C50EE" w:rsidP="004A448E">
      <w:pPr>
        <w:pStyle w:val="Heading2"/>
      </w:pPr>
      <w:r>
        <w:t>4.2. Дозировка и начин на приложение</w:t>
      </w:r>
    </w:p>
    <w:p w14:paraId="606D298A" w14:textId="56DF7643" w:rsidR="00A41B7E" w:rsidRDefault="00A41B7E" w:rsidP="00A41B7E"/>
    <w:p w14:paraId="3A5CFDA3" w14:textId="77777777" w:rsidR="00A41B7E" w:rsidRPr="00A41B7E" w:rsidRDefault="00A41B7E" w:rsidP="00A41B7E">
      <w:pPr>
        <w:pStyle w:val="Heading3"/>
        <w:rPr>
          <w:rFonts w:eastAsia="Times New Roman"/>
          <w:sz w:val="28"/>
          <w:u w:val="single"/>
        </w:rPr>
      </w:pPr>
      <w:r w:rsidRPr="00A41B7E">
        <w:rPr>
          <w:rFonts w:eastAsia="Times New Roman"/>
          <w:u w:val="single"/>
          <w:lang w:eastAsia="bg-BG"/>
        </w:rPr>
        <w:t>Дозировка</w:t>
      </w:r>
    </w:p>
    <w:p w14:paraId="3110514B" w14:textId="77777777" w:rsidR="00A41B7E" w:rsidRPr="00A41B7E" w:rsidRDefault="00A41B7E" w:rsidP="00A41B7E">
      <w:pPr>
        <w:spacing w:line="240" w:lineRule="auto"/>
        <w:rPr>
          <w:rFonts w:eastAsia="Times New Roman" w:cs="Arial"/>
          <w:i/>
          <w:iCs/>
          <w:color w:val="000000"/>
          <w:szCs w:val="20"/>
          <w:u w:val="single"/>
          <w:lang w:eastAsia="bg-BG"/>
        </w:rPr>
      </w:pPr>
    </w:p>
    <w:p w14:paraId="1C7B2052" w14:textId="4FB6C0D3"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u w:val="single"/>
          <w:lang w:eastAsia="bg-BG"/>
        </w:rPr>
        <w:t>Възрастни</w:t>
      </w:r>
    </w:p>
    <w:p w14:paraId="288440B8" w14:textId="77777777" w:rsidR="00A41B7E" w:rsidRPr="00A41B7E" w:rsidRDefault="00A41B7E" w:rsidP="00A41B7E">
      <w:pPr>
        <w:rPr>
          <w:rFonts w:eastAsia="Times New Roman" w:cs="Arial"/>
          <w:sz w:val="28"/>
          <w:szCs w:val="24"/>
        </w:rPr>
      </w:pPr>
      <w:r w:rsidRPr="00A41B7E">
        <w:rPr>
          <w:rFonts w:eastAsia="Times New Roman" w:cs="Arial"/>
          <w:color w:val="000000"/>
          <w:szCs w:val="20"/>
          <w:lang w:eastAsia="bg-BG"/>
        </w:rPr>
        <w:t xml:space="preserve">Лечението с Бевим трябва да се започва с еднократна натоварваща доза от 60 </w:t>
      </w:r>
      <w:r w:rsidRPr="00A41B7E">
        <w:rPr>
          <w:rFonts w:eastAsia="Times New Roman" w:cs="Arial"/>
          <w:color w:val="000000"/>
          <w:szCs w:val="20"/>
          <w:lang w:val="en-US"/>
        </w:rPr>
        <w:t>mg</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и след тпва да се продължи с 10 </w:t>
      </w:r>
      <w:r w:rsidRPr="00A41B7E">
        <w:rPr>
          <w:rFonts w:eastAsia="Times New Roman" w:cs="Arial"/>
          <w:color w:val="000000"/>
          <w:szCs w:val="20"/>
          <w:lang w:val="en-US"/>
        </w:rPr>
        <w:t>mg</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един път дневно. Когато коронарната ангиография при пациенти с </w:t>
      </w:r>
      <w:r w:rsidRPr="00A41B7E">
        <w:rPr>
          <w:rFonts w:eastAsia="Times New Roman" w:cs="Arial"/>
          <w:color w:val="000000"/>
          <w:szCs w:val="20"/>
          <w:lang w:val="en-US"/>
        </w:rPr>
        <w:t>UA</w:t>
      </w:r>
      <w:r w:rsidRPr="00A41B7E">
        <w:rPr>
          <w:rFonts w:eastAsia="Times New Roman" w:cs="Arial"/>
          <w:color w:val="000000"/>
          <w:szCs w:val="20"/>
          <w:lang w:val="ru-RU"/>
        </w:rPr>
        <w:t>/</w:t>
      </w:r>
      <w:r w:rsidRPr="00A41B7E">
        <w:rPr>
          <w:rFonts w:eastAsia="Times New Roman" w:cs="Arial"/>
          <w:color w:val="000000"/>
          <w:szCs w:val="20"/>
          <w:lang w:val="en-US"/>
        </w:rPr>
        <w:t>NSTEMI</w:t>
      </w:r>
      <w:r w:rsidRPr="00A41B7E">
        <w:rPr>
          <w:rFonts w:eastAsia="Times New Roman" w:cs="Arial"/>
          <w:color w:val="000000"/>
          <w:szCs w:val="20"/>
          <w:lang w:eastAsia="bg-BG"/>
        </w:rPr>
        <w:t xml:space="preserve"> се извършва в рамките на 48 часа след хоспитализацията, </w:t>
      </w:r>
      <w:r w:rsidRPr="00A41B7E">
        <w:rPr>
          <w:rFonts w:eastAsia="Times New Roman" w:cs="Arial"/>
          <w:color w:val="000000"/>
          <w:szCs w:val="20"/>
          <w:lang w:eastAsia="bg-BG"/>
        </w:rPr>
        <w:lastRenderedPageBreak/>
        <w:t>натоварващата доза трябва да се прилага</w:t>
      </w:r>
      <w:r w:rsidRPr="00A41B7E">
        <w:rPr>
          <w:rFonts w:eastAsia="Times New Roman" w:cs="Arial"/>
          <w:color w:val="000000"/>
          <w:szCs w:val="20"/>
          <w:lang w:val="ru-RU" w:eastAsia="bg-BG"/>
        </w:rPr>
        <w:t xml:space="preserve"> </w:t>
      </w:r>
      <w:r w:rsidRPr="00A41B7E">
        <w:rPr>
          <w:rFonts w:eastAsia="Times New Roman" w:cs="Arial"/>
          <w:color w:val="000000"/>
          <w:szCs w:val="20"/>
          <w:lang w:eastAsia="bg-BG"/>
        </w:rPr>
        <w:t xml:space="preserve">само по време на </w:t>
      </w:r>
      <w:r w:rsidRPr="00A41B7E">
        <w:rPr>
          <w:rFonts w:eastAsia="Times New Roman" w:cs="Arial"/>
          <w:color w:val="000000"/>
          <w:szCs w:val="20"/>
          <w:lang w:val="en-US"/>
        </w:rPr>
        <w:t>PCI</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(вж. точки 4.4, 4.8 и 5.1). Пациентите, приемащи Бевим, трябва да приемат и АСК ежедневно (75 </w:t>
      </w:r>
      <w:r w:rsidRPr="00A41B7E">
        <w:rPr>
          <w:rFonts w:eastAsia="Times New Roman" w:cs="Arial"/>
          <w:color w:val="000000"/>
          <w:szCs w:val="20"/>
          <w:lang w:val="en-US"/>
        </w:rPr>
        <w:t>mg</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до 325 </w:t>
      </w:r>
      <w:r w:rsidRPr="00A41B7E">
        <w:rPr>
          <w:rFonts w:eastAsia="Times New Roman" w:cs="Arial"/>
          <w:color w:val="000000"/>
          <w:szCs w:val="20"/>
          <w:lang w:val="en-US"/>
        </w:rPr>
        <w:t>mg</w:t>
      </w:r>
      <w:r w:rsidRPr="00A41B7E">
        <w:rPr>
          <w:rFonts w:eastAsia="Times New Roman" w:cs="Arial"/>
          <w:color w:val="000000"/>
          <w:szCs w:val="20"/>
          <w:lang w:val="ru-RU"/>
        </w:rPr>
        <w:t>).</w:t>
      </w:r>
    </w:p>
    <w:p w14:paraId="632422C9" w14:textId="77777777" w:rsidR="00A41B7E" w:rsidRPr="00A41B7E" w:rsidRDefault="00A41B7E" w:rsidP="00A41B7E">
      <w:pPr>
        <w:spacing w:line="240" w:lineRule="auto"/>
        <w:rPr>
          <w:rFonts w:eastAsia="Times New Roman" w:cs="Arial"/>
          <w:color w:val="000000"/>
          <w:szCs w:val="20"/>
          <w:lang w:eastAsia="bg-BG"/>
        </w:rPr>
      </w:pPr>
    </w:p>
    <w:p w14:paraId="74B38963" w14:textId="3FEC3117"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lang w:eastAsia="bg-BG"/>
        </w:rPr>
        <w:t xml:space="preserve">При пациенти с остър коронарен синдром (ОКС), които са лекувани с </w:t>
      </w:r>
      <w:r w:rsidRPr="00A41B7E">
        <w:rPr>
          <w:rFonts w:eastAsia="Times New Roman" w:cs="Arial"/>
          <w:color w:val="000000"/>
          <w:szCs w:val="20"/>
          <w:lang w:val="en-US"/>
        </w:rPr>
        <w:t>PCI</w:t>
      </w:r>
      <w:r w:rsidRPr="00A41B7E">
        <w:rPr>
          <w:rFonts w:eastAsia="Times New Roman" w:cs="Arial"/>
          <w:color w:val="000000"/>
          <w:szCs w:val="20"/>
          <w:lang w:val="ru-RU"/>
        </w:rPr>
        <w:t xml:space="preserve">, </w:t>
      </w:r>
      <w:r w:rsidRPr="00A41B7E">
        <w:rPr>
          <w:rFonts w:eastAsia="Times New Roman" w:cs="Arial"/>
          <w:color w:val="000000"/>
          <w:szCs w:val="20"/>
          <w:lang w:eastAsia="bg-BG"/>
        </w:rPr>
        <w:t>преждевременното преустановяване на което и да е антиагрегантно средство, включително Бевим, може да доведе до повишен риск от тромбоза, инфаркт на миокарда или смърт, дължащо се на основното заболяване на пациента. Препоръчва се лечение с продължителност до 12 месеца, освен ако прекъсването на Бевим е клинично показано (вж. точки 4.4 и 5.1).</w:t>
      </w:r>
    </w:p>
    <w:p w14:paraId="1524CD7F" w14:textId="77777777" w:rsidR="00A41B7E" w:rsidRPr="00A41B7E" w:rsidRDefault="00A41B7E" w:rsidP="00A41B7E">
      <w:pPr>
        <w:spacing w:line="240" w:lineRule="auto"/>
        <w:rPr>
          <w:rFonts w:eastAsia="Times New Roman" w:cs="Arial"/>
          <w:i/>
          <w:iCs/>
          <w:color w:val="000000"/>
          <w:szCs w:val="20"/>
          <w:u w:val="single"/>
          <w:lang w:eastAsia="bg-BG"/>
        </w:rPr>
      </w:pPr>
    </w:p>
    <w:p w14:paraId="26AAA429" w14:textId="5532B3B3"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u w:val="single"/>
          <w:lang w:eastAsia="bg-BG"/>
        </w:rPr>
        <w:t>Пациенти ≥75-годишна възраст</w:t>
      </w:r>
    </w:p>
    <w:p w14:paraId="7B6882D8" w14:textId="77777777"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lang w:eastAsia="bg-BG"/>
        </w:rPr>
        <w:t xml:space="preserve">Употребата на Бевим при пациенти ≥75-годишна възраст в повечето случаи не се препоръчва. Ако след внимателна оценка на индивидуалния риск/полза от предписващия го лекар (вж. точка 4.4) лечението се сметне за необходимо при пациентите от възрастовата група ≥75 години, тогава след натоварваща доза от 60 </w:t>
      </w:r>
      <w:r w:rsidRPr="00A41B7E">
        <w:rPr>
          <w:rFonts w:eastAsia="Times New Roman" w:cs="Arial"/>
          <w:color w:val="000000"/>
          <w:szCs w:val="20"/>
          <w:lang w:val="en-US"/>
        </w:rPr>
        <w:t>mg</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трябва да се предпише намалена поддържаща доза от 5 </w:t>
      </w:r>
      <w:r w:rsidRPr="00A41B7E">
        <w:rPr>
          <w:rFonts w:eastAsia="Times New Roman" w:cs="Arial"/>
          <w:color w:val="000000"/>
          <w:szCs w:val="20"/>
          <w:lang w:val="en-US"/>
        </w:rPr>
        <w:t>mg</w:t>
      </w:r>
      <w:r w:rsidRPr="00A41B7E">
        <w:rPr>
          <w:rFonts w:eastAsia="Times New Roman" w:cs="Arial"/>
          <w:color w:val="000000"/>
          <w:szCs w:val="20"/>
          <w:lang w:val="ru-RU"/>
        </w:rPr>
        <w:t xml:space="preserve"> </w:t>
      </w:r>
      <w:r w:rsidRPr="00A41B7E">
        <w:rPr>
          <w:rFonts w:eastAsia="Times New Roman" w:cs="Arial"/>
          <w:color w:val="000000"/>
          <w:szCs w:val="20"/>
          <w:lang w:eastAsia="bg-BG"/>
        </w:rPr>
        <w:t>(половин таблетка). Пациентите ≥75-годишна възраст са по-чувствителни на кървене и имат по-висока експозиция на активния метаболит на прасугрел (вж. точки 4.4, 4.8, 5.1 и 5.2).</w:t>
      </w:r>
    </w:p>
    <w:p w14:paraId="7161EFA0" w14:textId="77777777" w:rsidR="00A41B7E" w:rsidRPr="00A41B7E" w:rsidRDefault="00A41B7E" w:rsidP="00A41B7E">
      <w:pPr>
        <w:spacing w:line="240" w:lineRule="auto"/>
        <w:rPr>
          <w:rFonts w:eastAsia="Times New Roman" w:cs="Arial"/>
          <w:i/>
          <w:iCs/>
          <w:color w:val="000000"/>
          <w:szCs w:val="20"/>
          <w:u w:val="single"/>
          <w:lang w:eastAsia="bg-BG"/>
        </w:rPr>
      </w:pPr>
    </w:p>
    <w:p w14:paraId="7370A362" w14:textId="369AF2D0"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u w:val="single"/>
          <w:lang w:eastAsia="bg-BG"/>
        </w:rPr>
        <w:t xml:space="preserve">Пациенти с тегло &lt;60 </w:t>
      </w:r>
      <w:proofErr w:type="spellStart"/>
      <w:r w:rsidRPr="00A41B7E">
        <w:rPr>
          <w:rFonts w:eastAsia="Times New Roman" w:cs="Arial"/>
          <w:i/>
          <w:iCs/>
          <w:color w:val="000000"/>
          <w:szCs w:val="20"/>
          <w:u w:val="single"/>
          <w:lang w:val="en-US"/>
        </w:rPr>
        <w:t>ks</w:t>
      </w:r>
      <w:proofErr w:type="spellEnd"/>
    </w:p>
    <w:p w14:paraId="4338DDD0" w14:textId="1ABF43DB"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lang w:eastAsia="bg-BG"/>
        </w:rPr>
        <w:t xml:space="preserve">Бевим трябва да се прилага като еднократна натоварваща доза от 60 </w:t>
      </w:r>
      <w:r w:rsidRPr="00A41B7E">
        <w:rPr>
          <w:rFonts w:eastAsia="Times New Roman" w:cs="Arial"/>
          <w:color w:val="000000"/>
          <w:szCs w:val="20"/>
          <w:lang w:val="en-US"/>
        </w:rPr>
        <w:t>mg</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и след това да се продължи с доза от 5 </w:t>
      </w:r>
      <w:r w:rsidRPr="00A41B7E">
        <w:rPr>
          <w:rFonts w:eastAsia="Times New Roman" w:cs="Arial"/>
          <w:color w:val="000000"/>
          <w:szCs w:val="20"/>
          <w:lang w:val="en-US"/>
        </w:rPr>
        <w:t>mg</w:t>
      </w:r>
      <w:r w:rsidRPr="00A41B7E">
        <w:rPr>
          <w:rFonts w:eastAsia="Times New Roman" w:cs="Arial"/>
          <w:color w:val="000000"/>
          <w:szCs w:val="20"/>
          <w:lang w:val="ru-RU"/>
        </w:rPr>
        <w:t xml:space="preserve"> </w:t>
      </w:r>
      <w:r w:rsidRPr="00A41B7E">
        <w:rPr>
          <w:rFonts w:eastAsia="Times New Roman" w:cs="Arial"/>
          <w:color w:val="000000"/>
          <w:szCs w:val="20"/>
          <w:lang w:eastAsia="bg-BG"/>
        </w:rPr>
        <w:t>(половин таблетка) един път дневно.</w:t>
      </w:r>
    </w:p>
    <w:p w14:paraId="77A24E19" w14:textId="77777777"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lang w:eastAsia="bg-BG"/>
        </w:rPr>
        <w:t xml:space="preserve">Не се препоръчва поддържаща доза от 10 </w:t>
      </w:r>
      <w:r w:rsidRPr="00A41B7E">
        <w:rPr>
          <w:rFonts w:eastAsia="Times New Roman" w:cs="Arial"/>
          <w:color w:val="000000"/>
          <w:szCs w:val="20"/>
          <w:lang w:val="en-US"/>
        </w:rPr>
        <w:t>mg</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Това се дължи на повишена експозиция на активния метаболит на прасугрел и на повишен риск от кървене при пациенти с телесно тегло &lt;60 </w:t>
      </w:r>
      <w:r w:rsidRPr="00A41B7E">
        <w:rPr>
          <w:rFonts w:eastAsia="Times New Roman" w:cs="Arial"/>
          <w:color w:val="000000"/>
          <w:szCs w:val="20"/>
          <w:lang w:val="en-US"/>
        </w:rPr>
        <w:t>kg</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когато се прилага доза от 10 </w:t>
      </w:r>
      <w:r w:rsidRPr="00A41B7E">
        <w:rPr>
          <w:rFonts w:eastAsia="Times New Roman" w:cs="Arial"/>
          <w:color w:val="000000"/>
          <w:szCs w:val="20"/>
          <w:lang w:val="en-US"/>
        </w:rPr>
        <w:t>mg</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един път дневно, в сравнение с пациенти ≥60 </w:t>
      </w:r>
      <w:r w:rsidRPr="00A41B7E">
        <w:rPr>
          <w:rFonts w:eastAsia="Times New Roman" w:cs="Arial"/>
          <w:color w:val="000000"/>
          <w:szCs w:val="20"/>
          <w:lang w:val="en-US"/>
        </w:rPr>
        <w:t>kg</w:t>
      </w:r>
      <w:r w:rsidRPr="00A41B7E">
        <w:rPr>
          <w:rFonts w:eastAsia="Times New Roman" w:cs="Arial"/>
          <w:color w:val="000000"/>
          <w:szCs w:val="20"/>
          <w:lang w:val="ru-RU"/>
        </w:rPr>
        <w:t xml:space="preserve"> </w:t>
      </w:r>
      <w:r w:rsidRPr="00A41B7E">
        <w:rPr>
          <w:rFonts w:eastAsia="Times New Roman" w:cs="Arial"/>
          <w:color w:val="000000"/>
          <w:szCs w:val="20"/>
          <w:lang w:eastAsia="bg-BG"/>
        </w:rPr>
        <w:t>(вж. точки 4.4,4.8 и 5.2).</w:t>
      </w:r>
    </w:p>
    <w:p w14:paraId="5528CE5D" w14:textId="77777777" w:rsidR="00A41B7E" w:rsidRPr="00A41B7E" w:rsidRDefault="00A41B7E" w:rsidP="00A41B7E">
      <w:pPr>
        <w:spacing w:line="240" w:lineRule="auto"/>
        <w:rPr>
          <w:rFonts w:eastAsia="Times New Roman" w:cs="Arial"/>
          <w:i/>
          <w:iCs/>
          <w:color w:val="000000"/>
          <w:szCs w:val="20"/>
          <w:u w:val="single"/>
          <w:lang w:eastAsia="bg-BG"/>
        </w:rPr>
      </w:pPr>
    </w:p>
    <w:p w14:paraId="289B179C" w14:textId="0DF6EE83"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u w:val="single"/>
          <w:lang w:eastAsia="bg-BG"/>
        </w:rPr>
        <w:t>Бъбречно увреждане</w:t>
      </w:r>
    </w:p>
    <w:p w14:paraId="60E57F55" w14:textId="77777777"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lang w:eastAsia="bg-BG"/>
        </w:rPr>
        <w:t>Не е необходимо коригиране на дозата за пациенти с бъбречно увреждане, включително пациенти с терминално бъбречно заболяване (вж. точка 5.2). Има ограничен терапевтичен опит при пациенти с бъбречно увреждане (вж. точка 4.4).</w:t>
      </w:r>
    </w:p>
    <w:p w14:paraId="2D39657B" w14:textId="77777777" w:rsidR="00A41B7E" w:rsidRPr="00A41B7E" w:rsidRDefault="00A41B7E" w:rsidP="00A41B7E">
      <w:pPr>
        <w:spacing w:line="240" w:lineRule="auto"/>
        <w:rPr>
          <w:rFonts w:eastAsia="Times New Roman" w:cs="Arial"/>
          <w:i/>
          <w:iCs/>
          <w:color w:val="000000"/>
          <w:szCs w:val="20"/>
          <w:u w:val="single"/>
          <w:lang w:eastAsia="bg-BG"/>
        </w:rPr>
      </w:pPr>
    </w:p>
    <w:p w14:paraId="5F52BA8A" w14:textId="0818747C"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u w:val="single"/>
          <w:lang w:eastAsia="bg-BG"/>
        </w:rPr>
        <w:t>Чернодробно увреждане</w:t>
      </w:r>
    </w:p>
    <w:p w14:paraId="03CB3819" w14:textId="77777777"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lang w:eastAsia="bg-BG"/>
        </w:rPr>
        <w:t xml:space="preserve">Не е необходимо коригиране на дозата при пациенти с леко до умерено чернодробно увреждане </w:t>
      </w:r>
      <w:r w:rsidRPr="00A41B7E">
        <w:rPr>
          <w:rFonts w:eastAsia="Times New Roman" w:cs="Arial"/>
          <w:color w:val="000000"/>
          <w:szCs w:val="20"/>
          <w:lang w:val="ru-RU"/>
        </w:rPr>
        <w:t>(</w:t>
      </w:r>
      <w:r w:rsidRPr="00A41B7E">
        <w:rPr>
          <w:rFonts w:eastAsia="Times New Roman" w:cs="Arial"/>
          <w:color w:val="000000"/>
          <w:szCs w:val="20"/>
          <w:lang w:val="en-US"/>
        </w:rPr>
        <w:t>Child</w:t>
      </w:r>
      <w:r w:rsidRPr="00A41B7E">
        <w:rPr>
          <w:rFonts w:eastAsia="Times New Roman" w:cs="Arial"/>
          <w:color w:val="000000"/>
          <w:szCs w:val="20"/>
          <w:lang w:val="ru-RU"/>
        </w:rPr>
        <w:t xml:space="preserve"> </w:t>
      </w:r>
      <w:r w:rsidRPr="00A41B7E">
        <w:rPr>
          <w:rFonts w:eastAsia="Times New Roman" w:cs="Arial"/>
          <w:color w:val="000000"/>
          <w:szCs w:val="20"/>
          <w:lang w:val="en-US"/>
        </w:rPr>
        <w:t>Pugh</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клас А и В) (вж. точка 5.2). Има ограничен терапевтичен опит при пациенти с лека до умерена чернодробна дисфункция (вж. точка 4.4). Бевим е противопоказан при пациенти с тежко чернодробно увреждане </w:t>
      </w:r>
      <w:r w:rsidRPr="00A41B7E">
        <w:rPr>
          <w:rFonts w:eastAsia="Times New Roman" w:cs="Arial"/>
          <w:color w:val="000000"/>
          <w:szCs w:val="20"/>
          <w:lang w:val="ru-RU"/>
        </w:rPr>
        <w:t>(</w:t>
      </w:r>
      <w:r w:rsidRPr="00A41B7E">
        <w:rPr>
          <w:rFonts w:eastAsia="Times New Roman" w:cs="Arial"/>
          <w:color w:val="000000"/>
          <w:szCs w:val="20"/>
          <w:lang w:val="en-US"/>
        </w:rPr>
        <w:t>Child</w:t>
      </w:r>
      <w:r w:rsidRPr="00A41B7E">
        <w:rPr>
          <w:rFonts w:eastAsia="Times New Roman" w:cs="Arial"/>
          <w:color w:val="000000"/>
          <w:szCs w:val="20"/>
          <w:lang w:val="ru-RU"/>
        </w:rPr>
        <w:t xml:space="preserve"> </w:t>
      </w:r>
      <w:r w:rsidRPr="00A41B7E">
        <w:rPr>
          <w:rFonts w:eastAsia="Times New Roman" w:cs="Arial"/>
          <w:color w:val="000000"/>
          <w:szCs w:val="20"/>
          <w:lang w:val="en-US"/>
        </w:rPr>
        <w:t>Pugh</w:t>
      </w:r>
      <w:r w:rsidRPr="00A41B7E">
        <w:rPr>
          <w:rFonts w:eastAsia="Times New Roman" w:cs="Arial"/>
          <w:color w:val="000000"/>
          <w:szCs w:val="20"/>
          <w:lang w:val="ru-RU"/>
        </w:rPr>
        <w:t xml:space="preserve"> </w:t>
      </w:r>
      <w:r w:rsidRPr="00A41B7E">
        <w:rPr>
          <w:rFonts w:eastAsia="Times New Roman" w:cs="Arial"/>
          <w:color w:val="000000"/>
          <w:szCs w:val="20"/>
          <w:lang w:eastAsia="bg-BG"/>
        </w:rPr>
        <w:t>клас С).</w:t>
      </w:r>
    </w:p>
    <w:p w14:paraId="784FF25F" w14:textId="77777777" w:rsidR="00A41B7E" w:rsidRPr="00A41B7E" w:rsidRDefault="00A41B7E" w:rsidP="00A41B7E">
      <w:pPr>
        <w:spacing w:line="240" w:lineRule="auto"/>
        <w:rPr>
          <w:rFonts w:eastAsia="Times New Roman" w:cs="Arial"/>
          <w:i/>
          <w:iCs/>
          <w:color w:val="000000"/>
          <w:szCs w:val="20"/>
          <w:u w:val="single"/>
          <w:lang w:eastAsia="bg-BG"/>
        </w:rPr>
      </w:pPr>
    </w:p>
    <w:p w14:paraId="2633C324" w14:textId="1F220CC0"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u w:val="single"/>
          <w:lang w:eastAsia="bg-BG"/>
        </w:rPr>
        <w:t>Педиатрична популация</w:t>
      </w:r>
    </w:p>
    <w:p w14:paraId="2AD20E6D" w14:textId="77777777"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lang w:eastAsia="bg-BG"/>
        </w:rPr>
        <w:t>Безопасността и ефикасността на Бевим при деца под 18-годишна възраст не са установени. Има ограничени данни при деца със сърповидноклетъчна анемия (вж. точка 5.1).</w:t>
      </w:r>
    </w:p>
    <w:p w14:paraId="12BAB0EC" w14:textId="77777777" w:rsidR="00A41B7E" w:rsidRPr="00A41B7E" w:rsidRDefault="00A41B7E" w:rsidP="00A41B7E">
      <w:pPr>
        <w:spacing w:line="240" w:lineRule="auto"/>
        <w:rPr>
          <w:rFonts w:eastAsia="Times New Roman" w:cs="Arial"/>
          <w:color w:val="000000"/>
          <w:szCs w:val="20"/>
          <w:u w:val="single"/>
          <w:lang w:eastAsia="bg-BG"/>
        </w:rPr>
      </w:pPr>
    </w:p>
    <w:p w14:paraId="578036F9" w14:textId="40B59FA7" w:rsidR="00A41B7E" w:rsidRPr="00A41B7E" w:rsidRDefault="00A41B7E" w:rsidP="00A41B7E">
      <w:pPr>
        <w:pStyle w:val="Heading3"/>
        <w:rPr>
          <w:rFonts w:eastAsia="Times New Roman"/>
          <w:sz w:val="28"/>
          <w:u w:val="single"/>
        </w:rPr>
      </w:pPr>
      <w:r w:rsidRPr="00A41B7E">
        <w:rPr>
          <w:rFonts w:eastAsia="Times New Roman"/>
          <w:u w:val="single"/>
          <w:lang w:eastAsia="bg-BG"/>
        </w:rPr>
        <w:t>Начин на приложение</w:t>
      </w:r>
    </w:p>
    <w:p w14:paraId="0633B0F6" w14:textId="77777777" w:rsidR="00A41B7E" w:rsidRPr="00A41B7E" w:rsidRDefault="00A41B7E" w:rsidP="00A41B7E">
      <w:pPr>
        <w:spacing w:line="240" w:lineRule="auto"/>
        <w:rPr>
          <w:rFonts w:eastAsia="Times New Roman" w:cs="Arial"/>
          <w:color w:val="000000"/>
          <w:szCs w:val="20"/>
          <w:lang w:eastAsia="bg-BG"/>
        </w:rPr>
      </w:pPr>
    </w:p>
    <w:p w14:paraId="6CC9E451" w14:textId="2E121170"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lang w:eastAsia="bg-BG"/>
        </w:rPr>
        <w:t>За перорално приложение.</w:t>
      </w:r>
    </w:p>
    <w:p w14:paraId="1848ECEB" w14:textId="77777777"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lang w:eastAsia="bg-BG"/>
        </w:rPr>
        <w:t xml:space="preserve">Приемът на Бевим не зависи от приема на храна. Прилагането на натоварваща доза от 60 </w:t>
      </w:r>
      <w:r w:rsidRPr="00A41B7E">
        <w:rPr>
          <w:rFonts w:eastAsia="Times New Roman" w:cs="Arial"/>
          <w:color w:val="000000"/>
          <w:szCs w:val="20"/>
          <w:lang w:val="en-US"/>
        </w:rPr>
        <w:t>mg</w:t>
      </w:r>
      <w:r w:rsidRPr="00A41B7E">
        <w:rPr>
          <w:rFonts w:eastAsia="Times New Roman" w:cs="Arial"/>
          <w:color w:val="000000"/>
          <w:szCs w:val="20"/>
          <w:lang w:val="ru-RU"/>
        </w:rPr>
        <w:t xml:space="preserve"> </w:t>
      </w:r>
      <w:r w:rsidRPr="00A41B7E">
        <w:rPr>
          <w:rFonts w:eastAsia="Times New Roman" w:cs="Arial"/>
          <w:color w:val="000000"/>
          <w:szCs w:val="20"/>
          <w:lang w:eastAsia="bg-BG"/>
        </w:rPr>
        <w:t>прасугрел на гладно може да осигури най-бързо настъпване на действието (вж. точка 5.2). Таблетката може да бъде разделена на равни дози.</w:t>
      </w:r>
    </w:p>
    <w:p w14:paraId="55C8CE17" w14:textId="5A0B80A3" w:rsidR="00A41B7E" w:rsidRPr="00A41B7E" w:rsidRDefault="00A41B7E" w:rsidP="00A41B7E">
      <w:pPr>
        <w:rPr>
          <w:lang w:val="ru-RU"/>
        </w:rPr>
      </w:pPr>
    </w:p>
    <w:p w14:paraId="28C984E8" w14:textId="3BEEE39B" w:rsidR="008134C8" w:rsidRDefault="002C50EE" w:rsidP="004A448E">
      <w:pPr>
        <w:pStyle w:val="Heading2"/>
      </w:pPr>
      <w:r>
        <w:lastRenderedPageBreak/>
        <w:t>4.3. Противопоказания</w:t>
      </w:r>
    </w:p>
    <w:p w14:paraId="569E8D9F" w14:textId="1BABDE36" w:rsidR="00A41B7E" w:rsidRDefault="00A41B7E" w:rsidP="00A41B7E"/>
    <w:p w14:paraId="5E99A4EE" w14:textId="789C1C36" w:rsidR="00A41B7E" w:rsidRPr="00A41B7E" w:rsidRDefault="00A41B7E" w:rsidP="00A41B7E">
      <w:pPr>
        <w:pStyle w:val="ListParagraph"/>
        <w:numPr>
          <w:ilvl w:val="0"/>
          <w:numId w:val="35"/>
        </w:numPr>
        <w:rPr>
          <w:sz w:val="24"/>
          <w:szCs w:val="24"/>
        </w:rPr>
      </w:pPr>
      <w:r w:rsidRPr="00A41B7E">
        <w:rPr>
          <w:lang w:eastAsia="bg-BG"/>
        </w:rPr>
        <w:t>Свръхчувствителност към активното вещество или към някое от помощните вещества, изброени в точка 6.1.</w:t>
      </w:r>
    </w:p>
    <w:p w14:paraId="475937FF" w14:textId="77777777" w:rsidR="00A41B7E" w:rsidRPr="00A41B7E" w:rsidRDefault="00A41B7E" w:rsidP="00A41B7E">
      <w:pPr>
        <w:pStyle w:val="ListParagraph"/>
        <w:numPr>
          <w:ilvl w:val="0"/>
          <w:numId w:val="35"/>
        </w:numPr>
        <w:rPr>
          <w:lang w:eastAsia="bg-BG"/>
        </w:rPr>
      </w:pPr>
      <w:r w:rsidRPr="00A41B7E">
        <w:rPr>
          <w:lang w:eastAsia="bg-BG"/>
        </w:rPr>
        <w:t>Активно патологично кървене.</w:t>
      </w:r>
    </w:p>
    <w:p w14:paraId="1E047545" w14:textId="77777777" w:rsidR="00A41B7E" w:rsidRPr="00A41B7E" w:rsidRDefault="00A41B7E" w:rsidP="00A41B7E">
      <w:pPr>
        <w:pStyle w:val="ListParagraph"/>
        <w:numPr>
          <w:ilvl w:val="0"/>
          <w:numId w:val="35"/>
        </w:numPr>
        <w:rPr>
          <w:sz w:val="24"/>
          <w:szCs w:val="24"/>
        </w:rPr>
      </w:pPr>
      <w:r w:rsidRPr="00A41B7E">
        <w:rPr>
          <w:lang w:eastAsia="bg-BG"/>
        </w:rPr>
        <w:t xml:space="preserve">Анамнеза за инсулт или преходна исхемична атака (ПИА). </w:t>
      </w:r>
    </w:p>
    <w:p w14:paraId="44C5FCF1" w14:textId="30CF5BE0" w:rsidR="00A41B7E" w:rsidRPr="00A41B7E" w:rsidRDefault="00A41B7E" w:rsidP="00A41B7E">
      <w:pPr>
        <w:pStyle w:val="ListParagraph"/>
        <w:numPr>
          <w:ilvl w:val="0"/>
          <w:numId w:val="35"/>
        </w:numPr>
        <w:rPr>
          <w:sz w:val="24"/>
          <w:szCs w:val="24"/>
        </w:rPr>
      </w:pPr>
      <w:r w:rsidRPr="00A41B7E">
        <w:rPr>
          <w:lang w:eastAsia="bg-BG"/>
        </w:rPr>
        <w:t xml:space="preserve">Тежко увреждане на черния дроб </w:t>
      </w:r>
      <w:r w:rsidRPr="00A41B7E">
        <w:rPr>
          <w:lang w:val="ru-RU"/>
        </w:rPr>
        <w:t>(</w:t>
      </w:r>
      <w:r w:rsidRPr="00A41B7E">
        <w:rPr>
          <w:lang w:val="en-US"/>
        </w:rPr>
        <w:t>Child</w:t>
      </w:r>
      <w:r w:rsidRPr="00A41B7E">
        <w:rPr>
          <w:lang w:val="ru-RU"/>
        </w:rPr>
        <w:t xml:space="preserve"> </w:t>
      </w:r>
      <w:r w:rsidRPr="00A41B7E">
        <w:rPr>
          <w:lang w:val="en-US"/>
        </w:rPr>
        <w:t>Pugh</w:t>
      </w:r>
      <w:r w:rsidRPr="00A41B7E">
        <w:rPr>
          <w:lang w:val="ru-RU"/>
        </w:rPr>
        <w:t xml:space="preserve"> </w:t>
      </w:r>
      <w:r w:rsidRPr="00A41B7E">
        <w:rPr>
          <w:lang w:eastAsia="bg-BG"/>
        </w:rPr>
        <w:t>клас С).</w:t>
      </w:r>
    </w:p>
    <w:p w14:paraId="2B78821A" w14:textId="7A857214" w:rsidR="00A41B7E" w:rsidRDefault="00A41B7E" w:rsidP="00A41B7E"/>
    <w:p w14:paraId="6C7662DF" w14:textId="77777777" w:rsidR="00A41B7E" w:rsidRPr="00A41B7E" w:rsidRDefault="00A41B7E" w:rsidP="00A41B7E"/>
    <w:p w14:paraId="212F509C" w14:textId="2C13AA30" w:rsidR="004F498A" w:rsidRDefault="002C50EE" w:rsidP="004A448E">
      <w:pPr>
        <w:pStyle w:val="Heading2"/>
      </w:pPr>
      <w:r>
        <w:t>4.4. Специални предупреждения и предпазни мерки при употреба</w:t>
      </w:r>
    </w:p>
    <w:p w14:paraId="0974D047" w14:textId="6166E94A" w:rsidR="00A41B7E" w:rsidRDefault="00A41B7E" w:rsidP="00A41B7E"/>
    <w:p w14:paraId="792FA925" w14:textId="77777777"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u w:val="single"/>
          <w:lang w:eastAsia="bg-BG"/>
        </w:rPr>
        <w:t>Риск от кървене</w:t>
      </w:r>
    </w:p>
    <w:p w14:paraId="3478ECE6" w14:textId="77777777"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lang w:eastAsia="bg-BG"/>
        </w:rPr>
        <w:t xml:space="preserve">В клинично проучване фаза 3 </w:t>
      </w:r>
      <w:r w:rsidRPr="00A41B7E">
        <w:rPr>
          <w:rFonts w:eastAsia="Times New Roman" w:cs="Arial"/>
          <w:color w:val="000000"/>
          <w:szCs w:val="20"/>
          <w:lang w:val="ru-RU"/>
        </w:rPr>
        <w:t>(</w:t>
      </w:r>
      <w:r w:rsidRPr="00A41B7E">
        <w:rPr>
          <w:rFonts w:eastAsia="Times New Roman" w:cs="Arial"/>
          <w:color w:val="000000"/>
          <w:szCs w:val="20"/>
          <w:lang w:val="en-US"/>
        </w:rPr>
        <w:t>TRITON</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основните изключващи критерии включват: повишен риск от кървене; анемия; тромбоцитопения; анамнеза за патологични интракраниални находки. Пациентите с остри коронарни синдроми, подлежащи на </w:t>
      </w:r>
      <w:r w:rsidRPr="00A41B7E">
        <w:rPr>
          <w:rFonts w:eastAsia="Times New Roman" w:cs="Arial"/>
          <w:color w:val="000000"/>
          <w:szCs w:val="20"/>
          <w:lang w:val="en-US"/>
        </w:rPr>
        <w:t>PCI</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лекувани с прасугрел и АСК, показват повишен риск от значително и незначително кървене съгласно системата за класификация </w:t>
      </w:r>
      <w:r w:rsidRPr="00A41B7E">
        <w:rPr>
          <w:rFonts w:eastAsia="Times New Roman" w:cs="Arial"/>
          <w:color w:val="000000"/>
          <w:szCs w:val="20"/>
          <w:lang w:val="en-US"/>
        </w:rPr>
        <w:t>TIMI</w:t>
      </w:r>
      <w:r w:rsidRPr="00A41B7E">
        <w:rPr>
          <w:rFonts w:eastAsia="Times New Roman" w:cs="Arial"/>
          <w:color w:val="000000"/>
          <w:szCs w:val="20"/>
          <w:lang w:val="ru-RU"/>
        </w:rPr>
        <w:t xml:space="preserve">. </w:t>
      </w:r>
      <w:r w:rsidRPr="00A41B7E">
        <w:rPr>
          <w:rFonts w:eastAsia="Times New Roman" w:cs="Arial"/>
          <w:color w:val="000000"/>
          <w:szCs w:val="20"/>
          <w:lang w:eastAsia="bg-BG"/>
        </w:rPr>
        <w:t>Затова употребата на прасугрел при пациенти с повишен риск от кървене трябва да се обсъжда само когато се смята, че ползата от гледна точка на превенцията на исхемични събития превишава риска от сериозно кървене. Това се отнася особено за пациентите:</w:t>
      </w:r>
    </w:p>
    <w:p w14:paraId="0A7CA625" w14:textId="77777777" w:rsidR="00A41B7E" w:rsidRPr="00A41B7E" w:rsidRDefault="00A41B7E" w:rsidP="00A41B7E">
      <w:pPr>
        <w:pStyle w:val="ListParagraph"/>
        <w:numPr>
          <w:ilvl w:val="0"/>
          <w:numId w:val="35"/>
        </w:numPr>
        <w:spacing w:line="240" w:lineRule="auto"/>
        <w:rPr>
          <w:rFonts w:eastAsia="Times New Roman" w:cs="Arial"/>
          <w:sz w:val="28"/>
          <w:szCs w:val="24"/>
        </w:rPr>
      </w:pPr>
      <w:r w:rsidRPr="00A41B7E">
        <w:rPr>
          <w:rFonts w:eastAsia="Times New Roman" w:cs="Arial"/>
          <w:color w:val="000000"/>
          <w:szCs w:val="20"/>
          <w:lang w:eastAsia="bg-BG"/>
        </w:rPr>
        <w:t>≥75-годишна възраст (вж. по-долу);</w:t>
      </w:r>
    </w:p>
    <w:p w14:paraId="34E37B75" w14:textId="77777777" w:rsidR="00A41B7E" w:rsidRPr="00A41B7E" w:rsidRDefault="00A41B7E" w:rsidP="00A41B7E">
      <w:pPr>
        <w:pStyle w:val="ListParagraph"/>
        <w:numPr>
          <w:ilvl w:val="0"/>
          <w:numId w:val="35"/>
        </w:numPr>
        <w:spacing w:line="240" w:lineRule="auto"/>
        <w:rPr>
          <w:rFonts w:eastAsia="Times New Roman" w:cs="Arial"/>
          <w:sz w:val="28"/>
          <w:szCs w:val="24"/>
        </w:rPr>
      </w:pPr>
      <w:r w:rsidRPr="00A41B7E">
        <w:rPr>
          <w:rFonts w:eastAsia="Times New Roman" w:cs="Arial"/>
          <w:color w:val="000000"/>
          <w:szCs w:val="20"/>
          <w:lang w:eastAsia="bg-BG"/>
        </w:rPr>
        <w:t>с предразположение към кървене (напр. дължащо се на скорошна травма, скорошна операция, скорошно или повторно гастроинтестинално кървене, или активна пептична язва);</w:t>
      </w:r>
    </w:p>
    <w:p w14:paraId="65A8DFB0" w14:textId="77777777" w:rsidR="00A41B7E" w:rsidRPr="00A41B7E" w:rsidRDefault="00A41B7E" w:rsidP="00A41B7E">
      <w:pPr>
        <w:pStyle w:val="ListParagraph"/>
        <w:numPr>
          <w:ilvl w:val="0"/>
          <w:numId w:val="35"/>
        </w:numPr>
        <w:spacing w:line="240" w:lineRule="auto"/>
        <w:rPr>
          <w:rFonts w:eastAsia="Times New Roman" w:cs="Arial"/>
          <w:sz w:val="28"/>
          <w:szCs w:val="24"/>
        </w:rPr>
      </w:pPr>
      <w:r w:rsidRPr="00A41B7E">
        <w:rPr>
          <w:rFonts w:eastAsia="Times New Roman" w:cs="Arial"/>
          <w:color w:val="000000"/>
          <w:szCs w:val="20"/>
          <w:lang w:eastAsia="bg-BG"/>
        </w:rPr>
        <w:t xml:space="preserve">с телесно тегло &lt;60 </w:t>
      </w:r>
      <w:r w:rsidRPr="00A41B7E">
        <w:rPr>
          <w:rFonts w:eastAsia="Times New Roman" w:cs="Arial"/>
          <w:color w:val="000000"/>
          <w:szCs w:val="20"/>
          <w:lang w:val="en-US"/>
        </w:rPr>
        <w:t>kg</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(вж. точки 4.2 и 4.8). При тези пациенти не се препоръчва поддържаща доза от 10 </w:t>
      </w:r>
      <w:r w:rsidRPr="00A41B7E">
        <w:rPr>
          <w:rFonts w:eastAsia="Times New Roman" w:cs="Arial"/>
          <w:color w:val="000000"/>
          <w:szCs w:val="20"/>
          <w:lang w:val="en-US"/>
        </w:rPr>
        <w:t>mg</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Трябва да се използва поддържаща доза от 5 </w:t>
      </w:r>
      <w:r w:rsidRPr="00A41B7E">
        <w:rPr>
          <w:rFonts w:eastAsia="Times New Roman" w:cs="Arial"/>
          <w:color w:val="000000"/>
          <w:szCs w:val="20"/>
          <w:lang w:val="en-US"/>
        </w:rPr>
        <w:t>mg;</w:t>
      </w:r>
    </w:p>
    <w:p w14:paraId="36E56829" w14:textId="47B77FA6" w:rsidR="00A41B7E" w:rsidRPr="00A41B7E" w:rsidRDefault="00A41B7E" w:rsidP="00A41B7E">
      <w:pPr>
        <w:pStyle w:val="ListParagraph"/>
        <w:numPr>
          <w:ilvl w:val="0"/>
          <w:numId w:val="35"/>
        </w:numPr>
        <w:spacing w:line="240" w:lineRule="auto"/>
        <w:rPr>
          <w:rFonts w:eastAsia="Times New Roman" w:cs="Arial"/>
          <w:sz w:val="28"/>
          <w:szCs w:val="24"/>
        </w:rPr>
      </w:pPr>
      <w:r w:rsidRPr="00A41B7E">
        <w:rPr>
          <w:rFonts w:eastAsia="Times New Roman" w:cs="Arial"/>
          <w:color w:val="000000"/>
          <w:szCs w:val="20"/>
          <w:lang w:eastAsia="bg-BG"/>
        </w:rPr>
        <w:t>с едновременно прилагане на лекарствени продукти, които може да повишат риска от кървене, включително перорални антикоагуланти, клопидогрел, нестероидни противовъзпалителни средства (НСПВС) и фибринолитици.</w:t>
      </w:r>
    </w:p>
    <w:p w14:paraId="7F7707AD" w14:textId="77777777" w:rsidR="00A41B7E" w:rsidRPr="00A41B7E" w:rsidRDefault="00A41B7E" w:rsidP="00A41B7E">
      <w:pPr>
        <w:spacing w:line="240" w:lineRule="auto"/>
        <w:rPr>
          <w:rFonts w:eastAsia="Times New Roman" w:cs="Arial"/>
          <w:color w:val="000000"/>
          <w:szCs w:val="20"/>
          <w:lang w:eastAsia="bg-BG"/>
        </w:rPr>
      </w:pPr>
    </w:p>
    <w:p w14:paraId="19D9AFCF" w14:textId="4353C345"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lang w:eastAsia="bg-BG"/>
        </w:rPr>
        <w:t>За пациенти с активно кървене, за които е необходимо обръщане на фармакологичните ефекти на Бевим, може да е подходяща трансфузията на тромбоцитна маса.</w:t>
      </w:r>
    </w:p>
    <w:p w14:paraId="6E64CC6E" w14:textId="77777777" w:rsidR="00A41B7E" w:rsidRPr="00A41B7E" w:rsidRDefault="00A41B7E" w:rsidP="00A41B7E">
      <w:pPr>
        <w:spacing w:line="240" w:lineRule="auto"/>
        <w:rPr>
          <w:rFonts w:eastAsia="Times New Roman" w:cs="Arial"/>
          <w:color w:val="000000"/>
          <w:szCs w:val="20"/>
          <w:lang w:eastAsia="bg-BG"/>
        </w:rPr>
      </w:pPr>
    </w:p>
    <w:p w14:paraId="4F3A538B" w14:textId="146E8158"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lang w:eastAsia="bg-BG"/>
        </w:rPr>
        <w:t xml:space="preserve">Употребата на Бевим при пациенти ≥75-годишна възраст обикновено не се препоръчва и трябва да се започва само с повишено внимание след внимателна индивидуална оценка на съотношението полза/риск от предписващия го лекар, която да показва, че ползата от гледна точка на превенцията на исхемични събития превишава риска от сериозно кървене. В клинично проучване фаза 3 тези пациенти са с по-висок риск от кървене, включително кървене със смъртен изход, в сравнение с пациентите &lt;75-годишна възраст. Ако се предпише, трябва да се използва по-ниска поддържаща доза от 5 </w:t>
      </w:r>
      <w:r w:rsidRPr="00A41B7E">
        <w:rPr>
          <w:rFonts w:eastAsia="Times New Roman" w:cs="Arial"/>
          <w:color w:val="000000"/>
          <w:szCs w:val="20"/>
          <w:lang w:val="en-US"/>
        </w:rPr>
        <w:t>mg</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(половин таблетка); поддържащата доза от 10 </w:t>
      </w:r>
      <w:r w:rsidRPr="00A41B7E">
        <w:rPr>
          <w:rFonts w:eastAsia="Times New Roman" w:cs="Arial"/>
          <w:color w:val="000000"/>
          <w:szCs w:val="20"/>
          <w:lang w:val="en-US"/>
        </w:rPr>
        <w:t>mg</w:t>
      </w:r>
      <w:r w:rsidRPr="00A41B7E">
        <w:rPr>
          <w:rFonts w:eastAsia="Times New Roman" w:cs="Arial"/>
          <w:color w:val="000000"/>
          <w:szCs w:val="20"/>
          <w:lang w:val="ru-RU"/>
        </w:rPr>
        <w:t xml:space="preserve"> </w:t>
      </w:r>
      <w:r w:rsidRPr="00A41B7E">
        <w:rPr>
          <w:rFonts w:eastAsia="Times New Roman" w:cs="Arial"/>
          <w:color w:val="000000"/>
          <w:szCs w:val="20"/>
          <w:lang w:eastAsia="bg-BG"/>
        </w:rPr>
        <w:t>не се препоръчва (вж. точки 4.2 и 4.8).</w:t>
      </w:r>
    </w:p>
    <w:p w14:paraId="2013FF0A" w14:textId="77777777" w:rsidR="00A41B7E" w:rsidRPr="00A41B7E" w:rsidRDefault="00A41B7E" w:rsidP="00A41B7E">
      <w:pPr>
        <w:spacing w:line="240" w:lineRule="auto"/>
        <w:rPr>
          <w:rFonts w:eastAsia="Times New Roman" w:cs="Arial"/>
          <w:color w:val="000000"/>
          <w:szCs w:val="20"/>
          <w:lang w:eastAsia="bg-BG"/>
        </w:rPr>
      </w:pPr>
    </w:p>
    <w:p w14:paraId="0BA3CFF2" w14:textId="2C039265"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lang w:eastAsia="bg-BG"/>
        </w:rPr>
        <w:t>Терапевтичният опит с прасугрел при пациенти с бъбречно увреждане (включително терминален стадий на бъбречно заболяване) и при пациенти с умерено чернодробно увреждане е ограничен. Тези пациенти може да са с повишен риск от кървене. Затова прасугрел трябва да се използва при тези пациенти с повишено внимание.</w:t>
      </w:r>
    </w:p>
    <w:p w14:paraId="4256B897" w14:textId="77777777" w:rsidR="00A41B7E" w:rsidRPr="00A41B7E" w:rsidRDefault="00A41B7E" w:rsidP="00A41B7E">
      <w:pPr>
        <w:spacing w:line="240" w:lineRule="auto"/>
        <w:rPr>
          <w:rFonts w:eastAsia="Times New Roman" w:cs="Arial"/>
          <w:color w:val="000000"/>
          <w:szCs w:val="20"/>
          <w:lang w:eastAsia="bg-BG"/>
        </w:rPr>
      </w:pPr>
    </w:p>
    <w:p w14:paraId="266D1F3A" w14:textId="1A9A61B8" w:rsidR="00A41B7E" w:rsidRPr="00A41B7E" w:rsidRDefault="00A41B7E" w:rsidP="00A41B7E">
      <w:pPr>
        <w:spacing w:line="240" w:lineRule="auto"/>
        <w:rPr>
          <w:rFonts w:eastAsia="Times New Roman" w:cs="Arial"/>
          <w:color w:val="000000"/>
          <w:szCs w:val="20"/>
          <w:lang w:eastAsia="bg-BG"/>
        </w:rPr>
      </w:pPr>
      <w:r w:rsidRPr="00A41B7E">
        <w:rPr>
          <w:rFonts w:eastAsia="Times New Roman" w:cs="Arial"/>
          <w:color w:val="000000"/>
          <w:szCs w:val="20"/>
          <w:lang w:eastAsia="bg-BG"/>
        </w:rPr>
        <w:t xml:space="preserve">Пациентите трябва да бъдат информирани, че може да е необходимо повече време от обикновено за спиране на кървенето, когато приемат прасугрел (в комбинация с АСК), и </w:t>
      </w:r>
      <w:r w:rsidRPr="00A41B7E">
        <w:rPr>
          <w:rFonts w:eastAsia="Times New Roman" w:cs="Arial"/>
          <w:color w:val="000000"/>
          <w:szCs w:val="20"/>
          <w:lang w:eastAsia="bg-BG"/>
        </w:rPr>
        <w:lastRenderedPageBreak/>
        <w:t>че трябва да съобщават за всяко необичайно кървене (по място или продължителност) на своя лекар.</w:t>
      </w:r>
    </w:p>
    <w:p w14:paraId="2FA39035" w14:textId="30E01C38" w:rsidR="00A41B7E" w:rsidRPr="00A41B7E" w:rsidRDefault="00A41B7E" w:rsidP="00A41B7E">
      <w:pPr>
        <w:spacing w:line="240" w:lineRule="auto"/>
        <w:rPr>
          <w:rFonts w:eastAsia="Times New Roman" w:cs="Arial"/>
          <w:color w:val="000000"/>
          <w:szCs w:val="20"/>
          <w:lang w:eastAsia="bg-BG"/>
        </w:rPr>
      </w:pPr>
    </w:p>
    <w:p w14:paraId="41C76F72" w14:textId="77777777"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u w:val="single"/>
          <w:lang w:eastAsia="bg-BG"/>
        </w:rPr>
        <w:t xml:space="preserve">Риск от кървене, свързан с избора на подходящия момент за прилагане на натоварващата доза при </w:t>
      </w:r>
      <w:r w:rsidRPr="00A41B7E">
        <w:rPr>
          <w:rFonts w:eastAsia="Times New Roman" w:cs="Arial"/>
          <w:i/>
          <w:iCs/>
          <w:color w:val="000000"/>
          <w:szCs w:val="20"/>
          <w:u w:val="single"/>
          <w:lang w:val="en-US"/>
        </w:rPr>
        <w:t>NSTEMI</w:t>
      </w:r>
    </w:p>
    <w:p w14:paraId="1B0B3BA9" w14:textId="77777777"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lang w:eastAsia="bg-BG"/>
        </w:rPr>
        <w:t xml:space="preserve">В клинично проучване на пациенти с </w:t>
      </w:r>
      <w:r w:rsidRPr="00A41B7E">
        <w:rPr>
          <w:rFonts w:eastAsia="Times New Roman" w:cs="Arial"/>
          <w:color w:val="000000"/>
          <w:szCs w:val="20"/>
          <w:lang w:val="en-US"/>
        </w:rPr>
        <w:t>NSTEMI</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(проучването </w:t>
      </w:r>
      <w:r w:rsidRPr="00A41B7E">
        <w:rPr>
          <w:rFonts w:eastAsia="Times New Roman" w:cs="Arial"/>
          <w:color w:val="000000"/>
          <w:szCs w:val="20"/>
          <w:lang w:val="en-US"/>
        </w:rPr>
        <w:t>ACCOAST</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в което пациентите са планирани за коронарна ангиография в рамките на 2 до 48 часа след рандомизацията, натоварващата доза прасугрел, която е дадена средно 4 часа преди коронарната ангиография, повишава риска от значително и незначително кървене в пери-процедурния период в сравнение с натоварващата доза прасугрел, приложена по време на </w:t>
      </w:r>
      <w:r w:rsidRPr="00A41B7E">
        <w:rPr>
          <w:rFonts w:eastAsia="Times New Roman" w:cs="Arial"/>
          <w:color w:val="000000"/>
          <w:szCs w:val="20"/>
          <w:lang w:val="en-US"/>
        </w:rPr>
        <w:t>PCI</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Затова при пациенти с </w:t>
      </w:r>
      <w:r w:rsidRPr="00A41B7E">
        <w:rPr>
          <w:rFonts w:eastAsia="Times New Roman" w:cs="Arial"/>
          <w:color w:val="000000"/>
          <w:szCs w:val="20"/>
          <w:lang w:val="en-US"/>
        </w:rPr>
        <w:t>UA</w:t>
      </w:r>
      <w:r w:rsidRPr="00A41B7E">
        <w:rPr>
          <w:rFonts w:eastAsia="Times New Roman" w:cs="Arial"/>
          <w:color w:val="000000"/>
          <w:szCs w:val="20"/>
          <w:lang w:val="ru-RU"/>
        </w:rPr>
        <w:t>/</w:t>
      </w:r>
      <w:r w:rsidRPr="00A41B7E">
        <w:rPr>
          <w:rFonts w:eastAsia="Times New Roman" w:cs="Arial"/>
          <w:color w:val="000000"/>
          <w:szCs w:val="20"/>
          <w:lang w:val="en-US"/>
        </w:rPr>
        <w:t>NSTEMI</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при които коронарната ангиография се извършва в рамките на 48 часа след приемането, натоварващата доза трябва да се прилага по време на </w:t>
      </w:r>
      <w:r w:rsidRPr="00A41B7E">
        <w:rPr>
          <w:rFonts w:eastAsia="Times New Roman" w:cs="Arial"/>
          <w:color w:val="000000"/>
          <w:szCs w:val="20"/>
          <w:lang w:val="en-US"/>
        </w:rPr>
        <w:t>PCI</w:t>
      </w:r>
      <w:r w:rsidRPr="00A41B7E">
        <w:rPr>
          <w:rFonts w:eastAsia="Times New Roman" w:cs="Arial"/>
          <w:color w:val="000000"/>
          <w:szCs w:val="20"/>
          <w:lang w:val="ru-RU"/>
        </w:rPr>
        <w:t xml:space="preserve"> </w:t>
      </w:r>
      <w:r w:rsidRPr="00A41B7E">
        <w:rPr>
          <w:rFonts w:eastAsia="Times New Roman" w:cs="Arial"/>
          <w:color w:val="000000"/>
          <w:szCs w:val="20"/>
          <w:lang w:eastAsia="bg-BG"/>
        </w:rPr>
        <w:t>(вж. точки 4.2,4.8 и 5.1).</w:t>
      </w:r>
    </w:p>
    <w:p w14:paraId="700608BA" w14:textId="77777777" w:rsidR="00A41B7E" w:rsidRPr="00A41B7E" w:rsidRDefault="00A41B7E" w:rsidP="00A41B7E">
      <w:pPr>
        <w:spacing w:line="240" w:lineRule="auto"/>
        <w:rPr>
          <w:rFonts w:eastAsia="Times New Roman" w:cs="Arial"/>
          <w:i/>
          <w:iCs/>
          <w:color w:val="000000"/>
          <w:szCs w:val="20"/>
          <w:u w:val="single"/>
          <w:lang w:eastAsia="bg-BG"/>
        </w:rPr>
      </w:pPr>
    </w:p>
    <w:p w14:paraId="18FC94AB" w14:textId="32B54ADF"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u w:val="single"/>
          <w:lang w:eastAsia="bg-BG"/>
        </w:rPr>
        <w:t>Операция</w:t>
      </w:r>
    </w:p>
    <w:p w14:paraId="2CE02888" w14:textId="77777777"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lang w:eastAsia="bg-BG"/>
        </w:rPr>
        <w:t>Пациентите трябва да бъдат уведомени да информират лекарите и стоматолозите, че приемат прасугрел, преди планирането на каквато и да е операция и преди прием на всякакъв нов лекарствен продукт. Ако на пациент му предстои планова операция и антитромботичният ефект не е желан, Бевим трябва да се спре поне 7 дни преди операцията. Повишена честота (3 пъти) и тежко кървене може да се наблюдават при пациенти, които се подлагат на операция по повод на аортокоронарен байпас (АКБ) в рамките на 7 дни от спирането на прасугрел (вж. точка 4.8). Ползите и рисковете от прасугрел трябва внимателно да се обмислят при пациенти, при които анатомията на коронарните артерии не е определена, а е възможна спешна операция за поставяне на аортокоронарен байпас (АКБ).</w:t>
      </w:r>
    </w:p>
    <w:p w14:paraId="3ECF5323" w14:textId="77777777" w:rsidR="00A41B7E" w:rsidRPr="00A41B7E" w:rsidRDefault="00A41B7E" w:rsidP="00A41B7E">
      <w:pPr>
        <w:spacing w:line="240" w:lineRule="auto"/>
        <w:rPr>
          <w:rFonts w:eastAsia="Times New Roman" w:cs="Arial"/>
          <w:i/>
          <w:iCs/>
          <w:color w:val="000000"/>
          <w:szCs w:val="20"/>
          <w:u w:val="single"/>
          <w:lang w:eastAsia="bg-BG"/>
        </w:rPr>
      </w:pPr>
    </w:p>
    <w:p w14:paraId="2E7FBD07" w14:textId="12396473"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u w:val="single"/>
          <w:lang w:eastAsia="bg-BG"/>
        </w:rPr>
        <w:t>Свръхчувствителност, включително ангиоедем</w:t>
      </w:r>
    </w:p>
    <w:p w14:paraId="7583844A" w14:textId="77777777"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lang w:eastAsia="bg-BG"/>
        </w:rPr>
        <w:t>Реакции на свръхчувствителност, включително ангиоедем, са съобщавани при пациенти, които приемат прасугрел, включително при пациенти с анамнеза за реакция на свръхчувствителност към клопидогрел. Препоръчва се мониториране за признаци на свърхчувствителност при пациенти с известна алергия към тиенопиридини (вж. точка 4.8).</w:t>
      </w:r>
    </w:p>
    <w:p w14:paraId="2C1A9100" w14:textId="77777777" w:rsidR="00A41B7E" w:rsidRPr="00A41B7E" w:rsidRDefault="00A41B7E" w:rsidP="00A41B7E">
      <w:pPr>
        <w:spacing w:line="240" w:lineRule="auto"/>
        <w:rPr>
          <w:rFonts w:eastAsia="Times New Roman" w:cs="Arial"/>
          <w:i/>
          <w:iCs/>
          <w:color w:val="000000"/>
          <w:szCs w:val="20"/>
          <w:u w:val="single"/>
          <w:lang w:eastAsia="bg-BG"/>
        </w:rPr>
      </w:pPr>
    </w:p>
    <w:p w14:paraId="5177076A" w14:textId="5BF04882"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u w:val="single"/>
          <w:lang w:eastAsia="bg-BG"/>
        </w:rPr>
        <w:t>Тромботична тромбоиитопенична пурпура (ГТП)</w:t>
      </w:r>
    </w:p>
    <w:p w14:paraId="5E644326" w14:textId="77777777"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lang w:eastAsia="bg-BG"/>
        </w:rPr>
        <w:t>ТТП е съобщавана при употреба на прасугрел. ТТП е сериозно състояние и изисква незабавно лечение.</w:t>
      </w:r>
    </w:p>
    <w:p w14:paraId="27ED76B8" w14:textId="77777777" w:rsidR="00A41B7E" w:rsidRPr="00A41B7E" w:rsidRDefault="00A41B7E" w:rsidP="00A41B7E">
      <w:pPr>
        <w:spacing w:line="240" w:lineRule="auto"/>
        <w:rPr>
          <w:rFonts w:eastAsia="Times New Roman" w:cs="Arial"/>
          <w:i/>
          <w:iCs/>
          <w:color w:val="000000"/>
          <w:szCs w:val="20"/>
          <w:u w:val="single"/>
          <w:lang w:eastAsia="bg-BG"/>
        </w:rPr>
      </w:pPr>
    </w:p>
    <w:p w14:paraId="4770FA3F" w14:textId="0C40AB04"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u w:val="single"/>
          <w:lang w:eastAsia="bg-BG"/>
        </w:rPr>
        <w:t>Морфин и други опиоиди</w:t>
      </w:r>
    </w:p>
    <w:p w14:paraId="543D1CE0" w14:textId="77777777"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lang w:eastAsia="bg-BG"/>
        </w:rPr>
        <w:t>При пациенти, приемащи едновременно прасугрел и морфин, е наблюдавана намалена ефикасност на прасугрел (вж. точка 4.5).</w:t>
      </w:r>
    </w:p>
    <w:p w14:paraId="6E494749" w14:textId="77777777" w:rsidR="00A41B7E" w:rsidRPr="00A41B7E" w:rsidRDefault="00A41B7E" w:rsidP="00A41B7E">
      <w:pPr>
        <w:spacing w:line="240" w:lineRule="auto"/>
        <w:rPr>
          <w:rFonts w:eastAsia="Times New Roman" w:cs="Arial"/>
          <w:i/>
          <w:iCs/>
          <w:color w:val="000000"/>
          <w:szCs w:val="20"/>
          <w:u w:val="single"/>
          <w:lang w:eastAsia="bg-BG"/>
        </w:rPr>
      </w:pPr>
    </w:p>
    <w:p w14:paraId="47899CFC" w14:textId="25B6BBA4"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u w:val="single"/>
          <w:lang w:eastAsia="bg-BG"/>
        </w:rPr>
        <w:t>Лактоза</w:t>
      </w:r>
    </w:p>
    <w:p w14:paraId="20A75774" w14:textId="7ED863C7" w:rsidR="00A41B7E" w:rsidRPr="00A41B7E" w:rsidRDefault="00A41B7E" w:rsidP="00A41B7E">
      <w:pPr>
        <w:spacing w:line="240" w:lineRule="auto"/>
        <w:rPr>
          <w:rFonts w:ascii="Times New Roman" w:eastAsia="Times New Roman" w:hAnsi="Times New Roman" w:cs="Times New Roman"/>
          <w:sz w:val="24"/>
          <w:szCs w:val="24"/>
        </w:rPr>
      </w:pPr>
      <w:r w:rsidRPr="00A41B7E">
        <w:rPr>
          <w:rFonts w:eastAsia="Times New Roman" w:cs="Arial"/>
          <w:color w:val="000000"/>
          <w:szCs w:val="20"/>
          <w:lang w:eastAsia="bg-BG"/>
        </w:rPr>
        <w:t>Пациентите с редки наследствени проблеми на непоносимост към галактоза, пълен лактазен дефицит или глюкозно-галактозна малабсорбция не трябва да приемат това лекарство.</w:t>
      </w:r>
    </w:p>
    <w:p w14:paraId="4410B03F" w14:textId="77777777" w:rsidR="00A41B7E" w:rsidRPr="00A41B7E" w:rsidRDefault="00A41B7E" w:rsidP="00A41B7E"/>
    <w:p w14:paraId="619DED1E" w14:textId="292CF470"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CAA3572" w14:textId="68D11833" w:rsidR="00A41B7E" w:rsidRDefault="00A41B7E" w:rsidP="00A41B7E"/>
    <w:p w14:paraId="26AEB484" w14:textId="77777777"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lang w:eastAsia="bg-BG"/>
        </w:rPr>
        <w:t>Варфарин:</w:t>
      </w:r>
      <w:r w:rsidRPr="00A41B7E">
        <w:rPr>
          <w:rFonts w:eastAsia="Times New Roman" w:cs="Arial"/>
          <w:color w:val="000000"/>
          <w:szCs w:val="20"/>
          <w:lang w:eastAsia="bg-BG"/>
        </w:rPr>
        <w:t xml:space="preserve"> Не е проучвано едновременното прилагане на Бевим с кумаринови производни, различни от варфарин. Поради възможността за повишен риск от кървене </w:t>
      </w:r>
      <w:r w:rsidRPr="00A41B7E">
        <w:rPr>
          <w:rFonts w:eastAsia="Times New Roman" w:cs="Arial"/>
          <w:color w:val="000000"/>
          <w:szCs w:val="20"/>
          <w:lang w:eastAsia="bg-BG"/>
        </w:rPr>
        <w:lastRenderedPageBreak/>
        <w:t>варфарин (или други кумаринови производни) и прасугрел трябва да се прилагат съвместно с повишено внимание (вж. точка 4.4).</w:t>
      </w:r>
    </w:p>
    <w:p w14:paraId="389A48CD" w14:textId="174FF8FB" w:rsidR="00A41B7E" w:rsidRPr="00A41B7E" w:rsidRDefault="00A41B7E" w:rsidP="00A41B7E">
      <w:pPr>
        <w:rPr>
          <w:rFonts w:cs="Arial"/>
          <w:sz w:val="24"/>
        </w:rPr>
      </w:pPr>
    </w:p>
    <w:p w14:paraId="499D0B3D" w14:textId="77777777"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lang w:eastAsia="bg-BG"/>
        </w:rPr>
        <w:t>Нестероидни противовъзпалителни средства (НСПВС):</w:t>
      </w:r>
      <w:r w:rsidRPr="00A41B7E">
        <w:rPr>
          <w:rFonts w:eastAsia="Times New Roman" w:cs="Arial"/>
          <w:color w:val="000000"/>
          <w:szCs w:val="20"/>
          <w:lang w:eastAsia="bg-BG"/>
        </w:rPr>
        <w:t xml:space="preserve"> Не е проучвано едновременното прилагане с продължително лечение с НСПВС. Поради възможността за повишен риск от кървене продължително лечение с НСПВС (включително СОХ-2 инхибитори) и Бевим трябва да се прилага съвместно с повишено внимание (вж. точка 4,4).</w:t>
      </w:r>
    </w:p>
    <w:p w14:paraId="67DDBDA0" w14:textId="77777777" w:rsidR="00A41B7E" w:rsidRPr="00A41B7E" w:rsidRDefault="00A41B7E" w:rsidP="00A41B7E">
      <w:pPr>
        <w:spacing w:line="240" w:lineRule="auto"/>
        <w:rPr>
          <w:rFonts w:eastAsia="Times New Roman" w:cs="Arial"/>
          <w:color w:val="000000"/>
          <w:szCs w:val="20"/>
          <w:lang w:eastAsia="bg-BG"/>
        </w:rPr>
      </w:pPr>
    </w:p>
    <w:p w14:paraId="28C4F895" w14:textId="1EFCEB5B"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lang w:eastAsia="bg-BG"/>
        </w:rPr>
        <w:t xml:space="preserve">Бевим може едновременно да се прилага с лекарствени продукти, които се метаболизират от изоформите на цитохром Р450 (включително статини), или с лекарствени продукти, които са индуктори или инхибитори на изоформите на цитохром Р450. Бевим може да се прилага и едновременно с АСК, хепарин, дигоксин и лекарствени продукти, които повишават стомашното </w:t>
      </w:r>
      <w:r w:rsidRPr="00A41B7E">
        <w:rPr>
          <w:rFonts w:eastAsia="Times New Roman" w:cs="Arial"/>
          <w:color w:val="000000"/>
          <w:szCs w:val="20"/>
          <w:lang w:val="en-US"/>
        </w:rPr>
        <w:t>pH</w:t>
      </w:r>
      <w:r w:rsidRPr="00A41B7E">
        <w:rPr>
          <w:rFonts w:eastAsia="Times New Roman" w:cs="Arial"/>
          <w:color w:val="000000"/>
          <w:szCs w:val="20"/>
          <w:lang w:val="ru-RU"/>
        </w:rPr>
        <w:t xml:space="preserve">, </w:t>
      </w:r>
      <w:r w:rsidRPr="00A41B7E">
        <w:rPr>
          <w:rFonts w:eastAsia="Times New Roman" w:cs="Arial"/>
          <w:color w:val="000000"/>
          <w:szCs w:val="20"/>
          <w:lang w:eastAsia="bg-BG"/>
        </w:rPr>
        <w:t>включително инхибитори на протонната помпа и Н</w:t>
      </w:r>
      <w:r w:rsidRPr="00A41B7E">
        <w:rPr>
          <w:rFonts w:eastAsia="Times New Roman" w:cs="Arial"/>
          <w:color w:val="000000"/>
          <w:szCs w:val="20"/>
          <w:vertAlign w:val="subscript"/>
          <w:lang w:eastAsia="bg-BG"/>
        </w:rPr>
        <w:t>2</w:t>
      </w:r>
      <w:r w:rsidRPr="00A41B7E">
        <w:rPr>
          <w:rFonts w:eastAsia="Times New Roman" w:cs="Arial"/>
          <w:color w:val="000000"/>
          <w:szCs w:val="20"/>
          <w:lang w:eastAsia="bg-BG"/>
        </w:rPr>
        <w:t xml:space="preserve">-блокери. Макар да не е изпитван в специфични проучвания за взаимодействие, прасугрел е прилаган едновременно с нискомолекулен хепарин, бивалирудин и </w:t>
      </w:r>
      <w:r w:rsidRPr="00A41B7E">
        <w:rPr>
          <w:rFonts w:eastAsia="Times New Roman" w:cs="Arial"/>
          <w:color w:val="000000"/>
          <w:szCs w:val="20"/>
          <w:lang w:val="en-US"/>
        </w:rPr>
        <w:t>GP</w:t>
      </w:r>
      <w:r w:rsidRPr="00A41B7E">
        <w:rPr>
          <w:rFonts w:eastAsia="Times New Roman" w:cs="Arial"/>
          <w:color w:val="000000"/>
          <w:szCs w:val="20"/>
          <w:lang w:val="ru-RU"/>
        </w:rPr>
        <w:t xml:space="preserve"> </w:t>
      </w:r>
      <w:proofErr w:type="spellStart"/>
      <w:r w:rsidRPr="00A41B7E">
        <w:rPr>
          <w:rFonts w:eastAsia="Times New Roman" w:cs="Arial"/>
          <w:color w:val="000000"/>
          <w:szCs w:val="20"/>
          <w:lang w:val="en-US"/>
        </w:rPr>
        <w:t>IIb</w:t>
      </w:r>
      <w:proofErr w:type="spellEnd"/>
      <w:r w:rsidRPr="00A41B7E">
        <w:rPr>
          <w:rFonts w:eastAsia="Times New Roman" w:cs="Arial"/>
          <w:color w:val="000000"/>
          <w:szCs w:val="20"/>
          <w:lang w:val="ru-RU"/>
        </w:rPr>
        <w:t>/</w:t>
      </w:r>
      <w:r w:rsidRPr="00A41B7E">
        <w:rPr>
          <w:rFonts w:eastAsia="Times New Roman" w:cs="Arial"/>
          <w:color w:val="000000"/>
          <w:szCs w:val="20"/>
          <w:lang w:val="en-US"/>
        </w:rPr>
        <w:t>III</w:t>
      </w:r>
      <w:r w:rsidRPr="00A41B7E">
        <w:rPr>
          <w:rFonts w:eastAsia="Times New Roman" w:cs="Arial"/>
          <w:color w:val="000000"/>
          <w:szCs w:val="20"/>
          <w:lang w:eastAsia="bg-BG"/>
        </w:rPr>
        <w:t xml:space="preserve">а-инхибитори (няма налична информация относно вида на използвания </w:t>
      </w:r>
      <w:r w:rsidRPr="00A41B7E">
        <w:rPr>
          <w:rFonts w:eastAsia="Times New Roman" w:cs="Arial"/>
          <w:color w:val="000000"/>
          <w:szCs w:val="20"/>
          <w:lang w:val="en-US"/>
        </w:rPr>
        <w:t>GP</w:t>
      </w:r>
      <w:r w:rsidRPr="00A41B7E">
        <w:rPr>
          <w:rFonts w:eastAsia="Times New Roman" w:cs="Arial"/>
          <w:color w:val="000000"/>
          <w:szCs w:val="20"/>
          <w:lang w:val="ru-RU"/>
        </w:rPr>
        <w:t xml:space="preserve"> </w:t>
      </w:r>
      <w:proofErr w:type="spellStart"/>
      <w:r w:rsidRPr="00A41B7E">
        <w:rPr>
          <w:rFonts w:eastAsia="Times New Roman" w:cs="Arial"/>
          <w:color w:val="000000"/>
          <w:szCs w:val="20"/>
          <w:lang w:val="en-US"/>
        </w:rPr>
        <w:t>IIb</w:t>
      </w:r>
      <w:proofErr w:type="spellEnd"/>
      <w:r w:rsidRPr="00A41B7E">
        <w:rPr>
          <w:rFonts w:eastAsia="Times New Roman" w:cs="Arial"/>
          <w:color w:val="000000"/>
          <w:szCs w:val="20"/>
          <w:lang w:eastAsia="bg-BG"/>
        </w:rPr>
        <w:t>/</w:t>
      </w:r>
      <w:r w:rsidRPr="00A41B7E">
        <w:rPr>
          <w:rFonts w:eastAsia="Times New Roman" w:cs="Arial"/>
          <w:color w:val="000000"/>
          <w:szCs w:val="20"/>
          <w:lang w:val="en-US"/>
        </w:rPr>
        <w:t>III</w:t>
      </w:r>
      <w:r w:rsidRPr="00A41B7E">
        <w:rPr>
          <w:rFonts w:eastAsia="Times New Roman" w:cs="Arial"/>
          <w:color w:val="000000"/>
          <w:szCs w:val="20"/>
          <w:lang w:eastAsia="bg-BG"/>
        </w:rPr>
        <w:t>а-инхибитор) в клинично проучване фаза 3 без данни за клинично значими нежелани взаимодействия.</w:t>
      </w:r>
    </w:p>
    <w:p w14:paraId="35D9E6A2" w14:textId="77777777" w:rsidR="00A41B7E" w:rsidRPr="00A41B7E" w:rsidRDefault="00A41B7E" w:rsidP="00A41B7E">
      <w:pPr>
        <w:spacing w:line="240" w:lineRule="auto"/>
        <w:rPr>
          <w:rFonts w:eastAsia="Times New Roman" w:cs="Arial"/>
          <w:i/>
          <w:iCs/>
          <w:color w:val="000000"/>
          <w:szCs w:val="20"/>
          <w:u w:val="single"/>
          <w:lang w:eastAsia="bg-BG"/>
        </w:rPr>
      </w:pPr>
    </w:p>
    <w:p w14:paraId="2781224E" w14:textId="40C08C79"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u w:val="single"/>
          <w:lang w:eastAsia="bg-BG"/>
        </w:rPr>
        <w:t>Ефекти на други лекарствени продукти върху Бевим</w:t>
      </w:r>
    </w:p>
    <w:p w14:paraId="200DCA54" w14:textId="77777777"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lang w:eastAsia="bg-BG"/>
        </w:rPr>
        <w:t>Ацетилсалицилова киселина:</w:t>
      </w:r>
      <w:r w:rsidRPr="00A41B7E">
        <w:rPr>
          <w:rFonts w:eastAsia="Times New Roman" w:cs="Arial"/>
          <w:color w:val="000000"/>
          <w:szCs w:val="20"/>
          <w:lang w:eastAsia="bg-BG"/>
        </w:rPr>
        <w:t xml:space="preserve"> Бевим трябва да се прилага едновременно с ацетилсалицилова киселина (АСК). Макар да е възможно фармакодинамично взаимодействие с АСК, водещо до повишен риск от кървене, ефикасността и безопасността на прасугрел се доказват при пациенти, лекувани едновременно с АСК.</w:t>
      </w:r>
    </w:p>
    <w:p w14:paraId="39DA7E66" w14:textId="77777777" w:rsidR="00A41B7E" w:rsidRPr="00A41B7E" w:rsidRDefault="00A41B7E" w:rsidP="00A41B7E">
      <w:pPr>
        <w:spacing w:line="240" w:lineRule="auto"/>
        <w:rPr>
          <w:rFonts w:eastAsia="Times New Roman" w:cs="Arial"/>
          <w:i/>
          <w:iCs/>
          <w:color w:val="000000"/>
          <w:szCs w:val="20"/>
          <w:lang w:eastAsia="bg-BG"/>
        </w:rPr>
      </w:pPr>
    </w:p>
    <w:p w14:paraId="4C17B0A3" w14:textId="0371A52E"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lang w:eastAsia="bg-BG"/>
        </w:rPr>
        <w:t>Хепарин:</w:t>
      </w:r>
      <w:r w:rsidRPr="00A41B7E">
        <w:rPr>
          <w:rFonts w:eastAsia="Times New Roman" w:cs="Arial"/>
          <w:color w:val="000000"/>
          <w:szCs w:val="20"/>
          <w:lang w:eastAsia="bg-BG"/>
        </w:rPr>
        <w:t xml:space="preserve"> Еднократна интравенозна болус доза на нефракциониран хепарин (100 </w:t>
      </w:r>
      <w:r w:rsidRPr="00A41B7E">
        <w:rPr>
          <w:rFonts w:eastAsia="Times New Roman" w:cs="Arial"/>
          <w:color w:val="000000"/>
          <w:szCs w:val="20"/>
          <w:lang w:val="en-US"/>
        </w:rPr>
        <w:t>U</w:t>
      </w:r>
      <w:r w:rsidRPr="00A41B7E">
        <w:rPr>
          <w:rFonts w:eastAsia="Times New Roman" w:cs="Arial"/>
          <w:color w:val="000000"/>
          <w:szCs w:val="20"/>
          <w:lang w:val="ru-RU"/>
        </w:rPr>
        <w:t>/</w:t>
      </w:r>
      <w:r w:rsidRPr="00A41B7E">
        <w:rPr>
          <w:rFonts w:eastAsia="Times New Roman" w:cs="Arial"/>
          <w:color w:val="000000"/>
          <w:szCs w:val="20"/>
          <w:lang w:val="en-US"/>
        </w:rPr>
        <w:t>kg</w:t>
      </w:r>
      <w:r w:rsidRPr="00A41B7E">
        <w:rPr>
          <w:rFonts w:eastAsia="Times New Roman" w:cs="Arial"/>
          <w:color w:val="000000"/>
          <w:szCs w:val="20"/>
          <w:lang w:val="ru-RU"/>
        </w:rPr>
        <w:t xml:space="preserve">) </w:t>
      </w:r>
      <w:r w:rsidRPr="00A41B7E">
        <w:rPr>
          <w:rFonts w:eastAsia="Times New Roman" w:cs="Arial"/>
          <w:color w:val="000000"/>
          <w:szCs w:val="20"/>
          <w:lang w:eastAsia="bg-BG"/>
        </w:rPr>
        <w:t>не променя сигнификантно медиираното от прасугрел инхибиране на тромбоцитната агрегация. Прасугрел също така не променя сигнификантно ефекта на хепарин по измерванията на коагулацията. Затова двата лекарствени продукта може да се прилагат едновременно. Възможен е повишен риск от кървене, когато Бевим се прилага съвместно с хепарин.</w:t>
      </w:r>
    </w:p>
    <w:p w14:paraId="5CE7234E" w14:textId="77777777" w:rsidR="00A41B7E" w:rsidRPr="00A41B7E" w:rsidRDefault="00A41B7E" w:rsidP="00A41B7E">
      <w:pPr>
        <w:spacing w:line="240" w:lineRule="auto"/>
        <w:rPr>
          <w:rFonts w:eastAsia="Times New Roman" w:cs="Arial"/>
          <w:i/>
          <w:iCs/>
          <w:color w:val="000000"/>
          <w:szCs w:val="20"/>
          <w:lang w:eastAsia="bg-BG"/>
        </w:rPr>
      </w:pPr>
    </w:p>
    <w:p w14:paraId="43E038ED" w14:textId="0E2FDABC"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lang w:eastAsia="bg-BG"/>
        </w:rPr>
        <w:t>Статини:</w:t>
      </w:r>
      <w:r w:rsidRPr="00A41B7E">
        <w:rPr>
          <w:rFonts w:eastAsia="Times New Roman" w:cs="Arial"/>
          <w:color w:val="000000"/>
          <w:szCs w:val="20"/>
          <w:lang w:eastAsia="bg-BG"/>
        </w:rPr>
        <w:t xml:space="preserve"> Аторвастатин (80 </w:t>
      </w:r>
      <w:r w:rsidRPr="00A41B7E">
        <w:rPr>
          <w:rFonts w:eastAsia="Times New Roman" w:cs="Arial"/>
          <w:color w:val="000000"/>
          <w:szCs w:val="20"/>
          <w:lang w:val="en-US"/>
        </w:rPr>
        <w:t>mg</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дневно) не променя фармакокинетиката на прасугрел и инхибирането на тромбоцитната агрегация от него. Затова не се очаква статините, които са субстрати на </w:t>
      </w:r>
      <w:r w:rsidRPr="00A41B7E">
        <w:rPr>
          <w:rFonts w:eastAsia="Times New Roman" w:cs="Arial"/>
          <w:color w:val="000000"/>
          <w:szCs w:val="20"/>
          <w:lang w:val="en-US"/>
        </w:rPr>
        <w:t>CYP</w:t>
      </w:r>
      <w:r w:rsidRPr="00A41B7E">
        <w:rPr>
          <w:rFonts w:eastAsia="Times New Roman" w:cs="Arial"/>
          <w:color w:val="000000"/>
          <w:szCs w:val="20"/>
          <w:lang w:val="ru-RU"/>
        </w:rPr>
        <w:t>3</w:t>
      </w:r>
      <w:r w:rsidRPr="00A41B7E">
        <w:rPr>
          <w:rFonts w:eastAsia="Times New Roman" w:cs="Arial"/>
          <w:color w:val="000000"/>
          <w:szCs w:val="20"/>
          <w:lang w:eastAsia="bg-BG"/>
        </w:rPr>
        <w:t>А, да имат ефект върху фармакокинетиката на прасугрел или инхибирането на тромбоцитната агрегация от него.</w:t>
      </w:r>
    </w:p>
    <w:p w14:paraId="4C7779C0" w14:textId="77777777" w:rsidR="00A41B7E" w:rsidRPr="00A41B7E" w:rsidRDefault="00A41B7E" w:rsidP="00A41B7E">
      <w:pPr>
        <w:spacing w:line="240" w:lineRule="auto"/>
        <w:rPr>
          <w:rFonts w:eastAsia="Times New Roman" w:cs="Arial"/>
          <w:i/>
          <w:iCs/>
          <w:color w:val="000000"/>
          <w:szCs w:val="20"/>
          <w:lang w:eastAsia="bg-BG"/>
        </w:rPr>
      </w:pPr>
    </w:p>
    <w:p w14:paraId="0BF4C287" w14:textId="2A424C57"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lang w:eastAsia="bg-BG"/>
        </w:rPr>
        <w:t xml:space="preserve">Лекарствени продукти, повишаващи стомашното </w:t>
      </w:r>
      <w:r w:rsidRPr="00A41B7E">
        <w:rPr>
          <w:rFonts w:eastAsia="Times New Roman" w:cs="Arial"/>
          <w:i/>
          <w:iCs/>
          <w:color w:val="000000"/>
          <w:szCs w:val="20"/>
          <w:lang w:val="en-US"/>
        </w:rPr>
        <w:t>pH</w:t>
      </w:r>
      <w:r w:rsidRPr="00A41B7E">
        <w:rPr>
          <w:rFonts w:eastAsia="Times New Roman" w:cs="Arial"/>
          <w:i/>
          <w:iCs/>
          <w:color w:val="000000"/>
          <w:szCs w:val="20"/>
          <w:lang w:val="ru-RU"/>
        </w:rPr>
        <w:t>:</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Едновременното прилагане на ранитидин </w:t>
      </w:r>
      <w:r w:rsidRPr="00A41B7E">
        <w:rPr>
          <w:rFonts w:eastAsia="Times New Roman" w:cs="Arial"/>
          <w:color w:val="000000"/>
          <w:szCs w:val="20"/>
          <w:lang w:val="ru-RU"/>
        </w:rPr>
        <w:t>(</w:t>
      </w:r>
      <w:r w:rsidRPr="00A41B7E">
        <w:rPr>
          <w:rFonts w:eastAsia="Times New Roman" w:cs="Arial"/>
          <w:color w:val="000000"/>
          <w:szCs w:val="20"/>
          <w:vertAlign w:val="subscript"/>
          <w:lang w:val="en-US"/>
        </w:rPr>
        <w:t>H</w:t>
      </w:r>
      <w:r w:rsidRPr="00A41B7E">
        <w:rPr>
          <w:rFonts w:eastAsia="Times New Roman" w:cs="Arial"/>
          <w:color w:val="000000"/>
          <w:szCs w:val="20"/>
          <w:vertAlign w:val="subscript"/>
          <w:lang w:val="ru-RU"/>
        </w:rPr>
        <w:t>2</w:t>
      </w:r>
      <w:r w:rsidRPr="00A41B7E">
        <w:rPr>
          <w:rFonts w:eastAsia="Times New Roman" w:cs="Arial"/>
          <w:color w:val="000000"/>
          <w:szCs w:val="20"/>
          <w:vertAlign w:val="subscript"/>
          <w:lang w:eastAsia="bg-BG"/>
        </w:rPr>
        <w:t>-блокер</w:t>
      </w:r>
      <w:r w:rsidRPr="00A41B7E">
        <w:rPr>
          <w:rFonts w:eastAsia="Times New Roman" w:cs="Arial"/>
          <w:color w:val="000000"/>
          <w:szCs w:val="20"/>
          <w:lang w:eastAsia="bg-BG"/>
        </w:rPr>
        <w:t xml:space="preserve">) или на ланзопразол (инхибитор на протонната помпа) не променя </w:t>
      </w:r>
      <w:r w:rsidRPr="00A41B7E">
        <w:rPr>
          <w:rFonts w:eastAsia="Times New Roman" w:cs="Arial"/>
          <w:color w:val="000000"/>
          <w:szCs w:val="20"/>
          <w:lang w:val="en-US"/>
        </w:rPr>
        <w:t>AUC</w:t>
      </w:r>
      <w:r w:rsidRPr="00A41B7E">
        <w:rPr>
          <w:rFonts w:eastAsia="Times New Roman" w:cs="Arial"/>
          <w:color w:val="000000"/>
          <w:szCs w:val="20"/>
          <w:lang w:val="ru-RU"/>
        </w:rPr>
        <w:t xml:space="preserve"> </w:t>
      </w:r>
      <w:r w:rsidRPr="00A41B7E">
        <w:rPr>
          <w:rFonts w:eastAsia="Times New Roman" w:cs="Arial"/>
          <w:color w:val="000000"/>
          <w:szCs w:val="20"/>
          <w:lang w:eastAsia="bg-BG"/>
        </w:rPr>
        <w:t>и Т</w:t>
      </w:r>
      <w:r w:rsidRPr="00A41B7E">
        <w:rPr>
          <w:rFonts w:eastAsia="Times New Roman" w:cs="Arial"/>
          <w:color w:val="000000"/>
          <w:szCs w:val="20"/>
          <w:vertAlign w:val="subscript"/>
          <w:lang w:val="en-US"/>
        </w:rPr>
        <w:t>max</w:t>
      </w:r>
      <w:r w:rsidRPr="00A41B7E">
        <w:rPr>
          <w:rFonts w:eastAsia="Times New Roman" w:cs="Arial"/>
          <w:color w:val="000000"/>
          <w:szCs w:val="20"/>
          <w:lang w:eastAsia="bg-BG"/>
        </w:rPr>
        <w:t xml:space="preserve"> на активния метаболит на прасугрел, но намалява С</w:t>
      </w:r>
      <w:r w:rsidRPr="00A41B7E">
        <w:rPr>
          <w:rFonts w:eastAsia="Times New Roman" w:cs="Arial"/>
          <w:color w:val="000000"/>
          <w:szCs w:val="20"/>
          <w:vertAlign w:val="subscript"/>
          <w:lang w:val="en-US"/>
        </w:rPr>
        <w:t>max</w:t>
      </w:r>
      <w:r w:rsidRPr="00A41B7E">
        <w:rPr>
          <w:rFonts w:eastAsia="Times New Roman" w:cs="Arial"/>
          <w:color w:val="000000"/>
          <w:szCs w:val="20"/>
          <w:lang w:eastAsia="bg-BG"/>
        </w:rPr>
        <w:t xml:space="preserve"> съответно с 14% и 29%. В клинично проучване фаза 3 прасугрел е прилаган без връзка с едновременното прилагане на инхибитор на протонната помпа или Н</w:t>
      </w:r>
      <w:r w:rsidRPr="00A41B7E">
        <w:rPr>
          <w:rFonts w:eastAsia="Times New Roman" w:cs="Arial"/>
          <w:color w:val="000000"/>
          <w:szCs w:val="20"/>
          <w:vertAlign w:val="subscript"/>
          <w:lang w:eastAsia="bg-BG"/>
        </w:rPr>
        <w:t>2</w:t>
      </w:r>
      <w:r w:rsidRPr="00A41B7E">
        <w:rPr>
          <w:rFonts w:eastAsia="Times New Roman" w:cs="Arial"/>
          <w:color w:val="000000"/>
          <w:szCs w:val="20"/>
          <w:lang w:eastAsia="bg-BG"/>
        </w:rPr>
        <w:t>-блокер.</w:t>
      </w:r>
    </w:p>
    <w:p w14:paraId="47D77422" w14:textId="77777777"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lang w:eastAsia="bg-BG"/>
        </w:rPr>
        <w:t xml:space="preserve">Прилагането на натоварваща доза от 60 </w:t>
      </w:r>
      <w:r w:rsidRPr="00A41B7E">
        <w:rPr>
          <w:rFonts w:eastAsia="Times New Roman" w:cs="Arial"/>
          <w:color w:val="000000"/>
          <w:szCs w:val="20"/>
          <w:lang w:val="en-US"/>
        </w:rPr>
        <w:t>mg</w:t>
      </w:r>
      <w:r w:rsidRPr="00A41B7E">
        <w:rPr>
          <w:rFonts w:eastAsia="Times New Roman" w:cs="Arial"/>
          <w:color w:val="000000"/>
          <w:szCs w:val="20"/>
          <w:lang w:val="ru-RU"/>
        </w:rPr>
        <w:t xml:space="preserve"> </w:t>
      </w:r>
      <w:r w:rsidRPr="00A41B7E">
        <w:rPr>
          <w:rFonts w:eastAsia="Times New Roman" w:cs="Arial"/>
          <w:color w:val="000000"/>
          <w:szCs w:val="20"/>
          <w:lang w:eastAsia="bg-BG"/>
        </w:rPr>
        <w:t>прасугрел без едновременно използване на инхибитори на протонната помпа може да осигури най-бързо настъпване на действието.</w:t>
      </w:r>
    </w:p>
    <w:p w14:paraId="2BE557B1" w14:textId="77777777" w:rsidR="00A41B7E" w:rsidRPr="00A41B7E" w:rsidRDefault="00A41B7E" w:rsidP="00A41B7E">
      <w:pPr>
        <w:spacing w:line="240" w:lineRule="auto"/>
        <w:rPr>
          <w:rFonts w:eastAsia="Times New Roman" w:cs="Arial"/>
          <w:i/>
          <w:iCs/>
          <w:color w:val="000000"/>
          <w:szCs w:val="20"/>
          <w:lang w:eastAsia="bg-BG"/>
        </w:rPr>
      </w:pPr>
    </w:p>
    <w:p w14:paraId="2F8F13F2" w14:textId="1E8693EB"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lang w:eastAsia="bg-BG"/>
        </w:rPr>
        <w:t xml:space="preserve">Инхибитори на </w:t>
      </w:r>
      <w:r w:rsidRPr="00A41B7E">
        <w:rPr>
          <w:rFonts w:eastAsia="Times New Roman" w:cs="Arial"/>
          <w:i/>
          <w:iCs/>
          <w:color w:val="000000"/>
          <w:szCs w:val="20"/>
          <w:lang w:val="en-US"/>
        </w:rPr>
        <w:t>CYP</w:t>
      </w:r>
      <w:r w:rsidRPr="00A41B7E">
        <w:rPr>
          <w:rFonts w:eastAsia="Times New Roman" w:cs="Arial"/>
          <w:i/>
          <w:iCs/>
          <w:color w:val="000000"/>
          <w:szCs w:val="20"/>
          <w:lang w:val="ru-RU"/>
        </w:rPr>
        <w:t>3</w:t>
      </w:r>
      <w:r w:rsidRPr="00A41B7E">
        <w:rPr>
          <w:rFonts w:eastAsia="Times New Roman" w:cs="Arial"/>
          <w:i/>
          <w:iCs/>
          <w:color w:val="000000"/>
          <w:szCs w:val="20"/>
          <w:lang w:val="en-US"/>
        </w:rPr>
        <w:t>A</w:t>
      </w:r>
      <w:r w:rsidRPr="00A41B7E">
        <w:rPr>
          <w:rFonts w:eastAsia="Times New Roman" w:cs="Arial"/>
          <w:i/>
          <w:iCs/>
          <w:color w:val="000000"/>
          <w:szCs w:val="20"/>
          <w:lang w:val="ru-RU"/>
        </w:rPr>
        <w:t>:</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Кетоконазол (400 </w:t>
      </w:r>
      <w:r w:rsidRPr="00A41B7E">
        <w:rPr>
          <w:rFonts w:eastAsia="Times New Roman" w:cs="Arial"/>
          <w:color w:val="000000"/>
          <w:szCs w:val="20"/>
          <w:lang w:val="en-US"/>
        </w:rPr>
        <w:t>mg</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дневно), който е селективен и мощен инхибитор на </w:t>
      </w:r>
      <w:r w:rsidRPr="00A41B7E">
        <w:rPr>
          <w:rFonts w:eastAsia="Times New Roman" w:cs="Arial"/>
          <w:color w:val="000000"/>
          <w:szCs w:val="20"/>
          <w:lang w:val="en-US"/>
        </w:rPr>
        <w:t>CYP</w:t>
      </w:r>
      <w:r w:rsidRPr="00A41B7E">
        <w:rPr>
          <w:rFonts w:eastAsia="Times New Roman" w:cs="Arial"/>
          <w:color w:val="000000"/>
          <w:szCs w:val="20"/>
          <w:lang w:val="ru-RU"/>
        </w:rPr>
        <w:t>3</w:t>
      </w:r>
      <w:r w:rsidRPr="00A41B7E">
        <w:rPr>
          <w:rFonts w:eastAsia="Times New Roman" w:cs="Arial"/>
          <w:color w:val="000000"/>
          <w:szCs w:val="20"/>
          <w:lang w:val="en-US"/>
        </w:rPr>
        <w:t>A</w:t>
      </w:r>
      <w:r w:rsidRPr="00A41B7E">
        <w:rPr>
          <w:rFonts w:eastAsia="Times New Roman" w:cs="Arial"/>
          <w:color w:val="000000"/>
          <w:szCs w:val="20"/>
          <w:lang w:val="ru-RU"/>
        </w:rPr>
        <w:t xml:space="preserve">4 </w:t>
      </w:r>
      <w:r w:rsidRPr="00A41B7E">
        <w:rPr>
          <w:rFonts w:eastAsia="Times New Roman" w:cs="Arial"/>
          <w:color w:val="000000"/>
          <w:szCs w:val="20"/>
          <w:lang w:eastAsia="bg-BG"/>
        </w:rPr>
        <w:t xml:space="preserve">и </w:t>
      </w:r>
      <w:r w:rsidRPr="00A41B7E">
        <w:rPr>
          <w:rFonts w:eastAsia="Times New Roman" w:cs="Arial"/>
          <w:color w:val="000000"/>
          <w:szCs w:val="20"/>
          <w:lang w:val="en-US"/>
        </w:rPr>
        <w:t>CYP</w:t>
      </w:r>
      <w:r w:rsidRPr="00A41B7E">
        <w:rPr>
          <w:rFonts w:eastAsia="Times New Roman" w:cs="Arial"/>
          <w:color w:val="000000"/>
          <w:szCs w:val="20"/>
          <w:lang w:val="ru-RU"/>
        </w:rPr>
        <w:t>3</w:t>
      </w:r>
      <w:r w:rsidRPr="00A41B7E">
        <w:rPr>
          <w:rFonts w:eastAsia="Times New Roman" w:cs="Arial"/>
          <w:color w:val="000000"/>
          <w:szCs w:val="20"/>
          <w:lang w:val="en-US"/>
        </w:rPr>
        <w:t>A</w:t>
      </w:r>
      <w:r w:rsidRPr="00A41B7E">
        <w:rPr>
          <w:rFonts w:eastAsia="Times New Roman" w:cs="Arial"/>
          <w:color w:val="000000"/>
          <w:szCs w:val="20"/>
          <w:lang w:val="ru-RU"/>
        </w:rPr>
        <w:t xml:space="preserve">5, </w:t>
      </w:r>
      <w:r w:rsidRPr="00A41B7E">
        <w:rPr>
          <w:rFonts w:eastAsia="Times New Roman" w:cs="Arial"/>
          <w:color w:val="000000"/>
          <w:szCs w:val="20"/>
          <w:lang w:eastAsia="bg-BG"/>
        </w:rPr>
        <w:t xml:space="preserve">не въздейства на медиираното от прасугрел инхибиране на тромбоцитната агрегация или на </w:t>
      </w:r>
      <w:r w:rsidRPr="00A41B7E">
        <w:rPr>
          <w:rFonts w:eastAsia="Times New Roman" w:cs="Arial"/>
          <w:color w:val="000000"/>
          <w:szCs w:val="20"/>
          <w:lang w:val="en-US"/>
        </w:rPr>
        <w:t>AUC</w:t>
      </w:r>
      <w:r w:rsidRPr="00A41B7E">
        <w:rPr>
          <w:rFonts w:eastAsia="Times New Roman" w:cs="Arial"/>
          <w:color w:val="000000"/>
          <w:szCs w:val="20"/>
          <w:lang w:val="ru-RU"/>
        </w:rPr>
        <w:t xml:space="preserve"> </w:t>
      </w:r>
      <w:r w:rsidRPr="00A41B7E">
        <w:rPr>
          <w:rFonts w:eastAsia="Times New Roman" w:cs="Arial"/>
          <w:color w:val="000000"/>
          <w:szCs w:val="20"/>
          <w:lang w:eastAsia="bg-BG"/>
        </w:rPr>
        <w:t>и Т</w:t>
      </w:r>
      <w:r w:rsidRPr="00A41B7E">
        <w:rPr>
          <w:rFonts w:eastAsia="Times New Roman" w:cs="Arial"/>
          <w:color w:val="000000"/>
          <w:szCs w:val="20"/>
          <w:vertAlign w:val="subscript"/>
          <w:lang w:val="en-US"/>
        </w:rPr>
        <w:t>max</w:t>
      </w:r>
      <w:r w:rsidRPr="00A41B7E">
        <w:rPr>
          <w:rFonts w:eastAsia="Times New Roman" w:cs="Arial"/>
          <w:color w:val="000000"/>
          <w:szCs w:val="20"/>
          <w:lang w:eastAsia="bg-BG"/>
        </w:rPr>
        <w:t xml:space="preserve"> на активния метаболит на прасугрел, но намалява С</w:t>
      </w:r>
      <w:r w:rsidRPr="00A41B7E">
        <w:rPr>
          <w:rFonts w:eastAsia="Times New Roman" w:cs="Arial"/>
          <w:color w:val="000000"/>
          <w:szCs w:val="20"/>
          <w:vertAlign w:val="subscript"/>
          <w:lang w:val="en-US"/>
        </w:rPr>
        <w:t>max</w:t>
      </w:r>
      <w:r w:rsidRPr="00A41B7E">
        <w:rPr>
          <w:rFonts w:eastAsia="Times New Roman" w:cs="Arial"/>
          <w:color w:val="000000"/>
          <w:szCs w:val="20"/>
          <w:lang w:eastAsia="bg-BG"/>
        </w:rPr>
        <w:t xml:space="preserve"> с 34% до 46%. Затова не се очаква инхибиторите на </w:t>
      </w:r>
      <w:r w:rsidRPr="00A41B7E">
        <w:rPr>
          <w:rFonts w:eastAsia="Times New Roman" w:cs="Arial"/>
          <w:color w:val="000000"/>
          <w:szCs w:val="20"/>
          <w:lang w:val="en-US"/>
        </w:rPr>
        <w:t>CYP</w:t>
      </w:r>
      <w:r w:rsidRPr="00A41B7E">
        <w:rPr>
          <w:rFonts w:eastAsia="Times New Roman" w:cs="Arial"/>
          <w:color w:val="000000"/>
          <w:szCs w:val="20"/>
          <w:lang w:val="ru-RU"/>
        </w:rPr>
        <w:t>3</w:t>
      </w:r>
      <w:r w:rsidRPr="00A41B7E">
        <w:rPr>
          <w:rFonts w:eastAsia="Times New Roman" w:cs="Arial"/>
          <w:color w:val="000000"/>
          <w:szCs w:val="20"/>
          <w:lang w:val="en-US"/>
        </w:rPr>
        <w:t>A</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като например азоловите антимикотици, </w:t>
      </w:r>
      <w:r w:rsidRPr="00A41B7E">
        <w:rPr>
          <w:rFonts w:eastAsia="Times New Roman" w:cs="Arial"/>
          <w:color w:val="000000"/>
          <w:szCs w:val="20"/>
          <w:lang w:val="en-US"/>
        </w:rPr>
        <w:t>HIV</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протеазните инхибитори, кларитромицин, </w:t>
      </w:r>
      <w:r w:rsidRPr="00A41B7E">
        <w:rPr>
          <w:rFonts w:eastAsia="Times New Roman" w:cs="Arial"/>
          <w:color w:val="000000"/>
          <w:szCs w:val="20"/>
          <w:lang w:eastAsia="bg-BG"/>
        </w:rPr>
        <w:lastRenderedPageBreak/>
        <w:t>телитромицин, верапамил, дилтиазем, индинавир, ципрофлоксацин и сок от грейпфрут да имат сигнификантен ефект върху фармакокинетиката на активния метаболит.</w:t>
      </w:r>
    </w:p>
    <w:p w14:paraId="720F8488" w14:textId="1861F96B" w:rsidR="00A41B7E" w:rsidRPr="00A41B7E" w:rsidRDefault="00A41B7E" w:rsidP="00A41B7E">
      <w:pPr>
        <w:rPr>
          <w:rFonts w:cs="Arial"/>
          <w:sz w:val="24"/>
        </w:rPr>
      </w:pPr>
    </w:p>
    <w:p w14:paraId="5FFB84A9" w14:textId="77777777"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lang w:eastAsia="bg-BG"/>
        </w:rPr>
        <w:t>Индуктори на цитохромите Р450:</w:t>
      </w:r>
      <w:r w:rsidRPr="00A41B7E">
        <w:rPr>
          <w:rFonts w:eastAsia="Times New Roman" w:cs="Arial"/>
          <w:color w:val="000000"/>
          <w:szCs w:val="20"/>
          <w:lang w:eastAsia="bg-BG"/>
        </w:rPr>
        <w:t xml:space="preserve"> Рифампицин (600 </w:t>
      </w:r>
      <w:r w:rsidRPr="00A41B7E">
        <w:rPr>
          <w:rFonts w:eastAsia="Times New Roman" w:cs="Arial"/>
          <w:color w:val="000000"/>
          <w:szCs w:val="20"/>
          <w:lang w:val="en-US"/>
        </w:rPr>
        <w:t>mg</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дневно), който е мощен индуктор на </w:t>
      </w:r>
      <w:r w:rsidRPr="00A41B7E">
        <w:rPr>
          <w:rFonts w:eastAsia="Times New Roman" w:cs="Arial"/>
          <w:color w:val="000000"/>
          <w:szCs w:val="20"/>
          <w:lang w:val="en-US"/>
        </w:rPr>
        <w:t>CYP</w:t>
      </w:r>
      <w:r w:rsidRPr="00A41B7E">
        <w:rPr>
          <w:rFonts w:eastAsia="Times New Roman" w:cs="Arial"/>
          <w:color w:val="000000"/>
          <w:szCs w:val="20"/>
          <w:lang w:val="ru-RU"/>
        </w:rPr>
        <w:t>3</w:t>
      </w:r>
      <w:r w:rsidRPr="00A41B7E">
        <w:rPr>
          <w:rFonts w:eastAsia="Times New Roman" w:cs="Arial"/>
          <w:color w:val="000000"/>
          <w:szCs w:val="20"/>
          <w:lang w:val="en-US"/>
        </w:rPr>
        <w:t>A</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и </w:t>
      </w:r>
      <w:r w:rsidRPr="00A41B7E">
        <w:rPr>
          <w:rFonts w:eastAsia="Times New Roman" w:cs="Arial"/>
          <w:color w:val="000000"/>
          <w:szCs w:val="20"/>
          <w:lang w:val="en-US"/>
        </w:rPr>
        <w:t>CYP</w:t>
      </w:r>
      <w:r w:rsidRPr="00A41B7E">
        <w:rPr>
          <w:rFonts w:eastAsia="Times New Roman" w:cs="Arial"/>
          <w:color w:val="000000"/>
          <w:szCs w:val="20"/>
          <w:lang w:val="ru-RU"/>
        </w:rPr>
        <w:t>2</w:t>
      </w:r>
      <w:r w:rsidRPr="00A41B7E">
        <w:rPr>
          <w:rFonts w:eastAsia="Times New Roman" w:cs="Arial"/>
          <w:color w:val="000000"/>
          <w:szCs w:val="20"/>
          <w:lang w:val="en-US"/>
        </w:rPr>
        <w:t>B</w:t>
      </w:r>
      <w:r w:rsidRPr="00A41B7E">
        <w:rPr>
          <w:rFonts w:eastAsia="Times New Roman" w:cs="Arial"/>
          <w:color w:val="000000"/>
          <w:szCs w:val="20"/>
          <w:lang w:val="ru-RU"/>
        </w:rPr>
        <w:t xml:space="preserve">6 </w:t>
      </w:r>
      <w:r w:rsidRPr="00A41B7E">
        <w:rPr>
          <w:rFonts w:eastAsia="Times New Roman" w:cs="Arial"/>
          <w:color w:val="000000"/>
          <w:szCs w:val="20"/>
          <w:lang w:eastAsia="bg-BG"/>
        </w:rPr>
        <w:t xml:space="preserve">и индуктор на </w:t>
      </w:r>
      <w:r w:rsidRPr="00A41B7E">
        <w:rPr>
          <w:rFonts w:eastAsia="Times New Roman" w:cs="Arial"/>
          <w:color w:val="000000"/>
          <w:szCs w:val="20"/>
          <w:lang w:val="en-US"/>
        </w:rPr>
        <w:t>CYP</w:t>
      </w:r>
      <w:r w:rsidRPr="00A41B7E">
        <w:rPr>
          <w:rFonts w:eastAsia="Times New Roman" w:cs="Arial"/>
          <w:color w:val="000000"/>
          <w:szCs w:val="20"/>
          <w:lang w:val="ru-RU"/>
        </w:rPr>
        <w:t>2</w:t>
      </w:r>
      <w:r w:rsidRPr="00A41B7E">
        <w:rPr>
          <w:rFonts w:eastAsia="Times New Roman" w:cs="Arial"/>
          <w:color w:val="000000"/>
          <w:szCs w:val="20"/>
          <w:lang w:val="en-US"/>
        </w:rPr>
        <w:t>C</w:t>
      </w:r>
      <w:r w:rsidRPr="00A41B7E">
        <w:rPr>
          <w:rFonts w:eastAsia="Times New Roman" w:cs="Arial"/>
          <w:color w:val="000000"/>
          <w:szCs w:val="20"/>
          <w:lang w:val="ru-RU"/>
        </w:rPr>
        <w:t xml:space="preserve">9, </w:t>
      </w:r>
      <w:r w:rsidRPr="00A41B7E">
        <w:rPr>
          <w:rFonts w:eastAsia="Times New Roman" w:cs="Arial"/>
          <w:color w:val="000000"/>
          <w:szCs w:val="20"/>
          <w:lang w:val="en-US"/>
        </w:rPr>
        <w:t>CYP</w:t>
      </w:r>
      <w:r w:rsidRPr="00A41B7E">
        <w:rPr>
          <w:rFonts w:eastAsia="Times New Roman" w:cs="Arial"/>
          <w:color w:val="000000"/>
          <w:szCs w:val="20"/>
          <w:lang w:val="ru-RU"/>
        </w:rPr>
        <w:t>2</w:t>
      </w:r>
      <w:r w:rsidRPr="00A41B7E">
        <w:rPr>
          <w:rFonts w:eastAsia="Times New Roman" w:cs="Arial"/>
          <w:color w:val="000000"/>
          <w:szCs w:val="20"/>
          <w:lang w:val="en-US"/>
        </w:rPr>
        <w:t>C</w:t>
      </w:r>
      <w:r w:rsidRPr="00A41B7E">
        <w:rPr>
          <w:rFonts w:eastAsia="Times New Roman" w:cs="Arial"/>
          <w:color w:val="000000"/>
          <w:szCs w:val="20"/>
          <w:lang w:val="ru-RU"/>
        </w:rPr>
        <w:t xml:space="preserve">19 </w:t>
      </w:r>
      <w:r w:rsidRPr="00A41B7E">
        <w:rPr>
          <w:rFonts w:eastAsia="Times New Roman" w:cs="Arial"/>
          <w:color w:val="000000"/>
          <w:szCs w:val="20"/>
          <w:lang w:eastAsia="bg-BG"/>
        </w:rPr>
        <w:t xml:space="preserve">и </w:t>
      </w:r>
      <w:r w:rsidRPr="00A41B7E">
        <w:rPr>
          <w:rFonts w:eastAsia="Times New Roman" w:cs="Arial"/>
          <w:color w:val="000000"/>
          <w:szCs w:val="20"/>
          <w:lang w:val="en-US"/>
        </w:rPr>
        <w:t>CYP</w:t>
      </w:r>
      <w:r w:rsidRPr="00A41B7E">
        <w:rPr>
          <w:rFonts w:eastAsia="Times New Roman" w:cs="Arial"/>
          <w:color w:val="000000"/>
          <w:szCs w:val="20"/>
          <w:lang w:val="ru-RU"/>
        </w:rPr>
        <w:t>2</w:t>
      </w:r>
      <w:r w:rsidRPr="00A41B7E">
        <w:rPr>
          <w:rFonts w:eastAsia="Times New Roman" w:cs="Arial"/>
          <w:color w:val="000000"/>
          <w:szCs w:val="20"/>
          <w:lang w:val="en-US"/>
        </w:rPr>
        <w:t>C</w:t>
      </w:r>
      <w:r w:rsidRPr="00A41B7E">
        <w:rPr>
          <w:rFonts w:eastAsia="Times New Roman" w:cs="Arial"/>
          <w:color w:val="000000"/>
          <w:szCs w:val="20"/>
          <w:lang w:val="ru-RU"/>
        </w:rPr>
        <w:t xml:space="preserve">8, </w:t>
      </w:r>
      <w:r w:rsidRPr="00A41B7E">
        <w:rPr>
          <w:rFonts w:eastAsia="Times New Roman" w:cs="Arial"/>
          <w:color w:val="000000"/>
          <w:szCs w:val="20"/>
          <w:lang w:eastAsia="bg-BG"/>
        </w:rPr>
        <w:t xml:space="preserve">не променя сигнификантно фармакокинетиката на прасугрел. Затова не се очаква известни индуктори на </w:t>
      </w:r>
      <w:r w:rsidRPr="00A41B7E">
        <w:rPr>
          <w:rFonts w:eastAsia="Times New Roman" w:cs="Arial"/>
          <w:color w:val="000000"/>
          <w:szCs w:val="20"/>
          <w:lang w:val="en-US"/>
        </w:rPr>
        <w:t>CYP</w:t>
      </w:r>
      <w:r w:rsidRPr="00A41B7E">
        <w:rPr>
          <w:rFonts w:eastAsia="Times New Roman" w:cs="Arial"/>
          <w:color w:val="000000"/>
          <w:szCs w:val="20"/>
          <w:lang w:val="ru-RU"/>
        </w:rPr>
        <w:t>3</w:t>
      </w:r>
      <w:r w:rsidRPr="00A41B7E">
        <w:rPr>
          <w:rFonts w:eastAsia="Times New Roman" w:cs="Arial"/>
          <w:color w:val="000000"/>
          <w:szCs w:val="20"/>
          <w:lang w:val="en-US"/>
        </w:rPr>
        <w:t>A</w:t>
      </w:r>
      <w:r w:rsidRPr="00A41B7E">
        <w:rPr>
          <w:rFonts w:eastAsia="Times New Roman" w:cs="Arial"/>
          <w:color w:val="000000"/>
          <w:szCs w:val="20"/>
          <w:lang w:val="ru-RU"/>
        </w:rPr>
        <w:t xml:space="preserve"> </w:t>
      </w:r>
      <w:r w:rsidRPr="00A41B7E">
        <w:rPr>
          <w:rFonts w:eastAsia="Times New Roman" w:cs="Arial"/>
          <w:color w:val="000000"/>
          <w:szCs w:val="20"/>
          <w:lang w:eastAsia="bg-BG"/>
        </w:rPr>
        <w:t>като например рифампицин, карбамазепин и други индуктори на цитохромите Р450 да имат сигнификантен ефект върху фармакокинетиката на активния метаболит.</w:t>
      </w:r>
    </w:p>
    <w:p w14:paraId="70B291F2" w14:textId="77777777" w:rsidR="00A41B7E" w:rsidRPr="00A41B7E" w:rsidRDefault="00A41B7E" w:rsidP="00A41B7E">
      <w:pPr>
        <w:spacing w:line="240" w:lineRule="auto"/>
        <w:rPr>
          <w:rFonts w:eastAsia="Times New Roman" w:cs="Arial"/>
          <w:i/>
          <w:iCs/>
          <w:color w:val="000000"/>
          <w:szCs w:val="20"/>
          <w:lang w:eastAsia="bg-BG"/>
        </w:rPr>
      </w:pPr>
    </w:p>
    <w:p w14:paraId="4F1D21C2" w14:textId="4D527DD7"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lang w:eastAsia="bg-BG"/>
        </w:rPr>
        <w:t>Морфин и други опиоиди:</w:t>
      </w:r>
      <w:r w:rsidRPr="00A41B7E">
        <w:rPr>
          <w:rFonts w:eastAsia="Times New Roman" w:cs="Arial"/>
          <w:color w:val="000000"/>
          <w:szCs w:val="20"/>
          <w:lang w:eastAsia="bg-BG"/>
        </w:rPr>
        <w:t xml:space="preserve"> При пациенти с остър коронарен синдром, лекувани с морфин, е наблюдавана забавена и намалена експозиция на перорални инхибитори на </w:t>
      </w:r>
      <w:r w:rsidRPr="00A41B7E">
        <w:rPr>
          <w:rFonts w:eastAsia="Times New Roman" w:cs="Arial"/>
          <w:color w:val="000000"/>
          <w:szCs w:val="20"/>
          <w:lang w:val="en-US"/>
        </w:rPr>
        <w:t>P</w:t>
      </w:r>
      <w:r w:rsidRPr="00A41B7E">
        <w:rPr>
          <w:rFonts w:eastAsia="Times New Roman" w:cs="Arial"/>
          <w:color w:val="000000"/>
          <w:szCs w:val="20"/>
          <w:lang w:val="ru-RU"/>
        </w:rPr>
        <w:t>2</w:t>
      </w:r>
      <w:r w:rsidRPr="00A41B7E">
        <w:rPr>
          <w:rFonts w:eastAsia="Times New Roman" w:cs="Arial"/>
          <w:color w:val="000000"/>
          <w:szCs w:val="20"/>
          <w:lang w:val="en-US"/>
        </w:rPr>
        <w:t>Y</w:t>
      </w:r>
      <w:r w:rsidRPr="00A41B7E">
        <w:rPr>
          <w:rFonts w:eastAsia="Times New Roman" w:cs="Arial"/>
          <w:color w:val="000000"/>
          <w:szCs w:val="20"/>
          <w:lang w:val="ru-RU"/>
        </w:rPr>
        <w:t xml:space="preserve">12, </w:t>
      </w:r>
      <w:r w:rsidRPr="00A41B7E">
        <w:rPr>
          <w:rFonts w:eastAsia="Times New Roman" w:cs="Arial"/>
          <w:color w:val="000000"/>
          <w:szCs w:val="20"/>
          <w:lang w:eastAsia="bg-BG"/>
        </w:rPr>
        <w:t xml:space="preserve">включително прасугрел и неговия активен метаболит. Това взаимодействие може да е свързано с намален мотилитет на стомашно-чревния тракт и да се отнася и до други опиоиди. Клиничното значение не е известно, но данните сочат възможност за намалена ефикасност на прасугрел при пациенти, приемащи едновременно прасугрел и морфин. При пациенти с остър коронарен синдром, при които приемът на морфин не може да бъде спрян, а бързото инхибиране на </w:t>
      </w:r>
      <w:r w:rsidRPr="00A41B7E">
        <w:rPr>
          <w:rFonts w:eastAsia="Times New Roman" w:cs="Arial"/>
          <w:color w:val="000000"/>
          <w:szCs w:val="20"/>
          <w:lang w:val="en-US"/>
        </w:rPr>
        <w:t>P</w:t>
      </w:r>
      <w:r w:rsidRPr="00A41B7E">
        <w:rPr>
          <w:rFonts w:eastAsia="Times New Roman" w:cs="Arial"/>
          <w:color w:val="000000"/>
          <w:szCs w:val="20"/>
          <w:lang w:val="ru-RU"/>
        </w:rPr>
        <w:t>2</w:t>
      </w:r>
      <w:r w:rsidRPr="00A41B7E">
        <w:rPr>
          <w:rFonts w:eastAsia="Times New Roman" w:cs="Arial"/>
          <w:color w:val="000000"/>
          <w:szCs w:val="20"/>
          <w:lang w:val="en-US"/>
        </w:rPr>
        <w:t>Y</w:t>
      </w:r>
      <w:r w:rsidRPr="00A41B7E">
        <w:rPr>
          <w:rFonts w:eastAsia="Times New Roman" w:cs="Arial"/>
          <w:color w:val="000000"/>
          <w:szCs w:val="20"/>
          <w:lang w:val="ru-RU"/>
        </w:rPr>
        <w:t xml:space="preserve">12 </w:t>
      </w:r>
      <w:r w:rsidRPr="00A41B7E">
        <w:rPr>
          <w:rFonts w:eastAsia="Times New Roman" w:cs="Arial"/>
          <w:color w:val="000000"/>
          <w:szCs w:val="20"/>
          <w:lang w:eastAsia="bg-BG"/>
        </w:rPr>
        <w:t xml:space="preserve">се счита за решаващо, може да се има предвид употребата на парентерален инхибитор на </w:t>
      </w:r>
      <w:r w:rsidRPr="00A41B7E">
        <w:rPr>
          <w:rFonts w:eastAsia="Times New Roman" w:cs="Arial"/>
          <w:color w:val="000000"/>
          <w:szCs w:val="20"/>
          <w:lang w:val="en-US"/>
        </w:rPr>
        <w:t>P</w:t>
      </w:r>
      <w:r w:rsidRPr="00A41B7E">
        <w:rPr>
          <w:rFonts w:eastAsia="Times New Roman" w:cs="Arial"/>
          <w:color w:val="000000"/>
          <w:szCs w:val="20"/>
          <w:lang w:val="ru-RU"/>
        </w:rPr>
        <w:t>2</w:t>
      </w:r>
      <w:r w:rsidRPr="00A41B7E">
        <w:rPr>
          <w:rFonts w:eastAsia="Times New Roman" w:cs="Arial"/>
          <w:color w:val="000000"/>
          <w:szCs w:val="20"/>
          <w:lang w:val="en-US"/>
        </w:rPr>
        <w:t>Y</w:t>
      </w:r>
      <w:r w:rsidRPr="00A41B7E">
        <w:rPr>
          <w:rFonts w:eastAsia="Times New Roman" w:cs="Arial"/>
          <w:color w:val="000000"/>
          <w:szCs w:val="20"/>
          <w:lang w:val="ru-RU"/>
        </w:rPr>
        <w:t>12.</w:t>
      </w:r>
    </w:p>
    <w:p w14:paraId="0962F0AB" w14:textId="77777777" w:rsidR="00A41B7E" w:rsidRPr="00A41B7E" w:rsidRDefault="00A41B7E" w:rsidP="00A41B7E">
      <w:pPr>
        <w:spacing w:line="240" w:lineRule="auto"/>
        <w:rPr>
          <w:rFonts w:eastAsia="Times New Roman" w:cs="Arial"/>
          <w:i/>
          <w:iCs/>
          <w:color w:val="000000"/>
          <w:szCs w:val="20"/>
          <w:u w:val="single"/>
          <w:lang w:eastAsia="bg-BG"/>
        </w:rPr>
      </w:pPr>
    </w:p>
    <w:p w14:paraId="2BA4EB91" w14:textId="1D4C0B87"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u w:val="single"/>
          <w:lang w:eastAsia="bg-BG"/>
        </w:rPr>
        <w:t>Ефекти на Бевим върху други лекарствени продукти</w:t>
      </w:r>
    </w:p>
    <w:p w14:paraId="70EDD637" w14:textId="77777777"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lang w:eastAsia="bg-BG"/>
        </w:rPr>
        <w:t>Дигоксин:</w:t>
      </w:r>
      <w:r w:rsidRPr="00A41B7E">
        <w:rPr>
          <w:rFonts w:eastAsia="Times New Roman" w:cs="Arial"/>
          <w:color w:val="000000"/>
          <w:szCs w:val="20"/>
          <w:lang w:eastAsia="bg-BG"/>
        </w:rPr>
        <w:t xml:space="preserve"> Прасугрел няма клинично сигнификантен ефект върху фармакокинетиката на дигоксин.</w:t>
      </w:r>
    </w:p>
    <w:p w14:paraId="59EABC70" w14:textId="77777777" w:rsidR="00A41B7E" w:rsidRPr="00A41B7E" w:rsidRDefault="00A41B7E" w:rsidP="00A41B7E">
      <w:pPr>
        <w:spacing w:line="240" w:lineRule="auto"/>
        <w:rPr>
          <w:rFonts w:eastAsia="Times New Roman" w:cs="Arial"/>
          <w:i/>
          <w:iCs/>
          <w:color w:val="000000"/>
          <w:szCs w:val="20"/>
          <w:lang w:eastAsia="bg-BG"/>
        </w:rPr>
      </w:pPr>
    </w:p>
    <w:p w14:paraId="6F3FF330" w14:textId="1BB3C073"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lang w:eastAsia="bg-BG"/>
        </w:rPr>
        <w:t xml:space="preserve">Лекарствени продукти, метаболизирани от </w:t>
      </w:r>
      <w:r w:rsidRPr="00A41B7E">
        <w:rPr>
          <w:rFonts w:eastAsia="Times New Roman" w:cs="Arial"/>
          <w:i/>
          <w:iCs/>
          <w:color w:val="000000"/>
          <w:szCs w:val="20"/>
          <w:lang w:val="en-US"/>
        </w:rPr>
        <w:t>CYP</w:t>
      </w:r>
      <w:r w:rsidRPr="00A41B7E">
        <w:rPr>
          <w:rFonts w:eastAsia="Times New Roman" w:cs="Arial"/>
          <w:i/>
          <w:iCs/>
          <w:color w:val="000000"/>
          <w:szCs w:val="20"/>
          <w:lang w:val="ru-RU"/>
        </w:rPr>
        <w:t>2</w:t>
      </w:r>
      <w:r w:rsidRPr="00A41B7E">
        <w:rPr>
          <w:rFonts w:eastAsia="Times New Roman" w:cs="Arial"/>
          <w:i/>
          <w:iCs/>
          <w:color w:val="000000"/>
          <w:szCs w:val="20"/>
          <w:lang w:val="en-US"/>
        </w:rPr>
        <w:t>C</w:t>
      </w:r>
      <w:r w:rsidRPr="00A41B7E">
        <w:rPr>
          <w:rFonts w:eastAsia="Times New Roman" w:cs="Arial"/>
          <w:i/>
          <w:iCs/>
          <w:color w:val="000000"/>
          <w:szCs w:val="20"/>
          <w:lang w:val="ru-RU"/>
        </w:rPr>
        <w:t>9:</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Прасугрел не инхибира </w:t>
      </w:r>
      <w:r w:rsidRPr="00A41B7E">
        <w:rPr>
          <w:rFonts w:eastAsia="Times New Roman" w:cs="Arial"/>
          <w:color w:val="000000"/>
          <w:szCs w:val="20"/>
          <w:lang w:val="en-US"/>
        </w:rPr>
        <w:t>CYP</w:t>
      </w:r>
      <w:r w:rsidRPr="00A41B7E">
        <w:rPr>
          <w:rFonts w:eastAsia="Times New Roman" w:cs="Arial"/>
          <w:color w:val="000000"/>
          <w:szCs w:val="20"/>
          <w:lang w:val="ru-RU"/>
        </w:rPr>
        <w:t>2</w:t>
      </w:r>
      <w:r w:rsidRPr="00A41B7E">
        <w:rPr>
          <w:rFonts w:eastAsia="Times New Roman" w:cs="Arial"/>
          <w:color w:val="000000"/>
          <w:szCs w:val="20"/>
          <w:lang w:val="en-US"/>
        </w:rPr>
        <w:t>C</w:t>
      </w:r>
      <w:r w:rsidRPr="00A41B7E">
        <w:rPr>
          <w:rFonts w:eastAsia="Times New Roman" w:cs="Arial"/>
          <w:color w:val="000000"/>
          <w:szCs w:val="20"/>
          <w:lang w:val="ru-RU"/>
        </w:rPr>
        <w:t xml:space="preserve">9, </w:t>
      </w:r>
      <w:r w:rsidRPr="00A41B7E">
        <w:rPr>
          <w:rFonts w:eastAsia="Times New Roman" w:cs="Arial"/>
          <w:color w:val="000000"/>
          <w:szCs w:val="20"/>
          <w:lang w:eastAsia="bg-BG"/>
        </w:rPr>
        <w:t xml:space="preserve">тъй като не въздейства върху фармакокинетиката на </w:t>
      </w:r>
      <w:r w:rsidRPr="00A41B7E">
        <w:rPr>
          <w:rFonts w:eastAsia="Times New Roman" w:cs="Arial"/>
          <w:color w:val="000000"/>
          <w:szCs w:val="20"/>
          <w:lang w:val="en-US"/>
        </w:rPr>
        <w:t>S</w:t>
      </w:r>
      <w:r w:rsidRPr="00A41B7E">
        <w:rPr>
          <w:rFonts w:eastAsia="Times New Roman" w:cs="Arial"/>
          <w:color w:val="000000"/>
          <w:szCs w:val="20"/>
          <w:lang w:eastAsia="bg-BG"/>
        </w:rPr>
        <w:t>-варфарин. Поради възможността за повишен риск от кървене варфарин и Бевим трябва да се прилагат едновременно с повишено внимание (вж. точка 4.4).</w:t>
      </w:r>
    </w:p>
    <w:p w14:paraId="49BABB64" w14:textId="77777777" w:rsidR="00A41B7E" w:rsidRPr="00A41B7E" w:rsidRDefault="00A41B7E" w:rsidP="00A41B7E">
      <w:pPr>
        <w:spacing w:line="240" w:lineRule="auto"/>
        <w:rPr>
          <w:rFonts w:eastAsia="Times New Roman" w:cs="Arial"/>
          <w:i/>
          <w:iCs/>
          <w:color w:val="000000"/>
          <w:szCs w:val="20"/>
          <w:lang w:eastAsia="bg-BG"/>
        </w:rPr>
      </w:pPr>
    </w:p>
    <w:p w14:paraId="03617858" w14:textId="0D95DFE3" w:rsidR="00A41B7E" w:rsidRPr="00A41B7E" w:rsidRDefault="00A41B7E" w:rsidP="00A41B7E">
      <w:pPr>
        <w:spacing w:line="240" w:lineRule="auto"/>
        <w:rPr>
          <w:rFonts w:ascii="Times New Roman" w:eastAsia="Times New Roman" w:hAnsi="Times New Roman" w:cs="Times New Roman"/>
          <w:sz w:val="24"/>
          <w:szCs w:val="24"/>
        </w:rPr>
      </w:pPr>
      <w:r w:rsidRPr="00A41B7E">
        <w:rPr>
          <w:rFonts w:eastAsia="Times New Roman" w:cs="Arial"/>
          <w:i/>
          <w:iCs/>
          <w:color w:val="000000"/>
          <w:szCs w:val="20"/>
          <w:lang w:eastAsia="bg-BG"/>
        </w:rPr>
        <w:t xml:space="preserve">Лекарствени продукти, метаболизирани от </w:t>
      </w:r>
      <w:r w:rsidRPr="00A41B7E">
        <w:rPr>
          <w:rFonts w:eastAsia="Times New Roman" w:cs="Arial"/>
          <w:i/>
          <w:iCs/>
          <w:color w:val="000000"/>
          <w:szCs w:val="20"/>
          <w:lang w:val="en-US"/>
        </w:rPr>
        <w:t>CYP</w:t>
      </w:r>
      <w:r w:rsidRPr="00A41B7E">
        <w:rPr>
          <w:rFonts w:eastAsia="Times New Roman" w:cs="Arial"/>
          <w:i/>
          <w:iCs/>
          <w:color w:val="000000"/>
          <w:szCs w:val="20"/>
          <w:lang w:val="ru-RU"/>
        </w:rPr>
        <w:t>2</w:t>
      </w:r>
      <w:r w:rsidRPr="00A41B7E">
        <w:rPr>
          <w:rFonts w:eastAsia="Times New Roman" w:cs="Arial"/>
          <w:i/>
          <w:iCs/>
          <w:color w:val="000000"/>
          <w:szCs w:val="20"/>
          <w:lang w:val="en-US"/>
        </w:rPr>
        <w:t>B</w:t>
      </w:r>
      <w:r w:rsidRPr="00A41B7E">
        <w:rPr>
          <w:rFonts w:eastAsia="Times New Roman" w:cs="Arial"/>
          <w:i/>
          <w:iCs/>
          <w:color w:val="000000"/>
          <w:szCs w:val="20"/>
          <w:lang w:val="ru-RU"/>
        </w:rPr>
        <w:t>6:</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Прасугрел е слаб инхибитор на </w:t>
      </w:r>
      <w:r w:rsidRPr="00A41B7E">
        <w:rPr>
          <w:rFonts w:eastAsia="Times New Roman" w:cs="Arial"/>
          <w:color w:val="000000"/>
          <w:szCs w:val="20"/>
          <w:lang w:val="en-US"/>
        </w:rPr>
        <w:t>CYP</w:t>
      </w:r>
      <w:r w:rsidRPr="00A41B7E">
        <w:rPr>
          <w:rFonts w:eastAsia="Times New Roman" w:cs="Arial"/>
          <w:color w:val="000000"/>
          <w:szCs w:val="20"/>
          <w:lang w:val="ru-RU"/>
        </w:rPr>
        <w:t>2</w:t>
      </w:r>
      <w:r w:rsidRPr="00A41B7E">
        <w:rPr>
          <w:rFonts w:eastAsia="Times New Roman" w:cs="Arial"/>
          <w:color w:val="000000"/>
          <w:szCs w:val="20"/>
          <w:lang w:val="en-US"/>
        </w:rPr>
        <w:t>B</w:t>
      </w:r>
      <w:r w:rsidRPr="00A41B7E">
        <w:rPr>
          <w:rFonts w:eastAsia="Times New Roman" w:cs="Arial"/>
          <w:color w:val="000000"/>
          <w:szCs w:val="20"/>
          <w:lang w:val="ru-RU"/>
        </w:rPr>
        <w:t xml:space="preserve">6. </w:t>
      </w:r>
      <w:r w:rsidRPr="00A41B7E">
        <w:rPr>
          <w:rFonts w:eastAsia="Times New Roman" w:cs="Arial"/>
          <w:color w:val="000000"/>
          <w:szCs w:val="20"/>
          <w:lang w:eastAsia="bg-BG"/>
        </w:rPr>
        <w:t xml:space="preserve">При здрави индивиди прасугрел намалява експозицията на хидроксибупропион - </w:t>
      </w:r>
      <w:r w:rsidRPr="00A41B7E">
        <w:rPr>
          <w:rFonts w:eastAsia="Times New Roman" w:cs="Arial"/>
          <w:color w:val="000000"/>
          <w:szCs w:val="20"/>
          <w:lang w:val="en-US"/>
        </w:rPr>
        <w:t>CYP</w:t>
      </w:r>
      <w:r w:rsidRPr="00A41B7E">
        <w:rPr>
          <w:rFonts w:eastAsia="Times New Roman" w:cs="Arial"/>
          <w:color w:val="000000"/>
          <w:szCs w:val="20"/>
          <w:lang w:val="ru-RU"/>
        </w:rPr>
        <w:t>2</w:t>
      </w:r>
      <w:r w:rsidRPr="00A41B7E">
        <w:rPr>
          <w:rFonts w:eastAsia="Times New Roman" w:cs="Arial"/>
          <w:color w:val="000000"/>
          <w:szCs w:val="20"/>
          <w:lang w:val="en-US"/>
        </w:rPr>
        <w:t>B</w:t>
      </w:r>
      <w:r w:rsidRPr="00A41B7E">
        <w:rPr>
          <w:rFonts w:eastAsia="Times New Roman" w:cs="Arial"/>
          <w:color w:val="000000"/>
          <w:szCs w:val="20"/>
          <w:lang w:val="ru-RU"/>
        </w:rPr>
        <w:t xml:space="preserve">6- </w:t>
      </w:r>
      <w:r w:rsidRPr="00A41B7E">
        <w:rPr>
          <w:rFonts w:eastAsia="Times New Roman" w:cs="Arial"/>
          <w:color w:val="000000"/>
          <w:szCs w:val="20"/>
          <w:lang w:eastAsia="bg-BG"/>
        </w:rPr>
        <w:t xml:space="preserve">медииран метаболит на бипропион - с 23%. Възможно е този ефект да е от клинично значение само когато прасугрел се прилага едновременно с лекарствени продукти, за които </w:t>
      </w:r>
      <w:r w:rsidRPr="00A41B7E">
        <w:rPr>
          <w:rFonts w:eastAsia="Times New Roman" w:cs="Arial"/>
          <w:color w:val="000000"/>
          <w:szCs w:val="20"/>
          <w:lang w:val="en-US"/>
        </w:rPr>
        <w:t>CYP</w:t>
      </w:r>
      <w:r w:rsidRPr="00A41B7E">
        <w:rPr>
          <w:rFonts w:eastAsia="Times New Roman" w:cs="Arial"/>
          <w:color w:val="000000"/>
          <w:szCs w:val="20"/>
          <w:lang w:val="ru-RU"/>
        </w:rPr>
        <w:t>2</w:t>
      </w:r>
      <w:r w:rsidRPr="00A41B7E">
        <w:rPr>
          <w:rFonts w:eastAsia="Times New Roman" w:cs="Arial"/>
          <w:color w:val="000000"/>
          <w:szCs w:val="20"/>
          <w:lang w:val="en-US"/>
        </w:rPr>
        <w:t>B</w:t>
      </w:r>
      <w:r w:rsidRPr="00A41B7E">
        <w:rPr>
          <w:rFonts w:eastAsia="Times New Roman" w:cs="Arial"/>
          <w:color w:val="000000"/>
          <w:szCs w:val="20"/>
          <w:lang w:val="ru-RU"/>
        </w:rPr>
        <w:t xml:space="preserve">6 </w:t>
      </w:r>
      <w:r w:rsidRPr="00A41B7E">
        <w:rPr>
          <w:rFonts w:eastAsia="Times New Roman" w:cs="Arial"/>
          <w:color w:val="000000"/>
          <w:szCs w:val="20"/>
          <w:lang w:eastAsia="bg-BG"/>
        </w:rPr>
        <w:t>е единственият метаболитен път и които имат тесен терапевтичен прозорец (напр. циклофосфамид, ефавиренц).</w:t>
      </w:r>
    </w:p>
    <w:p w14:paraId="3F1C0EA4" w14:textId="326A8537" w:rsidR="00A41B7E" w:rsidRPr="00A41B7E" w:rsidRDefault="00A41B7E" w:rsidP="00A41B7E"/>
    <w:p w14:paraId="394A7584" w14:textId="4A8C7F34" w:rsidR="004F498A" w:rsidRDefault="002C50EE" w:rsidP="004A448E">
      <w:pPr>
        <w:pStyle w:val="Heading2"/>
      </w:pPr>
      <w:r>
        <w:t>4.6. Фертилитет, бременност и кърмене</w:t>
      </w:r>
    </w:p>
    <w:p w14:paraId="0AF8D0B9" w14:textId="066C1317" w:rsidR="00A41B7E" w:rsidRDefault="00A41B7E" w:rsidP="00A41B7E"/>
    <w:p w14:paraId="3A98586B" w14:textId="77777777"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lang w:eastAsia="bg-BG"/>
        </w:rPr>
        <w:t>Не е провеждано клинично проучване при бременни или кърмещи жени.</w:t>
      </w:r>
    </w:p>
    <w:p w14:paraId="3CF3BEF2" w14:textId="77777777" w:rsidR="00A41B7E" w:rsidRPr="00A41B7E" w:rsidRDefault="00A41B7E" w:rsidP="00A41B7E">
      <w:pPr>
        <w:spacing w:line="240" w:lineRule="auto"/>
        <w:rPr>
          <w:rFonts w:eastAsia="Times New Roman" w:cs="Arial"/>
          <w:color w:val="000000"/>
          <w:szCs w:val="20"/>
          <w:u w:val="single"/>
          <w:lang w:eastAsia="bg-BG"/>
        </w:rPr>
      </w:pPr>
    </w:p>
    <w:p w14:paraId="0184E67A" w14:textId="027E28E6" w:rsidR="00A41B7E" w:rsidRPr="00A41B7E" w:rsidRDefault="00A41B7E" w:rsidP="00A41B7E">
      <w:pPr>
        <w:pStyle w:val="Heading3"/>
        <w:rPr>
          <w:rFonts w:eastAsia="Times New Roman"/>
          <w:sz w:val="28"/>
          <w:u w:val="single"/>
        </w:rPr>
      </w:pPr>
      <w:r w:rsidRPr="00A41B7E">
        <w:rPr>
          <w:rFonts w:eastAsia="Times New Roman"/>
          <w:u w:val="single"/>
          <w:lang w:eastAsia="bg-BG"/>
        </w:rPr>
        <w:t>Бременност</w:t>
      </w:r>
    </w:p>
    <w:p w14:paraId="628A957C" w14:textId="77777777"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lang w:eastAsia="bg-BG"/>
        </w:rPr>
        <w:t>Проучванията при животни не показват преки вредни ефекти по отношение на влиянието върху бременността, ембрионалното/феталното развитие, раждането или постнаталното развитие (вж. точка 5.3). Тъй като проучванията за репродукция при животни не винаги предсказват отговора при хора, Бевим трябва да се използва по време на бременност само ако потенциалната полза за майката оправдава потенциалния риск за фетуса.</w:t>
      </w:r>
    </w:p>
    <w:p w14:paraId="6C4FF324" w14:textId="77777777" w:rsidR="00A41B7E" w:rsidRPr="00A41B7E" w:rsidRDefault="00A41B7E" w:rsidP="00A41B7E">
      <w:pPr>
        <w:spacing w:line="240" w:lineRule="auto"/>
        <w:rPr>
          <w:rFonts w:eastAsia="Times New Roman" w:cs="Arial"/>
          <w:color w:val="000000"/>
          <w:szCs w:val="20"/>
          <w:u w:val="single"/>
          <w:lang w:eastAsia="bg-BG"/>
        </w:rPr>
      </w:pPr>
    </w:p>
    <w:p w14:paraId="7995949B" w14:textId="5430B9AD" w:rsidR="00A41B7E" w:rsidRPr="00A41B7E" w:rsidRDefault="00A41B7E" w:rsidP="00A41B7E">
      <w:pPr>
        <w:pStyle w:val="Heading3"/>
        <w:rPr>
          <w:rFonts w:eastAsia="Times New Roman"/>
          <w:u w:val="single"/>
          <w:lang w:eastAsia="bg-BG"/>
        </w:rPr>
      </w:pPr>
      <w:r w:rsidRPr="00A41B7E">
        <w:rPr>
          <w:rFonts w:eastAsia="Times New Roman"/>
          <w:u w:val="single"/>
          <w:lang w:eastAsia="bg-BG"/>
        </w:rPr>
        <w:lastRenderedPageBreak/>
        <w:t>Кърмене</w:t>
      </w:r>
    </w:p>
    <w:p w14:paraId="7A72EC73" w14:textId="77777777"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lang w:eastAsia="bg-BG"/>
        </w:rPr>
        <w:t>Не е известно дали прасугрел се екскретира в кърмата. Проучвания при животни показват екскреция на прасугрел в млякото. Не се препоръчва употребата на прасугрел по време на кърмене.</w:t>
      </w:r>
    </w:p>
    <w:p w14:paraId="0A66F288" w14:textId="77777777" w:rsidR="00A41B7E" w:rsidRPr="00A41B7E" w:rsidRDefault="00A41B7E" w:rsidP="00A41B7E">
      <w:pPr>
        <w:rPr>
          <w:rFonts w:eastAsia="Times New Roman" w:cs="Arial"/>
          <w:color w:val="000000"/>
          <w:szCs w:val="20"/>
          <w:u w:val="single"/>
          <w:lang w:eastAsia="bg-BG"/>
        </w:rPr>
      </w:pPr>
    </w:p>
    <w:p w14:paraId="7B251093" w14:textId="2A72EEED" w:rsidR="00A41B7E" w:rsidRPr="00A41B7E" w:rsidRDefault="00A41B7E" w:rsidP="00A41B7E">
      <w:pPr>
        <w:pStyle w:val="Heading3"/>
        <w:rPr>
          <w:rFonts w:eastAsia="Times New Roman"/>
          <w:u w:val="single"/>
          <w:lang w:eastAsia="bg-BG"/>
        </w:rPr>
      </w:pPr>
      <w:r w:rsidRPr="00A41B7E">
        <w:rPr>
          <w:rFonts w:eastAsia="Times New Roman"/>
          <w:u w:val="single"/>
          <w:lang w:eastAsia="bg-BG"/>
        </w:rPr>
        <w:t>Фертилитет</w:t>
      </w:r>
    </w:p>
    <w:p w14:paraId="1644B153" w14:textId="1B78678E" w:rsidR="00A41B7E" w:rsidRPr="00A41B7E" w:rsidRDefault="00A41B7E" w:rsidP="00A41B7E">
      <w:pPr>
        <w:rPr>
          <w:rFonts w:cs="Arial"/>
          <w:szCs w:val="20"/>
          <w:lang w:val="ru-RU"/>
        </w:rPr>
      </w:pPr>
      <w:r w:rsidRPr="00A41B7E">
        <w:rPr>
          <w:rFonts w:cs="Arial"/>
          <w:szCs w:val="20"/>
        </w:rPr>
        <w:t xml:space="preserve">Прасугрел няма ефект върху фертилитета на мъжки и женски плъхове при перорални дози до експозиция 240 пъти над препоръчваната поддържаща дневна доза при хора (на базата на </w:t>
      </w:r>
      <w:r w:rsidRPr="00A41B7E">
        <w:rPr>
          <w:rFonts w:cs="Arial"/>
          <w:szCs w:val="20"/>
          <w:lang w:val="en-US"/>
        </w:rPr>
        <w:t>mg</w:t>
      </w:r>
      <w:r w:rsidRPr="00A41B7E">
        <w:rPr>
          <w:rFonts w:cs="Arial"/>
          <w:szCs w:val="20"/>
          <w:lang w:val="ru-RU"/>
        </w:rPr>
        <w:t>/</w:t>
      </w:r>
      <w:r w:rsidRPr="00A41B7E">
        <w:rPr>
          <w:rFonts w:cs="Arial"/>
          <w:szCs w:val="20"/>
          <w:lang w:val="en-US"/>
        </w:rPr>
        <w:t>m</w:t>
      </w:r>
      <w:r w:rsidRPr="00A41B7E">
        <w:rPr>
          <w:rFonts w:cs="Arial"/>
          <w:szCs w:val="20"/>
          <w:vertAlign w:val="superscript"/>
          <w:lang w:val="ru-RU"/>
        </w:rPr>
        <w:t>2</w:t>
      </w:r>
      <w:r w:rsidRPr="00A41B7E">
        <w:rPr>
          <w:rFonts w:cs="Arial"/>
          <w:szCs w:val="20"/>
          <w:lang w:val="ru-RU"/>
        </w:rPr>
        <w:t>).</w:t>
      </w:r>
    </w:p>
    <w:p w14:paraId="752983BB" w14:textId="77777777" w:rsidR="00A41B7E" w:rsidRPr="00A41B7E" w:rsidRDefault="00A41B7E" w:rsidP="00A41B7E">
      <w:pPr>
        <w:rPr>
          <w:lang w:val="ru-RU"/>
        </w:rPr>
      </w:pPr>
    </w:p>
    <w:p w14:paraId="064DF1DE" w14:textId="70FA89F2" w:rsidR="00CF77F7" w:rsidRDefault="002C50EE" w:rsidP="004A448E">
      <w:pPr>
        <w:pStyle w:val="Heading2"/>
      </w:pPr>
      <w:r>
        <w:t>4.7. Ефекти върху способността за шофиране и работа с машини</w:t>
      </w:r>
    </w:p>
    <w:p w14:paraId="568B0BD0" w14:textId="2F5110FE" w:rsidR="00A41B7E" w:rsidRDefault="00A41B7E" w:rsidP="00A41B7E"/>
    <w:p w14:paraId="54059F5D" w14:textId="68CDAF50" w:rsidR="00A41B7E" w:rsidRDefault="00A41B7E" w:rsidP="00A41B7E">
      <w:r>
        <w:t>Очаква се прасугрел да не повлиява или да повлиява пренебрежимо способността за шофиране и работа с машини.</w:t>
      </w:r>
    </w:p>
    <w:p w14:paraId="35CB8FD1" w14:textId="77777777" w:rsidR="00A41B7E" w:rsidRPr="00A41B7E" w:rsidRDefault="00A41B7E" w:rsidP="00A41B7E"/>
    <w:p w14:paraId="37A3FD9F" w14:textId="5D591326" w:rsidR="00CF77F7" w:rsidRDefault="002C50EE" w:rsidP="004A448E">
      <w:pPr>
        <w:pStyle w:val="Heading2"/>
      </w:pPr>
      <w:r>
        <w:t>4.8. Нежелани лекарствени реакции</w:t>
      </w:r>
    </w:p>
    <w:p w14:paraId="3D408AEC" w14:textId="701E4BB6" w:rsidR="00A41B7E" w:rsidRDefault="00A41B7E" w:rsidP="00A41B7E"/>
    <w:p w14:paraId="7252AFFA" w14:textId="77777777"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u w:val="single"/>
          <w:lang w:eastAsia="bg-BG"/>
        </w:rPr>
        <w:t>Резюме на профила на безопасност</w:t>
      </w:r>
    </w:p>
    <w:p w14:paraId="59EE03C2" w14:textId="77777777" w:rsidR="00A41B7E" w:rsidRPr="00A41B7E" w:rsidRDefault="00A41B7E" w:rsidP="00A41B7E">
      <w:pPr>
        <w:spacing w:line="240" w:lineRule="auto"/>
        <w:rPr>
          <w:rFonts w:eastAsia="Times New Roman" w:cs="Arial"/>
          <w:color w:val="000000"/>
          <w:szCs w:val="20"/>
          <w:lang w:eastAsia="bg-BG"/>
        </w:rPr>
      </w:pPr>
    </w:p>
    <w:p w14:paraId="6935F989" w14:textId="1892FC84"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lang w:eastAsia="bg-BG"/>
        </w:rPr>
        <w:t xml:space="preserve">Безопасността при пациенти с остър коронарен синдром, подлежащи на </w:t>
      </w:r>
      <w:r w:rsidRPr="00A41B7E">
        <w:rPr>
          <w:rFonts w:eastAsia="Times New Roman" w:cs="Arial"/>
          <w:color w:val="000000"/>
          <w:szCs w:val="20"/>
          <w:lang w:val="en-US"/>
        </w:rPr>
        <w:t>PCI</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е оценявана в проучване с контрола клопидогрел </w:t>
      </w:r>
      <w:r w:rsidRPr="00A41B7E">
        <w:rPr>
          <w:rFonts w:eastAsia="Times New Roman" w:cs="Arial"/>
          <w:color w:val="000000"/>
          <w:szCs w:val="20"/>
          <w:lang w:val="ru-RU"/>
        </w:rPr>
        <w:t>(</w:t>
      </w:r>
      <w:r w:rsidRPr="00A41B7E">
        <w:rPr>
          <w:rFonts w:eastAsia="Times New Roman" w:cs="Arial"/>
          <w:color w:val="000000"/>
          <w:szCs w:val="20"/>
          <w:lang w:val="en-US"/>
        </w:rPr>
        <w:t>TRITON</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в което 6 741 пациенти са лекувани с прасугрел (60 </w:t>
      </w:r>
      <w:r w:rsidRPr="00A41B7E">
        <w:rPr>
          <w:rFonts w:eastAsia="Times New Roman" w:cs="Arial"/>
          <w:color w:val="000000"/>
          <w:szCs w:val="20"/>
          <w:lang w:val="en-US"/>
        </w:rPr>
        <w:t>mg</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натоварваща доза и 10 </w:t>
      </w:r>
      <w:r w:rsidRPr="00A41B7E">
        <w:rPr>
          <w:rFonts w:eastAsia="Times New Roman" w:cs="Arial"/>
          <w:color w:val="000000"/>
          <w:szCs w:val="20"/>
          <w:lang w:val="en-US"/>
        </w:rPr>
        <w:t>mg</w:t>
      </w:r>
      <w:r w:rsidRPr="00A41B7E">
        <w:rPr>
          <w:rFonts w:eastAsia="Times New Roman" w:cs="Arial"/>
          <w:color w:val="000000"/>
          <w:szCs w:val="20"/>
          <w:lang w:val="ru-RU"/>
        </w:rPr>
        <w:t xml:space="preserve"> </w:t>
      </w:r>
      <w:r w:rsidRPr="00A41B7E">
        <w:rPr>
          <w:rFonts w:eastAsia="Times New Roman" w:cs="Arial"/>
          <w:color w:val="000000"/>
          <w:szCs w:val="20"/>
          <w:lang w:eastAsia="bg-BG"/>
        </w:rPr>
        <w:t>един път дневно поддържаща доза) за средно 14,5 месеца (5 802 пациенти са лекувани в продължение на повече от 6 месеца, 4 136 пациенти са лекувани в продължение на повече от 1 година). Честотата на прекъсване на приема на изследваното лекарствено средство поради нежелани събития е 7,2% за прасугрел и 6,3% за клопидогрел. За двете лекарствени средства най-честата от тези нежелани реакции, водещи до прекъсване на приема на изследваното лекарство, е кървенето (2,5% за прасугрел и 1,4% за клопидогрел).</w:t>
      </w:r>
    </w:p>
    <w:p w14:paraId="42CC5399" w14:textId="77777777" w:rsidR="00A41B7E" w:rsidRPr="00A41B7E" w:rsidRDefault="00A41B7E" w:rsidP="00A41B7E">
      <w:pPr>
        <w:spacing w:line="240" w:lineRule="auto"/>
        <w:rPr>
          <w:rFonts w:eastAsia="Times New Roman" w:cs="Arial"/>
          <w:i/>
          <w:iCs/>
          <w:color w:val="000000"/>
          <w:szCs w:val="20"/>
          <w:u w:val="single"/>
          <w:lang w:eastAsia="bg-BG"/>
        </w:rPr>
      </w:pPr>
    </w:p>
    <w:p w14:paraId="56B2F661" w14:textId="1B12FEF9"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u w:val="single"/>
          <w:lang w:eastAsia="bg-BG"/>
        </w:rPr>
        <w:t>Кървене</w:t>
      </w:r>
    </w:p>
    <w:p w14:paraId="2AA2B983" w14:textId="77777777"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lang w:eastAsia="bg-BG"/>
        </w:rPr>
        <w:t>Кървене, несвързано с аортокоронарен байпас (АКБ)</w:t>
      </w:r>
    </w:p>
    <w:p w14:paraId="3FB39B00" w14:textId="77777777"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lang w:eastAsia="bg-BG"/>
        </w:rPr>
        <w:t xml:space="preserve">Честотата на пациентите в проучването </w:t>
      </w:r>
      <w:r w:rsidRPr="00A41B7E">
        <w:rPr>
          <w:rFonts w:eastAsia="Times New Roman" w:cs="Arial"/>
          <w:color w:val="000000"/>
          <w:szCs w:val="20"/>
          <w:lang w:val="en-US"/>
        </w:rPr>
        <w:t>TRITON</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претърпяващи събитие на кървене, несвързано с аортокоронарен байпас (АКБ), е представена в таблица 1. Честотата на несвързано с аортокоронарен байпас (АКБ) значително кървене съгласно </w:t>
      </w:r>
      <w:r w:rsidRPr="00A41B7E">
        <w:rPr>
          <w:rFonts w:eastAsia="Times New Roman" w:cs="Arial"/>
          <w:color w:val="000000"/>
          <w:szCs w:val="20"/>
          <w:lang w:val="en-US"/>
        </w:rPr>
        <w:t>TIM</w:t>
      </w:r>
      <w:r w:rsidRPr="00A41B7E">
        <w:rPr>
          <w:rFonts w:eastAsia="Times New Roman" w:cs="Arial"/>
          <w:color w:val="000000"/>
          <w:szCs w:val="20"/>
          <w:lang w:val="ru-RU"/>
        </w:rPr>
        <w:t xml:space="preserve">1, </w:t>
      </w:r>
      <w:r w:rsidRPr="00A41B7E">
        <w:rPr>
          <w:rFonts w:eastAsia="Times New Roman" w:cs="Arial"/>
          <w:color w:val="000000"/>
          <w:szCs w:val="20"/>
          <w:lang w:eastAsia="bg-BG"/>
        </w:rPr>
        <w:t xml:space="preserve">включително животозастрашаващо и със смъртен изход, както и честотата на незначително кървене съгласно </w:t>
      </w:r>
      <w:r w:rsidRPr="00A41B7E">
        <w:rPr>
          <w:rFonts w:eastAsia="Times New Roman" w:cs="Arial"/>
          <w:color w:val="000000"/>
          <w:szCs w:val="20"/>
          <w:lang w:val="en-US"/>
        </w:rPr>
        <w:t>TIMI</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е статистически сигнификантно по-висока при индивиди, лекувани с прасугрел, в сравнение с клопидогрел, в популацията с нестабилна стенокардия/инфаркт на миокарда без </w:t>
      </w:r>
      <w:r w:rsidRPr="00A41B7E">
        <w:rPr>
          <w:rFonts w:eastAsia="Times New Roman" w:cs="Arial"/>
          <w:color w:val="000000"/>
          <w:szCs w:val="20"/>
          <w:lang w:val="en-US"/>
        </w:rPr>
        <w:t>ST</w:t>
      </w:r>
      <w:r w:rsidRPr="00A41B7E">
        <w:rPr>
          <w:rFonts w:eastAsia="Times New Roman" w:cs="Arial"/>
          <w:color w:val="000000"/>
          <w:szCs w:val="20"/>
          <w:lang w:eastAsia="bg-BG"/>
        </w:rPr>
        <w:t xml:space="preserve">-елевация </w:t>
      </w:r>
      <w:r w:rsidRPr="00A41B7E">
        <w:rPr>
          <w:rFonts w:eastAsia="Times New Roman" w:cs="Arial"/>
          <w:color w:val="000000"/>
          <w:szCs w:val="20"/>
          <w:lang w:val="ru-RU"/>
        </w:rPr>
        <w:t>(</w:t>
      </w:r>
      <w:r w:rsidRPr="00A41B7E">
        <w:rPr>
          <w:rFonts w:eastAsia="Times New Roman" w:cs="Arial"/>
          <w:color w:val="000000"/>
          <w:szCs w:val="20"/>
          <w:lang w:val="en-US"/>
        </w:rPr>
        <w:t>UA</w:t>
      </w:r>
      <w:r w:rsidRPr="00A41B7E">
        <w:rPr>
          <w:rFonts w:eastAsia="Times New Roman" w:cs="Arial"/>
          <w:color w:val="000000"/>
          <w:szCs w:val="20"/>
          <w:lang w:val="ru-RU"/>
        </w:rPr>
        <w:t>/</w:t>
      </w:r>
      <w:r w:rsidRPr="00A41B7E">
        <w:rPr>
          <w:rFonts w:eastAsia="Times New Roman" w:cs="Arial"/>
          <w:color w:val="000000"/>
          <w:szCs w:val="20"/>
          <w:lang w:val="en-US"/>
        </w:rPr>
        <w:t>NSTEMI</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и в цялата популацията с остър коронарен синдром (ОКС). Не са наблюдавани сигнификантни разлики в популацията с инфаркт на миокарда със </w:t>
      </w:r>
      <w:r w:rsidRPr="00A41B7E">
        <w:rPr>
          <w:rFonts w:eastAsia="Times New Roman" w:cs="Arial"/>
          <w:color w:val="000000"/>
          <w:szCs w:val="20"/>
          <w:lang w:val="en-US"/>
        </w:rPr>
        <w:t>ST</w:t>
      </w:r>
      <w:r w:rsidRPr="00A41B7E">
        <w:rPr>
          <w:rFonts w:eastAsia="Times New Roman" w:cs="Arial"/>
          <w:color w:val="000000"/>
          <w:szCs w:val="20"/>
          <w:lang w:eastAsia="bg-BG"/>
        </w:rPr>
        <w:t xml:space="preserve">-елевация </w:t>
      </w:r>
      <w:r w:rsidRPr="00A41B7E">
        <w:rPr>
          <w:rFonts w:eastAsia="Times New Roman" w:cs="Arial"/>
          <w:color w:val="000000"/>
          <w:szCs w:val="20"/>
          <w:lang w:val="ru-RU"/>
        </w:rPr>
        <w:t>(</w:t>
      </w:r>
      <w:r w:rsidRPr="00A41B7E">
        <w:rPr>
          <w:rFonts w:eastAsia="Times New Roman" w:cs="Arial"/>
          <w:color w:val="000000"/>
          <w:szCs w:val="20"/>
          <w:lang w:val="en-US"/>
        </w:rPr>
        <w:t>STEMI</w:t>
      </w:r>
      <w:r w:rsidRPr="00A41B7E">
        <w:rPr>
          <w:rFonts w:eastAsia="Times New Roman" w:cs="Arial"/>
          <w:color w:val="000000"/>
          <w:szCs w:val="20"/>
          <w:lang w:val="ru-RU"/>
        </w:rPr>
        <w:t xml:space="preserve">). </w:t>
      </w:r>
      <w:r w:rsidRPr="00A41B7E">
        <w:rPr>
          <w:rFonts w:eastAsia="Times New Roman" w:cs="Arial"/>
          <w:color w:val="000000"/>
          <w:szCs w:val="20"/>
          <w:lang w:eastAsia="bg-BG"/>
        </w:rPr>
        <w:t>Най- честото място за спонтанно кървене е гастроинтестиналният тракт (1,7% честота с прасугрел и 1,3% честота с клопидогрел); най-честото място на предизвикано кървене е мястото на пунктиране на артерията (1,3% честота с прасугрел и 1,2% с клопидогрел).</w:t>
      </w:r>
    </w:p>
    <w:p w14:paraId="009C686D" w14:textId="77777777" w:rsidR="00A41B7E" w:rsidRPr="00A41B7E" w:rsidRDefault="00A41B7E" w:rsidP="00A41B7E">
      <w:pPr>
        <w:rPr>
          <w:rFonts w:eastAsia="Times New Roman" w:cs="Arial"/>
          <w:color w:val="000000"/>
          <w:szCs w:val="20"/>
          <w:lang w:eastAsia="bg-BG"/>
        </w:rPr>
      </w:pPr>
    </w:p>
    <w:p w14:paraId="554B6600" w14:textId="25C1ADB3" w:rsidR="00A41B7E" w:rsidRDefault="00A41B7E" w:rsidP="00A41B7E">
      <w:pPr>
        <w:rPr>
          <w:rFonts w:eastAsia="Times New Roman" w:cs="Arial"/>
          <w:color w:val="000000"/>
          <w:szCs w:val="20"/>
          <w:lang w:eastAsia="bg-BG"/>
        </w:rPr>
      </w:pPr>
      <w:r w:rsidRPr="00A41B7E">
        <w:rPr>
          <w:rFonts w:eastAsia="Times New Roman" w:cs="Arial"/>
          <w:color w:val="000000"/>
          <w:szCs w:val="20"/>
          <w:lang w:eastAsia="bg-BG"/>
        </w:rPr>
        <w:t>Таблица 1: Честота на кървене, несвързано с АКБа (% пациенти)</w:t>
      </w:r>
    </w:p>
    <w:tbl>
      <w:tblPr>
        <w:tblStyle w:val="TableGrid"/>
        <w:tblW w:w="0" w:type="auto"/>
        <w:tblLook w:val="04A0" w:firstRow="1" w:lastRow="0" w:firstColumn="1" w:lastColumn="0" w:noHBand="0" w:noVBand="1"/>
      </w:tblPr>
      <w:tblGrid>
        <w:gridCol w:w="1530"/>
        <w:gridCol w:w="1188"/>
        <w:gridCol w:w="1418"/>
        <w:gridCol w:w="1189"/>
        <w:gridCol w:w="1418"/>
        <w:gridCol w:w="1189"/>
        <w:gridCol w:w="1418"/>
      </w:tblGrid>
      <w:tr w:rsidR="00A41B7E" w14:paraId="260E837A" w14:textId="77777777" w:rsidTr="00A41B7E">
        <w:tc>
          <w:tcPr>
            <w:tcW w:w="1569" w:type="dxa"/>
            <w:vMerge w:val="restart"/>
          </w:tcPr>
          <w:p w14:paraId="784DCC69" w14:textId="09EC59CF" w:rsidR="00A41B7E" w:rsidRPr="00A41B7E" w:rsidRDefault="00A41B7E" w:rsidP="00A41B7E">
            <w:pPr>
              <w:rPr>
                <w:rFonts w:cs="Arial"/>
                <w:b/>
                <w:sz w:val="24"/>
              </w:rPr>
            </w:pPr>
            <w:r w:rsidRPr="00A41B7E">
              <w:rPr>
                <w:b/>
              </w:rPr>
              <w:t>Събитие</w:t>
            </w:r>
          </w:p>
        </w:tc>
        <w:tc>
          <w:tcPr>
            <w:tcW w:w="2669" w:type="dxa"/>
            <w:gridSpan w:val="2"/>
          </w:tcPr>
          <w:p w14:paraId="4EDC1A42" w14:textId="5996F21A" w:rsidR="00A41B7E" w:rsidRPr="00A41B7E" w:rsidRDefault="00A41B7E" w:rsidP="00A41B7E">
            <w:pPr>
              <w:rPr>
                <w:rFonts w:cs="Arial"/>
              </w:rPr>
            </w:pPr>
            <w:r w:rsidRPr="00A41B7E">
              <w:rPr>
                <w:b/>
                <w:bCs/>
                <w:szCs w:val="20"/>
              </w:rPr>
              <w:t>Всички ОКС</w:t>
            </w:r>
          </w:p>
        </w:tc>
        <w:tc>
          <w:tcPr>
            <w:tcW w:w="2669" w:type="dxa"/>
            <w:gridSpan w:val="2"/>
          </w:tcPr>
          <w:p w14:paraId="2151642E" w14:textId="0ED2B713" w:rsidR="00A41B7E" w:rsidRPr="00A41B7E" w:rsidRDefault="00A41B7E" w:rsidP="00A41B7E">
            <w:pPr>
              <w:rPr>
                <w:rFonts w:cs="Arial"/>
              </w:rPr>
            </w:pPr>
            <w:r w:rsidRPr="00A41B7E">
              <w:rPr>
                <w:b/>
                <w:bCs/>
                <w:szCs w:val="20"/>
              </w:rPr>
              <w:t xml:space="preserve">Нестабилна стенокардия/инфаркт </w:t>
            </w:r>
            <w:r w:rsidRPr="00A41B7E">
              <w:rPr>
                <w:b/>
                <w:bCs/>
                <w:szCs w:val="20"/>
              </w:rPr>
              <w:lastRenderedPageBreak/>
              <w:t xml:space="preserve">на миокарда без </w:t>
            </w:r>
            <w:r w:rsidRPr="00A41B7E">
              <w:rPr>
                <w:b/>
                <w:bCs/>
                <w:szCs w:val="20"/>
                <w:lang w:val="en-US"/>
              </w:rPr>
              <w:t>ST</w:t>
            </w:r>
            <w:r w:rsidRPr="00A41B7E">
              <w:rPr>
                <w:b/>
                <w:bCs/>
                <w:szCs w:val="20"/>
              </w:rPr>
              <w:t xml:space="preserve">- елевация </w:t>
            </w:r>
            <w:r w:rsidRPr="00A41B7E">
              <w:rPr>
                <w:b/>
                <w:bCs/>
                <w:szCs w:val="20"/>
                <w:lang w:val="en-US"/>
              </w:rPr>
              <w:t>UA</w:t>
            </w:r>
            <w:r w:rsidRPr="00A41B7E">
              <w:rPr>
                <w:b/>
                <w:bCs/>
                <w:szCs w:val="20"/>
                <w:lang w:val="ru-RU"/>
              </w:rPr>
              <w:t>/</w:t>
            </w:r>
            <w:r w:rsidRPr="00A41B7E">
              <w:rPr>
                <w:b/>
                <w:bCs/>
                <w:szCs w:val="20"/>
                <w:lang w:val="en-US"/>
              </w:rPr>
              <w:t>NSTEMI</w:t>
            </w:r>
          </w:p>
        </w:tc>
        <w:tc>
          <w:tcPr>
            <w:tcW w:w="2669" w:type="dxa"/>
            <w:gridSpan w:val="2"/>
          </w:tcPr>
          <w:p w14:paraId="370A6D43" w14:textId="44C60F65" w:rsidR="00A41B7E" w:rsidRPr="00A41B7E" w:rsidRDefault="00A41B7E" w:rsidP="00A41B7E">
            <w:pPr>
              <w:rPr>
                <w:rFonts w:cs="Arial"/>
              </w:rPr>
            </w:pPr>
            <w:r w:rsidRPr="00A41B7E">
              <w:rPr>
                <w:b/>
                <w:bCs/>
                <w:szCs w:val="20"/>
              </w:rPr>
              <w:lastRenderedPageBreak/>
              <w:t xml:space="preserve">Инфаркт иа миокарда със </w:t>
            </w:r>
            <w:r w:rsidRPr="00A41B7E">
              <w:rPr>
                <w:b/>
                <w:bCs/>
                <w:szCs w:val="20"/>
                <w:lang w:val="en-US"/>
              </w:rPr>
              <w:t>ST</w:t>
            </w:r>
            <w:r w:rsidRPr="00A41B7E">
              <w:rPr>
                <w:b/>
                <w:bCs/>
                <w:szCs w:val="20"/>
              </w:rPr>
              <w:t xml:space="preserve">-елевация </w:t>
            </w:r>
            <w:r w:rsidRPr="00A41B7E">
              <w:rPr>
                <w:b/>
                <w:bCs/>
                <w:szCs w:val="20"/>
                <w:lang w:val="en-US"/>
              </w:rPr>
              <w:t>STEMI</w:t>
            </w:r>
          </w:p>
        </w:tc>
      </w:tr>
      <w:tr w:rsidR="00A41B7E" w14:paraId="2C3FB560" w14:textId="77777777" w:rsidTr="00A41B7E">
        <w:tc>
          <w:tcPr>
            <w:tcW w:w="1569" w:type="dxa"/>
            <w:vMerge/>
          </w:tcPr>
          <w:p w14:paraId="15D69486" w14:textId="77777777" w:rsidR="00A41B7E" w:rsidRDefault="00A41B7E" w:rsidP="00A41B7E">
            <w:pPr>
              <w:rPr>
                <w:rFonts w:cs="Arial"/>
                <w:sz w:val="24"/>
              </w:rPr>
            </w:pPr>
          </w:p>
        </w:tc>
        <w:tc>
          <w:tcPr>
            <w:tcW w:w="1217" w:type="dxa"/>
          </w:tcPr>
          <w:p w14:paraId="640C8ACE" w14:textId="7DAFE4C0" w:rsidR="00A41B7E" w:rsidRPr="00A41B7E" w:rsidRDefault="00A41B7E" w:rsidP="00A41B7E">
            <w:pPr>
              <w:rPr>
                <w:rFonts w:cs="Arial"/>
              </w:rPr>
            </w:pPr>
            <w:r w:rsidRPr="00A41B7E">
              <w:rPr>
                <w:b/>
                <w:bCs/>
                <w:szCs w:val="19"/>
              </w:rPr>
              <w:t>Прасугрел</w:t>
            </w:r>
            <w:r w:rsidRPr="00A41B7E">
              <w:rPr>
                <w:b/>
                <w:bCs/>
                <w:szCs w:val="19"/>
                <w:vertAlign w:val="superscript"/>
              </w:rPr>
              <w:t>б</w:t>
            </w:r>
            <w:r w:rsidRPr="00A41B7E">
              <w:rPr>
                <w:b/>
                <w:bCs/>
                <w:szCs w:val="19"/>
              </w:rPr>
              <w:t xml:space="preserve"> </w:t>
            </w:r>
            <w:r w:rsidRPr="00A41B7E">
              <w:rPr>
                <w:b/>
                <w:bCs/>
                <w:szCs w:val="19"/>
                <w:lang w:val="en-US"/>
              </w:rPr>
              <w:t xml:space="preserve">+ASA (N </w:t>
            </w:r>
            <w:r w:rsidRPr="00A41B7E">
              <w:rPr>
                <w:b/>
                <w:bCs/>
                <w:szCs w:val="19"/>
              </w:rPr>
              <w:t>= 6741)</w:t>
            </w:r>
          </w:p>
        </w:tc>
        <w:tc>
          <w:tcPr>
            <w:tcW w:w="1452" w:type="dxa"/>
          </w:tcPr>
          <w:p w14:paraId="5035EE88" w14:textId="5FE79DD9" w:rsidR="00A41B7E" w:rsidRPr="00A41B7E" w:rsidRDefault="00A41B7E" w:rsidP="00A41B7E">
            <w:pPr>
              <w:rPr>
                <w:rFonts w:cs="Arial"/>
              </w:rPr>
            </w:pPr>
            <w:r w:rsidRPr="00A41B7E">
              <w:rPr>
                <w:b/>
                <w:bCs/>
                <w:szCs w:val="19"/>
              </w:rPr>
              <w:t>Клопидогрел</w:t>
            </w:r>
            <w:r w:rsidRPr="00A41B7E">
              <w:rPr>
                <w:b/>
                <w:bCs/>
                <w:szCs w:val="19"/>
                <w:vertAlign w:val="superscript"/>
              </w:rPr>
              <w:t>б</w:t>
            </w:r>
            <w:r w:rsidRPr="00A41B7E">
              <w:rPr>
                <w:b/>
                <w:bCs/>
                <w:szCs w:val="19"/>
              </w:rPr>
              <w:t xml:space="preserve"> </w:t>
            </w:r>
            <w:r w:rsidRPr="00A41B7E">
              <w:rPr>
                <w:b/>
                <w:bCs/>
                <w:szCs w:val="19"/>
                <w:lang w:val="en-US"/>
              </w:rPr>
              <w:t xml:space="preserve">+ASA (N </w:t>
            </w:r>
            <w:r w:rsidRPr="00A41B7E">
              <w:rPr>
                <w:b/>
                <w:bCs/>
                <w:szCs w:val="19"/>
              </w:rPr>
              <w:t>= 6716)</w:t>
            </w:r>
          </w:p>
        </w:tc>
        <w:tc>
          <w:tcPr>
            <w:tcW w:w="1217" w:type="dxa"/>
          </w:tcPr>
          <w:p w14:paraId="400CAE40" w14:textId="539F70A9" w:rsidR="00A41B7E" w:rsidRPr="00A41B7E" w:rsidRDefault="00A41B7E" w:rsidP="00A41B7E">
            <w:pPr>
              <w:rPr>
                <w:rFonts w:cs="Arial"/>
              </w:rPr>
            </w:pPr>
            <w:r w:rsidRPr="00A41B7E">
              <w:rPr>
                <w:b/>
                <w:bCs/>
                <w:szCs w:val="19"/>
              </w:rPr>
              <w:t>Прасугрел</w:t>
            </w:r>
            <w:r w:rsidRPr="00A41B7E">
              <w:rPr>
                <w:b/>
                <w:bCs/>
                <w:szCs w:val="19"/>
                <w:vertAlign w:val="superscript"/>
              </w:rPr>
              <w:t>б</w:t>
            </w:r>
            <w:r w:rsidRPr="00A41B7E">
              <w:rPr>
                <w:b/>
                <w:bCs/>
                <w:szCs w:val="19"/>
              </w:rPr>
              <w:t xml:space="preserve"> </w:t>
            </w:r>
            <w:r w:rsidRPr="00A41B7E">
              <w:rPr>
                <w:b/>
                <w:bCs/>
                <w:szCs w:val="19"/>
                <w:lang w:val="en-US"/>
              </w:rPr>
              <w:t>+ASA (N = 5001)</w:t>
            </w:r>
          </w:p>
        </w:tc>
        <w:tc>
          <w:tcPr>
            <w:tcW w:w="1452" w:type="dxa"/>
          </w:tcPr>
          <w:p w14:paraId="418594BB" w14:textId="26B1F3A4" w:rsidR="00A41B7E" w:rsidRPr="00A41B7E" w:rsidRDefault="00A41B7E" w:rsidP="00A41B7E">
            <w:pPr>
              <w:rPr>
                <w:rFonts w:cs="Arial"/>
              </w:rPr>
            </w:pPr>
            <w:r w:rsidRPr="00A41B7E">
              <w:rPr>
                <w:b/>
                <w:bCs/>
                <w:szCs w:val="19"/>
              </w:rPr>
              <w:t>Клопидогрел</w:t>
            </w:r>
            <w:r w:rsidRPr="00A41B7E">
              <w:rPr>
                <w:b/>
                <w:bCs/>
                <w:szCs w:val="19"/>
                <w:vertAlign w:val="superscript"/>
              </w:rPr>
              <w:t>б</w:t>
            </w:r>
            <w:r w:rsidRPr="00A41B7E">
              <w:rPr>
                <w:b/>
                <w:bCs/>
                <w:szCs w:val="19"/>
              </w:rPr>
              <w:t xml:space="preserve"> </w:t>
            </w:r>
            <w:r w:rsidRPr="00A41B7E">
              <w:rPr>
                <w:b/>
                <w:bCs/>
                <w:szCs w:val="19"/>
                <w:lang w:val="en-US"/>
              </w:rPr>
              <w:t>+ASA (N = 4980)</w:t>
            </w:r>
          </w:p>
        </w:tc>
        <w:tc>
          <w:tcPr>
            <w:tcW w:w="1217" w:type="dxa"/>
          </w:tcPr>
          <w:p w14:paraId="3CA7AEB6" w14:textId="13DC91CE" w:rsidR="00A41B7E" w:rsidRPr="00A41B7E" w:rsidRDefault="00A41B7E" w:rsidP="00A41B7E">
            <w:pPr>
              <w:rPr>
                <w:rFonts w:cs="Arial"/>
              </w:rPr>
            </w:pPr>
            <w:r w:rsidRPr="00A41B7E">
              <w:rPr>
                <w:b/>
                <w:bCs/>
                <w:szCs w:val="19"/>
              </w:rPr>
              <w:t>Прасугрел</w:t>
            </w:r>
            <w:r w:rsidRPr="00A41B7E">
              <w:rPr>
                <w:b/>
                <w:bCs/>
                <w:szCs w:val="19"/>
                <w:vertAlign w:val="superscript"/>
              </w:rPr>
              <w:t>б</w:t>
            </w:r>
            <w:r w:rsidRPr="00A41B7E">
              <w:rPr>
                <w:b/>
                <w:bCs/>
                <w:szCs w:val="19"/>
              </w:rPr>
              <w:t xml:space="preserve"> </w:t>
            </w:r>
            <w:r w:rsidRPr="00A41B7E">
              <w:rPr>
                <w:b/>
                <w:bCs/>
                <w:szCs w:val="19"/>
                <w:lang w:val="en-US"/>
              </w:rPr>
              <w:t>+ASA (N = 1740)</w:t>
            </w:r>
          </w:p>
        </w:tc>
        <w:tc>
          <w:tcPr>
            <w:tcW w:w="1452" w:type="dxa"/>
          </w:tcPr>
          <w:p w14:paraId="07E661B9" w14:textId="0FD23A4B" w:rsidR="00A41B7E" w:rsidRPr="00A41B7E" w:rsidRDefault="00A41B7E" w:rsidP="00A41B7E">
            <w:pPr>
              <w:rPr>
                <w:rFonts w:cs="Arial"/>
              </w:rPr>
            </w:pPr>
            <w:r w:rsidRPr="00A41B7E">
              <w:rPr>
                <w:b/>
                <w:bCs/>
                <w:szCs w:val="19"/>
              </w:rPr>
              <w:t>Клопидогрел</w:t>
            </w:r>
            <w:r w:rsidRPr="00A41B7E">
              <w:rPr>
                <w:b/>
                <w:bCs/>
                <w:szCs w:val="19"/>
                <w:vertAlign w:val="superscript"/>
              </w:rPr>
              <w:t xml:space="preserve">б </w:t>
            </w:r>
            <w:r w:rsidRPr="00A41B7E">
              <w:rPr>
                <w:b/>
                <w:bCs/>
                <w:szCs w:val="19"/>
                <w:lang w:val="en-US"/>
              </w:rPr>
              <w:t xml:space="preserve">+ASA (N </w:t>
            </w:r>
            <w:r w:rsidRPr="00A41B7E">
              <w:rPr>
                <w:b/>
                <w:bCs/>
                <w:szCs w:val="19"/>
              </w:rPr>
              <w:t>= 1736)</w:t>
            </w:r>
          </w:p>
        </w:tc>
      </w:tr>
      <w:tr w:rsidR="00A41B7E" w14:paraId="3F242861" w14:textId="77777777" w:rsidTr="00A41B7E">
        <w:tc>
          <w:tcPr>
            <w:tcW w:w="1569" w:type="dxa"/>
          </w:tcPr>
          <w:p w14:paraId="231DDC13" w14:textId="463AB523" w:rsidR="00A41B7E" w:rsidRPr="00A41B7E" w:rsidRDefault="00A41B7E" w:rsidP="00A41B7E">
            <w:pPr>
              <w:rPr>
                <w:rFonts w:cs="Arial"/>
              </w:rPr>
            </w:pPr>
            <w:r w:rsidRPr="00A41B7E">
              <w:t xml:space="preserve">Значително кървене съгласно </w:t>
            </w:r>
            <w:r w:rsidRPr="00A41B7E">
              <w:rPr>
                <w:lang w:val="en-US"/>
              </w:rPr>
              <w:t>TIMI</w:t>
            </w:r>
            <w:r w:rsidRPr="00A41B7E">
              <w:rPr>
                <w:vertAlign w:val="superscript"/>
              </w:rPr>
              <w:t>в</w:t>
            </w:r>
          </w:p>
        </w:tc>
        <w:tc>
          <w:tcPr>
            <w:tcW w:w="1217" w:type="dxa"/>
          </w:tcPr>
          <w:p w14:paraId="4B908138" w14:textId="5543E04C" w:rsidR="00A41B7E" w:rsidRPr="00A41B7E" w:rsidRDefault="00A41B7E" w:rsidP="00A41B7E">
            <w:pPr>
              <w:rPr>
                <w:rFonts w:cs="Arial"/>
              </w:rPr>
            </w:pPr>
            <w:r w:rsidRPr="00A41B7E">
              <w:t>2.2</w:t>
            </w:r>
          </w:p>
        </w:tc>
        <w:tc>
          <w:tcPr>
            <w:tcW w:w="1452" w:type="dxa"/>
          </w:tcPr>
          <w:p w14:paraId="01BA23A7" w14:textId="2800A29F" w:rsidR="00A41B7E" w:rsidRPr="00A41B7E" w:rsidRDefault="00A41B7E" w:rsidP="00A41B7E">
            <w:pPr>
              <w:rPr>
                <w:rFonts w:cs="Arial"/>
              </w:rPr>
            </w:pPr>
            <w:r w:rsidRPr="00A41B7E">
              <w:t>1.7</w:t>
            </w:r>
          </w:p>
        </w:tc>
        <w:tc>
          <w:tcPr>
            <w:tcW w:w="1217" w:type="dxa"/>
          </w:tcPr>
          <w:p w14:paraId="5CF67D21" w14:textId="3B6B6D87" w:rsidR="00A41B7E" w:rsidRPr="00A41B7E" w:rsidRDefault="00A41B7E" w:rsidP="00A41B7E">
            <w:pPr>
              <w:rPr>
                <w:rFonts w:cs="Arial"/>
              </w:rPr>
            </w:pPr>
            <w:r w:rsidRPr="00A41B7E">
              <w:t>2.2</w:t>
            </w:r>
          </w:p>
        </w:tc>
        <w:tc>
          <w:tcPr>
            <w:tcW w:w="1452" w:type="dxa"/>
          </w:tcPr>
          <w:p w14:paraId="772B556C" w14:textId="23559DA0" w:rsidR="00A41B7E" w:rsidRPr="00A41B7E" w:rsidRDefault="00A41B7E" w:rsidP="00A41B7E">
            <w:pPr>
              <w:rPr>
                <w:rFonts w:cs="Arial"/>
              </w:rPr>
            </w:pPr>
            <w:r w:rsidRPr="00A41B7E">
              <w:rPr>
                <w:bCs/>
              </w:rPr>
              <w:t>1.6</w:t>
            </w:r>
          </w:p>
        </w:tc>
        <w:tc>
          <w:tcPr>
            <w:tcW w:w="1217" w:type="dxa"/>
          </w:tcPr>
          <w:p w14:paraId="5478F96F" w14:textId="268CC4D7" w:rsidR="00A41B7E" w:rsidRPr="00A41B7E" w:rsidRDefault="00A41B7E" w:rsidP="00A41B7E">
            <w:pPr>
              <w:rPr>
                <w:rFonts w:cs="Arial"/>
              </w:rPr>
            </w:pPr>
            <w:r w:rsidRPr="00A41B7E">
              <w:t>2.2</w:t>
            </w:r>
          </w:p>
        </w:tc>
        <w:tc>
          <w:tcPr>
            <w:tcW w:w="1452" w:type="dxa"/>
          </w:tcPr>
          <w:p w14:paraId="4005F210" w14:textId="01682B0D" w:rsidR="00A41B7E" w:rsidRPr="00A41B7E" w:rsidRDefault="00A41B7E" w:rsidP="00A41B7E">
            <w:pPr>
              <w:rPr>
                <w:rFonts w:cs="Arial"/>
              </w:rPr>
            </w:pPr>
            <w:r w:rsidRPr="00A41B7E">
              <w:rPr>
                <w:bCs/>
              </w:rPr>
              <w:t>2.0</w:t>
            </w:r>
          </w:p>
        </w:tc>
      </w:tr>
      <w:tr w:rsidR="00A41B7E" w14:paraId="2B1805C8" w14:textId="77777777" w:rsidTr="00A41B7E">
        <w:tc>
          <w:tcPr>
            <w:tcW w:w="1569" w:type="dxa"/>
          </w:tcPr>
          <w:p w14:paraId="692DDF89" w14:textId="0A6FCA6F" w:rsidR="00A41B7E" w:rsidRPr="00A41B7E" w:rsidRDefault="00A41B7E" w:rsidP="00A41B7E">
            <w:pPr>
              <w:rPr>
                <w:rFonts w:cs="Arial"/>
              </w:rPr>
            </w:pPr>
            <w:r w:rsidRPr="00A41B7E">
              <w:rPr>
                <w:szCs w:val="20"/>
              </w:rPr>
              <w:t>Животозастра- шаващо</w:t>
            </w:r>
            <w:r w:rsidRPr="00A41B7E">
              <w:rPr>
                <w:szCs w:val="20"/>
                <w:vertAlign w:val="superscript"/>
              </w:rPr>
              <w:t>г</w:t>
            </w:r>
          </w:p>
        </w:tc>
        <w:tc>
          <w:tcPr>
            <w:tcW w:w="1217" w:type="dxa"/>
          </w:tcPr>
          <w:p w14:paraId="1FE583DB" w14:textId="7DB5C31C" w:rsidR="00A41B7E" w:rsidRPr="00A41B7E" w:rsidRDefault="00A41B7E" w:rsidP="00A41B7E">
            <w:pPr>
              <w:rPr>
                <w:rFonts w:cs="Arial"/>
              </w:rPr>
            </w:pPr>
            <w:r w:rsidRPr="00A41B7E">
              <w:rPr>
                <w:szCs w:val="20"/>
              </w:rPr>
              <w:t>1.3</w:t>
            </w:r>
          </w:p>
        </w:tc>
        <w:tc>
          <w:tcPr>
            <w:tcW w:w="1452" w:type="dxa"/>
          </w:tcPr>
          <w:p w14:paraId="4300306A" w14:textId="410B119E" w:rsidR="00A41B7E" w:rsidRPr="00A41B7E" w:rsidRDefault="00A41B7E" w:rsidP="00A41B7E">
            <w:pPr>
              <w:rPr>
                <w:rFonts w:cs="Arial"/>
              </w:rPr>
            </w:pPr>
            <w:r w:rsidRPr="00A41B7E">
              <w:rPr>
                <w:szCs w:val="20"/>
              </w:rPr>
              <w:t>6.8</w:t>
            </w:r>
          </w:p>
        </w:tc>
        <w:tc>
          <w:tcPr>
            <w:tcW w:w="1217" w:type="dxa"/>
          </w:tcPr>
          <w:p w14:paraId="794E33C3" w14:textId="60AFAB65" w:rsidR="00A41B7E" w:rsidRPr="00A41B7E" w:rsidRDefault="00A41B7E" w:rsidP="00A41B7E">
            <w:pPr>
              <w:rPr>
                <w:rFonts w:cs="Arial"/>
              </w:rPr>
            </w:pPr>
            <w:r w:rsidRPr="00A41B7E">
              <w:rPr>
                <w:szCs w:val="20"/>
              </w:rPr>
              <w:t>1.3</w:t>
            </w:r>
          </w:p>
        </w:tc>
        <w:tc>
          <w:tcPr>
            <w:tcW w:w="1452" w:type="dxa"/>
          </w:tcPr>
          <w:p w14:paraId="4824B733" w14:textId="4E4F2918" w:rsidR="00A41B7E" w:rsidRPr="00A41B7E" w:rsidRDefault="00A41B7E" w:rsidP="00A41B7E">
            <w:pPr>
              <w:rPr>
                <w:rFonts w:cs="Arial"/>
              </w:rPr>
            </w:pPr>
            <w:r w:rsidRPr="00A41B7E">
              <w:rPr>
                <w:szCs w:val="20"/>
              </w:rPr>
              <w:t>0.8</w:t>
            </w:r>
          </w:p>
        </w:tc>
        <w:tc>
          <w:tcPr>
            <w:tcW w:w="1217" w:type="dxa"/>
          </w:tcPr>
          <w:p w14:paraId="43950701" w14:textId="4DE84AAB" w:rsidR="00A41B7E" w:rsidRPr="00A41B7E" w:rsidRDefault="00A41B7E" w:rsidP="00A41B7E">
            <w:pPr>
              <w:rPr>
                <w:rFonts w:cs="Arial"/>
              </w:rPr>
            </w:pPr>
            <w:r w:rsidRPr="00A41B7E">
              <w:rPr>
                <w:szCs w:val="20"/>
              </w:rPr>
              <w:t>1.2</w:t>
            </w:r>
          </w:p>
        </w:tc>
        <w:tc>
          <w:tcPr>
            <w:tcW w:w="1452" w:type="dxa"/>
          </w:tcPr>
          <w:p w14:paraId="473A8548" w14:textId="638570DD" w:rsidR="00A41B7E" w:rsidRPr="00A41B7E" w:rsidRDefault="00A41B7E" w:rsidP="00A41B7E">
            <w:pPr>
              <w:rPr>
                <w:rFonts w:cs="Arial"/>
              </w:rPr>
            </w:pPr>
            <w:r w:rsidRPr="00A41B7E">
              <w:rPr>
                <w:szCs w:val="20"/>
              </w:rPr>
              <w:t>1.0</w:t>
            </w:r>
          </w:p>
        </w:tc>
      </w:tr>
      <w:tr w:rsidR="00A41B7E" w14:paraId="1DC5F362" w14:textId="77777777" w:rsidTr="00A41B7E">
        <w:tc>
          <w:tcPr>
            <w:tcW w:w="1569" w:type="dxa"/>
          </w:tcPr>
          <w:p w14:paraId="53A28F57" w14:textId="1147B9F6" w:rsidR="00A41B7E" w:rsidRPr="00A41B7E" w:rsidRDefault="00A41B7E" w:rsidP="00A41B7E">
            <w:pPr>
              <w:rPr>
                <w:rFonts w:cs="Arial"/>
              </w:rPr>
            </w:pPr>
            <w:r w:rsidRPr="00A41B7E">
              <w:rPr>
                <w:szCs w:val="20"/>
              </w:rPr>
              <w:t>Със смъртен изход</w:t>
            </w:r>
          </w:p>
        </w:tc>
        <w:tc>
          <w:tcPr>
            <w:tcW w:w="1217" w:type="dxa"/>
          </w:tcPr>
          <w:p w14:paraId="1E61D399" w14:textId="07B5C685" w:rsidR="00A41B7E" w:rsidRPr="00A41B7E" w:rsidRDefault="00A41B7E" w:rsidP="00A41B7E">
            <w:pPr>
              <w:rPr>
                <w:rFonts w:cs="Arial"/>
              </w:rPr>
            </w:pPr>
            <w:r w:rsidRPr="00A41B7E">
              <w:rPr>
                <w:szCs w:val="20"/>
              </w:rPr>
              <w:t>0.3</w:t>
            </w:r>
          </w:p>
        </w:tc>
        <w:tc>
          <w:tcPr>
            <w:tcW w:w="1452" w:type="dxa"/>
          </w:tcPr>
          <w:p w14:paraId="29FF6A01" w14:textId="638D9FFA" w:rsidR="00A41B7E" w:rsidRPr="00A41B7E" w:rsidRDefault="00A41B7E" w:rsidP="00A41B7E">
            <w:pPr>
              <w:rPr>
                <w:rFonts w:cs="Arial"/>
              </w:rPr>
            </w:pPr>
            <w:r w:rsidRPr="00A41B7E">
              <w:rPr>
                <w:szCs w:val="20"/>
              </w:rPr>
              <w:t>0.1</w:t>
            </w:r>
          </w:p>
        </w:tc>
        <w:tc>
          <w:tcPr>
            <w:tcW w:w="1217" w:type="dxa"/>
          </w:tcPr>
          <w:p w14:paraId="46925E89" w14:textId="4B3F147C" w:rsidR="00A41B7E" w:rsidRPr="00A41B7E" w:rsidRDefault="00A41B7E" w:rsidP="00A41B7E">
            <w:pPr>
              <w:rPr>
                <w:rFonts w:cs="Arial"/>
              </w:rPr>
            </w:pPr>
            <w:r w:rsidRPr="00A41B7E">
              <w:rPr>
                <w:szCs w:val="20"/>
              </w:rPr>
              <w:t>0.3</w:t>
            </w:r>
          </w:p>
        </w:tc>
        <w:tc>
          <w:tcPr>
            <w:tcW w:w="1452" w:type="dxa"/>
          </w:tcPr>
          <w:p w14:paraId="7841941E" w14:textId="4E01AAA5" w:rsidR="00A41B7E" w:rsidRPr="00A41B7E" w:rsidRDefault="00A41B7E" w:rsidP="00A41B7E">
            <w:pPr>
              <w:rPr>
                <w:rFonts w:cs="Arial"/>
              </w:rPr>
            </w:pPr>
            <w:r w:rsidRPr="00A41B7E">
              <w:rPr>
                <w:szCs w:val="20"/>
              </w:rPr>
              <w:t>0.1</w:t>
            </w:r>
          </w:p>
        </w:tc>
        <w:tc>
          <w:tcPr>
            <w:tcW w:w="1217" w:type="dxa"/>
          </w:tcPr>
          <w:p w14:paraId="06DC47C0" w14:textId="30FC4E5D" w:rsidR="00A41B7E" w:rsidRPr="00A41B7E" w:rsidRDefault="00A41B7E" w:rsidP="00A41B7E">
            <w:pPr>
              <w:rPr>
                <w:rFonts w:cs="Arial"/>
              </w:rPr>
            </w:pPr>
            <w:r w:rsidRPr="00A41B7E">
              <w:rPr>
                <w:szCs w:val="20"/>
              </w:rPr>
              <w:t>0.4</w:t>
            </w:r>
          </w:p>
        </w:tc>
        <w:tc>
          <w:tcPr>
            <w:tcW w:w="1452" w:type="dxa"/>
          </w:tcPr>
          <w:p w14:paraId="4BB9462C" w14:textId="5A571821" w:rsidR="00A41B7E" w:rsidRPr="00A41B7E" w:rsidRDefault="00A41B7E" w:rsidP="00A41B7E">
            <w:pPr>
              <w:rPr>
                <w:rFonts w:cs="Arial"/>
              </w:rPr>
            </w:pPr>
            <w:r w:rsidRPr="00A41B7E">
              <w:rPr>
                <w:szCs w:val="20"/>
              </w:rPr>
              <w:t>0.1</w:t>
            </w:r>
          </w:p>
        </w:tc>
      </w:tr>
      <w:tr w:rsidR="00A41B7E" w14:paraId="3EAE433F" w14:textId="77777777" w:rsidTr="00A41B7E">
        <w:tc>
          <w:tcPr>
            <w:tcW w:w="1569" w:type="dxa"/>
          </w:tcPr>
          <w:p w14:paraId="4E16B192" w14:textId="5A459BBA" w:rsidR="00A41B7E" w:rsidRPr="00A41B7E" w:rsidRDefault="00A41B7E" w:rsidP="00A41B7E">
            <w:pPr>
              <w:rPr>
                <w:rFonts w:cs="Arial"/>
              </w:rPr>
            </w:pPr>
            <w:r w:rsidRPr="00A41B7E">
              <w:rPr>
                <w:szCs w:val="20"/>
              </w:rPr>
              <w:t>Симптоматична интракраниална хеморагия (ИКХ)</w:t>
            </w:r>
            <w:r w:rsidRPr="00A41B7E">
              <w:rPr>
                <w:szCs w:val="20"/>
                <w:vertAlign w:val="superscript"/>
              </w:rPr>
              <w:t>д</w:t>
            </w:r>
          </w:p>
        </w:tc>
        <w:tc>
          <w:tcPr>
            <w:tcW w:w="1217" w:type="dxa"/>
          </w:tcPr>
          <w:p w14:paraId="57A70601" w14:textId="3B74246F" w:rsidR="00A41B7E" w:rsidRPr="00A41B7E" w:rsidRDefault="00A41B7E" w:rsidP="00A41B7E">
            <w:pPr>
              <w:rPr>
                <w:rFonts w:cs="Arial"/>
              </w:rPr>
            </w:pPr>
            <w:r w:rsidRPr="00A41B7E">
              <w:rPr>
                <w:szCs w:val="20"/>
              </w:rPr>
              <w:t>0.3</w:t>
            </w:r>
          </w:p>
        </w:tc>
        <w:tc>
          <w:tcPr>
            <w:tcW w:w="1452" w:type="dxa"/>
          </w:tcPr>
          <w:p w14:paraId="3D9E37A5" w14:textId="71A68572" w:rsidR="00A41B7E" w:rsidRPr="00A41B7E" w:rsidRDefault="00A41B7E" w:rsidP="00A41B7E">
            <w:pPr>
              <w:rPr>
                <w:rFonts w:cs="Arial"/>
              </w:rPr>
            </w:pPr>
            <w:r w:rsidRPr="00A41B7E">
              <w:rPr>
                <w:szCs w:val="20"/>
              </w:rPr>
              <w:t>0.3</w:t>
            </w:r>
          </w:p>
        </w:tc>
        <w:tc>
          <w:tcPr>
            <w:tcW w:w="1217" w:type="dxa"/>
          </w:tcPr>
          <w:p w14:paraId="79C98244" w14:textId="1C5A5F6D" w:rsidR="00A41B7E" w:rsidRPr="00A41B7E" w:rsidRDefault="00A41B7E" w:rsidP="00A41B7E">
            <w:pPr>
              <w:rPr>
                <w:rFonts w:cs="Arial"/>
              </w:rPr>
            </w:pPr>
            <w:r w:rsidRPr="00A41B7E">
              <w:rPr>
                <w:szCs w:val="20"/>
              </w:rPr>
              <w:t>0.3</w:t>
            </w:r>
          </w:p>
        </w:tc>
        <w:tc>
          <w:tcPr>
            <w:tcW w:w="1452" w:type="dxa"/>
          </w:tcPr>
          <w:p w14:paraId="429755ED" w14:textId="520B998F" w:rsidR="00A41B7E" w:rsidRPr="00A41B7E" w:rsidRDefault="00A41B7E" w:rsidP="00A41B7E">
            <w:pPr>
              <w:rPr>
                <w:rFonts w:cs="Arial"/>
              </w:rPr>
            </w:pPr>
            <w:r w:rsidRPr="00A41B7E">
              <w:rPr>
                <w:szCs w:val="20"/>
              </w:rPr>
              <w:t>0.3</w:t>
            </w:r>
          </w:p>
        </w:tc>
        <w:tc>
          <w:tcPr>
            <w:tcW w:w="1217" w:type="dxa"/>
          </w:tcPr>
          <w:p w14:paraId="42C83C3D" w14:textId="220EEF4C" w:rsidR="00A41B7E" w:rsidRPr="00A41B7E" w:rsidRDefault="00A41B7E" w:rsidP="00A41B7E">
            <w:pPr>
              <w:rPr>
                <w:rFonts w:cs="Arial"/>
              </w:rPr>
            </w:pPr>
            <w:r w:rsidRPr="00A41B7E">
              <w:rPr>
                <w:szCs w:val="20"/>
              </w:rPr>
              <w:t>0.2</w:t>
            </w:r>
          </w:p>
        </w:tc>
        <w:tc>
          <w:tcPr>
            <w:tcW w:w="1452" w:type="dxa"/>
          </w:tcPr>
          <w:p w14:paraId="16BBD385" w14:textId="31FF031D" w:rsidR="00A41B7E" w:rsidRPr="00A41B7E" w:rsidRDefault="00A41B7E" w:rsidP="00A41B7E">
            <w:pPr>
              <w:rPr>
                <w:rFonts w:cs="Arial"/>
              </w:rPr>
            </w:pPr>
            <w:r w:rsidRPr="00A41B7E">
              <w:rPr>
                <w:szCs w:val="20"/>
              </w:rPr>
              <w:t>0.2</w:t>
            </w:r>
          </w:p>
        </w:tc>
      </w:tr>
      <w:tr w:rsidR="00A41B7E" w14:paraId="3FCD46ED" w14:textId="77777777" w:rsidTr="00A41B7E">
        <w:tc>
          <w:tcPr>
            <w:tcW w:w="1569" w:type="dxa"/>
          </w:tcPr>
          <w:p w14:paraId="3E56AEFD" w14:textId="1F273479" w:rsidR="00A41B7E" w:rsidRPr="00A41B7E" w:rsidRDefault="00A41B7E" w:rsidP="00A41B7E">
            <w:pPr>
              <w:rPr>
                <w:rFonts w:cs="Arial"/>
              </w:rPr>
            </w:pPr>
            <w:r w:rsidRPr="00A41B7E">
              <w:rPr>
                <w:szCs w:val="20"/>
              </w:rPr>
              <w:t>Изискващо инотропни лекарствени средства</w:t>
            </w:r>
          </w:p>
        </w:tc>
        <w:tc>
          <w:tcPr>
            <w:tcW w:w="1217" w:type="dxa"/>
          </w:tcPr>
          <w:p w14:paraId="1E83F75B" w14:textId="3E14BDA1" w:rsidR="00A41B7E" w:rsidRPr="00A41B7E" w:rsidRDefault="00A41B7E" w:rsidP="00A41B7E">
            <w:pPr>
              <w:rPr>
                <w:rFonts w:cs="Arial"/>
              </w:rPr>
            </w:pPr>
            <w:r w:rsidRPr="00A41B7E">
              <w:rPr>
                <w:szCs w:val="20"/>
              </w:rPr>
              <w:t>0.3</w:t>
            </w:r>
          </w:p>
        </w:tc>
        <w:tc>
          <w:tcPr>
            <w:tcW w:w="1452" w:type="dxa"/>
          </w:tcPr>
          <w:p w14:paraId="47B5108F" w14:textId="3CBBA1C1" w:rsidR="00A41B7E" w:rsidRPr="00A41B7E" w:rsidRDefault="00A41B7E" w:rsidP="00A41B7E">
            <w:pPr>
              <w:rPr>
                <w:rFonts w:cs="Arial"/>
              </w:rPr>
            </w:pPr>
            <w:r w:rsidRPr="00A41B7E">
              <w:rPr>
                <w:szCs w:val="20"/>
              </w:rPr>
              <w:t>0.1</w:t>
            </w:r>
          </w:p>
        </w:tc>
        <w:tc>
          <w:tcPr>
            <w:tcW w:w="1217" w:type="dxa"/>
          </w:tcPr>
          <w:p w14:paraId="08492820" w14:textId="053941E8" w:rsidR="00A41B7E" w:rsidRPr="00A41B7E" w:rsidRDefault="00A41B7E" w:rsidP="00A41B7E">
            <w:pPr>
              <w:rPr>
                <w:rFonts w:cs="Arial"/>
              </w:rPr>
            </w:pPr>
            <w:r w:rsidRPr="00A41B7E">
              <w:rPr>
                <w:szCs w:val="20"/>
              </w:rPr>
              <w:t>0.3</w:t>
            </w:r>
          </w:p>
        </w:tc>
        <w:tc>
          <w:tcPr>
            <w:tcW w:w="1452" w:type="dxa"/>
          </w:tcPr>
          <w:p w14:paraId="799515DC" w14:textId="00A21E21" w:rsidR="00A41B7E" w:rsidRPr="00A41B7E" w:rsidRDefault="00A41B7E" w:rsidP="00A41B7E">
            <w:pPr>
              <w:rPr>
                <w:rFonts w:cs="Arial"/>
              </w:rPr>
            </w:pPr>
            <w:r w:rsidRPr="00A41B7E">
              <w:rPr>
                <w:szCs w:val="20"/>
              </w:rPr>
              <w:t>0.1</w:t>
            </w:r>
          </w:p>
        </w:tc>
        <w:tc>
          <w:tcPr>
            <w:tcW w:w="1217" w:type="dxa"/>
          </w:tcPr>
          <w:p w14:paraId="677488A3" w14:textId="666A77FB" w:rsidR="00A41B7E" w:rsidRPr="00A41B7E" w:rsidRDefault="00A41B7E" w:rsidP="00A41B7E">
            <w:pPr>
              <w:rPr>
                <w:rFonts w:cs="Arial"/>
              </w:rPr>
            </w:pPr>
            <w:r w:rsidRPr="00A41B7E">
              <w:rPr>
                <w:szCs w:val="20"/>
              </w:rPr>
              <w:t>0.3</w:t>
            </w:r>
          </w:p>
        </w:tc>
        <w:tc>
          <w:tcPr>
            <w:tcW w:w="1452" w:type="dxa"/>
          </w:tcPr>
          <w:p w14:paraId="7CAACED2" w14:textId="1D89C788" w:rsidR="00A41B7E" w:rsidRPr="00A41B7E" w:rsidRDefault="00A41B7E" w:rsidP="00A41B7E">
            <w:pPr>
              <w:rPr>
                <w:rFonts w:cs="Arial"/>
              </w:rPr>
            </w:pPr>
            <w:r w:rsidRPr="00A41B7E">
              <w:rPr>
                <w:szCs w:val="20"/>
              </w:rPr>
              <w:t>0.2</w:t>
            </w:r>
          </w:p>
        </w:tc>
      </w:tr>
      <w:tr w:rsidR="00A41B7E" w14:paraId="4DAA21EE" w14:textId="77777777" w:rsidTr="00A41B7E">
        <w:tc>
          <w:tcPr>
            <w:tcW w:w="1569" w:type="dxa"/>
          </w:tcPr>
          <w:p w14:paraId="4126B6A8" w14:textId="49B86833" w:rsidR="00A41B7E" w:rsidRPr="00A41B7E" w:rsidRDefault="00A41B7E" w:rsidP="00A41B7E">
            <w:pPr>
              <w:rPr>
                <w:rFonts w:cs="Arial"/>
              </w:rPr>
            </w:pPr>
            <w:r w:rsidRPr="00A41B7E">
              <w:rPr>
                <w:szCs w:val="20"/>
              </w:rPr>
              <w:t>Изискващо хирургична интервенция</w:t>
            </w:r>
          </w:p>
        </w:tc>
        <w:tc>
          <w:tcPr>
            <w:tcW w:w="1217" w:type="dxa"/>
          </w:tcPr>
          <w:p w14:paraId="053A2C98" w14:textId="4282446B" w:rsidR="00A41B7E" w:rsidRPr="00A41B7E" w:rsidRDefault="00A41B7E" w:rsidP="00A41B7E">
            <w:pPr>
              <w:rPr>
                <w:rFonts w:cs="Arial"/>
              </w:rPr>
            </w:pPr>
            <w:r w:rsidRPr="00A41B7E">
              <w:rPr>
                <w:szCs w:val="20"/>
              </w:rPr>
              <w:t>0.3</w:t>
            </w:r>
          </w:p>
        </w:tc>
        <w:tc>
          <w:tcPr>
            <w:tcW w:w="1452" w:type="dxa"/>
          </w:tcPr>
          <w:p w14:paraId="23CD635D" w14:textId="1A87992F" w:rsidR="00A41B7E" w:rsidRPr="00A41B7E" w:rsidRDefault="00A41B7E" w:rsidP="00A41B7E">
            <w:pPr>
              <w:rPr>
                <w:rFonts w:cs="Arial"/>
              </w:rPr>
            </w:pPr>
            <w:r w:rsidRPr="00A41B7E">
              <w:rPr>
                <w:szCs w:val="20"/>
              </w:rPr>
              <w:t>0.3</w:t>
            </w:r>
          </w:p>
        </w:tc>
        <w:tc>
          <w:tcPr>
            <w:tcW w:w="1217" w:type="dxa"/>
          </w:tcPr>
          <w:p w14:paraId="1969BDB4" w14:textId="5F0C7185" w:rsidR="00A41B7E" w:rsidRPr="00A41B7E" w:rsidRDefault="00A41B7E" w:rsidP="00A41B7E">
            <w:pPr>
              <w:rPr>
                <w:rFonts w:cs="Arial"/>
              </w:rPr>
            </w:pPr>
            <w:r w:rsidRPr="00A41B7E">
              <w:rPr>
                <w:szCs w:val="20"/>
              </w:rPr>
              <w:t>0.3</w:t>
            </w:r>
          </w:p>
        </w:tc>
        <w:tc>
          <w:tcPr>
            <w:tcW w:w="1452" w:type="dxa"/>
          </w:tcPr>
          <w:p w14:paraId="089F70D8" w14:textId="7B6BE629" w:rsidR="00A41B7E" w:rsidRPr="00A41B7E" w:rsidRDefault="00A41B7E" w:rsidP="00A41B7E">
            <w:pPr>
              <w:rPr>
                <w:rFonts w:cs="Arial"/>
              </w:rPr>
            </w:pPr>
            <w:r w:rsidRPr="00A41B7E">
              <w:rPr>
                <w:szCs w:val="20"/>
              </w:rPr>
              <w:t>0.3</w:t>
            </w:r>
          </w:p>
        </w:tc>
        <w:tc>
          <w:tcPr>
            <w:tcW w:w="1217" w:type="dxa"/>
          </w:tcPr>
          <w:p w14:paraId="67B8C8C3" w14:textId="7569B3D8" w:rsidR="00A41B7E" w:rsidRPr="00A41B7E" w:rsidRDefault="00A41B7E" w:rsidP="00A41B7E">
            <w:pPr>
              <w:rPr>
                <w:rFonts w:cs="Arial"/>
              </w:rPr>
            </w:pPr>
            <w:r w:rsidRPr="00A41B7E">
              <w:rPr>
                <w:szCs w:val="20"/>
              </w:rPr>
              <w:t>0.1</w:t>
            </w:r>
          </w:p>
        </w:tc>
        <w:tc>
          <w:tcPr>
            <w:tcW w:w="1452" w:type="dxa"/>
          </w:tcPr>
          <w:p w14:paraId="36FAC6D1" w14:textId="73255688" w:rsidR="00A41B7E" w:rsidRPr="00A41B7E" w:rsidRDefault="00A41B7E" w:rsidP="00A41B7E">
            <w:pPr>
              <w:rPr>
                <w:rFonts w:cs="Arial"/>
              </w:rPr>
            </w:pPr>
            <w:r w:rsidRPr="00A41B7E">
              <w:rPr>
                <w:szCs w:val="20"/>
              </w:rPr>
              <w:t>0.2</w:t>
            </w:r>
          </w:p>
        </w:tc>
      </w:tr>
      <w:tr w:rsidR="00A41B7E" w14:paraId="5C7430BA" w14:textId="77777777" w:rsidTr="00A41B7E">
        <w:tc>
          <w:tcPr>
            <w:tcW w:w="1569" w:type="dxa"/>
          </w:tcPr>
          <w:p w14:paraId="12E497C8" w14:textId="7A75A35A" w:rsidR="00A41B7E" w:rsidRPr="00A41B7E" w:rsidRDefault="00A41B7E" w:rsidP="00A41B7E">
            <w:pPr>
              <w:rPr>
                <w:rFonts w:cs="Arial"/>
              </w:rPr>
            </w:pPr>
            <w:r w:rsidRPr="00A41B7E">
              <w:rPr>
                <w:szCs w:val="20"/>
              </w:rPr>
              <w:t>Изискващо трансфузия (≥4 единици)</w:t>
            </w:r>
          </w:p>
        </w:tc>
        <w:tc>
          <w:tcPr>
            <w:tcW w:w="1217" w:type="dxa"/>
          </w:tcPr>
          <w:p w14:paraId="669F91D8" w14:textId="0E08AEF5" w:rsidR="00A41B7E" w:rsidRPr="00A41B7E" w:rsidRDefault="00A41B7E" w:rsidP="00A41B7E">
            <w:pPr>
              <w:rPr>
                <w:rFonts w:cs="Arial"/>
              </w:rPr>
            </w:pPr>
            <w:r w:rsidRPr="00A41B7E">
              <w:rPr>
                <w:szCs w:val="20"/>
              </w:rPr>
              <w:t>0.7</w:t>
            </w:r>
          </w:p>
        </w:tc>
        <w:tc>
          <w:tcPr>
            <w:tcW w:w="1452" w:type="dxa"/>
          </w:tcPr>
          <w:p w14:paraId="12AB0288" w14:textId="7E2C98D5" w:rsidR="00A41B7E" w:rsidRPr="00A41B7E" w:rsidRDefault="00A41B7E" w:rsidP="00A41B7E">
            <w:pPr>
              <w:rPr>
                <w:rFonts w:cs="Arial"/>
              </w:rPr>
            </w:pPr>
            <w:r w:rsidRPr="00A41B7E">
              <w:rPr>
                <w:szCs w:val="20"/>
              </w:rPr>
              <w:t>0.5</w:t>
            </w:r>
          </w:p>
        </w:tc>
        <w:tc>
          <w:tcPr>
            <w:tcW w:w="1217" w:type="dxa"/>
          </w:tcPr>
          <w:p w14:paraId="458CE6EF" w14:textId="0FF02D8D" w:rsidR="00A41B7E" w:rsidRPr="00A41B7E" w:rsidRDefault="00A41B7E" w:rsidP="00A41B7E">
            <w:pPr>
              <w:rPr>
                <w:rFonts w:cs="Arial"/>
              </w:rPr>
            </w:pPr>
            <w:r w:rsidRPr="00A41B7E">
              <w:rPr>
                <w:szCs w:val="20"/>
              </w:rPr>
              <w:t>0.6</w:t>
            </w:r>
          </w:p>
        </w:tc>
        <w:tc>
          <w:tcPr>
            <w:tcW w:w="1452" w:type="dxa"/>
          </w:tcPr>
          <w:p w14:paraId="49843C42" w14:textId="0C102B9B" w:rsidR="00A41B7E" w:rsidRPr="00A41B7E" w:rsidRDefault="00A41B7E" w:rsidP="00A41B7E">
            <w:pPr>
              <w:rPr>
                <w:rFonts w:cs="Arial"/>
              </w:rPr>
            </w:pPr>
            <w:r w:rsidRPr="00A41B7E">
              <w:rPr>
                <w:szCs w:val="20"/>
              </w:rPr>
              <w:t>0.3</w:t>
            </w:r>
          </w:p>
        </w:tc>
        <w:tc>
          <w:tcPr>
            <w:tcW w:w="1217" w:type="dxa"/>
          </w:tcPr>
          <w:p w14:paraId="71089D38" w14:textId="63658152" w:rsidR="00A41B7E" w:rsidRPr="00A41B7E" w:rsidRDefault="00A41B7E" w:rsidP="00A41B7E">
            <w:pPr>
              <w:rPr>
                <w:rFonts w:cs="Arial"/>
              </w:rPr>
            </w:pPr>
            <w:r w:rsidRPr="00A41B7E">
              <w:rPr>
                <w:szCs w:val="20"/>
              </w:rPr>
              <w:t>0.8</w:t>
            </w:r>
          </w:p>
        </w:tc>
        <w:tc>
          <w:tcPr>
            <w:tcW w:w="1452" w:type="dxa"/>
          </w:tcPr>
          <w:p w14:paraId="72846719" w14:textId="481F007A" w:rsidR="00A41B7E" w:rsidRPr="00A41B7E" w:rsidRDefault="00A41B7E" w:rsidP="00A41B7E">
            <w:pPr>
              <w:rPr>
                <w:rFonts w:cs="Arial"/>
              </w:rPr>
            </w:pPr>
            <w:r w:rsidRPr="00A41B7E">
              <w:rPr>
                <w:szCs w:val="20"/>
              </w:rPr>
              <w:t>0.8</w:t>
            </w:r>
          </w:p>
        </w:tc>
      </w:tr>
      <w:tr w:rsidR="00A41B7E" w14:paraId="1B6CD3E0" w14:textId="77777777" w:rsidTr="00A41B7E">
        <w:tc>
          <w:tcPr>
            <w:tcW w:w="1569" w:type="dxa"/>
          </w:tcPr>
          <w:p w14:paraId="707E3924" w14:textId="6862326B" w:rsidR="00A41B7E" w:rsidRPr="00A41B7E" w:rsidRDefault="00A41B7E" w:rsidP="00A41B7E">
            <w:pPr>
              <w:rPr>
                <w:rFonts w:cs="Arial"/>
              </w:rPr>
            </w:pPr>
            <w:r w:rsidRPr="00A41B7E">
              <w:rPr>
                <w:szCs w:val="20"/>
              </w:rPr>
              <w:t xml:space="preserve">Незначително кървене съгласно </w:t>
            </w:r>
            <w:r w:rsidRPr="00A41B7E">
              <w:rPr>
                <w:szCs w:val="20"/>
                <w:lang w:val="en-US"/>
              </w:rPr>
              <w:t>TIME</w:t>
            </w:r>
            <w:r w:rsidRPr="00A41B7E">
              <w:rPr>
                <w:szCs w:val="20"/>
                <w:vertAlign w:val="superscript"/>
              </w:rPr>
              <w:t>е</w:t>
            </w:r>
          </w:p>
        </w:tc>
        <w:tc>
          <w:tcPr>
            <w:tcW w:w="1217" w:type="dxa"/>
          </w:tcPr>
          <w:p w14:paraId="356317A9" w14:textId="1A351481" w:rsidR="00A41B7E" w:rsidRPr="00A41B7E" w:rsidRDefault="00A41B7E" w:rsidP="00A41B7E">
            <w:pPr>
              <w:rPr>
                <w:rFonts w:cs="Arial"/>
              </w:rPr>
            </w:pPr>
            <w:r w:rsidRPr="00A41B7E">
              <w:rPr>
                <w:szCs w:val="20"/>
              </w:rPr>
              <w:t>2.4</w:t>
            </w:r>
          </w:p>
        </w:tc>
        <w:tc>
          <w:tcPr>
            <w:tcW w:w="1452" w:type="dxa"/>
          </w:tcPr>
          <w:p w14:paraId="358F725B" w14:textId="01606658" w:rsidR="00A41B7E" w:rsidRPr="00A41B7E" w:rsidRDefault="00A41B7E" w:rsidP="00A41B7E">
            <w:pPr>
              <w:rPr>
                <w:rFonts w:cs="Arial"/>
              </w:rPr>
            </w:pPr>
            <w:r w:rsidRPr="00A41B7E">
              <w:rPr>
                <w:szCs w:val="20"/>
              </w:rPr>
              <w:t>1.9</w:t>
            </w:r>
          </w:p>
        </w:tc>
        <w:tc>
          <w:tcPr>
            <w:tcW w:w="1217" w:type="dxa"/>
          </w:tcPr>
          <w:p w14:paraId="5B22DD3B" w14:textId="6A42EA66" w:rsidR="00A41B7E" w:rsidRPr="00A41B7E" w:rsidRDefault="00A41B7E" w:rsidP="00A41B7E">
            <w:pPr>
              <w:rPr>
                <w:rFonts w:cs="Arial"/>
              </w:rPr>
            </w:pPr>
            <w:r w:rsidRPr="00A41B7E">
              <w:rPr>
                <w:szCs w:val="20"/>
              </w:rPr>
              <w:t>2.3</w:t>
            </w:r>
          </w:p>
        </w:tc>
        <w:tc>
          <w:tcPr>
            <w:tcW w:w="1452" w:type="dxa"/>
          </w:tcPr>
          <w:p w14:paraId="638E07E8" w14:textId="2427403F" w:rsidR="00A41B7E" w:rsidRPr="00A41B7E" w:rsidRDefault="00A41B7E" w:rsidP="00A41B7E">
            <w:pPr>
              <w:rPr>
                <w:rFonts w:cs="Arial"/>
              </w:rPr>
            </w:pPr>
            <w:r w:rsidRPr="00A41B7E">
              <w:rPr>
                <w:szCs w:val="20"/>
              </w:rPr>
              <w:t>1.6</w:t>
            </w:r>
          </w:p>
        </w:tc>
        <w:tc>
          <w:tcPr>
            <w:tcW w:w="1217" w:type="dxa"/>
          </w:tcPr>
          <w:p w14:paraId="5AD24990" w14:textId="10D87320" w:rsidR="00A41B7E" w:rsidRPr="00A41B7E" w:rsidRDefault="00A41B7E" w:rsidP="00A41B7E">
            <w:pPr>
              <w:rPr>
                <w:rFonts w:cs="Arial"/>
              </w:rPr>
            </w:pPr>
            <w:r w:rsidRPr="00A41B7E">
              <w:rPr>
                <w:szCs w:val="20"/>
              </w:rPr>
              <w:t>2.7</w:t>
            </w:r>
          </w:p>
        </w:tc>
        <w:tc>
          <w:tcPr>
            <w:tcW w:w="1452" w:type="dxa"/>
          </w:tcPr>
          <w:p w14:paraId="505D03EF" w14:textId="5AC55BFA" w:rsidR="00A41B7E" w:rsidRPr="00A41B7E" w:rsidRDefault="00A41B7E" w:rsidP="00A41B7E">
            <w:pPr>
              <w:rPr>
                <w:rFonts w:cs="Arial"/>
              </w:rPr>
            </w:pPr>
            <w:r w:rsidRPr="00A41B7E">
              <w:rPr>
                <w:szCs w:val="20"/>
              </w:rPr>
              <w:t>2.6</w:t>
            </w:r>
          </w:p>
        </w:tc>
      </w:tr>
    </w:tbl>
    <w:p w14:paraId="02B95CE6" w14:textId="2FDF9E8E"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vertAlign w:val="superscript"/>
          <w:lang w:eastAsia="bg-BG"/>
        </w:rPr>
        <w:t>а</w:t>
      </w:r>
      <w:r w:rsidRPr="00A41B7E">
        <w:rPr>
          <w:rFonts w:eastAsia="Times New Roman" w:cs="Arial"/>
          <w:i/>
          <w:iCs/>
          <w:color w:val="000000"/>
          <w:szCs w:val="20"/>
          <w:lang w:eastAsia="bg-BG"/>
        </w:rPr>
        <w:t xml:space="preserve">Оценени в изследователски център събития, определени посредством критериите на изследователската група Тромболиза при инфаркт на миокарда </w:t>
      </w:r>
      <w:r w:rsidRPr="00A41B7E">
        <w:rPr>
          <w:rFonts w:eastAsia="Times New Roman" w:cs="Arial"/>
          <w:i/>
          <w:iCs/>
          <w:color w:val="000000"/>
          <w:szCs w:val="20"/>
          <w:lang w:val="ru-RU"/>
        </w:rPr>
        <w:t>(</w:t>
      </w:r>
      <w:r w:rsidRPr="00A41B7E">
        <w:rPr>
          <w:rFonts w:eastAsia="Times New Roman" w:cs="Arial"/>
          <w:i/>
          <w:iCs/>
          <w:color w:val="000000"/>
          <w:szCs w:val="20"/>
          <w:lang w:val="en-US"/>
        </w:rPr>
        <w:t>Thrombolysis</w:t>
      </w:r>
      <w:r w:rsidRPr="00A41B7E">
        <w:rPr>
          <w:rFonts w:eastAsia="Times New Roman" w:cs="Arial"/>
          <w:i/>
          <w:iCs/>
          <w:color w:val="000000"/>
          <w:szCs w:val="20"/>
          <w:lang w:val="ru-RU"/>
        </w:rPr>
        <w:t xml:space="preserve"> </w:t>
      </w:r>
      <w:r w:rsidRPr="00A41B7E">
        <w:rPr>
          <w:rFonts w:eastAsia="Times New Roman" w:cs="Arial"/>
          <w:i/>
          <w:iCs/>
          <w:color w:val="000000"/>
          <w:szCs w:val="20"/>
          <w:lang w:val="en-US"/>
        </w:rPr>
        <w:t>in</w:t>
      </w:r>
      <w:r w:rsidRPr="00A41B7E">
        <w:rPr>
          <w:rFonts w:eastAsia="Times New Roman" w:cs="Arial"/>
          <w:i/>
          <w:iCs/>
          <w:color w:val="000000"/>
          <w:szCs w:val="20"/>
          <w:lang w:val="ru-RU"/>
        </w:rPr>
        <w:t xml:space="preserve"> </w:t>
      </w:r>
      <w:r w:rsidRPr="00A41B7E">
        <w:rPr>
          <w:rFonts w:eastAsia="Times New Roman" w:cs="Arial"/>
          <w:i/>
          <w:iCs/>
          <w:color w:val="000000"/>
          <w:szCs w:val="20"/>
          <w:lang w:val="en-US"/>
        </w:rPr>
        <w:t>Myocardial</w:t>
      </w:r>
      <w:r w:rsidRPr="00A41B7E">
        <w:rPr>
          <w:rFonts w:eastAsia="Times New Roman" w:cs="Arial"/>
          <w:i/>
          <w:iCs/>
          <w:color w:val="000000"/>
          <w:szCs w:val="20"/>
          <w:lang w:val="ru-RU"/>
        </w:rPr>
        <w:t xml:space="preserve"> </w:t>
      </w:r>
      <w:r w:rsidRPr="00A41B7E">
        <w:rPr>
          <w:rFonts w:eastAsia="Times New Roman" w:cs="Arial"/>
          <w:i/>
          <w:iCs/>
          <w:color w:val="000000"/>
          <w:szCs w:val="20"/>
          <w:lang w:val="en-US"/>
        </w:rPr>
        <w:t>Infarction</w:t>
      </w:r>
      <w:r w:rsidRPr="00A41B7E">
        <w:rPr>
          <w:rFonts w:eastAsia="Times New Roman" w:cs="Arial"/>
          <w:i/>
          <w:iCs/>
          <w:color w:val="000000"/>
          <w:szCs w:val="20"/>
          <w:lang w:val="ru-RU"/>
        </w:rPr>
        <w:t>) (</w:t>
      </w:r>
      <w:r w:rsidRPr="00A41B7E">
        <w:rPr>
          <w:rFonts w:eastAsia="Times New Roman" w:cs="Arial"/>
          <w:i/>
          <w:iCs/>
          <w:color w:val="000000"/>
          <w:szCs w:val="20"/>
          <w:lang w:val="en-US"/>
        </w:rPr>
        <w:t>TIMI</w:t>
      </w:r>
      <w:r w:rsidRPr="00A41B7E">
        <w:rPr>
          <w:rFonts w:eastAsia="Times New Roman" w:cs="Arial"/>
          <w:i/>
          <w:iCs/>
          <w:color w:val="000000"/>
          <w:szCs w:val="20"/>
          <w:lang w:val="ru-RU"/>
        </w:rPr>
        <w:t>).</w:t>
      </w:r>
    </w:p>
    <w:p w14:paraId="1C2D8619" w14:textId="4644F209"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vertAlign w:val="superscript"/>
          <w:lang w:eastAsia="bg-BG"/>
        </w:rPr>
        <w:t>б</w:t>
      </w:r>
      <w:r w:rsidRPr="00A41B7E">
        <w:rPr>
          <w:rFonts w:eastAsia="Times New Roman" w:cs="Arial"/>
          <w:i/>
          <w:iCs/>
          <w:color w:val="000000"/>
          <w:szCs w:val="20"/>
          <w:lang w:eastAsia="bg-BG"/>
        </w:rPr>
        <w:t>Използвани са други подходящи стандартни лечения.</w:t>
      </w:r>
    </w:p>
    <w:p w14:paraId="197E3CD0" w14:textId="2E3DEE53"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vertAlign w:val="superscript"/>
          <w:lang w:eastAsia="bg-BG"/>
        </w:rPr>
        <w:t>в</w:t>
      </w:r>
      <w:r w:rsidRPr="00A41B7E">
        <w:rPr>
          <w:rFonts w:eastAsia="Times New Roman" w:cs="Arial"/>
          <w:i/>
          <w:iCs/>
          <w:color w:val="000000"/>
          <w:szCs w:val="20"/>
          <w:lang w:eastAsia="bg-BG"/>
        </w:rPr>
        <w:t>Всяка интракраниална хеморагия или всяко клинично проявено кървене, свързани с</w:t>
      </w:r>
    </w:p>
    <w:p w14:paraId="1AEFA5DF" w14:textId="77777777"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lang w:eastAsia="bg-BG"/>
        </w:rPr>
        <w:t>понижение на хемоглобина</w:t>
      </w:r>
      <w:r w:rsidRPr="00A41B7E">
        <w:rPr>
          <w:rFonts w:eastAsia="Times New Roman" w:cs="Arial"/>
          <w:color w:val="000000"/>
          <w:szCs w:val="20"/>
          <w:lang w:eastAsia="bg-BG"/>
        </w:rPr>
        <w:t xml:space="preserve"> ≥5 </w:t>
      </w:r>
      <w:r w:rsidRPr="00A41B7E">
        <w:rPr>
          <w:rFonts w:eastAsia="Times New Roman" w:cs="Arial"/>
          <w:i/>
          <w:iCs/>
          <w:color w:val="000000"/>
          <w:szCs w:val="20"/>
          <w:lang w:val="en-US"/>
        </w:rPr>
        <w:t>g</w:t>
      </w:r>
      <w:r w:rsidRPr="00A41B7E">
        <w:rPr>
          <w:rFonts w:eastAsia="Times New Roman" w:cs="Arial"/>
          <w:i/>
          <w:iCs/>
          <w:color w:val="000000"/>
          <w:szCs w:val="20"/>
          <w:lang w:val="ru-RU"/>
        </w:rPr>
        <w:t>/</w:t>
      </w:r>
      <w:r w:rsidRPr="00A41B7E">
        <w:rPr>
          <w:rFonts w:eastAsia="Times New Roman" w:cs="Arial"/>
          <w:i/>
          <w:iCs/>
          <w:color w:val="000000"/>
          <w:szCs w:val="20"/>
          <w:lang w:val="en-US"/>
        </w:rPr>
        <w:t>dl</w:t>
      </w:r>
      <w:r w:rsidRPr="00A41B7E">
        <w:rPr>
          <w:rFonts w:eastAsia="Times New Roman" w:cs="Arial"/>
          <w:i/>
          <w:iCs/>
          <w:color w:val="000000"/>
          <w:szCs w:val="20"/>
          <w:lang w:val="ru-RU"/>
        </w:rPr>
        <w:t>.</w:t>
      </w:r>
    </w:p>
    <w:p w14:paraId="76BB193A" w14:textId="77777777"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vertAlign w:val="superscript"/>
          <w:lang w:eastAsia="bg-BG"/>
        </w:rPr>
        <w:t>г</w:t>
      </w:r>
      <w:r w:rsidRPr="00A41B7E">
        <w:rPr>
          <w:rFonts w:eastAsia="Times New Roman" w:cs="Arial"/>
          <w:i/>
          <w:iCs/>
          <w:color w:val="000000"/>
          <w:szCs w:val="20"/>
          <w:lang w:eastAsia="bg-BG"/>
        </w:rPr>
        <w:t xml:space="preserve"> Животозастрашаващо кървене е подгрупа на значително кървене съгласно </w:t>
      </w:r>
      <w:r w:rsidRPr="00A41B7E">
        <w:rPr>
          <w:rFonts w:eastAsia="Times New Roman" w:cs="Arial"/>
          <w:i/>
          <w:iCs/>
          <w:color w:val="000000"/>
          <w:szCs w:val="20"/>
          <w:lang w:val="en-US"/>
        </w:rPr>
        <w:t>TIMI</w:t>
      </w:r>
      <w:r w:rsidRPr="00A41B7E">
        <w:rPr>
          <w:rFonts w:eastAsia="Times New Roman" w:cs="Arial"/>
          <w:i/>
          <w:iCs/>
          <w:color w:val="000000"/>
          <w:szCs w:val="20"/>
          <w:lang w:val="ru-RU"/>
        </w:rPr>
        <w:t xml:space="preserve"> </w:t>
      </w:r>
      <w:r w:rsidRPr="00A41B7E">
        <w:rPr>
          <w:rFonts w:eastAsia="Times New Roman" w:cs="Arial"/>
          <w:i/>
          <w:iCs/>
          <w:color w:val="000000"/>
          <w:szCs w:val="20"/>
          <w:lang w:eastAsia="bg-BG"/>
        </w:rPr>
        <w:t>и включва видовете по-долу. Пациентите може да са преброени в повече от един ред.</w:t>
      </w:r>
    </w:p>
    <w:p w14:paraId="02C3AF46" w14:textId="77777777"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vertAlign w:val="superscript"/>
          <w:lang w:eastAsia="bg-BG"/>
        </w:rPr>
        <w:t>д</w:t>
      </w:r>
      <w:r w:rsidRPr="00A41B7E">
        <w:rPr>
          <w:rFonts w:eastAsia="Times New Roman" w:cs="Arial"/>
          <w:i/>
          <w:iCs/>
          <w:color w:val="000000"/>
          <w:szCs w:val="20"/>
          <w:lang w:eastAsia="bg-BG"/>
        </w:rPr>
        <w:t xml:space="preserve"> ИКХ= интракраниална хеморагия.</w:t>
      </w:r>
    </w:p>
    <w:p w14:paraId="2827C4CE" w14:textId="4B779D00"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vertAlign w:val="superscript"/>
          <w:lang w:eastAsia="bg-BG"/>
        </w:rPr>
        <w:t>е</w:t>
      </w:r>
      <w:r w:rsidRPr="00A41B7E">
        <w:rPr>
          <w:rFonts w:eastAsia="Times New Roman" w:cs="Arial"/>
          <w:i/>
          <w:iCs/>
          <w:color w:val="000000"/>
          <w:szCs w:val="20"/>
          <w:lang w:eastAsia="bg-BG"/>
        </w:rPr>
        <w:t xml:space="preserve">Клинично проявено кървене, свързано с понижение на хемоглобина от ≥3 </w:t>
      </w:r>
      <w:r w:rsidRPr="00A41B7E">
        <w:rPr>
          <w:rFonts w:eastAsia="Times New Roman" w:cs="Arial"/>
          <w:i/>
          <w:iCs/>
          <w:color w:val="000000"/>
          <w:szCs w:val="20"/>
          <w:lang w:val="en-US"/>
        </w:rPr>
        <w:t>g</w:t>
      </w:r>
      <w:r w:rsidRPr="00A41B7E">
        <w:rPr>
          <w:rFonts w:eastAsia="Times New Roman" w:cs="Arial"/>
          <w:i/>
          <w:iCs/>
          <w:color w:val="000000"/>
          <w:szCs w:val="20"/>
          <w:lang w:val="ru-RU"/>
        </w:rPr>
        <w:t>/</w:t>
      </w:r>
      <w:r w:rsidRPr="00A41B7E">
        <w:rPr>
          <w:rFonts w:eastAsia="Times New Roman" w:cs="Arial"/>
          <w:i/>
          <w:iCs/>
          <w:color w:val="000000"/>
          <w:szCs w:val="20"/>
          <w:lang w:val="en-US"/>
        </w:rPr>
        <w:t>dl</w:t>
      </w:r>
      <w:r w:rsidRPr="00A41B7E">
        <w:rPr>
          <w:rFonts w:eastAsia="Times New Roman" w:cs="Arial"/>
          <w:i/>
          <w:iCs/>
          <w:color w:val="000000"/>
          <w:szCs w:val="20"/>
          <w:lang w:val="ru-RU"/>
        </w:rPr>
        <w:t xml:space="preserve">, </w:t>
      </w:r>
      <w:r w:rsidRPr="00A41B7E">
        <w:rPr>
          <w:rFonts w:eastAsia="Times New Roman" w:cs="Arial"/>
          <w:i/>
          <w:iCs/>
          <w:color w:val="000000"/>
          <w:szCs w:val="20"/>
          <w:lang w:eastAsia="bg-BG"/>
        </w:rPr>
        <w:t xml:space="preserve">но &lt;5 </w:t>
      </w:r>
      <w:r w:rsidRPr="00A41B7E">
        <w:rPr>
          <w:rFonts w:eastAsia="Times New Roman" w:cs="Arial"/>
          <w:i/>
          <w:iCs/>
          <w:color w:val="000000"/>
          <w:szCs w:val="20"/>
          <w:lang w:val="en-US"/>
        </w:rPr>
        <w:t>g</w:t>
      </w:r>
      <w:r w:rsidRPr="00A41B7E">
        <w:rPr>
          <w:rFonts w:eastAsia="Times New Roman" w:cs="Arial"/>
          <w:i/>
          <w:iCs/>
          <w:color w:val="000000"/>
          <w:szCs w:val="20"/>
          <w:lang w:val="ru-RU"/>
        </w:rPr>
        <w:t>/</w:t>
      </w:r>
      <w:r w:rsidRPr="00A41B7E">
        <w:rPr>
          <w:rFonts w:eastAsia="Times New Roman" w:cs="Arial"/>
          <w:i/>
          <w:iCs/>
          <w:color w:val="000000"/>
          <w:szCs w:val="20"/>
          <w:lang w:val="en-US"/>
        </w:rPr>
        <w:t>dl</w:t>
      </w:r>
      <w:r w:rsidRPr="00A41B7E">
        <w:rPr>
          <w:rFonts w:eastAsia="Times New Roman" w:cs="Arial"/>
          <w:i/>
          <w:iCs/>
          <w:color w:val="000000"/>
          <w:szCs w:val="20"/>
          <w:lang w:val="ru-RU"/>
        </w:rPr>
        <w:t>.</w:t>
      </w:r>
    </w:p>
    <w:p w14:paraId="2798ABF8" w14:textId="77777777" w:rsidR="00A41B7E" w:rsidRPr="00A41B7E" w:rsidRDefault="00A41B7E" w:rsidP="00A41B7E">
      <w:pPr>
        <w:spacing w:line="240" w:lineRule="auto"/>
        <w:rPr>
          <w:rFonts w:eastAsia="Times New Roman" w:cs="Arial"/>
          <w:i/>
          <w:iCs/>
          <w:color w:val="000000"/>
          <w:szCs w:val="20"/>
          <w:u w:val="single"/>
          <w:lang w:eastAsia="bg-BG"/>
        </w:rPr>
      </w:pPr>
    </w:p>
    <w:p w14:paraId="18B5EB68" w14:textId="333F89DD"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u w:val="single"/>
          <w:lang w:eastAsia="bg-BG"/>
        </w:rPr>
        <w:t>Пациенти≥75-годишна възраст</w:t>
      </w:r>
    </w:p>
    <w:p w14:paraId="1614B3B9" w14:textId="30D28B53" w:rsidR="00A41B7E" w:rsidRDefault="00A41B7E" w:rsidP="00A41B7E">
      <w:pPr>
        <w:spacing w:line="240" w:lineRule="auto"/>
        <w:rPr>
          <w:rFonts w:eastAsia="Times New Roman" w:cs="Arial"/>
          <w:color w:val="000000"/>
          <w:szCs w:val="20"/>
          <w:lang w:eastAsia="bg-BG"/>
        </w:rPr>
      </w:pPr>
      <w:r w:rsidRPr="00A41B7E">
        <w:rPr>
          <w:rFonts w:eastAsia="Times New Roman" w:cs="Arial"/>
          <w:color w:val="000000"/>
          <w:szCs w:val="20"/>
          <w:lang w:eastAsia="bg-BG"/>
        </w:rPr>
        <w:t xml:space="preserve">Честота на значително или незначително кървене съгласно </w:t>
      </w:r>
      <w:r w:rsidRPr="00A41B7E">
        <w:rPr>
          <w:rFonts w:eastAsia="Times New Roman" w:cs="Arial"/>
          <w:color w:val="000000"/>
          <w:szCs w:val="20"/>
          <w:lang w:val="en-US"/>
        </w:rPr>
        <w:t>TIMI</w:t>
      </w:r>
      <w:r w:rsidRPr="00A41B7E">
        <w:rPr>
          <w:rFonts w:eastAsia="Times New Roman" w:cs="Arial"/>
          <w:color w:val="000000"/>
          <w:szCs w:val="20"/>
          <w:lang w:val="ru-RU"/>
        </w:rPr>
        <w:t xml:space="preserve">, </w:t>
      </w:r>
      <w:r w:rsidRPr="00A41B7E">
        <w:rPr>
          <w:rFonts w:eastAsia="Times New Roman" w:cs="Arial"/>
          <w:color w:val="000000"/>
          <w:szCs w:val="20"/>
          <w:lang w:eastAsia="bg-BG"/>
        </w:rPr>
        <w:t>несвързано с аортокоронарен байпас (АКБ):</w:t>
      </w:r>
    </w:p>
    <w:tbl>
      <w:tblPr>
        <w:tblStyle w:val="TableGrid"/>
        <w:tblW w:w="0" w:type="auto"/>
        <w:tblLook w:val="04A0" w:firstRow="1" w:lastRow="0" w:firstColumn="1" w:lastColumn="0" w:noHBand="0" w:noVBand="1"/>
      </w:tblPr>
      <w:tblGrid>
        <w:gridCol w:w="3112"/>
        <w:gridCol w:w="3113"/>
        <w:gridCol w:w="3125"/>
      </w:tblGrid>
      <w:tr w:rsidR="00A41B7E" w14:paraId="229E95C2" w14:textId="77777777" w:rsidTr="00A41B7E">
        <w:tc>
          <w:tcPr>
            <w:tcW w:w="3192" w:type="dxa"/>
          </w:tcPr>
          <w:p w14:paraId="5270EBD7" w14:textId="4491B110" w:rsidR="00A41B7E" w:rsidRPr="00A41B7E" w:rsidRDefault="00A41B7E" w:rsidP="00A41B7E">
            <w:pPr>
              <w:spacing w:line="240" w:lineRule="auto"/>
              <w:rPr>
                <w:rFonts w:eastAsia="Times New Roman" w:cs="Arial"/>
                <w:szCs w:val="24"/>
              </w:rPr>
            </w:pPr>
            <w:r w:rsidRPr="00A41B7E">
              <w:rPr>
                <w:b/>
                <w:bCs/>
                <w:szCs w:val="20"/>
              </w:rPr>
              <w:t>Възраст</w:t>
            </w:r>
          </w:p>
        </w:tc>
        <w:tc>
          <w:tcPr>
            <w:tcW w:w="3192" w:type="dxa"/>
          </w:tcPr>
          <w:p w14:paraId="51147058" w14:textId="24427E91" w:rsidR="00A41B7E" w:rsidRPr="00A41B7E" w:rsidRDefault="00A41B7E" w:rsidP="00A41B7E">
            <w:pPr>
              <w:spacing w:line="240" w:lineRule="auto"/>
              <w:rPr>
                <w:rFonts w:eastAsia="Times New Roman" w:cs="Arial"/>
                <w:szCs w:val="24"/>
              </w:rPr>
            </w:pPr>
            <w:r w:rsidRPr="00A41B7E">
              <w:rPr>
                <w:b/>
                <w:bCs/>
                <w:szCs w:val="20"/>
              </w:rPr>
              <w:t xml:space="preserve">Прасугрел 10 </w:t>
            </w:r>
            <w:r w:rsidRPr="00A41B7E">
              <w:rPr>
                <w:b/>
                <w:bCs/>
                <w:szCs w:val="20"/>
                <w:lang w:val="en-US"/>
              </w:rPr>
              <w:t>mg</w:t>
            </w:r>
          </w:p>
        </w:tc>
        <w:tc>
          <w:tcPr>
            <w:tcW w:w="3192" w:type="dxa"/>
          </w:tcPr>
          <w:p w14:paraId="1826C6A0" w14:textId="25FE4CA8" w:rsidR="00A41B7E" w:rsidRPr="00A41B7E" w:rsidRDefault="00A41B7E" w:rsidP="00A41B7E">
            <w:pPr>
              <w:spacing w:line="240" w:lineRule="auto"/>
              <w:rPr>
                <w:rFonts w:eastAsia="Times New Roman" w:cs="Arial"/>
                <w:szCs w:val="24"/>
              </w:rPr>
            </w:pPr>
            <w:r w:rsidRPr="00A41B7E">
              <w:rPr>
                <w:b/>
                <w:bCs/>
                <w:szCs w:val="20"/>
              </w:rPr>
              <w:t xml:space="preserve">Клопидогрел 75 </w:t>
            </w:r>
            <w:r w:rsidRPr="00A41B7E">
              <w:rPr>
                <w:b/>
                <w:bCs/>
                <w:szCs w:val="20"/>
                <w:lang w:val="en-US"/>
              </w:rPr>
              <w:t>mg</w:t>
            </w:r>
          </w:p>
        </w:tc>
      </w:tr>
      <w:tr w:rsidR="00A41B7E" w14:paraId="5FAAAEA4" w14:textId="77777777" w:rsidTr="00A41B7E">
        <w:tc>
          <w:tcPr>
            <w:tcW w:w="3192" w:type="dxa"/>
          </w:tcPr>
          <w:p w14:paraId="38E3FEB5" w14:textId="27CF838D" w:rsidR="00A41B7E" w:rsidRPr="00A41B7E" w:rsidRDefault="00A41B7E" w:rsidP="00A41B7E">
            <w:pPr>
              <w:spacing w:line="240" w:lineRule="auto"/>
              <w:rPr>
                <w:rFonts w:eastAsia="Times New Roman" w:cs="Arial"/>
                <w:szCs w:val="24"/>
              </w:rPr>
            </w:pPr>
            <w:r w:rsidRPr="00A41B7E">
              <w:rPr>
                <w:szCs w:val="20"/>
              </w:rPr>
              <w:t xml:space="preserve">&gt;75 години </w:t>
            </w:r>
            <w:r w:rsidRPr="00A41B7E">
              <w:rPr>
                <w:szCs w:val="20"/>
                <w:lang w:val="en-US"/>
              </w:rPr>
              <w:t>(N=1785)*</w:t>
            </w:r>
          </w:p>
        </w:tc>
        <w:tc>
          <w:tcPr>
            <w:tcW w:w="3192" w:type="dxa"/>
          </w:tcPr>
          <w:p w14:paraId="1DAF2752" w14:textId="5EF68CBD" w:rsidR="00A41B7E" w:rsidRPr="00A41B7E" w:rsidRDefault="00A41B7E" w:rsidP="00A41B7E">
            <w:pPr>
              <w:spacing w:line="240" w:lineRule="auto"/>
              <w:rPr>
                <w:rFonts w:eastAsia="Times New Roman" w:cs="Arial"/>
                <w:szCs w:val="24"/>
              </w:rPr>
            </w:pPr>
            <w:r w:rsidRPr="00A41B7E">
              <w:rPr>
                <w:szCs w:val="20"/>
              </w:rPr>
              <w:t>9.0% (1.0% фатален изход)</w:t>
            </w:r>
          </w:p>
        </w:tc>
        <w:tc>
          <w:tcPr>
            <w:tcW w:w="3192" w:type="dxa"/>
          </w:tcPr>
          <w:p w14:paraId="638425CA" w14:textId="33822AAB" w:rsidR="00A41B7E" w:rsidRPr="00A41B7E" w:rsidRDefault="00A41B7E" w:rsidP="00A41B7E">
            <w:pPr>
              <w:spacing w:line="240" w:lineRule="auto"/>
              <w:rPr>
                <w:rFonts w:eastAsia="Times New Roman" w:cs="Arial"/>
                <w:szCs w:val="24"/>
              </w:rPr>
            </w:pPr>
            <w:r w:rsidRPr="00A41B7E">
              <w:rPr>
                <w:szCs w:val="20"/>
              </w:rPr>
              <w:t>6.9% (0.1% фатален изход)</w:t>
            </w:r>
          </w:p>
        </w:tc>
      </w:tr>
      <w:tr w:rsidR="00A41B7E" w14:paraId="59508C32" w14:textId="77777777" w:rsidTr="00A41B7E">
        <w:tc>
          <w:tcPr>
            <w:tcW w:w="3192" w:type="dxa"/>
          </w:tcPr>
          <w:p w14:paraId="31FAB7E0" w14:textId="23ABAD34" w:rsidR="00A41B7E" w:rsidRPr="00A41B7E" w:rsidRDefault="00A41B7E" w:rsidP="00A41B7E">
            <w:pPr>
              <w:spacing w:line="240" w:lineRule="auto"/>
              <w:rPr>
                <w:rFonts w:eastAsia="Times New Roman" w:cs="Arial"/>
                <w:szCs w:val="24"/>
              </w:rPr>
            </w:pPr>
            <w:r w:rsidRPr="00A41B7E">
              <w:rPr>
                <w:szCs w:val="20"/>
              </w:rPr>
              <w:t xml:space="preserve">&lt;75 години </w:t>
            </w:r>
            <w:r w:rsidRPr="00A41B7E">
              <w:rPr>
                <w:szCs w:val="20"/>
                <w:lang w:val="en-US"/>
              </w:rPr>
              <w:t>(N=</w:t>
            </w:r>
            <w:r w:rsidRPr="00A41B7E">
              <w:rPr>
                <w:szCs w:val="20"/>
              </w:rPr>
              <w:t>11672)*</w:t>
            </w:r>
          </w:p>
        </w:tc>
        <w:tc>
          <w:tcPr>
            <w:tcW w:w="3192" w:type="dxa"/>
          </w:tcPr>
          <w:p w14:paraId="7A6CCE3C" w14:textId="0C205785" w:rsidR="00A41B7E" w:rsidRPr="00A41B7E" w:rsidRDefault="00A41B7E" w:rsidP="00A41B7E">
            <w:pPr>
              <w:spacing w:line="240" w:lineRule="auto"/>
              <w:rPr>
                <w:rFonts w:eastAsia="Times New Roman" w:cs="Arial"/>
                <w:szCs w:val="24"/>
              </w:rPr>
            </w:pPr>
            <w:r w:rsidRPr="00A41B7E">
              <w:rPr>
                <w:szCs w:val="20"/>
              </w:rPr>
              <w:t>3.8% (0.2% фатален изход)</w:t>
            </w:r>
          </w:p>
        </w:tc>
        <w:tc>
          <w:tcPr>
            <w:tcW w:w="3192" w:type="dxa"/>
          </w:tcPr>
          <w:p w14:paraId="3B30C70A" w14:textId="4FCA4290" w:rsidR="00A41B7E" w:rsidRPr="00A41B7E" w:rsidRDefault="00A41B7E" w:rsidP="00A41B7E">
            <w:pPr>
              <w:spacing w:line="240" w:lineRule="auto"/>
              <w:rPr>
                <w:rFonts w:eastAsia="Times New Roman" w:cs="Arial"/>
                <w:szCs w:val="24"/>
              </w:rPr>
            </w:pPr>
            <w:r w:rsidRPr="00A41B7E">
              <w:rPr>
                <w:szCs w:val="20"/>
              </w:rPr>
              <w:t>2.9% (0.1% фатален изход)</w:t>
            </w:r>
          </w:p>
        </w:tc>
      </w:tr>
      <w:tr w:rsidR="00A41B7E" w14:paraId="3D66C7ED" w14:textId="77777777" w:rsidTr="00A41B7E">
        <w:tc>
          <w:tcPr>
            <w:tcW w:w="3192" w:type="dxa"/>
          </w:tcPr>
          <w:p w14:paraId="021F3189" w14:textId="1D685F76" w:rsidR="00A41B7E" w:rsidRPr="00A41B7E" w:rsidRDefault="00A41B7E" w:rsidP="00A41B7E">
            <w:pPr>
              <w:spacing w:line="240" w:lineRule="auto"/>
              <w:rPr>
                <w:rFonts w:eastAsia="Times New Roman" w:cs="Arial"/>
                <w:szCs w:val="24"/>
              </w:rPr>
            </w:pPr>
            <w:r w:rsidRPr="00A41B7E">
              <w:rPr>
                <w:szCs w:val="20"/>
              </w:rPr>
              <w:t xml:space="preserve">&lt;75 години </w:t>
            </w:r>
            <w:r w:rsidRPr="00A41B7E">
              <w:rPr>
                <w:szCs w:val="20"/>
                <w:lang w:val="en-US"/>
              </w:rPr>
              <w:t>(N=7180)**</w:t>
            </w:r>
          </w:p>
        </w:tc>
        <w:tc>
          <w:tcPr>
            <w:tcW w:w="3192" w:type="dxa"/>
          </w:tcPr>
          <w:p w14:paraId="01BC004F" w14:textId="482300D7" w:rsidR="00A41B7E" w:rsidRPr="00A41B7E" w:rsidRDefault="00A41B7E" w:rsidP="00A41B7E">
            <w:pPr>
              <w:spacing w:line="240" w:lineRule="auto"/>
              <w:rPr>
                <w:rFonts w:eastAsia="Times New Roman" w:cs="Arial"/>
                <w:szCs w:val="24"/>
              </w:rPr>
            </w:pPr>
            <w:r w:rsidRPr="00A41B7E">
              <w:rPr>
                <w:szCs w:val="20"/>
              </w:rPr>
              <w:t>2.0% (0.1% фатален изход)</w:t>
            </w:r>
            <w:r w:rsidRPr="00A41B7E">
              <w:rPr>
                <w:szCs w:val="20"/>
                <w:vertAlign w:val="superscript"/>
              </w:rPr>
              <w:t>а</w:t>
            </w:r>
          </w:p>
        </w:tc>
        <w:tc>
          <w:tcPr>
            <w:tcW w:w="3192" w:type="dxa"/>
          </w:tcPr>
          <w:p w14:paraId="24647845" w14:textId="01E4232F" w:rsidR="00A41B7E" w:rsidRPr="00A41B7E" w:rsidRDefault="00A41B7E" w:rsidP="00A41B7E">
            <w:pPr>
              <w:spacing w:line="240" w:lineRule="auto"/>
              <w:rPr>
                <w:rFonts w:eastAsia="Times New Roman" w:cs="Arial"/>
                <w:szCs w:val="24"/>
              </w:rPr>
            </w:pPr>
            <w:r w:rsidRPr="00A41B7E">
              <w:rPr>
                <w:szCs w:val="20"/>
              </w:rPr>
              <w:t>1.3% (0.1% фатален</w:t>
            </w:r>
            <w:r w:rsidRPr="00A41B7E">
              <w:rPr>
                <w:szCs w:val="20"/>
                <w:lang w:val="en-US"/>
              </w:rPr>
              <w:t xml:space="preserve"> </w:t>
            </w:r>
            <w:r w:rsidRPr="00A41B7E">
              <w:rPr>
                <w:szCs w:val="20"/>
              </w:rPr>
              <w:t>изход)</w:t>
            </w:r>
          </w:p>
        </w:tc>
      </w:tr>
      <w:tr w:rsidR="00A41B7E" w14:paraId="2DE05FCF" w14:textId="77777777" w:rsidTr="00A41B7E">
        <w:tc>
          <w:tcPr>
            <w:tcW w:w="3192" w:type="dxa"/>
          </w:tcPr>
          <w:p w14:paraId="2B10B1A1" w14:textId="77777777" w:rsidR="00A41B7E" w:rsidRPr="00A41B7E" w:rsidRDefault="00A41B7E" w:rsidP="00A41B7E">
            <w:pPr>
              <w:spacing w:line="240" w:lineRule="auto"/>
              <w:rPr>
                <w:rFonts w:eastAsia="Times New Roman" w:cs="Arial"/>
                <w:szCs w:val="24"/>
              </w:rPr>
            </w:pPr>
          </w:p>
        </w:tc>
        <w:tc>
          <w:tcPr>
            <w:tcW w:w="3192" w:type="dxa"/>
          </w:tcPr>
          <w:p w14:paraId="3A7B41DC" w14:textId="282664D8" w:rsidR="00A41B7E" w:rsidRPr="00A41B7E" w:rsidRDefault="00A41B7E" w:rsidP="00A41B7E">
            <w:pPr>
              <w:spacing w:line="240" w:lineRule="auto"/>
              <w:rPr>
                <w:rFonts w:eastAsia="Times New Roman" w:cs="Arial"/>
                <w:szCs w:val="24"/>
              </w:rPr>
            </w:pPr>
            <w:r w:rsidRPr="00A41B7E">
              <w:rPr>
                <w:b/>
                <w:bCs/>
                <w:szCs w:val="20"/>
              </w:rPr>
              <w:t xml:space="preserve">Прасугрел 5 </w:t>
            </w:r>
            <w:r w:rsidRPr="00A41B7E">
              <w:rPr>
                <w:b/>
                <w:bCs/>
                <w:szCs w:val="20"/>
                <w:lang w:val="en-US"/>
              </w:rPr>
              <w:t>mg</w:t>
            </w:r>
          </w:p>
        </w:tc>
        <w:tc>
          <w:tcPr>
            <w:tcW w:w="3192" w:type="dxa"/>
          </w:tcPr>
          <w:p w14:paraId="259A5CA1" w14:textId="63F770BC" w:rsidR="00A41B7E" w:rsidRPr="00A41B7E" w:rsidRDefault="00A41B7E" w:rsidP="00A41B7E">
            <w:pPr>
              <w:spacing w:line="240" w:lineRule="auto"/>
              <w:rPr>
                <w:rFonts w:eastAsia="Times New Roman" w:cs="Arial"/>
                <w:szCs w:val="24"/>
              </w:rPr>
            </w:pPr>
            <w:r w:rsidRPr="00A41B7E">
              <w:rPr>
                <w:b/>
                <w:bCs/>
                <w:szCs w:val="20"/>
              </w:rPr>
              <w:t>Клопидогрел 75</w:t>
            </w:r>
            <w:r w:rsidRPr="00A41B7E">
              <w:rPr>
                <w:b/>
                <w:bCs/>
                <w:szCs w:val="20"/>
                <w:lang w:val="en-US"/>
              </w:rPr>
              <w:t>mg</w:t>
            </w:r>
          </w:p>
        </w:tc>
      </w:tr>
      <w:tr w:rsidR="00A41B7E" w14:paraId="718A742C" w14:textId="77777777" w:rsidTr="00A41B7E">
        <w:tc>
          <w:tcPr>
            <w:tcW w:w="3192" w:type="dxa"/>
          </w:tcPr>
          <w:p w14:paraId="13C86171" w14:textId="78BA87CD" w:rsidR="00A41B7E" w:rsidRPr="00A41B7E" w:rsidRDefault="00A41B7E" w:rsidP="00A41B7E">
            <w:pPr>
              <w:spacing w:line="240" w:lineRule="auto"/>
              <w:rPr>
                <w:rFonts w:eastAsia="Times New Roman" w:cs="Arial"/>
                <w:szCs w:val="24"/>
              </w:rPr>
            </w:pPr>
            <w:r w:rsidRPr="00A41B7E">
              <w:rPr>
                <w:szCs w:val="20"/>
              </w:rPr>
              <w:t xml:space="preserve">≥75 години </w:t>
            </w:r>
            <w:r w:rsidRPr="00A41B7E">
              <w:rPr>
                <w:szCs w:val="20"/>
                <w:lang w:val="en-US"/>
              </w:rPr>
              <w:t>(N=2060)**</w:t>
            </w:r>
          </w:p>
        </w:tc>
        <w:tc>
          <w:tcPr>
            <w:tcW w:w="3192" w:type="dxa"/>
          </w:tcPr>
          <w:p w14:paraId="094EEC58" w14:textId="26F8C9AC" w:rsidR="00A41B7E" w:rsidRPr="00A41B7E" w:rsidRDefault="00A41B7E" w:rsidP="00A41B7E">
            <w:pPr>
              <w:spacing w:line="240" w:lineRule="auto"/>
              <w:rPr>
                <w:rFonts w:eastAsia="Times New Roman" w:cs="Arial"/>
                <w:szCs w:val="24"/>
              </w:rPr>
            </w:pPr>
            <w:r w:rsidRPr="00A41B7E">
              <w:rPr>
                <w:szCs w:val="20"/>
              </w:rPr>
              <w:t>2.6% (0.3% фатален изход)</w:t>
            </w:r>
          </w:p>
        </w:tc>
        <w:tc>
          <w:tcPr>
            <w:tcW w:w="3192" w:type="dxa"/>
          </w:tcPr>
          <w:p w14:paraId="33CD999A" w14:textId="315D8B40" w:rsidR="00A41B7E" w:rsidRPr="00A41B7E" w:rsidRDefault="00A41B7E" w:rsidP="00A41B7E">
            <w:pPr>
              <w:spacing w:line="240" w:lineRule="auto"/>
              <w:rPr>
                <w:rFonts w:eastAsia="Times New Roman" w:cs="Arial"/>
                <w:szCs w:val="24"/>
              </w:rPr>
            </w:pPr>
            <w:r w:rsidRPr="00A41B7E">
              <w:rPr>
                <w:szCs w:val="20"/>
              </w:rPr>
              <w:t>3.0% (0.5% фатален изход)</w:t>
            </w:r>
          </w:p>
        </w:tc>
      </w:tr>
    </w:tbl>
    <w:p w14:paraId="785AAA17" w14:textId="77777777" w:rsidR="00A41B7E" w:rsidRPr="00A41B7E" w:rsidRDefault="00A41B7E" w:rsidP="00A41B7E">
      <w:pPr>
        <w:spacing w:line="240" w:lineRule="auto"/>
        <w:rPr>
          <w:rFonts w:eastAsia="Times New Roman" w:cs="Arial"/>
          <w:i/>
          <w:iCs/>
          <w:color w:val="000000"/>
          <w:szCs w:val="20"/>
          <w:lang w:eastAsia="bg-BG"/>
        </w:rPr>
      </w:pPr>
      <w:r w:rsidRPr="00A41B7E">
        <w:rPr>
          <w:rFonts w:eastAsia="Times New Roman" w:cs="Arial"/>
          <w:i/>
          <w:iCs/>
          <w:color w:val="000000"/>
          <w:szCs w:val="20"/>
          <w:lang w:val="ru-RU" w:eastAsia="bg-BG"/>
        </w:rPr>
        <w:t>*</w:t>
      </w:r>
      <w:r w:rsidRPr="00A41B7E">
        <w:rPr>
          <w:rFonts w:eastAsia="Times New Roman" w:cs="Arial"/>
          <w:i/>
          <w:iCs/>
          <w:color w:val="000000"/>
          <w:szCs w:val="20"/>
          <w:lang w:eastAsia="bg-BG"/>
        </w:rPr>
        <w:t xml:space="preserve">Проучване </w:t>
      </w:r>
      <w:r w:rsidRPr="00A41B7E">
        <w:rPr>
          <w:rFonts w:eastAsia="Times New Roman" w:cs="Arial"/>
          <w:i/>
          <w:iCs/>
          <w:color w:val="000000"/>
          <w:szCs w:val="20"/>
          <w:lang w:val="en-US"/>
        </w:rPr>
        <w:t>TRITON</w:t>
      </w:r>
      <w:r w:rsidRPr="00A41B7E">
        <w:rPr>
          <w:rFonts w:eastAsia="Times New Roman" w:cs="Arial"/>
          <w:i/>
          <w:iCs/>
          <w:color w:val="000000"/>
          <w:szCs w:val="20"/>
          <w:lang w:val="ru-RU"/>
        </w:rPr>
        <w:t xml:space="preserve"> </w:t>
      </w:r>
      <w:r w:rsidRPr="00A41B7E">
        <w:rPr>
          <w:rFonts w:eastAsia="Times New Roman" w:cs="Arial"/>
          <w:i/>
          <w:iCs/>
          <w:color w:val="000000"/>
          <w:szCs w:val="20"/>
          <w:lang w:eastAsia="bg-BG"/>
        </w:rPr>
        <w:t xml:space="preserve">при пациенти с ОКС, подлежащи на </w:t>
      </w:r>
      <w:r w:rsidRPr="00A41B7E">
        <w:rPr>
          <w:rFonts w:eastAsia="Times New Roman" w:cs="Arial"/>
          <w:i/>
          <w:iCs/>
          <w:color w:val="000000"/>
          <w:szCs w:val="20"/>
          <w:lang w:val="en-US"/>
        </w:rPr>
        <w:t>PCI</w:t>
      </w:r>
    </w:p>
    <w:p w14:paraId="15DA2374" w14:textId="22D944CE" w:rsidR="00A41B7E" w:rsidRPr="00A41B7E" w:rsidRDefault="00A41B7E" w:rsidP="00A41B7E">
      <w:pPr>
        <w:spacing w:line="240" w:lineRule="auto"/>
        <w:rPr>
          <w:rFonts w:eastAsia="Times New Roman" w:cs="Arial"/>
          <w:i/>
          <w:iCs/>
          <w:color w:val="000000"/>
          <w:szCs w:val="20"/>
          <w:lang w:eastAsia="bg-BG"/>
        </w:rPr>
      </w:pPr>
      <w:r w:rsidRPr="00A41B7E">
        <w:rPr>
          <w:rFonts w:eastAsia="Times New Roman" w:cs="Arial"/>
          <w:i/>
          <w:iCs/>
          <w:color w:val="000000"/>
          <w:szCs w:val="20"/>
          <w:lang w:val="ru-RU" w:eastAsia="bg-BG"/>
        </w:rPr>
        <w:t>**</w:t>
      </w:r>
      <w:r w:rsidRPr="00A41B7E">
        <w:rPr>
          <w:rFonts w:eastAsia="Times New Roman" w:cs="Arial"/>
          <w:i/>
          <w:iCs/>
          <w:color w:val="000000"/>
          <w:szCs w:val="20"/>
          <w:lang w:eastAsia="bg-BG"/>
        </w:rPr>
        <w:t xml:space="preserve">Проучване </w:t>
      </w:r>
      <w:r w:rsidRPr="00A41B7E">
        <w:rPr>
          <w:rFonts w:eastAsia="Times New Roman" w:cs="Arial"/>
          <w:i/>
          <w:iCs/>
          <w:color w:val="000000"/>
          <w:szCs w:val="20"/>
          <w:lang w:val="en-US"/>
        </w:rPr>
        <w:t>TRILOGY</w:t>
      </w:r>
      <w:r w:rsidRPr="00A41B7E">
        <w:rPr>
          <w:rFonts w:eastAsia="Times New Roman" w:cs="Arial"/>
          <w:i/>
          <w:iCs/>
          <w:color w:val="000000"/>
          <w:szCs w:val="20"/>
          <w:lang w:val="ru-RU"/>
        </w:rPr>
        <w:t>-</w:t>
      </w:r>
      <w:r w:rsidRPr="00A41B7E">
        <w:rPr>
          <w:rFonts w:eastAsia="Times New Roman" w:cs="Arial"/>
          <w:i/>
          <w:iCs/>
          <w:color w:val="000000"/>
          <w:szCs w:val="20"/>
          <w:lang w:val="en-US"/>
        </w:rPr>
        <w:t>ACS</w:t>
      </w:r>
      <w:r w:rsidRPr="00A41B7E">
        <w:rPr>
          <w:rFonts w:eastAsia="Times New Roman" w:cs="Arial"/>
          <w:i/>
          <w:iCs/>
          <w:color w:val="000000"/>
          <w:szCs w:val="20"/>
          <w:lang w:val="ru-RU"/>
        </w:rPr>
        <w:t xml:space="preserve"> </w:t>
      </w:r>
      <w:r w:rsidRPr="00A41B7E">
        <w:rPr>
          <w:rFonts w:eastAsia="Times New Roman" w:cs="Arial"/>
          <w:i/>
          <w:iCs/>
          <w:color w:val="000000"/>
          <w:szCs w:val="20"/>
          <w:lang w:eastAsia="bg-BG"/>
        </w:rPr>
        <w:t xml:space="preserve">при пациенти, неподлежащи на </w:t>
      </w:r>
      <w:r w:rsidRPr="00A41B7E">
        <w:rPr>
          <w:rFonts w:eastAsia="Times New Roman" w:cs="Arial"/>
          <w:i/>
          <w:iCs/>
          <w:color w:val="000000"/>
          <w:szCs w:val="20"/>
          <w:lang w:val="en-US"/>
        </w:rPr>
        <w:t>PCI</w:t>
      </w:r>
      <w:r w:rsidRPr="00A41B7E">
        <w:rPr>
          <w:rFonts w:eastAsia="Times New Roman" w:cs="Arial"/>
          <w:i/>
          <w:iCs/>
          <w:color w:val="000000"/>
          <w:szCs w:val="20"/>
          <w:lang w:val="ru-RU"/>
        </w:rPr>
        <w:t xml:space="preserve"> </w:t>
      </w:r>
      <w:r w:rsidRPr="00A41B7E">
        <w:rPr>
          <w:rFonts w:eastAsia="Times New Roman" w:cs="Arial"/>
          <w:i/>
          <w:iCs/>
          <w:color w:val="000000"/>
          <w:szCs w:val="20"/>
          <w:lang w:eastAsia="bg-BG"/>
        </w:rPr>
        <w:t>(вж. точка 5.1):</w:t>
      </w:r>
    </w:p>
    <w:p w14:paraId="6C8EDF32" w14:textId="77777777"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lang w:eastAsia="bg-BG"/>
        </w:rPr>
        <w:t xml:space="preserve">а </w:t>
      </w:r>
      <w:r w:rsidRPr="00A41B7E">
        <w:rPr>
          <w:rFonts w:eastAsia="Times New Roman" w:cs="Arial"/>
          <w:i/>
          <w:iCs/>
          <w:color w:val="000000"/>
          <w:szCs w:val="20"/>
          <w:lang w:eastAsia="bg-BG"/>
        </w:rPr>
        <w:t xml:space="preserve">10 </w:t>
      </w:r>
      <w:r w:rsidRPr="00A41B7E">
        <w:rPr>
          <w:rFonts w:eastAsia="Times New Roman" w:cs="Arial"/>
          <w:i/>
          <w:iCs/>
          <w:color w:val="000000"/>
          <w:szCs w:val="20"/>
          <w:lang w:val="en-US"/>
        </w:rPr>
        <w:t>mg</w:t>
      </w:r>
      <w:r w:rsidRPr="00A41B7E">
        <w:rPr>
          <w:rFonts w:eastAsia="Times New Roman" w:cs="Arial"/>
          <w:i/>
          <w:iCs/>
          <w:color w:val="000000"/>
          <w:szCs w:val="20"/>
          <w:lang w:val="ru-RU"/>
        </w:rPr>
        <w:t xml:space="preserve"> </w:t>
      </w:r>
      <w:r w:rsidRPr="00A41B7E">
        <w:rPr>
          <w:rFonts w:eastAsia="Times New Roman" w:cs="Arial"/>
          <w:i/>
          <w:iCs/>
          <w:color w:val="000000"/>
          <w:szCs w:val="20"/>
          <w:lang w:eastAsia="bg-BG"/>
        </w:rPr>
        <w:t xml:space="preserve">прасугрел, 5 </w:t>
      </w:r>
      <w:r w:rsidRPr="00A41B7E">
        <w:rPr>
          <w:rFonts w:eastAsia="Times New Roman" w:cs="Arial"/>
          <w:i/>
          <w:iCs/>
          <w:color w:val="000000"/>
          <w:szCs w:val="20"/>
          <w:lang w:val="en-US"/>
        </w:rPr>
        <w:t>mg</w:t>
      </w:r>
      <w:r w:rsidRPr="00A41B7E">
        <w:rPr>
          <w:rFonts w:eastAsia="Times New Roman" w:cs="Arial"/>
          <w:i/>
          <w:iCs/>
          <w:color w:val="000000"/>
          <w:szCs w:val="20"/>
          <w:lang w:val="ru-RU"/>
        </w:rPr>
        <w:t xml:space="preserve"> </w:t>
      </w:r>
      <w:r w:rsidRPr="00A41B7E">
        <w:rPr>
          <w:rFonts w:eastAsia="Times New Roman" w:cs="Arial"/>
          <w:i/>
          <w:iCs/>
          <w:color w:val="000000"/>
          <w:szCs w:val="20"/>
          <w:lang w:eastAsia="bg-BG"/>
        </w:rPr>
        <w:t xml:space="preserve">прасугрел, ако &lt;60 </w:t>
      </w:r>
      <w:r w:rsidRPr="00A41B7E">
        <w:rPr>
          <w:rFonts w:eastAsia="Times New Roman" w:cs="Arial"/>
          <w:i/>
          <w:iCs/>
          <w:color w:val="000000"/>
          <w:szCs w:val="20"/>
          <w:lang w:val="en-US"/>
        </w:rPr>
        <w:t>kg</w:t>
      </w:r>
    </w:p>
    <w:p w14:paraId="305A64FC" w14:textId="77777777" w:rsidR="00A41B7E" w:rsidRPr="00A41B7E" w:rsidRDefault="00A41B7E" w:rsidP="00A41B7E">
      <w:pPr>
        <w:spacing w:line="240" w:lineRule="auto"/>
        <w:rPr>
          <w:rFonts w:eastAsia="Times New Roman" w:cs="Arial"/>
          <w:i/>
          <w:iCs/>
          <w:color w:val="000000"/>
          <w:szCs w:val="20"/>
          <w:u w:val="single"/>
          <w:lang w:eastAsia="bg-BG"/>
        </w:rPr>
      </w:pPr>
    </w:p>
    <w:p w14:paraId="40157AFF" w14:textId="45001CB7"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u w:val="single"/>
          <w:lang w:eastAsia="bg-BG"/>
        </w:rPr>
        <w:t xml:space="preserve">Пациенти &lt;60 </w:t>
      </w:r>
      <w:proofErr w:type="spellStart"/>
      <w:r w:rsidRPr="00A41B7E">
        <w:rPr>
          <w:rFonts w:eastAsia="Times New Roman" w:cs="Arial"/>
          <w:i/>
          <w:iCs/>
          <w:color w:val="000000"/>
          <w:szCs w:val="20"/>
          <w:u w:val="single"/>
          <w:lang w:val="en-US"/>
        </w:rPr>
        <w:t>ks</w:t>
      </w:r>
      <w:proofErr w:type="spellEnd"/>
    </w:p>
    <w:p w14:paraId="131C6FF7" w14:textId="77777777"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lang w:eastAsia="bg-BG"/>
        </w:rPr>
        <w:t xml:space="preserve">Честота на значително или незначително кървене съгласно </w:t>
      </w:r>
      <w:r w:rsidRPr="00A41B7E">
        <w:rPr>
          <w:rFonts w:eastAsia="Times New Roman" w:cs="Arial"/>
          <w:color w:val="000000"/>
          <w:szCs w:val="20"/>
          <w:lang w:val="en-US"/>
        </w:rPr>
        <w:t>TIMI</w:t>
      </w:r>
      <w:r w:rsidRPr="00A41B7E">
        <w:rPr>
          <w:rFonts w:eastAsia="Times New Roman" w:cs="Arial"/>
          <w:color w:val="000000"/>
          <w:szCs w:val="20"/>
          <w:lang w:val="ru-RU"/>
        </w:rPr>
        <w:t xml:space="preserve">, </w:t>
      </w:r>
      <w:r w:rsidRPr="00A41B7E">
        <w:rPr>
          <w:rFonts w:eastAsia="Times New Roman" w:cs="Arial"/>
          <w:color w:val="000000"/>
          <w:szCs w:val="20"/>
          <w:lang w:eastAsia="bg-BG"/>
        </w:rPr>
        <w:t>несвързано с аортокоронарен байпас (АКБ):</w:t>
      </w:r>
    </w:p>
    <w:tbl>
      <w:tblPr>
        <w:tblStyle w:val="TableGrid"/>
        <w:tblW w:w="0" w:type="auto"/>
        <w:tblLook w:val="04A0" w:firstRow="1" w:lastRow="0" w:firstColumn="1" w:lastColumn="0" w:noHBand="0" w:noVBand="1"/>
      </w:tblPr>
      <w:tblGrid>
        <w:gridCol w:w="3112"/>
        <w:gridCol w:w="3113"/>
        <w:gridCol w:w="3125"/>
      </w:tblGrid>
      <w:tr w:rsidR="00A41B7E" w14:paraId="0FFA7012" w14:textId="77777777" w:rsidTr="00A41B7E">
        <w:tc>
          <w:tcPr>
            <w:tcW w:w="3192" w:type="dxa"/>
          </w:tcPr>
          <w:p w14:paraId="4E99A405" w14:textId="5922C188" w:rsidR="00A41B7E" w:rsidRPr="00A41B7E" w:rsidRDefault="00A41B7E" w:rsidP="00A41B7E">
            <w:pPr>
              <w:spacing w:line="240" w:lineRule="auto"/>
              <w:rPr>
                <w:rFonts w:eastAsia="Times New Roman" w:cs="Arial"/>
                <w:szCs w:val="24"/>
              </w:rPr>
            </w:pPr>
            <w:r w:rsidRPr="00A41B7E">
              <w:rPr>
                <w:b/>
                <w:bCs/>
                <w:szCs w:val="20"/>
              </w:rPr>
              <w:t>Тегло</w:t>
            </w:r>
          </w:p>
        </w:tc>
        <w:tc>
          <w:tcPr>
            <w:tcW w:w="3192" w:type="dxa"/>
          </w:tcPr>
          <w:p w14:paraId="773639CA" w14:textId="256756C0" w:rsidR="00A41B7E" w:rsidRPr="00A41B7E" w:rsidRDefault="00A41B7E" w:rsidP="00A41B7E">
            <w:pPr>
              <w:spacing w:line="240" w:lineRule="auto"/>
              <w:rPr>
                <w:rFonts w:eastAsia="Times New Roman" w:cs="Arial"/>
                <w:szCs w:val="24"/>
              </w:rPr>
            </w:pPr>
            <w:r w:rsidRPr="00A41B7E">
              <w:rPr>
                <w:b/>
                <w:bCs/>
                <w:szCs w:val="20"/>
              </w:rPr>
              <w:t xml:space="preserve">Прасугрел </w:t>
            </w:r>
            <w:r w:rsidRPr="00A41B7E">
              <w:rPr>
                <w:b/>
                <w:bCs/>
                <w:szCs w:val="20"/>
                <w:lang w:val="en-US"/>
              </w:rPr>
              <w:t>10 mg</w:t>
            </w:r>
          </w:p>
        </w:tc>
        <w:tc>
          <w:tcPr>
            <w:tcW w:w="3192" w:type="dxa"/>
          </w:tcPr>
          <w:p w14:paraId="765402C0" w14:textId="0877BD26" w:rsidR="00A41B7E" w:rsidRPr="00A41B7E" w:rsidRDefault="00A41B7E" w:rsidP="00A41B7E">
            <w:pPr>
              <w:spacing w:line="240" w:lineRule="auto"/>
              <w:rPr>
                <w:rFonts w:eastAsia="Times New Roman" w:cs="Arial"/>
                <w:szCs w:val="24"/>
              </w:rPr>
            </w:pPr>
            <w:r w:rsidRPr="00A41B7E">
              <w:rPr>
                <w:b/>
                <w:bCs/>
                <w:szCs w:val="20"/>
              </w:rPr>
              <w:t xml:space="preserve">Клопидогрел 75 </w:t>
            </w:r>
            <w:r w:rsidRPr="00A41B7E">
              <w:rPr>
                <w:b/>
                <w:bCs/>
                <w:szCs w:val="20"/>
                <w:lang w:val="en-US"/>
              </w:rPr>
              <w:t>mg</w:t>
            </w:r>
          </w:p>
        </w:tc>
      </w:tr>
      <w:tr w:rsidR="00A41B7E" w14:paraId="53EBE6E0" w14:textId="77777777" w:rsidTr="00A41B7E">
        <w:tc>
          <w:tcPr>
            <w:tcW w:w="3192" w:type="dxa"/>
          </w:tcPr>
          <w:p w14:paraId="15AA20CF" w14:textId="74A01386" w:rsidR="00A41B7E" w:rsidRPr="00A41B7E" w:rsidRDefault="00A41B7E" w:rsidP="00A41B7E">
            <w:pPr>
              <w:spacing w:line="240" w:lineRule="auto"/>
              <w:rPr>
                <w:rFonts w:eastAsia="Times New Roman" w:cs="Arial"/>
                <w:szCs w:val="24"/>
              </w:rPr>
            </w:pPr>
            <w:r w:rsidRPr="00A41B7E">
              <w:rPr>
                <w:szCs w:val="20"/>
              </w:rPr>
              <w:t xml:space="preserve">&lt;60 </w:t>
            </w:r>
            <w:r w:rsidRPr="00A41B7E">
              <w:rPr>
                <w:szCs w:val="20"/>
                <w:lang w:val="en-US"/>
              </w:rPr>
              <w:t>kg (N=664)*</w:t>
            </w:r>
          </w:p>
        </w:tc>
        <w:tc>
          <w:tcPr>
            <w:tcW w:w="3192" w:type="dxa"/>
          </w:tcPr>
          <w:p w14:paraId="3AB95681" w14:textId="3C19E8C7" w:rsidR="00A41B7E" w:rsidRPr="00A41B7E" w:rsidRDefault="00A41B7E" w:rsidP="00A41B7E">
            <w:pPr>
              <w:spacing w:line="240" w:lineRule="auto"/>
              <w:rPr>
                <w:rFonts w:eastAsia="Times New Roman" w:cs="Arial"/>
                <w:szCs w:val="24"/>
              </w:rPr>
            </w:pPr>
            <w:r w:rsidRPr="00A41B7E">
              <w:rPr>
                <w:szCs w:val="20"/>
                <w:lang w:val="en-US"/>
              </w:rPr>
              <w:t xml:space="preserve">10.1% (0% </w:t>
            </w:r>
            <w:r w:rsidRPr="00A41B7E">
              <w:rPr>
                <w:szCs w:val="20"/>
              </w:rPr>
              <w:t>фатален изход)</w:t>
            </w:r>
          </w:p>
        </w:tc>
        <w:tc>
          <w:tcPr>
            <w:tcW w:w="3192" w:type="dxa"/>
          </w:tcPr>
          <w:p w14:paraId="73385A44" w14:textId="4903DFC0" w:rsidR="00A41B7E" w:rsidRPr="00A41B7E" w:rsidRDefault="00A41B7E" w:rsidP="00A41B7E">
            <w:pPr>
              <w:spacing w:line="240" w:lineRule="auto"/>
              <w:rPr>
                <w:rFonts w:eastAsia="Times New Roman" w:cs="Arial"/>
                <w:szCs w:val="24"/>
              </w:rPr>
            </w:pPr>
            <w:r w:rsidRPr="00A41B7E">
              <w:rPr>
                <w:szCs w:val="20"/>
              </w:rPr>
              <w:t>6.5% (0.3% фатален изход)</w:t>
            </w:r>
          </w:p>
        </w:tc>
      </w:tr>
      <w:tr w:rsidR="00A41B7E" w14:paraId="7C807CA8" w14:textId="77777777" w:rsidTr="00A41B7E">
        <w:tc>
          <w:tcPr>
            <w:tcW w:w="3192" w:type="dxa"/>
          </w:tcPr>
          <w:p w14:paraId="1C05091A" w14:textId="34ABB133" w:rsidR="00A41B7E" w:rsidRPr="00A41B7E" w:rsidRDefault="00A41B7E" w:rsidP="00A41B7E">
            <w:pPr>
              <w:spacing w:line="240" w:lineRule="auto"/>
              <w:rPr>
                <w:rFonts w:eastAsia="Times New Roman" w:cs="Arial"/>
                <w:szCs w:val="24"/>
              </w:rPr>
            </w:pPr>
            <w:r w:rsidRPr="00A41B7E">
              <w:rPr>
                <w:szCs w:val="20"/>
              </w:rPr>
              <w:t xml:space="preserve">≥60 </w:t>
            </w:r>
            <w:r w:rsidRPr="00A41B7E">
              <w:rPr>
                <w:szCs w:val="20"/>
                <w:lang w:val="en-US"/>
              </w:rPr>
              <w:t>kg (N=</w:t>
            </w:r>
            <w:r w:rsidRPr="00A41B7E">
              <w:rPr>
                <w:szCs w:val="20"/>
              </w:rPr>
              <w:t>12672)*</w:t>
            </w:r>
          </w:p>
        </w:tc>
        <w:tc>
          <w:tcPr>
            <w:tcW w:w="3192" w:type="dxa"/>
          </w:tcPr>
          <w:p w14:paraId="083AE93D" w14:textId="39B9D34F" w:rsidR="00A41B7E" w:rsidRPr="00A41B7E" w:rsidRDefault="00A41B7E" w:rsidP="00A41B7E">
            <w:pPr>
              <w:spacing w:line="240" w:lineRule="auto"/>
              <w:rPr>
                <w:rFonts w:eastAsia="Times New Roman" w:cs="Arial"/>
                <w:szCs w:val="24"/>
              </w:rPr>
            </w:pPr>
            <w:r w:rsidRPr="00A41B7E">
              <w:rPr>
                <w:szCs w:val="20"/>
                <w:lang w:val="en-US"/>
              </w:rPr>
              <w:t xml:space="preserve">4.2% (0.3% </w:t>
            </w:r>
            <w:r w:rsidRPr="00A41B7E">
              <w:rPr>
                <w:szCs w:val="20"/>
              </w:rPr>
              <w:t>фатален изход)</w:t>
            </w:r>
          </w:p>
        </w:tc>
        <w:tc>
          <w:tcPr>
            <w:tcW w:w="3192" w:type="dxa"/>
          </w:tcPr>
          <w:p w14:paraId="571284E0" w14:textId="28EC591D" w:rsidR="00A41B7E" w:rsidRPr="00A41B7E" w:rsidRDefault="00A41B7E" w:rsidP="00A41B7E">
            <w:pPr>
              <w:spacing w:line="240" w:lineRule="auto"/>
              <w:rPr>
                <w:rFonts w:eastAsia="Times New Roman" w:cs="Arial"/>
                <w:szCs w:val="24"/>
              </w:rPr>
            </w:pPr>
            <w:r w:rsidRPr="00A41B7E">
              <w:rPr>
                <w:szCs w:val="20"/>
              </w:rPr>
              <w:t>3.3% (0.1% фатален изход)</w:t>
            </w:r>
          </w:p>
        </w:tc>
      </w:tr>
      <w:tr w:rsidR="00A41B7E" w14:paraId="31023582" w14:textId="77777777" w:rsidTr="00A41B7E">
        <w:tc>
          <w:tcPr>
            <w:tcW w:w="3192" w:type="dxa"/>
          </w:tcPr>
          <w:p w14:paraId="683B3FD3" w14:textId="0E237818" w:rsidR="00A41B7E" w:rsidRPr="00A41B7E" w:rsidRDefault="00A41B7E" w:rsidP="00A41B7E">
            <w:pPr>
              <w:spacing w:line="240" w:lineRule="auto"/>
              <w:rPr>
                <w:rFonts w:eastAsia="Times New Roman" w:cs="Arial"/>
                <w:szCs w:val="24"/>
              </w:rPr>
            </w:pPr>
            <w:r w:rsidRPr="00A41B7E">
              <w:rPr>
                <w:szCs w:val="20"/>
              </w:rPr>
              <w:t xml:space="preserve">≥60 </w:t>
            </w:r>
            <w:r w:rsidRPr="00A41B7E">
              <w:rPr>
                <w:szCs w:val="20"/>
                <w:lang w:val="en-US"/>
              </w:rPr>
              <w:t>kg (N=7845)**</w:t>
            </w:r>
          </w:p>
        </w:tc>
        <w:tc>
          <w:tcPr>
            <w:tcW w:w="3192" w:type="dxa"/>
          </w:tcPr>
          <w:p w14:paraId="440C792A" w14:textId="01C2D9EF" w:rsidR="00A41B7E" w:rsidRPr="00A41B7E" w:rsidRDefault="00A41B7E" w:rsidP="00A41B7E">
            <w:pPr>
              <w:spacing w:line="240" w:lineRule="auto"/>
              <w:rPr>
                <w:rFonts w:eastAsia="Times New Roman" w:cs="Arial"/>
                <w:szCs w:val="24"/>
              </w:rPr>
            </w:pPr>
            <w:r w:rsidRPr="00A41B7E">
              <w:rPr>
                <w:szCs w:val="20"/>
              </w:rPr>
              <w:t>2.2% (0.2% фатален изход)</w:t>
            </w:r>
            <w:r w:rsidRPr="00A41B7E">
              <w:rPr>
                <w:szCs w:val="20"/>
                <w:vertAlign w:val="superscript"/>
              </w:rPr>
              <w:t>а</w:t>
            </w:r>
          </w:p>
        </w:tc>
        <w:tc>
          <w:tcPr>
            <w:tcW w:w="3192" w:type="dxa"/>
          </w:tcPr>
          <w:p w14:paraId="2D910F3C" w14:textId="2B2F558E" w:rsidR="00A41B7E" w:rsidRPr="00A41B7E" w:rsidRDefault="00A41B7E" w:rsidP="00A41B7E">
            <w:pPr>
              <w:spacing w:line="240" w:lineRule="auto"/>
              <w:rPr>
                <w:rFonts w:eastAsia="Times New Roman" w:cs="Arial"/>
                <w:szCs w:val="24"/>
              </w:rPr>
            </w:pPr>
            <w:r w:rsidRPr="00A41B7E">
              <w:rPr>
                <w:szCs w:val="20"/>
              </w:rPr>
              <w:t>1.6% (0.2% фатален изход)</w:t>
            </w:r>
          </w:p>
        </w:tc>
      </w:tr>
      <w:tr w:rsidR="00A41B7E" w14:paraId="2FED94B7" w14:textId="77777777" w:rsidTr="00A41B7E">
        <w:tc>
          <w:tcPr>
            <w:tcW w:w="3192" w:type="dxa"/>
          </w:tcPr>
          <w:p w14:paraId="3CCB855B" w14:textId="77777777" w:rsidR="00A41B7E" w:rsidRPr="00A41B7E" w:rsidRDefault="00A41B7E" w:rsidP="00A41B7E">
            <w:pPr>
              <w:spacing w:line="240" w:lineRule="auto"/>
              <w:rPr>
                <w:rFonts w:eastAsia="Times New Roman" w:cs="Arial"/>
                <w:szCs w:val="24"/>
              </w:rPr>
            </w:pPr>
          </w:p>
        </w:tc>
        <w:tc>
          <w:tcPr>
            <w:tcW w:w="3192" w:type="dxa"/>
          </w:tcPr>
          <w:p w14:paraId="66C7D8AF" w14:textId="51F1F71D" w:rsidR="00A41B7E" w:rsidRPr="00A41B7E" w:rsidRDefault="00A41B7E" w:rsidP="00A41B7E">
            <w:pPr>
              <w:spacing w:line="240" w:lineRule="auto"/>
              <w:rPr>
                <w:rFonts w:eastAsia="Times New Roman" w:cs="Arial"/>
                <w:szCs w:val="24"/>
              </w:rPr>
            </w:pPr>
            <w:r w:rsidRPr="00A41B7E">
              <w:rPr>
                <w:b/>
                <w:bCs/>
                <w:szCs w:val="20"/>
              </w:rPr>
              <w:t xml:space="preserve">Прасугрел 5 </w:t>
            </w:r>
            <w:r w:rsidRPr="00A41B7E">
              <w:rPr>
                <w:b/>
                <w:bCs/>
                <w:szCs w:val="20"/>
                <w:lang w:val="en-US"/>
              </w:rPr>
              <w:t>mg</w:t>
            </w:r>
          </w:p>
        </w:tc>
        <w:tc>
          <w:tcPr>
            <w:tcW w:w="3192" w:type="dxa"/>
          </w:tcPr>
          <w:p w14:paraId="1BD0AF9B" w14:textId="4AA1EBCD" w:rsidR="00A41B7E" w:rsidRPr="00A41B7E" w:rsidRDefault="00A41B7E" w:rsidP="00A41B7E">
            <w:pPr>
              <w:spacing w:line="240" w:lineRule="auto"/>
              <w:rPr>
                <w:rFonts w:eastAsia="Times New Roman" w:cs="Arial"/>
                <w:szCs w:val="24"/>
              </w:rPr>
            </w:pPr>
            <w:r w:rsidRPr="00A41B7E">
              <w:rPr>
                <w:b/>
                <w:bCs/>
                <w:szCs w:val="20"/>
              </w:rPr>
              <w:t xml:space="preserve">Клопидогрел 75 </w:t>
            </w:r>
            <w:r w:rsidRPr="00A41B7E">
              <w:rPr>
                <w:b/>
                <w:bCs/>
                <w:szCs w:val="20"/>
                <w:lang w:val="en-US"/>
              </w:rPr>
              <w:t>mg</w:t>
            </w:r>
          </w:p>
        </w:tc>
      </w:tr>
      <w:tr w:rsidR="00A41B7E" w14:paraId="08CB19F4" w14:textId="77777777" w:rsidTr="00A41B7E">
        <w:tc>
          <w:tcPr>
            <w:tcW w:w="3192" w:type="dxa"/>
          </w:tcPr>
          <w:p w14:paraId="486F0E4A" w14:textId="40DFF043" w:rsidR="00A41B7E" w:rsidRPr="00A41B7E" w:rsidRDefault="00A41B7E" w:rsidP="00A41B7E">
            <w:pPr>
              <w:spacing w:line="240" w:lineRule="auto"/>
              <w:rPr>
                <w:rFonts w:eastAsia="Times New Roman" w:cs="Arial"/>
                <w:szCs w:val="24"/>
              </w:rPr>
            </w:pPr>
            <w:r w:rsidRPr="00A41B7E">
              <w:rPr>
                <w:szCs w:val="20"/>
                <w:lang w:val="en-US"/>
              </w:rPr>
              <w:t>&lt;60kg (N=1391)**</w:t>
            </w:r>
          </w:p>
        </w:tc>
        <w:tc>
          <w:tcPr>
            <w:tcW w:w="3192" w:type="dxa"/>
          </w:tcPr>
          <w:p w14:paraId="6784169B" w14:textId="6A111D8B" w:rsidR="00A41B7E" w:rsidRPr="00A41B7E" w:rsidRDefault="00A41B7E" w:rsidP="00A41B7E">
            <w:pPr>
              <w:spacing w:line="240" w:lineRule="auto"/>
              <w:rPr>
                <w:rFonts w:eastAsia="Times New Roman" w:cs="Arial"/>
                <w:szCs w:val="24"/>
              </w:rPr>
            </w:pPr>
            <w:r w:rsidRPr="00A41B7E">
              <w:rPr>
                <w:szCs w:val="20"/>
              </w:rPr>
              <w:t>1.4% (0.1% фатален изход)</w:t>
            </w:r>
          </w:p>
        </w:tc>
        <w:tc>
          <w:tcPr>
            <w:tcW w:w="3192" w:type="dxa"/>
          </w:tcPr>
          <w:p w14:paraId="51641D76" w14:textId="2DA74A38" w:rsidR="00A41B7E" w:rsidRPr="00A41B7E" w:rsidRDefault="00A41B7E" w:rsidP="00A41B7E">
            <w:pPr>
              <w:spacing w:line="240" w:lineRule="auto"/>
              <w:rPr>
                <w:rFonts w:eastAsia="Times New Roman" w:cs="Arial"/>
                <w:szCs w:val="24"/>
              </w:rPr>
            </w:pPr>
            <w:r w:rsidRPr="00A41B7E">
              <w:rPr>
                <w:szCs w:val="20"/>
              </w:rPr>
              <w:t>2.2% (0.3% фатален изход)</w:t>
            </w:r>
          </w:p>
        </w:tc>
      </w:tr>
    </w:tbl>
    <w:p w14:paraId="48553873" w14:textId="11BABCF6" w:rsidR="00A41B7E" w:rsidRPr="00A41B7E" w:rsidRDefault="00A41B7E" w:rsidP="00A41B7E">
      <w:pPr>
        <w:spacing w:line="240" w:lineRule="auto"/>
        <w:rPr>
          <w:rFonts w:eastAsia="Times New Roman" w:cs="Arial"/>
          <w:i/>
          <w:iCs/>
          <w:color w:val="000000"/>
          <w:szCs w:val="20"/>
          <w:lang w:eastAsia="bg-BG"/>
        </w:rPr>
      </w:pPr>
      <w:r w:rsidRPr="00A41B7E">
        <w:rPr>
          <w:rFonts w:eastAsia="Times New Roman" w:cs="Arial"/>
          <w:i/>
          <w:iCs/>
          <w:color w:val="000000"/>
          <w:szCs w:val="20"/>
          <w:lang w:val="ru-RU" w:eastAsia="bg-BG"/>
        </w:rPr>
        <w:t>*</w:t>
      </w:r>
      <w:r w:rsidRPr="00A41B7E">
        <w:rPr>
          <w:rFonts w:eastAsia="Times New Roman" w:cs="Arial"/>
          <w:i/>
          <w:iCs/>
          <w:color w:val="000000"/>
          <w:szCs w:val="20"/>
          <w:lang w:eastAsia="bg-BG"/>
        </w:rPr>
        <w:t xml:space="preserve">Проучване </w:t>
      </w:r>
      <w:r w:rsidRPr="00A41B7E">
        <w:rPr>
          <w:rFonts w:eastAsia="Times New Roman" w:cs="Arial"/>
          <w:i/>
          <w:iCs/>
          <w:color w:val="000000"/>
          <w:szCs w:val="20"/>
          <w:lang w:val="en-US"/>
        </w:rPr>
        <w:t>TRITON</w:t>
      </w:r>
      <w:r w:rsidRPr="00A41B7E">
        <w:rPr>
          <w:rFonts w:eastAsia="Times New Roman" w:cs="Arial"/>
          <w:i/>
          <w:iCs/>
          <w:color w:val="000000"/>
          <w:szCs w:val="20"/>
          <w:lang w:val="ru-RU"/>
        </w:rPr>
        <w:t xml:space="preserve"> </w:t>
      </w:r>
      <w:r w:rsidRPr="00A41B7E">
        <w:rPr>
          <w:rFonts w:eastAsia="Times New Roman" w:cs="Arial"/>
          <w:i/>
          <w:iCs/>
          <w:color w:val="000000"/>
          <w:szCs w:val="20"/>
          <w:lang w:eastAsia="bg-BG"/>
        </w:rPr>
        <w:t xml:space="preserve">при пациенти с ОКС, подлежащи на </w:t>
      </w:r>
      <w:r w:rsidRPr="00A41B7E">
        <w:rPr>
          <w:rFonts w:eastAsia="Times New Roman" w:cs="Arial"/>
          <w:i/>
          <w:iCs/>
          <w:color w:val="000000"/>
          <w:szCs w:val="20"/>
          <w:lang w:val="en-US"/>
        </w:rPr>
        <w:t>PCI</w:t>
      </w:r>
    </w:p>
    <w:p w14:paraId="62FE0764" w14:textId="77777777" w:rsidR="00A41B7E" w:rsidRPr="00A41B7E" w:rsidRDefault="00A41B7E" w:rsidP="00A41B7E">
      <w:pPr>
        <w:spacing w:line="240" w:lineRule="auto"/>
        <w:rPr>
          <w:rFonts w:eastAsia="Times New Roman" w:cs="Arial"/>
          <w:i/>
          <w:iCs/>
          <w:color w:val="000000"/>
          <w:szCs w:val="20"/>
          <w:lang w:eastAsia="bg-BG"/>
        </w:rPr>
      </w:pPr>
      <w:r w:rsidRPr="00A41B7E">
        <w:rPr>
          <w:rFonts w:eastAsia="Times New Roman" w:cs="Arial"/>
          <w:i/>
          <w:iCs/>
          <w:color w:val="000000"/>
          <w:szCs w:val="20"/>
          <w:lang w:eastAsia="bg-BG"/>
        </w:rPr>
        <w:t xml:space="preserve">**Проучване </w:t>
      </w:r>
      <w:r w:rsidRPr="00A41B7E">
        <w:rPr>
          <w:rFonts w:eastAsia="Times New Roman" w:cs="Arial"/>
          <w:i/>
          <w:iCs/>
          <w:color w:val="000000"/>
          <w:szCs w:val="20"/>
          <w:lang w:val="en-US"/>
        </w:rPr>
        <w:t>TRILOGY</w:t>
      </w:r>
      <w:r w:rsidRPr="00A41B7E">
        <w:rPr>
          <w:rFonts w:eastAsia="Times New Roman" w:cs="Arial"/>
          <w:i/>
          <w:iCs/>
          <w:color w:val="000000"/>
          <w:szCs w:val="20"/>
        </w:rPr>
        <w:t>-</w:t>
      </w:r>
      <w:r w:rsidRPr="00A41B7E">
        <w:rPr>
          <w:rFonts w:eastAsia="Times New Roman" w:cs="Arial"/>
          <w:i/>
          <w:iCs/>
          <w:color w:val="000000"/>
          <w:szCs w:val="20"/>
          <w:lang w:val="en-US"/>
        </w:rPr>
        <w:t>ACS</w:t>
      </w:r>
      <w:r w:rsidRPr="00A41B7E">
        <w:rPr>
          <w:rFonts w:eastAsia="Times New Roman" w:cs="Arial"/>
          <w:i/>
          <w:iCs/>
          <w:color w:val="000000"/>
          <w:szCs w:val="20"/>
        </w:rPr>
        <w:t xml:space="preserve"> </w:t>
      </w:r>
      <w:r w:rsidRPr="00A41B7E">
        <w:rPr>
          <w:rFonts w:eastAsia="Times New Roman" w:cs="Arial"/>
          <w:i/>
          <w:iCs/>
          <w:color w:val="000000"/>
          <w:szCs w:val="20"/>
          <w:lang w:eastAsia="bg-BG"/>
        </w:rPr>
        <w:t xml:space="preserve">при пациенти, неподлежащи на </w:t>
      </w:r>
      <w:r w:rsidRPr="00A41B7E">
        <w:rPr>
          <w:rFonts w:eastAsia="Times New Roman" w:cs="Arial"/>
          <w:i/>
          <w:iCs/>
          <w:color w:val="000000"/>
          <w:szCs w:val="20"/>
          <w:lang w:val="en-US"/>
        </w:rPr>
        <w:t>PCI</w:t>
      </w:r>
      <w:r w:rsidRPr="00A41B7E">
        <w:rPr>
          <w:rFonts w:eastAsia="Times New Roman" w:cs="Arial"/>
          <w:i/>
          <w:iCs/>
          <w:color w:val="000000"/>
          <w:szCs w:val="20"/>
        </w:rPr>
        <w:t xml:space="preserve"> </w:t>
      </w:r>
      <w:r w:rsidRPr="00A41B7E">
        <w:rPr>
          <w:rFonts w:eastAsia="Times New Roman" w:cs="Arial"/>
          <w:i/>
          <w:iCs/>
          <w:color w:val="000000"/>
          <w:szCs w:val="20"/>
          <w:lang w:eastAsia="bg-BG"/>
        </w:rPr>
        <w:t>(вж. точка 5.1):</w:t>
      </w:r>
    </w:p>
    <w:p w14:paraId="08636CB9" w14:textId="40A94C1D" w:rsidR="00A41B7E" w:rsidRPr="00A41B7E" w:rsidRDefault="00A41B7E" w:rsidP="00A41B7E">
      <w:pPr>
        <w:spacing w:line="240" w:lineRule="auto"/>
        <w:rPr>
          <w:rFonts w:eastAsia="Times New Roman" w:cs="Arial"/>
          <w:i/>
          <w:iCs/>
          <w:color w:val="000000"/>
          <w:szCs w:val="20"/>
          <w:lang w:eastAsia="bg-BG"/>
        </w:rPr>
      </w:pPr>
      <w:r w:rsidRPr="00A41B7E">
        <w:rPr>
          <w:rFonts w:eastAsia="Times New Roman" w:cs="Arial"/>
          <w:color w:val="000000"/>
          <w:szCs w:val="20"/>
          <w:vertAlign w:val="superscript"/>
          <w:lang w:eastAsia="bg-BG"/>
        </w:rPr>
        <w:t>а</w:t>
      </w:r>
      <w:r w:rsidRPr="00A41B7E">
        <w:rPr>
          <w:rFonts w:eastAsia="Times New Roman" w:cs="Arial"/>
          <w:i/>
          <w:iCs/>
          <w:color w:val="000000"/>
          <w:szCs w:val="20"/>
          <w:lang w:eastAsia="bg-BG"/>
        </w:rPr>
        <w:t xml:space="preserve">10 </w:t>
      </w:r>
      <w:r w:rsidRPr="00A41B7E">
        <w:rPr>
          <w:rFonts w:eastAsia="Times New Roman" w:cs="Arial"/>
          <w:i/>
          <w:iCs/>
          <w:color w:val="000000"/>
          <w:szCs w:val="20"/>
          <w:lang w:val="en-US"/>
        </w:rPr>
        <w:t>mg</w:t>
      </w:r>
      <w:r w:rsidRPr="00A41B7E">
        <w:rPr>
          <w:rFonts w:eastAsia="Times New Roman" w:cs="Arial"/>
          <w:i/>
          <w:iCs/>
          <w:color w:val="000000"/>
          <w:szCs w:val="20"/>
        </w:rPr>
        <w:t xml:space="preserve"> </w:t>
      </w:r>
      <w:r w:rsidRPr="00A41B7E">
        <w:rPr>
          <w:rFonts w:eastAsia="Times New Roman" w:cs="Arial"/>
          <w:i/>
          <w:iCs/>
          <w:color w:val="000000"/>
          <w:szCs w:val="20"/>
          <w:lang w:eastAsia="bg-BG"/>
        </w:rPr>
        <w:t xml:space="preserve">прасугрел, 5 </w:t>
      </w:r>
      <w:r w:rsidRPr="00A41B7E">
        <w:rPr>
          <w:rFonts w:eastAsia="Times New Roman" w:cs="Arial"/>
          <w:i/>
          <w:iCs/>
          <w:color w:val="000000"/>
          <w:szCs w:val="20"/>
          <w:lang w:val="en-US"/>
        </w:rPr>
        <w:t>mg</w:t>
      </w:r>
      <w:r w:rsidRPr="00A41B7E">
        <w:rPr>
          <w:rFonts w:eastAsia="Times New Roman" w:cs="Arial"/>
          <w:i/>
          <w:iCs/>
          <w:color w:val="000000"/>
          <w:szCs w:val="20"/>
        </w:rPr>
        <w:t xml:space="preserve"> </w:t>
      </w:r>
      <w:r w:rsidRPr="00A41B7E">
        <w:rPr>
          <w:rFonts w:eastAsia="Times New Roman" w:cs="Arial"/>
          <w:i/>
          <w:iCs/>
          <w:color w:val="000000"/>
          <w:szCs w:val="20"/>
          <w:lang w:eastAsia="bg-BG"/>
        </w:rPr>
        <w:t>прасугрел, ако ≥7 5-годишна възраст</w:t>
      </w:r>
    </w:p>
    <w:p w14:paraId="0F301301" w14:textId="77777777" w:rsidR="00A41B7E" w:rsidRPr="00A41B7E" w:rsidRDefault="00A41B7E" w:rsidP="00A41B7E">
      <w:pPr>
        <w:spacing w:line="240" w:lineRule="auto"/>
        <w:rPr>
          <w:rFonts w:eastAsia="Times New Roman" w:cs="Arial"/>
          <w:i/>
          <w:iCs/>
          <w:color w:val="000000"/>
          <w:szCs w:val="20"/>
          <w:u w:val="single"/>
          <w:lang w:eastAsia="bg-BG"/>
        </w:rPr>
      </w:pPr>
    </w:p>
    <w:p w14:paraId="694E999F" w14:textId="51359208"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u w:val="single"/>
          <w:lang w:eastAsia="bg-BG"/>
        </w:rPr>
        <w:t xml:space="preserve">Пациенти ≥60 </w:t>
      </w:r>
      <w:proofErr w:type="spellStart"/>
      <w:r w:rsidRPr="00A41B7E">
        <w:rPr>
          <w:rFonts w:eastAsia="Times New Roman" w:cs="Arial"/>
          <w:i/>
          <w:iCs/>
          <w:color w:val="000000"/>
          <w:szCs w:val="20"/>
          <w:u w:val="single"/>
          <w:lang w:val="en-US"/>
        </w:rPr>
        <w:t>ks</w:t>
      </w:r>
      <w:proofErr w:type="spellEnd"/>
      <w:r w:rsidRPr="00A41B7E">
        <w:rPr>
          <w:rFonts w:eastAsia="Times New Roman" w:cs="Arial"/>
          <w:i/>
          <w:iCs/>
          <w:color w:val="000000"/>
          <w:szCs w:val="20"/>
          <w:u w:val="single"/>
          <w:lang w:val="ru-RU"/>
        </w:rPr>
        <w:t xml:space="preserve"> </w:t>
      </w:r>
      <w:r w:rsidRPr="00A41B7E">
        <w:rPr>
          <w:rFonts w:eastAsia="Times New Roman" w:cs="Arial"/>
          <w:i/>
          <w:iCs/>
          <w:color w:val="000000"/>
          <w:szCs w:val="20"/>
          <w:u w:val="single"/>
          <w:lang w:eastAsia="bg-BG"/>
        </w:rPr>
        <w:t>и възраст &lt; 75 години</w:t>
      </w:r>
    </w:p>
    <w:p w14:paraId="07684D3F" w14:textId="77777777"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lang w:eastAsia="bg-BG"/>
        </w:rPr>
        <w:t xml:space="preserve">При пациентите ≥60 </w:t>
      </w:r>
      <w:r w:rsidRPr="00A41B7E">
        <w:rPr>
          <w:rFonts w:eastAsia="Times New Roman" w:cs="Arial"/>
          <w:color w:val="000000"/>
          <w:szCs w:val="20"/>
          <w:lang w:val="en-US"/>
        </w:rPr>
        <w:t>kg</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и възраст &lt;75 години честотата на значително или незначително кървене съгласно </w:t>
      </w:r>
      <w:r w:rsidRPr="00A41B7E">
        <w:rPr>
          <w:rFonts w:eastAsia="Times New Roman" w:cs="Arial"/>
          <w:color w:val="000000"/>
          <w:szCs w:val="20"/>
          <w:lang w:val="en-US"/>
        </w:rPr>
        <w:t>TIMI</w:t>
      </w:r>
      <w:r w:rsidRPr="00A41B7E">
        <w:rPr>
          <w:rFonts w:eastAsia="Times New Roman" w:cs="Arial"/>
          <w:color w:val="000000"/>
          <w:szCs w:val="20"/>
          <w:lang w:val="ru-RU"/>
        </w:rPr>
        <w:t xml:space="preserve">, </w:t>
      </w:r>
      <w:r w:rsidRPr="00A41B7E">
        <w:rPr>
          <w:rFonts w:eastAsia="Times New Roman" w:cs="Arial"/>
          <w:color w:val="000000"/>
          <w:szCs w:val="20"/>
          <w:lang w:eastAsia="bg-BG"/>
        </w:rPr>
        <w:t>несвързано с аортокоронарен байпас (АКБ), е 3,6% за прасугрел и 2,8% за клопидогрел; честотата на кървене с фатален изход е 0,2% за прасугрел и 0,1% за клопидогрел.</w:t>
      </w:r>
    </w:p>
    <w:p w14:paraId="5CB61AF8" w14:textId="77777777" w:rsidR="00A41B7E" w:rsidRPr="00A41B7E" w:rsidRDefault="00A41B7E" w:rsidP="00A41B7E">
      <w:pPr>
        <w:spacing w:line="240" w:lineRule="auto"/>
        <w:rPr>
          <w:rFonts w:eastAsia="Times New Roman" w:cs="Arial"/>
          <w:i/>
          <w:iCs/>
          <w:color w:val="000000"/>
          <w:szCs w:val="20"/>
          <w:u w:val="single"/>
          <w:lang w:eastAsia="bg-BG"/>
        </w:rPr>
      </w:pPr>
    </w:p>
    <w:p w14:paraId="47680D41" w14:textId="60815566"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u w:val="single"/>
          <w:lang w:eastAsia="bg-BG"/>
        </w:rPr>
        <w:t>Кървене, свързано с аортокоронарен байпас (АКБ)</w:t>
      </w:r>
    </w:p>
    <w:p w14:paraId="7DD14642" w14:textId="77777777" w:rsidR="00A41B7E" w:rsidRPr="00A41B7E" w:rsidRDefault="00A41B7E" w:rsidP="00A41B7E">
      <w:pPr>
        <w:spacing w:line="240" w:lineRule="auto"/>
        <w:rPr>
          <w:rFonts w:eastAsia="Times New Roman" w:cs="Arial"/>
          <w:sz w:val="28"/>
          <w:szCs w:val="24"/>
        </w:rPr>
      </w:pPr>
      <w:r w:rsidRPr="00A41B7E">
        <w:rPr>
          <w:rFonts w:eastAsia="Times New Roman" w:cs="Arial"/>
          <w:color w:val="000000"/>
          <w:szCs w:val="20"/>
          <w:lang w:eastAsia="bg-BG"/>
        </w:rPr>
        <w:t xml:space="preserve">В клинично проучване фаза 3,437 пациенти са подложени на операция по повод на аортокоронарен байпас (АКБ) по време на проучването. При тези пациенти честотата на значително или незначително кървене съгласно </w:t>
      </w:r>
      <w:r w:rsidRPr="00A41B7E">
        <w:rPr>
          <w:rFonts w:eastAsia="Times New Roman" w:cs="Arial"/>
          <w:color w:val="000000"/>
          <w:szCs w:val="20"/>
          <w:lang w:val="en-US"/>
        </w:rPr>
        <w:t>TIMI</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свързано с аортокоронарен байпас (АКБ), е 14,1% в групата с прасугрел и 4,5% в групата с клопидогрел. По-високият риск за събития на кървене при пациентите, лекувани с прасугрел, се задържа до 7 дни след последната доза на изследваното лекарствено средство. За пациентите, които приемат тиенопиридин в рамките на 3 дни преди операция по повод на аортокоронарен байпас (АКБ), честотата на значително или незначително кървене съгласно </w:t>
      </w:r>
      <w:r w:rsidRPr="00A41B7E">
        <w:rPr>
          <w:rFonts w:eastAsia="Times New Roman" w:cs="Arial"/>
          <w:color w:val="000000"/>
          <w:szCs w:val="20"/>
          <w:lang w:val="en-US"/>
        </w:rPr>
        <w:t>TIMI</w:t>
      </w:r>
      <w:r w:rsidRPr="00A41B7E">
        <w:rPr>
          <w:rFonts w:eastAsia="Times New Roman" w:cs="Arial"/>
          <w:color w:val="000000"/>
          <w:szCs w:val="20"/>
          <w:lang w:val="ru-RU"/>
        </w:rPr>
        <w:t xml:space="preserve"> </w:t>
      </w:r>
      <w:r w:rsidRPr="00A41B7E">
        <w:rPr>
          <w:rFonts w:eastAsia="Times New Roman" w:cs="Arial"/>
          <w:color w:val="000000"/>
          <w:szCs w:val="20"/>
          <w:lang w:eastAsia="bg-BG"/>
        </w:rPr>
        <w:t>е 26,7% (12 от 45 пациенти) в групата с прасугрел в сравнение с 5,0% (3 от 60 пациенти) в групата с клопидогрел. За пациентите, които приемат последната си доза тиенопиридин в рамките на 4 до 7 дни преди операция по повод на аортокоронарен байпас (АКБ), честотата намалява на 11,3% (9 от 80 пациенти) в групата с прасугрел и 3,4% (3 от 89 пациенти) в групата с клопидогрел. 7 дни след спиране на приема на лекарственото средство наблюдаваната честота на кървене, свързано с аортокоронарен бай</w:t>
      </w:r>
      <w:r w:rsidRPr="00A41B7E">
        <w:rPr>
          <w:rFonts w:eastAsia="Times New Roman" w:cs="Arial"/>
          <w:color w:val="000000"/>
          <w:szCs w:val="20"/>
          <w:u w:val="single"/>
          <w:lang w:eastAsia="bg-BG"/>
        </w:rPr>
        <w:t xml:space="preserve">пас </w:t>
      </w:r>
      <w:r w:rsidRPr="00A41B7E">
        <w:rPr>
          <w:rFonts w:eastAsia="Times New Roman" w:cs="Arial"/>
          <w:color w:val="000000"/>
          <w:szCs w:val="20"/>
          <w:lang w:eastAsia="bg-BG"/>
        </w:rPr>
        <w:t>(АКБ), е подобна за третираните групи (вж. точка 4.4).</w:t>
      </w:r>
    </w:p>
    <w:p w14:paraId="1837AB8C" w14:textId="39D9CBE7" w:rsidR="00A41B7E" w:rsidRPr="00A41B7E" w:rsidRDefault="00A41B7E" w:rsidP="00A41B7E">
      <w:pPr>
        <w:spacing w:line="240" w:lineRule="auto"/>
        <w:rPr>
          <w:rFonts w:eastAsia="Times New Roman" w:cs="Arial"/>
          <w:sz w:val="32"/>
          <w:szCs w:val="24"/>
        </w:rPr>
      </w:pPr>
    </w:p>
    <w:p w14:paraId="0FC1CD81" w14:textId="77777777" w:rsidR="00A41B7E" w:rsidRPr="00A41B7E" w:rsidRDefault="00A41B7E" w:rsidP="00A41B7E">
      <w:pPr>
        <w:spacing w:line="240" w:lineRule="auto"/>
        <w:rPr>
          <w:rFonts w:eastAsia="Times New Roman" w:cs="Arial"/>
          <w:sz w:val="28"/>
          <w:szCs w:val="24"/>
        </w:rPr>
      </w:pPr>
      <w:r w:rsidRPr="00A41B7E">
        <w:rPr>
          <w:rFonts w:eastAsia="Times New Roman" w:cs="Arial"/>
          <w:i/>
          <w:iCs/>
          <w:color w:val="000000"/>
          <w:szCs w:val="20"/>
          <w:u w:val="single"/>
          <w:lang w:eastAsia="bg-BG"/>
        </w:rPr>
        <w:lastRenderedPageBreak/>
        <w:t xml:space="preserve">Риск от кървене, свързан с избора на подходящия момент за прилагане на натоварващата доза при </w:t>
      </w:r>
      <w:r w:rsidRPr="00A41B7E">
        <w:rPr>
          <w:rFonts w:eastAsia="Times New Roman" w:cs="Arial"/>
          <w:i/>
          <w:iCs/>
          <w:color w:val="000000"/>
          <w:szCs w:val="20"/>
          <w:u w:val="single"/>
          <w:lang w:val="en-US"/>
        </w:rPr>
        <w:t>NSTEMI</w:t>
      </w:r>
    </w:p>
    <w:p w14:paraId="73702ED0" w14:textId="3BBA44EF" w:rsidR="00A41B7E" w:rsidRDefault="00A41B7E" w:rsidP="00A41B7E">
      <w:pPr>
        <w:spacing w:line="240" w:lineRule="auto"/>
        <w:rPr>
          <w:rFonts w:eastAsia="Times New Roman" w:cs="Arial"/>
          <w:color w:val="000000"/>
          <w:szCs w:val="20"/>
          <w:lang w:eastAsia="bg-BG"/>
        </w:rPr>
      </w:pPr>
      <w:r w:rsidRPr="00A41B7E">
        <w:rPr>
          <w:rFonts w:eastAsia="Times New Roman" w:cs="Arial"/>
          <w:color w:val="000000"/>
          <w:szCs w:val="20"/>
          <w:lang w:eastAsia="bg-BG"/>
        </w:rPr>
        <w:t xml:space="preserve">В клинично проучване на пациенти с </w:t>
      </w:r>
      <w:r w:rsidRPr="00A41B7E">
        <w:rPr>
          <w:rFonts w:eastAsia="Times New Roman" w:cs="Arial"/>
          <w:color w:val="000000"/>
          <w:szCs w:val="20"/>
          <w:lang w:val="en-US"/>
        </w:rPr>
        <w:t>NSTEMI</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(проучването </w:t>
      </w:r>
      <w:r w:rsidRPr="00A41B7E">
        <w:rPr>
          <w:rFonts w:eastAsia="Times New Roman" w:cs="Arial"/>
          <w:color w:val="000000"/>
          <w:szCs w:val="20"/>
          <w:lang w:val="en-US"/>
        </w:rPr>
        <w:t>ACCOAST</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в което те са планирани за коронарна ангиография в рамките на 2 до 48 часа след рандомизацията, е прилагана натоварваща доза прасугрел от 30 </w:t>
      </w:r>
      <w:r w:rsidRPr="00A41B7E">
        <w:rPr>
          <w:rFonts w:eastAsia="Times New Roman" w:cs="Arial"/>
          <w:color w:val="000000"/>
          <w:szCs w:val="20"/>
          <w:lang w:val="en-US"/>
        </w:rPr>
        <w:t>mg</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средно 4 часа преди коронарната ангиография, последвана от допълнителна натоварваща доза от 30 </w:t>
      </w:r>
      <w:r w:rsidRPr="00A41B7E">
        <w:rPr>
          <w:rFonts w:eastAsia="Times New Roman" w:cs="Arial"/>
          <w:color w:val="000000"/>
          <w:szCs w:val="20"/>
          <w:lang w:val="en-US"/>
        </w:rPr>
        <w:t>mg</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по време на </w:t>
      </w:r>
      <w:r w:rsidRPr="00A41B7E">
        <w:rPr>
          <w:rFonts w:eastAsia="Times New Roman" w:cs="Arial"/>
          <w:color w:val="000000"/>
          <w:szCs w:val="20"/>
          <w:lang w:val="en-US"/>
        </w:rPr>
        <w:t>PCI</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в пери-процедурния период пациентите имат повишен риск от кървене, несвързано с АКБ, и нямат допълнителна полза, в сравнение с пациентите, които получават натоварваща доза прасугрел от 60 </w:t>
      </w:r>
      <w:r w:rsidRPr="00A41B7E">
        <w:rPr>
          <w:rFonts w:eastAsia="Times New Roman" w:cs="Arial"/>
          <w:color w:val="000000"/>
          <w:szCs w:val="20"/>
          <w:lang w:val="en-US"/>
        </w:rPr>
        <w:t>mg</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по време на </w:t>
      </w:r>
      <w:r w:rsidRPr="00A41B7E">
        <w:rPr>
          <w:rFonts w:eastAsia="Times New Roman" w:cs="Arial"/>
          <w:color w:val="000000"/>
          <w:szCs w:val="20"/>
          <w:lang w:val="en-US"/>
        </w:rPr>
        <w:t>PCI</w:t>
      </w:r>
      <w:r w:rsidRPr="00A41B7E">
        <w:rPr>
          <w:rFonts w:eastAsia="Times New Roman" w:cs="Arial"/>
          <w:color w:val="000000"/>
          <w:szCs w:val="20"/>
          <w:lang w:val="ru-RU"/>
        </w:rPr>
        <w:t xml:space="preserve"> </w:t>
      </w:r>
      <w:r w:rsidRPr="00A41B7E">
        <w:rPr>
          <w:rFonts w:eastAsia="Times New Roman" w:cs="Arial"/>
          <w:color w:val="000000"/>
          <w:szCs w:val="20"/>
          <w:lang w:eastAsia="bg-BG"/>
        </w:rPr>
        <w:t xml:space="preserve">(вж. точки 4.2 и 4.4). Честотата на кървене, несвързано с аортокоронарен байпас (АКБ) съгласно </w:t>
      </w:r>
      <w:r w:rsidRPr="00A41B7E">
        <w:rPr>
          <w:rFonts w:eastAsia="Times New Roman" w:cs="Arial"/>
          <w:color w:val="000000"/>
          <w:szCs w:val="20"/>
          <w:lang w:val="en-US"/>
        </w:rPr>
        <w:t>TIMI</w:t>
      </w:r>
      <w:r w:rsidRPr="00A41B7E">
        <w:rPr>
          <w:rFonts w:eastAsia="Times New Roman" w:cs="Arial"/>
          <w:color w:val="000000"/>
          <w:szCs w:val="20"/>
          <w:lang w:val="ru-RU"/>
        </w:rPr>
        <w:t xml:space="preserve">, </w:t>
      </w:r>
      <w:r w:rsidRPr="00A41B7E">
        <w:rPr>
          <w:rFonts w:eastAsia="Times New Roman" w:cs="Arial"/>
          <w:color w:val="000000"/>
          <w:szCs w:val="20"/>
          <w:lang w:eastAsia="bg-BG"/>
        </w:rPr>
        <w:t>в течение на 7 дни за пациентите е както следва:</w:t>
      </w:r>
    </w:p>
    <w:tbl>
      <w:tblPr>
        <w:tblStyle w:val="TableGrid"/>
        <w:tblW w:w="0" w:type="auto"/>
        <w:tblLook w:val="04A0" w:firstRow="1" w:lastRow="0" w:firstColumn="1" w:lastColumn="0" w:noHBand="0" w:noVBand="1"/>
      </w:tblPr>
      <w:tblGrid>
        <w:gridCol w:w="3158"/>
        <w:gridCol w:w="3107"/>
        <w:gridCol w:w="3085"/>
      </w:tblGrid>
      <w:tr w:rsidR="00A41B7E" w14:paraId="5659ADEB" w14:textId="77777777" w:rsidTr="00A41B7E">
        <w:tc>
          <w:tcPr>
            <w:tcW w:w="3192" w:type="dxa"/>
          </w:tcPr>
          <w:p w14:paraId="6E302E70" w14:textId="26880F35" w:rsidR="00A41B7E" w:rsidRPr="00A41B7E" w:rsidRDefault="00A41B7E" w:rsidP="00A41B7E">
            <w:pPr>
              <w:spacing w:line="240" w:lineRule="auto"/>
              <w:rPr>
                <w:rFonts w:eastAsia="Times New Roman" w:cs="Arial"/>
                <w:szCs w:val="24"/>
              </w:rPr>
            </w:pPr>
            <w:r w:rsidRPr="00A41B7E">
              <w:rPr>
                <w:b/>
                <w:bCs/>
                <w:szCs w:val="20"/>
              </w:rPr>
              <w:t>Нежелана реакция</w:t>
            </w:r>
          </w:p>
        </w:tc>
        <w:tc>
          <w:tcPr>
            <w:tcW w:w="3192" w:type="dxa"/>
          </w:tcPr>
          <w:p w14:paraId="49726A22" w14:textId="4CBC1F86" w:rsidR="00A41B7E" w:rsidRPr="00A41B7E" w:rsidRDefault="00A41B7E" w:rsidP="00A41B7E">
            <w:pPr>
              <w:spacing w:line="240" w:lineRule="auto"/>
              <w:rPr>
                <w:rFonts w:eastAsia="Times New Roman" w:cs="Arial"/>
                <w:szCs w:val="24"/>
              </w:rPr>
            </w:pPr>
            <w:r w:rsidRPr="00A41B7E">
              <w:rPr>
                <w:b/>
                <w:bCs/>
                <w:szCs w:val="20"/>
              </w:rPr>
              <w:t xml:space="preserve">Прасугрел преди коронарна ангиография" </w:t>
            </w:r>
            <w:r w:rsidRPr="00A41B7E">
              <w:rPr>
                <w:b/>
                <w:bCs/>
                <w:szCs w:val="20"/>
                <w:lang w:val="ru-RU"/>
              </w:rPr>
              <w:t>(</w:t>
            </w:r>
            <w:r w:rsidRPr="00A41B7E">
              <w:rPr>
                <w:b/>
                <w:bCs/>
                <w:szCs w:val="20"/>
                <w:lang w:val="en-US"/>
              </w:rPr>
              <w:t>N</w:t>
            </w:r>
            <w:r w:rsidRPr="00A41B7E">
              <w:rPr>
                <w:b/>
                <w:bCs/>
                <w:szCs w:val="20"/>
                <w:lang w:val="ru-RU"/>
              </w:rPr>
              <w:t xml:space="preserve">=2037) </w:t>
            </w:r>
            <w:r w:rsidRPr="00A41B7E">
              <w:rPr>
                <w:b/>
                <w:bCs/>
                <w:szCs w:val="20"/>
              </w:rPr>
              <w:t>%</w:t>
            </w:r>
          </w:p>
        </w:tc>
        <w:tc>
          <w:tcPr>
            <w:tcW w:w="3192" w:type="dxa"/>
          </w:tcPr>
          <w:p w14:paraId="455E8679" w14:textId="68122527" w:rsidR="00A41B7E" w:rsidRPr="00A41B7E" w:rsidRDefault="00A41B7E" w:rsidP="00A41B7E">
            <w:pPr>
              <w:spacing w:line="240" w:lineRule="auto"/>
              <w:rPr>
                <w:rFonts w:eastAsia="Times New Roman" w:cs="Arial"/>
                <w:szCs w:val="24"/>
              </w:rPr>
            </w:pPr>
            <w:r w:rsidRPr="00A41B7E">
              <w:rPr>
                <w:b/>
                <w:bCs/>
                <w:szCs w:val="20"/>
              </w:rPr>
              <w:t xml:space="preserve">Прасугрел по време на </w:t>
            </w:r>
            <w:r w:rsidRPr="00A41B7E">
              <w:rPr>
                <w:b/>
                <w:bCs/>
                <w:szCs w:val="20"/>
                <w:lang w:val="en-US"/>
              </w:rPr>
              <w:t>PCI</w:t>
            </w:r>
            <w:r w:rsidRPr="00A41B7E">
              <w:rPr>
                <w:b/>
                <w:bCs/>
                <w:szCs w:val="20"/>
                <w:lang w:val="ru-RU"/>
              </w:rPr>
              <w:t>" (</w:t>
            </w:r>
            <w:r w:rsidRPr="00A41B7E">
              <w:rPr>
                <w:b/>
                <w:bCs/>
                <w:szCs w:val="20"/>
                <w:lang w:val="en-US"/>
              </w:rPr>
              <w:t>N</w:t>
            </w:r>
            <w:r w:rsidRPr="00A41B7E">
              <w:rPr>
                <w:b/>
                <w:bCs/>
                <w:szCs w:val="20"/>
                <w:lang w:val="ru-RU"/>
              </w:rPr>
              <w:t xml:space="preserve">=1996) </w:t>
            </w:r>
            <w:r w:rsidRPr="00A41B7E">
              <w:rPr>
                <w:b/>
                <w:bCs/>
                <w:szCs w:val="20"/>
              </w:rPr>
              <w:t>%</w:t>
            </w:r>
          </w:p>
        </w:tc>
      </w:tr>
      <w:tr w:rsidR="00A41B7E" w14:paraId="5EE7478A" w14:textId="77777777" w:rsidTr="00A41B7E">
        <w:tc>
          <w:tcPr>
            <w:tcW w:w="3192" w:type="dxa"/>
          </w:tcPr>
          <w:p w14:paraId="4971E1AB" w14:textId="1B284254" w:rsidR="00A41B7E" w:rsidRPr="00A41B7E" w:rsidRDefault="00A41B7E" w:rsidP="00A41B7E">
            <w:pPr>
              <w:spacing w:line="240" w:lineRule="auto"/>
              <w:rPr>
                <w:rFonts w:eastAsia="Times New Roman" w:cs="Arial"/>
                <w:szCs w:val="24"/>
              </w:rPr>
            </w:pPr>
            <w:r w:rsidRPr="00A41B7E">
              <w:rPr>
                <w:szCs w:val="20"/>
              </w:rPr>
              <w:t>Значително кървене съгласноТ1М1</w:t>
            </w:r>
            <w:r w:rsidRPr="00A41B7E">
              <w:rPr>
                <w:szCs w:val="20"/>
                <w:vertAlign w:val="superscript"/>
              </w:rPr>
              <w:t>6</w:t>
            </w:r>
          </w:p>
        </w:tc>
        <w:tc>
          <w:tcPr>
            <w:tcW w:w="3192" w:type="dxa"/>
          </w:tcPr>
          <w:p w14:paraId="30EB3A09" w14:textId="72855F56" w:rsidR="00A41B7E" w:rsidRPr="00A41B7E" w:rsidRDefault="00A41B7E" w:rsidP="00A41B7E">
            <w:pPr>
              <w:spacing w:line="240" w:lineRule="auto"/>
              <w:rPr>
                <w:rFonts w:eastAsia="Times New Roman" w:cs="Arial"/>
                <w:szCs w:val="24"/>
              </w:rPr>
            </w:pPr>
            <w:r w:rsidRPr="00A41B7E">
              <w:rPr>
                <w:szCs w:val="20"/>
              </w:rPr>
              <w:t>1.3</w:t>
            </w:r>
          </w:p>
        </w:tc>
        <w:tc>
          <w:tcPr>
            <w:tcW w:w="3192" w:type="dxa"/>
          </w:tcPr>
          <w:p w14:paraId="4B1E27BC" w14:textId="01A769BF" w:rsidR="00A41B7E" w:rsidRPr="00A41B7E" w:rsidRDefault="00A41B7E" w:rsidP="00A41B7E">
            <w:pPr>
              <w:spacing w:line="240" w:lineRule="auto"/>
              <w:rPr>
                <w:rFonts w:eastAsia="Times New Roman" w:cs="Arial"/>
                <w:szCs w:val="24"/>
              </w:rPr>
            </w:pPr>
            <w:r w:rsidRPr="00A41B7E">
              <w:rPr>
                <w:szCs w:val="20"/>
              </w:rPr>
              <w:t>0.5</w:t>
            </w:r>
          </w:p>
        </w:tc>
      </w:tr>
      <w:tr w:rsidR="00A41B7E" w14:paraId="5B940C9A" w14:textId="77777777" w:rsidTr="00A41B7E">
        <w:tc>
          <w:tcPr>
            <w:tcW w:w="3192" w:type="dxa"/>
          </w:tcPr>
          <w:p w14:paraId="69B056B7" w14:textId="0E906F79" w:rsidR="00A41B7E" w:rsidRPr="00A41B7E" w:rsidRDefault="00A41B7E" w:rsidP="00A41B7E">
            <w:pPr>
              <w:spacing w:line="240" w:lineRule="auto"/>
              <w:rPr>
                <w:rFonts w:eastAsia="Times New Roman" w:cs="Arial"/>
                <w:szCs w:val="24"/>
              </w:rPr>
            </w:pPr>
            <w:r w:rsidRPr="00A41B7E">
              <w:rPr>
                <w:szCs w:val="20"/>
              </w:rPr>
              <w:t>Животозастрашаващо*</w:t>
            </w:r>
          </w:p>
        </w:tc>
        <w:tc>
          <w:tcPr>
            <w:tcW w:w="3192" w:type="dxa"/>
          </w:tcPr>
          <w:p w14:paraId="2CFBA5AA" w14:textId="56113971" w:rsidR="00A41B7E" w:rsidRPr="00A41B7E" w:rsidRDefault="00A41B7E" w:rsidP="00A41B7E">
            <w:pPr>
              <w:spacing w:line="240" w:lineRule="auto"/>
              <w:rPr>
                <w:rFonts w:eastAsia="Times New Roman" w:cs="Arial"/>
                <w:szCs w:val="24"/>
              </w:rPr>
            </w:pPr>
            <w:r w:rsidRPr="00A41B7E">
              <w:rPr>
                <w:szCs w:val="20"/>
              </w:rPr>
              <w:t>0.8</w:t>
            </w:r>
          </w:p>
        </w:tc>
        <w:tc>
          <w:tcPr>
            <w:tcW w:w="3192" w:type="dxa"/>
          </w:tcPr>
          <w:p w14:paraId="4D0F35E9" w14:textId="6DD58A23" w:rsidR="00A41B7E" w:rsidRPr="00A41B7E" w:rsidRDefault="00A41B7E" w:rsidP="00A41B7E">
            <w:pPr>
              <w:spacing w:line="240" w:lineRule="auto"/>
              <w:rPr>
                <w:rFonts w:eastAsia="Times New Roman" w:cs="Arial"/>
                <w:szCs w:val="24"/>
              </w:rPr>
            </w:pPr>
            <w:r w:rsidRPr="00A41B7E">
              <w:rPr>
                <w:szCs w:val="20"/>
              </w:rPr>
              <w:t>0.2</w:t>
            </w:r>
          </w:p>
        </w:tc>
      </w:tr>
      <w:tr w:rsidR="00A41B7E" w14:paraId="7591990F" w14:textId="77777777" w:rsidTr="00A41B7E">
        <w:tc>
          <w:tcPr>
            <w:tcW w:w="3192" w:type="dxa"/>
          </w:tcPr>
          <w:p w14:paraId="59B44B6E" w14:textId="34216065" w:rsidR="00A41B7E" w:rsidRPr="00A41B7E" w:rsidRDefault="00A41B7E" w:rsidP="00A41B7E">
            <w:pPr>
              <w:spacing w:line="240" w:lineRule="auto"/>
              <w:rPr>
                <w:rFonts w:eastAsia="Times New Roman" w:cs="Arial"/>
                <w:szCs w:val="24"/>
              </w:rPr>
            </w:pPr>
            <w:r w:rsidRPr="00A41B7E">
              <w:rPr>
                <w:szCs w:val="20"/>
              </w:rPr>
              <w:t>Със смъртен изход</w:t>
            </w:r>
          </w:p>
        </w:tc>
        <w:tc>
          <w:tcPr>
            <w:tcW w:w="3192" w:type="dxa"/>
          </w:tcPr>
          <w:p w14:paraId="74BEB2D8" w14:textId="7F7BC9F2" w:rsidR="00A41B7E" w:rsidRPr="00A41B7E" w:rsidRDefault="00A41B7E" w:rsidP="00A41B7E">
            <w:pPr>
              <w:spacing w:line="240" w:lineRule="auto"/>
              <w:rPr>
                <w:rFonts w:eastAsia="Times New Roman" w:cs="Arial"/>
                <w:szCs w:val="24"/>
              </w:rPr>
            </w:pPr>
            <w:r w:rsidRPr="00A41B7E">
              <w:rPr>
                <w:szCs w:val="20"/>
              </w:rPr>
              <w:t>0.1</w:t>
            </w:r>
          </w:p>
        </w:tc>
        <w:tc>
          <w:tcPr>
            <w:tcW w:w="3192" w:type="dxa"/>
          </w:tcPr>
          <w:p w14:paraId="52DFFA49" w14:textId="4AFF3F27" w:rsidR="00A41B7E" w:rsidRPr="00A41B7E" w:rsidRDefault="00A41B7E" w:rsidP="00A41B7E">
            <w:pPr>
              <w:spacing w:line="240" w:lineRule="auto"/>
              <w:rPr>
                <w:rFonts w:eastAsia="Times New Roman" w:cs="Arial"/>
                <w:szCs w:val="24"/>
              </w:rPr>
            </w:pPr>
            <w:r w:rsidRPr="00A41B7E">
              <w:rPr>
                <w:szCs w:val="20"/>
              </w:rPr>
              <w:t>0.0</w:t>
            </w:r>
          </w:p>
        </w:tc>
      </w:tr>
      <w:tr w:rsidR="00A41B7E" w14:paraId="4488A939" w14:textId="77777777" w:rsidTr="00A41B7E">
        <w:tc>
          <w:tcPr>
            <w:tcW w:w="3192" w:type="dxa"/>
          </w:tcPr>
          <w:p w14:paraId="6DA9CCC8" w14:textId="3D2686EC" w:rsidR="00A41B7E" w:rsidRPr="00A41B7E" w:rsidRDefault="00A41B7E" w:rsidP="00A41B7E">
            <w:pPr>
              <w:spacing w:line="240" w:lineRule="auto"/>
              <w:rPr>
                <w:rFonts w:eastAsia="Times New Roman" w:cs="Arial"/>
                <w:szCs w:val="24"/>
              </w:rPr>
            </w:pPr>
            <w:r w:rsidRPr="00A41B7E">
              <w:rPr>
                <w:szCs w:val="20"/>
              </w:rPr>
              <w:t>Симптоматична интракраниална хеморагия (ИКХ)</w:t>
            </w:r>
            <w:r w:rsidRPr="00A41B7E">
              <w:rPr>
                <w:szCs w:val="20"/>
                <w:vertAlign w:val="superscript"/>
              </w:rPr>
              <w:t>Г</w:t>
            </w:r>
          </w:p>
        </w:tc>
        <w:tc>
          <w:tcPr>
            <w:tcW w:w="3192" w:type="dxa"/>
          </w:tcPr>
          <w:p w14:paraId="26220A12" w14:textId="0A12D7B7" w:rsidR="00A41B7E" w:rsidRPr="00A41B7E" w:rsidRDefault="00A41B7E" w:rsidP="00A41B7E">
            <w:pPr>
              <w:spacing w:line="240" w:lineRule="auto"/>
              <w:rPr>
                <w:rFonts w:eastAsia="Times New Roman" w:cs="Arial"/>
                <w:szCs w:val="24"/>
              </w:rPr>
            </w:pPr>
            <w:r w:rsidRPr="00A41B7E">
              <w:rPr>
                <w:szCs w:val="20"/>
              </w:rPr>
              <w:t>0.0</w:t>
            </w:r>
          </w:p>
        </w:tc>
        <w:tc>
          <w:tcPr>
            <w:tcW w:w="3192" w:type="dxa"/>
          </w:tcPr>
          <w:p w14:paraId="02E9204C" w14:textId="0FEA4201" w:rsidR="00A41B7E" w:rsidRPr="00A41B7E" w:rsidRDefault="00A41B7E" w:rsidP="00A41B7E">
            <w:pPr>
              <w:spacing w:line="240" w:lineRule="auto"/>
              <w:rPr>
                <w:rFonts w:eastAsia="Times New Roman" w:cs="Arial"/>
                <w:szCs w:val="24"/>
              </w:rPr>
            </w:pPr>
            <w:r w:rsidRPr="00A41B7E">
              <w:rPr>
                <w:szCs w:val="20"/>
              </w:rPr>
              <w:t>0.0</w:t>
            </w:r>
          </w:p>
        </w:tc>
      </w:tr>
      <w:tr w:rsidR="00A41B7E" w14:paraId="0790FAFB" w14:textId="77777777" w:rsidTr="00A41B7E">
        <w:tc>
          <w:tcPr>
            <w:tcW w:w="3192" w:type="dxa"/>
          </w:tcPr>
          <w:p w14:paraId="49D0D097" w14:textId="28F2CE85" w:rsidR="00A41B7E" w:rsidRPr="00A41B7E" w:rsidRDefault="00A41B7E" w:rsidP="00A41B7E">
            <w:pPr>
              <w:spacing w:line="240" w:lineRule="auto"/>
              <w:rPr>
                <w:rFonts w:eastAsia="Times New Roman" w:cs="Arial"/>
                <w:szCs w:val="24"/>
              </w:rPr>
            </w:pPr>
            <w:r w:rsidRPr="00A41B7E">
              <w:rPr>
                <w:szCs w:val="20"/>
              </w:rPr>
              <w:t>Изискващо инотропни лекарствени средства</w:t>
            </w:r>
          </w:p>
        </w:tc>
        <w:tc>
          <w:tcPr>
            <w:tcW w:w="3192" w:type="dxa"/>
          </w:tcPr>
          <w:p w14:paraId="6ADF1C60" w14:textId="05E999F7" w:rsidR="00A41B7E" w:rsidRPr="00A41B7E" w:rsidRDefault="00A41B7E" w:rsidP="00A41B7E">
            <w:pPr>
              <w:spacing w:line="240" w:lineRule="auto"/>
              <w:rPr>
                <w:rFonts w:eastAsia="Times New Roman" w:cs="Arial"/>
                <w:szCs w:val="24"/>
              </w:rPr>
            </w:pPr>
            <w:r w:rsidRPr="00A41B7E">
              <w:rPr>
                <w:szCs w:val="20"/>
              </w:rPr>
              <w:t>0.3</w:t>
            </w:r>
          </w:p>
        </w:tc>
        <w:tc>
          <w:tcPr>
            <w:tcW w:w="3192" w:type="dxa"/>
          </w:tcPr>
          <w:p w14:paraId="0C5081D2" w14:textId="6DC43D71" w:rsidR="00A41B7E" w:rsidRPr="00A41B7E" w:rsidRDefault="00A41B7E" w:rsidP="00A41B7E">
            <w:pPr>
              <w:spacing w:line="240" w:lineRule="auto"/>
              <w:rPr>
                <w:rFonts w:eastAsia="Times New Roman" w:cs="Arial"/>
                <w:szCs w:val="24"/>
              </w:rPr>
            </w:pPr>
            <w:r w:rsidRPr="00A41B7E">
              <w:rPr>
                <w:szCs w:val="20"/>
              </w:rPr>
              <w:t>0.2</w:t>
            </w:r>
          </w:p>
        </w:tc>
      </w:tr>
      <w:tr w:rsidR="00A41B7E" w14:paraId="3F2886D2" w14:textId="77777777" w:rsidTr="00A41B7E">
        <w:tc>
          <w:tcPr>
            <w:tcW w:w="3192" w:type="dxa"/>
          </w:tcPr>
          <w:p w14:paraId="5FF930AB" w14:textId="1C761868" w:rsidR="00A41B7E" w:rsidRPr="00A41B7E" w:rsidRDefault="00A41B7E" w:rsidP="00A41B7E">
            <w:pPr>
              <w:spacing w:line="240" w:lineRule="auto"/>
              <w:rPr>
                <w:rFonts w:eastAsia="Times New Roman" w:cs="Arial"/>
                <w:szCs w:val="24"/>
              </w:rPr>
            </w:pPr>
            <w:r w:rsidRPr="00A41B7E">
              <w:rPr>
                <w:szCs w:val="20"/>
              </w:rPr>
              <w:t>Изискващо хирургична интервенция</w:t>
            </w:r>
          </w:p>
        </w:tc>
        <w:tc>
          <w:tcPr>
            <w:tcW w:w="3192" w:type="dxa"/>
          </w:tcPr>
          <w:p w14:paraId="75CD06E1" w14:textId="79930719" w:rsidR="00A41B7E" w:rsidRPr="00A41B7E" w:rsidRDefault="00A41B7E" w:rsidP="00A41B7E">
            <w:pPr>
              <w:spacing w:line="240" w:lineRule="auto"/>
              <w:rPr>
                <w:rFonts w:eastAsia="Times New Roman" w:cs="Arial"/>
                <w:szCs w:val="24"/>
              </w:rPr>
            </w:pPr>
            <w:r w:rsidRPr="00A41B7E">
              <w:rPr>
                <w:szCs w:val="20"/>
              </w:rPr>
              <w:t>0.4</w:t>
            </w:r>
          </w:p>
        </w:tc>
        <w:tc>
          <w:tcPr>
            <w:tcW w:w="3192" w:type="dxa"/>
          </w:tcPr>
          <w:p w14:paraId="558DE21E" w14:textId="18844890" w:rsidR="00A41B7E" w:rsidRPr="00A41B7E" w:rsidRDefault="00A41B7E" w:rsidP="00A41B7E">
            <w:pPr>
              <w:spacing w:line="240" w:lineRule="auto"/>
              <w:rPr>
                <w:rFonts w:eastAsia="Times New Roman" w:cs="Arial"/>
                <w:szCs w:val="24"/>
              </w:rPr>
            </w:pPr>
            <w:r w:rsidRPr="00A41B7E">
              <w:rPr>
                <w:szCs w:val="20"/>
              </w:rPr>
              <w:t>0.1</w:t>
            </w:r>
          </w:p>
        </w:tc>
      </w:tr>
      <w:tr w:rsidR="00A41B7E" w14:paraId="55057CE3" w14:textId="77777777" w:rsidTr="00A41B7E">
        <w:tc>
          <w:tcPr>
            <w:tcW w:w="3192" w:type="dxa"/>
          </w:tcPr>
          <w:p w14:paraId="10C8EBAD" w14:textId="25E0872B" w:rsidR="00A41B7E" w:rsidRPr="00A41B7E" w:rsidRDefault="00A41B7E" w:rsidP="00A41B7E">
            <w:pPr>
              <w:spacing w:line="240" w:lineRule="auto"/>
              <w:rPr>
                <w:rFonts w:eastAsia="Times New Roman" w:cs="Arial"/>
                <w:szCs w:val="24"/>
              </w:rPr>
            </w:pPr>
            <w:r w:rsidRPr="00A41B7E">
              <w:rPr>
                <w:szCs w:val="20"/>
              </w:rPr>
              <w:t>Изискващо трансфузия (&gt;4 единици)</w:t>
            </w:r>
          </w:p>
        </w:tc>
        <w:tc>
          <w:tcPr>
            <w:tcW w:w="3192" w:type="dxa"/>
          </w:tcPr>
          <w:p w14:paraId="070606F8" w14:textId="31AE41B5" w:rsidR="00A41B7E" w:rsidRPr="00A41B7E" w:rsidRDefault="00A41B7E" w:rsidP="00A41B7E">
            <w:pPr>
              <w:spacing w:line="240" w:lineRule="auto"/>
              <w:rPr>
                <w:rFonts w:eastAsia="Times New Roman" w:cs="Arial"/>
                <w:szCs w:val="24"/>
              </w:rPr>
            </w:pPr>
            <w:r w:rsidRPr="00A41B7E">
              <w:rPr>
                <w:szCs w:val="20"/>
              </w:rPr>
              <w:t>0.3</w:t>
            </w:r>
          </w:p>
        </w:tc>
        <w:tc>
          <w:tcPr>
            <w:tcW w:w="3192" w:type="dxa"/>
          </w:tcPr>
          <w:p w14:paraId="0D4617A3" w14:textId="051B825E" w:rsidR="00A41B7E" w:rsidRPr="00A41B7E" w:rsidRDefault="00A41B7E" w:rsidP="00A41B7E">
            <w:pPr>
              <w:spacing w:line="240" w:lineRule="auto"/>
              <w:rPr>
                <w:rFonts w:eastAsia="Times New Roman" w:cs="Arial"/>
                <w:szCs w:val="24"/>
              </w:rPr>
            </w:pPr>
            <w:r w:rsidRPr="00A41B7E">
              <w:rPr>
                <w:szCs w:val="20"/>
              </w:rPr>
              <w:t>0.1</w:t>
            </w:r>
          </w:p>
        </w:tc>
      </w:tr>
      <w:tr w:rsidR="00A41B7E" w14:paraId="0F3FF71C" w14:textId="77777777" w:rsidTr="00A41B7E">
        <w:tc>
          <w:tcPr>
            <w:tcW w:w="3192" w:type="dxa"/>
          </w:tcPr>
          <w:p w14:paraId="4E9504E7" w14:textId="0B64F9D0" w:rsidR="00A41B7E" w:rsidRPr="00A41B7E" w:rsidRDefault="00A41B7E" w:rsidP="00A41B7E">
            <w:pPr>
              <w:spacing w:line="240" w:lineRule="auto"/>
              <w:rPr>
                <w:rFonts w:eastAsia="Times New Roman" w:cs="Arial"/>
                <w:szCs w:val="24"/>
              </w:rPr>
            </w:pPr>
            <w:r w:rsidRPr="00A41B7E">
              <w:rPr>
                <w:szCs w:val="20"/>
              </w:rPr>
              <w:t>Незначително кървене съгласно Т</w:t>
            </w:r>
            <w:r w:rsidRPr="00A41B7E">
              <w:rPr>
                <w:szCs w:val="20"/>
                <w:lang w:val="en-US"/>
              </w:rPr>
              <w:t>I</w:t>
            </w:r>
            <w:r w:rsidRPr="00A41B7E">
              <w:rPr>
                <w:szCs w:val="20"/>
              </w:rPr>
              <w:t>М</w:t>
            </w:r>
            <w:r w:rsidRPr="00A41B7E">
              <w:rPr>
                <w:szCs w:val="20"/>
                <w:lang w:val="en-US"/>
              </w:rPr>
              <w:t>I</w:t>
            </w:r>
            <w:r w:rsidRPr="00A41B7E">
              <w:rPr>
                <w:szCs w:val="20"/>
                <w:vertAlign w:val="superscript"/>
              </w:rPr>
              <w:t>Д</w:t>
            </w:r>
          </w:p>
        </w:tc>
        <w:tc>
          <w:tcPr>
            <w:tcW w:w="3192" w:type="dxa"/>
          </w:tcPr>
          <w:p w14:paraId="45E9F619" w14:textId="3BD053BD" w:rsidR="00A41B7E" w:rsidRPr="00A41B7E" w:rsidRDefault="00A41B7E" w:rsidP="00A41B7E">
            <w:pPr>
              <w:spacing w:line="240" w:lineRule="auto"/>
              <w:rPr>
                <w:rFonts w:eastAsia="Times New Roman" w:cs="Arial"/>
                <w:szCs w:val="24"/>
              </w:rPr>
            </w:pPr>
            <w:r w:rsidRPr="00A41B7E">
              <w:rPr>
                <w:szCs w:val="20"/>
              </w:rPr>
              <w:t>1.7</w:t>
            </w:r>
          </w:p>
        </w:tc>
        <w:tc>
          <w:tcPr>
            <w:tcW w:w="3192" w:type="dxa"/>
          </w:tcPr>
          <w:p w14:paraId="3B92F14D" w14:textId="422955D2" w:rsidR="00A41B7E" w:rsidRPr="00A41B7E" w:rsidRDefault="00A41B7E" w:rsidP="00A41B7E">
            <w:pPr>
              <w:spacing w:line="240" w:lineRule="auto"/>
              <w:rPr>
                <w:rFonts w:eastAsia="Times New Roman" w:cs="Arial"/>
                <w:szCs w:val="24"/>
              </w:rPr>
            </w:pPr>
            <w:r w:rsidRPr="00A41B7E">
              <w:rPr>
                <w:szCs w:val="20"/>
              </w:rPr>
              <w:t>0.6</w:t>
            </w:r>
          </w:p>
        </w:tc>
      </w:tr>
    </w:tbl>
    <w:p w14:paraId="56A01096" w14:textId="77777777" w:rsidR="00A41B7E" w:rsidRPr="00A41B7E" w:rsidRDefault="00A41B7E" w:rsidP="00A41B7E">
      <w:pPr>
        <w:spacing w:line="240" w:lineRule="auto"/>
        <w:rPr>
          <w:rFonts w:eastAsia="Times New Roman" w:cs="Arial"/>
        </w:rPr>
      </w:pPr>
      <w:r w:rsidRPr="00A41B7E">
        <w:rPr>
          <w:rFonts w:eastAsia="Times New Roman" w:cs="Arial"/>
          <w:i/>
          <w:iCs/>
          <w:color w:val="000000"/>
          <w:vertAlign w:val="superscript"/>
          <w:lang w:eastAsia="bg-BG"/>
        </w:rPr>
        <w:t xml:space="preserve">а </w:t>
      </w:r>
      <w:r w:rsidRPr="00A41B7E">
        <w:rPr>
          <w:rFonts w:eastAsia="Times New Roman" w:cs="Arial"/>
          <w:i/>
          <w:iCs/>
          <w:color w:val="000000"/>
          <w:lang w:eastAsia="bg-BG"/>
        </w:rPr>
        <w:t>Използвани са други подходящи стандартни лечения. Протоколът на клиничното проучване предвижда за всички пациенти да получават аспирин и дневна поддържаща доза прасугрел.</w:t>
      </w:r>
    </w:p>
    <w:p w14:paraId="5603159E" w14:textId="25DE22E5" w:rsidR="00A41B7E" w:rsidRPr="00A41B7E" w:rsidRDefault="00A41B7E" w:rsidP="00A41B7E">
      <w:pPr>
        <w:spacing w:line="240" w:lineRule="auto"/>
        <w:rPr>
          <w:rFonts w:eastAsia="Times New Roman" w:cs="Arial"/>
        </w:rPr>
      </w:pPr>
      <w:r w:rsidRPr="00A41B7E">
        <w:rPr>
          <w:rFonts w:eastAsia="Times New Roman" w:cs="Arial"/>
          <w:i/>
          <w:iCs/>
          <w:color w:val="000000"/>
          <w:vertAlign w:val="superscript"/>
          <w:lang w:eastAsia="bg-BG"/>
        </w:rPr>
        <w:t>б</w:t>
      </w:r>
      <w:r w:rsidRPr="00A41B7E">
        <w:rPr>
          <w:rFonts w:eastAsia="Times New Roman" w:cs="Arial"/>
          <w:i/>
          <w:iCs/>
          <w:color w:val="000000"/>
          <w:lang w:eastAsia="bg-BG"/>
        </w:rPr>
        <w:t>Всяка интракраниална хеморагия или всяко клинично проявено кървене,свързани с понижение на хемоглобина</w:t>
      </w:r>
      <w:r w:rsidRPr="00A41B7E">
        <w:rPr>
          <w:rFonts w:eastAsia="Times New Roman" w:cs="Arial"/>
          <w:lang w:val="ru-RU"/>
        </w:rPr>
        <w:t xml:space="preserve"> </w:t>
      </w:r>
      <w:r w:rsidRPr="00A41B7E">
        <w:rPr>
          <w:rFonts w:eastAsia="Times New Roman" w:cs="Arial"/>
          <w:i/>
          <w:iCs/>
          <w:color w:val="000000"/>
          <w:lang w:eastAsia="bg-BG"/>
        </w:rPr>
        <w:t xml:space="preserve">≥5 </w:t>
      </w:r>
      <w:r w:rsidRPr="00A41B7E">
        <w:rPr>
          <w:rFonts w:eastAsia="Times New Roman" w:cs="Arial"/>
          <w:i/>
          <w:iCs/>
          <w:color w:val="000000"/>
          <w:lang w:val="en-US"/>
        </w:rPr>
        <w:t>g</w:t>
      </w:r>
      <w:r w:rsidRPr="00A41B7E">
        <w:rPr>
          <w:rFonts w:eastAsia="Times New Roman" w:cs="Arial"/>
          <w:i/>
          <w:iCs/>
          <w:color w:val="000000"/>
          <w:lang w:val="ru-RU"/>
        </w:rPr>
        <w:t>/</w:t>
      </w:r>
      <w:r w:rsidRPr="00A41B7E">
        <w:rPr>
          <w:rFonts w:eastAsia="Times New Roman" w:cs="Arial"/>
          <w:i/>
          <w:iCs/>
          <w:color w:val="000000"/>
          <w:lang w:val="en-US"/>
        </w:rPr>
        <w:t>dl</w:t>
      </w:r>
      <w:r w:rsidRPr="00A41B7E">
        <w:rPr>
          <w:rFonts w:eastAsia="Times New Roman" w:cs="Arial"/>
          <w:i/>
          <w:iCs/>
          <w:color w:val="000000"/>
          <w:lang w:val="ru-RU"/>
        </w:rPr>
        <w:t>.</w:t>
      </w:r>
    </w:p>
    <w:p w14:paraId="4F6131AE" w14:textId="25D92E6E" w:rsidR="00A41B7E" w:rsidRPr="00A41B7E" w:rsidRDefault="00A41B7E" w:rsidP="00A41B7E">
      <w:pPr>
        <w:spacing w:line="240" w:lineRule="auto"/>
        <w:rPr>
          <w:rFonts w:eastAsia="Times New Roman" w:cs="Arial"/>
        </w:rPr>
      </w:pPr>
      <w:r w:rsidRPr="00A41B7E">
        <w:rPr>
          <w:rFonts w:eastAsia="Times New Roman" w:cs="Arial"/>
          <w:i/>
          <w:iCs/>
          <w:color w:val="000000"/>
          <w:vertAlign w:val="superscript"/>
          <w:lang w:eastAsia="bg-BG"/>
        </w:rPr>
        <w:t>в</w:t>
      </w:r>
      <w:r w:rsidRPr="00A41B7E">
        <w:rPr>
          <w:rFonts w:eastAsia="Times New Roman" w:cs="Arial"/>
          <w:i/>
          <w:iCs/>
          <w:color w:val="000000"/>
          <w:lang w:eastAsia="bg-BG"/>
        </w:rPr>
        <w:t>Животозастрашаващо кървене е подгрупа на значително кървене съгласно Т</w:t>
      </w:r>
      <w:r w:rsidRPr="00A41B7E">
        <w:rPr>
          <w:rFonts w:eastAsia="Times New Roman" w:cs="Arial"/>
          <w:i/>
          <w:iCs/>
          <w:color w:val="000000"/>
          <w:lang w:val="en-US"/>
        </w:rPr>
        <w:t>IMI</w:t>
      </w:r>
      <w:r w:rsidRPr="00A41B7E">
        <w:rPr>
          <w:rFonts w:eastAsia="Times New Roman" w:cs="Arial"/>
          <w:i/>
          <w:iCs/>
          <w:color w:val="000000"/>
          <w:lang w:eastAsia="bg-BG"/>
        </w:rPr>
        <w:t xml:space="preserve"> и включва видовете по-долу.</w:t>
      </w:r>
    </w:p>
    <w:p w14:paraId="5EBBAD89" w14:textId="77777777" w:rsidR="00A41B7E" w:rsidRPr="00A41B7E" w:rsidRDefault="00A41B7E" w:rsidP="00A41B7E">
      <w:pPr>
        <w:spacing w:line="240" w:lineRule="auto"/>
        <w:rPr>
          <w:rFonts w:eastAsia="Times New Roman" w:cs="Arial"/>
        </w:rPr>
      </w:pPr>
      <w:r w:rsidRPr="00A41B7E">
        <w:rPr>
          <w:rFonts w:eastAsia="Times New Roman" w:cs="Arial"/>
          <w:i/>
          <w:iCs/>
          <w:color w:val="000000"/>
          <w:lang w:eastAsia="bg-BG"/>
        </w:rPr>
        <w:t>Пациентите може да са преброени в повече от един ред.</w:t>
      </w:r>
    </w:p>
    <w:p w14:paraId="60FD4BFD" w14:textId="77777777" w:rsidR="00A41B7E" w:rsidRPr="00A41B7E" w:rsidRDefault="00A41B7E" w:rsidP="00A41B7E">
      <w:pPr>
        <w:spacing w:line="240" w:lineRule="auto"/>
        <w:rPr>
          <w:rFonts w:eastAsia="Times New Roman" w:cs="Arial"/>
        </w:rPr>
      </w:pPr>
      <w:r w:rsidRPr="00A41B7E">
        <w:rPr>
          <w:rFonts w:eastAsia="Times New Roman" w:cs="Arial"/>
          <w:i/>
          <w:iCs/>
          <w:color w:val="000000"/>
          <w:vertAlign w:val="superscript"/>
          <w:lang w:eastAsia="bg-BG"/>
        </w:rPr>
        <w:t>г</w:t>
      </w:r>
      <w:r w:rsidRPr="00A41B7E">
        <w:rPr>
          <w:rFonts w:eastAsia="Times New Roman" w:cs="Arial"/>
          <w:i/>
          <w:iCs/>
          <w:color w:val="000000"/>
          <w:lang w:eastAsia="bg-BG"/>
        </w:rPr>
        <w:t xml:space="preserve"> ИКХ= интракраниална хеморагия.</w:t>
      </w:r>
    </w:p>
    <w:p w14:paraId="70592656" w14:textId="2BFB968A" w:rsidR="00A41B7E" w:rsidRPr="00A41B7E" w:rsidRDefault="00A41B7E" w:rsidP="00A41B7E">
      <w:pPr>
        <w:spacing w:line="240" w:lineRule="auto"/>
        <w:rPr>
          <w:rFonts w:eastAsia="Times New Roman" w:cs="Arial"/>
        </w:rPr>
      </w:pPr>
      <w:r w:rsidRPr="00A41B7E">
        <w:rPr>
          <w:rFonts w:eastAsia="Times New Roman" w:cs="Arial"/>
          <w:i/>
          <w:iCs/>
          <w:color w:val="000000"/>
          <w:vertAlign w:val="superscript"/>
          <w:lang w:eastAsia="bg-BG"/>
        </w:rPr>
        <w:t>д</w:t>
      </w:r>
      <w:r w:rsidRPr="00A41B7E">
        <w:rPr>
          <w:rFonts w:eastAsia="Times New Roman" w:cs="Arial"/>
          <w:i/>
          <w:iCs/>
          <w:color w:val="000000"/>
          <w:lang w:eastAsia="bg-BG"/>
        </w:rPr>
        <w:t xml:space="preserve">Клинично проявено кървене,свързано с понижение на хемоглобина от 23 </w:t>
      </w:r>
      <w:r w:rsidRPr="00A41B7E">
        <w:rPr>
          <w:rFonts w:eastAsia="Times New Roman" w:cs="Arial"/>
          <w:i/>
          <w:iCs/>
          <w:color w:val="000000"/>
          <w:lang w:val="en-US"/>
        </w:rPr>
        <w:t>g</w:t>
      </w:r>
      <w:r w:rsidRPr="00A41B7E">
        <w:rPr>
          <w:rFonts w:eastAsia="Times New Roman" w:cs="Arial"/>
          <w:i/>
          <w:iCs/>
          <w:color w:val="000000"/>
          <w:lang w:val="ru-RU"/>
        </w:rPr>
        <w:t>/</w:t>
      </w:r>
      <w:r w:rsidRPr="00A41B7E">
        <w:rPr>
          <w:rFonts w:eastAsia="Times New Roman" w:cs="Arial"/>
          <w:i/>
          <w:iCs/>
          <w:color w:val="000000"/>
          <w:lang w:val="en-US"/>
        </w:rPr>
        <w:t>dl</w:t>
      </w:r>
      <w:r w:rsidRPr="00A41B7E">
        <w:rPr>
          <w:rFonts w:eastAsia="Times New Roman" w:cs="Arial"/>
          <w:i/>
          <w:iCs/>
          <w:color w:val="000000"/>
          <w:lang w:val="ru-RU"/>
        </w:rPr>
        <w:t xml:space="preserve">, </w:t>
      </w:r>
      <w:r w:rsidRPr="00A41B7E">
        <w:rPr>
          <w:rFonts w:eastAsia="Times New Roman" w:cs="Arial"/>
          <w:i/>
          <w:iCs/>
          <w:color w:val="000000"/>
          <w:lang w:eastAsia="bg-BG"/>
        </w:rPr>
        <w:t xml:space="preserve">но &lt;5 </w:t>
      </w:r>
      <w:r w:rsidRPr="00A41B7E">
        <w:rPr>
          <w:rFonts w:eastAsia="Times New Roman" w:cs="Arial"/>
          <w:i/>
          <w:iCs/>
          <w:color w:val="000000"/>
          <w:lang w:val="en-US"/>
        </w:rPr>
        <w:t>g</w:t>
      </w:r>
      <w:r w:rsidRPr="00A41B7E">
        <w:rPr>
          <w:rFonts w:eastAsia="Times New Roman" w:cs="Arial"/>
          <w:i/>
          <w:iCs/>
          <w:color w:val="000000"/>
          <w:lang w:val="ru-RU"/>
        </w:rPr>
        <w:t>/</w:t>
      </w:r>
      <w:r w:rsidRPr="00A41B7E">
        <w:rPr>
          <w:rFonts w:eastAsia="Times New Roman" w:cs="Arial"/>
          <w:i/>
          <w:iCs/>
          <w:color w:val="000000"/>
          <w:lang w:val="en-US"/>
        </w:rPr>
        <w:t>dl</w:t>
      </w:r>
      <w:r w:rsidRPr="00A41B7E">
        <w:rPr>
          <w:rFonts w:eastAsia="Times New Roman" w:cs="Arial"/>
          <w:i/>
          <w:iCs/>
          <w:color w:val="000000"/>
          <w:lang w:val="ru-RU"/>
        </w:rPr>
        <w:t>.</w:t>
      </w:r>
    </w:p>
    <w:p w14:paraId="1EEDA76F" w14:textId="77777777" w:rsidR="00A41B7E" w:rsidRPr="00A41B7E" w:rsidRDefault="00A41B7E" w:rsidP="00A41B7E">
      <w:pPr>
        <w:spacing w:line="240" w:lineRule="auto"/>
        <w:rPr>
          <w:rFonts w:eastAsia="Times New Roman" w:cs="Arial"/>
          <w:color w:val="000000"/>
          <w:u w:val="single"/>
          <w:lang w:eastAsia="bg-BG"/>
        </w:rPr>
      </w:pPr>
    </w:p>
    <w:p w14:paraId="2720B3FE" w14:textId="6DCAFA35" w:rsidR="00A41B7E" w:rsidRPr="00A41B7E" w:rsidRDefault="00A41B7E" w:rsidP="00A41B7E">
      <w:pPr>
        <w:spacing w:line="240" w:lineRule="auto"/>
        <w:rPr>
          <w:rFonts w:eastAsia="Times New Roman" w:cs="Arial"/>
        </w:rPr>
      </w:pPr>
      <w:r w:rsidRPr="00A41B7E">
        <w:rPr>
          <w:rFonts w:eastAsia="Times New Roman" w:cs="Arial"/>
          <w:color w:val="000000"/>
          <w:u w:val="single"/>
          <w:lang w:eastAsia="bg-BG"/>
        </w:rPr>
        <w:t>Резюме на нежеланите лекарствени реакции, представено в таблица</w:t>
      </w:r>
    </w:p>
    <w:p w14:paraId="2A3F9180" w14:textId="77777777" w:rsidR="00A41B7E" w:rsidRPr="00A41B7E" w:rsidRDefault="00A41B7E" w:rsidP="00A41B7E">
      <w:pPr>
        <w:spacing w:line="240" w:lineRule="auto"/>
        <w:rPr>
          <w:rFonts w:eastAsia="Times New Roman" w:cs="Arial"/>
          <w:color w:val="000000"/>
          <w:lang w:eastAsia="bg-BG"/>
        </w:rPr>
      </w:pPr>
    </w:p>
    <w:p w14:paraId="2CA5EFC4" w14:textId="1E3D219F" w:rsidR="00A41B7E" w:rsidRPr="00A41B7E" w:rsidRDefault="00A41B7E" w:rsidP="00A41B7E">
      <w:pPr>
        <w:spacing w:line="240" w:lineRule="auto"/>
        <w:rPr>
          <w:rFonts w:eastAsia="Times New Roman" w:cs="Arial"/>
        </w:rPr>
      </w:pPr>
      <w:r w:rsidRPr="00A41B7E">
        <w:rPr>
          <w:rFonts w:eastAsia="Times New Roman" w:cs="Arial"/>
          <w:color w:val="000000"/>
          <w:lang w:eastAsia="bg-BG"/>
        </w:rPr>
        <w:t xml:space="preserve">Таблица 2 обобщава хеморагичните и нехеморагичните нежелани реакции в проучването </w:t>
      </w:r>
      <w:r w:rsidRPr="00A41B7E">
        <w:rPr>
          <w:rFonts w:eastAsia="Times New Roman" w:cs="Arial"/>
          <w:color w:val="000000"/>
          <w:lang w:val="en-US"/>
        </w:rPr>
        <w:t>TRITON</w:t>
      </w:r>
      <w:r w:rsidRPr="00A41B7E">
        <w:rPr>
          <w:rFonts w:eastAsia="Times New Roman" w:cs="Arial"/>
          <w:color w:val="000000"/>
          <w:lang w:val="ru-RU"/>
        </w:rPr>
        <w:t xml:space="preserve">, </w:t>
      </w:r>
      <w:r w:rsidRPr="00A41B7E">
        <w:rPr>
          <w:rFonts w:eastAsia="Times New Roman" w:cs="Arial"/>
          <w:color w:val="000000"/>
          <w:lang w:eastAsia="bg-BG"/>
        </w:rPr>
        <w:t>или тези от спонтанни съобщения, групирани по честота и системо-органен клас. Термините за честота са дефинирани както следва: 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p w14:paraId="7F86A06A" w14:textId="77777777" w:rsidR="00A41B7E" w:rsidRPr="00A41B7E" w:rsidRDefault="00A41B7E" w:rsidP="00A41B7E">
      <w:pPr>
        <w:spacing w:line="240" w:lineRule="auto"/>
        <w:rPr>
          <w:rFonts w:eastAsia="Times New Roman" w:cs="Arial"/>
          <w:color w:val="000000"/>
          <w:lang w:eastAsia="bg-BG"/>
        </w:rPr>
      </w:pPr>
    </w:p>
    <w:p w14:paraId="73F36302" w14:textId="63BDB2F1" w:rsidR="00A41B7E" w:rsidRPr="00A41B7E" w:rsidRDefault="00A41B7E" w:rsidP="00A41B7E">
      <w:pPr>
        <w:spacing w:line="240" w:lineRule="auto"/>
        <w:rPr>
          <w:rFonts w:eastAsia="Times New Roman" w:cs="Arial"/>
        </w:rPr>
      </w:pPr>
      <w:r w:rsidRPr="00A41B7E">
        <w:rPr>
          <w:rFonts w:eastAsia="Times New Roman" w:cs="Arial"/>
          <w:color w:val="000000"/>
          <w:lang w:eastAsia="bg-BG"/>
        </w:rPr>
        <w:t>Таблица 2: Хеморагични и нехеморагични нежелани реакции</w:t>
      </w:r>
    </w:p>
    <w:tbl>
      <w:tblPr>
        <w:tblStyle w:val="TableGrid"/>
        <w:tblW w:w="0" w:type="auto"/>
        <w:tblLook w:val="04A0" w:firstRow="1" w:lastRow="0" w:firstColumn="1" w:lastColumn="0" w:noHBand="0" w:noVBand="1"/>
      </w:tblPr>
      <w:tblGrid>
        <w:gridCol w:w="1803"/>
        <w:gridCol w:w="1712"/>
        <w:gridCol w:w="2179"/>
        <w:gridCol w:w="1982"/>
        <w:gridCol w:w="1674"/>
      </w:tblGrid>
      <w:tr w:rsidR="00A41B7E" w14:paraId="0A3B0329" w14:textId="77777777" w:rsidTr="0085492F">
        <w:tc>
          <w:tcPr>
            <w:tcW w:w="1845" w:type="dxa"/>
          </w:tcPr>
          <w:p w14:paraId="2F449A18" w14:textId="4247B69C" w:rsidR="00A41B7E" w:rsidRPr="00A41B7E" w:rsidRDefault="00A41B7E" w:rsidP="00A41B7E">
            <w:pPr>
              <w:rPr>
                <w:rFonts w:cs="Arial"/>
              </w:rPr>
            </w:pPr>
            <w:r w:rsidRPr="00A41B7E">
              <w:rPr>
                <w:b/>
                <w:bCs/>
              </w:rPr>
              <w:lastRenderedPageBreak/>
              <w:t>Системо- органен клас</w:t>
            </w:r>
          </w:p>
        </w:tc>
        <w:tc>
          <w:tcPr>
            <w:tcW w:w="1753" w:type="dxa"/>
          </w:tcPr>
          <w:p w14:paraId="75D845D6" w14:textId="5435501E" w:rsidR="00A41B7E" w:rsidRPr="00A41B7E" w:rsidRDefault="00A41B7E" w:rsidP="00A41B7E">
            <w:pPr>
              <w:rPr>
                <w:rFonts w:cs="Arial"/>
              </w:rPr>
            </w:pPr>
            <w:r w:rsidRPr="00A41B7E">
              <w:rPr>
                <w:b/>
                <w:bCs/>
              </w:rPr>
              <w:t>Чести</w:t>
            </w:r>
          </w:p>
        </w:tc>
        <w:tc>
          <w:tcPr>
            <w:tcW w:w="2233" w:type="dxa"/>
          </w:tcPr>
          <w:p w14:paraId="04FC08A6" w14:textId="1C4F79C0" w:rsidR="00A41B7E" w:rsidRPr="00A41B7E" w:rsidRDefault="00A41B7E" w:rsidP="00A41B7E">
            <w:pPr>
              <w:rPr>
                <w:rFonts w:cs="Arial"/>
              </w:rPr>
            </w:pPr>
            <w:r w:rsidRPr="00A41B7E">
              <w:rPr>
                <w:b/>
                <w:bCs/>
              </w:rPr>
              <w:t>Нечести</w:t>
            </w:r>
          </w:p>
        </w:tc>
        <w:tc>
          <w:tcPr>
            <w:tcW w:w="2031" w:type="dxa"/>
          </w:tcPr>
          <w:p w14:paraId="53E47CFA" w14:textId="2FFE6EFA" w:rsidR="00A41B7E" w:rsidRPr="00A41B7E" w:rsidRDefault="00A41B7E" w:rsidP="00A41B7E">
            <w:pPr>
              <w:rPr>
                <w:rFonts w:cs="Arial"/>
              </w:rPr>
            </w:pPr>
            <w:r w:rsidRPr="00A41B7E">
              <w:rPr>
                <w:b/>
                <w:bCs/>
              </w:rPr>
              <w:t>Редки</w:t>
            </w:r>
          </w:p>
        </w:tc>
        <w:tc>
          <w:tcPr>
            <w:tcW w:w="1714" w:type="dxa"/>
          </w:tcPr>
          <w:p w14:paraId="4EF43773" w14:textId="77777777" w:rsidR="00A41B7E" w:rsidRPr="00A41B7E" w:rsidRDefault="00A41B7E" w:rsidP="00A41B7E">
            <w:r w:rsidRPr="00A41B7E">
              <w:t>С неизвестна</w:t>
            </w:r>
          </w:p>
          <w:p w14:paraId="7F9B7741" w14:textId="0A000D53" w:rsidR="00A41B7E" w:rsidRPr="00A41B7E" w:rsidRDefault="00A41B7E" w:rsidP="00A41B7E">
            <w:pPr>
              <w:rPr>
                <w:rFonts w:cs="Arial"/>
              </w:rPr>
            </w:pPr>
            <w:r w:rsidRPr="00A41B7E">
              <w:t>честота</w:t>
            </w:r>
          </w:p>
        </w:tc>
      </w:tr>
      <w:tr w:rsidR="00A41B7E" w14:paraId="07E9FCE2" w14:textId="77777777" w:rsidTr="0085492F">
        <w:tc>
          <w:tcPr>
            <w:tcW w:w="1845" w:type="dxa"/>
          </w:tcPr>
          <w:p w14:paraId="14F4E9D4" w14:textId="45DCD857" w:rsidR="00A41B7E" w:rsidRPr="00A41B7E" w:rsidRDefault="00A41B7E" w:rsidP="00A41B7E">
            <w:pPr>
              <w:rPr>
                <w:rFonts w:cs="Arial"/>
              </w:rPr>
            </w:pPr>
            <w:r w:rsidRPr="00A41B7E">
              <w:rPr>
                <w:i/>
                <w:iCs/>
              </w:rPr>
              <w:t>Нарушения на кръвта и лимфната система</w:t>
            </w:r>
          </w:p>
        </w:tc>
        <w:tc>
          <w:tcPr>
            <w:tcW w:w="1753" w:type="dxa"/>
          </w:tcPr>
          <w:p w14:paraId="12BB2AC2" w14:textId="446463FD" w:rsidR="00A41B7E" w:rsidRPr="00A41B7E" w:rsidRDefault="00A41B7E" w:rsidP="00A41B7E">
            <w:pPr>
              <w:rPr>
                <w:rFonts w:cs="Arial"/>
              </w:rPr>
            </w:pPr>
            <w:r w:rsidRPr="00A41B7E">
              <w:t>Анемия</w:t>
            </w:r>
          </w:p>
        </w:tc>
        <w:tc>
          <w:tcPr>
            <w:tcW w:w="2233" w:type="dxa"/>
          </w:tcPr>
          <w:p w14:paraId="3164058E" w14:textId="77777777" w:rsidR="00A41B7E" w:rsidRPr="00A41B7E" w:rsidRDefault="00A41B7E" w:rsidP="00A41B7E">
            <w:pPr>
              <w:rPr>
                <w:rFonts w:cs="Arial"/>
              </w:rPr>
            </w:pPr>
          </w:p>
        </w:tc>
        <w:tc>
          <w:tcPr>
            <w:tcW w:w="2031" w:type="dxa"/>
          </w:tcPr>
          <w:p w14:paraId="6535F173" w14:textId="5A5CA757" w:rsidR="00A41B7E" w:rsidRPr="00A41B7E" w:rsidRDefault="00A41B7E" w:rsidP="00A41B7E">
            <w:pPr>
              <w:rPr>
                <w:rFonts w:cs="Arial"/>
              </w:rPr>
            </w:pPr>
            <w:r w:rsidRPr="00A41B7E">
              <w:t>Тромбоцитопения</w:t>
            </w:r>
          </w:p>
        </w:tc>
        <w:tc>
          <w:tcPr>
            <w:tcW w:w="1714" w:type="dxa"/>
          </w:tcPr>
          <w:p w14:paraId="2F8CAAEB" w14:textId="77777777" w:rsidR="00A41B7E" w:rsidRPr="00A41B7E" w:rsidRDefault="00A41B7E" w:rsidP="00A41B7E">
            <w:r w:rsidRPr="00A41B7E">
              <w:t>Тромботична тромбоцитопе- нична пурпура (ТТП) - виж. т.</w:t>
            </w:r>
          </w:p>
          <w:p w14:paraId="617CB2F3" w14:textId="4285CBF1" w:rsidR="00A41B7E" w:rsidRPr="00A41B7E" w:rsidRDefault="00A41B7E" w:rsidP="00A41B7E">
            <w:pPr>
              <w:rPr>
                <w:rFonts w:cs="Arial"/>
              </w:rPr>
            </w:pPr>
            <w:r w:rsidRPr="00A41B7E">
              <w:t>4.4</w:t>
            </w:r>
          </w:p>
        </w:tc>
      </w:tr>
      <w:tr w:rsidR="00A41B7E" w14:paraId="57B187AD" w14:textId="77777777" w:rsidTr="0085492F">
        <w:tc>
          <w:tcPr>
            <w:tcW w:w="1845" w:type="dxa"/>
          </w:tcPr>
          <w:p w14:paraId="36970D18" w14:textId="21EDBCD6" w:rsidR="00A41B7E" w:rsidRPr="00A41B7E" w:rsidRDefault="00A41B7E" w:rsidP="00A41B7E">
            <w:pPr>
              <w:rPr>
                <w:rFonts w:cs="Arial"/>
              </w:rPr>
            </w:pPr>
            <w:r w:rsidRPr="00A41B7E">
              <w:rPr>
                <w:i/>
                <w:iCs/>
              </w:rPr>
              <w:t>Нарушения на имунната система</w:t>
            </w:r>
          </w:p>
        </w:tc>
        <w:tc>
          <w:tcPr>
            <w:tcW w:w="1753" w:type="dxa"/>
          </w:tcPr>
          <w:p w14:paraId="5BDE24E3" w14:textId="77777777" w:rsidR="00A41B7E" w:rsidRPr="00A41B7E" w:rsidRDefault="00A41B7E" w:rsidP="00A41B7E">
            <w:pPr>
              <w:rPr>
                <w:rFonts w:cs="Arial"/>
              </w:rPr>
            </w:pPr>
          </w:p>
        </w:tc>
        <w:tc>
          <w:tcPr>
            <w:tcW w:w="2233" w:type="dxa"/>
          </w:tcPr>
          <w:p w14:paraId="743A0A21" w14:textId="387220E1" w:rsidR="00A41B7E" w:rsidRPr="00A41B7E" w:rsidRDefault="00A41B7E" w:rsidP="00A41B7E">
            <w:pPr>
              <w:rPr>
                <w:rFonts w:cs="Arial"/>
              </w:rPr>
            </w:pPr>
            <w:r w:rsidRPr="00A41B7E">
              <w:t>Свръхчувствител</w:t>
            </w:r>
            <w:r w:rsidRPr="00A41B7E">
              <w:softHyphen/>
              <w:t>ност, включително ангиоедем</w:t>
            </w:r>
          </w:p>
        </w:tc>
        <w:tc>
          <w:tcPr>
            <w:tcW w:w="2031" w:type="dxa"/>
          </w:tcPr>
          <w:p w14:paraId="71A382E1" w14:textId="77777777" w:rsidR="00A41B7E" w:rsidRPr="00A41B7E" w:rsidRDefault="00A41B7E" w:rsidP="00A41B7E">
            <w:pPr>
              <w:rPr>
                <w:rFonts w:cs="Arial"/>
              </w:rPr>
            </w:pPr>
          </w:p>
        </w:tc>
        <w:tc>
          <w:tcPr>
            <w:tcW w:w="1714" w:type="dxa"/>
          </w:tcPr>
          <w:p w14:paraId="28E0EB59" w14:textId="77777777" w:rsidR="00A41B7E" w:rsidRPr="00A41B7E" w:rsidRDefault="00A41B7E" w:rsidP="00A41B7E">
            <w:pPr>
              <w:rPr>
                <w:rFonts w:cs="Arial"/>
              </w:rPr>
            </w:pPr>
          </w:p>
        </w:tc>
      </w:tr>
      <w:tr w:rsidR="00A41B7E" w14:paraId="5E3EB418" w14:textId="77777777" w:rsidTr="0085492F">
        <w:tc>
          <w:tcPr>
            <w:tcW w:w="1845" w:type="dxa"/>
          </w:tcPr>
          <w:p w14:paraId="50AEE997" w14:textId="0D6427FD" w:rsidR="00A41B7E" w:rsidRPr="00A41B7E" w:rsidRDefault="00A41B7E" w:rsidP="00A41B7E">
            <w:pPr>
              <w:rPr>
                <w:rFonts w:cs="Arial"/>
              </w:rPr>
            </w:pPr>
            <w:r w:rsidRPr="00A41B7E">
              <w:rPr>
                <w:i/>
                <w:iCs/>
              </w:rPr>
              <w:t>Нарушения на очите</w:t>
            </w:r>
          </w:p>
        </w:tc>
        <w:tc>
          <w:tcPr>
            <w:tcW w:w="1753" w:type="dxa"/>
          </w:tcPr>
          <w:p w14:paraId="6144155A" w14:textId="77777777" w:rsidR="00A41B7E" w:rsidRPr="00A41B7E" w:rsidRDefault="00A41B7E" w:rsidP="00A41B7E">
            <w:pPr>
              <w:rPr>
                <w:rFonts w:cs="Arial"/>
              </w:rPr>
            </w:pPr>
          </w:p>
        </w:tc>
        <w:tc>
          <w:tcPr>
            <w:tcW w:w="2233" w:type="dxa"/>
          </w:tcPr>
          <w:p w14:paraId="0BF41330" w14:textId="565EDCFD" w:rsidR="00A41B7E" w:rsidRPr="00A41B7E" w:rsidRDefault="00A41B7E" w:rsidP="00A41B7E">
            <w:pPr>
              <w:rPr>
                <w:rFonts w:cs="Arial"/>
              </w:rPr>
            </w:pPr>
            <w:r w:rsidRPr="00A41B7E">
              <w:t>Хеморагия в окото</w:t>
            </w:r>
          </w:p>
        </w:tc>
        <w:tc>
          <w:tcPr>
            <w:tcW w:w="2031" w:type="dxa"/>
          </w:tcPr>
          <w:p w14:paraId="2D90C4B9" w14:textId="77777777" w:rsidR="00A41B7E" w:rsidRPr="00A41B7E" w:rsidRDefault="00A41B7E" w:rsidP="00A41B7E">
            <w:pPr>
              <w:rPr>
                <w:rFonts w:cs="Arial"/>
              </w:rPr>
            </w:pPr>
          </w:p>
        </w:tc>
        <w:tc>
          <w:tcPr>
            <w:tcW w:w="1714" w:type="dxa"/>
          </w:tcPr>
          <w:p w14:paraId="25D7AE19" w14:textId="77777777" w:rsidR="00A41B7E" w:rsidRPr="00A41B7E" w:rsidRDefault="00A41B7E" w:rsidP="00A41B7E">
            <w:pPr>
              <w:rPr>
                <w:rFonts w:cs="Arial"/>
              </w:rPr>
            </w:pPr>
          </w:p>
        </w:tc>
      </w:tr>
      <w:tr w:rsidR="00A41B7E" w14:paraId="363919C7" w14:textId="77777777" w:rsidTr="0085492F">
        <w:tc>
          <w:tcPr>
            <w:tcW w:w="1845" w:type="dxa"/>
            <w:vAlign w:val="bottom"/>
          </w:tcPr>
          <w:p w14:paraId="268FF3B5" w14:textId="1050CC13" w:rsidR="00A41B7E" w:rsidRPr="00A41B7E" w:rsidRDefault="00A41B7E" w:rsidP="00A41B7E">
            <w:pPr>
              <w:rPr>
                <w:rFonts w:cs="Arial"/>
              </w:rPr>
            </w:pPr>
            <w:r w:rsidRPr="00A41B7E">
              <w:rPr>
                <w:i/>
                <w:iCs/>
              </w:rPr>
              <w:t>Съдови нарушения</w:t>
            </w:r>
          </w:p>
        </w:tc>
        <w:tc>
          <w:tcPr>
            <w:tcW w:w="1753" w:type="dxa"/>
          </w:tcPr>
          <w:p w14:paraId="7B852B4F" w14:textId="06B1B98A" w:rsidR="00A41B7E" w:rsidRPr="00A41B7E" w:rsidRDefault="00A41B7E" w:rsidP="00A41B7E">
            <w:pPr>
              <w:rPr>
                <w:rFonts w:cs="Arial"/>
              </w:rPr>
            </w:pPr>
            <w:r w:rsidRPr="00A41B7E">
              <w:t>Хематом</w:t>
            </w:r>
          </w:p>
        </w:tc>
        <w:tc>
          <w:tcPr>
            <w:tcW w:w="2233" w:type="dxa"/>
          </w:tcPr>
          <w:p w14:paraId="3EDB7D9F" w14:textId="77777777" w:rsidR="00A41B7E" w:rsidRPr="00A41B7E" w:rsidRDefault="00A41B7E" w:rsidP="00A41B7E">
            <w:pPr>
              <w:rPr>
                <w:rFonts w:cs="Arial"/>
              </w:rPr>
            </w:pPr>
          </w:p>
        </w:tc>
        <w:tc>
          <w:tcPr>
            <w:tcW w:w="2031" w:type="dxa"/>
          </w:tcPr>
          <w:p w14:paraId="056F036C" w14:textId="77777777" w:rsidR="00A41B7E" w:rsidRPr="00A41B7E" w:rsidRDefault="00A41B7E" w:rsidP="00A41B7E">
            <w:pPr>
              <w:rPr>
                <w:rFonts w:cs="Arial"/>
              </w:rPr>
            </w:pPr>
          </w:p>
        </w:tc>
        <w:tc>
          <w:tcPr>
            <w:tcW w:w="1714" w:type="dxa"/>
          </w:tcPr>
          <w:p w14:paraId="0EE304BA" w14:textId="77777777" w:rsidR="00A41B7E" w:rsidRPr="00A41B7E" w:rsidRDefault="00A41B7E" w:rsidP="00A41B7E">
            <w:pPr>
              <w:rPr>
                <w:rFonts w:cs="Arial"/>
              </w:rPr>
            </w:pPr>
          </w:p>
        </w:tc>
      </w:tr>
      <w:tr w:rsidR="00A41B7E" w14:paraId="389E1F08" w14:textId="77777777" w:rsidTr="0085492F">
        <w:tc>
          <w:tcPr>
            <w:tcW w:w="1845" w:type="dxa"/>
            <w:vAlign w:val="bottom"/>
          </w:tcPr>
          <w:p w14:paraId="479EC8B3" w14:textId="6B27A54B" w:rsidR="00A41B7E" w:rsidRPr="00A41B7E" w:rsidRDefault="00A41B7E" w:rsidP="00A41B7E">
            <w:pPr>
              <w:rPr>
                <w:rFonts w:cs="Arial"/>
              </w:rPr>
            </w:pPr>
            <w:r w:rsidRPr="00A41B7E">
              <w:rPr>
                <w:i/>
                <w:iCs/>
              </w:rPr>
              <w:t>Респираторни, гръдни и медиастинални нарушения</w:t>
            </w:r>
          </w:p>
        </w:tc>
        <w:tc>
          <w:tcPr>
            <w:tcW w:w="1753" w:type="dxa"/>
          </w:tcPr>
          <w:p w14:paraId="318659F6" w14:textId="6AFD16FE" w:rsidR="00A41B7E" w:rsidRPr="00A41B7E" w:rsidRDefault="00A41B7E" w:rsidP="00A41B7E">
            <w:pPr>
              <w:rPr>
                <w:rFonts w:cs="Arial"/>
              </w:rPr>
            </w:pPr>
            <w:r w:rsidRPr="00A41B7E">
              <w:t>Епистаксис</w:t>
            </w:r>
          </w:p>
        </w:tc>
        <w:tc>
          <w:tcPr>
            <w:tcW w:w="2233" w:type="dxa"/>
          </w:tcPr>
          <w:p w14:paraId="0A361188" w14:textId="0A680C15" w:rsidR="00A41B7E" w:rsidRPr="00A41B7E" w:rsidRDefault="00A41B7E" w:rsidP="00A41B7E">
            <w:pPr>
              <w:rPr>
                <w:rFonts w:cs="Arial"/>
              </w:rPr>
            </w:pPr>
            <w:r w:rsidRPr="00A41B7E">
              <w:t>Хемоптиза</w:t>
            </w:r>
          </w:p>
        </w:tc>
        <w:tc>
          <w:tcPr>
            <w:tcW w:w="2031" w:type="dxa"/>
          </w:tcPr>
          <w:p w14:paraId="574B35BE" w14:textId="77777777" w:rsidR="00A41B7E" w:rsidRPr="00A41B7E" w:rsidRDefault="00A41B7E" w:rsidP="00A41B7E">
            <w:pPr>
              <w:rPr>
                <w:rFonts w:cs="Arial"/>
              </w:rPr>
            </w:pPr>
          </w:p>
        </w:tc>
        <w:tc>
          <w:tcPr>
            <w:tcW w:w="1714" w:type="dxa"/>
          </w:tcPr>
          <w:p w14:paraId="7B59A1B9" w14:textId="77777777" w:rsidR="00A41B7E" w:rsidRPr="00A41B7E" w:rsidRDefault="00A41B7E" w:rsidP="00A41B7E">
            <w:pPr>
              <w:rPr>
                <w:rFonts w:cs="Arial"/>
              </w:rPr>
            </w:pPr>
          </w:p>
        </w:tc>
      </w:tr>
      <w:tr w:rsidR="00A41B7E" w14:paraId="7724BB36" w14:textId="77777777" w:rsidTr="0085492F">
        <w:tc>
          <w:tcPr>
            <w:tcW w:w="1845" w:type="dxa"/>
          </w:tcPr>
          <w:p w14:paraId="2519543E" w14:textId="54A43434" w:rsidR="00A41B7E" w:rsidRPr="00A41B7E" w:rsidRDefault="00A41B7E" w:rsidP="00A41B7E">
            <w:pPr>
              <w:rPr>
                <w:rFonts w:cs="Arial"/>
              </w:rPr>
            </w:pPr>
            <w:r w:rsidRPr="00A41B7E">
              <w:rPr>
                <w:i/>
                <w:iCs/>
              </w:rPr>
              <w:t>Стомашно- чревни нарушения</w:t>
            </w:r>
          </w:p>
        </w:tc>
        <w:tc>
          <w:tcPr>
            <w:tcW w:w="1753" w:type="dxa"/>
          </w:tcPr>
          <w:p w14:paraId="57C19C4C" w14:textId="3A73A008" w:rsidR="00A41B7E" w:rsidRPr="00A41B7E" w:rsidRDefault="00A41B7E" w:rsidP="00A41B7E">
            <w:pPr>
              <w:rPr>
                <w:rFonts w:cs="Arial"/>
              </w:rPr>
            </w:pPr>
            <w:r w:rsidRPr="00A41B7E">
              <w:t>Гастроинтести- нална хеморагия</w:t>
            </w:r>
          </w:p>
        </w:tc>
        <w:tc>
          <w:tcPr>
            <w:tcW w:w="2233" w:type="dxa"/>
            <w:vAlign w:val="bottom"/>
          </w:tcPr>
          <w:p w14:paraId="3995FE47" w14:textId="00CF3764" w:rsidR="00A41B7E" w:rsidRPr="00A41B7E" w:rsidRDefault="00A41B7E" w:rsidP="00A41B7E">
            <w:pPr>
              <w:rPr>
                <w:rFonts w:cs="Arial"/>
              </w:rPr>
            </w:pPr>
            <w:r w:rsidRPr="00A41B7E">
              <w:t>Ретроперитонеална хеморагия Хеморагия от ректума Хематохезия Кървене от венците</w:t>
            </w:r>
          </w:p>
        </w:tc>
        <w:tc>
          <w:tcPr>
            <w:tcW w:w="2031" w:type="dxa"/>
          </w:tcPr>
          <w:p w14:paraId="4A48CE7F" w14:textId="77777777" w:rsidR="00A41B7E" w:rsidRPr="00A41B7E" w:rsidRDefault="00A41B7E" w:rsidP="00A41B7E">
            <w:pPr>
              <w:rPr>
                <w:rFonts w:cs="Arial"/>
              </w:rPr>
            </w:pPr>
          </w:p>
        </w:tc>
        <w:tc>
          <w:tcPr>
            <w:tcW w:w="1714" w:type="dxa"/>
          </w:tcPr>
          <w:p w14:paraId="6626BCC5" w14:textId="77777777" w:rsidR="00A41B7E" w:rsidRPr="00A41B7E" w:rsidRDefault="00A41B7E" w:rsidP="00A41B7E">
            <w:pPr>
              <w:rPr>
                <w:rFonts w:cs="Arial"/>
              </w:rPr>
            </w:pPr>
          </w:p>
        </w:tc>
      </w:tr>
      <w:tr w:rsidR="00A41B7E" w14:paraId="7F6F7D82" w14:textId="77777777" w:rsidTr="0085492F">
        <w:tc>
          <w:tcPr>
            <w:tcW w:w="1845" w:type="dxa"/>
          </w:tcPr>
          <w:p w14:paraId="572F0B2A" w14:textId="288C9AB2" w:rsidR="00A41B7E" w:rsidRPr="00A41B7E" w:rsidRDefault="00A41B7E" w:rsidP="00A41B7E">
            <w:pPr>
              <w:rPr>
                <w:rFonts w:cs="Arial"/>
              </w:rPr>
            </w:pPr>
            <w:r w:rsidRPr="00A41B7E">
              <w:rPr>
                <w:i/>
                <w:iCs/>
              </w:rPr>
              <w:t>Нарушения на кожата и подкожната тъкан</w:t>
            </w:r>
          </w:p>
        </w:tc>
        <w:tc>
          <w:tcPr>
            <w:tcW w:w="1753" w:type="dxa"/>
          </w:tcPr>
          <w:p w14:paraId="42CC3089" w14:textId="35176E51" w:rsidR="00A41B7E" w:rsidRPr="00A41B7E" w:rsidRDefault="00A41B7E" w:rsidP="00A41B7E">
            <w:pPr>
              <w:rPr>
                <w:rFonts w:cs="Arial"/>
              </w:rPr>
            </w:pPr>
            <w:r w:rsidRPr="00A41B7E">
              <w:t>Обрив Екхимоза</w:t>
            </w:r>
          </w:p>
        </w:tc>
        <w:tc>
          <w:tcPr>
            <w:tcW w:w="2233" w:type="dxa"/>
          </w:tcPr>
          <w:p w14:paraId="2E6ECF4A" w14:textId="77777777" w:rsidR="00A41B7E" w:rsidRPr="00A41B7E" w:rsidRDefault="00A41B7E" w:rsidP="00A41B7E">
            <w:pPr>
              <w:rPr>
                <w:rFonts w:cs="Arial"/>
              </w:rPr>
            </w:pPr>
          </w:p>
        </w:tc>
        <w:tc>
          <w:tcPr>
            <w:tcW w:w="2031" w:type="dxa"/>
          </w:tcPr>
          <w:p w14:paraId="6C13035A" w14:textId="77777777" w:rsidR="00A41B7E" w:rsidRPr="00A41B7E" w:rsidRDefault="00A41B7E" w:rsidP="00A41B7E">
            <w:pPr>
              <w:rPr>
                <w:rFonts w:cs="Arial"/>
              </w:rPr>
            </w:pPr>
          </w:p>
        </w:tc>
        <w:tc>
          <w:tcPr>
            <w:tcW w:w="1714" w:type="dxa"/>
          </w:tcPr>
          <w:p w14:paraId="307479C0" w14:textId="77777777" w:rsidR="00A41B7E" w:rsidRPr="00A41B7E" w:rsidRDefault="00A41B7E" w:rsidP="00A41B7E">
            <w:pPr>
              <w:rPr>
                <w:rFonts w:cs="Arial"/>
              </w:rPr>
            </w:pPr>
          </w:p>
        </w:tc>
      </w:tr>
      <w:tr w:rsidR="00A41B7E" w14:paraId="487D0A6F" w14:textId="77777777" w:rsidTr="0085492F">
        <w:tc>
          <w:tcPr>
            <w:tcW w:w="1845" w:type="dxa"/>
            <w:vAlign w:val="bottom"/>
          </w:tcPr>
          <w:p w14:paraId="732EDE5B" w14:textId="5EEFDBA0" w:rsidR="00A41B7E" w:rsidRPr="00A41B7E" w:rsidRDefault="00A41B7E" w:rsidP="00A41B7E">
            <w:pPr>
              <w:rPr>
                <w:rFonts w:cs="Arial"/>
              </w:rPr>
            </w:pPr>
            <w:r w:rsidRPr="00A41B7E">
              <w:rPr>
                <w:i/>
                <w:iCs/>
              </w:rPr>
              <w:t>Нарушения на бъбреците и пикочните пътища</w:t>
            </w:r>
          </w:p>
        </w:tc>
        <w:tc>
          <w:tcPr>
            <w:tcW w:w="1753" w:type="dxa"/>
          </w:tcPr>
          <w:p w14:paraId="68154C42" w14:textId="32C9622E" w:rsidR="00A41B7E" w:rsidRPr="00A41B7E" w:rsidRDefault="00A41B7E" w:rsidP="00A41B7E">
            <w:pPr>
              <w:rPr>
                <w:rFonts w:cs="Arial"/>
              </w:rPr>
            </w:pPr>
            <w:r w:rsidRPr="00A41B7E">
              <w:t>Хематурия</w:t>
            </w:r>
          </w:p>
        </w:tc>
        <w:tc>
          <w:tcPr>
            <w:tcW w:w="2233" w:type="dxa"/>
          </w:tcPr>
          <w:p w14:paraId="141B5BEB" w14:textId="77777777" w:rsidR="00A41B7E" w:rsidRPr="00A41B7E" w:rsidRDefault="00A41B7E" w:rsidP="00A41B7E">
            <w:pPr>
              <w:rPr>
                <w:rFonts w:cs="Arial"/>
              </w:rPr>
            </w:pPr>
          </w:p>
        </w:tc>
        <w:tc>
          <w:tcPr>
            <w:tcW w:w="2031" w:type="dxa"/>
          </w:tcPr>
          <w:p w14:paraId="78A1F4F9" w14:textId="77777777" w:rsidR="00A41B7E" w:rsidRPr="00A41B7E" w:rsidRDefault="00A41B7E" w:rsidP="00A41B7E">
            <w:pPr>
              <w:rPr>
                <w:rFonts w:cs="Arial"/>
              </w:rPr>
            </w:pPr>
          </w:p>
        </w:tc>
        <w:tc>
          <w:tcPr>
            <w:tcW w:w="1714" w:type="dxa"/>
          </w:tcPr>
          <w:p w14:paraId="783FF3E8" w14:textId="77777777" w:rsidR="00A41B7E" w:rsidRPr="00A41B7E" w:rsidRDefault="00A41B7E" w:rsidP="00A41B7E">
            <w:pPr>
              <w:rPr>
                <w:rFonts w:cs="Arial"/>
              </w:rPr>
            </w:pPr>
          </w:p>
        </w:tc>
      </w:tr>
      <w:tr w:rsidR="00A41B7E" w14:paraId="2FB0B294" w14:textId="77777777" w:rsidTr="0085492F">
        <w:tc>
          <w:tcPr>
            <w:tcW w:w="1845" w:type="dxa"/>
          </w:tcPr>
          <w:p w14:paraId="0006279C" w14:textId="72C840CB" w:rsidR="00A41B7E" w:rsidRPr="00A41B7E" w:rsidRDefault="00A41B7E" w:rsidP="00A41B7E">
            <w:pPr>
              <w:rPr>
                <w:rFonts w:cs="Arial"/>
              </w:rPr>
            </w:pPr>
            <w:r w:rsidRPr="00A41B7E">
              <w:rPr>
                <w:i/>
                <w:iCs/>
              </w:rPr>
              <w:t>Общи нарушения и ефекти на мястото на приложение</w:t>
            </w:r>
          </w:p>
        </w:tc>
        <w:tc>
          <w:tcPr>
            <w:tcW w:w="1753" w:type="dxa"/>
            <w:vAlign w:val="bottom"/>
          </w:tcPr>
          <w:p w14:paraId="072A32A3" w14:textId="076AB3E5" w:rsidR="00A41B7E" w:rsidRPr="00A41B7E" w:rsidRDefault="00A41B7E" w:rsidP="00A41B7E">
            <w:pPr>
              <w:rPr>
                <w:rFonts w:cs="Arial"/>
              </w:rPr>
            </w:pPr>
            <w:r w:rsidRPr="00A41B7E">
              <w:t>Хематом на мястото на пунктиране на съдовете Хеморагия на мястото на пунктиране</w:t>
            </w:r>
          </w:p>
        </w:tc>
        <w:tc>
          <w:tcPr>
            <w:tcW w:w="2233" w:type="dxa"/>
          </w:tcPr>
          <w:p w14:paraId="78E55C12" w14:textId="77777777" w:rsidR="00A41B7E" w:rsidRPr="00A41B7E" w:rsidRDefault="00A41B7E" w:rsidP="00A41B7E">
            <w:pPr>
              <w:rPr>
                <w:rFonts w:cs="Arial"/>
              </w:rPr>
            </w:pPr>
          </w:p>
        </w:tc>
        <w:tc>
          <w:tcPr>
            <w:tcW w:w="2031" w:type="dxa"/>
          </w:tcPr>
          <w:p w14:paraId="120A29A1" w14:textId="77777777" w:rsidR="00A41B7E" w:rsidRPr="00A41B7E" w:rsidRDefault="00A41B7E" w:rsidP="00A41B7E">
            <w:pPr>
              <w:rPr>
                <w:rFonts w:cs="Arial"/>
              </w:rPr>
            </w:pPr>
          </w:p>
        </w:tc>
        <w:tc>
          <w:tcPr>
            <w:tcW w:w="1714" w:type="dxa"/>
          </w:tcPr>
          <w:p w14:paraId="2AEBB5F8" w14:textId="77777777" w:rsidR="00A41B7E" w:rsidRPr="00A41B7E" w:rsidRDefault="00A41B7E" w:rsidP="00A41B7E">
            <w:pPr>
              <w:rPr>
                <w:rFonts w:cs="Arial"/>
              </w:rPr>
            </w:pPr>
          </w:p>
        </w:tc>
      </w:tr>
      <w:tr w:rsidR="00A41B7E" w14:paraId="6D678DBE" w14:textId="77777777" w:rsidTr="0085492F">
        <w:tc>
          <w:tcPr>
            <w:tcW w:w="1845" w:type="dxa"/>
          </w:tcPr>
          <w:p w14:paraId="28BF962F" w14:textId="23840D51" w:rsidR="00A41B7E" w:rsidRPr="00A41B7E" w:rsidRDefault="00A41B7E" w:rsidP="00A41B7E">
            <w:pPr>
              <w:rPr>
                <w:rFonts w:cs="Arial"/>
              </w:rPr>
            </w:pPr>
            <w:r w:rsidRPr="00A41B7E">
              <w:rPr>
                <w:i/>
                <w:iCs/>
              </w:rPr>
              <w:t>Наранявания, отравяния и усложнения, възникнали в резултат на интервенции</w:t>
            </w:r>
          </w:p>
        </w:tc>
        <w:tc>
          <w:tcPr>
            <w:tcW w:w="1753" w:type="dxa"/>
          </w:tcPr>
          <w:p w14:paraId="58F14850" w14:textId="1BFFADF3" w:rsidR="00A41B7E" w:rsidRPr="00A41B7E" w:rsidRDefault="00A41B7E" w:rsidP="00A41B7E">
            <w:pPr>
              <w:rPr>
                <w:rFonts w:cs="Arial"/>
              </w:rPr>
            </w:pPr>
            <w:r w:rsidRPr="00A41B7E">
              <w:t>Контузия</w:t>
            </w:r>
          </w:p>
        </w:tc>
        <w:tc>
          <w:tcPr>
            <w:tcW w:w="2233" w:type="dxa"/>
          </w:tcPr>
          <w:p w14:paraId="3B700A97" w14:textId="3AC10EBB" w:rsidR="00A41B7E" w:rsidRPr="00A41B7E" w:rsidRDefault="00A41B7E" w:rsidP="00A41B7E">
            <w:pPr>
              <w:rPr>
                <w:rFonts w:cs="Arial"/>
              </w:rPr>
            </w:pPr>
            <w:r w:rsidRPr="00A41B7E">
              <w:t>Хеморагия след процедура</w:t>
            </w:r>
          </w:p>
        </w:tc>
        <w:tc>
          <w:tcPr>
            <w:tcW w:w="2031" w:type="dxa"/>
          </w:tcPr>
          <w:p w14:paraId="5453216A" w14:textId="1B5EF267" w:rsidR="00A41B7E" w:rsidRPr="00A41B7E" w:rsidRDefault="00A41B7E" w:rsidP="00A41B7E">
            <w:pPr>
              <w:rPr>
                <w:rFonts w:cs="Arial"/>
              </w:rPr>
            </w:pPr>
            <w:r w:rsidRPr="00A41B7E">
              <w:t>Подкожен хематом</w:t>
            </w:r>
          </w:p>
        </w:tc>
        <w:tc>
          <w:tcPr>
            <w:tcW w:w="1714" w:type="dxa"/>
          </w:tcPr>
          <w:p w14:paraId="1435C231" w14:textId="77777777" w:rsidR="00A41B7E" w:rsidRPr="00A41B7E" w:rsidRDefault="00A41B7E" w:rsidP="00A41B7E">
            <w:pPr>
              <w:rPr>
                <w:rFonts w:cs="Arial"/>
              </w:rPr>
            </w:pPr>
          </w:p>
        </w:tc>
      </w:tr>
    </w:tbl>
    <w:p w14:paraId="5040B1FF" w14:textId="77777777" w:rsidR="0085492F" w:rsidRDefault="0085492F" w:rsidP="00A41B7E">
      <w:pPr>
        <w:rPr>
          <w:sz w:val="20"/>
          <w:szCs w:val="20"/>
        </w:rPr>
      </w:pPr>
    </w:p>
    <w:p w14:paraId="110498E3" w14:textId="5CF9711B" w:rsidR="00A41B7E" w:rsidRDefault="0085492F" w:rsidP="0085492F">
      <w:r>
        <w:t>При пациенти със и без анамнеза за ПИА или инсулт честотата на инсулт в клинично проучване фаза 3 е, както следва (вж. точка 4.4):</w:t>
      </w:r>
    </w:p>
    <w:tbl>
      <w:tblPr>
        <w:tblStyle w:val="TableGrid"/>
        <w:tblW w:w="0" w:type="auto"/>
        <w:tblLook w:val="04A0" w:firstRow="1" w:lastRow="0" w:firstColumn="1" w:lastColumn="0" w:noHBand="0" w:noVBand="1"/>
      </w:tblPr>
      <w:tblGrid>
        <w:gridCol w:w="3110"/>
        <w:gridCol w:w="3113"/>
        <w:gridCol w:w="3127"/>
      </w:tblGrid>
      <w:tr w:rsidR="0085492F" w14:paraId="4397BBE4" w14:textId="77777777" w:rsidTr="0085492F">
        <w:tc>
          <w:tcPr>
            <w:tcW w:w="3192" w:type="dxa"/>
          </w:tcPr>
          <w:p w14:paraId="17B2CE2E" w14:textId="1F7B0D82" w:rsidR="0085492F" w:rsidRPr="0085492F" w:rsidRDefault="0085492F" w:rsidP="0085492F">
            <w:pPr>
              <w:rPr>
                <w:rFonts w:cs="Arial"/>
                <w:lang w:val="ru-RU"/>
              </w:rPr>
            </w:pPr>
            <w:r w:rsidRPr="0085492F">
              <w:rPr>
                <w:b/>
                <w:bCs/>
                <w:szCs w:val="20"/>
              </w:rPr>
              <w:t>Анамнеза за ПИА</w:t>
            </w:r>
            <w:r w:rsidRPr="0085492F">
              <w:rPr>
                <w:b/>
                <w:bCs/>
                <w:szCs w:val="20"/>
                <w:lang w:val="ru-RU"/>
              </w:rPr>
              <w:t xml:space="preserve"> </w:t>
            </w:r>
            <w:r w:rsidRPr="0085492F">
              <w:rPr>
                <w:b/>
                <w:bCs/>
                <w:szCs w:val="20"/>
              </w:rPr>
              <w:t>или инсулт</w:t>
            </w:r>
          </w:p>
        </w:tc>
        <w:tc>
          <w:tcPr>
            <w:tcW w:w="3192" w:type="dxa"/>
          </w:tcPr>
          <w:p w14:paraId="419C72C2" w14:textId="120850D9" w:rsidR="0085492F" w:rsidRPr="0085492F" w:rsidRDefault="0085492F" w:rsidP="0085492F">
            <w:pPr>
              <w:rPr>
                <w:rFonts w:cs="Arial"/>
              </w:rPr>
            </w:pPr>
            <w:r w:rsidRPr="0085492F">
              <w:rPr>
                <w:b/>
                <w:bCs/>
                <w:szCs w:val="20"/>
              </w:rPr>
              <w:t>Прасугрел</w:t>
            </w:r>
          </w:p>
        </w:tc>
        <w:tc>
          <w:tcPr>
            <w:tcW w:w="3192" w:type="dxa"/>
          </w:tcPr>
          <w:p w14:paraId="29EB5139" w14:textId="641248E8" w:rsidR="0085492F" w:rsidRPr="0085492F" w:rsidRDefault="0085492F" w:rsidP="0085492F">
            <w:pPr>
              <w:rPr>
                <w:rFonts w:cs="Arial"/>
              </w:rPr>
            </w:pPr>
            <w:r w:rsidRPr="0085492F">
              <w:rPr>
                <w:b/>
                <w:bCs/>
                <w:szCs w:val="20"/>
              </w:rPr>
              <w:t>Клопидогрел</w:t>
            </w:r>
          </w:p>
        </w:tc>
      </w:tr>
      <w:tr w:rsidR="0085492F" w14:paraId="0082945C" w14:textId="77777777" w:rsidTr="0085492F">
        <w:tc>
          <w:tcPr>
            <w:tcW w:w="3192" w:type="dxa"/>
          </w:tcPr>
          <w:p w14:paraId="2F0FFEE8" w14:textId="3EADFC67" w:rsidR="0085492F" w:rsidRPr="0085492F" w:rsidRDefault="0085492F" w:rsidP="0085492F">
            <w:pPr>
              <w:rPr>
                <w:rFonts w:cs="Arial"/>
              </w:rPr>
            </w:pPr>
            <w:r w:rsidRPr="0085492F">
              <w:rPr>
                <w:szCs w:val="20"/>
              </w:rPr>
              <w:t>Да(М=518)</w:t>
            </w:r>
          </w:p>
        </w:tc>
        <w:tc>
          <w:tcPr>
            <w:tcW w:w="3192" w:type="dxa"/>
          </w:tcPr>
          <w:p w14:paraId="13B2E566" w14:textId="33B8CE97" w:rsidR="0085492F" w:rsidRPr="0085492F" w:rsidRDefault="0085492F" w:rsidP="0085492F">
            <w:pPr>
              <w:rPr>
                <w:rFonts w:cs="Arial"/>
              </w:rPr>
            </w:pPr>
            <w:r w:rsidRPr="0085492F">
              <w:rPr>
                <w:szCs w:val="20"/>
              </w:rPr>
              <w:t>6.5% (2.3% ИКХ*)</w:t>
            </w:r>
          </w:p>
        </w:tc>
        <w:tc>
          <w:tcPr>
            <w:tcW w:w="3192" w:type="dxa"/>
          </w:tcPr>
          <w:p w14:paraId="511728BC" w14:textId="53DA4228" w:rsidR="0085492F" w:rsidRPr="0085492F" w:rsidRDefault="0085492F" w:rsidP="0085492F">
            <w:pPr>
              <w:rPr>
                <w:rFonts w:cs="Arial"/>
              </w:rPr>
            </w:pPr>
            <w:r w:rsidRPr="0085492F">
              <w:rPr>
                <w:szCs w:val="20"/>
              </w:rPr>
              <w:t>1.2%(0%ЙКХ*)</w:t>
            </w:r>
          </w:p>
        </w:tc>
      </w:tr>
      <w:tr w:rsidR="0085492F" w14:paraId="57D97E0C" w14:textId="77777777" w:rsidTr="0085492F">
        <w:tc>
          <w:tcPr>
            <w:tcW w:w="3192" w:type="dxa"/>
          </w:tcPr>
          <w:p w14:paraId="2C823BA7" w14:textId="7728E76C" w:rsidR="0085492F" w:rsidRPr="0085492F" w:rsidRDefault="0085492F" w:rsidP="0085492F">
            <w:pPr>
              <w:rPr>
                <w:rFonts w:cs="Arial"/>
              </w:rPr>
            </w:pPr>
            <w:r w:rsidRPr="0085492F">
              <w:rPr>
                <w:szCs w:val="20"/>
                <w:lang w:val="en-US"/>
              </w:rPr>
              <w:t>He (N=13090)</w:t>
            </w:r>
          </w:p>
        </w:tc>
        <w:tc>
          <w:tcPr>
            <w:tcW w:w="3192" w:type="dxa"/>
          </w:tcPr>
          <w:p w14:paraId="1B375248" w14:textId="774313D7" w:rsidR="0085492F" w:rsidRPr="0085492F" w:rsidRDefault="0085492F" w:rsidP="0085492F">
            <w:pPr>
              <w:rPr>
                <w:rFonts w:cs="Arial"/>
              </w:rPr>
            </w:pPr>
            <w:r w:rsidRPr="0085492F">
              <w:rPr>
                <w:szCs w:val="20"/>
              </w:rPr>
              <w:t>0.9% (0.2% ИКХ*)</w:t>
            </w:r>
          </w:p>
        </w:tc>
        <w:tc>
          <w:tcPr>
            <w:tcW w:w="3192" w:type="dxa"/>
          </w:tcPr>
          <w:p w14:paraId="345C669E" w14:textId="635D17D0" w:rsidR="0085492F" w:rsidRPr="0085492F" w:rsidRDefault="0085492F" w:rsidP="0085492F">
            <w:pPr>
              <w:rPr>
                <w:rFonts w:cs="Arial"/>
              </w:rPr>
            </w:pPr>
            <w:r w:rsidRPr="0085492F">
              <w:rPr>
                <w:szCs w:val="20"/>
              </w:rPr>
              <w:t>1.0% (0.3% ИКХ*)</w:t>
            </w:r>
          </w:p>
        </w:tc>
      </w:tr>
    </w:tbl>
    <w:p w14:paraId="7F67DA1F" w14:textId="77777777" w:rsidR="0085492F" w:rsidRPr="0085492F" w:rsidRDefault="0085492F" w:rsidP="0085492F">
      <w:pPr>
        <w:spacing w:line="240" w:lineRule="auto"/>
        <w:rPr>
          <w:rFonts w:eastAsia="Times New Roman" w:cs="Arial"/>
        </w:rPr>
      </w:pPr>
      <w:r w:rsidRPr="0085492F">
        <w:rPr>
          <w:rFonts w:eastAsia="Times New Roman" w:cs="Arial"/>
          <w:color w:val="000000"/>
          <w:lang w:eastAsia="bg-BG"/>
        </w:rPr>
        <w:t>* ИКХ=интракраниална хеморагия.</w:t>
      </w:r>
    </w:p>
    <w:p w14:paraId="7C6D89DA" w14:textId="77777777" w:rsidR="0085492F" w:rsidRPr="0085492F" w:rsidRDefault="0085492F" w:rsidP="0085492F">
      <w:pPr>
        <w:spacing w:line="240" w:lineRule="auto"/>
        <w:rPr>
          <w:rFonts w:eastAsia="Times New Roman" w:cs="Arial"/>
          <w:color w:val="000000"/>
          <w:u w:val="single"/>
          <w:lang w:eastAsia="bg-BG"/>
        </w:rPr>
      </w:pPr>
    </w:p>
    <w:p w14:paraId="4E27C854" w14:textId="2E6BE644" w:rsidR="0085492F" w:rsidRPr="0085492F" w:rsidRDefault="0085492F" w:rsidP="0085492F">
      <w:pPr>
        <w:spacing w:line="240" w:lineRule="auto"/>
        <w:rPr>
          <w:rFonts w:eastAsia="Times New Roman" w:cs="Arial"/>
        </w:rPr>
      </w:pPr>
      <w:r w:rsidRPr="0085492F">
        <w:rPr>
          <w:rFonts w:eastAsia="Times New Roman" w:cs="Arial"/>
          <w:color w:val="000000"/>
          <w:u w:val="single"/>
          <w:lang w:eastAsia="bg-BG"/>
        </w:rPr>
        <w:t>Съобщаване на подозирани нежелани реакции</w:t>
      </w:r>
    </w:p>
    <w:p w14:paraId="6875011B" w14:textId="1C9FA86F" w:rsidR="0085492F" w:rsidRPr="0085492F" w:rsidRDefault="0085492F" w:rsidP="0085492F">
      <w:pPr>
        <w:rPr>
          <w:rFonts w:eastAsia="Times New Roman" w:cs="Arial"/>
          <w:color w:val="000000"/>
          <w:lang w:val="ru-RU"/>
        </w:rPr>
      </w:pPr>
      <w:r w:rsidRPr="0085492F">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ул.,Дамян Груев” № 8,1303 София, тел.: +35928903417, уебсайт: </w:t>
      </w:r>
      <w:r w:rsidRPr="0085492F">
        <w:rPr>
          <w:rFonts w:eastAsia="Times New Roman" w:cs="Arial"/>
        </w:rPr>
        <w:fldChar w:fldCharType="begin"/>
      </w:r>
      <w:r w:rsidRPr="0085492F">
        <w:rPr>
          <w:rFonts w:eastAsia="Times New Roman" w:cs="Arial"/>
        </w:rPr>
        <w:instrText xml:space="preserve"> HYPERLINK "http://www.bda.bg" </w:instrText>
      </w:r>
      <w:r w:rsidRPr="0085492F">
        <w:rPr>
          <w:rFonts w:eastAsia="Times New Roman" w:cs="Arial"/>
        </w:rPr>
      </w:r>
      <w:r w:rsidRPr="0085492F">
        <w:rPr>
          <w:rFonts w:eastAsia="Times New Roman" w:cs="Arial"/>
        </w:rPr>
        <w:fldChar w:fldCharType="separate"/>
      </w:r>
      <w:r w:rsidRPr="0085492F">
        <w:rPr>
          <w:rFonts w:eastAsia="Times New Roman" w:cs="Arial"/>
          <w:color w:val="000000"/>
          <w:u w:val="single"/>
          <w:lang w:val="en-US"/>
        </w:rPr>
        <w:t>www</w:t>
      </w:r>
      <w:r w:rsidRPr="0085492F">
        <w:rPr>
          <w:rFonts w:eastAsia="Times New Roman" w:cs="Arial"/>
          <w:color w:val="000000"/>
          <w:u w:val="single"/>
          <w:lang w:val="ru-RU"/>
        </w:rPr>
        <w:t>.</w:t>
      </w:r>
      <w:proofErr w:type="spellStart"/>
      <w:r w:rsidRPr="0085492F">
        <w:rPr>
          <w:rFonts w:eastAsia="Times New Roman" w:cs="Arial"/>
          <w:color w:val="000000"/>
          <w:u w:val="single"/>
          <w:lang w:val="en-US"/>
        </w:rPr>
        <w:t>bda</w:t>
      </w:r>
      <w:proofErr w:type="spellEnd"/>
      <w:r w:rsidRPr="0085492F">
        <w:rPr>
          <w:rFonts w:eastAsia="Times New Roman" w:cs="Arial"/>
          <w:color w:val="000000"/>
          <w:u w:val="single"/>
          <w:lang w:val="ru-RU"/>
        </w:rPr>
        <w:t>.</w:t>
      </w:r>
      <w:proofErr w:type="spellStart"/>
      <w:r w:rsidRPr="0085492F">
        <w:rPr>
          <w:rFonts w:eastAsia="Times New Roman" w:cs="Arial"/>
          <w:color w:val="000000"/>
          <w:u w:val="single"/>
          <w:lang w:val="en-US"/>
        </w:rPr>
        <w:t>bg</w:t>
      </w:r>
      <w:proofErr w:type="spellEnd"/>
      <w:r w:rsidRPr="0085492F">
        <w:rPr>
          <w:rFonts w:eastAsia="Times New Roman" w:cs="Arial"/>
        </w:rPr>
        <w:fldChar w:fldCharType="end"/>
      </w:r>
      <w:r w:rsidRPr="0085492F">
        <w:rPr>
          <w:rFonts w:eastAsia="Times New Roman" w:cs="Arial"/>
          <w:color w:val="000000"/>
          <w:lang w:val="ru-RU"/>
        </w:rPr>
        <w:t>.</w:t>
      </w:r>
    </w:p>
    <w:p w14:paraId="340D6E49" w14:textId="77777777" w:rsidR="0085492F" w:rsidRPr="0085492F" w:rsidRDefault="0085492F" w:rsidP="0085492F">
      <w:pPr>
        <w:rPr>
          <w:rFonts w:cs="Arial"/>
          <w:sz w:val="24"/>
          <w:lang w:val="ru-RU"/>
        </w:rPr>
      </w:pPr>
    </w:p>
    <w:p w14:paraId="0A4BDE98" w14:textId="68484F80" w:rsidR="0085492F" w:rsidRDefault="002C50EE" w:rsidP="0085492F">
      <w:pPr>
        <w:pStyle w:val="Heading2"/>
      </w:pPr>
      <w:r>
        <w:t>4.9. Предозиране</w:t>
      </w:r>
    </w:p>
    <w:p w14:paraId="391EDFAE" w14:textId="7077EB8D" w:rsidR="0085492F" w:rsidRDefault="0085492F" w:rsidP="0085492F"/>
    <w:p w14:paraId="00272B13" w14:textId="77777777" w:rsidR="0085492F" w:rsidRPr="0085492F" w:rsidRDefault="0085492F" w:rsidP="0085492F">
      <w:pPr>
        <w:rPr>
          <w:sz w:val="24"/>
          <w:szCs w:val="24"/>
        </w:rPr>
      </w:pPr>
      <w:r w:rsidRPr="0085492F">
        <w:rPr>
          <w:lang w:eastAsia="bg-BG"/>
        </w:rPr>
        <w:t>Предозиране на Бевим може да доведе до удължено време на кървене и последващи хеморагични усложнения. Няма налични данни за обръщане на фармакологичния ефект на прасугрел; все пак, ако е необходима незабавна корекция на удълженото време на кървене, може да се има предвид трансфузия на тромбоцитна маса и/или на други кръвни продукти.</w:t>
      </w:r>
    </w:p>
    <w:p w14:paraId="43947C27" w14:textId="77777777" w:rsidR="0085492F" w:rsidRPr="0085492F" w:rsidRDefault="0085492F" w:rsidP="0085492F"/>
    <w:p w14:paraId="02081B24" w14:textId="1F46E296" w:rsidR="00395555" w:rsidRPr="00395555" w:rsidRDefault="002C50EE" w:rsidP="008A6AF2">
      <w:pPr>
        <w:pStyle w:val="Heading1"/>
      </w:pPr>
      <w:r>
        <w:t>5. ФАРМАКОЛОГИЧНИ СВОЙСТВА</w:t>
      </w:r>
    </w:p>
    <w:p w14:paraId="32B6DE66" w14:textId="79AC36FD" w:rsidR="00CF77F7" w:rsidRDefault="002C50EE" w:rsidP="004A448E">
      <w:pPr>
        <w:pStyle w:val="Heading2"/>
      </w:pPr>
      <w:r>
        <w:t>5.1. Фармакодинамични свойства</w:t>
      </w:r>
    </w:p>
    <w:p w14:paraId="5EC685DD" w14:textId="010A648D" w:rsidR="0085492F" w:rsidRDefault="0085492F" w:rsidP="0085492F"/>
    <w:p w14:paraId="3F9F54CC" w14:textId="77777777" w:rsidR="0085492F" w:rsidRPr="0085492F" w:rsidRDefault="0085492F" w:rsidP="0085492F">
      <w:pPr>
        <w:spacing w:line="240" w:lineRule="auto"/>
        <w:rPr>
          <w:rFonts w:eastAsia="Times New Roman" w:cs="Arial"/>
        </w:rPr>
      </w:pPr>
      <w:r w:rsidRPr="0085492F">
        <w:rPr>
          <w:rFonts w:eastAsia="Times New Roman" w:cs="Arial"/>
          <w:color w:val="000000"/>
          <w:lang w:eastAsia="bg-BG"/>
        </w:rPr>
        <w:t>Фармакотерапевтична група: Инхибитори на тромбоцитната агрегация с изключение на хепарин, АТС код: В01АС22.</w:t>
      </w:r>
    </w:p>
    <w:p w14:paraId="53FFB1D8" w14:textId="77777777" w:rsidR="0085492F" w:rsidRPr="0085492F" w:rsidRDefault="0085492F" w:rsidP="0085492F">
      <w:pPr>
        <w:spacing w:line="240" w:lineRule="auto"/>
        <w:rPr>
          <w:rFonts w:eastAsia="Times New Roman" w:cs="Arial"/>
          <w:color w:val="000000"/>
          <w:u w:val="single"/>
          <w:lang w:eastAsia="bg-BG"/>
        </w:rPr>
      </w:pPr>
    </w:p>
    <w:p w14:paraId="5E84E5C2" w14:textId="527B01C5" w:rsidR="0085492F" w:rsidRPr="0085492F" w:rsidRDefault="0085492F" w:rsidP="0085492F">
      <w:pPr>
        <w:spacing w:line="240" w:lineRule="auto"/>
        <w:rPr>
          <w:rFonts w:eastAsia="Times New Roman" w:cs="Arial"/>
        </w:rPr>
      </w:pPr>
      <w:r w:rsidRPr="0085492F">
        <w:rPr>
          <w:rFonts w:eastAsia="Times New Roman" w:cs="Arial"/>
          <w:color w:val="000000"/>
          <w:u w:val="single"/>
          <w:lang w:eastAsia="bg-BG"/>
        </w:rPr>
        <w:t>Механизъм на действие/Фармакодинамични ефекти</w:t>
      </w:r>
    </w:p>
    <w:p w14:paraId="2B6F208A" w14:textId="77777777" w:rsidR="0085492F" w:rsidRPr="0085492F" w:rsidRDefault="0085492F" w:rsidP="0085492F">
      <w:pPr>
        <w:spacing w:line="240" w:lineRule="auto"/>
        <w:rPr>
          <w:rFonts w:eastAsia="Times New Roman" w:cs="Arial"/>
        </w:rPr>
      </w:pPr>
      <w:r w:rsidRPr="0085492F">
        <w:rPr>
          <w:rFonts w:eastAsia="Times New Roman" w:cs="Arial"/>
          <w:color w:val="000000"/>
          <w:lang w:eastAsia="bg-BG"/>
        </w:rPr>
        <w:t xml:space="preserve">Прасугрел е инхибитор на тромбоцитната активация и агрегация посредством необратимо свързване на неговия активен метаболит с </w:t>
      </w:r>
      <w:r w:rsidRPr="0085492F">
        <w:rPr>
          <w:rFonts w:eastAsia="Times New Roman" w:cs="Arial"/>
          <w:color w:val="000000"/>
          <w:lang w:val="en-US"/>
        </w:rPr>
        <w:t>P</w:t>
      </w:r>
      <w:r w:rsidRPr="0085492F">
        <w:rPr>
          <w:rFonts w:eastAsia="Times New Roman" w:cs="Arial"/>
          <w:color w:val="000000"/>
          <w:lang w:val="ru-RU"/>
        </w:rPr>
        <w:t>2</w:t>
      </w:r>
      <w:r w:rsidRPr="0085492F">
        <w:rPr>
          <w:rFonts w:eastAsia="Times New Roman" w:cs="Arial"/>
          <w:color w:val="000000"/>
          <w:lang w:val="en-US"/>
        </w:rPr>
        <w:t>Y</w:t>
      </w:r>
      <w:r w:rsidRPr="0085492F">
        <w:rPr>
          <w:rFonts w:eastAsia="Times New Roman" w:cs="Arial"/>
          <w:color w:val="000000"/>
          <w:vertAlign w:val="subscript"/>
          <w:lang w:val="ru-RU"/>
        </w:rPr>
        <w:t>12</w:t>
      </w:r>
      <w:r w:rsidRPr="0085492F">
        <w:rPr>
          <w:rFonts w:eastAsia="Times New Roman" w:cs="Arial"/>
          <w:color w:val="000000"/>
          <w:lang w:val="ru-RU"/>
        </w:rPr>
        <w:t xml:space="preserve"> </w:t>
      </w:r>
      <w:r w:rsidRPr="0085492F">
        <w:rPr>
          <w:rFonts w:eastAsia="Times New Roman" w:cs="Arial"/>
          <w:color w:val="000000"/>
          <w:lang w:eastAsia="bg-BG"/>
        </w:rPr>
        <w:t>класа на АДФ рецепторите върху тромбоцитите. Тъй като тромбоцитите участват във възникването и/или развитието на тромботичните усложнения на атеросклерозата, инхибирането на функцията на тромбоцитите може да доведе до намаляване на честотата на сърдечно-съдови събития като например смърт, инфаркт на миокарда или инсулт.</w:t>
      </w:r>
    </w:p>
    <w:p w14:paraId="77FA683E" w14:textId="77777777" w:rsidR="0085492F" w:rsidRPr="0085492F" w:rsidRDefault="0085492F" w:rsidP="0085492F">
      <w:pPr>
        <w:spacing w:line="240" w:lineRule="auto"/>
        <w:rPr>
          <w:rFonts w:eastAsia="Times New Roman" w:cs="Arial"/>
          <w:color w:val="000000"/>
          <w:lang w:eastAsia="bg-BG"/>
        </w:rPr>
      </w:pPr>
    </w:p>
    <w:p w14:paraId="06C032F8" w14:textId="3B11CBC9" w:rsidR="0085492F" w:rsidRPr="0085492F" w:rsidRDefault="0085492F" w:rsidP="0085492F">
      <w:pPr>
        <w:spacing w:line="240" w:lineRule="auto"/>
        <w:rPr>
          <w:rFonts w:eastAsia="Times New Roman" w:cs="Arial"/>
        </w:rPr>
      </w:pPr>
      <w:r w:rsidRPr="0085492F">
        <w:rPr>
          <w:rFonts w:eastAsia="Times New Roman" w:cs="Arial"/>
          <w:color w:val="000000"/>
          <w:lang w:eastAsia="bg-BG"/>
        </w:rPr>
        <w:t xml:space="preserve">След натоварваща доза от 60 </w:t>
      </w:r>
      <w:r w:rsidRPr="0085492F">
        <w:rPr>
          <w:rFonts w:eastAsia="Times New Roman" w:cs="Arial"/>
          <w:color w:val="000000"/>
          <w:lang w:val="en-US"/>
        </w:rPr>
        <w:t>mg</w:t>
      </w:r>
      <w:r w:rsidRPr="0085492F">
        <w:rPr>
          <w:rFonts w:eastAsia="Times New Roman" w:cs="Arial"/>
          <w:color w:val="000000"/>
          <w:lang w:val="ru-RU"/>
        </w:rPr>
        <w:t xml:space="preserve"> </w:t>
      </w:r>
      <w:r w:rsidRPr="0085492F">
        <w:rPr>
          <w:rFonts w:eastAsia="Times New Roman" w:cs="Arial"/>
          <w:color w:val="000000"/>
          <w:lang w:eastAsia="bg-BG"/>
        </w:rPr>
        <w:t>прасугрел инхибиране на АДФ-индуцираната тромбоцитна агрегация се наблюдава на 15-та минута с 5 рМ АДФ и на 30-та минута с 20 рМ АДФ. Максималното инхибиране с прасугрел на АДФ-индуцираната тромбоцитна агрегация е 83% с 5</w:t>
      </w:r>
      <w:r w:rsidRPr="0085492F">
        <w:rPr>
          <w:rFonts w:eastAsia="Times New Roman" w:cs="Arial"/>
          <w:lang w:val="ru-RU"/>
        </w:rPr>
        <w:t xml:space="preserve"> </w:t>
      </w:r>
      <w:r w:rsidRPr="0085492F">
        <w:rPr>
          <w:rFonts w:eastAsia="Times New Roman" w:cs="Arial"/>
          <w:color w:val="000000"/>
          <w:lang w:eastAsia="bg-BG"/>
        </w:rPr>
        <w:t xml:space="preserve">μМ АДФ и 79% с 20 μМ АДФ, в двата случая с 89% от здравите индивиди и пациентите със стабилна атеросклероза, достигащи поне 50% инхибиране на тромбоцитната агрегация до 1 час. Медиираното от прасугрел инхибиране на тромбоцитната агрегация показва ниска интериндивидуална (9%) и интраиндивидуална (12%) вариабилност както с 5 рМ, така и с 20 μМ АДФ. Средното инхибиране на </w:t>
      </w:r>
      <w:r w:rsidRPr="0085492F">
        <w:rPr>
          <w:rFonts w:eastAsia="Times New Roman" w:cs="Arial"/>
          <w:color w:val="000000"/>
          <w:lang w:eastAsia="bg-BG"/>
        </w:rPr>
        <w:lastRenderedPageBreak/>
        <w:t xml:space="preserve">тромбоцитната агрегация в стационарно състояние е съответно 74% и 69% за 5 μМ АДФ и 20 μМ АДФ и се проявява след 3 до 5 дни прилагане на поддържаща доза от 10 </w:t>
      </w:r>
      <w:r w:rsidRPr="0085492F">
        <w:rPr>
          <w:rFonts w:eastAsia="Times New Roman" w:cs="Arial"/>
          <w:color w:val="000000"/>
          <w:lang w:val="en-US"/>
        </w:rPr>
        <w:t>mg</w:t>
      </w:r>
      <w:r w:rsidRPr="0085492F">
        <w:rPr>
          <w:rFonts w:eastAsia="Times New Roman" w:cs="Arial"/>
          <w:color w:val="000000"/>
          <w:lang w:val="ru-RU"/>
        </w:rPr>
        <w:t xml:space="preserve"> </w:t>
      </w:r>
      <w:r w:rsidRPr="0085492F">
        <w:rPr>
          <w:rFonts w:eastAsia="Times New Roman" w:cs="Arial"/>
          <w:color w:val="000000"/>
          <w:lang w:eastAsia="bg-BG"/>
        </w:rPr>
        <w:t xml:space="preserve">прасугрел, предшестваща от натоварваща доза от 60 </w:t>
      </w:r>
      <w:r w:rsidRPr="0085492F">
        <w:rPr>
          <w:rFonts w:eastAsia="Times New Roman" w:cs="Arial"/>
          <w:color w:val="000000"/>
          <w:lang w:val="en-US"/>
        </w:rPr>
        <w:t>mg</w:t>
      </w:r>
      <w:r w:rsidRPr="0085492F">
        <w:rPr>
          <w:rFonts w:eastAsia="Times New Roman" w:cs="Arial"/>
          <w:color w:val="000000"/>
          <w:lang w:val="ru-RU"/>
        </w:rPr>
        <w:t xml:space="preserve">. </w:t>
      </w:r>
      <w:r w:rsidRPr="0085492F">
        <w:rPr>
          <w:rFonts w:eastAsia="Times New Roman" w:cs="Arial"/>
          <w:color w:val="000000"/>
          <w:lang w:eastAsia="bg-BG"/>
        </w:rPr>
        <w:t>Повече от 98% от пациентите имат</w:t>
      </w:r>
      <w:r w:rsidRPr="0085492F">
        <w:rPr>
          <w:rFonts w:eastAsia="Times New Roman" w:cs="Arial"/>
          <w:lang w:val="ru-RU"/>
        </w:rPr>
        <w:t xml:space="preserve"> </w:t>
      </w:r>
      <w:r w:rsidRPr="0085492F">
        <w:rPr>
          <w:rFonts w:eastAsia="Times New Roman" w:cs="Arial"/>
          <w:color w:val="000000"/>
          <w:lang w:eastAsia="bg-BG"/>
        </w:rPr>
        <w:t>≥20% инхибиране на тромбоцитната агрегация по време на поддържащото дозиране.</w:t>
      </w:r>
    </w:p>
    <w:p w14:paraId="4DE78BAE" w14:textId="46E65E57" w:rsidR="0085492F" w:rsidRPr="0085492F" w:rsidRDefault="0085492F" w:rsidP="0085492F">
      <w:pPr>
        <w:spacing w:line="240" w:lineRule="auto"/>
        <w:rPr>
          <w:rFonts w:eastAsia="Times New Roman" w:cs="Arial"/>
          <w:color w:val="000000"/>
          <w:lang w:eastAsia="bg-BG"/>
        </w:rPr>
      </w:pPr>
    </w:p>
    <w:p w14:paraId="4881DDEC" w14:textId="77777777" w:rsidR="0085492F" w:rsidRPr="0085492F" w:rsidRDefault="0085492F" w:rsidP="0085492F">
      <w:pPr>
        <w:spacing w:line="240" w:lineRule="auto"/>
        <w:rPr>
          <w:rFonts w:eastAsia="Times New Roman" w:cs="Arial"/>
        </w:rPr>
      </w:pPr>
      <w:r w:rsidRPr="0085492F">
        <w:rPr>
          <w:rFonts w:eastAsia="Times New Roman" w:cs="Arial"/>
          <w:color w:val="000000"/>
          <w:lang w:eastAsia="bg-BG"/>
        </w:rPr>
        <w:t xml:space="preserve">След лечение тромбоцитната агрегация постепенно се връща до изходните стойности за 7 до 9 дни след прилагане на еднократна натоварваща доза от 60 </w:t>
      </w:r>
      <w:r w:rsidRPr="0085492F">
        <w:rPr>
          <w:rFonts w:eastAsia="Times New Roman" w:cs="Arial"/>
          <w:color w:val="000000"/>
          <w:lang w:val="en-US"/>
        </w:rPr>
        <w:t>mg</w:t>
      </w:r>
      <w:r w:rsidRPr="0085492F">
        <w:rPr>
          <w:rFonts w:eastAsia="Times New Roman" w:cs="Arial"/>
          <w:color w:val="000000"/>
          <w:lang w:val="ru-RU"/>
        </w:rPr>
        <w:t xml:space="preserve"> </w:t>
      </w:r>
      <w:r w:rsidRPr="0085492F">
        <w:rPr>
          <w:rFonts w:eastAsia="Times New Roman" w:cs="Arial"/>
          <w:color w:val="000000"/>
          <w:lang w:eastAsia="bg-BG"/>
        </w:rPr>
        <w:t>прасугрел и за 5 дни след спиране на поддържащото дозиране в стационарно състояние.</w:t>
      </w:r>
    </w:p>
    <w:p w14:paraId="1202A850" w14:textId="77777777" w:rsidR="0085492F" w:rsidRPr="0085492F" w:rsidRDefault="0085492F" w:rsidP="0085492F">
      <w:pPr>
        <w:spacing w:line="240" w:lineRule="auto"/>
        <w:rPr>
          <w:rFonts w:eastAsia="Times New Roman" w:cs="Arial"/>
          <w:color w:val="000000"/>
          <w:u w:val="single"/>
          <w:lang w:eastAsia="bg-BG"/>
        </w:rPr>
      </w:pPr>
    </w:p>
    <w:p w14:paraId="392B7FC0" w14:textId="4004C4E7" w:rsidR="0085492F" w:rsidRPr="0085492F" w:rsidRDefault="0085492F" w:rsidP="0085492F">
      <w:pPr>
        <w:spacing w:line="240" w:lineRule="auto"/>
        <w:rPr>
          <w:rFonts w:eastAsia="Times New Roman" w:cs="Arial"/>
        </w:rPr>
      </w:pPr>
      <w:r w:rsidRPr="0085492F">
        <w:rPr>
          <w:rFonts w:eastAsia="Times New Roman" w:cs="Arial"/>
          <w:color w:val="000000"/>
          <w:u w:val="single"/>
          <w:lang w:eastAsia="bg-BG"/>
        </w:rPr>
        <w:t>Данни от преминаване на друго лечение</w:t>
      </w:r>
      <w:r w:rsidRPr="0085492F">
        <w:rPr>
          <w:rFonts w:eastAsia="Times New Roman" w:cs="Arial"/>
          <w:color w:val="000000"/>
          <w:lang w:eastAsia="bg-BG"/>
        </w:rPr>
        <w:t xml:space="preserve">: след прилагане на 75 </w:t>
      </w:r>
      <w:r w:rsidRPr="0085492F">
        <w:rPr>
          <w:rFonts w:eastAsia="Times New Roman" w:cs="Arial"/>
          <w:color w:val="000000"/>
          <w:lang w:val="en-US"/>
        </w:rPr>
        <w:t>mg</w:t>
      </w:r>
      <w:r w:rsidRPr="0085492F">
        <w:rPr>
          <w:rFonts w:eastAsia="Times New Roman" w:cs="Arial"/>
          <w:color w:val="000000"/>
          <w:lang w:val="ru-RU"/>
        </w:rPr>
        <w:t xml:space="preserve"> </w:t>
      </w:r>
      <w:r w:rsidRPr="0085492F">
        <w:rPr>
          <w:rFonts w:eastAsia="Times New Roman" w:cs="Arial"/>
          <w:color w:val="000000"/>
          <w:lang w:eastAsia="bg-BG"/>
        </w:rPr>
        <w:t xml:space="preserve">клопидогрел един път дневно за 10 дни, 40 здрави индивиди са преминали на прасугрел 10 </w:t>
      </w:r>
      <w:r w:rsidRPr="0085492F">
        <w:rPr>
          <w:rFonts w:eastAsia="Times New Roman" w:cs="Arial"/>
          <w:color w:val="000000"/>
          <w:lang w:val="en-US"/>
        </w:rPr>
        <w:t>mg</w:t>
      </w:r>
      <w:r w:rsidRPr="0085492F">
        <w:rPr>
          <w:rFonts w:eastAsia="Times New Roman" w:cs="Arial"/>
          <w:color w:val="000000"/>
          <w:lang w:val="ru-RU"/>
        </w:rPr>
        <w:t xml:space="preserve"> </w:t>
      </w:r>
      <w:r w:rsidRPr="0085492F">
        <w:rPr>
          <w:rFonts w:eastAsia="Times New Roman" w:cs="Arial"/>
          <w:color w:val="000000"/>
          <w:lang w:eastAsia="bg-BG"/>
        </w:rPr>
        <w:t xml:space="preserve">един път дневно със или без натоварваща доза от 60 </w:t>
      </w:r>
      <w:r w:rsidRPr="0085492F">
        <w:rPr>
          <w:rFonts w:eastAsia="Times New Roman" w:cs="Arial"/>
          <w:color w:val="000000"/>
          <w:lang w:val="en-US"/>
        </w:rPr>
        <w:t>mg</w:t>
      </w:r>
      <w:r w:rsidRPr="0085492F">
        <w:rPr>
          <w:rFonts w:eastAsia="Times New Roman" w:cs="Arial"/>
          <w:color w:val="000000"/>
          <w:lang w:val="ru-RU"/>
        </w:rPr>
        <w:t xml:space="preserve">. </w:t>
      </w:r>
      <w:r w:rsidRPr="0085492F">
        <w:rPr>
          <w:rFonts w:eastAsia="Times New Roman" w:cs="Arial"/>
          <w:color w:val="000000"/>
          <w:lang w:eastAsia="bg-BG"/>
        </w:rPr>
        <w:t xml:space="preserve">Наблюдавано е подобно или по-голямо инхибиране на тромбоцитната агрегация с прасугрел. Преминаването направо към прасугрел 60 </w:t>
      </w:r>
      <w:r w:rsidRPr="0085492F">
        <w:rPr>
          <w:rFonts w:eastAsia="Times New Roman" w:cs="Arial"/>
          <w:color w:val="000000"/>
          <w:lang w:val="en-US"/>
        </w:rPr>
        <w:t>mg</w:t>
      </w:r>
      <w:r w:rsidRPr="0085492F">
        <w:rPr>
          <w:rFonts w:eastAsia="Times New Roman" w:cs="Arial"/>
          <w:color w:val="000000"/>
          <w:lang w:val="ru-RU"/>
        </w:rPr>
        <w:t xml:space="preserve"> </w:t>
      </w:r>
      <w:r w:rsidRPr="0085492F">
        <w:rPr>
          <w:rFonts w:eastAsia="Times New Roman" w:cs="Arial"/>
          <w:color w:val="000000"/>
          <w:lang w:eastAsia="bg-BG"/>
        </w:rPr>
        <w:t xml:space="preserve">натоварваща доза води до по- бързо настъпване на по-висока степен на инхибиране на тромбоцитите. След прилагане на 900 </w:t>
      </w:r>
      <w:r w:rsidRPr="0085492F">
        <w:rPr>
          <w:rFonts w:eastAsia="Times New Roman" w:cs="Arial"/>
          <w:color w:val="000000"/>
          <w:lang w:val="en-US"/>
        </w:rPr>
        <w:t>mg</w:t>
      </w:r>
      <w:r w:rsidRPr="0085492F">
        <w:rPr>
          <w:rFonts w:eastAsia="Times New Roman" w:cs="Arial"/>
          <w:color w:val="000000"/>
          <w:lang w:val="ru-RU"/>
        </w:rPr>
        <w:t xml:space="preserve"> </w:t>
      </w:r>
      <w:r w:rsidRPr="0085492F">
        <w:rPr>
          <w:rFonts w:eastAsia="Times New Roman" w:cs="Arial"/>
          <w:color w:val="000000"/>
          <w:lang w:eastAsia="bg-BG"/>
        </w:rPr>
        <w:t xml:space="preserve">натоварваща доза клопидогрел (с АСК) 56 пациенти с ОКС са лекувани за 14 дни или с прасугрел 10 </w:t>
      </w:r>
      <w:r w:rsidRPr="0085492F">
        <w:rPr>
          <w:rFonts w:eastAsia="Times New Roman" w:cs="Arial"/>
          <w:color w:val="000000"/>
          <w:lang w:val="en-US"/>
        </w:rPr>
        <w:t>mg</w:t>
      </w:r>
      <w:r w:rsidRPr="0085492F">
        <w:rPr>
          <w:rFonts w:eastAsia="Times New Roman" w:cs="Arial"/>
          <w:color w:val="000000"/>
          <w:lang w:val="ru-RU"/>
        </w:rPr>
        <w:t xml:space="preserve"> </w:t>
      </w:r>
      <w:r w:rsidRPr="0085492F">
        <w:rPr>
          <w:rFonts w:eastAsia="Times New Roman" w:cs="Arial"/>
          <w:color w:val="000000"/>
          <w:lang w:eastAsia="bg-BG"/>
        </w:rPr>
        <w:t xml:space="preserve">един път дневно, или с клопидогрел 150 </w:t>
      </w:r>
      <w:r w:rsidRPr="0085492F">
        <w:rPr>
          <w:rFonts w:eastAsia="Times New Roman" w:cs="Arial"/>
          <w:color w:val="000000"/>
          <w:lang w:val="en-US"/>
        </w:rPr>
        <w:t>mg</w:t>
      </w:r>
      <w:r w:rsidRPr="0085492F">
        <w:rPr>
          <w:rFonts w:eastAsia="Times New Roman" w:cs="Arial"/>
          <w:color w:val="000000"/>
          <w:lang w:val="ru-RU"/>
        </w:rPr>
        <w:t xml:space="preserve"> </w:t>
      </w:r>
      <w:r w:rsidRPr="0085492F">
        <w:rPr>
          <w:rFonts w:eastAsia="Times New Roman" w:cs="Arial"/>
          <w:color w:val="000000"/>
          <w:lang w:eastAsia="bg-BG"/>
        </w:rPr>
        <w:t xml:space="preserve">един път дневно, след което преминават или на клопидогрел 150 </w:t>
      </w:r>
      <w:r w:rsidRPr="0085492F">
        <w:rPr>
          <w:rFonts w:eastAsia="Times New Roman" w:cs="Arial"/>
          <w:color w:val="000000"/>
          <w:lang w:val="en-US"/>
        </w:rPr>
        <w:t>mg</w:t>
      </w:r>
      <w:r w:rsidRPr="0085492F">
        <w:rPr>
          <w:rFonts w:eastAsia="Times New Roman" w:cs="Arial"/>
          <w:color w:val="000000"/>
          <w:lang w:val="ru-RU"/>
        </w:rPr>
        <w:t xml:space="preserve">, </w:t>
      </w:r>
      <w:r w:rsidRPr="0085492F">
        <w:rPr>
          <w:rFonts w:eastAsia="Times New Roman" w:cs="Arial"/>
          <w:color w:val="000000"/>
          <w:lang w:eastAsia="bg-BG"/>
        </w:rPr>
        <w:t xml:space="preserve">или на прасугрел 10 </w:t>
      </w:r>
      <w:r w:rsidRPr="0085492F">
        <w:rPr>
          <w:rFonts w:eastAsia="Times New Roman" w:cs="Arial"/>
          <w:color w:val="000000"/>
          <w:lang w:val="en-US"/>
        </w:rPr>
        <w:t>mg</w:t>
      </w:r>
      <w:r w:rsidRPr="0085492F">
        <w:rPr>
          <w:rFonts w:eastAsia="Times New Roman" w:cs="Arial"/>
          <w:color w:val="000000"/>
          <w:lang w:val="ru-RU"/>
        </w:rPr>
        <w:t xml:space="preserve"> </w:t>
      </w:r>
      <w:r w:rsidRPr="0085492F">
        <w:rPr>
          <w:rFonts w:eastAsia="Times New Roman" w:cs="Arial"/>
          <w:color w:val="000000"/>
          <w:lang w:eastAsia="bg-BG"/>
        </w:rPr>
        <w:t xml:space="preserve">за още 14 дни. Наблюдавана е по-висока степен на инхибиране на тромбоцитната агрегация при пациентите, преминали на прасугрел 10 </w:t>
      </w:r>
      <w:r w:rsidRPr="0085492F">
        <w:rPr>
          <w:rFonts w:eastAsia="Times New Roman" w:cs="Arial"/>
          <w:color w:val="000000"/>
          <w:lang w:val="en-US"/>
        </w:rPr>
        <w:t>mg</w:t>
      </w:r>
      <w:r w:rsidRPr="0085492F">
        <w:rPr>
          <w:rFonts w:eastAsia="Times New Roman" w:cs="Arial"/>
          <w:color w:val="000000"/>
          <w:lang w:val="ru-RU"/>
        </w:rPr>
        <w:t xml:space="preserve">, </w:t>
      </w:r>
      <w:r w:rsidRPr="0085492F">
        <w:rPr>
          <w:rFonts w:eastAsia="Times New Roman" w:cs="Arial"/>
          <w:color w:val="000000"/>
          <w:lang w:eastAsia="bg-BG"/>
        </w:rPr>
        <w:t xml:space="preserve">в сравнение с лекуваните с клопидогрел 150 </w:t>
      </w:r>
      <w:r w:rsidRPr="0085492F">
        <w:rPr>
          <w:rFonts w:eastAsia="Times New Roman" w:cs="Arial"/>
          <w:color w:val="000000"/>
          <w:lang w:val="en-US"/>
        </w:rPr>
        <w:t>mg</w:t>
      </w:r>
      <w:r w:rsidRPr="0085492F">
        <w:rPr>
          <w:rFonts w:eastAsia="Times New Roman" w:cs="Arial"/>
          <w:color w:val="000000"/>
          <w:lang w:val="ru-RU"/>
        </w:rPr>
        <w:t xml:space="preserve">. </w:t>
      </w:r>
      <w:r w:rsidRPr="0085492F">
        <w:rPr>
          <w:rFonts w:eastAsia="Times New Roman" w:cs="Arial"/>
          <w:color w:val="000000"/>
          <w:lang w:eastAsia="bg-BG"/>
        </w:rPr>
        <w:t xml:space="preserve">В проучване на 276 пациенти с ОКС, лекувани с </w:t>
      </w:r>
      <w:r w:rsidRPr="0085492F">
        <w:rPr>
          <w:rFonts w:eastAsia="Times New Roman" w:cs="Arial"/>
          <w:color w:val="000000"/>
          <w:lang w:val="en-US"/>
        </w:rPr>
        <w:t>PCI</w:t>
      </w:r>
      <w:r w:rsidRPr="0085492F">
        <w:rPr>
          <w:rFonts w:eastAsia="Times New Roman" w:cs="Arial"/>
          <w:color w:val="000000"/>
          <w:lang w:val="ru-RU"/>
        </w:rPr>
        <w:t xml:space="preserve">, </w:t>
      </w:r>
      <w:r w:rsidRPr="0085492F">
        <w:rPr>
          <w:rFonts w:eastAsia="Times New Roman" w:cs="Arial"/>
          <w:color w:val="000000"/>
          <w:lang w:eastAsia="bg-BG"/>
        </w:rPr>
        <w:t xml:space="preserve">преминаването от първоначална натоварваща доза от 600 </w:t>
      </w:r>
      <w:r w:rsidRPr="0085492F">
        <w:rPr>
          <w:rFonts w:eastAsia="Times New Roman" w:cs="Arial"/>
          <w:color w:val="000000"/>
          <w:lang w:val="en-US"/>
        </w:rPr>
        <w:t>mg</w:t>
      </w:r>
      <w:r w:rsidRPr="0085492F">
        <w:rPr>
          <w:rFonts w:eastAsia="Times New Roman" w:cs="Arial"/>
          <w:color w:val="000000"/>
          <w:lang w:val="ru-RU"/>
        </w:rPr>
        <w:t xml:space="preserve"> </w:t>
      </w:r>
      <w:r w:rsidRPr="0085492F">
        <w:rPr>
          <w:rFonts w:eastAsia="Times New Roman" w:cs="Arial"/>
          <w:color w:val="000000"/>
          <w:lang w:eastAsia="bg-BG"/>
        </w:rPr>
        <w:t xml:space="preserve">клопидогрел или плацебо, прилагани при пристигането в болницата преди коронарната ангиография, на натоварваща доза от 60 </w:t>
      </w:r>
      <w:r w:rsidRPr="0085492F">
        <w:rPr>
          <w:rFonts w:eastAsia="Times New Roman" w:cs="Arial"/>
          <w:color w:val="000000"/>
          <w:lang w:val="en-US"/>
        </w:rPr>
        <w:t>mg</w:t>
      </w:r>
      <w:r w:rsidRPr="0085492F">
        <w:rPr>
          <w:rFonts w:eastAsia="Times New Roman" w:cs="Arial"/>
          <w:color w:val="000000"/>
          <w:lang w:val="ru-RU"/>
        </w:rPr>
        <w:t xml:space="preserve"> </w:t>
      </w:r>
      <w:r w:rsidRPr="0085492F">
        <w:rPr>
          <w:rFonts w:eastAsia="Times New Roman" w:cs="Arial"/>
          <w:color w:val="000000"/>
          <w:lang w:eastAsia="bg-BG"/>
        </w:rPr>
        <w:t>прасугрел, приложена по време на перкутанната коронарна интервенция, води до подобна по-висока степен на инхибиране на тромбоцитната агрегация, за 72-часовата продължителност на проучването.</w:t>
      </w:r>
    </w:p>
    <w:p w14:paraId="11D29B3A" w14:textId="77777777" w:rsidR="0085492F" w:rsidRPr="0085492F" w:rsidRDefault="0085492F" w:rsidP="0085492F">
      <w:pPr>
        <w:spacing w:line="240" w:lineRule="auto"/>
        <w:rPr>
          <w:rFonts w:eastAsia="Times New Roman" w:cs="Arial"/>
          <w:color w:val="000000"/>
          <w:u w:val="single"/>
          <w:lang w:eastAsia="bg-BG"/>
        </w:rPr>
      </w:pPr>
    </w:p>
    <w:p w14:paraId="54D0BA7F" w14:textId="0AFFC91A" w:rsidR="0085492F" w:rsidRPr="0085492F" w:rsidRDefault="0085492F" w:rsidP="0085492F">
      <w:pPr>
        <w:spacing w:line="240" w:lineRule="auto"/>
        <w:rPr>
          <w:rFonts w:eastAsia="Times New Roman" w:cs="Arial"/>
        </w:rPr>
      </w:pPr>
      <w:r w:rsidRPr="0085492F">
        <w:rPr>
          <w:rFonts w:eastAsia="Times New Roman" w:cs="Arial"/>
          <w:color w:val="000000"/>
          <w:u w:val="single"/>
          <w:lang w:eastAsia="bg-BG"/>
        </w:rPr>
        <w:t>Клинична ефикасност и безопасност</w:t>
      </w:r>
    </w:p>
    <w:p w14:paraId="3FF6E31B" w14:textId="77777777" w:rsidR="0085492F" w:rsidRPr="0085492F" w:rsidRDefault="0085492F" w:rsidP="0085492F">
      <w:pPr>
        <w:spacing w:line="240" w:lineRule="auto"/>
        <w:rPr>
          <w:rFonts w:eastAsia="Times New Roman" w:cs="Arial"/>
          <w:i/>
          <w:iCs/>
          <w:color w:val="000000"/>
          <w:lang w:eastAsia="bg-BG"/>
        </w:rPr>
      </w:pPr>
    </w:p>
    <w:p w14:paraId="668F7A7E" w14:textId="5799BD10" w:rsidR="0085492F" w:rsidRPr="0085492F" w:rsidRDefault="0085492F" w:rsidP="0085492F">
      <w:pPr>
        <w:spacing w:line="240" w:lineRule="auto"/>
        <w:rPr>
          <w:rFonts w:eastAsia="Times New Roman" w:cs="Arial"/>
        </w:rPr>
      </w:pPr>
      <w:r w:rsidRPr="0085492F">
        <w:rPr>
          <w:rFonts w:eastAsia="Times New Roman" w:cs="Arial"/>
          <w:i/>
          <w:iCs/>
          <w:color w:val="000000"/>
          <w:lang w:eastAsia="bg-BG"/>
        </w:rPr>
        <w:t>Остър коронарен синдром (ОКС)</w:t>
      </w:r>
    </w:p>
    <w:p w14:paraId="295B243E" w14:textId="77777777" w:rsidR="0085492F" w:rsidRPr="0085492F" w:rsidRDefault="0085492F" w:rsidP="0085492F">
      <w:pPr>
        <w:spacing w:line="240" w:lineRule="auto"/>
        <w:rPr>
          <w:rFonts w:eastAsia="Times New Roman" w:cs="Arial"/>
        </w:rPr>
      </w:pPr>
      <w:r w:rsidRPr="0085492F">
        <w:rPr>
          <w:rFonts w:eastAsia="Times New Roman" w:cs="Arial"/>
          <w:color w:val="000000"/>
          <w:lang w:eastAsia="bg-BG"/>
        </w:rPr>
        <w:t xml:space="preserve">Проучването фаза 3 </w:t>
      </w:r>
      <w:r w:rsidRPr="0085492F">
        <w:rPr>
          <w:rFonts w:eastAsia="Times New Roman" w:cs="Arial"/>
          <w:color w:val="000000"/>
          <w:lang w:val="en-US"/>
        </w:rPr>
        <w:t>TRITON</w:t>
      </w:r>
      <w:r w:rsidRPr="0085492F">
        <w:rPr>
          <w:rFonts w:eastAsia="Times New Roman" w:cs="Arial"/>
          <w:color w:val="000000"/>
          <w:lang w:val="ru-RU"/>
        </w:rPr>
        <w:t xml:space="preserve"> </w:t>
      </w:r>
      <w:r w:rsidRPr="0085492F">
        <w:rPr>
          <w:rFonts w:eastAsia="Times New Roman" w:cs="Arial"/>
          <w:color w:val="000000"/>
          <w:lang w:eastAsia="bg-BG"/>
        </w:rPr>
        <w:t xml:space="preserve">сравнява прасугрел с клопидогрел и двата едновременно прилагани с АСК и друго стандартно лечение. </w:t>
      </w:r>
      <w:r w:rsidRPr="0085492F">
        <w:rPr>
          <w:rFonts w:eastAsia="Times New Roman" w:cs="Arial"/>
          <w:color w:val="000000"/>
          <w:lang w:val="en-US"/>
        </w:rPr>
        <w:t>TRITON</w:t>
      </w:r>
      <w:r w:rsidRPr="0085492F">
        <w:rPr>
          <w:rFonts w:eastAsia="Times New Roman" w:cs="Arial"/>
          <w:color w:val="000000"/>
          <w:lang w:val="ru-RU"/>
        </w:rPr>
        <w:t xml:space="preserve"> </w:t>
      </w:r>
      <w:r w:rsidRPr="0085492F">
        <w:rPr>
          <w:rFonts w:eastAsia="Times New Roman" w:cs="Arial"/>
          <w:color w:val="000000"/>
          <w:lang w:eastAsia="bg-BG"/>
        </w:rPr>
        <w:t xml:space="preserve">е многоцентрово международно, рандомизирано, двойно сляпо, с паралелни групи проучване при 13 608 пациенти. Пациентите са с ОКС с умерен до висок риск за нестабилна стенокардия, инфаркт на миокарда без </w:t>
      </w:r>
      <w:r w:rsidRPr="0085492F">
        <w:rPr>
          <w:rFonts w:eastAsia="Times New Roman" w:cs="Arial"/>
          <w:color w:val="000000"/>
          <w:lang w:val="en-US"/>
        </w:rPr>
        <w:t>ST</w:t>
      </w:r>
      <w:r w:rsidRPr="0085492F">
        <w:rPr>
          <w:rFonts w:eastAsia="Times New Roman" w:cs="Arial"/>
          <w:color w:val="000000"/>
          <w:lang w:eastAsia="bg-BG"/>
        </w:rPr>
        <w:t xml:space="preserve">-елевация или инфаркт на миокарда със </w:t>
      </w:r>
      <w:r w:rsidRPr="0085492F">
        <w:rPr>
          <w:rFonts w:eastAsia="Times New Roman" w:cs="Arial"/>
          <w:color w:val="000000"/>
          <w:lang w:val="en-US"/>
        </w:rPr>
        <w:t>ST</w:t>
      </w:r>
      <w:r w:rsidRPr="0085492F">
        <w:rPr>
          <w:rFonts w:eastAsia="Times New Roman" w:cs="Arial"/>
          <w:color w:val="000000"/>
          <w:lang w:eastAsia="bg-BG"/>
        </w:rPr>
        <w:t xml:space="preserve">-елевация </w:t>
      </w:r>
      <w:r w:rsidRPr="0085492F">
        <w:rPr>
          <w:rFonts w:eastAsia="Times New Roman" w:cs="Arial"/>
          <w:color w:val="000000"/>
          <w:lang w:val="ru-RU"/>
        </w:rPr>
        <w:t>(</w:t>
      </w:r>
      <w:r w:rsidRPr="0085492F">
        <w:rPr>
          <w:rFonts w:eastAsia="Times New Roman" w:cs="Arial"/>
          <w:color w:val="000000"/>
          <w:lang w:val="en-US"/>
        </w:rPr>
        <w:t>UA</w:t>
      </w:r>
      <w:r w:rsidRPr="0085492F">
        <w:rPr>
          <w:rFonts w:eastAsia="Times New Roman" w:cs="Arial"/>
          <w:color w:val="000000"/>
          <w:lang w:val="ru-RU"/>
        </w:rPr>
        <w:t xml:space="preserve">, </w:t>
      </w:r>
      <w:r w:rsidRPr="0085492F">
        <w:rPr>
          <w:rFonts w:eastAsia="Times New Roman" w:cs="Arial"/>
          <w:color w:val="000000"/>
          <w:lang w:val="en-US"/>
        </w:rPr>
        <w:t>NSTEM</w:t>
      </w:r>
      <w:r w:rsidRPr="0085492F">
        <w:rPr>
          <w:rFonts w:eastAsia="Times New Roman" w:cs="Arial"/>
          <w:color w:val="000000"/>
          <w:lang w:val="ru-RU"/>
        </w:rPr>
        <w:t xml:space="preserve">1 </w:t>
      </w:r>
      <w:r w:rsidRPr="0085492F">
        <w:rPr>
          <w:rFonts w:eastAsia="Times New Roman" w:cs="Arial"/>
          <w:color w:val="000000"/>
          <w:lang w:eastAsia="bg-BG"/>
        </w:rPr>
        <w:t xml:space="preserve">или </w:t>
      </w:r>
      <w:r w:rsidRPr="0085492F">
        <w:rPr>
          <w:rFonts w:eastAsia="Times New Roman" w:cs="Arial"/>
          <w:color w:val="000000"/>
          <w:lang w:val="en-US"/>
        </w:rPr>
        <w:t>STEMI</w:t>
      </w:r>
      <w:r w:rsidRPr="0085492F">
        <w:rPr>
          <w:rFonts w:eastAsia="Times New Roman" w:cs="Arial"/>
          <w:color w:val="000000"/>
          <w:lang w:val="ru-RU"/>
        </w:rPr>
        <w:t xml:space="preserve">) </w:t>
      </w:r>
      <w:r w:rsidRPr="0085492F">
        <w:rPr>
          <w:rFonts w:eastAsia="Times New Roman" w:cs="Arial"/>
          <w:color w:val="000000"/>
          <w:lang w:eastAsia="bg-BG"/>
        </w:rPr>
        <w:t xml:space="preserve">и са управлявани с перкутанна коронарна интервенция </w:t>
      </w:r>
      <w:r w:rsidRPr="0085492F">
        <w:rPr>
          <w:rFonts w:eastAsia="Times New Roman" w:cs="Arial"/>
          <w:color w:val="000000"/>
          <w:lang w:val="ru-RU"/>
        </w:rPr>
        <w:t>(</w:t>
      </w:r>
      <w:r w:rsidRPr="0085492F">
        <w:rPr>
          <w:rFonts w:eastAsia="Times New Roman" w:cs="Arial"/>
          <w:color w:val="000000"/>
          <w:lang w:val="en-US"/>
        </w:rPr>
        <w:t>PCI</w:t>
      </w:r>
      <w:r w:rsidRPr="0085492F">
        <w:rPr>
          <w:rFonts w:eastAsia="Times New Roman" w:cs="Arial"/>
          <w:color w:val="000000"/>
          <w:lang w:val="ru-RU"/>
        </w:rPr>
        <w:t>).</w:t>
      </w:r>
    </w:p>
    <w:p w14:paraId="56680E9A" w14:textId="77777777" w:rsidR="0085492F" w:rsidRPr="0085492F" w:rsidRDefault="0085492F" w:rsidP="0085492F">
      <w:pPr>
        <w:spacing w:line="240" w:lineRule="auto"/>
        <w:rPr>
          <w:rFonts w:eastAsia="Times New Roman" w:cs="Arial"/>
          <w:color w:val="000000"/>
          <w:lang w:eastAsia="bg-BG"/>
        </w:rPr>
      </w:pPr>
      <w:r w:rsidRPr="0085492F">
        <w:rPr>
          <w:rFonts w:eastAsia="Times New Roman" w:cs="Arial"/>
          <w:color w:val="000000"/>
          <w:lang w:eastAsia="bg-BG"/>
        </w:rPr>
        <w:t xml:space="preserve">Пациентите с нестабилна стенокардия/инфаркт на миокарда без </w:t>
      </w:r>
      <w:r w:rsidRPr="0085492F">
        <w:rPr>
          <w:rFonts w:eastAsia="Times New Roman" w:cs="Arial"/>
          <w:color w:val="000000"/>
          <w:lang w:val="en-US"/>
        </w:rPr>
        <w:t>ST</w:t>
      </w:r>
      <w:r w:rsidRPr="0085492F">
        <w:rPr>
          <w:rFonts w:eastAsia="Times New Roman" w:cs="Arial"/>
          <w:color w:val="000000"/>
          <w:lang w:eastAsia="bg-BG"/>
        </w:rPr>
        <w:t xml:space="preserve">-елевация </w:t>
      </w:r>
      <w:r w:rsidRPr="0085492F">
        <w:rPr>
          <w:rFonts w:eastAsia="Times New Roman" w:cs="Arial"/>
          <w:color w:val="000000"/>
          <w:lang w:val="ru-RU"/>
        </w:rPr>
        <w:t>(</w:t>
      </w:r>
      <w:r w:rsidRPr="0085492F">
        <w:rPr>
          <w:rFonts w:eastAsia="Times New Roman" w:cs="Arial"/>
          <w:color w:val="000000"/>
          <w:lang w:val="en-US"/>
        </w:rPr>
        <w:t>UA</w:t>
      </w:r>
      <w:r w:rsidRPr="0085492F">
        <w:rPr>
          <w:rFonts w:eastAsia="Times New Roman" w:cs="Arial"/>
          <w:color w:val="000000"/>
          <w:lang w:val="ru-RU"/>
        </w:rPr>
        <w:t>/</w:t>
      </w:r>
      <w:r w:rsidRPr="0085492F">
        <w:rPr>
          <w:rFonts w:eastAsia="Times New Roman" w:cs="Arial"/>
          <w:color w:val="000000"/>
          <w:lang w:val="en-US"/>
        </w:rPr>
        <w:t>NSTEMI</w:t>
      </w:r>
      <w:r w:rsidRPr="0085492F">
        <w:rPr>
          <w:rFonts w:eastAsia="Times New Roman" w:cs="Arial"/>
          <w:color w:val="000000"/>
          <w:lang w:val="ru-RU"/>
        </w:rPr>
        <w:t xml:space="preserve">) </w:t>
      </w:r>
      <w:r w:rsidRPr="0085492F">
        <w:rPr>
          <w:rFonts w:eastAsia="Times New Roman" w:cs="Arial"/>
          <w:color w:val="000000"/>
          <w:lang w:eastAsia="bg-BG"/>
        </w:rPr>
        <w:t xml:space="preserve">в рамките на 72 часа от появата на симптоми или с инфаркт на миокарда със </w:t>
      </w:r>
      <w:r w:rsidRPr="0085492F">
        <w:rPr>
          <w:rFonts w:eastAsia="Times New Roman" w:cs="Arial"/>
          <w:color w:val="000000"/>
          <w:lang w:val="en-US"/>
        </w:rPr>
        <w:t>ST</w:t>
      </w:r>
      <w:r w:rsidRPr="0085492F">
        <w:rPr>
          <w:rFonts w:eastAsia="Times New Roman" w:cs="Arial"/>
          <w:color w:val="000000"/>
          <w:lang w:eastAsia="bg-BG"/>
        </w:rPr>
        <w:t xml:space="preserve">-елевация </w:t>
      </w:r>
      <w:r w:rsidRPr="0085492F">
        <w:rPr>
          <w:rFonts w:eastAsia="Times New Roman" w:cs="Arial"/>
          <w:color w:val="000000"/>
          <w:lang w:val="ru-RU"/>
        </w:rPr>
        <w:t>(</w:t>
      </w:r>
      <w:r w:rsidRPr="0085492F">
        <w:rPr>
          <w:rFonts w:eastAsia="Times New Roman" w:cs="Arial"/>
          <w:color w:val="000000"/>
          <w:lang w:val="en-US"/>
        </w:rPr>
        <w:t>STEMI</w:t>
      </w:r>
      <w:r w:rsidRPr="0085492F">
        <w:rPr>
          <w:rFonts w:eastAsia="Times New Roman" w:cs="Arial"/>
          <w:color w:val="000000"/>
          <w:lang w:val="ru-RU"/>
        </w:rPr>
        <w:t xml:space="preserve">) </w:t>
      </w:r>
      <w:r w:rsidRPr="0085492F">
        <w:rPr>
          <w:rFonts w:eastAsia="Times New Roman" w:cs="Arial"/>
          <w:color w:val="000000"/>
          <w:lang w:eastAsia="bg-BG"/>
        </w:rPr>
        <w:t xml:space="preserve">между 12 часа до 14 дни от появата на симптоми са рандомизирани след получаване на данни за анатомията на коронарните артерии. </w:t>
      </w:r>
    </w:p>
    <w:p w14:paraId="6A073553" w14:textId="77777777" w:rsidR="0085492F" w:rsidRPr="0085492F" w:rsidRDefault="0085492F" w:rsidP="0085492F">
      <w:pPr>
        <w:spacing w:line="240" w:lineRule="auto"/>
        <w:rPr>
          <w:rFonts w:eastAsia="Times New Roman" w:cs="Arial"/>
          <w:color w:val="000000"/>
          <w:lang w:eastAsia="bg-BG"/>
        </w:rPr>
      </w:pPr>
    </w:p>
    <w:p w14:paraId="288A2AA7" w14:textId="71050E6C" w:rsidR="0085492F" w:rsidRPr="0085492F" w:rsidRDefault="0085492F" w:rsidP="0085492F">
      <w:pPr>
        <w:spacing w:line="240" w:lineRule="auto"/>
        <w:rPr>
          <w:rFonts w:eastAsia="Times New Roman" w:cs="Arial"/>
        </w:rPr>
      </w:pPr>
      <w:r w:rsidRPr="0085492F">
        <w:rPr>
          <w:rFonts w:eastAsia="Times New Roman" w:cs="Arial"/>
          <w:color w:val="000000"/>
          <w:lang w:eastAsia="bg-BG"/>
        </w:rPr>
        <w:t xml:space="preserve">Пациенти с инфаркт на миокарда със </w:t>
      </w:r>
      <w:r w:rsidRPr="0085492F">
        <w:rPr>
          <w:rFonts w:eastAsia="Times New Roman" w:cs="Arial"/>
          <w:color w:val="000000"/>
          <w:lang w:val="en-US"/>
        </w:rPr>
        <w:t>ST</w:t>
      </w:r>
      <w:r w:rsidRPr="0085492F">
        <w:rPr>
          <w:rFonts w:eastAsia="Times New Roman" w:cs="Arial"/>
          <w:color w:val="000000"/>
          <w:lang w:eastAsia="bg-BG"/>
        </w:rPr>
        <w:t xml:space="preserve">-елевация </w:t>
      </w:r>
      <w:r w:rsidRPr="0085492F">
        <w:rPr>
          <w:rFonts w:eastAsia="Times New Roman" w:cs="Arial"/>
          <w:color w:val="000000"/>
          <w:lang w:val="ru-RU"/>
        </w:rPr>
        <w:t>(</w:t>
      </w:r>
      <w:r w:rsidRPr="0085492F">
        <w:rPr>
          <w:rFonts w:eastAsia="Times New Roman" w:cs="Arial"/>
          <w:color w:val="000000"/>
          <w:lang w:val="en-US"/>
        </w:rPr>
        <w:t>STEMI</w:t>
      </w:r>
      <w:r w:rsidRPr="0085492F">
        <w:rPr>
          <w:rFonts w:eastAsia="Times New Roman" w:cs="Arial"/>
          <w:color w:val="000000"/>
          <w:lang w:val="ru-RU"/>
        </w:rPr>
        <w:t xml:space="preserve">) </w:t>
      </w:r>
      <w:r w:rsidRPr="0085492F">
        <w:rPr>
          <w:rFonts w:eastAsia="Times New Roman" w:cs="Arial"/>
          <w:color w:val="000000"/>
          <w:lang w:eastAsia="bg-BG"/>
        </w:rPr>
        <w:t xml:space="preserve">в рамките на 12 часа от появата на симптомите и планирани за първична </w:t>
      </w:r>
      <w:r w:rsidRPr="0085492F">
        <w:rPr>
          <w:rFonts w:eastAsia="Times New Roman" w:cs="Arial"/>
          <w:color w:val="000000"/>
          <w:lang w:val="en-US"/>
        </w:rPr>
        <w:t>PCI</w:t>
      </w:r>
      <w:r w:rsidRPr="0085492F">
        <w:rPr>
          <w:rFonts w:eastAsia="Times New Roman" w:cs="Arial"/>
          <w:color w:val="000000"/>
          <w:lang w:val="ru-RU"/>
        </w:rPr>
        <w:t xml:space="preserve"> </w:t>
      </w:r>
      <w:r w:rsidRPr="0085492F">
        <w:rPr>
          <w:rFonts w:eastAsia="Times New Roman" w:cs="Arial"/>
          <w:color w:val="000000"/>
          <w:lang w:eastAsia="bg-BG"/>
        </w:rPr>
        <w:t>могат да бъдат рандомизирани без данни за анатомията на коронарните артерии. За всички пациенти натоварващата доза може да се прилага по всяко време между рандомизирането и 1 час след като пациентът напуска залата за катетеризации.</w:t>
      </w:r>
    </w:p>
    <w:p w14:paraId="4FB2E716" w14:textId="77777777" w:rsidR="0085492F" w:rsidRPr="0085492F" w:rsidRDefault="0085492F" w:rsidP="0085492F">
      <w:pPr>
        <w:spacing w:line="240" w:lineRule="auto"/>
        <w:rPr>
          <w:rFonts w:eastAsia="Times New Roman" w:cs="Arial"/>
          <w:color w:val="000000"/>
          <w:lang w:eastAsia="bg-BG"/>
        </w:rPr>
      </w:pPr>
    </w:p>
    <w:p w14:paraId="0EBDF811" w14:textId="3195A72A" w:rsidR="0085492F" w:rsidRPr="0085492F" w:rsidRDefault="0085492F" w:rsidP="0085492F">
      <w:pPr>
        <w:spacing w:line="240" w:lineRule="auto"/>
        <w:rPr>
          <w:rFonts w:eastAsia="Times New Roman" w:cs="Arial"/>
          <w:color w:val="000000"/>
          <w:lang w:val="ru-RU"/>
        </w:rPr>
      </w:pPr>
      <w:r w:rsidRPr="0085492F">
        <w:rPr>
          <w:rFonts w:eastAsia="Times New Roman" w:cs="Arial"/>
          <w:color w:val="000000"/>
          <w:lang w:eastAsia="bg-BG"/>
        </w:rPr>
        <w:t xml:space="preserve">Пациентите, рандомизирани да получават прасугрел (60 </w:t>
      </w:r>
      <w:r w:rsidRPr="0085492F">
        <w:rPr>
          <w:rFonts w:eastAsia="Times New Roman" w:cs="Arial"/>
          <w:color w:val="000000"/>
          <w:lang w:val="en-US"/>
        </w:rPr>
        <w:t>mg</w:t>
      </w:r>
      <w:r w:rsidRPr="0085492F">
        <w:rPr>
          <w:rFonts w:eastAsia="Times New Roman" w:cs="Arial"/>
          <w:color w:val="000000"/>
          <w:lang w:val="ru-RU"/>
        </w:rPr>
        <w:t xml:space="preserve"> </w:t>
      </w:r>
      <w:r w:rsidRPr="0085492F">
        <w:rPr>
          <w:rFonts w:eastAsia="Times New Roman" w:cs="Arial"/>
          <w:color w:val="000000"/>
          <w:lang w:eastAsia="bg-BG"/>
        </w:rPr>
        <w:t xml:space="preserve">натоварваща доза, последвана от 10 </w:t>
      </w:r>
      <w:r w:rsidRPr="0085492F">
        <w:rPr>
          <w:rFonts w:eastAsia="Times New Roman" w:cs="Arial"/>
          <w:color w:val="000000"/>
          <w:lang w:val="en-US"/>
        </w:rPr>
        <w:t>mg</w:t>
      </w:r>
      <w:r w:rsidRPr="0085492F">
        <w:rPr>
          <w:rFonts w:eastAsia="Times New Roman" w:cs="Arial"/>
          <w:color w:val="000000"/>
          <w:lang w:val="ru-RU"/>
        </w:rPr>
        <w:t xml:space="preserve"> </w:t>
      </w:r>
      <w:r w:rsidRPr="0085492F">
        <w:rPr>
          <w:rFonts w:eastAsia="Times New Roman" w:cs="Arial"/>
          <w:color w:val="000000"/>
          <w:lang w:eastAsia="bg-BG"/>
        </w:rPr>
        <w:t xml:space="preserve">един път дневно) или клопидогрел (300 </w:t>
      </w:r>
      <w:r w:rsidRPr="0085492F">
        <w:rPr>
          <w:rFonts w:eastAsia="Times New Roman" w:cs="Arial"/>
          <w:color w:val="000000"/>
          <w:lang w:val="en-US"/>
        </w:rPr>
        <w:t>mg</w:t>
      </w:r>
      <w:r w:rsidRPr="0085492F">
        <w:rPr>
          <w:rFonts w:eastAsia="Times New Roman" w:cs="Arial"/>
          <w:color w:val="000000"/>
          <w:lang w:val="ru-RU"/>
        </w:rPr>
        <w:t xml:space="preserve"> </w:t>
      </w:r>
      <w:r w:rsidRPr="0085492F">
        <w:rPr>
          <w:rFonts w:eastAsia="Times New Roman" w:cs="Arial"/>
          <w:color w:val="000000"/>
          <w:lang w:eastAsia="bg-BG"/>
        </w:rPr>
        <w:t xml:space="preserve">натоварваща доза, последвана от 75 </w:t>
      </w:r>
      <w:r w:rsidRPr="0085492F">
        <w:rPr>
          <w:rFonts w:eastAsia="Times New Roman" w:cs="Arial"/>
          <w:color w:val="000000"/>
          <w:lang w:val="en-US"/>
        </w:rPr>
        <w:t>mg</w:t>
      </w:r>
      <w:r w:rsidRPr="0085492F">
        <w:rPr>
          <w:rFonts w:eastAsia="Times New Roman" w:cs="Arial"/>
          <w:color w:val="000000"/>
          <w:lang w:val="ru-RU"/>
        </w:rPr>
        <w:t xml:space="preserve"> </w:t>
      </w:r>
      <w:r w:rsidRPr="0085492F">
        <w:rPr>
          <w:rFonts w:eastAsia="Times New Roman" w:cs="Arial"/>
          <w:color w:val="000000"/>
          <w:lang w:eastAsia="bg-BG"/>
        </w:rPr>
        <w:t xml:space="preserve">един път дневно), са лекувани за средно 14,5 месеца (максимално 15 месеца с минимален период на проследяване 6 месеца). Пациентите получават също </w:t>
      </w:r>
      <w:r w:rsidRPr="0085492F">
        <w:rPr>
          <w:rFonts w:eastAsia="Times New Roman" w:cs="Arial"/>
          <w:color w:val="000000"/>
          <w:lang w:eastAsia="bg-BG"/>
        </w:rPr>
        <w:lastRenderedPageBreak/>
        <w:t xml:space="preserve">АСК (75 </w:t>
      </w:r>
      <w:r w:rsidRPr="0085492F">
        <w:rPr>
          <w:rFonts w:eastAsia="Times New Roman" w:cs="Arial"/>
          <w:color w:val="000000"/>
          <w:lang w:val="en-US"/>
        </w:rPr>
        <w:t>mg</w:t>
      </w:r>
      <w:r w:rsidRPr="0085492F">
        <w:rPr>
          <w:rFonts w:eastAsia="Times New Roman" w:cs="Arial"/>
          <w:color w:val="000000"/>
          <w:lang w:val="ru-RU"/>
        </w:rPr>
        <w:t xml:space="preserve"> </w:t>
      </w:r>
      <w:r w:rsidRPr="0085492F">
        <w:rPr>
          <w:rFonts w:eastAsia="Times New Roman" w:cs="Arial"/>
          <w:color w:val="000000"/>
          <w:lang w:eastAsia="bg-BG"/>
        </w:rPr>
        <w:t xml:space="preserve">до 325 </w:t>
      </w:r>
      <w:r w:rsidRPr="0085492F">
        <w:rPr>
          <w:rFonts w:eastAsia="Times New Roman" w:cs="Arial"/>
          <w:color w:val="000000"/>
          <w:lang w:val="en-US"/>
        </w:rPr>
        <w:t>mg</w:t>
      </w:r>
      <w:r w:rsidRPr="0085492F">
        <w:rPr>
          <w:rFonts w:eastAsia="Times New Roman" w:cs="Arial"/>
          <w:color w:val="000000"/>
          <w:lang w:val="ru-RU"/>
        </w:rPr>
        <w:t xml:space="preserve"> </w:t>
      </w:r>
      <w:r w:rsidRPr="0085492F">
        <w:rPr>
          <w:rFonts w:eastAsia="Times New Roman" w:cs="Arial"/>
          <w:color w:val="000000"/>
          <w:lang w:eastAsia="bg-BG"/>
        </w:rPr>
        <w:t xml:space="preserve">един път дневно). Употребата на който и да е тиенопиридин в рамките на 5 дни преди вписване в проучването е критерий за изключване. Друго лечение, например хепарин и </w:t>
      </w:r>
      <w:proofErr w:type="spellStart"/>
      <w:r w:rsidRPr="0085492F">
        <w:rPr>
          <w:rFonts w:eastAsia="Times New Roman" w:cs="Arial"/>
          <w:color w:val="000000"/>
          <w:lang w:val="en-US"/>
        </w:rPr>
        <w:t>GPIIb</w:t>
      </w:r>
      <w:proofErr w:type="spellEnd"/>
      <w:r w:rsidRPr="0085492F">
        <w:rPr>
          <w:rFonts w:eastAsia="Times New Roman" w:cs="Arial"/>
          <w:color w:val="000000"/>
          <w:lang w:eastAsia="bg-BG"/>
        </w:rPr>
        <w:t xml:space="preserve">/Ша-инхибитори, е прилагано по преценка на лекаря. Приблизително 40% от пациентите (във всяка от третираните групи) получават </w:t>
      </w:r>
      <w:proofErr w:type="spellStart"/>
      <w:r w:rsidRPr="0085492F">
        <w:rPr>
          <w:rFonts w:eastAsia="Times New Roman" w:cs="Arial"/>
          <w:color w:val="000000"/>
          <w:lang w:val="en-US"/>
        </w:rPr>
        <w:t>GPIIb</w:t>
      </w:r>
      <w:proofErr w:type="spellEnd"/>
      <w:r w:rsidRPr="0085492F">
        <w:rPr>
          <w:rFonts w:eastAsia="Times New Roman" w:cs="Arial"/>
          <w:color w:val="000000"/>
          <w:lang w:val="ru-RU"/>
        </w:rPr>
        <w:t>/</w:t>
      </w:r>
      <w:proofErr w:type="spellStart"/>
      <w:r w:rsidRPr="0085492F">
        <w:rPr>
          <w:rFonts w:eastAsia="Times New Roman" w:cs="Arial"/>
          <w:color w:val="000000"/>
          <w:lang w:val="en-US"/>
        </w:rPr>
        <w:t>IIIa</w:t>
      </w:r>
      <w:proofErr w:type="spellEnd"/>
      <w:r w:rsidRPr="0085492F">
        <w:rPr>
          <w:rFonts w:eastAsia="Times New Roman" w:cs="Arial"/>
          <w:color w:val="000000"/>
          <w:lang w:eastAsia="bg-BG"/>
        </w:rPr>
        <w:t xml:space="preserve">-инхибитори в помощ на </w:t>
      </w:r>
      <w:r w:rsidRPr="0085492F">
        <w:rPr>
          <w:rFonts w:eastAsia="Times New Roman" w:cs="Arial"/>
          <w:color w:val="000000"/>
          <w:lang w:val="en-US"/>
        </w:rPr>
        <w:t>PCI</w:t>
      </w:r>
      <w:r w:rsidRPr="0085492F">
        <w:rPr>
          <w:rFonts w:eastAsia="Times New Roman" w:cs="Arial"/>
          <w:color w:val="000000"/>
          <w:lang w:val="ru-RU"/>
        </w:rPr>
        <w:t xml:space="preserve"> </w:t>
      </w:r>
      <w:r w:rsidRPr="0085492F">
        <w:rPr>
          <w:rFonts w:eastAsia="Times New Roman" w:cs="Arial"/>
          <w:color w:val="000000"/>
          <w:lang w:eastAsia="bg-BG"/>
        </w:rPr>
        <w:t xml:space="preserve">(няма налична информация относно вида на използвания </w:t>
      </w:r>
      <w:r w:rsidRPr="0085492F">
        <w:rPr>
          <w:rFonts w:eastAsia="Times New Roman" w:cs="Arial"/>
          <w:color w:val="000000"/>
          <w:lang w:val="en-US"/>
        </w:rPr>
        <w:t>GP</w:t>
      </w:r>
      <w:r w:rsidRPr="0085492F">
        <w:rPr>
          <w:rFonts w:eastAsia="Times New Roman" w:cs="Arial"/>
          <w:color w:val="000000"/>
          <w:lang w:val="ru-RU"/>
        </w:rPr>
        <w:t xml:space="preserve"> </w:t>
      </w:r>
      <w:proofErr w:type="spellStart"/>
      <w:r w:rsidRPr="0085492F">
        <w:rPr>
          <w:rFonts w:eastAsia="Times New Roman" w:cs="Arial"/>
          <w:color w:val="000000"/>
          <w:lang w:val="en-US"/>
        </w:rPr>
        <w:t>IIb</w:t>
      </w:r>
      <w:proofErr w:type="spellEnd"/>
      <w:r w:rsidRPr="0085492F">
        <w:rPr>
          <w:rFonts w:eastAsia="Times New Roman" w:cs="Arial"/>
          <w:color w:val="000000"/>
          <w:lang w:val="ru-RU"/>
        </w:rPr>
        <w:t>/</w:t>
      </w:r>
      <w:proofErr w:type="spellStart"/>
      <w:r w:rsidRPr="0085492F">
        <w:rPr>
          <w:rFonts w:eastAsia="Times New Roman" w:cs="Arial"/>
          <w:color w:val="000000"/>
          <w:lang w:val="en-US"/>
        </w:rPr>
        <w:t>IIIa</w:t>
      </w:r>
      <w:proofErr w:type="spellEnd"/>
      <w:r w:rsidRPr="0085492F">
        <w:rPr>
          <w:rFonts w:eastAsia="Times New Roman" w:cs="Arial"/>
          <w:color w:val="000000"/>
          <w:lang w:eastAsia="bg-BG"/>
        </w:rPr>
        <w:t xml:space="preserve">-инхибитор). Около 98% от пациентите (във всяка от третираните групи) получават антитромботични лекарствени средства (хепарин, нискомолекулен хепарин, бивалирудин или други лекарствени средства) пряко в помощ на </w:t>
      </w:r>
      <w:r w:rsidRPr="0085492F">
        <w:rPr>
          <w:rFonts w:eastAsia="Times New Roman" w:cs="Arial"/>
          <w:color w:val="000000"/>
          <w:lang w:val="en-US"/>
        </w:rPr>
        <w:t>PCI</w:t>
      </w:r>
      <w:r w:rsidRPr="0085492F">
        <w:rPr>
          <w:rFonts w:eastAsia="Times New Roman" w:cs="Arial"/>
          <w:color w:val="000000"/>
          <w:lang w:val="ru-RU"/>
        </w:rPr>
        <w:t>.</w:t>
      </w:r>
    </w:p>
    <w:p w14:paraId="553AD351" w14:textId="4CC9BB31" w:rsidR="0085492F" w:rsidRPr="0085492F" w:rsidRDefault="0085492F" w:rsidP="0085492F">
      <w:pPr>
        <w:spacing w:line="240" w:lineRule="auto"/>
        <w:rPr>
          <w:rFonts w:eastAsia="Times New Roman" w:cs="Arial"/>
          <w:color w:val="000000"/>
          <w:lang w:val="ru-RU"/>
        </w:rPr>
      </w:pPr>
    </w:p>
    <w:p w14:paraId="7D65D10F" w14:textId="77777777" w:rsidR="0085492F" w:rsidRPr="0085492F" w:rsidRDefault="0085492F" w:rsidP="0085492F">
      <w:pPr>
        <w:spacing w:line="240" w:lineRule="auto"/>
        <w:rPr>
          <w:rFonts w:eastAsia="Times New Roman" w:cs="Arial"/>
        </w:rPr>
      </w:pPr>
      <w:r w:rsidRPr="0085492F">
        <w:rPr>
          <w:rFonts w:eastAsia="Times New Roman" w:cs="Arial"/>
          <w:color w:val="000000"/>
          <w:lang w:eastAsia="bg-BG"/>
        </w:rPr>
        <w:t>Първичен показател на изхода на проучването е времето до първото настъпване на сърдечно</w:t>
      </w:r>
      <w:r w:rsidRPr="0085492F">
        <w:rPr>
          <w:rFonts w:eastAsia="Times New Roman" w:cs="Arial"/>
          <w:color w:val="000000"/>
          <w:lang w:eastAsia="bg-BG"/>
        </w:rPr>
        <w:softHyphen/>
        <w:t xml:space="preserve">съдова (СС) смърт, инфаркт на миокарда (ИМ) без смъртен изход или инсулт без смъртен изход. Анализът на съставна крайна точка в цялата популация с ОКС (смесени групи нестабилна стенокардия/инфаркт на миокарда без </w:t>
      </w:r>
      <w:r w:rsidRPr="0085492F">
        <w:rPr>
          <w:rFonts w:eastAsia="Times New Roman" w:cs="Arial"/>
          <w:color w:val="000000"/>
          <w:lang w:val="en-US"/>
        </w:rPr>
        <w:t>ST</w:t>
      </w:r>
      <w:r w:rsidRPr="0085492F">
        <w:rPr>
          <w:rFonts w:eastAsia="Times New Roman" w:cs="Arial"/>
          <w:color w:val="000000"/>
          <w:lang w:eastAsia="bg-BG"/>
        </w:rPr>
        <w:t xml:space="preserve">-елевация и инфаркт на миокарда със </w:t>
      </w:r>
      <w:r w:rsidRPr="0085492F">
        <w:rPr>
          <w:rFonts w:eastAsia="Times New Roman" w:cs="Arial"/>
          <w:color w:val="000000"/>
          <w:lang w:val="en-US"/>
        </w:rPr>
        <w:t>ST</w:t>
      </w:r>
      <w:r w:rsidRPr="0085492F">
        <w:rPr>
          <w:rFonts w:eastAsia="Times New Roman" w:cs="Arial"/>
          <w:color w:val="000000"/>
          <w:lang w:eastAsia="bg-BG"/>
        </w:rPr>
        <w:t xml:space="preserve">-елевация </w:t>
      </w:r>
      <w:r w:rsidRPr="0085492F">
        <w:rPr>
          <w:rFonts w:eastAsia="Times New Roman" w:cs="Arial"/>
          <w:color w:val="000000"/>
          <w:lang w:val="ru-RU"/>
        </w:rPr>
        <w:t>(</w:t>
      </w:r>
      <w:r w:rsidRPr="0085492F">
        <w:rPr>
          <w:rFonts w:eastAsia="Times New Roman" w:cs="Arial"/>
          <w:color w:val="000000"/>
          <w:lang w:val="en-US"/>
        </w:rPr>
        <w:t>UA</w:t>
      </w:r>
      <w:r w:rsidRPr="0085492F">
        <w:rPr>
          <w:rFonts w:eastAsia="Times New Roman" w:cs="Arial"/>
          <w:color w:val="000000"/>
          <w:lang w:val="ru-RU"/>
        </w:rPr>
        <w:t>/</w:t>
      </w:r>
      <w:r w:rsidRPr="0085492F">
        <w:rPr>
          <w:rFonts w:eastAsia="Times New Roman" w:cs="Arial"/>
          <w:color w:val="000000"/>
          <w:lang w:val="en-US"/>
        </w:rPr>
        <w:t>NSTEMI</w:t>
      </w:r>
      <w:r w:rsidRPr="0085492F">
        <w:rPr>
          <w:rFonts w:eastAsia="Times New Roman" w:cs="Arial"/>
          <w:color w:val="000000"/>
          <w:lang w:val="ru-RU"/>
        </w:rPr>
        <w:t xml:space="preserve"> </w:t>
      </w:r>
      <w:r w:rsidRPr="0085492F">
        <w:rPr>
          <w:rFonts w:eastAsia="Times New Roman" w:cs="Arial"/>
          <w:color w:val="000000"/>
          <w:lang w:eastAsia="bg-BG"/>
        </w:rPr>
        <w:t xml:space="preserve">и </w:t>
      </w:r>
      <w:r w:rsidRPr="0085492F">
        <w:rPr>
          <w:rFonts w:eastAsia="Times New Roman" w:cs="Arial"/>
          <w:color w:val="000000"/>
          <w:lang w:val="en-US"/>
        </w:rPr>
        <w:t>STEMI</w:t>
      </w:r>
      <w:r w:rsidRPr="0085492F">
        <w:rPr>
          <w:rFonts w:eastAsia="Times New Roman" w:cs="Arial"/>
          <w:color w:val="000000"/>
          <w:lang w:val="ru-RU"/>
        </w:rPr>
        <w:t xml:space="preserve">)) </w:t>
      </w:r>
      <w:r w:rsidRPr="0085492F">
        <w:rPr>
          <w:rFonts w:eastAsia="Times New Roman" w:cs="Arial"/>
          <w:color w:val="000000"/>
          <w:lang w:eastAsia="bg-BG"/>
        </w:rPr>
        <w:t xml:space="preserve">зависи от показването на статистическо преимущество на прасугрел спрямо клопидогрел в групата с нестабилна стенокардия/инфаркт на миокарда без </w:t>
      </w:r>
      <w:r w:rsidRPr="0085492F">
        <w:rPr>
          <w:rFonts w:eastAsia="Times New Roman" w:cs="Arial"/>
          <w:color w:val="000000"/>
          <w:lang w:val="en-US"/>
        </w:rPr>
        <w:t>ST</w:t>
      </w:r>
      <w:r w:rsidRPr="0085492F">
        <w:rPr>
          <w:rFonts w:eastAsia="Times New Roman" w:cs="Arial"/>
          <w:color w:val="000000"/>
          <w:lang w:eastAsia="bg-BG"/>
        </w:rPr>
        <w:t xml:space="preserve">-елевация </w:t>
      </w:r>
      <w:r w:rsidRPr="0085492F">
        <w:rPr>
          <w:rFonts w:eastAsia="Times New Roman" w:cs="Arial"/>
          <w:color w:val="000000"/>
          <w:lang w:val="ru-RU"/>
        </w:rPr>
        <w:t>(</w:t>
      </w:r>
      <w:r w:rsidRPr="0085492F">
        <w:rPr>
          <w:rFonts w:eastAsia="Times New Roman" w:cs="Arial"/>
          <w:color w:val="000000"/>
          <w:lang w:val="en-US"/>
        </w:rPr>
        <w:t>UA</w:t>
      </w:r>
      <w:r w:rsidRPr="0085492F">
        <w:rPr>
          <w:rFonts w:eastAsia="Times New Roman" w:cs="Arial"/>
          <w:color w:val="000000"/>
          <w:lang w:val="ru-RU"/>
        </w:rPr>
        <w:t>/</w:t>
      </w:r>
      <w:r w:rsidRPr="0085492F">
        <w:rPr>
          <w:rFonts w:eastAsia="Times New Roman" w:cs="Arial"/>
          <w:color w:val="000000"/>
          <w:lang w:val="en-US"/>
        </w:rPr>
        <w:t>NSTEMJ</w:t>
      </w:r>
      <w:r w:rsidRPr="0085492F">
        <w:rPr>
          <w:rFonts w:eastAsia="Times New Roman" w:cs="Arial"/>
          <w:color w:val="000000"/>
          <w:lang w:val="ru-RU"/>
        </w:rPr>
        <w:t xml:space="preserve">) </w:t>
      </w:r>
      <w:r w:rsidRPr="0085492F">
        <w:rPr>
          <w:rFonts w:eastAsia="Times New Roman" w:cs="Arial"/>
          <w:color w:val="000000"/>
          <w:lang w:eastAsia="bg-BG"/>
        </w:rPr>
        <w:t>(р&lt;0,05).</w:t>
      </w:r>
    </w:p>
    <w:p w14:paraId="2762494E" w14:textId="77777777" w:rsidR="0085492F" w:rsidRPr="0085492F" w:rsidRDefault="0085492F" w:rsidP="0085492F">
      <w:pPr>
        <w:spacing w:line="240" w:lineRule="auto"/>
        <w:rPr>
          <w:rFonts w:eastAsia="Times New Roman" w:cs="Arial"/>
          <w:color w:val="000000"/>
          <w:u w:val="single"/>
          <w:lang w:eastAsia="bg-BG"/>
        </w:rPr>
      </w:pPr>
    </w:p>
    <w:p w14:paraId="46123A83" w14:textId="7FBD974C" w:rsidR="0085492F" w:rsidRPr="0085492F" w:rsidRDefault="0085492F" w:rsidP="0085492F">
      <w:pPr>
        <w:spacing w:line="240" w:lineRule="auto"/>
        <w:rPr>
          <w:rFonts w:eastAsia="Times New Roman" w:cs="Arial"/>
        </w:rPr>
      </w:pPr>
      <w:r w:rsidRPr="0085492F">
        <w:rPr>
          <w:rFonts w:eastAsia="Times New Roman" w:cs="Arial"/>
          <w:color w:val="000000"/>
          <w:u w:val="single"/>
          <w:lang w:eastAsia="bg-BG"/>
        </w:rPr>
        <w:t>Цялата популация с ОКС</w:t>
      </w:r>
    </w:p>
    <w:p w14:paraId="445B9C6A" w14:textId="77777777" w:rsidR="0085492F" w:rsidRPr="0085492F" w:rsidRDefault="0085492F" w:rsidP="0085492F">
      <w:pPr>
        <w:spacing w:line="240" w:lineRule="auto"/>
        <w:rPr>
          <w:rFonts w:eastAsia="Times New Roman" w:cs="Arial"/>
        </w:rPr>
      </w:pPr>
      <w:r w:rsidRPr="0085492F">
        <w:rPr>
          <w:rFonts w:eastAsia="Times New Roman" w:cs="Arial"/>
          <w:color w:val="000000"/>
          <w:lang w:eastAsia="bg-BG"/>
        </w:rPr>
        <w:t xml:space="preserve">Прасугрел показва по-добра ефикасност в сравнение с клопидогрел в намаляването на първичните комбинирани събития за изхода, както и предварително определените вторични събития за изхода, включително тромбоза на стента (вж. таблица 3). Ползата от прасугрел е очевидна през първите 3 дни и се задържа до края на проучването. По-добрата ефикасност се съпровожда от увеличение на значителното кървене (вж. точка 4.4 и точка 4.8). Пациентите в популацията са 92% от кавказката раса - 26% жени и 39% ≥65-годишна възраст. Ползата, свързана с прасугрел, е независима от употребата на друго остро или продължително сърдечно-съдово лечение, включително хепарин/нискомолекулен хепарин, бивалирудин, интравенозни </w:t>
      </w:r>
      <w:proofErr w:type="spellStart"/>
      <w:r w:rsidRPr="0085492F">
        <w:rPr>
          <w:rFonts w:eastAsia="Times New Roman" w:cs="Arial"/>
          <w:color w:val="000000"/>
          <w:lang w:val="en-US"/>
        </w:rPr>
        <w:t>GPIIb</w:t>
      </w:r>
      <w:proofErr w:type="spellEnd"/>
      <w:r w:rsidRPr="0085492F">
        <w:rPr>
          <w:rFonts w:eastAsia="Times New Roman" w:cs="Arial"/>
          <w:color w:val="000000"/>
          <w:lang w:eastAsia="bg-BG"/>
        </w:rPr>
        <w:t>/</w:t>
      </w:r>
      <w:r w:rsidRPr="0085492F">
        <w:rPr>
          <w:rFonts w:eastAsia="Times New Roman" w:cs="Arial"/>
          <w:color w:val="000000"/>
          <w:lang w:val="en-US"/>
        </w:rPr>
        <w:t>III</w:t>
      </w:r>
      <w:r w:rsidRPr="0085492F">
        <w:rPr>
          <w:rFonts w:eastAsia="Times New Roman" w:cs="Arial"/>
          <w:color w:val="000000"/>
          <w:lang w:eastAsia="bg-BG"/>
        </w:rPr>
        <w:t xml:space="preserve">а- инхибитори, лекарствени продукти, понижаващи липидите, бета-блокери и инхибитори на ангиотензин конвертиращия ензим. Ефикасността на прасугрел е независима от дозата на АСК (75 </w:t>
      </w:r>
      <w:r w:rsidRPr="0085492F">
        <w:rPr>
          <w:rFonts w:eastAsia="Times New Roman" w:cs="Arial"/>
          <w:color w:val="000000"/>
          <w:lang w:val="en-US"/>
        </w:rPr>
        <w:t>mg</w:t>
      </w:r>
      <w:r w:rsidRPr="0085492F">
        <w:rPr>
          <w:rFonts w:eastAsia="Times New Roman" w:cs="Arial"/>
          <w:color w:val="000000"/>
          <w:lang w:val="ru-RU"/>
        </w:rPr>
        <w:t xml:space="preserve"> </w:t>
      </w:r>
      <w:r w:rsidRPr="0085492F">
        <w:rPr>
          <w:rFonts w:eastAsia="Times New Roman" w:cs="Arial"/>
          <w:color w:val="000000"/>
          <w:lang w:eastAsia="bg-BG"/>
        </w:rPr>
        <w:t xml:space="preserve">до 325 </w:t>
      </w:r>
      <w:r w:rsidRPr="0085492F">
        <w:rPr>
          <w:rFonts w:eastAsia="Times New Roman" w:cs="Arial"/>
          <w:color w:val="000000"/>
          <w:lang w:val="en-US"/>
        </w:rPr>
        <w:t>mg</w:t>
      </w:r>
      <w:r w:rsidRPr="0085492F">
        <w:rPr>
          <w:rFonts w:eastAsia="Times New Roman" w:cs="Arial"/>
          <w:color w:val="000000"/>
          <w:lang w:val="ru-RU"/>
        </w:rPr>
        <w:t xml:space="preserve"> </w:t>
      </w:r>
      <w:r w:rsidRPr="0085492F">
        <w:rPr>
          <w:rFonts w:eastAsia="Times New Roman" w:cs="Arial"/>
          <w:color w:val="000000"/>
          <w:lang w:eastAsia="bg-BG"/>
        </w:rPr>
        <w:t xml:space="preserve">един път дневно). В проучването </w:t>
      </w:r>
      <w:r w:rsidRPr="0085492F">
        <w:rPr>
          <w:rFonts w:eastAsia="Times New Roman" w:cs="Arial"/>
          <w:color w:val="000000"/>
          <w:lang w:val="en-US"/>
        </w:rPr>
        <w:t>TRITON</w:t>
      </w:r>
      <w:r w:rsidRPr="0085492F">
        <w:rPr>
          <w:rFonts w:eastAsia="Times New Roman" w:cs="Arial"/>
          <w:color w:val="000000"/>
          <w:lang w:val="ru-RU"/>
        </w:rPr>
        <w:t xml:space="preserve"> </w:t>
      </w:r>
      <w:r w:rsidRPr="0085492F">
        <w:rPr>
          <w:rFonts w:eastAsia="Times New Roman" w:cs="Arial"/>
          <w:color w:val="000000"/>
          <w:lang w:eastAsia="bg-BG"/>
        </w:rPr>
        <w:t xml:space="preserve">не е разрешена употребата на перорални антикоагуланти, неизследвани антиагрегантни лекарствени продукти и хронично прилагани НСПВС. В цялата популация с ОКС прасугрел се асоциира с по-ниско разпространение на СС смърт, ИМ без смъртен изход или инсулт без смъртен изход в сравнение с клопидогрел, въпреки изходните характеристики като възраст, пол, телесно тегло, географска област, употреба на </w:t>
      </w:r>
      <w:proofErr w:type="spellStart"/>
      <w:r w:rsidRPr="0085492F">
        <w:rPr>
          <w:rFonts w:eastAsia="Times New Roman" w:cs="Arial"/>
          <w:color w:val="000000"/>
          <w:lang w:val="en-US"/>
        </w:rPr>
        <w:t>GPHb</w:t>
      </w:r>
      <w:proofErr w:type="spellEnd"/>
      <w:r w:rsidRPr="0085492F">
        <w:rPr>
          <w:rFonts w:eastAsia="Times New Roman" w:cs="Arial"/>
          <w:color w:val="000000"/>
          <w:lang w:eastAsia="bg-BG"/>
        </w:rPr>
        <w:t>/Ша-инхибитори и вид на стента. Ползата се дължи главно на сигнификантното намаление на ИМ без смъртен изход (вж. Таблица 3). Пациентите с диабет имат сигнификантно намаление в първичните и всички вторични съставни крайни точки.</w:t>
      </w:r>
    </w:p>
    <w:p w14:paraId="341169DF" w14:textId="77777777" w:rsidR="0085492F" w:rsidRPr="0085492F" w:rsidRDefault="0085492F" w:rsidP="0085492F">
      <w:pPr>
        <w:spacing w:line="240" w:lineRule="auto"/>
        <w:rPr>
          <w:rFonts w:eastAsia="Times New Roman" w:cs="Arial"/>
          <w:color w:val="000000"/>
          <w:lang w:eastAsia="bg-BG"/>
        </w:rPr>
      </w:pPr>
    </w:p>
    <w:p w14:paraId="098C6CC5" w14:textId="1D9D3BF2" w:rsidR="0085492F" w:rsidRPr="0085492F" w:rsidRDefault="0085492F" w:rsidP="0085492F">
      <w:pPr>
        <w:spacing w:line="240" w:lineRule="auto"/>
        <w:rPr>
          <w:rFonts w:eastAsia="Times New Roman" w:cs="Arial"/>
        </w:rPr>
      </w:pPr>
      <w:r w:rsidRPr="0085492F">
        <w:rPr>
          <w:rFonts w:eastAsia="Times New Roman" w:cs="Arial"/>
          <w:color w:val="000000"/>
          <w:lang w:eastAsia="bg-BG"/>
        </w:rPr>
        <w:t>Наблюдаваната полза от прасугрел при пациентите ≥75 години е по-малка от ползата, наблюдавана при пациенти &lt;75 години. Пациентите ≥75 години са с повишен риск от кървене, включително фатално (вж. точки 4.2,4.4 и 4.8). Пациентите ≥75 години, при които ползата с прасугрел е п</w:t>
      </w:r>
      <w:r w:rsidRPr="0085492F">
        <w:rPr>
          <w:rFonts w:eastAsia="Times New Roman" w:cs="Arial"/>
          <w:color w:val="000000"/>
          <w:lang w:val="en-US"/>
        </w:rPr>
        <w:t>o</w:t>
      </w:r>
      <w:r w:rsidRPr="0085492F">
        <w:rPr>
          <w:rFonts w:eastAsia="Times New Roman" w:cs="Arial"/>
          <w:color w:val="000000"/>
          <w:lang w:eastAsia="bg-BG"/>
        </w:rPr>
        <w:t xml:space="preserve">- убедителна, включват тези с диабет, с инфаркт на миокарда със </w:t>
      </w:r>
      <w:r w:rsidRPr="0085492F">
        <w:rPr>
          <w:rFonts w:eastAsia="Times New Roman" w:cs="Arial"/>
          <w:color w:val="000000"/>
          <w:lang w:val="en-US"/>
        </w:rPr>
        <w:t>ST</w:t>
      </w:r>
      <w:r w:rsidRPr="0085492F">
        <w:rPr>
          <w:rFonts w:eastAsia="Times New Roman" w:cs="Arial"/>
          <w:color w:val="000000"/>
          <w:lang w:eastAsia="bg-BG"/>
        </w:rPr>
        <w:t xml:space="preserve">-елевация </w:t>
      </w:r>
      <w:r w:rsidRPr="0085492F">
        <w:rPr>
          <w:rFonts w:eastAsia="Times New Roman" w:cs="Arial"/>
          <w:color w:val="000000"/>
          <w:lang w:val="ru-RU"/>
        </w:rPr>
        <w:t>(</w:t>
      </w:r>
      <w:r w:rsidRPr="0085492F">
        <w:rPr>
          <w:rFonts w:eastAsia="Times New Roman" w:cs="Arial"/>
          <w:color w:val="000000"/>
          <w:lang w:val="en-US"/>
        </w:rPr>
        <w:t>STEMI</w:t>
      </w:r>
      <w:r w:rsidRPr="0085492F">
        <w:rPr>
          <w:rFonts w:eastAsia="Times New Roman" w:cs="Arial"/>
          <w:color w:val="000000"/>
          <w:lang w:val="ru-RU"/>
        </w:rPr>
        <w:t xml:space="preserve">), </w:t>
      </w:r>
      <w:r w:rsidRPr="0085492F">
        <w:rPr>
          <w:rFonts w:eastAsia="Times New Roman" w:cs="Arial"/>
          <w:color w:val="000000"/>
          <w:lang w:eastAsia="bg-BG"/>
        </w:rPr>
        <w:t>с по-висок риск от тромбоза на стента или с повтарящи се събития.</w:t>
      </w:r>
    </w:p>
    <w:p w14:paraId="060C36C1" w14:textId="77777777" w:rsidR="0085492F" w:rsidRPr="0085492F" w:rsidRDefault="0085492F" w:rsidP="0085492F">
      <w:pPr>
        <w:spacing w:line="240" w:lineRule="auto"/>
        <w:rPr>
          <w:rFonts w:eastAsia="Times New Roman" w:cs="Arial"/>
          <w:color w:val="000000"/>
          <w:lang w:eastAsia="bg-BG"/>
        </w:rPr>
      </w:pPr>
    </w:p>
    <w:p w14:paraId="721F2ECC" w14:textId="1B1757FC" w:rsidR="0085492F" w:rsidRPr="0085492F" w:rsidRDefault="0085492F" w:rsidP="0085492F">
      <w:pPr>
        <w:spacing w:line="240" w:lineRule="auto"/>
        <w:rPr>
          <w:rFonts w:eastAsia="Times New Roman" w:cs="Arial"/>
          <w:color w:val="000000"/>
          <w:lang w:eastAsia="bg-BG"/>
        </w:rPr>
      </w:pPr>
      <w:r w:rsidRPr="0085492F">
        <w:rPr>
          <w:rFonts w:eastAsia="Times New Roman" w:cs="Arial"/>
          <w:color w:val="000000"/>
          <w:lang w:eastAsia="bg-BG"/>
        </w:rPr>
        <w:t>Пациентите с анамнеза за ПИА или с анамнеза за исхемичен инсулт повече от 3 месеца преди лечението с прасугрел нямат намаление в първичната съставна крайна точка.</w:t>
      </w:r>
    </w:p>
    <w:p w14:paraId="699710B6" w14:textId="6368F41D" w:rsidR="0085492F" w:rsidRPr="0085492F" w:rsidRDefault="0085492F" w:rsidP="0085492F">
      <w:pPr>
        <w:spacing w:line="240" w:lineRule="auto"/>
        <w:rPr>
          <w:rFonts w:eastAsia="Times New Roman" w:cs="Arial"/>
          <w:color w:val="000000"/>
          <w:lang w:eastAsia="bg-BG"/>
        </w:rPr>
      </w:pPr>
    </w:p>
    <w:p w14:paraId="4C69E489" w14:textId="7D5F9858" w:rsidR="0085492F" w:rsidRDefault="0085492F" w:rsidP="0085492F">
      <w:pPr>
        <w:spacing w:line="240" w:lineRule="auto"/>
        <w:rPr>
          <w:rFonts w:cs="Arial"/>
          <w:lang w:val="en-US"/>
        </w:rPr>
      </w:pPr>
      <w:r w:rsidRPr="0085492F">
        <w:rPr>
          <w:rFonts w:cs="Arial"/>
        </w:rPr>
        <w:t xml:space="preserve">Таблица 3: Пациенти с </w:t>
      </w:r>
      <w:r w:rsidRPr="0085492F">
        <w:rPr>
          <w:rFonts w:cs="Arial"/>
          <w:lang w:val="en-US"/>
        </w:rPr>
        <w:t>Outcome</w:t>
      </w:r>
      <w:r w:rsidRPr="0085492F">
        <w:rPr>
          <w:rFonts w:cs="Arial"/>
          <w:lang w:val="ru-RU"/>
        </w:rPr>
        <w:t xml:space="preserve"> </w:t>
      </w:r>
      <w:r w:rsidRPr="0085492F">
        <w:rPr>
          <w:rFonts w:cs="Arial"/>
          <w:lang w:val="en-US"/>
        </w:rPr>
        <w:t>Events</w:t>
      </w:r>
      <w:r w:rsidRPr="0085492F">
        <w:rPr>
          <w:rFonts w:cs="Arial"/>
          <w:lang w:val="ru-RU"/>
        </w:rPr>
        <w:t xml:space="preserve"> </w:t>
      </w:r>
      <w:r w:rsidRPr="0085492F">
        <w:rPr>
          <w:rFonts w:cs="Arial"/>
        </w:rPr>
        <w:t xml:space="preserve">(събития за изход )в първоначалния анализ на проучването </w:t>
      </w:r>
      <w:r w:rsidRPr="0085492F">
        <w:rPr>
          <w:rFonts w:cs="Arial"/>
          <w:lang w:val="en-US"/>
        </w:rPr>
        <w:t>TRITON</w:t>
      </w:r>
    </w:p>
    <w:tbl>
      <w:tblPr>
        <w:tblStyle w:val="TableGrid"/>
        <w:tblW w:w="0" w:type="auto"/>
        <w:tblLook w:val="04A0" w:firstRow="1" w:lastRow="0" w:firstColumn="1" w:lastColumn="0" w:noHBand="0" w:noVBand="1"/>
      </w:tblPr>
      <w:tblGrid>
        <w:gridCol w:w="1869"/>
        <w:gridCol w:w="1812"/>
        <w:gridCol w:w="1867"/>
        <w:gridCol w:w="2076"/>
        <w:gridCol w:w="1726"/>
      </w:tblGrid>
      <w:tr w:rsidR="0085492F" w14:paraId="496B3BFC" w14:textId="77777777" w:rsidTr="0085492F">
        <w:tc>
          <w:tcPr>
            <w:tcW w:w="1896" w:type="dxa"/>
          </w:tcPr>
          <w:p w14:paraId="1F7690C6" w14:textId="5F197AF8" w:rsidR="0085492F" w:rsidRPr="0085492F" w:rsidRDefault="0085492F" w:rsidP="0085492F">
            <w:pPr>
              <w:spacing w:line="240" w:lineRule="auto"/>
              <w:rPr>
                <w:rFonts w:eastAsia="Times New Roman" w:cs="Arial"/>
                <w:lang w:val="ru-RU"/>
              </w:rPr>
            </w:pPr>
            <w:r w:rsidRPr="0085492F">
              <w:rPr>
                <w:b/>
                <w:bCs/>
                <w:szCs w:val="20"/>
              </w:rPr>
              <w:lastRenderedPageBreak/>
              <w:t xml:space="preserve">Събития за изход </w:t>
            </w:r>
            <w:r w:rsidRPr="0085492F">
              <w:rPr>
                <w:b/>
                <w:bCs/>
                <w:szCs w:val="20"/>
                <w:lang w:val="en-US"/>
              </w:rPr>
              <w:t>(Outcome Events)</w:t>
            </w:r>
          </w:p>
        </w:tc>
        <w:tc>
          <w:tcPr>
            <w:tcW w:w="1872" w:type="dxa"/>
          </w:tcPr>
          <w:p w14:paraId="229CC510" w14:textId="6F8F5614" w:rsidR="0085492F" w:rsidRPr="0085492F" w:rsidRDefault="0085492F" w:rsidP="0085492F">
            <w:pPr>
              <w:spacing w:line="240" w:lineRule="auto"/>
              <w:rPr>
                <w:rFonts w:eastAsia="Times New Roman" w:cs="Arial"/>
                <w:lang w:val="ru-RU"/>
              </w:rPr>
            </w:pPr>
            <w:r w:rsidRPr="0085492F">
              <w:rPr>
                <w:b/>
                <w:bCs/>
                <w:szCs w:val="20"/>
              </w:rPr>
              <w:t xml:space="preserve">Прасугрел </w:t>
            </w:r>
            <w:r w:rsidRPr="0085492F">
              <w:rPr>
                <w:b/>
                <w:bCs/>
                <w:szCs w:val="20"/>
                <w:lang w:val="en-US"/>
              </w:rPr>
              <w:t>+ ASA</w:t>
            </w:r>
          </w:p>
        </w:tc>
        <w:tc>
          <w:tcPr>
            <w:tcW w:w="1895" w:type="dxa"/>
          </w:tcPr>
          <w:p w14:paraId="7340B513" w14:textId="68E6433C" w:rsidR="0085492F" w:rsidRPr="0085492F" w:rsidRDefault="0085492F" w:rsidP="0085492F">
            <w:pPr>
              <w:spacing w:line="240" w:lineRule="auto"/>
              <w:rPr>
                <w:rFonts w:eastAsia="Times New Roman" w:cs="Arial"/>
                <w:lang w:val="ru-RU"/>
              </w:rPr>
            </w:pPr>
            <w:r w:rsidRPr="0085492F">
              <w:rPr>
                <w:b/>
                <w:bCs/>
                <w:szCs w:val="20"/>
              </w:rPr>
              <w:t xml:space="preserve">Клопидогрел </w:t>
            </w:r>
            <w:r w:rsidRPr="0085492F">
              <w:rPr>
                <w:b/>
                <w:bCs/>
                <w:szCs w:val="20"/>
                <w:lang w:val="en-US"/>
              </w:rPr>
              <w:t>+ASA</w:t>
            </w:r>
          </w:p>
        </w:tc>
        <w:tc>
          <w:tcPr>
            <w:tcW w:w="2076" w:type="dxa"/>
          </w:tcPr>
          <w:p w14:paraId="146F97EF" w14:textId="64AE4C4E" w:rsidR="0085492F" w:rsidRPr="0085492F" w:rsidRDefault="0085492F" w:rsidP="0085492F">
            <w:pPr>
              <w:spacing w:line="240" w:lineRule="auto"/>
              <w:rPr>
                <w:rFonts w:eastAsia="Times New Roman" w:cs="Arial"/>
                <w:lang w:val="ru-RU"/>
              </w:rPr>
            </w:pPr>
            <w:r w:rsidRPr="0085492F">
              <w:rPr>
                <w:b/>
                <w:bCs/>
                <w:szCs w:val="20"/>
              </w:rPr>
              <w:t xml:space="preserve">Относителен риск </w:t>
            </w:r>
            <w:r w:rsidRPr="0085492F">
              <w:rPr>
                <w:b/>
                <w:bCs/>
                <w:szCs w:val="20"/>
                <w:lang w:val="en-US"/>
              </w:rPr>
              <w:t xml:space="preserve">(HR) </w:t>
            </w:r>
            <w:r w:rsidRPr="0085492F">
              <w:rPr>
                <w:b/>
                <w:bCs/>
                <w:szCs w:val="20"/>
              </w:rPr>
              <w:t xml:space="preserve">(95% </w:t>
            </w:r>
            <w:r w:rsidRPr="0085492F">
              <w:rPr>
                <w:b/>
                <w:bCs/>
                <w:szCs w:val="20"/>
                <w:lang w:val="en-US"/>
              </w:rPr>
              <w:t>CI)</w:t>
            </w:r>
          </w:p>
        </w:tc>
        <w:tc>
          <w:tcPr>
            <w:tcW w:w="1837" w:type="dxa"/>
          </w:tcPr>
          <w:p w14:paraId="18247362" w14:textId="0DB241AD" w:rsidR="0085492F" w:rsidRPr="0085492F" w:rsidRDefault="0085492F" w:rsidP="0085492F">
            <w:pPr>
              <w:spacing w:line="240" w:lineRule="auto"/>
              <w:rPr>
                <w:rFonts w:eastAsia="Times New Roman" w:cs="Arial"/>
                <w:lang w:val="ru-RU"/>
              </w:rPr>
            </w:pPr>
            <w:r w:rsidRPr="0085492F">
              <w:rPr>
                <w:b/>
                <w:bCs/>
                <w:szCs w:val="20"/>
                <w:lang w:val="en-US"/>
              </w:rPr>
              <w:t>p-value</w:t>
            </w:r>
          </w:p>
        </w:tc>
      </w:tr>
      <w:tr w:rsidR="0085492F" w14:paraId="1E3DC91E" w14:textId="77777777" w:rsidTr="0085492F">
        <w:tc>
          <w:tcPr>
            <w:tcW w:w="1896" w:type="dxa"/>
          </w:tcPr>
          <w:p w14:paraId="31E91408" w14:textId="0A8E4E8F" w:rsidR="0085492F" w:rsidRPr="0085492F" w:rsidRDefault="0085492F" w:rsidP="0085492F">
            <w:pPr>
              <w:spacing w:line="240" w:lineRule="auto"/>
              <w:rPr>
                <w:rFonts w:eastAsia="Times New Roman" w:cs="Arial"/>
                <w:lang w:val="ru-RU"/>
              </w:rPr>
            </w:pPr>
            <w:r w:rsidRPr="0085492F">
              <w:rPr>
                <w:b/>
                <w:bCs/>
                <w:szCs w:val="20"/>
              </w:rPr>
              <w:t>Всички ОКС</w:t>
            </w:r>
          </w:p>
        </w:tc>
        <w:tc>
          <w:tcPr>
            <w:tcW w:w="1872" w:type="dxa"/>
          </w:tcPr>
          <w:p w14:paraId="55B23672" w14:textId="10688D15" w:rsidR="0085492F" w:rsidRPr="0085492F" w:rsidRDefault="0085492F" w:rsidP="0085492F">
            <w:pPr>
              <w:spacing w:line="240" w:lineRule="auto"/>
              <w:rPr>
                <w:rFonts w:eastAsia="Times New Roman" w:cs="Arial"/>
                <w:lang w:val="ru-RU"/>
              </w:rPr>
            </w:pPr>
            <w:r w:rsidRPr="0085492F">
              <w:rPr>
                <w:b/>
                <w:bCs/>
                <w:szCs w:val="20"/>
                <w:lang w:val="en-US"/>
              </w:rPr>
              <w:t xml:space="preserve">(N </w:t>
            </w:r>
            <w:r w:rsidRPr="0085492F">
              <w:rPr>
                <w:b/>
                <w:bCs/>
                <w:szCs w:val="20"/>
              </w:rPr>
              <w:t>= 6813) %</w:t>
            </w:r>
          </w:p>
        </w:tc>
        <w:tc>
          <w:tcPr>
            <w:tcW w:w="1895" w:type="dxa"/>
          </w:tcPr>
          <w:p w14:paraId="30DF8E74" w14:textId="15F91CE6" w:rsidR="0085492F" w:rsidRPr="0085492F" w:rsidRDefault="0085492F" w:rsidP="0085492F">
            <w:pPr>
              <w:spacing w:line="240" w:lineRule="auto"/>
              <w:rPr>
                <w:rFonts w:eastAsia="Times New Roman" w:cs="Arial"/>
                <w:lang w:val="ru-RU"/>
              </w:rPr>
            </w:pPr>
            <w:r w:rsidRPr="0085492F">
              <w:rPr>
                <w:b/>
                <w:bCs/>
                <w:szCs w:val="20"/>
                <w:lang w:val="en-US"/>
              </w:rPr>
              <w:t xml:space="preserve">(N </w:t>
            </w:r>
            <w:r w:rsidRPr="0085492F">
              <w:rPr>
                <w:b/>
                <w:bCs/>
                <w:szCs w:val="20"/>
              </w:rPr>
              <w:t>= 6795) %</w:t>
            </w:r>
          </w:p>
        </w:tc>
        <w:tc>
          <w:tcPr>
            <w:tcW w:w="2076" w:type="dxa"/>
          </w:tcPr>
          <w:p w14:paraId="0B68C638" w14:textId="77777777" w:rsidR="0085492F" w:rsidRPr="0085492F" w:rsidRDefault="0085492F" w:rsidP="0085492F">
            <w:pPr>
              <w:spacing w:line="240" w:lineRule="auto"/>
              <w:rPr>
                <w:rFonts w:eastAsia="Times New Roman" w:cs="Arial"/>
                <w:lang w:val="ru-RU"/>
              </w:rPr>
            </w:pPr>
          </w:p>
        </w:tc>
        <w:tc>
          <w:tcPr>
            <w:tcW w:w="1837" w:type="dxa"/>
          </w:tcPr>
          <w:p w14:paraId="4D891029" w14:textId="77777777" w:rsidR="0085492F" w:rsidRPr="0085492F" w:rsidRDefault="0085492F" w:rsidP="0085492F">
            <w:pPr>
              <w:spacing w:line="240" w:lineRule="auto"/>
              <w:rPr>
                <w:rFonts w:eastAsia="Times New Roman" w:cs="Arial"/>
                <w:lang w:val="ru-RU"/>
              </w:rPr>
            </w:pPr>
          </w:p>
        </w:tc>
      </w:tr>
      <w:tr w:rsidR="0085492F" w14:paraId="006CAD06" w14:textId="77777777" w:rsidTr="0085492F">
        <w:tc>
          <w:tcPr>
            <w:tcW w:w="1896" w:type="dxa"/>
            <w:vAlign w:val="bottom"/>
          </w:tcPr>
          <w:p w14:paraId="10D654DC" w14:textId="77777777" w:rsidR="0085492F" w:rsidRPr="0085492F" w:rsidRDefault="0085492F" w:rsidP="0085492F">
            <w:r w:rsidRPr="0085492F">
              <w:rPr>
                <w:b/>
                <w:bCs/>
                <w:szCs w:val="20"/>
              </w:rPr>
              <w:t>Първични съставни събития за изход &lt; 0,001</w:t>
            </w:r>
          </w:p>
          <w:p w14:paraId="09824355" w14:textId="77777777" w:rsidR="0085492F" w:rsidRPr="0085492F" w:rsidRDefault="0085492F" w:rsidP="0085492F">
            <w:r w:rsidRPr="0085492F">
              <w:rPr>
                <w:b/>
                <w:bCs/>
                <w:szCs w:val="20"/>
              </w:rPr>
              <w:t>(</w:t>
            </w:r>
            <w:r w:rsidRPr="0085492F">
              <w:rPr>
                <w:b/>
                <w:bCs/>
                <w:szCs w:val="20"/>
                <w:lang w:val="en-US"/>
              </w:rPr>
              <w:t>Primary</w:t>
            </w:r>
            <w:r w:rsidRPr="0085492F">
              <w:rPr>
                <w:b/>
                <w:bCs/>
                <w:szCs w:val="20"/>
              </w:rPr>
              <w:t xml:space="preserve"> </w:t>
            </w:r>
            <w:r w:rsidRPr="0085492F">
              <w:rPr>
                <w:b/>
                <w:bCs/>
                <w:szCs w:val="20"/>
                <w:lang w:val="en-US"/>
              </w:rPr>
              <w:t>Composite</w:t>
            </w:r>
            <w:r w:rsidRPr="0085492F">
              <w:rPr>
                <w:b/>
                <w:bCs/>
                <w:szCs w:val="20"/>
              </w:rPr>
              <w:t xml:space="preserve"> </w:t>
            </w:r>
            <w:r w:rsidRPr="0085492F">
              <w:rPr>
                <w:b/>
                <w:bCs/>
                <w:szCs w:val="20"/>
                <w:lang w:val="en-US"/>
              </w:rPr>
              <w:t>Outcome</w:t>
            </w:r>
          </w:p>
          <w:p w14:paraId="655DCB53" w14:textId="77777777" w:rsidR="0085492F" w:rsidRPr="0085492F" w:rsidRDefault="0085492F" w:rsidP="0085492F">
            <w:r w:rsidRPr="0085492F">
              <w:rPr>
                <w:b/>
                <w:bCs/>
                <w:szCs w:val="20"/>
                <w:lang w:val="en-US"/>
              </w:rPr>
              <w:t>Events</w:t>
            </w:r>
            <w:r w:rsidRPr="0085492F">
              <w:rPr>
                <w:b/>
                <w:bCs/>
                <w:szCs w:val="20"/>
              </w:rPr>
              <w:t>)</w:t>
            </w:r>
          </w:p>
          <w:p w14:paraId="43593DAB" w14:textId="5A4E18E0" w:rsidR="0085492F" w:rsidRPr="0085492F" w:rsidRDefault="0085492F" w:rsidP="0085492F">
            <w:pPr>
              <w:spacing w:line="240" w:lineRule="auto"/>
              <w:rPr>
                <w:rFonts w:eastAsia="Times New Roman" w:cs="Arial"/>
              </w:rPr>
            </w:pPr>
            <w:r w:rsidRPr="0085492F">
              <w:rPr>
                <w:szCs w:val="20"/>
              </w:rPr>
              <w:t>Сърдечно-съдова (</w:t>
            </w:r>
            <w:r w:rsidRPr="0085492F">
              <w:rPr>
                <w:szCs w:val="20"/>
                <w:lang w:val="en-US"/>
              </w:rPr>
              <w:t>CC</w:t>
            </w:r>
            <w:r w:rsidRPr="0085492F">
              <w:rPr>
                <w:szCs w:val="20"/>
              </w:rPr>
              <w:t>) смърт, ИМ без смъртен изход или инсулт без смъртен изход</w:t>
            </w:r>
          </w:p>
        </w:tc>
        <w:tc>
          <w:tcPr>
            <w:tcW w:w="1872" w:type="dxa"/>
          </w:tcPr>
          <w:p w14:paraId="519FA4AF" w14:textId="011D2E88" w:rsidR="0085492F" w:rsidRPr="0085492F" w:rsidRDefault="0085492F" w:rsidP="0085492F">
            <w:pPr>
              <w:spacing w:line="240" w:lineRule="auto"/>
              <w:rPr>
                <w:rFonts w:eastAsia="Times New Roman" w:cs="Arial"/>
                <w:lang w:val="ru-RU"/>
              </w:rPr>
            </w:pPr>
            <w:r w:rsidRPr="0085492F">
              <w:rPr>
                <w:szCs w:val="20"/>
              </w:rPr>
              <w:t>9.4</w:t>
            </w:r>
          </w:p>
        </w:tc>
        <w:tc>
          <w:tcPr>
            <w:tcW w:w="1895" w:type="dxa"/>
          </w:tcPr>
          <w:p w14:paraId="747DA610" w14:textId="578ED31F" w:rsidR="0085492F" w:rsidRPr="0085492F" w:rsidRDefault="0085492F" w:rsidP="0085492F">
            <w:pPr>
              <w:spacing w:line="240" w:lineRule="auto"/>
              <w:rPr>
                <w:rFonts w:eastAsia="Times New Roman" w:cs="Arial"/>
                <w:lang w:val="ru-RU"/>
              </w:rPr>
            </w:pPr>
            <w:r w:rsidRPr="0085492F">
              <w:rPr>
                <w:szCs w:val="20"/>
              </w:rPr>
              <w:t>11.5</w:t>
            </w:r>
          </w:p>
        </w:tc>
        <w:tc>
          <w:tcPr>
            <w:tcW w:w="2076" w:type="dxa"/>
          </w:tcPr>
          <w:p w14:paraId="1358A183" w14:textId="1D46438D" w:rsidR="0085492F" w:rsidRPr="0085492F" w:rsidRDefault="0085492F" w:rsidP="0085492F">
            <w:pPr>
              <w:spacing w:line="240" w:lineRule="auto"/>
              <w:rPr>
                <w:rFonts w:eastAsia="Times New Roman" w:cs="Arial"/>
                <w:lang w:val="ru-RU"/>
              </w:rPr>
            </w:pPr>
            <w:r w:rsidRPr="0085492F">
              <w:rPr>
                <w:szCs w:val="20"/>
              </w:rPr>
              <w:t>0.812 (0.732, 0.902)</w:t>
            </w:r>
          </w:p>
        </w:tc>
        <w:tc>
          <w:tcPr>
            <w:tcW w:w="1837" w:type="dxa"/>
          </w:tcPr>
          <w:p w14:paraId="4A38CF11" w14:textId="2B9A3DC2" w:rsidR="0085492F" w:rsidRPr="0085492F" w:rsidRDefault="0085492F" w:rsidP="0085492F">
            <w:pPr>
              <w:spacing w:line="240" w:lineRule="auto"/>
              <w:rPr>
                <w:rFonts w:eastAsia="Times New Roman" w:cs="Arial"/>
                <w:lang w:val="ru-RU"/>
              </w:rPr>
            </w:pPr>
            <w:r w:rsidRPr="0085492F">
              <w:rPr>
                <w:szCs w:val="20"/>
              </w:rPr>
              <w:t>&lt;0.001</w:t>
            </w:r>
          </w:p>
        </w:tc>
      </w:tr>
      <w:tr w:rsidR="0085492F" w:rsidRPr="0085492F" w14:paraId="791871C4" w14:textId="77777777" w:rsidTr="00B41611">
        <w:tc>
          <w:tcPr>
            <w:tcW w:w="9576" w:type="dxa"/>
            <w:gridSpan w:val="5"/>
          </w:tcPr>
          <w:p w14:paraId="71B99F12" w14:textId="3B738598" w:rsidR="0085492F" w:rsidRPr="0085492F" w:rsidRDefault="0085492F" w:rsidP="0085492F">
            <w:pPr>
              <w:rPr>
                <w:b/>
                <w:sz w:val="24"/>
                <w:szCs w:val="24"/>
              </w:rPr>
            </w:pPr>
            <w:r w:rsidRPr="0085492F">
              <w:rPr>
                <w:b/>
                <w:lang w:eastAsia="bg-BG"/>
              </w:rPr>
              <w:t xml:space="preserve">Първични индивидуални събития за изход </w:t>
            </w:r>
            <w:r w:rsidRPr="0085492F">
              <w:rPr>
                <w:b/>
                <w:lang w:val="en-US"/>
              </w:rPr>
              <w:t>(Primary Individual Outcome Events)</w:t>
            </w:r>
          </w:p>
        </w:tc>
      </w:tr>
      <w:tr w:rsidR="0085492F" w:rsidRPr="0085492F" w14:paraId="0EBB5CAB" w14:textId="77777777" w:rsidTr="0085492F">
        <w:tc>
          <w:tcPr>
            <w:tcW w:w="1896" w:type="dxa"/>
            <w:vAlign w:val="bottom"/>
          </w:tcPr>
          <w:p w14:paraId="39D172B3" w14:textId="626D9B03" w:rsidR="0085492F" w:rsidRPr="0085492F" w:rsidRDefault="0085492F" w:rsidP="0085492F">
            <w:pPr>
              <w:spacing w:line="240" w:lineRule="auto"/>
              <w:rPr>
                <w:rFonts w:eastAsia="Times New Roman" w:cs="Arial"/>
                <w:lang w:val="en-US"/>
              </w:rPr>
            </w:pPr>
            <w:r w:rsidRPr="0085492F">
              <w:rPr>
                <w:szCs w:val="20"/>
                <w:lang w:val="en-US"/>
              </w:rPr>
              <w:t xml:space="preserve">CC </w:t>
            </w:r>
            <w:r w:rsidRPr="0085492F">
              <w:rPr>
                <w:szCs w:val="20"/>
              </w:rPr>
              <w:t>смърт</w:t>
            </w:r>
          </w:p>
        </w:tc>
        <w:tc>
          <w:tcPr>
            <w:tcW w:w="1872" w:type="dxa"/>
            <w:vAlign w:val="bottom"/>
          </w:tcPr>
          <w:p w14:paraId="332A18AA" w14:textId="21E0A346" w:rsidR="0085492F" w:rsidRPr="0085492F" w:rsidRDefault="0085492F" w:rsidP="0085492F">
            <w:pPr>
              <w:spacing w:line="240" w:lineRule="auto"/>
              <w:rPr>
                <w:rFonts w:eastAsia="Times New Roman" w:cs="Arial"/>
                <w:lang w:val="en-US"/>
              </w:rPr>
            </w:pPr>
            <w:r w:rsidRPr="0085492F">
              <w:rPr>
                <w:szCs w:val="20"/>
              </w:rPr>
              <w:t>2.0</w:t>
            </w:r>
          </w:p>
        </w:tc>
        <w:tc>
          <w:tcPr>
            <w:tcW w:w="1895" w:type="dxa"/>
            <w:vAlign w:val="bottom"/>
          </w:tcPr>
          <w:p w14:paraId="71011137" w14:textId="41E47E76" w:rsidR="0085492F" w:rsidRPr="0085492F" w:rsidRDefault="0085492F" w:rsidP="0085492F">
            <w:pPr>
              <w:spacing w:line="240" w:lineRule="auto"/>
              <w:rPr>
                <w:rFonts w:eastAsia="Times New Roman" w:cs="Arial"/>
                <w:lang w:val="en-US"/>
              </w:rPr>
            </w:pPr>
            <w:r w:rsidRPr="0085492F">
              <w:rPr>
                <w:b/>
                <w:bCs/>
                <w:szCs w:val="20"/>
              </w:rPr>
              <w:t>2.2</w:t>
            </w:r>
          </w:p>
        </w:tc>
        <w:tc>
          <w:tcPr>
            <w:tcW w:w="2076" w:type="dxa"/>
            <w:vAlign w:val="bottom"/>
          </w:tcPr>
          <w:p w14:paraId="50FE548E" w14:textId="75D43A06" w:rsidR="0085492F" w:rsidRPr="0085492F" w:rsidRDefault="0085492F" w:rsidP="0085492F">
            <w:pPr>
              <w:spacing w:line="240" w:lineRule="auto"/>
              <w:rPr>
                <w:rFonts w:eastAsia="Times New Roman" w:cs="Arial"/>
                <w:lang w:val="en-US"/>
              </w:rPr>
            </w:pPr>
            <w:r w:rsidRPr="0085492F">
              <w:rPr>
                <w:szCs w:val="20"/>
              </w:rPr>
              <w:t>0.886 (0.701, 1.118)</w:t>
            </w:r>
          </w:p>
        </w:tc>
        <w:tc>
          <w:tcPr>
            <w:tcW w:w="1837" w:type="dxa"/>
            <w:vAlign w:val="bottom"/>
          </w:tcPr>
          <w:p w14:paraId="47FEA2E1" w14:textId="69C2EB1E" w:rsidR="0085492F" w:rsidRPr="0085492F" w:rsidRDefault="0085492F" w:rsidP="0085492F">
            <w:pPr>
              <w:spacing w:line="240" w:lineRule="auto"/>
              <w:rPr>
                <w:rFonts w:eastAsia="Times New Roman" w:cs="Arial"/>
                <w:lang w:val="en-US"/>
              </w:rPr>
            </w:pPr>
            <w:r w:rsidRPr="0085492F">
              <w:rPr>
                <w:szCs w:val="20"/>
              </w:rPr>
              <w:t>0.307</w:t>
            </w:r>
          </w:p>
        </w:tc>
      </w:tr>
      <w:tr w:rsidR="0085492F" w:rsidRPr="0085492F" w14:paraId="0A4B6AF7" w14:textId="77777777" w:rsidTr="0085492F">
        <w:tc>
          <w:tcPr>
            <w:tcW w:w="1896" w:type="dxa"/>
            <w:vAlign w:val="bottom"/>
          </w:tcPr>
          <w:p w14:paraId="44DED82C" w14:textId="75C2D050" w:rsidR="0085492F" w:rsidRPr="0085492F" w:rsidRDefault="0085492F" w:rsidP="0085492F">
            <w:pPr>
              <w:spacing w:line="240" w:lineRule="auto"/>
              <w:rPr>
                <w:rFonts w:eastAsia="Times New Roman" w:cs="Arial"/>
                <w:lang w:val="en-US"/>
              </w:rPr>
            </w:pPr>
            <w:r w:rsidRPr="0085492F">
              <w:rPr>
                <w:szCs w:val="20"/>
              </w:rPr>
              <w:t>ИМ без смъртен изход</w:t>
            </w:r>
          </w:p>
        </w:tc>
        <w:tc>
          <w:tcPr>
            <w:tcW w:w="1872" w:type="dxa"/>
            <w:vAlign w:val="bottom"/>
          </w:tcPr>
          <w:p w14:paraId="3417F7D6" w14:textId="4DBE74EA" w:rsidR="0085492F" w:rsidRPr="0085492F" w:rsidRDefault="0085492F" w:rsidP="0085492F">
            <w:pPr>
              <w:spacing w:line="240" w:lineRule="auto"/>
              <w:rPr>
                <w:rFonts w:eastAsia="Times New Roman" w:cs="Arial"/>
                <w:lang w:val="en-US"/>
              </w:rPr>
            </w:pPr>
            <w:r w:rsidRPr="0085492F">
              <w:rPr>
                <w:szCs w:val="20"/>
              </w:rPr>
              <w:t>7.0</w:t>
            </w:r>
          </w:p>
        </w:tc>
        <w:tc>
          <w:tcPr>
            <w:tcW w:w="1895" w:type="dxa"/>
            <w:vAlign w:val="bottom"/>
          </w:tcPr>
          <w:p w14:paraId="168B9D25" w14:textId="1E98058F" w:rsidR="0085492F" w:rsidRPr="0085492F" w:rsidRDefault="0085492F" w:rsidP="0085492F">
            <w:pPr>
              <w:spacing w:line="240" w:lineRule="auto"/>
              <w:rPr>
                <w:rFonts w:eastAsia="Times New Roman" w:cs="Arial"/>
                <w:lang w:val="en-US"/>
              </w:rPr>
            </w:pPr>
            <w:r w:rsidRPr="0085492F">
              <w:rPr>
                <w:szCs w:val="20"/>
              </w:rPr>
              <w:t>9.1</w:t>
            </w:r>
          </w:p>
        </w:tc>
        <w:tc>
          <w:tcPr>
            <w:tcW w:w="2076" w:type="dxa"/>
            <w:vAlign w:val="bottom"/>
          </w:tcPr>
          <w:p w14:paraId="0518441A" w14:textId="4919FC8A" w:rsidR="0085492F" w:rsidRPr="0085492F" w:rsidRDefault="0085492F" w:rsidP="0085492F">
            <w:pPr>
              <w:spacing w:line="240" w:lineRule="auto"/>
              <w:rPr>
                <w:rFonts w:eastAsia="Times New Roman" w:cs="Arial"/>
                <w:lang w:val="en-US"/>
              </w:rPr>
            </w:pPr>
            <w:r w:rsidRPr="0085492F">
              <w:rPr>
                <w:szCs w:val="20"/>
              </w:rPr>
              <w:t>0.757 (0.672,0.853)</w:t>
            </w:r>
          </w:p>
        </w:tc>
        <w:tc>
          <w:tcPr>
            <w:tcW w:w="1837" w:type="dxa"/>
            <w:vAlign w:val="bottom"/>
          </w:tcPr>
          <w:p w14:paraId="0EF93AA4" w14:textId="04FA1FD0" w:rsidR="0085492F" w:rsidRPr="0085492F" w:rsidRDefault="0085492F" w:rsidP="0085492F">
            <w:pPr>
              <w:spacing w:line="240" w:lineRule="auto"/>
              <w:rPr>
                <w:rFonts w:eastAsia="Times New Roman" w:cs="Arial"/>
                <w:lang w:val="en-US"/>
              </w:rPr>
            </w:pPr>
            <w:r w:rsidRPr="0085492F">
              <w:rPr>
                <w:szCs w:val="20"/>
              </w:rPr>
              <w:t>&lt;0.001</w:t>
            </w:r>
          </w:p>
        </w:tc>
      </w:tr>
      <w:tr w:rsidR="0085492F" w:rsidRPr="0085492F" w14:paraId="3A2F7F88" w14:textId="77777777" w:rsidTr="0085492F">
        <w:tc>
          <w:tcPr>
            <w:tcW w:w="1896" w:type="dxa"/>
            <w:vAlign w:val="bottom"/>
          </w:tcPr>
          <w:p w14:paraId="0A5340DA" w14:textId="0AA334B3" w:rsidR="0085492F" w:rsidRPr="0085492F" w:rsidRDefault="0085492F" w:rsidP="0085492F">
            <w:pPr>
              <w:spacing w:line="240" w:lineRule="auto"/>
              <w:rPr>
                <w:rFonts w:eastAsia="Times New Roman" w:cs="Arial"/>
                <w:lang w:val="en-US"/>
              </w:rPr>
            </w:pPr>
            <w:r w:rsidRPr="0085492F">
              <w:rPr>
                <w:szCs w:val="20"/>
              </w:rPr>
              <w:t>Инсулт без смъртен изход</w:t>
            </w:r>
          </w:p>
        </w:tc>
        <w:tc>
          <w:tcPr>
            <w:tcW w:w="1872" w:type="dxa"/>
            <w:vAlign w:val="bottom"/>
          </w:tcPr>
          <w:p w14:paraId="36EBAABC" w14:textId="32296B1B" w:rsidR="0085492F" w:rsidRPr="0085492F" w:rsidRDefault="0085492F" w:rsidP="0085492F">
            <w:pPr>
              <w:spacing w:line="240" w:lineRule="auto"/>
              <w:rPr>
                <w:rFonts w:eastAsia="Times New Roman" w:cs="Arial"/>
                <w:lang w:val="en-US"/>
              </w:rPr>
            </w:pPr>
            <w:r w:rsidRPr="0085492F">
              <w:rPr>
                <w:szCs w:val="20"/>
              </w:rPr>
              <w:t>0.9</w:t>
            </w:r>
          </w:p>
        </w:tc>
        <w:tc>
          <w:tcPr>
            <w:tcW w:w="1895" w:type="dxa"/>
            <w:vAlign w:val="bottom"/>
          </w:tcPr>
          <w:p w14:paraId="0A01C957" w14:textId="79FEA77F" w:rsidR="0085492F" w:rsidRPr="0085492F" w:rsidRDefault="0085492F" w:rsidP="0085492F">
            <w:pPr>
              <w:spacing w:line="240" w:lineRule="auto"/>
              <w:rPr>
                <w:rFonts w:eastAsia="Times New Roman" w:cs="Arial"/>
                <w:lang w:val="en-US"/>
              </w:rPr>
            </w:pPr>
            <w:r w:rsidRPr="0085492F">
              <w:rPr>
                <w:b/>
                <w:bCs/>
                <w:szCs w:val="20"/>
              </w:rPr>
              <w:t>0.9</w:t>
            </w:r>
          </w:p>
        </w:tc>
        <w:tc>
          <w:tcPr>
            <w:tcW w:w="2076" w:type="dxa"/>
            <w:vAlign w:val="bottom"/>
          </w:tcPr>
          <w:p w14:paraId="0195B652" w14:textId="396CB849" w:rsidR="0085492F" w:rsidRPr="0085492F" w:rsidRDefault="0085492F" w:rsidP="0085492F">
            <w:pPr>
              <w:spacing w:line="240" w:lineRule="auto"/>
              <w:rPr>
                <w:rFonts w:eastAsia="Times New Roman" w:cs="Arial"/>
                <w:lang w:val="en-US"/>
              </w:rPr>
            </w:pPr>
            <w:r w:rsidRPr="0085492F">
              <w:rPr>
                <w:szCs w:val="20"/>
              </w:rPr>
              <w:t>1.016(0.712, 1.451)</w:t>
            </w:r>
          </w:p>
        </w:tc>
        <w:tc>
          <w:tcPr>
            <w:tcW w:w="1837" w:type="dxa"/>
            <w:vAlign w:val="bottom"/>
          </w:tcPr>
          <w:p w14:paraId="6780259A" w14:textId="1AE699D2" w:rsidR="0085492F" w:rsidRPr="0085492F" w:rsidRDefault="0085492F" w:rsidP="0085492F">
            <w:pPr>
              <w:spacing w:line="240" w:lineRule="auto"/>
              <w:rPr>
                <w:rFonts w:eastAsia="Times New Roman" w:cs="Arial"/>
                <w:lang w:val="en-US"/>
              </w:rPr>
            </w:pPr>
            <w:r w:rsidRPr="0085492F">
              <w:rPr>
                <w:szCs w:val="20"/>
              </w:rPr>
              <w:t>0.930</w:t>
            </w:r>
          </w:p>
        </w:tc>
      </w:tr>
      <w:tr w:rsidR="0085492F" w:rsidRPr="0085492F" w14:paraId="216D9A0F" w14:textId="77777777" w:rsidTr="0085492F">
        <w:tc>
          <w:tcPr>
            <w:tcW w:w="1896" w:type="dxa"/>
            <w:vAlign w:val="bottom"/>
          </w:tcPr>
          <w:p w14:paraId="1BA7C3D7" w14:textId="77777777" w:rsidR="0085492F" w:rsidRPr="0085492F" w:rsidRDefault="0085492F" w:rsidP="0085492F">
            <w:r w:rsidRPr="0085492F">
              <w:rPr>
                <w:b/>
                <w:bCs/>
                <w:szCs w:val="20"/>
              </w:rPr>
              <w:t xml:space="preserve">Нестабилна стенокардия/ инфаркт на миокарда без </w:t>
            </w:r>
            <w:r w:rsidRPr="0085492F">
              <w:rPr>
                <w:b/>
                <w:bCs/>
                <w:szCs w:val="20"/>
                <w:lang w:val="en-US"/>
              </w:rPr>
              <w:t>ST</w:t>
            </w:r>
            <w:r w:rsidRPr="0085492F">
              <w:rPr>
                <w:b/>
                <w:bCs/>
                <w:szCs w:val="20"/>
              </w:rPr>
              <w:t xml:space="preserve">-елевация </w:t>
            </w:r>
            <w:r w:rsidRPr="0085492F">
              <w:rPr>
                <w:b/>
                <w:bCs/>
                <w:szCs w:val="20"/>
                <w:lang w:val="ru-RU"/>
              </w:rPr>
              <w:t>(</w:t>
            </w:r>
            <w:r w:rsidRPr="0085492F">
              <w:rPr>
                <w:b/>
                <w:bCs/>
                <w:szCs w:val="20"/>
                <w:lang w:val="en-US"/>
              </w:rPr>
              <w:t>UA</w:t>
            </w:r>
            <w:r w:rsidRPr="0085492F">
              <w:rPr>
                <w:b/>
                <w:bCs/>
                <w:szCs w:val="20"/>
                <w:lang w:val="ru-RU"/>
              </w:rPr>
              <w:t>/</w:t>
            </w:r>
            <w:r w:rsidRPr="0085492F">
              <w:rPr>
                <w:b/>
                <w:bCs/>
                <w:szCs w:val="20"/>
                <w:lang w:val="en-US"/>
              </w:rPr>
              <w:t>NSTEMI</w:t>
            </w:r>
            <w:r w:rsidRPr="0085492F">
              <w:rPr>
                <w:b/>
                <w:bCs/>
                <w:szCs w:val="20"/>
                <w:lang w:val="ru-RU"/>
              </w:rPr>
              <w:t>)</w:t>
            </w:r>
          </w:p>
          <w:p w14:paraId="0E10CB93" w14:textId="77777777" w:rsidR="0085492F" w:rsidRPr="0085492F" w:rsidRDefault="0085492F" w:rsidP="0085492F">
            <w:r w:rsidRPr="0085492F">
              <w:rPr>
                <w:b/>
                <w:bCs/>
                <w:szCs w:val="20"/>
              </w:rPr>
              <w:t>Първични съставни събития за изход</w:t>
            </w:r>
          </w:p>
          <w:p w14:paraId="4B3C49A4" w14:textId="355E9048" w:rsidR="0085492F" w:rsidRPr="0085492F" w:rsidRDefault="0085492F" w:rsidP="0085492F">
            <w:pPr>
              <w:spacing w:line="240" w:lineRule="auto"/>
              <w:rPr>
                <w:rFonts w:eastAsia="Times New Roman" w:cs="Arial"/>
                <w:lang w:val="en-US"/>
              </w:rPr>
            </w:pPr>
            <w:r w:rsidRPr="0085492F">
              <w:rPr>
                <w:b/>
                <w:bCs/>
                <w:szCs w:val="20"/>
                <w:lang w:val="en-US"/>
              </w:rPr>
              <w:t>(Primary Composite Outcome Events)</w:t>
            </w:r>
          </w:p>
        </w:tc>
        <w:tc>
          <w:tcPr>
            <w:tcW w:w="1872" w:type="dxa"/>
          </w:tcPr>
          <w:p w14:paraId="62E1EC1F" w14:textId="07D1F7BF" w:rsidR="0085492F" w:rsidRPr="0085492F" w:rsidRDefault="0085492F" w:rsidP="0085492F">
            <w:pPr>
              <w:spacing w:line="240" w:lineRule="auto"/>
              <w:rPr>
                <w:rFonts w:eastAsia="Times New Roman" w:cs="Arial"/>
                <w:lang w:val="en-US"/>
              </w:rPr>
            </w:pPr>
            <w:r w:rsidRPr="0085492F">
              <w:rPr>
                <w:b/>
                <w:bCs/>
                <w:szCs w:val="20"/>
                <w:lang w:val="en-US"/>
              </w:rPr>
              <w:t xml:space="preserve">(N = 5044) </w:t>
            </w:r>
            <w:r w:rsidRPr="0085492F">
              <w:rPr>
                <w:b/>
                <w:bCs/>
                <w:szCs w:val="20"/>
              </w:rPr>
              <w:t>%</w:t>
            </w:r>
          </w:p>
        </w:tc>
        <w:tc>
          <w:tcPr>
            <w:tcW w:w="1895" w:type="dxa"/>
          </w:tcPr>
          <w:p w14:paraId="102C4F69" w14:textId="1D1A08D8" w:rsidR="0085492F" w:rsidRPr="0085492F" w:rsidRDefault="0085492F" w:rsidP="0085492F">
            <w:pPr>
              <w:spacing w:line="240" w:lineRule="auto"/>
              <w:rPr>
                <w:rFonts w:eastAsia="Times New Roman" w:cs="Arial"/>
                <w:lang w:val="en-US"/>
              </w:rPr>
            </w:pPr>
            <w:r w:rsidRPr="0085492F">
              <w:rPr>
                <w:b/>
                <w:bCs/>
                <w:szCs w:val="20"/>
                <w:lang w:val="en-US"/>
              </w:rPr>
              <w:t xml:space="preserve">(N = 5030) </w:t>
            </w:r>
            <w:r w:rsidRPr="0085492F">
              <w:rPr>
                <w:b/>
                <w:bCs/>
                <w:szCs w:val="20"/>
              </w:rPr>
              <w:t>%</w:t>
            </w:r>
          </w:p>
        </w:tc>
        <w:tc>
          <w:tcPr>
            <w:tcW w:w="2076" w:type="dxa"/>
          </w:tcPr>
          <w:p w14:paraId="0EEF2313" w14:textId="77777777" w:rsidR="0085492F" w:rsidRPr="0085492F" w:rsidRDefault="0085492F" w:rsidP="0085492F">
            <w:pPr>
              <w:spacing w:line="240" w:lineRule="auto"/>
              <w:rPr>
                <w:rFonts w:eastAsia="Times New Roman" w:cs="Arial"/>
                <w:lang w:val="en-US"/>
              </w:rPr>
            </w:pPr>
          </w:p>
        </w:tc>
        <w:tc>
          <w:tcPr>
            <w:tcW w:w="1837" w:type="dxa"/>
          </w:tcPr>
          <w:p w14:paraId="07213EA9" w14:textId="77777777" w:rsidR="0085492F" w:rsidRPr="0085492F" w:rsidRDefault="0085492F" w:rsidP="0085492F">
            <w:pPr>
              <w:spacing w:line="240" w:lineRule="auto"/>
              <w:rPr>
                <w:rFonts w:eastAsia="Times New Roman" w:cs="Arial"/>
                <w:lang w:val="en-US"/>
              </w:rPr>
            </w:pPr>
          </w:p>
        </w:tc>
      </w:tr>
      <w:tr w:rsidR="0085492F" w:rsidRPr="0085492F" w14:paraId="741A1535" w14:textId="77777777" w:rsidTr="0085492F">
        <w:tc>
          <w:tcPr>
            <w:tcW w:w="1896" w:type="dxa"/>
            <w:vAlign w:val="bottom"/>
          </w:tcPr>
          <w:p w14:paraId="04BC01ED" w14:textId="0AD211A0" w:rsidR="0085492F" w:rsidRPr="0085492F" w:rsidRDefault="0085492F" w:rsidP="0085492F">
            <w:pPr>
              <w:spacing w:line="240" w:lineRule="auto"/>
              <w:rPr>
                <w:rFonts w:eastAsia="Times New Roman" w:cs="Arial"/>
                <w:lang w:val="ru-RU"/>
              </w:rPr>
            </w:pPr>
            <w:r w:rsidRPr="0085492F">
              <w:rPr>
                <w:szCs w:val="20"/>
                <w:lang w:val="en-US"/>
              </w:rPr>
              <w:t>CC</w:t>
            </w:r>
            <w:r w:rsidRPr="0085492F">
              <w:rPr>
                <w:szCs w:val="20"/>
                <w:lang w:val="ru-RU"/>
              </w:rPr>
              <w:t xml:space="preserve"> </w:t>
            </w:r>
            <w:r w:rsidRPr="0085492F">
              <w:rPr>
                <w:szCs w:val="20"/>
              </w:rPr>
              <w:t>смърт, ИМ без смъртен изход или инсулт без смъртен изход</w:t>
            </w:r>
          </w:p>
        </w:tc>
        <w:tc>
          <w:tcPr>
            <w:tcW w:w="1872" w:type="dxa"/>
          </w:tcPr>
          <w:p w14:paraId="3BA297B9" w14:textId="37FAE1B8" w:rsidR="0085492F" w:rsidRPr="0085492F" w:rsidRDefault="0085492F" w:rsidP="0085492F">
            <w:pPr>
              <w:spacing w:line="240" w:lineRule="auto"/>
              <w:rPr>
                <w:rFonts w:eastAsia="Times New Roman" w:cs="Arial"/>
                <w:lang w:val="en-US"/>
              </w:rPr>
            </w:pPr>
            <w:r w:rsidRPr="0085492F">
              <w:rPr>
                <w:szCs w:val="20"/>
              </w:rPr>
              <w:t>9.3</w:t>
            </w:r>
          </w:p>
        </w:tc>
        <w:tc>
          <w:tcPr>
            <w:tcW w:w="1895" w:type="dxa"/>
          </w:tcPr>
          <w:p w14:paraId="67A357A4" w14:textId="2EB22B55" w:rsidR="0085492F" w:rsidRPr="0085492F" w:rsidRDefault="0085492F" w:rsidP="0085492F">
            <w:pPr>
              <w:spacing w:line="240" w:lineRule="auto"/>
              <w:rPr>
                <w:rFonts w:eastAsia="Times New Roman" w:cs="Arial"/>
                <w:lang w:val="en-US"/>
              </w:rPr>
            </w:pPr>
            <w:r w:rsidRPr="0085492F">
              <w:rPr>
                <w:szCs w:val="20"/>
              </w:rPr>
              <w:t>11.2</w:t>
            </w:r>
          </w:p>
        </w:tc>
        <w:tc>
          <w:tcPr>
            <w:tcW w:w="2076" w:type="dxa"/>
          </w:tcPr>
          <w:p w14:paraId="00661AB4" w14:textId="04352D68" w:rsidR="0085492F" w:rsidRPr="0085492F" w:rsidRDefault="0085492F" w:rsidP="0085492F">
            <w:pPr>
              <w:spacing w:line="240" w:lineRule="auto"/>
              <w:rPr>
                <w:rFonts w:eastAsia="Times New Roman" w:cs="Arial"/>
                <w:lang w:val="en-US"/>
              </w:rPr>
            </w:pPr>
            <w:r w:rsidRPr="0085492F">
              <w:rPr>
                <w:szCs w:val="20"/>
              </w:rPr>
              <w:t>0.820(0.726,0.927)</w:t>
            </w:r>
          </w:p>
        </w:tc>
        <w:tc>
          <w:tcPr>
            <w:tcW w:w="1837" w:type="dxa"/>
          </w:tcPr>
          <w:p w14:paraId="681B22FC" w14:textId="071B93E0" w:rsidR="0085492F" w:rsidRPr="0085492F" w:rsidRDefault="0085492F" w:rsidP="0085492F">
            <w:pPr>
              <w:spacing w:line="240" w:lineRule="auto"/>
              <w:rPr>
                <w:rFonts w:eastAsia="Times New Roman" w:cs="Arial"/>
                <w:lang w:val="en-US"/>
              </w:rPr>
            </w:pPr>
            <w:r w:rsidRPr="0085492F">
              <w:rPr>
                <w:szCs w:val="20"/>
              </w:rPr>
              <w:t>0.002</w:t>
            </w:r>
          </w:p>
        </w:tc>
      </w:tr>
      <w:tr w:rsidR="0085492F" w:rsidRPr="0085492F" w14:paraId="2CC08C6D" w14:textId="77777777" w:rsidTr="0085492F">
        <w:tc>
          <w:tcPr>
            <w:tcW w:w="1896" w:type="dxa"/>
            <w:vAlign w:val="bottom"/>
          </w:tcPr>
          <w:p w14:paraId="27AC7D8E" w14:textId="441C280B" w:rsidR="0085492F" w:rsidRPr="0085492F" w:rsidRDefault="0085492F" w:rsidP="0085492F">
            <w:pPr>
              <w:spacing w:line="240" w:lineRule="auto"/>
              <w:rPr>
                <w:rFonts w:eastAsia="Times New Roman" w:cs="Arial"/>
                <w:lang w:val="en-US"/>
              </w:rPr>
            </w:pPr>
            <w:r w:rsidRPr="0085492F">
              <w:rPr>
                <w:szCs w:val="20"/>
              </w:rPr>
              <w:t>СС смърт</w:t>
            </w:r>
          </w:p>
        </w:tc>
        <w:tc>
          <w:tcPr>
            <w:tcW w:w="1872" w:type="dxa"/>
            <w:vAlign w:val="bottom"/>
          </w:tcPr>
          <w:p w14:paraId="1F596843" w14:textId="0738FD0D" w:rsidR="0085492F" w:rsidRPr="0085492F" w:rsidRDefault="0085492F" w:rsidP="0085492F">
            <w:pPr>
              <w:spacing w:line="240" w:lineRule="auto"/>
              <w:rPr>
                <w:rFonts w:eastAsia="Times New Roman" w:cs="Arial"/>
                <w:lang w:val="en-US"/>
              </w:rPr>
            </w:pPr>
            <w:r w:rsidRPr="0085492F">
              <w:rPr>
                <w:szCs w:val="20"/>
              </w:rPr>
              <w:t>1.8</w:t>
            </w:r>
          </w:p>
        </w:tc>
        <w:tc>
          <w:tcPr>
            <w:tcW w:w="1895" w:type="dxa"/>
            <w:vAlign w:val="bottom"/>
          </w:tcPr>
          <w:p w14:paraId="4401843E" w14:textId="3050810A" w:rsidR="0085492F" w:rsidRPr="0085492F" w:rsidRDefault="0085492F" w:rsidP="0085492F">
            <w:pPr>
              <w:spacing w:line="240" w:lineRule="auto"/>
              <w:rPr>
                <w:rFonts w:eastAsia="Times New Roman" w:cs="Arial"/>
                <w:lang w:val="en-US"/>
              </w:rPr>
            </w:pPr>
            <w:r w:rsidRPr="0085492F">
              <w:rPr>
                <w:szCs w:val="20"/>
              </w:rPr>
              <w:t>1.8</w:t>
            </w:r>
          </w:p>
        </w:tc>
        <w:tc>
          <w:tcPr>
            <w:tcW w:w="2076" w:type="dxa"/>
            <w:vAlign w:val="bottom"/>
          </w:tcPr>
          <w:p w14:paraId="093B1751" w14:textId="1B7321A5" w:rsidR="0085492F" w:rsidRPr="0085492F" w:rsidRDefault="0085492F" w:rsidP="0085492F">
            <w:pPr>
              <w:spacing w:line="240" w:lineRule="auto"/>
              <w:rPr>
                <w:rFonts w:eastAsia="Times New Roman" w:cs="Arial"/>
                <w:lang w:val="en-US"/>
              </w:rPr>
            </w:pPr>
            <w:r w:rsidRPr="0085492F">
              <w:rPr>
                <w:szCs w:val="20"/>
              </w:rPr>
              <w:t>0.979 (0.732,1.309)</w:t>
            </w:r>
          </w:p>
        </w:tc>
        <w:tc>
          <w:tcPr>
            <w:tcW w:w="1837" w:type="dxa"/>
            <w:vAlign w:val="bottom"/>
          </w:tcPr>
          <w:p w14:paraId="3AFA3B45" w14:textId="2ADE7595" w:rsidR="0085492F" w:rsidRPr="0085492F" w:rsidRDefault="0085492F" w:rsidP="0085492F">
            <w:pPr>
              <w:spacing w:line="240" w:lineRule="auto"/>
              <w:rPr>
                <w:rFonts w:eastAsia="Times New Roman" w:cs="Arial"/>
                <w:lang w:val="en-US"/>
              </w:rPr>
            </w:pPr>
            <w:r w:rsidRPr="0085492F">
              <w:rPr>
                <w:szCs w:val="20"/>
              </w:rPr>
              <w:t>0.885</w:t>
            </w:r>
          </w:p>
        </w:tc>
      </w:tr>
      <w:tr w:rsidR="0085492F" w:rsidRPr="0085492F" w14:paraId="02504DF3" w14:textId="77777777" w:rsidTr="0085492F">
        <w:tc>
          <w:tcPr>
            <w:tcW w:w="1896" w:type="dxa"/>
            <w:vAlign w:val="bottom"/>
          </w:tcPr>
          <w:p w14:paraId="71D7FA93" w14:textId="3351A946" w:rsidR="0085492F" w:rsidRPr="0085492F" w:rsidRDefault="0085492F" w:rsidP="0085492F">
            <w:pPr>
              <w:spacing w:line="240" w:lineRule="auto"/>
              <w:rPr>
                <w:rFonts w:eastAsia="Times New Roman" w:cs="Arial"/>
                <w:lang w:val="en-US"/>
              </w:rPr>
            </w:pPr>
            <w:r w:rsidRPr="0085492F">
              <w:rPr>
                <w:szCs w:val="20"/>
              </w:rPr>
              <w:t>ИМ без смъртен изход</w:t>
            </w:r>
          </w:p>
        </w:tc>
        <w:tc>
          <w:tcPr>
            <w:tcW w:w="1872" w:type="dxa"/>
            <w:vAlign w:val="bottom"/>
          </w:tcPr>
          <w:p w14:paraId="05B4D676" w14:textId="5ED7BB98" w:rsidR="0085492F" w:rsidRPr="0085492F" w:rsidRDefault="0085492F" w:rsidP="0085492F">
            <w:pPr>
              <w:spacing w:line="240" w:lineRule="auto"/>
              <w:rPr>
                <w:rFonts w:eastAsia="Times New Roman" w:cs="Arial"/>
                <w:lang w:val="en-US"/>
              </w:rPr>
            </w:pPr>
            <w:r w:rsidRPr="0085492F">
              <w:rPr>
                <w:szCs w:val="20"/>
              </w:rPr>
              <w:t>7.1</w:t>
            </w:r>
          </w:p>
        </w:tc>
        <w:tc>
          <w:tcPr>
            <w:tcW w:w="1895" w:type="dxa"/>
            <w:vAlign w:val="bottom"/>
          </w:tcPr>
          <w:p w14:paraId="0594267E" w14:textId="154495E8" w:rsidR="0085492F" w:rsidRPr="0085492F" w:rsidRDefault="0085492F" w:rsidP="0085492F">
            <w:pPr>
              <w:spacing w:line="240" w:lineRule="auto"/>
              <w:rPr>
                <w:rFonts w:eastAsia="Times New Roman" w:cs="Arial"/>
                <w:lang w:val="en-US"/>
              </w:rPr>
            </w:pPr>
            <w:r w:rsidRPr="0085492F">
              <w:rPr>
                <w:szCs w:val="20"/>
              </w:rPr>
              <w:t>9.2</w:t>
            </w:r>
          </w:p>
        </w:tc>
        <w:tc>
          <w:tcPr>
            <w:tcW w:w="2076" w:type="dxa"/>
            <w:vAlign w:val="bottom"/>
          </w:tcPr>
          <w:p w14:paraId="1F95570A" w14:textId="0337970A" w:rsidR="0085492F" w:rsidRPr="0085492F" w:rsidRDefault="0085492F" w:rsidP="0085492F">
            <w:pPr>
              <w:spacing w:line="240" w:lineRule="auto"/>
              <w:rPr>
                <w:rFonts w:eastAsia="Times New Roman" w:cs="Arial"/>
                <w:lang w:val="en-US"/>
              </w:rPr>
            </w:pPr>
            <w:r w:rsidRPr="0085492F">
              <w:rPr>
                <w:szCs w:val="20"/>
              </w:rPr>
              <w:t>0.761 (0.663,0.873)</w:t>
            </w:r>
          </w:p>
        </w:tc>
        <w:tc>
          <w:tcPr>
            <w:tcW w:w="1837" w:type="dxa"/>
            <w:vAlign w:val="bottom"/>
          </w:tcPr>
          <w:p w14:paraId="3F38D501" w14:textId="06A9FF20" w:rsidR="0085492F" w:rsidRPr="0085492F" w:rsidRDefault="0085492F" w:rsidP="0085492F">
            <w:pPr>
              <w:spacing w:line="240" w:lineRule="auto"/>
              <w:rPr>
                <w:rFonts w:eastAsia="Times New Roman" w:cs="Arial"/>
                <w:lang w:val="en-US"/>
              </w:rPr>
            </w:pPr>
            <w:r w:rsidRPr="0085492F">
              <w:rPr>
                <w:szCs w:val="20"/>
              </w:rPr>
              <w:t>&lt;0.001</w:t>
            </w:r>
          </w:p>
        </w:tc>
      </w:tr>
      <w:tr w:rsidR="0085492F" w:rsidRPr="0085492F" w14:paraId="095CECC0" w14:textId="77777777" w:rsidTr="0085492F">
        <w:tc>
          <w:tcPr>
            <w:tcW w:w="1896" w:type="dxa"/>
            <w:vAlign w:val="bottom"/>
          </w:tcPr>
          <w:p w14:paraId="5DCB1ACC" w14:textId="42AD33B6" w:rsidR="0085492F" w:rsidRPr="0085492F" w:rsidRDefault="0085492F" w:rsidP="0085492F">
            <w:pPr>
              <w:spacing w:line="240" w:lineRule="auto"/>
              <w:rPr>
                <w:rFonts w:eastAsia="Times New Roman" w:cs="Arial"/>
                <w:lang w:val="en-US"/>
              </w:rPr>
            </w:pPr>
            <w:r w:rsidRPr="0085492F">
              <w:rPr>
                <w:szCs w:val="20"/>
              </w:rPr>
              <w:lastRenderedPageBreak/>
              <w:t>Инсулт без смъртен изход</w:t>
            </w:r>
          </w:p>
        </w:tc>
        <w:tc>
          <w:tcPr>
            <w:tcW w:w="1872" w:type="dxa"/>
            <w:vAlign w:val="bottom"/>
          </w:tcPr>
          <w:p w14:paraId="53CFF4CE" w14:textId="09A5A9B9" w:rsidR="0085492F" w:rsidRPr="0085492F" w:rsidRDefault="0085492F" w:rsidP="0085492F">
            <w:pPr>
              <w:spacing w:line="240" w:lineRule="auto"/>
              <w:rPr>
                <w:rFonts w:eastAsia="Times New Roman" w:cs="Arial"/>
                <w:lang w:val="en-US"/>
              </w:rPr>
            </w:pPr>
            <w:r w:rsidRPr="0085492F">
              <w:rPr>
                <w:szCs w:val="20"/>
              </w:rPr>
              <w:t>0.8</w:t>
            </w:r>
          </w:p>
        </w:tc>
        <w:tc>
          <w:tcPr>
            <w:tcW w:w="1895" w:type="dxa"/>
            <w:vAlign w:val="bottom"/>
          </w:tcPr>
          <w:p w14:paraId="6BEF5481" w14:textId="336CD5E1" w:rsidR="0085492F" w:rsidRPr="0085492F" w:rsidRDefault="0085492F" w:rsidP="0085492F">
            <w:pPr>
              <w:spacing w:line="240" w:lineRule="auto"/>
              <w:rPr>
                <w:rFonts w:eastAsia="Times New Roman" w:cs="Arial"/>
                <w:lang w:val="en-US"/>
              </w:rPr>
            </w:pPr>
            <w:r w:rsidRPr="0085492F">
              <w:rPr>
                <w:b/>
                <w:bCs/>
                <w:szCs w:val="20"/>
              </w:rPr>
              <w:t>0.8</w:t>
            </w:r>
          </w:p>
        </w:tc>
        <w:tc>
          <w:tcPr>
            <w:tcW w:w="2076" w:type="dxa"/>
            <w:vAlign w:val="bottom"/>
          </w:tcPr>
          <w:p w14:paraId="5789D89D" w14:textId="7155F100" w:rsidR="0085492F" w:rsidRPr="0085492F" w:rsidRDefault="0085492F" w:rsidP="0085492F">
            <w:pPr>
              <w:spacing w:line="240" w:lineRule="auto"/>
              <w:rPr>
                <w:rFonts w:eastAsia="Times New Roman" w:cs="Arial"/>
                <w:lang w:val="en-US"/>
              </w:rPr>
            </w:pPr>
            <w:r w:rsidRPr="0085492F">
              <w:rPr>
                <w:szCs w:val="20"/>
              </w:rPr>
              <w:t>0.979(0.633,1.513)</w:t>
            </w:r>
          </w:p>
        </w:tc>
        <w:tc>
          <w:tcPr>
            <w:tcW w:w="1837" w:type="dxa"/>
            <w:vAlign w:val="bottom"/>
          </w:tcPr>
          <w:p w14:paraId="5E47F3B2" w14:textId="090B8C28" w:rsidR="0085492F" w:rsidRPr="0085492F" w:rsidRDefault="0085492F" w:rsidP="0085492F">
            <w:pPr>
              <w:spacing w:line="240" w:lineRule="auto"/>
              <w:rPr>
                <w:rFonts w:eastAsia="Times New Roman" w:cs="Arial"/>
                <w:lang w:val="en-US"/>
              </w:rPr>
            </w:pPr>
            <w:r w:rsidRPr="0085492F">
              <w:rPr>
                <w:szCs w:val="20"/>
              </w:rPr>
              <w:t>0.922</w:t>
            </w:r>
          </w:p>
        </w:tc>
      </w:tr>
      <w:tr w:rsidR="0085492F" w:rsidRPr="0085492F" w14:paraId="09ADEA55" w14:textId="77777777" w:rsidTr="0085492F">
        <w:tc>
          <w:tcPr>
            <w:tcW w:w="1896" w:type="dxa"/>
            <w:vAlign w:val="bottom"/>
          </w:tcPr>
          <w:p w14:paraId="1B0C9773" w14:textId="77777777" w:rsidR="0085492F" w:rsidRPr="0085492F" w:rsidRDefault="0085492F" w:rsidP="0085492F">
            <w:r w:rsidRPr="0085492F">
              <w:rPr>
                <w:b/>
                <w:bCs/>
                <w:szCs w:val="20"/>
              </w:rPr>
              <w:t xml:space="preserve">Инфаркт на миокарда със </w:t>
            </w:r>
            <w:r w:rsidRPr="0085492F">
              <w:rPr>
                <w:b/>
                <w:bCs/>
                <w:szCs w:val="20"/>
                <w:lang w:val="en-US"/>
              </w:rPr>
              <w:t>ST</w:t>
            </w:r>
            <w:r w:rsidRPr="0085492F">
              <w:rPr>
                <w:b/>
                <w:bCs/>
                <w:szCs w:val="20"/>
              </w:rPr>
              <w:t xml:space="preserve">-Елевация </w:t>
            </w:r>
            <w:r w:rsidRPr="0085492F">
              <w:rPr>
                <w:b/>
                <w:bCs/>
                <w:szCs w:val="20"/>
                <w:lang w:val="ru-RU"/>
              </w:rPr>
              <w:t>(</w:t>
            </w:r>
            <w:r w:rsidRPr="0085492F">
              <w:rPr>
                <w:b/>
                <w:bCs/>
                <w:szCs w:val="20"/>
                <w:lang w:val="en-US"/>
              </w:rPr>
              <w:t>STEMI</w:t>
            </w:r>
            <w:r w:rsidRPr="0085492F">
              <w:rPr>
                <w:b/>
                <w:bCs/>
                <w:szCs w:val="20"/>
                <w:lang w:val="ru-RU"/>
              </w:rPr>
              <w:t xml:space="preserve">) </w:t>
            </w:r>
            <w:r w:rsidRPr="0085492F">
              <w:rPr>
                <w:b/>
                <w:bCs/>
                <w:szCs w:val="20"/>
              </w:rPr>
              <w:t>Първични съставни събития за изход</w:t>
            </w:r>
          </w:p>
          <w:p w14:paraId="4CF3499B" w14:textId="4D1AE41A" w:rsidR="0085492F" w:rsidRPr="0085492F" w:rsidRDefault="0085492F" w:rsidP="0085492F">
            <w:pPr>
              <w:spacing w:line="240" w:lineRule="auto"/>
              <w:rPr>
                <w:rFonts w:eastAsia="Times New Roman" w:cs="Arial"/>
                <w:lang w:val="en-US"/>
              </w:rPr>
            </w:pPr>
            <w:r w:rsidRPr="0085492F">
              <w:rPr>
                <w:b/>
                <w:bCs/>
                <w:szCs w:val="20"/>
                <w:lang w:val="en-US"/>
              </w:rPr>
              <w:t>(Primary Composite Outcome Events)</w:t>
            </w:r>
          </w:p>
        </w:tc>
        <w:tc>
          <w:tcPr>
            <w:tcW w:w="1872" w:type="dxa"/>
          </w:tcPr>
          <w:p w14:paraId="2C5BA091" w14:textId="1BADA4AC" w:rsidR="0085492F" w:rsidRPr="0085492F" w:rsidRDefault="0085492F" w:rsidP="0085492F">
            <w:pPr>
              <w:spacing w:line="240" w:lineRule="auto"/>
              <w:rPr>
                <w:rFonts w:eastAsia="Times New Roman" w:cs="Arial"/>
                <w:lang w:val="en-US"/>
              </w:rPr>
            </w:pPr>
            <w:r w:rsidRPr="0085492F">
              <w:rPr>
                <w:b/>
                <w:bCs/>
                <w:szCs w:val="20"/>
                <w:lang w:val="en-US"/>
              </w:rPr>
              <w:t xml:space="preserve">(N </w:t>
            </w:r>
            <w:r w:rsidRPr="0085492F">
              <w:rPr>
                <w:b/>
                <w:bCs/>
                <w:szCs w:val="20"/>
              </w:rPr>
              <w:t>= 1769) %</w:t>
            </w:r>
          </w:p>
        </w:tc>
        <w:tc>
          <w:tcPr>
            <w:tcW w:w="1895" w:type="dxa"/>
          </w:tcPr>
          <w:p w14:paraId="522BABAC" w14:textId="6F930B2F" w:rsidR="0085492F" w:rsidRPr="0085492F" w:rsidRDefault="0085492F" w:rsidP="0085492F">
            <w:pPr>
              <w:spacing w:line="240" w:lineRule="auto"/>
              <w:rPr>
                <w:rFonts w:eastAsia="Times New Roman" w:cs="Arial"/>
                <w:lang w:val="en-US"/>
              </w:rPr>
            </w:pPr>
            <w:r w:rsidRPr="0085492F">
              <w:rPr>
                <w:b/>
                <w:bCs/>
                <w:szCs w:val="20"/>
                <w:lang w:val="en-US"/>
              </w:rPr>
              <w:t xml:space="preserve">(N </w:t>
            </w:r>
            <w:r w:rsidRPr="0085492F">
              <w:rPr>
                <w:b/>
                <w:bCs/>
                <w:szCs w:val="20"/>
              </w:rPr>
              <w:t>= 1765) %</w:t>
            </w:r>
          </w:p>
        </w:tc>
        <w:tc>
          <w:tcPr>
            <w:tcW w:w="2076" w:type="dxa"/>
          </w:tcPr>
          <w:p w14:paraId="7065CCE2" w14:textId="77777777" w:rsidR="0085492F" w:rsidRPr="0085492F" w:rsidRDefault="0085492F" w:rsidP="0085492F">
            <w:pPr>
              <w:spacing w:line="240" w:lineRule="auto"/>
              <w:rPr>
                <w:rFonts w:eastAsia="Times New Roman" w:cs="Arial"/>
                <w:lang w:val="en-US"/>
              </w:rPr>
            </w:pPr>
          </w:p>
        </w:tc>
        <w:tc>
          <w:tcPr>
            <w:tcW w:w="1837" w:type="dxa"/>
          </w:tcPr>
          <w:p w14:paraId="0C71ED6B" w14:textId="77777777" w:rsidR="0085492F" w:rsidRPr="0085492F" w:rsidRDefault="0085492F" w:rsidP="0085492F">
            <w:pPr>
              <w:spacing w:line="240" w:lineRule="auto"/>
              <w:rPr>
                <w:rFonts w:eastAsia="Times New Roman" w:cs="Arial"/>
                <w:lang w:val="en-US"/>
              </w:rPr>
            </w:pPr>
          </w:p>
        </w:tc>
      </w:tr>
      <w:tr w:rsidR="0085492F" w:rsidRPr="0085492F" w14:paraId="4060A963" w14:textId="77777777" w:rsidTr="00B35386">
        <w:tc>
          <w:tcPr>
            <w:tcW w:w="1896" w:type="dxa"/>
            <w:vAlign w:val="bottom"/>
          </w:tcPr>
          <w:p w14:paraId="700364CA" w14:textId="0462ACE6" w:rsidR="0085492F" w:rsidRPr="0085492F" w:rsidRDefault="0085492F" w:rsidP="0085492F">
            <w:pPr>
              <w:spacing w:line="240" w:lineRule="auto"/>
              <w:rPr>
                <w:rFonts w:eastAsia="Times New Roman" w:cs="Arial"/>
                <w:lang w:val="ru-RU"/>
              </w:rPr>
            </w:pPr>
            <w:r w:rsidRPr="0085492F">
              <w:rPr>
                <w:szCs w:val="20"/>
                <w:lang w:val="en-US"/>
              </w:rPr>
              <w:t>CC</w:t>
            </w:r>
            <w:r w:rsidRPr="0085492F">
              <w:rPr>
                <w:szCs w:val="20"/>
                <w:lang w:val="ru-RU"/>
              </w:rPr>
              <w:t xml:space="preserve"> </w:t>
            </w:r>
            <w:r w:rsidRPr="0085492F">
              <w:rPr>
                <w:szCs w:val="20"/>
              </w:rPr>
              <w:t>смърт, ИМ без смъртен изход или инсулт без смъртен изход</w:t>
            </w:r>
          </w:p>
        </w:tc>
        <w:tc>
          <w:tcPr>
            <w:tcW w:w="1872" w:type="dxa"/>
          </w:tcPr>
          <w:p w14:paraId="4D3E9623" w14:textId="588F9D70" w:rsidR="0085492F" w:rsidRPr="0085492F" w:rsidRDefault="0085492F" w:rsidP="0085492F">
            <w:pPr>
              <w:spacing w:line="240" w:lineRule="auto"/>
              <w:rPr>
                <w:rFonts w:eastAsia="Times New Roman" w:cs="Arial"/>
                <w:lang w:val="en-US"/>
              </w:rPr>
            </w:pPr>
            <w:r w:rsidRPr="0085492F">
              <w:rPr>
                <w:szCs w:val="20"/>
              </w:rPr>
              <w:t>9.8</w:t>
            </w:r>
          </w:p>
        </w:tc>
        <w:tc>
          <w:tcPr>
            <w:tcW w:w="1895" w:type="dxa"/>
          </w:tcPr>
          <w:p w14:paraId="7512A72F" w14:textId="1897C022" w:rsidR="0085492F" w:rsidRPr="0085492F" w:rsidRDefault="0085492F" w:rsidP="0085492F">
            <w:pPr>
              <w:spacing w:line="240" w:lineRule="auto"/>
              <w:rPr>
                <w:rFonts w:eastAsia="Times New Roman" w:cs="Arial"/>
                <w:lang w:val="en-US"/>
              </w:rPr>
            </w:pPr>
            <w:r w:rsidRPr="0085492F">
              <w:rPr>
                <w:szCs w:val="20"/>
              </w:rPr>
              <w:t>12.2</w:t>
            </w:r>
          </w:p>
        </w:tc>
        <w:tc>
          <w:tcPr>
            <w:tcW w:w="2076" w:type="dxa"/>
          </w:tcPr>
          <w:p w14:paraId="67A4BA8C" w14:textId="10B2A827" w:rsidR="0085492F" w:rsidRPr="0085492F" w:rsidRDefault="0085492F" w:rsidP="0085492F">
            <w:pPr>
              <w:spacing w:line="240" w:lineRule="auto"/>
              <w:rPr>
                <w:rFonts w:eastAsia="Times New Roman" w:cs="Arial"/>
                <w:lang w:val="en-US"/>
              </w:rPr>
            </w:pPr>
            <w:r w:rsidRPr="0085492F">
              <w:rPr>
                <w:szCs w:val="20"/>
              </w:rPr>
              <w:t>0.793 (0.649, 0.968)</w:t>
            </w:r>
          </w:p>
        </w:tc>
        <w:tc>
          <w:tcPr>
            <w:tcW w:w="1837" w:type="dxa"/>
          </w:tcPr>
          <w:p w14:paraId="35956C18" w14:textId="30E9A4CE" w:rsidR="0085492F" w:rsidRPr="0085492F" w:rsidRDefault="0085492F" w:rsidP="0085492F">
            <w:pPr>
              <w:spacing w:line="240" w:lineRule="auto"/>
              <w:rPr>
                <w:rFonts w:eastAsia="Times New Roman" w:cs="Arial"/>
                <w:lang w:val="en-US"/>
              </w:rPr>
            </w:pPr>
            <w:r w:rsidRPr="0085492F">
              <w:rPr>
                <w:szCs w:val="20"/>
              </w:rPr>
              <w:t>0.019"</w:t>
            </w:r>
          </w:p>
        </w:tc>
      </w:tr>
      <w:tr w:rsidR="0085492F" w:rsidRPr="0085492F" w14:paraId="7ACB798D" w14:textId="77777777" w:rsidTr="00B35386">
        <w:tc>
          <w:tcPr>
            <w:tcW w:w="1896" w:type="dxa"/>
            <w:vAlign w:val="bottom"/>
          </w:tcPr>
          <w:p w14:paraId="574F1E8B" w14:textId="0E643500" w:rsidR="0085492F" w:rsidRPr="0085492F" w:rsidRDefault="0085492F" w:rsidP="0085492F">
            <w:pPr>
              <w:spacing w:line="240" w:lineRule="auto"/>
              <w:rPr>
                <w:rFonts w:eastAsia="Times New Roman" w:cs="Arial"/>
                <w:lang w:val="en-US"/>
              </w:rPr>
            </w:pPr>
            <w:r w:rsidRPr="0085492F">
              <w:rPr>
                <w:szCs w:val="20"/>
              </w:rPr>
              <w:t>СС смърт</w:t>
            </w:r>
          </w:p>
        </w:tc>
        <w:tc>
          <w:tcPr>
            <w:tcW w:w="1872" w:type="dxa"/>
            <w:vAlign w:val="bottom"/>
          </w:tcPr>
          <w:p w14:paraId="1153A3B3" w14:textId="35520363" w:rsidR="0085492F" w:rsidRPr="0085492F" w:rsidRDefault="0085492F" w:rsidP="0085492F">
            <w:pPr>
              <w:spacing w:line="240" w:lineRule="auto"/>
              <w:rPr>
                <w:rFonts w:eastAsia="Times New Roman" w:cs="Arial"/>
                <w:lang w:val="en-US"/>
              </w:rPr>
            </w:pPr>
            <w:r w:rsidRPr="0085492F">
              <w:rPr>
                <w:bCs/>
                <w:szCs w:val="20"/>
              </w:rPr>
              <w:t>2.4</w:t>
            </w:r>
          </w:p>
        </w:tc>
        <w:tc>
          <w:tcPr>
            <w:tcW w:w="1895" w:type="dxa"/>
            <w:vAlign w:val="bottom"/>
          </w:tcPr>
          <w:p w14:paraId="50BBBE67" w14:textId="2658C442" w:rsidR="0085492F" w:rsidRPr="0085492F" w:rsidRDefault="0085492F" w:rsidP="0085492F">
            <w:pPr>
              <w:spacing w:line="240" w:lineRule="auto"/>
              <w:rPr>
                <w:rFonts w:eastAsia="Times New Roman" w:cs="Arial"/>
                <w:lang w:val="en-US"/>
              </w:rPr>
            </w:pPr>
            <w:r w:rsidRPr="0085492F">
              <w:rPr>
                <w:szCs w:val="20"/>
              </w:rPr>
              <w:t>3.3</w:t>
            </w:r>
          </w:p>
        </w:tc>
        <w:tc>
          <w:tcPr>
            <w:tcW w:w="2076" w:type="dxa"/>
            <w:vAlign w:val="bottom"/>
          </w:tcPr>
          <w:p w14:paraId="4D844DFC" w14:textId="366DE2E8" w:rsidR="0085492F" w:rsidRPr="0085492F" w:rsidRDefault="0085492F" w:rsidP="0085492F">
            <w:pPr>
              <w:spacing w:line="240" w:lineRule="auto"/>
              <w:rPr>
                <w:rFonts w:eastAsia="Times New Roman" w:cs="Arial"/>
                <w:lang w:val="en-US"/>
              </w:rPr>
            </w:pPr>
            <w:r w:rsidRPr="0085492F">
              <w:rPr>
                <w:szCs w:val="20"/>
              </w:rPr>
              <w:t>0.738 (0.497,1.094)</w:t>
            </w:r>
          </w:p>
        </w:tc>
        <w:tc>
          <w:tcPr>
            <w:tcW w:w="1837" w:type="dxa"/>
            <w:vAlign w:val="bottom"/>
          </w:tcPr>
          <w:p w14:paraId="67B08AD8" w14:textId="30A6AA56" w:rsidR="0085492F" w:rsidRPr="0085492F" w:rsidRDefault="0085492F" w:rsidP="0085492F">
            <w:pPr>
              <w:spacing w:line="240" w:lineRule="auto"/>
              <w:rPr>
                <w:rFonts w:eastAsia="Times New Roman" w:cs="Arial"/>
                <w:lang w:val="en-US"/>
              </w:rPr>
            </w:pPr>
            <w:r w:rsidRPr="0085492F">
              <w:rPr>
                <w:szCs w:val="20"/>
              </w:rPr>
              <w:t>0.129</w:t>
            </w:r>
          </w:p>
        </w:tc>
      </w:tr>
      <w:tr w:rsidR="0085492F" w:rsidRPr="0085492F" w14:paraId="371A9BD5" w14:textId="77777777" w:rsidTr="00B35386">
        <w:tc>
          <w:tcPr>
            <w:tcW w:w="1896" w:type="dxa"/>
            <w:vAlign w:val="bottom"/>
          </w:tcPr>
          <w:p w14:paraId="6B030471" w14:textId="04E166BC" w:rsidR="0085492F" w:rsidRPr="0085492F" w:rsidRDefault="0085492F" w:rsidP="0085492F">
            <w:pPr>
              <w:spacing w:line="240" w:lineRule="auto"/>
              <w:rPr>
                <w:rFonts w:eastAsia="Times New Roman" w:cs="Arial"/>
                <w:lang w:val="en-US"/>
              </w:rPr>
            </w:pPr>
            <w:r w:rsidRPr="0085492F">
              <w:rPr>
                <w:szCs w:val="20"/>
              </w:rPr>
              <w:t>ИМ без смъртен изход</w:t>
            </w:r>
          </w:p>
        </w:tc>
        <w:tc>
          <w:tcPr>
            <w:tcW w:w="1872" w:type="dxa"/>
            <w:vAlign w:val="bottom"/>
          </w:tcPr>
          <w:p w14:paraId="6DCE4461" w14:textId="562EE455" w:rsidR="0085492F" w:rsidRPr="0085492F" w:rsidRDefault="0085492F" w:rsidP="0085492F">
            <w:pPr>
              <w:spacing w:line="240" w:lineRule="auto"/>
              <w:rPr>
                <w:rFonts w:eastAsia="Times New Roman" w:cs="Arial"/>
                <w:lang w:val="en-US"/>
              </w:rPr>
            </w:pPr>
            <w:r w:rsidRPr="0085492F">
              <w:rPr>
                <w:szCs w:val="20"/>
              </w:rPr>
              <w:t>6.7</w:t>
            </w:r>
          </w:p>
        </w:tc>
        <w:tc>
          <w:tcPr>
            <w:tcW w:w="1895" w:type="dxa"/>
            <w:vAlign w:val="bottom"/>
          </w:tcPr>
          <w:p w14:paraId="1D223BA5" w14:textId="5FFA66E5" w:rsidR="0085492F" w:rsidRPr="0085492F" w:rsidRDefault="0085492F" w:rsidP="0085492F">
            <w:pPr>
              <w:spacing w:line="240" w:lineRule="auto"/>
              <w:rPr>
                <w:rFonts w:eastAsia="Times New Roman" w:cs="Arial"/>
                <w:lang w:val="en-US"/>
              </w:rPr>
            </w:pPr>
            <w:r w:rsidRPr="0085492F">
              <w:rPr>
                <w:bCs/>
                <w:szCs w:val="20"/>
              </w:rPr>
              <w:t>8.8</w:t>
            </w:r>
          </w:p>
        </w:tc>
        <w:tc>
          <w:tcPr>
            <w:tcW w:w="2076" w:type="dxa"/>
            <w:vAlign w:val="bottom"/>
          </w:tcPr>
          <w:p w14:paraId="4556ECE7" w14:textId="244A4D1D" w:rsidR="0085492F" w:rsidRPr="0085492F" w:rsidRDefault="0085492F" w:rsidP="0085492F">
            <w:pPr>
              <w:spacing w:line="240" w:lineRule="auto"/>
              <w:rPr>
                <w:rFonts w:eastAsia="Times New Roman" w:cs="Arial"/>
                <w:lang w:val="en-US"/>
              </w:rPr>
            </w:pPr>
            <w:r w:rsidRPr="0085492F">
              <w:rPr>
                <w:szCs w:val="20"/>
              </w:rPr>
              <w:t>0.746(0.588,0.948)</w:t>
            </w:r>
          </w:p>
        </w:tc>
        <w:tc>
          <w:tcPr>
            <w:tcW w:w="1837" w:type="dxa"/>
            <w:vAlign w:val="bottom"/>
          </w:tcPr>
          <w:p w14:paraId="32CB2A18" w14:textId="517D16EB" w:rsidR="0085492F" w:rsidRPr="0085492F" w:rsidRDefault="0085492F" w:rsidP="0085492F">
            <w:pPr>
              <w:spacing w:line="240" w:lineRule="auto"/>
              <w:rPr>
                <w:rFonts w:eastAsia="Times New Roman" w:cs="Arial"/>
                <w:lang w:val="en-US"/>
              </w:rPr>
            </w:pPr>
            <w:r w:rsidRPr="0085492F">
              <w:rPr>
                <w:szCs w:val="20"/>
              </w:rPr>
              <w:t>0.016</w:t>
            </w:r>
          </w:p>
        </w:tc>
      </w:tr>
      <w:tr w:rsidR="0085492F" w:rsidRPr="0085492F" w14:paraId="59AE273D" w14:textId="77777777" w:rsidTr="0085492F">
        <w:tc>
          <w:tcPr>
            <w:tcW w:w="1896" w:type="dxa"/>
          </w:tcPr>
          <w:p w14:paraId="12D90E4D" w14:textId="46E516DA" w:rsidR="0085492F" w:rsidRPr="0085492F" w:rsidRDefault="0085492F" w:rsidP="0085492F">
            <w:pPr>
              <w:spacing w:line="240" w:lineRule="auto"/>
              <w:rPr>
                <w:rFonts w:eastAsia="Times New Roman" w:cs="Arial"/>
                <w:lang w:val="en-US"/>
              </w:rPr>
            </w:pPr>
            <w:r w:rsidRPr="0085492F">
              <w:rPr>
                <w:szCs w:val="20"/>
              </w:rPr>
              <w:t>Инсулт без смъртен изход</w:t>
            </w:r>
          </w:p>
        </w:tc>
        <w:tc>
          <w:tcPr>
            <w:tcW w:w="1872" w:type="dxa"/>
          </w:tcPr>
          <w:p w14:paraId="2C06643C" w14:textId="5DAA8F19" w:rsidR="0085492F" w:rsidRPr="0085492F" w:rsidRDefault="0085492F" w:rsidP="0085492F">
            <w:pPr>
              <w:spacing w:line="240" w:lineRule="auto"/>
              <w:rPr>
                <w:rFonts w:eastAsia="Times New Roman" w:cs="Arial"/>
                <w:lang w:val="en-US"/>
              </w:rPr>
            </w:pPr>
            <w:r w:rsidRPr="0085492F">
              <w:rPr>
                <w:szCs w:val="20"/>
              </w:rPr>
              <w:t>1.2</w:t>
            </w:r>
          </w:p>
        </w:tc>
        <w:tc>
          <w:tcPr>
            <w:tcW w:w="1895" w:type="dxa"/>
          </w:tcPr>
          <w:p w14:paraId="0C40177C" w14:textId="73408D1E" w:rsidR="0085492F" w:rsidRPr="0085492F" w:rsidRDefault="0085492F" w:rsidP="0085492F">
            <w:pPr>
              <w:spacing w:line="240" w:lineRule="auto"/>
              <w:rPr>
                <w:rFonts w:eastAsia="Times New Roman" w:cs="Arial"/>
                <w:lang w:val="en-US"/>
              </w:rPr>
            </w:pPr>
            <w:r w:rsidRPr="0085492F">
              <w:rPr>
                <w:szCs w:val="20"/>
              </w:rPr>
              <w:t>1.1</w:t>
            </w:r>
          </w:p>
        </w:tc>
        <w:tc>
          <w:tcPr>
            <w:tcW w:w="2076" w:type="dxa"/>
          </w:tcPr>
          <w:p w14:paraId="11D1A0AE" w14:textId="0E72AC57" w:rsidR="0085492F" w:rsidRPr="0085492F" w:rsidRDefault="0085492F" w:rsidP="0085492F">
            <w:pPr>
              <w:spacing w:line="240" w:lineRule="auto"/>
              <w:rPr>
                <w:rFonts w:eastAsia="Times New Roman" w:cs="Arial"/>
                <w:lang w:val="en-US"/>
              </w:rPr>
            </w:pPr>
            <w:r w:rsidRPr="0085492F">
              <w:rPr>
                <w:szCs w:val="20"/>
              </w:rPr>
              <w:t>1.097 (0.590,2.040)</w:t>
            </w:r>
          </w:p>
        </w:tc>
        <w:tc>
          <w:tcPr>
            <w:tcW w:w="1837" w:type="dxa"/>
          </w:tcPr>
          <w:p w14:paraId="320DE244" w14:textId="604A4392" w:rsidR="0085492F" w:rsidRPr="0085492F" w:rsidRDefault="0085492F" w:rsidP="0085492F">
            <w:pPr>
              <w:spacing w:line="240" w:lineRule="auto"/>
              <w:rPr>
                <w:rFonts w:eastAsia="Times New Roman" w:cs="Arial"/>
                <w:lang w:val="en-US"/>
              </w:rPr>
            </w:pPr>
            <w:r w:rsidRPr="0085492F">
              <w:rPr>
                <w:szCs w:val="20"/>
              </w:rPr>
              <w:t>0.70</w:t>
            </w:r>
          </w:p>
        </w:tc>
      </w:tr>
    </w:tbl>
    <w:p w14:paraId="5764586F" w14:textId="1C0F1A33" w:rsidR="0085492F" w:rsidRDefault="0085492F" w:rsidP="0085492F">
      <w:pPr>
        <w:spacing w:line="240" w:lineRule="auto"/>
        <w:rPr>
          <w:rFonts w:eastAsia="Times New Roman" w:cs="Arial"/>
          <w:lang w:val="en-US"/>
        </w:rPr>
      </w:pPr>
    </w:p>
    <w:p w14:paraId="000B8236" w14:textId="77777777" w:rsidR="0085492F" w:rsidRPr="0085492F" w:rsidRDefault="0085492F" w:rsidP="0085492F">
      <w:pPr>
        <w:spacing w:line="240" w:lineRule="auto"/>
        <w:rPr>
          <w:rFonts w:eastAsia="Times New Roman" w:cs="Arial"/>
          <w:sz w:val="28"/>
          <w:szCs w:val="24"/>
        </w:rPr>
      </w:pPr>
      <w:r w:rsidRPr="0085492F">
        <w:rPr>
          <w:rFonts w:eastAsia="Times New Roman" w:cs="Arial"/>
          <w:color w:val="000000"/>
          <w:szCs w:val="20"/>
          <w:lang w:eastAsia="bg-BG"/>
        </w:rPr>
        <w:t xml:space="preserve">В цялата популация с ОКС анализът на всяка от вторичните крайни точки показва сигнификантно предимство (р&lt;0,001) за прасугрел спрямо клопидогрел. Това включва определена или предполагаема тромбоза на стента в края на проучването (0,9% спрямо 1,8%; </w:t>
      </w:r>
      <w:r w:rsidRPr="0085492F">
        <w:rPr>
          <w:rFonts w:eastAsia="Times New Roman" w:cs="Arial"/>
          <w:color w:val="000000"/>
          <w:szCs w:val="20"/>
          <w:lang w:val="en-US"/>
        </w:rPr>
        <w:t>HR</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0,498; </w:t>
      </w:r>
      <w:r w:rsidRPr="0085492F">
        <w:rPr>
          <w:rFonts w:eastAsia="Times New Roman" w:cs="Arial"/>
          <w:color w:val="000000"/>
          <w:szCs w:val="20"/>
          <w:lang w:val="en-US"/>
        </w:rPr>
        <w:t>CI</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0,364, 0,683); СС смърт, ИМ без смъртен изход или прицелна съдова реваскуларизация по спешност в течение на 30 дни (5,9% спрямо 7,4%; </w:t>
      </w:r>
      <w:r w:rsidRPr="0085492F">
        <w:rPr>
          <w:rFonts w:eastAsia="Times New Roman" w:cs="Arial"/>
          <w:color w:val="000000"/>
          <w:szCs w:val="20"/>
          <w:lang w:val="en-US"/>
        </w:rPr>
        <w:t>HR</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0,784; </w:t>
      </w:r>
      <w:r w:rsidRPr="0085492F">
        <w:rPr>
          <w:rFonts w:eastAsia="Times New Roman" w:cs="Arial"/>
          <w:color w:val="000000"/>
          <w:szCs w:val="20"/>
          <w:lang w:val="en-US"/>
        </w:rPr>
        <w:t>CI</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0,688, 0,894); всички причини за смърт, ИМ без смъртен изход или инсулт без смъртен изход до края на проучването (10,2% спрямо 12,1%; </w:t>
      </w:r>
      <w:r w:rsidRPr="0085492F">
        <w:rPr>
          <w:rFonts w:eastAsia="Times New Roman" w:cs="Arial"/>
          <w:color w:val="000000"/>
          <w:szCs w:val="20"/>
          <w:lang w:val="en-US"/>
        </w:rPr>
        <w:t>HR</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0,831; </w:t>
      </w:r>
      <w:r w:rsidRPr="0085492F">
        <w:rPr>
          <w:rFonts w:eastAsia="Times New Roman" w:cs="Arial"/>
          <w:color w:val="000000"/>
          <w:szCs w:val="20"/>
          <w:lang w:val="en-US"/>
        </w:rPr>
        <w:t>CI</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0,751,0,919); СС смърт, ИМ без смъртен изход, инсулт без смъртен изход или рехоспитализация поради събитие със сърдечна исхемия до края на проучването (11,7% спрямо 13,8%; </w:t>
      </w:r>
      <w:r w:rsidRPr="0085492F">
        <w:rPr>
          <w:rFonts w:eastAsia="Times New Roman" w:cs="Arial"/>
          <w:color w:val="000000"/>
          <w:szCs w:val="20"/>
          <w:lang w:val="en-US"/>
        </w:rPr>
        <w:t>HR</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0,838; </w:t>
      </w:r>
      <w:r w:rsidRPr="0085492F">
        <w:rPr>
          <w:rFonts w:eastAsia="Times New Roman" w:cs="Arial"/>
          <w:color w:val="000000"/>
          <w:szCs w:val="20"/>
          <w:lang w:val="en-US"/>
        </w:rPr>
        <w:t>CI</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0,762, 0,921). Анализът на всички причини за смъртен случай не показва никаква значима разлика между прасугрел и клопидогрел в цялата популация с ОКС (2,76% спрямо 2,90%), в популацията с нестабилна стенокардия/инфаркт на миокарда без </w:t>
      </w:r>
      <w:r w:rsidRPr="0085492F">
        <w:rPr>
          <w:rFonts w:eastAsia="Times New Roman" w:cs="Arial"/>
          <w:color w:val="000000"/>
          <w:szCs w:val="20"/>
          <w:lang w:val="en-US"/>
        </w:rPr>
        <w:t>ST</w:t>
      </w:r>
      <w:r w:rsidRPr="0085492F">
        <w:rPr>
          <w:rFonts w:eastAsia="Times New Roman" w:cs="Arial"/>
          <w:color w:val="000000"/>
          <w:szCs w:val="20"/>
          <w:lang w:eastAsia="bg-BG"/>
        </w:rPr>
        <w:t xml:space="preserve">-елевация </w:t>
      </w:r>
      <w:r w:rsidRPr="0085492F">
        <w:rPr>
          <w:rFonts w:eastAsia="Times New Roman" w:cs="Arial"/>
          <w:color w:val="000000"/>
          <w:szCs w:val="20"/>
          <w:lang w:val="ru-RU"/>
        </w:rPr>
        <w:t>(</w:t>
      </w:r>
      <w:r w:rsidRPr="0085492F">
        <w:rPr>
          <w:rFonts w:eastAsia="Times New Roman" w:cs="Arial"/>
          <w:color w:val="000000"/>
          <w:szCs w:val="20"/>
          <w:lang w:val="en-US"/>
        </w:rPr>
        <w:t>UA</w:t>
      </w:r>
      <w:r w:rsidRPr="0085492F">
        <w:rPr>
          <w:rFonts w:eastAsia="Times New Roman" w:cs="Arial"/>
          <w:color w:val="000000"/>
          <w:szCs w:val="20"/>
          <w:lang w:val="ru-RU"/>
        </w:rPr>
        <w:t>/</w:t>
      </w:r>
      <w:r w:rsidRPr="0085492F">
        <w:rPr>
          <w:rFonts w:eastAsia="Times New Roman" w:cs="Arial"/>
          <w:color w:val="000000"/>
          <w:szCs w:val="20"/>
          <w:lang w:val="en-US"/>
        </w:rPr>
        <w:t>NSTEMI</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(2,58% спрямо 2,41%), и в популацията с инфаркт на миокарда със </w:t>
      </w:r>
      <w:r w:rsidRPr="0085492F">
        <w:rPr>
          <w:rFonts w:eastAsia="Times New Roman" w:cs="Arial"/>
          <w:color w:val="000000"/>
          <w:szCs w:val="20"/>
          <w:lang w:val="en-US"/>
        </w:rPr>
        <w:t>ST</w:t>
      </w:r>
      <w:r w:rsidRPr="0085492F">
        <w:rPr>
          <w:rFonts w:eastAsia="Times New Roman" w:cs="Arial"/>
          <w:color w:val="000000"/>
          <w:szCs w:val="20"/>
          <w:lang w:eastAsia="bg-BG"/>
        </w:rPr>
        <w:t xml:space="preserve">-елевация </w:t>
      </w:r>
      <w:r w:rsidRPr="0085492F">
        <w:rPr>
          <w:rFonts w:eastAsia="Times New Roman" w:cs="Arial"/>
          <w:color w:val="000000"/>
          <w:szCs w:val="20"/>
          <w:lang w:val="ru-RU"/>
        </w:rPr>
        <w:t>(</w:t>
      </w:r>
      <w:r w:rsidRPr="0085492F">
        <w:rPr>
          <w:rFonts w:eastAsia="Times New Roman" w:cs="Arial"/>
          <w:color w:val="000000"/>
          <w:szCs w:val="20"/>
          <w:lang w:val="en-US"/>
        </w:rPr>
        <w:t>STEMI</w:t>
      </w:r>
      <w:r w:rsidRPr="0085492F">
        <w:rPr>
          <w:rFonts w:eastAsia="Times New Roman" w:cs="Arial"/>
          <w:color w:val="000000"/>
          <w:szCs w:val="20"/>
          <w:lang w:val="ru-RU"/>
        </w:rPr>
        <w:t xml:space="preserve">) </w:t>
      </w:r>
      <w:r w:rsidRPr="0085492F">
        <w:rPr>
          <w:rFonts w:eastAsia="Times New Roman" w:cs="Arial"/>
          <w:color w:val="000000"/>
          <w:szCs w:val="20"/>
          <w:lang w:eastAsia="bg-BG"/>
        </w:rPr>
        <w:t>(3,28% спрямо 4,31%).</w:t>
      </w:r>
    </w:p>
    <w:p w14:paraId="7FE74351" w14:textId="77777777" w:rsidR="0085492F" w:rsidRPr="0085492F" w:rsidRDefault="0085492F" w:rsidP="0085492F">
      <w:pPr>
        <w:spacing w:line="240" w:lineRule="auto"/>
        <w:rPr>
          <w:rFonts w:eastAsia="Times New Roman" w:cs="Arial"/>
          <w:color w:val="000000"/>
          <w:szCs w:val="20"/>
          <w:lang w:eastAsia="bg-BG"/>
        </w:rPr>
      </w:pPr>
    </w:p>
    <w:p w14:paraId="548F0EAF" w14:textId="61C5E4CC" w:rsidR="0085492F" w:rsidRPr="0085492F" w:rsidRDefault="0085492F" w:rsidP="0085492F">
      <w:pPr>
        <w:spacing w:line="240" w:lineRule="auto"/>
        <w:rPr>
          <w:rFonts w:eastAsia="Times New Roman" w:cs="Arial"/>
          <w:sz w:val="28"/>
          <w:szCs w:val="24"/>
        </w:rPr>
      </w:pPr>
      <w:r w:rsidRPr="0085492F">
        <w:rPr>
          <w:rFonts w:eastAsia="Times New Roman" w:cs="Arial"/>
          <w:color w:val="000000"/>
          <w:szCs w:val="20"/>
          <w:lang w:eastAsia="bg-BG"/>
        </w:rPr>
        <w:t>Прасугрел се асоциира с 50% намаляване на стент-тромбозата в течение на 15-месечния период на проследяване. Намаляване на стент-тромбозата с прасугрел е наблюдавана не само рано, но и след 30 дни и за обикновените, непокрити метални стентове, и за медикамент-излъчващите стентове.</w:t>
      </w:r>
    </w:p>
    <w:p w14:paraId="251CED3C" w14:textId="77777777" w:rsidR="0085492F" w:rsidRPr="0085492F" w:rsidRDefault="0085492F" w:rsidP="0085492F">
      <w:pPr>
        <w:spacing w:line="240" w:lineRule="auto"/>
        <w:rPr>
          <w:rFonts w:eastAsia="Times New Roman" w:cs="Arial"/>
          <w:color w:val="000000"/>
          <w:szCs w:val="20"/>
          <w:lang w:eastAsia="bg-BG"/>
        </w:rPr>
      </w:pPr>
    </w:p>
    <w:p w14:paraId="0F333657" w14:textId="11DEA2EC" w:rsidR="0085492F" w:rsidRPr="0085492F" w:rsidRDefault="0085492F" w:rsidP="0085492F">
      <w:pPr>
        <w:spacing w:line="240" w:lineRule="auto"/>
        <w:rPr>
          <w:rFonts w:eastAsia="Times New Roman" w:cs="Arial"/>
          <w:sz w:val="28"/>
          <w:szCs w:val="24"/>
        </w:rPr>
      </w:pPr>
      <w:r w:rsidRPr="0085492F">
        <w:rPr>
          <w:rFonts w:eastAsia="Times New Roman" w:cs="Arial"/>
          <w:color w:val="000000"/>
          <w:szCs w:val="20"/>
          <w:lang w:eastAsia="bg-BG"/>
        </w:rPr>
        <w:t>При анализ на пациентите, които преживяват исхемично събитие, прасугрел се асоциира с намаляване на разпространението на последващи първични крайни събития (7,8% за прасугрел спрямо 11,9% за клопидогрел).</w:t>
      </w:r>
    </w:p>
    <w:p w14:paraId="5449C6D2" w14:textId="77777777" w:rsidR="0085492F" w:rsidRPr="0085492F" w:rsidRDefault="0085492F" w:rsidP="0085492F">
      <w:pPr>
        <w:spacing w:line="240" w:lineRule="auto"/>
        <w:rPr>
          <w:rFonts w:eastAsia="Times New Roman" w:cs="Arial"/>
          <w:color w:val="000000"/>
          <w:szCs w:val="20"/>
          <w:lang w:eastAsia="bg-BG"/>
        </w:rPr>
      </w:pPr>
    </w:p>
    <w:p w14:paraId="3AB85E01" w14:textId="660E7921" w:rsidR="0085492F" w:rsidRPr="0085492F" w:rsidRDefault="0085492F" w:rsidP="0085492F">
      <w:pPr>
        <w:spacing w:line="240" w:lineRule="auto"/>
        <w:rPr>
          <w:rFonts w:eastAsia="Times New Roman" w:cs="Arial"/>
          <w:sz w:val="28"/>
          <w:szCs w:val="24"/>
        </w:rPr>
      </w:pPr>
      <w:r w:rsidRPr="0085492F">
        <w:rPr>
          <w:rFonts w:eastAsia="Times New Roman" w:cs="Arial"/>
          <w:color w:val="000000"/>
          <w:szCs w:val="20"/>
          <w:lang w:eastAsia="bg-BG"/>
        </w:rPr>
        <w:lastRenderedPageBreak/>
        <w:t xml:space="preserve">Макар кървенето да се увеличава с прасугрел, анализът на съставната крайна точка за смърт поради каквато и да е причина, ИМ без смъртен изход или инсулт без смъртен изход, инсулт без смъртен изход и значително кървене, несвързано с аортокоронарен байпас (АКБ), съгласно </w:t>
      </w:r>
      <w:r w:rsidRPr="0085492F">
        <w:rPr>
          <w:rFonts w:eastAsia="Times New Roman" w:cs="Arial"/>
          <w:color w:val="000000"/>
          <w:szCs w:val="20"/>
          <w:lang w:val="en-US"/>
        </w:rPr>
        <w:t>TIMI</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фаворизира прасугрел в сравнение с клопидогрел (Относителен риск, 0,87; 95% </w:t>
      </w:r>
      <w:r w:rsidRPr="0085492F">
        <w:rPr>
          <w:rFonts w:eastAsia="Times New Roman" w:cs="Arial"/>
          <w:color w:val="000000"/>
          <w:szCs w:val="20"/>
          <w:lang w:val="en-US"/>
        </w:rPr>
        <w:t>CI</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0,79 до 0,95; р=0,004). В проучването </w:t>
      </w:r>
      <w:r w:rsidRPr="0085492F">
        <w:rPr>
          <w:rFonts w:eastAsia="Times New Roman" w:cs="Arial"/>
          <w:color w:val="000000"/>
          <w:szCs w:val="20"/>
          <w:lang w:val="en-US"/>
        </w:rPr>
        <w:t>TRITON</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на всеки 1 000 пациенти, лекувани с прасугрел, има 22 пациенти по-малко с инфаркт на миокарда и 5 повече със значително кървене, несвързано с аортокоронарен байпас (АКБ), съгласно </w:t>
      </w:r>
      <w:r w:rsidRPr="0085492F">
        <w:rPr>
          <w:rFonts w:eastAsia="Times New Roman" w:cs="Arial"/>
          <w:color w:val="000000"/>
          <w:szCs w:val="20"/>
          <w:lang w:val="en-US"/>
        </w:rPr>
        <w:t>TIMI</w:t>
      </w:r>
      <w:r w:rsidRPr="0085492F">
        <w:rPr>
          <w:rFonts w:eastAsia="Times New Roman" w:cs="Arial"/>
          <w:color w:val="000000"/>
          <w:szCs w:val="20"/>
          <w:lang w:val="ru-RU"/>
        </w:rPr>
        <w:t xml:space="preserve">, </w:t>
      </w:r>
      <w:r w:rsidRPr="0085492F">
        <w:rPr>
          <w:rFonts w:eastAsia="Times New Roman" w:cs="Arial"/>
          <w:color w:val="000000"/>
          <w:szCs w:val="20"/>
          <w:lang w:eastAsia="bg-BG"/>
        </w:rPr>
        <w:t>в сравнение с пациентите, лекувани с клопидогрел.</w:t>
      </w:r>
    </w:p>
    <w:p w14:paraId="6F468E94" w14:textId="77777777" w:rsidR="0085492F" w:rsidRPr="0085492F" w:rsidRDefault="0085492F" w:rsidP="0085492F">
      <w:pPr>
        <w:spacing w:line="240" w:lineRule="auto"/>
        <w:rPr>
          <w:rFonts w:eastAsia="Times New Roman" w:cs="Arial"/>
          <w:color w:val="000000"/>
          <w:szCs w:val="20"/>
          <w:lang w:eastAsia="bg-BG"/>
        </w:rPr>
      </w:pPr>
    </w:p>
    <w:p w14:paraId="4DFB2142" w14:textId="2D5D4C58" w:rsidR="0085492F" w:rsidRPr="0085492F" w:rsidRDefault="0085492F" w:rsidP="0085492F">
      <w:pPr>
        <w:spacing w:line="240" w:lineRule="auto"/>
        <w:rPr>
          <w:rFonts w:eastAsia="Times New Roman" w:cs="Arial"/>
          <w:sz w:val="28"/>
          <w:szCs w:val="24"/>
        </w:rPr>
      </w:pPr>
      <w:r w:rsidRPr="0085492F">
        <w:rPr>
          <w:rFonts w:eastAsia="Times New Roman" w:cs="Arial"/>
          <w:color w:val="000000"/>
          <w:szCs w:val="20"/>
          <w:lang w:eastAsia="bg-BG"/>
        </w:rPr>
        <w:t xml:space="preserve">Резултатите от фармокодинамично/фармакокинетично изпитване при 720 азиатци, </w:t>
      </w:r>
      <w:r w:rsidRPr="0085492F">
        <w:rPr>
          <w:rFonts w:eastAsia="Times New Roman" w:cs="Arial"/>
          <w:color w:val="000000"/>
          <w:szCs w:val="20"/>
          <w:lang w:val="en-US"/>
        </w:rPr>
        <w:t>ACS</w:t>
      </w:r>
      <w:r w:rsidRPr="0085492F">
        <w:rPr>
          <w:rFonts w:eastAsia="Times New Roman" w:cs="Arial"/>
          <w:color w:val="000000"/>
          <w:szCs w:val="20"/>
          <w:lang w:val="ru-RU"/>
        </w:rPr>
        <w:t xml:space="preserve"> </w:t>
      </w:r>
      <w:r w:rsidRPr="0085492F">
        <w:rPr>
          <w:rFonts w:eastAsia="Times New Roman" w:cs="Arial"/>
          <w:color w:val="000000"/>
          <w:szCs w:val="20"/>
          <w:lang w:val="en-US"/>
        </w:rPr>
        <w:t>PCI</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пациенти доказват, че по-високи нива на тромбоцитна инхибиция се постигат с прасугрел, в сравнение с клопидогрел и че прасугрел 60 </w:t>
      </w:r>
      <w:r w:rsidRPr="0085492F">
        <w:rPr>
          <w:rFonts w:eastAsia="Times New Roman" w:cs="Arial"/>
          <w:color w:val="000000"/>
          <w:szCs w:val="20"/>
          <w:lang w:val="en-US"/>
        </w:rPr>
        <w:t>mg</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натоварваща доза към 10 </w:t>
      </w:r>
      <w:r w:rsidRPr="0085492F">
        <w:rPr>
          <w:rFonts w:eastAsia="Times New Roman" w:cs="Arial"/>
          <w:color w:val="000000"/>
          <w:szCs w:val="20"/>
          <w:lang w:val="en-US"/>
        </w:rPr>
        <w:t>mg</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поддържаща доза е подходящ дозов режим при азиатци, с тегло най-малко 60 </w:t>
      </w:r>
      <w:r w:rsidRPr="0085492F">
        <w:rPr>
          <w:rFonts w:eastAsia="Times New Roman" w:cs="Arial"/>
          <w:color w:val="000000"/>
          <w:szCs w:val="20"/>
          <w:lang w:val="en-US"/>
        </w:rPr>
        <w:t>kg</w:t>
      </w:r>
      <w:r w:rsidRPr="0085492F">
        <w:rPr>
          <w:rFonts w:eastAsia="Times New Roman" w:cs="Arial"/>
          <w:color w:val="000000"/>
          <w:szCs w:val="20"/>
          <w:lang w:val="ru-RU"/>
        </w:rPr>
        <w:t xml:space="preserve"> </w:t>
      </w:r>
      <w:r w:rsidRPr="0085492F">
        <w:rPr>
          <w:rFonts w:eastAsia="Times New Roman" w:cs="Arial"/>
          <w:color w:val="000000"/>
          <w:szCs w:val="20"/>
          <w:lang w:eastAsia="bg-BG"/>
        </w:rPr>
        <w:t>и възраст под 75 години ( вж. точка 4.2 ).</w:t>
      </w:r>
    </w:p>
    <w:p w14:paraId="13E3554C" w14:textId="77777777" w:rsidR="0085492F" w:rsidRPr="0085492F" w:rsidRDefault="0085492F" w:rsidP="0085492F">
      <w:pPr>
        <w:spacing w:line="240" w:lineRule="auto"/>
        <w:rPr>
          <w:rFonts w:eastAsia="Times New Roman" w:cs="Arial"/>
          <w:color w:val="000000"/>
          <w:szCs w:val="20"/>
          <w:lang w:eastAsia="bg-BG"/>
        </w:rPr>
      </w:pPr>
    </w:p>
    <w:p w14:paraId="0A6CC80F" w14:textId="3594C077" w:rsidR="0085492F" w:rsidRPr="0085492F" w:rsidRDefault="0085492F" w:rsidP="0085492F">
      <w:pPr>
        <w:spacing w:line="240" w:lineRule="auto"/>
        <w:rPr>
          <w:rFonts w:eastAsia="Times New Roman" w:cs="Arial"/>
          <w:color w:val="000000"/>
          <w:szCs w:val="20"/>
          <w:lang w:val="ru-RU" w:eastAsia="bg-BG"/>
        </w:rPr>
      </w:pPr>
      <w:r w:rsidRPr="0085492F">
        <w:rPr>
          <w:rFonts w:eastAsia="Times New Roman" w:cs="Arial"/>
          <w:color w:val="000000"/>
          <w:szCs w:val="20"/>
          <w:lang w:eastAsia="bg-BG"/>
        </w:rPr>
        <w:t xml:space="preserve">В 30-месечно проучване </w:t>
      </w:r>
      <w:r w:rsidRPr="0085492F">
        <w:rPr>
          <w:rFonts w:eastAsia="Times New Roman" w:cs="Arial"/>
          <w:color w:val="000000"/>
          <w:szCs w:val="20"/>
          <w:lang w:val="ru-RU"/>
        </w:rPr>
        <w:t>(</w:t>
      </w:r>
      <w:r w:rsidRPr="0085492F">
        <w:rPr>
          <w:rFonts w:eastAsia="Times New Roman" w:cs="Arial"/>
          <w:color w:val="000000"/>
          <w:szCs w:val="20"/>
          <w:lang w:val="en-US"/>
        </w:rPr>
        <w:t>TRILOGY</w:t>
      </w:r>
      <w:r w:rsidRPr="0085492F">
        <w:rPr>
          <w:rFonts w:eastAsia="Times New Roman" w:cs="Arial"/>
          <w:color w:val="000000"/>
          <w:szCs w:val="20"/>
          <w:lang w:val="ru-RU"/>
        </w:rPr>
        <w:t>-</w:t>
      </w:r>
      <w:r w:rsidRPr="0085492F">
        <w:rPr>
          <w:rFonts w:eastAsia="Times New Roman" w:cs="Arial"/>
          <w:color w:val="000000"/>
          <w:szCs w:val="20"/>
          <w:lang w:val="en-US"/>
        </w:rPr>
        <w:t>ACS</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при 9 326 пациенти с нестабилна стенокардия/инфаркт на миокарда без </w:t>
      </w:r>
      <w:r w:rsidRPr="0085492F">
        <w:rPr>
          <w:rFonts w:eastAsia="Times New Roman" w:cs="Arial"/>
          <w:color w:val="000000"/>
          <w:szCs w:val="20"/>
          <w:lang w:val="en-US"/>
        </w:rPr>
        <w:t>ST</w:t>
      </w:r>
      <w:r w:rsidRPr="0085492F">
        <w:rPr>
          <w:rFonts w:eastAsia="Times New Roman" w:cs="Arial"/>
          <w:color w:val="000000"/>
          <w:szCs w:val="20"/>
          <w:lang w:eastAsia="bg-BG"/>
        </w:rPr>
        <w:t xml:space="preserve">-елевация </w:t>
      </w:r>
      <w:r w:rsidRPr="0085492F">
        <w:rPr>
          <w:rFonts w:eastAsia="Times New Roman" w:cs="Arial"/>
          <w:color w:val="000000"/>
          <w:szCs w:val="20"/>
          <w:lang w:val="ru-RU"/>
        </w:rPr>
        <w:t>(</w:t>
      </w:r>
      <w:r w:rsidRPr="0085492F">
        <w:rPr>
          <w:rFonts w:eastAsia="Times New Roman" w:cs="Arial"/>
          <w:color w:val="000000"/>
          <w:szCs w:val="20"/>
          <w:lang w:val="en-US"/>
        </w:rPr>
        <w:t>UA</w:t>
      </w:r>
      <w:r w:rsidRPr="0085492F">
        <w:rPr>
          <w:rFonts w:eastAsia="Times New Roman" w:cs="Arial"/>
          <w:color w:val="000000"/>
          <w:szCs w:val="20"/>
          <w:lang w:val="ru-RU"/>
        </w:rPr>
        <w:t>/</w:t>
      </w:r>
      <w:r w:rsidRPr="0085492F">
        <w:rPr>
          <w:rFonts w:eastAsia="Times New Roman" w:cs="Arial"/>
          <w:color w:val="000000"/>
          <w:szCs w:val="20"/>
          <w:lang w:val="en-US"/>
        </w:rPr>
        <w:t>NSTEMI</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ОКС е лекуван медикаментозно без реваскуларизация (показание, което не е разрешено), прасугрел не намалява сигнификантно честотата на съставната крайна точка за сърдечно-съдова смърт, ИМ или инсулт в сравнение с клопидогрел. Честотата на значително кървене съгласно </w:t>
      </w:r>
      <w:r w:rsidRPr="0085492F">
        <w:rPr>
          <w:rFonts w:eastAsia="Times New Roman" w:cs="Arial"/>
          <w:color w:val="000000"/>
          <w:szCs w:val="20"/>
          <w:lang w:val="en-US"/>
        </w:rPr>
        <w:t>TIMI</w:t>
      </w:r>
      <w:r w:rsidRPr="0085492F">
        <w:rPr>
          <w:rFonts w:eastAsia="Times New Roman" w:cs="Arial"/>
          <w:color w:val="000000"/>
          <w:szCs w:val="20"/>
          <w:lang w:eastAsia="bg-BG"/>
        </w:rPr>
        <w:t xml:space="preserve"> (включително животозастрашаващо, с фатален изход и интракраниална хеморагия) е подобна при пациентите, лекувани с прасугрел и клопидогрел. Пациенти на възраст ≥75 години или тези с тегло под 60 </w:t>
      </w:r>
      <w:r w:rsidRPr="0085492F">
        <w:rPr>
          <w:rFonts w:eastAsia="Times New Roman" w:cs="Arial"/>
          <w:color w:val="000000"/>
          <w:szCs w:val="20"/>
          <w:lang w:val="en-US"/>
        </w:rPr>
        <w:t>kg</w:t>
      </w:r>
      <w:r w:rsidRPr="0085492F">
        <w:rPr>
          <w:rFonts w:eastAsia="Times New Roman" w:cs="Arial"/>
          <w:color w:val="000000"/>
          <w:szCs w:val="20"/>
          <w:lang w:val="ru-RU"/>
        </w:rPr>
        <w:t xml:space="preserve"> (</w:t>
      </w:r>
      <w:r w:rsidRPr="0085492F">
        <w:rPr>
          <w:rFonts w:eastAsia="Times New Roman" w:cs="Arial"/>
          <w:color w:val="000000"/>
          <w:szCs w:val="20"/>
          <w:lang w:val="en-US"/>
        </w:rPr>
        <w:t>N</w:t>
      </w:r>
      <w:r w:rsidRPr="0085492F">
        <w:rPr>
          <w:rFonts w:eastAsia="Times New Roman" w:cs="Arial"/>
          <w:color w:val="000000"/>
          <w:szCs w:val="20"/>
          <w:lang w:val="ru-RU"/>
        </w:rPr>
        <w:t xml:space="preserve">=3 </w:t>
      </w:r>
      <w:r w:rsidRPr="0085492F">
        <w:rPr>
          <w:rFonts w:eastAsia="Times New Roman" w:cs="Arial"/>
          <w:color w:val="000000"/>
          <w:szCs w:val="20"/>
          <w:lang w:eastAsia="bg-BG"/>
        </w:rPr>
        <w:t xml:space="preserve">022) са рандомизирани да получават 5 </w:t>
      </w:r>
      <w:r w:rsidRPr="0085492F">
        <w:rPr>
          <w:rFonts w:eastAsia="Times New Roman" w:cs="Arial"/>
          <w:color w:val="000000"/>
          <w:szCs w:val="20"/>
          <w:lang w:val="en-US"/>
        </w:rPr>
        <w:t>mg</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прасугрел. Както при пациентите на възраст &lt;75 години и тегло ≥60 </w:t>
      </w:r>
      <w:r w:rsidRPr="0085492F">
        <w:rPr>
          <w:rFonts w:eastAsia="Times New Roman" w:cs="Arial"/>
          <w:color w:val="000000"/>
          <w:szCs w:val="20"/>
          <w:lang w:val="en-US"/>
        </w:rPr>
        <w:t>kg</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лекувани с 10 </w:t>
      </w:r>
      <w:r w:rsidRPr="0085492F">
        <w:rPr>
          <w:rFonts w:eastAsia="Times New Roman" w:cs="Arial"/>
          <w:color w:val="000000"/>
          <w:szCs w:val="20"/>
          <w:lang w:val="en-US"/>
        </w:rPr>
        <w:t>mg</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прасугрел, няма разлика между 5 </w:t>
      </w:r>
      <w:r w:rsidRPr="0085492F">
        <w:rPr>
          <w:rFonts w:eastAsia="Times New Roman" w:cs="Arial"/>
          <w:color w:val="000000"/>
          <w:szCs w:val="20"/>
          <w:lang w:val="en-US"/>
        </w:rPr>
        <w:t>mg</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прасугрел и 75 </w:t>
      </w:r>
      <w:r w:rsidRPr="0085492F">
        <w:rPr>
          <w:rFonts w:eastAsia="Times New Roman" w:cs="Arial"/>
          <w:color w:val="000000"/>
          <w:szCs w:val="20"/>
          <w:lang w:val="en-US"/>
        </w:rPr>
        <w:t>mg</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клопидогрел в сърдечно-съдовия изход. Честотата на значително кървене е подобна при пациентите, лекувани с 5 </w:t>
      </w:r>
      <w:r w:rsidRPr="0085492F">
        <w:rPr>
          <w:rFonts w:eastAsia="Times New Roman" w:cs="Arial"/>
          <w:color w:val="000000"/>
          <w:szCs w:val="20"/>
          <w:lang w:val="en-US"/>
        </w:rPr>
        <w:t>mg</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прасугрел, и тези, лекувани със 75 </w:t>
      </w:r>
      <w:r w:rsidRPr="0085492F">
        <w:rPr>
          <w:rFonts w:eastAsia="Times New Roman" w:cs="Arial"/>
          <w:color w:val="000000"/>
          <w:szCs w:val="20"/>
          <w:lang w:val="en-US"/>
        </w:rPr>
        <w:t>mg</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клопидогрел. Прасугрел 5 </w:t>
      </w:r>
      <w:r w:rsidRPr="0085492F">
        <w:rPr>
          <w:rFonts w:eastAsia="Times New Roman" w:cs="Arial"/>
          <w:color w:val="000000"/>
          <w:szCs w:val="20"/>
          <w:lang w:val="en-US"/>
        </w:rPr>
        <w:t>mg</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осигурява по-голям антитромботичен ефект, отколкото клопидогрел 75 </w:t>
      </w:r>
      <w:r w:rsidRPr="0085492F">
        <w:rPr>
          <w:rFonts w:eastAsia="Times New Roman" w:cs="Arial"/>
          <w:color w:val="000000"/>
          <w:szCs w:val="20"/>
          <w:lang w:val="en-US"/>
        </w:rPr>
        <w:t>mg</w:t>
      </w:r>
      <w:r w:rsidRPr="0085492F">
        <w:rPr>
          <w:rFonts w:eastAsia="Times New Roman" w:cs="Arial"/>
          <w:color w:val="000000"/>
          <w:szCs w:val="20"/>
          <w:lang w:val="ru-RU"/>
        </w:rPr>
        <w:t xml:space="preserve">. </w:t>
      </w:r>
      <w:r w:rsidRPr="0085492F">
        <w:rPr>
          <w:rFonts w:eastAsia="Times New Roman" w:cs="Arial"/>
          <w:color w:val="000000"/>
          <w:szCs w:val="20"/>
          <w:lang w:eastAsia="bg-BG"/>
        </w:rPr>
        <w:t>Прасугрел трябва да се използва с повишено внимание при</w:t>
      </w:r>
      <w:r w:rsidRPr="0085492F">
        <w:rPr>
          <w:rFonts w:eastAsia="Times New Roman" w:cs="Arial"/>
          <w:b/>
          <w:bCs/>
          <w:color w:val="000000"/>
          <w:szCs w:val="20"/>
          <w:lang w:eastAsia="bg-BG"/>
        </w:rPr>
        <w:t xml:space="preserve"> </w:t>
      </w:r>
      <w:r w:rsidRPr="0085492F">
        <w:rPr>
          <w:rFonts w:eastAsia="Times New Roman" w:cs="Arial"/>
          <w:color w:val="000000"/>
          <w:szCs w:val="20"/>
          <w:lang w:eastAsia="bg-BG"/>
        </w:rPr>
        <w:t xml:space="preserve">пациенти на възраст ≥75 години и при пациенти с тегло &lt;60 </w:t>
      </w:r>
      <w:r w:rsidRPr="0085492F">
        <w:rPr>
          <w:rFonts w:eastAsia="Times New Roman" w:cs="Arial"/>
          <w:color w:val="000000"/>
          <w:szCs w:val="20"/>
          <w:lang w:val="en-US"/>
        </w:rPr>
        <w:t>kg</w:t>
      </w:r>
      <w:r w:rsidRPr="0085492F">
        <w:rPr>
          <w:rFonts w:eastAsia="Times New Roman" w:cs="Arial"/>
          <w:color w:val="000000"/>
          <w:szCs w:val="20"/>
          <w:lang w:val="ru-RU"/>
        </w:rPr>
        <w:t xml:space="preserve"> </w:t>
      </w:r>
      <w:r w:rsidRPr="0085492F">
        <w:rPr>
          <w:rFonts w:eastAsia="Times New Roman" w:cs="Arial"/>
          <w:color w:val="000000"/>
          <w:szCs w:val="20"/>
          <w:lang w:eastAsia="bg-BG"/>
        </w:rPr>
        <w:t>(вж. точки 4.2,4.4 и 4.8)</w:t>
      </w:r>
      <w:r w:rsidRPr="0085492F">
        <w:rPr>
          <w:rFonts w:eastAsia="Times New Roman" w:cs="Arial"/>
          <w:color w:val="000000"/>
          <w:szCs w:val="20"/>
          <w:lang w:val="ru-RU" w:eastAsia="bg-BG"/>
        </w:rPr>
        <w:t>.</w:t>
      </w:r>
    </w:p>
    <w:p w14:paraId="685334CE" w14:textId="5B1DB0CB" w:rsidR="0085492F" w:rsidRPr="0085492F" w:rsidRDefault="0085492F" w:rsidP="0085492F">
      <w:pPr>
        <w:spacing w:line="240" w:lineRule="auto"/>
        <w:rPr>
          <w:rFonts w:eastAsia="Times New Roman" w:cs="Arial"/>
          <w:color w:val="000000"/>
          <w:szCs w:val="20"/>
          <w:lang w:eastAsia="bg-BG"/>
        </w:rPr>
      </w:pPr>
    </w:p>
    <w:p w14:paraId="12238C79" w14:textId="77777777" w:rsidR="0085492F" w:rsidRPr="0085492F" w:rsidRDefault="0085492F" w:rsidP="0085492F">
      <w:pPr>
        <w:spacing w:line="240" w:lineRule="auto"/>
        <w:rPr>
          <w:rFonts w:eastAsia="Times New Roman" w:cs="Arial"/>
          <w:sz w:val="28"/>
          <w:szCs w:val="24"/>
        </w:rPr>
      </w:pPr>
      <w:r w:rsidRPr="0085492F">
        <w:rPr>
          <w:rFonts w:eastAsia="Times New Roman" w:cs="Arial"/>
          <w:color w:val="000000"/>
          <w:szCs w:val="20"/>
          <w:lang w:eastAsia="bg-BG"/>
        </w:rPr>
        <w:t xml:space="preserve">В 30-дневно проучване </w:t>
      </w:r>
      <w:r w:rsidRPr="0085492F">
        <w:rPr>
          <w:rFonts w:eastAsia="Times New Roman" w:cs="Arial"/>
          <w:color w:val="000000"/>
          <w:szCs w:val="20"/>
          <w:lang w:val="ru-RU"/>
        </w:rPr>
        <w:t>(</w:t>
      </w:r>
      <w:r w:rsidRPr="0085492F">
        <w:rPr>
          <w:rFonts w:eastAsia="Times New Roman" w:cs="Arial"/>
          <w:color w:val="000000"/>
          <w:szCs w:val="20"/>
          <w:lang w:val="en-US"/>
        </w:rPr>
        <w:t>ACCOAST</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при 4 033 пациенти с </w:t>
      </w:r>
      <w:r w:rsidRPr="0085492F">
        <w:rPr>
          <w:rFonts w:eastAsia="Times New Roman" w:cs="Arial"/>
          <w:color w:val="000000"/>
          <w:szCs w:val="20"/>
          <w:lang w:val="en-US"/>
        </w:rPr>
        <w:t>NSTEMI</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с повишени нива на тропонин, които са планирани за коронарна ангиография последвано от </w:t>
      </w:r>
      <w:r w:rsidRPr="0085492F">
        <w:rPr>
          <w:rFonts w:eastAsia="Times New Roman" w:cs="Arial"/>
          <w:color w:val="000000"/>
          <w:szCs w:val="20"/>
          <w:lang w:val="en-US"/>
        </w:rPr>
        <w:t>PCI</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в рамките на 2 до 48 часа след рандомизацията, пациентите, които получават натоварваща доза на прасугрел от 30 </w:t>
      </w:r>
      <w:r w:rsidRPr="0085492F">
        <w:rPr>
          <w:rFonts w:eastAsia="Times New Roman" w:cs="Arial"/>
          <w:color w:val="000000"/>
          <w:szCs w:val="20"/>
          <w:lang w:val="en-US"/>
        </w:rPr>
        <w:t>mg</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средно 4 часа преди коронарната ангиография последвана от допълнителна натоварваща доза от 30 </w:t>
      </w:r>
      <w:r w:rsidRPr="0085492F">
        <w:rPr>
          <w:rFonts w:eastAsia="Times New Roman" w:cs="Arial"/>
          <w:color w:val="000000"/>
          <w:szCs w:val="20"/>
          <w:lang w:val="en-US"/>
        </w:rPr>
        <w:t>mg</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по време на </w:t>
      </w:r>
      <w:r w:rsidRPr="0085492F">
        <w:rPr>
          <w:rFonts w:eastAsia="Times New Roman" w:cs="Arial"/>
          <w:color w:val="000000"/>
          <w:szCs w:val="20"/>
          <w:lang w:val="en-US"/>
        </w:rPr>
        <w:t>PCI</w:t>
      </w:r>
      <w:r w:rsidRPr="0085492F">
        <w:rPr>
          <w:rFonts w:eastAsia="Times New Roman" w:cs="Arial"/>
          <w:color w:val="000000"/>
          <w:szCs w:val="20"/>
          <w:lang w:val="ru-RU"/>
        </w:rPr>
        <w:t xml:space="preserve"> </w:t>
      </w:r>
      <w:r w:rsidRPr="0085492F">
        <w:rPr>
          <w:rFonts w:eastAsia="Times New Roman" w:cs="Arial"/>
          <w:color w:val="000000"/>
          <w:szCs w:val="20"/>
          <w:lang w:eastAsia="bg-BG"/>
        </w:rPr>
        <w:t>(</w:t>
      </w:r>
      <w:r w:rsidRPr="0085492F">
        <w:rPr>
          <w:rFonts w:eastAsia="Times New Roman" w:cs="Arial"/>
          <w:color w:val="000000"/>
          <w:szCs w:val="20"/>
          <w:lang w:val="en-US"/>
        </w:rPr>
        <w:t>n</w:t>
      </w:r>
      <w:r w:rsidRPr="0085492F">
        <w:rPr>
          <w:rFonts w:eastAsia="Times New Roman" w:cs="Arial"/>
          <w:color w:val="000000"/>
          <w:szCs w:val="20"/>
          <w:lang w:eastAsia="bg-BG"/>
        </w:rPr>
        <w:t xml:space="preserve">=2 037), в пери-процедурния период имат повишен риск от кървене, несвързано с аортокоронарен байпас (несвързани с АКБ), и нямат допълнителна полза в сравнение с пациентите, които получават натоварваща доза от 60 </w:t>
      </w:r>
      <w:r w:rsidRPr="0085492F">
        <w:rPr>
          <w:rFonts w:eastAsia="Times New Roman" w:cs="Arial"/>
          <w:color w:val="000000"/>
          <w:szCs w:val="20"/>
          <w:lang w:val="en-US"/>
        </w:rPr>
        <w:t>mg</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по време на </w:t>
      </w:r>
      <w:r w:rsidRPr="0085492F">
        <w:rPr>
          <w:rFonts w:eastAsia="Times New Roman" w:cs="Arial"/>
          <w:color w:val="000000"/>
          <w:szCs w:val="20"/>
          <w:lang w:val="en-US"/>
        </w:rPr>
        <w:t>PCI</w:t>
      </w:r>
      <w:r w:rsidRPr="0085492F">
        <w:rPr>
          <w:rFonts w:eastAsia="Times New Roman" w:cs="Arial"/>
          <w:color w:val="000000"/>
          <w:szCs w:val="20"/>
          <w:lang w:val="ru-RU"/>
        </w:rPr>
        <w:t xml:space="preserve"> </w:t>
      </w:r>
      <w:r w:rsidRPr="0085492F">
        <w:rPr>
          <w:rFonts w:eastAsia="Times New Roman" w:cs="Arial"/>
          <w:color w:val="000000"/>
          <w:szCs w:val="20"/>
          <w:lang w:eastAsia="bg-BG"/>
        </w:rPr>
        <w:t>(</w:t>
      </w:r>
      <w:r w:rsidRPr="0085492F">
        <w:rPr>
          <w:rFonts w:eastAsia="Times New Roman" w:cs="Arial"/>
          <w:color w:val="000000"/>
          <w:szCs w:val="20"/>
          <w:lang w:val="en-US"/>
        </w:rPr>
        <w:t>n</w:t>
      </w:r>
      <w:r w:rsidRPr="0085492F">
        <w:rPr>
          <w:rFonts w:eastAsia="Times New Roman" w:cs="Arial"/>
          <w:color w:val="000000"/>
          <w:szCs w:val="20"/>
          <w:lang w:val="ru-RU"/>
        </w:rPr>
        <w:t>=</w:t>
      </w:r>
      <w:r w:rsidRPr="0085492F">
        <w:rPr>
          <w:rFonts w:eastAsia="Times New Roman" w:cs="Arial"/>
          <w:color w:val="000000"/>
          <w:szCs w:val="20"/>
          <w:lang w:eastAsia="bg-BG"/>
        </w:rPr>
        <w:t xml:space="preserve">1 996). По-конкретно, честотата на съставната крайна точка от смъртен изход поради сърдечносъдови причини, инфаркт на миокарда, инсулт, реваскуларизация по спешност или употреба на инхибитори на гликопротеин </w:t>
      </w:r>
      <w:r w:rsidRPr="0085492F">
        <w:rPr>
          <w:rFonts w:eastAsia="Times New Roman" w:cs="Arial"/>
          <w:color w:val="000000"/>
          <w:szCs w:val="20"/>
          <w:lang w:val="ru-RU"/>
        </w:rPr>
        <w:t>(</w:t>
      </w:r>
      <w:r w:rsidRPr="0085492F">
        <w:rPr>
          <w:rFonts w:eastAsia="Times New Roman" w:cs="Arial"/>
          <w:color w:val="000000"/>
          <w:szCs w:val="20"/>
          <w:lang w:val="en-US"/>
        </w:rPr>
        <w:t>GP</w:t>
      </w:r>
      <w:r w:rsidRPr="0085492F">
        <w:rPr>
          <w:rFonts w:eastAsia="Times New Roman" w:cs="Arial"/>
          <w:color w:val="000000"/>
          <w:szCs w:val="20"/>
          <w:lang w:val="ru-RU"/>
        </w:rPr>
        <w:t xml:space="preserve">) </w:t>
      </w:r>
      <w:proofErr w:type="spellStart"/>
      <w:r w:rsidRPr="0085492F">
        <w:rPr>
          <w:rFonts w:eastAsia="Times New Roman" w:cs="Arial"/>
          <w:color w:val="000000"/>
          <w:szCs w:val="20"/>
          <w:lang w:val="en-US"/>
        </w:rPr>
        <w:t>IIb</w:t>
      </w:r>
      <w:proofErr w:type="spellEnd"/>
      <w:r w:rsidRPr="0085492F">
        <w:rPr>
          <w:rFonts w:eastAsia="Times New Roman" w:cs="Arial"/>
          <w:color w:val="000000"/>
          <w:szCs w:val="20"/>
          <w:lang w:val="ru-RU"/>
        </w:rPr>
        <w:t>/</w:t>
      </w:r>
      <w:proofErr w:type="spellStart"/>
      <w:r w:rsidRPr="0085492F">
        <w:rPr>
          <w:rFonts w:eastAsia="Times New Roman" w:cs="Arial"/>
          <w:color w:val="000000"/>
          <w:szCs w:val="20"/>
          <w:lang w:val="en-US"/>
        </w:rPr>
        <w:t>IIIa</w:t>
      </w:r>
      <w:proofErr w:type="spellEnd"/>
      <w:r w:rsidRPr="0085492F">
        <w:rPr>
          <w:rFonts w:eastAsia="Times New Roman" w:cs="Arial"/>
          <w:color w:val="000000"/>
          <w:szCs w:val="20"/>
          <w:lang w:eastAsia="bg-BG"/>
        </w:rPr>
        <w:t xml:space="preserve"> като животоспасяваща терапия в течение на 7 дни след рандомизацията, не е значимо намалена при пациенти, които получават прасугрел преди коронарната ангиография, в сравнение с пациенти, които получават цялата натоварваща доза прасугрел по време на </w:t>
      </w:r>
      <w:r w:rsidRPr="0085492F">
        <w:rPr>
          <w:rFonts w:eastAsia="Times New Roman" w:cs="Arial"/>
          <w:color w:val="000000"/>
          <w:szCs w:val="20"/>
          <w:lang w:val="en-US"/>
        </w:rPr>
        <w:t>PCI</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Освен това, честотата на значително кървене по </w:t>
      </w:r>
      <w:r w:rsidRPr="0085492F">
        <w:rPr>
          <w:rFonts w:eastAsia="Times New Roman" w:cs="Arial"/>
          <w:color w:val="000000"/>
          <w:szCs w:val="20"/>
          <w:lang w:val="en-US"/>
        </w:rPr>
        <w:t>TIMI</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(събития, свързани с АКБ и несвързани с АКБ), от гледна точка на безопасност, в рамките на на 7 дни от рандомизацията при всички лекувани пациенти, е значимо по-висока при пациентите, които получават прасугрел преди коронарната ангиография, спрямо пациентите, които получават цялата натоварваща доза прасугрел по време на </w:t>
      </w:r>
      <w:r w:rsidRPr="0085492F">
        <w:rPr>
          <w:rFonts w:eastAsia="Times New Roman" w:cs="Arial"/>
          <w:color w:val="000000"/>
          <w:szCs w:val="20"/>
          <w:lang w:val="en-US"/>
        </w:rPr>
        <w:t>PCI</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Затова, когато коронарната ангиография при пациенти с </w:t>
      </w:r>
      <w:r w:rsidRPr="0085492F">
        <w:rPr>
          <w:rFonts w:eastAsia="Times New Roman" w:cs="Arial"/>
          <w:color w:val="000000"/>
          <w:szCs w:val="20"/>
          <w:lang w:val="en-US"/>
        </w:rPr>
        <w:t>UA</w:t>
      </w:r>
      <w:r w:rsidRPr="0085492F">
        <w:rPr>
          <w:rFonts w:eastAsia="Times New Roman" w:cs="Arial"/>
          <w:color w:val="000000"/>
          <w:szCs w:val="20"/>
          <w:lang w:val="ru-RU"/>
        </w:rPr>
        <w:t>/</w:t>
      </w:r>
      <w:r w:rsidRPr="0085492F">
        <w:rPr>
          <w:rFonts w:eastAsia="Times New Roman" w:cs="Arial"/>
          <w:color w:val="000000"/>
          <w:szCs w:val="20"/>
          <w:lang w:val="en-US"/>
        </w:rPr>
        <w:t>NSTEMI</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се извършва в </w:t>
      </w:r>
      <w:r w:rsidRPr="0085492F">
        <w:rPr>
          <w:rFonts w:eastAsia="Times New Roman" w:cs="Arial"/>
          <w:color w:val="000000"/>
          <w:szCs w:val="20"/>
          <w:lang w:eastAsia="bg-BG"/>
        </w:rPr>
        <w:lastRenderedPageBreak/>
        <w:t xml:space="preserve">рамките на 48 часа след хоспитализация, натоварващата доза трябва да се прилага по време на </w:t>
      </w:r>
      <w:r w:rsidRPr="0085492F">
        <w:rPr>
          <w:rFonts w:eastAsia="Times New Roman" w:cs="Arial"/>
          <w:color w:val="000000"/>
          <w:szCs w:val="20"/>
          <w:lang w:val="en-US"/>
        </w:rPr>
        <w:t>PCI</w:t>
      </w:r>
      <w:r w:rsidRPr="0085492F">
        <w:rPr>
          <w:rFonts w:eastAsia="Times New Roman" w:cs="Arial"/>
          <w:color w:val="000000"/>
          <w:szCs w:val="20"/>
          <w:lang w:val="ru-RU"/>
        </w:rPr>
        <w:t xml:space="preserve"> </w:t>
      </w:r>
      <w:r w:rsidRPr="0085492F">
        <w:rPr>
          <w:rFonts w:eastAsia="Times New Roman" w:cs="Arial"/>
          <w:color w:val="000000"/>
          <w:szCs w:val="20"/>
          <w:lang w:eastAsia="bg-BG"/>
        </w:rPr>
        <w:t>(вж. точки 4.2,4.4 и 4.8).</w:t>
      </w:r>
    </w:p>
    <w:p w14:paraId="02453F29" w14:textId="77777777" w:rsidR="0085492F" w:rsidRPr="0085492F" w:rsidRDefault="0085492F" w:rsidP="0085492F">
      <w:pPr>
        <w:spacing w:line="240" w:lineRule="auto"/>
        <w:rPr>
          <w:rFonts w:eastAsia="Times New Roman" w:cs="Arial"/>
          <w:color w:val="000000"/>
          <w:szCs w:val="20"/>
          <w:u w:val="single"/>
          <w:lang w:eastAsia="bg-BG"/>
        </w:rPr>
      </w:pPr>
    </w:p>
    <w:p w14:paraId="78D0C4C3" w14:textId="747687D0" w:rsidR="0085492F" w:rsidRPr="0085492F" w:rsidRDefault="0085492F" w:rsidP="0085492F">
      <w:pPr>
        <w:spacing w:line="240" w:lineRule="auto"/>
        <w:rPr>
          <w:rFonts w:eastAsia="Times New Roman" w:cs="Arial"/>
          <w:sz w:val="28"/>
          <w:szCs w:val="24"/>
        </w:rPr>
      </w:pPr>
      <w:r w:rsidRPr="0085492F">
        <w:rPr>
          <w:rFonts w:eastAsia="Times New Roman" w:cs="Arial"/>
          <w:color w:val="000000"/>
          <w:szCs w:val="20"/>
          <w:u w:val="single"/>
          <w:lang w:eastAsia="bg-BG"/>
        </w:rPr>
        <w:t>Педиатрична популация</w:t>
      </w:r>
    </w:p>
    <w:p w14:paraId="1D1437C3" w14:textId="5AE723D7" w:rsidR="0085492F" w:rsidRDefault="0085492F" w:rsidP="0085492F">
      <w:pPr>
        <w:spacing w:line="240" w:lineRule="auto"/>
        <w:rPr>
          <w:rFonts w:eastAsia="Times New Roman" w:cs="Arial"/>
          <w:color w:val="000000"/>
          <w:szCs w:val="20"/>
          <w:lang w:eastAsia="bg-BG"/>
        </w:rPr>
      </w:pPr>
      <w:r w:rsidRPr="0085492F">
        <w:rPr>
          <w:rFonts w:eastAsia="Times New Roman" w:cs="Arial"/>
          <w:color w:val="000000"/>
          <w:szCs w:val="20"/>
          <w:lang w:eastAsia="bg-BG"/>
        </w:rPr>
        <w:t xml:space="preserve">Проучването </w:t>
      </w:r>
      <w:r w:rsidRPr="0085492F">
        <w:rPr>
          <w:rFonts w:eastAsia="Times New Roman" w:cs="Arial"/>
          <w:color w:val="000000"/>
          <w:szCs w:val="20"/>
          <w:lang w:val="en-US"/>
        </w:rPr>
        <w:t>TADO</w:t>
      </w:r>
      <w:r w:rsidRPr="0085492F">
        <w:rPr>
          <w:rFonts w:eastAsia="Times New Roman" w:cs="Arial"/>
          <w:color w:val="000000"/>
          <w:szCs w:val="20"/>
          <w:lang w:val="ru-RU"/>
        </w:rPr>
        <w:t xml:space="preserve"> </w:t>
      </w:r>
      <w:r w:rsidRPr="0085492F">
        <w:rPr>
          <w:rFonts w:eastAsia="Times New Roman" w:cs="Arial"/>
          <w:color w:val="000000"/>
          <w:szCs w:val="20"/>
          <w:lang w:eastAsia="bg-BG"/>
        </w:rPr>
        <w:t>изследва употребата на прасугрел (</w:t>
      </w:r>
      <w:r w:rsidRPr="0085492F">
        <w:rPr>
          <w:rFonts w:eastAsia="Times New Roman" w:cs="Arial"/>
          <w:color w:val="000000"/>
          <w:szCs w:val="20"/>
          <w:lang w:val="en-US"/>
        </w:rPr>
        <w:t>n</w:t>
      </w:r>
      <w:r w:rsidRPr="0085492F">
        <w:rPr>
          <w:rFonts w:eastAsia="Times New Roman" w:cs="Arial"/>
          <w:color w:val="000000"/>
          <w:szCs w:val="20"/>
          <w:lang w:eastAsia="bg-BG"/>
        </w:rPr>
        <w:t>=171) спрямо плацебо (</w:t>
      </w:r>
      <w:r w:rsidRPr="0085492F">
        <w:rPr>
          <w:rFonts w:eastAsia="Times New Roman" w:cs="Arial"/>
          <w:color w:val="000000"/>
          <w:szCs w:val="20"/>
          <w:lang w:val="en-US"/>
        </w:rPr>
        <w:t>n</w:t>
      </w:r>
      <w:r w:rsidRPr="0085492F">
        <w:rPr>
          <w:rFonts w:eastAsia="Times New Roman" w:cs="Arial"/>
          <w:color w:val="000000"/>
          <w:szCs w:val="20"/>
          <w:lang w:eastAsia="bg-BG"/>
        </w:rPr>
        <w:t>=170) при пациенти на възраст от 2 до 18 години със сърповидноклетъчна анемия за намаляване на вазооклузивните кризи - проучване фаза III. Проучването не постига нито една от първичните или вторичните крайни точки. Като цяло, не са установени нови данни за безопасност за прасугрел като монотерапия при тази популация пациенти.</w:t>
      </w:r>
    </w:p>
    <w:p w14:paraId="7056D54E" w14:textId="77777777" w:rsidR="0085492F" w:rsidRPr="0085492F" w:rsidRDefault="0085492F" w:rsidP="0085492F">
      <w:pPr>
        <w:spacing w:line="240" w:lineRule="auto"/>
        <w:rPr>
          <w:rFonts w:eastAsia="Times New Roman" w:cs="Arial"/>
          <w:sz w:val="24"/>
          <w:lang w:val="ru-RU"/>
        </w:rPr>
      </w:pPr>
    </w:p>
    <w:p w14:paraId="35F84B81" w14:textId="4E42083F" w:rsidR="00CF77F7" w:rsidRDefault="002C50EE" w:rsidP="004A448E">
      <w:pPr>
        <w:pStyle w:val="Heading2"/>
      </w:pPr>
      <w:r>
        <w:t>5.2. Фармакокинетични свойства</w:t>
      </w:r>
    </w:p>
    <w:p w14:paraId="56433CEA" w14:textId="6C84C9A7" w:rsidR="0085492F" w:rsidRDefault="0085492F" w:rsidP="0085492F"/>
    <w:p w14:paraId="38936839" w14:textId="77777777" w:rsidR="0085492F" w:rsidRPr="0085492F" w:rsidRDefault="0085492F" w:rsidP="0085492F">
      <w:pPr>
        <w:spacing w:line="240" w:lineRule="auto"/>
        <w:rPr>
          <w:rFonts w:eastAsia="Times New Roman" w:cs="Arial"/>
          <w:sz w:val="28"/>
          <w:szCs w:val="24"/>
        </w:rPr>
      </w:pPr>
      <w:r w:rsidRPr="0085492F">
        <w:rPr>
          <w:rFonts w:eastAsia="Times New Roman" w:cs="Arial"/>
          <w:color w:val="000000"/>
          <w:szCs w:val="20"/>
          <w:lang w:eastAsia="bg-BG"/>
        </w:rPr>
        <w:t xml:space="preserve">Прасугрел е прекурсор и бързо се метаболизира </w:t>
      </w:r>
      <w:r w:rsidRPr="0085492F">
        <w:rPr>
          <w:rFonts w:eastAsia="Times New Roman" w:cs="Arial"/>
          <w:i/>
          <w:iCs/>
          <w:color w:val="000000"/>
          <w:szCs w:val="20"/>
          <w:lang w:val="en-US"/>
        </w:rPr>
        <w:t>in</w:t>
      </w:r>
      <w:r w:rsidRPr="0085492F">
        <w:rPr>
          <w:rFonts w:eastAsia="Times New Roman" w:cs="Arial"/>
          <w:i/>
          <w:iCs/>
          <w:color w:val="000000"/>
          <w:szCs w:val="20"/>
          <w:lang w:val="ru-RU"/>
        </w:rPr>
        <w:t xml:space="preserve"> </w:t>
      </w:r>
      <w:r w:rsidRPr="0085492F">
        <w:rPr>
          <w:rFonts w:eastAsia="Times New Roman" w:cs="Arial"/>
          <w:i/>
          <w:iCs/>
          <w:color w:val="000000"/>
          <w:szCs w:val="20"/>
          <w:lang w:val="en-US"/>
        </w:rPr>
        <w:t>vivo</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до активен метаболит и неактивни метаболити. Експозицията на активния метаболит </w:t>
      </w:r>
      <w:r w:rsidRPr="0085492F">
        <w:rPr>
          <w:rFonts w:eastAsia="Times New Roman" w:cs="Arial"/>
          <w:color w:val="000000"/>
          <w:szCs w:val="20"/>
          <w:lang w:val="ru-RU"/>
        </w:rPr>
        <w:t>(</w:t>
      </w:r>
      <w:r w:rsidRPr="0085492F">
        <w:rPr>
          <w:rFonts w:eastAsia="Times New Roman" w:cs="Arial"/>
          <w:color w:val="000000"/>
          <w:szCs w:val="20"/>
          <w:lang w:val="en-US"/>
        </w:rPr>
        <w:t>AUC</w:t>
      </w:r>
      <w:r w:rsidRPr="0085492F">
        <w:rPr>
          <w:rFonts w:eastAsia="Times New Roman" w:cs="Arial"/>
          <w:color w:val="000000"/>
          <w:szCs w:val="20"/>
          <w:lang w:val="ru-RU"/>
        </w:rPr>
        <w:t xml:space="preserve">) </w:t>
      </w:r>
      <w:r w:rsidRPr="0085492F">
        <w:rPr>
          <w:rFonts w:eastAsia="Times New Roman" w:cs="Arial"/>
          <w:color w:val="000000"/>
          <w:szCs w:val="20"/>
          <w:lang w:eastAsia="bg-BG"/>
        </w:rPr>
        <w:t>има умерена до ниска интериндивидуална (27%) и интраиндивидуална (19%) вариабилност. Фармакокинетиката на прасугрел е подобна при здрави индивиди, при пациенти със стабилна атеросклероза и при пациенти, подложени на перкутанна коронарна интервенция.</w:t>
      </w:r>
    </w:p>
    <w:p w14:paraId="430DC847" w14:textId="77777777" w:rsidR="0085492F" w:rsidRPr="0085492F" w:rsidRDefault="0085492F" w:rsidP="0085492F">
      <w:pPr>
        <w:spacing w:line="240" w:lineRule="auto"/>
        <w:rPr>
          <w:rFonts w:eastAsia="Times New Roman" w:cs="Arial"/>
          <w:color w:val="000000"/>
          <w:szCs w:val="20"/>
          <w:u w:val="single"/>
          <w:lang w:eastAsia="bg-BG"/>
        </w:rPr>
      </w:pPr>
    </w:p>
    <w:p w14:paraId="0A123012" w14:textId="3956692D" w:rsidR="0085492F" w:rsidRPr="0085492F" w:rsidRDefault="0085492F" w:rsidP="0085492F">
      <w:pPr>
        <w:pStyle w:val="Heading3"/>
        <w:rPr>
          <w:rFonts w:eastAsia="Times New Roman"/>
          <w:sz w:val="28"/>
          <w:u w:val="single"/>
        </w:rPr>
      </w:pPr>
      <w:r w:rsidRPr="0085492F">
        <w:rPr>
          <w:rFonts w:eastAsia="Times New Roman"/>
          <w:u w:val="single"/>
          <w:lang w:eastAsia="bg-BG"/>
        </w:rPr>
        <w:t>Абсорбция</w:t>
      </w:r>
    </w:p>
    <w:p w14:paraId="76CAE273" w14:textId="77777777" w:rsidR="0085492F" w:rsidRPr="0085492F" w:rsidRDefault="0085492F" w:rsidP="0085492F">
      <w:pPr>
        <w:spacing w:line="240" w:lineRule="auto"/>
        <w:rPr>
          <w:rFonts w:eastAsia="Times New Roman" w:cs="Arial"/>
          <w:sz w:val="28"/>
          <w:szCs w:val="24"/>
        </w:rPr>
      </w:pPr>
      <w:r w:rsidRPr="0085492F">
        <w:rPr>
          <w:rFonts w:eastAsia="Times New Roman" w:cs="Arial"/>
          <w:color w:val="000000"/>
          <w:szCs w:val="20"/>
          <w:lang w:eastAsia="bg-BG"/>
        </w:rPr>
        <w:t>Абсорбцията и метаболизмът на прасугрел са бързи, пикова плазмена концентрация (С</w:t>
      </w:r>
      <w:r w:rsidRPr="0085492F">
        <w:rPr>
          <w:rFonts w:eastAsia="Times New Roman" w:cs="Arial"/>
          <w:color w:val="000000"/>
          <w:szCs w:val="20"/>
          <w:vertAlign w:val="subscript"/>
          <w:lang w:val="en-US"/>
        </w:rPr>
        <w:t>max</w:t>
      </w:r>
      <w:r w:rsidRPr="0085492F">
        <w:rPr>
          <w:rFonts w:eastAsia="Times New Roman" w:cs="Arial"/>
          <w:color w:val="000000"/>
          <w:szCs w:val="20"/>
          <w:lang w:eastAsia="bg-BG"/>
        </w:rPr>
        <w:t xml:space="preserve">) на активния метаболит се постига приблизително за 30 минути. Експозицията на активния метаболит </w:t>
      </w:r>
      <w:r w:rsidRPr="0085492F">
        <w:rPr>
          <w:rFonts w:eastAsia="Times New Roman" w:cs="Arial"/>
          <w:color w:val="000000"/>
          <w:szCs w:val="20"/>
          <w:lang w:val="ru-RU"/>
        </w:rPr>
        <w:t>(</w:t>
      </w:r>
      <w:r w:rsidRPr="0085492F">
        <w:rPr>
          <w:rFonts w:eastAsia="Times New Roman" w:cs="Arial"/>
          <w:color w:val="000000"/>
          <w:szCs w:val="20"/>
          <w:lang w:val="en-US"/>
        </w:rPr>
        <w:t>AUC</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нараства пропорционално в терапевтичния дозов диапазон. В проучване при здрави индивиди </w:t>
      </w:r>
      <w:r w:rsidRPr="0085492F">
        <w:rPr>
          <w:rFonts w:eastAsia="Times New Roman" w:cs="Arial"/>
          <w:color w:val="000000"/>
          <w:szCs w:val="20"/>
          <w:lang w:val="en-US"/>
        </w:rPr>
        <w:t>AUC</w:t>
      </w:r>
      <w:r w:rsidRPr="0085492F">
        <w:rPr>
          <w:rFonts w:eastAsia="Times New Roman" w:cs="Arial"/>
          <w:color w:val="000000"/>
          <w:szCs w:val="20"/>
          <w:lang w:val="ru-RU"/>
        </w:rPr>
        <w:t xml:space="preserve"> </w:t>
      </w:r>
      <w:r w:rsidRPr="0085492F">
        <w:rPr>
          <w:rFonts w:eastAsia="Times New Roman" w:cs="Arial"/>
          <w:color w:val="000000"/>
          <w:szCs w:val="20"/>
          <w:lang w:eastAsia="bg-BG"/>
        </w:rPr>
        <w:t>на активния метаболит не се променя от богата на масти, висококалорична храна, но С</w:t>
      </w:r>
      <w:r w:rsidRPr="0085492F">
        <w:rPr>
          <w:rFonts w:eastAsia="Times New Roman" w:cs="Arial"/>
          <w:color w:val="000000"/>
          <w:szCs w:val="20"/>
          <w:vertAlign w:val="subscript"/>
          <w:lang w:val="en-US"/>
        </w:rPr>
        <w:t>max</w:t>
      </w:r>
      <w:r w:rsidRPr="0085492F">
        <w:rPr>
          <w:rFonts w:eastAsia="Times New Roman" w:cs="Arial"/>
          <w:color w:val="000000"/>
          <w:szCs w:val="20"/>
          <w:lang w:eastAsia="bg-BG"/>
        </w:rPr>
        <w:t xml:space="preserve"> намалява с 49% и времето за достигане на </w:t>
      </w:r>
      <w:proofErr w:type="spellStart"/>
      <w:r w:rsidRPr="0085492F">
        <w:rPr>
          <w:rFonts w:eastAsia="Times New Roman" w:cs="Arial"/>
          <w:color w:val="000000"/>
          <w:szCs w:val="20"/>
          <w:lang w:val="en-US"/>
        </w:rPr>
        <w:t>C</w:t>
      </w:r>
      <w:r w:rsidRPr="0085492F">
        <w:rPr>
          <w:rFonts w:eastAsia="Times New Roman" w:cs="Arial"/>
          <w:color w:val="000000"/>
          <w:szCs w:val="20"/>
          <w:vertAlign w:val="subscript"/>
          <w:lang w:val="en-US"/>
        </w:rPr>
        <w:t>max</w:t>
      </w:r>
      <w:proofErr w:type="spellEnd"/>
      <w:r w:rsidRPr="0085492F">
        <w:rPr>
          <w:rFonts w:eastAsia="Times New Roman" w:cs="Arial"/>
          <w:color w:val="000000"/>
          <w:szCs w:val="20"/>
          <w:lang w:val="ru-RU"/>
        </w:rPr>
        <w:t>(</w:t>
      </w:r>
      <w:proofErr w:type="spellStart"/>
      <w:r w:rsidRPr="0085492F">
        <w:rPr>
          <w:rFonts w:eastAsia="Times New Roman" w:cs="Arial"/>
          <w:color w:val="000000"/>
          <w:szCs w:val="20"/>
          <w:lang w:val="en-US"/>
        </w:rPr>
        <w:t>T</w:t>
      </w:r>
      <w:r w:rsidRPr="0085492F">
        <w:rPr>
          <w:rFonts w:eastAsia="Times New Roman" w:cs="Arial"/>
          <w:color w:val="000000"/>
          <w:szCs w:val="20"/>
          <w:vertAlign w:val="subscript"/>
          <w:lang w:val="en-US"/>
        </w:rPr>
        <w:t>max</w:t>
      </w:r>
      <w:proofErr w:type="spellEnd"/>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нараства от 0,5 на 1,5 часа. В проучването </w:t>
      </w:r>
      <w:r w:rsidRPr="0085492F">
        <w:rPr>
          <w:rFonts w:eastAsia="Times New Roman" w:cs="Arial"/>
          <w:color w:val="000000"/>
          <w:szCs w:val="20"/>
          <w:lang w:val="en-US"/>
        </w:rPr>
        <w:t>TRITON</w:t>
      </w:r>
      <w:r w:rsidRPr="0085492F">
        <w:rPr>
          <w:rFonts w:eastAsia="Times New Roman" w:cs="Arial"/>
          <w:color w:val="000000"/>
          <w:szCs w:val="20"/>
          <w:lang w:val="ru-RU"/>
        </w:rPr>
        <w:t xml:space="preserve"> </w:t>
      </w:r>
      <w:r w:rsidRPr="0085492F">
        <w:rPr>
          <w:rFonts w:eastAsia="Times New Roman" w:cs="Arial"/>
          <w:color w:val="000000"/>
          <w:szCs w:val="20"/>
          <w:lang w:eastAsia="bg-BG"/>
        </w:rPr>
        <w:t>прасугрел е прилаган независимо от приема на храна. Следователно прасугрел може да се прилага независимо от приема на храна; все пак прилагането на натоварваща доза прасугрел на гладно може да осигури най-бързо настъпване на действието (вж. точка 4.2).</w:t>
      </w:r>
    </w:p>
    <w:p w14:paraId="2D3760D7" w14:textId="77777777" w:rsidR="0085492F" w:rsidRPr="0085492F" w:rsidRDefault="0085492F" w:rsidP="0085492F">
      <w:pPr>
        <w:spacing w:line="240" w:lineRule="auto"/>
        <w:rPr>
          <w:rFonts w:eastAsia="Times New Roman" w:cs="Arial"/>
          <w:color w:val="000000"/>
          <w:szCs w:val="20"/>
          <w:u w:val="single"/>
          <w:lang w:eastAsia="bg-BG"/>
        </w:rPr>
      </w:pPr>
    </w:p>
    <w:p w14:paraId="605E53A8" w14:textId="78A6AC92" w:rsidR="0085492F" w:rsidRPr="0085492F" w:rsidRDefault="0085492F" w:rsidP="0085492F">
      <w:pPr>
        <w:pStyle w:val="Heading3"/>
        <w:rPr>
          <w:rFonts w:eastAsia="Times New Roman"/>
          <w:sz w:val="28"/>
          <w:u w:val="single"/>
        </w:rPr>
      </w:pPr>
      <w:r w:rsidRPr="0085492F">
        <w:rPr>
          <w:rFonts w:eastAsia="Times New Roman"/>
          <w:u w:val="single"/>
          <w:lang w:eastAsia="bg-BG"/>
        </w:rPr>
        <w:t>Разпределение</w:t>
      </w:r>
    </w:p>
    <w:p w14:paraId="1DBC33DE" w14:textId="77EDCB8C" w:rsidR="0085492F" w:rsidRPr="0085492F" w:rsidRDefault="0085492F" w:rsidP="0085492F">
      <w:pPr>
        <w:spacing w:line="240" w:lineRule="auto"/>
        <w:rPr>
          <w:rFonts w:eastAsia="Times New Roman" w:cs="Arial"/>
          <w:sz w:val="28"/>
          <w:szCs w:val="24"/>
        </w:rPr>
      </w:pPr>
      <w:r w:rsidRPr="0085492F">
        <w:rPr>
          <w:rFonts w:eastAsia="Times New Roman" w:cs="Arial"/>
          <w:color w:val="000000"/>
          <w:szCs w:val="20"/>
          <w:lang w:eastAsia="bg-BG"/>
        </w:rPr>
        <w:t>Свързването на активния метаболит с човешкия серумен албумин (4% буфериран разтвор) е 98%.</w:t>
      </w:r>
    </w:p>
    <w:p w14:paraId="1A083249" w14:textId="77777777" w:rsidR="0085492F" w:rsidRPr="0085492F" w:rsidRDefault="0085492F" w:rsidP="0085492F">
      <w:pPr>
        <w:spacing w:line="240" w:lineRule="auto"/>
        <w:rPr>
          <w:rFonts w:eastAsia="Times New Roman" w:cs="Arial"/>
          <w:color w:val="000000"/>
          <w:szCs w:val="20"/>
          <w:u w:val="single"/>
          <w:lang w:eastAsia="bg-BG"/>
        </w:rPr>
      </w:pPr>
    </w:p>
    <w:p w14:paraId="581E8B56" w14:textId="2940123B" w:rsidR="0085492F" w:rsidRPr="0085492F" w:rsidRDefault="0085492F" w:rsidP="0085492F">
      <w:pPr>
        <w:pStyle w:val="Heading3"/>
        <w:rPr>
          <w:rFonts w:eastAsia="Times New Roman"/>
          <w:sz w:val="28"/>
          <w:u w:val="single"/>
        </w:rPr>
      </w:pPr>
      <w:r w:rsidRPr="0085492F">
        <w:rPr>
          <w:rFonts w:eastAsia="Times New Roman"/>
          <w:u w:val="single"/>
          <w:lang w:eastAsia="bg-BG"/>
        </w:rPr>
        <w:t>Биотрансформация</w:t>
      </w:r>
    </w:p>
    <w:p w14:paraId="4B48ED35" w14:textId="77777777" w:rsidR="0085492F" w:rsidRPr="0085492F" w:rsidRDefault="0085492F" w:rsidP="0085492F">
      <w:pPr>
        <w:rPr>
          <w:rFonts w:eastAsia="Times New Roman" w:cs="Arial"/>
          <w:sz w:val="28"/>
          <w:szCs w:val="24"/>
        </w:rPr>
      </w:pPr>
      <w:r w:rsidRPr="0085492F">
        <w:rPr>
          <w:rFonts w:eastAsia="Times New Roman" w:cs="Arial"/>
          <w:color w:val="000000"/>
          <w:szCs w:val="20"/>
          <w:lang w:eastAsia="bg-BG"/>
        </w:rPr>
        <w:t>Прасугрел не се открива в плазмата след перорално прилагане. Той бързо се хидролизира в червата</w:t>
      </w:r>
      <w:r w:rsidRPr="0085492F">
        <w:rPr>
          <w:rFonts w:eastAsia="Times New Roman" w:cs="Arial"/>
          <w:color w:val="000000"/>
          <w:szCs w:val="20"/>
          <w:u w:val="single"/>
          <w:lang w:eastAsia="bg-BG"/>
        </w:rPr>
        <w:t xml:space="preserve"> </w:t>
      </w:r>
      <w:r w:rsidRPr="0085492F">
        <w:rPr>
          <w:rFonts w:eastAsia="Times New Roman" w:cs="Arial"/>
          <w:color w:val="000000"/>
          <w:szCs w:val="20"/>
          <w:lang w:eastAsia="bg-BG"/>
        </w:rPr>
        <w:t xml:space="preserve">до тиолактон, който след това се превръща в активен метаболит чрез единствена стъпка в метаболизма на цитохром Р450, главно чрез </w:t>
      </w:r>
      <w:r w:rsidRPr="0085492F">
        <w:rPr>
          <w:rFonts w:eastAsia="Times New Roman" w:cs="Arial"/>
          <w:color w:val="000000"/>
          <w:szCs w:val="20"/>
          <w:lang w:val="en-US"/>
        </w:rPr>
        <w:t>CYP</w:t>
      </w:r>
      <w:r w:rsidRPr="0085492F">
        <w:rPr>
          <w:rFonts w:eastAsia="Times New Roman" w:cs="Arial"/>
          <w:color w:val="000000"/>
          <w:szCs w:val="20"/>
          <w:lang w:val="ru-RU"/>
        </w:rPr>
        <w:t>3</w:t>
      </w:r>
      <w:r w:rsidRPr="0085492F">
        <w:rPr>
          <w:rFonts w:eastAsia="Times New Roman" w:cs="Arial"/>
          <w:color w:val="000000"/>
          <w:szCs w:val="20"/>
          <w:lang w:eastAsia="bg-BG"/>
        </w:rPr>
        <w:t xml:space="preserve">А4 и </w:t>
      </w:r>
      <w:r w:rsidRPr="0085492F">
        <w:rPr>
          <w:rFonts w:eastAsia="Times New Roman" w:cs="Arial"/>
          <w:color w:val="000000"/>
          <w:szCs w:val="20"/>
          <w:lang w:val="en-US"/>
        </w:rPr>
        <w:t>CYP</w:t>
      </w:r>
      <w:r w:rsidRPr="0085492F">
        <w:rPr>
          <w:rFonts w:eastAsia="Times New Roman" w:cs="Arial"/>
          <w:color w:val="000000"/>
          <w:szCs w:val="20"/>
          <w:lang w:val="ru-RU"/>
        </w:rPr>
        <w:t>2</w:t>
      </w:r>
      <w:r w:rsidRPr="0085492F">
        <w:rPr>
          <w:rFonts w:eastAsia="Times New Roman" w:cs="Arial"/>
          <w:color w:val="000000"/>
          <w:szCs w:val="20"/>
          <w:lang w:val="en-US"/>
        </w:rPr>
        <w:t>B</w:t>
      </w:r>
      <w:r w:rsidRPr="0085492F">
        <w:rPr>
          <w:rFonts w:eastAsia="Times New Roman" w:cs="Arial"/>
          <w:color w:val="000000"/>
          <w:szCs w:val="20"/>
          <w:lang w:val="ru-RU"/>
        </w:rPr>
        <w:t xml:space="preserve">6 </w:t>
      </w:r>
      <w:r w:rsidRPr="0085492F">
        <w:rPr>
          <w:rFonts w:eastAsia="Times New Roman" w:cs="Arial"/>
          <w:color w:val="000000"/>
          <w:szCs w:val="20"/>
          <w:lang w:eastAsia="bg-BG"/>
        </w:rPr>
        <w:t xml:space="preserve">и в по-малка степен чрез </w:t>
      </w:r>
      <w:r w:rsidRPr="0085492F">
        <w:rPr>
          <w:rFonts w:eastAsia="Times New Roman" w:cs="Arial"/>
          <w:color w:val="000000"/>
          <w:szCs w:val="20"/>
          <w:lang w:val="en-US"/>
        </w:rPr>
        <w:t>CYP</w:t>
      </w:r>
      <w:r w:rsidRPr="0085492F">
        <w:rPr>
          <w:rFonts w:eastAsia="Times New Roman" w:cs="Arial"/>
          <w:color w:val="000000"/>
          <w:szCs w:val="20"/>
          <w:lang w:val="ru-RU"/>
        </w:rPr>
        <w:t>2</w:t>
      </w:r>
      <w:r w:rsidRPr="0085492F">
        <w:rPr>
          <w:rFonts w:eastAsia="Times New Roman" w:cs="Arial"/>
          <w:color w:val="000000"/>
          <w:szCs w:val="20"/>
          <w:lang w:val="en-US"/>
        </w:rPr>
        <w:t>C</w:t>
      </w:r>
      <w:r w:rsidRPr="0085492F">
        <w:rPr>
          <w:rFonts w:eastAsia="Times New Roman" w:cs="Arial"/>
          <w:color w:val="000000"/>
          <w:szCs w:val="20"/>
          <w:lang w:val="ru-RU"/>
        </w:rPr>
        <w:t xml:space="preserve">9 </w:t>
      </w:r>
      <w:r w:rsidRPr="0085492F">
        <w:rPr>
          <w:rFonts w:eastAsia="Times New Roman" w:cs="Arial"/>
          <w:color w:val="000000"/>
          <w:szCs w:val="20"/>
          <w:lang w:eastAsia="bg-BG"/>
        </w:rPr>
        <w:t xml:space="preserve">и </w:t>
      </w:r>
      <w:r w:rsidRPr="0085492F">
        <w:rPr>
          <w:rFonts w:eastAsia="Times New Roman" w:cs="Arial"/>
          <w:color w:val="000000"/>
          <w:szCs w:val="20"/>
          <w:lang w:val="en-US"/>
        </w:rPr>
        <w:t>CYP</w:t>
      </w:r>
      <w:r w:rsidRPr="0085492F">
        <w:rPr>
          <w:rFonts w:eastAsia="Times New Roman" w:cs="Arial"/>
          <w:color w:val="000000"/>
          <w:szCs w:val="20"/>
          <w:lang w:val="ru-RU"/>
        </w:rPr>
        <w:t>2</w:t>
      </w:r>
      <w:r w:rsidRPr="0085492F">
        <w:rPr>
          <w:rFonts w:eastAsia="Times New Roman" w:cs="Arial"/>
          <w:color w:val="000000"/>
          <w:szCs w:val="20"/>
          <w:lang w:val="en-US"/>
        </w:rPr>
        <w:t>C</w:t>
      </w:r>
      <w:r w:rsidRPr="0085492F">
        <w:rPr>
          <w:rFonts w:eastAsia="Times New Roman" w:cs="Arial"/>
          <w:color w:val="000000"/>
          <w:szCs w:val="20"/>
          <w:lang w:val="ru-RU"/>
        </w:rPr>
        <w:t xml:space="preserve">19. </w:t>
      </w:r>
      <w:r w:rsidRPr="0085492F">
        <w:rPr>
          <w:rFonts w:eastAsia="Times New Roman" w:cs="Arial"/>
          <w:color w:val="000000"/>
          <w:szCs w:val="20"/>
          <w:lang w:eastAsia="bg-BG"/>
        </w:rPr>
        <w:t xml:space="preserve">Активният метаболит допълнително се метаболизира до две неактивни съединения посредством </w:t>
      </w:r>
      <w:r w:rsidRPr="0085492F">
        <w:rPr>
          <w:rFonts w:eastAsia="Times New Roman" w:cs="Arial"/>
          <w:color w:val="000000"/>
          <w:szCs w:val="20"/>
          <w:lang w:val="en-US"/>
        </w:rPr>
        <w:t>S</w:t>
      </w:r>
      <w:r w:rsidRPr="0085492F">
        <w:rPr>
          <w:rFonts w:eastAsia="Times New Roman" w:cs="Arial"/>
          <w:color w:val="000000"/>
          <w:szCs w:val="20"/>
          <w:lang w:eastAsia="bg-BG"/>
        </w:rPr>
        <w:t>-метилиране или конюгиране с цистеин.</w:t>
      </w:r>
    </w:p>
    <w:p w14:paraId="47454622" w14:textId="77777777" w:rsidR="0085492F" w:rsidRPr="0085492F" w:rsidRDefault="0085492F" w:rsidP="0085492F">
      <w:pPr>
        <w:spacing w:line="240" w:lineRule="auto"/>
        <w:rPr>
          <w:rFonts w:eastAsia="Times New Roman" w:cs="Arial"/>
          <w:color w:val="000000"/>
          <w:szCs w:val="20"/>
          <w:lang w:eastAsia="bg-BG"/>
        </w:rPr>
      </w:pPr>
    </w:p>
    <w:p w14:paraId="47C0DA0D" w14:textId="239932F9" w:rsidR="0085492F" w:rsidRPr="0085492F" w:rsidRDefault="0085492F" w:rsidP="0085492F">
      <w:pPr>
        <w:spacing w:line="240" w:lineRule="auto"/>
        <w:rPr>
          <w:rFonts w:eastAsia="Times New Roman" w:cs="Arial"/>
          <w:sz w:val="28"/>
          <w:szCs w:val="24"/>
        </w:rPr>
      </w:pPr>
      <w:r w:rsidRPr="0085492F">
        <w:rPr>
          <w:rFonts w:eastAsia="Times New Roman" w:cs="Arial"/>
          <w:color w:val="000000"/>
          <w:szCs w:val="20"/>
          <w:lang w:eastAsia="bg-BG"/>
        </w:rPr>
        <w:t xml:space="preserve">При здрави индивиди, пациенти със стабилна атеросклероза и пациенти с ОКС, приемащи прасугрел, генетичната вариация в </w:t>
      </w:r>
      <w:r w:rsidRPr="0085492F">
        <w:rPr>
          <w:rFonts w:eastAsia="Times New Roman" w:cs="Arial"/>
          <w:color w:val="000000"/>
          <w:szCs w:val="20"/>
          <w:lang w:val="en-US"/>
        </w:rPr>
        <w:t>CYP</w:t>
      </w:r>
      <w:r w:rsidRPr="0085492F">
        <w:rPr>
          <w:rFonts w:eastAsia="Times New Roman" w:cs="Arial"/>
          <w:color w:val="000000"/>
          <w:szCs w:val="20"/>
          <w:lang w:val="ru-RU"/>
        </w:rPr>
        <w:t>3</w:t>
      </w:r>
      <w:r w:rsidRPr="0085492F">
        <w:rPr>
          <w:rFonts w:eastAsia="Times New Roman" w:cs="Arial"/>
          <w:color w:val="000000"/>
          <w:szCs w:val="20"/>
          <w:lang w:val="en-US"/>
        </w:rPr>
        <w:t>A</w:t>
      </w:r>
      <w:r w:rsidRPr="0085492F">
        <w:rPr>
          <w:rFonts w:eastAsia="Times New Roman" w:cs="Arial"/>
          <w:color w:val="000000"/>
          <w:szCs w:val="20"/>
          <w:lang w:val="ru-RU"/>
        </w:rPr>
        <w:t xml:space="preserve">5, </w:t>
      </w:r>
      <w:r w:rsidRPr="0085492F">
        <w:rPr>
          <w:rFonts w:eastAsia="Times New Roman" w:cs="Arial"/>
          <w:color w:val="000000"/>
          <w:szCs w:val="20"/>
          <w:lang w:val="en-US"/>
        </w:rPr>
        <w:t>CYP</w:t>
      </w:r>
      <w:r w:rsidRPr="0085492F">
        <w:rPr>
          <w:rFonts w:eastAsia="Times New Roman" w:cs="Arial"/>
          <w:color w:val="000000"/>
          <w:szCs w:val="20"/>
          <w:lang w:val="ru-RU"/>
        </w:rPr>
        <w:t>2</w:t>
      </w:r>
      <w:r w:rsidRPr="0085492F">
        <w:rPr>
          <w:rFonts w:eastAsia="Times New Roman" w:cs="Arial"/>
          <w:color w:val="000000"/>
          <w:szCs w:val="20"/>
          <w:lang w:val="en-US"/>
        </w:rPr>
        <w:t>B</w:t>
      </w:r>
      <w:r w:rsidRPr="0085492F">
        <w:rPr>
          <w:rFonts w:eastAsia="Times New Roman" w:cs="Arial"/>
          <w:color w:val="000000"/>
          <w:szCs w:val="20"/>
          <w:lang w:val="ru-RU"/>
        </w:rPr>
        <w:t xml:space="preserve">6, </w:t>
      </w:r>
      <w:r w:rsidRPr="0085492F">
        <w:rPr>
          <w:rFonts w:eastAsia="Times New Roman" w:cs="Arial"/>
          <w:color w:val="000000"/>
          <w:szCs w:val="20"/>
          <w:lang w:val="en-US"/>
        </w:rPr>
        <w:t>CYP</w:t>
      </w:r>
      <w:r w:rsidRPr="0085492F">
        <w:rPr>
          <w:rFonts w:eastAsia="Times New Roman" w:cs="Arial"/>
          <w:color w:val="000000"/>
          <w:szCs w:val="20"/>
          <w:lang w:val="ru-RU"/>
        </w:rPr>
        <w:t>2</w:t>
      </w:r>
      <w:r w:rsidRPr="0085492F">
        <w:rPr>
          <w:rFonts w:eastAsia="Times New Roman" w:cs="Arial"/>
          <w:color w:val="000000"/>
          <w:szCs w:val="20"/>
          <w:lang w:val="en-US"/>
        </w:rPr>
        <w:t>C</w:t>
      </w:r>
      <w:r w:rsidRPr="0085492F">
        <w:rPr>
          <w:rFonts w:eastAsia="Times New Roman" w:cs="Arial"/>
          <w:color w:val="000000"/>
          <w:szCs w:val="20"/>
          <w:lang w:val="ru-RU"/>
        </w:rPr>
        <w:t xml:space="preserve">9 </w:t>
      </w:r>
      <w:r w:rsidRPr="0085492F">
        <w:rPr>
          <w:rFonts w:eastAsia="Times New Roman" w:cs="Arial"/>
          <w:color w:val="000000"/>
          <w:szCs w:val="20"/>
          <w:lang w:eastAsia="bg-BG"/>
        </w:rPr>
        <w:t xml:space="preserve">или </w:t>
      </w:r>
      <w:r w:rsidRPr="0085492F">
        <w:rPr>
          <w:rFonts w:eastAsia="Times New Roman" w:cs="Arial"/>
          <w:color w:val="000000"/>
          <w:szCs w:val="20"/>
          <w:lang w:val="en-US"/>
        </w:rPr>
        <w:t>CYP</w:t>
      </w:r>
      <w:r w:rsidRPr="0085492F">
        <w:rPr>
          <w:rFonts w:eastAsia="Times New Roman" w:cs="Arial"/>
          <w:color w:val="000000"/>
          <w:szCs w:val="20"/>
          <w:lang w:val="ru-RU"/>
        </w:rPr>
        <w:t>2</w:t>
      </w:r>
      <w:r w:rsidRPr="0085492F">
        <w:rPr>
          <w:rFonts w:eastAsia="Times New Roman" w:cs="Arial"/>
          <w:color w:val="000000"/>
          <w:szCs w:val="20"/>
          <w:lang w:val="en-US"/>
        </w:rPr>
        <w:t>C</w:t>
      </w:r>
      <w:r w:rsidRPr="0085492F">
        <w:rPr>
          <w:rFonts w:eastAsia="Times New Roman" w:cs="Arial"/>
          <w:color w:val="000000"/>
          <w:szCs w:val="20"/>
          <w:lang w:val="ru-RU"/>
        </w:rPr>
        <w:t xml:space="preserve">19 </w:t>
      </w:r>
      <w:r w:rsidRPr="0085492F">
        <w:rPr>
          <w:rFonts w:eastAsia="Times New Roman" w:cs="Arial"/>
          <w:color w:val="000000"/>
          <w:szCs w:val="20"/>
          <w:lang w:eastAsia="bg-BG"/>
        </w:rPr>
        <w:t>няма ефект с практическо значение върху фармакокинетиката на прасугрел или инхибирането на тромбоцитната агрегация от него.</w:t>
      </w:r>
    </w:p>
    <w:p w14:paraId="7137AB35" w14:textId="77777777" w:rsidR="0085492F" w:rsidRPr="0085492F" w:rsidRDefault="0085492F" w:rsidP="0085492F">
      <w:pPr>
        <w:spacing w:line="240" w:lineRule="auto"/>
        <w:rPr>
          <w:rFonts w:eastAsia="Times New Roman" w:cs="Arial"/>
          <w:color w:val="000000"/>
          <w:szCs w:val="20"/>
          <w:u w:val="single"/>
          <w:lang w:eastAsia="bg-BG"/>
        </w:rPr>
      </w:pPr>
    </w:p>
    <w:p w14:paraId="4C7A0FB8" w14:textId="47A071B9" w:rsidR="0085492F" w:rsidRPr="0085492F" w:rsidRDefault="0085492F" w:rsidP="0085492F">
      <w:pPr>
        <w:pStyle w:val="Heading3"/>
        <w:rPr>
          <w:rFonts w:eastAsia="Times New Roman"/>
          <w:sz w:val="28"/>
          <w:u w:val="single"/>
        </w:rPr>
      </w:pPr>
      <w:r w:rsidRPr="0085492F">
        <w:rPr>
          <w:rFonts w:eastAsia="Times New Roman"/>
          <w:u w:val="single"/>
          <w:lang w:eastAsia="bg-BG"/>
        </w:rPr>
        <w:lastRenderedPageBreak/>
        <w:t>Елиминиране</w:t>
      </w:r>
    </w:p>
    <w:p w14:paraId="01B9EE5F" w14:textId="77777777" w:rsidR="0085492F" w:rsidRPr="0085492F" w:rsidRDefault="0085492F" w:rsidP="0085492F">
      <w:pPr>
        <w:spacing w:line="240" w:lineRule="auto"/>
        <w:rPr>
          <w:rFonts w:eastAsia="Times New Roman" w:cs="Arial"/>
          <w:sz w:val="28"/>
          <w:szCs w:val="24"/>
        </w:rPr>
      </w:pPr>
      <w:r w:rsidRPr="0085492F">
        <w:rPr>
          <w:rFonts w:eastAsia="Times New Roman" w:cs="Arial"/>
          <w:color w:val="000000"/>
          <w:szCs w:val="20"/>
          <w:lang w:eastAsia="bg-BG"/>
        </w:rPr>
        <w:t>Приблизително 68% от дозата на прасугрел се екскретира с урината и 27% с изпражненията като неактивни метаболити. Активният метаболит има полуживот на елиминиране от около 7,4 часа (диапазон 2 до 15 часа).</w:t>
      </w:r>
    </w:p>
    <w:p w14:paraId="70A39B44" w14:textId="77777777" w:rsidR="0085492F" w:rsidRPr="0085492F" w:rsidRDefault="0085492F" w:rsidP="0085492F">
      <w:pPr>
        <w:spacing w:line="240" w:lineRule="auto"/>
        <w:rPr>
          <w:rFonts w:eastAsia="Times New Roman" w:cs="Arial"/>
          <w:color w:val="000000"/>
          <w:szCs w:val="20"/>
          <w:u w:val="single"/>
          <w:lang w:eastAsia="bg-BG"/>
        </w:rPr>
      </w:pPr>
    </w:p>
    <w:p w14:paraId="54FA74E6" w14:textId="6189703C" w:rsidR="0085492F" w:rsidRPr="0085492F" w:rsidRDefault="0085492F" w:rsidP="0085492F">
      <w:pPr>
        <w:spacing w:line="240" w:lineRule="auto"/>
        <w:rPr>
          <w:rFonts w:eastAsia="Times New Roman" w:cs="Arial"/>
          <w:sz w:val="28"/>
          <w:szCs w:val="24"/>
        </w:rPr>
      </w:pPr>
      <w:r w:rsidRPr="0085492F">
        <w:rPr>
          <w:rFonts w:eastAsia="Times New Roman" w:cs="Arial"/>
          <w:color w:val="000000"/>
          <w:szCs w:val="20"/>
          <w:u w:val="single"/>
          <w:lang w:eastAsia="bg-BG"/>
        </w:rPr>
        <w:t>Фармакокинетика при специални популации</w:t>
      </w:r>
    </w:p>
    <w:p w14:paraId="3F0AC235" w14:textId="77777777" w:rsidR="0085492F" w:rsidRPr="0085492F" w:rsidRDefault="0085492F" w:rsidP="0085492F">
      <w:pPr>
        <w:spacing w:line="240" w:lineRule="auto"/>
        <w:rPr>
          <w:rFonts w:eastAsia="Times New Roman" w:cs="Arial"/>
          <w:i/>
          <w:iCs/>
          <w:color w:val="000000"/>
          <w:szCs w:val="20"/>
          <w:lang w:eastAsia="bg-BG"/>
        </w:rPr>
      </w:pPr>
    </w:p>
    <w:p w14:paraId="276372DA" w14:textId="4F886801" w:rsidR="0085492F" w:rsidRPr="0085492F" w:rsidRDefault="0085492F" w:rsidP="0085492F">
      <w:pPr>
        <w:spacing w:line="240" w:lineRule="auto"/>
        <w:rPr>
          <w:rFonts w:eastAsia="Times New Roman" w:cs="Arial"/>
          <w:sz w:val="28"/>
          <w:szCs w:val="24"/>
        </w:rPr>
      </w:pPr>
      <w:r w:rsidRPr="0085492F">
        <w:rPr>
          <w:rFonts w:eastAsia="Times New Roman" w:cs="Arial"/>
          <w:i/>
          <w:iCs/>
          <w:color w:val="000000"/>
          <w:szCs w:val="20"/>
          <w:lang w:eastAsia="bg-BG"/>
        </w:rPr>
        <w:t>Старческа възраст:</w:t>
      </w:r>
      <w:r w:rsidRPr="0085492F">
        <w:rPr>
          <w:rFonts w:eastAsia="Times New Roman" w:cs="Arial"/>
          <w:color w:val="000000"/>
          <w:szCs w:val="20"/>
          <w:lang w:eastAsia="bg-BG"/>
        </w:rPr>
        <w:t xml:space="preserve"> В проучване на здрави индивиди на възраст между 20 и 80 години възрастта няма сигнификантен ефект върху фармакокинетиката на прасугрел или инхибирането на тромбоцитната агрегация от него. В голямо клинично проучване фаза 3 средната изчислена експозиция </w:t>
      </w:r>
      <w:r w:rsidRPr="0085492F">
        <w:rPr>
          <w:rFonts w:eastAsia="Times New Roman" w:cs="Arial"/>
          <w:color w:val="000000"/>
          <w:szCs w:val="20"/>
          <w:lang w:val="ru-RU"/>
        </w:rPr>
        <w:t>(</w:t>
      </w:r>
      <w:r w:rsidRPr="0085492F">
        <w:rPr>
          <w:rFonts w:eastAsia="Times New Roman" w:cs="Arial"/>
          <w:color w:val="000000"/>
          <w:szCs w:val="20"/>
          <w:lang w:val="en-US"/>
        </w:rPr>
        <w:t>AUC</w:t>
      </w:r>
      <w:r w:rsidRPr="0085492F">
        <w:rPr>
          <w:rFonts w:eastAsia="Times New Roman" w:cs="Arial"/>
          <w:color w:val="000000"/>
          <w:szCs w:val="20"/>
          <w:lang w:val="ru-RU"/>
        </w:rPr>
        <w:t xml:space="preserve">) </w:t>
      </w:r>
      <w:r w:rsidRPr="0085492F">
        <w:rPr>
          <w:rFonts w:eastAsia="Times New Roman" w:cs="Arial"/>
          <w:color w:val="000000"/>
          <w:szCs w:val="20"/>
          <w:lang w:eastAsia="bg-BG"/>
        </w:rPr>
        <w:t>на активния метаболит е 19% по-висока при много възрастни пациенти (възраст</w:t>
      </w:r>
    </w:p>
    <w:p w14:paraId="2D39D0C4" w14:textId="77777777" w:rsidR="0085492F" w:rsidRPr="0085492F" w:rsidRDefault="0085492F" w:rsidP="0085492F">
      <w:pPr>
        <w:spacing w:line="240" w:lineRule="auto"/>
        <w:rPr>
          <w:rFonts w:eastAsia="Times New Roman" w:cs="Arial"/>
          <w:sz w:val="28"/>
          <w:szCs w:val="24"/>
        </w:rPr>
      </w:pPr>
      <w:r w:rsidRPr="0085492F">
        <w:rPr>
          <w:rFonts w:eastAsia="Times New Roman" w:cs="Arial"/>
          <w:color w:val="000000"/>
          <w:szCs w:val="20"/>
          <w:lang w:eastAsia="bg-BG"/>
        </w:rPr>
        <w:t xml:space="preserve">≥75 години), в сравнение с индивидите на възраст &lt;75 години. Прасугрел трябва да се използва с повишено внимание при пациенти на възраст ≥75 години, поради потенциалния риск от кървене в тази популация (вж. точки 4.2 и 4.4). В </w:t>
      </w:r>
      <w:r w:rsidRPr="0085492F">
        <w:rPr>
          <w:rFonts w:eastAsia="Times New Roman" w:cs="Arial"/>
          <w:i/>
          <w:iCs/>
          <w:color w:val="000000"/>
          <w:szCs w:val="20"/>
          <w:lang w:eastAsia="bg-BG"/>
        </w:rPr>
        <w:t>проучване при</w:t>
      </w:r>
      <w:r w:rsidRPr="0085492F">
        <w:rPr>
          <w:rFonts w:eastAsia="Times New Roman" w:cs="Arial"/>
          <w:color w:val="000000"/>
          <w:szCs w:val="20"/>
          <w:lang w:eastAsia="bg-BG"/>
        </w:rPr>
        <w:t xml:space="preserve"> пациентите със стабилна атеросклероза средната стойност на </w:t>
      </w:r>
      <w:r w:rsidRPr="0085492F">
        <w:rPr>
          <w:rFonts w:eastAsia="Times New Roman" w:cs="Arial"/>
          <w:color w:val="000000"/>
          <w:szCs w:val="20"/>
          <w:lang w:val="en-US"/>
        </w:rPr>
        <w:t>AUC</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на активния метаболит при пациенти на възраст ≥75 години, които приемат 5 </w:t>
      </w:r>
      <w:r w:rsidRPr="0085492F">
        <w:rPr>
          <w:rFonts w:eastAsia="Times New Roman" w:cs="Arial"/>
          <w:color w:val="000000"/>
          <w:szCs w:val="20"/>
          <w:lang w:val="en-US"/>
        </w:rPr>
        <w:t>mg</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прасугрел, е приблизително половината от тази при пациенти на възраст &lt;65 години, които приемат 10 </w:t>
      </w:r>
      <w:r w:rsidRPr="0085492F">
        <w:rPr>
          <w:rFonts w:eastAsia="Times New Roman" w:cs="Arial"/>
          <w:color w:val="000000"/>
          <w:szCs w:val="20"/>
          <w:lang w:val="en-US"/>
        </w:rPr>
        <w:t>mg</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прасугрел, а антитромботичният ефект на 5 </w:t>
      </w:r>
      <w:r w:rsidRPr="0085492F">
        <w:rPr>
          <w:rFonts w:eastAsia="Times New Roman" w:cs="Arial"/>
          <w:color w:val="000000"/>
          <w:szCs w:val="20"/>
          <w:lang w:val="en-US"/>
        </w:rPr>
        <w:t>mg</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е по-слаб, но не по-малко ефикасен в сравнение с 10 </w:t>
      </w:r>
      <w:r w:rsidRPr="0085492F">
        <w:rPr>
          <w:rFonts w:eastAsia="Times New Roman" w:cs="Arial"/>
          <w:color w:val="000000"/>
          <w:szCs w:val="20"/>
          <w:lang w:val="en-US"/>
        </w:rPr>
        <w:t>mg</w:t>
      </w:r>
      <w:r w:rsidRPr="0085492F">
        <w:rPr>
          <w:rFonts w:eastAsia="Times New Roman" w:cs="Arial"/>
          <w:color w:val="000000"/>
          <w:szCs w:val="20"/>
          <w:lang w:val="ru-RU"/>
        </w:rPr>
        <w:t>.</w:t>
      </w:r>
    </w:p>
    <w:p w14:paraId="37E50A73" w14:textId="77777777" w:rsidR="0085492F" w:rsidRPr="0085492F" w:rsidRDefault="0085492F" w:rsidP="0085492F">
      <w:pPr>
        <w:spacing w:line="240" w:lineRule="auto"/>
        <w:rPr>
          <w:rFonts w:eastAsia="Times New Roman" w:cs="Arial"/>
          <w:i/>
          <w:iCs/>
          <w:color w:val="000000"/>
          <w:szCs w:val="20"/>
          <w:lang w:eastAsia="bg-BG"/>
        </w:rPr>
      </w:pPr>
    </w:p>
    <w:p w14:paraId="1E0AB231" w14:textId="1AC94EE9" w:rsidR="0085492F" w:rsidRPr="0085492F" w:rsidRDefault="0085492F" w:rsidP="0085492F">
      <w:pPr>
        <w:spacing w:line="240" w:lineRule="auto"/>
        <w:rPr>
          <w:rFonts w:eastAsia="Times New Roman" w:cs="Arial"/>
          <w:sz w:val="28"/>
          <w:szCs w:val="24"/>
        </w:rPr>
      </w:pPr>
      <w:r w:rsidRPr="0085492F">
        <w:rPr>
          <w:rFonts w:eastAsia="Times New Roman" w:cs="Arial"/>
          <w:i/>
          <w:iCs/>
          <w:color w:val="000000"/>
          <w:szCs w:val="20"/>
          <w:lang w:eastAsia="bg-BG"/>
        </w:rPr>
        <w:t>Чернодробно увреждане:</w:t>
      </w:r>
      <w:r w:rsidRPr="0085492F">
        <w:rPr>
          <w:rFonts w:eastAsia="Times New Roman" w:cs="Arial"/>
          <w:color w:val="000000"/>
          <w:szCs w:val="20"/>
          <w:lang w:eastAsia="bg-BG"/>
        </w:rPr>
        <w:t xml:space="preserve"> Не е необходимо коригиране на дозата за пациенти с леко до умерено увреждане на чернодробната функция </w:t>
      </w:r>
      <w:r w:rsidRPr="0085492F">
        <w:rPr>
          <w:rFonts w:eastAsia="Times New Roman" w:cs="Arial"/>
          <w:color w:val="000000"/>
          <w:szCs w:val="20"/>
          <w:lang w:val="ru-RU"/>
        </w:rPr>
        <w:t>(</w:t>
      </w:r>
      <w:r w:rsidRPr="0085492F">
        <w:rPr>
          <w:rFonts w:eastAsia="Times New Roman" w:cs="Arial"/>
          <w:color w:val="000000"/>
          <w:szCs w:val="20"/>
          <w:lang w:val="en-US"/>
        </w:rPr>
        <w:t>Child</w:t>
      </w:r>
      <w:r w:rsidRPr="0085492F">
        <w:rPr>
          <w:rFonts w:eastAsia="Times New Roman" w:cs="Arial"/>
          <w:color w:val="000000"/>
          <w:szCs w:val="20"/>
          <w:lang w:val="ru-RU"/>
        </w:rPr>
        <w:t xml:space="preserve"> </w:t>
      </w:r>
      <w:r w:rsidRPr="0085492F">
        <w:rPr>
          <w:rFonts w:eastAsia="Times New Roman" w:cs="Arial"/>
          <w:color w:val="000000"/>
          <w:szCs w:val="20"/>
          <w:lang w:val="en-US"/>
        </w:rPr>
        <w:t>Pugh</w:t>
      </w:r>
      <w:r w:rsidRPr="0085492F">
        <w:rPr>
          <w:rFonts w:eastAsia="Times New Roman" w:cs="Arial"/>
          <w:color w:val="000000"/>
          <w:szCs w:val="20"/>
          <w:lang w:val="ru-RU"/>
        </w:rPr>
        <w:t xml:space="preserve"> </w:t>
      </w:r>
      <w:r w:rsidRPr="0085492F">
        <w:rPr>
          <w:rFonts w:eastAsia="Times New Roman" w:cs="Arial"/>
          <w:color w:val="000000"/>
          <w:szCs w:val="20"/>
          <w:lang w:eastAsia="bg-BG"/>
        </w:rPr>
        <w:t>клас А и В). Фармакокинетиката на прасугрел и неговото инхибиране на тромбоцитната агрегация са подобни при пациенти с леко до умерено увреждане на чернодробната функция в сравнение със здрави индивиди. Фармакокинетиката и фармакодинамиката на прасугрел при пациенти с тежко чернодробно увреждане не са проучвани. Прасугрел не трябва да се използва при пациенти с тежко чернодробно увреждане (вж. точка 4.3).</w:t>
      </w:r>
    </w:p>
    <w:p w14:paraId="5CEB5FA1" w14:textId="77777777" w:rsidR="0085492F" w:rsidRPr="0085492F" w:rsidRDefault="0085492F" w:rsidP="0085492F">
      <w:pPr>
        <w:spacing w:line="240" w:lineRule="auto"/>
        <w:rPr>
          <w:rFonts w:eastAsia="Times New Roman" w:cs="Arial"/>
          <w:i/>
          <w:iCs/>
          <w:color w:val="000000"/>
          <w:szCs w:val="20"/>
          <w:lang w:eastAsia="bg-BG"/>
        </w:rPr>
      </w:pPr>
    </w:p>
    <w:p w14:paraId="1B62C41D" w14:textId="68CEB464" w:rsidR="0085492F" w:rsidRPr="0085492F" w:rsidRDefault="0085492F" w:rsidP="0085492F">
      <w:pPr>
        <w:spacing w:line="240" w:lineRule="auto"/>
        <w:rPr>
          <w:rFonts w:eastAsia="Times New Roman" w:cs="Arial"/>
          <w:sz w:val="28"/>
          <w:szCs w:val="24"/>
        </w:rPr>
      </w:pPr>
      <w:r w:rsidRPr="0085492F">
        <w:rPr>
          <w:rFonts w:eastAsia="Times New Roman" w:cs="Arial"/>
          <w:i/>
          <w:iCs/>
          <w:color w:val="000000"/>
          <w:szCs w:val="20"/>
          <w:lang w:eastAsia="bg-BG"/>
        </w:rPr>
        <w:t>Бъбречно увреждане:</w:t>
      </w:r>
      <w:r w:rsidRPr="0085492F">
        <w:rPr>
          <w:rFonts w:eastAsia="Times New Roman" w:cs="Arial"/>
          <w:color w:val="000000"/>
          <w:szCs w:val="20"/>
          <w:lang w:eastAsia="bg-BG"/>
        </w:rPr>
        <w:t xml:space="preserve"> Не е необходимо коригиране на дозата за пациенти с бъбречно увреждане, включително пациенти с бъбречно заболяване в терминален стадий </w:t>
      </w:r>
      <w:r w:rsidRPr="0085492F">
        <w:rPr>
          <w:rFonts w:eastAsia="Times New Roman" w:cs="Arial"/>
          <w:color w:val="000000"/>
          <w:szCs w:val="20"/>
          <w:lang w:val="ru-RU"/>
        </w:rPr>
        <w:t>(</w:t>
      </w:r>
      <w:r w:rsidRPr="0085492F">
        <w:rPr>
          <w:rFonts w:eastAsia="Times New Roman" w:cs="Arial"/>
          <w:color w:val="000000"/>
          <w:szCs w:val="20"/>
          <w:lang w:val="en-US"/>
        </w:rPr>
        <w:t>ESRD</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Фармакокинетиката на прасугрел и неговото инхибиране на тромбоцитната агрегация са подобни при пациенти с умерено бъбречно увреждане (степен на гломерулна филтрация </w:t>
      </w:r>
      <w:r w:rsidRPr="0085492F">
        <w:rPr>
          <w:rFonts w:eastAsia="Times New Roman" w:cs="Arial"/>
          <w:color w:val="000000"/>
          <w:szCs w:val="20"/>
          <w:lang w:val="en-US"/>
        </w:rPr>
        <w:t>GFR</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30&lt;50 </w:t>
      </w:r>
      <w:r w:rsidRPr="0085492F">
        <w:rPr>
          <w:rFonts w:eastAsia="Times New Roman" w:cs="Arial"/>
          <w:color w:val="000000"/>
          <w:szCs w:val="20"/>
          <w:lang w:val="en-US"/>
        </w:rPr>
        <w:t>ml</w:t>
      </w:r>
      <w:r w:rsidRPr="0085492F">
        <w:rPr>
          <w:rFonts w:eastAsia="Times New Roman" w:cs="Arial"/>
          <w:color w:val="000000"/>
          <w:szCs w:val="20"/>
          <w:lang w:val="ru-RU"/>
        </w:rPr>
        <w:t>/</w:t>
      </w:r>
      <w:r w:rsidRPr="0085492F">
        <w:rPr>
          <w:rFonts w:eastAsia="Times New Roman" w:cs="Arial"/>
          <w:color w:val="000000"/>
          <w:szCs w:val="20"/>
          <w:lang w:val="en-US"/>
        </w:rPr>
        <w:t>min</w:t>
      </w:r>
      <w:r w:rsidRPr="0085492F">
        <w:rPr>
          <w:rFonts w:eastAsia="Times New Roman" w:cs="Arial"/>
          <w:color w:val="000000"/>
          <w:szCs w:val="20"/>
          <w:lang w:val="ru-RU"/>
        </w:rPr>
        <w:t>/</w:t>
      </w:r>
      <w:r w:rsidRPr="0085492F">
        <w:rPr>
          <w:rFonts w:eastAsia="Times New Roman" w:cs="Arial"/>
          <w:color w:val="000000"/>
          <w:szCs w:val="20"/>
          <w:lang w:val="en-US"/>
        </w:rPr>
        <w:t>l</w:t>
      </w:r>
      <w:r w:rsidRPr="0085492F">
        <w:rPr>
          <w:rFonts w:eastAsia="Times New Roman" w:cs="Arial"/>
          <w:color w:val="000000"/>
          <w:szCs w:val="20"/>
          <w:lang w:val="ru-RU"/>
        </w:rPr>
        <w:t>,73</w:t>
      </w:r>
      <w:r w:rsidRPr="0085492F">
        <w:rPr>
          <w:rFonts w:eastAsia="Times New Roman" w:cs="Arial"/>
          <w:color w:val="000000"/>
          <w:szCs w:val="20"/>
          <w:lang w:val="en-US"/>
        </w:rPr>
        <w:t>m</w:t>
      </w:r>
      <w:r w:rsidRPr="0085492F">
        <w:rPr>
          <w:rFonts w:eastAsia="Times New Roman" w:cs="Arial"/>
          <w:color w:val="000000"/>
          <w:szCs w:val="20"/>
          <w:vertAlign w:val="superscript"/>
          <w:lang w:val="ru-RU"/>
        </w:rPr>
        <w:t>2</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и при здрави индивиди. Прасугрел- медиираното инхибиране на тромбоцитната агрегация е също подобна при пациенти с бъбречно заболяване в терминален стадий </w:t>
      </w:r>
      <w:r w:rsidRPr="0085492F">
        <w:rPr>
          <w:rFonts w:eastAsia="Times New Roman" w:cs="Arial"/>
          <w:color w:val="000000"/>
          <w:szCs w:val="20"/>
          <w:lang w:val="ru-RU"/>
        </w:rPr>
        <w:t>(</w:t>
      </w:r>
      <w:r w:rsidRPr="0085492F">
        <w:rPr>
          <w:rFonts w:eastAsia="Times New Roman" w:cs="Arial"/>
          <w:color w:val="000000"/>
          <w:szCs w:val="20"/>
          <w:lang w:val="en-US"/>
        </w:rPr>
        <w:t>ESRD</w:t>
      </w:r>
      <w:r w:rsidRPr="0085492F">
        <w:rPr>
          <w:rFonts w:eastAsia="Times New Roman" w:cs="Arial"/>
          <w:color w:val="000000"/>
          <w:szCs w:val="20"/>
          <w:lang w:val="ru-RU"/>
        </w:rPr>
        <w:t xml:space="preserve">), </w:t>
      </w:r>
      <w:r w:rsidRPr="0085492F">
        <w:rPr>
          <w:rFonts w:eastAsia="Times New Roman" w:cs="Arial"/>
          <w:color w:val="000000"/>
          <w:szCs w:val="20"/>
          <w:lang w:eastAsia="bg-BG"/>
        </w:rPr>
        <w:t>които се нуждаят от хемодиализа, в сравнение със здрави индивиди, макар че С</w:t>
      </w:r>
      <w:r w:rsidRPr="0085492F">
        <w:rPr>
          <w:rFonts w:eastAsia="Times New Roman" w:cs="Arial"/>
          <w:color w:val="000000"/>
          <w:szCs w:val="20"/>
          <w:vertAlign w:val="subscript"/>
          <w:lang w:val="en-US"/>
        </w:rPr>
        <w:t>max</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и </w:t>
      </w:r>
      <w:r w:rsidRPr="0085492F">
        <w:rPr>
          <w:rFonts w:eastAsia="Times New Roman" w:cs="Arial"/>
          <w:color w:val="000000"/>
          <w:szCs w:val="20"/>
          <w:lang w:val="en-US"/>
        </w:rPr>
        <w:t>AUC</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на активния метаболит намаляват съответно с 51% и 42% при пациенти с бъбречно заболяване в терминален стадий </w:t>
      </w:r>
      <w:r w:rsidRPr="0085492F">
        <w:rPr>
          <w:rFonts w:eastAsia="Times New Roman" w:cs="Arial"/>
          <w:color w:val="000000"/>
          <w:szCs w:val="20"/>
          <w:lang w:val="ru-RU"/>
        </w:rPr>
        <w:t>(</w:t>
      </w:r>
      <w:r w:rsidRPr="0085492F">
        <w:rPr>
          <w:rFonts w:eastAsia="Times New Roman" w:cs="Arial"/>
          <w:color w:val="000000"/>
          <w:szCs w:val="20"/>
          <w:lang w:val="en-US"/>
        </w:rPr>
        <w:t>ESRD</w:t>
      </w:r>
      <w:r w:rsidRPr="0085492F">
        <w:rPr>
          <w:rFonts w:eastAsia="Times New Roman" w:cs="Arial"/>
          <w:color w:val="000000"/>
          <w:szCs w:val="20"/>
          <w:lang w:val="ru-RU"/>
        </w:rPr>
        <w:t>).</w:t>
      </w:r>
    </w:p>
    <w:p w14:paraId="1312C8F8" w14:textId="77777777" w:rsidR="0085492F" w:rsidRPr="0085492F" w:rsidRDefault="0085492F" w:rsidP="0085492F">
      <w:pPr>
        <w:rPr>
          <w:rFonts w:eastAsia="Times New Roman" w:cs="Arial"/>
          <w:i/>
          <w:iCs/>
          <w:color w:val="000000"/>
          <w:szCs w:val="20"/>
          <w:lang w:eastAsia="bg-BG"/>
        </w:rPr>
      </w:pPr>
    </w:p>
    <w:p w14:paraId="3D38F40B" w14:textId="52B49BD3" w:rsidR="0085492F" w:rsidRPr="0085492F" w:rsidRDefault="0085492F" w:rsidP="0085492F">
      <w:pPr>
        <w:rPr>
          <w:rFonts w:eastAsia="Times New Roman" w:cs="Arial"/>
          <w:color w:val="000000"/>
          <w:szCs w:val="20"/>
          <w:lang w:val="ru-RU"/>
        </w:rPr>
      </w:pPr>
      <w:r w:rsidRPr="0085492F">
        <w:rPr>
          <w:rFonts w:eastAsia="Times New Roman" w:cs="Arial"/>
          <w:i/>
          <w:iCs/>
          <w:color w:val="000000"/>
          <w:szCs w:val="20"/>
          <w:lang w:eastAsia="bg-BG"/>
        </w:rPr>
        <w:t>Телесно тегло:</w:t>
      </w:r>
      <w:r w:rsidRPr="0085492F">
        <w:rPr>
          <w:rFonts w:eastAsia="Times New Roman" w:cs="Arial"/>
          <w:color w:val="000000"/>
          <w:szCs w:val="20"/>
          <w:lang w:eastAsia="bg-BG"/>
        </w:rPr>
        <w:t xml:space="preserve"> Средната експозиция </w:t>
      </w:r>
      <w:r w:rsidRPr="0085492F">
        <w:rPr>
          <w:rFonts w:eastAsia="Times New Roman" w:cs="Arial"/>
          <w:color w:val="000000"/>
          <w:szCs w:val="20"/>
          <w:lang w:val="ru-RU"/>
        </w:rPr>
        <w:t>(</w:t>
      </w:r>
      <w:r w:rsidRPr="0085492F">
        <w:rPr>
          <w:rFonts w:eastAsia="Times New Roman" w:cs="Arial"/>
          <w:color w:val="000000"/>
          <w:szCs w:val="20"/>
          <w:lang w:val="en-US"/>
        </w:rPr>
        <w:t>AUC</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на активния метаболит на прасугрел е приблизително 30 до 40% по- висока при здрави индивиди и пациенти с телесно тегло &lt;60 </w:t>
      </w:r>
      <w:r w:rsidRPr="0085492F">
        <w:rPr>
          <w:rFonts w:eastAsia="Times New Roman" w:cs="Arial"/>
          <w:color w:val="000000"/>
          <w:szCs w:val="20"/>
          <w:lang w:val="en-US"/>
        </w:rPr>
        <w:t>kg</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в сравнение с тези, които тежат ≥60 </w:t>
      </w:r>
      <w:r w:rsidRPr="0085492F">
        <w:rPr>
          <w:rFonts w:eastAsia="Times New Roman" w:cs="Arial"/>
          <w:color w:val="000000"/>
          <w:szCs w:val="20"/>
          <w:lang w:val="en-US"/>
        </w:rPr>
        <w:t>kg</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Прасугрел трябва да се прилага с повишено внимание при пациенти с телесно тегло &lt;60 </w:t>
      </w:r>
      <w:r w:rsidRPr="0085492F">
        <w:rPr>
          <w:rFonts w:eastAsia="Times New Roman" w:cs="Arial"/>
          <w:color w:val="000000"/>
          <w:szCs w:val="20"/>
          <w:lang w:val="en-US"/>
        </w:rPr>
        <w:t>kg</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поради потенциален риск от кървене в тази популация (вж. точка 4.4). В проучване при пациентите със стабилна атеросклероза средната стойност на </w:t>
      </w:r>
      <w:r w:rsidRPr="0085492F">
        <w:rPr>
          <w:rFonts w:eastAsia="Times New Roman" w:cs="Arial"/>
          <w:color w:val="000000"/>
          <w:szCs w:val="20"/>
          <w:lang w:val="en-US"/>
        </w:rPr>
        <w:t>AUC</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на активния метаболити при пациенти с тегло &lt;60 </w:t>
      </w:r>
      <w:r w:rsidRPr="0085492F">
        <w:rPr>
          <w:rFonts w:eastAsia="Times New Roman" w:cs="Arial"/>
          <w:color w:val="000000"/>
          <w:szCs w:val="20"/>
          <w:lang w:val="en-US"/>
        </w:rPr>
        <w:t>kg</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които приемат 5 </w:t>
      </w:r>
      <w:r w:rsidRPr="0085492F">
        <w:rPr>
          <w:rFonts w:eastAsia="Times New Roman" w:cs="Arial"/>
          <w:color w:val="000000"/>
          <w:szCs w:val="20"/>
          <w:lang w:val="en-US"/>
        </w:rPr>
        <w:t>mg</w:t>
      </w:r>
      <w:r w:rsidRPr="0085492F">
        <w:rPr>
          <w:rFonts w:eastAsia="Times New Roman" w:cs="Arial"/>
          <w:color w:val="000000"/>
          <w:szCs w:val="20"/>
          <w:lang w:val="ru-RU"/>
        </w:rPr>
        <w:t xml:space="preserve"> </w:t>
      </w:r>
      <w:r w:rsidRPr="0085492F">
        <w:rPr>
          <w:rFonts w:eastAsia="Times New Roman" w:cs="Arial"/>
          <w:color w:val="000000"/>
          <w:szCs w:val="20"/>
          <w:lang w:eastAsia="bg-BG"/>
        </w:rPr>
        <w:t>прасугрел, е 38% по-ниска от тази при пациенти с</w:t>
      </w:r>
      <w:r w:rsidRPr="0085492F">
        <w:rPr>
          <w:rFonts w:eastAsia="Times New Roman" w:cs="Arial"/>
          <w:color w:val="000000"/>
          <w:szCs w:val="20"/>
          <w:u w:val="single"/>
          <w:lang w:eastAsia="bg-BG"/>
        </w:rPr>
        <w:t xml:space="preserve"> </w:t>
      </w:r>
      <w:r w:rsidRPr="0085492F">
        <w:rPr>
          <w:rFonts w:eastAsia="Times New Roman" w:cs="Arial"/>
          <w:color w:val="000000"/>
          <w:szCs w:val="20"/>
          <w:lang w:eastAsia="bg-BG"/>
        </w:rPr>
        <w:t xml:space="preserve">тегло ≥60 </w:t>
      </w:r>
      <w:r w:rsidRPr="0085492F">
        <w:rPr>
          <w:rFonts w:eastAsia="Times New Roman" w:cs="Arial"/>
          <w:color w:val="000000"/>
          <w:szCs w:val="20"/>
          <w:lang w:val="en-US"/>
        </w:rPr>
        <w:t>kg</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които получават 10 </w:t>
      </w:r>
      <w:r w:rsidRPr="0085492F">
        <w:rPr>
          <w:rFonts w:eastAsia="Times New Roman" w:cs="Arial"/>
          <w:color w:val="000000"/>
          <w:szCs w:val="20"/>
          <w:lang w:val="en-US"/>
        </w:rPr>
        <w:t>mg</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прасугрел, а антитромботичният ефект на 5 </w:t>
      </w:r>
      <w:r w:rsidRPr="0085492F">
        <w:rPr>
          <w:rFonts w:eastAsia="Times New Roman" w:cs="Arial"/>
          <w:color w:val="000000"/>
          <w:szCs w:val="20"/>
          <w:lang w:val="en-US"/>
        </w:rPr>
        <w:t>mg</w:t>
      </w:r>
      <w:r w:rsidRPr="0085492F">
        <w:rPr>
          <w:rFonts w:eastAsia="Times New Roman" w:cs="Arial"/>
          <w:color w:val="000000"/>
          <w:szCs w:val="20"/>
          <w:lang w:val="ru-RU"/>
        </w:rPr>
        <w:t xml:space="preserve"> </w:t>
      </w:r>
      <w:r w:rsidRPr="0085492F">
        <w:rPr>
          <w:rFonts w:eastAsia="Times New Roman" w:cs="Arial"/>
          <w:color w:val="000000"/>
          <w:szCs w:val="20"/>
          <w:lang w:eastAsia="bg-BG"/>
        </w:rPr>
        <w:t>е подобен на 10</w:t>
      </w:r>
      <w:r w:rsidRPr="0085492F">
        <w:rPr>
          <w:rFonts w:eastAsia="Times New Roman" w:cs="Arial"/>
          <w:color w:val="000000"/>
          <w:szCs w:val="20"/>
          <w:lang w:val="ru-RU"/>
        </w:rPr>
        <w:t xml:space="preserve"> </w:t>
      </w:r>
      <w:r w:rsidRPr="0085492F">
        <w:rPr>
          <w:rFonts w:eastAsia="Times New Roman" w:cs="Arial"/>
          <w:color w:val="000000"/>
          <w:szCs w:val="20"/>
          <w:lang w:val="en-US"/>
        </w:rPr>
        <w:t>mg</w:t>
      </w:r>
      <w:r w:rsidRPr="0085492F">
        <w:rPr>
          <w:rFonts w:eastAsia="Times New Roman" w:cs="Arial"/>
          <w:color w:val="000000"/>
          <w:szCs w:val="20"/>
          <w:lang w:val="ru-RU"/>
        </w:rPr>
        <w:t>.</w:t>
      </w:r>
    </w:p>
    <w:p w14:paraId="75CABD4C" w14:textId="7DCD1008" w:rsidR="0085492F" w:rsidRPr="0085492F" w:rsidRDefault="0085492F" w:rsidP="0085492F">
      <w:pPr>
        <w:rPr>
          <w:rFonts w:eastAsia="Times New Roman" w:cs="Arial"/>
          <w:color w:val="000000"/>
          <w:szCs w:val="20"/>
          <w:lang w:val="ru-RU"/>
        </w:rPr>
      </w:pPr>
    </w:p>
    <w:p w14:paraId="45C542E9" w14:textId="77777777" w:rsidR="0085492F" w:rsidRPr="0085492F" w:rsidRDefault="0085492F" w:rsidP="0085492F">
      <w:pPr>
        <w:spacing w:line="240" w:lineRule="auto"/>
        <w:rPr>
          <w:rFonts w:eastAsia="Times New Roman" w:cs="Arial"/>
          <w:sz w:val="28"/>
          <w:szCs w:val="24"/>
        </w:rPr>
      </w:pPr>
      <w:r w:rsidRPr="0085492F">
        <w:rPr>
          <w:rFonts w:eastAsia="Times New Roman" w:cs="Arial"/>
          <w:i/>
          <w:iCs/>
          <w:color w:val="000000"/>
          <w:szCs w:val="20"/>
          <w:lang w:eastAsia="bg-BG"/>
        </w:rPr>
        <w:lastRenderedPageBreak/>
        <w:t>Етническа принадлежност:</w:t>
      </w:r>
      <w:r w:rsidRPr="0085492F">
        <w:rPr>
          <w:rFonts w:eastAsia="Times New Roman" w:cs="Arial"/>
          <w:color w:val="000000"/>
          <w:szCs w:val="20"/>
          <w:lang w:eastAsia="bg-BG"/>
        </w:rPr>
        <w:t xml:space="preserve"> В клинични фармакологични проучвания, след коригиране според телесното тегло, </w:t>
      </w:r>
      <w:r w:rsidRPr="0085492F">
        <w:rPr>
          <w:rFonts w:eastAsia="Times New Roman" w:cs="Arial"/>
          <w:color w:val="000000"/>
          <w:szCs w:val="20"/>
          <w:lang w:val="en-US"/>
        </w:rPr>
        <w:t>AUC</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на активния метаболит е приблизително 19% по-висока при китайци, японци и корейци в сравнение с индивиди от бялата раса, което е свързано главно с по-високата експозиция при индивидите от азиатската раса с тегло &lt;60 </w:t>
      </w:r>
      <w:r w:rsidRPr="0085492F">
        <w:rPr>
          <w:rFonts w:eastAsia="Times New Roman" w:cs="Arial"/>
          <w:color w:val="000000"/>
          <w:szCs w:val="20"/>
          <w:lang w:val="en-US"/>
        </w:rPr>
        <w:t>kg</w:t>
      </w:r>
      <w:r w:rsidRPr="0085492F">
        <w:rPr>
          <w:rFonts w:eastAsia="Times New Roman" w:cs="Arial"/>
          <w:color w:val="000000"/>
          <w:szCs w:val="20"/>
          <w:lang w:val="ru-RU"/>
        </w:rPr>
        <w:t xml:space="preserve">. </w:t>
      </w:r>
      <w:r w:rsidRPr="0085492F">
        <w:rPr>
          <w:rFonts w:eastAsia="Times New Roman" w:cs="Arial"/>
          <w:color w:val="000000"/>
          <w:szCs w:val="20"/>
          <w:lang w:eastAsia="bg-BG"/>
        </w:rPr>
        <w:t>Няма разлики в експозицията сред пациентите китайци, японци и корейци. Експозицията при индивидите от африкански и латиноамерикански произход е сравнима с тази на индивидите от бялата раса. Не се препоръчва коригиране на дозата единствено въз основа на етническата принадлежност.</w:t>
      </w:r>
    </w:p>
    <w:p w14:paraId="1CF7F4B5" w14:textId="77777777" w:rsidR="0085492F" w:rsidRPr="0085492F" w:rsidRDefault="0085492F" w:rsidP="0085492F">
      <w:pPr>
        <w:spacing w:line="240" w:lineRule="auto"/>
        <w:rPr>
          <w:rFonts w:eastAsia="Times New Roman" w:cs="Arial"/>
          <w:i/>
          <w:iCs/>
          <w:color w:val="000000"/>
          <w:szCs w:val="20"/>
          <w:lang w:eastAsia="bg-BG"/>
        </w:rPr>
      </w:pPr>
    </w:p>
    <w:p w14:paraId="3BA4C8F9" w14:textId="67ED7D97" w:rsidR="0085492F" w:rsidRPr="0085492F" w:rsidRDefault="0085492F" w:rsidP="0085492F">
      <w:pPr>
        <w:spacing w:line="240" w:lineRule="auto"/>
        <w:rPr>
          <w:rFonts w:eastAsia="Times New Roman" w:cs="Arial"/>
          <w:sz w:val="28"/>
          <w:szCs w:val="24"/>
        </w:rPr>
      </w:pPr>
      <w:r w:rsidRPr="0085492F">
        <w:rPr>
          <w:rFonts w:eastAsia="Times New Roman" w:cs="Arial"/>
          <w:i/>
          <w:iCs/>
          <w:color w:val="000000"/>
          <w:szCs w:val="20"/>
          <w:lang w:eastAsia="bg-BG"/>
        </w:rPr>
        <w:t>Пол:</w:t>
      </w:r>
      <w:r w:rsidRPr="0085492F">
        <w:rPr>
          <w:rFonts w:eastAsia="Times New Roman" w:cs="Arial"/>
          <w:color w:val="000000"/>
          <w:szCs w:val="20"/>
          <w:lang w:eastAsia="bg-BG"/>
        </w:rPr>
        <w:t xml:space="preserve"> При здрави индивиди и пациенти фармакокинетиката на прасугрел е подобна при мъже и жени.</w:t>
      </w:r>
    </w:p>
    <w:p w14:paraId="5325B069" w14:textId="77777777" w:rsidR="0085492F" w:rsidRPr="0085492F" w:rsidRDefault="0085492F" w:rsidP="0085492F">
      <w:pPr>
        <w:rPr>
          <w:rFonts w:eastAsia="Times New Roman" w:cs="Arial"/>
          <w:i/>
          <w:iCs/>
          <w:color w:val="000000"/>
          <w:szCs w:val="20"/>
          <w:lang w:eastAsia="bg-BG"/>
        </w:rPr>
      </w:pPr>
    </w:p>
    <w:p w14:paraId="3EECF3D3" w14:textId="2527EAC4" w:rsidR="0085492F" w:rsidRDefault="0085492F" w:rsidP="0085492F">
      <w:pPr>
        <w:rPr>
          <w:rFonts w:eastAsia="Times New Roman" w:cs="Arial"/>
          <w:color w:val="000000"/>
          <w:szCs w:val="20"/>
          <w:lang w:eastAsia="bg-BG"/>
        </w:rPr>
      </w:pPr>
      <w:r w:rsidRPr="0085492F">
        <w:rPr>
          <w:rFonts w:eastAsia="Times New Roman" w:cs="Arial"/>
          <w:i/>
          <w:iCs/>
          <w:color w:val="000000"/>
          <w:szCs w:val="20"/>
          <w:lang w:eastAsia="bg-BG"/>
        </w:rPr>
        <w:t>Педиатрична популация:</w:t>
      </w:r>
      <w:r w:rsidRPr="0085492F">
        <w:rPr>
          <w:rFonts w:eastAsia="Times New Roman" w:cs="Arial"/>
          <w:color w:val="000000"/>
          <w:szCs w:val="20"/>
          <w:lang w:eastAsia="bg-BG"/>
        </w:rPr>
        <w:t xml:space="preserve"> Фармакокинетиката и фармакодинамиката на прасугрел не са оценявани в педиатрична популация (вж. точка 4.2).</w:t>
      </w:r>
    </w:p>
    <w:p w14:paraId="076634C0" w14:textId="77777777" w:rsidR="0085492F" w:rsidRPr="0085492F" w:rsidRDefault="0085492F" w:rsidP="0085492F">
      <w:pPr>
        <w:rPr>
          <w:rFonts w:cs="Arial"/>
          <w:sz w:val="24"/>
          <w:lang w:val="ru-RU"/>
        </w:rPr>
      </w:pPr>
    </w:p>
    <w:p w14:paraId="648E39DA" w14:textId="77027187" w:rsidR="00CF77F7" w:rsidRDefault="002C50EE" w:rsidP="004A448E">
      <w:pPr>
        <w:pStyle w:val="Heading2"/>
      </w:pPr>
      <w:r>
        <w:t>5.3. Предклинични данни за безопасност</w:t>
      </w:r>
    </w:p>
    <w:p w14:paraId="33CA48B2" w14:textId="7253A9DB" w:rsidR="0085492F" w:rsidRDefault="0085492F" w:rsidP="0085492F"/>
    <w:p w14:paraId="1C104B81" w14:textId="77777777" w:rsidR="0085492F" w:rsidRPr="0085492F" w:rsidRDefault="0085492F" w:rsidP="0085492F">
      <w:pPr>
        <w:spacing w:line="240" w:lineRule="auto"/>
        <w:rPr>
          <w:rFonts w:eastAsia="Times New Roman" w:cs="Arial"/>
          <w:sz w:val="28"/>
          <w:szCs w:val="24"/>
        </w:rPr>
      </w:pPr>
      <w:r w:rsidRPr="0085492F">
        <w:rPr>
          <w:rFonts w:eastAsia="Times New Roman" w:cs="Arial"/>
          <w:color w:val="000000"/>
          <w:szCs w:val="20"/>
          <w:lang w:eastAsia="bg-BG"/>
        </w:rPr>
        <w:t>Неклиничните данни не показват особен риск за хората на базата на конвенционалните фармакологични проучвания за безопасност, токсичност при многократно прилагане, генотоксичност, карциногенен потенциал или репродуктивна токсичност. Ефектите в неклинични проучвания са наблюдавани само при експозиции, разглеждани като достатъчно по-високи от максималната експозиция при хора, което показва малко практическо значение за клинична употреба.</w:t>
      </w:r>
    </w:p>
    <w:p w14:paraId="34A2FD77" w14:textId="77777777" w:rsidR="0085492F" w:rsidRPr="0085492F" w:rsidRDefault="0085492F" w:rsidP="0085492F">
      <w:pPr>
        <w:spacing w:line="240" w:lineRule="auto"/>
        <w:rPr>
          <w:rFonts w:eastAsia="Times New Roman" w:cs="Arial"/>
          <w:color w:val="000000"/>
          <w:szCs w:val="20"/>
          <w:lang w:eastAsia="bg-BG"/>
        </w:rPr>
      </w:pPr>
    </w:p>
    <w:p w14:paraId="21D05BE4" w14:textId="5161EBE1" w:rsidR="0085492F" w:rsidRPr="0085492F" w:rsidRDefault="0085492F" w:rsidP="0085492F">
      <w:pPr>
        <w:spacing w:line="240" w:lineRule="auto"/>
        <w:rPr>
          <w:rFonts w:eastAsia="Times New Roman" w:cs="Arial"/>
          <w:color w:val="000000"/>
          <w:szCs w:val="20"/>
          <w:lang w:eastAsia="bg-BG"/>
        </w:rPr>
      </w:pPr>
      <w:r w:rsidRPr="0085492F">
        <w:rPr>
          <w:rFonts w:eastAsia="Times New Roman" w:cs="Arial"/>
          <w:color w:val="000000"/>
          <w:szCs w:val="20"/>
          <w:lang w:eastAsia="bg-BG"/>
        </w:rPr>
        <w:t xml:space="preserve">Проучвания за токсичност по време на ембриофеталното развитие при плъхове и зайци не показват данни за </w:t>
      </w:r>
    </w:p>
    <w:p w14:paraId="382D4577" w14:textId="4DAA8580" w:rsidR="0085492F" w:rsidRPr="0085492F" w:rsidRDefault="0085492F" w:rsidP="0085492F">
      <w:pPr>
        <w:spacing w:line="240" w:lineRule="auto"/>
        <w:rPr>
          <w:rFonts w:eastAsia="Times New Roman" w:cs="Arial"/>
          <w:sz w:val="28"/>
          <w:szCs w:val="24"/>
        </w:rPr>
      </w:pPr>
      <w:r w:rsidRPr="0085492F">
        <w:rPr>
          <w:rFonts w:eastAsia="Times New Roman" w:cs="Arial"/>
          <w:color w:val="000000"/>
          <w:szCs w:val="20"/>
          <w:lang w:eastAsia="bg-BG"/>
        </w:rPr>
        <w:t xml:space="preserve">малформации, дължащи се на прасугрел. При много висока доза (&gt;240 пъти препоръчваната поддържаща дневна доза при хора на базата на </w:t>
      </w:r>
      <w:r w:rsidRPr="0085492F">
        <w:rPr>
          <w:rFonts w:eastAsia="Times New Roman" w:cs="Arial"/>
          <w:color w:val="000000"/>
          <w:szCs w:val="20"/>
          <w:lang w:val="en-US"/>
        </w:rPr>
        <w:t>mg</w:t>
      </w:r>
      <w:r w:rsidRPr="0085492F">
        <w:rPr>
          <w:rFonts w:eastAsia="Times New Roman" w:cs="Arial"/>
          <w:color w:val="000000"/>
          <w:szCs w:val="20"/>
          <w:lang w:val="ru-RU"/>
        </w:rPr>
        <w:t>/</w:t>
      </w:r>
      <w:r w:rsidRPr="0085492F">
        <w:rPr>
          <w:rFonts w:eastAsia="Times New Roman" w:cs="Arial"/>
          <w:color w:val="000000"/>
          <w:szCs w:val="20"/>
          <w:lang w:val="en-US"/>
        </w:rPr>
        <w:t>m</w:t>
      </w:r>
      <w:r w:rsidRPr="0085492F">
        <w:rPr>
          <w:rFonts w:eastAsia="Times New Roman" w:cs="Arial"/>
          <w:color w:val="000000"/>
          <w:szCs w:val="20"/>
          <w:vertAlign w:val="superscript"/>
          <w:lang w:val="ru-RU"/>
        </w:rPr>
        <w:t>2</w:t>
      </w:r>
      <w:r w:rsidRPr="0085492F">
        <w:rPr>
          <w:rFonts w:eastAsia="Times New Roman" w:cs="Arial"/>
          <w:color w:val="000000"/>
          <w:szCs w:val="20"/>
          <w:lang w:val="ru-RU"/>
        </w:rPr>
        <w:t xml:space="preserve">), </w:t>
      </w:r>
      <w:r w:rsidRPr="0085492F">
        <w:rPr>
          <w:rFonts w:eastAsia="Times New Roman" w:cs="Arial"/>
          <w:color w:val="000000"/>
          <w:szCs w:val="20"/>
          <w:lang w:eastAsia="bg-BG"/>
        </w:rPr>
        <w:t xml:space="preserve">която причинява ефекти върху телесното тегло на майката и/или консумирането на храна, има незначително намаляване на телесното тегло на потомството (в сравнение с контролите). При пре- и постнатални проучвания при плъхове лечението на майката няма ефект върху поведенческото или репродуктивното развитие на поколението при експозиция на дози над 240 пъти препоръчваната поддържаща дневна доза при хора (на базата на </w:t>
      </w:r>
      <w:r w:rsidRPr="0085492F">
        <w:rPr>
          <w:rFonts w:eastAsia="Times New Roman" w:cs="Arial"/>
          <w:color w:val="000000"/>
          <w:szCs w:val="20"/>
          <w:lang w:val="en-US"/>
        </w:rPr>
        <w:t>mg</w:t>
      </w:r>
      <w:r w:rsidRPr="0085492F">
        <w:rPr>
          <w:rFonts w:eastAsia="Times New Roman" w:cs="Arial"/>
          <w:color w:val="000000"/>
          <w:szCs w:val="20"/>
          <w:lang w:val="ru-RU"/>
        </w:rPr>
        <w:t>/</w:t>
      </w:r>
      <w:r w:rsidRPr="0085492F">
        <w:rPr>
          <w:rFonts w:eastAsia="Times New Roman" w:cs="Arial"/>
          <w:color w:val="000000"/>
          <w:szCs w:val="20"/>
          <w:lang w:val="en-US"/>
        </w:rPr>
        <w:t>m</w:t>
      </w:r>
      <w:r w:rsidRPr="0085492F">
        <w:rPr>
          <w:rFonts w:eastAsia="Times New Roman" w:cs="Arial"/>
          <w:color w:val="000000"/>
          <w:szCs w:val="20"/>
          <w:vertAlign w:val="superscript"/>
          <w:lang w:val="ru-RU"/>
        </w:rPr>
        <w:t>2</w:t>
      </w:r>
      <w:r w:rsidRPr="0085492F">
        <w:rPr>
          <w:rFonts w:eastAsia="Times New Roman" w:cs="Arial"/>
          <w:color w:val="000000"/>
          <w:szCs w:val="20"/>
          <w:lang w:val="ru-RU"/>
        </w:rPr>
        <w:t>).</w:t>
      </w:r>
    </w:p>
    <w:p w14:paraId="5D0CC33B" w14:textId="77777777" w:rsidR="0085492F" w:rsidRPr="0085492F" w:rsidRDefault="0085492F" w:rsidP="0085492F">
      <w:pPr>
        <w:rPr>
          <w:rFonts w:eastAsia="Times New Roman" w:cs="Arial"/>
          <w:color w:val="000000"/>
          <w:szCs w:val="20"/>
          <w:lang w:eastAsia="bg-BG"/>
        </w:rPr>
      </w:pPr>
    </w:p>
    <w:p w14:paraId="0EA8248F" w14:textId="071573EB" w:rsidR="0085492F" w:rsidRPr="0085492F" w:rsidRDefault="0085492F" w:rsidP="0085492F">
      <w:pPr>
        <w:rPr>
          <w:rFonts w:cs="Arial"/>
          <w:sz w:val="24"/>
        </w:rPr>
      </w:pPr>
      <w:r w:rsidRPr="0085492F">
        <w:rPr>
          <w:rFonts w:eastAsia="Times New Roman" w:cs="Arial"/>
          <w:color w:val="000000"/>
          <w:szCs w:val="20"/>
          <w:lang w:eastAsia="bg-BG"/>
        </w:rPr>
        <w:t>Не са наблюдавани тумори, свързани със съединението, в 2-годишно проучване при плъхове с експозиции на прасугрел в диапазона до над 75 пъти препоръчваните терапевтични експозиции при хора (въз основа на плазмената експозиция на циркулиращите активни и основни метаболити при хора). Има увеличено разпространение на туморите (хепатоцелуларни аденоми) при мишки, изложени в продължение на 2 години на високи дози (&gt;75 пъти експозицията при хора), но това се смята за вторично по отношение на прасугрел-индуцираната ензимна индукция. Добре документирани в литературата са чернодробните тумори на специфична група гризачи и лекарствено-индуцираната ензимна индукция. Увеличаването на чернодробните тумори с прилагането на прасугрел при мишки не се смята за практически значим риск при хората.</w:t>
      </w:r>
    </w:p>
    <w:p w14:paraId="6A7820AB" w14:textId="1A917172" w:rsidR="008A6AF2" w:rsidRDefault="002C50EE" w:rsidP="00395555">
      <w:pPr>
        <w:pStyle w:val="Heading1"/>
      </w:pPr>
      <w:r>
        <w:t>7. ПРИТЕЖАТЕЛ НА РАЗРЕШЕНИЕТО ЗА УПОТРЕБА</w:t>
      </w:r>
    </w:p>
    <w:p w14:paraId="302059A9" w14:textId="77777777" w:rsidR="0085492F" w:rsidRDefault="0085492F" w:rsidP="0085492F">
      <w:pPr>
        <w:rPr>
          <w:lang w:val="en-US"/>
        </w:rPr>
      </w:pPr>
    </w:p>
    <w:p w14:paraId="6BE3DCEA" w14:textId="2DF1CBB3" w:rsidR="0085492F" w:rsidRDefault="0085492F" w:rsidP="0085492F">
      <w:pPr>
        <w:rPr>
          <w:lang w:val="en-US"/>
        </w:rPr>
      </w:pPr>
      <w:proofErr w:type="spellStart"/>
      <w:r w:rsidRPr="0085492F">
        <w:rPr>
          <w:lang w:val="en-US"/>
        </w:rPr>
        <w:t>Gedeon</w:t>
      </w:r>
      <w:proofErr w:type="spellEnd"/>
      <w:r w:rsidRPr="0085492F">
        <w:rPr>
          <w:lang w:val="en-US"/>
        </w:rPr>
        <w:t xml:space="preserve"> Richter Pic. </w:t>
      </w:r>
    </w:p>
    <w:p w14:paraId="6D3BDE08" w14:textId="3D686350" w:rsidR="0085492F" w:rsidRPr="0085492F" w:rsidRDefault="0085492F" w:rsidP="0085492F">
      <w:pPr>
        <w:rPr>
          <w:lang w:val="en-US"/>
        </w:rPr>
      </w:pPr>
      <w:proofErr w:type="spellStart"/>
      <w:r w:rsidRPr="0085492F">
        <w:rPr>
          <w:lang w:val="en-US"/>
        </w:rPr>
        <w:lastRenderedPageBreak/>
        <w:t>Gyomroi</w:t>
      </w:r>
      <w:proofErr w:type="spellEnd"/>
      <w:r w:rsidRPr="0085492F">
        <w:rPr>
          <w:lang w:val="en-US"/>
        </w:rPr>
        <w:t xml:space="preserve"> </w:t>
      </w:r>
      <w:proofErr w:type="spellStart"/>
      <w:r w:rsidRPr="0085492F">
        <w:rPr>
          <w:lang w:val="en-US"/>
        </w:rPr>
        <w:t>ut</w:t>
      </w:r>
      <w:proofErr w:type="spellEnd"/>
      <w:r w:rsidRPr="0085492F">
        <w:rPr>
          <w:lang w:val="en-US"/>
        </w:rPr>
        <w:t xml:space="preserve"> 19-21.</w:t>
      </w:r>
    </w:p>
    <w:p w14:paraId="49D4B3C5" w14:textId="77777777" w:rsidR="0085492F" w:rsidRDefault="0085492F" w:rsidP="0085492F">
      <w:pPr>
        <w:rPr>
          <w:lang w:val="en-US"/>
        </w:rPr>
      </w:pPr>
      <w:r w:rsidRPr="0085492F">
        <w:rPr>
          <w:lang w:val="ru-RU"/>
        </w:rPr>
        <w:t xml:space="preserve">1103 </w:t>
      </w:r>
      <w:r w:rsidRPr="0085492F">
        <w:rPr>
          <w:lang w:val="en-US"/>
        </w:rPr>
        <w:t>Budapest</w:t>
      </w:r>
    </w:p>
    <w:p w14:paraId="439C9B5C" w14:textId="4EFF29C2" w:rsidR="0085492F" w:rsidRPr="0085492F" w:rsidRDefault="0085492F" w:rsidP="0085492F">
      <w:r w:rsidRPr="0085492F">
        <w:rPr>
          <w:lang w:eastAsia="bg-BG"/>
        </w:rPr>
        <w:t>Унгария</w:t>
      </w:r>
    </w:p>
    <w:p w14:paraId="7BA1BA64" w14:textId="641C74BF" w:rsidR="00CF77F7" w:rsidRDefault="002C50EE" w:rsidP="004A448E">
      <w:pPr>
        <w:pStyle w:val="Heading1"/>
      </w:pPr>
      <w:r>
        <w:t>8. НОМЕР НА РАЗРЕШЕНИЕТО ЗА УПОТРЕБА</w:t>
      </w:r>
    </w:p>
    <w:p w14:paraId="32B7A0C0" w14:textId="499EA5AA" w:rsidR="0085492F" w:rsidRDefault="0085492F" w:rsidP="0085492F"/>
    <w:p w14:paraId="66464246" w14:textId="37E3DB10" w:rsidR="0085492F" w:rsidRPr="0085492F" w:rsidRDefault="0085492F" w:rsidP="0085492F">
      <w:r>
        <w:t>Per. №20180315</w:t>
      </w:r>
    </w:p>
    <w:p w14:paraId="2CCB5832" w14:textId="0DF4D04E" w:rsidR="007C605B" w:rsidRDefault="002C50EE" w:rsidP="007C605B">
      <w:pPr>
        <w:pStyle w:val="Heading1"/>
      </w:pPr>
      <w:r>
        <w:t>9. ДАТА НА ПЪРВО РАЗРЕШАВАНЕ/ПОДНОВЯВАНЕ НА РАЗРЕШЕНИЕТО ЗА УПОТРЕБА</w:t>
      </w:r>
    </w:p>
    <w:p w14:paraId="03E7F76A" w14:textId="750B3E06" w:rsidR="0085492F" w:rsidRDefault="0085492F" w:rsidP="0085492F"/>
    <w:p w14:paraId="4B5765F0" w14:textId="13436C08" w:rsidR="0085492F" w:rsidRDefault="0085492F" w:rsidP="0085492F">
      <w:pPr>
        <w:rPr>
          <w:lang w:eastAsia="bg-BG"/>
        </w:rPr>
      </w:pPr>
      <w:r w:rsidRPr="0085492F">
        <w:rPr>
          <w:lang w:eastAsia="bg-BG"/>
        </w:rPr>
        <w:t>Дата на първо разрешаване: 06.11.2018</w:t>
      </w:r>
    </w:p>
    <w:p w14:paraId="1C9424A2" w14:textId="77777777" w:rsidR="0085492F" w:rsidRPr="0085492F" w:rsidRDefault="0085492F" w:rsidP="0085492F">
      <w:pPr>
        <w:rPr>
          <w:sz w:val="24"/>
          <w:szCs w:val="24"/>
        </w:rPr>
      </w:pPr>
    </w:p>
    <w:p w14:paraId="0E9D0119" w14:textId="0245C6D7" w:rsidR="002C50EE" w:rsidRDefault="002C50EE" w:rsidP="002C50EE">
      <w:pPr>
        <w:pStyle w:val="Heading1"/>
      </w:pPr>
      <w:r>
        <w:t>10. ДАТА НА АКТУАЛИЗИРАНЕ НА ТЕКСТА</w:t>
      </w:r>
    </w:p>
    <w:bookmarkEnd w:id="0"/>
    <w:p w14:paraId="43FB38A2" w14:textId="69E7E9DE" w:rsidR="007C605B" w:rsidRPr="003E3126" w:rsidRDefault="0085492F" w:rsidP="0085492F">
      <w:r>
        <w:t>12.12.2019</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6802D82"/>
    <w:multiLevelType w:val="hybridMultilevel"/>
    <w:tmpl w:val="F4841B6E"/>
    <w:lvl w:ilvl="0" w:tplc="61A8CAF0">
      <w:start w:val="4"/>
      <w:numFmt w:val="bullet"/>
      <w:lvlText w:val="-"/>
      <w:lvlJc w:val="left"/>
      <w:pPr>
        <w:ind w:left="720" w:hanging="360"/>
      </w:pPr>
      <w:rPr>
        <w:rFonts w:ascii="Arial" w:eastAsiaTheme="minorHAnsi" w:hAnsi="Arial"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2"/>
  </w:num>
  <w:num w:numId="15">
    <w:abstractNumId w:val="29"/>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4"/>
  </w:num>
  <w:num w:numId="31">
    <w:abstractNumId w:val="5"/>
  </w:num>
  <w:num w:numId="32">
    <w:abstractNumId w:val="33"/>
  </w:num>
  <w:num w:numId="33">
    <w:abstractNumId w:val="28"/>
  </w:num>
  <w:num w:numId="34">
    <w:abstractNumId w:val="3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5492F"/>
    <w:rsid w:val="00893B92"/>
    <w:rsid w:val="008A6AF2"/>
    <w:rsid w:val="008C70A2"/>
    <w:rsid w:val="009773E4"/>
    <w:rsid w:val="009B171C"/>
    <w:rsid w:val="009F1313"/>
    <w:rsid w:val="00A20351"/>
    <w:rsid w:val="00A41B7E"/>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7471</Words>
  <Characters>42591</Characters>
  <Application>Microsoft Office Word</Application>
  <DocSecurity>0</DocSecurity>
  <Lines>354</Lines>
  <Paragraphs>99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3</cp:revision>
  <dcterms:created xsi:type="dcterms:W3CDTF">2022-02-26T00:16:00Z</dcterms:created>
  <dcterms:modified xsi:type="dcterms:W3CDTF">2022-02-26T00:16:00Z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