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37CA6FD8" w:rsidR="00C40420" w:rsidRDefault="00DD466D" w:rsidP="004A448E">
      <w:pPr>
        <w:pStyle w:val="Heading1"/>
      </w:pPr>
      <w:r>
        <w:t>1.ИМЕ НА ЛЕКАРСТВЕНИЯ ПРОДУКТ</w:t>
      </w:r>
    </w:p>
    <w:p w14:paraId="6C318024" w14:textId="420DDAA4" w:rsidR="00080284" w:rsidRDefault="00080284" w:rsidP="00080284"/>
    <w:p w14:paraId="178557CA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Бикусан 50 </w:t>
      </w:r>
      <w:r w:rsidRPr="00080284">
        <w:rPr>
          <w:rFonts w:eastAsia="Times New Roman" w:cs="Arial"/>
          <w:color w:val="000000"/>
          <w:lang w:val="en-US"/>
        </w:rPr>
        <w:t xml:space="preserve">mg </w:t>
      </w:r>
      <w:r w:rsidRPr="00080284">
        <w:rPr>
          <w:rFonts w:eastAsia="Times New Roman" w:cs="Arial"/>
          <w:color w:val="000000"/>
          <w:lang w:eastAsia="bg-BG"/>
        </w:rPr>
        <w:t>филмирани таблетки</w:t>
      </w:r>
    </w:p>
    <w:p w14:paraId="28899F45" w14:textId="7185A6E3" w:rsidR="00080284" w:rsidRPr="00080284" w:rsidRDefault="00080284" w:rsidP="00080284">
      <w:pPr>
        <w:rPr>
          <w:rFonts w:cs="Arial"/>
        </w:rPr>
      </w:pPr>
      <w:proofErr w:type="spellStart"/>
      <w:r w:rsidRPr="00080284">
        <w:rPr>
          <w:rFonts w:eastAsia="Times New Roman" w:cs="Arial"/>
          <w:color w:val="000000"/>
          <w:lang w:val="en-US"/>
        </w:rPr>
        <w:t>Bicusan</w:t>
      </w:r>
      <w:proofErr w:type="spellEnd"/>
      <w:r w:rsidRPr="00080284">
        <w:rPr>
          <w:rFonts w:eastAsia="Times New Roman" w:cs="Arial"/>
          <w:color w:val="000000"/>
          <w:lang w:val="en-US"/>
        </w:rPr>
        <w:t xml:space="preserve"> </w:t>
      </w:r>
      <w:r w:rsidRPr="00080284">
        <w:rPr>
          <w:rFonts w:eastAsia="Times New Roman" w:cs="Arial"/>
          <w:color w:val="000000"/>
          <w:lang w:eastAsia="bg-BG"/>
        </w:rPr>
        <w:t xml:space="preserve">50 </w:t>
      </w:r>
      <w:r w:rsidRPr="00080284">
        <w:rPr>
          <w:rFonts w:eastAsia="Times New Roman" w:cs="Arial"/>
          <w:color w:val="000000"/>
          <w:lang w:val="en-US"/>
        </w:rPr>
        <w:t>mg film-coated tablets</w:t>
      </w:r>
    </w:p>
    <w:p w14:paraId="6920A680" w14:textId="2F604FBF" w:rsidR="00C40420" w:rsidRDefault="00DD466D" w:rsidP="004A448E">
      <w:pPr>
        <w:pStyle w:val="Heading1"/>
      </w:pPr>
      <w:r>
        <w:t>2. КАЧЕСТВЕН И КОЛИЧЕСТВЕН СЪСТАВ</w:t>
      </w:r>
    </w:p>
    <w:p w14:paraId="1CE020D7" w14:textId="5D589266" w:rsidR="00080284" w:rsidRDefault="00080284" w:rsidP="00080284"/>
    <w:p w14:paraId="29F53909" w14:textId="752F45B8" w:rsidR="00080284" w:rsidRPr="00080284" w:rsidRDefault="00080284" w:rsidP="00080284">
      <w:pPr>
        <w:rPr>
          <w:rFonts w:cs="Arial"/>
          <w:i/>
          <w:iCs/>
          <w:lang w:val="en-US"/>
        </w:rPr>
      </w:pPr>
      <w:r w:rsidRPr="00080284">
        <w:rPr>
          <w:rFonts w:cs="Arial"/>
        </w:rPr>
        <w:t xml:space="preserve">Една таблетка съдържа 50 </w:t>
      </w:r>
      <w:r w:rsidRPr="00080284">
        <w:rPr>
          <w:rFonts w:cs="Arial"/>
          <w:lang w:val="en-US"/>
        </w:rPr>
        <w:t xml:space="preserve">mg </w:t>
      </w:r>
      <w:r w:rsidRPr="00080284">
        <w:rPr>
          <w:rFonts w:cs="Arial"/>
        </w:rPr>
        <w:t xml:space="preserve">бикалутамид </w:t>
      </w:r>
      <w:r w:rsidRPr="00080284">
        <w:rPr>
          <w:rFonts w:cs="Arial"/>
          <w:i/>
          <w:iCs/>
          <w:lang w:val="en-US"/>
        </w:rPr>
        <w:t>(</w:t>
      </w:r>
      <w:proofErr w:type="spellStart"/>
      <w:r w:rsidRPr="00080284">
        <w:rPr>
          <w:rFonts w:cs="Arial"/>
          <w:i/>
          <w:iCs/>
          <w:lang w:val="en-US"/>
        </w:rPr>
        <w:t>bicalutamide</w:t>
      </w:r>
      <w:proofErr w:type="spellEnd"/>
      <w:r w:rsidRPr="00080284">
        <w:rPr>
          <w:rFonts w:cs="Arial"/>
          <w:i/>
          <w:iCs/>
          <w:lang w:val="en-US"/>
        </w:rPr>
        <w:t>).</w:t>
      </w:r>
    </w:p>
    <w:p w14:paraId="31929463" w14:textId="5F536D35" w:rsidR="00080284" w:rsidRPr="00080284" w:rsidRDefault="00080284" w:rsidP="00080284">
      <w:pPr>
        <w:rPr>
          <w:rFonts w:cs="Arial"/>
          <w:i/>
          <w:iCs/>
          <w:lang w:val="en-US"/>
        </w:rPr>
      </w:pPr>
    </w:p>
    <w:p w14:paraId="5C6EC6FA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Помощно вещество с известно действие: Една таблетка съдържа 56,56 </w:t>
      </w:r>
      <w:r w:rsidRPr="00080284">
        <w:rPr>
          <w:rFonts w:eastAsia="Times New Roman" w:cs="Arial"/>
          <w:color w:val="000000"/>
          <w:lang w:val="en-US"/>
        </w:rPr>
        <w:t xml:space="preserve">mg </w:t>
      </w:r>
      <w:r w:rsidRPr="00080284">
        <w:rPr>
          <w:rFonts w:eastAsia="Times New Roman" w:cs="Arial"/>
          <w:color w:val="000000"/>
          <w:lang w:eastAsia="bg-BG"/>
        </w:rPr>
        <w:t>лактоза монохидрат.</w:t>
      </w:r>
    </w:p>
    <w:p w14:paraId="09267C6D" w14:textId="77777777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</w:p>
    <w:p w14:paraId="1E9182E4" w14:textId="0943CD45" w:rsidR="00080284" w:rsidRPr="00080284" w:rsidRDefault="00080284" w:rsidP="00080284">
      <w:pPr>
        <w:rPr>
          <w:rFonts w:cs="Arial"/>
        </w:rPr>
      </w:pPr>
      <w:r w:rsidRPr="00080284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614984C4" w14:textId="2A5FB144" w:rsidR="008A6AF2" w:rsidRDefault="00DD466D" w:rsidP="002C50EE">
      <w:pPr>
        <w:pStyle w:val="Heading1"/>
      </w:pPr>
      <w:r>
        <w:t>3. ЛЕКАРСТВЕНА ФОРМА</w:t>
      </w:r>
    </w:p>
    <w:p w14:paraId="34203FCA" w14:textId="543C0A2A" w:rsidR="00080284" w:rsidRDefault="00080284" w:rsidP="00080284"/>
    <w:p w14:paraId="26F83254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Филмирана таблетка</w:t>
      </w:r>
    </w:p>
    <w:p w14:paraId="6A29679A" w14:textId="77777777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</w:p>
    <w:p w14:paraId="1E5EC8AC" w14:textId="59353B1B" w:rsidR="00080284" w:rsidRPr="00080284" w:rsidRDefault="00080284" w:rsidP="00080284">
      <w:pPr>
        <w:rPr>
          <w:rFonts w:cs="Arial"/>
        </w:rPr>
      </w:pPr>
      <w:r w:rsidRPr="00080284">
        <w:rPr>
          <w:rFonts w:eastAsia="Times New Roman" w:cs="Arial"/>
          <w:color w:val="000000"/>
          <w:lang w:eastAsia="bg-BG"/>
        </w:rPr>
        <w:t xml:space="preserve">Бикусан 50 </w:t>
      </w:r>
      <w:r w:rsidRPr="00080284">
        <w:rPr>
          <w:rFonts w:eastAsia="Times New Roman" w:cs="Arial"/>
          <w:color w:val="000000"/>
          <w:lang w:val="en-US"/>
        </w:rPr>
        <w:t xml:space="preserve">mg </w:t>
      </w:r>
      <w:r w:rsidRPr="00080284">
        <w:rPr>
          <w:rFonts w:eastAsia="Times New Roman" w:cs="Arial"/>
          <w:color w:val="000000"/>
          <w:lang w:eastAsia="bg-BG"/>
        </w:rPr>
        <w:t xml:space="preserve">филмирани таблетки са кръгли, двойноизпъкнали, бели, с размер 7 </w:t>
      </w:r>
      <w:r w:rsidRPr="00080284">
        <w:rPr>
          <w:rFonts w:eastAsia="Times New Roman" w:cs="Arial"/>
          <w:color w:val="000000"/>
          <w:lang w:val="en-US"/>
        </w:rPr>
        <w:t xml:space="preserve">mm </w:t>
      </w:r>
      <w:r w:rsidRPr="00080284">
        <w:rPr>
          <w:rFonts w:eastAsia="Times New Roman" w:cs="Arial"/>
          <w:color w:val="000000"/>
          <w:lang w:eastAsia="bg-BG"/>
        </w:rPr>
        <w:t>в диаметър, с надпис "В 50" от едната страна.</w:t>
      </w:r>
    </w:p>
    <w:p w14:paraId="04632A8B" w14:textId="4024B1B4" w:rsidR="00080284" w:rsidRDefault="002C50EE" w:rsidP="00080284">
      <w:pPr>
        <w:pStyle w:val="Heading1"/>
      </w:pPr>
      <w:r>
        <w:t>4. КЛИНИЧНИ ДАННИ</w:t>
      </w:r>
    </w:p>
    <w:p w14:paraId="5AC224A6" w14:textId="77777777" w:rsidR="00080284" w:rsidRPr="00080284" w:rsidRDefault="00080284" w:rsidP="00080284"/>
    <w:p w14:paraId="0C8E6903" w14:textId="6504E179" w:rsidR="008134C8" w:rsidRDefault="002C50EE" w:rsidP="004A448E">
      <w:pPr>
        <w:pStyle w:val="Heading2"/>
      </w:pPr>
      <w:r>
        <w:t>4.1. Терапевтични показания</w:t>
      </w:r>
    </w:p>
    <w:p w14:paraId="074AD1C0" w14:textId="5C5D70B7" w:rsidR="00080284" w:rsidRDefault="00080284" w:rsidP="00080284"/>
    <w:p w14:paraId="07B9FEA4" w14:textId="7F2E5AEE" w:rsidR="00080284" w:rsidRDefault="00080284" w:rsidP="00080284">
      <w:r>
        <w:t xml:space="preserve">Лечение на напреднал карцином на простатата в комбинация с аналог на </w:t>
      </w:r>
      <w:r>
        <w:rPr>
          <w:lang w:val="en-US"/>
        </w:rPr>
        <w:t xml:space="preserve">LHRH </w:t>
      </w:r>
      <w:r>
        <w:t>или оперативна кастрация.</w:t>
      </w:r>
    </w:p>
    <w:p w14:paraId="30635519" w14:textId="77777777" w:rsidR="00080284" w:rsidRPr="00080284" w:rsidRDefault="00080284" w:rsidP="00080284"/>
    <w:p w14:paraId="30BE2C7B" w14:textId="6DC464A4" w:rsidR="008134C8" w:rsidRDefault="002C50EE" w:rsidP="004A448E">
      <w:pPr>
        <w:pStyle w:val="Heading2"/>
      </w:pPr>
      <w:r>
        <w:t>4.2. Дозировка и начин на приложение</w:t>
      </w:r>
    </w:p>
    <w:p w14:paraId="2255C923" w14:textId="50120A5F" w:rsidR="00080284" w:rsidRDefault="00080284" w:rsidP="00080284"/>
    <w:p w14:paraId="281C3131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Възрастни мъже, включително и старческа възраст: по една филмирана таблетка (от 50 </w:t>
      </w:r>
      <w:r w:rsidRPr="00080284">
        <w:rPr>
          <w:rFonts w:eastAsia="Times New Roman" w:cs="Arial"/>
          <w:color w:val="000000"/>
          <w:lang w:val="en-US"/>
        </w:rPr>
        <w:t xml:space="preserve">mg) </w:t>
      </w:r>
      <w:r w:rsidRPr="00080284">
        <w:rPr>
          <w:rFonts w:eastAsia="Times New Roman" w:cs="Arial"/>
          <w:color w:val="000000"/>
          <w:lang w:eastAsia="bg-BG"/>
        </w:rPr>
        <w:t>дневно със или без храна.</w:t>
      </w:r>
    </w:p>
    <w:p w14:paraId="5C97F92B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Лечението с Бикусан трябва да започне поне 3 дни преди лечението с аналога на </w:t>
      </w:r>
      <w:r w:rsidRPr="00080284">
        <w:rPr>
          <w:rFonts w:eastAsia="Times New Roman" w:cs="Arial"/>
          <w:color w:val="000000"/>
          <w:lang w:val="en-US"/>
        </w:rPr>
        <w:t xml:space="preserve">LHRH </w:t>
      </w:r>
      <w:r w:rsidRPr="00080284">
        <w:rPr>
          <w:rFonts w:eastAsia="Times New Roman" w:cs="Arial"/>
          <w:color w:val="000000"/>
          <w:lang w:eastAsia="bg-BG"/>
        </w:rPr>
        <w:t>или едновременно с оперативната кастрация.</w:t>
      </w:r>
    </w:p>
    <w:p w14:paraId="631611FD" w14:textId="77777777" w:rsidR="00080284" w:rsidRPr="00080284" w:rsidRDefault="00080284" w:rsidP="0008028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3ED4B1" w14:textId="0BD0C4AF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E725D9E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Бикалутамид не е показан за употреба при деца и юноши.</w:t>
      </w:r>
    </w:p>
    <w:p w14:paraId="4D04F50F" w14:textId="77777777" w:rsidR="00080284" w:rsidRPr="00080284" w:rsidRDefault="00080284" w:rsidP="0008028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47E7601" w14:textId="60BCFB63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0281C4BB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Не е необходимо коригиране на дозата при пациенти с бъбречно увреждане.</w:t>
      </w:r>
    </w:p>
    <w:p w14:paraId="18886C25" w14:textId="77777777" w:rsidR="00080284" w:rsidRPr="00080284" w:rsidRDefault="00080284" w:rsidP="0008028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764EE88" w14:textId="523A1019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5F24C35D" w14:textId="0EBAD0B7" w:rsidR="00080284" w:rsidRDefault="00080284" w:rsidP="00080284">
      <w:pPr>
        <w:rPr>
          <w:rFonts w:eastAsia="Times New Roman" w:cs="Arial"/>
          <w:color w:val="000000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lastRenderedPageBreak/>
        <w:t xml:space="preserve">Не е необходимо коригиране на дозата при пациенти с лека форма на чернодробно увреждане. При пациенти с умерено до тежко чернодробно увреждане лекарственият продукт може да </w:t>
      </w:r>
      <w:r>
        <w:rPr>
          <w:rFonts w:eastAsia="Times New Roman" w:cs="Arial"/>
          <w:color w:val="000000"/>
          <w:lang w:eastAsia="bg-BG"/>
        </w:rPr>
        <w:t>кумулира (вж. точка 4.4).</w:t>
      </w:r>
    </w:p>
    <w:p w14:paraId="2FE5AA90" w14:textId="77777777" w:rsidR="00080284" w:rsidRPr="00080284" w:rsidRDefault="00080284" w:rsidP="00080284">
      <w:pPr>
        <w:rPr>
          <w:rFonts w:cs="Arial"/>
        </w:rPr>
      </w:pPr>
    </w:p>
    <w:p w14:paraId="28C984E8" w14:textId="18CD24FD" w:rsidR="008134C8" w:rsidRDefault="002C50EE" w:rsidP="004A448E">
      <w:pPr>
        <w:pStyle w:val="Heading2"/>
      </w:pPr>
      <w:r>
        <w:t>4.3. Противопоказания</w:t>
      </w:r>
    </w:p>
    <w:p w14:paraId="1110CD1D" w14:textId="4C9984C9" w:rsidR="00080284" w:rsidRDefault="00080284" w:rsidP="00080284"/>
    <w:p w14:paraId="3887F627" w14:textId="793A99C5" w:rsidR="00080284" w:rsidRDefault="00080284" w:rsidP="00080284">
      <w:r>
        <w:t>Бикусан е противопоказан при жени и деца (вж. точка 4.6).</w:t>
      </w:r>
    </w:p>
    <w:p w14:paraId="52F18530" w14:textId="77777777" w:rsidR="00080284" w:rsidRDefault="00080284" w:rsidP="00080284">
      <w:pPr>
        <w:spacing w:line="240" w:lineRule="auto"/>
      </w:pPr>
    </w:p>
    <w:p w14:paraId="2B499641" w14:textId="7A2AB1BC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Бикусан не трябва да се прилага при пациенти със свръхчувствителност към активното и/или към някое от помощните вещества, изброени в точка 6.1.</w:t>
      </w:r>
    </w:p>
    <w:p w14:paraId="158BD931" w14:textId="77777777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</w:p>
    <w:p w14:paraId="0A6A1914" w14:textId="3117E4A0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Едновременното приложение на Бикусан с терфенадин, астемизол или цизаприд е противопоказано (вж. точка 4.5).</w:t>
      </w:r>
    </w:p>
    <w:p w14:paraId="7CAA8DF6" w14:textId="77777777" w:rsidR="00080284" w:rsidRPr="00080284" w:rsidRDefault="00080284" w:rsidP="00080284"/>
    <w:p w14:paraId="212F509C" w14:textId="24E2A4F0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25DE4D34" w14:textId="5C447857" w:rsidR="00080284" w:rsidRDefault="00080284" w:rsidP="00080284"/>
    <w:p w14:paraId="0359C98D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Лечението с продукта трябва да започне под непосредствено наблюдение от специалист.</w:t>
      </w:r>
    </w:p>
    <w:p w14:paraId="4A15A436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95D67A" w14:textId="6BEEFABA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Бикалутамид се метаболизира екстензивно в черния дроб. Данните показват, че при пациенти с тежки чернодробни нарушения елиминирането му може да се забави и да доведе до кумулиране на бикалугамид. При пациенти с умерени и тежки чернодробни нарушения бикалугамид трябва да се прилага с повишено внимание.</w:t>
      </w:r>
    </w:p>
    <w:p w14:paraId="0E1330DF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51DF42" w14:textId="3B498229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Необходимо е да се провежда периодично изследване на чернодробната функция поради възможни чернодробни изменения. Основната част от тези промени се очаква да се наблюдават през първите шест месеца от лечението с бикалугамид.</w:t>
      </w:r>
    </w:p>
    <w:p w14:paraId="593175F6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EED81F" w14:textId="1146838D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Тежки чернодробни изменения и чернодробна недостатъчност са наблюдавани рядко при</w:t>
      </w:r>
    </w:p>
    <w:p w14:paraId="6DE5DB60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прием на бикалугамид; съобщава се и за фатален изход (вж. точка 4.8). Ако измененията са тежки терапията с бикалугамид трябва да се преустанови.</w:t>
      </w:r>
    </w:p>
    <w:p w14:paraId="3760EE70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1DE1F8" w14:textId="598751FB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Бикалутамид инхибира цитохром Р450 </w:t>
      </w:r>
      <w:r w:rsidRPr="00080284">
        <w:rPr>
          <w:rFonts w:eastAsia="Times New Roman" w:cs="Arial"/>
          <w:color w:val="000000"/>
          <w:lang w:val="en-US"/>
        </w:rPr>
        <w:t xml:space="preserve">(CYP </w:t>
      </w:r>
      <w:r w:rsidRPr="00080284">
        <w:rPr>
          <w:rFonts w:eastAsia="Times New Roman" w:cs="Arial"/>
          <w:color w:val="000000"/>
          <w:lang w:eastAsia="bg-BG"/>
        </w:rPr>
        <w:t xml:space="preserve">ЗА4), поради което е необходимо внимание при едновременното му приложение с лекарства, метаболизиращи се основно от </w:t>
      </w:r>
      <w:r w:rsidRPr="00080284">
        <w:rPr>
          <w:rFonts w:eastAsia="Times New Roman" w:cs="Arial"/>
          <w:color w:val="000000"/>
          <w:lang w:val="en-US"/>
        </w:rPr>
        <w:t xml:space="preserve">CYP </w:t>
      </w:r>
      <w:r w:rsidRPr="00080284">
        <w:rPr>
          <w:rFonts w:eastAsia="Times New Roman" w:cs="Arial"/>
          <w:color w:val="000000"/>
          <w:lang w:eastAsia="bg-BG"/>
        </w:rPr>
        <w:t>ЗА4 (вж. точки 4.3 и 4.5).</w:t>
      </w:r>
    </w:p>
    <w:p w14:paraId="77F58262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72B6BE" w14:textId="1CA819E1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При мъже, приемащи </w:t>
      </w:r>
      <w:r w:rsidRPr="00080284">
        <w:rPr>
          <w:rFonts w:eastAsia="Times New Roman" w:cs="Arial"/>
          <w:color w:val="000000"/>
          <w:lang w:val="en-US"/>
        </w:rPr>
        <w:t xml:space="preserve">LHRH </w:t>
      </w:r>
      <w:r w:rsidRPr="00080284">
        <w:rPr>
          <w:rFonts w:eastAsia="Times New Roman" w:cs="Arial"/>
          <w:color w:val="000000"/>
          <w:lang w:eastAsia="bg-BG"/>
        </w:rPr>
        <w:t>агонисти се наблюдава понижен глюкозен толеранс. Това може да се прояви като диабет или загуба на гликемичен контрол при пациенти със съществуващ такъв.</w:t>
      </w:r>
    </w:p>
    <w:p w14:paraId="42D97416" w14:textId="1B20AA6E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При пациенти, получаващи бикалугамид в комбинация с </w:t>
      </w:r>
      <w:r w:rsidRPr="00080284">
        <w:rPr>
          <w:rFonts w:eastAsia="Times New Roman" w:cs="Arial"/>
          <w:color w:val="000000"/>
          <w:lang w:val="en-US"/>
        </w:rPr>
        <w:t xml:space="preserve">LHRH </w:t>
      </w:r>
      <w:r w:rsidRPr="00080284">
        <w:rPr>
          <w:rFonts w:eastAsia="Times New Roman" w:cs="Arial"/>
          <w:color w:val="000000"/>
          <w:lang w:eastAsia="bg-BG"/>
        </w:rPr>
        <w:t>агонисти е необходимо контролиране на стойностите на кръвната захар.</w:t>
      </w:r>
    </w:p>
    <w:p w14:paraId="0915B028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473A66" w14:textId="4F36EC5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При прекратяване на терапията с андрогени може да се удължи </w:t>
      </w:r>
      <w:r w:rsidRPr="00080284">
        <w:rPr>
          <w:rFonts w:eastAsia="Times New Roman" w:cs="Arial"/>
          <w:color w:val="000000"/>
          <w:lang w:val="en-US"/>
        </w:rPr>
        <w:t xml:space="preserve">QT </w:t>
      </w:r>
      <w:r w:rsidRPr="00080284">
        <w:rPr>
          <w:rFonts w:eastAsia="Times New Roman" w:cs="Arial"/>
          <w:color w:val="000000"/>
          <w:lang w:eastAsia="bg-BG"/>
        </w:rPr>
        <w:t>интервала.</w:t>
      </w:r>
    </w:p>
    <w:p w14:paraId="66981CB1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При пациенти с анамнеза или рискови фактори за удължаване на </w:t>
      </w:r>
      <w:r w:rsidRPr="00080284">
        <w:rPr>
          <w:rFonts w:eastAsia="Times New Roman" w:cs="Arial"/>
          <w:color w:val="000000"/>
          <w:lang w:val="en-US"/>
        </w:rPr>
        <w:t xml:space="preserve">QT </w:t>
      </w:r>
      <w:r w:rsidRPr="00080284">
        <w:rPr>
          <w:rFonts w:eastAsia="Times New Roman" w:cs="Arial"/>
          <w:color w:val="000000"/>
          <w:lang w:eastAsia="bg-BG"/>
        </w:rPr>
        <w:t xml:space="preserve">интервала и при пациенти, приемащи едновременно лекарствени продукти, които могат да удължат </w:t>
      </w:r>
      <w:r w:rsidRPr="00080284">
        <w:rPr>
          <w:rFonts w:eastAsia="Times New Roman" w:cs="Arial"/>
          <w:color w:val="000000"/>
          <w:lang w:val="en-US"/>
        </w:rPr>
        <w:t xml:space="preserve">QT </w:t>
      </w:r>
      <w:r w:rsidRPr="00080284">
        <w:rPr>
          <w:rFonts w:eastAsia="Times New Roman" w:cs="Arial"/>
          <w:color w:val="000000"/>
          <w:lang w:eastAsia="bg-BG"/>
        </w:rPr>
        <w:t>интервала (вж.</w:t>
      </w:r>
    </w:p>
    <w:p w14:paraId="749190A2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точка 4.5), лекарите трябва да направят оценка на съотношението полза/риск, включително потенциала за </w:t>
      </w:r>
      <w:r w:rsidRPr="00080284">
        <w:rPr>
          <w:rFonts w:eastAsia="Times New Roman" w:cs="Arial"/>
          <w:color w:val="000000"/>
          <w:lang w:val="en-US"/>
        </w:rPr>
        <w:t xml:space="preserve">torsade de pointes </w:t>
      </w:r>
      <w:r w:rsidRPr="00080284">
        <w:rPr>
          <w:rFonts w:eastAsia="Times New Roman" w:cs="Arial"/>
          <w:color w:val="000000"/>
          <w:lang w:eastAsia="bg-BG"/>
        </w:rPr>
        <w:t>преди началото на терапията с бикалугамид.</w:t>
      </w:r>
    </w:p>
    <w:p w14:paraId="2DEA2500" w14:textId="77777777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</w:p>
    <w:p w14:paraId="49C98124" w14:textId="0A0891AF" w:rsidR="00080284" w:rsidRDefault="00080284" w:rsidP="00080284">
      <w:pPr>
        <w:rPr>
          <w:rFonts w:eastAsia="Times New Roman" w:cs="Arial"/>
          <w:color w:val="000000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lastRenderedPageBreak/>
        <w:t xml:space="preserve">Бикусан съдържа лактоза монохидрат. Пациенти с редки наследствени проблеми на галактозна непоносимост, </w:t>
      </w:r>
      <w:r w:rsidRPr="00080284">
        <w:rPr>
          <w:rFonts w:eastAsia="Times New Roman" w:cs="Arial"/>
          <w:color w:val="000000"/>
          <w:lang w:val="en-US"/>
        </w:rPr>
        <w:t xml:space="preserve">Lapp </w:t>
      </w:r>
      <w:r w:rsidRPr="00080284">
        <w:rPr>
          <w:rFonts w:eastAsia="Times New Roman" w:cs="Arial"/>
          <w:color w:val="000000"/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05C99CD4" w14:textId="77777777" w:rsidR="00080284" w:rsidRPr="00080284" w:rsidRDefault="00080284" w:rsidP="00080284">
      <w:pPr>
        <w:rPr>
          <w:rFonts w:cs="Arial"/>
        </w:rPr>
      </w:pPr>
    </w:p>
    <w:p w14:paraId="619DED1E" w14:textId="2292119D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58BA6809" w14:textId="0235FD5C" w:rsidR="00080284" w:rsidRDefault="00080284" w:rsidP="00080284"/>
    <w:p w14:paraId="240FF110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Няма доказателства за фармакодинамични или фармакокинетични взаимодействия между бикалутамид и </w:t>
      </w:r>
      <w:r w:rsidRPr="00080284">
        <w:rPr>
          <w:rFonts w:eastAsia="Times New Roman" w:cs="Arial"/>
          <w:color w:val="000000"/>
          <w:lang w:val="en-US"/>
        </w:rPr>
        <w:t xml:space="preserve">LHRH </w:t>
      </w:r>
      <w:r w:rsidRPr="00080284">
        <w:rPr>
          <w:rFonts w:eastAsia="Times New Roman" w:cs="Arial"/>
          <w:color w:val="000000"/>
          <w:lang w:eastAsia="bg-BG"/>
        </w:rPr>
        <w:t>аналози.</w:t>
      </w:r>
    </w:p>
    <w:p w14:paraId="77BD32B8" w14:textId="77777777" w:rsidR="00080284" w:rsidRPr="00080284" w:rsidRDefault="00080284" w:rsidP="00080284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129FC6F6" w14:textId="38C1A3FF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i/>
          <w:iCs/>
          <w:color w:val="000000"/>
          <w:lang w:val="en-US"/>
        </w:rPr>
        <w:t>In vitro</w:t>
      </w:r>
      <w:r w:rsidRPr="00080284">
        <w:rPr>
          <w:rFonts w:eastAsia="Times New Roman" w:cs="Arial"/>
          <w:color w:val="000000"/>
          <w:lang w:val="en-US"/>
        </w:rPr>
        <w:t xml:space="preserve"> </w:t>
      </w:r>
      <w:r w:rsidRPr="00080284">
        <w:rPr>
          <w:rFonts w:eastAsia="Times New Roman" w:cs="Arial"/>
          <w:color w:val="000000"/>
          <w:lang w:eastAsia="bg-BG"/>
        </w:rPr>
        <w:t xml:space="preserve">изследвания показват, че </w:t>
      </w:r>
      <w:r w:rsidRPr="00080284">
        <w:rPr>
          <w:rFonts w:eastAsia="Times New Roman" w:cs="Arial"/>
          <w:color w:val="000000"/>
          <w:lang w:val="en-US"/>
        </w:rPr>
        <w:t>R</w:t>
      </w:r>
      <w:r w:rsidRPr="00080284">
        <w:rPr>
          <w:rFonts w:eastAsia="Times New Roman" w:cs="Arial"/>
          <w:color w:val="000000"/>
          <w:lang w:eastAsia="bg-BG"/>
        </w:rPr>
        <w:t xml:space="preserve">-бикалутамид е инхибитор на </w:t>
      </w:r>
      <w:r w:rsidRPr="00080284">
        <w:rPr>
          <w:rFonts w:eastAsia="Times New Roman" w:cs="Arial"/>
          <w:color w:val="000000"/>
          <w:lang w:val="en-US"/>
        </w:rPr>
        <w:t xml:space="preserve">CYP </w:t>
      </w:r>
      <w:r w:rsidRPr="00080284">
        <w:rPr>
          <w:rFonts w:eastAsia="Times New Roman" w:cs="Arial"/>
          <w:color w:val="000000"/>
          <w:lang w:eastAsia="bg-BG"/>
        </w:rPr>
        <w:t xml:space="preserve">ЗА4, с по-слаб инхибиращ ефект върху активността на </w:t>
      </w:r>
      <w:r w:rsidRPr="00080284">
        <w:rPr>
          <w:rFonts w:eastAsia="Times New Roman" w:cs="Arial"/>
          <w:color w:val="000000"/>
          <w:lang w:val="en-US"/>
        </w:rPr>
        <w:t xml:space="preserve">CYP </w:t>
      </w:r>
      <w:r w:rsidRPr="00080284">
        <w:rPr>
          <w:rFonts w:eastAsia="Times New Roman" w:cs="Arial"/>
          <w:color w:val="000000"/>
          <w:lang w:eastAsia="bg-BG"/>
        </w:rPr>
        <w:t xml:space="preserve">2С9, </w:t>
      </w:r>
      <w:r w:rsidRPr="00080284">
        <w:rPr>
          <w:rFonts w:eastAsia="Times New Roman" w:cs="Arial"/>
          <w:color w:val="000000"/>
          <w:lang w:val="en-US"/>
        </w:rPr>
        <w:t xml:space="preserve">CYP </w:t>
      </w:r>
      <w:r w:rsidRPr="00080284">
        <w:rPr>
          <w:rFonts w:eastAsia="Times New Roman" w:cs="Arial"/>
          <w:color w:val="000000"/>
          <w:lang w:eastAsia="bg-BG"/>
        </w:rPr>
        <w:t xml:space="preserve">2С19 и </w:t>
      </w:r>
      <w:r w:rsidRPr="00080284">
        <w:rPr>
          <w:rFonts w:eastAsia="Times New Roman" w:cs="Arial"/>
          <w:color w:val="000000"/>
          <w:lang w:val="en-US"/>
        </w:rPr>
        <w:t>2D6.</w:t>
      </w:r>
    </w:p>
    <w:p w14:paraId="7B0C2A05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A07E2C" w14:textId="304FA8D1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При клинични изпитвания, които използват антипирин като маркер на Р450 (</w:t>
      </w:r>
      <w:r w:rsidRPr="00080284">
        <w:rPr>
          <w:rFonts w:eastAsia="Times New Roman" w:cs="Arial"/>
          <w:color w:val="000000"/>
          <w:lang w:val="en-US"/>
        </w:rPr>
        <w:t xml:space="preserve">CYP) </w:t>
      </w:r>
      <w:r w:rsidRPr="00080284">
        <w:rPr>
          <w:rFonts w:eastAsia="Times New Roman" w:cs="Arial"/>
          <w:color w:val="000000"/>
          <w:lang w:eastAsia="bg-BG"/>
        </w:rPr>
        <w:t xml:space="preserve">активността няма доказателства за възможно лекарствено взаимодействие с бикалугамид, но въпреки това е установено, че средната експозиция на мидазолам </w:t>
      </w:r>
      <w:r w:rsidRPr="00080284">
        <w:rPr>
          <w:rFonts w:eastAsia="Times New Roman" w:cs="Arial"/>
          <w:color w:val="000000"/>
          <w:lang w:val="en-US"/>
        </w:rPr>
        <w:t xml:space="preserve">(AUC) </w:t>
      </w:r>
      <w:r w:rsidRPr="00080284">
        <w:rPr>
          <w:rFonts w:eastAsia="Times New Roman" w:cs="Arial"/>
          <w:color w:val="000000"/>
          <w:lang w:eastAsia="bg-BG"/>
        </w:rPr>
        <w:t>се повишава до 80% след</w:t>
      </w:r>
      <w:r w:rsidRPr="00080284">
        <w:rPr>
          <w:rFonts w:eastAsia="Times New Roman" w:cs="Arial"/>
          <w:color w:val="000000"/>
          <w:lang w:eastAsia="bg-BG"/>
        </w:rPr>
        <w:tab/>
      </w:r>
    </w:p>
    <w:p w14:paraId="2615174E" w14:textId="77777777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едновременно приложение с бикалугамид в продължение на 28 дни. За лекарста с тесен</w:t>
      </w:r>
    </w:p>
    <w:p w14:paraId="0C7F98C5" w14:textId="77777777" w:rsidR="00080284" w:rsidRPr="00080284" w:rsidRDefault="00080284" w:rsidP="00080284">
      <w:pPr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терапевтичен индекс, подобно повишаване на стойността на този показател би могло да бъде от</w:t>
      </w:r>
      <w:r w:rsidRPr="00080284">
        <w:rPr>
          <w:rFonts w:eastAsia="Times New Roman" w:cs="Arial"/>
          <w:color w:val="000000"/>
          <w:lang w:val="en-US" w:eastAsia="bg-BG"/>
        </w:rPr>
        <w:t xml:space="preserve"> </w:t>
      </w:r>
      <w:r w:rsidRPr="00080284">
        <w:rPr>
          <w:rFonts w:eastAsia="Times New Roman" w:cs="Arial"/>
          <w:color w:val="000000"/>
          <w:lang w:eastAsia="bg-BG"/>
        </w:rPr>
        <w:t>значение. Поради това едновременното приложение с терфенадин, астемизол и цизаприд е противопоказано (вж. точка 4.3). Необходимо е внимание при едновременно приложение на бикалутамид с продукти, съдържащи циклоспорин или калциеви антагонисти. Изисква се понижаване на дозата за тези лекарства, ако са налице клинични данни за усилване на ефекта или поява на нежелани лекарствени реакции. При лечение с циклоспорин се препоръчва строго мониториране на плазмените концентрации и клиничното състояние в началото и края на терапията с бикалутамид.</w:t>
      </w:r>
    </w:p>
    <w:p w14:paraId="7F2CBC25" w14:textId="77777777" w:rsidR="00080284" w:rsidRPr="00080284" w:rsidRDefault="00080284" w:rsidP="0008028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1469A1" w14:textId="267204BE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color w:val="000000"/>
          <w:lang w:eastAsia="bg-BG"/>
        </w:rPr>
        <w:t>Повишено внимание се изисква при прилагане на бикалутамид с други лекарства, които могат да инхибират лекарственото оксидиране в черния дроб, напр. циметидин и кетоконазол. Теоретично това може да доведе до повишени плазмени концентрации на бикалугамид и да предизвика засилване на нежеланите лекарствени реакции.</w:t>
      </w:r>
    </w:p>
    <w:p w14:paraId="555BB31A" w14:textId="77777777" w:rsidR="00080284" w:rsidRPr="00080284" w:rsidRDefault="00080284" w:rsidP="00080284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2824F179" w14:textId="723AD073" w:rsidR="00080284" w:rsidRPr="00080284" w:rsidRDefault="00080284" w:rsidP="0008028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80284">
        <w:rPr>
          <w:rFonts w:eastAsia="Times New Roman" w:cs="Arial"/>
          <w:i/>
          <w:iCs/>
          <w:color w:val="000000"/>
          <w:lang w:val="en-US"/>
        </w:rPr>
        <w:t>In vitro</w:t>
      </w:r>
      <w:r w:rsidRPr="00080284">
        <w:rPr>
          <w:rFonts w:eastAsia="Times New Roman" w:cs="Arial"/>
          <w:color w:val="000000"/>
          <w:lang w:val="en-US"/>
        </w:rPr>
        <w:t xml:space="preserve"> </w:t>
      </w:r>
      <w:r w:rsidRPr="00080284">
        <w:rPr>
          <w:rFonts w:eastAsia="Times New Roman" w:cs="Arial"/>
          <w:color w:val="000000"/>
          <w:lang w:eastAsia="bg-BG"/>
        </w:rPr>
        <w:t>изследвания показват, че бикалутамид може да измести кумариновите антикоагуланти, варфарин, от мястото на свързване с плазмените протеини. Поради това при пациенти, които приемат кумаринови антикоагуланти и които започват лечение с бикалутамид се препоръчва протромбиновото време да се мониторира внимателно.</w:t>
      </w:r>
    </w:p>
    <w:p w14:paraId="3476901F" w14:textId="77777777" w:rsidR="00080284" w:rsidRPr="00080284" w:rsidRDefault="00080284" w:rsidP="00080284">
      <w:pPr>
        <w:rPr>
          <w:rFonts w:eastAsia="Times New Roman" w:cs="Arial"/>
          <w:color w:val="000000"/>
          <w:lang w:eastAsia="bg-BG"/>
        </w:rPr>
      </w:pPr>
    </w:p>
    <w:p w14:paraId="6C456EF6" w14:textId="39F2D8DE" w:rsidR="00080284" w:rsidRPr="00080284" w:rsidRDefault="00080284" w:rsidP="00080284">
      <w:pPr>
        <w:rPr>
          <w:rFonts w:eastAsia="Times New Roman" w:cs="Arial"/>
          <w:color w:val="000000"/>
          <w:lang w:val="en-US" w:eastAsia="bg-BG"/>
        </w:rPr>
      </w:pPr>
      <w:r w:rsidRPr="00080284">
        <w:rPr>
          <w:rFonts w:eastAsia="Times New Roman" w:cs="Arial"/>
          <w:color w:val="000000"/>
          <w:lang w:eastAsia="bg-BG"/>
        </w:rPr>
        <w:t xml:space="preserve">Тъй като при прекратяване на лечението с андроген може да се удължи </w:t>
      </w:r>
      <w:r w:rsidRPr="00080284">
        <w:rPr>
          <w:rFonts w:eastAsia="Times New Roman" w:cs="Arial"/>
          <w:color w:val="000000"/>
          <w:lang w:val="en-US"/>
        </w:rPr>
        <w:t xml:space="preserve">QT </w:t>
      </w:r>
      <w:r w:rsidRPr="00080284">
        <w:rPr>
          <w:rFonts w:eastAsia="Times New Roman" w:cs="Arial"/>
          <w:color w:val="000000"/>
          <w:lang w:eastAsia="bg-BG"/>
        </w:rPr>
        <w:t xml:space="preserve">интервала, едновременното прилагане на бикалутамид с лекарствени продукти, за които е известно, че удължават </w:t>
      </w:r>
      <w:r w:rsidRPr="00080284">
        <w:rPr>
          <w:rFonts w:eastAsia="Times New Roman" w:cs="Arial"/>
          <w:color w:val="000000"/>
          <w:lang w:val="en-US"/>
        </w:rPr>
        <w:t xml:space="preserve">QT </w:t>
      </w:r>
      <w:r w:rsidRPr="00080284">
        <w:rPr>
          <w:rFonts w:eastAsia="Times New Roman" w:cs="Arial"/>
          <w:color w:val="000000"/>
          <w:lang w:eastAsia="bg-BG"/>
        </w:rPr>
        <w:t xml:space="preserve">интервала или лекарствени продукти, които могат да предизвикат </w:t>
      </w:r>
      <w:r w:rsidRPr="00080284">
        <w:rPr>
          <w:rFonts w:eastAsia="Times New Roman" w:cs="Arial"/>
          <w:color w:val="000000"/>
          <w:lang w:val="en-US"/>
        </w:rPr>
        <w:t xml:space="preserve">torsade de pointes, </w:t>
      </w:r>
      <w:r w:rsidRPr="00080284">
        <w:rPr>
          <w:rFonts w:eastAsia="Times New Roman" w:cs="Arial"/>
          <w:color w:val="000000"/>
          <w:lang w:eastAsia="bg-BG"/>
        </w:rPr>
        <w:t xml:space="preserve">като клас </w:t>
      </w:r>
      <w:r w:rsidRPr="00080284">
        <w:rPr>
          <w:rFonts w:eastAsia="Times New Roman" w:cs="Arial"/>
          <w:color w:val="000000"/>
          <w:lang w:val="en-US"/>
        </w:rPr>
        <w:t xml:space="preserve">IA </w:t>
      </w:r>
      <w:r w:rsidRPr="00080284">
        <w:rPr>
          <w:rFonts w:eastAsia="Times New Roman" w:cs="Arial"/>
          <w:color w:val="000000"/>
          <w:lang w:eastAsia="bg-BG"/>
        </w:rPr>
        <w:t>(напр хинидин, дизопирамид) или клас III (напр амиодарон, соталол, дофетилид, ибутилид) антиаритмични лекарствени продукти, метадон, моксифлоксацин, антипсихотици и т.н. трябва да бъде внимателно преценено (вж. точка 4.4).</w:t>
      </w:r>
      <w:r w:rsidRPr="00080284">
        <w:rPr>
          <w:rFonts w:eastAsia="Times New Roman" w:cs="Arial"/>
          <w:color w:val="000000"/>
          <w:lang w:val="en-US" w:eastAsia="bg-BG"/>
        </w:rPr>
        <w:t xml:space="preserve"> </w:t>
      </w:r>
    </w:p>
    <w:p w14:paraId="681B1FFA" w14:textId="77777777" w:rsidR="00080284" w:rsidRPr="00080284" w:rsidRDefault="00080284" w:rsidP="00080284"/>
    <w:p w14:paraId="394A7584" w14:textId="01AADBAF" w:rsidR="004F498A" w:rsidRDefault="002C50EE" w:rsidP="004A448E">
      <w:pPr>
        <w:pStyle w:val="Heading2"/>
      </w:pPr>
      <w:r>
        <w:t>4.6. Фертилитет, бременност и кърмене</w:t>
      </w:r>
    </w:p>
    <w:p w14:paraId="12BA7D54" w14:textId="1766AE33" w:rsidR="00080284" w:rsidRDefault="00080284" w:rsidP="00080284"/>
    <w:p w14:paraId="5935AB39" w14:textId="17320E66" w:rsidR="00080284" w:rsidRDefault="00080284" w:rsidP="00080284">
      <w:r>
        <w:lastRenderedPageBreak/>
        <w:t>Бикалутамид е противопоказан при жени и не трябва да се прилага при бременни или кърмещи жени.</w:t>
      </w:r>
    </w:p>
    <w:p w14:paraId="765F20BA" w14:textId="77777777" w:rsidR="00080284" w:rsidRPr="00080284" w:rsidRDefault="00080284" w:rsidP="00080284"/>
    <w:p w14:paraId="064DF1DE" w14:textId="3A777492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3BFE3FA" w14:textId="4399A69E" w:rsidR="00080284" w:rsidRDefault="00080284" w:rsidP="00080284"/>
    <w:p w14:paraId="7899C919" w14:textId="13E25EF9" w:rsidR="00080284" w:rsidRDefault="00080284" w:rsidP="00080284">
      <w:r>
        <w:t>Малко вероятно е бикалутамид да наруши способността за шофиране и работа с машини. Въпреки това е необходимо да се отбележи, че понякога е възможно да се наблюдава сомнолентност, поради което при някои по-засегнати пациенти е необходимо внимание.</w:t>
      </w:r>
    </w:p>
    <w:p w14:paraId="6E622609" w14:textId="77777777" w:rsidR="00080284" w:rsidRPr="00080284" w:rsidRDefault="00080284" w:rsidP="00080284"/>
    <w:p w14:paraId="37A3FD9F" w14:textId="465A19B9" w:rsidR="00CF77F7" w:rsidRDefault="002C50EE" w:rsidP="004A448E">
      <w:pPr>
        <w:pStyle w:val="Heading2"/>
      </w:pPr>
      <w:r>
        <w:t>4.8. Нежелани лекарствени реакции</w:t>
      </w:r>
    </w:p>
    <w:p w14:paraId="0999A667" w14:textId="669168E0" w:rsidR="00080284" w:rsidRDefault="00080284" w:rsidP="00080284"/>
    <w:p w14:paraId="737140B3" w14:textId="793E7F71" w:rsidR="00080284" w:rsidRDefault="00080284" w:rsidP="00080284">
      <w:r>
        <w:t>Нежеланите реакции в тази секция са дефинирани като: много чести нежелани реакции (≥ 1/10); чести (≥ 1/100 до &lt;1/10); нечести (≥ 1/1 000 до &lt;1/100); редки (≥ 1/10 000 и &lt;1/1 000); много редки (&lt;1/10 000); с неизвестна честота (от наличните данни не може да бъде направена оценка).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142"/>
        <w:gridCol w:w="3285"/>
      </w:tblGrid>
      <w:tr w:rsidR="00080284" w14:paraId="731CCA8B" w14:textId="77777777" w:rsidTr="00080284">
        <w:tc>
          <w:tcPr>
            <w:tcW w:w="9576" w:type="dxa"/>
            <w:gridSpan w:val="3"/>
          </w:tcPr>
          <w:p w14:paraId="687F34E3" w14:textId="73D2EB7F" w:rsidR="00080284" w:rsidRDefault="00080284" w:rsidP="00080284">
            <w:r>
              <w:rPr>
                <w:b/>
                <w:bCs/>
              </w:rPr>
              <w:t>Таблица 1. Честота на нежеланите реакции</w:t>
            </w:r>
          </w:p>
        </w:tc>
      </w:tr>
      <w:tr w:rsidR="00080284" w14:paraId="46D8DCF8" w14:textId="77777777" w:rsidTr="00080284">
        <w:tc>
          <w:tcPr>
            <w:tcW w:w="3149" w:type="dxa"/>
          </w:tcPr>
          <w:p w14:paraId="32932DC8" w14:textId="35F859C0" w:rsidR="00080284" w:rsidRDefault="00080284" w:rsidP="00080284">
            <w:r>
              <w:rPr>
                <w:b/>
                <w:bCs/>
              </w:rPr>
              <w:t>Система Орган Клас</w:t>
            </w:r>
          </w:p>
        </w:tc>
        <w:tc>
          <w:tcPr>
            <w:tcW w:w="3142" w:type="dxa"/>
          </w:tcPr>
          <w:p w14:paraId="53503217" w14:textId="1397F03F" w:rsidR="00080284" w:rsidRDefault="00080284" w:rsidP="00080284">
            <w:r>
              <w:rPr>
                <w:b/>
                <w:bCs/>
              </w:rPr>
              <w:t>Честота</w:t>
            </w:r>
          </w:p>
        </w:tc>
        <w:tc>
          <w:tcPr>
            <w:tcW w:w="3285" w:type="dxa"/>
          </w:tcPr>
          <w:p w14:paraId="469E6D6E" w14:textId="46E85E07" w:rsidR="00080284" w:rsidRDefault="00080284" w:rsidP="00080284">
            <w:r>
              <w:rPr>
                <w:b/>
                <w:bCs/>
              </w:rPr>
              <w:t>Нежелани лекарствени реакции</w:t>
            </w:r>
          </w:p>
        </w:tc>
      </w:tr>
      <w:tr w:rsidR="00080284" w14:paraId="0E1B853E" w14:textId="77777777" w:rsidTr="00080284">
        <w:tc>
          <w:tcPr>
            <w:tcW w:w="3149" w:type="dxa"/>
          </w:tcPr>
          <w:p w14:paraId="08A1DEEE" w14:textId="5B6C14C6" w:rsidR="00080284" w:rsidRDefault="00080284" w:rsidP="00080284">
            <w:r>
              <w:t>Нарушения на кръвта и лимфната система</w:t>
            </w:r>
          </w:p>
        </w:tc>
        <w:tc>
          <w:tcPr>
            <w:tcW w:w="3142" w:type="dxa"/>
          </w:tcPr>
          <w:p w14:paraId="44F1F2DA" w14:textId="5C65CECA" w:rsidR="00080284" w:rsidRDefault="00080284" w:rsidP="00080284">
            <w:r>
              <w:t>Много чести</w:t>
            </w:r>
          </w:p>
        </w:tc>
        <w:tc>
          <w:tcPr>
            <w:tcW w:w="3285" w:type="dxa"/>
          </w:tcPr>
          <w:p w14:paraId="10FE7D59" w14:textId="48BAF393" w:rsidR="00080284" w:rsidRDefault="00080284" w:rsidP="00080284">
            <w:r>
              <w:t>Анемия</w:t>
            </w:r>
          </w:p>
        </w:tc>
      </w:tr>
      <w:tr w:rsidR="00080284" w14:paraId="37DD4778" w14:textId="77777777" w:rsidTr="00080284">
        <w:tc>
          <w:tcPr>
            <w:tcW w:w="3149" w:type="dxa"/>
          </w:tcPr>
          <w:p w14:paraId="50D3610E" w14:textId="471F2039" w:rsidR="00080284" w:rsidRDefault="00080284" w:rsidP="00080284">
            <w:r>
              <w:t>Нарушения на имунната система</w:t>
            </w:r>
          </w:p>
        </w:tc>
        <w:tc>
          <w:tcPr>
            <w:tcW w:w="3142" w:type="dxa"/>
          </w:tcPr>
          <w:p w14:paraId="583F4581" w14:textId="10241209" w:rsidR="00080284" w:rsidRDefault="00080284" w:rsidP="00080284">
            <w:r>
              <w:t>Нечести</w:t>
            </w:r>
          </w:p>
        </w:tc>
        <w:tc>
          <w:tcPr>
            <w:tcW w:w="3285" w:type="dxa"/>
          </w:tcPr>
          <w:p w14:paraId="0E5A4387" w14:textId="52D4A940" w:rsidR="00080284" w:rsidRDefault="00080284" w:rsidP="00080284">
            <w:r>
              <w:t>Свръхчувствителност, ангиоедем и уртикария</w:t>
            </w:r>
          </w:p>
        </w:tc>
      </w:tr>
      <w:tr w:rsidR="00080284" w14:paraId="5A6872DF" w14:textId="77777777" w:rsidTr="00080284">
        <w:tc>
          <w:tcPr>
            <w:tcW w:w="3149" w:type="dxa"/>
          </w:tcPr>
          <w:p w14:paraId="3F0B8DA0" w14:textId="436DEF1D" w:rsidR="00080284" w:rsidRDefault="00080284" w:rsidP="00080284">
            <w:r>
              <w:t>Нарушения на метаболизма и храненето</w:t>
            </w:r>
          </w:p>
        </w:tc>
        <w:tc>
          <w:tcPr>
            <w:tcW w:w="3142" w:type="dxa"/>
          </w:tcPr>
          <w:p w14:paraId="39451475" w14:textId="6B7B16D5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2A2EA479" w14:textId="6C27C769" w:rsidR="00080284" w:rsidRDefault="00080284" w:rsidP="00080284">
            <w:r>
              <w:t>Понижен апетит</w:t>
            </w:r>
          </w:p>
        </w:tc>
      </w:tr>
      <w:tr w:rsidR="00080284" w14:paraId="028AEBB1" w14:textId="77777777" w:rsidTr="00080284">
        <w:tc>
          <w:tcPr>
            <w:tcW w:w="3149" w:type="dxa"/>
          </w:tcPr>
          <w:p w14:paraId="740BC8B3" w14:textId="4D1A05D9" w:rsidR="00080284" w:rsidRDefault="00080284" w:rsidP="00080284">
            <w:r>
              <w:t>Психични нарушения</w:t>
            </w:r>
          </w:p>
        </w:tc>
        <w:tc>
          <w:tcPr>
            <w:tcW w:w="3142" w:type="dxa"/>
          </w:tcPr>
          <w:p w14:paraId="031F6641" w14:textId="7A5F35A9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66A27C64" w14:textId="319AA0D0" w:rsidR="00080284" w:rsidRDefault="00080284" w:rsidP="00080284">
            <w:r>
              <w:t>Понижено либидо, депресия</w:t>
            </w:r>
          </w:p>
        </w:tc>
      </w:tr>
      <w:tr w:rsidR="00080284" w14:paraId="3957BF36" w14:textId="77777777" w:rsidTr="00080284">
        <w:trPr>
          <w:trHeight w:val="231"/>
        </w:trPr>
        <w:tc>
          <w:tcPr>
            <w:tcW w:w="3149" w:type="dxa"/>
            <w:vMerge w:val="restart"/>
          </w:tcPr>
          <w:p w14:paraId="268083E0" w14:textId="4293A499" w:rsidR="00080284" w:rsidRPr="00080284" w:rsidRDefault="00080284" w:rsidP="00080284">
            <w:pPr>
              <w:rPr>
                <w:lang w:val="en-US"/>
              </w:rPr>
            </w:pPr>
            <w:r>
              <w:t>Нарушения на нервната</w:t>
            </w:r>
            <w:r>
              <w:rPr>
                <w:lang w:val="en-US"/>
              </w:rPr>
              <w:t xml:space="preserve"> </w:t>
            </w:r>
            <w:r>
              <w:t>система</w:t>
            </w:r>
          </w:p>
        </w:tc>
        <w:tc>
          <w:tcPr>
            <w:tcW w:w="3142" w:type="dxa"/>
          </w:tcPr>
          <w:p w14:paraId="2B4FE00D" w14:textId="5AE2A598" w:rsidR="00080284" w:rsidRDefault="00080284" w:rsidP="00080284">
            <w:r>
              <w:t>Много чести</w:t>
            </w:r>
          </w:p>
        </w:tc>
        <w:tc>
          <w:tcPr>
            <w:tcW w:w="3285" w:type="dxa"/>
          </w:tcPr>
          <w:p w14:paraId="32531BA1" w14:textId="43F79847" w:rsidR="00080284" w:rsidRDefault="00080284" w:rsidP="00080284">
            <w:r>
              <w:t>Замаяност</w:t>
            </w:r>
            <w:r>
              <w:tab/>
            </w:r>
          </w:p>
        </w:tc>
      </w:tr>
      <w:tr w:rsidR="00080284" w14:paraId="78B4A533" w14:textId="77777777" w:rsidTr="00080284">
        <w:tc>
          <w:tcPr>
            <w:tcW w:w="3149" w:type="dxa"/>
            <w:vMerge/>
          </w:tcPr>
          <w:p w14:paraId="764F5EA5" w14:textId="77777777" w:rsidR="00080284" w:rsidRDefault="00080284" w:rsidP="00080284"/>
        </w:tc>
        <w:tc>
          <w:tcPr>
            <w:tcW w:w="3142" w:type="dxa"/>
          </w:tcPr>
          <w:p w14:paraId="5DEECC96" w14:textId="5196316C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2D2B7F05" w14:textId="09F2CFB5" w:rsidR="00080284" w:rsidRDefault="00080284" w:rsidP="00080284">
            <w:r>
              <w:t>Сомнолентност</w:t>
            </w:r>
          </w:p>
        </w:tc>
      </w:tr>
      <w:tr w:rsidR="00080284" w14:paraId="6069033F" w14:textId="77777777" w:rsidTr="00080284">
        <w:tc>
          <w:tcPr>
            <w:tcW w:w="3149" w:type="dxa"/>
          </w:tcPr>
          <w:p w14:paraId="4532932F" w14:textId="49FAB020" w:rsidR="00080284" w:rsidRDefault="00080284" w:rsidP="00080284">
            <w:r>
              <w:t>Сърдечни нарушения</w:t>
            </w:r>
          </w:p>
        </w:tc>
        <w:tc>
          <w:tcPr>
            <w:tcW w:w="3142" w:type="dxa"/>
          </w:tcPr>
          <w:p w14:paraId="3143A546" w14:textId="77777777" w:rsidR="00080284" w:rsidRDefault="00080284" w:rsidP="00080284">
            <w:r>
              <w:t>Чести</w:t>
            </w:r>
          </w:p>
          <w:p w14:paraId="40453D14" w14:textId="0B284C9E" w:rsidR="00080284" w:rsidRDefault="00080284" w:rsidP="00080284">
            <w:r>
              <w:t>С неизвестна честота</w:t>
            </w:r>
          </w:p>
        </w:tc>
        <w:tc>
          <w:tcPr>
            <w:tcW w:w="3285" w:type="dxa"/>
          </w:tcPr>
          <w:p w14:paraId="2410093D" w14:textId="77777777" w:rsidR="00080284" w:rsidRDefault="00080284" w:rsidP="00080284">
            <w:r>
              <w:t>Инфаркт на миокарда (съобщавано е за фатален изход)</w:t>
            </w:r>
            <w:r>
              <w:rPr>
                <w:vertAlign w:val="superscript"/>
                <w:lang w:val="en-US"/>
              </w:rPr>
              <w:t>a</w:t>
            </w:r>
            <w:r>
              <w:t>, Сърдечна недостатъчност</w:t>
            </w:r>
            <w:r>
              <w:rPr>
                <w:vertAlign w:val="superscript"/>
                <w:lang w:val="en-US"/>
              </w:rPr>
              <w:t>a</w:t>
            </w:r>
            <w:r>
              <w:t xml:space="preserve"> Удължаване на </w:t>
            </w:r>
            <w:r>
              <w:rPr>
                <w:lang w:val="en-US"/>
              </w:rPr>
              <w:t xml:space="preserve">QT </w:t>
            </w:r>
            <w:r>
              <w:t>интервала (вж. точки 4.4 и</w:t>
            </w:r>
          </w:p>
          <w:p w14:paraId="3B44FB49" w14:textId="163F39B6" w:rsidR="00080284" w:rsidRDefault="00080284" w:rsidP="00080284">
            <w:r>
              <w:t>4.5)</w:t>
            </w:r>
          </w:p>
        </w:tc>
      </w:tr>
      <w:tr w:rsidR="00080284" w14:paraId="76CAF383" w14:textId="77777777" w:rsidTr="00080284">
        <w:tc>
          <w:tcPr>
            <w:tcW w:w="3149" w:type="dxa"/>
          </w:tcPr>
          <w:p w14:paraId="37AE7F06" w14:textId="1295B8B6" w:rsidR="00080284" w:rsidRDefault="00080284" w:rsidP="00080284">
            <w:r>
              <w:t>Съдови нарушения</w:t>
            </w:r>
          </w:p>
        </w:tc>
        <w:tc>
          <w:tcPr>
            <w:tcW w:w="3142" w:type="dxa"/>
          </w:tcPr>
          <w:p w14:paraId="3C4BDBAD" w14:textId="14DBDD6F" w:rsidR="00080284" w:rsidRDefault="00080284" w:rsidP="00080284">
            <w:r>
              <w:t>Много чести</w:t>
            </w:r>
          </w:p>
        </w:tc>
        <w:tc>
          <w:tcPr>
            <w:tcW w:w="3285" w:type="dxa"/>
          </w:tcPr>
          <w:p w14:paraId="4537552A" w14:textId="51CAB175" w:rsidR="00080284" w:rsidRDefault="00080284" w:rsidP="00080284">
            <w:r>
              <w:t>Горещи вълни</w:t>
            </w:r>
          </w:p>
        </w:tc>
      </w:tr>
      <w:tr w:rsidR="00080284" w14:paraId="63E48860" w14:textId="77777777" w:rsidTr="00080284">
        <w:tc>
          <w:tcPr>
            <w:tcW w:w="3149" w:type="dxa"/>
          </w:tcPr>
          <w:p w14:paraId="62ECDED3" w14:textId="6806AFF1" w:rsidR="00080284" w:rsidRDefault="00080284" w:rsidP="00080284">
            <w:r>
              <w:t>Респираторни, гръдни и медиастинални нарушения</w:t>
            </w:r>
          </w:p>
        </w:tc>
        <w:tc>
          <w:tcPr>
            <w:tcW w:w="3142" w:type="dxa"/>
          </w:tcPr>
          <w:p w14:paraId="342D36C5" w14:textId="6398939B" w:rsidR="00080284" w:rsidRDefault="00080284" w:rsidP="00080284">
            <w:r>
              <w:t>Нечести</w:t>
            </w:r>
          </w:p>
        </w:tc>
        <w:tc>
          <w:tcPr>
            <w:tcW w:w="3285" w:type="dxa"/>
          </w:tcPr>
          <w:p w14:paraId="459AEF8B" w14:textId="6F638017" w:rsidR="00080284" w:rsidRDefault="00080284" w:rsidP="00080284">
            <w:r>
              <w:t>Интерстициална белодробна болест</w:t>
            </w:r>
            <w:r>
              <w:rPr>
                <w:vertAlign w:val="superscript"/>
                <w:lang w:val="en-US"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t>(съобщавано е за фатален изход)</w:t>
            </w:r>
          </w:p>
        </w:tc>
      </w:tr>
      <w:tr w:rsidR="00080284" w14:paraId="72BA9497" w14:textId="77777777" w:rsidTr="00080284">
        <w:tc>
          <w:tcPr>
            <w:tcW w:w="3149" w:type="dxa"/>
          </w:tcPr>
          <w:p w14:paraId="5150C5C2" w14:textId="6D4D31E9" w:rsidR="00080284" w:rsidRDefault="00080284" w:rsidP="00080284">
            <w:r>
              <w:t>| Стомашно-чревни нарушения</w:t>
            </w:r>
          </w:p>
        </w:tc>
        <w:tc>
          <w:tcPr>
            <w:tcW w:w="3142" w:type="dxa"/>
          </w:tcPr>
          <w:p w14:paraId="4580B78C" w14:textId="77777777" w:rsidR="00080284" w:rsidRDefault="00080284" w:rsidP="00080284">
            <w:r>
              <w:t>Много чести</w:t>
            </w:r>
          </w:p>
          <w:p w14:paraId="22BF791F" w14:textId="760E5218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1E705390" w14:textId="77777777" w:rsidR="00080284" w:rsidRDefault="00080284" w:rsidP="00080284">
            <w:r>
              <w:t>Болка в областта на корема, констипация, гадене</w:t>
            </w:r>
          </w:p>
          <w:p w14:paraId="26966557" w14:textId="56428411" w:rsidR="00080284" w:rsidRDefault="00080284" w:rsidP="00080284">
            <w:r>
              <w:t>Диспепсия, флатуленция</w:t>
            </w:r>
          </w:p>
        </w:tc>
      </w:tr>
      <w:tr w:rsidR="00080284" w14:paraId="60E5EC60" w14:textId="77777777" w:rsidTr="00080284">
        <w:tc>
          <w:tcPr>
            <w:tcW w:w="3149" w:type="dxa"/>
          </w:tcPr>
          <w:p w14:paraId="7AE36AD3" w14:textId="50D16853" w:rsidR="00080284" w:rsidRDefault="00080284" w:rsidP="00080284">
            <w:r>
              <w:t>1 Хепатобилиарни нарушения</w:t>
            </w:r>
          </w:p>
        </w:tc>
        <w:tc>
          <w:tcPr>
            <w:tcW w:w="3142" w:type="dxa"/>
          </w:tcPr>
          <w:p w14:paraId="0C9C246D" w14:textId="77777777" w:rsidR="00080284" w:rsidRDefault="00080284" w:rsidP="00080284">
            <w:r>
              <w:t>Чести</w:t>
            </w:r>
          </w:p>
          <w:p w14:paraId="0186182B" w14:textId="5D2E2F21" w:rsidR="00080284" w:rsidRDefault="00080284" w:rsidP="00080284">
            <w:r>
              <w:t>Редки</w:t>
            </w:r>
          </w:p>
        </w:tc>
        <w:tc>
          <w:tcPr>
            <w:tcW w:w="3285" w:type="dxa"/>
          </w:tcPr>
          <w:p w14:paraId="4FD2F468" w14:textId="77777777" w:rsidR="00080284" w:rsidRDefault="00080284" w:rsidP="00080284">
            <w:r>
              <w:t>Хепатотоксичност, жълтеница, хипертрансаминазиемия</w:t>
            </w:r>
            <w:r>
              <w:rPr>
                <w:vertAlign w:val="superscript"/>
                <w:lang w:val="en-US"/>
              </w:rPr>
              <w:t>c</w:t>
            </w:r>
          </w:p>
          <w:p w14:paraId="1059D24F" w14:textId="6AF71770" w:rsidR="00080284" w:rsidRDefault="00080284" w:rsidP="00080284">
            <w:r>
              <w:t>Чернодробна недостатъчност</w:t>
            </w:r>
            <w:r>
              <w:rPr>
                <w:vertAlign w:val="superscript"/>
                <w:lang w:val="en-US"/>
              </w:rPr>
              <w:t>d</w:t>
            </w:r>
            <w:r>
              <w:rPr>
                <w:lang w:val="en-US"/>
              </w:rPr>
              <w:t>(</w:t>
            </w:r>
            <w:r>
              <w:t xml:space="preserve">съобщавано </w:t>
            </w:r>
            <w:r>
              <w:lastRenderedPageBreak/>
              <w:t>е за фатален изход)</w:t>
            </w:r>
          </w:p>
        </w:tc>
      </w:tr>
      <w:tr w:rsidR="00080284" w14:paraId="56C9AAC4" w14:textId="77777777" w:rsidTr="00080284">
        <w:tc>
          <w:tcPr>
            <w:tcW w:w="3149" w:type="dxa"/>
          </w:tcPr>
          <w:p w14:paraId="6FAA15BF" w14:textId="244B25D7" w:rsidR="00080284" w:rsidRDefault="00080284" w:rsidP="00080284">
            <w:r>
              <w:lastRenderedPageBreak/>
              <w:t>Нарушения на кожата и подкожната тъкан</w:t>
            </w:r>
          </w:p>
        </w:tc>
        <w:tc>
          <w:tcPr>
            <w:tcW w:w="3142" w:type="dxa"/>
          </w:tcPr>
          <w:p w14:paraId="71F77036" w14:textId="77777777" w:rsidR="00080284" w:rsidRDefault="00080284" w:rsidP="00080284">
            <w:r>
              <w:t>Чести</w:t>
            </w:r>
          </w:p>
          <w:p w14:paraId="6B113413" w14:textId="3C98AFEB" w:rsidR="00080284" w:rsidRDefault="00080284" w:rsidP="00080284">
            <w:r>
              <w:t>Редки</w:t>
            </w:r>
          </w:p>
        </w:tc>
        <w:tc>
          <w:tcPr>
            <w:tcW w:w="3285" w:type="dxa"/>
          </w:tcPr>
          <w:p w14:paraId="48A19E37" w14:textId="77777777" w:rsidR="00080284" w:rsidRDefault="00080284" w:rsidP="00080284">
            <w:r>
              <w:t>Алопеция, хирзутизъм/повторно израстване на коса, обрив, суха кожа, пруритус</w:t>
            </w:r>
          </w:p>
          <w:p w14:paraId="0E07A821" w14:textId="7B3F87A2" w:rsidR="00080284" w:rsidRDefault="00080284" w:rsidP="00080284">
            <w:r>
              <w:t>Реакция на фоточувствителност</w:t>
            </w:r>
          </w:p>
        </w:tc>
      </w:tr>
      <w:tr w:rsidR="00080284" w14:paraId="43878491" w14:textId="77777777" w:rsidTr="00080284">
        <w:tc>
          <w:tcPr>
            <w:tcW w:w="3149" w:type="dxa"/>
          </w:tcPr>
          <w:p w14:paraId="11A90490" w14:textId="4F434205" w:rsidR="00080284" w:rsidRDefault="00080284" w:rsidP="00080284">
            <w:r>
              <w:t>Нарушения на бъбреците и пикочните пътища</w:t>
            </w:r>
          </w:p>
        </w:tc>
        <w:tc>
          <w:tcPr>
            <w:tcW w:w="3142" w:type="dxa"/>
          </w:tcPr>
          <w:p w14:paraId="1C20B63F" w14:textId="62489082" w:rsidR="00080284" w:rsidRDefault="00080284" w:rsidP="00080284">
            <w:r>
              <w:t>Много чести</w:t>
            </w:r>
          </w:p>
        </w:tc>
        <w:tc>
          <w:tcPr>
            <w:tcW w:w="3285" w:type="dxa"/>
          </w:tcPr>
          <w:p w14:paraId="2DFC4FA0" w14:textId="14DCAB23" w:rsidR="00080284" w:rsidRDefault="00080284" w:rsidP="00080284">
            <w:r>
              <w:t>Хематурия</w:t>
            </w:r>
          </w:p>
        </w:tc>
      </w:tr>
      <w:tr w:rsidR="00080284" w14:paraId="778BF38A" w14:textId="77777777" w:rsidTr="00080284">
        <w:tc>
          <w:tcPr>
            <w:tcW w:w="3149" w:type="dxa"/>
          </w:tcPr>
          <w:p w14:paraId="40F5878A" w14:textId="354110D1" w:rsidR="00080284" w:rsidRDefault="00080284" w:rsidP="00080284">
            <w:r>
              <w:t>Нарушения на възпроизводителната система и гърдата</w:t>
            </w:r>
          </w:p>
        </w:tc>
        <w:tc>
          <w:tcPr>
            <w:tcW w:w="3142" w:type="dxa"/>
          </w:tcPr>
          <w:p w14:paraId="1C2EE870" w14:textId="77777777" w:rsidR="00080284" w:rsidRDefault="00080284" w:rsidP="00080284">
            <w:r>
              <w:t>Много чести</w:t>
            </w:r>
          </w:p>
          <w:p w14:paraId="265DA34F" w14:textId="4E97C13E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2EDD35FA" w14:textId="77777777" w:rsidR="00080284" w:rsidRDefault="00080284" w:rsidP="00080284">
            <w:r>
              <w:t>Гинекомастия и болезненост на гърдите</w:t>
            </w:r>
            <w:r>
              <w:rPr>
                <w:vertAlign w:val="superscript"/>
                <w:lang w:val="en-US"/>
              </w:rPr>
              <w:t>e</w:t>
            </w:r>
          </w:p>
          <w:p w14:paraId="714ECFEF" w14:textId="776C721D" w:rsidR="00080284" w:rsidRDefault="00080284" w:rsidP="00080284">
            <w:r>
              <w:t>Еректилна дисфункция</w:t>
            </w:r>
          </w:p>
        </w:tc>
      </w:tr>
      <w:tr w:rsidR="00080284" w14:paraId="7AFC0E79" w14:textId="77777777" w:rsidTr="00080284">
        <w:tc>
          <w:tcPr>
            <w:tcW w:w="3149" w:type="dxa"/>
          </w:tcPr>
          <w:p w14:paraId="4F0AEEBE" w14:textId="1662A884" w:rsidR="00080284" w:rsidRDefault="00080284" w:rsidP="00080284">
            <w:r>
              <w:t>Общи нарушения и ефекти на мястото на приложение</w:t>
            </w:r>
          </w:p>
        </w:tc>
        <w:tc>
          <w:tcPr>
            <w:tcW w:w="3142" w:type="dxa"/>
          </w:tcPr>
          <w:p w14:paraId="61E78BAB" w14:textId="77777777" w:rsidR="00080284" w:rsidRDefault="00080284" w:rsidP="00080284">
            <w:r>
              <w:t>Много чести</w:t>
            </w:r>
          </w:p>
          <w:p w14:paraId="7175C15E" w14:textId="0AE61669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37F67437" w14:textId="77777777" w:rsidR="00080284" w:rsidRDefault="00080284" w:rsidP="00080284">
            <w:r>
              <w:t>Астения, оток</w:t>
            </w:r>
          </w:p>
          <w:p w14:paraId="4D8824E4" w14:textId="04D5330F" w:rsidR="00080284" w:rsidRDefault="00080284" w:rsidP="00080284">
            <w:r>
              <w:t>Болка в областта на гърдите</w:t>
            </w:r>
          </w:p>
        </w:tc>
      </w:tr>
      <w:tr w:rsidR="00080284" w14:paraId="400BA8E7" w14:textId="77777777" w:rsidTr="00080284">
        <w:tc>
          <w:tcPr>
            <w:tcW w:w="3149" w:type="dxa"/>
          </w:tcPr>
          <w:p w14:paraId="32C43B62" w14:textId="02146819" w:rsidR="00080284" w:rsidRPr="004F3E3D" w:rsidRDefault="00080284" w:rsidP="00080284">
            <w:r w:rsidRPr="004F3E3D">
              <w:t>Изследвания</w:t>
            </w:r>
            <w:r w:rsidRPr="004F3E3D">
              <w:tab/>
            </w:r>
          </w:p>
        </w:tc>
        <w:tc>
          <w:tcPr>
            <w:tcW w:w="3142" w:type="dxa"/>
          </w:tcPr>
          <w:p w14:paraId="2D26E928" w14:textId="63EA298C" w:rsidR="00080284" w:rsidRDefault="00080284" w:rsidP="00080284">
            <w:r>
              <w:t>Чести</w:t>
            </w:r>
          </w:p>
        </w:tc>
        <w:tc>
          <w:tcPr>
            <w:tcW w:w="3285" w:type="dxa"/>
          </w:tcPr>
          <w:p w14:paraId="48CB731B" w14:textId="2948CEFB" w:rsidR="00080284" w:rsidRPr="004F3E3D" w:rsidRDefault="00080284" w:rsidP="00080284">
            <w:r w:rsidRPr="004F3E3D">
              <w:t>Повишаване на теглото</w:t>
            </w:r>
          </w:p>
        </w:tc>
      </w:tr>
    </w:tbl>
    <w:p w14:paraId="763A35B3" w14:textId="77777777" w:rsidR="004F3E3D" w:rsidRDefault="004F3E3D" w:rsidP="004F3E3D">
      <w:r>
        <w:rPr>
          <w:vertAlign w:val="superscript"/>
        </w:rPr>
        <w:t>а</w:t>
      </w:r>
      <w:r>
        <w:t xml:space="preserve">Наблюдавани във фармакоепидемиологично проучване на </w:t>
      </w:r>
      <w:r>
        <w:rPr>
          <w:lang w:val="en-US"/>
        </w:rPr>
        <w:t xml:space="preserve">LHRH </w:t>
      </w:r>
      <w:r>
        <w:t xml:space="preserve">агонисти и антиандрогени, използвани при лечението на карцином на простатата. Рискът се увеличава, когато бикалутамид 50 </w:t>
      </w:r>
      <w:r>
        <w:rPr>
          <w:lang w:val="en-US"/>
        </w:rPr>
        <w:t xml:space="preserve">mg </w:t>
      </w:r>
      <w:r>
        <w:t xml:space="preserve">се използва в комбинация с </w:t>
      </w:r>
      <w:r>
        <w:rPr>
          <w:lang w:val="en-US"/>
        </w:rPr>
        <w:t xml:space="preserve">LHRH </w:t>
      </w:r>
      <w:r>
        <w:t xml:space="preserve">агонисти, но няма очевидно увеличение на риска, когато бикалугамид 150 </w:t>
      </w:r>
      <w:r>
        <w:rPr>
          <w:lang w:val="en-US"/>
        </w:rPr>
        <w:t xml:space="preserve">mg </w:t>
      </w:r>
      <w:r>
        <w:t>се използва като монотерапия за лечение на карцином на простатата.</w:t>
      </w:r>
    </w:p>
    <w:p w14:paraId="322B1009" w14:textId="77777777" w:rsidR="004F3E3D" w:rsidRDefault="004F3E3D" w:rsidP="004F3E3D">
      <w:r>
        <w:rPr>
          <w:vertAlign w:val="superscript"/>
          <w:lang w:val="en-US"/>
        </w:rPr>
        <w:t xml:space="preserve"> </w:t>
      </w:r>
      <w:proofErr w:type="gramStart"/>
      <w:r>
        <w:rPr>
          <w:vertAlign w:val="superscript"/>
          <w:lang w:val="en-US"/>
        </w:rPr>
        <w:t>b</w:t>
      </w:r>
      <w:proofErr w:type="gramEnd"/>
      <w:r>
        <w:rPr>
          <w:vertAlign w:val="superscript"/>
          <w:lang w:val="en-US"/>
        </w:rPr>
        <w:t xml:space="preserve"> </w:t>
      </w:r>
      <w:r>
        <w:t xml:space="preserve">Причислени като нежелана лекарствена реакция след преглед на постмаркетинговите данни. Честотата е определена от честотата на съобщаваните нежелани събития за интерстициална пневмония при рандомизирано лечение със 150 </w:t>
      </w:r>
      <w:r>
        <w:rPr>
          <w:lang w:val="en-US"/>
        </w:rPr>
        <w:t xml:space="preserve">mg </w:t>
      </w:r>
      <w:r>
        <w:t>по време на ЕРС изследвания.</w:t>
      </w:r>
    </w:p>
    <w:p w14:paraId="3912F46C" w14:textId="77777777" w:rsidR="004F3E3D" w:rsidRDefault="004F3E3D" w:rsidP="004F3E3D">
      <w:r>
        <w:rPr>
          <w:vertAlign w:val="superscript"/>
          <w:lang w:val="en-US"/>
        </w:rPr>
        <w:t xml:space="preserve"> </w:t>
      </w:r>
      <w:r>
        <w:rPr>
          <w:vertAlign w:val="superscript"/>
        </w:rPr>
        <w:t>с</w:t>
      </w:r>
      <w:r>
        <w:t>Чернодробните промени рядко са тежки и често са преходни, отзвучават или се подобряват с продължителността на терапията или след прекратяване на лечението.</w:t>
      </w:r>
    </w:p>
    <w:p w14:paraId="2737B432" w14:textId="77777777" w:rsidR="004F3E3D" w:rsidRDefault="004F3E3D" w:rsidP="004F3E3D">
      <w:r>
        <w:rPr>
          <w:vertAlign w:val="superscript"/>
          <w:lang w:val="en-US"/>
        </w:rPr>
        <w:t xml:space="preserve"> </w:t>
      </w:r>
      <w:proofErr w:type="gramStart"/>
      <w:r>
        <w:rPr>
          <w:vertAlign w:val="superscript"/>
          <w:lang w:val="en-US"/>
        </w:rPr>
        <w:t>d</w:t>
      </w:r>
      <w:r>
        <w:t>Причислени</w:t>
      </w:r>
      <w:proofErr w:type="gramEnd"/>
      <w:r>
        <w:t xml:space="preserve"> като нежелана лекарствена реакция след преглед на постмаркетинговите данни. Честотата е определена от честотата на съобщаваните нежелани събития за чернодробна недостатъчност по време на ЕРС проучвания при пациентите от групата с открито рамо, лекувани с бикалутамид 150 </w:t>
      </w:r>
      <w:r>
        <w:rPr>
          <w:lang w:val="en-US"/>
        </w:rPr>
        <w:t>mg.</w:t>
      </w:r>
    </w:p>
    <w:p w14:paraId="1F08974A" w14:textId="77777777" w:rsidR="004F3E3D" w:rsidRDefault="004F3E3D" w:rsidP="004F3E3D">
      <w:r>
        <w:rPr>
          <w:vertAlign w:val="superscript"/>
          <w:lang w:val="en-US"/>
        </w:rPr>
        <w:t xml:space="preserve"> </w:t>
      </w:r>
      <w:r>
        <w:rPr>
          <w:vertAlign w:val="superscript"/>
        </w:rPr>
        <w:t>е</w:t>
      </w:r>
      <w:r>
        <w:t>Може да бъде намалена при едновременна кастрация.</w:t>
      </w:r>
    </w:p>
    <w:p w14:paraId="62DDF7B4" w14:textId="77777777" w:rsidR="004F3E3D" w:rsidRDefault="004F3E3D" w:rsidP="004F3E3D">
      <w:pPr>
        <w:rPr>
          <w:u w:val="single"/>
        </w:rPr>
      </w:pPr>
    </w:p>
    <w:p w14:paraId="27A0C368" w14:textId="74FB2C43" w:rsidR="004F3E3D" w:rsidRDefault="004F3E3D" w:rsidP="004F3E3D">
      <w:r>
        <w:rPr>
          <w:u w:val="single"/>
        </w:rPr>
        <w:t>Съобщаване на подозирани нежелани реакции</w:t>
      </w:r>
    </w:p>
    <w:p w14:paraId="6DAC1BB1" w14:textId="5D75383C" w:rsidR="00080284" w:rsidRDefault="004F3E3D" w:rsidP="004F3E3D">
      <w: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</w:t>
      </w:r>
      <w:r>
        <w:rPr>
          <w:u w:val="single"/>
        </w:rPr>
        <w:t xml:space="preserve"> </w:t>
      </w:r>
      <w:r>
        <w:t xml:space="preserve">№ 8, 1303 София, тел.: 02 8903417, уебсайт: </w:t>
      </w:r>
      <w:r>
        <w:fldChar w:fldCharType="begin"/>
      </w:r>
      <w:r>
        <w:instrText xml:space="preserve"> HYPERLINK "http://www.bda.bg" </w:instrText>
      </w:r>
      <w:r>
        <w:fldChar w:fldCharType="separate"/>
      </w:r>
      <w:r>
        <w:rPr>
          <w:lang w:val="en-US"/>
        </w:rPr>
        <w:t>www.bda.bg</w:t>
      </w:r>
      <w:r>
        <w:fldChar w:fldCharType="end"/>
      </w:r>
      <w:r>
        <w:rPr>
          <w:lang w:val="en-US"/>
        </w:rPr>
        <w:t>.</w:t>
      </w:r>
    </w:p>
    <w:p w14:paraId="2592DD15" w14:textId="77777777" w:rsidR="00080284" w:rsidRPr="00080284" w:rsidRDefault="00080284" w:rsidP="00080284"/>
    <w:p w14:paraId="0A023CE0" w14:textId="7874ADD9" w:rsidR="00CF77F7" w:rsidRDefault="002C50EE" w:rsidP="004A448E">
      <w:pPr>
        <w:pStyle w:val="Heading2"/>
      </w:pPr>
      <w:r>
        <w:t>4.9. Предозиране</w:t>
      </w:r>
    </w:p>
    <w:p w14:paraId="2F3E4888" w14:textId="03715610" w:rsidR="004F3E3D" w:rsidRDefault="004F3E3D" w:rsidP="004F3E3D"/>
    <w:p w14:paraId="2DFF5052" w14:textId="74B18379" w:rsidR="004F3E3D" w:rsidRPr="004F3E3D" w:rsidRDefault="004F3E3D" w:rsidP="004F3E3D">
      <w:r>
        <w:t>Няма натрупан опит за предозиране при хора. Не е известен специфичен антидот. Лечението трябва да бъде симптоматично. Диализата може да не помогне, тъй като бикалутамид се свързва в значима степен с плазмените протеини и не се отделя в непроменен вид с урината. Прилагат се общи поддържащи мерки и често проследяване на виталните показатели.</w:t>
      </w:r>
    </w:p>
    <w:p w14:paraId="02081B24" w14:textId="590DAE38" w:rsid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7CE17E85" w14:textId="77777777" w:rsidR="004F3E3D" w:rsidRPr="004F3E3D" w:rsidRDefault="004F3E3D" w:rsidP="004F3E3D"/>
    <w:p w14:paraId="32B6DE66" w14:textId="71BFAEE5" w:rsidR="00CF77F7" w:rsidRDefault="002C50EE" w:rsidP="004A448E">
      <w:pPr>
        <w:pStyle w:val="Heading2"/>
      </w:pPr>
      <w:r>
        <w:t>5.1. Фармакодинамични свойства</w:t>
      </w:r>
    </w:p>
    <w:p w14:paraId="61A58DB0" w14:textId="27397494" w:rsidR="004F3E3D" w:rsidRDefault="004F3E3D" w:rsidP="004F3E3D"/>
    <w:p w14:paraId="1A6675DE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 xml:space="preserve">Фармакотерапевтична група: Антиандрогени, АТС код </w:t>
      </w:r>
      <w:r w:rsidRPr="004F3E3D">
        <w:rPr>
          <w:rFonts w:eastAsia="Times New Roman" w:cs="Arial"/>
          <w:color w:val="000000"/>
          <w:lang w:val="en-US"/>
        </w:rPr>
        <w:t>L02BB03.</w:t>
      </w:r>
    </w:p>
    <w:p w14:paraId="44A341DA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C4881C" w14:textId="02670123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Бикалутамид е нестероиден антиандроген без друга ендокринна активност. Той се свързва с андрогенните рецептори, без да активира генната експресия и по този начин инхибира андрогенния стимул. Това инхибиране води до регресия на туморите на простатата. Клинично преустановяване на лечението с бикалутамид може да доведе до антиандрогенен синдром на отнемането при част от пациентите.</w:t>
      </w:r>
    </w:p>
    <w:p w14:paraId="291E5DD0" w14:textId="77777777" w:rsidR="004F3E3D" w:rsidRPr="004F3E3D" w:rsidRDefault="004F3E3D" w:rsidP="004F3E3D">
      <w:pPr>
        <w:rPr>
          <w:rFonts w:eastAsia="Times New Roman" w:cs="Arial"/>
          <w:color w:val="000000"/>
          <w:lang w:eastAsia="bg-BG"/>
        </w:rPr>
      </w:pPr>
    </w:p>
    <w:p w14:paraId="623A0ADC" w14:textId="72B44A5E" w:rsidR="004F3E3D" w:rsidRPr="004F3E3D" w:rsidRDefault="004F3E3D" w:rsidP="004F3E3D">
      <w:pPr>
        <w:rPr>
          <w:rFonts w:eastAsia="Times New Roman" w:cs="Arial"/>
          <w:color w:val="000000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Бикалутамид е рацемат, като антиандрогенната му активност се дължи почти изключително само на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)-енантиомера.</w:t>
      </w:r>
    </w:p>
    <w:p w14:paraId="17BFE975" w14:textId="77777777" w:rsidR="004F3E3D" w:rsidRPr="004F3E3D" w:rsidRDefault="004F3E3D" w:rsidP="004F3E3D"/>
    <w:p w14:paraId="35F84B81" w14:textId="51549933" w:rsidR="00CF77F7" w:rsidRDefault="002C50EE" w:rsidP="004A448E">
      <w:pPr>
        <w:pStyle w:val="Heading2"/>
      </w:pPr>
      <w:r>
        <w:t>5.2. Фармакокинетични свойства</w:t>
      </w:r>
    </w:p>
    <w:p w14:paraId="35862CFE" w14:textId="7778E296" w:rsidR="004F3E3D" w:rsidRDefault="004F3E3D" w:rsidP="004F3E3D"/>
    <w:p w14:paraId="484387E5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Бикалугамид се абсорбира добре след перорално приложение. Няма данни за клинично значим ефект на храната върху бионаличността му.</w:t>
      </w:r>
    </w:p>
    <w:p w14:paraId="09C63FB6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C13C53" w14:textId="7B01A93B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(</w:t>
      </w:r>
      <w:r w:rsidRPr="004F3E3D">
        <w:rPr>
          <w:rFonts w:eastAsia="Times New Roman" w:cs="Arial"/>
          <w:color w:val="000000"/>
          <w:lang w:val="en-US"/>
        </w:rPr>
        <w:t>S</w:t>
      </w:r>
      <w:r w:rsidRPr="004F3E3D">
        <w:rPr>
          <w:rFonts w:eastAsia="Times New Roman" w:cs="Arial"/>
          <w:color w:val="000000"/>
          <w:lang w:eastAsia="bg-BG"/>
        </w:rPr>
        <w:t>)-енантиомерът се елиминира по-бързо от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)-енантиомера, като последният има полуживот на елиминиране около 1 седмица.</w:t>
      </w:r>
    </w:p>
    <w:p w14:paraId="7322755E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34232E" w14:textId="1586E596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 xml:space="preserve">При ежедневно приложение на бикалутамид 150 </w:t>
      </w:r>
      <w:r w:rsidRPr="004F3E3D">
        <w:rPr>
          <w:rFonts w:eastAsia="Times New Roman" w:cs="Arial"/>
          <w:color w:val="000000"/>
          <w:lang w:val="en-US"/>
        </w:rPr>
        <w:t xml:space="preserve">mg, </w:t>
      </w:r>
      <w:r w:rsidRPr="004F3E3D">
        <w:rPr>
          <w:rFonts w:eastAsia="Times New Roman" w:cs="Arial"/>
          <w:color w:val="000000"/>
          <w:lang w:eastAsia="bg-BG"/>
        </w:rPr>
        <w:t>неговият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)-енантиомер кумулира приблизително десетократно в плазмата, което се дължи на дългия му полуживот.</w:t>
      </w:r>
    </w:p>
    <w:p w14:paraId="1B33E2FA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366C2F" w14:textId="0BFD9B1A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 xml:space="preserve">При прилагане на бикалугамид 150 </w:t>
      </w:r>
      <w:r w:rsidRPr="004F3E3D">
        <w:rPr>
          <w:rFonts w:eastAsia="Times New Roman" w:cs="Arial"/>
          <w:color w:val="000000"/>
          <w:lang w:val="en-US"/>
        </w:rPr>
        <w:t xml:space="preserve">mg </w:t>
      </w:r>
      <w:r w:rsidRPr="004F3E3D">
        <w:rPr>
          <w:rFonts w:eastAsia="Times New Roman" w:cs="Arial"/>
          <w:color w:val="000000"/>
          <w:lang w:eastAsia="bg-BG"/>
        </w:rPr>
        <w:t>дневно, се наблюдават равновесни плазмени концентрации на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 xml:space="preserve">)-енантиомера приблизително 22 </w:t>
      </w:r>
      <w:r w:rsidRPr="004F3E3D">
        <w:rPr>
          <w:rFonts w:eastAsia="Times New Roman" w:cs="Arial"/>
          <w:color w:val="000000"/>
          <w:lang w:val="en-US"/>
        </w:rPr>
        <w:t xml:space="preserve">microgram/ml. </w:t>
      </w:r>
      <w:r w:rsidRPr="004F3E3D">
        <w:rPr>
          <w:rFonts w:eastAsia="Times New Roman" w:cs="Arial"/>
          <w:color w:val="000000"/>
          <w:lang w:eastAsia="bg-BG"/>
        </w:rPr>
        <w:t>В равновесно състояние, основният активен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)-енантиомер представлява приблизително 99 % от общо циркулиращите енантиомери.</w:t>
      </w:r>
    </w:p>
    <w:p w14:paraId="3ABB9463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E12410" w14:textId="309762F1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Фармакокинетиката на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)-енантиомера не се повлиява от възрастта, наличието на бъбречно увреждане и на леко до умерено чернодробно увреждане. Има доказателства, че при лица с тежко чернодробно увреждане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>)-снантиомерът се елиминира по-бавно от плазмата.</w:t>
      </w:r>
    </w:p>
    <w:p w14:paraId="160D1405" w14:textId="77777777" w:rsidR="004F3E3D" w:rsidRPr="004F3E3D" w:rsidRDefault="004F3E3D" w:rsidP="004F3E3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313D3F" w14:textId="493875D4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 xml:space="preserve">Бикалутамид се свързва във висока степен с плазмените протеини (рацемата до 96%, </w:t>
      </w:r>
      <w:r w:rsidRPr="004F3E3D">
        <w:rPr>
          <w:rFonts w:eastAsia="Times New Roman" w:cs="Arial"/>
          <w:color w:val="000000"/>
          <w:lang w:val="en-US"/>
        </w:rPr>
        <w:t xml:space="preserve">(R)- </w:t>
      </w:r>
      <w:r w:rsidRPr="004F3E3D">
        <w:rPr>
          <w:rFonts w:eastAsia="Times New Roman" w:cs="Arial"/>
          <w:color w:val="000000"/>
          <w:lang w:eastAsia="bg-BG"/>
        </w:rPr>
        <w:t>енантиомера &gt; 99%) и се метаболизира активно (чрез окисление и глюкурониране).</w:t>
      </w:r>
    </w:p>
    <w:p w14:paraId="3A078602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Метаболитите му се отделят през бъбреците и жлъчката в приблизително еднакво съотношение.</w:t>
      </w:r>
    </w:p>
    <w:p w14:paraId="5296E419" w14:textId="77777777" w:rsidR="004F3E3D" w:rsidRPr="004F3E3D" w:rsidRDefault="004F3E3D" w:rsidP="004F3E3D">
      <w:pPr>
        <w:rPr>
          <w:rFonts w:eastAsia="Times New Roman" w:cs="Arial"/>
          <w:color w:val="000000"/>
          <w:lang w:eastAsia="bg-BG"/>
        </w:rPr>
      </w:pPr>
    </w:p>
    <w:p w14:paraId="73999E48" w14:textId="38C45161" w:rsidR="004F3E3D" w:rsidRDefault="004F3E3D" w:rsidP="004F3E3D">
      <w:pPr>
        <w:rPr>
          <w:rFonts w:eastAsia="Times New Roman" w:cs="Arial"/>
          <w:color w:val="000000"/>
          <w:lang w:eastAsia="bg-BG"/>
        </w:rPr>
      </w:pPr>
      <w:r w:rsidRPr="004F3E3D">
        <w:rPr>
          <w:rFonts w:eastAsia="Times New Roman" w:cs="Arial"/>
          <w:color w:val="000000"/>
          <w:lang w:eastAsia="bg-BG"/>
        </w:rPr>
        <w:t>В клинично проучване е установено, че средната концентрация на (</w:t>
      </w:r>
      <w:r w:rsidRPr="004F3E3D">
        <w:rPr>
          <w:rFonts w:eastAsia="Times New Roman" w:cs="Arial"/>
          <w:color w:val="000000"/>
          <w:lang w:val="en-US"/>
        </w:rPr>
        <w:t>R</w:t>
      </w:r>
      <w:r w:rsidRPr="004F3E3D">
        <w:rPr>
          <w:rFonts w:eastAsia="Times New Roman" w:cs="Arial"/>
          <w:color w:val="000000"/>
          <w:lang w:eastAsia="bg-BG"/>
        </w:rPr>
        <w:t xml:space="preserve">)-енантиомер в спермата на мъже, приемащи бикалугамид 150 </w:t>
      </w:r>
      <w:r w:rsidRPr="004F3E3D">
        <w:rPr>
          <w:rFonts w:eastAsia="Times New Roman" w:cs="Arial"/>
          <w:color w:val="000000"/>
          <w:lang w:val="en-US"/>
        </w:rPr>
        <w:t xml:space="preserve">mg </w:t>
      </w:r>
      <w:r w:rsidRPr="004F3E3D">
        <w:rPr>
          <w:rFonts w:eastAsia="Times New Roman" w:cs="Arial"/>
          <w:color w:val="000000"/>
          <w:lang w:eastAsia="bg-BG"/>
        </w:rPr>
        <w:t>е 4,9 μ</w:t>
      </w:r>
      <w:r w:rsidRPr="004F3E3D">
        <w:rPr>
          <w:rFonts w:eastAsia="Times New Roman" w:cs="Arial"/>
          <w:color w:val="000000"/>
          <w:lang w:val="en-US"/>
        </w:rPr>
        <w:t xml:space="preserve">g/ml, </w:t>
      </w:r>
      <w:r w:rsidRPr="004F3E3D">
        <w:rPr>
          <w:rFonts w:eastAsia="Times New Roman" w:cs="Arial"/>
          <w:color w:val="000000"/>
          <w:lang w:eastAsia="bg-BG"/>
        </w:rPr>
        <w:t xml:space="preserve">Количеството бикалугамид, което потенциално може да премине в партньорката по време на полов акт е ниско и се равнява </w:t>
      </w:r>
      <w:r w:rsidRPr="004F3E3D">
        <w:rPr>
          <w:rFonts w:eastAsia="Times New Roman" w:cs="Arial"/>
          <w:color w:val="000000"/>
          <w:u w:val="single"/>
          <w:lang w:eastAsia="bg-BG"/>
        </w:rPr>
        <w:t xml:space="preserve">на </w:t>
      </w:r>
      <w:r w:rsidRPr="004F3E3D">
        <w:rPr>
          <w:rFonts w:eastAsia="Times New Roman" w:cs="Arial"/>
          <w:color w:val="000000"/>
          <w:lang w:eastAsia="bg-BG"/>
        </w:rPr>
        <w:t>около 0,3 μ</w:t>
      </w:r>
      <w:r w:rsidRPr="004F3E3D">
        <w:rPr>
          <w:rFonts w:eastAsia="Times New Roman" w:cs="Arial"/>
          <w:color w:val="000000"/>
          <w:lang w:val="en-US"/>
        </w:rPr>
        <w:t xml:space="preserve">g/kg, </w:t>
      </w:r>
      <w:r w:rsidRPr="004F3E3D">
        <w:rPr>
          <w:rFonts w:eastAsia="Times New Roman" w:cs="Arial"/>
          <w:color w:val="000000"/>
          <w:lang w:eastAsia="bg-BG"/>
        </w:rPr>
        <w:t>т.е под необходимото, което може да предизвика промени в потомството на лабораторни животни.</w:t>
      </w:r>
    </w:p>
    <w:p w14:paraId="5E72D10D" w14:textId="77777777" w:rsidR="004F3E3D" w:rsidRPr="004F3E3D" w:rsidRDefault="004F3E3D" w:rsidP="004F3E3D">
      <w:pPr>
        <w:rPr>
          <w:rFonts w:cs="Arial"/>
          <w:lang w:val="en-US"/>
        </w:rPr>
      </w:pPr>
    </w:p>
    <w:p w14:paraId="648E39DA" w14:textId="7DA3FB88" w:rsidR="00CF77F7" w:rsidRDefault="002C50EE" w:rsidP="004A448E">
      <w:pPr>
        <w:pStyle w:val="Heading2"/>
      </w:pPr>
      <w:r>
        <w:lastRenderedPageBreak/>
        <w:t>5.3. Предклинични данни за безопасност</w:t>
      </w:r>
    </w:p>
    <w:p w14:paraId="16F5933C" w14:textId="661E1DF7" w:rsidR="004F3E3D" w:rsidRDefault="004F3E3D" w:rsidP="004F3E3D"/>
    <w:p w14:paraId="2C707D46" w14:textId="58F87AC6" w:rsidR="004F3E3D" w:rsidRPr="004F3E3D" w:rsidRDefault="004F3E3D" w:rsidP="004F3E3D">
      <w:r>
        <w:t>Бикалутамид е мощен антиандроген и ензимен индуктор на оксидазите със смесена функция при животни. При животни промените в таргетните органи, вкл. и туморната индукция (в Лайдигов</w:t>
      </w:r>
      <w:bookmarkStart w:id="1" w:name="_GoBack"/>
      <w:bookmarkEnd w:id="1"/>
      <w:r>
        <w:t>ите клетки на тестисите, щитовидната жлеза и черния дроб) се свързват с тези действия. Ензимна индукция при човека не е наблюдавана и няма такива находки като при тези с опитите с животни, които да се свързват и за които да се счита, че може да имат отношение към лечението на пациенти с диагностициран рак на простатата. Атрофията на семенните каналчета е характерен за класа на антиандрогените ефект и се наблюдава при всички видове опитни животни. В едно проучване върху плъхове пълно възстановяване на атрофията на тестисите се наблюдава 24 седмици след многократно прилагане на токсични дози в продължение на 12 месеца, докато възстановяване на репродуктивните функции се наблюдава 7 седмици след края на 11-седмичния период на прилагане. Предполага се, че период на субфебрилност или на безплодие може да се наблюдава и при хора.</w:t>
      </w:r>
    </w:p>
    <w:p w14:paraId="6A7820AB" w14:textId="4F8AEB2D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F6CF0BF" w14:textId="315C893C" w:rsidR="004F3E3D" w:rsidRDefault="004F3E3D" w:rsidP="004F3E3D"/>
    <w:p w14:paraId="3E422ECA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4F3E3D">
        <w:rPr>
          <w:rFonts w:eastAsia="Times New Roman" w:cs="Arial"/>
          <w:color w:val="000000"/>
          <w:lang w:val="en-US"/>
        </w:rPr>
        <w:t xml:space="preserve">Actavis Group PTC </w:t>
      </w:r>
      <w:proofErr w:type="spellStart"/>
      <w:r w:rsidRPr="004F3E3D">
        <w:rPr>
          <w:rFonts w:eastAsia="Times New Roman" w:cs="Arial"/>
          <w:color w:val="000000"/>
          <w:lang w:val="en-US"/>
        </w:rPr>
        <w:t>ehf</w:t>
      </w:r>
      <w:proofErr w:type="spellEnd"/>
      <w:proofErr w:type="gramStart"/>
      <w:r w:rsidRPr="004F3E3D">
        <w:rPr>
          <w:rFonts w:eastAsia="Times New Roman" w:cs="Arial"/>
          <w:color w:val="000000"/>
          <w:lang w:val="en-US"/>
        </w:rPr>
        <w:t>.,</w:t>
      </w:r>
      <w:proofErr w:type="gramEnd"/>
    </w:p>
    <w:p w14:paraId="0C09C557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4F3E3D">
        <w:rPr>
          <w:rFonts w:eastAsia="Times New Roman" w:cs="Arial"/>
          <w:color w:val="000000"/>
          <w:lang w:val="en-US"/>
        </w:rPr>
        <w:t>Reykjavikurvegur</w:t>
      </w:r>
      <w:proofErr w:type="spellEnd"/>
      <w:r w:rsidRPr="004F3E3D">
        <w:rPr>
          <w:rFonts w:eastAsia="Times New Roman" w:cs="Arial"/>
          <w:color w:val="000000"/>
          <w:lang w:val="en-US"/>
        </w:rPr>
        <w:t xml:space="preserve"> 76-78,</w:t>
      </w:r>
    </w:p>
    <w:p w14:paraId="6DE458CB" w14:textId="77777777" w:rsidR="004F3E3D" w:rsidRPr="004F3E3D" w:rsidRDefault="004F3E3D" w:rsidP="004F3E3D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4F3E3D">
        <w:rPr>
          <w:rFonts w:eastAsia="Times New Roman" w:cs="Arial"/>
          <w:color w:val="000000"/>
          <w:lang w:val="en-US"/>
        </w:rPr>
        <w:t xml:space="preserve">220 </w:t>
      </w:r>
      <w:proofErr w:type="spellStart"/>
      <w:r w:rsidRPr="004F3E3D">
        <w:rPr>
          <w:rFonts w:eastAsia="Times New Roman" w:cs="Arial"/>
          <w:color w:val="000000"/>
          <w:lang w:val="en-US"/>
        </w:rPr>
        <w:t>Hafnarfjordur</w:t>
      </w:r>
      <w:proofErr w:type="spellEnd"/>
      <w:r w:rsidRPr="004F3E3D">
        <w:rPr>
          <w:rFonts w:eastAsia="Times New Roman" w:cs="Arial"/>
          <w:color w:val="000000"/>
          <w:lang w:val="en-US"/>
        </w:rPr>
        <w:t>,</w:t>
      </w:r>
    </w:p>
    <w:p w14:paraId="46097EF7" w14:textId="6C2F5ACE" w:rsidR="004F3E3D" w:rsidRPr="004F3E3D" w:rsidRDefault="004F3E3D" w:rsidP="004F3E3D">
      <w:pPr>
        <w:rPr>
          <w:rFonts w:cs="Arial"/>
        </w:rPr>
      </w:pPr>
      <w:r w:rsidRPr="004F3E3D">
        <w:rPr>
          <w:rFonts w:eastAsia="Times New Roman" w:cs="Arial"/>
          <w:color w:val="000000"/>
          <w:lang w:eastAsia="bg-BG"/>
        </w:rPr>
        <w:t>Исландия</w:t>
      </w:r>
    </w:p>
    <w:p w14:paraId="7BA1BA64" w14:textId="6FBB82CD" w:rsidR="00CF77F7" w:rsidRDefault="002C50EE" w:rsidP="004A448E">
      <w:pPr>
        <w:pStyle w:val="Heading1"/>
      </w:pPr>
      <w:r>
        <w:t>8. НОМЕР НА РАЗРЕШЕНИЕТО ЗА УПОТРЕБА</w:t>
      </w:r>
    </w:p>
    <w:p w14:paraId="0795D6F5" w14:textId="1A641873" w:rsidR="004F3E3D" w:rsidRDefault="004F3E3D" w:rsidP="004F3E3D"/>
    <w:p w14:paraId="0D0AA409" w14:textId="630E5AF5" w:rsidR="004F3E3D" w:rsidRPr="004F3E3D" w:rsidRDefault="004F3E3D" w:rsidP="004F3E3D">
      <w:pPr>
        <w:rPr>
          <w:rFonts w:cs="Arial"/>
        </w:rPr>
      </w:pPr>
      <w:proofErr w:type="spellStart"/>
      <w:r>
        <w:rPr>
          <w:rFonts w:cs="Arial"/>
          <w:lang w:val="en-US"/>
        </w:rPr>
        <w:t>Pe</w:t>
      </w:r>
      <w:proofErr w:type="spellEnd"/>
      <w:r>
        <w:rPr>
          <w:rFonts w:cs="Arial"/>
        </w:rPr>
        <w:t>г</w:t>
      </w:r>
      <w:r w:rsidRPr="004F3E3D">
        <w:rPr>
          <w:rFonts w:cs="Arial"/>
          <w:lang w:val="en-US"/>
        </w:rPr>
        <w:t xml:space="preserve">. </w:t>
      </w:r>
      <w:r w:rsidRPr="004F3E3D">
        <w:rPr>
          <w:rFonts w:cs="Arial"/>
        </w:rPr>
        <w:t>№20140290</w:t>
      </w:r>
    </w:p>
    <w:p w14:paraId="2CCB5832" w14:textId="09234B4E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2A0C98EC" w14:textId="4053684E" w:rsidR="004F3E3D" w:rsidRDefault="004F3E3D" w:rsidP="004F3E3D"/>
    <w:p w14:paraId="5AD5589E" w14:textId="694B7E0B" w:rsidR="004F3E3D" w:rsidRPr="004F3E3D" w:rsidRDefault="004F3E3D" w:rsidP="004F3E3D">
      <w:pPr>
        <w:rPr>
          <w:rFonts w:cs="Arial"/>
        </w:rPr>
      </w:pPr>
      <w:r w:rsidRPr="004F3E3D">
        <w:rPr>
          <w:rFonts w:cs="Arial"/>
        </w:rPr>
        <w:t>Дата на първо разрешаване: 01.10.2014г.</w:t>
      </w:r>
    </w:p>
    <w:p w14:paraId="0E9D0119" w14:textId="3ADC4180" w:rsidR="002C50EE" w:rsidRDefault="002C50EE" w:rsidP="002C50EE">
      <w:pPr>
        <w:pStyle w:val="Heading1"/>
      </w:pPr>
      <w:r>
        <w:t>10. ДАТА НА АКТУАЛИЗИРАНЕ НА ТЕКСТА</w:t>
      </w:r>
    </w:p>
    <w:p w14:paraId="2EC9A4BE" w14:textId="08C1CD51" w:rsidR="004F3E3D" w:rsidRDefault="004F3E3D" w:rsidP="004F3E3D"/>
    <w:p w14:paraId="0DEE4A0F" w14:textId="77777777" w:rsidR="004F3E3D" w:rsidRPr="004F3E3D" w:rsidRDefault="004F3E3D" w:rsidP="004F3E3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80284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3E3D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2022-06-04T19:24:00Z</dcterms:created>
  <dcterms:modified xsi:type="dcterms:W3CDTF">2022-06-04T19:24:00Z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