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026DBA59" w:rsidR="00AA23EC" w:rsidRDefault="00DD466D" w:rsidP="00DD466D">
      <w:pPr>
        <w:pStyle w:val="Heading1"/>
      </w:pPr>
      <w:r>
        <w:t>1.ИМЕ НА ЛЕКАРСТВЕНИЯ ПРОДУКТ</w:t>
      </w:r>
    </w:p>
    <w:p w14:paraId="464D51FF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БИОПРАЗОЛ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стомашно-устойчиви твърди капсули</w:t>
      </w:r>
    </w:p>
    <w:p w14:paraId="46928D7F" w14:textId="05738E71" w:rsidR="00264E1A" w:rsidRPr="00264E1A" w:rsidRDefault="00264E1A" w:rsidP="00264E1A">
      <w:pPr>
        <w:rPr>
          <w:sz w:val="24"/>
          <w:szCs w:val="24"/>
        </w:rPr>
      </w:pPr>
      <w:r w:rsidRPr="00264E1A">
        <w:rPr>
          <w:lang w:val="en-US"/>
        </w:rPr>
        <w:t xml:space="preserve">BIOPRAZOL </w:t>
      </w:r>
      <w:r w:rsidRPr="00264E1A">
        <w:rPr>
          <w:lang w:eastAsia="bg-BG"/>
        </w:rPr>
        <w:t xml:space="preserve">20 </w:t>
      </w:r>
      <w:r w:rsidRPr="00264E1A">
        <w:rPr>
          <w:lang w:val="en-US"/>
        </w:rPr>
        <w:t>mg gastro-resistant hard capsules</w:t>
      </w:r>
    </w:p>
    <w:p w14:paraId="4D88B710" w14:textId="24C66E7B" w:rsidR="00D86297" w:rsidRDefault="00DD466D" w:rsidP="00AA23EC">
      <w:pPr>
        <w:pStyle w:val="Heading1"/>
      </w:pPr>
      <w:r>
        <w:t>2. КАЧЕСТВЕН И КОЛИЧЕСТВЕН СЪСТАВ</w:t>
      </w:r>
    </w:p>
    <w:p w14:paraId="0A01CFBC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Всяка капсула съдържа 20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</w:t>
      </w:r>
      <w:r w:rsidRPr="00264E1A">
        <w:rPr>
          <w:lang w:val="en-US"/>
        </w:rPr>
        <w:t>(omeprazole)</w:t>
      </w:r>
    </w:p>
    <w:p w14:paraId="6B89183B" w14:textId="028B0271" w:rsidR="00264E1A" w:rsidRPr="00264E1A" w:rsidRDefault="00264E1A" w:rsidP="00264E1A">
      <w:r w:rsidRPr="00264E1A">
        <w:rPr>
          <w:lang w:eastAsia="bg-BG"/>
        </w:rPr>
        <w:t>Помощно вещество с известно действие: захар</w:t>
      </w:r>
    </w:p>
    <w:p w14:paraId="5E332777" w14:textId="29E963CC" w:rsidR="005A66D9" w:rsidRDefault="00DD466D" w:rsidP="00CA1B57">
      <w:pPr>
        <w:pStyle w:val="Heading1"/>
      </w:pPr>
      <w:r>
        <w:t>3. ЛЕКАРСТВЕНА ФОРМА</w:t>
      </w:r>
    </w:p>
    <w:p w14:paraId="7650331C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Капсули, твърди</w:t>
      </w:r>
    </w:p>
    <w:p w14:paraId="7DC5A8F6" w14:textId="77777777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капсули са твърди желатинови капсули, с оранжево тяло и тъмно-синьо капаче.</w:t>
      </w:r>
    </w:p>
    <w:p w14:paraId="22EFE5DF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Капсула № 2. </w:t>
      </w:r>
      <w:proofErr w:type="spellStart"/>
      <w:r w:rsidRPr="00264E1A">
        <w:rPr>
          <w:lang w:eastAsia="bg-BG"/>
        </w:rPr>
        <w:t>Капсул</w:t>
      </w:r>
      <w:proofErr w:type="spellEnd"/>
      <w:r w:rsidRPr="00264E1A">
        <w:rPr>
          <w:lang w:eastAsia="bg-BG"/>
        </w:rPr>
        <w:t xml:space="preserve"> но съдържимо - </w:t>
      </w:r>
      <w:proofErr w:type="spellStart"/>
      <w:r w:rsidRPr="00264E1A">
        <w:rPr>
          <w:lang w:eastAsia="bg-BG"/>
        </w:rPr>
        <w:t>пелети</w:t>
      </w:r>
      <w:proofErr w:type="spellEnd"/>
      <w:r w:rsidRPr="00264E1A">
        <w:rPr>
          <w:lang w:eastAsia="bg-BG"/>
        </w:rPr>
        <w:t xml:space="preserve"> с бял до почти бял цвят.</w:t>
      </w:r>
    </w:p>
    <w:p w14:paraId="79A64C2B" w14:textId="77777777" w:rsidR="00264E1A" w:rsidRPr="00264E1A" w:rsidRDefault="00264E1A" w:rsidP="00264E1A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68526344" w:rsidR="00FD69E8" w:rsidRDefault="002C50EE" w:rsidP="00AA23EC">
      <w:pPr>
        <w:pStyle w:val="Heading2"/>
      </w:pPr>
      <w:r>
        <w:t>4.1. Терапевтични показания</w:t>
      </w:r>
    </w:p>
    <w:p w14:paraId="7E197AB7" w14:textId="77777777" w:rsidR="00264E1A" w:rsidRDefault="00264E1A" w:rsidP="00264E1A">
      <w:pPr>
        <w:rPr>
          <w:lang w:eastAsia="bg-BG"/>
        </w:rPr>
      </w:pPr>
    </w:p>
    <w:p w14:paraId="612D5012" w14:textId="59752501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Възрастни</w:t>
      </w:r>
    </w:p>
    <w:p w14:paraId="5B474D81" w14:textId="77777777" w:rsidR="00264E1A" w:rsidRDefault="00264E1A" w:rsidP="00264E1A">
      <w:pPr>
        <w:rPr>
          <w:lang w:eastAsia="bg-BG"/>
        </w:rPr>
      </w:pPr>
    </w:p>
    <w:p w14:paraId="31C2292B" w14:textId="3B2A27D8" w:rsidR="00264E1A" w:rsidRPr="00264E1A" w:rsidRDefault="00264E1A" w:rsidP="00264E1A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264E1A">
        <w:rPr>
          <w:lang w:eastAsia="bg-BG"/>
        </w:rPr>
        <w:t>Дуоденална</w:t>
      </w:r>
      <w:proofErr w:type="spellEnd"/>
      <w:r w:rsidRPr="00264E1A">
        <w:rPr>
          <w:lang w:eastAsia="bg-BG"/>
        </w:rPr>
        <w:t xml:space="preserve"> язва</w:t>
      </w:r>
    </w:p>
    <w:p w14:paraId="00B214E4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r w:rsidRPr="00264E1A">
        <w:rPr>
          <w:lang w:eastAsia="bg-BG"/>
        </w:rPr>
        <w:t>Стомашна язва</w:t>
      </w:r>
    </w:p>
    <w:p w14:paraId="4AD82021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r w:rsidRPr="00264E1A">
        <w:rPr>
          <w:lang w:eastAsia="bg-BG"/>
        </w:rPr>
        <w:t xml:space="preserve">Лечение и профилактика на доброкачествени стомашни, </w:t>
      </w:r>
      <w:proofErr w:type="spellStart"/>
      <w:r w:rsidRPr="00264E1A">
        <w:rPr>
          <w:lang w:eastAsia="bg-BG"/>
        </w:rPr>
        <w:t>дуоденални</w:t>
      </w:r>
      <w:proofErr w:type="spellEnd"/>
      <w:r w:rsidRPr="00264E1A">
        <w:rPr>
          <w:lang w:eastAsia="bg-BG"/>
        </w:rPr>
        <w:t xml:space="preserve"> язви, </w:t>
      </w:r>
      <w:proofErr w:type="spellStart"/>
      <w:r w:rsidRPr="00264E1A">
        <w:rPr>
          <w:lang w:eastAsia="bg-BG"/>
        </w:rPr>
        <w:t>гастро-дуоденални</w:t>
      </w:r>
      <w:proofErr w:type="spellEnd"/>
      <w:r w:rsidRPr="00264E1A">
        <w:rPr>
          <w:lang w:eastAsia="bg-BG"/>
        </w:rPr>
        <w:t xml:space="preserve"> ерозии, причинени от употребата на НСПВС;</w:t>
      </w:r>
    </w:p>
    <w:p w14:paraId="60557FC2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proofErr w:type="spellStart"/>
      <w:r w:rsidRPr="00264E1A">
        <w:rPr>
          <w:lang w:eastAsia="bg-BG"/>
        </w:rPr>
        <w:t>Рефлуксна</w:t>
      </w:r>
      <w:proofErr w:type="spellEnd"/>
      <w:r w:rsidRPr="00264E1A">
        <w:rPr>
          <w:lang w:eastAsia="bg-BG"/>
        </w:rPr>
        <w:t xml:space="preserve"> </w:t>
      </w:r>
      <w:proofErr w:type="spellStart"/>
      <w:r w:rsidRPr="00264E1A">
        <w:rPr>
          <w:lang w:eastAsia="bg-BG"/>
        </w:rPr>
        <w:t>езофагеална</w:t>
      </w:r>
      <w:proofErr w:type="spellEnd"/>
      <w:r w:rsidRPr="00264E1A">
        <w:rPr>
          <w:lang w:eastAsia="bg-BG"/>
        </w:rPr>
        <w:t xml:space="preserve"> болест;</w:t>
      </w:r>
    </w:p>
    <w:p w14:paraId="4B131EC0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r w:rsidRPr="00264E1A">
        <w:rPr>
          <w:lang w:eastAsia="bg-BG"/>
        </w:rPr>
        <w:t xml:space="preserve">Облекчаване на </w:t>
      </w:r>
      <w:proofErr w:type="spellStart"/>
      <w:r w:rsidRPr="00264E1A">
        <w:rPr>
          <w:lang w:eastAsia="bg-BG"/>
        </w:rPr>
        <w:t>рефлуксоподобна</w:t>
      </w:r>
      <w:proofErr w:type="spellEnd"/>
      <w:r w:rsidRPr="00264E1A">
        <w:rPr>
          <w:lang w:eastAsia="bg-BG"/>
        </w:rPr>
        <w:t xml:space="preserve"> симптоматика /парене зад гръдната кост/ и </w:t>
      </w:r>
      <w:proofErr w:type="spellStart"/>
      <w:r w:rsidRPr="00264E1A">
        <w:rPr>
          <w:lang w:eastAsia="bg-BG"/>
        </w:rPr>
        <w:t>епигастрална</w:t>
      </w:r>
      <w:proofErr w:type="spellEnd"/>
      <w:r w:rsidRPr="00264E1A">
        <w:rPr>
          <w:lang w:eastAsia="bg-BG"/>
        </w:rPr>
        <w:t xml:space="preserve"> болка, свързани с </w:t>
      </w:r>
      <w:proofErr w:type="spellStart"/>
      <w:r w:rsidRPr="00264E1A">
        <w:rPr>
          <w:lang w:eastAsia="bg-BG"/>
        </w:rPr>
        <w:t>киселиннообусловена</w:t>
      </w:r>
      <w:proofErr w:type="spellEnd"/>
      <w:r w:rsidRPr="00264E1A">
        <w:rPr>
          <w:lang w:eastAsia="bg-BG"/>
        </w:rPr>
        <w:t xml:space="preserve"> диспепсия.</w:t>
      </w:r>
    </w:p>
    <w:p w14:paraId="378F8D75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r w:rsidRPr="00264E1A">
        <w:rPr>
          <w:lang w:eastAsia="bg-BG"/>
        </w:rPr>
        <w:t xml:space="preserve">Облекчаване на </w:t>
      </w:r>
      <w:proofErr w:type="spellStart"/>
      <w:r w:rsidRPr="00264E1A">
        <w:rPr>
          <w:lang w:eastAsia="bg-BG"/>
        </w:rPr>
        <w:t>диспептична</w:t>
      </w:r>
      <w:proofErr w:type="spellEnd"/>
      <w:r w:rsidRPr="00264E1A">
        <w:rPr>
          <w:lang w:eastAsia="bg-BG"/>
        </w:rPr>
        <w:t xml:space="preserve"> симптоматика.</w:t>
      </w:r>
    </w:p>
    <w:p w14:paraId="193295F3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proofErr w:type="spellStart"/>
      <w:r w:rsidRPr="00264E1A">
        <w:rPr>
          <w:lang w:eastAsia="bg-BG"/>
        </w:rPr>
        <w:t>Ерадикация</w:t>
      </w:r>
      <w:proofErr w:type="spellEnd"/>
      <w:r w:rsidRPr="00264E1A">
        <w:rPr>
          <w:lang w:eastAsia="bg-BG"/>
        </w:rPr>
        <w:t xml:space="preserve"> на </w:t>
      </w:r>
      <w:r w:rsidRPr="00264E1A">
        <w:rPr>
          <w:i/>
          <w:iCs/>
          <w:lang w:val="en-US"/>
        </w:rPr>
        <w:t>Helicobacter pylori</w:t>
      </w:r>
      <w:r w:rsidRPr="00264E1A">
        <w:rPr>
          <w:lang w:val="en-US"/>
        </w:rPr>
        <w:t xml:space="preserve"> </w:t>
      </w:r>
      <w:r w:rsidRPr="00264E1A">
        <w:rPr>
          <w:lang w:eastAsia="bg-BG"/>
        </w:rPr>
        <w:t xml:space="preserve">-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в комбинация с антибиотици при </w:t>
      </w:r>
      <w:proofErr w:type="spellStart"/>
      <w:r w:rsidRPr="00264E1A">
        <w:rPr>
          <w:lang w:eastAsia="bg-BG"/>
        </w:rPr>
        <w:t>пептична</w:t>
      </w:r>
      <w:proofErr w:type="spellEnd"/>
      <w:r w:rsidRPr="00264E1A">
        <w:rPr>
          <w:lang w:eastAsia="bg-BG"/>
        </w:rPr>
        <w:t xml:space="preserve"> язвена болест.</w:t>
      </w:r>
    </w:p>
    <w:p w14:paraId="44AF59F4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r w:rsidRPr="00264E1A">
        <w:rPr>
          <w:lang w:eastAsia="bg-BG"/>
        </w:rPr>
        <w:t xml:space="preserve">Синдром на </w:t>
      </w:r>
      <w:r w:rsidRPr="00264E1A">
        <w:rPr>
          <w:lang w:val="en-US"/>
        </w:rPr>
        <w:t xml:space="preserve">Zollinger </w:t>
      </w:r>
      <w:r w:rsidRPr="00264E1A">
        <w:rPr>
          <w:lang w:eastAsia="bg-BG"/>
        </w:rPr>
        <w:t xml:space="preserve">- </w:t>
      </w:r>
      <w:r w:rsidRPr="00264E1A">
        <w:rPr>
          <w:lang w:val="en-US"/>
        </w:rPr>
        <w:t>Ellison</w:t>
      </w:r>
    </w:p>
    <w:p w14:paraId="161AB4D8" w14:textId="77777777" w:rsidR="00264E1A" w:rsidRPr="00264E1A" w:rsidRDefault="00264E1A" w:rsidP="00264E1A">
      <w:pPr>
        <w:pStyle w:val="ListParagraph"/>
        <w:numPr>
          <w:ilvl w:val="0"/>
          <w:numId w:val="24"/>
        </w:numPr>
        <w:rPr>
          <w:lang w:eastAsia="bg-BG"/>
        </w:rPr>
      </w:pPr>
      <w:r w:rsidRPr="00264E1A">
        <w:rPr>
          <w:lang w:eastAsia="bg-BG"/>
        </w:rPr>
        <w:t>Профилактика при аспирация на кисело стомашно съдържимо.</w:t>
      </w:r>
    </w:p>
    <w:p w14:paraId="4F1C5AE4" w14:textId="77777777" w:rsidR="00264E1A" w:rsidRDefault="00264E1A" w:rsidP="00264E1A">
      <w:pPr>
        <w:rPr>
          <w:lang w:eastAsia="bg-BG"/>
        </w:rPr>
      </w:pPr>
    </w:p>
    <w:p w14:paraId="199875B9" w14:textId="3285B924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Педиатрична употреба</w:t>
      </w:r>
    </w:p>
    <w:p w14:paraId="08E8F6FA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i/>
          <w:iCs/>
          <w:lang w:eastAsia="bg-BG"/>
        </w:rPr>
        <w:t xml:space="preserve">Деца на възраст над 1 година и с тегло </w:t>
      </w:r>
      <w:r w:rsidRPr="00264E1A">
        <w:rPr>
          <w:i/>
          <w:iCs/>
          <w:lang w:val="en-US"/>
        </w:rPr>
        <w:t>≥</w:t>
      </w:r>
      <w:r w:rsidRPr="00264E1A">
        <w:rPr>
          <w:i/>
          <w:iCs/>
          <w:lang w:eastAsia="bg-BG"/>
        </w:rPr>
        <w:t xml:space="preserve">10 </w:t>
      </w:r>
      <w:r w:rsidRPr="00264E1A">
        <w:rPr>
          <w:i/>
          <w:iCs/>
          <w:lang w:val="en-US"/>
        </w:rPr>
        <w:t>kg</w:t>
      </w:r>
    </w:p>
    <w:p w14:paraId="6C579435" w14:textId="77777777" w:rsidR="00264E1A" w:rsidRPr="00264E1A" w:rsidRDefault="00264E1A" w:rsidP="00264E1A">
      <w:pPr>
        <w:pStyle w:val="ListParagraph"/>
        <w:numPr>
          <w:ilvl w:val="0"/>
          <w:numId w:val="25"/>
        </w:numPr>
        <w:rPr>
          <w:lang w:eastAsia="bg-BG"/>
        </w:rPr>
      </w:pPr>
      <w:r w:rsidRPr="00264E1A">
        <w:rPr>
          <w:lang w:eastAsia="bg-BG"/>
        </w:rPr>
        <w:t xml:space="preserve">Лечение на </w:t>
      </w:r>
      <w:proofErr w:type="spellStart"/>
      <w:r w:rsidRPr="00264E1A">
        <w:rPr>
          <w:lang w:eastAsia="bg-BG"/>
        </w:rPr>
        <w:t>рефлукс-езофагит</w:t>
      </w:r>
      <w:proofErr w:type="spellEnd"/>
    </w:p>
    <w:p w14:paraId="76DDA8B7" w14:textId="77777777" w:rsidR="00264E1A" w:rsidRPr="00264E1A" w:rsidRDefault="00264E1A" w:rsidP="00264E1A">
      <w:pPr>
        <w:pStyle w:val="ListParagraph"/>
        <w:numPr>
          <w:ilvl w:val="0"/>
          <w:numId w:val="25"/>
        </w:numPr>
        <w:rPr>
          <w:lang w:eastAsia="bg-BG"/>
        </w:rPr>
      </w:pPr>
      <w:r w:rsidRPr="00264E1A">
        <w:rPr>
          <w:lang w:eastAsia="bg-BG"/>
        </w:rPr>
        <w:t xml:space="preserve">Симптоматично лечение на парене зад гръдната кост и </w:t>
      </w:r>
      <w:proofErr w:type="spellStart"/>
      <w:r w:rsidRPr="00264E1A">
        <w:rPr>
          <w:lang w:eastAsia="bg-BG"/>
        </w:rPr>
        <w:t>рефлукс</w:t>
      </w:r>
      <w:proofErr w:type="spellEnd"/>
      <w:r w:rsidRPr="00264E1A">
        <w:rPr>
          <w:lang w:eastAsia="bg-BG"/>
        </w:rPr>
        <w:t xml:space="preserve"> на стомашна киселина при </w:t>
      </w:r>
      <w:proofErr w:type="spellStart"/>
      <w:r w:rsidRPr="00264E1A">
        <w:rPr>
          <w:lang w:eastAsia="bg-BG"/>
        </w:rPr>
        <w:t>гастроезофагеална</w:t>
      </w:r>
      <w:proofErr w:type="spellEnd"/>
      <w:r w:rsidRPr="00264E1A">
        <w:rPr>
          <w:lang w:eastAsia="bg-BG"/>
        </w:rPr>
        <w:t xml:space="preserve"> </w:t>
      </w:r>
      <w:proofErr w:type="spellStart"/>
      <w:r w:rsidRPr="00264E1A">
        <w:rPr>
          <w:lang w:eastAsia="bg-BG"/>
        </w:rPr>
        <w:t>рефлуксна</w:t>
      </w:r>
      <w:proofErr w:type="spellEnd"/>
      <w:r w:rsidRPr="00264E1A">
        <w:rPr>
          <w:lang w:eastAsia="bg-BG"/>
        </w:rPr>
        <w:t xml:space="preserve"> болест.</w:t>
      </w:r>
    </w:p>
    <w:p w14:paraId="0B352B60" w14:textId="77777777" w:rsidR="00264E1A" w:rsidRDefault="00264E1A" w:rsidP="00264E1A">
      <w:pPr>
        <w:rPr>
          <w:lang w:eastAsia="bg-BG"/>
        </w:rPr>
      </w:pPr>
    </w:p>
    <w:p w14:paraId="309E713D" w14:textId="1808230B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Деца и </w:t>
      </w:r>
      <w:proofErr w:type="spellStart"/>
      <w:r w:rsidRPr="00264E1A">
        <w:rPr>
          <w:lang w:eastAsia="bg-BG"/>
        </w:rPr>
        <w:t>юнощи</w:t>
      </w:r>
      <w:proofErr w:type="spellEnd"/>
      <w:r w:rsidRPr="00264E1A">
        <w:rPr>
          <w:lang w:eastAsia="bg-BG"/>
        </w:rPr>
        <w:t xml:space="preserve"> на възраст над 4 години</w:t>
      </w:r>
    </w:p>
    <w:p w14:paraId="3BB71DF1" w14:textId="496AF545" w:rsidR="00264E1A" w:rsidRPr="00264E1A" w:rsidRDefault="00264E1A" w:rsidP="00264E1A">
      <w:r w:rsidRPr="00264E1A">
        <w:rPr>
          <w:lang w:eastAsia="bg-BG"/>
        </w:rPr>
        <w:t xml:space="preserve">В комбинация с антибиотици - за лечение на </w:t>
      </w:r>
      <w:proofErr w:type="spellStart"/>
      <w:r w:rsidRPr="00264E1A">
        <w:rPr>
          <w:lang w:eastAsia="bg-BG"/>
        </w:rPr>
        <w:t>дуоденална</w:t>
      </w:r>
      <w:proofErr w:type="spellEnd"/>
      <w:r w:rsidRPr="00264E1A">
        <w:rPr>
          <w:lang w:eastAsia="bg-BG"/>
        </w:rPr>
        <w:t xml:space="preserve"> язва, причинена от </w:t>
      </w:r>
      <w:r w:rsidRPr="00264E1A">
        <w:rPr>
          <w:i/>
          <w:iCs/>
          <w:lang w:val="en-US"/>
        </w:rPr>
        <w:t>Helicobacter pylori.</w:t>
      </w:r>
    </w:p>
    <w:p w14:paraId="127F2AC9" w14:textId="11CDB534" w:rsidR="00FD69E8" w:rsidRDefault="002C50EE" w:rsidP="00AA23EC">
      <w:pPr>
        <w:pStyle w:val="Heading2"/>
      </w:pPr>
      <w:r>
        <w:lastRenderedPageBreak/>
        <w:t>4.2. Дозировка и начин на приложение</w:t>
      </w:r>
    </w:p>
    <w:p w14:paraId="5411A04C" w14:textId="77777777" w:rsidR="00264E1A" w:rsidRDefault="00264E1A" w:rsidP="00264E1A">
      <w:pPr>
        <w:rPr>
          <w:lang w:eastAsia="bg-BG"/>
        </w:rPr>
      </w:pPr>
    </w:p>
    <w:p w14:paraId="55CEEE55" w14:textId="362C1440" w:rsidR="00264E1A" w:rsidRPr="00264E1A" w:rsidRDefault="00264E1A" w:rsidP="00264E1A">
      <w:pPr>
        <w:pStyle w:val="Heading3"/>
        <w:rPr>
          <w:rFonts w:eastAsia="Times New Roman"/>
          <w:u w:val="single"/>
        </w:rPr>
      </w:pPr>
      <w:r w:rsidRPr="00264E1A">
        <w:rPr>
          <w:rFonts w:eastAsia="Times New Roman"/>
          <w:u w:val="single"/>
          <w:lang w:eastAsia="bg-BG"/>
        </w:rPr>
        <w:t>Дозировка</w:t>
      </w:r>
    </w:p>
    <w:p w14:paraId="2ADF2DFC" w14:textId="77777777" w:rsidR="00264E1A" w:rsidRDefault="00264E1A" w:rsidP="00264E1A">
      <w:pPr>
        <w:rPr>
          <w:lang w:eastAsia="bg-BG"/>
        </w:rPr>
      </w:pPr>
    </w:p>
    <w:p w14:paraId="156D48FF" w14:textId="4177EEB6" w:rsidR="00264E1A" w:rsidRPr="00264E1A" w:rsidRDefault="00264E1A" w:rsidP="00264E1A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264E1A">
        <w:rPr>
          <w:u w:val="single"/>
          <w:lang w:eastAsia="bg-BG"/>
        </w:rPr>
        <w:t>Дуоденална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бенигнена</w:t>
      </w:r>
      <w:proofErr w:type="spellEnd"/>
      <w:r w:rsidRPr="00264E1A">
        <w:rPr>
          <w:u w:val="single"/>
          <w:lang w:eastAsia="bg-BG"/>
        </w:rPr>
        <w:t xml:space="preserve"> стомашна язва. Обичайната доза е 20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дневно. При </w:t>
      </w:r>
      <w:proofErr w:type="spellStart"/>
      <w:r w:rsidRPr="00264E1A">
        <w:rPr>
          <w:u w:val="single"/>
          <w:lang w:eastAsia="bg-BG"/>
        </w:rPr>
        <w:t>дуоденална</w:t>
      </w:r>
      <w:proofErr w:type="spellEnd"/>
      <w:r w:rsidRPr="00264E1A">
        <w:rPr>
          <w:u w:val="single"/>
          <w:lang w:eastAsia="bg-BG"/>
        </w:rPr>
        <w:t xml:space="preserve"> язва се препоръчва 4 седмично лечение. При </w:t>
      </w:r>
      <w:proofErr w:type="spellStart"/>
      <w:r w:rsidRPr="00264E1A">
        <w:rPr>
          <w:u w:val="single"/>
          <w:lang w:eastAsia="bg-BG"/>
        </w:rPr>
        <w:t>бенигнена</w:t>
      </w:r>
      <w:proofErr w:type="spellEnd"/>
      <w:r w:rsidRPr="00264E1A">
        <w:rPr>
          <w:u w:val="single"/>
          <w:lang w:eastAsia="bg-BG"/>
        </w:rPr>
        <w:t xml:space="preserve"> стомашна язва - 8 седмици. При остри случаи дозата се увеличава на 40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дневно. За профилактика на рецидиви -10 </w:t>
      </w:r>
      <w:r w:rsidRPr="00264E1A">
        <w:rPr>
          <w:u w:val="single"/>
          <w:lang w:val="en-US"/>
        </w:rPr>
        <w:t>mg</w:t>
      </w:r>
      <w:r w:rsidRPr="00264E1A">
        <w:rPr>
          <w:lang w:val="en-US"/>
        </w:rPr>
        <w:t xml:space="preserve"> </w:t>
      </w:r>
      <w:proofErr w:type="spellStart"/>
      <w:r w:rsidRPr="00264E1A">
        <w:rPr>
          <w:lang w:eastAsia="bg-BG"/>
        </w:rPr>
        <w:t>дневноСтомашна</w:t>
      </w:r>
      <w:proofErr w:type="spellEnd"/>
      <w:r w:rsidRPr="00264E1A">
        <w:rPr>
          <w:lang w:eastAsia="bg-BG"/>
        </w:rPr>
        <w:t xml:space="preserve">. </w:t>
      </w:r>
      <w:proofErr w:type="spellStart"/>
      <w:r w:rsidRPr="00264E1A">
        <w:rPr>
          <w:lang w:eastAsia="bg-BG"/>
        </w:rPr>
        <w:t>дуоденална</w:t>
      </w:r>
      <w:proofErr w:type="spellEnd"/>
      <w:r w:rsidRPr="00264E1A">
        <w:rPr>
          <w:lang w:eastAsia="bg-BG"/>
        </w:rPr>
        <w:t xml:space="preserve"> язва и </w:t>
      </w:r>
      <w:proofErr w:type="spellStart"/>
      <w:r w:rsidRPr="00264E1A">
        <w:rPr>
          <w:lang w:eastAsia="bg-BG"/>
        </w:rPr>
        <w:t>гастродуоденални</w:t>
      </w:r>
      <w:proofErr w:type="spellEnd"/>
      <w:r w:rsidRPr="00264E1A">
        <w:rPr>
          <w:lang w:eastAsia="bg-BG"/>
        </w:rPr>
        <w:t xml:space="preserve"> ерозии при лечение с НСПВС. Обичайната</w:t>
      </w:r>
      <w:r w:rsidRPr="00264E1A">
        <w:rPr>
          <w:lang w:val="en-US"/>
        </w:rPr>
        <w:t xml:space="preserve"> </w:t>
      </w:r>
      <w:r w:rsidRPr="00264E1A">
        <w:rPr>
          <w:lang w:eastAsia="bg-BG"/>
        </w:rPr>
        <w:t xml:space="preserve">доза е 20 </w:t>
      </w:r>
      <w:r w:rsidRPr="00264E1A">
        <w:rPr>
          <w:lang w:val="en-US"/>
        </w:rPr>
        <w:t>mg</w:t>
      </w:r>
      <w:r>
        <w:t xml:space="preserve"> </w:t>
      </w:r>
      <w:r w:rsidRPr="00264E1A">
        <w:rPr>
          <w:lang w:eastAsia="bg-BG"/>
        </w:rPr>
        <w:t>дневно, което обикновено води до бързо отзвучаване на симптомите</w:t>
      </w:r>
      <w:r w:rsidRPr="00264E1A">
        <w:rPr>
          <w:lang w:val="en-US"/>
        </w:rPr>
        <w:t xml:space="preserve"> </w:t>
      </w:r>
      <w:r w:rsidRPr="00264E1A">
        <w:rPr>
          <w:lang w:eastAsia="bg-BG"/>
        </w:rPr>
        <w:t>и излекуване в срок от 4 седмици. Ако това не се постигне лечението да продължи още 4 седмици. За профилактика на</w:t>
      </w:r>
      <w:r>
        <w:rPr>
          <w:lang w:eastAsia="bg-BG"/>
        </w:rPr>
        <w:t xml:space="preserve"> </w:t>
      </w:r>
      <w:r w:rsidRPr="00264E1A">
        <w:rPr>
          <w:lang w:eastAsia="bg-BG"/>
        </w:rPr>
        <w:t xml:space="preserve">рецидив се препоръчва доза от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дневно.</w:t>
      </w:r>
    </w:p>
    <w:p w14:paraId="7B88BBF3" w14:textId="77777777" w:rsidR="00264E1A" w:rsidRDefault="00264E1A" w:rsidP="00264E1A">
      <w:pPr>
        <w:rPr>
          <w:lang w:eastAsia="bg-BG"/>
        </w:rPr>
      </w:pPr>
    </w:p>
    <w:p w14:paraId="1BAD4FA1" w14:textId="433F58E1" w:rsidR="00264E1A" w:rsidRDefault="00264E1A" w:rsidP="00264E1A">
      <w:pPr>
        <w:pStyle w:val="ListParagraph"/>
        <w:numPr>
          <w:ilvl w:val="0"/>
          <w:numId w:val="26"/>
        </w:numPr>
      </w:pPr>
      <w:proofErr w:type="spellStart"/>
      <w:r w:rsidRPr="00264E1A">
        <w:rPr>
          <w:lang w:eastAsia="bg-BG"/>
        </w:rPr>
        <w:t>Езофагеална</w:t>
      </w:r>
      <w:proofErr w:type="spellEnd"/>
      <w:r w:rsidRPr="00264E1A">
        <w:rPr>
          <w:lang w:eastAsia="bg-BG"/>
        </w:rPr>
        <w:t xml:space="preserve"> </w:t>
      </w:r>
      <w:proofErr w:type="spellStart"/>
      <w:r w:rsidRPr="00264E1A">
        <w:rPr>
          <w:lang w:eastAsia="bg-BG"/>
        </w:rPr>
        <w:t>рефлуксна</w:t>
      </w:r>
      <w:proofErr w:type="spellEnd"/>
      <w:r w:rsidRPr="00264E1A">
        <w:rPr>
          <w:lang w:eastAsia="bg-BG"/>
        </w:rPr>
        <w:t xml:space="preserve"> болест, включително </w:t>
      </w:r>
      <w:proofErr w:type="spellStart"/>
      <w:r w:rsidRPr="00264E1A">
        <w:rPr>
          <w:lang w:eastAsia="bg-BG"/>
        </w:rPr>
        <w:t>рефлукс-езофагит</w:t>
      </w:r>
      <w:proofErr w:type="spellEnd"/>
      <w:r w:rsidRPr="00264E1A">
        <w:rPr>
          <w:lang w:eastAsia="bg-BG"/>
        </w:rPr>
        <w:t>.</w:t>
      </w:r>
    </w:p>
    <w:p w14:paraId="3B3AA145" w14:textId="77777777" w:rsidR="00264E1A" w:rsidRDefault="00264E1A" w:rsidP="00264E1A">
      <w:pPr>
        <w:rPr>
          <w:lang w:eastAsia="bg-BG"/>
        </w:rPr>
      </w:pPr>
    </w:p>
    <w:p w14:paraId="03C396CD" w14:textId="0A56B3C1" w:rsidR="00264E1A" w:rsidRPr="00264E1A" w:rsidRDefault="00264E1A" w:rsidP="00264E1A">
      <w:pPr>
        <w:pStyle w:val="ListParagraph"/>
        <w:numPr>
          <w:ilvl w:val="0"/>
          <w:numId w:val="26"/>
        </w:numPr>
        <w:rPr>
          <w:lang w:eastAsia="bg-BG"/>
        </w:rPr>
      </w:pPr>
      <w:r w:rsidRPr="00264E1A">
        <w:rPr>
          <w:lang w:eastAsia="bg-BG"/>
        </w:rPr>
        <w:t xml:space="preserve">Обичайната доза е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дневно. Повечето пациента с </w:t>
      </w:r>
      <w:proofErr w:type="spellStart"/>
      <w:r w:rsidRPr="00264E1A">
        <w:rPr>
          <w:lang w:eastAsia="bg-BG"/>
        </w:rPr>
        <w:t>рефлукс-езофагит</w:t>
      </w:r>
      <w:proofErr w:type="spellEnd"/>
      <w:r w:rsidRPr="00264E1A">
        <w:rPr>
          <w:lang w:eastAsia="bg-BG"/>
        </w:rPr>
        <w:t xml:space="preserve"> се излекуват след 4 седмично лечение, а облекчаване на симптомите се постига бързо. При пациентите, които все още не са излекувани, лечението продължава още 4-8 седмици. При пациенти, които не са се поддали на друго лечение, терапията се провежда с 40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дневно в продължение на 8 седмици.</w:t>
      </w:r>
    </w:p>
    <w:p w14:paraId="017CE3E2" w14:textId="77777777" w:rsidR="00264E1A" w:rsidRPr="00264E1A" w:rsidRDefault="00264E1A" w:rsidP="00264E1A">
      <w:pPr>
        <w:pStyle w:val="ListParagraph"/>
        <w:numPr>
          <w:ilvl w:val="0"/>
          <w:numId w:val="26"/>
        </w:numPr>
        <w:rPr>
          <w:lang w:eastAsia="bg-BG"/>
        </w:rPr>
      </w:pPr>
      <w:r w:rsidRPr="00264E1A">
        <w:rPr>
          <w:lang w:eastAsia="bg-BG"/>
        </w:rPr>
        <w:t xml:space="preserve">Киселинно обусловена диспепсия. Обичайната доза е 10 до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дневно в продължение на 2-4 седмици в зависимост от симптомите.</w:t>
      </w:r>
    </w:p>
    <w:p w14:paraId="2F3F0B6D" w14:textId="77777777" w:rsidR="00264E1A" w:rsidRPr="00264E1A" w:rsidRDefault="00264E1A" w:rsidP="00264E1A">
      <w:pPr>
        <w:pStyle w:val="ListParagraph"/>
        <w:numPr>
          <w:ilvl w:val="0"/>
          <w:numId w:val="26"/>
        </w:numPr>
        <w:rPr>
          <w:lang w:eastAsia="bg-BG"/>
        </w:rPr>
      </w:pPr>
      <w:proofErr w:type="spellStart"/>
      <w:r w:rsidRPr="00264E1A">
        <w:rPr>
          <w:lang w:eastAsia="bg-BG"/>
        </w:rPr>
        <w:t>Ерадикация</w:t>
      </w:r>
      <w:proofErr w:type="spellEnd"/>
      <w:r w:rsidRPr="00264E1A">
        <w:rPr>
          <w:lang w:eastAsia="bg-BG"/>
        </w:rPr>
        <w:t xml:space="preserve"> на </w:t>
      </w:r>
      <w:r w:rsidRPr="00264E1A">
        <w:rPr>
          <w:lang w:val="en-US"/>
        </w:rPr>
        <w:t xml:space="preserve">Helicobacter pylori </w:t>
      </w:r>
      <w:r w:rsidRPr="00264E1A">
        <w:rPr>
          <w:lang w:eastAsia="bg-BG"/>
        </w:rPr>
        <w:t xml:space="preserve">при </w:t>
      </w:r>
      <w:proofErr w:type="spellStart"/>
      <w:r w:rsidRPr="00264E1A">
        <w:rPr>
          <w:lang w:eastAsia="bg-BG"/>
        </w:rPr>
        <w:t>пептична</w:t>
      </w:r>
      <w:proofErr w:type="spellEnd"/>
      <w:r w:rsidRPr="00264E1A">
        <w:rPr>
          <w:lang w:eastAsia="bg-BG"/>
        </w:rPr>
        <w:t xml:space="preserve"> язвена болест. Прави се курс с 40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веднъж на ден или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два пъти дневно в комбинация с антибиотици.</w:t>
      </w:r>
    </w:p>
    <w:p w14:paraId="5E3FDE12" w14:textId="77777777" w:rsidR="00264E1A" w:rsidRDefault="00264E1A" w:rsidP="00264E1A">
      <w:pPr>
        <w:rPr>
          <w:lang w:eastAsia="bg-BG"/>
        </w:rPr>
      </w:pPr>
    </w:p>
    <w:p w14:paraId="20A62287" w14:textId="7C5EDC8C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Тройна комбинация за лечение на </w:t>
      </w:r>
      <w:proofErr w:type="spellStart"/>
      <w:r w:rsidRPr="00264E1A">
        <w:rPr>
          <w:u w:val="single"/>
          <w:lang w:eastAsia="bg-BG"/>
        </w:rPr>
        <w:t>дуоденална</w:t>
      </w:r>
      <w:proofErr w:type="spellEnd"/>
      <w:r w:rsidRPr="00264E1A">
        <w:rPr>
          <w:u w:val="single"/>
          <w:lang w:eastAsia="bg-BG"/>
        </w:rPr>
        <w:t xml:space="preserve"> язва:</w:t>
      </w:r>
    </w:p>
    <w:p w14:paraId="2087506D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2 капсули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+ 3 пъти дневно по 500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Амоксицилин</w:t>
      </w:r>
      <w:proofErr w:type="spellEnd"/>
      <w:r w:rsidRPr="00264E1A">
        <w:rPr>
          <w:lang w:eastAsia="bg-BG"/>
        </w:rPr>
        <w:t xml:space="preserve"> + 3 пъти дневно по 400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Метронидазол</w:t>
      </w:r>
      <w:proofErr w:type="spellEnd"/>
      <w:r w:rsidRPr="00264E1A">
        <w:rPr>
          <w:lang w:eastAsia="bg-BG"/>
        </w:rPr>
        <w:t xml:space="preserve"> в продължение на 1 седмица или:</w:t>
      </w:r>
    </w:p>
    <w:p w14:paraId="02252A59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2 капсули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+ 2 пъти дневно по 250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Кларитромицин</w:t>
      </w:r>
      <w:proofErr w:type="spellEnd"/>
      <w:r w:rsidRPr="00264E1A">
        <w:rPr>
          <w:lang w:eastAsia="bg-BG"/>
        </w:rPr>
        <w:t xml:space="preserve"> + 2 пъти дневно по 400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Метронидазол</w:t>
      </w:r>
      <w:proofErr w:type="spellEnd"/>
      <w:r w:rsidRPr="00264E1A">
        <w:rPr>
          <w:lang w:eastAsia="bg-BG"/>
        </w:rPr>
        <w:t xml:space="preserve"> в продължение на 1 седмица или:</w:t>
      </w:r>
    </w:p>
    <w:p w14:paraId="66D651C3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2 капсули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+ 2 пъти дневно по 1000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Амоксицилин</w:t>
      </w:r>
      <w:proofErr w:type="spellEnd"/>
      <w:r w:rsidRPr="00264E1A">
        <w:rPr>
          <w:lang w:eastAsia="bg-BG"/>
        </w:rPr>
        <w:t xml:space="preserve"> + 2 пъти по 500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Кларитромицин</w:t>
      </w:r>
      <w:proofErr w:type="spellEnd"/>
      <w:r w:rsidRPr="00264E1A">
        <w:rPr>
          <w:lang w:eastAsia="bg-BG"/>
        </w:rPr>
        <w:t xml:space="preserve"> в продължение на 1 седмица.</w:t>
      </w:r>
    </w:p>
    <w:p w14:paraId="0789056E" w14:textId="77777777" w:rsidR="00264E1A" w:rsidRDefault="00264E1A" w:rsidP="00264E1A">
      <w:pPr>
        <w:rPr>
          <w:u w:val="single"/>
          <w:lang w:eastAsia="bg-BG"/>
        </w:rPr>
      </w:pPr>
    </w:p>
    <w:p w14:paraId="470B9B98" w14:textId="53373214" w:rsidR="00264E1A" w:rsidRPr="00264E1A" w:rsidRDefault="00264E1A" w:rsidP="00264E1A">
      <w:pPr>
        <w:rPr>
          <w:sz w:val="24"/>
          <w:szCs w:val="24"/>
        </w:rPr>
      </w:pPr>
      <w:r w:rsidRPr="00264E1A">
        <w:rPr>
          <w:u w:val="single"/>
          <w:lang w:eastAsia="bg-BG"/>
        </w:rPr>
        <w:t xml:space="preserve">Двойна комбинация за лечение на </w:t>
      </w:r>
      <w:proofErr w:type="spellStart"/>
      <w:r w:rsidRPr="00264E1A">
        <w:rPr>
          <w:u w:val="single"/>
          <w:lang w:eastAsia="bg-BG"/>
        </w:rPr>
        <w:t>дуоденална</w:t>
      </w:r>
      <w:proofErr w:type="spellEnd"/>
      <w:r w:rsidRPr="00264E1A">
        <w:rPr>
          <w:u w:val="single"/>
          <w:lang w:eastAsia="bg-BG"/>
        </w:rPr>
        <w:t xml:space="preserve"> язва</w:t>
      </w:r>
      <w:r w:rsidRPr="00264E1A">
        <w:rPr>
          <w:lang w:eastAsia="bg-BG"/>
        </w:rPr>
        <w:t>:</w:t>
      </w:r>
    </w:p>
    <w:p w14:paraId="235CDEAD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2 капсули х 20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+ 2 пъти по 750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до 1000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Амоксицилин</w:t>
      </w:r>
      <w:proofErr w:type="spellEnd"/>
      <w:r w:rsidRPr="00264E1A">
        <w:rPr>
          <w:lang w:eastAsia="bg-BG"/>
        </w:rPr>
        <w:t xml:space="preserve"> в продължение на 2 седмици</w:t>
      </w:r>
    </w:p>
    <w:p w14:paraId="3CD75F20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2 капсули х 20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+ </w:t>
      </w:r>
      <w:proofErr w:type="spellStart"/>
      <w:r w:rsidRPr="00264E1A">
        <w:rPr>
          <w:lang w:eastAsia="bg-BG"/>
        </w:rPr>
        <w:t>Зпъти</w:t>
      </w:r>
      <w:proofErr w:type="spellEnd"/>
      <w:r w:rsidRPr="00264E1A">
        <w:rPr>
          <w:lang w:eastAsia="bg-BG"/>
        </w:rPr>
        <w:t xml:space="preserve"> по 500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Кларитромицин</w:t>
      </w:r>
      <w:proofErr w:type="spellEnd"/>
      <w:r w:rsidRPr="00264E1A">
        <w:rPr>
          <w:lang w:eastAsia="bg-BG"/>
        </w:rPr>
        <w:t xml:space="preserve"> в продължение на 3 седмици</w:t>
      </w:r>
    </w:p>
    <w:p w14:paraId="1A5EBEB0" w14:textId="77777777" w:rsidR="00264E1A" w:rsidRDefault="00264E1A" w:rsidP="00264E1A">
      <w:pPr>
        <w:rPr>
          <w:u w:val="single"/>
          <w:lang w:eastAsia="bg-BG"/>
        </w:rPr>
      </w:pPr>
    </w:p>
    <w:p w14:paraId="6B1B867F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u w:val="single"/>
          <w:lang w:eastAsia="bg-BG"/>
        </w:rPr>
        <w:t>Двойна комбинация за лечение на стомашна язва:</w:t>
      </w:r>
    </w:p>
    <w:p w14:paraId="35BDF4DA" w14:textId="02329F72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2 капсули х 20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+ 2 пъти по 750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до 1000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Амоксицилин</w:t>
      </w:r>
      <w:proofErr w:type="spellEnd"/>
      <w:r w:rsidRPr="00264E1A">
        <w:rPr>
          <w:lang w:eastAsia="bg-BG"/>
        </w:rPr>
        <w:t xml:space="preserve"> в продължение на 2 седмици</w:t>
      </w:r>
    </w:p>
    <w:p w14:paraId="2DC9C92E" w14:textId="77777777" w:rsidR="00264E1A" w:rsidRDefault="00264E1A" w:rsidP="00264E1A">
      <w:pPr>
        <w:rPr>
          <w:i/>
          <w:iCs/>
          <w:u w:val="single"/>
          <w:lang w:eastAsia="bg-BG"/>
        </w:rPr>
      </w:pPr>
    </w:p>
    <w:p w14:paraId="53672656" w14:textId="6EE156A7" w:rsidR="00264E1A" w:rsidRPr="00264E1A" w:rsidRDefault="00264E1A" w:rsidP="00264E1A">
      <w:pPr>
        <w:pStyle w:val="ListParagraph"/>
        <w:numPr>
          <w:ilvl w:val="0"/>
          <w:numId w:val="28"/>
        </w:numPr>
        <w:rPr>
          <w:i/>
          <w:iCs/>
          <w:u w:val="single"/>
          <w:lang w:eastAsia="bg-BG"/>
        </w:rPr>
      </w:pPr>
      <w:r w:rsidRPr="00264E1A">
        <w:rPr>
          <w:i/>
          <w:iCs/>
          <w:u w:val="single"/>
          <w:lang w:eastAsia="bg-BG"/>
        </w:rPr>
        <w:t xml:space="preserve">Синдром на </w:t>
      </w:r>
      <w:r w:rsidRPr="00264E1A">
        <w:rPr>
          <w:i/>
          <w:iCs/>
          <w:u w:val="single"/>
          <w:lang w:val="en-US"/>
        </w:rPr>
        <w:t xml:space="preserve">Zollinger </w:t>
      </w:r>
      <w:r w:rsidRPr="00264E1A">
        <w:rPr>
          <w:i/>
          <w:iCs/>
          <w:u w:val="single"/>
          <w:lang w:eastAsia="bg-BG"/>
        </w:rPr>
        <w:t xml:space="preserve">- </w:t>
      </w:r>
      <w:r w:rsidRPr="00264E1A">
        <w:rPr>
          <w:i/>
          <w:iCs/>
          <w:u w:val="single"/>
          <w:lang w:val="en-US"/>
        </w:rPr>
        <w:t>Ellison,</w:t>
      </w:r>
      <w:r w:rsidRPr="00264E1A">
        <w:rPr>
          <w:lang w:val="en-US"/>
        </w:rPr>
        <w:t xml:space="preserve"> </w:t>
      </w:r>
      <w:r w:rsidRPr="00264E1A">
        <w:rPr>
          <w:lang w:eastAsia="bg-BG"/>
        </w:rPr>
        <w:t xml:space="preserve">Обичайна доза 60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дневно. Лечението трябва да бъде индивидуално и с продължителност в зависимост от клиничното протичане. Повечето пациенти, </w:t>
      </w:r>
      <w:proofErr w:type="spellStart"/>
      <w:r w:rsidRPr="00264E1A">
        <w:rPr>
          <w:lang w:eastAsia="bg-BG"/>
        </w:rPr>
        <w:t>неповлияли</w:t>
      </w:r>
      <w:proofErr w:type="spellEnd"/>
      <w:r w:rsidRPr="00264E1A">
        <w:rPr>
          <w:lang w:eastAsia="bg-BG"/>
        </w:rPr>
        <w:t xml:space="preserve"> се от друга терапия се контролират ефективно с</w:t>
      </w:r>
      <w:r>
        <w:rPr>
          <w:lang w:eastAsia="bg-BG"/>
        </w:rPr>
        <w:t xml:space="preserve"> </w:t>
      </w:r>
      <w:proofErr w:type="spellStart"/>
      <w:r w:rsidRPr="00264E1A">
        <w:rPr>
          <w:lang w:eastAsia="bg-BG"/>
        </w:rPr>
        <w:lastRenderedPageBreak/>
        <w:t>Биопразол</w:t>
      </w:r>
      <w:proofErr w:type="spellEnd"/>
      <w:r w:rsidRPr="00264E1A">
        <w:rPr>
          <w:lang w:eastAsia="bg-BG"/>
        </w:rPr>
        <w:t xml:space="preserve"> в доза от 20 до 120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дневно. При доза, по-голяма от 80 </w:t>
      </w:r>
      <w:r w:rsidRPr="00264E1A">
        <w:rPr>
          <w:lang w:val="en-US"/>
        </w:rPr>
        <w:t xml:space="preserve">mg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>, приемът трябва да е двукратен.</w:t>
      </w:r>
    </w:p>
    <w:p w14:paraId="2F53331B" w14:textId="77777777" w:rsidR="00264E1A" w:rsidRDefault="00264E1A" w:rsidP="00264E1A">
      <w:pPr>
        <w:rPr>
          <w:lang w:eastAsia="bg-BG"/>
        </w:rPr>
      </w:pPr>
    </w:p>
    <w:p w14:paraId="37369499" w14:textId="55C63103" w:rsidR="00264E1A" w:rsidRPr="00264E1A" w:rsidRDefault="00264E1A" w:rsidP="00264E1A">
      <w:pPr>
        <w:pStyle w:val="ListParagraph"/>
        <w:numPr>
          <w:ilvl w:val="0"/>
          <w:numId w:val="28"/>
        </w:numPr>
        <w:rPr>
          <w:lang w:eastAsia="bg-BG"/>
        </w:rPr>
      </w:pPr>
      <w:proofErr w:type="spellStart"/>
      <w:r w:rsidRPr="00264E1A">
        <w:rPr>
          <w:lang w:eastAsia="bg-BG"/>
        </w:rPr>
        <w:t>Протективно</w:t>
      </w:r>
      <w:proofErr w:type="spellEnd"/>
      <w:r w:rsidRPr="00264E1A">
        <w:rPr>
          <w:lang w:eastAsia="bg-BG"/>
        </w:rPr>
        <w:t xml:space="preserve"> при риск от аспирация на кисело стомашно съдържимо. Препоръчва се 40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вечерта преди операцията и 40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2 до 6 часа непосредствено преди операцията.</w:t>
      </w:r>
    </w:p>
    <w:p w14:paraId="3D88069C" w14:textId="77777777" w:rsidR="00264E1A" w:rsidRDefault="00264E1A" w:rsidP="00264E1A">
      <w:pPr>
        <w:rPr>
          <w:i/>
          <w:iCs/>
          <w:lang w:eastAsia="bg-BG"/>
        </w:rPr>
      </w:pPr>
    </w:p>
    <w:p w14:paraId="43EF85E0" w14:textId="00EDCAC1" w:rsidR="00264E1A" w:rsidRPr="00264E1A" w:rsidRDefault="00264E1A" w:rsidP="00264E1A">
      <w:pPr>
        <w:rPr>
          <w:sz w:val="24"/>
          <w:szCs w:val="24"/>
        </w:rPr>
      </w:pPr>
      <w:r w:rsidRPr="00264E1A">
        <w:rPr>
          <w:i/>
          <w:iCs/>
          <w:lang w:eastAsia="bg-BG"/>
        </w:rPr>
        <w:t>Педиатрична популация</w:t>
      </w:r>
    </w:p>
    <w:p w14:paraId="0DE10993" w14:textId="77777777" w:rsidR="00264E1A" w:rsidRDefault="00264E1A" w:rsidP="00264E1A">
      <w:pPr>
        <w:rPr>
          <w:i/>
          <w:iCs/>
          <w:lang w:eastAsia="bg-BG"/>
        </w:rPr>
      </w:pPr>
    </w:p>
    <w:p w14:paraId="56EFC97A" w14:textId="267266DE" w:rsidR="00264E1A" w:rsidRPr="00264E1A" w:rsidRDefault="00264E1A" w:rsidP="00264E1A">
      <w:pPr>
        <w:rPr>
          <w:sz w:val="24"/>
          <w:szCs w:val="24"/>
        </w:rPr>
      </w:pPr>
      <w:r w:rsidRPr="00264E1A">
        <w:rPr>
          <w:i/>
          <w:iCs/>
          <w:lang w:eastAsia="bg-BG"/>
        </w:rPr>
        <w:t xml:space="preserve">Деца на възраст над 1 година и с тегло </w:t>
      </w:r>
      <w:r w:rsidRPr="00264E1A">
        <w:rPr>
          <w:i/>
          <w:iCs/>
          <w:lang w:val="en-US"/>
        </w:rPr>
        <w:t>≥</w:t>
      </w:r>
      <w:r w:rsidRPr="00264E1A">
        <w:rPr>
          <w:i/>
          <w:iCs/>
          <w:lang w:eastAsia="bg-BG"/>
        </w:rPr>
        <w:t xml:space="preserve">10 </w:t>
      </w:r>
      <w:r w:rsidRPr="00264E1A">
        <w:rPr>
          <w:i/>
          <w:iCs/>
          <w:lang w:val="en-US"/>
        </w:rPr>
        <w:t>kg</w:t>
      </w:r>
    </w:p>
    <w:p w14:paraId="481124C3" w14:textId="77777777" w:rsidR="00264E1A" w:rsidRPr="00264E1A" w:rsidRDefault="00264E1A" w:rsidP="00264E1A">
      <w:pPr>
        <w:pStyle w:val="ListParagraph"/>
        <w:numPr>
          <w:ilvl w:val="0"/>
          <w:numId w:val="29"/>
        </w:numPr>
        <w:rPr>
          <w:i/>
          <w:iCs/>
          <w:lang w:eastAsia="bg-BG"/>
        </w:rPr>
      </w:pPr>
      <w:r w:rsidRPr="00264E1A">
        <w:rPr>
          <w:i/>
          <w:iCs/>
          <w:lang w:eastAsia="bg-BG"/>
        </w:rPr>
        <w:t xml:space="preserve">Лечение на </w:t>
      </w:r>
      <w:proofErr w:type="spellStart"/>
      <w:r w:rsidRPr="00264E1A">
        <w:rPr>
          <w:i/>
          <w:iCs/>
          <w:lang w:eastAsia="bg-BG"/>
        </w:rPr>
        <w:t>рефлукс-езофагит</w:t>
      </w:r>
      <w:proofErr w:type="spellEnd"/>
    </w:p>
    <w:p w14:paraId="3B578CCA" w14:textId="77777777" w:rsidR="00264E1A" w:rsidRDefault="00264E1A" w:rsidP="00264E1A">
      <w:pPr>
        <w:pStyle w:val="ListParagraph"/>
        <w:numPr>
          <w:ilvl w:val="0"/>
          <w:numId w:val="29"/>
        </w:numPr>
        <w:rPr>
          <w:i/>
          <w:iCs/>
          <w:lang w:eastAsia="bg-BG"/>
        </w:rPr>
      </w:pPr>
      <w:r w:rsidRPr="00264E1A">
        <w:rPr>
          <w:i/>
          <w:iCs/>
          <w:lang w:eastAsia="bg-BG"/>
        </w:rPr>
        <w:t xml:space="preserve">Симптоматично лечение на парене зад гръдната кост и </w:t>
      </w:r>
      <w:proofErr w:type="spellStart"/>
      <w:r w:rsidRPr="00264E1A">
        <w:rPr>
          <w:i/>
          <w:iCs/>
          <w:lang w:eastAsia="bg-BG"/>
        </w:rPr>
        <w:t>рефлукс</w:t>
      </w:r>
      <w:proofErr w:type="spellEnd"/>
      <w:r w:rsidRPr="00264E1A">
        <w:rPr>
          <w:i/>
          <w:iCs/>
          <w:lang w:eastAsia="bg-BG"/>
        </w:rPr>
        <w:t xml:space="preserve"> на стомашна киселина при </w:t>
      </w:r>
      <w:proofErr w:type="spellStart"/>
      <w:r w:rsidRPr="00264E1A">
        <w:rPr>
          <w:i/>
          <w:iCs/>
          <w:lang w:eastAsia="bg-BG"/>
        </w:rPr>
        <w:t>гастроезофагеална</w:t>
      </w:r>
      <w:proofErr w:type="spellEnd"/>
      <w:r w:rsidRPr="00264E1A">
        <w:rPr>
          <w:i/>
          <w:iCs/>
          <w:lang w:eastAsia="bg-BG"/>
        </w:rPr>
        <w:t xml:space="preserve"> </w:t>
      </w:r>
      <w:proofErr w:type="spellStart"/>
      <w:r w:rsidRPr="00264E1A">
        <w:rPr>
          <w:i/>
          <w:iCs/>
          <w:lang w:eastAsia="bg-BG"/>
        </w:rPr>
        <w:t>рефлуксна</w:t>
      </w:r>
      <w:proofErr w:type="spellEnd"/>
      <w:r w:rsidRPr="00264E1A">
        <w:rPr>
          <w:i/>
          <w:iCs/>
          <w:lang w:eastAsia="bg-BG"/>
        </w:rPr>
        <w:t xml:space="preserve"> болест.</w:t>
      </w:r>
    </w:p>
    <w:p w14:paraId="5D9D3E06" w14:textId="77777777" w:rsidR="00264E1A" w:rsidRDefault="00264E1A" w:rsidP="00264E1A">
      <w:pPr>
        <w:rPr>
          <w:i/>
          <w:iCs/>
          <w:lang w:eastAsia="bg-BG"/>
        </w:rPr>
      </w:pPr>
    </w:p>
    <w:p w14:paraId="54BC25B4" w14:textId="74615B12" w:rsidR="00264E1A" w:rsidRDefault="00264E1A" w:rsidP="00264E1A">
      <w:pPr>
        <w:rPr>
          <w:lang w:eastAsia="bg-BG"/>
        </w:rPr>
      </w:pPr>
      <w:r w:rsidRPr="00264E1A">
        <w:rPr>
          <w:i/>
          <w:iCs/>
          <w:lang w:eastAsia="bg-BG"/>
        </w:rPr>
        <w:t xml:space="preserve"> </w:t>
      </w:r>
      <w:r w:rsidRPr="00264E1A">
        <w:rPr>
          <w:lang w:eastAsia="bg-BG"/>
        </w:rPr>
        <w:t>Препоръчителните дозировки са,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4E1A" w14:paraId="3A67506C" w14:textId="77777777" w:rsidTr="00264E1A">
        <w:tc>
          <w:tcPr>
            <w:tcW w:w="3192" w:type="dxa"/>
          </w:tcPr>
          <w:p w14:paraId="7A46051B" w14:textId="592FCA2F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t>Възраст</w:t>
            </w:r>
          </w:p>
        </w:tc>
        <w:tc>
          <w:tcPr>
            <w:tcW w:w="3192" w:type="dxa"/>
          </w:tcPr>
          <w:p w14:paraId="6B3ED969" w14:textId="196C403F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t>Телесно тегло</w:t>
            </w:r>
          </w:p>
        </w:tc>
        <w:tc>
          <w:tcPr>
            <w:tcW w:w="3192" w:type="dxa"/>
          </w:tcPr>
          <w:p w14:paraId="6527940B" w14:textId="68E97C30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t>дозировка</w:t>
            </w:r>
          </w:p>
        </w:tc>
      </w:tr>
      <w:tr w:rsidR="00264E1A" w14:paraId="2A3B2067" w14:textId="77777777" w:rsidTr="00264E1A">
        <w:tc>
          <w:tcPr>
            <w:tcW w:w="3192" w:type="dxa"/>
          </w:tcPr>
          <w:p w14:paraId="288524B0" w14:textId="604E2C54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rPr>
                <w:lang w:val="en-US"/>
              </w:rPr>
              <w:t>≥</w:t>
            </w:r>
            <w:r>
              <w:t xml:space="preserve"> 1 година</w:t>
            </w:r>
          </w:p>
        </w:tc>
        <w:tc>
          <w:tcPr>
            <w:tcW w:w="3192" w:type="dxa"/>
          </w:tcPr>
          <w:p w14:paraId="16DD4B88" w14:textId="32078C20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t xml:space="preserve">10-20 </w:t>
            </w:r>
            <w:r>
              <w:rPr>
                <w:lang w:val="en-US"/>
              </w:rPr>
              <w:t>kg</w:t>
            </w:r>
          </w:p>
        </w:tc>
        <w:tc>
          <w:tcPr>
            <w:tcW w:w="3192" w:type="dxa"/>
          </w:tcPr>
          <w:p w14:paraId="42A760D8" w14:textId="669779E5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t xml:space="preserve">10 </w:t>
            </w:r>
            <w:r>
              <w:rPr>
                <w:lang w:val="en-US"/>
              </w:rPr>
              <w:t xml:space="preserve">mg </w:t>
            </w:r>
            <w:r>
              <w:t xml:space="preserve">еднократно дневно. При нужда дозата може да се увеличи до 20 </w:t>
            </w:r>
            <w:r>
              <w:rPr>
                <w:lang w:val="en-US"/>
              </w:rPr>
              <w:t xml:space="preserve">mg </w:t>
            </w:r>
            <w:r>
              <w:t>еднократно дневно.</w:t>
            </w:r>
          </w:p>
        </w:tc>
      </w:tr>
      <w:tr w:rsidR="00264E1A" w14:paraId="4695CC0C" w14:textId="77777777" w:rsidTr="00264E1A">
        <w:tc>
          <w:tcPr>
            <w:tcW w:w="3192" w:type="dxa"/>
          </w:tcPr>
          <w:p w14:paraId="3956D268" w14:textId="5C2C30F6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rPr>
                <w:lang w:val="en-US"/>
              </w:rPr>
              <w:t>≥</w:t>
            </w:r>
            <w:r>
              <w:t>2 години</w:t>
            </w:r>
          </w:p>
        </w:tc>
        <w:tc>
          <w:tcPr>
            <w:tcW w:w="3192" w:type="dxa"/>
          </w:tcPr>
          <w:p w14:paraId="52D2A218" w14:textId="265F475A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t xml:space="preserve">&gt; 20 </w:t>
            </w:r>
            <w:r>
              <w:rPr>
                <w:lang w:val="en-US"/>
              </w:rPr>
              <w:t>kg</w:t>
            </w:r>
          </w:p>
        </w:tc>
        <w:tc>
          <w:tcPr>
            <w:tcW w:w="3192" w:type="dxa"/>
          </w:tcPr>
          <w:p w14:paraId="75A1430A" w14:textId="30411672" w:rsidR="00264E1A" w:rsidRDefault="00264E1A" w:rsidP="00264E1A">
            <w:pPr>
              <w:rPr>
                <w:i/>
                <w:iCs/>
                <w:lang w:eastAsia="bg-BG"/>
              </w:rPr>
            </w:pPr>
            <w:r>
              <w:t xml:space="preserve">20 </w:t>
            </w:r>
            <w:r>
              <w:rPr>
                <w:lang w:val="en-US"/>
              </w:rPr>
              <w:t xml:space="preserve">mg </w:t>
            </w:r>
            <w:r>
              <w:t xml:space="preserve">еднократно дневно. При нужда дозата може да се увеличи до 40 </w:t>
            </w:r>
            <w:r>
              <w:rPr>
                <w:lang w:val="en-US"/>
              </w:rPr>
              <w:t xml:space="preserve">mg </w:t>
            </w:r>
            <w:r>
              <w:t>еднократно дневно</w:t>
            </w:r>
          </w:p>
        </w:tc>
      </w:tr>
    </w:tbl>
    <w:p w14:paraId="6813987E" w14:textId="77777777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lang w:eastAsia="bg-BG"/>
        </w:rPr>
        <w:t>Рефлукс-езофагит</w:t>
      </w:r>
      <w:proofErr w:type="spellEnd"/>
      <w:r w:rsidRPr="00264E1A">
        <w:rPr>
          <w:lang w:eastAsia="bg-BG"/>
        </w:rPr>
        <w:t>: Продължителността на лечението е 4-8 седмици.</w:t>
      </w:r>
    </w:p>
    <w:p w14:paraId="2D3F2DF5" w14:textId="77777777" w:rsidR="00264E1A" w:rsidRDefault="00264E1A" w:rsidP="00264E1A">
      <w:pPr>
        <w:rPr>
          <w:i/>
          <w:iCs/>
          <w:lang w:eastAsia="bg-BG"/>
        </w:rPr>
      </w:pPr>
    </w:p>
    <w:p w14:paraId="52CE0E5C" w14:textId="4FE8B39B" w:rsidR="00264E1A" w:rsidRPr="00264E1A" w:rsidRDefault="00264E1A" w:rsidP="00264E1A">
      <w:pPr>
        <w:rPr>
          <w:sz w:val="24"/>
          <w:szCs w:val="24"/>
        </w:rPr>
      </w:pPr>
      <w:r w:rsidRPr="00264E1A">
        <w:rPr>
          <w:i/>
          <w:iCs/>
          <w:lang w:eastAsia="bg-BG"/>
        </w:rPr>
        <w:t xml:space="preserve">Симптоматично лечение на парене зад гръдната кост и </w:t>
      </w:r>
      <w:proofErr w:type="spellStart"/>
      <w:r w:rsidRPr="00264E1A">
        <w:rPr>
          <w:i/>
          <w:iCs/>
          <w:lang w:eastAsia="bg-BG"/>
        </w:rPr>
        <w:t>рефлукс</w:t>
      </w:r>
      <w:proofErr w:type="spellEnd"/>
      <w:r w:rsidRPr="00264E1A">
        <w:rPr>
          <w:i/>
          <w:iCs/>
          <w:lang w:eastAsia="bg-BG"/>
        </w:rPr>
        <w:t xml:space="preserve"> на стомашна киселина при </w:t>
      </w:r>
      <w:proofErr w:type="spellStart"/>
      <w:r w:rsidRPr="00264E1A">
        <w:rPr>
          <w:i/>
          <w:iCs/>
          <w:lang w:eastAsia="bg-BG"/>
        </w:rPr>
        <w:t>гастроезофагеална</w:t>
      </w:r>
      <w:proofErr w:type="spellEnd"/>
      <w:r w:rsidRPr="00264E1A">
        <w:rPr>
          <w:i/>
          <w:iCs/>
          <w:lang w:eastAsia="bg-BG"/>
        </w:rPr>
        <w:t xml:space="preserve"> </w:t>
      </w:r>
      <w:proofErr w:type="spellStart"/>
      <w:r w:rsidRPr="00264E1A">
        <w:rPr>
          <w:i/>
          <w:iCs/>
          <w:lang w:eastAsia="bg-BG"/>
        </w:rPr>
        <w:t>рефлуксна</w:t>
      </w:r>
      <w:proofErr w:type="spellEnd"/>
      <w:r w:rsidRPr="00264E1A">
        <w:rPr>
          <w:i/>
          <w:iCs/>
          <w:lang w:eastAsia="bg-BG"/>
        </w:rPr>
        <w:t xml:space="preserve"> болест.</w:t>
      </w:r>
      <w:r w:rsidRPr="00264E1A">
        <w:rPr>
          <w:lang w:eastAsia="bg-BG"/>
        </w:rPr>
        <w:t xml:space="preserve"> Продължителността на лечението е 2-4 седмици. Ако след 2-4 седмици симптомите не са овладени, при пациента трябва да се проведат допълнителни изследвания.</w:t>
      </w:r>
    </w:p>
    <w:p w14:paraId="11CFBE45" w14:textId="77777777" w:rsidR="00264E1A" w:rsidRDefault="00264E1A" w:rsidP="00264E1A">
      <w:pPr>
        <w:rPr>
          <w:lang w:eastAsia="bg-BG"/>
        </w:rPr>
      </w:pPr>
    </w:p>
    <w:p w14:paraId="4609D18A" w14:textId="6BD2D203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Деца и юноши на възраст над 4 години</w:t>
      </w:r>
    </w:p>
    <w:p w14:paraId="01B8671D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i/>
          <w:iCs/>
          <w:lang w:eastAsia="bg-BG"/>
        </w:rPr>
        <w:t xml:space="preserve">Лечение на </w:t>
      </w:r>
      <w:proofErr w:type="spellStart"/>
      <w:r w:rsidRPr="00264E1A">
        <w:rPr>
          <w:i/>
          <w:iCs/>
          <w:lang w:eastAsia="bg-BG"/>
        </w:rPr>
        <w:t>дуоденална</w:t>
      </w:r>
      <w:proofErr w:type="spellEnd"/>
      <w:r w:rsidRPr="00264E1A">
        <w:rPr>
          <w:i/>
          <w:iCs/>
          <w:lang w:eastAsia="bg-BG"/>
        </w:rPr>
        <w:t xml:space="preserve"> язва, причинена от </w:t>
      </w:r>
      <w:r w:rsidRPr="00264E1A">
        <w:rPr>
          <w:i/>
          <w:iCs/>
          <w:lang w:val="en-US"/>
        </w:rPr>
        <w:t>Helicobacter pylori.</w:t>
      </w:r>
    </w:p>
    <w:p w14:paraId="18A5593C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При избора на подходящата комбинирана терапия трябва да се имат</w:t>
      </w:r>
      <w:r w:rsidRPr="00264E1A">
        <w:rPr>
          <w:lang w:val="en-US"/>
        </w:rPr>
        <w:t xml:space="preserve"> </w:t>
      </w:r>
      <w:r w:rsidRPr="00264E1A">
        <w:rPr>
          <w:lang w:eastAsia="bg-BG"/>
        </w:rPr>
        <w:t>предвид официалните национални, регионални и локални препоръки, касаещи бактериалната резистентност,</w:t>
      </w:r>
      <w:r>
        <w:rPr>
          <w:lang w:eastAsia="bg-BG"/>
        </w:rPr>
        <w:t xml:space="preserve"> </w:t>
      </w:r>
      <w:r w:rsidRPr="00264E1A">
        <w:rPr>
          <w:lang w:eastAsia="bg-BG"/>
        </w:rPr>
        <w:t xml:space="preserve">продължителността на лечението (най-често 7 дни, но понякога до 14 дни) и </w:t>
      </w:r>
      <w:proofErr w:type="spellStart"/>
      <w:r w:rsidRPr="00264E1A">
        <w:rPr>
          <w:lang w:eastAsia="bg-BG"/>
        </w:rPr>
        <w:t>умесността</w:t>
      </w:r>
      <w:proofErr w:type="spellEnd"/>
      <w:r w:rsidRPr="00264E1A">
        <w:rPr>
          <w:lang w:eastAsia="bg-BG"/>
        </w:rPr>
        <w:t xml:space="preserve"> на приложението на антибактериални продукти.</w:t>
      </w:r>
    </w:p>
    <w:p w14:paraId="6D815F5D" w14:textId="77777777" w:rsidR="00264E1A" w:rsidRDefault="00264E1A" w:rsidP="00264E1A">
      <w:pPr>
        <w:rPr>
          <w:lang w:eastAsia="bg-BG"/>
        </w:rPr>
      </w:pPr>
    </w:p>
    <w:p w14:paraId="1A5D1D81" w14:textId="55B074E5" w:rsidR="00264E1A" w:rsidRPr="00264E1A" w:rsidRDefault="00264E1A" w:rsidP="00264E1A">
      <w:pPr>
        <w:rPr>
          <w:lang w:eastAsia="bg-BG"/>
        </w:rPr>
      </w:pPr>
      <w:r w:rsidRPr="00264E1A">
        <w:rPr>
          <w:lang w:eastAsia="bg-BG"/>
        </w:rPr>
        <w:t>Лечението трябва да е под контрола на специалист.</w:t>
      </w:r>
    </w:p>
    <w:p w14:paraId="790029D3" w14:textId="77777777" w:rsidR="00264E1A" w:rsidRDefault="00264E1A" w:rsidP="00264E1A">
      <w:pPr>
        <w:rPr>
          <w:u w:val="single"/>
          <w:lang w:eastAsia="bg-BG"/>
        </w:rPr>
      </w:pPr>
    </w:p>
    <w:p w14:paraId="70417E56" w14:textId="17345B63" w:rsidR="00264E1A" w:rsidRDefault="00264E1A" w:rsidP="00264E1A">
      <w:pPr>
        <w:rPr>
          <w:u w:val="single"/>
          <w:lang w:eastAsia="bg-BG"/>
        </w:rPr>
      </w:pPr>
      <w:r w:rsidRPr="00264E1A">
        <w:rPr>
          <w:u w:val="single"/>
          <w:lang w:eastAsia="bg-BG"/>
        </w:rPr>
        <w:t>Препоръките за дозировката са,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E1A" w14:paraId="0A4D3803" w14:textId="77777777" w:rsidTr="00264E1A">
        <w:tc>
          <w:tcPr>
            <w:tcW w:w="4788" w:type="dxa"/>
          </w:tcPr>
          <w:p w14:paraId="14147345" w14:textId="72B9C10D" w:rsidR="00264E1A" w:rsidRDefault="00264E1A" w:rsidP="00264E1A">
            <w:r>
              <w:t>Телесно тегло</w:t>
            </w:r>
          </w:p>
        </w:tc>
        <w:tc>
          <w:tcPr>
            <w:tcW w:w="4788" w:type="dxa"/>
          </w:tcPr>
          <w:p w14:paraId="6F96E146" w14:textId="5B3011CC" w:rsidR="00264E1A" w:rsidRDefault="00264E1A" w:rsidP="00264E1A">
            <w:r>
              <w:t>Дозировка</w:t>
            </w:r>
          </w:p>
        </w:tc>
      </w:tr>
      <w:tr w:rsidR="00264E1A" w14:paraId="5794F9AB" w14:textId="77777777" w:rsidTr="00264E1A">
        <w:tc>
          <w:tcPr>
            <w:tcW w:w="4788" w:type="dxa"/>
          </w:tcPr>
          <w:p w14:paraId="4F6A8F0D" w14:textId="5E27A589" w:rsidR="00264E1A" w:rsidRDefault="00264E1A" w:rsidP="00264E1A">
            <w:r>
              <w:t xml:space="preserve">15-30 </w:t>
            </w:r>
            <w:r>
              <w:rPr>
                <w:lang w:val="en-US"/>
              </w:rPr>
              <w:t>kg</w:t>
            </w:r>
          </w:p>
        </w:tc>
        <w:tc>
          <w:tcPr>
            <w:tcW w:w="4788" w:type="dxa"/>
          </w:tcPr>
          <w:p w14:paraId="45FEB5E5" w14:textId="32065E39" w:rsidR="00264E1A" w:rsidRDefault="00264E1A" w:rsidP="00264E1A">
            <w:r>
              <w:t xml:space="preserve">Комбинация с два антибиотика: </w:t>
            </w:r>
            <w:proofErr w:type="spellStart"/>
            <w:r>
              <w:t>омепразол</w:t>
            </w:r>
            <w:proofErr w:type="spellEnd"/>
            <w:r>
              <w:t xml:space="preserve"> 10 </w:t>
            </w:r>
            <w:r>
              <w:rPr>
                <w:lang w:val="en-US"/>
              </w:rPr>
              <w:t xml:space="preserve">mg, </w:t>
            </w:r>
            <w:proofErr w:type="spellStart"/>
            <w:r>
              <w:t>амоксицилин</w:t>
            </w:r>
            <w:proofErr w:type="spellEnd"/>
            <w:r>
              <w:t xml:space="preserve"> 25 </w:t>
            </w:r>
            <w:r>
              <w:rPr>
                <w:lang w:val="en-US"/>
              </w:rPr>
              <w:t xml:space="preserve">mg/kg </w:t>
            </w:r>
            <w:r>
              <w:t xml:space="preserve">телесно тегло и </w:t>
            </w:r>
            <w:proofErr w:type="spellStart"/>
            <w:r>
              <w:t>кларитромицин</w:t>
            </w:r>
            <w:proofErr w:type="spellEnd"/>
            <w:r>
              <w:t xml:space="preserve"> 7,5 </w:t>
            </w:r>
            <w:r>
              <w:rPr>
                <w:lang w:val="en-US"/>
              </w:rPr>
              <w:t xml:space="preserve">mg/kg </w:t>
            </w:r>
            <w:r>
              <w:t>телесно тегло се приемат едновременно два пъти в продължение на една седмица</w:t>
            </w:r>
          </w:p>
        </w:tc>
      </w:tr>
      <w:tr w:rsidR="00264E1A" w14:paraId="27551CA9" w14:textId="77777777" w:rsidTr="00264E1A">
        <w:tc>
          <w:tcPr>
            <w:tcW w:w="4788" w:type="dxa"/>
          </w:tcPr>
          <w:p w14:paraId="093AE90B" w14:textId="3959884D" w:rsidR="00264E1A" w:rsidRDefault="00264E1A" w:rsidP="00264E1A">
            <w:r>
              <w:lastRenderedPageBreak/>
              <w:t xml:space="preserve">31-40 </w:t>
            </w:r>
            <w:r>
              <w:rPr>
                <w:lang w:val="en-US"/>
              </w:rPr>
              <w:t>kg</w:t>
            </w:r>
          </w:p>
        </w:tc>
        <w:tc>
          <w:tcPr>
            <w:tcW w:w="4788" w:type="dxa"/>
          </w:tcPr>
          <w:p w14:paraId="340B0F42" w14:textId="3ACEB269" w:rsidR="00264E1A" w:rsidRDefault="00264E1A" w:rsidP="00264E1A">
            <w:r>
              <w:t xml:space="preserve">Комбинация с два антибиотика: </w:t>
            </w:r>
            <w:proofErr w:type="spellStart"/>
            <w:r>
              <w:t>омепразол</w:t>
            </w:r>
            <w:proofErr w:type="spellEnd"/>
            <w:r>
              <w:t xml:space="preserve"> 20 </w:t>
            </w:r>
            <w:r>
              <w:rPr>
                <w:lang w:val="en-US"/>
              </w:rPr>
              <w:t xml:space="preserve">mg, </w:t>
            </w:r>
            <w:proofErr w:type="spellStart"/>
            <w:r>
              <w:t>амоксицилин</w:t>
            </w:r>
            <w:proofErr w:type="spellEnd"/>
            <w:r>
              <w:t xml:space="preserve"> 750 </w:t>
            </w:r>
            <w:r>
              <w:rPr>
                <w:lang w:val="en-US"/>
              </w:rPr>
              <w:t xml:space="preserve">mg </w:t>
            </w:r>
            <w:r>
              <w:t xml:space="preserve">и </w:t>
            </w:r>
            <w:proofErr w:type="spellStart"/>
            <w:r>
              <w:t>кларитромицин</w:t>
            </w:r>
            <w:proofErr w:type="spellEnd"/>
            <w:r>
              <w:t xml:space="preserve"> 7,5 </w:t>
            </w:r>
            <w:r>
              <w:rPr>
                <w:lang w:val="en-US"/>
              </w:rPr>
              <w:t xml:space="preserve">mg/kg </w:t>
            </w:r>
            <w:r>
              <w:t>телесно тегло се приемат едновременно два пъти в продължение на една седмица</w:t>
            </w:r>
          </w:p>
        </w:tc>
      </w:tr>
      <w:tr w:rsidR="00264E1A" w14:paraId="3A0D3124" w14:textId="77777777" w:rsidTr="00264E1A">
        <w:tc>
          <w:tcPr>
            <w:tcW w:w="4788" w:type="dxa"/>
          </w:tcPr>
          <w:p w14:paraId="07395664" w14:textId="269F4814" w:rsidR="00264E1A" w:rsidRDefault="00264E1A" w:rsidP="00264E1A">
            <w:r>
              <w:t xml:space="preserve">&gt; 40 </w:t>
            </w:r>
            <w:r>
              <w:rPr>
                <w:lang w:val="en-US"/>
              </w:rPr>
              <w:t>kg</w:t>
            </w:r>
          </w:p>
        </w:tc>
        <w:tc>
          <w:tcPr>
            <w:tcW w:w="4788" w:type="dxa"/>
          </w:tcPr>
          <w:p w14:paraId="3DB3E962" w14:textId="479CEA40" w:rsidR="00264E1A" w:rsidRDefault="00264E1A" w:rsidP="00264E1A">
            <w:r>
              <w:t xml:space="preserve">Комбинация с два антибиотика: </w:t>
            </w:r>
            <w:proofErr w:type="spellStart"/>
            <w:r>
              <w:t>омепразол</w:t>
            </w:r>
            <w:proofErr w:type="spellEnd"/>
            <w:r>
              <w:t xml:space="preserve"> 20 </w:t>
            </w:r>
            <w:r>
              <w:rPr>
                <w:lang w:val="en-US"/>
              </w:rPr>
              <w:t xml:space="preserve">mg, </w:t>
            </w:r>
            <w:proofErr w:type="spellStart"/>
            <w:r>
              <w:t>амоксицилин</w:t>
            </w:r>
            <w:proofErr w:type="spellEnd"/>
            <w:r>
              <w:t xml:space="preserve"> 1 </w:t>
            </w:r>
            <w:r>
              <w:rPr>
                <w:lang w:val="en-US"/>
              </w:rPr>
              <w:t xml:space="preserve">g </w:t>
            </w:r>
            <w:r>
              <w:t xml:space="preserve">и </w:t>
            </w:r>
            <w:proofErr w:type="spellStart"/>
            <w:r>
              <w:t>кларитромицин</w:t>
            </w:r>
            <w:proofErr w:type="spellEnd"/>
            <w:r>
              <w:t xml:space="preserve"> 500 </w:t>
            </w:r>
            <w:r>
              <w:rPr>
                <w:lang w:val="en-US"/>
              </w:rPr>
              <w:t xml:space="preserve">mg </w:t>
            </w:r>
            <w:r>
              <w:t>се приемат едновременно два пъти в продължение на една седмица</w:t>
            </w:r>
          </w:p>
        </w:tc>
      </w:tr>
    </w:tbl>
    <w:p w14:paraId="4AADE7C6" w14:textId="77777777" w:rsidR="00264E1A" w:rsidRPr="00264E1A" w:rsidRDefault="00264E1A" w:rsidP="00264E1A">
      <w:pPr>
        <w:rPr>
          <w:i/>
          <w:iCs/>
          <w:sz w:val="24"/>
          <w:szCs w:val="24"/>
        </w:rPr>
      </w:pPr>
      <w:r w:rsidRPr="00264E1A">
        <w:rPr>
          <w:i/>
          <w:iCs/>
          <w:lang w:eastAsia="bg-BG"/>
        </w:rPr>
        <w:t>Специфични популации</w:t>
      </w:r>
    </w:p>
    <w:p w14:paraId="0CA1690E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При пациенти с увредена бъбречна функция: няма изисквания за дозировката на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при такива пациенти.</w:t>
      </w:r>
    </w:p>
    <w:p w14:paraId="2747F490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При пациенти с увредена чернодробна функция: тъй като в такива случаи бионаличността и полуживотът на препарата могат да се увеличат се препоръчва употреба на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с максимална доза 20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>дневно.</w:t>
      </w:r>
    </w:p>
    <w:p w14:paraId="0E7DEDD1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Пациенти в старческа възраст (&gt; 65 години)</w:t>
      </w:r>
    </w:p>
    <w:p w14:paraId="10191291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При пациенти в старческа възраст не се налага корекция на дозата.</w:t>
      </w:r>
    </w:p>
    <w:p w14:paraId="712CA57C" w14:textId="77777777" w:rsidR="00264E1A" w:rsidRDefault="00264E1A" w:rsidP="00264E1A">
      <w:pPr>
        <w:rPr>
          <w:u w:val="single"/>
          <w:lang w:eastAsia="bg-BG"/>
        </w:rPr>
      </w:pPr>
    </w:p>
    <w:p w14:paraId="2CE9FB86" w14:textId="2036CB94" w:rsidR="00264E1A" w:rsidRPr="00264E1A" w:rsidRDefault="00264E1A" w:rsidP="00264E1A">
      <w:pPr>
        <w:pStyle w:val="Heading3"/>
        <w:rPr>
          <w:rFonts w:eastAsia="Times New Roman"/>
          <w:u w:val="single"/>
        </w:rPr>
      </w:pPr>
      <w:r w:rsidRPr="00264E1A">
        <w:rPr>
          <w:rFonts w:eastAsia="Times New Roman"/>
          <w:u w:val="single"/>
          <w:lang w:eastAsia="bg-BG"/>
        </w:rPr>
        <w:t>Начин на приложение</w:t>
      </w:r>
    </w:p>
    <w:p w14:paraId="27631C06" w14:textId="0D43FDF4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Препоръчва се капсулите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да се приемат сутрин, за предпочитане на гладно, като се поглъщат цели с половин чаша вода. Капсулите не трябва да се дъвчат или стриват. При затруднено преглъщане капсулата може да се отвори и съдържанието да се разтвори в плодов сок или кисело мляко</w:t>
      </w:r>
      <w:r>
        <w:rPr>
          <w:lang w:eastAsia="bg-BG"/>
        </w:rPr>
        <w:t>.</w:t>
      </w:r>
    </w:p>
    <w:p w14:paraId="4EA2AE52" w14:textId="77777777" w:rsidR="00264E1A" w:rsidRPr="00264E1A" w:rsidRDefault="00264E1A" w:rsidP="00264E1A"/>
    <w:p w14:paraId="0E366821" w14:textId="58D57324" w:rsidR="00FD69E8" w:rsidRDefault="002C50EE" w:rsidP="00AA23EC">
      <w:pPr>
        <w:pStyle w:val="Heading2"/>
      </w:pPr>
      <w:r>
        <w:t>4.3. Противопоказания</w:t>
      </w:r>
    </w:p>
    <w:p w14:paraId="2D30B2F1" w14:textId="77777777" w:rsidR="00264E1A" w:rsidRDefault="00264E1A" w:rsidP="00264E1A">
      <w:pPr>
        <w:rPr>
          <w:lang w:eastAsia="bg-BG"/>
        </w:rPr>
      </w:pPr>
    </w:p>
    <w:p w14:paraId="7E025F75" w14:textId="04723A3C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Свръхчувствителност към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, </w:t>
      </w:r>
      <w:proofErr w:type="spellStart"/>
      <w:r w:rsidRPr="00264E1A">
        <w:rPr>
          <w:lang w:eastAsia="bg-BG"/>
        </w:rPr>
        <w:t>субституирани</w:t>
      </w:r>
      <w:proofErr w:type="spellEnd"/>
      <w:r w:rsidRPr="00264E1A">
        <w:rPr>
          <w:lang w:eastAsia="bg-BG"/>
        </w:rPr>
        <w:t xml:space="preserve"> </w:t>
      </w:r>
      <w:proofErr w:type="spellStart"/>
      <w:r w:rsidRPr="00264E1A">
        <w:rPr>
          <w:lang w:eastAsia="bg-BG"/>
        </w:rPr>
        <w:t>бензимидазоли</w:t>
      </w:r>
      <w:proofErr w:type="spellEnd"/>
      <w:r w:rsidRPr="00264E1A">
        <w:rPr>
          <w:lang w:eastAsia="bg-BG"/>
        </w:rPr>
        <w:t xml:space="preserve"> или към някое от помощните вещества, изброени в точка 6.1.</w:t>
      </w:r>
    </w:p>
    <w:p w14:paraId="3C1503EA" w14:textId="77777777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, подобно на останалите инхибитори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 (ИПП) не трябва да се приема едновременно с </w:t>
      </w:r>
      <w:proofErr w:type="spellStart"/>
      <w:r w:rsidRPr="00264E1A">
        <w:rPr>
          <w:lang w:eastAsia="bg-BG"/>
        </w:rPr>
        <w:t>нелфинавир</w:t>
      </w:r>
      <w:proofErr w:type="spellEnd"/>
      <w:r w:rsidRPr="00264E1A">
        <w:rPr>
          <w:lang w:eastAsia="bg-BG"/>
        </w:rPr>
        <w:t xml:space="preserve"> (вж. точка 4.5)</w:t>
      </w:r>
    </w:p>
    <w:p w14:paraId="0FAF17E7" w14:textId="77777777" w:rsidR="00264E1A" w:rsidRPr="00264E1A" w:rsidRDefault="00264E1A" w:rsidP="00264E1A"/>
    <w:p w14:paraId="6DDF89B4" w14:textId="404D824B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4E42F420" w14:textId="77777777" w:rsidR="00264E1A" w:rsidRDefault="00264E1A" w:rsidP="00264E1A">
      <w:pPr>
        <w:rPr>
          <w:lang w:eastAsia="bg-BG"/>
        </w:rPr>
      </w:pPr>
    </w:p>
    <w:p w14:paraId="00517858" w14:textId="3339DF94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В присъствието на алармиращи симптоми(напр. значителна непреднамерена загуба на тегло, рецидивиращо повръщане, </w:t>
      </w:r>
      <w:proofErr w:type="spellStart"/>
      <w:r w:rsidRPr="00264E1A">
        <w:rPr>
          <w:lang w:eastAsia="bg-BG"/>
        </w:rPr>
        <w:t>дисфагия</w:t>
      </w:r>
      <w:proofErr w:type="spellEnd"/>
      <w:r w:rsidRPr="00264E1A">
        <w:rPr>
          <w:lang w:eastAsia="bg-BG"/>
        </w:rPr>
        <w:t xml:space="preserve">, </w:t>
      </w:r>
      <w:proofErr w:type="spellStart"/>
      <w:r w:rsidRPr="00264E1A">
        <w:rPr>
          <w:lang w:eastAsia="bg-BG"/>
        </w:rPr>
        <w:t>хематемеза</w:t>
      </w:r>
      <w:proofErr w:type="spellEnd"/>
      <w:r w:rsidRPr="00264E1A">
        <w:rPr>
          <w:lang w:eastAsia="bg-BG"/>
        </w:rPr>
        <w:t xml:space="preserve"> или мелена )и когато се подозира или е доказана стомашна язва, трябва да се изключи злокачествено новообразувание, понеже лечението може да облекчи симптомите и да забави поставянето на диагноза.</w:t>
      </w:r>
    </w:p>
    <w:p w14:paraId="73B2F3A4" w14:textId="77777777" w:rsidR="00264E1A" w:rsidRDefault="00264E1A" w:rsidP="00264E1A">
      <w:pPr>
        <w:rPr>
          <w:lang w:eastAsia="bg-BG"/>
        </w:rPr>
      </w:pPr>
    </w:p>
    <w:p w14:paraId="5082893B" w14:textId="76A359A5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Не се препоръчва едновременното приложение на </w:t>
      </w:r>
      <w:proofErr w:type="spellStart"/>
      <w:r w:rsidRPr="00264E1A">
        <w:rPr>
          <w:lang w:eastAsia="bg-BG"/>
        </w:rPr>
        <w:t>атазанавир</w:t>
      </w:r>
      <w:proofErr w:type="spellEnd"/>
      <w:r w:rsidRPr="00264E1A">
        <w:rPr>
          <w:lang w:eastAsia="bg-BG"/>
        </w:rPr>
        <w:t xml:space="preserve"> с инхибитори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 (</w:t>
      </w:r>
      <w:proofErr w:type="spellStart"/>
      <w:r w:rsidRPr="00264E1A">
        <w:rPr>
          <w:lang w:eastAsia="bg-BG"/>
        </w:rPr>
        <w:t>вж.точка</w:t>
      </w:r>
      <w:proofErr w:type="spellEnd"/>
      <w:r w:rsidRPr="00264E1A">
        <w:rPr>
          <w:lang w:eastAsia="bg-BG"/>
        </w:rPr>
        <w:t xml:space="preserve"> 4.5). Ако се прецени, че не може да се избегне едновременното приложение на </w:t>
      </w:r>
      <w:proofErr w:type="spellStart"/>
      <w:r w:rsidRPr="00264E1A">
        <w:rPr>
          <w:lang w:eastAsia="bg-BG"/>
        </w:rPr>
        <w:t>атазанавир</w:t>
      </w:r>
      <w:proofErr w:type="spellEnd"/>
      <w:r w:rsidRPr="00264E1A">
        <w:rPr>
          <w:lang w:eastAsia="bg-BG"/>
        </w:rPr>
        <w:t xml:space="preserve"> с инхибитори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 , при комбинации </w:t>
      </w:r>
      <w:proofErr w:type="spellStart"/>
      <w:r w:rsidRPr="00264E1A">
        <w:rPr>
          <w:lang w:eastAsia="bg-BG"/>
        </w:rPr>
        <w:t>сповишаване</w:t>
      </w:r>
      <w:proofErr w:type="spellEnd"/>
      <w:r w:rsidRPr="00264E1A">
        <w:rPr>
          <w:lang w:eastAsia="bg-BG"/>
        </w:rPr>
        <w:t xml:space="preserve"> на дозата на </w:t>
      </w:r>
      <w:proofErr w:type="spellStart"/>
      <w:r w:rsidRPr="00264E1A">
        <w:rPr>
          <w:lang w:eastAsia="bg-BG"/>
        </w:rPr>
        <w:t>атазанавир</w:t>
      </w:r>
      <w:proofErr w:type="spellEnd"/>
      <w:r w:rsidRPr="00264E1A">
        <w:rPr>
          <w:lang w:eastAsia="bg-BG"/>
        </w:rPr>
        <w:t xml:space="preserve"> до 400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със 100 </w:t>
      </w:r>
      <w:r w:rsidRPr="00264E1A">
        <w:rPr>
          <w:lang w:val="en-US"/>
        </w:rPr>
        <w:t xml:space="preserve">mg </w:t>
      </w:r>
      <w:r w:rsidRPr="00264E1A">
        <w:rPr>
          <w:lang w:eastAsia="bg-BG"/>
        </w:rPr>
        <w:t xml:space="preserve">ритонавир се препоръчва стриктен клиничен контрол(напр. на вирусно натоварване), дозата на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не трябва да надвишава 20 </w:t>
      </w:r>
      <w:r w:rsidRPr="00264E1A">
        <w:rPr>
          <w:lang w:val="en-US"/>
        </w:rPr>
        <w:t>mg.</w:t>
      </w:r>
    </w:p>
    <w:p w14:paraId="3AD77E4B" w14:textId="77777777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>, както всички лекарствени вещества, потискащи киселинната секреция, може да предизвика намаляване на резорбцията на витамин В</w:t>
      </w:r>
      <w:r w:rsidRPr="00264E1A">
        <w:rPr>
          <w:vertAlign w:val="subscript"/>
          <w:lang w:eastAsia="bg-BG"/>
        </w:rPr>
        <w:t>12</w:t>
      </w:r>
      <w:r w:rsidRPr="00264E1A">
        <w:rPr>
          <w:lang w:eastAsia="bg-BG"/>
        </w:rPr>
        <w:t>(</w:t>
      </w:r>
      <w:proofErr w:type="spellStart"/>
      <w:r w:rsidRPr="00264E1A">
        <w:rPr>
          <w:lang w:eastAsia="bg-BG"/>
        </w:rPr>
        <w:t>цианкобаламин</w:t>
      </w:r>
      <w:proofErr w:type="spellEnd"/>
      <w:r w:rsidRPr="00264E1A">
        <w:rPr>
          <w:lang w:eastAsia="bg-BG"/>
        </w:rPr>
        <w:t xml:space="preserve">) поради </w:t>
      </w:r>
      <w:proofErr w:type="spellStart"/>
      <w:r w:rsidRPr="00264E1A">
        <w:rPr>
          <w:lang w:eastAsia="bg-BG"/>
        </w:rPr>
        <w:t>хипо</w:t>
      </w:r>
      <w:proofErr w:type="spellEnd"/>
      <w:r w:rsidRPr="00264E1A">
        <w:rPr>
          <w:lang w:eastAsia="bg-BG"/>
        </w:rPr>
        <w:t xml:space="preserve">- </w:t>
      </w:r>
      <w:r w:rsidRPr="00264E1A">
        <w:rPr>
          <w:lang w:eastAsia="bg-BG"/>
        </w:rPr>
        <w:lastRenderedPageBreak/>
        <w:t xml:space="preserve">или </w:t>
      </w:r>
      <w:proofErr w:type="spellStart"/>
      <w:r w:rsidRPr="00264E1A">
        <w:rPr>
          <w:lang w:eastAsia="bg-BG"/>
        </w:rPr>
        <w:t>ахлорхидрия</w:t>
      </w:r>
      <w:proofErr w:type="spellEnd"/>
      <w:r w:rsidRPr="00264E1A">
        <w:rPr>
          <w:lang w:eastAsia="bg-BG"/>
        </w:rPr>
        <w:t>. Това трябва да се има предвид при пациенти с намалени резерви или с наличие на рискови фактори за намалена резорбция на витамин В</w:t>
      </w:r>
      <w:r w:rsidRPr="00264E1A">
        <w:rPr>
          <w:vertAlign w:val="subscript"/>
          <w:lang w:eastAsia="bg-BG"/>
        </w:rPr>
        <w:t>12</w:t>
      </w:r>
      <w:r w:rsidRPr="00264E1A">
        <w:rPr>
          <w:lang w:eastAsia="bg-BG"/>
        </w:rPr>
        <w:t>, които са на продължително лечение.</w:t>
      </w:r>
    </w:p>
    <w:p w14:paraId="15083343" w14:textId="77777777" w:rsidR="00264E1A" w:rsidRDefault="00264E1A" w:rsidP="00264E1A">
      <w:pPr>
        <w:rPr>
          <w:lang w:eastAsia="bg-BG"/>
        </w:rPr>
      </w:pPr>
    </w:p>
    <w:p w14:paraId="7814CDA6" w14:textId="2A302BAC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е инхибитор на </w:t>
      </w:r>
      <w:r w:rsidRPr="00264E1A">
        <w:rPr>
          <w:lang w:val="en-US"/>
        </w:rPr>
        <w:t xml:space="preserve">CYPC19. </w:t>
      </w:r>
      <w:r w:rsidRPr="00264E1A">
        <w:rPr>
          <w:lang w:eastAsia="bg-BG"/>
        </w:rPr>
        <w:t xml:space="preserve">При започване и прекратяване на лечението с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трябва да</w:t>
      </w:r>
    </w:p>
    <w:p w14:paraId="2AC3337F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се има </w:t>
      </w:r>
      <w:proofErr w:type="spellStart"/>
      <w:r w:rsidRPr="00264E1A">
        <w:rPr>
          <w:lang w:eastAsia="bg-BG"/>
        </w:rPr>
        <w:t>предви</w:t>
      </w:r>
      <w:proofErr w:type="spellEnd"/>
      <w:r w:rsidRPr="00264E1A">
        <w:rPr>
          <w:lang w:eastAsia="bg-BG"/>
        </w:rPr>
        <w:t xml:space="preserve"> опасността от взаимодействия с лекарствени вещества, </w:t>
      </w:r>
      <w:proofErr w:type="spellStart"/>
      <w:r w:rsidRPr="00264E1A">
        <w:rPr>
          <w:lang w:eastAsia="bg-BG"/>
        </w:rPr>
        <w:t>метаболизирани</w:t>
      </w:r>
      <w:proofErr w:type="spellEnd"/>
      <w:r w:rsidRPr="00264E1A">
        <w:rPr>
          <w:lang w:eastAsia="bg-BG"/>
        </w:rPr>
        <w:t xml:space="preserve"> от </w:t>
      </w:r>
      <w:r w:rsidRPr="00264E1A">
        <w:rPr>
          <w:lang w:val="en-US"/>
        </w:rPr>
        <w:t>CYPC19</w:t>
      </w:r>
      <w:r w:rsidRPr="00264E1A">
        <w:rPr>
          <w:lang w:eastAsia="bg-BG"/>
        </w:rPr>
        <w:t xml:space="preserve"> Наблюдавано е взаимодействие между </w:t>
      </w:r>
      <w:proofErr w:type="spellStart"/>
      <w:r w:rsidRPr="00264E1A">
        <w:rPr>
          <w:lang w:eastAsia="bg-BG"/>
        </w:rPr>
        <w:t>клопидогрел</w:t>
      </w:r>
      <w:proofErr w:type="spellEnd"/>
      <w:r w:rsidRPr="00264E1A">
        <w:rPr>
          <w:lang w:eastAsia="bg-BG"/>
        </w:rPr>
        <w:t xml:space="preserve"> и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(вж. точка 4.5). Клиничната</w:t>
      </w:r>
      <w:r>
        <w:rPr>
          <w:lang w:eastAsia="bg-BG"/>
        </w:rPr>
        <w:t xml:space="preserve"> </w:t>
      </w:r>
      <w:r w:rsidRPr="00264E1A">
        <w:rPr>
          <w:lang w:eastAsia="bg-BG"/>
        </w:rPr>
        <w:t xml:space="preserve">значимост на това взаимодействие не е ясна. Като предпазна мярка едновременният прием на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и </w:t>
      </w:r>
      <w:proofErr w:type="spellStart"/>
      <w:r w:rsidRPr="00264E1A">
        <w:rPr>
          <w:i/>
          <w:iCs/>
          <w:lang w:eastAsia="bg-BG"/>
        </w:rPr>
        <w:t>клопидогрел</w:t>
      </w:r>
      <w:proofErr w:type="spellEnd"/>
      <w:r w:rsidRPr="00264E1A">
        <w:rPr>
          <w:lang w:eastAsia="bg-BG"/>
        </w:rPr>
        <w:t xml:space="preserve"> трябва да се избягва.</w:t>
      </w:r>
    </w:p>
    <w:p w14:paraId="4FDD4873" w14:textId="77777777" w:rsidR="00264E1A" w:rsidRDefault="00264E1A" w:rsidP="00264E1A">
      <w:pPr>
        <w:rPr>
          <w:lang w:eastAsia="bg-BG"/>
        </w:rPr>
      </w:pPr>
    </w:p>
    <w:p w14:paraId="1D9B5EDD" w14:textId="742BD026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Лечението с инхибитори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 може да доведе до леко повишаване на риска от инфекции на гастроинтестиналния тракт, напр. причинени от </w:t>
      </w:r>
      <w:r w:rsidRPr="00264E1A">
        <w:rPr>
          <w:i/>
          <w:iCs/>
          <w:lang w:val="en-US"/>
        </w:rPr>
        <w:t>Salmonella</w:t>
      </w:r>
      <w:r w:rsidRPr="00264E1A">
        <w:rPr>
          <w:lang w:val="en-US"/>
        </w:rPr>
        <w:t xml:space="preserve"> </w:t>
      </w:r>
      <w:r w:rsidRPr="00264E1A">
        <w:rPr>
          <w:lang w:eastAsia="bg-BG"/>
        </w:rPr>
        <w:t xml:space="preserve">и </w:t>
      </w:r>
      <w:r w:rsidRPr="00264E1A">
        <w:rPr>
          <w:i/>
          <w:iCs/>
          <w:lang w:val="en-US"/>
        </w:rPr>
        <w:t>Campylobacter</w:t>
      </w:r>
      <w:r w:rsidRPr="00264E1A">
        <w:rPr>
          <w:lang w:val="en-US"/>
        </w:rPr>
        <w:t xml:space="preserve"> </w:t>
      </w:r>
      <w:r w:rsidRPr="00264E1A">
        <w:rPr>
          <w:lang w:eastAsia="bg-BG"/>
        </w:rPr>
        <w:t>(вж. точка 5.1).</w:t>
      </w:r>
    </w:p>
    <w:p w14:paraId="70226FE6" w14:textId="77777777" w:rsidR="00264E1A" w:rsidRDefault="00264E1A" w:rsidP="00264E1A">
      <w:pPr>
        <w:rPr>
          <w:lang w:eastAsia="bg-BG"/>
        </w:rPr>
      </w:pPr>
    </w:p>
    <w:p w14:paraId="6C9301F3" w14:textId="00EBC648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Както при всяко продължително лечение, особено ако продължава над 1 година, пациентите трябва да са под редовен контрол.</w:t>
      </w:r>
    </w:p>
    <w:p w14:paraId="5C173226" w14:textId="77777777" w:rsidR="00264E1A" w:rsidRDefault="00264E1A" w:rsidP="00264E1A">
      <w:pPr>
        <w:rPr>
          <w:lang w:eastAsia="bg-BG"/>
        </w:rPr>
      </w:pPr>
    </w:p>
    <w:p w14:paraId="5EBEB3EC" w14:textId="5ECC3B98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>При някои деца с хронично заболяване може да се налага продължително лечение, въпреки че такова не се препоръчва.</w:t>
      </w:r>
    </w:p>
    <w:p w14:paraId="0393F936" w14:textId="77777777" w:rsidR="00264E1A" w:rsidRDefault="00264E1A" w:rsidP="00264E1A">
      <w:pPr>
        <w:rPr>
          <w:u w:val="single"/>
          <w:lang w:eastAsia="bg-BG"/>
        </w:rPr>
      </w:pPr>
    </w:p>
    <w:p w14:paraId="55094D42" w14:textId="760A48B3" w:rsidR="00264E1A" w:rsidRPr="00264E1A" w:rsidRDefault="00264E1A" w:rsidP="00264E1A">
      <w:pPr>
        <w:rPr>
          <w:sz w:val="24"/>
          <w:szCs w:val="24"/>
        </w:rPr>
      </w:pPr>
      <w:r w:rsidRPr="00264E1A">
        <w:rPr>
          <w:u w:val="single"/>
          <w:lang w:eastAsia="bg-BG"/>
        </w:rPr>
        <w:t>Повлияване на лабораторните резултати</w:t>
      </w:r>
    </w:p>
    <w:p w14:paraId="60E5C5BA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Повишеното ниво на </w:t>
      </w:r>
      <w:proofErr w:type="spellStart"/>
      <w:r w:rsidRPr="00264E1A">
        <w:rPr>
          <w:lang w:eastAsia="bg-BG"/>
        </w:rPr>
        <w:t>хромогранин</w:t>
      </w:r>
      <w:proofErr w:type="spellEnd"/>
      <w:r w:rsidRPr="00264E1A">
        <w:rPr>
          <w:lang w:eastAsia="bg-BG"/>
        </w:rPr>
        <w:t xml:space="preserve"> </w:t>
      </w:r>
      <w:r w:rsidRPr="00264E1A">
        <w:rPr>
          <w:lang w:val="en-US"/>
        </w:rPr>
        <w:t>A (</w:t>
      </w:r>
      <w:proofErr w:type="spellStart"/>
      <w:r w:rsidRPr="00264E1A">
        <w:rPr>
          <w:lang w:val="en-US"/>
        </w:rPr>
        <w:t>CgA</w:t>
      </w:r>
      <w:proofErr w:type="spellEnd"/>
      <w:r w:rsidRPr="00264E1A">
        <w:rPr>
          <w:lang w:val="en-US"/>
        </w:rPr>
        <w:t xml:space="preserve">) </w:t>
      </w:r>
      <w:r w:rsidRPr="00264E1A">
        <w:rPr>
          <w:lang w:eastAsia="bg-BG"/>
        </w:rPr>
        <w:t xml:space="preserve">може да повлияе на изследванията за </w:t>
      </w:r>
      <w:proofErr w:type="spellStart"/>
      <w:r w:rsidRPr="00264E1A">
        <w:rPr>
          <w:lang w:eastAsia="bg-BG"/>
        </w:rPr>
        <w:t>невроендокринни</w:t>
      </w:r>
      <w:proofErr w:type="spellEnd"/>
      <w:r w:rsidRPr="00264E1A">
        <w:rPr>
          <w:lang w:eastAsia="bg-BG"/>
        </w:rPr>
        <w:t xml:space="preserve"> тумори. За да се избегне това взаимодействие, лечението с </w:t>
      </w:r>
      <w:proofErr w:type="spellStart"/>
      <w:r w:rsidRPr="00264E1A">
        <w:rPr>
          <w:lang w:eastAsia="bg-BG"/>
        </w:rPr>
        <w:t>Биопразол</w:t>
      </w:r>
      <w:proofErr w:type="spellEnd"/>
      <w:r w:rsidRPr="00264E1A">
        <w:rPr>
          <w:lang w:eastAsia="bg-BG"/>
        </w:rPr>
        <w:t xml:space="preserve"> трябва да се спре временно най- малко за 5 дни преди определянето на </w:t>
      </w:r>
      <w:proofErr w:type="spellStart"/>
      <w:r w:rsidRPr="00264E1A">
        <w:rPr>
          <w:lang w:val="en-US"/>
        </w:rPr>
        <w:t>CgA</w:t>
      </w:r>
      <w:proofErr w:type="spellEnd"/>
      <w:r w:rsidRPr="00264E1A">
        <w:rPr>
          <w:lang w:val="en-US"/>
        </w:rPr>
        <w:t xml:space="preserve"> </w:t>
      </w:r>
      <w:r w:rsidRPr="00264E1A">
        <w:rPr>
          <w:lang w:eastAsia="bg-BG"/>
        </w:rPr>
        <w:t xml:space="preserve">(вж. точка 5.1). Ако нивата на </w:t>
      </w:r>
      <w:proofErr w:type="spellStart"/>
      <w:r w:rsidRPr="00264E1A">
        <w:rPr>
          <w:lang w:val="en-US"/>
        </w:rPr>
        <w:t>CgA</w:t>
      </w:r>
      <w:proofErr w:type="spellEnd"/>
      <w:r w:rsidRPr="00264E1A">
        <w:rPr>
          <w:lang w:val="en-US"/>
        </w:rPr>
        <w:t xml:space="preserve"> </w:t>
      </w:r>
      <w:r w:rsidRPr="00264E1A">
        <w:rPr>
          <w:lang w:eastAsia="bg-BG"/>
        </w:rPr>
        <w:t xml:space="preserve">и </w:t>
      </w:r>
      <w:proofErr w:type="spellStart"/>
      <w:r w:rsidRPr="00264E1A">
        <w:rPr>
          <w:lang w:eastAsia="bg-BG"/>
        </w:rPr>
        <w:t>гастрина</w:t>
      </w:r>
      <w:proofErr w:type="spellEnd"/>
      <w:r w:rsidRPr="00264E1A">
        <w:rPr>
          <w:lang w:eastAsia="bg-BG"/>
        </w:rPr>
        <w:t xml:space="preserve"> не са се възстановили в референтните си граници след началното определяне, измерването трябва да бъде повторено 14 дни след спиране на лечението с инхибитор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помпа.</w:t>
      </w:r>
    </w:p>
    <w:p w14:paraId="37EC0F0D" w14:textId="77777777" w:rsidR="00264E1A" w:rsidRDefault="00264E1A" w:rsidP="00264E1A">
      <w:pPr>
        <w:rPr>
          <w:u w:val="single"/>
          <w:lang w:eastAsia="bg-BG"/>
        </w:rPr>
      </w:pPr>
    </w:p>
    <w:p w14:paraId="69DF47DC" w14:textId="53DBF252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u w:val="single"/>
          <w:lang w:eastAsia="bg-BG"/>
        </w:rPr>
        <w:t>Хипомагнезиемия</w:t>
      </w:r>
      <w:proofErr w:type="spellEnd"/>
    </w:p>
    <w:p w14:paraId="35D4B437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При пациенти, лекувани с инхибитори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помпа, като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, в продължение на не по- малко от три месеца и в повечето случаи за една година е наблюдавана тежка форма на </w:t>
      </w:r>
      <w:proofErr w:type="spellStart"/>
      <w:r w:rsidRPr="00264E1A">
        <w:rPr>
          <w:lang w:eastAsia="bg-BG"/>
        </w:rPr>
        <w:t>хипомагнезиемия</w:t>
      </w:r>
      <w:proofErr w:type="spellEnd"/>
      <w:r w:rsidRPr="00264E1A">
        <w:rPr>
          <w:lang w:eastAsia="bg-BG"/>
        </w:rPr>
        <w:t xml:space="preserve">. Симптомите на </w:t>
      </w:r>
      <w:proofErr w:type="spellStart"/>
      <w:r w:rsidRPr="00264E1A">
        <w:rPr>
          <w:lang w:eastAsia="bg-BG"/>
        </w:rPr>
        <w:t>хипомагнезиемията</w:t>
      </w:r>
      <w:proofErr w:type="spellEnd"/>
      <w:r w:rsidRPr="00264E1A">
        <w:rPr>
          <w:lang w:eastAsia="bg-BG"/>
        </w:rPr>
        <w:t xml:space="preserve">, като умора, </w:t>
      </w:r>
      <w:proofErr w:type="spellStart"/>
      <w:r w:rsidRPr="00264E1A">
        <w:rPr>
          <w:lang w:eastAsia="bg-BG"/>
        </w:rPr>
        <w:t>тетания</w:t>
      </w:r>
      <w:proofErr w:type="spellEnd"/>
      <w:r w:rsidRPr="00264E1A">
        <w:rPr>
          <w:lang w:eastAsia="bg-BG"/>
        </w:rPr>
        <w:t xml:space="preserve">, делириум. Гърчове, виене на свят и камерна аритмия могат де бъдат сериозни, като в началото могат да бъдат слабо изразени и да се пренебрегнат. При най-засегнатите пациенти, </w:t>
      </w:r>
      <w:proofErr w:type="spellStart"/>
      <w:r w:rsidRPr="00264E1A">
        <w:rPr>
          <w:lang w:eastAsia="bg-BG"/>
        </w:rPr>
        <w:t>хипомагнезиемията</w:t>
      </w:r>
      <w:proofErr w:type="spellEnd"/>
      <w:r w:rsidRPr="00264E1A">
        <w:rPr>
          <w:lang w:eastAsia="bg-BG"/>
        </w:rPr>
        <w:t xml:space="preserve"> отзвучава след </w:t>
      </w:r>
      <w:proofErr w:type="spellStart"/>
      <w:r w:rsidRPr="00264E1A">
        <w:rPr>
          <w:lang w:eastAsia="bg-BG"/>
        </w:rPr>
        <w:t>замесгителна</w:t>
      </w:r>
      <w:proofErr w:type="spellEnd"/>
      <w:r w:rsidRPr="00264E1A">
        <w:rPr>
          <w:lang w:eastAsia="bg-BG"/>
        </w:rPr>
        <w:t xml:space="preserve"> терапия с магнезий и прекратяване на терапията с ИПП.</w:t>
      </w:r>
    </w:p>
    <w:p w14:paraId="3C126E09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За пациенти, при които се очаква провеждане на продължително лечение или които приемат инхибитори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 едновременно с </w:t>
      </w:r>
      <w:proofErr w:type="spellStart"/>
      <w:r w:rsidRPr="00264E1A">
        <w:rPr>
          <w:lang w:eastAsia="bg-BG"/>
        </w:rPr>
        <w:t>дигоксин</w:t>
      </w:r>
      <w:proofErr w:type="spellEnd"/>
      <w:r w:rsidRPr="00264E1A">
        <w:rPr>
          <w:lang w:eastAsia="bg-BG"/>
        </w:rPr>
        <w:t xml:space="preserve"> или лекарства, които могат да причинят </w:t>
      </w:r>
      <w:proofErr w:type="spellStart"/>
      <w:r w:rsidRPr="00264E1A">
        <w:rPr>
          <w:lang w:eastAsia="bg-BG"/>
        </w:rPr>
        <w:t>хипомагнезиемия</w:t>
      </w:r>
      <w:proofErr w:type="spellEnd"/>
      <w:r w:rsidRPr="00264E1A">
        <w:rPr>
          <w:lang w:eastAsia="bg-BG"/>
        </w:rPr>
        <w:t xml:space="preserve"> (напр. </w:t>
      </w:r>
      <w:proofErr w:type="spellStart"/>
      <w:r w:rsidRPr="00264E1A">
        <w:rPr>
          <w:lang w:eastAsia="bg-BG"/>
        </w:rPr>
        <w:t>диуретици</w:t>
      </w:r>
      <w:proofErr w:type="spellEnd"/>
      <w:r w:rsidRPr="00264E1A">
        <w:rPr>
          <w:lang w:eastAsia="bg-BG"/>
        </w:rPr>
        <w:t>) медицинският пресовал трябва да разгледа възможността за определяне стойностите на магнезий преди започване не лечение с ИПП и периодично по време на лечението.</w:t>
      </w:r>
    </w:p>
    <w:p w14:paraId="2A1410C2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Инхибиторите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помпа, особено ако се използват във високи дози и за продължителен период от време (&gt; 1 година) могат слабо да повишат риска от фрактури на бедрената кост, костите на китката и прешлените на гръбначния стълб, предимно при пациенти в старческа възраст или при наличието на други признати рискови фактори. </w:t>
      </w:r>
      <w:proofErr w:type="spellStart"/>
      <w:r w:rsidRPr="00264E1A">
        <w:rPr>
          <w:lang w:eastAsia="bg-BG"/>
        </w:rPr>
        <w:t>Обсервационни</w:t>
      </w:r>
      <w:proofErr w:type="spellEnd"/>
      <w:r w:rsidRPr="00264E1A">
        <w:rPr>
          <w:lang w:eastAsia="bg-BG"/>
        </w:rPr>
        <w:t xml:space="preserve"> проучвания показват, че инхибиторите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 могат да повишат като риска от фрактури с 10-40%. Част от това увеличение може да се дължи на </w:t>
      </w:r>
      <w:r w:rsidRPr="00264E1A">
        <w:rPr>
          <w:lang w:eastAsia="bg-BG"/>
        </w:rPr>
        <w:lastRenderedPageBreak/>
        <w:t xml:space="preserve">други рискови фактори. Пациенти с повишен риск от остеопороза трябва да бъдат наблюдавани и лекувани в съответствие с настоящите клинични ръководства и да приемат витамин </w:t>
      </w:r>
      <w:r w:rsidRPr="00264E1A">
        <w:rPr>
          <w:lang w:val="en-US"/>
        </w:rPr>
        <w:t xml:space="preserve">D </w:t>
      </w:r>
      <w:r w:rsidRPr="00264E1A">
        <w:rPr>
          <w:lang w:eastAsia="bg-BG"/>
        </w:rPr>
        <w:t>и калций в адекватни дози.</w:t>
      </w:r>
    </w:p>
    <w:p w14:paraId="20681435" w14:textId="77777777" w:rsidR="00264E1A" w:rsidRDefault="00264E1A" w:rsidP="00264E1A">
      <w:pPr>
        <w:rPr>
          <w:u w:val="single"/>
          <w:lang w:eastAsia="bg-BG"/>
        </w:rPr>
      </w:pPr>
    </w:p>
    <w:p w14:paraId="5ED3B2E0" w14:textId="36F642A9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u w:val="single"/>
          <w:lang w:eastAsia="bg-BG"/>
        </w:rPr>
        <w:t>Субакутен</w:t>
      </w:r>
      <w:proofErr w:type="spellEnd"/>
      <w:r w:rsidRPr="00264E1A">
        <w:rPr>
          <w:u w:val="single"/>
          <w:lang w:eastAsia="bg-BG"/>
        </w:rPr>
        <w:t xml:space="preserve"> кожен </w:t>
      </w:r>
      <w:proofErr w:type="spellStart"/>
      <w:r w:rsidRPr="00264E1A">
        <w:rPr>
          <w:u w:val="single"/>
          <w:lang w:eastAsia="bg-BG"/>
        </w:rPr>
        <w:t>лулус</w:t>
      </w:r>
      <w:proofErr w:type="spellEnd"/>
      <w:r w:rsidRPr="00264E1A">
        <w:rPr>
          <w:u w:val="single"/>
          <w:lang w:eastAsia="bg-BG"/>
        </w:rPr>
        <w:t xml:space="preserve"> еритематодес(</w:t>
      </w:r>
      <w:r w:rsidRPr="00264E1A">
        <w:rPr>
          <w:u w:val="single"/>
          <w:lang w:val="en-US"/>
        </w:rPr>
        <w:t>S</w:t>
      </w:r>
      <w:r w:rsidRPr="00264E1A">
        <w:rPr>
          <w:u w:val="single"/>
          <w:lang w:eastAsia="bg-BG"/>
        </w:rPr>
        <w:t>С</w:t>
      </w:r>
      <w:r w:rsidRPr="00264E1A">
        <w:rPr>
          <w:u w:val="single"/>
          <w:lang w:val="en-US"/>
        </w:rPr>
        <w:t>L</w:t>
      </w:r>
      <w:r w:rsidRPr="00264E1A">
        <w:rPr>
          <w:u w:val="single"/>
          <w:lang w:eastAsia="bg-BG"/>
        </w:rPr>
        <w:t>Е)</w:t>
      </w:r>
    </w:p>
    <w:p w14:paraId="7A821164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Инхибиторите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 са свързани с много редки случаи на </w:t>
      </w:r>
      <w:r w:rsidRPr="00264E1A">
        <w:rPr>
          <w:lang w:val="en-US"/>
        </w:rPr>
        <w:t xml:space="preserve">SCLE. </w:t>
      </w:r>
      <w:r w:rsidRPr="00264E1A">
        <w:rPr>
          <w:lang w:eastAsia="bg-BG"/>
        </w:rPr>
        <w:t xml:space="preserve">Ако се появят лезии, особено в участъци от кожата, изложени на слънчеви лъчи и ако те са съпроводени с болки в ставите, пациентът трябва незабавно да потърси медицинска помощ и медицинският специалист следва да обмисли спиране на приема на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. </w:t>
      </w:r>
      <w:r w:rsidRPr="00264E1A">
        <w:rPr>
          <w:lang w:val="en-US"/>
        </w:rPr>
        <w:t xml:space="preserve">SCLE, </w:t>
      </w:r>
      <w:r w:rsidRPr="00264E1A">
        <w:rPr>
          <w:lang w:eastAsia="bg-BG"/>
        </w:rPr>
        <w:t xml:space="preserve">настъпил след предходно лечение с инхибитор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помпа, може да увеличи риска от </w:t>
      </w:r>
      <w:r w:rsidRPr="00264E1A">
        <w:rPr>
          <w:lang w:val="en-US"/>
        </w:rPr>
        <w:t xml:space="preserve">SCLE </w:t>
      </w:r>
      <w:r w:rsidRPr="00264E1A">
        <w:rPr>
          <w:lang w:eastAsia="bg-BG"/>
        </w:rPr>
        <w:t xml:space="preserve">при употреба на други инхибитори на </w:t>
      </w:r>
      <w:proofErr w:type="spellStart"/>
      <w:r w:rsidRPr="00264E1A">
        <w:rPr>
          <w:lang w:eastAsia="bg-BG"/>
        </w:rPr>
        <w:t>протонната</w:t>
      </w:r>
      <w:proofErr w:type="spellEnd"/>
      <w:r w:rsidRPr="00264E1A">
        <w:rPr>
          <w:lang w:eastAsia="bg-BG"/>
        </w:rPr>
        <w:t xml:space="preserve"> помпа.</w:t>
      </w:r>
    </w:p>
    <w:p w14:paraId="01AF239F" w14:textId="77777777" w:rsidR="00264E1A" w:rsidRDefault="00264E1A" w:rsidP="00264E1A">
      <w:pPr>
        <w:rPr>
          <w:lang w:eastAsia="bg-BG"/>
        </w:rPr>
      </w:pPr>
    </w:p>
    <w:p w14:paraId="6AE2173F" w14:textId="436E834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Този продукт съдържа захар. Пациенти с редки наследствени заболявания като непоносимост към </w:t>
      </w:r>
      <w:proofErr w:type="spellStart"/>
      <w:r w:rsidRPr="00264E1A">
        <w:rPr>
          <w:lang w:eastAsia="bg-BG"/>
        </w:rPr>
        <w:t>фрукгоза</w:t>
      </w:r>
      <w:proofErr w:type="spellEnd"/>
      <w:r w:rsidRPr="00264E1A">
        <w:rPr>
          <w:lang w:eastAsia="bg-BG"/>
        </w:rPr>
        <w:t xml:space="preserve">, </w:t>
      </w:r>
      <w:proofErr w:type="spellStart"/>
      <w:r w:rsidRPr="00264E1A">
        <w:rPr>
          <w:lang w:eastAsia="bg-BG"/>
        </w:rPr>
        <w:t>глюкозо-галактозна</w:t>
      </w:r>
      <w:proofErr w:type="spellEnd"/>
      <w:r w:rsidRPr="00264E1A">
        <w:rPr>
          <w:lang w:eastAsia="bg-BG"/>
        </w:rPr>
        <w:t xml:space="preserve"> малабсорбция или </w:t>
      </w:r>
      <w:proofErr w:type="spellStart"/>
      <w:r w:rsidRPr="00264E1A">
        <w:rPr>
          <w:lang w:eastAsia="bg-BG"/>
        </w:rPr>
        <w:t>захаразо-изомалтазна</w:t>
      </w:r>
      <w:proofErr w:type="spellEnd"/>
      <w:r w:rsidRPr="00264E1A">
        <w:rPr>
          <w:lang w:eastAsia="bg-BG"/>
        </w:rPr>
        <w:t xml:space="preserve"> недостатъчност не трябва да приемат този лекарствен продукт.</w:t>
      </w:r>
    </w:p>
    <w:p w14:paraId="5122414E" w14:textId="7EA2B7B4" w:rsidR="00264E1A" w:rsidRPr="00264E1A" w:rsidRDefault="00264E1A" w:rsidP="00264E1A">
      <w:pPr>
        <w:rPr>
          <w:sz w:val="24"/>
          <w:szCs w:val="24"/>
        </w:rPr>
      </w:pPr>
    </w:p>
    <w:p w14:paraId="788C60AB" w14:textId="77777777" w:rsidR="00264E1A" w:rsidRPr="00264E1A" w:rsidRDefault="00264E1A" w:rsidP="00264E1A"/>
    <w:p w14:paraId="5D37E947" w14:textId="77314D59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4561920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Влияние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върху Фармакокинетиката на други активни субстанции</w:t>
      </w:r>
    </w:p>
    <w:p w14:paraId="3F0B9C0E" w14:textId="77777777" w:rsidR="00264E1A" w:rsidRPr="00264E1A" w:rsidRDefault="00264E1A" w:rsidP="00264E1A">
      <w:pPr>
        <w:rPr>
          <w:i/>
          <w:iCs/>
          <w:u w:val="single"/>
          <w:lang w:eastAsia="bg-BG"/>
        </w:rPr>
      </w:pPr>
    </w:p>
    <w:p w14:paraId="060ECC60" w14:textId="57003C06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i/>
          <w:iCs/>
          <w:u w:val="single"/>
          <w:lang w:eastAsia="bg-BG"/>
        </w:rPr>
        <w:t xml:space="preserve">Активни субстанции с </w:t>
      </w:r>
      <w:r w:rsidRPr="00264E1A">
        <w:rPr>
          <w:i/>
          <w:iCs/>
          <w:u w:val="single"/>
          <w:lang w:val="en-US"/>
        </w:rPr>
        <w:t>pH</w:t>
      </w:r>
      <w:r w:rsidRPr="00264E1A">
        <w:rPr>
          <w:i/>
          <w:iCs/>
          <w:u w:val="single"/>
          <w:lang w:eastAsia="bg-BG"/>
        </w:rPr>
        <w:t>-зависима резорбция</w:t>
      </w:r>
    </w:p>
    <w:p w14:paraId="00C339FF" w14:textId="1BDCB26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Понижената стомашна киселинност по време на лечението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може да повиши или понижи резорбцията на субстанции с </w:t>
      </w:r>
      <w:r w:rsidRPr="00264E1A">
        <w:rPr>
          <w:u w:val="single"/>
          <w:lang w:val="en-US"/>
        </w:rPr>
        <w:t>pH</w:t>
      </w:r>
      <w:r w:rsidRPr="00264E1A">
        <w:rPr>
          <w:u w:val="single"/>
          <w:lang w:eastAsia="bg-BG"/>
        </w:rPr>
        <w:t>-зависима стомашна резорбция</w:t>
      </w:r>
      <w:r>
        <w:rPr>
          <w:u w:val="single"/>
          <w:lang w:eastAsia="bg-BG"/>
        </w:rPr>
        <w:t>.</w:t>
      </w:r>
    </w:p>
    <w:p w14:paraId="61E98781" w14:textId="77777777" w:rsidR="00264E1A" w:rsidRDefault="00264E1A" w:rsidP="00264E1A">
      <w:pPr>
        <w:rPr>
          <w:i/>
          <w:iCs/>
          <w:lang w:eastAsia="bg-BG"/>
        </w:rPr>
      </w:pPr>
    </w:p>
    <w:p w14:paraId="5C94AB2D" w14:textId="7CB4EB16" w:rsidR="00264E1A" w:rsidRDefault="00264E1A" w:rsidP="00264E1A">
      <w:pPr>
        <w:rPr>
          <w:i/>
          <w:iCs/>
          <w:lang w:eastAsia="bg-BG"/>
        </w:rPr>
      </w:pPr>
      <w:proofErr w:type="spellStart"/>
      <w:r w:rsidRPr="00264E1A">
        <w:rPr>
          <w:i/>
          <w:iCs/>
          <w:lang w:eastAsia="bg-BG"/>
        </w:rPr>
        <w:t>Нелфинавир</w:t>
      </w:r>
      <w:proofErr w:type="spellEnd"/>
      <w:r w:rsidRPr="00264E1A">
        <w:rPr>
          <w:i/>
          <w:iCs/>
          <w:lang w:eastAsia="bg-BG"/>
        </w:rPr>
        <w:t xml:space="preserve">, </w:t>
      </w:r>
      <w:proofErr w:type="spellStart"/>
      <w:r w:rsidRPr="00264E1A">
        <w:rPr>
          <w:i/>
          <w:iCs/>
          <w:lang w:eastAsia="bg-BG"/>
        </w:rPr>
        <w:t>атазанавир</w:t>
      </w:r>
      <w:proofErr w:type="spellEnd"/>
    </w:p>
    <w:p w14:paraId="17A257CE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При едновременното приложение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плазмените концентрации на </w:t>
      </w:r>
      <w:proofErr w:type="spellStart"/>
      <w:r w:rsidRPr="00264E1A">
        <w:rPr>
          <w:u w:val="single"/>
          <w:lang w:eastAsia="bg-BG"/>
        </w:rPr>
        <w:t>нелфинавир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 се понижават.</w:t>
      </w:r>
    </w:p>
    <w:p w14:paraId="0C81CF71" w14:textId="77777777" w:rsidR="00264E1A" w:rsidRDefault="00264E1A" w:rsidP="00264E1A">
      <w:pPr>
        <w:rPr>
          <w:lang w:eastAsia="bg-BG"/>
        </w:rPr>
      </w:pPr>
    </w:p>
    <w:p w14:paraId="4A0F47FC" w14:textId="5A4B0EC0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Едновременното приложение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с </w:t>
      </w:r>
      <w:proofErr w:type="spellStart"/>
      <w:r w:rsidRPr="00264E1A">
        <w:rPr>
          <w:u w:val="single"/>
          <w:lang w:eastAsia="bg-BG"/>
        </w:rPr>
        <w:t>нелфинавир</w:t>
      </w:r>
      <w:proofErr w:type="spellEnd"/>
      <w:r w:rsidRPr="00264E1A">
        <w:rPr>
          <w:u w:val="single"/>
          <w:lang w:eastAsia="bg-BG"/>
        </w:rPr>
        <w:t xml:space="preserve"> е противопоказано (</w:t>
      </w:r>
      <w:proofErr w:type="spellStart"/>
      <w:r w:rsidRPr="00264E1A">
        <w:rPr>
          <w:u w:val="single"/>
          <w:lang w:eastAsia="bg-BG"/>
        </w:rPr>
        <w:t>вж</w:t>
      </w:r>
      <w:proofErr w:type="spellEnd"/>
      <w:r w:rsidRPr="00264E1A">
        <w:rPr>
          <w:u w:val="single"/>
          <w:lang w:eastAsia="bg-BG"/>
        </w:rPr>
        <w:t>, точка 4,3).</w:t>
      </w:r>
    </w:p>
    <w:p w14:paraId="474979B2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Едновременното приложение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(40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еднократно дневно) намалява средно експозицията на </w:t>
      </w:r>
      <w:proofErr w:type="spellStart"/>
      <w:r w:rsidRPr="00264E1A">
        <w:rPr>
          <w:u w:val="single"/>
          <w:lang w:eastAsia="bg-BG"/>
        </w:rPr>
        <w:t>нелфинавир</w:t>
      </w:r>
      <w:proofErr w:type="spellEnd"/>
      <w:r w:rsidRPr="00264E1A">
        <w:rPr>
          <w:u w:val="single"/>
          <w:lang w:eastAsia="bg-BG"/>
        </w:rPr>
        <w:t xml:space="preserve"> с приблизително 40%, а средната експозиция на Фармакологично активния му метаболит М8 - с приблизително 75-90%, Взаимодействието може да включва и инхибиране на </w:t>
      </w:r>
      <w:r w:rsidRPr="00264E1A">
        <w:rPr>
          <w:u w:val="single"/>
          <w:lang w:val="en-US"/>
        </w:rPr>
        <w:t>CYPC19.</w:t>
      </w:r>
    </w:p>
    <w:p w14:paraId="22600FCE" w14:textId="77777777" w:rsidR="00264E1A" w:rsidRDefault="00264E1A" w:rsidP="00264E1A">
      <w:pPr>
        <w:rPr>
          <w:lang w:eastAsia="bg-BG"/>
        </w:rPr>
      </w:pPr>
    </w:p>
    <w:p w14:paraId="68CE71C3" w14:textId="4EEE2DCE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Едновременното приложение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с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 не се препоръчва (вж. точка 4.4). При здрави доброволци едновременното </w:t>
      </w:r>
      <w:proofErr w:type="spellStart"/>
      <w:r w:rsidRPr="00264E1A">
        <w:rPr>
          <w:u w:val="single"/>
          <w:lang w:eastAsia="bg-BG"/>
        </w:rPr>
        <w:t>приложенние</w:t>
      </w:r>
      <w:proofErr w:type="spellEnd"/>
      <w:r w:rsidRPr="00264E1A">
        <w:rPr>
          <w:u w:val="single"/>
          <w:lang w:eastAsia="bg-BG"/>
        </w:rPr>
        <w:t xml:space="preserve">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(40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еднократно дневно) и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 300 </w:t>
      </w:r>
      <w:r w:rsidRPr="00264E1A">
        <w:rPr>
          <w:u w:val="single"/>
          <w:lang w:val="en-US"/>
        </w:rPr>
        <w:t>mg</w:t>
      </w:r>
      <w:r w:rsidRPr="00264E1A">
        <w:rPr>
          <w:u w:val="single"/>
          <w:lang w:eastAsia="bg-BG"/>
        </w:rPr>
        <w:t xml:space="preserve">/ритонавир 100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води до понижаване със 75% на експозицията на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. Повишаването на дозата на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 до 400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не компенсира ефекта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върху експозицията на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. При здрави доброволци едновременното </w:t>
      </w:r>
      <w:proofErr w:type="spellStart"/>
      <w:r w:rsidRPr="00264E1A">
        <w:rPr>
          <w:u w:val="single"/>
          <w:lang w:eastAsia="bg-BG"/>
        </w:rPr>
        <w:t>приложенние</w:t>
      </w:r>
      <w:proofErr w:type="spellEnd"/>
      <w:r w:rsidRPr="00264E1A">
        <w:rPr>
          <w:u w:val="single"/>
          <w:lang w:eastAsia="bg-BG"/>
        </w:rPr>
        <w:t xml:space="preserve">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(20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еднократно дневно) и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 400 </w:t>
      </w:r>
      <w:r w:rsidRPr="00264E1A">
        <w:rPr>
          <w:u w:val="single"/>
          <w:lang w:val="en-US"/>
        </w:rPr>
        <w:t>mg</w:t>
      </w:r>
      <w:r w:rsidRPr="00264E1A">
        <w:rPr>
          <w:u w:val="single"/>
          <w:lang w:eastAsia="bg-BG"/>
        </w:rPr>
        <w:t xml:space="preserve">/ритонавир 100 води до понижаване с </w:t>
      </w:r>
      <w:proofErr w:type="spellStart"/>
      <w:r w:rsidRPr="00264E1A">
        <w:rPr>
          <w:u w:val="single"/>
          <w:lang w:eastAsia="bg-BG"/>
        </w:rPr>
        <w:t>приблизитално</w:t>
      </w:r>
      <w:proofErr w:type="spellEnd"/>
      <w:r w:rsidRPr="00264E1A">
        <w:rPr>
          <w:u w:val="single"/>
          <w:lang w:eastAsia="bg-BG"/>
        </w:rPr>
        <w:t xml:space="preserve"> 30% на експозицията на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 в сравнение с приема на и </w:t>
      </w:r>
      <w:proofErr w:type="spellStart"/>
      <w:r w:rsidRPr="00264E1A">
        <w:rPr>
          <w:u w:val="single"/>
          <w:lang w:eastAsia="bg-BG"/>
        </w:rPr>
        <w:t>атазанавир</w:t>
      </w:r>
      <w:proofErr w:type="spellEnd"/>
      <w:r w:rsidRPr="00264E1A">
        <w:rPr>
          <w:u w:val="single"/>
          <w:lang w:eastAsia="bg-BG"/>
        </w:rPr>
        <w:t xml:space="preserve"> 300 </w:t>
      </w:r>
      <w:r w:rsidRPr="00264E1A">
        <w:rPr>
          <w:u w:val="single"/>
          <w:lang w:val="en-US"/>
        </w:rPr>
        <w:t>mg</w:t>
      </w:r>
      <w:r w:rsidRPr="00264E1A">
        <w:rPr>
          <w:u w:val="single"/>
          <w:lang w:eastAsia="bg-BG"/>
        </w:rPr>
        <w:t xml:space="preserve">/ритонавир 100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>еднократно дневно.</w:t>
      </w:r>
    </w:p>
    <w:p w14:paraId="16FBA4CE" w14:textId="77777777" w:rsidR="00264E1A" w:rsidRDefault="00264E1A" w:rsidP="00264E1A">
      <w:pPr>
        <w:rPr>
          <w:i/>
          <w:iCs/>
          <w:lang w:eastAsia="bg-BG"/>
        </w:rPr>
      </w:pPr>
    </w:p>
    <w:p w14:paraId="52EF2659" w14:textId="77085D99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i/>
          <w:iCs/>
          <w:lang w:eastAsia="bg-BG"/>
        </w:rPr>
        <w:t>Дигоксин</w:t>
      </w:r>
      <w:proofErr w:type="spellEnd"/>
    </w:p>
    <w:p w14:paraId="3B9EFC60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lastRenderedPageBreak/>
        <w:t xml:space="preserve">При здрави доброволци едновременният прием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(20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дневно) и </w:t>
      </w:r>
      <w:proofErr w:type="spellStart"/>
      <w:r w:rsidRPr="00264E1A">
        <w:rPr>
          <w:u w:val="single"/>
          <w:lang w:eastAsia="bg-BG"/>
        </w:rPr>
        <w:t>дигоксин</w:t>
      </w:r>
      <w:proofErr w:type="spellEnd"/>
      <w:r w:rsidRPr="00264E1A">
        <w:rPr>
          <w:u w:val="single"/>
          <w:lang w:eastAsia="bg-BG"/>
        </w:rPr>
        <w:t xml:space="preserve"> води до увеличаване на бионаличността на </w:t>
      </w:r>
      <w:proofErr w:type="spellStart"/>
      <w:r w:rsidRPr="00264E1A">
        <w:rPr>
          <w:u w:val="single"/>
          <w:lang w:eastAsia="bg-BG"/>
        </w:rPr>
        <w:t>дигоксин</w:t>
      </w:r>
      <w:proofErr w:type="spellEnd"/>
      <w:r w:rsidRPr="00264E1A">
        <w:rPr>
          <w:u w:val="single"/>
          <w:lang w:eastAsia="bg-BG"/>
        </w:rPr>
        <w:t xml:space="preserve"> с 10%. Има редки съобщения за </w:t>
      </w:r>
      <w:proofErr w:type="spellStart"/>
      <w:r w:rsidRPr="00264E1A">
        <w:rPr>
          <w:u w:val="single"/>
          <w:lang w:eastAsia="bg-BG"/>
        </w:rPr>
        <w:t>дигоксинова</w:t>
      </w:r>
      <w:proofErr w:type="spellEnd"/>
      <w:r w:rsidRPr="00264E1A">
        <w:rPr>
          <w:u w:val="single"/>
          <w:lang w:eastAsia="bg-BG"/>
        </w:rPr>
        <w:t xml:space="preserve"> токсичност. Все пак, когато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се дава във високи дози на пациенти с старческа възраст, трябва да се подхожда с повишено внимание, В тези случаи терапевтичният лекарствен мониторинг на </w:t>
      </w:r>
      <w:proofErr w:type="spellStart"/>
      <w:r w:rsidRPr="00264E1A">
        <w:rPr>
          <w:u w:val="single"/>
          <w:lang w:eastAsia="bg-BG"/>
        </w:rPr>
        <w:t>дигоксин</w:t>
      </w:r>
      <w:proofErr w:type="spellEnd"/>
      <w:r w:rsidRPr="00264E1A">
        <w:rPr>
          <w:u w:val="single"/>
          <w:lang w:eastAsia="bg-BG"/>
        </w:rPr>
        <w:t xml:space="preserve"> трябва да е по-интензивен.</w:t>
      </w:r>
    </w:p>
    <w:p w14:paraId="31612655" w14:textId="77777777" w:rsidR="00264E1A" w:rsidRDefault="00264E1A" w:rsidP="00264E1A">
      <w:pPr>
        <w:rPr>
          <w:i/>
          <w:iCs/>
          <w:lang w:eastAsia="bg-BG"/>
        </w:rPr>
      </w:pPr>
    </w:p>
    <w:p w14:paraId="5D44B2C2" w14:textId="25BF27A8" w:rsidR="00264E1A" w:rsidRPr="00264E1A" w:rsidRDefault="00264E1A" w:rsidP="00264E1A">
      <w:pPr>
        <w:rPr>
          <w:sz w:val="24"/>
          <w:szCs w:val="24"/>
          <w:u w:val="single"/>
        </w:rPr>
      </w:pPr>
      <w:proofErr w:type="spellStart"/>
      <w:r w:rsidRPr="00264E1A">
        <w:rPr>
          <w:i/>
          <w:iCs/>
          <w:u w:val="single"/>
          <w:lang w:eastAsia="bg-BG"/>
        </w:rPr>
        <w:t>Клопидогрел</w:t>
      </w:r>
      <w:proofErr w:type="spellEnd"/>
    </w:p>
    <w:p w14:paraId="2F8AAC0C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В кръстосано клинично изпитване </w:t>
      </w:r>
      <w:proofErr w:type="spellStart"/>
      <w:r w:rsidRPr="00264E1A">
        <w:rPr>
          <w:u w:val="single"/>
          <w:lang w:eastAsia="bg-BG"/>
        </w:rPr>
        <w:t>клопидогрел</w:t>
      </w:r>
      <w:proofErr w:type="spellEnd"/>
      <w:r w:rsidRPr="00264E1A">
        <w:rPr>
          <w:u w:val="single"/>
          <w:lang w:eastAsia="bg-BG"/>
        </w:rPr>
        <w:t xml:space="preserve"> (300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натоварваща доза, последвана от 75 </w:t>
      </w:r>
      <w:r w:rsidRPr="00264E1A">
        <w:rPr>
          <w:u w:val="single"/>
          <w:lang w:val="en-US"/>
        </w:rPr>
        <w:t>mg</w:t>
      </w:r>
      <w:r w:rsidRPr="00264E1A">
        <w:rPr>
          <w:u w:val="single"/>
          <w:lang w:eastAsia="bg-BG"/>
        </w:rPr>
        <w:t xml:space="preserve">/дневно) е прилаган самостоятелно и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(80 </w:t>
      </w:r>
      <w:r w:rsidRPr="00264E1A">
        <w:rPr>
          <w:u w:val="single"/>
          <w:lang w:val="en-US"/>
        </w:rPr>
        <w:t xml:space="preserve">mg </w:t>
      </w:r>
      <w:r w:rsidRPr="00264E1A">
        <w:rPr>
          <w:u w:val="single"/>
          <w:lang w:eastAsia="bg-BG"/>
        </w:rPr>
        <w:t xml:space="preserve">едновременно с </w:t>
      </w:r>
      <w:proofErr w:type="spellStart"/>
      <w:r w:rsidRPr="00264E1A">
        <w:rPr>
          <w:u w:val="single"/>
          <w:lang w:eastAsia="bg-BG"/>
        </w:rPr>
        <w:t>клопидогрел</w:t>
      </w:r>
      <w:proofErr w:type="spellEnd"/>
      <w:r w:rsidRPr="00264E1A">
        <w:rPr>
          <w:u w:val="single"/>
          <w:lang w:eastAsia="bg-BG"/>
        </w:rPr>
        <w:t xml:space="preserve">) в продължение на 5 дни. При едновременен прием на </w:t>
      </w:r>
      <w:proofErr w:type="spellStart"/>
      <w:r w:rsidRPr="00264E1A">
        <w:rPr>
          <w:u w:val="single"/>
          <w:lang w:eastAsia="bg-BG"/>
        </w:rPr>
        <w:t>клопидогрел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експозицията на активния метаболит на </w:t>
      </w:r>
      <w:proofErr w:type="spellStart"/>
      <w:r w:rsidRPr="00264E1A">
        <w:rPr>
          <w:u w:val="single"/>
          <w:lang w:eastAsia="bg-BG"/>
        </w:rPr>
        <w:t>клопидогрел</w:t>
      </w:r>
      <w:proofErr w:type="spellEnd"/>
      <w:r w:rsidRPr="00264E1A">
        <w:rPr>
          <w:u w:val="single"/>
          <w:lang w:eastAsia="bg-BG"/>
        </w:rPr>
        <w:t xml:space="preserve"> се понижава с 46% (ден 1) и с 42% (ден 5), При едновременен прием на </w:t>
      </w:r>
      <w:proofErr w:type="spellStart"/>
      <w:r w:rsidRPr="00264E1A">
        <w:rPr>
          <w:u w:val="single"/>
          <w:lang w:eastAsia="bg-BG"/>
        </w:rPr>
        <w:t>клопидогрел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омепраол</w:t>
      </w:r>
      <w:proofErr w:type="spellEnd"/>
      <w:r w:rsidRPr="00264E1A">
        <w:rPr>
          <w:u w:val="single"/>
          <w:lang w:eastAsia="bg-BG"/>
        </w:rPr>
        <w:t xml:space="preserve"> средното инхибиране на </w:t>
      </w:r>
      <w:proofErr w:type="spellStart"/>
      <w:r w:rsidRPr="00264E1A">
        <w:rPr>
          <w:u w:val="single"/>
          <w:lang w:eastAsia="bg-BG"/>
        </w:rPr>
        <w:t>тромбоцитната</w:t>
      </w:r>
      <w:proofErr w:type="spellEnd"/>
      <w:r w:rsidRPr="00264E1A">
        <w:rPr>
          <w:u w:val="single"/>
          <w:lang w:eastAsia="bg-BG"/>
        </w:rPr>
        <w:t xml:space="preserve"> </w:t>
      </w:r>
      <w:proofErr w:type="spellStart"/>
      <w:r w:rsidRPr="00264E1A">
        <w:rPr>
          <w:u w:val="single"/>
          <w:lang w:eastAsia="bg-BG"/>
        </w:rPr>
        <w:t>агрегапия</w:t>
      </w:r>
      <w:proofErr w:type="spellEnd"/>
      <w:r w:rsidRPr="00264E1A">
        <w:rPr>
          <w:u w:val="single"/>
          <w:lang w:eastAsia="bg-BG"/>
        </w:rPr>
        <w:t xml:space="preserve"> (ИТА) се понижава с 47% (на 24-ия час) и с 30 % (ден 5). Друго изпитване показва, че приемът на </w:t>
      </w:r>
      <w:proofErr w:type="spellStart"/>
      <w:r w:rsidRPr="00264E1A">
        <w:rPr>
          <w:u w:val="single"/>
          <w:lang w:eastAsia="bg-BG"/>
        </w:rPr>
        <w:t>клопидогрел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по различно време не предотвратява развитието на взаимодействие, което вероятно се дължи на инхибиращия ефект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по отношение на </w:t>
      </w:r>
      <w:r w:rsidRPr="00264E1A">
        <w:rPr>
          <w:u w:val="single"/>
          <w:lang w:val="en-US"/>
        </w:rPr>
        <w:t xml:space="preserve">CYPC19. </w:t>
      </w:r>
      <w:r w:rsidRPr="00264E1A">
        <w:rPr>
          <w:u w:val="single"/>
          <w:lang w:eastAsia="bg-BG"/>
        </w:rPr>
        <w:t xml:space="preserve">От </w:t>
      </w:r>
      <w:proofErr w:type="spellStart"/>
      <w:r w:rsidRPr="00264E1A">
        <w:rPr>
          <w:u w:val="single"/>
          <w:lang w:eastAsia="bg-BG"/>
        </w:rPr>
        <w:t>обсеовапионни</w:t>
      </w:r>
      <w:proofErr w:type="spellEnd"/>
      <w:r w:rsidRPr="00264E1A">
        <w:rPr>
          <w:u w:val="single"/>
          <w:lang w:eastAsia="bg-BG"/>
        </w:rPr>
        <w:t xml:space="preserve"> и клинични изпитвания има нееднозначни по </w:t>
      </w:r>
      <w:proofErr w:type="spellStart"/>
      <w:r w:rsidRPr="00264E1A">
        <w:rPr>
          <w:u w:val="single"/>
          <w:lang w:eastAsia="bg-BG"/>
        </w:rPr>
        <w:t>отнишение</w:t>
      </w:r>
      <w:proofErr w:type="spellEnd"/>
      <w:r w:rsidRPr="00264E1A">
        <w:rPr>
          <w:u w:val="single"/>
          <w:lang w:eastAsia="bg-BG"/>
        </w:rPr>
        <w:t xml:space="preserve"> на значимите сърдечно-съдови инциденти данни за това </w:t>
      </w:r>
      <w:proofErr w:type="spellStart"/>
      <w:r w:rsidRPr="00264E1A">
        <w:rPr>
          <w:u w:val="single"/>
          <w:lang w:eastAsia="bg-BG"/>
        </w:rPr>
        <w:t>фармакокинетично</w:t>
      </w:r>
      <w:proofErr w:type="spellEnd"/>
      <w:r w:rsidRPr="00264E1A">
        <w:rPr>
          <w:u w:val="single"/>
          <w:lang w:eastAsia="bg-BG"/>
        </w:rPr>
        <w:t>/</w:t>
      </w:r>
      <w:proofErr w:type="spellStart"/>
      <w:r w:rsidRPr="00264E1A">
        <w:rPr>
          <w:u w:val="single"/>
          <w:lang w:eastAsia="bg-BG"/>
        </w:rPr>
        <w:t>фармакодинамично</w:t>
      </w:r>
      <w:proofErr w:type="spellEnd"/>
      <w:r w:rsidRPr="00264E1A">
        <w:rPr>
          <w:u w:val="single"/>
          <w:lang w:eastAsia="bg-BG"/>
        </w:rPr>
        <w:t xml:space="preserve"> взаимодействие.</w:t>
      </w:r>
    </w:p>
    <w:p w14:paraId="7FF99B13" w14:textId="77777777" w:rsidR="00264E1A" w:rsidRDefault="00264E1A" w:rsidP="00264E1A">
      <w:pPr>
        <w:rPr>
          <w:i/>
          <w:iCs/>
          <w:lang w:eastAsia="bg-BG"/>
        </w:rPr>
      </w:pPr>
    </w:p>
    <w:p w14:paraId="75F70D97" w14:textId="3CE38888" w:rsidR="00264E1A" w:rsidRPr="00264E1A" w:rsidRDefault="00264E1A" w:rsidP="00264E1A">
      <w:pPr>
        <w:rPr>
          <w:sz w:val="24"/>
          <w:szCs w:val="24"/>
        </w:rPr>
      </w:pPr>
      <w:r w:rsidRPr="00264E1A">
        <w:rPr>
          <w:i/>
          <w:iCs/>
          <w:lang w:eastAsia="bg-BG"/>
        </w:rPr>
        <w:t>Други активни субстанции</w:t>
      </w:r>
    </w:p>
    <w:p w14:paraId="21D153C4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Резорбцията на </w:t>
      </w:r>
      <w:proofErr w:type="spellStart"/>
      <w:r w:rsidRPr="00264E1A">
        <w:rPr>
          <w:u w:val="single"/>
          <w:lang w:eastAsia="bg-BG"/>
        </w:rPr>
        <w:t>позаконазол</w:t>
      </w:r>
      <w:proofErr w:type="spellEnd"/>
      <w:r w:rsidRPr="00264E1A">
        <w:rPr>
          <w:u w:val="single"/>
          <w:lang w:eastAsia="bg-BG"/>
        </w:rPr>
        <w:t xml:space="preserve">. </w:t>
      </w:r>
      <w:proofErr w:type="spellStart"/>
      <w:r w:rsidRPr="00264E1A">
        <w:rPr>
          <w:u w:val="single"/>
          <w:lang w:eastAsia="bg-BG"/>
        </w:rPr>
        <w:t>ерлотиниб</w:t>
      </w:r>
      <w:proofErr w:type="spellEnd"/>
      <w:r w:rsidRPr="00264E1A">
        <w:rPr>
          <w:u w:val="single"/>
          <w:lang w:eastAsia="bg-BG"/>
        </w:rPr>
        <w:t xml:space="preserve">, </w:t>
      </w:r>
      <w:proofErr w:type="spellStart"/>
      <w:r w:rsidRPr="00264E1A">
        <w:rPr>
          <w:u w:val="single"/>
          <w:lang w:eastAsia="bg-BG"/>
        </w:rPr>
        <w:t>кетоконазол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итраконазол</w:t>
      </w:r>
      <w:proofErr w:type="spellEnd"/>
      <w:r w:rsidRPr="00264E1A">
        <w:rPr>
          <w:u w:val="single"/>
          <w:lang w:eastAsia="bg-BG"/>
        </w:rPr>
        <w:t xml:space="preserve"> намалява значително и по този начин може да се наруши клиничната им ефикасност. При </w:t>
      </w:r>
      <w:proofErr w:type="spellStart"/>
      <w:r w:rsidRPr="00264E1A">
        <w:rPr>
          <w:u w:val="single"/>
          <w:lang w:eastAsia="bg-BG"/>
        </w:rPr>
        <w:t>позаконазол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ерлотиниб</w:t>
      </w:r>
      <w:proofErr w:type="spellEnd"/>
      <w:r w:rsidRPr="00264E1A">
        <w:rPr>
          <w:u w:val="single"/>
          <w:lang w:eastAsia="bg-BG"/>
        </w:rPr>
        <w:t xml:space="preserve"> трябва да се избягва едновременното приложение.</w:t>
      </w:r>
    </w:p>
    <w:p w14:paraId="23D4FC66" w14:textId="77777777" w:rsidR="00264E1A" w:rsidRDefault="00264E1A" w:rsidP="00264E1A">
      <w:pPr>
        <w:rPr>
          <w:i/>
          <w:iCs/>
          <w:lang w:eastAsia="bg-BG"/>
        </w:rPr>
      </w:pPr>
    </w:p>
    <w:p w14:paraId="76874E0E" w14:textId="6BDD4CB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i/>
          <w:iCs/>
          <w:u w:val="single"/>
          <w:lang w:eastAsia="bg-BG"/>
        </w:rPr>
        <w:t xml:space="preserve">Активни субстанции, които се </w:t>
      </w:r>
      <w:proofErr w:type="spellStart"/>
      <w:r w:rsidRPr="00264E1A">
        <w:rPr>
          <w:i/>
          <w:iCs/>
          <w:u w:val="single"/>
          <w:lang w:eastAsia="bg-BG"/>
        </w:rPr>
        <w:t>метаболизират</w:t>
      </w:r>
      <w:proofErr w:type="spellEnd"/>
      <w:r w:rsidRPr="00264E1A">
        <w:rPr>
          <w:i/>
          <w:iCs/>
          <w:u w:val="single"/>
          <w:lang w:eastAsia="bg-BG"/>
        </w:rPr>
        <w:t xml:space="preserve"> от </w:t>
      </w:r>
      <w:r w:rsidRPr="00264E1A">
        <w:rPr>
          <w:i/>
          <w:iCs/>
          <w:u w:val="single"/>
          <w:lang w:val="en-US"/>
        </w:rPr>
        <w:t>CYPC19</w:t>
      </w:r>
    </w:p>
    <w:p w14:paraId="3FCA76B5" w14:textId="77777777" w:rsidR="00264E1A" w:rsidRPr="00264E1A" w:rsidRDefault="00264E1A" w:rsidP="00264E1A">
      <w:pPr>
        <w:rPr>
          <w:sz w:val="24"/>
          <w:szCs w:val="24"/>
          <w:u w:val="single"/>
        </w:rPr>
      </w:pP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инхибира в умерена степен </w:t>
      </w:r>
      <w:r w:rsidRPr="00264E1A">
        <w:rPr>
          <w:u w:val="single"/>
          <w:lang w:val="en-US"/>
        </w:rPr>
        <w:t xml:space="preserve">CYPC19 </w:t>
      </w:r>
      <w:r w:rsidRPr="00264E1A">
        <w:rPr>
          <w:u w:val="single"/>
          <w:lang w:eastAsia="bg-BG"/>
        </w:rPr>
        <w:t xml:space="preserve">- основният ензим, който го </w:t>
      </w:r>
      <w:proofErr w:type="spellStart"/>
      <w:r w:rsidRPr="00264E1A">
        <w:rPr>
          <w:u w:val="single"/>
          <w:lang w:eastAsia="bg-BG"/>
        </w:rPr>
        <w:t>метаболизира</w:t>
      </w:r>
      <w:proofErr w:type="spellEnd"/>
      <w:r w:rsidRPr="00264E1A">
        <w:rPr>
          <w:u w:val="single"/>
          <w:lang w:eastAsia="bg-BG"/>
        </w:rPr>
        <w:t xml:space="preserve">. Поради това </w:t>
      </w:r>
      <w:proofErr w:type="spellStart"/>
      <w:r w:rsidRPr="00264E1A">
        <w:rPr>
          <w:u w:val="single"/>
          <w:lang w:eastAsia="bg-BG"/>
        </w:rPr>
        <w:t>метаболизирането</w:t>
      </w:r>
      <w:proofErr w:type="spellEnd"/>
      <w:r w:rsidRPr="00264E1A">
        <w:rPr>
          <w:u w:val="single"/>
          <w:lang w:eastAsia="bg-BG"/>
        </w:rPr>
        <w:t xml:space="preserve"> на приемани с него активни вещества, които също се </w:t>
      </w:r>
      <w:proofErr w:type="spellStart"/>
      <w:r w:rsidRPr="00264E1A">
        <w:rPr>
          <w:u w:val="single"/>
          <w:lang w:eastAsia="bg-BG"/>
        </w:rPr>
        <w:t>метаболизират</w:t>
      </w:r>
      <w:proofErr w:type="spellEnd"/>
      <w:r w:rsidRPr="00264E1A">
        <w:rPr>
          <w:u w:val="single"/>
          <w:lang w:eastAsia="bg-BG"/>
        </w:rPr>
        <w:t xml:space="preserve"> от </w:t>
      </w:r>
      <w:r w:rsidRPr="00264E1A">
        <w:rPr>
          <w:u w:val="single"/>
          <w:lang w:val="en-US"/>
        </w:rPr>
        <w:t xml:space="preserve">CYPC19. </w:t>
      </w:r>
      <w:r w:rsidRPr="00264E1A">
        <w:rPr>
          <w:u w:val="single"/>
          <w:lang w:eastAsia="bg-BG"/>
        </w:rPr>
        <w:t xml:space="preserve">може да се </w:t>
      </w:r>
      <w:proofErr w:type="spellStart"/>
      <w:r w:rsidRPr="00264E1A">
        <w:rPr>
          <w:u w:val="single"/>
          <w:lang w:eastAsia="bg-BG"/>
        </w:rPr>
        <w:t>подтисне</w:t>
      </w:r>
      <w:proofErr w:type="spellEnd"/>
      <w:r w:rsidRPr="00264E1A">
        <w:rPr>
          <w:u w:val="single"/>
          <w:lang w:eastAsia="bg-BG"/>
        </w:rPr>
        <w:t xml:space="preserve"> и системната експозиция на тези вещества да се увеличи. Примери за такива лекарства са </w:t>
      </w:r>
      <w:r w:rsidRPr="00264E1A">
        <w:rPr>
          <w:u w:val="single"/>
          <w:lang w:val="en-US"/>
        </w:rPr>
        <w:t>R</w:t>
      </w:r>
      <w:r w:rsidRPr="00264E1A">
        <w:rPr>
          <w:u w:val="single"/>
          <w:lang w:eastAsia="bg-BG"/>
        </w:rPr>
        <w:t>-</w:t>
      </w:r>
      <w:proofErr w:type="spellStart"/>
      <w:r w:rsidRPr="00264E1A">
        <w:rPr>
          <w:u w:val="single"/>
          <w:lang w:eastAsia="bg-BG"/>
        </w:rPr>
        <w:t>варфарин</w:t>
      </w:r>
      <w:proofErr w:type="spellEnd"/>
      <w:r w:rsidRPr="00264E1A">
        <w:rPr>
          <w:u w:val="single"/>
          <w:lang w:eastAsia="bg-BG"/>
        </w:rPr>
        <w:t xml:space="preserve"> и други </w:t>
      </w:r>
      <w:proofErr w:type="spellStart"/>
      <w:r w:rsidRPr="00264E1A">
        <w:rPr>
          <w:u w:val="single"/>
          <w:lang w:eastAsia="bg-BG"/>
        </w:rPr>
        <w:t>натагонисти</w:t>
      </w:r>
      <w:proofErr w:type="spellEnd"/>
      <w:r w:rsidRPr="00264E1A">
        <w:rPr>
          <w:u w:val="single"/>
          <w:lang w:eastAsia="bg-BG"/>
        </w:rPr>
        <w:t xml:space="preserve"> на витамин К. </w:t>
      </w:r>
      <w:proofErr w:type="spellStart"/>
      <w:r w:rsidRPr="00264E1A">
        <w:rPr>
          <w:u w:val="single"/>
          <w:lang w:eastAsia="bg-BG"/>
        </w:rPr>
        <w:t>цилостазол</w:t>
      </w:r>
      <w:proofErr w:type="spellEnd"/>
      <w:r w:rsidRPr="00264E1A">
        <w:rPr>
          <w:u w:val="single"/>
          <w:lang w:eastAsia="bg-BG"/>
        </w:rPr>
        <w:t xml:space="preserve">, диазепам и </w:t>
      </w:r>
      <w:proofErr w:type="spellStart"/>
      <w:r w:rsidRPr="00264E1A">
        <w:rPr>
          <w:u w:val="single"/>
          <w:lang w:eastAsia="bg-BG"/>
        </w:rPr>
        <w:t>фенитоин</w:t>
      </w:r>
      <w:proofErr w:type="spellEnd"/>
      <w:r w:rsidRPr="00264E1A">
        <w:rPr>
          <w:u w:val="single"/>
          <w:lang w:eastAsia="bg-BG"/>
        </w:rPr>
        <w:t>.</w:t>
      </w:r>
    </w:p>
    <w:p w14:paraId="27686AFE" w14:textId="77777777" w:rsidR="00264E1A" w:rsidRDefault="00264E1A" w:rsidP="00264E1A">
      <w:pPr>
        <w:rPr>
          <w:i/>
          <w:iCs/>
          <w:lang w:eastAsia="bg-BG"/>
        </w:rPr>
      </w:pPr>
    </w:p>
    <w:p w14:paraId="5538CEE6" w14:textId="036DD3F1" w:rsidR="00264E1A" w:rsidRPr="00264E1A" w:rsidRDefault="00264E1A" w:rsidP="00264E1A">
      <w:pPr>
        <w:rPr>
          <w:sz w:val="24"/>
          <w:szCs w:val="24"/>
          <w:u w:val="single"/>
        </w:rPr>
      </w:pPr>
      <w:proofErr w:type="spellStart"/>
      <w:r w:rsidRPr="00264E1A">
        <w:rPr>
          <w:i/>
          <w:iCs/>
          <w:u w:val="single"/>
          <w:lang w:eastAsia="bg-BG"/>
        </w:rPr>
        <w:t>Цилостазол</w:t>
      </w:r>
      <w:proofErr w:type="spellEnd"/>
    </w:p>
    <w:p w14:paraId="7F6642E4" w14:textId="77777777" w:rsidR="00264E1A" w:rsidRPr="00264E1A" w:rsidRDefault="00264E1A" w:rsidP="00264E1A">
      <w:pPr>
        <w:rPr>
          <w:sz w:val="24"/>
          <w:szCs w:val="24"/>
          <w:u w:val="single"/>
        </w:rPr>
      </w:pP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, прилаган при здрави доброволци в кръстосано изпитване в доза 40 </w:t>
      </w:r>
      <w:r w:rsidRPr="00264E1A">
        <w:rPr>
          <w:u w:val="single"/>
          <w:lang w:val="en-US"/>
        </w:rPr>
        <w:t xml:space="preserve">mg, </w:t>
      </w:r>
      <w:r w:rsidRPr="00264E1A">
        <w:rPr>
          <w:u w:val="single"/>
          <w:lang w:eastAsia="bg-BG"/>
        </w:rPr>
        <w:t>повишава С</w:t>
      </w:r>
      <w:r w:rsidRPr="00264E1A">
        <w:rPr>
          <w:u w:val="single"/>
          <w:vertAlign w:val="subscript"/>
          <w:lang w:val="en-US"/>
        </w:rPr>
        <w:t>max</w:t>
      </w:r>
      <w:r w:rsidRPr="00264E1A">
        <w:rPr>
          <w:u w:val="single"/>
          <w:lang w:eastAsia="bg-BG"/>
        </w:rPr>
        <w:t xml:space="preserve"> и </w:t>
      </w:r>
      <w:r w:rsidRPr="00264E1A">
        <w:rPr>
          <w:u w:val="single"/>
          <w:lang w:val="en-US"/>
        </w:rPr>
        <w:t xml:space="preserve">AUC </w:t>
      </w:r>
      <w:r w:rsidRPr="00264E1A">
        <w:rPr>
          <w:u w:val="single"/>
          <w:lang w:eastAsia="bg-BG"/>
        </w:rPr>
        <w:t xml:space="preserve">на </w:t>
      </w:r>
      <w:proofErr w:type="spellStart"/>
      <w:r w:rsidRPr="00264E1A">
        <w:rPr>
          <w:u w:val="single"/>
          <w:lang w:eastAsia="bg-BG"/>
        </w:rPr>
        <w:t>цилостазол</w:t>
      </w:r>
      <w:proofErr w:type="spellEnd"/>
      <w:r w:rsidRPr="00264E1A">
        <w:rPr>
          <w:u w:val="single"/>
          <w:lang w:eastAsia="bg-BG"/>
        </w:rPr>
        <w:t xml:space="preserve"> съответно с 18% и 26%, а на един от активните му метаболити - съответно с 29% и 69%.</w:t>
      </w:r>
    </w:p>
    <w:p w14:paraId="76DFD150" w14:textId="77777777" w:rsidR="00264E1A" w:rsidRDefault="00264E1A" w:rsidP="00264E1A">
      <w:pPr>
        <w:rPr>
          <w:i/>
          <w:iCs/>
          <w:lang w:eastAsia="bg-BG"/>
        </w:rPr>
      </w:pPr>
    </w:p>
    <w:p w14:paraId="11210FE7" w14:textId="77A45863" w:rsidR="00264E1A" w:rsidRPr="00264E1A" w:rsidRDefault="00264E1A" w:rsidP="00264E1A">
      <w:pPr>
        <w:rPr>
          <w:sz w:val="24"/>
          <w:szCs w:val="24"/>
          <w:u w:val="single"/>
        </w:rPr>
      </w:pPr>
      <w:proofErr w:type="spellStart"/>
      <w:r w:rsidRPr="00264E1A">
        <w:rPr>
          <w:i/>
          <w:iCs/>
          <w:u w:val="single"/>
          <w:lang w:eastAsia="bg-BG"/>
        </w:rPr>
        <w:t>Фенитоин</w:t>
      </w:r>
      <w:proofErr w:type="spellEnd"/>
    </w:p>
    <w:p w14:paraId="3C6BDA20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По време на първите две седмици след започване на лечение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се препоръчва контрол на плазмената концентрация на </w:t>
      </w:r>
      <w:proofErr w:type="spellStart"/>
      <w:r w:rsidRPr="00264E1A">
        <w:rPr>
          <w:u w:val="single"/>
          <w:lang w:eastAsia="bg-BG"/>
        </w:rPr>
        <w:t>фенитоин</w:t>
      </w:r>
      <w:proofErr w:type="spellEnd"/>
      <w:r w:rsidRPr="00264E1A">
        <w:rPr>
          <w:u w:val="single"/>
          <w:lang w:eastAsia="bg-BG"/>
        </w:rPr>
        <w:t xml:space="preserve"> и. ако се прави корекция на дозата на </w:t>
      </w:r>
      <w:proofErr w:type="spellStart"/>
      <w:r w:rsidRPr="00264E1A">
        <w:rPr>
          <w:u w:val="single"/>
          <w:lang w:eastAsia="bg-BG"/>
        </w:rPr>
        <w:t>Фенитоина</w:t>
      </w:r>
      <w:proofErr w:type="spellEnd"/>
      <w:r w:rsidRPr="00264E1A">
        <w:rPr>
          <w:u w:val="single"/>
          <w:lang w:eastAsia="bg-BG"/>
        </w:rPr>
        <w:t xml:space="preserve">. след края на лечението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плазмената концентрация на </w:t>
      </w:r>
      <w:proofErr w:type="spellStart"/>
      <w:r w:rsidRPr="00264E1A">
        <w:rPr>
          <w:u w:val="single"/>
          <w:lang w:eastAsia="bg-BG"/>
        </w:rPr>
        <w:t>фенитоин</w:t>
      </w:r>
      <w:proofErr w:type="spellEnd"/>
      <w:r w:rsidRPr="00264E1A">
        <w:rPr>
          <w:u w:val="single"/>
          <w:lang w:eastAsia="bg-BG"/>
        </w:rPr>
        <w:t xml:space="preserve"> трябва да се проследи отново и дозата му да се коригира.</w:t>
      </w:r>
    </w:p>
    <w:p w14:paraId="13E5F2E8" w14:textId="77777777" w:rsidR="00264E1A" w:rsidRDefault="00264E1A" w:rsidP="00264E1A">
      <w:pPr>
        <w:rPr>
          <w:lang w:eastAsia="bg-BG"/>
        </w:rPr>
      </w:pPr>
    </w:p>
    <w:p w14:paraId="109BC2DD" w14:textId="16D8BD61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>Неизвестен механизъм</w:t>
      </w:r>
    </w:p>
    <w:p w14:paraId="09A8412B" w14:textId="77777777" w:rsidR="00264E1A" w:rsidRDefault="00264E1A" w:rsidP="00264E1A">
      <w:pPr>
        <w:rPr>
          <w:i/>
          <w:iCs/>
          <w:lang w:eastAsia="bg-BG"/>
        </w:rPr>
      </w:pPr>
    </w:p>
    <w:p w14:paraId="43ABAABF" w14:textId="47517393" w:rsidR="00264E1A" w:rsidRDefault="00264E1A" w:rsidP="00264E1A">
      <w:pPr>
        <w:rPr>
          <w:i/>
          <w:iCs/>
          <w:lang w:eastAsia="bg-BG"/>
        </w:rPr>
      </w:pPr>
      <w:proofErr w:type="spellStart"/>
      <w:r w:rsidRPr="00264E1A">
        <w:rPr>
          <w:i/>
          <w:iCs/>
          <w:lang w:eastAsia="bg-BG"/>
        </w:rPr>
        <w:t>Саквинавир</w:t>
      </w:r>
      <w:proofErr w:type="spellEnd"/>
    </w:p>
    <w:p w14:paraId="0E748455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Едновременното приложение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саквинавир</w:t>
      </w:r>
      <w:proofErr w:type="spellEnd"/>
      <w:r w:rsidRPr="00264E1A">
        <w:rPr>
          <w:u w:val="single"/>
          <w:lang w:eastAsia="bg-BG"/>
        </w:rPr>
        <w:t xml:space="preserve">/ритонавир води до повишаване на плазмената концентрация на </w:t>
      </w:r>
      <w:proofErr w:type="spellStart"/>
      <w:r w:rsidRPr="00264E1A">
        <w:rPr>
          <w:u w:val="single"/>
          <w:lang w:eastAsia="bg-BG"/>
        </w:rPr>
        <w:t>саквинавир</w:t>
      </w:r>
      <w:proofErr w:type="spellEnd"/>
      <w:r w:rsidRPr="00264E1A">
        <w:rPr>
          <w:u w:val="single"/>
          <w:lang w:eastAsia="bg-BG"/>
        </w:rPr>
        <w:t xml:space="preserve"> с до приблизително 70%. като при инфектирани с </w:t>
      </w:r>
      <w:r w:rsidRPr="00264E1A">
        <w:rPr>
          <w:u w:val="single"/>
          <w:lang w:val="en-US"/>
        </w:rPr>
        <w:t xml:space="preserve">HIV </w:t>
      </w:r>
      <w:r w:rsidRPr="00264E1A">
        <w:rPr>
          <w:u w:val="single"/>
          <w:lang w:eastAsia="bg-BG"/>
        </w:rPr>
        <w:t>пациенти това е свързано с добра поносимост.</w:t>
      </w:r>
    </w:p>
    <w:p w14:paraId="3CF123BB" w14:textId="77777777" w:rsidR="00264E1A" w:rsidRDefault="00264E1A" w:rsidP="00264E1A">
      <w:pPr>
        <w:rPr>
          <w:i/>
          <w:iCs/>
          <w:lang w:eastAsia="bg-BG"/>
        </w:rPr>
      </w:pPr>
    </w:p>
    <w:p w14:paraId="27056E8C" w14:textId="6EC2A998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i/>
          <w:iCs/>
          <w:lang w:eastAsia="bg-BG"/>
        </w:rPr>
        <w:t>Такролимус</w:t>
      </w:r>
      <w:proofErr w:type="spellEnd"/>
    </w:p>
    <w:p w14:paraId="166EB725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Има съобщения, че едновременният прием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повишава серумните стойности на </w:t>
      </w:r>
      <w:proofErr w:type="spellStart"/>
      <w:r w:rsidRPr="00264E1A">
        <w:rPr>
          <w:u w:val="single"/>
          <w:lang w:eastAsia="bg-BG"/>
        </w:rPr>
        <w:t>такролимус</w:t>
      </w:r>
      <w:proofErr w:type="spellEnd"/>
      <w:r w:rsidRPr="00264E1A">
        <w:rPr>
          <w:u w:val="single"/>
          <w:lang w:eastAsia="bg-BG"/>
        </w:rPr>
        <w:t xml:space="preserve">. Необходим е по-интензивен мониторинг на концентрациите на </w:t>
      </w:r>
      <w:proofErr w:type="spellStart"/>
      <w:r w:rsidRPr="00264E1A">
        <w:rPr>
          <w:u w:val="single"/>
          <w:lang w:eastAsia="bg-BG"/>
        </w:rPr>
        <w:t>такролимус</w:t>
      </w:r>
      <w:proofErr w:type="spellEnd"/>
      <w:r w:rsidRPr="00264E1A">
        <w:rPr>
          <w:u w:val="single"/>
          <w:lang w:eastAsia="bg-BG"/>
        </w:rPr>
        <w:t>. като трябва да се следи и бъбречната Функция (</w:t>
      </w:r>
      <w:proofErr w:type="spellStart"/>
      <w:r w:rsidRPr="00264E1A">
        <w:rPr>
          <w:u w:val="single"/>
          <w:lang w:eastAsia="bg-BG"/>
        </w:rPr>
        <w:t>креатининов</w:t>
      </w:r>
      <w:proofErr w:type="spellEnd"/>
      <w:r w:rsidRPr="00264E1A">
        <w:rPr>
          <w:u w:val="single"/>
          <w:lang w:eastAsia="bg-BG"/>
        </w:rPr>
        <w:t xml:space="preserve"> клирънс), а при нужда дозата на </w:t>
      </w:r>
      <w:proofErr w:type="spellStart"/>
      <w:r w:rsidRPr="00264E1A">
        <w:rPr>
          <w:u w:val="single"/>
          <w:lang w:eastAsia="bg-BG"/>
        </w:rPr>
        <w:t>такролимус</w:t>
      </w:r>
      <w:proofErr w:type="spellEnd"/>
      <w:r w:rsidRPr="00264E1A">
        <w:rPr>
          <w:u w:val="single"/>
          <w:lang w:eastAsia="bg-BG"/>
        </w:rPr>
        <w:t xml:space="preserve"> трябва да се коригира.</w:t>
      </w:r>
    </w:p>
    <w:p w14:paraId="1AB6B822" w14:textId="77777777" w:rsidR="00264E1A" w:rsidRDefault="00264E1A" w:rsidP="00264E1A">
      <w:pPr>
        <w:rPr>
          <w:i/>
          <w:iCs/>
          <w:lang w:eastAsia="bg-BG"/>
        </w:rPr>
      </w:pPr>
    </w:p>
    <w:p w14:paraId="3074C874" w14:textId="3BFAAC74" w:rsidR="00264E1A" w:rsidRPr="00264E1A" w:rsidRDefault="00264E1A" w:rsidP="00264E1A">
      <w:pPr>
        <w:rPr>
          <w:sz w:val="24"/>
          <w:szCs w:val="24"/>
        </w:rPr>
      </w:pPr>
      <w:proofErr w:type="spellStart"/>
      <w:r w:rsidRPr="00264E1A">
        <w:rPr>
          <w:i/>
          <w:iCs/>
          <w:lang w:eastAsia="bg-BG"/>
        </w:rPr>
        <w:t>Метпотрексат</w:t>
      </w:r>
      <w:proofErr w:type="spellEnd"/>
    </w:p>
    <w:p w14:paraId="0B3AE4F5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Когато се прилага заедно с инхибитори на </w:t>
      </w:r>
      <w:proofErr w:type="spellStart"/>
      <w:r w:rsidRPr="00264E1A">
        <w:rPr>
          <w:u w:val="single"/>
          <w:lang w:eastAsia="bg-BG"/>
        </w:rPr>
        <w:t>протонната</w:t>
      </w:r>
      <w:proofErr w:type="spellEnd"/>
      <w:r w:rsidRPr="00264E1A">
        <w:rPr>
          <w:u w:val="single"/>
          <w:lang w:eastAsia="bg-BG"/>
        </w:rPr>
        <w:t xml:space="preserve"> помпа, стойностите на </w:t>
      </w:r>
      <w:proofErr w:type="spellStart"/>
      <w:r w:rsidRPr="00264E1A">
        <w:rPr>
          <w:u w:val="single"/>
          <w:lang w:eastAsia="bg-BG"/>
        </w:rPr>
        <w:t>метотрексат</w:t>
      </w:r>
      <w:proofErr w:type="spellEnd"/>
      <w:r w:rsidRPr="00264E1A">
        <w:rPr>
          <w:u w:val="single"/>
          <w:lang w:eastAsia="bg-BG"/>
        </w:rPr>
        <w:t xml:space="preserve"> се повишават при някои пациенти. При прием на високи дози </w:t>
      </w:r>
      <w:proofErr w:type="spellStart"/>
      <w:r w:rsidRPr="00264E1A">
        <w:rPr>
          <w:u w:val="single"/>
          <w:lang w:eastAsia="bg-BG"/>
        </w:rPr>
        <w:t>метотрексат</w:t>
      </w:r>
      <w:proofErr w:type="spellEnd"/>
      <w:r w:rsidRPr="00264E1A">
        <w:rPr>
          <w:u w:val="single"/>
          <w:lang w:eastAsia="bg-BG"/>
        </w:rPr>
        <w:t xml:space="preserve"> може да се наложи временно прекратяване на лечението с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>.</w:t>
      </w:r>
    </w:p>
    <w:p w14:paraId="05AB0E3A" w14:textId="77777777" w:rsidR="00264E1A" w:rsidRDefault="00264E1A" w:rsidP="00264E1A">
      <w:pPr>
        <w:rPr>
          <w:u w:val="single"/>
          <w:lang w:eastAsia="bg-BG"/>
        </w:rPr>
      </w:pPr>
    </w:p>
    <w:p w14:paraId="6D6E442C" w14:textId="09F48BFD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Влияние на други активни субстанции върху Фармакокинетиката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</w:p>
    <w:p w14:paraId="149890E0" w14:textId="77777777" w:rsidR="00264E1A" w:rsidRDefault="00264E1A" w:rsidP="00264E1A">
      <w:pPr>
        <w:rPr>
          <w:i/>
          <w:iCs/>
          <w:lang w:eastAsia="bg-BG"/>
        </w:rPr>
      </w:pPr>
    </w:p>
    <w:p w14:paraId="3A3A3C87" w14:textId="23371E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i/>
          <w:iCs/>
          <w:u w:val="single"/>
          <w:lang w:eastAsia="bg-BG"/>
        </w:rPr>
        <w:t xml:space="preserve">Инхибитори на </w:t>
      </w:r>
      <w:r w:rsidRPr="00264E1A">
        <w:rPr>
          <w:i/>
          <w:iCs/>
          <w:u w:val="single"/>
          <w:lang w:val="en-US"/>
        </w:rPr>
        <w:t xml:space="preserve">CYPC19 </w:t>
      </w:r>
      <w:r w:rsidRPr="00264E1A">
        <w:rPr>
          <w:i/>
          <w:iCs/>
          <w:u w:val="single"/>
          <w:lang w:eastAsia="bg-BG"/>
        </w:rPr>
        <w:t xml:space="preserve">и/или </w:t>
      </w:r>
      <w:r w:rsidRPr="00264E1A">
        <w:rPr>
          <w:i/>
          <w:iCs/>
          <w:u w:val="single"/>
          <w:lang w:val="en-US"/>
        </w:rPr>
        <w:t>CYP3A4</w:t>
      </w:r>
    </w:p>
    <w:p w14:paraId="6730DA49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 xml:space="preserve">Понеже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се </w:t>
      </w:r>
      <w:proofErr w:type="spellStart"/>
      <w:r w:rsidRPr="00264E1A">
        <w:rPr>
          <w:u w:val="single"/>
          <w:lang w:eastAsia="bg-BG"/>
        </w:rPr>
        <w:t>метаболизира</w:t>
      </w:r>
      <w:proofErr w:type="spellEnd"/>
      <w:r w:rsidRPr="00264E1A">
        <w:rPr>
          <w:u w:val="single"/>
          <w:lang w:eastAsia="bg-BG"/>
        </w:rPr>
        <w:t xml:space="preserve"> от </w:t>
      </w:r>
      <w:r w:rsidRPr="00264E1A">
        <w:rPr>
          <w:u w:val="single"/>
          <w:lang w:val="en-US"/>
        </w:rPr>
        <w:t>CYPC</w:t>
      </w:r>
      <w:r w:rsidRPr="00264E1A">
        <w:rPr>
          <w:u w:val="single"/>
          <w:lang w:eastAsia="bg-BG"/>
        </w:rPr>
        <w:t>19 и С</w:t>
      </w:r>
      <w:r w:rsidRPr="00264E1A">
        <w:rPr>
          <w:u w:val="single"/>
          <w:lang w:val="en-US"/>
        </w:rPr>
        <w:t>YP3</w:t>
      </w:r>
      <w:r w:rsidRPr="00264E1A">
        <w:rPr>
          <w:u w:val="single"/>
          <w:lang w:eastAsia="bg-BG"/>
        </w:rPr>
        <w:t xml:space="preserve">А4, активни субстанции, за които е известно, че инхибират </w:t>
      </w:r>
      <w:r w:rsidRPr="00264E1A">
        <w:rPr>
          <w:u w:val="single"/>
          <w:lang w:val="en-US"/>
        </w:rPr>
        <w:t xml:space="preserve">CYPC19 </w:t>
      </w:r>
      <w:r w:rsidRPr="00264E1A">
        <w:rPr>
          <w:u w:val="single"/>
          <w:lang w:eastAsia="bg-BG"/>
        </w:rPr>
        <w:t xml:space="preserve">или </w:t>
      </w:r>
      <w:r w:rsidRPr="00264E1A">
        <w:rPr>
          <w:u w:val="single"/>
          <w:lang w:val="en-US"/>
        </w:rPr>
        <w:t xml:space="preserve">CYP3A4 </w:t>
      </w:r>
      <w:r w:rsidRPr="00264E1A">
        <w:rPr>
          <w:u w:val="single"/>
          <w:lang w:eastAsia="bg-BG"/>
        </w:rPr>
        <w:t xml:space="preserve">(като </w:t>
      </w:r>
      <w:proofErr w:type="spellStart"/>
      <w:r w:rsidRPr="00264E1A">
        <w:rPr>
          <w:u w:val="single"/>
          <w:lang w:eastAsia="bg-BG"/>
        </w:rPr>
        <w:t>кларитромицин</w:t>
      </w:r>
      <w:proofErr w:type="spellEnd"/>
      <w:r w:rsidRPr="00264E1A">
        <w:rPr>
          <w:u w:val="single"/>
          <w:lang w:eastAsia="bg-BG"/>
        </w:rPr>
        <w:t xml:space="preserve"> и </w:t>
      </w:r>
      <w:proofErr w:type="spellStart"/>
      <w:r w:rsidRPr="00264E1A">
        <w:rPr>
          <w:u w:val="single"/>
          <w:lang w:eastAsia="bg-BG"/>
        </w:rPr>
        <w:t>вориконазол</w:t>
      </w:r>
      <w:proofErr w:type="spellEnd"/>
      <w:r w:rsidRPr="00264E1A">
        <w:rPr>
          <w:u w:val="single"/>
          <w:lang w:eastAsia="bg-BG"/>
        </w:rPr>
        <w:t xml:space="preserve">) могат да предизвикат повишаване на серумните нива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чрез потискане на </w:t>
      </w:r>
      <w:proofErr w:type="spellStart"/>
      <w:r w:rsidRPr="00264E1A">
        <w:rPr>
          <w:u w:val="single"/>
          <w:lang w:eastAsia="bg-BG"/>
        </w:rPr>
        <w:t>метаболизирането</w:t>
      </w:r>
      <w:proofErr w:type="spellEnd"/>
      <w:r w:rsidRPr="00264E1A">
        <w:rPr>
          <w:u w:val="single"/>
          <w:lang w:eastAsia="bg-BG"/>
        </w:rPr>
        <w:t xml:space="preserve"> му. Едновременният прием с </w:t>
      </w:r>
      <w:proofErr w:type="spellStart"/>
      <w:r w:rsidRPr="00264E1A">
        <w:rPr>
          <w:u w:val="single"/>
          <w:lang w:eastAsia="bg-BG"/>
        </w:rPr>
        <w:t>вориконазол</w:t>
      </w:r>
      <w:proofErr w:type="spellEnd"/>
      <w:r w:rsidRPr="00264E1A">
        <w:rPr>
          <w:u w:val="single"/>
          <w:lang w:eastAsia="bg-BG"/>
        </w:rPr>
        <w:t xml:space="preserve"> увеличава експозицията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. Понеже високите дози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се понасят добре, като цяло не се налага корекция на дозата му. Все пак при пациенти с тежко чернодробно увреждане, както и ако се налага продължително лечение, трябва да се има предвид корекция на дозата,</w:t>
      </w:r>
    </w:p>
    <w:p w14:paraId="7FACCCBB" w14:textId="77777777" w:rsidR="00264E1A" w:rsidRDefault="00264E1A" w:rsidP="00264E1A">
      <w:pPr>
        <w:rPr>
          <w:i/>
          <w:iCs/>
          <w:lang w:eastAsia="bg-BG"/>
        </w:rPr>
      </w:pPr>
    </w:p>
    <w:p w14:paraId="58331B27" w14:textId="59DC9E2B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i/>
          <w:iCs/>
          <w:u w:val="single"/>
          <w:lang w:eastAsia="bg-BG"/>
        </w:rPr>
        <w:t xml:space="preserve">Индуктори на </w:t>
      </w:r>
      <w:r w:rsidRPr="00264E1A">
        <w:rPr>
          <w:i/>
          <w:iCs/>
          <w:u w:val="single"/>
          <w:lang w:val="en-US"/>
        </w:rPr>
        <w:t xml:space="preserve">CYPC19 </w:t>
      </w:r>
      <w:r w:rsidRPr="00264E1A">
        <w:rPr>
          <w:i/>
          <w:iCs/>
          <w:u w:val="single"/>
          <w:lang w:eastAsia="bg-BG"/>
        </w:rPr>
        <w:t xml:space="preserve">и/или </w:t>
      </w:r>
      <w:r w:rsidRPr="00264E1A">
        <w:rPr>
          <w:i/>
          <w:iCs/>
          <w:u w:val="single"/>
          <w:lang w:val="en-US"/>
        </w:rPr>
        <w:t>CYP3A4</w:t>
      </w:r>
    </w:p>
    <w:p w14:paraId="3BA591F1" w14:textId="77777777" w:rsidR="00264E1A" w:rsidRPr="00264E1A" w:rsidRDefault="00264E1A" w:rsidP="00264E1A">
      <w:pPr>
        <w:rPr>
          <w:sz w:val="24"/>
          <w:szCs w:val="24"/>
          <w:u w:val="single"/>
        </w:rPr>
      </w:pPr>
      <w:r w:rsidRPr="00264E1A">
        <w:rPr>
          <w:u w:val="single"/>
          <w:lang w:eastAsia="bg-BG"/>
        </w:rPr>
        <w:t>Активните субстанции, за които е известно, че са индуктори на С</w:t>
      </w:r>
      <w:r w:rsidRPr="00264E1A">
        <w:rPr>
          <w:u w:val="single"/>
          <w:lang w:val="en-US"/>
        </w:rPr>
        <w:t>YPC</w:t>
      </w:r>
      <w:r w:rsidRPr="00264E1A">
        <w:rPr>
          <w:u w:val="single"/>
          <w:lang w:eastAsia="bg-BG"/>
        </w:rPr>
        <w:t>19 или С</w:t>
      </w:r>
      <w:r w:rsidRPr="00264E1A">
        <w:rPr>
          <w:u w:val="single"/>
          <w:lang w:val="en-US"/>
        </w:rPr>
        <w:t>YP3</w:t>
      </w:r>
      <w:r w:rsidRPr="00264E1A">
        <w:rPr>
          <w:u w:val="single"/>
          <w:lang w:eastAsia="bg-BG"/>
        </w:rPr>
        <w:t xml:space="preserve">А4 или и на двата ензима (като </w:t>
      </w:r>
      <w:proofErr w:type="spellStart"/>
      <w:r w:rsidRPr="00264E1A">
        <w:rPr>
          <w:u w:val="single"/>
          <w:lang w:eastAsia="bg-BG"/>
        </w:rPr>
        <w:t>рифампицин</w:t>
      </w:r>
      <w:proofErr w:type="spellEnd"/>
      <w:r w:rsidRPr="00264E1A">
        <w:rPr>
          <w:u w:val="single"/>
          <w:lang w:eastAsia="bg-BG"/>
        </w:rPr>
        <w:t xml:space="preserve"> и жълт кантарион), могат да предизвикат понижаване на серумните нива на </w:t>
      </w:r>
      <w:proofErr w:type="spellStart"/>
      <w:r w:rsidRPr="00264E1A">
        <w:rPr>
          <w:u w:val="single"/>
          <w:lang w:eastAsia="bg-BG"/>
        </w:rPr>
        <w:t>омепразол</w:t>
      </w:r>
      <w:proofErr w:type="spellEnd"/>
      <w:r w:rsidRPr="00264E1A">
        <w:rPr>
          <w:u w:val="single"/>
          <w:lang w:eastAsia="bg-BG"/>
        </w:rPr>
        <w:t xml:space="preserve"> чрез ускоряване на </w:t>
      </w:r>
      <w:proofErr w:type="spellStart"/>
      <w:r w:rsidRPr="00264E1A">
        <w:rPr>
          <w:u w:val="single"/>
          <w:lang w:eastAsia="bg-BG"/>
        </w:rPr>
        <w:t>метаболизирането</w:t>
      </w:r>
      <w:proofErr w:type="spellEnd"/>
      <w:r w:rsidRPr="00264E1A">
        <w:rPr>
          <w:u w:val="single"/>
          <w:lang w:eastAsia="bg-BG"/>
        </w:rPr>
        <w:t xml:space="preserve"> му.</w:t>
      </w:r>
    </w:p>
    <w:p w14:paraId="1ACBB535" w14:textId="77777777" w:rsidR="00264E1A" w:rsidRPr="00264E1A" w:rsidRDefault="00264E1A" w:rsidP="00264E1A">
      <w:pPr>
        <w:rPr>
          <w:sz w:val="24"/>
          <w:szCs w:val="24"/>
        </w:rPr>
      </w:pPr>
    </w:p>
    <w:p w14:paraId="39714CEA" w14:textId="77777777" w:rsidR="00264E1A" w:rsidRPr="00264E1A" w:rsidRDefault="00264E1A" w:rsidP="00264E1A"/>
    <w:p w14:paraId="2A6346D7" w14:textId="0E4D8C15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17A72A93" w14:textId="77777777" w:rsidR="00264E1A" w:rsidRDefault="00264E1A" w:rsidP="00264E1A">
      <w:pPr>
        <w:rPr>
          <w:lang w:eastAsia="bg-BG"/>
        </w:rPr>
      </w:pPr>
    </w:p>
    <w:p w14:paraId="286B705D" w14:textId="55DCEE19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Резултатите от три </w:t>
      </w:r>
      <w:proofErr w:type="spellStart"/>
      <w:r w:rsidRPr="00264E1A">
        <w:rPr>
          <w:lang w:eastAsia="bg-BG"/>
        </w:rPr>
        <w:t>проспективни</w:t>
      </w:r>
      <w:proofErr w:type="spellEnd"/>
      <w:r w:rsidRPr="00264E1A">
        <w:rPr>
          <w:lang w:eastAsia="bg-BG"/>
        </w:rPr>
        <w:t xml:space="preserve"> епидемиологични изпитвания (над 1 000 случая на експозиция) показват, че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няма нежелани ефекти върху бременността или здравето на </w:t>
      </w:r>
      <w:proofErr w:type="spellStart"/>
      <w:r w:rsidRPr="00264E1A">
        <w:rPr>
          <w:lang w:eastAsia="bg-BG"/>
        </w:rPr>
        <w:t>фетуса</w:t>
      </w:r>
      <w:proofErr w:type="spellEnd"/>
      <w:r w:rsidRPr="00264E1A">
        <w:rPr>
          <w:lang w:eastAsia="bg-BG"/>
        </w:rPr>
        <w:t xml:space="preserve">/новороденото дете.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може да се използва по време на бременност.</w:t>
      </w:r>
    </w:p>
    <w:p w14:paraId="5003C045" w14:textId="58260DF4" w:rsidR="00264E1A" w:rsidRDefault="00264E1A" w:rsidP="00264E1A">
      <w:pPr>
        <w:rPr>
          <w:lang w:eastAsia="bg-BG"/>
        </w:rPr>
      </w:pP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се излъчва в кърмата, но при приложението му в терапевтични дози не се очаква да окаже влияние върху детето.</w:t>
      </w:r>
    </w:p>
    <w:p w14:paraId="46F23B62" w14:textId="77777777" w:rsidR="00264E1A" w:rsidRPr="00264E1A" w:rsidRDefault="00264E1A" w:rsidP="00264E1A"/>
    <w:p w14:paraId="71DE6E9A" w14:textId="0BE05F61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39B7B84C" w14:textId="0318F5B0" w:rsidR="00264E1A" w:rsidRDefault="00264E1A" w:rsidP="00264E1A"/>
    <w:p w14:paraId="6F9621D3" w14:textId="4DB82D00" w:rsidR="00264E1A" w:rsidRDefault="00264E1A" w:rsidP="00264E1A">
      <w:r>
        <w:t xml:space="preserve">Не се очаква </w:t>
      </w:r>
      <w:proofErr w:type="spellStart"/>
      <w:r>
        <w:t>омепразол</w:t>
      </w:r>
      <w:proofErr w:type="spellEnd"/>
      <w:r>
        <w:t xml:space="preserve"> да повлияе способността за шофиране или работа с машини, Могат да се развият нежелани лекарствени реакции като замайване и нарушения на зрението (вж. точка 4.8). Ако се явят такива реакции, пациентите не трябва да шофират или да работят с машини</w:t>
      </w:r>
      <w:r>
        <w:t>.</w:t>
      </w:r>
    </w:p>
    <w:p w14:paraId="7AACAEBB" w14:textId="77777777" w:rsidR="00264E1A" w:rsidRPr="00264E1A" w:rsidRDefault="00264E1A" w:rsidP="00264E1A"/>
    <w:p w14:paraId="6698E6B8" w14:textId="2DA33696" w:rsidR="00C809A7" w:rsidRDefault="002C50EE" w:rsidP="00AA23EC">
      <w:pPr>
        <w:pStyle w:val="Heading2"/>
      </w:pPr>
      <w:r>
        <w:lastRenderedPageBreak/>
        <w:t>4.8. Нежелани лекарствени реакции</w:t>
      </w:r>
    </w:p>
    <w:p w14:paraId="53A07417" w14:textId="77777777" w:rsidR="00264E1A" w:rsidRDefault="00264E1A" w:rsidP="00264E1A">
      <w:pPr>
        <w:rPr>
          <w:lang w:eastAsia="bg-BG"/>
        </w:rPr>
      </w:pPr>
    </w:p>
    <w:p w14:paraId="4B254F7B" w14:textId="72C3910C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Най-честите нежелани лекарствени реакции (1-10% от пациентите) са: главоболие, болка в областта на корема, констипация, диария, </w:t>
      </w:r>
      <w:proofErr w:type="spellStart"/>
      <w:r w:rsidRPr="00264E1A">
        <w:rPr>
          <w:lang w:eastAsia="bg-BG"/>
        </w:rPr>
        <w:t>флатуленция</w:t>
      </w:r>
      <w:proofErr w:type="spellEnd"/>
      <w:r w:rsidRPr="00264E1A">
        <w:rPr>
          <w:lang w:eastAsia="bg-BG"/>
        </w:rPr>
        <w:t xml:space="preserve"> и гадене/повръщане.</w:t>
      </w:r>
    </w:p>
    <w:p w14:paraId="7166F60D" w14:textId="77777777" w:rsidR="00264E1A" w:rsidRPr="00264E1A" w:rsidRDefault="00264E1A" w:rsidP="00264E1A">
      <w:pPr>
        <w:rPr>
          <w:sz w:val="24"/>
          <w:szCs w:val="24"/>
        </w:rPr>
      </w:pPr>
      <w:r w:rsidRPr="00264E1A">
        <w:rPr>
          <w:lang w:eastAsia="bg-BG"/>
        </w:rPr>
        <w:t xml:space="preserve">Изброените по-долу нежелани лекарствени реакции са установени или развитието им е заподозряно в клиничните изпитвания на </w:t>
      </w:r>
      <w:proofErr w:type="spellStart"/>
      <w:r w:rsidRPr="00264E1A">
        <w:rPr>
          <w:lang w:eastAsia="bg-BG"/>
        </w:rPr>
        <w:t>омепразол</w:t>
      </w:r>
      <w:proofErr w:type="spellEnd"/>
      <w:r w:rsidRPr="00264E1A">
        <w:rPr>
          <w:lang w:eastAsia="bg-BG"/>
        </w:rPr>
        <w:t xml:space="preserve"> и в </w:t>
      </w:r>
      <w:proofErr w:type="spellStart"/>
      <w:r w:rsidRPr="00264E1A">
        <w:rPr>
          <w:lang w:eastAsia="bg-BG"/>
        </w:rPr>
        <w:t>постмаркетинговия</w:t>
      </w:r>
      <w:proofErr w:type="spellEnd"/>
      <w:r w:rsidRPr="00264E1A">
        <w:rPr>
          <w:lang w:eastAsia="bg-BG"/>
        </w:rPr>
        <w:t xml:space="preserve"> период. За нито една не е установено да е </w:t>
      </w:r>
      <w:proofErr w:type="spellStart"/>
      <w:r w:rsidRPr="00264E1A">
        <w:rPr>
          <w:lang w:eastAsia="bg-BG"/>
        </w:rPr>
        <w:t>дозозависима</w:t>
      </w:r>
      <w:proofErr w:type="spellEnd"/>
      <w:r w:rsidRPr="00264E1A">
        <w:rPr>
          <w:lang w:eastAsia="bg-BG"/>
        </w:rPr>
        <w:t>.</w:t>
      </w:r>
    </w:p>
    <w:p w14:paraId="2862D64A" w14:textId="77777777" w:rsidR="00264E1A" w:rsidRDefault="00264E1A" w:rsidP="00264E1A">
      <w:pPr>
        <w:rPr>
          <w:lang w:eastAsia="bg-BG"/>
        </w:rPr>
      </w:pPr>
    </w:p>
    <w:p w14:paraId="6971ED4F" w14:textId="13FBB3BB" w:rsidR="00264E1A" w:rsidRDefault="00264E1A" w:rsidP="00264E1A">
      <w:pPr>
        <w:rPr>
          <w:lang w:eastAsia="bg-BG"/>
        </w:rPr>
      </w:pPr>
      <w:r w:rsidRPr="00264E1A">
        <w:rPr>
          <w:lang w:eastAsia="bg-BG"/>
        </w:rPr>
        <w:t xml:space="preserve">Изброените по-долу нежелани лекарствени реакции са класифицирани според честотата и </w:t>
      </w:r>
      <w:proofErr w:type="spellStart"/>
      <w:r w:rsidRPr="00264E1A">
        <w:rPr>
          <w:lang w:eastAsia="bg-BG"/>
        </w:rPr>
        <w:t>системо</w:t>
      </w:r>
      <w:proofErr w:type="spellEnd"/>
      <w:r w:rsidRPr="00264E1A">
        <w:rPr>
          <w:lang w:eastAsia="bg-BG"/>
        </w:rPr>
        <w:t>- органния клас (СОК). Категориите за честота са дефинирани съгласно следната конвенция: Много чести (</w:t>
      </w:r>
      <w:r w:rsidRPr="00264E1A">
        <w:rPr>
          <w:lang w:val="en-US"/>
        </w:rPr>
        <w:t>≥</w:t>
      </w:r>
      <w:r w:rsidRPr="00264E1A">
        <w:rPr>
          <w:lang w:eastAsia="bg-BG"/>
        </w:rPr>
        <w:t>1/10), Чести (</w:t>
      </w:r>
      <w:r w:rsidRPr="00264E1A">
        <w:rPr>
          <w:lang w:val="en-US"/>
        </w:rPr>
        <w:t>≥</w:t>
      </w:r>
      <w:r w:rsidRPr="00264E1A">
        <w:rPr>
          <w:lang w:eastAsia="bg-BG"/>
        </w:rPr>
        <w:t>1/100 до &lt;1/10), Нечести (</w:t>
      </w:r>
      <w:r w:rsidRPr="00264E1A">
        <w:rPr>
          <w:lang w:val="en-US"/>
        </w:rPr>
        <w:t>≥</w:t>
      </w:r>
      <w:r w:rsidRPr="00264E1A">
        <w:rPr>
          <w:lang w:eastAsia="bg-BG"/>
        </w:rPr>
        <w:t>1/1 000 до &lt;1/100), Редки (</w:t>
      </w:r>
      <w:r w:rsidRPr="00264E1A">
        <w:rPr>
          <w:lang w:val="en-US"/>
        </w:rPr>
        <w:t>≥</w:t>
      </w:r>
      <w:r w:rsidRPr="00264E1A">
        <w:rPr>
          <w:lang w:eastAsia="bg-BG"/>
        </w:rPr>
        <w:t>1/10 000 до &lt;1/1000), Много редки (&lt;1/10 000), С неизвестна честота (от наличните данни не може да бъде направена оценка).</w:t>
      </w:r>
    </w:p>
    <w:p w14:paraId="3A2AD9E3" w14:textId="18F5A1D9" w:rsidR="00264E1A" w:rsidRDefault="00264E1A" w:rsidP="00264E1A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073"/>
      </w:tblGrid>
      <w:tr w:rsidR="00264E1A" w14:paraId="5DDA0AE2" w14:textId="77777777" w:rsidTr="00264E1A">
        <w:tc>
          <w:tcPr>
            <w:tcW w:w="4503" w:type="dxa"/>
            <w:vAlign w:val="bottom"/>
          </w:tcPr>
          <w:p w14:paraId="0BBCF902" w14:textId="76CCD894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>СОК/честота</w:t>
            </w:r>
          </w:p>
        </w:tc>
        <w:tc>
          <w:tcPr>
            <w:tcW w:w="5073" w:type="dxa"/>
            <w:vAlign w:val="bottom"/>
          </w:tcPr>
          <w:p w14:paraId="6BA96D7B" w14:textId="2B9D9197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>Нежелана реакция</w:t>
            </w:r>
          </w:p>
        </w:tc>
      </w:tr>
      <w:tr w:rsidR="00264E1A" w14:paraId="17E4AD0A" w14:textId="77777777" w:rsidTr="00582AAE">
        <w:tc>
          <w:tcPr>
            <w:tcW w:w="9576" w:type="dxa"/>
            <w:gridSpan w:val="2"/>
            <w:vAlign w:val="bottom"/>
          </w:tcPr>
          <w:p w14:paraId="0A37C09B" w14:textId="579FDCED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>Нарушения на кръвта и лимфната система</w:t>
            </w:r>
          </w:p>
        </w:tc>
      </w:tr>
      <w:tr w:rsidR="00264E1A" w14:paraId="7D19867F" w14:textId="77777777" w:rsidTr="00264E1A">
        <w:tc>
          <w:tcPr>
            <w:tcW w:w="4503" w:type="dxa"/>
          </w:tcPr>
          <w:p w14:paraId="3ACF0AFC" w14:textId="70CE872E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33E541C9" w14:textId="3E24F23D" w:rsidR="00264E1A" w:rsidRDefault="00264E1A" w:rsidP="00264E1A">
            <w:proofErr w:type="spellStart"/>
            <w:r>
              <w:t>Левкопения</w:t>
            </w:r>
            <w:proofErr w:type="spellEnd"/>
            <w:r>
              <w:t xml:space="preserve">, </w:t>
            </w:r>
            <w:proofErr w:type="spellStart"/>
            <w:r>
              <w:t>тромбоцитопения</w:t>
            </w:r>
            <w:proofErr w:type="spellEnd"/>
          </w:p>
        </w:tc>
      </w:tr>
      <w:tr w:rsidR="00264E1A" w14:paraId="74FBAF33" w14:textId="77777777" w:rsidTr="00264E1A">
        <w:tc>
          <w:tcPr>
            <w:tcW w:w="4503" w:type="dxa"/>
          </w:tcPr>
          <w:p w14:paraId="5749A51B" w14:textId="2A6DD1D2" w:rsidR="00264E1A" w:rsidRDefault="00264E1A" w:rsidP="00264E1A">
            <w:r>
              <w:t>Много редки</w:t>
            </w:r>
          </w:p>
        </w:tc>
        <w:tc>
          <w:tcPr>
            <w:tcW w:w="5073" w:type="dxa"/>
          </w:tcPr>
          <w:p w14:paraId="3F4FD719" w14:textId="52173FF4" w:rsidR="00264E1A" w:rsidRDefault="00264E1A" w:rsidP="00264E1A">
            <w:proofErr w:type="spellStart"/>
            <w:r>
              <w:t>Агранулоцитоза</w:t>
            </w:r>
            <w:proofErr w:type="spellEnd"/>
            <w:r>
              <w:t xml:space="preserve">, </w:t>
            </w:r>
            <w:proofErr w:type="spellStart"/>
            <w:r>
              <w:t>панцитопения</w:t>
            </w:r>
            <w:proofErr w:type="spellEnd"/>
          </w:p>
        </w:tc>
      </w:tr>
      <w:tr w:rsidR="00264E1A" w14:paraId="4F674261" w14:textId="77777777" w:rsidTr="006D553D">
        <w:tc>
          <w:tcPr>
            <w:tcW w:w="9576" w:type="dxa"/>
            <w:gridSpan w:val="2"/>
          </w:tcPr>
          <w:p w14:paraId="3909FE22" w14:textId="4D99A26E" w:rsidR="00264E1A" w:rsidRPr="006C40E9" w:rsidRDefault="00264E1A" w:rsidP="00264E1A">
            <w:pPr>
              <w:rPr>
                <w:b/>
                <w:bCs/>
                <w:sz w:val="24"/>
                <w:szCs w:val="24"/>
              </w:rPr>
            </w:pPr>
            <w:r w:rsidRPr="006C40E9">
              <w:rPr>
                <w:b/>
                <w:bCs/>
                <w:lang w:eastAsia="bg-BG"/>
              </w:rPr>
              <w:t>Нарушения на имунната система</w:t>
            </w:r>
          </w:p>
        </w:tc>
      </w:tr>
      <w:tr w:rsidR="00264E1A" w14:paraId="64053822" w14:textId="77777777" w:rsidTr="00264E1A">
        <w:tc>
          <w:tcPr>
            <w:tcW w:w="4503" w:type="dxa"/>
          </w:tcPr>
          <w:p w14:paraId="476A6FE2" w14:textId="7AEB7B6D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5953197A" w14:textId="36EB0ACC" w:rsidR="00264E1A" w:rsidRDefault="00264E1A" w:rsidP="00264E1A">
            <w:r>
              <w:t xml:space="preserve">Реакции на свръхчувствителност, напр. </w:t>
            </w:r>
            <w:proofErr w:type="spellStart"/>
            <w:r>
              <w:t>фебрилитет</w:t>
            </w:r>
            <w:proofErr w:type="spellEnd"/>
            <w:r>
              <w:t xml:space="preserve">, ангиоедем и </w:t>
            </w:r>
            <w:proofErr w:type="spellStart"/>
            <w:r>
              <w:t>анафилактични</w:t>
            </w:r>
            <w:proofErr w:type="spellEnd"/>
            <w:r>
              <w:t xml:space="preserve"> реакции/шок</w:t>
            </w:r>
          </w:p>
        </w:tc>
      </w:tr>
      <w:tr w:rsidR="00264E1A" w14:paraId="6B0A6A09" w14:textId="77777777" w:rsidTr="009A52D6">
        <w:tc>
          <w:tcPr>
            <w:tcW w:w="9576" w:type="dxa"/>
            <w:gridSpan w:val="2"/>
          </w:tcPr>
          <w:p w14:paraId="45D081A5" w14:textId="540C913A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>Нарушения на метаболизма и храненето</w:t>
            </w:r>
          </w:p>
        </w:tc>
      </w:tr>
      <w:tr w:rsidR="00264E1A" w14:paraId="41817D42" w14:textId="77777777" w:rsidTr="00264E1A">
        <w:tc>
          <w:tcPr>
            <w:tcW w:w="4503" w:type="dxa"/>
          </w:tcPr>
          <w:p w14:paraId="0992C5F9" w14:textId="5B48D1A3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5EC187BE" w14:textId="139F4298" w:rsidR="00264E1A" w:rsidRDefault="00264E1A" w:rsidP="00264E1A">
            <w:proofErr w:type="spellStart"/>
            <w:r>
              <w:t>Хипонатриемия</w:t>
            </w:r>
            <w:proofErr w:type="spellEnd"/>
          </w:p>
        </w:tc>
      </w:tr>
      <w:tr w:rsidR="00264E1A" w14:paraId="4E16FDE0" w14:textId="77777777" w:rsidTr="00264E1A">
        <w:tc>
          <w:tcPr>
            <w:tcW w:w="4503" w:type="dxa"/>
          </w:tcPr>
          <w:p w14:paraId="1FAF22C6" w14:textId="5FCA75AB" w:rsidR="00264E1A" w:rsidRDefault="00264E1A" w:rsidP="00264E1A">
            <w:r>
              <w:t>С неизвестна честота</w:t>
            </w:r>
          </w:p>
        </w:tc>
        <w:tc>
          <w:tcPr>
            <w:tcW w:w="5073" w:type="dxa"/>
          </w:tcPr>
          <w:p w14:paraId="1CD5B895" w14:textId="751100A7" w:rsidR="00264E1A" w:rsidRDefault="00264E1A" w:rsidP="00264E1A">
            <w:proofErr w:type="spellStart"/>
            <w:r>
              <w:t>Хипомагнезиемия</w:t>
            </w:r>
            <w:proofErr w:type="spellEnd"/>
            <w:r>
              <w:t xml:space="preserve"> (вж. точка 4.4)</w:t>
            </w:r>
          </w:p>
        </w:tc>
      </w:tr>
      <w:tr w:rsidR="00264E1A" w14:paraId="0080438D" w14:textId="77777777" w:rsidTr="00014636">
        <w:tc>
          <w:tcPr>
            <w:tcW w:w="9576" w:type="dxa"/>
            <w:gridSpan w:val="2"/>
          </w:tcPr>
          <w:p w14:paraId="6BA3A866" w14:textId="6594E047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>Психични нарушения</w:t>
            </w:r>
          </w:p>
        </w:tc>
      </w:tr>
      <w:tr w:rsidR="00264E1A" w14:paraId="4E03183F" w14:textId="77777777" w:rsidTr="00264E1A">
        <w:tc>
          <w:tcPr>
            <w:tcW w:w="4503" w:type="dxa"/>
          </w:tcPr>
          <w:p w14:paraId="53AC1A50" w14:textId="3080D71C" w:rsidR="00264E1A" w:rsidRDefault="00264E1A" w:rsidP="00264E1A">
            <w:r>
              <w:t>Нечести</w:t>
            </w:r>
          </w:p>
        </w:tc>
        <w:tc>
          <w:tcPr>
            <w:tcW w:w="5073" w:type="dxa"/>
          </w:tcPr>
          <w:p w14:paraId="0C7A61B5" w14:textId="59C92117" w:rsidR="00264E1A" w:rsidRDefault="00264E1A" w:rsidP="00264E1A">
            <w:proofErr w:type="spellStart"/>
            <w:r>
              <w:t>Инсомния</w:t>
            </w:r>
            <w:proofErr w:type="spellEnd"/>
          </w:p>
        </w:tc>
      </w:tr>
      <w:tr w:rsidR="00264E1A" w14:paraId="46712A73" w14:textId="77777777" w:rsidTr="00264E1A">
        <w:tc>
          <w:tcPr>
            <w:tcW w:w="4503" w:type="dxa"/>
          </w:tcPr>
          <w:p w14:paraId="67C60B44" w14:textId="140759FB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33AB1C80" w14:textId="7913B7DD" w:rsidR="00264E1A" w:rsidRDefault="00264E1A" w:rsidP="00264E1A">
            <w:r>
              <w:t>Тревожност, обърканост, депресия</w:t>
            </w:r>
          </w:p>
        </w:tc>
      </w:tr>
      <w:tr w:rsidR="00264E1A" w14:paraId="2BA2DE9C" w14:textId="77777777" w:rsidTr="00264E1A">
        <w:tc>
          <w:tcPr>
            <w:tcW w:w="4503" w:type="dxa"/>
          </w:tcPr>
          <w:p w14:paraId="7E765058" w14:textId="048196A5" w:rsidR="00264E1A" w:rsidRDefault="00264E1A" w:rsidP="00264E1A">
            <w:r>
              <w:t>Много редки</w:t>
            </w:r>
          </w:p>
        </w:tc>
        <w:tc>
          <w:tcPr>
            <w:tcW w:w="5073" w:type="dxa"/>
          </w:tcPr>
          <w:p w14:paraId="1BF5469E" w14:textId="7A7CE711" w:rsidR="00264E1A" w:rsidRDefault="00264E1A" w:rsidP="00264E1A">
            <w:r>
              <w:t>Агресивност, халюцинации</w:t>
            </w:r>
          </w:p>
        </w:tc>
      </w:tr>
      <w:tr w:rsidR="00264E1A" w14:paraId="1934108F" w14:textId="77777777" w:rsidTr="00700D77">
        <w:tc>
          <w:tcPr>
            <w:tcW w:w="9576" w:type="dxa"/>
            <w:gridSpan w:val="2"/>
          </w:tcPr>
          <w:p w14:paraId="7A4737C9" w14:textId="70847228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>Нарушения на нервната система</w:t>
            </w:r>
          </w:p>
        </w:tc>
      </w:tr>
      <w:tr w:rsidR="00264E1A" w14:paraId="04C1B07E" w14:textId="77777777" w:rsidTr="00264E1A">
        <w:tc>
          <w:tcPr>
            <w:tcW w:w="4503" w:type="dxa"/>
          </w:tcPr>
          <w:p w14:paraId="7D6BFF35" w14:textId="76CED27D" w:rsidR="00264E1A" w:rsidRDefault="00264E1A" w:rsidP="00264E1A">
            <w:r>
              <w:t>Чести</w:t>
            </w:r>
          </w:p>
        </w:tc>
        <w:tc>
          <w:tcPr>
            <w:tcW w:w="5073" w:type="dxa"/>
          </w:tcPr>
          <w:p w14:paraId="332A9C7A" w14:textId="776E0310" w:rsidR="00264E1A" w:rsidRDefault="00264E1A" w:rsidP="00264E1A">
            <w:r>
              <w:t>Главоболие</w:t>
            </w:r>
          </w:p>
        </w:tc>
      </w:tr>
      <w:tr w:rsidR="00264E1A" w14:paraId="14C53A1C" w14:textId="77777777" w:rsidTr="00264E1A">
        <w:tc>
          <w:tcPr>
            <w:tcW w:w="4503" w:type="dxa"/>
          </w:tcPr>
          <w:p w14:paraId="159C7FC8" w14:textId="52786E2E" w:rsidR="00264E1A" w:rsidRDefault="00264E1A" w:rsidP="00264E1A">
            <w:proofErr w:type="spellStart"/>
            <w:r>
              <w:t>Нечесги</w:t>
            </w:r>
            <w:proofErr w:type="spellEnd"/>
          </w:p>
        </w:tc>
        <w:tc>
          <w:tcPr>
            <w:tcW w:w="5073" w:type="dxa"/>
          </w:tcPr>
          <w:p w14:paraId="2FDEE35D" w14:textId="7127ADCE" w:rsidR="00264E1A" w:rsidRDefault="00264E1A" w:rsidP="00264E1A">
            <w:r>
              <w:t xml:space="preserve">Замайване, </w:t>
            </w:r>
            <w:proofErr w:type="spellStart"/>
            <w:r>
              <w:t>парестезии</w:t>
            </w:r>
            <w:proofErr w:type="spellEnd"/>
            <w:r>
              <w:t xml:space="preserve">, </w:t>
            </w:r>
            <w:proofErr w:type="spellStart"/>
            <w:r>
              <w:t>сомнолентност</w:t>
            </w:r>
            <w:proofErr w:type="spellEnd"/>
          </w:p>
        </w:tc>
      </w:tr>
      <w:tr w:rsidR="00264E1A" w14:paraId="7D753D3B" w14:textId="77777777" w:rsidTr="00264E1A">
        <w:tc>
          <w:tcPr>
            <w:tcW w:w="4503" w:type="dxa"/>
          </w:tcPr>
          <w:p w14:paraId="6D52F70C" w14:textId="1A43A289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22DC6E03" w14:textId="2FBF2E6C" w:rsidR="00264E1A" w:rsidRDefault="00264E1A" w:rsidP="00264E1A">
            <w:r>
              <w:t>Нарушения на вкуса</w:t>
            </w:r>
          </w:p>
        </w:tc>
      </w:tr>
      <w:tr w:rsidR="00264E1A" w14:paraId="3D496A95" w14:textId="77777777" w:rsidTr="00975F5A">
        <w:tc>
          <w:tcPr>
            <w:tcW w:w="9576" w:type="dxa"/>
            <w:gridSpan w:val="2"/>
          </w:tcPr>
          <w:p w14:paraId="41FA6033" w14:textId="3A8496D2" w:rsidR="00264E1A" w:rsidRPr="006C40E9" w:rsidRDefault="00264E1A" w:rsidP="00264E1A">
            <w:pPr>
              <w:rPr>
                <w:b/>
                <w:bCs/>
                <w:sz w:val="24"/>
                <w:szCs w:val="24"/>
              </w:rPr>
            </w:pPr>
            <w:r w:rsidRPr="006C40E9">
              <w:rPr>
                <w:b/>
                <w:bCs/>
                <w:lang w:eastAsia="bg-BG"/>
              </w:rPr>
              <w:t>Нарушения на очите</w:t>
            </w:r>
          </w:p>
        </w:tc>
      </w:tr>
      <w:tr w:rsidR="00264E1A" w14:paraId="2366947D" w14:textId="77777777" w:rsidTr="00264E1A">
        <w:tc>
          <w:tcPr>
            <w:tcW w:w="4503" w:type="dxa"/>
          </w:tcPr>
          <w:p w14:paraId="448A98BD" w14:textId="44E4EF70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141276DC" w14:textId="1DC275CB" w:rsidR="00264E1A" w:rsidRDefault="00264E1A" w:rsidP="00264E1A">
            <w:r>
              <w:t>Замъглено виждане</w:t>
            </w:r>
          </w:p>
        </w:tc>
      </w:tr>
      <w:tr w:rsidR="00264E1A" w14:paraId="11B5F89B" w14:textId="77777777" w:rsidTr="00BE1E98">
        <w:tc>
          <w:tcPr>
            <w:tcW w:w="9576" w:type="dxa"/>
            <w:gridSpan w:val="2"/>
          </w:tcPr>
          <w:p w14:paraId="1695F3C8" w14:textId="0A846080" w:rsidR="00264E1A" w:rsidRPr="006C40E9" w:rsidRDefault="00264E1A" w:rsidP="00264E1A">
            <w:pPr>
              <w:rPr>
                <w:b/>
                <w:bCs/>
                <w:sz w:val="24"/>
                <w:szCs w:val="24"/>
              </w:rPr>
            </w:pPr>
            <w:r w:rsidRPr="006C40E9">
              <w:rPr>
                <w:b/>
                <w:bCs/>
                <w:lang w:eastAsia="bg-BG"/>
              </w:rPr>
              <w:t>Нарушения на ухото и лабиринта</w:t>
            </w:r>
          </w:p>
        </w:tc>
      </w:tr>
      <w:tr w:rsidR="00264E1A" w14:paraId="42766A11" w14:textId="77777777" w:rsidTr="00264E1A">
        <w:tc>
          <w:tcPr>
            <w:tcW w:w="4503" w:type="dxa"/>
          </w:tcPr>
          <w:p w14:paraId="0D0F0796" w14:textId="34F6F4C0" w:rsidR="00264E1A" w:rsidRDefault="00264E1A" w:rsidP="00264E1A">
            <w:r>
              <w:t>Нечести</w:t>
            </w:r>
          </w:p>
        </w:tc>
        <w:tc>
          <w:tcPr>
            <w:tcW w:w="5073" w:type="dxa"/>
          </w:tcPr>
          <w:p w14:paraId="14A2BE97" w14:textId="01183DE6" w:rsidR="00264E1A" w:rsidRDefault="00264E1A" w:rsidP="00264E1A">
            <w:proofErr w:type="spellStart"/>
            <w:r>
              <w:t>Вертиго</w:t>
            </w:r>
            <w:proofErr w:type="spellEnd"/>
          </w:p>
        </w:tc>
      </w:tr>
      <w:tr w:rsidR="00264E1A" w14:paraId="3DB831D7" w14:textId="77777777" w:rsidTr="004138AE">
        <w:tc>
          <w:tcPr>
            <w:tcW w:w="9576" w:type="dxa"/>
            <w:gridSpan w:val="2"/>
          </w:tcPr>
          <w:p w14:paraId="69A017A6" w14:textId="5A187FF1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 xml:space="preserve">Респираторни, гръдни и </w:t>
            </w:r>
            <w:proofErr w:type="spellStart"/>
            <w:r w:rsidRPr="006C40E9">
              <w:rPr>
                <w:b/>
                <w:bCs/>
              </w:rPr>
              <w:t>медиастинални</w:t>
            </w:r>
            <w:proofErr w:type="spellEnd"/>
            <w:r w:rsidRPr="006C40E9">
              <w:rPr>
                <w:b/>
                <w:bCs/>
              </w:rPr>
              <w:t xml:space="preserve"> нарушения</w:t>
            </w:r>
          </w:p>
        </w:tc>
      </w:tr>
      <w:tr w:rsidR="00264E1A" w14:paraId="73F58AFB" w14:textId="77777777" w:rsidTr="00264E1A">
        <w:tc>
          <w:tcPr>
            <w:tcW w:w="4503" w:type="dxa"/>
          </w:tcPr>
          <w:p w14:paraId="5E5CEC94" w14:textId="3FC314A4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2DECE40D" w14:textId="39FB9B77" w:rsidR="00264E1A" w:rsidRDefault="00264E1A" w:rsidP="00264E1A">
            <w:proofErr w:type="spellStart"/>
            <w:r>
              <w:t>Бронхоспазъм</w:t>
            </w:r>
            <w:proofErr w:type="spellEnd"/>
          </w:p>
        </w:tc>
      </w:tr>
      <w:tr w:rsidR="00264E1A" w14:paraId="604563C1" w14:textId="77777777" w:rsidTr="008C0FFB">
        <w:tc>
          <w:tcPr>
            <w:tcW w:w="9576" w:type="dxa"/>
            <w:gridSpan w:val="2"/>
          </w:tcPr>
          <w:p w14:paraId="4572CD93" w14:textId="4FB28841" w:rsidR="00264E1A" w:rsidRPr="006C40E9" w:rsidRDefault="00264E1A" w:rsidP="00264E1A">
            <w:pPr>
              <w:rPr>
                <w:b/>
                <w:bCs/>
                <w:sz w:val="24"/>
                <w:szCs w:val="24"/>
              </w:rPr>
            </w:pPr>
            <w:r w:rsidRPr="006C40E9">
              <w:rPr>
                <w:b/>
                <w:bCs/>
                <w:lang w:eastAsia="bg-BG"/>
              </w:rPr>
              <w:t>Стомашно-чревни нарушения</w:t>
            </w:r>
          </w:p>
        </w:tc>
      </w:tr>
      <w:tr w:rsidR="00264E1A" w14:paraId="51FE3890" w14:textId="77777777" w:rsidTr="00264E1A">
        <w:tc>
          <w:tcPr>
            <w:tcW w:w="4503" w:type="dxa"/>
          </w:tcPr>
          <w:p w14:paraId="6110DDC5" w14:textId="414B6CF3" w:rsidR="00264E1A" w:rsidRDefault="00264E1A" w:rsidP="00264E1A">
            <w:r>
              <w:t>Чести</w:t>
            </w:r>
          </w:p>
        </w:tc>
        <w:tc>
          <w:tcPr>
            <w:tcW w:w="5073" w:type="dxa"/>
          </w:tcPr>
          <w:p w14:paraId="5F18B5AB" w14:textId="059F8DD5" w:rsidR="00264E1A" w:rsidRDefault="00264E1A" w:rsidP="00264E1A">
            <w:r>
              <w:t xml:space="preserve">Болки в корема, констатация, диария, </w:t>
            </w:r>
            <w:proofErr w:type="spellStart"/>
            <w:r>
              <w:t>флатуленция</w:t>
            </w:r>
            <w:proofErr w:type="spellEnd"/>
            <w:r>
              <w:t>, гадене/повръщане, полипи на дъното (</w:t>
            </w:r>
            <w:proofErr w:type="spellStart"/>
            <w:r>
              <w:t>фундуса</w:t>
            </w:r>
            <w:proofErr w:type="spellEnd"/>
            <w:r>
              <w:t>) на стомаха (доброкачествени)</w:t>
            </w:r>
          </w:p>
        </w:tc>
      </w:tr>
      <w:tr w:rsidR="00264E1A" w14:paraId="456C8BEB" w14:textId="77777777" w:rsidTr="00264E1A">
        <w:tc>
          <w:tcPr>
            <w:tcW w:w="4503" w:type="dxa"/>
          </w:tcPr>
          <w:p w14:paraId="20CCC52E" w14:textId="5510D8E7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6AB53985" w14:textId="025DFC6D" w:rsidR="00264E1A" w:rsidRDefault="00264E1A" w:rsidP="00264E1A">
            <w:proofErr w:type="spellStart"/>
            <w:r>
              <w:t>Ксеростомия</w:t>
            </w:r>
            <w:proofErr w:type="spellEnd"/>
            <w:r>
              <w:t xml:space="preserve">, стоматит, стомашно-чревна </w:t>
            </w:r>
            <w:proofErr w:type="spellStart"/>
            <w:r>
              <w:t>кандидоза</w:t>
            </w:r>
            <w:proofErr w:type="spellEnd"/>
            <w:r>
              <w:t>, микроскопски колит</w:t>
            </w:r>
          </w:p>
        </w:tc>
      </w:tr>
      <w:tr w:rsidR="00264E1A" w14:paraId="04C4A57B" w14:textId="77777777" w:rsidTr="00B405FE">
        <w:tc>
          <w:tcPr>
            <w:tcW w:w="9576" w:type="dxa"/>
            <w:gridSpan w:val="2"/>
          </w:tcPr>
          <w:p w14:paraId="7570D5BD" w14:textId="5524F084" w:rsidR="00264E1A" w:rsidRPr="006C40E9" w:rsidRDefault="00264E1A" w:rsidP="00264E1A">
            <w:pPr>
              <w:rPr>
                <w:b/>
                <w:bCs/>
              </w:rPr>
            </w:pPr>
            <w:proofErr w:type="spellStart"/>
            <w:r w:rsidRPr="006C40E9">
              <w:rPr>
                <w:b/>
                <w:bCs/>
              </w:rPr>
              <w:lastRenderedPageBreak/>
              <w:t>Хепато-билиарни</w:t>
            </w:r>
            <w:proofErr w:type="spellEnd"/>
            <w:r w:rsidRPr="006C40E9">
              <w:rPr>
                <w:b/>
                <w:bCs/>
              </w:rPr>
              <w:t xml:space="preserve"> нарушения</w:t>
            </w:r>
          </w:p>
        </w:tc>
      </w:tr>
      <w:tr w:rsidR="00264E1A" w14:paraId="2ABAA9E1" w14:textId="77777777" w:rsidTr="00264E1A">
        <w:tc>
          <w:tcPr>
            <w:tcW w:w="4503" w:type="dxa"/>
          </w:tcPr>
          <w:p w14:paraId="070D0FDE" w14:textId="420D6E94" w:rsidR="00264E1A" w:rsidRDefault="00264E1A" w:rsidP="00264E1A">
            <w:proofErr w:type="spellStart"/>
            <w:r>
              <w:t>Нечесги</w:t>
            </w:r>
            <w:proofErr w:type="spellEnd"/>
          </w:p>
        </w:tc>
        <w:tc>
          <w:tcPr>
            <w:tcW w:w="5073" w:type="dxa"/>
          </w:tcPr>
          <w:p w14:paraId="1B266342" w14:textId="1857F5BD" w:rsidR="00264E1A" w:rsidRDefault="00264E1A" w:rsidP="00264E1A">
            <w:r>
              <w:t>Повишаване на чернодробните ензими</w:t>
            </w:r>
          </w:p>
        </w:tc>
      </w:tr>
      <w:tr w:rsidR="00264E1A" w14:paraId="7BD34E13" w14:textId="77777777" w:rsidTr="00264E1A">
        <w:tc>
          <w:tcPr>
            <w:tcW w:w="4503" w:type="dxa"/>
          </w:tcPr>
          <w:p w14:paraId="5613DA7A" w14:textId="017B2290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52B16DEF" w14:textId="6BE9AC0D" w:rsidR="00264E1A" w:rsidRDefault="00264E1A" w:rsidP="00264E1A">
            <w:r>
              <w:t xml:space="preserve">Хепатит със или без </w:t>
            </w:r>
            <w:proofErr w:type="spellStart"/>
            <w:r>
              <w:t>иктер</w:t>
            </w:r>
            <w:proofErr w:type="spellEnd"/>
          </w:p>
        </w:tc>
      </w:tr>
      <w:tr w:rsidR="00264E1A" w14:paraId="55BACA0D" w14:textId="77777777" w:rsidTr="00264E1A">
        <w:tc>
          <w:tcPr>
            <w:tcW w:w="4503" w:type="dxa"/>
          </w:tcPr>
          <w:p w14:paraId="74673073" w14:textId="7E7A6256" w:rsidR="00264E1A" w:rsidRDefault="00264E1A" w:rsidP="00264E1A">
            <w:r>
              <w:t>Много редки</w:t>
            </w:r>
          </w:p>
        </w:tc>
        <w:tc>
          <w:tcPr>
            <w:tcW w:w="5073" w:type="dxa"/>
          </w:tcPr>
          <w:p w14:paraId="35BAAE3A" w14:textId="381B6D1C" w:rsidR="00264E1A" w:rsidRDefault="00264E1A" w:rsidP="00264E1A">
            <w:r>
              <w:t>Чернодробна недостатъчност, енцефалопатия при пациенти с налично чернодробно заболяване</w:t>
            </w:r>
          </w:p>
        </w:tc>
      </w:tr>
      <w:tr w:rsidR="00264E1A" w14:paraId="67F240F6" w14:textId="77777777" w:rsidTr="00F773D2">
        <w:tc>
          <w:tcPr>
            <w:tcW w:w="9576" w:type="dxa"/>
            <w:gridSpan w:val="2"/>
          </w:tcPr>
          <w:p w14:paraId="0E477F7B" w14:textId="504AD266" w:rsidR="00264E1A" w:rsidRPr="006C40E9" w:rsidRDefault="00264E1A" w:rsidP="00264E1A">
            <w:pPr>
              <w:rPr>
                <w:b/>
                <w:bCs/>
                <w:sz w:val="24"/>
                <w:szCs w:val="24"/>
              </w:rPr>
            </w:pPr>
            <w:r w:rsidRPr="006C40E9">
              <w:rPr>
                <w:b/>
                <w:bCs/>
                <w:lang w:eastAsia="bg-BG"/>
              </w:rPr>
              <w:t>Нарушения на кожата и подкожната тъкан</w:t>
            </w:r>
          </w:p>
        </w:tc>
      </w:tr>
      <w:tr w:rsidR="00264E1A" w14:paraId="580A120B" w14:textId="77777777" w:rsidTr="00264E1A">
        <w:tc>
          <w:tcPr>
            <w:tcW w:w="4503" w:type="dxa"/>
          </w:tcPr>
          <w:p w14:paraId="53B30ECF" w14:textId="0D678A3F" w:rsidR="00264E1A" w:rsidRDefault="00264E1A" w:rsidP="00264E1A">
            <w:r>
              <w:t>Нечести</w:t>
            </w:r>
          </w:p>
        </w:tc>
        <w:tc>
          <w:tcPr>
            <w:tcW w:w="5073" w:type="dxa"/>
          </w:tcPr>
          <w:p w14:paraId="174BF531" w14:textId="582F4CF4" w:rsidR="00264E1A" w:rsidRDefault="00264E1A" w:rsidP="00264E1A">
            <w:r>
              <w:t xml:space="preserve">Дерматит, </w:t>
            </w:r>
            <w:proofErr w:type="spellStart"/>
            <w:r>
              <w:t>пруритус</w:t>
            </w:r>
            <w:proofErr w:type="spellEnd"/>
            <w:r>
              <w:t>, обрив, уртикария</w:t>
            </w:r>
          </w:p>
        </w:tc>
      </w:tr>
      <w:tr w:rsidR="00264E1A" w14:paraId="58701099" w14:textId="77777777" w:rsidTr="00264E1A">
        <w:tc>
          <w:tcPr>
            <w:tcW w:w="4503" w:type="dxa"/>
          </w:tcPr>
          <w:p w14:paraId="15632782" w14:textId="29A82414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17EF7534" w14:textId="327CDB46" w:rsidR="00264E1A" w:rsidRDefault="00264E1A" w:rsidP="00264E1A">
            <w:r>
              <w:t>Алопеция, фоточувствителност</w:t>
            </w:r>
          </w:p>
        </w:tc>
      </w:tr>
      <w:tr w:rsidR="00264E1A" w14:paraId="68E8B712" w14:textId="77777777" w:rsidTr="00264E1A">
        <w:tc>
          <w:tcPr>
            <w:tcW w:w="4503" w:type="dxa"/>
          </w:tcPr>
          <w:p w14:paraId="5E39AD13" w14:textId="7AF4D542" w:rsidR="00264E1A" w:rsidRDefault="00264E1A" w:rsidP="00264E1A">
            <w:r>
              <w:t>Много редки</w:t>
            </w:r>
          </w:p>
        </w:tc>
        <w:tc>
          <w:tcPr>
            <w:tcW w:w="5073" w:type="dxa"/>
          </w:tcPr>
          <w:p w14:paraId="65B19687" w14:textId="1DA63419" w:rsidR="00264E1A" w:rsidRDefault="00264E1A" w:rsidP="00264E1A">
            <w:r>
              <w:t xml:space="preserve">Еритема </w:t>
            </w:r>
            <w:proofErr w:type="spellStart"/>
            <w:r>
              <w:t>мултиформе</w:t>
            </w:r>
            <w:proofErr w:type="spellEnd"/>
            <w:r>
              <w:t xml:space="preserve">, синдром на </w:t>
            </w:r>
            <w:r>
              <w:rPr>
                <w:lang w:val="en-US"/>
              </w:rPr>
              <w:t xml:space="preserve">Stevens-Johnson, </w:t>
            </w:r>
            <w:r>
              <w:t xml:space="preserve">токсична епидермална </w:t>
            </w:r>
            <w:proofErr w:type="spellStart"/>
            <w:r>
              <w:t>некролиза</w:t>
            </w:r>
            <w:proofErr w:type="spellEnd"/>
            <w:r>
              <w:t xml:space="preserve"> (ТЕН)</w:t>
            </w:r>
          </w:p>
        </w:tc>
      </w:tr>
      <w:tr w:rsidR="00264E1A" w14:paraId="76B9FBF3" w14:textId="77777777" w:rsidTr="00264E1A">
        <w:tc>
          <w:tcPr>
            <w:tcW w:w="4503" w:type="dxa"/>
          </w:tcPr>
          <w:p w14:paraId="42C41B4F" w14:textId="0C2964F3" w:rsidR="00264E1A" w:rsidRDefault="00264E1A" w:rsidP="00264E1A">
            <w:r>
              <w:t>С неизвестна честота</w:t>
            </w:r>
          </w:p>
        </w:tc>
        <w:tc>
          <w:tcPr>
            <w:tcW w:w="5073" w:type="dxa"/>
          </w:tcPr>
          <w:p w14:paraId="78588382" w14:textId="2B1264CB" w:rsidR="00264E1A" w:rsidRDefault="00264E1A" w:rsidP="00264E1A">
            <w:proofErr w:type="spellStart"/>
            <w:r>
              <w:t>Субакутен</w:t>
            </w:r>
            <w:proofErr w:type="spellEnd"/>
            <w:r>
              <w:t xml:space="preserve"> кожен </w:t>
            </w:r>
            <w:proofErr w:type="spellStart"/>
            <w:r>
              <w:t>лупус</w:t>
            </w:r>
            <w:proofErr w:type="spellEnd"/>
            <w:r>
              <w:t xml:space="preserve"> еритематодес (вж. точка 4.4)</w:t>
            </w:r>
          </w:p>
        </w:tc>
      </w:tr>
      <w:tr w:rsidR="00264E1A" w14:paraId="6FBAD4AD" w14:textId="77777777" w:rsidTr="00E86C15">
        <w:tc>
          <w:tcPr>
            <w:tcW w:w="9576" w:type="dxa"/>
            <w:gridSpan w:val="2"/>
          </w:tcPr>
          <w:p w14:paraId="191903FE" w14:textId="322AB9FD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>Нарушения на мускулно-скелетната система и съединителната тъкан</w:t>
            </w:r>
          </w:p>
        </w:tc>
      </w:tr>
      <w:tr w:rsidR="00264E1A" w14:paraId="40D700DF" w14:textId="77777777" w:rsidTr="00264E1A">
        <w:tc>
          <w:tcPr>
            <w:tcW w:w="4503" w:type="dxa"/>
          </w:tcPr>
          <w:p w14:paraId="6D7DF3E5" w14:textId="39ADC3C3" w:rsidR="00264E1A" w:rsidRDefault="00264E1A" w:rsidP="00264E1A">
            <w:proofErr w:type="spellStart"/>
            <w:r>
              <w:t>Нечесги</w:t>
            </w:r>
            <w:proofErr w:type="spellEnd"/>
          </w:p>
        </w:tc>
        <w:tc>
          <w:tcPr>
            <w:tcW w:w="5073" w:type="dxa"/>
          </w:tcPr>
          <w:p w14:paraId="14028C8F" w14:textId="5A3BD453" w:rsidR="00264E1A" w:rsidRDefault="00264E1A" w:rsidP="00264E1A">
            <w:r>
              <w:t>Фрактури на тазобедрената кост, костите на китката и прешлените на гръбначния стълб (вж. точка 4.4)</w:t>
            </w:r>
          </w:p>
        </w:tc>
      </w:tr>
      <w:tr w:rsidR="00264E1A" w14:paraId="24EAC00F" w14:textId="77777777" w:rsidTr="00264E1A">
        <w:tc>
          <w:tcPr>
            <w:tcW w:w="4503" w:type="dxa"/>
          </w:tcPr>
          <w:p w14:paraId="13494A53" w14:textId="444D4EBE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7DB5076C" w14:textId="64D299A6" w:rsidR="00264E1A" w:rsidRDefault="00264E1A" w:rsidP="00264E1A">
            <w:proofErr w:type="spellStart"/>
            <w:r>
              <w:t>Артралгия</w:t>
            </w:r>
            <w:proofErr w:type="spellEnd"/>
            <w:r>
              <w:t xml:space="preserve">, </w:t>
            </w:r>
            <w:proofErr w:type="spellStart"/>
            <w:r>
              <w:t>миалгия</w:t>
            </w:r>
            <w:proofErr w:type="spellEnd"/>
          </w:p>
        </w:tc>
      </w:tr>
      <w:tr w:rsidR="00264E1A" w14:paraId="2EA2B2C7" w14:textId="77777777" w:rsidTr="00264E1A">
        <w:tc>
          <w:tcPr>
            <w:tcW w:w="4503" w:type="dxa"/>
          </w:tcPr>
          <w:p w14:paraId="5CD6C2CF" w14:textId="7E5D7235" w:rsidR="00264E1A" w:rsidRDefault="00264E1A" w:rsidP="00264E1A">
            <w:r>
              <w:t>Много редки</w:t>
            </w:r>
          </w:p>
        </w:tc>
        <w:tc>
          <w:tcPr>
            <w:tcW w:w="5073" w:type="dxa"/>
          </w:tcPr>
          <w:p w14:paraId="35FC645A" w14:textId="61F35396" w:rsidR="00264E1A" w:rsidRDefault="00264E1A" w:rsidP="00264E1A">
            <w:r>
              <w:t>Мускулна слабост</w:t>
            </w:r>
          </w:p>
        </w:tc>
      </w:tr>
      <w:tr w:rsidR="00264E1A" w14:paraId="3A4B0E95" w14:textId="77777777" w:rsidTr="000F718D">
        <w:tc>
          <w:tcPr>
            <w:tcW w:w="9576" w:type="dxa"/>
            <w:gridSpan w:val="2"/>
          </w:tcPr>
          <w:p w14:paraId="56EC1769" w14:textId="6D6A0DD4" w:rsidR="00264E1A" w:rsidRPr="006C40E9" w:rsidRDefault="00264E1A" w:rsidP="00264E1A">
            <w:pPr>
              <w:rPr>
                <w:b/>
                <w:bCs/>
                <w:sz w:val="24"/>
                <w:szCs w:val="24"/>
              </w:rPr>
            </w:pPr>
            <w:r w:rsidRPr="006C40E9">
              <w:rPr>
                <w:b/>
                <w:bCs/>
                <w:lang w:eastAsia="bg-BG"/>
              </w:rPr>
              <w:t>Нарушения на бъбреците и пикочните пътища</w:t>
            </w:r>
          </w:p>
        </w:tc>
      </w:tr>
      <w:tr w:rsidR="00264E1A" w14:paraId="0C5C909E" w14:textId="77777777" w:rsidTr="00264E1A">
        <w:tc>
          <w:tcPr>
            <w:tcW w:w="4503" w:type="dxa"/>
          </w:tcPr>
          <w:p w14:paraId="6C7B3222" w14:textId="72018056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4D3F318B" w14:textId="3EA5506A" w:rsidR="00264E1A" w:rsidRDefault="00264E1A" w:rsidP="00264E1A">
            <w:proofErr w:type="spellStart"/>
            <w:r>
              <w:t>Интерстициален</w:t>
            </w:r>
            <w:proofErr w:type="spellEnd"/>
            <w:r>
              <w:t xml:space="preserve"> нефрит</w:t>
            </w:r>
          </w:p>
        </w:tc>
      </w:tr>
      <w:tr w:rsidR="00264E1A" w14:paraId="2CE1CDDE" w14:textId="77777777" w:rsidTr="009D1753">
        <w:tc>
          <w:tcPr>
            <w:tcW w:w="9576" w:type="dxa"/>
            <w:gridSpan w:val="2"/>
          </w:tcPr>
          <w:p w14:paraId="5AC75A58" w14:textId="6083E310" w:rsidR="00264E1A" w:rsidRPr="006C40E9" w:rsidRDefault="00264E1A" w:rsidP="00264E1A">
            <w:pPr>
              <w:rPr>
                <w:b/>
                <w:bCs/>
                <w:sz w:val="24"/>
                <w:szCs w:val="24"/>
              </w:rPr>
            </w:pPr>
            <w:r w:rsidRPr="006C40E9">
              <w:rPr>
                <w:b/>
                <w:bCs/>
                <w:lang w:eastAsia="bg-BG"/>
              </w:rPr>
              <w:t>Нарушения на възпроизводителната система и гърдата</w:t>
            </w:r>
          </w:p>
        </w:tc>
      </w:tr>
      <w:tr w:rsidR="00264E1A" w14:paraId="2BC41FA9" w14:textId="77777777" w:rsidTr="00264E1A">
        <w:tc>
          <w:tcPr>
            <w:tcW w:w="4503" w:type="dxa"/>
          </w:tcPr>
          <w:p w14:paraId="6DA386B3" w14:textId="407E4799" w:rsidR="00264E1A" w:rsidRDefault="00264E1A" w:rsidP="00264E1A">
            <w:r>
              <w:t>Много редки</w:t>
            </w:r>
          </w:p>
        </w:tc>
        <w:tc>
          <w:tcPr>
            <w:tcW w:w="5073" w:type="dxa"/>
          </w:tcPr>
          <w:p w14:paraId="3573850D" w14:textId="478D810A" w:rsidR="00264E1A" w:rsidRDefault="00264E1A" w:rsidP="00264E1A">
            <w:proofErr w:type="spellStart"/>
            <w:r>
              <w:t>Гинекомастия</w:t>
            </w:r>
            <w:proofErr w:type="spellEnd"/>
          </w:p>
        </w:tc>
      </w:tr>
      <w:tr w:rsidR="00264E1A" w14:paraId="62231517" w14:textId="77777777" w:rsidTr="00542C7D">
        <w:tc>
          <w:tcPr>
            <w:tcW w:w="9576" w:type="dxa"/>
            <w:gridSpan w:val="2"/>
          </w:tcPr>
          <w:p w14:paraId="6AC6A7DF" w14:textId="12DBEE6B" w:rsidR="00264E1A" w:rsidRPr="006C40E9" w:rsidRDefault="00264E1A" w:rsidP="00264E1A">
            <w:pPr>
              <w:rPr>
                <w:b/>
                <w:bCs/>
              </w:rPr>
            </w:pPr>
            <w:r w:rsidRPr="006C40E9">
              <w:rPr>
                <w:b/>
                <w:bCs/>
              </w:rPr>
              <w:t xml:space="preserve">Общи нарушения </w:t>
            </w:r>
            <w:proofErr w:type="spellStart"/>
            <w:r w:rsidRPr="006C40E9">
              <w:rPr>
                <w:b/>
                <w:bCs/>
              </w:rPr>
              <w:t>иефекти</w:t>
            </w:r>
            <w:proofErr w:type="spellEnd"/>
            <w:r w:rsidRPr="006C40E9">
              <w:rPr>
                <w:b/>
                <w:bCs/>
              </w:rPr>
              <w:t xml:space="preserve"> на мястото на приложение</w:t>
            </w:r>
          </w:p>
        </w:tc>
      </w:tr>
      <w:tr w:rsidR="00264E1A" w14:paraId="5C13EFC8" w14:textId="77777777" w:rsidTr="00264E1A">
        <w:tc>
          <w:tcPr>
            <w:tcW w:w="4503" w:type="dxa"/>
          </w:tcPr>
          <w:p w14:paraId="76ECEF97" w14:textId="532E1A94" w:rsidR="00264E1A" w:rsidRDefault="00264E1A" w:rsidP="00264E1A">
            <w:proofErr w:type="spellStart"/>
            <w:r>
              <w:t>Нечесги</w:t>
            </w:r>
            <w:proofErr w:type="spellEnd"/>
          </w:p>
        </w:tc>
        <w:tc>
          <w:tcPr>
            <w:tcW w:w="5073" w:type="dxa"/>
          </w:tcPr>
          <w:p w14:paraId="7AB064B2" w14:textId="2ABE7DBA" w:rsidR="00264E1A" w:rsidRDefault="00264E1A" w:rsidP="00264E1A">
            <w:r>
              <w:t>Неразположение, периферни отоци</w:t>
            </w:r>
          </w:p>
        </w:tc>
      </w:tr>
      <w:tr w:rsidR="00264E1A" w14:paraId="6087AB98" w14:textId="77777777" w:rsidTr="00264E1A">
        <w:tc>
          <w:tcPr>
            <w:tcW w:w="4503" w:type="dxa"/>
          </w:tcPr>
          <w:p w14:paraId="03E2B3E3" w14:textId="68EA19DE" w:rsidR="00264E1A" w:rsidRDefault="00264E1A" w:rsidP="00264E1A">
            <w:r>
              <w:t>Редки</w:t>
            </w:r>
          </w:p>
        </w:tc>
        <w:tc>
          <w:tcPr>
            <w:tcW w:w="5073" w:type="dxa"/>
          </w:tcPr>
          <w:p w14:paraId="2B1BB1FB" w14:textId="77EF368E" w:rsidR="00264E1A" w:rsidRDefault="00264E1A" w:rsidP="00264E1A">
            <w:r>
              <w:rPr>
                <w:u w:val="single"/>
              </w:rPr>
              <w:t>Повишени потене</w:t>
            </w:r>
          </w:p>
        </w:tc>
      </w:tr>
    </w:tbl>
    <w:p w14:paraId="71A71A6D" w14:textId="77777777" w:rsidR="006C40E9" w:rsidRDefault="006C40E9" w:rsidP="006C40E9">
      <w:pPr>
        <w:rPr>
          <w:lang w:eastAsia="bg-BG"/>
        </w:rPr>
      </w:pPr>
    </w:p>
    <w:p w14:paraId="6DC40FAE" w14:textId="641AC291" w:rsidR="006C40E9" w:rsidRPr="006C40E9" w:rsidRDefault="006C40E9" w:rsidP="006C40E9">
      <w:pPr>
        <w:rPr>
          <w:sz w:val="24"/>
          <w:szCs w:val="24"/>
          <w:u w:val="single"/>
        </w:rPr>
      </w:pPr>
      <w:r w:rsidRPr="006C40E9">
        <w:rPr>
          <w:u w:val="single"/>
          <w:lang w:eastAsia="bg-BG"/>
        </w:rPr>
        <w:t>Педиатрична популация</w:t>
      </w:r>
    </w:p>
    <w:p w14:paraId="224EC725" w14:textId="32ADBB10" w:rsidR="00264E1A" w:rsidRDefault="006C40E9" w:rsidP="006C40E9">
      <w:pPr>
        <w:rPr>
          <w:lang w:eastAsia="bg-BG"/>
        </w:rPr>
      </w:pPr>
      <w:r w:rsidRPr="006C40E9">
        <w:rPr>
          <w:lang w:eastAsia="bg-BG"/>
        </w:rPr>
        <w:t xml:space="preserve">Безопасността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оценена при общо 310 деца с киселинно-обусловени заболявалия на възраст от 0 до 16 години. Налице са ограничени данни за безопасността от продължително приложение при 46 деца на поддържащо лечение с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по време на клинично изпитване за лечение на тежък ерозивен </w:t>
      </w:r>
      <w:proofErr w:type="spellStart"/>
      <w:r w:rsidRPr="006C40E9">
        <w:rPr>
          <w:lang w:eastAsia="bg-BG"/>
        </w:rPr>
        <w:t>езофагит</w:t>
      </w:r>
      <w:proofErr w:type="spellEnd"/>
      <w:r w:rsidRPr="006C40E9">
        <w:rPr>
          <w:lang w:eastAsia="bg-BG"/>
        </w:rPr>
        <w:t xml:space="preserve"> с максимална продължителност до 749 дни. Профилът на нежелани събития като цяло е същият като при възрастни при краткотрайно, както и при продължително лечение. Не са налични дългосрочни данни за ефектите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върху пубертета и растежа.</w:t>
      </w:r>
    </w:p>
    <w:p w14:paraId="4DEE2B34" w14:textId="44FC544A" w:rsidR="006C40E9" w:rsidRDefault="006C40E9" w:rsidP="006C40E9">
      <w:pPr>
        <w:rPr>
          <w:lang w:eastAsia="bg-BG"/>
        </w:rPr>
      </w:pPr>
    </w:p>
    <w:p w14:paraId="4D0ED49C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Съобщаване на подозирани нежелани реакции</w:t>
      </w:r>
    </w:p>
    <w:p w14:paraId="4CFF4AA6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на лекарствения продукт. От медицинските специалисти се изисква да съобщават всяка подозирана нежелана реакция чрез националната система за съобщаване:</w:t>
      </w:r>
    </w:p>
    <w:p w14:paraId="7662C615" w14:textId="77777777" w:rsidR="006C40E9" w:rsidRDefault="006C40E9" w:rsidP="006C40E9">
      <w:pPr>
        <w:rPr>
          <w:lang w:eastAsia="bg-BG"/>
        </w:rPr>
      </w:pPr>
    </w:p>
    <w:p w14:paraId="6BBFECAD" w14:textId="77777777" w:rsidR="006C40E9" w:rsidRDefault="006C40E9" w:rsidP="006C40E9">
      <w:pPr>
        <w:rPr>
          <w:lang w:eastAsia="bg-BG"/>
        </w:rPr>
      </w:pPr>
      <w:r w:rsidRPr="006C40E9">
        <w:rPr>
          <w:lang w:eastAsia="bg-BG"/>
        </w:rPr>
        <w:t xml:space="preserve">Изпълнителна агенция по лекарствата </w:t>
      </w:r>
    </w:p>
    <w:p w14:paraId="273C8787" w14:textId="4655FC61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ул. „Дамян Груев" № 8</w:t>
      </w:r>
    </w:p>
    <w:p w14:paraId="5828202E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1303 София</w:t>
      </w:r>
    </w:p>
    <w:p w14:paraId="16677242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lastRenderedPageBreak/>
        <w:t>тел.: + 359 2 890 34 17</w:t>
      </w:r>
    </w:p>
    <w:p w14:paraId="1F3A7207" w14:textId="3CE7A814" w:rsidR="006C40E9" w:rsidRDefault="006C40E9" w:rsidP="006C40E9">
      <w:pPr>
        <w:rPr>
          <w:u w:val="single"/>
          <w:lang w:val="en-US"/>
        </w:rPr>
      </w:pPr>
      <w:r w:rsidRPr="006C40E9">
        <w:rPr>
          <w:lang w:eastAsia="bg-BG"/>
        </w:rPr>
        <w:t xml:space="preserve">уебсайт: </w:t>
      </w:r>
      <w:r w:rsidRPr="006C40E9">
        <w:rPr>
          <w:u w:val="single"/>
          <w:lang w:val="en-US"/>
        </w:rPr>
        <w:t>wvvw.bda.bg</w:t>
      </w:r>
    </w:p>
    <w:p w14:paraId="1E27CB3A" w14:textId="77777777" w:rsidR="006C40E9" w:rsidRPr="00264E1A" w:rsidRDefault="006C40E9" w:rsidP="006C40E9"/>
    <w:p w14:paraId="08F4DCAA" w14:textId="77AC403E" w:rsidR="00264E1A" w:rsidRDefault="002C50EE" w:rsidP="00264E1A">
      <w:pPr>
        <w:pStyle w:val="Heading2"/>
      </w:pPr>
      <w:r>
        <w:t>4.9. Предозиране</w:t>
      </w:r>
    </w:p>
    <w:p w14:paraId="64439BF3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Налице е ограничена информация на ефектите на предозирането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при хора. В литературата са описани дози до 560 </w:t>
      </w:r>
      <w:r w:rsidRPr="006C40E9">
        <w:rPr>
          <w:lang w:val="en-US"/>
        </w:rPr>
        <w:t xml:space="preserve">mg, </w:t>
      </w:r>
      <w:r w:rsidRPr="006C40E9">
        <w:rPr>
          <w:lang w:eastAsia="bg-BG"/>
        </w:rPr>
        <w:t xml:space="preserve">като има и единични съобщения за еднократни перорално дози до 2 400 </w:t>
      </w:r>
      <w:r w:rsidRPr="006C40E9">
        <w:rPr>
          <w:lang w:val="en-US"/>
        </w:rPr>
        <w:t xml:space="preserve">mg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(120 пъти по-високи от </w:t>
      </w:r>
      <w:proofErr w:type="spellStart"/>
      <w:r w:rsidRPr="006C40E9">
        <w:rPr>
          <w:lang w:eastAsia="bg-BG"/>
        </w:rPr>
        <w:t>препръчителната</w:t>
      </w:r>
      <w:proofErr w:type="spellEnd"/>
      <w:r w:rsidRPr="006C40E9">
        <w:rPr>
          <w:lang w:eastAsia="bg-BG"/>
        </w:rPr>
        <w:t xml:space="preserve"> клинична доза). Има съобщения за гадене, повръщане, замайване, болки в корема. Диария и </w:t>
      </w:r>
      <w:proofErr w:type="spellStart"/>
      <w:r w:rsidRPr="006C40E9">
        <w:rPr>
          <w:lang w:eastAsia="bg-BG"/>
        </w:rPr>
        <w:t>глабоболие</w:t>
      </w:r>
      <w:proofErr w:type="spellEnd"/>
      <w:r w:rsidRPr="006C40E9">
        <w:rPr>
          <w:lang w:eastAsia="bg-BG"/>
        </w:rPr>
        <w:t>. Също така в отделни случаи са описани апатия, депресия и обърканост.</w:t>
      </w:r>
    </w:p>
    <w:p w14:paraId="10C2A687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Описаните симптоми са преходни и няма съобщения за сериозни последствия. С повишаване на дозата скоростта на елиминация остава непроменена (кинетика от първи порядък).</w:t>
      </w:r>
    </w:p>
    <w:p w14:paraId="2CD8AFB4" w14:textId="77777777" w:rsidR="006C40E9" w:rsidRDefault="006C40E9" w:rsidP="006C40E9">
      <w:pPr>
        <w:rPr>
          <w:lang w:eastAsia="bg-BG"/>
        </w:rPr>
      </w:pPr>
    </w:p>
    <w:p w14:paraId="167B3614" w14:textId="0FD6571D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Ако се налага лечение, то трябва да е симптоматично.</w:t>
      </w:r>
    </w:p>
    <w:p w14:paraId="26297200" w14:textId="77777777" w:rsidR="006C40E9" w:rsidRPr="006C40E9" w:rsidRDefault="006C40E9" w:rsidP="006C40E9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0FD960C3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F982B52" w14:textId="77777777" w:rsidR="006C40E9" w:rsidRDefault="006C40E9" w:rsidP="006C40E9">
      <w:pPr>
        <w:rPr>
          <w:lang w:eastAsia="bg-BG"/>
        </w:rPr>
      </w:pPr>
    </w:p>
    <w:p w14:paraId="6E30C8D6" w14:textId="66FE29D8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Фармакотерапевтична</w:t>
      </w:r>
      <w:proofErr w:type="spellEnd"/>
      <w:r w:rsidRPr="006C40E9">
        <w:rPr>
          <w:lang w:eastAsia="bg-BG"/>
        </w:rPr>
        <w:t xml:space="preserve"> група: инхибитори на </w:t>
      </w:r>
      <w:proofErr w:type="spellStart"/>
      <w:r w:rsidRPr="006C40E9">
        <w:rPr>
          <w:lang w:eastAsia="bg-BG"/>
        </w:rPr>
        <w:t>протонната</w:t>
      </w:r>
      <w:proofErr w:type="spellEnd"/>
      <w:r w:rsidRPr="006C40E9">
        <w:rPr>
          <w:lang w:eastAsia="bg-BG"/>
        </w:rPr>
        <w:t xml:space="preserve"> помпа, АТС код: А02ВС01</w:t>
      </w:r>
    </w:p>
    <w:p w14:paraId="08473C75" w14:textId="77777777" w:rsidR="006C40E9" w:rsidRDefault="006C40E9" w:rsidP="006C40E9">
      <w:pPr>
        <w:rPr>
          <w:u w:val="single"/>
          <w:lang w:eastAsia="bg-BG"/>
        </w:rPr>
      </w:pPr>
    </w:p>
    <w:p w14:paraId="6095A4E3" w14:textId="4BC2B930" w:rsidR="006C40E9" w:rsidRPr="006C40E9" w:rsidRDefault="006C40E9" w:rsidP="006C40E9">
      <w:pPr>
        <w:rPr>
          <w:sz w:val="24"/>
          <w:szCs w:val="24"/>
        </w:rPr>
      </w:pPr>
      <w:r w:rsidRPr="006C40E9">
        <w:rPr>
          <w:u w:val="single"/>
          <w:lang w:eastAsia="bg-BG"/>
        </w:rPr>
        <w:t>Механизъм на действие</w:t>
      </w:r>
    </w:p>
    <w:p w14:paraId="67E38F13" w14:textId="77777777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- </w:t>
      </w:r>
      <w:proofErr w:type="spellStart"/>
      <w:r w:rsidRPr="006C40E9">
        <w:rPr>
          <w:lang w:eastAsia="bg-BG"/>
        </w:rPr>
        <w:t>рацемична</w:t>
      </w:r>
      <w:proofErr w:type="spellEnd"/>
      <w:r w:rsidRPr="006C40E9">
        <w:rPr>
          <w:lang w:eastAsia="bg-BG"/>
        </w:rPr>
        <w:t xml:space="preserve"> смес от два </w:t>
      </w:r>
      <w:proofErr w:type="spellStart"/>
      <w:r w:rsidRPr="006C40E9">
        <w:rPr>
          <w:lang w:eastAsia="bg-BG"/>
        </w:rPr>
        <w:t>енантиомера</w:t>
      </w:r>
      <w:proofErr w:type="spellEnd"/>
      <w:r w:rsidRPr="006C40E9">
        <w:rPr>
          <w:lang w:eastAsia="bg-BG"/>
        </w:rPr>
        <w:t xml:space="preserve">, редуцира стомашната киселинна секреция по високо специфичен механизъм. Той е специфичен инхибитор на </w:t>
      </w:r>
      <w:proofErr w:type="spellStart"/>
      <w:r w:rsidRPr="006C40E9">
        <w:rPr>
          <w:lang w:eastAsia="bg-BG"/>
        </w:rPr>
        <w:t>протонната</w:t>
      </w:r>
      <w:proofErr w:type="spellEnd"/>
      <w:r w:rsidRPr="006C40E9">
        <w:rPr>
          <w:lang w:eastAsia="bg-BG"/>
        </w:rPr>
        <w:t xml:space="preserve"> помпа в </w:t>
      </w:r>
      <w:proofErr w:type="spellStart"/>
      <w:r w:rsidRPr="006C40E9">
        <w:rPr>
          <w:lang w:eastAsia="bg-BG"/>
        </w:rPr>
        <w:t>париеталните</w:t>
      </w:r>
      <w:proofErr w:type="spellEnd"/>
      <w:r w:rsidRPr="006C40E9">
        <w:rPr>
          <w:lang w:eastAsia="bg-BG"/>
        </w:rPr>
        <w:t xml:space="preserve"> клетки.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бързодействащ и осигурява контрол чрез обратимо инхибиране на стомашната киселинна секреция при еднократен прием дневно.</w:t>
      </w:r>
    </w:p>
    <w:p w14:paraId="502C5732" w14:textId="77777777" w:rsidR="006C40E9" w:rsidRDefault="006C40E9" w:rsidP="006C40E9">
      <w:pPr>
        <w:rPr>
          <w:lang w:eastAsia="bg-BG"/>
        </w:rPr>
      </w:pPr>
    </w:p>
    <w:p w14:paraId="1FF4BA59" w14:textId="2FE71C10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слаба основа, като се концентрира и превръща в активна форма в силно киселинните условия в </w:t>
      </w:r>
      <w:proofErr w:type="spellStart"/>
      <w:r w:rsidRPr="006C40E9">
        <w:rPr>
          <w:lang w:eastAsia="bg-BG"/>
        </w:rPr>
        <w:t>интацелуларните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каналикули</w:t>
      </w:r>
      <w:proofErr w:type="spellEnd"/>
      <w:r w:rsidRPr="006C40E9">
        <w:rPr>
          <w:lang w:eastAsia="bg-BG"/>
        </w:rPr>
        <w:t xml:space="preserve"> на </w:t>
      </w:r>
      <w:proofErr w:type="spellStart"/>
      <w:r w:rsidRPr="006C40E9">
        <w:rPr>
          <w:lang w:eastAsia="bg-BG"/>
        </w:rPr>
        <w:t>париеталните</w:t>
      </w:r>
      <w:proofErr w:type="spellEnd"/>
      <w:r w:rsidRPr="006C40E9">
        <w:rPr>
          <w:lang w:eastAsia="bg-BG"/>
        </w:rPr>
        <w:t xml:space="preserve"> клетки, където инхибира ензима Н</w:t>
      </w:r>
      <w:r w:rsidRPr="006C40E9">
        <w:rPr>
          <w:vertAlign w:val="superscript"/>
          <w:lang w:eastAsia="bg-BG"/>
        </w:rPr>
        <w:t>+</w:t>
      </w:r>
      <w:r w:rsidRPr="006C40E9">
        <w:rPr>
          <w:lang w:eastAsia="bg-BG"/>
        </w:rPr>
        <w:t>, К</w:t>
      </w:r>
      <w:r w:rsidRPr="006C40E9">
        <w:rPr>
          <w:vertAlign w:val="superscript"/>
          <w:lang w:eastAsia="bg-BG"/>
        </w:rPr>
        <w:t>+</w:t>
      </w:r>
      <w:r w:rsidRPr="006C40E9">
        <w:rPr>
          <w:lang w:eastAsia="bg-BG"/>
        </w:rPr>
        <w:t xml:space="preserve">-АТФ- </w:t>
      </w:r>
      <w:proofErr w:type="spellStart"/>
      <w:r w:rsidRPr="006C40E9">
        <w:rPr>
          <w:lang w:eastAsia="bg-BG"/>
        </w:rPr>
        <w:t>аза</w:t>
      </w:r>
      <w:proofErr w:type="spellEnd"/>
      <w:r w:rsidRPr="006C40E9">
        <w:rPr>
          <w:lang w:eastAsia="bg-BG"/>
        </w:rPr>
        <w:t xml:space="preserve"> - </w:t>
      </w:r>
      <w:proofErr w:type="spellStart"/>
      <w:r w:rsidRPr="006C40E9">
        <w:rPr>
          <w:lang w:eastAsia="bg-BG"/>
        </w:rPr>
        <w:t>протонната</w:t>
      </w:r>
      <w:proofErr w:type="spellEnd"/>
      <w:r w:rsidRPr="006C40E9">
        <w:rPr>
          <w:lang w:eastAsia="bg-BG"/>
        </w:rPr>
        <w:t xml:space="preserve"> помпа.. Този ефект върху последния етап от образуването на стомашната киселина е </w:t>
      </w:r>
      <w:proofErr w:type="spellStart"/>
      <w:r w:rsidRPr="006C40E9">
        <w:rPr>
          <w:lang w:eastAsia="bg-BG"/>
        </w:rPr>
        <w:t>дозозависим</w:t>
      </w:r>
      <w:proofErr w:type="spellEnd"/>
      <w:r w:rsidRPr="006C40E9">
        <w:rPr>
          <w:lang w:eastAsia="bg-BG"/>
        </w:rPr>
        <w:t xml:space="preserve"> и осигурява високо ефикасно инхибиране както на </w:t>
      </w:r>
      <w:proofErr w:type="spellStart"/>
      <w:r w:rsidRPr="006C40E9">
        <w:rPr>
          <w:lang w:eastAsia="bg-BG"/>
        </w:rPr>
        <w:t>базалната</w:t>
      </w:r>
      <w:proofErr w:type="spellEnd"/>
      <w:r w:rsidRPr="006C40E9">
        <w:rPr>
          <w:lang w:eastAsia="bg-BG"/>
        </w:rPr>
        <w:t>, така и на стимулираната киселинна секреция - без значение от това каква е стимулацията.</w:t>
      </w:r>
    </w:p>
    <w:p w14:paraId="0FB171D9" w14:textId="77777777" w:rsidR="006C40E9" w:rsidRDefault="006C40E9" w:rsidP="006C40E9">
      <w:pPr>
        <w:rPr>
          <w:u w:val="single"/>
          <w:lang w:eastAsia="bg-BG"/>
        </w:rPr>
      </w:pPr>
    </w:p>
    <w:p w14:paraId="0A9DB822" w14:textId="5019FAA5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u w:val="single"/>
          <w:lang w:eastAsia="bg-BG"/>
        </w:rPr>
        <w:t>Фармакодинамични</w:t>
      </w:r>
      <w:proofErr w:type="spellEnd"/>
      <w:r w:rsidRPr="006C40E9">
        <w:rPr>
          <w:u w:val="single"/>
          <w:lang w:eastAsia="bg-BG"/>
        </w:rPr>
        <w:t xml:space="preserve"> ефекти</w:t>
      </w:r>
    </w:p>
    <w:p w14:paraId="5FADB4FC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Всички наблюдавани </w:t>
      </w:r>
      <w:proofErr w:type="spellStart"/>
      <w:r w:rsidRPr="006C40E9">
        <w:rPr>
          <w:lang w:eastAsia="bg-BG"/>
        </w:rPr>
        <w:t>фармакодинамични</w:t>
      </w:r>
      <w:proofErr w:type="spellEnd"/>
      <w:r w:rsidRPr="006C40E9">
        <w:rPr>
          <w:lang w:eastAsia="bg-BG"/>
        </w:rPr>
        <w:t xml:space="preserve"> ефекти могат да се </w:t>
      </w:r>
      <w:proofErr w:type="spellStart"/>
      <w:r w:rsidRPr="006C40E9">
        <w:rPr>
          <w:lang w:eastAsia="bg-BG"/>
        </w:rPr>
        <w:t>обяснат</w:t>
      </w:r>
      <w:proofErr w:type="spellEnd"/>
      <w:r w:rsidRPr="006C40E9">
        <w:rPr>
          <w:lang w:eastAsia="bg-BG"/>
        </w:rPr>
        <w:t xml:space="preserve"> с ефекта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върху киселинната секреция.</w:t>
      </w:r>
    </w:p>
    <w:p w14:paraId="26051013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По време на лечението с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не е наблюдавана </w:t>
      </w:r>
      <w:proofErr w:type="spellStart"/>
      <w:r w:rsidRPr="006C40E9">
        <w:rPr>
          <w:lang w:eastAsia="bg-BG"/>
        </w:rPr>
        <w:t>тахифилаксия</w:t>
      </w:r>
      <w:proofErr w:type="spellEnd"/>
      <w:r w:rsidRPr="006C40E9">
        <w:rPr>
          <w:lang w:eastAsia="bg-BG"/>
        </w:rPr>
        <w:t>.</w:t>
      </w:r>
    </w:p>
    <w:p w14:paraId="52C2B74D" w14:textId="77777777" w:rsidR="006C40E9" w:rsidRDefault="006C40E9" w:rsidP="006C40E9">
      <w:pPr>
        <w:rPr>
          <w:lang w:eastAsia="bg-BG"/>
        </w:rPr>
      </w:pPr>
    </w:p>
    <w:p w14:paraId="2B466B4A" w14:textId="25694682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Ефект върху стомашната киселинна секреция</w:t>
      </w:r>
    </w:p>
    <w:p w14:paraId="478ECD2D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Пероралният прием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веднъж дневно осигурява бързо и ефикасно инхибиране на дневната и нощна киселинна секреция, като максималният ефект се постига в рамките на 4 дни след началото на </w:t>
      </w:r>
      <w:proofErr w:type="spellStart"/>
      <w:r w:rsidRPr="006C40E9">
        <w:rPr>
          <w:lang w:eastAsia="bg-BG"/>
        </w:rPr>
        <w:t>лечението.при</w:t>
      </w:r>
      <w:proofErr w:type="spellEnd"/>
      <w:r w:rsidRPr="006C40E9">
        <w:rPr>
          <w:lang w:eastAsia="bg-BG"/>
        </w:rPr>
        <w:t xml:space="preserve"> прием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20 </w:t>
      </w:r>
      <w:r w:rsidRPr="006C40E9">
        <w:rPr>
          <w:lang w:val="en-US"/>
        </w:rPr>
        <w:t xml:space="preserve">mg </w:t>
      </w:r>
      <w:r w:rsidRPr="006C40E9">
        <w:rPr>
          <w:lang w:eastAsia="bg-BG"/>
        </w:rPr>
        <w:t xml:space="preserve">от пациенти с </w:t>
      </w:r>
      <w:proofErr w:type="spellStart"/>
      <w:r w:rsidRPr="006C40E9">
        <w:rPr>
          <w:lang w:eastAsia="bg-BG"/>
        </w:rPr>
        <w:t>дуоденална</w:t>
      </w:r>
      <w:proofErr w:type="spellEnd"/>
      <w:r w:rsidRPr="006C40E9">
        <w:rPr>
          <w:lang w:eastAsia="bg-BG"/>
        </w:rPr>
        <w:t xml:space="preserve"> язва се установява средно понижаване на 24-часовата стомашна киселинност поне с 80%, като понижената киселинност се задържа, а средното понижение на пиковата киселинна секреция с </w:t>
      </w:r>
      <w:proofErr w:type="spellStart"/>
      <w:r w:rsidRPr="006C40E9">
        <w:rPr>
          <w:lang w:eastAsia="bg-BG"/>
        </w:rPr>
        <w:t>пентагастрин</w:t>
      </w:r>
      <w:proofErr w:type="spellEnd"/>
      <w:r w:rsidRPr="006C40E9">
        <w:rPr>
          <w:lang w:eastAsia="bg-BG"/>
        </w:rPr>
        <w:t xml:space="preserve"> 24 часа след приема е около 70%.</w:t>
      </w:r>
    </w:p>
    <w:p w14:paraId="58435163" w14:textId="77777777" w:rsidR="006C40E9" w:rsidRDefault="006C40E9" w:rsidP="006C40E9">
      <w:pPr>
        <w:rPr>
          <w:lang w:eastAsia="bg-BG"/>
        </w:rPr>
      </w:pPr>
    </w:p>
    <w:p w14:paraId="4C620247" w14:textId="29962319" w:rsidR="006C40E9" w:rsidRDefault="006C40E9" w:rsidP="006C40E9">
      <w:pPr>
        <w:rPr>
          <w:lang w:eastAsia="bg-BG"/>
        </w:rPr>
      </w:pPr>
      <w:r w:rsidRPr="006C40E9">
        <w:rPr>
          <w:lang w:eastAsia="bg-BG"/>
        </w:rPr>
        <w:t xml:space="preserve">При пациенти с </w:t>
      </w:r>
      <w:proofErr w:type="spellStart"/>
      <w:r w:rsidRPr="006C40E9">
        <w:rPr>
          <w:lang w:eastAsia="bg-BG"/>
        </w:rPr>
        <w:t>дуоденална</w:t>
      </w:r>
      <w:proofErr w:type="spellEnd"/>
      <w:r w:rsidRPr="006C40E9">
        <w:rPr>
          <w:lang w:eastAsia="bg-BG"/>
        </w:rPr>
        <w:t xml:space="preserve"> язва пероралният прием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20 </w:t>
      </w:r>
      <w:r w:rsidRPr="006C40E9">
        <w:rPr>
          <w:lang w:val="en-US"/>
        </w:rPr>
        <w:t>mg</w:t>
      </w:r>
      <w:r w:rsidRPr="006C40E9">
        <w:rPr>
          <w:lang w:eastAsia="bg-BG"/>
        </w:rPr>
        <w:t xml:space="preserve"> води до поддържане на стомашното </w:t>
      </w:r>
      <w:proofErr w:type="spellStart"/>
      <w:r w:rsidRPr="006C40E9">
        <w:rPr>
          <w:lang w:eastAsia="bg-BG"/>
        </w:rPr>
        <w:t>рН</w:t>
      </w:r>
      <w:proofErr w:type="spellEnd"/>
      <w:r w:rsidRPr="006C40E9">
        <w:rPr>
          <w:lang w:val="en-US"/>
        </w:rPr>
        <w:t>≥</w:t>
      </w:r>
      <w:r w:rsidRPr="006C40E9">
        <w:rPr>
          <w:lang w:eastAsia="bg-BG"/>
        </w:rPr>
        <w:t>3 за средно 17 часа в денонощието.</w:t>
      </w:r>
    </w:p>
    <w:p w14:paraId="7FCD51A4" w14:textId="02C1FF70" w:rsidR="006C40E9" w:rsidRDefault="006C40E9" w:rsidP="006C40E9">
      <w:pPr>
        <w:rPr>
          <w:lang w:eastAsia="bg-BG"/>
        </w:rPr>
      </w:pPr>
    </w:p>
    <w:p w14:paraId="4E99D2D6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Като последствие от понижената киселинна секреция и стомашна киселинност, при пациенти с </w:t>
      </w:r>
      <w:proofErr w:type="spellStart"/>
      <w:r w:rsidRPr="006C40E9">
        <w:rPr>
          <w:lang w:eastAsia="bg-BG"/>
        </w:rPr>
        <w:t>гастроезофагеална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рефлуксна</w:t>
      </w:r>
      <w:proofErr w:type="spellEnd"/>
      <w:r w:rsidRPr="006C40E9">
        <w:rPr>
          <w:lang w:eastAsia="bg-BG"/>
        </w:rPr>
        <w:t xml:space="preserve"> болест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редуцира/нормализира киселинността в хранопровода </w:t>
      </w:r>
      <w:proofErr w:type="spellStart"/>
      <w:r w:rsidRPr="006C40E9">
        <w:rPr>
          <w:lang w:eastAsia="bg-BG"/>
        </w:rPr>
        <w:t>дозозависимо</w:t>
      </w:r>
      <w:proofErr w:type="spellEnd"/>
      <w:r w:rsidRPr="006C40E9">
        <w:rPr>
          <w:lang w:eastAsia="bg-BG"/>
        </w:rPr>
        <w:t>.</w:t>
      </w:r>
    </w:p>
    <w:p w14:paraId="1F9A1654" w14:textId="77777777" w:rsidR="006C40E9" w:rsidRDefault="006C40E9" w:rsidP="006C40E9">
      <w:pPr>
        <w:rPr>
          <w:lang w:eastAsia="bg-BG"/>
        </w:rPr>
      </w:pPr>
    </w:p>
    <w:p w14:paraId="7E3A29E4" w14:textId="4870848E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Инхибирането на киселинната секреция показва зависимост от Площта под кривата на плазмената концентрация </w:t>
      </w:r>
      <w:r w:rsidRPr="006C40E9">
        <w:rPr>
          <w:lang w:val="en-US"/>
        </w:rPr>
        <w:t xml:space="preserve">(AUC) </w:t>
      </w:r>
      <w:r w:rsidRPr="006C40E9">
        <w:rPr>
          <w:lang w:eastAsia="bg-BG"/>
        </w:rPr>
        <w:t xml:space="preserve">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>, а не действителната плазмена концентрация в даден момент.</w:t>
      </w:r>
    </w:p>
    <w:p w14:paraId="796C3D17" w14:textId="77777777" w:rsidR="006C40E9" w:rsidRDefault="006C40E9" w:rsidP="006C40E9">
      <w:pPr>
        <w:rPr>
          <w:u w:val="single"/>
          <w:lang w:eastAsia="bg-BG"/>
        </w:rPr>
      </w:pPr>
    </w:p>
    <w:p w14:paraId="1865FAFA" w14:textId="46A9C15F" w:rsidR="006C40E9" w:rsidRPr="006C40E9" w:rsidRDefault="006C40E9" w:rsidP="006C40E9">
      <w:pPr>
        <w:rPr>
          <w:sz w:val="24"/>
          <w:szCs w:val="24"/>
        </w:rPr>
      </w:pPr>
      <w:r w:rsidRPr="006C40E9">
        <w:rPr>
          <w:u w:val="single"/>
          <w:lang w:eastAsia="bg-BG"/>
        </w:rPr>
        <w:t>Клинична ефикасност и безопасност</w:t>
      </w:r>
    </w:p>
    <w:p w14:paraId="1B5A1912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Ефект върху </w:t>
      </w:r>
      <w:proofErr w:type="spellStart"/>
      <w:r w:rsidRPr="006C40E9">
        <w:rPr>
          <w:i/>
          <w:iCs/>
          <w:lang w:val="en-US"/>
        </w:rPr>
        <w:t>Hpylori</w:t>
      </w:r>
      <w:proofErr w:type="spellEnd"/>
    </w:p>
    <w:p w14:paraId="6A808F9E" w14:textId="77777777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i/>
          <w:iCs/>
          <w:lang w:val="en-US"/>
        </w:rPr>
        <w:t>Hpylori</w:t>
      </w:r>
      <w:proofErr w:type="spell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е свързан с развитието на </w:t>
      </w:r>
      <w:proofErr w:type="spellStart"/>
      <w:r w:rsidRPr="006C40E9">
        <w:rPr>
          <w:lang w:eastAsia="bg-BG"/>
        </w:rPr>
        <w:t>пептична</w:t>
      </w:r>
      <w:proofErr w:type="spellEnd"/>
      <w:r w:rsidRPr="006C40E9">
        <w:rPr>
          <w:lang w:eastAsia="bg-BG"/>
        </w:rPr>
        <w:t xml:space="preserve"> язва - както </w:t>
      </w:r>
      <w:proofErr w:type="spellStart"/>
      <w:r w:rsidRPr="006C40E9">
        <w:rPr>
          <w:lang w:eastAsia="bg-BG"/>
        </w:rPr>
        <w:t>дуоденална</w:t>
      </w:r>
      <w:proofErr w:type="spellEnd"/>
      <w:r w:rsidRPr="006C40E9">
        <w:rPr>
          <w:lang w:eastAsia="bg-BG"/>
        </w:rPr>
        <w:t xml:space="preserve">, така и стомашна. </w:t>
      </w:r>
      <w:proofErr w:type="spellStart"/>
      <w:proofErr w:type="gramStart"/>
      <w:r w:rsidRPr="006C40E9">
        <w:rPr>
          <w:i/>
          <w:iCs/>
          <w:lang w:val="en-US"/>
        </w:rPr>
        <w:t>H.pylori</w:t>
      </w:r>
      <w:proofErr w:type="spellEnd"/>
      <w:proofErr w:type="gram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е важен фактор за развитието на гастрит. </w:t>
      </w:r>
      <w:proofErr w:type="spellStart"/>
      <w:r w:rsidRPr="006C40E9">
        <w:rPr>
          <w:i/>
          <w:iCs/>
          <w:lang w:val="en-US"/>
        </w:rPr>
        <w:t>Hpylori</w:t>
      </w:r>
      <w:proofErr w:type="spell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и стомашната киселинна секреция са основни фактори в развитието на </w:t>
      </w:r>
      <w:proofErr w:type="spellStart"/>
      <w:r w:rsidRPr="006C40E9">
        <w:rPr>
          <w:lang w:eastAsia="bg-BG"/>
        </w:rPr>
        <w:t>пептична</w:t>
      </w:r>
      <w:proofErr w:type="spellEnd"/>
      <w:r w:rsidRPr="006C40E9">
        <w:rPr>
          <w:lang w:eastAsia="bg-BG"/>
        </w:rPr>
        <w:t xml:space="preserve"> язва. </w:t>
      </w:r>
      <w:proofErr w:type="spellStart"/>
      <w:proofErr w:type="gramStart"/>
      <w:r w:rsidRPr="006C40E9">
        <w:rPr>
          <w:i/>
          <w:iCs/>
          <w:lang w:val="en-US"/>
        </w:rPr>
        <w:t>H.pylori</w:t>
      </w:r>
      <w:proofErr w:type="spellEnd"/>
      <w:proofErr w:type="gram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е основен фактор в развитието на </w:t>
      </w:r>
      <w:proofErr w:type="spellStart"/>
      <w:r w:rsidRPr="006C40E9">
        <w:rPr>
          <w:lang w:eastAsia="bg-BG"/>
        </w:rPr>
        <w:t>атрофичен</w:t>
      </w:r>
      <w:proofErr w:type="spellEnd"/>
      <w:r w:rsidRPr="006C40E9">
        <w:rPr>
          <w:lang w:eastAsia="bg-BG"/>
        </w:rPr>
        <w:t xml:space="preserve"> гастрит, който е свързан с повишен риск от развитие на рак на стомаха.</w:t>
      </w:r>
    </w:p>
    <w:p w14:paraId="1BB9EC45" w14:textId="77777777" w:rsidR="006C40E9" w:rsidRDefault="006C40E9" w:rsidP="006C40E9">
      <w:pPr>
        <w:rPr>
          <w:lang w:eastAsia="bg-BG"/>
        </w:rPr>
      </w:pPr>
    </w:p>
    <w:p w14:paraId="6112968F" w14:textId="15E560A9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Ерадикацията</w:t>
      </w:r>
      <w:proofErr w:type="spellEnd"/>
      <w:r w:rsidRPr="006C40E9">
        <w:rPr>
          <w:lang w:eastAsia="bg-BG"/>
        </w:rPr>
        <w:t xml:space="preserve"> на </w:t>
      </w:r>
      <w:proofErr w:type="spellStart"/>
      <w:r w:rsidRPr="006C40E9">
        <w:rPr>
          <w:i/>
          <w:iCs/>
          <w:lang w:val="en-US"/>
        </w:rPr>
        <w:t>Hpylori</w:t>
      </w:r>
      <w:proofErr w:type="spell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с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и антимикробни продукти е свързана с висока честата на </w:t>
      </w:r>
      <w:proofErr w:type="spellStart"/>
      <w:r w:rsidRPr="006C40E9">
        <w:rPr>
          <w:lang w:eastAsia="bg-BG"/>
        </w:rPr>
        <w:t>епителизиране</w:t>
      </w:r>
      <w:proofErr w:type="spellEnd"/>
      <w:r w:rsidRPr="006C40E9">
        <w:rPr>
          <w:lang w:eastAsia="bg-BG"/>
        </w:rPr>
        <w:t xml:space="preserve"> и дългосрочна ремисия на </w:t>
      </w:r>
      <w:proofErr w:type="spellStart"/>
      <w:r w:rsidRPr="006C40E9">
        <w:rPr>
          <w:lang w:eastAsia="bg-BG"/>
        </w:rPr>
        <w:t>пептичната</w:t>
      </w:r>
      <w:proofErr w:type="spellEnd"/>
      <w:r w:rsidRPr="006C40E9">
        <w:rPr>
          <w:lang w:eastAsia="bg-BG"/>
        </w:rPr>
        <w:t xml:space="preserve"> язва.</w:t>
      </w:r>
    </w:p>
    <w:p w14:paraId="2126D6F3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Изпитвани са двойни комбинации, като е установено, че са по-слабо ефикасни от тройните комбинации. Все пак те могат да влязат в съображение в случаи, в които лечението с която и да е тройна </w:t>
      </w:r>
      <w:proofErr w:type="spellStart"/>
      <w:r w:rsidRPr="006C40E9">
        <w:rPr>
          <w:lang w:eastAsia="bg-BG"/>
        </w:rPr>
        <w:t>комбинацияе</w:t>
      </w:r>
      <w:proofErr w:type="spellEnd"/>
      <w:r w:rsidRPr="006C40E9">
        <w:rPr>
          <w:lang w:eastAsia="bg-BG"/>
        </w:rPr>
        <w:t xml:space="preserve"> възпрепятствано от </w:t>
      </w:r>
      <w:proofErr w:type="spellStart"/>
      <w:r w:rsidRPr="006C40E9">
        <w:rPr>
          <w:lang w:eastAsia="bg-BG"/>
        </w:rPr>
        <w:t>свъхчувствителност</w:t>
      </w:r>
      <w:proofErr w:type="spellEnd"/>
      <w:r w:rsidRPr="006C40E9">
        <w:rPr>
          <w:lang w:eastAsia="bg-BG"/>
        </w:rPr>
        <w:t>.</w:t>
      </w:r>
    </w:p>
    <w:p w14:paraId="1AF3CBFD" w14:textId="77777777" w:rsidR="006C40E9" w:rsidRDefault="006C40E9" w:rsidP="006C40E9">
      <w:pPr>
        <w:rPr>
          <w:lang w:eastAsia="bg-BG"/>
        </w:rPr>
      </w:pPr>
    </w:p>
    <w:p w14:paraId="6A10EA70" w14:textId="65C6E95F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Други ефекти, свързани с инхибирането на киселинната секреция</w:t>
      </w:r>
    </w:p>
    <w:p w14:paraId="25FEB370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Има съобщение за леко повишаване на честотата на развитие на стомашни </w:t>
      </w:r>
      <w:proofErr w:type="spellStart"/>
      <w:r w:rsidRPr="006C40E9">
        <w:rPr>
          <w:lang w:eastAsia="bg-BG"/>
        </w:rPr>
        <w:t>гландуларни</w:t>
      </w:r>
      <w:proofErr w:type="spellEnd"/>
      <w:r w:rsidRPr="006C40E9">
        <w:rPr>
          <w:lang w:eastAsia="bg-BG"/>
        </w:rPr>
        <w:t xml:space="preserve"> кисти по време на дългосрочно лечение. Тези промени, които са физиологично последствие от изразеното инхибиране на киселинната секреция, са доброкачествени и изглежда са обратими.</w:t>
      </w:r>
    </w:p>
    <w:p w14:paraId="593BCA26" w14:textId="77777777" w:rsidR="006C40E9" w:rsidRDefault="006C40E9" w:rsidP="006C40E9">
      <w:pPr>
        <w:rPr>
          <w:lang w:eastAsia="bg-BG"/>
        </w:rPr>
      </w:pPr>
    </w:p>
    <w:p w14:paraId="3736A6FB" w14:textId="5408308F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Понижената стомашна киселинност, постигната по какъвто и да е начин - включително и чрез инхибитори на </w:t>
      </w:r>
      <w:proofErr w:type="spellStart"/>
      <w:r w:rsidRPr="006C40E9">
        <w:rPr>
          <w:lang w:eastAsia="bg-BG"/>
        </w:rPr>
        <w:t>протонната</w:t>
      </w:r>
      <w:proofErr w:type="spellEnd"/>
      <w:r w:rsidRPr="006C40E9">
        <w:rPr>
          <w:lang w:eastAsia="bg-BG"/>
        </w:rPr>
        <w:t xml:space="preserve"> помпа, води до повишаване на бактериалното число в стомаха на нормално откриващи се в стомашно-чревния тракт бактерии. Лечението с намаляващи киселинността лекарствени продукти може да доведе до леко повишаване на риска от стомашно-чревни инфекции, напр. причинени от </w:t>
      </w:r>
      <w:r w:rsidRPr="006C40E9">
        <w:rPr>
          <w:i/>
          <w:iCs/>
          <w:lang w:val="en-US"/>
        </w:rPr>
        <w:t>Salmonella</w:t>
      </w:r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и </w:t>
      </w:r>
      <w:r w:rsidRPr="006C40E9">
        <w:rPr>
          <w:i/>
          <w:iCs/>
          <w:lang w:val="en-US"/>
        </w:rPr>
        <w:t>Campylobacter,</w:t>
      </w:r>
    </w:p>
    <w:p w14:paraId="021E008F" w14:textId="77777777" w:rsidR="006C40E9" w:rsidRDefault="006C40E9" w:rsidP="006C40E9">
      <w:pPr>
        <w:rPr>
          <w:lang w:eastAsia="bg-BG"/>
        </w:rPr>
      </w:pPr>
    </w:p>
    <w:p w14:paraId="46B0B61D" w14:textId="05A0BA76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>, както всички лекарствени вещества, потискащи киселинната секреция, може да намали абсорбцията на витамин В12 (</w:t>
      </w:r>
      <w:proofErr w:type="spellStart"/>
      <w:r w:rsidRPr="006C40E9">
        <w:rPr>
          <w:lang w:eastAsia="bg-BG"/>
        </w:rPr>
        <w:t>цианкобаламин</w:t>
      </w:r>
      <w:proofErr w:type="spellEnd"/>
      <w:r w:rsidRPr="006C40E9">
        <w:rPr>
          <w:lang w:eastAsia="bg-BG"/>
        </w:rPr>
        <w:t xml:space="preserve">) поради </w:t>
      </w:r>
      <w:proofErr w:type="spellStart"/>
      <w:r w:rsidRPr="006C40E9">
        <w:rPr>
          <w:lang w:eastAsia="bg-BG"/>
        </w:rPr>
        <w:t>хипо</w:t>
      </w:r>
      <w:proofErr w:type="spellEnd"/>
      <w:r w:rsidRPr="006C40E9">
        <w:rPr>
          <w:lang w:eastAsia="bg-BG"/>
        </w:rPr>
        <w:t xml:space="preserve">- или </w:t>
      </w:r>
      <w:proofErr w:type="spellStart"/>
      <w:r w:rsidRPr="006C40E9">
        <w:rPr>
          <w:lang w:eastAsia="bg-BG"/>
        </w:rPr>
        <w:t>ахлорхидрия</w:t>
      </w:r>
      <w:proofErr w:type="spellEnd"/>
      <w:r w:rsidRPr="006C40E9">
        <w:rPr>
          <w:lang w:eastAsia="bg-BG"/>
        </w:rPr>
        <w:t>. Това трябва да се има предвид при пациенти с намалени запаси на организма или с рискови фактори за намаляване на абсорбцията на витамин В12 при продължителна терапия.</w:t>
      </w:r>
    </w:p>
    <w:p w14:paraId="29DC5B21" w14:textId="77777777" w:rsidR="006C40E9" w:rsidRDefault="006C40E9" w:rsidP="006C40E9">
      <w:pPr>
        <w:rPr>
          <w:u w:val="single"/>
          <w:lang w:eastAsia="bg-BG"/>
        </w:rPr>
      </w:pPr>
    </w:p>
    <w:p w14:paraId="04474297" w14:textId="6E28AF5C" w:rsidR="006C40E9" w:rsidRPr="006C40E9" w:rsidRDefault="006C40E9" w:rsidP="006C40E9">
      <w:pPr>
        <w:rPr>
          <w:sz w:val="24"/>
          <w:szCs w:val="24"/>
        </w:rPr>
      </w:pPr>
      <w:r w:rsidRPr="006C40E9">
        <w:rPr>
          <w:u w:val="single"/>
          <w:lang w:eastAsia="bg-BG"/>
        </w:rPr>
        <w:t>Педиатрична популация</w:t>
      </w:r>
    </w:p>
    <w:p w14:paraId="3CD25C58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В </w:t>
      </w:r>
      <w:proofErr w:type="spellStart"/>
      <w:r w:rsidRPr="006C40E9">
        <w:rPr>
          <w:lang w:eastAsia="bg-BG"/>
        </w:rPr>
        <w:t>некотролирано</w:t>
      </w:r>
      <w:proofErr w:type="spellEnd"/>
      <w:r w:rsidRPr="006C40E9">
        <w:rPr>
          <w:lang w:eastAsia="bg-BG"/>
        </w:rPr>
        <w:t xml:space="preserve"> изпитване при деца (на възраст от 1 до 16 години) с тежък </w:t>
      </w:r>
      <w:proofErr w:type="spellStart"/>
      <w:r w:rsidRPr="006C40E9">
        <w:rPr>
          <w:lang w:eastAsia="bg-BG"/>
        </w:rPr>
        <w:t>рефлукс-езофагит</w:t>
      </w:r>
      <w:proofErr w:type="spellEnd"/>
      <w:r w:rsidRPr="006C40E9">
        <w:rPr>
          <w:lang w:eastAsia="bg-BG"/>
        </w:rPr>
        <w:t xml:space="preserve">,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в дози от 0,7 до 1,4 </w:t>
      </w:r>
      <w:r w:rsidRPr="006C40E9">
        <w:rPr>
          <w:lang w:val="en-US"/>
        </w:rPr>
        <w:t xml:space="preserve">mg/kg </w:t>
      </w:r>
      <w:r w:rsidRPr="006C40E9">
        <w:rPr>
          <w:lang w:eastAsia="bg-BG"/>
        </w:rPr>
        <w:t xml:space="preserve">е показал подобряване на тежестта на </w:t>
      </w:r>
      <w:proofErr w:type="spellStart"/>
      <w:r w:rsidRPr="006C40E9">
        <w:rPr>
          <w:lang w:eastAsia="bg-BG"/>
        </w:rPr>
        <w:t>езофагита</w:t>
      </w:r>
      <w:proofErr w:type="spellEnd"/>
      <w:r w:rsidRPr="006C40E9">
        <w:rPr>
          <w:lang w:eastAsia="bg-BG"/>
        </w:rPr>
        <w:t xml:space="preserve"> в 90% от случаите и е намалили значимо симптомите на </w:t>
      </w:r>
      <w:proofErr w:type="spellStart"/>
      <w:r w:rsidRPr="006C40E9">
        <w:rPr>
          <w:lang w:eastAsia="bg-BG"/>
        </w:rPr>
        <w:t>рефлукс</w:t>
      </w:r>
      <w:proofErr w:type="spellEnd"/>
      <w:r w:rsidRPr="006C40E9">
        <w:rPr>
          <w:lang w:eastAsia="bg-BG"/>
        </w:rPr>
        <w:t xml:space="preserve">. В просто </w:t>
      </w:r>
      <w:r w:rsidRPr="006C40E9">
        <w:rPr>
          <w:lang w:eastAsia="bg-BG"/>
        </w:rPr>
        <w:lastRenderedPageBreak/>
        <w:t xml:space="preserve">сляпо изпитване деца на възраст от 0 до 24 месеца с клинично диагностицирана </w:t>
      </w:r>
      <w:proofErr w:type="spellStart"/>
      <w:r w:rsidRPr="006C40E9">
        <w:rPr>
          <w:lang w:eastAsia="bg-BG"/>
        </w:rPr>
        <w:t>гастроезофагеална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рефлуксна</w:t>
      </w:r>
      <w:proofErr w:type="spellEnd"/>
      <w:r w:rsidRPr="006C40E9">
        <w:rPr>
          <w:lang w:eastAsia="bg-BG"/>
        </w:rPr>
        <w:t xml:space="preserve"> болест са лекувани с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в доза 0,5, 1,0 или 1,5 </w:t>
      </w:r>
      <w:r w:rsidRPr="006C40E9">
        <w:rPr>
          <w:lang w:val="en-US"/>
        </w:rPr>
        <w:t xml:space="preserve">mg/kg. </w:t>
      </w:r>
      <w:r w:rsidRPr="006C40E9">
        <w:rPr>
          <w:lang w:eastAsia="bg-BG"/>
        </w:rPr>
        <w:t>След 8-седмично лечение честотата на епизодите на повръщане/</w:t>
      </w:r>
      <w:proofErr w:type="spellStart"/>
      <w:r w:rsidRPr="006C40E9">
        <w:rPr>
          <w:lang w:eastAsia="bg-BG"/>
        </w:rPr>
        <w:t>регургитация</w:t>
      </w:r>
      <w:proofErr w:type="spellEnd"/>
      <w:r w:rsidRPr="006C40E9">
        <w:rPr>
          <w:lang w:eastAsia="bg-BG"/>
        </w:rPr>
        <w:t xml:space="preserve"> е спаднала с 50%, независимо от дозата.</w:t>
      </w:r>
    </w:p>
    <w:p w14:paraId="6752CA53" w14:textId="77777777" w:rsidR="006C40E9" w:rsidRDefault="006C40E9" w:rsidP="006C40E9">
      <w:pPr>
        <w:rPr>
          <w:lang w:eastAsia="bg-BG"/>
        </w:rPr>
      </w:pPr>
    </w:p>
    <w:p w14:paraId="6D2D6C5D" w14:textId="17C1226F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Ерадикация</w:t>
      </w:r>
      <w:proofErr w:type="spellEnd"/>
      <w:r w:rsidRPr="006C40E9">
        <w:rPr>
          <w:lang w:eastAsia="bg-BG"/>
        </w:rPr>
        <w:t xml:space="preserve"> на </w:t>
      </w:r>
      <w:r w:rsidRPr="006C40E9">
        <w:rPr>
          <w:i/>
          <w:iCs/>
          <w:lang w:eastAsia="bg-BG"/>
        </w:rPr>
        <w:t>Н.</w:t>
      </w:r>
      <w:r w:rsidRPr="006C40E9">
        <w:rPr>
          <w:i/>
          <w:iCs/>
          <w:lang w:val="en-US"/>
        </w:rPr>
        <w:t>pylori</w:t>
      </w:r>
      <w:r w:rsidRPr="006C40E9">
        <w:rPr>
          <w:lang w:val="en-US"/>
        </w:rPr>
        <w:t xml:space="preserve"> </w:t>
      </w:r>
      <w:r w:rsidRPr="006C40E9">
        <w:rPr>
          <w:lang w:eastAsia="bg-BG"/>
        </w:rPr>
        <w:t>при деца</w:t>
      </w:r>
    </w:p>
    <w:p w14:paraId="02A3282C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Заключението от рандомизирано, двойно-сляпо клинично изпитване </w:t>
      </w:r>
      <w:r w:rsidRPr="006C40E9">
        <w:rPr>
          <w:lang w:val="en-US"/>
        </w:rPr>
        <w:t>(</w:t>
      </w:r>
      <w:proofErr w:type="spellStart"/>
      <w:r w:rsidRPr="006C40E9">
        <w:rPr>
          <w:lang w:val="en-US"/>
        </w:rPr>
        <w:t>Heliot</w:t>
      </w:r>
      <w:proofErr w:type="spellEnd"/>
      <w:r w:rsidRPr="006C40E9">
        <w:rPr>
          <w:lang w:val="en-US"/>
        </w:rPr>
        <w:t xml:space="preserve">) </w:t>
      </w:r>
      <w:r w:rsidRPr="006C40E9">
        <w:rPr>
          <w:lang w:eastAsia="bg-BG"/>
        </w:rPr>
        <w:t xml:space="preserve">е, че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в комбинация с два антибиотика (</w:t>
      </w:r>
      <w:proofErr w:type="spellStart"/>
      <w:r w:rsidRPr="006C40E9">
        <w:rPr>
          <w:lang w:eastAsia="bg-BG"/>
        </w:rPr>
        <w:t>амоксицилин</w:t>
      </w:r>
      <w:proofErr w:type="spellEnd"/>
      <w:r w:rsidRPr="006C40E9">
        <w:rPr>
          <w:lang w:eastAsia="bg-BG"/>
        </w:rPr>
        <w:t xml:space="preserve"> и </w:t>
      </w:r>
      <w:proofErr w:type="spellStart"/>
      <w:r w:rsidRPr="006C40E9">
        <w:rPr>
          <w:lang w:eastAsia="bg-BG"/>
        </w:rPr>
        <w:t>кларитромицин</w:t>
      </w:r>
      <w:proofErr w:type="spellEnd"/>
      <w:r w:rsidRPr="006C40E9">
        <w:rPr>
          <w:lang w:eastAsia="bg-BG"/>
        </w:rPr>
        <w:t xml:space="preserve">) е безопасно и ефикасно лечение на инфекцията с </w:t>
      </w:r>
      <w:proofErr w:type="spellStart"/>
      <w:r w:rsidRPr="006C40E9">
        <w:rPr>
          <w:lang w:val="en-US"/>
        </w:rPr>
        <w:t>H.pylori</w:t>
      </w:r>
      <w:proofErr w:type="spell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при деца на възраст 4 и повече години с гастрит: </w:t>
      </w:r>
      <w:proofErr w:type="spellStart"/>
      <w:r w:rsidRPr="006C40E9">
        <w:rPr>
          <w:lang w:eastAsia="bg-BG"/>
        </w:rPr>
        <w:t>ерадикация</w:t>
      </w:r>
      <w:proofErr w:type="spellEnd"/>
      <w:r w:rsidRPr="006C40E9">
        <w:rPr>
          <w:lang w:eastAsia="bg-BG"/>
        </w:rPr>
        <w:t xml:space="preserve"> на </w:t>
      </w:r>
      <w:proofErr w:type="spellStart"/>
      <w:r w:rsidRPr="006C40E9">
        <w:rPr>
          <w:lang w:val="en-US"/>
        </w:rPr>
        <w:t>H.pylori</w:t>
      </w:r>
      <w:proofErr w:type="spell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- 74,2 (23/31 </w:t>
      </w:r>
      <w:proofErr w:type="spellStart"/>
      <w:r w:rsidRPr="006C40E9">
        <w:rPr>
          <w:lang w:eastAsia="bg-BG"/>
        </w:rPr>
        <w:t>пациентиО</w:t>
      </w:r>
      <w:proofErr w:type="spellEnd"/>
      <w:r w:rsidRPr="006C40E9">
        <w:rPr>
          <w:lang w:eastAsia="bg-BG"/>
        </w:rPr>
        <w:t xml:space="preserve"> за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+ </w:t>
      </w:r>
      <w:proofErr w:type="spellStart"/>
      <w:r w:rsidRPr="006C40E9">
        <w:rPr>
          <w:lang w:eastAsia="bg-BG"/>
        </w:rPr>
        <w:t>амоксицилин</w:t>
      </w:r>
      <w:proofErr w:type="spellEnd"/>
      <w:r w:rsidRPr="006C40E9">
        <w:rPr>
          <w:lang w:eastAsia="bg-BG"/>
        </w:rPr>
        <w:t xml:space="preserve"> + </w:t>
      </w:r>
      <w:proofErr w:type="spellStart"/>
      <w:r w:rsidRPr="006C40E9">
        <w:rPr>
          <w:lang w:eastAsia="bg-BG"/>
        </w:rPr>
        <w:t>кларитромицин</w:t>
      </w:r>
      <w:proofErr w:type="spellEnd"/>
      <w:r w:rsidRPr="006C40E9">
        <w:rPr>
          <w:lang w:eastAsia="bg-BG"/>
        </w:rPr>
        <w:t xml:space="preserve"> срещу 9,4% (3/32 пациенти) за </w:t>
      </w:r>
      <w:proofErr w:type="spellStart"/>
      <w:r w:rsidRPr="006C40E9">
        <w:rPr>
          <w:lang w:eastAsia="bg-BG"/>
        </w:rPr>
        <w:t>амоксицилин</w:t>
      </w:r>
      <w:proofErr w:type="spellEnd"/>
      <w:r w:rsidRPr="006C40E9">
        <w:rPr>
          <w:lang w:eastAsia="bg-BG"/>
        </w:rPr>
        <w:t xml:space="preserve"> + </w:t>
      </w:r>
      <w:proofErr w:type="spellStart"/>
      <w:r w:rsidRPr="006C40E9">
        <w:rPr>
          <w:lang w:eastAsia="bg-BG"/>
        </w:rPr>
        <w:t>кларитромицин</w:t>
      </w:r>
      <w:proofErr w:type="spellEnd"/>
      <w:r w:rsidRPr="006C40E9">
        <w:rPr>
          <w:lang w:eastAsia="bg-BG"/>
        </w:rPr>
        <w:t>. Данни за клинична полза по отношение на симптомите на диспепсия обаче няма. Това изпитване не дава информация в подкрепа на приложението при деца на възраст под 4 години.</w:t>
      </w:r>
    </w:p>
    <w:p w14:paraId="55C593BA" w14:textId="77777777" w:rsidR="006C40E9" w:rsidRDefault="006C40E9" w:rsidP="006C40E9">
      <w:pPr>
        <w:rPr>
          <w:lang w:eastAsia="bg-BG"/>
        </w:rPr>
      </w:pPr>
    </w:p>
    <w:p w14:paraId="4848C12D" w14:textId="530DDC34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По време на лечение с </w:t>
      </w:r>
      <w:proofErr w:type="spellStart"/>
      <w:r w:rsidRPr="006C40E9">
        <w:rPr>
          <w:lang w:eastAsia="bg-BG"/>
        </w:rPr>
        <w:t>антисекреторни</w:t>
      </w:r>
      <w:proofErr w:type="spellEnd"/>
      <w:r w:rsidRPr="006C40E9">
        <w:rPr>
          <w:lang w:eastAsia="bg-BG"/>
        </w:rPr>
        <w:t xml:space="preserve"> лекарствени продукти </w:t>
      </w:r>
      <w:proofErr w:type="spellStart"/>
      <w:r w:rsidRPr="006C40E9">
        <w:rPr>
          <w:lang w:eastAsia="bg-BG"/>
        </w:rPr>
        <w:t>гастрина</w:t>
      </w:r>
      <w:proofErr w:type="spellEnd"/>
      <w:r w:rsidRPr="006C40E9">
        <w:rPr>
          <w:lang w:eastAsia="bg-BG"/>
        </w:rPr>
        <w:t xml:space="preserve"> в серума се повишава в отговор на понижената киселинна секреция. В резултат на намалената стомашна киселинност се повишава и нивото на </w:t>
      </w:r>
      <w:proofErr w:type="spellStart"/>
      <w:r w:rsidRPr="006C40E9">
        <w:rPr>
          <w:lang w:val="en-US"/>
        </w:rPr>
        <w:t>CgA</w:t>
      </w:r>
      <w:proofErr w:type="spellEnd"/>
      <w:r w:rsidRPr="006C40E9">
        <w:rPr>
          <w:lang w:val="en-US"/>
        </w:rPr>
        <w:t xml:space="preserve">. </w:t>
      </w:r>
      <w:r w:rsidRPr="006C40E9">
        <w:rPr>
          <w:lang w:eastAsia="bg-BG"/>
        </w:rPr>
        <w:t xml:space="preserve">Повишеното ниво на </w:t>
      </w:r>
      <w:proofErr w:type="spellStart"/>
      <w:r w:rsidRPr="006C40E9">
        <w:rPr>
          <w:lang w:val="en-US"/>
        </w:rPr>
        <w:t>CgA</w:t>
      </w:r>
      <w:proofErr w:type="spellEnd"/>
      <w:r w:rsidRPr="006C40E9">
        <w:rPr>
          <w:lang w:val="en-US"/>
        </w:rPr>
        <w:t xml:space="preserve"> </w:t>
      </w:r>
      <w:r w:rsidRPr="006C40E9">
        <w:rPr>
          <w:lang w:eastAsia="bg-BG"/>
        </w:rPr>
        <w:t xml:space="preserve">може да повлияе на изследванията за </w:t>
      </w:r>
      <w:proofErr w:type="spellStart"/>
      <w:r w:rsidRPr="006C40E9">
        <w:rPr>
          <w:lang w:eastAsia="bg-BG"/>
        </w:rPr>
        <w:t>невроендокринни</w:t>
      </w:r>
      <w:proofErr w:type="spellEnd"/>
      <w:r w:rsidRPr="006C40E9">
        <w:rPr>
          <w:lang w:eastAsia="bg-BG"/>
        </w:rPr>
        <w:t xml:space="preserve"> тумори.</w:t>
      </w:r>
    </w:p>
    <w:p w14:paraId="67710CBB" w14:textId="2A27C719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Наличните публикувани данни показват, че прилагането на инхибитори на </w:t>
      </w:r>
      <w:proofErr w:type="spellStart"/>
      <w:r w:rsidRPr="006C40E9">
        <w:rPr>
          <w:lang w:eastAsia="bg-BG"/>
        </w:rPr>
        <w:t>протонната</w:t>
      </w:r>
      <w:proofErr w:type="spellEnd"/>
      <w:r w:rsidRPr="006C40E9">
        <w:rPr>
          <w:lang w:eastAsia="bg-BG"/>
        </w:rPr>
        <w:t xml:space="preserve"> помпа трябва да се преустанови между 5 дни и 2 седмици преди измерване на </w:t>
      </w:r>
      <w:proofErr w:type="spellStart"/>
      <w:r w:rsidRPr="006C40E9">
        <w:rPr>
          <w:lang w:val="en-US"/>
        </w:rPr>
        <w:t>CgA</w:t>
      </w:r>
      <w:proofErr w:type="spellEnd"/>
      <w:r w:rsidRPr="006C40E9">
        <w:rPr>
          <w:lang w:val="en-US"/>
        </w:rPr>
        <w:t xml:space="preserve">. </w:t>
      </w:r>
      <w:r w:rsidRPr="006C40E9">
        <w:rPr>
          <w:lang w:eastAsia="bg-BG"/>
        </w:rPr>
        <w:t xml:space="preserve">Това се прави с цел нивата на </w:t>
      </w:r>
      <w:proofErr w:type="spellStart"/>
      <w:r w:rsidRPr="006C40E9">
        <w:rPr>
          <w:lang w:val="en-US"/>
        </w:rPr>
        <w:t>CgA</w:t>
      </w:r>
      <w:proofErr w:type="spellEnd"/>
      <w:r w:rsidRPr="006C40E9">
        <w:rPr>
          <w:lang w:val="en-US"/>
        </w:rPr>
        <w:t>,</w:t>
      </w:r>
      <w:r w:rsidRPr="006C40E9">
        <w:rPr>
          <w:lang w:eastAsia="bg-BG"/>
        </w:rPr>
        <w:t xml:space="preserve"> които могат да са лъжливо повишени след лечение с ИПП, да се възстановят до референтните си граници.</w:t>
      </w:r>
    </w:p>
    <w:p w14:paraId="2161E08C" w14:textId="77777777" w:rsidR="006C40E9" w:rsidRPr="006C40E9" w:rsidRDefault="006C40E9" w:rsidP="006C40E9"/>
    <w:p w14:paraId="0A962168" w14:textId="755746B7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4C9C627" w14:textId="77777777" w:rsidR="006C40E9" w:rsidRDefault="006C40E9" w:rsidP="006C40E9">
      <w:pPr>
        <w:rPr>
          <w:lang w:eastAsia="bg-BG"/>
        </w:rPr>
      </w:pPr>
    </w:p>
    <w:p w14:paraId="3D245AD5" w14:textId="5DED5459" w:rsidR="006C40E9" w:rsidRPr="006C40E9" w:rsidRDefault="006C40E9" w:rsidP="006C40E9">
      <w:pPr>
        <w:pStyle w:val="Heading3"/>
        <w:rPr>
          <w:rFonts w:eastAsia="Times New Roman"/>
          <w:u w:val="single"/>
          <w:lang w:eastAsia="bg-BG"/>
        </w:rPr>
      </w:pPr>
      <w:r w:rsidRPr="006C40E9">
        <w:rPr>
          <w:rFonts w:eastAsia="Times New Roman"/>
          <w:u w:val="single"/>
          <w:lang w:eastAsia="bg-BG"/>
        </w:rPr>
        <w:t>Абсорбция</w:t>
      </w:r>
    </w:p>
    <w:p w14:paraId="36BD7E0A" w14:textId="1E7F19A1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и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магнезий са нестабилни в кисела среда и поради това перорално се прилагат като обвити </w:t>
      </w:r>
      <w:proofErr w:type="spellStart"/>
      <w:r w:rsidRPr="006C40E9">
        <w:rPr>
          <w:lang w:eastAsia="bg-BG"/>
        </w:rPr>
        <w:t>ентерални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пелети</w:t>
      </w:r>
      <w:proofErr w:type="spellEnd"/>
      <w:r w:rsidRPr="006C40E9">
        <w:rPr>
          <w:lang w:eastAsia="bg-BG"/>
        </w:rPr>
        <w:t xml:space="preserve"> в капсули или таблетки. Абсорбцията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бърза,, като максимална плазмена концентрация се постига приблизително 1-2 часа след приема.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се абсорбира в тънкото черво </w:t>
      </w:r>
      <w:proofErr w:type="spellStart"/>
      <w:r w:rsidRPr="006C40E9">
        <w:rPr>
          <w:lang w:eastAsia="bg-BG"/>
        </w:rPr>
        <w:t>катопълната</w:t>
      </w:r>
      <w:proofErr w:type="spellEnd"/>
      <w:r w:rsidRPr="006C40E9">
        <w:rPr>
          <w:lang w:eastAsia="bg-BG"/>
        </w:rPr>
        <w:t xml:space="preserve"> му абсорбция отнема 3-6 часа. Приемът с храна не се отразява върху </w:t>
      </w:r>
      <w:proofErr w:type="spellStart"/>
      <w:r w:rsidRPr="006C40E9">
        <w:rPr>
          <w:lang w:eastAsia="bg-BG"/>
        </w:rPr>
        <w:t>бионаличностга</w:t>
      </w:r>
      <w:proofErr w:type="spellEnd"/>
      <w:r w:rsidRPr="006C40E9">
        <w:rPr>
          <w:lang w:eastAsia="bg-BG"/>
        </w:rPr>
        <w:t xml:space="preserve">. Системната наличност 9бионаличност0 след еднократен перорален прием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приблизително 40%. След повторен прием на еднократна дневна доза </w:t>
      </w:r>
      <w:proofErr w:type="spellStart"/>
      <w:r w:rsidRPr="006C40E9">
        <w:rPr>
          <w:lang w:eastAsia="bg-BG"/>
        </w:rPr>
        <w:t>бионаличностга</w:t>
      </w:r>
      <w:proofErr w:type="spellEnd"/>
      <w:r w:rsidRPr="006C40E9">
        <w:rPr>
          <w:lang w:eastAsia="bg-BG"/>
        </w:rPr>
        <w:t xml:space="preserve"> се повишава до около 60%.</w:t>
      </w:r>
    </w:p>
    <w:p w14:paraId="1D0EC555" w14:textId="77777777" w:rsidR="006C40E9" w:rsidRDefault="006C40E9" w:rsidP="006C40E9">
      <w:pPr>
        <w:rPr>
          <w:lang w:eastAsia="bg-BG"/>
        </w:rPr>
      </w:pPr>
    </w:p>
    <w:p w14:paraId="1E990540" w14:textId="7BC3AE9D" w:rsidR="006C40E9" w:rsidRPr="006C40E9" w:rsidRDefault="006C40E9" w:rsidP="006C40E9">
      <w:pPr>
        <w:pStyle w:val="Heading3"/>
        <w:rPr>
          <w:rFonts w:eastAsia="Times New Roman"/>
          <w:u w:val="single"/>
        </w:rPr>
      </w:pPr>
      <w:r w:rsidRPr="006C40E9">
        <w:rPr>
          <w:rFonts w:eastAsia="Times New Roman"/>
          <w:u w:val="single"/>
          <w:lang w:eastAsia="bg-BG"/>
        </w:rPr>
        <w:t>Разпределение</w:t>
      </w:r>
    </w:p>
    <w:p w14:paraId="6F6B23E4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Привидният обем на разпределение при здрави доброволци е приблизително 0,3 </w:t>
      </w:r>
      <w:r w:rsidRPr="006C40E9">
        <w:rPr>
          <w:lang w:val="en-US"/>
        </w:rPr>
        <w:t xml:space="preserve">1/kg </w:t>
      </w:r>
      <w:r w:rsidRPr="006C40E9">
        <w:rPr>
          <w:lang w:eastAsia="bg-BG"/>
        </w:rPr>
        <w:t xml:space="preserve">телесно тегло. 97% от плазмения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свързан с плазмени протеини.</w:t>
      </w:r>
    </w:p>
    <w:p w14:paraId="6F57B6D4" w14:textId="77777777" w:rsidR="006C40E9" w:rsidRDefault="006C40E9" w:rsidP="006C40E9">
      <w:pPr>
        <w:rPr>
          <w:lang w:eastAsia="bg-BG"/>
        </w:rPr>
      </w:pPr>
    </w:p>
    <w:p w14:paraId="7C4CD224" w14:textId="14C784A1" w:rsidR="006C40E9" w:rsidRPr="006C40E9" w:rsidRDefault="006C40E9" w:rsidP="006C40E9">
      <w:pPr>
        <w:pStyle w:val="Heading3"/>
        <w:rPr>
          <w:rFonts w:eastAsia="Times New Roman"/>
          <w:u w:val="single"/>
        </w:rPr>
      </w:pPr>
      <w:proofErr w:type="spellStart"/>
      <w:r w:rsidRPr="006C40E9">
        <w:rPr>
          <w:rFonts w:eastAsia="Times New Roman"/>
          <w:u w:val="single"/>
          <w:lang w:eastAsia="bg-BG"/>
        </w:rPr>
        <w:t>Биотран</w:t>
      </w:r>
      <w:r w:rsidRPr="006C40E9">
        <w:rPr>
          <w:rFonts w:eastAsia="Times New Roman"/>
          <w:u w:val="single"/>
          <w:lang w:eastAsia="bg-BG"/>
        </w:rPr>
        <w:t>ф</w:t>
      </w:r>
      <w:r w:rsidRPr="006C40E9">
        <w:rPr>
          <w:rFonts w:eastAsia="Times New Roman"/>
          <w:u w:val="single"/>
          <w:lang w:eastAsia="bg-BG"/>
        </w:rPr>
        <w:t>ормация</w:t>
      </w:r>
      <w:proofErr w:type="spellEnd"/>
    </w:p>
    <w:p w14:paraId="2A26BA12" w14:textId="77777777" w:rsidR="006C40E9" w:rsidRPr="006C40E9" w:rsidRDefault="006C40E9" w:rsidP="006C40E9">
      <w:pPr>
        <w:rPr>
          <w:sz w:val="24"/>
          <w:szCs w:val="24"/>
        </w:rPr>
      </w:pP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се </w:t>
      </w:r>
      <w:proofErr w:type="spellStart"/>
      <w:r w:rsidRPr="006C40E9">
        <w:rPr>
          <w:lang w:eastAsia="bg-BG"/>
        </w:rPr>
        <w:t>метаболизира</w:t>
      </w:r>
      <w:proofErr w:type="spellEnd"/>
      <w:r w:rsidRPr="006C40E9">
        <w:rPr>
          <w:lang w:eastAsia="bg-BG"/>
        </w:rPr>
        <w:t xml:space="preserve"> изцяло от системата на </w:t>
      </w:r>
      <w:proofErr w:type="spellStart"/>
      <w:r w:rsidRPr="006C40E9">
        <w:rPr>
          <w:lang w:eastAsia="bg-BG"/>
        </w:rPr>
        <w:t>цитохром</w:t>
      </w:r>
      <w:proofErr w:type="spellEnd"/>
      <w:r w:rsidRPr="006C40E9">
        <w:rPr>
          <w:lang w:eastAsia="bg-BG"/>
        </w:rPr>
        <w:t xml:space="preserve"> Р450 </w:t>
      </w:r>
      <w:r w:rsidRPr="006C40E9">
        <w:rPr>
          <w:lang w:val="en-US"/>
        </w:rPr>
        <w:t xml:space="preserve">(CYP). </w:t>
      </w:r>
      <w:r w:rsidRPr="006C40E9">
        <w:rPr>
          <w:lang w:eastAsia="bg-BG"/>
        </w:rPr>
        <w:t xml:space="preserve">Основната част от </w:t>
      </w:r>
      <w:proofErr w:type="spellStart"/>
      <w:r w:rsidRPr="006C40E9">
        <w:rPr>
          <w:lang w:eastAsia="bg-BG"/>
        </w:rPr>
        <w:t>метаболизирането</w:t>
      </w:r>
      <w:proofErr w:type="spellEnd"/>
      <w:r w:rsidRPr="006C40E9">
        <w:rPr>
          <w:lang w:eastAsia="bg-BG"/>
        </w:rPr>
        <w:t xml:space="preserve"> му зависи от </w:t>
      </w:r>
      <w:proofErr w:type="spellStart"/>
      <w:r w:rsidRPr="006C40E9">
        <w:rPr>
          <w:lang w:eastAsia="bg-BG"/>
        </w:rPr>
        <w:t>полиморфно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екпресирания</w:t>
      </w:r>
      <w:proofErr w:type="spellEnd"/>
      <w:r w:rsidRPr="006C40E9">
        <w:rPr>
          <w:lang w:eastAsia="bg-BG"/>
        </w:rPr>
        <w:t xml:space="preserve"> </w:t>
      </w:r>
      <w:r w:rsidRPr="006C40E9">
        <w:rPr>
          <w:lang w:val="en-US"/>
        </w:rPr>
        <w:t xml:space="preserve">CYP2C19, </w:t>
      </w:r>
      <w:r w:rsidRPr="006C40E9">
        <w:rPr>
          <w:lang w:eastAsia="bg-BG"/>
        </w:rPr>
        <w:t xml:space="preserve">отговорен за </w:t>
      </w:r>
      <w:proofErr w:type="spellStart"/>
      <w:r w:rsidRPr="006C40E9">
        <w:rPr>
          <w:lang w:eastAsia="bg-BG"/>
        </w:rPr>
        <w:t>онразуването</w:t>
      </w:r>
      <w:proofErr w:type="spellEnd"/>
      <w:r w:rsidRPr="006C40E9">
        <w:rPr>
          <w:lang w:eastAsia="bg-BG"/>
        </w:rPr>
        <w:t xml:space="preserve"> на </w:t>
      </w:r>
      <w:proofErr w:type="spellStart"/>
      <w:r w:rsidRPr="006C40E9">
        <w:rPr>
          <w:lang w:eastAsia="bg-BG"/>
        </w:rPr>
        <w:t>хидрокси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, който е основният плазмен метаболит. Останалата част от </w:t>
      </w:r>
      <w:proofErr w:type="spellStart"/>
      <w:r w:rsidRPr="006C40E9">
        <w:rPr>
          <w:lang w:eastAsia="bg-BG"/>
        </w:rPr>
        <w:t>метаболизирането</w:t>
      </w:r>
      <w:proofErr w:type="spellEnd"/>
      <w:r w:rsidRPr="006C40E9">
        <w:rPr>
          <w:lang w:eastAsia="bg-BG"/>
        </w:rPr>
        <w:t xml:space="preserve"> му зависи от друга специфична </w:t>
      </w:r>
      <w:proofErr w:type="spellStart"/>
      <w:r w:rsidRPr="006C40E9">
        <w:rPr>
          <w:lang w:eastAsia="bg-BG"/>
        </w:rPr>
        <w:t>изоформа</w:t>
      </w:r>
      <w:proofErr w:type="spellEnd"/>
      <w:r w:rsidRPr="006C40E9">
        <w:rPr>
          <w:lang w:eastAsia="bg-BG"/>
        </w:rPr>
        <w:t xml:space="preserve">, </w:t>
      </w:r>
      <w:r w:rsidRPr="006C40E9">
        <w:rPr>
          <w:lang w:val="en-US"/>
        </w:rPr>
        <w:t xml:space="preserve">CYP3A4, </w:t>
      </w:r>
      <w:r w:rsidRPr="006C40E9">
        <w:rPr>
          <w:lang w:eastAsia="bg-BG"/>
        </w:rPr>
        <w:t xml:space="preserve">отговорна за образуването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сулфон</w:t>
      </w:r>
      <w:proofErr w:type="spellEnd"/>
      <w:r w:rsidRPr="006C40E9">
        <w:rPr>
          <w:lang w:eastAsia="bg-BG"/>
        </w:rPr>
        <w:t xml:space="preserve">. Като последствие от високия афинитет на </w:t>
      </w:r>
      <w:proofErr w:type="spellStart"/>
      <w:r w:rsidRPr="006C40E9">
        <w:rPr>
          <w:lang w:eastAsia="bg-BG"/>
        </w:rPr>
        <w:t>омепразола</w:t>
      </w:r>
      <w:proofErr w:type="spellEnd"/>
      <w:r w:rsidRPr="006C40E9">
        <w:rPr>
          <w:lang w:eastAsia="bg-BG"/>
        </w:rPr>
        <w:t xml:space="preserve"> към </w:t>
      </w:r>
      <w:r w:rsidRPr="006C40E9">
        <w:rPr>
          <w:lang w:val="en-US"/>
        </w:rPr>
        <w:t xml:space="preserve">CYP2C19 </w:t>
      </w:r>
      <w:r w:rsidRPr="006C40E9">
        <w:rPr>
          <w:lang w:eastAsia="bg-BG"/>
        </w:rPr>
        <w:t xml:space="preserve">съществува възможност за конкурентно </w:t>
      </w:r>
      <w:r w:rsidRPr="006C40E9">
        <w:rPr>
          <w:lang w:eastAsia="bg-BG"/>
        </w:rPr>
        <w:lastRenderedPageBreak/>
        <w:t xml:space="preserve">инхибиране на метаболитни лекарствени взаимодействия с други субстрати на </w:t>
      </w:r>
      <w:r w:rsidRPr="006C40E9">
        <w:rPr>
          <w:lang w:val="en-US"/>
        </w:rPr>
        <w:t xml:space="preserve">CYP2C19. </w:t>
      </w:r>
      <w:r w:rsidRPr="006C40E9">
        <w:rPr>
          <w:lang w:eastAsia="bg-BG"/>
        </w:rPr>
        <w:t xml:space="preserve">Поради ниския афинитет към </w:t>
      </w:r>
      <w:r w:rsidRPr="006C40E9">
        <w:rPr>
          <w:lang w:val="en-US"/>
        </w:rPr>
        <w:t xml:space="preserve">CYP3A4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не показва потенциал за инхибиране на метаболизма на други </w:t>
      </w:r>
      <w:proofErr w:type="spellStart"/>
      <w:r w:rsidRPr="006C40E9">
        <w:rPr>
          <w:lang w:eastAsia="bg-BG"/>
        </w:rPr>
        <w:t>субстати</w:t>
      </w:r>
      <w:proofErr w:type="spellEnd"/>
      <w:r w:rsidRPr="006C40E9">
        <w:rPr>
          <w:lang w:eastAsia="bg-BG"/>
        </w:rPr>
        <w:t xml:space="preserve"> на </w:t>
      </w:r>
      <w:r w:rsidRPr="006C40E9">
        <w:rPr>
          <w:lang w:val="en-US"/>
        </w:rPr>
        <w:t xml:space="preserve">CYP3A4. </w:t>
      </w:r>
      <w:r w:rsidRPr="006C40E9">
        <w:rPr>
          <w:lang w:eastAsia="bg-BG"/>
        </w:rPr>
        <w:t xml:space="preserve">В допълнение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не инхибира основните ензими на системата </w:t>
      </w:r>
      <w:proofErr w:type="spellStart"/>
      <w:r w:rsidRPr="006C40E9">
        <w:rPr>
          <w:lang w:eastAsia="bg-BG"/>
        </w:rPr>
        <w:t>наСУР</w:t>
      </w:r>
      <w:proofErr w:type="spellEnd"/>
      <w:r w:rsidRPr="006C40E9">
        <w:rPr>
          <w:lang w:eastAsia="bg-BG"/>
        </w:rPr>
        <w:t>.</w:t>
      </w:r>
    </w:p>
    <w:p w14:paraId="0C23D0AF" w14:textId="77777777" w:rsidR="006C40E9" w:rsidRDefault="006C40E9" w:rsidP="006C40E9">
      <w:pPr>
        <w:rPr>
          <w:lang w:eastAsia="bg-BG"/>
        </w:rPr>
      </w:pPr>
    </w:p>
    <w:p w14:paraId="2ABD1C48" w14:textId="4537E39D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Приблизително при 3% от хората от кавказката </w:t>
      </w:r>
      <w:proofErr w:type="spellStart"/>
      <w:r w:rsidRPr="006C40E9">
        <w:rPr>
          <w:lang w:eastAsia="bg-BG"/>
        </w:rPr>
        <w:t>популция</w:t>
      </w:r>
      <w:proofErr w:type="spellEnd"/>
      <w:r w:rsidRPr="006C40E9">
        <w:rPr>
          <w:lang w:eastAsia="bg-BG"/>
        </w:rPr>
        <w:t xml:space="preserve"> и 15-20% от хората от азиатската популация липсва функционално активен ензим </w:t>
      </w:r>
      <w:r w:rsidRPr="006C40E9">
        <w:rPr>
          <w:lang w:val="en-US"/>
        </w:rPr>
        <w:t>CYP2C</w:t>
      </w:r>
      <w:r w:rsidRPr="006C40E9">
        <w:rPr>
          <w:lang w:eastAsia="bg-BG"/>
        </w:rPr>
        <w:t xml:space="preserve">19 и те са бавни </w:t>
      </w:r>
      <w:proofErr w:type="spellStart"/>
      <w:r w:rsidRPr="006C40E9">
        <w:rPr>
          <w:lang w:eastAsia="bg-BG"/>
        </w:rPr>
        <w:t>метаболизатори</w:t>
      </w:r>
      <w:proofErr w:type="spellEnd"/>
      <w:r w:rsidRPr="006C40E9">
        <w:rPr>
          <w:lang w:eastAsia="bg-BG"/>
        </w:rPr>
        <w:t xml:space="preserve">. При такива индивиди </w:t>
      </w:r>
      <w:proofErr w:type="spellStart"/>
      <w:r w:rsidRPr="006C40E9">
        <w:rPr>
          <w:lang w:eastAsia="bg-BG"/>
        </w:rPr>
        <w:t>метаболизирането</w:t>
      </w:r>
      <w:proofErr w:type="spellEnd"/>
      <w:r w:rsidRPr="006C40E9">
        <w:rPr>
          <w:lang w:eastAsia="bg-BG"/>
        </w:rPr>
        <w:t xml:space="preserve">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вероятно се катализира от </w:t>
      </w:r>
      <w:r w:rsidRPr="006C40E9">
        <w:rPr>
          <w:lang w:val="en-US"/>
        </w:rPr>
        <w:t xml:space="preserve">CYP3A4. </w:t>
      </w:r>
      <w:r w:rsidRPr="006C40E9">
        <w:rPr>
          <w:lang w:eastAsia="bg-BG"/>
        </w:rPr>
        <w:t xml:space="preserve">След многократен прием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20 </w:t>
      </w:r>
      <w:r w:rsidRPr="006C40E9">
        <w:rPr>
          <w:lang w:val="en-US"/>
        </w:rPr>
        <w:t xml:space="preserve">mg </w:t>
      </w:r>
      <w:r w:rsidRPr="006C40E9">
        <w:rPr>
          <w:lang w:eastAsia="bg-BG"/>
        </w:rPr>
        <w:t xml:space="preserve">еднократно дневно средната </w:t>
      </w:r>
      <w:r w:rsidRPr="006C40E9">
        <w:rPr>
          <w:lang w:val="en-US"/>
        </w:rPr>
        <w:t xml:space="preserve">AUC </w:t>
      </w:r>
      <w:r w:rsidRPr="006C40E9">
        <w:rPr>
          <w:lang w:eastAsia="bg-BG"/>
        </w:rPr>
        <w:t xml:space="preserve">при бавни </w:t>
      </w:r>
      <w:proofErr w:type="spellStart"/>
      <w:r w:rsidRPr="006C40E9">
        <w:rPr>
          <w:lang w:eastAsia="bg-BG"/>
        </w:rPr>
        <w:t>метаболизтари</w:t>
      </w:r>
      <w:proofErr w:type="spellEnd"/>
      <w:r w:rsidRPr="006C40E9">
        <w:rPr>
          <w:lang w:eastAsia="bg-BG"/>
        </w:rPr>
        <w:t xml:space="preserve"> е приблизително 5 до 10 пъти по-голяма, отколкото при хората с функционално активен </w:t>
      </w:r>
      <w:r w:rsidRPr="006C40E9">
        <w:rPr>
          <w:lang w:val="en-US"/>
        </w:rPr>
        <w:t xml:space="preserve">CYP2C19 </w:t>
      </w:r>
      <w:r w:rsidRPr="006C40E9">
        <w:rPr>
          <w:lang w:eastAsia="bg-BG"/>
        </w:rPr>
        <w:t xml:space="preserve">(бързи </w:t>
      </w:r>
      <w:proofErr w:type="spellStart"/>
      <w:r w:rsidRPr="006C40E9">
        <w:rPr>
          <w:lang w:eastAsia="bg-BG"/>
        </w:rPr>
        <w:t>метаболизаториО</w:t>
      </w:r>
      <w:proofErr w:type="spellEnd"/>
      <w:r w:rsidRPr="006C40E9">
        <w:rPr>
          <w:lang w:eastAsia="bg-BG"/>
        </w:rPr>
        <w:t xml:space="preserve">. Средната плазмена концентрация също е по-висока - около 3 до 5 пъти. Тези данни обаче нямат отношение към дозировката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>.</w:t>
      </w:r>
    </w:p>
    <w:p w14:paraId="6A11B63E" w14:textId="77777777" w:rsidR="006C40E9" w:rsidRDefault="006C40E9" w:rsidP="006C40E9">
      <w:pPr>
        <w:rPr>
          <w:lang w:eastAsia="bg-BG"/>
        </w:rPr>
      </w:pPr>
    </w:p>
    <w:p w14:paraId="33F2C488" w14:textId="55098A76" w:rsidR="006C40E9" w:rsidRPr="006C40E9" w:rsidRDefault="006C40E9" w:rsidP="006C40E9">
      <w:pPr>
        <w:pStyle w:val="Heading3"/>
        <w:rPr>
          <w:rFonts w:eastAsia="Times New Roman"/>
          <w:u w:val="single"/>
        </w:rPr>
      </w:pPr>
      <w:r w:rsidRPr="006C40E9">
        <w:rPr>
          <w:rFonts w:eastAsia="Times New Roman"/>
          <w:u w:val="single"/>
          <w:lang w:eastAsia="bg-BG"/>
        </w:rPr>
        <w:t>Елиминиране</w:t>
      </w:r>
    </w:p>
    <w:p w14:paraId="036A6F19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Плазменият елиминационен полуживот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</w:t>
      </w:r>
      <w:proofErr w:type="spellStart"/>
      <w:r w:rsidRPr="006C40E9">
        <w:rPr>
          <w:lang w:eastAsia="bg-BG"/>
        </w:rPr>
        <w:t>обиконовено</w:t>
      </w:r>
      <w:proofErr w:type="spellEnd"/>
      <w:r w:rsidRPr="006C40E9">
        <w:rPr>
          <w:lang w:eastAsia="bg-BG"/>
        </w:rPr>
        <w:t xml:space="preserve"> е по-кратък от един час, както след еднократен перорален </w:t>
      </w:r>
      <w:proofErr w:type="spellStart"/>
      <w:r w:rsidRPr="006C40E9">
        <w:rPr>
          <w:lang w:eastAsia="bg-BG"/>
        </w:rPr>
        <w:t>приме</w:t>
      </w:r>
      <w:proofErr w:type="spellEnd"/>
      <w:r w:rsidRPr="006C40E9">
        <w:rPr>
          <w:lang w:eastAsia="bg-BG"/>
        </w:rPr>
        <w:t xml:space="preserve">, така и след </w:t>
      </w:r>
      <w:proofErr w:type="spellStart"/>
      <w:r w:rsidRPr="006C40E9">
        <w:rPr>
          <w:lang w:eastAsia="bg-BG"/>
        </w:rPr>
        <w:t>монократен</w:t>
      </w:r>
      <w:proofErr w:type="spellEnd"/>
      <w:r w:rsidRPr="006C40E9">
        <w:rPr>
          <w:lang w:eastAsia="bg-BG"/>
        </w:rPr>
        <w:t xml:space="preserve"> прием еднократно дневно. При еднократен дневен прием, между приемите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се елиминира напълно от плазмата без тенденция за кумулиране. Почти 80% от приетата през устата доза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се </w:t>
      </w:r>
      <w:proofErr w:type="spellStart"/>
      <w:r w:rsidRPr="006C40E9">
        <w:rPr>
          <w:lang w:eastAsia="bg-BG"/>
        </w:rPr>
        <w:t>екскретира</w:t>
      </w:r>
      <w:proofErr w:type="spellEnd"/>
      <w:r w:rsidRPr="006C40E9">
        <w:rPr>
          <w:lang w:eastAsia="bg-BG"/>
        </w:rPr>
        <w:t xml:space="preserve"> като метаболити в урината, а </w:t>
      </w:r>
      <w:proofErr w:type="spellStart"/>
      <w:r w:rsidRPr="006C40E9">
        <w:rPr>
          <w:lang w:eastAsia="bg-BG"/>
        </w:rPr>
        <w:t>останалат</w:t>
      </w:r>
      <w:proofErr w:type="spellEnd"/>
      <w:r w:rsidRPr="006C40E9">
        <w:rPr>
          <w:lang w:eastAsia="bg-BG"/>
        </w:rPr>
        <w:t xml:space="preserve"> част - в изпражненията, главно в резултат на екскреция в жлъчката.</w:t>
      </w:r>
    </w:p>
    <w:p w14:paraId="6521E926" w14:textId="77777777" w:rsidR="006C40E9" w:rsidRDefault="006C40E9" w:rsidP="006C40E9">
      <w:pPr>
        <w:rPr>
          <w:lang w:eastAsia="bg-BG"/>
        </w:rPr>
      </w:pPr>
    </w:p>
    <w:p w14:paraId="2534D5D2" w14:textId="44895F82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При многократен прием </w:t>
      </w:r>
      <w:r w:rsidRPr="006C40E9">
        <w:rPr>
          <w:lang w:val="en-US"/>
        </w:rPr>
        <w:t xml:space="preserve">AUC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се увеличава. Повишаването е </w:t>
      </w:r>
      <w:proofErr w:type="spellStart"/>
      <w:r w:rsidRPr="006C40E9">
        <w:rPr>
          <w:lang w:eastAsia="bg-BG"/>
        </w:rPr>
        <w:t>дозозависимо</w:t>
      </w:r>
      <w:proofErr w:type="spellEnd"/>
      <w:r w:rsidRPr="006C40E9">
        <w:rPr>
          <w:lang w:eastAsia="bg-BG"/>
        </w:rPr>
        <w:t xml:space="preserve"> и води до нелинейна зависимост доза - </w:t>
      </w:r>
      <w:r w:rsidRPr="006C40E9">
        <w:rPr>
          <w:lang w:val="en-US"/>
        </w:rPr>
        <w:t xml:space="preserve">AUC </w:t>
      </w:r>
      <w:r w:rsidRPr="006C40E9">
        <w:rPr>
          <w:lang w:eastAsia="bg-BG"/>
        </w:rPr>
        <w:t xml:space="preserve">при многократен прием. Тази зависимост от времето и дозата се дължи на понижаване на метаболизма при първото преминаване през черния дроб и системния клирънс, дължащи се вероятно на инхибирането на </w:t>
      </w:r>
      <w:r w:rsidRPr="006C40E9">
        <w:rPr>
          <w:lang w:val="en-US"/>
        </w:rPr>
        <w:t>CYP2C</w:t>
      </w:r>
      <w:r w:rsidRPr="006C40E9">
        <w:rPr>
          <w:lang w:eastAsia="bg-BG"/>
        </w:rPr>
        <w:t xml:space="preserve">19 от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и метаболитите му (напр. от </w:t>
      </w:r>
      <w:proofErr w:type="spellStart"/>
      <w:r w:rsidRPr="006C40E9">
        <w:rPr>
          <w:lang w:eastAsia="bg-BG"/>
        </w:rPr>
        <w:t>сулфона</w:t>
      </w:r>
      <w:proofErr w:type="spellEnd"/>
      <w:r w:rsidRPr="006C40E9">
        <w:rPr>
          <w:lang w:eastAsia="bg-BG"/>
        </w:rPr>
        <w:t>).</w:t>
      </w:r>
    </w:p>
    <w:p w14:paraId="76FB948E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Не е установено който и да е от метаболитите да оказва влияние върху стомашната киселинна секреция.</w:t>
      </w:r>
    </w:p>
    <w:p w14:paraId="7A510E4A" w14:textId="77777777" w:rsidR="006C40E9" w:rsidRDefault="006C40E9" w:rsidP="006C40E9">
      <w:pPr>
        <w:rPr>
          <w:i/>
          <w:iCs/>
          <w:lang w:eastAsia="bg-BG"/>
        </w:rPr>
      </w:pPr>
    </w:p>
    <w:p w14:paraId="2C7EFF6D" w14:textId="60FA385C" w:rsidR="006C40E9" w:rsidRPr="006C40E9" w:rsidRDefault="006C40E9" w:rsidP="006C40E9">
      <w:pPr>
        <w:pStyle w:val="Heading3"/>
        <w:rPr>
          <w:rFonts w:eastAsia="Times New Roman"/>
          <w:i/>
          <w:iCs/>
        </w:rPr>
      </w:pPr>
      <w:r w:rsidRPr="006C40E9">
        <w:rPr>
          <w:rFonts w:eastAsia="Times New Roman"/>
          <w:i/>
          <w:iCs/>
          <w:lang w:eastAsia="bg-BG"/>
        </w:rPr>
        <w:t>Специфични популации</w:t>
      </w:r>
    </w:p>
    <w:p w14:paraId="58C45BB5" w14:textId="77777777" w:rsidR="006C40E9" w:rsidRDefault="006C40E9" w:rsidP="006C40E9">
      <w:pPr>
        <w:rPr>
          <w:lang w:eastAsia="bg-BG"/>
        </w:rPr>
      </w:pPr>
    </w:p>
    <w:p w14:paraId="1F19CB8C" w14:textId="129E2A2A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Увредена чернодробна функция</w:t>
      </w:r>
    </w:p>
    <w:p w14:paraId="3BA27042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При пациенти с увредена чернодробна функция метаболизмът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нарушен, което води до повишаване на </w:t>
      </w:r>
      <w:r w:rsidRPr="006C40E9">
        <w:rPr>
          <w:lang w:val="en-US"/>
        </w:rPr>
        <w:t xml:space="preserve">AUC. </w:t>
      </w:r>
      <w:r w:rsidRPr="006C40E9">
        <w:rPr>
          <w:lang w:eastAsia="bg-BG"/>
        </w:rPr>
        <w:t xml:space="preserve">При еднократен дневен прием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не показва тенденция към кумулиране.</w:t>
      </w:r>
    </w:p>
    <w:p w14:paraId="76FF151E" w14:textId="77777777" w:rsidR="006C40E9" w:rsidRDefault="006C40E9" w:rsidP="006C40E9">
      <w:pPr>
        <w:rPr>
          <w:lang w:eastAsia="bg-BG"/>
        </w:rPr>
      </w:pPr>
    </w:p>
    <w:p w14:paraId="61B968DE" w14:textId="7FFF0F68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Увредена бъбречна функция</w:t>
      </w:r>
    </w:p>
    <w:p w14:paraId="20F90523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При пациенти с увредена бъбречна функция фармакокинетиката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>, включително системната бионаличност и скоростта на елиминиране, остават непроменени.</w:t>
      </w:r>
    </w:p>
    <w:p w14:paraId="764A88F7" w14:textId="77777777" w:rsidR="006C40E9" w:rsidRDefault="006C40E9" w:rsidP="006C40E9">
      <w:pPr>
        <w:rPr>
          <w:lang w:eastAsia="bg-BG"/>
        </w:rPr>
      </w:pPr>
    </w:p>
    <w:p w14:paraId="0C46C631" w14:textId="32DA2858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>Пациенти в старческа възраст</w:t>
      </w:r>
    </w:p>
    <w:p w14:paraId="122DFB4D" w14:textId="24755322" w:rsidR="006C40E9" w:rsidRDefault="006C40E9" w:rsidP="006C40E9">
      <w:pPr>
        <w:rPr>
          <w:lang w:eastAsia="bg-BG"/>
        </w:rPr>
      </w:pPr>
      <w:r w:rsidRPr="006C40E9">
        <w:rPr>
          <w:lang w:eastAsia="bg-BG"/>
        </w:rPr>
        <w:t xml:space="preserve">При хора в старческа възраст (75-79 години) скоростта на </w:t>
      </w:r>
      <w:proofErr w:type="spellStart"/>
      <w:r w:rsidRPr="006C40E9">
        <w:rPr>
          <w:lang w:eastAsia="bg-BG"/>
        </w:rPr>
        <w:t>метаболизиране</w:t>
      </w:r>
      <w:proofErr w:type="spellEnd"/>
      <w:r w:rsidRPr="006C40E9">
        <w:rPr>
          <w:lang w:eastAsia="bg-BG"/>
        </w:rPr>
        <w:t xml:space="preserve">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леко намалена.</w:t>
      </w:r>
    </w:p>
    <w:p w14:paraId="44030C4E" w14:textId="43FBD4B7" w:rsidR="006C40E9" w:rsidRDefault="006C40E9" w:rsidP="006C40E9">
      <w:pPr>
        <w:rPr>
          <w:lang w:eastAsia="bg-BG"/>
        </w:rPr>
      </w:pPr>
    </w:p>
    <w:p w14:paraId="311A950A" w14:textId="67EFD6B3" w:rsidR="006C40E9" w:rsidRDefault="006C40E9" w:rsidP="006C40E9">
      <w:pPr>
        <w:pStyle w:val="Heading3"/>
        <w:rPr>
          <w:rFonts w:eastAsia="Times New Roman"/>
          <w:i/>
          <w:iCs/>
          <w:lang w:eastAsia="bg-BG"/>
        </w:rPr>
      </w:pPr>
      <w:r w:rsidRPr="006C40E9">
        <w:rPr>
          <w:rFonts w:eastAsia="Times New Roman"/>
          <w:i/>
          <w:iCs/>
          <w:lang w:eastAsia="bg-BG"/>
        </w:rPr>
        <w:lastRenderedPageBreak/>
        <w:t>Педиатрични пациенти</w:t>
      </w:r>
    </w:p>
    <w:p w14:paraId="770C714F" w14:textId="77777777" w:rsidR="006C40E9" w:rsidRPr="006C40E9" w:rsidRDefault="006C40E9" w:rsidP="006C40E9">
      <w:pPr>
        <w:rPr>
          <w:lang w:eastAsia="bg-BG"/>
        </w:rPr>
      </w:pPr>
    </w:p>
    <w:p w14:paraId="63D47094" w14:textId="77777777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При лечение на деца на възраст от 1 година в препоръчителните дози се установяват плазмени концентрации, които са сходни с тези при възрастни. При деца на възраст под 6 месеца </w:t>
      </w:r>
      <w:proofErr w:type="spellStart"/>
      <w:r w:rsidRPr="006C40E9">
        <w:rPr>
          <w:lang w:eastAsia="bg-BG"/>
        </w:rPr>
        <w:t>клирънсът</w:t>
      </w:r>
      <w:proofErr w:type="spellEnd"/>
      <w:r w:rsidRPr="006C40E9">
        <w:rPr>
          <w:lang w:eastAsia="bg-BG"/>
        </w:rPr>
        <w:t xml:space="preserve">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е нисък поради ниския капацитет на </w:t>
      </w:r>
      <w:proofErr w:type="spellStart"/>
      <w:r w:rsidRPr="006C40E9">
        <w:rPr>
          <w:lang w:eastAsia="bg-BG"/>
        </w:rPr>
        <w:t>метаболизирането</w:t>
      </w:r>
      <w:proofErr w:type="spellEnd"/>
      <w:r w:rsidRPr="006C40E9">
        <w:rPr>
          <w:lang w:eastAsia="bg-BG"/>
        </w:rPr>
        <w:t xml:space="preserve"> му.</w:t>
      </w:r>
    </w:p>
    <w:p w14:paraId="3040CF25" w14:textId="77777777" w:rsidR="006C40E9" w:rsidRPr="006C40E9" w:rsidRDefault="006C40E9" w:rsidP="006C40E9"/>
    <w:p w14:paraId="674BE4E2" w14:textId="3363CD33" w:rsidR="009B171C" w:rsidRDefault="002C50EE" w:rsidP="00CA1B57">
      <w:pPr>
        <w:pStyle w:val="Heading2"/>
      </w:pPr>
      <w:r>
        <w:t>5.3. Предклинични данни за безопасност</w:t>
      </w:r>
    </w:p>
    <w:p w14:paraId="4CC78B6E" w14:textId="77777777" w:rsidR="006C40E9" w:rsidRDefault="006C40E9" w:rsidP="006C40E9">
      <w:pPr>
        <w:rPr>
          <w:lang w:eastAsia="bg-BG"/>
        </w:rPr>
      </w:pPr>
    </w:p>
    <w:p w14:paraId="08D6D806" w14:textId="27BB0550" w:rsidR="006C40E9" w:rsidRPr="006C40E9" w:rsidRDefault="006C40E9" w:rsidP="006C40E9">
      <w:pPr>
        <w:rPr>
          <w:sz w:val="24"/>
          <w:szCs w:val="24"/>
        </w:rPr>
      </w:pPr>
      <w:r w:rsidRPr="006C40E9">
        <w:rPr>
          <w:lang w:eastAsia="bg-BG"/>
        </w:rPr>
        <w:t xml:space="preserve">При проучвания на прием на </w:t>
      </w:r>
      <w:proofErr w:type="spellStart"/>
      <w:r w:rsidRPr="006C40E9">
        <w:rPr>
          <w:lang w:eastAsia="bg-BG"/>
        </w:rPr>
        <w:t>омепразол</w:t>
      </w:r>
      <w:proofErr w:type="spellEnd"/>
      <w:r w:rsidRPr="006C40E9">
        <w:rPr>
          <w:lang w:eastAsia="bg-BG"/>
        </w:rPr>
        <w:t xml:space="preserve"> през целия живот на плъхове са наблюдавани хиперплазия на </w:t>
      </w:r>
      <w:proofErr w:type="spellStart"/>
      <w:r w:rsidRPr="006C40E9">
        <w:rPr>
          <w:lang w:eastAsia="bg-BG"/>
        </w:rPr>
        <w:t>ентерохромафиноподобните</w:t>
      </w:r>
      <w:proofErr w:type="spellEnd"/>
      <w:r w:rsidRPr="006C40E9">
        <w:rPr>
          <w:lang w:eastAsia="bg-BG"/>
        </w:rPr>
        <w:t xml:space="preserve"> стомашни клетки и развитие на </w:t>
      </w:r>
      <w:proofErr w:type="spellStart"/>
      <w:r w:rsidRPr="006C40E9">
        <w:rPr>
          <w:lang w:eastAsia="bg-BG"/>
        </w:rPr>
        <w:t>карциноидни</w:t>
      </w:r>
      <w:proofErr w:type="spellEnd"/>
      <w:r w:rsidRPr="006C40E9">
        <w:rPr>
          <w:lang w:eastAsia="bg-BG"/>
        </w:rPr>
        <w:t xml:space="preserve"> тумори. Тези промени са резултат от продължителна! </w:t>
      </w:r>
      <w:proofErr w:type="spellStart"/>
      <w:r w:rsidRPr="006C40E9">
        <w:rPr>
          <w:lang w:eastAsia="bg-BG"/>
        </w:rPr>
        <w:t>хипергастринемия</w:t>
      </w:r>
      <w:proofErr w:type="spellEnd"/>
      <w:r w:rsidRPr="006C40E9">
        <w:rPr>
          <w:lang w:eastAsia="bg-BG"/>
        </w:rPr>
        <w:t xml:space="preserve"> в резултат на инхибирането на киселината секреция. Сходни </w:t>
      </w:r>
      <w:proofErr w:type="spellStart"/>
      <w:r w:rsidRPr="006C40E9">
        <w:rPr>
          <w:lang w:eastAsia="bg-BG"/>
        </w:rPr>
        <w:t>резултзти</w:t>
      </w:r>
      <w:proofErr w:type="spellEnd"/>
      <w:r w:rsidRPr="006C40E9">
        <w:rPr>
          <w:lang w:eastAsia="bg-BG"/>
        </w:rPr>
        <w:t xml:space="preserve"> са получени и след приложение на </w:t>
      </w:r>
      <w:proofErr w:type="spellStart"/>
      <w:r w:rsidRPr="006C40E9">
        <w:rPr>
          <w:lang w:eastAsia="bg-BG"/>
        </w:rPr>
        <w:t>Нг</w:t>
      </w:r>
      <w:proofErr w:type="spellEnd"/>
      <w:r w:rsidRPr="006C40E9">
        <w:rPr>
          <w:lang w:eastAsia="bg-BG"/>
        </w:rPr>
        <w:t xml:space="preserve">-рецепторни антагонисти, инхибитори на </w:t>
      </w:r>
      <w:proofErr w:type="spellStart"/>
      <w:r w:rsidRPr="006C40E9">
        <w:rPr>
          <w:lang w:eastAsia="bg-BG"/>
        </w:rPr>
        <w:t>протонната</w:t>
      </w:r>
      <w:proofErr w:type="spellEnd"/>
      <w:r w:rsidRPr="006C40E9">
        <w:rPr>
          <w:lang w:eastAsia="bg-BG"/>
        </w:rPr>
        <w:t xml:space="preserve"> помпа и частична </w:t>
      </w:r>
      <w:proofErr w:type="spellStart"/>
      <w:r w:rsidRPr="006C40E9">
        <w:rPr>
          <w:lang w:eastAsia="bg-BG"/>
        </w:rPr>
        <w:t>фундектомия</w:t>
      </w:r>
      <w:proofErr w:type="spellEnd"/>
      <w:r w:rsidRPr="006C40E9">
        <w:rPr>
          <w:lang w:eastAsia="bg-BG"/>
        </w:rPr>
        <w:t>..</w:t>
      </w:r>
    </w:p>
    <w:p w14:paraId="16C3EDC7" w14:textId="352A02D2" w:rsidR="006C40E9" w:rsidRPr="006C40E9" w:rsidRDefault="006C40E9" w:rsidP="006C40E9">
      <w:r w:rsidRPr="006C40E9">
        <w:rPr>
          <w:lang w:eastAsia="bg-BG"/>
        </w:rPr>
        <w:t>Следователно тези промени не са резултат от директен ефект, оказван от която и да е отделна активна субстанция.</w:t>
      </w:r>
    </w:p>
    <w:p w14:paraId="6940F72E" w14:textId="1E3CCBBC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1D60BDCC" w14:textId="38D3E53D" w:rsidR="006C40E9" w:rsidRPr="006C40E9" w:rsidRDefault="006C40E9" w:rsidP="006C40E9">
      <w:r>
        <w:t xml:space="preserve">“ИНБИОТЕХ”ООД, България, София 1000, </w:t>
      </w:r>
      <w:proofErr w:type="spellStart"/>
      <w:r>
        <w:t>ул</w:t>
      </w:r>
      <w:proofErr w:type="spellEnd"/>
      <w:r>
        <w:t xml:space="preserve">.’Триадица” </w:t>
      </w:r>
      <w:r>
        <w:rPr>
          <w:lang w:val="en-US"/>
        </w:rPr>
        <w:t xml:space="preserve">No </w:t>
      </w:r>
      <w:r>
        <w:t>5А, тел: 02 987-95-37; факс: 02 988-04-57</w:t>
      </w:r>
    </w:p>
    <w:p w14:paraId="04840D59" w14:textId="340E1B72" w:rsidR="002C50EE" w:rsidRDefault="002C50EE" w:rsidP="002C50EE">
      <w:pPr>
        <w:pStyle w:val="Heading1"/>
      </w:pPr>
      <w:r>
        <w:t>8. НОМЕР НА РАЗРЕШЕНИЕТО ЗА УПОТРЕБА</w:t>
      </w:r>
    </w:p>
    <w:p w14:paraId="1C3FA66E" w14:textId="6E5E8D2D" w:rsidR="006C40E9" w:rsidRPr="006C40E9" w:rsidRDefault="006C40E9" w:rsidP="006C40E9">
      <w:r>
        <w:t>№11-3194/20.10.2008</w:t>
      </w:r>
    </w:p>
    <w:p w14:paraId="5900CBF3" w14:textId="3C5AE69E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64E0B33" w14:textId="7C827487" w:rsidR="006C40E9" w:rsidRPr="006C40E9" w:rsidRDefault="006C40E9" w:rsidP="006C40E9">
      <w:r>
        <w:t>20.10.2008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5CF7E45B" w:rsidR="00C87E90" w:rsidRPr="003E3126" w:rsidRDefault="006C40E9" w:rsidP="006C40E9">
      <w:r>
        <w:t>м. април 2017 год.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</w:abstractNum>
  <w:abstractNum w:abstractNumId="3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D385F8E"/>
    <w:multiLevelType w:val="hybridMultilevel"/>
    <w:tmpl w:val="3F8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6932"/>
    <w:multiLevelType w:val="hybridMultilevel"/>
    <w:tmpl w:val="F8B6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95B"/>
    <w:multiLevelType w:val="hybridMultilevel"/>
    <w:tmpl w:val="3FDC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32DC1"/>
    <w:multiLevelType w:val="hybridMultilevel"/>
    <w:tmpl w:val="A7A6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13C0A"/>
    <w:multiLevelType w:val="hybridMultilevel"/>
    <w:tmpl w:val="2366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5"/>
  </w:num>
  <w:num w:numId="11">
    <w:abstractNumId w:val="27"/>
  </w:num>
  <w:num w:numId="12">
    <w:abstractNumId w:val="14"/>
  </w:num>
  <w:num w:numId="13">
    <w:abstractNumId w:val="19"/>
  </w:num>
  <w:num w:numId="14">
    <w:abstractNumId w:val="12"/>
  </w:num>
  <w:num w:numId="15">
    <w:abstractNumId w:val="26"/>
  </w:num>
  <w:num w:numId="16">
    <w:abstractNumId w:val="10"/>
  </w:num>
  <w:num w:numId="17">
    <w:abstractNumId w:val="22"/>
  </w:num>
  <w:num w:numId="18">
    <w:abstractNumId w:val="9"/>
  </w:num>
  <w:num w:numId="19">
    <w:abstractNumId w:val="24"/>
  </w:num>
  <w:num w:numId="20">
    <w:abstractNumId w:val="21"/>
  </w:num>
  <w:num w:numId="21">
    <w:abstractNumId w:val="17"/>
  </w:num>
  <w:num w:numId="22">
    <w:abstractNumId w:val="23"/>
  </w:num>
  <w:num w:numId="23">
    <w:abstractNumId w:val="18"/>
  </w:num>
  <w:num w:numId="24">
    <w:abstractNumId w:val="28"/>
  </w:num>
  <w:num w:numId="25">
    <w:abstractNumId w:val="8"/>
  </w:num>
  <w:num w:numId="26">
    <w:abstractNumId w:val="20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64E1A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6C40E9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2021-08-17T16:32:00Z</dcterms:created>
  <dcterms:modified xsi:type="dcterms:W3CDTF">2021-08-17T16:32:00Z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