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72264F5" w:rsidR="00C40420" w:rsidRDefault="00DD466D" w:rsidP="004A448E">
      <w:pPr>
        <w:pStyle w:val="Heading1"/>
      </w:pPr>
      <w:r>
        <w:t>1.ИМЕ НА ЛЕКАРСТВЕНИЯ ПРОДУКТ</w:t>
      </w:r>
    </w:p>
    <w:p w14:paraId="1D87C766" w14:textId="7CF956F6" w:rsidR="00D91466" w:rsidRDefault="00D91466" w:rsidP="00D91466"/>
    <w:p w14:paraId="0378986C" w14:textId="77777777" w:rsidR="00D91466" w:rsidRPr="00D91466" w:rsidRDefault="00D91466" w:rsidP="00D91466">
      <w:pPr>
        <w:spacing w:line="240" w:lineRule="auto"/>
        <w:rPr>
          <w:rFonts w:eastAsia="Times New Roman" w:cs="Arial"/>
          <w:sz w:val="24"/>
          <w:szCs w:val="24"/>
          <w:lang w:val="en-US" w:eastAsia="bg-BG"/>
        </w:rPr>
      </w:pPr>
      <w:r w:rsidRPr="00D91466">
        <w:rPr>
          <w:rFonts w:eastAsia="Times New Roman" w:cs="Arial"/>
          <w:color w:val="000000"/>
          <w:lang w:eastAsia="bg-BG"/>
        </w:rPr>
        <w:t xml:space="preserve">Бизолен 5 </w:t>
      </w:r>
      <w:r w:rsidRPr="00D91466">
        <w:rPr>
          <w:rFonts w:eastAsia="Times New Roman" w:cs="Arial"/>
          <w:color w:val="000000"/>
          <w:lang w:val="en-US"/>
        </w:rPr>
        <w:t xml:space="preserve">mg </w:t>
      </w:r>
      <w:r w:rsidRPr="00D91466">
        <w:rPr>
          <w:rFonts w:eastAsia="Times New Roman" w:cs="Arial"/>
          <w:color w:val="000000"/>
          <w:lang w:eastAsia="bg-BG"/>
        </w:rPr>
        <w:t>филмирани таблетки</w:t>
      </w:r>
    </w:p>
    <w:p w14:paraId="447C06DB" w14:textId="77777777" w:rsidR="00D91466" w:rsidRPr="00D91466" w:rsidRDefault="00D91466" w:rsidP="00D91466">
      <w:pPr>
        <w:spacing w:line="240" w:lineRule="auto"/>
        <w:rPr>
          <w:rFonts w:eastAsia="Times New Roman" w:cs="Arial"/>
          <w:sz w:val="24"/>
          <w:szCs w:val="24"/>
          <w:lang w:val="en-US" w:eastAsia="bg-BG"/>
        </w:rPr>
      </w:pPr>
      <w:proofErr w:type="spellStart"/>
      <w:r w:rsidRPr="00D91466">
        <w:rPr>
          <w:rFonts w:eastAsia="Times New Roman" w:cs="Arial"/>
          <w:color w:val="000000"/>
          <w:lang w:val="en-US"/>
        </w:rPr>
        <w:t>Bisolen</w:t>
      </w:r>
      <w:proofErr w:type="spellEnd"/>
      <w:r w:rsidRPr="00D91466">
        <w:rPr>
          <w:rFonts w:eastAsia="Times New Roman" w:cs="Arial"/>
          <w:color w:val="000000"/>
          <w:lang w:val="en-US"/>
        </w:rPr>
        <w:t xml:space="preserve"> </w:t>
      </w:r>
      <w:r w:rsidRPr="00D91466">
        <w:rPr>
          <w:rFonts w:eastAsia="Times New Roman" w:cs="Arial"/>
          <w:color w:val="000000"/>
          <w:lang w:eastAsia="bg-BG"/>
        </w:rPr>
        <w:t xml:space="preserve">5 </w:t>
      </w:r>
      <w:r w:rsidRPr="00D91466">
        <w:rPr>
          <w:rFonts w:eastAsia="Times New Roman" w:cs="Arial"/>
          <w:color w:val="000000"/>
          <w:lang w:val="en-US"/>
        </w:rPr>
        <w:t>mg film-coated tablets</w:t>
      </w:r>
    </w:p>
    <w:p w14:paraId="5229B9B4" w14:textId="77777777" w:rsidR="00D91466" w:rsidRPr="00D91466" w:rsidRDefault="00D91466" w:rsidP="00D91466">
      <w:pPr>
        <w:spacing w:line="240" w:lineRule="auto"/>
        <w:rPr>
          <w:rFonts w:eastAsia="Times New Roman" w:cs="Arial"/>
          <w:color w:val="000000"/>
          <w:lang w:eastAsia="bg-BG"/>
        </w:rPr>
      </w:pPr>
    </w:p>
    <w:p w14:paraId="651FD78E" w14:textId="5BCFE8FB" w:rsidR="00D91466" w:rsidRPr="00D91466" w:rsidRDefault="00D91466" w:rsidP="00D91466">
      <w:pPr>
        <w:spacing w:line="240" w:lineRule="auto"/>
        <w:rPr>
          <w:rFonts w:eastAsia="Times New Roman" w:cs="Arial"/>
          <w:sz w:val="24"/>
          <w:szCs w:val="24"/>
          <w:lang w:val="en-US" w:eastAsia="bg-BG"/>
        </w:rPr>
      </w:pPr>
      <w:r w:rsidRPr="00D91466">
        <w:rPr>
          <w:rFonts w:eastAsia="Times New Roman" w:cs="Arial"/>
          <w:color w:val="000000"/>
          <w:lang w:eastAsia="bg-BG"/>
        </w:rPr>
        <w:t xml:space="preserve">Бизолен </w:t>
      </w:r>
      <w:r w:rsidRPr="00D91466">
        <w:rPr>
          <w:rFonts w:eastAsia="Times New Roman" w:cs="Arial"/>
          <w:color w:val="000000"/>
          <w:lang w:val="en-US"/>
        </w:rPr>
        <w:t xml:space="preserve">10 mg </w:t>
      </w:r>
      <w:r w:rsidRPr="00D91466">
        <w:rPr>
          <w:rFonts w:eastAsia="Times New Roman" w:cs="Arial"/>
          <w:color w:val="000000"/>
          <w:lang w:eastAsia="bg-BG"/>
        </w:rPr>
        <w:t>филмирани таблетки</w:t>
      </w:r>
    </w:p>
    <w:p w14:paraId="048A2371" w14:textId="119D54EE" w:rsidR="00D91466" w:rsidRPr="00D91466" w:rsidRDefault="00D91466" w:rsidP="00D91466">
      <w:pPr>
        <w:rPr>
          <w:rFonts w:cs="Arial"/>
        </w:rPr>
      </w:pPr>
      <w:proofErr w:type="spellStart"/>
      <w:r w:rsidRPr="00D91466">
        <w:rPr>
          <w:rFonts w:eastAsia="Times New Roman" w:cs="Arial"/>
          <w:color w:val="000000"/>
          <w:lang w:val="en-US"/>
        </w:rPr>
        <w:t>Bisolen</w:t>
      </w:r>
      <w:proofErr w:type="spellEnd"/>
      <w:r w:rsidRPr="00D91466">
        <w:rPr>
          <w:rFonts w:eastAsia="Times New Roman" w:cs="Arial"/>
          <w:color w:val="000000"/>
          <w:lang w:val="en-US"/>
        </w:rPr>
        <w:t xml:space="preserve"> </w:t>
      </w:r>
      <w:r w:rsidRPr="00D91466">
        <w:rPr>
          <w:rFonts w:eastAsia="Times New Roman" w:cs="Arial"/>
          <w:color w:val="000000"/>
          <w:lang w:eastAsia="bg-BG"/>
        </w:rPr>
        <w:t xml:space="preserve">10 </w:t>
      </w:r>
      <w:r w:rsidRPr="00D91466">
        <w:rPr>
          <w:rFonts w:eastAsia="Times New Roman" w:cs="Arial"/>
          <w:color w:val="000000"/>
          <w:lang w:val="en-US"/>
        </w:rPr>
        <w:t>mg film-coated tablets</w:t>
      </w:r>
    </w:p>
    <w:p w14:paraId="6920A680" w14:textId="5E026852" w:rsidR="00C40420" w:rsidRDefault="00DD466D" w:rsidP="004A448E">
      <w:pPr>
        <w:pStyle w:val="Heading1"/>
      </w:pPr>
      <w:r>
        <w:t>2. КАЧЕСТВЕН И КОЛИЧЕСТВЕН СЪСТАВ</w:t>
      </w:r>
    </w:p>
    <w:p w14:paraId="1D68F166" w14:textId="5E01A733" w:rsidR="00D91466" w:rsidRDefault="00D91466" w:rsidP="00D91466"/>
    <w:p w14:paraId="30F3CDCE"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Всяка филмирана таблетка Бизолен 5 </w:t>
      </w:r>
      <w:r w:rsidRPr="00D91466">
        <w:rPr>
          <w:rFonts w:eastAsia="Times New Roman" w:cs="Arial"/>
          <w:i/>
          <w:iCs/>
          <w:color w:val="000000"/>
          <w:lang w:val="en-US"/>
        </w:rPr>
        <w:t>mg</w:t>
      </w:r>
      <w:r w:rsidRPr="00D91466">
        <w:rPr>
          <w:rFonts w:eastAsia="Times New Roman" w:cs="Arial"/>
          <w:color w:val="000000"/>
          <w:lang w:val="en-US"/>
        </w:rPr>
        <w:t xml:space="preserve"> </w:t>
      </w:r>
      <w:r w:rsidRPr="00D91466">
        <w:rPr>
          <w:rFonts w:eastAsia="Times New Roman" w:cs="Arial"/>
          <w:color w:val="000000"/>
          <w:lang w:eastAsia="bg-BG"/>
        </w:rPr>
        <w:t xml:space="preserve">съдържа 5 </w:t>
      </w:r>
      <w:r w:rsidRPr="00D91466">
        <w:rPr>
          <w:rFonts w:eastAsia="Times New Roman" w:cs="Arial"/>
          <w:color w:val="000000"/>
          <w:lang w:val="en-US"/>
        </w:rPr>
        <w:t xml:space="preserve">mg </w:t>
      </w:r>
      <w:r w:rsidRPr="00D91466">
        <w:rPr>
          <w:rFonts w:eastAsia="Times New Roman" w:cs="Arial"/>
          <w:color w:val="000000"/>
          <w:lang w:eastAsia="bg-BG"/>
        </w:rPr>
        <w:t xml:space="preserve">бизопрололов фумарат </w:t>
      </w:r>
      <w:r w:rsidRPr="00D91466">
        <w:rPr>
          <w:rFonts w:eastAsia="Times New Roman" w:cs="Arial"/>
          <w:i/>
          <w:iCs/>
          <w:color w:val="000000"/>
          <w:lang w:val="en-US"/>
        </w:rPr>
        <w:t>(</w:t>
      </w:r>
      <w:proofErr w:type="spellStart"/>
      <w:r w:rsidRPr="00D91466">
        <w:rPr>
          <w:rFonts w:eastAsia="Times New Roman" w:cs="Arial"/>
          <w:i/>
          <w:iCs/>
          <w:color w:val="000000"/>
          <w:lang w:val="en-US"/>
        </w:rPr>
        <w:t>bisoprolol</w:t>
      </w:r>
      <w:proofErr w:type="spellEnd"/>
      <w:r w:rsidRPr="00D91466">
        <w:rPr>
          <w:rFonts w:eastAsia="Times New Roman" w:cs="Arial"/>
          <w:i/>
          <w:iCs/>
          <w:color w:val="000000"/>
          <w:lang w:val="en-US"/>
        </w:rPr>
        <w:t xml:space="preserve"> fumarate).</w:t>
      </w:r>
      <w:r w:rsidRPr="00D91466">
        <w:rPr>
          <w:rFonts w:eastAsia="Times New Roman" w:cs="Arial"/>
          <w:color w:val="000000"/>
          <w:lang w:val="en-US"/>
        </w:rPr>
        <w:t xml:space="preserve"> </w:t>
      </w:r>
      <w:r w:rsidRPr="00D91466">
        <w:rPr>
          <w:rFonts w:eastAsia="Times New Roman" w:cs="Arial"/>
          <w:color w:val="000000"/>
          <w:lang w:eastAsia="bg-BG"/>
        </w:rPr>
        <w:t xml:space="preserve">Всяка филмирана таблетка Бизолен 10 </w:t>
      </w:r>
      <w:r w:rsidRPr="00D91466">
        <w:rPr>
          <w:rFonts w:eastAsia="Times New Roman" w:cs="Arial"/>
          <w:color w:val="000000"/>
          <w:lang w:val="en-US"/>
        </w:rPr>
        <w:t xml:space="preserve">mg </w:t>
      </w:r>
      <w:r w:rsidRPr="00D91466">
        <w:rPr>
          <w:rFonts w:eastAsia="Times New Roman" w:cs="Arial"/>
          <w:color w:val="000000"/>
          <w:lang w:eastAsia="bg-BG"/>
        </w:rPr>
        <w:t xml:space="preserve">съдържа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w:t>
      </w:r>
    </w:p>
    <w:p w14:paraId="142B2730"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val="en-US"/>
        </w:rPr>
        <w:t>(</w:t>
      </w:r>
      <w:proofErr w:type="spellStart"/>
      <w:proofErr w:type="gramStart"/>
      <w:r w:rsidRPr="00D91466">
        <w:rPr>
          <w:rFonts w:eastAsia="Times New Roman" w:cs="Arial"/>
          <w:i/>
          <w:iCs/>
          <w:color w:val="000000"/>
          <w:lang w:val="en-US"/>
        </w:rPr>
        <w:t>bisoprolol</w:t>
      </w:r>
      <w:proofErr w:type="spellEnd"/>
      <w:proofErr w:type="gramEnd"/>
      <w:r w:rsidRPr="00D91466">
        <w:rPr>
          <w:rFonts w:eastAsia="Times New Roman" w:cs="Arial"/>
          <w:i/>
          <w:iCs/>
          <w:color w:val="000000"/>
          <w:lang w:val="en-US"/>
        </w:rPr>
        <w:t xml:space="preserve"> fumarate).</w:t>
      </w:r>
    </w:p>
    <w:p w14:paraId="39AF7F98" w14:textId="77777777" w:rsidR="00D91466" w:rsidRPr="00D91466" w:rsidRDefault="00D91466" w:rsidP="00D91466">
      <w:pPr>
        <w:rPr>
          <w:rFonts w:eastAsia="Times New Roman" w:cs="Arial"/>
          <w:color w:val="000000"/>
          <w:lang w:eastAsia="bg-BG"/>
        </w:rPr>
      </w:pPr>
    </w:p>
    <w:p w14:paraId="007844DF" w14:textId="31FC5E04" w:rsidR="00D91466" w:rsidRPr="00D91466" w:rsidRDefault="00D91466" w:rsidP="00D91466">
      <w:pPr>
        <w:rPr>
          <w:rFonts w:cs="Arial"/>
        </w:rPr>
      </w:pPr>
      <w:r w:rsidRPr="00D91466">
        <w:rPr>
          <w:rFonts w:eastAsia="Times New Roman" w:cs="Arial"/>
          <w:color w:val="000000"/>
          <w:lang w:eastAsia="bg-BG"/>
        </w:rPr>
        <w:t>За пълния списък на помощните вещества вижте точка 6.1.</w:t>
      </w:r>
    </w:p>
    <w:p w14:paraId="614984C4" w14:textId="17EF5C85" w:rsidR="008A6AF2" w:rsidRDefault="00DD466D" w:rsidP="002C50EE">
      <w:pPr>
        <w:pStyle w:val="Heading1"/>
      </w:pPr>
      <w:r>
        <w:t>3. ЛЕКАРСТВЕНА ФОРМА</w:t>
      </w:r>
    </w:p>
    <w:p w14:paraId="54BD125D" w14:textId="74764E87" w:rsidR="00D91466" w:rsidRDefault="00D91466" w:rsidP="00D91466"/>
    <w:p w14:paraId="3810D28E"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Филмирана таблетка</w:t>
      </w:r>
    </w:p>
    <w:p w14:paraId="7BD5DC6A" w14:textId="77777777" w:rsidR="00D91466" w:rsidRPr="00D91466" w:rsidRDefault="00D91466" w:rsidP="00D91466">
      <w:pPr>
        <w:spacing w:line="240" w:lineRule="auto"/>
        <w:rPr>
          <w:rFonts w:eastAsia="Times New Roman" w:cs="Arial"/>
          <w:color w:val="000000"/>
          <w:u w:val="single"/>
          <w:lang w:eastAsia="bg-BG"/>
        </w:rPr>
      </w:pPr>
    </w:p>
    <w:p w14:paraId="786A6102" w14:textId="18AB39D2"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u w:val="single"/>
          <w:lang w:eastAsia="bg-BG"/>
        </w:rPr>
        <w:t xml:space="preserve">Бизолен 5 </w:t>
      </w:r>
      <w:r w:rsidRPr="00D91466">
        <w:rPr>
          <w:rFonts w:eastAsia="Times New Roman" w:cs="Arial"/>
          <w:color w:val="000000"/>
          <w:u w:val="single"/>
          <w:lang w:val="en-US"/>
        </w:rPr>
        <w:t xml:space="preserve">mg </w:t>
      </w:r>
      <w:r w:rsidRPr="00D91466">
        <w:rPr>
          <w:rFonts w:eastAsia="Times New Roman" w:cs="Arial"/>
          <w:color w:val="000000"/>
          <w:u w:val="single"/>
          <w:lang w:eastAsia="bg-BG"/>
        </w:rPr>
        <w:t>Филмирани таблетки:</w:t>
      </w:r>
      <w:r w:rsidRPr="00D91466">
        <w:rPr>
          <w:rFonts w:eastAsia="Times New Roman" w:cs="Arial"/>
          <w:color w:val="000000"/>
          <w:lang w:eastAsia="bg-BG"/>
        </w:rPr>
        <w:t xml:space="preserve"> светло жълти, кръгли филмирани таблетки с по две кръстосани делителни черги от двете страни.</w:t>
      </w:r>
    </w:p>
    <w:p w14:paraId="241883B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u w:val="single"/>
          <w:lang w:eastAsia="bg-BG"/>
        </w:rPr>
        <w:t xml:space="preserve">Бизолен 10 </w:t>
      </w:r>
      <w:r w:rsidRPr="00D91466">
        <w:rPr>
          <w:rFonts w:eastAsia="Times New Roman" w:cs="Arial"/>
          <w:color w:val="000000"/>
          <w:u w:val="single"/>
          <w:lang w:val="en-US"/>
        </w:rPr>
        <w:t xml:space="preserve">mg </w:t>
      </w:r>
      <w:r w:rsidRPr="00D91466">
        <w:rPr>
          <w:rFonts w:eastAsia="Times New Roman" w:cs="Arial"/>
          <w:color w:val="000000"/>
          <w:u w:val="single"/>
          <w:lang w:eastAsia="bg-BG"/>
        </w:rPr>
        <w:t>филмирани таблетки:</w:t>
      </w:r>
      <w:r w:rsidRPr="00D91466">
        <w:rPr>
          <w:rFonts w:eastAsia="Times New Roman" w:cs="Arial"/>
          <w:color w:val="000000"/>
          <w:lang w:eastAsia="bg-BG"/>
        </w:rPr>
        <w:t xml:space="preserve"> светло оранжеви, кръгли филмирани таблетки с по две кръстосани делителни черти от двете страни.</w:t>
      </w:r>
    </w:p>
    <w:p w14:paraId="01FABD1C" w14:textId="77777777" w:rsidR="00D91466" w:rsidRPr="00D91466" w:rsidRDefault="00D91466" w:rsidP="00D91466">
      <w:pPr>
        <w:rPr>
          <w:rFonts w:eastAsia="Times New Roman" w:cs="Arial"/>
          <w:color w:val="000000"/>
          <w:lang w:eastAsia="bg-BG"/>
        </w:rPr>
      </w:pPr>
    </w:p>
    <w:p w14:paraId="79AF7B96" w14:textId="5675D860" w:rsidR="00D91466" w:rsidRPr="00D91466" w:rsidRDefault="00D91466" w:rsidP="00D91466">
      <w:pPr>
        <w:rPr>
          <w:rFonts w:cs="Arial"/>
        </w:rPr>
      </w:pPr>
      <w:r w:rsidRPr="00D91466">
        <w:rPr>
          <w:rFonts w:eastAsia="Times New Roman" w:cs="Arial"/>
          <w:color w:val="000000"/>
          <w:lang w:eastAsia="bg-BG"/>
        </w:rPr>
        <w:t>Таблетката може да бъде разделена на 4 равни дози.</w:t>
      </w:r>
    </w:p>
    <w:p w14:paraId="490FC2C4" w14:textId="3579E8E1" w:rsidR="002C50EE" w:rsidRDefault="002C50EE" w:rsidP="002C50EE">
      <w:pPr>
        <w:pStyle w:val="Heading1"/>
      </w:pPr>
      <w:r>
        <w:t>4. КЛИНИЧНИ ДАННИ</w:t>
      </w:r>
    </w:p>
    <w:p w14:paraId="20E7CEC1" w14:textId="77777777" w:rsidR="00D91466" w:rsidRPr="00D91466" w:rsidRDefault="00D91466" w:rsidP="00D91466"/>
    <w:p w14:paraId="0C8E6903" w14:textId="77F37729" w:rsidR="008134C8" w:rsidRDefault="002C50EE" w:rsidP="004A448E">
      <w:pPr>
        <w:pStyle w:val="Heading2"/>
      </w:pPr>
      <w:r>
        <w:t>4.1. Терапевтични показания</w:t>
      </w:r>
    </w:p>
    <w:p w14:paraId="522F50D0" w14:textId="7C3C0B35" w:rsidR="00D91466" w:rsidRDefault="00D91466" w:rsidP="00D91466"/>
    <w:p w14:paraId="1904A493" w14:textId="77777777" w:rsidR="00D91466" w:rsidRPr="00D91466" w:rsidRDefault="00D91466" w:rsidP="00D91466">
      <w:pPr>
        <w:pStyle w:val="ListParagraph"/>
        <w:numPr>
          <w:ilvl w:val="1"/>
          <w:numId w:val="2"/>
        </w:numPr>
        <w:spacing w:line="240" w:lineRule="auto"/>
        <w:rPr>
          <w:rFonts w:eastAsia="Times New Roman" w:cs="Arial"/>
          <w:color w:val="000000"/>
          <w:lang w:eastAsia="bg-BG"/>
        </w:rPr>
      </w:pPr>
      <w:r w:rsidRPr="00D91466">
        <w:rPr>
          <w:rFonts w:eastAsia="Times New Roman" w:cs="Arial"/>
          <w:color w:val="000000"/>
          <w:lang w:eastAsia="bg-BG"/>
        </w:rPr>
        <w:t>Лечение на артериална хипертония</w:t>
      </w:r>
    </w:p>
    <w:p w14:paraId="622A6A73" w14:textId="77777777" w:rsidR="00D91466" w:rsidRPr="00D91466" w:rsidRDefault="00D91466" w:rsidP="00D91466">
      <w:pPr>
        <w:pStyle w:val="ListParagraph"/>
        <w:numPr>
          <w:ilvl w:val="1"/>
          <w:numId w:val="2"/>
        </w:numPr>
        <w:spacing w:line="240" w:lineRule="auto"/>
        <w:rPr>
          <w:rFonts w:eastAsia="Times New Roman" w:cs="Arial"/>
          <w:color w:val="000000"/>
          <w:lang w:eastAsia="bg-BG"/>
        </w:rPr>
      </w:pPr>
      <w:r w:rsidRPr="00D91466">
        <w:rPr>
          <w:rFonts w:eastAsia="Times New Roman" w:cs="Arial"/>
          <w:color w:val="000000"/>
          <w:lang w:eastAsia="bg-BG"/>
        </w:rPr>
        <w:t>Лечение на исхемична болест на сърцето (ангина пекторис)</w:t>
      </w:r>
    </w:p>
    <w:p w14:paraId="2686F3AE" w14:textId="204E364F" w:rsidR="00D91466" w:rsidRPr="00AE7EB9" w:rsidRDefault="00D91466" w:rsidP="00D91466">
      <w:pPr>
        <w:pStyle w:val="ListParagraph"/>
        <w:numPr>
          <w:ilvl w:val="1"/>
          <w:numId w:val="2"/>
        </w:numPr>
        <w:rPr>
          <w:rFonts w:cs="Arial"/>
        </w:rPr>
      </w:pPr>
      <w:r w:rsidRPr="00D91466">
        <w:rPr>
          <w:rFonts w:eastAsia="Times New Roman" w:cs="Arial"/>
          <w:color w:val="000000"/>
          <w:lang w:eastAsia="bg-BG"/>
        </w:rPr>
        <w:t>Лечение на стабилна хронична сърдечна недостатъчност с намалена систолична левокамерна функция, като допълнение към АСЕ инхибитори и диуретици и/или сърдечни гликозиди (за допълнителна информация, вижте точка 5.1)</w:t>
      </w:r>
    </w:p>
    <w:p w14:paraId="738646AB" w14:textId="77777777" w:rsidR="00AE7EB9" w:rsidRPr="00D91466" w:rsidRDefault="00AE7EB9" w:rsidP="00D91466">
      <w:pPr>
        <w:pStyle w:val="ListParagraph"/>
        <w:numPr>
          <w:ilvl w:val="1"/>
          <w:numId w:val="2"/>
        </w:numPr>
        <w:rPr>
          <w:rFonts w:cs="Arial"/>
        </w:rPr>
      </w:pPr>
    </w:p>
    <w:p w14:paraId="27FEFE96" w14:textId="5E9C8EE0" w:rsidR="00D91466" w:rsidRDefault="002C50EE" w:rsidP="00AE7EB9">
      <w:pPr>
        <w:pStyle w:val="Heading2"/>
      </w:pPr>
      <w:r>
        <w:t>4.2. Дозировка и начин на приложение</w:t>
      </w:r>
    </w:p>
    <w:p w14:paraId="372212F9" w14:textId="77777777" w:rsidR="00AE7EB9" w:rsidRPr="00AE7EB9" w:rsidRDefault="00AE7EB9" w:rsidP="00AE7EB9"/>
    <w:p w14:paraId="12F50508" w14:textId="77777777" w:rsidR="00D91466" w:rsidRPr="00AE7EB9" w:rsidRDefault="00D91466" w:rsidP="00AE7EB9">
      <w:pPr>
        <w:pStyle w:val="Heading3"/>
        <w:rPr>
          <w:rFonts w:eastAsia="Times New Roman"/>
          <w:u w:val="single"/>
          <w:lang w:eastAsia="bg-BG"/>
        </w:rPr>
      </w:pPr>
      <w:r w:rsidRPr="00AE7EB9">
        <w:rPr>
          <w:rFonts w:eastAsia="Times New Roman"/>
          <w:u w:val="single"/>
          <w:lang w:eastAsia="bg-BG"/>
        </w:rPr>
        <w:lastRenderedPageBreak/>
        <w:t>Дозировка</w:t>
      </w:r>
    </w:p>
    <w:p w14:paraId="5CCEC6E4"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Принципно, лечението трябва да започне с ниски дози, които бавно да се увеличават. Във всички случаи дозата трябва да се адаптира индивидуално, според честотата на пулса и терапевтичния успех.</w:t>
      </w:r>
    </w:p>
    <w:p w14:paraId="28B3CC5E" w14:textId="77777777" w:rsidR="00D91466" w:rsidRPr="00D91466" w:rsidRDefault="00D91466" w:rsidP="00D91466">
      <w:pPr>
        <w:spacing w:line="240" w:lineRule="auto"/>
        <w:rPr>
          <w:rFonts w:eastAsia="Times New Roman" w:cs="Arial"/>
          <w:i/>
          <w:iCs/>
          <w:color w:val="000000"/>
          <w:u w:val="single"/>
          <w:lang w:eastAsia="bg-BG"/>
        </w:rPr>
      </w:pPr>
    </w:p>
    <w:p w14:paraId="03B10182" w14:textId="3A2E991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 xml:space="preserve">Артериална хипертония и исхемична болест на сърцето (ангина пекторис) </w:t>
      </w:r>
      <w:r w:rsidRPr="00D91466">
        <w:rPr>
          <w:rFonts w:eastAsia="Times New Roman" w:cs="Arial"/>
          <w:color w:val="000000"/>
          <w:lang w:eastAsia="bg-BG"/>
        </w:rPr>
        <w:t xml:space="preserve">Препоръчителната доза е 5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 Ако е необходимо,</w:t>
      </w:r>
      <w:r w:rsidRPr="00D91466">
        <w:rPr>
          <w:rFonts w:eastAsia="Times New Roman" w:cs="Arial"/>
          <w:i/>
          <w:iCs/>
          <w:color w:val="000000"/>
          <w:vertAlign w:val="subscript"/>
          <w:lang w:eastAsia="bg-BG"/>
        </w:rPr>
        <w:t xml:space="preserve"> </w:t>
      </w:r>
      <w:r w:rsidRPr="00D91466">
        <w:rPr>
          <w:rFonts w:eastAsia="Times New Roman" w:cs="Arial"/>
          <w:color w:val="000000"/>
          <w:lang w:eastAsia="bg-BG"/>
        </w:rPr>
        <w:t xml:space="preserve">дозата може да се увеличи на 10 </w:t>
      </w:r>
      <w:r w:rsidRPr="00D91466">
        <w:rPr>
          <w:rFonts w:eastAsia="Times New Roman" w:cs="Arial"/>
          <w:color w:val="000000"/>
          <w:lang w:val="en-US"/>
        </w:rPr>
        <w:t xml:space="preserve">mg </w:t>
      </w:r>
      <w:r w:rsidRPr="00D91466">
        <w:rPr>
          <w:rFonts w:eastAsia="Times New Roman" w:cs="Arial"/>
          <w:color w:val="000000"/>
          <w:lang w:eastAsia="bg-BG"/>
        </w:rPr>
        <w:t xml:space="preserve">бизопрололов фумарат веднъж дневно.  Максималната препоръчителна доза е 20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w:t>
      </w:r>
    </w:p>
    <w:p w14:paraId="38938230"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Дозата трябва да се адаптира индивидуално според честотата на пулса и терапевтичния успех.</w:t>
      </w:r>
    </w:p>
    <w:p w14:paraId="56294987" w14:textId="77777777" w:rsidR="00D91466" w:rsidRPr="00D91466" w:rsidRDefault="00D91466" w:rsidP="00D91466">
      <w:pPr>
        <w:rPr>
          <w:rFonts w:eastAsia="Times New Roman" w:cs="Arial"/>
          <w:i/>
          <w:iCs/>
          <w:color w:val="000000"/>
          <w:u w:val="single"/>
          <w:lang w:eastAsia="bg-BG"/>
        </w:rPr>
      </w:pPr>
    </w:p>
    <w:p w14:paraId="5D84BEAF" w14:textId="1FA4ADAB" w:rsidR="00D91466" w:rsidRDefault="00D91466" w:rsidP="00D91466">
      <w:pPr>
        <w:rPr>
          <w:rFonts w:eastAsia="Times New Roman" w:cs="Arial"/>
          <w:i/>
          <w:iCs/>
          <w:color w:val="000000"/>
          <w:u w:val="single"/>
          <w:lang w:eastAsia="bg-BG"/>
        </w:rPr>
      </w:pPr>
      <w:r w:rsidRPr="00D91466">
        <w:rPr>
          <w:rFonts w:eastAsia="Times New Roman" w:cs="Arial"/>
          <w:i/>
          <w:iCs/>
          <w:color w:val="000000"/>
          <w:u w:val="single"/>
          <w:lang w:eastAsia="bg-BG"/>
        </w:rPr>
        <w:t>Стабилна хронична, умерена до тежка сърдечна недостатъчност</w:t>
      </w:r>
    </w:p>
    <w:p w14:paraId="4019ACB4"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Когато се започва лечение с бизопролол, пациентите трябва да са стабилизирани (без прояви на остра недостатъчност).</w:t>
      </w:r>
    </w:p>
    <w:p w14:paraId="397440F1" w14:textId="77777777" w:rsidR="00D91466" w:rsidRPr="00D91466" w:rsidRDefault="00D91466" w:rsidP="00D91466">
      <w:pPr>
        <w:spacing w:line="240" w:lineRule="auto"/>
        <w:rPr>
          <w:rFonts w:eastAsia="Times New Roman" w:cs="Arial"/>
          <w:color w:val="000000"/>
          <w:lang w:eastAsia="bg-BG"/>
        </w:rPr>
      </w:pPr>
    </w:p>
    <w:p w14:paraId="34034231" w14:textId="67A4D45F"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Препоръчва се лекуващият лекар да има съответния опит в лечението на хронична сърдечна недостатъчност.</w:t>
      </w:r>
    </w:p>
    <w:p w14:paraId="6DF68171" w14:textId="77777777" w:rsidR="00D91466" w:rsidRPr="00D91466" w:rsidRDefault="00D91466" w:rsidP="00D91466">
      <w:pPr>
        <w:spacing w:line="240" w:lineRule="auto"/>
        <w:rPr>
          <w:rFonts w:eastAsia="Times New Roman" w:cs="Arial"/>
          <w:color w:val="000000"/>
          <w:lang w:eastAsia="bg-BG"/>
        </w:rPr>
      </w:pPr>
    </w:p>
    <w:p w14:paraId="7C0F329B" w14:textId="3BEC293B"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Лечението на стабилна хронична сърдечна недостатъчност с бизопролол изисква титрационна фаза.</w:t>
      </w:r>
    </w:p>
    <w:p w14:paraId="6E155838"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Препоръчителната начална доза е 1,25 </w:t>
      </w:r>
      <w:r w:rsidRPr="00D91466">
        <w:rPr>
          <w:rFonts w:eastAsia="Times New Roman" w:cs="Arial"/>
          <w:color w:val="000000"/>
          <w:lang w:val="en-US"/>
        </w:rPr>
        <w:t xml:space="preserve">mg </w:t>
      </w:r>
      <w:r w:rsidRPr="00D91466">
        <w:rPr>
          <w:rFonts w:eastAsia="Times New Roman" w:cs="Arial"/>
          <w:color w:val="000000"/>
          <w:lang w:eastAsia="bg-BG"/>
        </w:rPr>
        <w:t xml:space="preserve">веднъж дневно. В зависимост от индивидуалната поносимост, дозата се увеличава на 2,5 </w:t>
      </w:r>
      <w:r w:rsidRPr="00D91466">
        <w:rPr>
          <w:rFonts w:eastAsia="Times New Roman" w:cs="Arial"/>
          <w:color w:val="000000"/>
          <w:lang w:val="en-US"/>
        </w:rPr>
        <w:t xml:space="preserve">mg, </w:t>
      </w:r>
      <w:r w:rsidRPr="00D91466">
        <w:rPr>
          <w:rFonts w:eastAsia="Times New Roman" w:cs="Arial"/>
          <w:color w:val="000000"/>
          <w:lang w:eastAsia="bg-BG"/>
        </w:rPr>
        <w:t xml:space="preserve">3,75 </w:t>
      </w:r>
      <w:r w:rsidRPr="00D91466">
        <w:rPr>
          <w:rFonts w:eastAsia="Times New Roman" w:cs="Arial"/>
          <w:color w:val="000000"/>
          <w:lang w:val="en-US"/>
        </w:rPr>
        <w:t xml:space="preserve">mg, </w:t>
      </w:r>
      <w:r w:rsidRPr="00D91466">
        <w:rPr>
          <w:rFonts w:eastAsia="Times New Roman" w:cs="Arial"/>
          <w:color w:val="000000"/>
          <w:lang w:eastAsia="bg-BG"/>
        </w:rPr>
        <w:t xml:space="preserve">5 </w:t>
      </w:r>
      <w:r w:rsidRPr="00D91466">
        <w:rPr>
          <w:rFonts w:eastAsia="Times New Roman" w:cs="Arial"/>
          <w:color w:val="000000"/>
          <w:lang w:val="en-US"/>
        </w:rPr>
        <w:t xml:space="preserve">mg, </w:t>
      </w:r>
      <w:r w:rsidRPr="00D91466">
        <w:rPr>
          <w:rFonts w:eastAsia="Times New Roman" w:cs="Arial"/>
          <w:color w:val="000000"/>
          <w:lang w:eastAsia="bg-BG"/>
        </w:rPr>
        <w:t xml:space="preserve">7,5 </w:t>
      </w:r>
      <w:r w:rsidRPr="00D91466">
        <w:rPr>
          <w:rFonts w:eastAsia="Times New Roman" w:cs="Arial"/>
          <w:color w:val="000000"/>
          <w:lang w:val="en-US"/>
        </w:rPr>
        <w:t xml:space="preserve">mg </w:t>
      </w:r>
      <w:r w:rsidRPr="00D91466">
        <w:rPr>
          <w:rFonts w:eastAsia="Times New Roman" w:cs="Arial"/>
          <w:color w:val="000000"/>
          <w:lang w:eastAsia="bg-BG"/>
        </w:rPr>
        <w:t xml:space="preserve">и </w:t>
      </w:r>
      <w:r w:rsidRPr="00D91466">
        <w:rPr>
          <w:rFonts w:eastAsia="Times New Roman" w:cs="Arial"/>
          <w:color w:val="000000"/>
          <w:lang w:val="en-US"/>
        </w:rPr>
        <w:t xml:space="preserve">10 mg </w:t>
      </w:r>
      <w:r w:rsidRPr="00D91466">
        <w:rPr>
          <w:rFonts w:eastAsia="Times New Roman" w:cs="Arial"/>
          <w:color w:val="000000"/>
          <w:lang w:eastAsia="bg-BG"/>
        </w:rPr>
        <w:t>веднъж дневно през интервал от 2 или повече седмици. Ако увеличената доза не се понася добре, лечението може да продължи с по-ниска доза.</w:t>
      </w:r>
    </w:p>
    <w:p w14:paraId="75253A3A" w14:textId="77777777" w:rsidR="00D91466" w:rsidRPr="00D91466" w:rsidRDefault="00D91466" w:rsidP="00D91466">
      <w:pPr>
        <w:spacing w:line="240" w:lineRule="auto"/>
        <w:rPr>
          <w:rFonts w:eastAsia="Times New Roman" w:cs="Arial"/>
          <w:color w:val="000000"/>
          <w:lang w:eastAsia="bg-BG"/>
        </w:rPr>
      </w:pPr>
    </w:p>
    <w:p w14:paraId="43E65C8C" w14:textId="24D0B10E"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Максималната препоръчителна доза е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w:t>
      </w:r>
    </w:p>
    <w:p w14:paraId="6631476A" w14:textId="77777777" w:rsidR="00D91466" w:rsidRPr="00D91466" w:rsidRDefault="00D91466" w:rsidP="00D91466">
      <w:pPr>
        <w:spacing w:line="240" w:lineRule="auto"/>
        <w:rPr>
          <w:rFonts w:eastAsia="Times New Roman" w:cs="Arial"/>
          <w:color w:val="000000"/>
          <w:lang w:eastAsia="bg-BG"/>
        </w:rPr>
      </w:pPr>
    </w:p>
    <w:p w14:paraId="7779389A" w14:textId="3037C299"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По време на титрационната фаза се препоръчва проследяване на жизнените показатели (сърдечен ритъм, кръвно налягане), както и за поява на симптоми на влошаване на сърдечната недостатъчност.</w:t>
      </w:r>
    </w:p>
    <w:p w14:paraId="5162BDEC" w14:textId="77777777" w:rsidR="00D91466" w:rsidRPr="00D91466" w:rsidRDefault="00D91466" w:rsidP="00D91466">
      <w:pPr>
        <w:rPr>
          <w:rFonts w:eastAsia="Times New Roman" w:cs="Arial"/>
          <w:color w:val="000000"/>
          <w:lang w:eastAsia="bg-BG"/>
        </w:rPr>
      </w:pPr>
    </w:p>
    <w:p w14:paraId="0BA74A6C" w14:textId="0B8D9390" w:rsidR="00D91466" w:rsidRPr="00D91466" w:rsidRDefault="00D91466" w:rsidP="00D91466">
      <w:pPr>
        <w:rPr>
          <w:rFonts w:eastAsia="Times New Roman" w:cs="Arial"/>
          <w:i/>
          <w:iCs/>
          <w:color w:val="000000"/>
          <w:u w:val="single"/>
          <w:lang w:eastAsia="bg-BG"/>
        </w:rPr>
      </w:pPr>
      <w:r w:rsidRPr="00D91466">
        <w:rPr>
          <w:rFonts w:eastAsia="Times New Roman" w:cs="Arial"/>
          <w:color w:val="000000"/>
          <w:lang w:eastAsia="bg-BG"/>
        </w:rPr>
        <w:t>Ако максимално препоръчваната доза не се понася добре, лечението може да продължи с постепенно намаляваща доза. В случай на преходно влошаване на сърдечната недостатъчност, на хипотония или брадикардия, се препоръчва преразглеждане на дозата на съпътстващото лечение. Може да се наложи временно намаляване на дозата на бизопролол или преустановяване на неговия прием. След стабилизиране на състоянието на пациента, може да се пристъпи към подновяване на лечението и/или повишаване дозата на бизопролол.</w:t>
      </w:r>
    </w:p>
    <w:p w14:paraId="776065EF" w14:textId="285DBE82" w:rsidR="00D91466" w:rsidRDefault="00D91466" w:rsidP="00D91466"/>
    <w:p w14:paraId="16A25882"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Пациенти с бъбречна или чернодробна недостатъчност</w:t>
      </w:r>
    </w:p>
    <w:p w14:paraId="6D2A2DE5"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eastAsia="bg-BG"/>
        </w:rPr>
        <w:t>Артериална хипертония и исхемична болест на сърцето (ангина пекторис)</w:t>
      </w:r>
    </w:p>
    <w:p w14:paraId="062F8CA7"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При пациенти с леки до умерени нарушения на бъбречната или чернодробната функция по принцип не се изисква коригиране на дозата. При пациенти с тежка бъбречна недостатъчност (креатининов клирънс &lt;20 </w:t>
      </w:r>
      <w:r w:rsidRPr="00D91466">
        <w:rPr>
          <w:rFonts w:eastAsia="Times New Roman" w:cs="Arial"/>
          <w:color w:val="000000"/>
          <w:lang w:val="en-US"/>
        </w:rPr>
        <w:t xml:space="preserve">ml/min) </w:t>
      </w:r>
      <w:r w:rsidRPr="00D91466">
        <w:rPr>
          <w:rFonts w:eastAsia="Times New Roman" w:cs="Arial"/>
          <w:color w:val="000000"/>
          <w:lang w:eastAsia="bg-BG"/>
        </w:rPr>
        <w:t xml:space="preserve">и при пациенти с тежки нарушения на чернодробната функция се препоръчва дневната доза от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да не се надвишава. Опитът от приложението на бизопрололов фумарат при пациенти на бъбречна диализа е ограничен, въпреки това няма доказателство, че дозовият режим трябва да се промени.</w:t>
      </w:r>
    </w:p>
    <w:p w14:paraId="1D866128" w14:textId="77777777" w:rsidR="00D91466" w:rsidRPr="00D91466" w:rsidRDefault="00D91466" w:rsidP="00D91466">
      <w:pPr>
        <w:spacing w:line="240" w:lineRule="auto"/>
        <w:rPr>
          <w:rFonts w:eastAsia="Times New Roman" w:cs="Arial"/>
          <w:i/>
          <w:iCs/>
          <w:color w:val="000000"/>
          <w:lang w:eastAsia="bg-BG"/>
        </w:rPr>
      </w:pPr>
    </w:p>
    <w:p w14:paraId="693389DA" w14:textId="4B4E7FB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eastAsia="bg-BG"/>
        </w:rPr>
        <w:lastRenderedPageBreak/>
        <w:t>Стабилна хронична, умерена до тежка сърдечна недостатъчност</w:t>
      </w:r>
    </w:p>
    <w:p w14:paraId="793C7052"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Няма информация за фармакокинетиката на бизопролол при пациенти с хронична сърдечна недостатъчност и нарушена бъбречна или чернодробна функция. Повишаването на дозата в тези случаи изисква допълнително внимание.</w:t>
      </w:r>
    </w:p>
    <w:p w14:paraId="7A51B22C" w14:textId="77777777" w:rsidR="00D91466" w:rsidRPr="00D91466" w:rsidRDefault="00D91466" w:rsidP="00D91466">
      <w:pPr>
        <w:spacing w:line="240" w:lineRule="auto"/>
        <w:rPr>
          <w:rFonts w:eastAsia="Times New Roman" w:cs="Arial"/>
          <w:i/>
          <w:iCs/>
          <w:color w:val="000000"/>
          <w:u w:val="single"/>
          <w:lang w:eastAsia="bg-BG"/>
        </w:rPr>
      </w:pPr>
    </w:p>
    <w:p w14:paraId="1EADEADC" w14:textId="4749EE8F"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Пациенти в старческа възраст</w:t>
      </w:r>
    </w:p>
    <w:p w14:paraId="1117B12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Не се изисква коригиране на дозата. Препоръчва се лечението да започне с най-ниската възможна доза.</w:t>
      </w:r>
    </w:p>
    <w:p w14:paraId="00349580" w14:textId="77777777" w:rsidR="00D91466" w:rsidRPr="00D91466" w:rsidRDefault="00D91466" w:rsidP="00D91466">
      <w:pPr>
        <w:spacing w:line="240" w:lineRule="auto"/>
        <w:rPr>
          <w:rFonts w:eastAsia="Times New Roman" w:cs="Arial"/>
          <w:i/>
          <w:iCs/>
          <w:color w:val="000000"/>
          <w:u w:val="single"/>
          <w:lang w:eastAsia="bg-BG"/>
        </w:rPr>
      </w:pPr>
    </w:p>
    <w:p w14:paraId="54F3AD42" w14:textId="2B2D341A"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Педиатрична популация</w:t>
      </w:r>
    </w:p>
    <w:p w14:paraId="234AAE7F"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Липсва педиатричен опит, затова не се препоръчва употребата на бизопрололов фумарат при деца.</w:t>
      </w:r>
    </w:p>
    <w:p w14:paraId="59908A4F" w14:textId="77777777" w:rsidR="00D91466" w:rsidRPr="00D91466" w:rsidRDefault="00D91466" w:rsidP="00D91466">
      <w:pPr>
        <w:spacing w:line="240" w:lineRule="auto"/>
        <w:rPr>
          <w:rFonts w:eastAsia="Times New Roman" w:cs="Arial"/>
          <w:color w:val="000000"/>
          <w:u w:val="single"/>
          <w:lang w:eastAsia="bg-BG"/>
        </w:rPr>
      </w:pPr>
    </w:p>
    <w:p w14:paraId="0314F8BC" w14:textId="7C5810FC" w:rsidR="00D91466" w:rsidRPr="00AE7EB9" w:rsidRDefault="00D91466" w:rsidP="00AE7EB9">
      <w:pPr>
        <w:pStyle w:val="Heading3"/>
        <w:rPr>
          <w:rFonts w:eastAsia="Times New Roman"/>
          <w:u w:val="single"/>
          <w:lang w:eastAsia="bg-BG"/>
        </w:rPr>
      </w:pPr>
      <w:r w:rsidRPr="00AE7EB9">
        <w:rPr>
          <w:rFonts w:eastAsia="Times New Roman"/>
          <w:u w:val="single"/>
          <w:lang w:eastAsia="bg-BG"/>
        </w:rPr>
        <w:t>Начин на приложение</w:t>
      </w:r>
    </w:p>
    <w:p w14:paraId="5696F96C"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Таблетките Бизолен трябва да се приемат с достатъчно количество течност, сутрин на гладно или със закуската.</w:t>
      </w:r>
    </w:p>
    <w:p w14:paraId="1D2FF771" w14:textId="77777777" w:rsidR="00D91466" w:rsidRPr="00D91466" w:rsidRDefault="00D91466" w:rsidP="00D91466">
      <w:pPr>
        <w:spacing w:line="240" w:lineRule="auto"/>
        <w:rPr>
          <w:rFonts w:eastAsia="Times New Roman" w:cs="Arial"/>
          <w:color w:val="000000"/>
          <w:lang w:eastAsia="bg-BG"/>
        </w:rPr>
      </w:pPr>
    </w:p>
    <w:p w14:paraId="78EB75C1" w14:textId="1916DD2E"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По принцип, лечението с бизопролол е продължителна терапия.</w:t>
      </w:r>
    </w:p>
    <w:p w14:paraId="7C1175EE" w14:textId="77777777" w:rsidR="00D91466" w:rsidRPr="00D91466" w:rsidRDefault="00D91466" w:rsidP="00D91466">
      <w:pPr>
        <w:spacing w:line="240" w:lineRule="auto"/>
        <w:rPr>
          <w:rFonts w:eastAsia="Times New Roman" w:cs="Arial"/>
          <w:sz w:val="24"/>
          <w:szCs w:val="24"/>
          <w:lang w:eastAsia="bg-BG"/>
        </w:rPr>
      </w:pPr>
    </w:p>
    <w:p w14:paraId="2F62384D" w14:textId="49552D9A" w:rsidR="00D91466" w:rsidRDefault="00D91466" w:rsidP="00D91466">
      <w:pPr>
        <w:rPr>
          <w:rFonts w:eastAsia="Times New Roman" w:cs="Arial"/>
          <w:color w:val="000000"/>
          <w:lang w:eastAsia="bg-BG"/>
        </w:rPr>
      </w:pPr>
      <w:r w:rsidRPr="00D91466">
        <w:rPr>
          <w:rFonts w:eastAsia="Times New Roman" w:cs="Arial"/>
          <w:color w:val="000000"/>
          <w:lang w:eastAsia="bg-BG"/>
        </w:rPr>
        <w:t>Лечението с бизопролол не трябва да се спира внезапно, тъй като това може да доведе до преходно влошаване на състоянието. Ако преустановяването на лечението е наложително, дозата трябва постепенно да се намали.</w:t>
      </w:r>
    </w:p>
    <w:p w14:paraId="63C33D91" w14:textId="541DCE99" w:rsidR="00D91466" w:rsidRDefault="00D91466" w:rsidP="00D91466">
      <w:pPr>
        <w:rPr>
          <w:rFonts w:eastAsia="Times New Roman" w:cs="Arial"/>
          <w:color w:val="000000"/>
          <w:lang w:eastAsia="bg-BG"/>
        </w:rPr>
      </w:pPr>
    </w:p>
    <w:p w14:paraId="168BA524" w14:textId="77777777" w:rsidR="00D91466" w:rsidRPr="00D91466" w:rsidRDefault="00D91466" w:rsidP="00D91466">
      <w:pPr>
        <w:rPr>
          <w:rFonts w:eastAsia="Times New Roman" w:cs="Arial"/>
          <w:color w:val="000000"/>
          <w:lang w:eastAsia="bg-BG"/>
        </w:rPr>
      </w:pPr>
    </w:p>
    <w:p w14:paraId="7C2DA516" w14:textId="77777777" w:rsidR="00D91466" w:rsidRPr="00D91466" w:rsidRDefault="00D91466" w:rsidP="00D91466"/>
    <w:p w14:paraId="28C984E8" w14:textId="064B1C97" w:rsidR="008134C8" w:rsidRDefault="002C50EE" w:rsidP="004A448E">
      <w:pPr>
        <w:pStyle w:val="Heading2"/>
      </w:pPr>
      <w:r>
        <w:t>4.3. Противопоказания</w:t>
      </w:r>
    </w:p>
    <w:p w14:paraId="0A947D6A" w14:textId="7D9BF397" w:rsidR="00D91466" w:rsidRDefault="00D91466" w:rsidP="00D91466"/>
    <w:p w14:paraId="2015EE55"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Бизопролол е противопоказан при:</w:t>
      </w:r>
    </w:p>
    <w:p w14:paraId="0464FFE9"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1BA4222"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остра сърдечна недостатъчност или по време на епизоди на декомпенсация на сърдечна недостатъчност, изискващи интравенозна инотропна терапия;</w:t>
      </w:r>
    </w:p>
    <w:p w14:paraId="5187E230"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кардиогенен шок;</w:t>
      </w:r>
    </w:p>
    <w:p w14:paraId="64FD26BC"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val="en-US"/>
        </w:rPr>
        <w:t>AV</w:t>
      </w:r>
      <w:r w:rsidRPr="00D91466">
        <w:rPr>
          <w:rFonts w:eastAsia="Times New Roman" w:cs="Arial"/>
          <w:color w:val="000000"/>
          <w:lang w:eastAsia="bg-BG"/>
        </w:rPr>
        <w:t>-блок от втора или трета степен (без пейсмейкър);</w:t>
      </w:r>
    </w:p>
    <w:p w14:paraId="5EC3F3FB"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синдром на болния синусов възел;</w:t>
      </w:r>
    </w:p>
    <w:p w14:paraId="1E73BD6D"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синоатриален блок;</w:t>
      </w:r>
    </w:p>
    <w:p w14:paraId="5936BEE3"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симптоматична брадикардия;</w:t>
      </w:r>
    </w:p>
    <w:p w14:paraId="2445DE76"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симптоматична хипотония;</w:t>
      </w:r>
    </w:p>
    <w:p w14:paraId="27742019"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тежка бронхиална астма или тежко хронично обструктивно белодробно заболяване;</w:t>
      </w:r>
    </w:p>
    <w:p w14:paraId="43CCB6A3"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тежка форма на периферно артериално оклузивно заболяване или синдром на Рейно;</w:t>
      </w:r>
    </w:p>
    <w:p w14:paraId="2D0020A5" w14:textId="77B05C2A"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нелекуван феохромоцитом (вж. точка 4.4);</w:t>
      </w:r>
    </w:p>
    <w:p w14:paraId="62DCEEE0" w14:textId="0890B411" w:rsidR="00D91466" w:rsidRPr="001B63B7" w:rsidRDefault="00D91466" w:rsidP="00D91466">
      <w:pPr>
        <w:pStyle w:val="ListParagraph"/>
        <w:numPr>
          <w:ilvl w:val="0"/>
          <w:numId w:val="35"/>
        </w:numPr>
        <w:rPr>
          <w:rFonts w:cs="Arial"/>
        </w:rPr>
      </w:pPr>
      <w:r w:rsidRPr="00D91466">
        <w:rPr>
          <w:rFonts w:eastAsia="Times New Roman" w:cs="Arial"/>
          <w:color w:val="000000"/>
          <w:lang w:eastAsia="bg-BG"/>
        </w:rPr>
        <w:t>метаболитна ацидоза.</w:t>
      </w:r>
    </w:p>
    <w:p w14:paraId="3258A933" w14:textId="77777777" w:rsidR="001B63B7" w:rsidRPr="00D91466" w:rsidRDefault="001B63B7" w:rsidP="00AE7EB9">
      <w:pPr>
        <w:pStyle w:val="ListParagraph"/>
        <w:rPr>
          <w:rFonts w:cs="Arial"/>
        </w:rPr>
      </w:pPr>
    </w:p>
    <w:p w14:paraId="212F509C" w14:textId="169AB92C" w:rsidR="004F498A" w:rsidRDefault="002C50EE" w:rsidP="004A448E">
      <w:pPr>
        <w:pStyle w:val="Heading2"/>
      </w:pPr>
      <w:r>
        <w:t>4.4. Специални предупреждения и предпазни мерки при употреба</w:t>
      </w:r>
    </w:p>
    <w:p w14:paraId="48BE7AEA" w14:textId="4E7E4A1C" w:rsidR="00D91466" w:rsidRDefault="00D91466" w:rsidP="00D91466"/>
    <w:p w14:paraId="037A5FA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lastRenderedPageBreak/>
        <w:t>Лечението на стабилна хронична сърдечна недостатъчност с бизопролол трябва да започне със специална титрационна фаза.</w:t>
      </w:r>
    </w:p>
    <w:p w14:paraId="08B41BE1"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Освен ако не е изрично показано, лечението с бизопролол не трябва да се преустановява внезапно, особено при пациенти с исхемична болест на сърцето, тъй като това може да доведе до преходно влошаване на сърдечното заболяване (вж. точка 4.2).</w:t>
      </w:r>
    </w:p>
    <w:p w14:paraId="249F9741" w14:textId="77777777" w:rsidR="00D91466" w:rsidRPr="001B63B7" w:rsidRDefault="00D91466" w:rsidP="00D91466">
      <w:pPr>
        <w:spacing w:line="240" w:lineRule="auto"/>
        <w:rPr>
          <w:rFonts w:eastAsia="Times New Roman" w:cs="Arial"/>
          <w:color w:val="000000"/>
          <w:lang w:eastAsia="bg-BG"/>
        </w:rPr>
      </w:pPr>
    </w:p>
    <w:p w14:paraId="009E3F8A" w14:textId="22BC15DD"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Бизопролол трябва да се прилага с повишено внимание при:</w:t>
      </w:r>
    </w:p>
    <w:p w14:paraId="51F83878" w14:textId="77777777" w:rsidR="00D91466" w:rsidRPr="001B63B7" w:rsidRDefault="00D91466" w:rsidP="00D91466">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захарен диабет, показващ големи флуктуации на нивата на кръвната захар. Симптомите на хипогликемия (напр. тахикардия, изпотяване, тремор) може да се маскират;</w:t>
      </w:r>
    </w:p>
    <w:p w14:paraId="3A9B3B4C" w14:textId="77777777" w:rsidR="00D91466" w:rsidRPr="001B63B7" w:rsidRDefault="00D91466" w:rsidP="00D91466">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строга диета;</w:t>
      </w:r>
    </w:p>
    <w:p w14:paraId="703EA088"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десенсибилизираща терапия. Подобно на останалите β-блокери, бизопролол може да повиши както чувствителността към алергени, така и тежестта на анафилактичните реакции. Лечението с адреналин не винаги дава очаквания терапевтичен ефект;</w:t>
      </w:r>
    </w:p>
    <w:p w14:paraId="2DA17E03"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val="en-US"/>
        </w:rPr>
        <w:t>AV</w:t>
      </w:r>
      <w:r w:rsidRPr="001B63B7">
        <w:rPr>
          <w:rFonts w:eastAsia="Times New Roman" w:cs="Arial"/>
          <w:color w:val="000000"/>
          <w:lang w:eastAsia="bg-BG"/>
        </w:rPr>
        <w:t>-блок от първа степен;</w:t>
      </w:r>
    </w:p>
    <w:p w14:paraId="276C15A1"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ангина на Принцметал: наблюдавани са случаи на коронарен вазоспазъм. Въпреки високата бета1 - селективност, при пациентите с ангина на Принцметал, приемащи бизопролол, не могат да бъдат изключени пристъпи на стенокардия;</w:t>
      </w:r>
    </w:p>
    <w:p w14:paraId="78868179"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периферна артериална оклузивна болест (ПАОБ). Може да се наблюдава засилване на оплакванията, особено в началото на терапията;</w:t>
      </w:r>
    </w:p>
    <w:p w14:paraId="5DEDEB9D" w14:textId="42F8D1A0" w:rsidR="00D91466" w:rsidRPr="001B63B7" w:rsidRDefault="00D91466" w:rsidP="001B63B7">
      <w:pPr>
        <w:pStyle w:val="ListParagraph"/>
        <w:numPr>
          <w:ilvl w:val="0"/>
          <w:numId w:val="36"/>
        </w:numPr>
        <w:rPr>
          <w:rFonts w:eastAsia="Times New Roman" w:cs="Arial"/>
          <w:color w:val="000000"/>
          <w:lang w:eastAsia="bg-BG"/>
        </w:rPr>
      </w:pPr>
      <w:r w:rsidRPr="001B63B7">
        <w:rPr>
          <w:rFonts w:eastAsia="Times New Roman" w:cs="Arial"/>
          <w:color w:val="000000"/>
          <w:lang w:eastAsia="bg-BG"/>
        </w:rPr>
        <w:t>обща анестезия.</w:t>
      </w:r>
    </w:p>
    <w:p w14:paraId="5E8EAE28" w14:textId="0395555F" w:rsidR="00D91466" w:rsidRPr="001B63B7" w:rsidRDefault="00D91466" w:rsidP="00D91466">
      <w:pPr>
        <w:rPr>
          <w:rFonts w:cs="Arial"/>
        </w:rPr>
      </w:pPr>
    </w:p>
    <w:p w14:paraId="7739FFEE"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Няма терапевтичен опит за лечение на сърдечна недостатъчност с бизопролол при пациенти със следните заболявания или състояния:</w:t>
      </w:r>
    </w:p>
    <w:p w14:paraId="071C4DF7"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инсулин-зависим захарен диабет (тип I);</w:t>
      </w:r>
    </w:p>
    <w:p w14:paraId="63E7C3FC"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тежки нарушения на бъбречната функция;</w:t>
      </w:r>
    </w:p>
    <w:p w14:paraId="4D5690C9"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тежки нарушения на чернодробната функция;</w:t>
      </w:r>
    </w:p>
    <w:p w14:paraId="0CFD3AA0"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рестриктивна кардиомиопатия;</w:t>
      </w:r>
    </w:p>
    <w:p w14:paraId="69BECA2A"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вродени сърдечни заболявания;</w:t>
      </w:r>
    </w:p>
    <w:p w14:paraId="575E9662"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хемодинамично значимо органично заболяване на сърдечните клапи;</w:t>
      </w:r>
    </w:p>
    <w:p w14:paraId="62BC015F"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инфаркт на миокарда през последните 3 месеца.</w:t>
      </w:r>
    </w:p>
    <w:p w14:paraId="618D7632" w14:textId="77777777" w:rsidR="001B63B7" w:rsidRPr="001B63B7" w:rsidRDefault="001B63B7" w:rsidP="001B63B7">
      <w:pPr>
        <w:spacing w:line="240" w:lineRule="auto"/>
        <w:rPr>
          <w:rFonts w:eastAsia="Times New Roman" w:cs="Arial"/>
          <w:sz w:val="24"/>
          <w:szCs w:val="24"/>
          <w:lang w:eastAsia="bg-BG"/>
        </w:rPr>
      </w:pPr>
    </w:p>
    <w:p w14:paraId="12F8C7C6" w14:textId="21AB71B0" w:rsidR="001B63B7" w:rsidRDefault="001B63B7" w:rsidP="001B63B7">
      <w:pPr>
        <w:spacing w:line="240" w:lineRule="auto"/>
        <w:rPr>
          <w:rFonts w:eastAsia="Times New Roman" w:cs="Arial"/>
          <w:color w:val="000000"/>
          <w:lang w:eastAsia="bg-BG"/>
        </w:rPr>
      </w:pPr>
      <w:r w:rsidRPr="001B63B7">
        <w:rPr>
          <w:rFonts w:eastAsia="Times New Roman" w:cs="Arial"/>
          <w:color w:val="000000"/>
          <w:lang w:eastAsia="bg-BG"/>
        </w:rPr>
        <w:t>Комбинацията на бизопролол с калциеви антагонисти от групата на верапамил или дилтиазем, с антиаритмични клас I и антихипертензивни лекарствени средства, не се препоръчва (вж. точка 4.5).</w:t>
      </w:r>
    </w:p>
    <w:p w14:paraId="49353EFC" w14:textId="1ABE1F6B" w:rsidR="001B63B7" w:rsidRDefault="001B63B7" w:rsidP="001B63B7">
      <w:pPr>
        <w:spacing w:line="240" w:lineRule="auto"/>
        <w:rPr>
          <w:rFonts w:eastAsia="Times New Roman" w:cs="Arial"/>
          <w:color w:val="000000"/>
          <w:lang w:eastAsia="bg-BG"/>
        </w:rPr>
      </w:pPr>
    </w:p>
    <w:p w14:paraId="4B4840BC"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Пациенти с псориазис или анамнеза за псориазис трябва да приемат β-блокери (напр. бизопролол), само след внимателна оценка на съотношението полза/риск.</w:t>
      </w:r>
    </w:p>
    <w:p w14:paraId="0FD2648C" w14:textId="77777777" w:rsidR="001B63B7" w:rsidRPr="001B63B7" w:rsidRDefault="001B63B7" w:rsidP="001B63B7">
      <w:pPr>
        <w:spacing w:line="240" w:lineRule="auto"/>
        <w:rPr>
          <w:rFonts w:eastAsia="Times New Roman" w:cs="Arial"/>
          <w:color w:val="000000"/>
          <w:lang w:eastAsia="bg-BG"/>
        </w:rPr>
      </w:pPr>
    </w:p>
    <w:p w14:paraId="2DE83C9F" w14:textId="3ECE6A5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На фона на лечението с бизопролол, симптомите на тиреотоксикоза може да се маскират.</w:t>
      </w:r>
    </w:p>
    <w:p w14:paraId="55AC66B1" w14:textId="77777777" w:rsidR="001B63B7" w:rsidRPr="001B63B7" w:rsidRDefault="001B63B7" w:rsidP="001B63B7">
      <w:pPr>
        <w:spacing w:line="240" w:lineRule="auto"/>
        <w:rPr>
          <w:rFonts w:eastAsia="Times New Roman" w:cs="Arial"/>
          <w:color w:val="000000"/>
          <w:lang w:eastAsia="bg-BG"/>
        </w:rPr>
      </w:pPr>
    </w:p>
    <w:p w14:paraId="416A6ED0" w14:textId="156819A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При пациенти с феохромоцитом, бизопролол се прилага само след алфа-рецепторна блокада.</w:t>
      </w:r>
    </w:p>
    <w:p w14:paraId="799FE656" w14:textId="77777777" w:rsidR="001B63B7" w:rsidRPr="001B63B7" w:rsidRDefault="001B63B7" w:rsidP="001B63B7">
      <w:pPr>
        <w:spacing w:line="240" w:lineRule="auto"/>
        <w:rPr>
          <w:rFonts w:eastAsia="Times New Roman" w:cs="Arial"/>
          <w:color w:val="000000"/>
          <w:lang w:eastAsia="bg-BG"/>
        </w:rPr>
      </w:pPr>
    </w:p>
    <w:p w14:paraId="2B29ED3E" w14:textId="51EC8465"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При пациенти, подложени на обща анестезия, β-блокерите намаляват риска от аритмия и миокардна исхемия по време на индукция и интубация, както и в постоперативния период. Засега се препоръчва поддържащата β-блокада да бъде продължена </w:t>
      </w:r>
      <w:r w:rsidRPr="001B63B7">
        <w:rPr>
          <w:rFonts w:eastAsia="Times New Roman" w:cs="Arial"/>
          <w:color w:val="000000"/>
          <w:lang w:eastAsia="bg-BG"/>
        </w:rPr>
        <w:lastRenderedPageBreak/>
        <w:t>периоперативно. Анестезиологът трябва да бъде уведомен за β-блокадата, поради възможни взаимодействия с други лекарства, водещи до брадиаритмии, отслабване на рефлекторната тахикардия и понижена рефлекторна способност за компенсиране на кръвозагуба. Ако е необходимо преустановяване на лечението с β-блокер преди хирургична операция, това трябва да стане постепенно и да приключи 48 часа преди анестезията.</w:t>
      </w:r>
    </w:p>
    <w:p w14:paraId="027F288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Въпреки че кардиоселективните </w:t>
      </w:r>
      <w:r w:rsidRPr="001B63B7">
        <w:rPr>
          <w:rFonts w:eastAsia="Times New Roman" w:cs="Arial"/>
          <w:color w:val="000000"/>
          <w:lang w:val="en-US"/>
        </w:rPr>
        <w:t>(</w:t>
      </w:r>
      <w:r w:rsidRPr="001B63B7">
        <w:rPr>
          <w:rFonts w:eastAsia="Times New Roman" w:cs="Arial"/>
          <w:color w:val="000000"/>
          <w:lang w:eastAsia="bg-BG"/>
        </w:rPr>
        <w:t>β</w:t>
      </w:r>
      <w:r w:rsidRPr="001B63B7">
        <w:rPr>
          <w:rFonts w:eastAsia="Times New Roman" w:cs="Arial"/>
          <w:color w:val="000000"/>
          <w:vertAlign w:val="subscript"/>
          <w:lang w:eastAsia="bg-BG"/>
        </w:rPr>
        <w:t>1</w:t>
      </w:r>
      <w:r w:rsidRPr="001B63B7">
        <w:rPr>
          <w:rFonts w:eastAsia="Times New Roman" w:cs="Arial"/>
          <w:color w:val="000000"/>
          <w:lang w:val="en-US"/>
        </w:rPr>
        <w:t xml:space="preserve">) </w:t>
      </w:r>
      <w:r w:rsidRPr="001B63B7">
        <w:rPr>
          <w:rFonts w:eastAsia="Times New Roman" w:cs="Arial"/>
          <w:color w:val="000000"/>
          <w:lang w:eastAsia="bg-BG"/>
        </w:rPr>
        <w:t>β-блокери могат да имат по-слаб ефект върху белодробната функция, отколкото неселективните β-блокери, както всички β-блокери, използването им също трябва да се избягва при пациенти с обструктивни заболявания на дихателните пътища, освен ако не съществуват убедителни клинични причини за употребата им. В такива случаи бизопролол трябва да се използва с повишено внимание.</w:t>
      </w:r>
    </w:p>
    <w:p w14:paraId="710C8EAC" w14:textId="77777777" w:rsidR="001B63B7" w:rsidRPr="001B63B7" w:rsidRDefault="001B63B7" w:rsidP="001B63B7">
      <w:pPr>
        <w:spacing w:line="240" w:lineRule="auto"/>
        <w:rPr>
          <w:rFonts w:eastAsia="Times New Roman" w:cs="Arial"/>
          <w:color w:val="000000"/>
          <w:lang w:eastAsia="bg-BG"/>
        </w:rPr>
      </w:pPr>
    </w:p>
    <w:p w14:paraId="6342CE68" w14:textId="065474AC"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При бронхиална астма или друго хронично обструктивно белодробно заболяване, което може да причини симптоми, се препоръчва съпътстваща бронходилатираща терапия.</w:t>
      </w:r>
    </w:p>
    <w:p w14:paraId="14F5664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Понякога, при пациенти с астма може да се появи повишение на резистентността на дихателните пътища, затова може да се наложи увеличаване дозата на β</w:t>
      </w:r>
      <w:r w:rsidRPr="001B63B7">
        <w:rPr>
          <w:rFonts w:eastAsia="Times New Roman" w:cs="Arial"/>
          <w:color w:val="000000"/>
          <w:vertAlign w:val="subscript"/>
          <w:lang w:eastAsia="bg-BG"/>
        </w:rPr>
        <w:t>2</w:t>
      </w:r>
      <w:r w:rsidRPr="001B63B7">
        <w:rPr>
          <w:rFonts w:eastAsia="Times New Roman" w:cs="Arial"/>
          <w:color w:val="000000"/>
          <w:lang w:eastAsia="bg-BG"/>
        </w:rPr>
        <w:t>-стимулантите.</w:t>
      </w:r>
    </w:p>
    <w:p w14:paraId="31C8CF7A" w14:textId="77777777" w:rsidR="001B63B7" w:rsidRPr="001B63B7" w:rsidRDefault="001B63B7" w:rsidP="001B63B7">
      <w:pPr>
        <w:spacing w:line="240" w:lineRule="auto"/>
        <w:rPr>
          <w:rFonts w:eastAsia="Times New Roman" w:cs="Arial"/>
          <w:color w:val="000000"/>
          <w:lang w:eastAsia="bg-BG"/>
        </w:rPr>
      </w:pPr>
    </w:p>
    <w:p w14:paraId="0AC8057F" w14:textId="7FCC57C7" w:rsidR="001B63B7" w:rsidRPr="001B63B7" w:rsidRDefault="001B63B7" w:rsidP="001B63B7">
      <w:pPr>
        <w:spacing w:line="240" w:lineRule="auto"/>
        <w:rPr>
          <w:rFonts w:eastAsia="Times New Roman" w:cs="Arial"/>
          <w:color w:val="000000"/>
          <w:lang w:eastAsia="bg-BG"/>
        </w:rPr>
      </w:pPr>
      <w:r w:rsidRPr="001B63B7">
        <w:rPr>
          <w:rFonts w:eastAsia="Times New Roman" w:cs="Arial"/>
          <w:color w:val="000000"/>
          <w:lang w:eastAsia="bg-BG"/>
        </w:rPr>
        <w:t>При започване и преустановяване на лечение с бизопролол е необходимо редовно наблюдение. За дозировка и начин на приложение, вж. точка 4.2.</w:t>
      </w:r>
    </w:p>
    <w:p w14:paraId="5D50730A" w14:textId="77777777" w:rsidR="001B63B7" w:rsidRPr="001B63B7" w:rsidRDefault="001B63B7" w:rsidP="001B63B7">
      <w:pPr>
        <w:spacing w:line="240" w:lineRule="auto"/>
        <w:rPr>
          <w:rFonts w:eastAsia="Times New Roman" w:cs="Arial"/>
          <w:sz w:val="24"/>
          <w:szCs w:val="24"/>
          <w:lang w:eastAsia="bg-BG"/>
        </w:rPr>
      </w:pPr>
    </w:p>
    <w:p w14:paraId="619DED1E" w14:textId="144D2FF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0365DE3" w14:textId="70BCC606" w:rsidR="001B63B7" w:rsidRDefault="001B63B7" w:rsidP="001B63B7"/>
    <w:p w14:paraId="678A167C"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Непрепоръчителни комбинации</w:t>
      </w:r>
    </w:p>
    <w:p w14:paraId="378D7F78"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Калциеви антагонисти от групата на верапамил и в по-малка степен от групата на дилтиазем:</w:t>
      </w:r>
      <w:r w:rsidRPr="001B63B7">
        <w:rPr>
          <w:rFonts w:eastAsia="Times New Roman" w:cs="Arial"/>
          <w:color w:val="000000"/>
          <w:lang w:eastAsia="bg-BG"/>
        </w:rPr>
        <w:t xml:space="preserve"> негативно влияние на контрактилността и атриовентрикуларната проводимост. Интравенозното приложение на верапамил при пациенти, лекувани с β-блокери, може да доведе до тежка хипотония и атриовентрикуларен блок.</w:t>
      </w:r>
    </w:p>
    <w:p w14:paraId="7F1A17FE" w14:textId="77777777" w:rsidR="001B63B7" w:rsidRPr="001B63B7" w:rsidRDefault="001B63B7" w:rsidP="001B63B7">
      <w:pPr>
        <w:spacing w:line="240" w:lineRule="auto"/>
        <w:rPr>
          <w:rFonts w:eastAsia="Times New Roman" w:cs="Arial"/>
          <w:i/>
          <w:iCs/>
          <w:color w:val="000000"/>
          <w:lang w:eastAsia="bg-BG"/>
        </w:rPr>
      </w:pPr>
    </w:p>
    <w:p w14:paraId="4A5FF210" w14:textId="3327209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Клас I</w:t>
      </w:r>
      <w:r w:rsidRPr="001B63B7">
        <w:rPr>
          <w:rFonts w:eastAsia="Times New Roman" w:cs="Arial"/>
          <w:i/>
          <w:iCs/>
          <w:color w:val="000000"/>
          <w:lang w:val="en-US"/>
        </w:rPr>
        <w:t xml:space="preserve"> </w:t>
      </w:r>
      <w:r w:rsidRPr="001B63B7">
        <w:rPr>
          <w:rFonts w:eastAsia="Times New Roman" w:cs="Arial"/>
          <w:i/>
          <w:iCs/>
          <w:color w:val="000000"/>
          <w:lang w:eastAsia="bg-BG"/>
        </w:rPr>
        <w:t>антиаритмични лекарствени продукти (напр. хинидин, дизопирамид, лидокаин, фенитоин, флекаинид, пропафенон):</w:t>
      </w:r>
      <w:r w:rsidRPr="001B63B7">
        <w:rPr>
          <w:rFonts w:eastAsia="Times New Roman" w:cs="Arial"/>
          <w:color w:val="000000"/>
          <w:lang w:eastAsia="bg-BG"/>
        </w:rPr>
        <w:t xml:space="preserve"> ефектът върху времето на атриовентрикуларната проводимост може да се потенцира и да се повиши негативния инотропен ефект.</w:t>
      </w:r>
    </w:p>
    <w:p w14:paraId="49F008B8" w14:textId="77777777" w:rsidR="001B63B7" w:rsidRPr="001B63B7" w:rsidRDefault="001B63B7" w:rsidP="001B63B7">
      <w:pPr>
        <w:spacing w:line="240" w:lineRule="auto"/>
        <w:rPr>
          <w:rFonts w:eastAsia="Times New Roman" w:cs="Arial"/>
          <w:i/>
          <w:iCs/>
          <w:color w:val="000000"/>
          <w:lang w:eastAsia="bg-BG"/>
        </w:rPr>
      </w:pPr>
    </w:p>
    <w:p w14:paraId="5DD636FD" w14:textId="271774FE"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Антихипертензивни лекарствени средства с централно действие (напр. клонидин, метилдопа, моксонидин, рилменидин):</w:t>
      </w:r>
      <w:r w:rsidRPr="001B63B7">
        <w:rPr>
          <w:rFonts w:eastAsia="Times New Roman" w:cs="Arial"/>
          <w:color w:val="000000"/>
          <w:lang w:eastAsia="bg-BG"/>
        </w:rPr>
        <w:t xml:space="preserve"> едновременната употреба с антихиперинтензивни лекарствени средства с централно действие може да доведе до влошаване на сърдечната недостатъчност чрез намаляване на сърдечната честота и капацитет, а оттам до вазодилатация. Внезапното преустановяване на лечението може да увеличи риска от </w:t>
      </w:r>
      <w:r w:rsidRPr="001B63B7">
        <w:rPr>
          <w:rFonts w:eastAsia="Times New Roman" w:cs="Arial"/>
          <w:i/>
          <w:iCs/>
          <w:color w:val="000000"/>
          <w:lang w:val="en-US"/>
        </w:rPr>
        <w:t>“rebound hypertension”.</w:t>
      </w:r>
    </w:p>
    <w:p w14:paraId="32904284" w14:textId="77777777" w:rsidR="001B63B7" w:rsidRPr="001B63B7" w:rsidRDefault="001B63B7" w:rsidP="001B63B7">
      <w:pPr>
        <w:spacing w:line="240" w:lineRule="auto"/>
        <w:rPr>
          <w:rFonts w:eastAsia="Times New Roman" w:cs="Arial"/>
          <w:color w:val="000000"/>
          <w:u w:val="single"/>
          <w:lang w:eastAsia="bg-BG"/>
        </w:rPr>
      </w:pPr>
    </w:p>
    <w:p w14:paraId="7E086651" w14:textId="188B4985"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Комбинации, които трябва да се използват с внимание</w:t>
      </w:r>
    </w:p>
    <w:p w14:paraId="234A2C8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 xml:space="preserve">Калциеви антагонисти от дихидропиридинов тип (напр. фелодипин, амлодипин, нифедипин): </w:t>
      </w:r>
      <w:r w:rsidRPr="001B63B7">
        <w:rPr>
          <w:rFonts w:eastAsia="Times New Roman" w:cs="Arial"/>
          <w:color w:val="000000"/>
          <w:lang w:eastAsia="bg-BG"/>
        </w:rPr>
        <w:t>едновременната употреба може да увеличи риска от хипотония, както и не е изключен и п</w:t>
      </w:r>
      <w:r w:rsidRPr="001B63B7">
        <w:rPr>
          <w:rFonts w:eastAsia="Times New Roman" w:cs="Arial"/>
          <w:color w:val="000000"/>
          <w:lang w:val="en-US"/>
        </w:rPr>
        <w:t>o</w:t>
      </w:r>
      <w:r w:rsidRPr="001B63B7">
        <w:rPr>
          <w:rFonts w:eastAsia="Times New Roman" w:cs="Arial"/>
          <w:color w:val="000000"/>
          <w:lang w:eastAsia="bg-BG"/>
        </w:rPr>
        <w:t>- голям риск от допълнително влошаване на систоличната функция на сърцето при пациенти със сърдечна недостатъчност.</w:t>
      </w:r>
    </w:p>
    <w:p w14:paraId="3FE0ECCE" w14:textId="77777777" w:rsidR="001B63B7" w:rsidRPr="001B63B7" w:rsidRDefault="001B63B7" w:rsidP="001B63B7">
      <w:pPr>
        <w:rPr>
          <w:rFonts w:eastAsia="Times New Roman" w:cs="Arial"/>
          <w:i/>
          <w:iCs/>
          <w:color w:val="000000"/>
          <w:lang w:eastAsia="bg-BG"/>
        </w:rPr>
      </w:pPr>
    </w:p>
    <w:p w14:paraId="1505B810" w14:textId="1613A653" w:rsidR="001B63B7" w:rsidRDefault="001B63B7" w:rsidP="001B63B7">
      <w:pPr>
        <w:rPr>
          <w:rFonts w:eastAsia="Times New Roman" w:cs="Arial"/>
          <w:color w:val="000000"/>
          <w:lang w:eastAsia="bg-BG"/>
        </w:rPr>
      </w:pPr>
      <w:r w:rsidRPr="001B63B7">
        <w:rPr>
          <w:rFonts w:eastAsia="Times New Roman" w:cs="Arial"/>
          <w:i/>
          <w:iCs/>
          <w:color w:val="000000"/>
          <w:lang w:eastAsia="bg-BG"/>
        </w:rPr>
        <w:t xml:space="preserve">Клас </w:t>
      </w:r>
      <w:r w:rsidRPr="001B63B7">
        <w:rPr>
          <w:rFonts w:eastAsia="Times New Roman" w:cs="Arial"/>
          <w:i/>
          <w:iCs/>
          <w:color w:val="000000"/>
          <w:lang w:val="en-US"/>
        </w:rPr>
        <w:t xml:space="preserve">III </w:t>
      </w:r>
      <w:r w:rsidRPr="001B63B7">
        <w:rPr>
          <w:rFonts w:eastAsia="Times New Roman" w:cs="Arial"/>
          <w:i/>
          <w:iCs/>
          <w:color w:val="000000"/>
          <w:lang w:eastAsia="bg-BG"/>
        </w:rPr>
        <w:t>антиаритмични лекарствени продукти (напр. амиодарон):</w:t>
      </w:r>
      <w:r w:rsidRPr="001B63B7">
        <w:rPr>
          <w:rFonts w:eastAsia="Times New Roman" w:cs="Arial"/>
          <w:color w:val="000000"/>
          <w:lang w:eastAsia="bg-BG"/>
        </w:rPr>
        <w:t xml:space="preserve"> ефектът върху времето на атриовентрикуларната проводимост може да се потенцира.</w:t>
      </w:r>
    </w:p>
    <w:p w14:paraId="0AE07B39" w14:textId="60E3EE9B" w:rsidR="001B63B7" w:rsidRDefault="001B63B7" w:rsidP="001B63B7">
      <w:pPr>
        <w:rPr>
          <w:rFonts w:eastAsia="Times New Roman" w:cs="Arial"/>
          <w:color w:val="000000"/>
          <w:lang w:eastAsia="bg-BG"/>
        </w:rPr>
      </w:pPr>
    </w:p>
    <w:p w14:paraId="3DB6014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lastRenderedPageBreak/>
        <w:t>Парасимпатикомиметични лекарствени продукти:</w:t>
      </w:r>
      <w:r w:rsidRPr="001B63B7">
        <w:rPr>
          <w:rFonts w:eastAsia="Times New Roman" w:cs="Arial"/>
          <w:color w:val="000000"/>
          <w:lang w:eastAsia="bg-BG"/>
        </w:rPr>
        <w:t xml:space="preserve"> едновременната употреба може да увеличи времето на атриовентрикуларната проводимост, както и риска от брадикардия.</w:t>
      </w:r>
    </w:p>
    <w:p w14:paraId="32B60AB1" w14:textId="77777777" w:rsidR="001B63B7" w:rsidRPr="001B63B7" w:rsidRDefault="001B63B7" w:rsidP="001B63B7">
      <w:pPr>
        <w:spacing w:line="240" w:lineRule="auto"/>
        <w:rPr>
          <w:rFonts w:eastAsia="Times New Roman" w:cs="Arial"/>
          <w:i/>
          <w:iCs/>
          <w:color w:val="000000"/>
          <w:lang w:eastAsia="bg-BG"/>
        </w:rPr>
      </w:pPr>
    </w:p>
    <w:p w14:paraId="0A5C46D5" w14:textId="2A484CC6"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β-блокери с локално приложение</w:t>
      </w:r>
      <w:r w:rsidRPr="001B63B7">
        <w:rPr>
          <w:rFonts w:eastAsia="Times New Roman" w:cs="Arial"/>
          <w:color w:val="000000"/>
          <w:lang w:eastAsia="bg-BG"/>
        </w:rPr>
        <w:t xml:space="preserve"> (напр. капки за очи за лечение на глаукома) могат да засилят системния ефект на бизопролол.</w:t>
      </w:r>
    </w:p>
    <w:p w14:paraId="7C071B39" w14:textId="77777777" w:rsidR="001B63B7" w:rsidRPr="001B63B7" w:rsidRDefault="001B63B7" w:rsidP="001B63B7">
      <w:pPr>
        <w:spacing w:line="240" w:lineRule="auto"/>
        <w:rPr>
          <w:rFonts w:eastAsia="Times New Roman" w:cs="Arial"/>
          <w:i/>
          <w:iCs/>
          <w:color w:val="000000"/>
          <w:lang w:eastAsia="bg-BG"/>
        </w:rPr>
      </w:pPr>
    </w:p>
    <w:p w14:paraId="11160FC8" w14:textId="0CC4FC1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Инсулин и перорални антидиабетни лекарствени продукти:</w:t>
      </w:r>
      <w:r w:rsidRPr="001B63B7">
        <w:rPr>
          <w:rFonts w:eastAsia="Times New Roman" w:cs="Arial"/>
          <w:color w:val="000000"/>
          <w:lang w:eastAsia="bg-BG"/>
        </w:rPr>
        <w:t xml:space="preserve"> засилване ефекта на намаляване на кръвната захар; блокирането на </w:t>
      </w:r>
      <w:r w:rsidRPr="001B63B7">
        <w:rPr>
          <w:rFonts w:eastAsia="Times New Roman" w:cs="Arial"/>
          <w:color w:val="000000"/>
          <w:lang w:val="en-US"/>
        </w:rPr>
        <w:t>p</w:t>
      </w:r>
      <w:r w:rsidRPr="001B63B7">
        <w:rPr>
          <w:rFonts w:eastAsia="Times New Roman" w:cs="Arial"/>
          <w:color w:val="000000"/>
          <w:lang w:eastAsia="bg-BG"/>
        </w:rPr>
        <w:t>-адренорецепторите може да маскира симптомите на хипогликемия.</w:t>
      </w:r>
    </w:p>
    <w:p w14:paraId="683905E1" w14:textId="77777777" w:rsidR="001B63B7" w:rsidRPr="001B63B7" w:rsidRDefault="001B63B7" w:rsidP="001B63B7">
      <w:pPr>
        <w:spacing w:line="240" w:lineRule="auto"/>
        <w:rPr>
          <w:rFonts w:eastAsia="Times New Roman" w:cs="Arial"/>
          <w:i/>
          <w:iCs/>
          <w:color w:val="000000"/>
          <w:lang w:eastAsia="bg-BG"/>
        </w:rPr>
      </w:pPr>
    </w:p>
    <w:p w14:paraId="16681A31" w14:textId="37AC4DFF"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Анестетици:</w:t>
      </w:r>
      <w:r w:rsidRPr="001B63B7">
        <w:rPr>
          <w:rFonts w:eastAsia="Times New Roman" w:cs="Arial"/>
          <w:color w:val="000000"/>
          <w:lang w:eastAsia="bg-BG"/>
        </w:rPr>
        <w:t xml:space="preserve"> намаляване на рефлекторната тахикардия и повишаване на риска от хипотония (вж. точка 4.4).</w:t>
      </w:r>
    </w:p>
    <w:p w14:paraId="0D6E34EA" w14:textId="77777777" w:rsidR="001B63B7" w:rsidRPr="001B63B7" w:rsidRDefault="001B63B7" w:rsidP="001B63B7">
      <w:pPr>
        <w:spacing w:line="240" w:lineRule="auto"/>
        <w:rPr>
          <w:rFonts w:eastAsia="Times New Roman" w:cs="Arial"/>
          <w:i/>
          <w:iCs/>
          <w:color w:val="000000"/>
          <w:lang w:eastAsia="bg-BG"/>
        </w:rPr>
      </w:pPr>
    </w:p>
    <w:p w14:paraId="32C1758F" w14:textId="6EA3653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Дигиталисови гликозиди:</w:t>
      </w:r>
      <w:r w:rsidRPr="001B63B7">
        <w:rPr>
          <w:rFonts w:eastAsia="Times New Roman" w:cs="Arial"/>
          <w:color w:val="000000"/>
          <w:lang w:eastAsia="bg-BG"/>
        </w:rPr>
        <w:t xml:space="preserve"> намаляване на сърдечната честота, увеличаване на времето на атриовентрикуларната проводимост.</w:t>
      </w:r>
    </w:p>
    <w:p w14:paraId="47CF9F75" w14:textId="77777777" w:rsidR="001B63B7" w:rsidRPr="001B63B7" w:rsidRDefault="001B63B7" w:rsidP="001B63B7">
      <w:pPr>
        <w:spacing w:line="240" w:lineRule="auto"/>
        <w:rPr>
          <w:rFonts w:eastAsia="Times New Roman" w:cs="Arial"/>
          <w:i/>
          <w:iCs/>
          <w:color w:val="000000"/>
          <w:lang w:eastAsia="bg-BG"/>
        </w:rPr>
      </w:pPr>
    </w:p>
    <w:p w14:paraId="42C7CBC9" w14:textId="57F0B15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Нестероидни противовъзпалителни средства (НСПВС) :</w:t>
      </w:r>
      <w:r w:rsidRPr="001B63B7">
        <w:rPr>
          <w:rFonts w:eastAsia="Times New Roman" w:cs="Arial"/>
          <w:color w:val="000000"/>
          <w:lang w:eastAsia="bg-BG"/>
        </w:rPr>
        <w:t xml:space="preserve"> може да намалят хипотоничния ефект на бизопролол.</w:t>
      </w:r>
    </w:p>
    <w:p w14:paraId="44E25DF3" w14:textId="77777777" w:rsidR="001B63B7" w:rsidRPr="001B63B7" w:rsidRDefault="001B63B7" w:rsidP="001B63B7">
      <w:pPr>
        <w:spacing w:line="240" w:lineRule="auto"/>
        <w:rPr>
          <w:rFonts w:eastAsia="Times New Roman" w:cs="Arial"/>
          <w:i/>
          <w:iCs/>
          <w:color w:val="000000"/>
          <w:lang w:eastAsia="bg-BG"/>
        </w:rPr>
      </w:pPr>
    </w:p>
    <w:p w14:paraId="05E1B9E3" w14:textId="03253156"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β-симпатомиметици (напр. изопреналин, добутамин):</w:t>
      </w:r>
      <w:r w:rsidRPr="001B63B7">
        <w:rPr>
          <w:rFonts w:eastAsia="Times New Roman" w:cs="Arial"/>
          <w:color w:val="000000"/>
          <w:lang w:eastAsia="bg-BG"/>
        </w:rPr>
        <w:t xml:space="preserve"> комбинацията с бизопролол може да намали ефекта и на двете лекарствени средства.</w:t>
      </w:r>
    </w:p>
    <w:p w14:paraId="624DEDC3" w14:textId="77777777" w:rsidR="001B63B7" w:rsidRPr="001B63B7" w:rsidRDefault="001B63B7" w:rsidP="001B63B7">
      <w:pPr>
        <w:spacing w:line="240" w:lineRule="auto"/>
        <w:rPr>
          <w:rFonts w:eastAsia="Times New Roman" w:cs="Arial"/>
          <w:i/>
          <w:iCs/>
          <w:color w:val="000000"/>
          <w:lang w:eastAsia="bg-BG"/>
        </w:rPr>
      </w:pPr>
    </w:p>
    <w:p w14:paraId="3FA4E11A" w14:textId="3B3B057A"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Симпатикамиметици, активиращи както β-, така и а-адренорецептори (напр. норадреналин и адреналин):</w:t>
      </w:r>
      <w:r w:rsidRPr="001B63B7">
        <w:rPr>
          <w:rFonts w:eastAsia="Times New Roman" w:cs="Arial"/>
          <w:color w:val="000000"/>
          <w:lang w:eastAsia="bg-BG"/>
        </w:rPr>
        <w:t xml:space="preserve"> комбинацията с бизопролол може да демаскира повлияното от а-адренорецепторите вазоконстрикторно действие на тези агенти, водещо до увеличаване на кръвното налягане и изостряне на </w:t>
      </w:r>
      <w:proofErr w:type="spellStart"/>
      <w:r w:rsidRPr="001B63B7">
        <w:rPr>
          <w:rFonts w:eastAsia="Times New Roman" w:cs="Arial"/>
          <w:i/>
          <w:iCs/>
          <w:color w:val="000000"/>
          <w:lang w:val="en-US"/>
        </w:rPr>
        <w:t>claudicatio</w:t>
      </w:r>
      <w:proofErr w:type="spellEnd"/>
      <w:r w:rsidRPr="001B63B7">
        <w:rPr>
          <w:rFonts w:eastAsia="Times New Roman" w:cs="Arial"/>
          <w:i/>
          <w:iCs/>
          <w:color w:val="000000"/>
          <w:lang w:val="en-US"/>
        </w:rPr>
        <w:t xml:space="preserve"> </w:t>
      </w:r>
      <w:proofErr w:type="spellStart"/>
      <w:r w:rsidRPr="001B63B7">
        <w:rPr>
          <w:rFonts w:eastAsia="Times New Roman" w:cs="Arial"/>
          <w:i/>
          <w:iCs/>
          <w:color w:val="000000"/>
          <w:lang w:val="en-US"/>
        </w:rPr>
        <w:t>intermittens</w:t>
      </w:r>
      <w:proofErr w:type="spellEnd"/>
      <w:r w:rsidRPr="001B63B7">
        <w:rPr>
          <w:rFonts w:eastAsia="Times New Roman" w:cs="Arial"/>
          <w:i/>
          <w:iCs/>
          <w:color w:val="000000"/>
          <w:lang w:val="en-US"/>
        </w:rPr>
        <w:t>.</w:t>
      </w:r>
      <w:r w:rsidRPr="001B63B7">
        <w:rPr>
          <w:rFonts w:eastAsia="Times New Roman" w:cs="Arial"/>
          <w:color w:val="000000"/>
          <w:lang w:val="en-US"/>
        </w:rPr>
        <w:t xml:space="preserve"> </w:t>
      </w:r>
      <w:r w:rsidRPr="001B63B7">
        <w:rPr>
          <w:rFonts w:eastAsia="Times New Roman" w:cs="Arial"/>
          <w:color w:val="000000"/>
          <w:lang w:eastAsia="bg-BG"/>
        </w:rPr>
        <w:t>Смята се, че такова взаимодействие е по-вероятно с неселективни β-блокери.</w:t>
      </w:r>
    </w:p>
    <w:p w14:paraId="4656F4F0" w14:textId="77777777" w:rsidR="001B63B7" w:rsidRPr="001B63B7" w:rsidRDefault="001B63B7" w:rsidP="001B63B7">
      <w:pPr>
        <w:spacing w:line="240" w:lineRule="auto"/>
        <w:rPr>
          <w:rFonts w:eastAsia="Times New Roman" w:cs="Arial"/>
          <w:i/>
          <w:iCs/>
          <w:color w:val="000000"/>
          <w:lang w:eastAsia="bg-BG"/>
        </w:rPr>
      </w:pPr>
    </w:p>
    <w:p w14:paraId="335C7FA8" w14:textId="62A746E0"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Едновременната употреба с антихипертензивни лекарствени средства,</w:t>
      </w:r>
      <w:r w:rsidRPr="001B63B7">
        <w:rPr>
          <w:rFonts w:eastAsia="Times New Roman" w:cs="Arial"/>
          <w:color w:val="000000"/>
          <w:lang w:eastAsia="bg-BG"/>
        </w:rPr>
        <w:t xml:space="preserve"> както и с други продукти, които имат хипотензивен потенциал (напр. трициклични антидепресанти, барбитурати, фенотиазини), може да увеличи риска от хипотония.</w:t>
      </w:r>
    </w:p>
    <w:p w14:paraId="3330BF9B" w14:textId="77777777" w:rsidR="001B63B7" w:rsidRPr="001B63B7" w:rsidRDefault="001B63B7" w:rsidP="001B63B7">
      <w:pPr>
        <w:spacing w:line="240" w:lineRule="auto"/>
        <w:rPr>
          <w:rFonts w:eastAsia="Times New Roman" w:cs="Arial"/>
          <w:color w:val="000000"/>
          <w:u w:val="single"/>
          <w:lang w:eastAsia="bg-BG"/>
        </w:rPr>
      </w:pPr>
    </w:p>
    <w:p w14:paraId="7E9A285E" w14:textId="10FF74CE"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 xml:space="preserve">Комбинации, които трябва да се обмислят: </w:t>
      </w:r>
      <w:r w:rsidRPr="001B63B7">
        <w:rPr>
          <w:rFonts w:eastAsia="Times New Roman" w:cs="Arial"/>
          <w:i/>
          <w:iCs/>
          <w:color w:val="000000"/>
          <w:lang w:eastAsia="bg-BG"/>
        </w:rPr>
        <w:t>Мефлокин:</w:t>
      </w:r>
      <w:r w:rsidRPr="001B63B7">
        <w:rPr>
          <w:rFonts w:eastAsia="Times New Roman" w:cs="Arial"/>
          <w:color w:val="000000"/>
          <w:lang w:eastAsia="bg-BG"/>
        </w:rPr>
        <w:t xml:space="preserve"> повишен риск от брадикардия.</w:t>
      </w:r>
    </w:p>
    <w:p w14:paraId="7D780C20" w14:textId="77777777" w:rsidR="001B63B7" w:rsidRPr="001B63B7" w:rsidRDefault="001B63B7" w:rsidP="001B63B7">
      <w:pPr>
        <w:spacing w:line="240" w:lineRule="auto"/>
        <w:rPr>
          <w:rFonts w:eastAsia="Times New Roman" w:cs="Arial"/>
          <w:i/>
          <w:iCs/>
          <w:color w:val="000000"/>
          <w:lang w:eastAsia="bg-BG"/>
        </w:rPr>
      </w:pPr>
    </w:p>
    <w:p w14:paraId="7B0BA444" w14:textId="70335CB2"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МАО-инхибитори (с изключение на МАО-В инхибитори):</w:t>
      </w:r>
      <w:r w:rsidRPr="001B63B7">
        <w:rPr>
          <w:rFonts w:eastAsia="Times New Roman" w:cs="Arial"/>
          <w:color w:val="000000"/>
          <w:lang w:eastAsia="bg-BG"/>
        </w:rPr>
        <w:t xml:space="preserve"> засилен хипотензивен ефект на</w:t>
      </w:r>
    </w:p>
    <w:p w14:paraId="2C5E87B7" w14:textId="77777777" w:rsidR="001B63B7" w:rsidRPr="001B63B7" w:rsidRDefault="001B63B7" w:rsidP="001B63B7">
      <w:pPr>
        <w:spacing w:line="240" w:lineRule="auto"/>
        <w:rPr>
          <w:rFonts w:eastAsia="Times New Roman" w:cs="Arial"/>
          <w:color w:val="000000"/>
          <w:lang w:eastAsia="bg-BG"/>
        </w:rPr>
      </w:pPr>
    </w:p>
    <w:p w14:paraId="08A9CA4E" w14:textId="01762462"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β-блокерите, но също така и риск от хипертонична криза.</w:t>
      </w:r>
    </w:p>
    <w:p w14:paraId="74C2C0B7" w14:textId="4A0EFE36" w:rsidR="001B63B7" w:rsidRPr="001B63B7" w:rsidRDefault="001B63B7" w:rsidP="001B63B7">
      <w:pPr>
        <w:spacing w:line="240" w:lineRule="auto"/>
        <w:rPr>
          <w:rFonts w:eastAsia="Times New Roman" w:cs="Arial"/>
          <w:color w:val="000000"/>
          <w:lang w:eastAsia="bg-BG"/>
        </w:rPr>
      </w:pPr>
      <w:r w:rsidRPr="001B63B7">
        <w:rPr>
          <w:rFonts w:eastAsia="Times New Roman" w:cs="Arial"/>
          <w:i/>
          <w:iCs/>
          <w:color w:val="000000"/>
          <w:lang w:eastAsia="bg-BG"/>
        </w:rPr>
        <w:t>Рифампицин:</w:t>
      </w:r>
      <w:r w:rsidRPr="001B63B7">
        <w:rPr>
          <w:rFonts w:eastAsia="Times New Roman" w:cs="Arial"/>
          <w:color w:val="000000"/>
          <w:lang w:eastAsia="bg-BG"/>
        </w:rPr>
        <w:t xml:space="preserve"> възможно е леко намаляване на полуживота на бизопролол, поради индукцията на чернодробните лекарство-метаболизиращи ензими. Обикновено не е необходима промяна в дозировките.</w:t>
      </w:r>
    </w:p>
    <w:p w14:paraId="54EF06B0" w14:textId="77777777" w:rsidR="001B63B7" w:rsidRPr="001B63B7" w:rsidRDefault="001B63B7" w:rsidP="001B63B7">
      <w:pPr>
        <w:rPr>
          <w:rFonts w:eastAsia="Times New Roman" w:cs="Arial"/>
          <w:i/>
          <w:iCs/>
          <w:color w:val="000000"/>
          <w:lang w:eastAsia="bg-BG"/>
        </w:rPr>
      </w:pPr>
    </w:p>
    <w:p w14:paraId="2345934A" w14:textId="4F1C6A1C" w:rsidR="001B63B7" w:rsidRDefault="001B63B7" w:rsidP="001B63B7">
      <w:pPr>
        <w:rPr>
          <w:rFonts w:eastAsia="Times New Roman" w:cs="Arial"/>
          <w:color w:val="000000"/>
          <w:lang w:eastAsia="bg-BG"/>
        </w:rPr>
      </w:pPr>
      <w:r w:rsidRPr="001B63B7">
        <w:rPr>
          <w:rFonts w:eastAsia="Times New Roman" w:cs="Arial"/>
          <w:i/>
          <w:iCs/>
          <w:color w:val="000000"/>
          <w:lang w:eastAsia="bg-BG"/>
        </w:rPr>
        <w:t>Ерготаминови производни:</w:t>
      </w:r>
      <w:r w:rsidRPr="001B63B7">
        <w:rPr>
          <w:rFonts w:eastAsia="Times New Roman" w:cs="Arial"/>
          <w:color w:val="000000"/>
          <w:lang w:eastAsia="bg-BG"/>
        </w:rPr>
        <w:t xml:space="preserve"> влошаване на периферните циркулаторни нарушения.</w:t>
      </w:r>
    </w:p>
    <w:p w14:paraId="101F9CDA" w14:textId="77777777" w:rsidR="001B63B7" w:rsidRPr="001B63B7" w:rsidRDefault="001B63B7" w:rsidP="001B63B7">
      <w:pPr>
        <w:rPr>
          <w:rFonts w:cs="Arial"/>
        </w:rPr>
      </w:pPr>
    </w:p>
    <w:p w14:paraId="394A7584" w14:textId="0EFED24B" w:rsidR="004F498A" w:rsidRDefault="002C50EE" w:rsidP="004A448E">
      <w:pPr>
        <w:pStyle w:val="Heading2"/>
      </w:pPr>
      <w:r>
        <w:t>4.6. Фертилитет, бременност и кърмене</w:t>
      </w:r>
    </w:p>
    <w:p w14:paraId="60D64ECD" w14:textId="1899FA39" w:rsidR="001B63B7" w:rsidRDefault="001B63B7" w:rsidP="001B63B7"/>
    <w:p w14:paraId="439822A3" w14:textId="77777777" w:rsidR="001B63B7" w:rsidRPr="001B63B7" w:rsidRDefault="001B63B7" w:rsidP="001B63B7">
      <w:pPr>
        <w:pStyle w:val="Heading3"/>
        <w:rPr>
          <w:rFonts w:eastAsia="Times New Roman"/>
          <w:u w:val="single"/>
          <w:lang w:eastAsia="bg-BG"/>
        </w:rPr>
      </w:pPr>
      <w:r w:rsidRPr="001B63B7">
        <w:rPr>
          <w:rFonts w:eastAsia="Times New Roman"/>
          <w:u w:val="single"/>
          <w:lang w:eastAsia="bg-BG"/>
        </w:rPr>
        <w:t>Бременност</w:t>
      </w:r>
    </w:p>
    <w:p w14:paraId="3E75B01D"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Бизопролол има фармакологични действия, които могат да предизвикват увреждащи ефекти върху бременността и/или върху плода/новороденото. По принцип β-адренорецепторните блокери намаляват плацентната перфузия, която може да се свърже със забавяне на растежа, вътрематочна смърт, аборт и преждевременно </w:t>
      </w:r>
      <w:r w:rsidRPr="001B63B7">
        <w:rPr>
          <w:rFonts w:eastAsia="Times New Roman" w:cs="Arial"/>
          <w:color w:val="000000"/>
          <w:lang w:eastAsia="bg-BG"/>
        </w:rPr>
        <w:lastRenderedPageBreak/>
        <w:t>раждане. Нежеланите лекарствени реакции (напр. хипогликемия и брадикардия) могат да се появят при плода и новороденото. Ак</w:t>
      </w:r>
      <w:r w:rsidRPr="001B63B7">
        <w:rPr>
          <w:rFonts w:eastAsia="Times New Roman" w:cs="Arial"/>
          <w:color w:val="000000"/>
          <w:u w:val="single"/>
          <w:lang w:eastAsia="bg-BG"/>
        </w:rPr>
        <w:t xml:space="preserve">о  е </w:t>
      </w:r>
      <w:r w:rsidRPr="001B63B7">
        <w:rPr>
          <w:rFonts w:eastAsia="Times New Roman" w:cs="Arial"/>
          <w:color w:val="000000"/>
          <w:lang w:eastAsia="bg-BG"/>
        </w:rPr>
        <w:t>необходимо лечение с β-адренорецепторни блокери, за предпочитане са β</w:t>
      </w:r>
      <w:r w:rsidRPr="001B63B7">
        <w:rPr>
          <w:rFonts w:eastAsia="Times New Roman" w:cs="Arial"/>
          <w:color w:val="000000"/>
          <w:vertAlign w:val="subscript"/>
          <w:lang w:eastAsia="bg-BG"/>
        </w:rPr>
        <w:t>1</w:t>
      </w:r>
      <w:r w:rsidRPr="001B63B7">
        <w:rPr>
          <w:rFonts w:eastAsia="Times New Roman" w:cs="Arial"/>
          <w:color w:val="000000"/>
          <w:lang w:eastAsia="bg-BG"/>
        </w:rPr>
        <w:t>-селективни адренорецепторни блокери.</w:t>
      </w:r>
    </w:p>
    <w:p w14:paraId="5738F264" w14:textId="77777777" w:rsidR="001B63B7" w:rsidRPr="001B63B7" w:rsidRDefault="001B63B7" w:rsidP="001B63B7">
      <w:pPr>
        <w:rPr>
          <w:rFonts w:eastAsia="Times New Roman" w:cs="Arial"/>
          <w:sz w:val="24"/>
          <w:szCs w:val="24"/>
          <w:lang w:eastAsia="bg-BG"/>
        </w:rPr>
      </w:pPr>
      <w:r w:rsidRPr="001B63B7">
        <w:rPr>
          <w:rFonts w:eastAsia="Times New Roman" w:cs="Arial"/>
          <w:color w:val="000000"/>
          <w:lang w:eastAsia="bg-BG"/>
        </w:rPr>
        <w:t>Бизопролол не трябва да се използва по време на бременност, освен ако не е крайно необходимо.  Ако лечението с бизопролол се счита за необходимо, трябва да се наблюдава маточно- плацентарния кръвоток и растежа на плода. В случай на увреждащи ефекти върху бременността или плода, трябва да се обмисли алтернативно лечение. Новородените трябва стриктно да се наблюдават. Симптоми на хипогликемия и брадикардия по принцип се очакват през първите три дни.</w:t>
      </w:r>
    </w:p>
    <w:p w14:paraId="42C0187A" w14:textId="77777777" w:rsidR="001B63B7" w:rsidRPr="001B63B7" w:rsidRDefault="001B63B7" w:rsidP="001B63B7">
      <w:pPr>
        <w:spacing w:line="240" w:lineRule="auto"/>
        <w:rPr>
          <w:rFonts w:eastAsia="Times New Roman" w:cs="Arial"/>
          <w:color w:val="000000"/>
          <w:u w:val="single"/>
          <w:lang w:eastAsia="bg-BG"/>
        </w:rPr>
      </w:pPr>
    </w:p>
    <w:p w14:paraId="3EB7BBBF" w14:textId="09D4C617" w:rsidR="001B63B7" w:rsidRPr="001B63B7" w:rsidRDefault="001B63B7" w:rsidP="001B63B7">
      <w:pPr>
        <w:pStyle w:val="Heading3"/>
        <w:rPr>
          <w:rFonts w:eastAsia="Times New Roman"/>
          <w:u w:val="single"/>
          <w:lang w:eastAsia="bg-BG"/>
        </w:rPr>
      </w:pPr>
      <w:r w:rsidRPr="001B63B7">
        <w:rPr>
          <w:rFonts w:eastAsia="Times New Roman"/>
          <w:u w:val="single"/>
          <w:lang w:eastAsia="bg-BG"/>
        </w:rPr>
        <w:t>Кърмене</w:t>
      </w:r>
    </w:p>
    <w:p w14:paraId="662117D3" w14:textId="29AA6AED"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Не е известно дали бизопролол се екскретира в кърмата и какво е въздействието му върху новородените. Затова кърменето не е препоръчително по време на приложението на бизопролол.</w:t>
      </w:r>
    </w:p>
    <w:p w14:paraId="71C149A0" w14:textId="77777777" w:rsidR="001B63B7" w:rsidRPr="001B63B7" w:rsidRDefault="001B63B7" w:rsidP="001B63B7"/>
    <w:p w14:paraId="064DF1DE" w14:textId="27D10128" w:rsidR="00CF77F7" w:rsidRDefault="002C50EE" w:rsidP="004A448E">
      <w:pPr>
        <w:pStyle w:val="Heading2"/>
      </w:pPr>
      <w:r>
        <w:t>4.7. Ефекти върху способността за шофиране и работа с машини</w:t>
      </w:r>
    </w:p>
    <w:p w14:paraId="18262A95" w14:textId="0B3C61CF" w:rsidR="001B63B7" w:rsidRDefault="001B63B7" w:rsidP="001B63B7"/>
    <w:p w14:paraId="26810736" w14:textId="5B2602C3" w:rsidR="001B63B7" w:rsidRDefault="001B63B7" w:rsidP="001B63B7">
      <w:r>
        <w:t>При проучване с пациенти с исхемична болест на сърцето, бизопролол не влошава способността за шофиране. Въпреки това, поради индивидуалните разлики в реакциите към лекарствения продукт, способността за шофиране и работа с машини може да се влоши. Това трябва да се има предвид, особено при започване на терапията и при промяна на лечението.</w:t>
      </w:r>
    </w:p>
    <w:p w14:paraId="5C44CEED" w14:textId="77777777" w:rsidR="001B63B7" w:rsidRPr="001B63B7" w:rsidRDefault="001B63B7" w:rsidP="001B63B7"/>
    <w:p w14:paraId="37A3FD9F" w14:textId="56C33D00" w:rsidR="00CF77F7" w:rsidRDefault="002C50EE" w:rsidP="004A448E">
      <w:pPr>
        <w:pStyle w:val="Heading2"/>
      </w:pPr>
      <w:r>
        <w:t>4.8. Нежелани лекарствени реакции</w:t>
      </w:r>
    </w:p>
    <w:p w14:paraId="1B082037" w14:textId="21C89115" w:rsidR="001B63B7" w:rsidRDefault="001B63B7" w:rsidP="001B63B7"/>
    <w:p w14:paraId="3CAEE74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В зависимост от честотата на тяхното проявление нежеланите лекарствени реакции са:</w:t>
      </w:r>
    </w:p>
    <w:p w14:paraId="1CEBE04C"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Много чести (засягат 1 или повече на всеки 10 пациенти);</w:t>
      </w:r>
    </w:p>
    <w:p w14:paraId="200871FE"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Чести (засягат 1 или повече на всеки 100, но по-малко от 1 на всеки 10 пациенти);</w:t>
      </w:r>
    </w:p>
    <w:p w14:paraId="7F09E174"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Нечести (засягат 1 или повече на всеки 1 000, но по-малко от 1 на всеки 100 пациенти);</w:t>
      </w:r>
    </w:p>
    <w:p w14:paraId="391B2A95"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Редки (засягат 1 или повече на всеки 10 000, но по-малко от 1 на всеки 1 000 пациенти);</w:t>
      </w:r>
    </w:p>
    <w:p w14:paraId="623D7151"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Много редки (засягат по-малко от 1 на 10 000 пациенти);</w:t>
      </w:r>
    </w:p>
    <w:p w14:paraId="6A310C6F"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С неизвестна честота (честотата не може да бъде определена от наличните данни).</w:t>
      </w:r>
    </w:p>
    <w:p w14:paraId="2F52055C" w14:textId="77777777" w:rsidR="001B63B7" w:rsidRPr="001B63B7" w:rsidRDefault="001B63B7" w:rsidP="001B63B7">
      <w:pPr>
        <w:spacing w:line="240" w:lineRule="auto"/>
        <w:rPr>
          <w:rFonts w:eastAsia="Times New Roman" w:cs="Arial"/>
          <w:color w:val="000000"/>
          <w:u w:val="single"/>
          <w:lang w:eastAsia="bg-BG"/>
        </w:rPr>
      </w:pPr>
    </w:p>
    <w:p w14:paraId="76B7009F" w14:textId="26553EAC"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Изследвания</w:t>
      </w:r>
    </w:p>
    <w:p w14:paraId="659FCF17"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увеличени триглицериди, увеличени стойности на чернодробните ензими</w:t>
      </w:r>
    </w:p>
    <w:p w14:paraId="3ED8A4F5"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val="en-US"/>
        </w:rPr>
        <w:t>(ALAT, ASAT)</w:t>
      </w:r>
    </w:p>
    <w:p w14:paraId="54F96372" w14:textId="77777777" w:rsidR="001B63B7" w:rsidRPr="001B63B7" w:rsidRDefault="001B63B7" w:rsidP="001B63B7">
      <w:pPr>
        <w:spacing w:line="240" w:lineRule="auto"/>
        <w:rPr>
          <w:rFonts w:eastAsia="Times New Roman" w:cs="Arial"/>
          <w:color w:val="000000"/>
          <w:u w:val="single"/>
          <w:lang w:eastAsia="bg-BG"/>
        </w:rPr>
      </w:pPr>
    </w:p>
    <w:p w14:paraId="183D31A9" w14:textId="78A45FBA"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Сърдечни нарушения</w:t>
      </w:r>
    </w:p>
    <w:p w14:paraId="7EA6CE06"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чести: брадикардия</w:t>
      </w:r>
    </w:p>
    <w:p w14:paraId="603AADC5"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w:t>
      </w:r>
      <w:r w:rsidRPr="001B63B7">
        <w:rPr>
          <w:rFonts w:eastAsia="Times New Roman" w:cs="Arial"/>
          <w:color w:val="000000"/>
          <w:lang w:eastAsia="bg-BG"/>
        </w:rPr>
        <w:tab/>
        <w:t>влошаване на сърдечната недостатъчност</w:t>
      </w:r>
    </w:p>
    <w:p w14:paraId="4629467E" w14:textId="11AF24B2"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Нечести: нарушения на атриовентрикуларната проводимост</w:t>
      </w:r>
    </w:p>
    <w:p w14:paraId="38822724"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редки: болка в гърдите</w:t>
      </w:r>
    </w:p>
    <w:p w14:paraId="1BC3015A" w14:textId="77777777" w:rsidR="001B63B7" w:rsidRPr="001B63B7" w:rsidRDefault="001B63B7" w:rsidP="001B63B7">
      <w:pPr>
        <w:spacing w:line="240" w:lineRule="auto"/>
        <w:rPr>
          <w:rFonts w:eastAsia="Times New Roman" w:cs="Arial"/>
          <w:color w:val="000000"/>
          <w:u w:val="single"/>
          <w:lang w:eastAsia="bg-BG"/>
        </w:rPr>
      </w:pPr>
    </w:p>
    <w:p w14:paraId="742461F9" w14:textId="7E68F66F"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нервната система</w:t>
      </w:r>
    </w:p>
    <w:p w14:paraId="32CF7BC1"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w:t>
      </w:r>
      <w:r w:rsidRPr="001B63B7">
        <w:rPr>
          <w:rFonts w:eastAsia="Times New Roman" w:cs="Arial"/>
          <w:color w:val="000000"/>
          <w:lang w:eastAsia="bg-BG"/>
        </w:rPr>
        <w:tab/>
        <w:t>замаяност, главоболие</w:t>
      </w:r>
    </w:p>
    <w:p w14:paraId="5CCB5CF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lastRenderedPageBreak/>
        <w:t>Редки:</w:t>
      </w:r>
      <w:r w:rsidRPr="001B63B7">
        <w:rPr>
          <w:rFonts w:eastAsia="Times New Roman" w:cs="Arial"/>
          <w:color w:val="000000"/>
          <w:lang w:eastAsia="bg-BG"/>
        </w:rPr>
        <w:tab/>
        <w:t>припадъци</w:t>
      </w:r>
    </w:p>
    <w:p w14:paraId="3F756C5D" w14:textId="77777777" w:rsidR="001B63B7" w:rsidRPr="001B63B7" w:rsidRDefault="001B63B7" w:rsidP="001B63B7">
      <w:pPr>
        <w:spacing w:line="240" w:lineRule="auto"/>
        <w:rPr>
          <w:rFonts w:eastAsia="Times New Roman" w:cs="Arial"/>
          <w:color w:val="000000"/>
          <w:u w:val="single"/>
          <w:lang w:eastAsia="bg-BG"/>
        </w:rPr>
      </w:pPr>
    </w:p>
    <w:p w14:paraId="00BAAFB3" w14:textId="2133133A"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очите</w:t>
      </w:r>
    </w:p>
    <w:p w14:paraId="14F32771"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намалено сълзоотделяне (да се има предвид при пациенти, използващи лещи)</w:t>
      </w:r>
    </w:p>
    <w:p w14:paraId="4F3CE37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редки: конюнктивит</w:t>
      </w:r>
    </w:p>
    <w:p w14:paraId="07A065E9" w14:textId="77777777" w:rsidR="001B63B7" w:rsidRPr="001B63B7" w:rsidRDefault="001B63B7" w:rsidP="001B63B7">
      <w:pPr>
        <w:spacing w:line="240" w:lineRule="auto"/>
        <w:rPr>
          <w:rFonts w:eastAsia="Times New Roman" w:cs="Arial"/>
          <w:color w:val="000000"/>
          <w:u w:val="single"/>
          <w:lang w:eastAsia="bg-BG"/>
        </w:rPr>
      </w:pPr>
    </w:p>
    <w:p w14:paraId="6DEFCB52" w14:textId="16CB12E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ухото и лабиринта</w:t>
      </w:r>
    </w:p>
    <w:p w14:paraId="23580506" w14:textId="0B098E81" w:rsidR="001B63B7" w:rsidRPr="001B63B7" w:rsidRDefault="00AE7EB9" w:rsidP="001B63B7">
      <w:pPr>
        <w:spacing w:line="240" w:lineRule="auto"/>
        <w:rPr>
          <w:rFonts w:eastAsia="Times New Roman" w:cs="Arial"/>
          <w:sz w:val="24"/>
          <w:szCs w:val="24"/>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1B63B7" w:rsidRPr="001B63B7">
        <w:rPr>
          <w:rFonts w:eastAsia="Times New Roman" w:cs="Arial"/>
          <w:color w:val="000000"/>
          <w:lang w:eastAsia="bg-BG"/>
        </w:rPr>
        <w:t>отслабване на слуха</w:t>
      </w:r>
    </w:p>
    <w:p w14:paraId="4F2CCB9D" w14:textId="77777777" w:rsidR="001B63B7" w:rsidRPr="001B63B7" w:rsidRDefault="001B63B7" w:rsidP="001B63B7">
      <w:pPr>
        <w:spacing w:line="240" w:lineRule="auto"/>
        <w:rPr>
          <w:rFonts w:eastAsia="Times New Roman" w:cs="Arial"/>
          <w:color w:val="000000"/>
          <w:u w:val="single"/>
          <w:lang w:eastAsia="bg-BG"/>
        </w:rPr>
      </w:pPr>
    </w:p>
    <w:p w14:paraId="02C570F4" w14:textId="2F724E26"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Респираторни, гръдни и медиастинални нарушения</w:t>
      </w:r>
    </w:p>
    <w:p w14:paraId="6B8AF5D6" w14:textId="162C3AF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Нечести: бронхоспазъм при пациенти с бронхиална астма или анамнеза за обструктивно</w:t>
      </w:r>
    </w:p>
    <w:p w14:paraId="4D06119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белодробно заболяване</w:t>
      </w:r>
    </w:p>
    <w:p w14:paraId="7CDDF8E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алергичен ринит</w:t>
      </w:r>
    </w:p>
    <w:p w14:paraId="10E5EC93" w14:textId="77777777" w:rsidR="001B63B7" w:rsidRPr="001B63B7" w:rsidRDefault="001B63B7" w:rsidP="001B63B7">
      <w:pPr>
        <w:spacing w:line="240" w:lineRule="auto"/>
        <w:rPr>
          <w:rFonts w:eastAsia="Times New Roman" w:cs="Arial"/>
          <w:color w:val="000000"/>
          <w:u w:val="single"/>
          <w:lang w:eastAsia="bg-BG"/>
        </w:rPr>
      </w:pPr>
    </w:p>
    <w:p w14:paraId="6AA31D25" w14:textId="048C2EA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Стомашно-чревни нарушения</w:t>
      </w:r>
    </w:p>
    <w:p w14:paraId="0EA20344" w14:textId="3D53304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 гадене, повръщане, диария, констипация</w:t>
      </w:r>
    </w:p>
    <w:p w14:paraId="7863ED9D" w14:textId="77777777" w:rsidR="001B63B7" w:rsidRPr="001B63B7" w:rsidRDefault="001B63B7" w:rsidP="001B63B7">
      <w:pPr>
        <w:spacing w:line="240" w:lineRule="auto"/>
        <w:rPr>
          <w:rFonts w:eastAsia="Times New Roman" w:cs="Arial"/>
          <w:sz w:val="24"/>
          <w:szCs w:val="24"/>
          <w:lang w:eastAsia="bg-BG"/>
        </w:rPr>
      </w:pPr>
    </w:p>
    <w:p w14:paraId="2C9F9CC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кожата и подкожната тъкан</w:t>
      </w:r>
    </w:p>
    <w:p w14:paraId="2672A7D3" w14:textId="796CA678"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Редки: реакции на свръхчувствителност (сърбеж, зачервяване, обрив и ангиоедем)</w:t>
      </w:r>
    </w:p>
    <w:p w14:paraId="4594A395"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Много редки: алопеция, β-блокерите може да провокират или да влошат псориазис или да индуцират псориазис-подобен обрив</w:t>
      </w:r>
    </w:p>
    <w:p w14:paraId="132B4D8E" w14:textId="77777777" w:rsidR="001B63B7" w:rsidRPr="001B63B7" w:rsidRDefault="001B63B7" w:rsidP="001B63B7">
      <w:pPr>
        <w:spacing w:line="240" w:lineRule="auto"/>
        <w:rPr>
          <w:rFonts w:eastAsia="Times New Roman" w:cs="Arial"/>
          <w:color w:val="000000"/>
          <w:u w:val="single"/>
          <w:lang w:eastAsia="bg-BG"/>
        </w:rPr>
      </w:pPr>
    </w:p>
    <w:p w14:paraId="0FD71A2F" w14:textId="77777777" w:rsidR="00AE7EB9" w:rsidRDefault="001B63B7" w:rsidP="001B63B7">
      <w:pPr>
        <w:spacing w:line="240" w:lineRule="auto"/>
        <w:rPr>
          <w:rFonts w:eastAsia="Times New Roman" w:cs="Arial"/>
          <w:color w:val="000000"/>
          <w:u w:val="single"/>
          <w:lang w:eastAsia="bg-BG"/>
        </w:rPr>
      </w:pPr>
      <w:r w:rsidRPr="001B63B7">
        <w:rPr>
          <w:rFonts w:eastAsia="Times New Roman" w:cs="Arial"/>
          <w:color w:val="000000"/>
          <w:u w:val="single"/>
          <w:lang w:eastAsia="bg-BG"/>
        </w:rPr>
        <w:t xml:space="preserve">Нарушения на мускулно-скелетната система и съединителната тъкан </w:t>
      </w:r>
    </w:p>
    <w:p w14:paraId="72545B26" w14:textId="202AC104"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мускулна слабост, мускулни спазми</w:t>
      </w:r>
    </w:p>
    <w:p w14:paraId="7B7BC4B8" w14:textId="77777777" w:rsidR="001B63B7" w:rsidRPr="001B63B7" w:rsidRDefault="001B63B7" w:rsidP="001B63B7">
      <w:pPr>
        <w:spacing w:line="240" w:lineRule="auto"/>
        <w:rPr>
          <w:rFonts w:eastAsia="Times New Roman" w:cs="Arial"/>
          <w:color w:val="000000"/>
          <w:u w:val="single"/>
          <w:lang w:eastAsia="bg-BG"/>
        </w:rPr>
      </w:pPr>
    </w:p>
    <w:p w14:paraId="2939C0B6" w14:textId="7F4B013F"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Съдови нарушения</w:t>
      </w:r>
    </w:p>
    <w:p w14:paraId="27A2BBFE"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Чести:</w:t>
      </w:r>
      <w:r w:rsidRPr="001B63B7">
        <w:rPr>
          <w:rFonts w:eastAsia="Times New Roman" w:cs="Arial"/>
          <w:color w:val="000000"/>
          <w:lang w:eastAsia="bg-BG"/>
        </w:rPr>
        <w:tab/>
        <w:t>усещане за студ или изтръпване на крайниците, хипотония (предимно при</w:t>
      </w:r>
    </w:p>
    <w:p w14:paraId="2912C9C1"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пациенти със сърдечна недостатъчност)</w:t>
      </w:r>
    </w:p>
    <w:p w14:paraId="50D2B9B8" w14:textId="652CAFD1"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ортостатична хипотония</w:t>
      </w:r>
    </w:p>
    <w:p w14:paraId="0EFD636B" w14:textId="77777777" w:rsidR="001B63B7" w:rsidRPr="001B63B7" w:rsidRDefault="001B63B7" w:rsidP="001B63B7">
      <w:pPr>
        <w:spacing w:line="240" w:lineRule="auto"/>
        <w:rPr>
          <w:rFonts w:eastAsia="Times New Roman" w:cs="Arial"/>
          <w:color w:val="000000"/>
          <w:u w:val="single"/>
          <w:lang w:eastAsia="bg-BG"/>
        </w:rPr>
      </w:pPr>
    </w:p>
    <w:p w14:paraId="3F2BA20F" w14:textId="5636CA58"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Общи нарушения и ефекти на мястото на приложение</w:t>
      </w:r>
    </w:p>
    <w:p w14:paraId="07F4E79A"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Чести:</w:t>
      </w:r>
      <w:r w:rsidRPr="001B63B7">
        <w:rPr>
          <w:rFonts w:eastAsia="Times New Roman" w:cs="Arial"/>
          <w:color w:val="000000"/>
          <w:lang w:eastAsia="bg-BG"/>
        </w:rPr>
        <w:tab/>
        <w:t>астения, умора</w:t>
      </w:r>
    </w:p>
    <w:p w14:paraId="6F08B1A5" w14:textId="77777777" w:rsidR="001B63B7" w:rsidRPr="001B63B7" w:rsidRDefault="001B63B7" w:rsidP="001B63B7">
      <w:pPr>
        <w:spacing w:line="240" w:lineRule="auto"/>
        <w:rPr>
          <w:rFonts w:eastAsia="Times New Roman" w:cs="Arial"/>
          <w:color w:val="000000"/>
          <w:u w:val="single"/>
          <w:lang w:eastAsia="bg-BG"/>
        </w:rPr>
      </w:pPr>
    </w:p>
    <w:p w14:paraId="5965C3BA" w14:textId="29DBC45B"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Хепатобилиарни нарушения</w:t>
      </w:r>
    </w:p>
    <w:p w14:paraId="3012AD09"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хепатит</w:t>
      </w:r>
    </w:p>
    <w:p w14:paraId="369B625E" w14:textId="77777777" w:rsidR="001B63B7" w:rsidRPr="001B63B7" w:rsidRDefault="001B63B7" w:rsidP="001B63B7">
      <w:pPr>
        <w:spacing w:line="240" w:lineRule="auto"/>
        <w:rPr>
          <w:rFonts w:eastAsia="Times New Roman" w:cs="Arial"/>
          <w:color w:val="000000"/>
          <w:u w:val="single"/>
          <w:lang w:eastAsia="bg-BG"/>
        </w:rPr>
      </w:pPr>
    </w:p>
    <w:p w14:paraId="5784EC6A" w14:textId="3B93F7EF"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Нарушения на възпроизводителната система и гърдата</w:t>
      </w:r>
    </w:p>
    <w:p w14:paraId="216E768D"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нарушения на потентността</w:t>
      </w:r>
    </w:p>
    <w:p w14:paraId="27A1AE2A" w14:textId="77777777" w:rsidR="001B63B7" w:rsidRPr="001B63B7" w:rsidRDefault="001B63B7" w:rsidP="001B63B7">
      <w:pPr>
        <w:spacing w:line="240" w:lineRule="auto"/>
        <w:rPr>
          <w:rFonts w:eastAsia="Times New Roman" w:cs="Arial"/>
          <w:color w:val="000000"/>
          <w:u w:val="single"/>
          <w:lang w:eastAsia="bg-BG"/>
        </w:rPr>
      </w:pPr>
    </w:p>
    <w:p w14:paraId="25C6C31C" w14:textId="02198220"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Психични нарушения</w:t>
      </w:r>
    </w:p>
    <w:p w14:paraId="5537D260" w14:textId="3920D91C"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нарушения на съня, депресия</w:t>
      </w:r>
    </w:p>
    <w:p w14:paraId="598E9879"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кошмари, халюцинации</w:t>
      </w:r>
    </w:p>
    <w:p w14:paraId="11B4C742" w14:textId="77777777" w:rsidR="001B63B7" w:rsidRPr="001B63B7" w:rsidRDefault="001B63B7" w:rsidP="001B63B7">
      <w:pPr>
        <w:spacing w:line="240" w:lineRule="auto"/>
        <w:rPr>
          <w:rFonts w:eastAsia="Times New Roman" w:cs="Arial"/>
          <w:color w:val="000000"/>
          <w:u w:val="single"/>
          <w:lang w:eastAsia="bg-BG"/>
        </w:rPr>
      </w:pPr>
    </w:p>
    <w:p w14:paraId="4E7C2D80" w14:textId="00A33F01"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Съобщаване на подозирани нежелани реакции</w:t>
      </w:r>
    </w:p>
    <w:p w14:paraId="583B3EB5" w14:textId="0CEA75A6"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8,1303 София, Тел.: +35928903417, уебсайт: </w:t>
      </w:r>
      <w:hyperlink r:id="rId5" w:history="1">
        <w:r w:rsidRPr="001B63B7">
          <w:rPr>
            <w:rFonts w:eastAsia="Times New Roman" w:cs="Arial"/>
            <w:color w:val="000000"/>
            <w:u w:val="single"/>
            <w:lang w:val="en-US"/>
          </w:rPr>
          <w:t>www.bda.bg</w:t>
        </w:r>
      </w:hyperlink>
    </w:p>
    <w:p w14:paraId="2C5EC21A" w14:textId="77777777" w:rsidR="001B63B7" w:rsidRPr="001B63B7" w:rsidRDefault="001B63B7" w:rsidP="001B63B7"/>
    <w:p w14:paraId="0A023CE0" w14:textId="08ACB08D" w:rsidR="00CF77F7" w:rsidRDefault="002C50EE" w:rsidP="004A448E">
      <w:pPr>
        <w:pStyle w:val="Heading2"/>
      </w:pPr>
      <w:r>
        <w:t>4.9. Предозиране</w:t>
      </w:r>
    </w:p>
    <w:p w14:paraId="63FDC1D9" w14:textId="19029D9E" w:rsidR="00AE7EB9" w:rsidRDefault="00AE7EB9" w:rsidP="00AE7EB9"/>
    <w:p w14:paraId="2E5EE202"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t>Симптоми</w:t>
      </w:r>
    </w:p>
    <w:p w14:paraId="0911413E"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При предозиране (напр. дневна доза от 15 </w:t>
      </w:r>
      <w:r w:rsidRPr="00AE7EB9">
        <w:rPr>
          <w:rFonts w:eastAsia="Times New Roman" w:cs="Arial"/>
          <w:color w:val="000000"/>
          <w:lang w:val="en-US"/>
        </w:rPr>
        <w:t xml:space="preserve">mg </w:t>
      </w:r>
      <w:r w:rsidRPr="00AE7EB9">
        <w:rPr>
          <w:rFonts w:eastAsia="Times New Roman" w:cs="Arial"/>
          <w:color w:val="000000"/>
          <w:lang w:eastAsia="bg-BG"/>
        </w:rPr>
        <w:t xml:space="preserve">вместо 7,5 </w:t>
      </w:r>
      <w:r w:rsidRPr="00AE7EB9">
        <w:rPr>
          <w:rFonts w:eastAsia="Times New Roman" w:cs="Arial"/>
          <w:color w:val="000000"/>
          <w:lang w:val="en-US"/>
        </w:rPr>
        <w:t xml:space="preserve">mg) </w:t>
      </w:r>
      <w:r w:rsidRPr="00AE7EB9">
        <w:rPr>
          <w:rFonts w:eastAsia="Times New Roman" w:cs="Arial"/>
          <w:color w:val="000000"/>
          <w:lang w:eastAsia="bg-BG"/>
        </w:rPr>
        <w:t>са наблюдавани трета степен атриовентрикуларен блок, брадикардия и замайване.</w:t>
      </w:r>
    </w:p>
    <w:p w14:paraId="7600AB2E"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Най-честите признаци, очаквани при предозиране с β-блокери, са брадикардия, хипотония, бронхоспазъм, остра сърдечна недостатъчност и хипогликемия. Досега са съобщени няколко случая на предозиране с бизопролол (максимум 2000 </w:t>
      </w:r>
      <w:r w:rsidRPr="00AE7EB9">
        <w:rPr>
          <w:rFonts w:eastAsia="Times New Roman" w:cs="Arial"/>
          <w:color w:val="000000"/>
          <w:lang w:val="en-US"/>
        </w:rPr>
        <w:t xml:space="preserve">mg) </w:t>
      </w:r>
      <w:r w:rsidRPr="00AE7EB9">
        <w:rPr>
          <w:rFonts w:eastAsia="Times New Roman" w:cs="Arial"/>
          <w:color w:val="000000"/>
          <w:lang w:eastAsia="bg-BG"/>
        </w:rPr>
        <w:t>при пациенти с хипертония и/или сърдечно-съдово заболяване и всички пациенти са се възстановили. Има широки индивидуални различия в чувствителността към единична висока доза бизопролол и пациентите със сърдечна недостатъчност вероятно са много чувствителни. Затова при тези пациенти лечението задължително трябва да започне с постепенно увеличаване на дозата, съгласно схемата, посочена в т. 4.2.</w:t>
      </w:r>
    </w:p>
    <w:p w14:paraId="04A08835" w14:textId="77777777" w:rsidR="00AE7EB9" w:rsidRPr="00AE7EB9" w:rsidRDefault="00AE7EB9" w:rsidP="00AE7EB9">
      <w:pPr>
        <w:spacing w:line="240" w:lineRule="auto"/>
        <w:rPr>
          <w:rFonts w:eastAsia="Times New Roman" w:cs="Arial"/>
          <w:color w:val="000000"/>
          <w:u w:val="single"/>
          <w:lang w:eastAsia="bg-BG"/>
        </w:rPr>
      </w:pPr>
    </w:p>
    <w:p w14:paraId="12B404BE" w14:textId="09726530" w:rsidR="00AE7EB9" w:rsidRPr="00AE7EB9" w:rsidRDefault="00AE7EB9" w:rsidP="00AE7EB9">
      <w:pPr>
        <w:pStyle w:val="Heading3"/>
        <w:rPr>
          <w:rFonts w:eastAsia="Times New Roman"/>
          <w:u w:val="single"/>
          <w:lang w:eastAsia="bg-BG"/>
        </w:rPr>
      </w:pPr>
      <w:r w:rsidRPr="00AE7EB9">
        <w:rPr>
          <w:rFonts w:eastAsia="Times New Roman"/>
          <w:u w:val="single"/>
          <w:lang w:eastAsia="bg-BG"/>
        </w:rPr>
        <w:t>Лечение</w:t>
      </w:r>
    </w:p>
    <w:p w14:paraId="1F269869"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В случай на предозиране, терапията с бизопролол трябва да се спре и да се проведе поддържащо и симптоматично лечение. Според ограничените данни, малко вероятно е бизопролол да се елиминира чрез диализа. На базата на очакваните фармакологични действия и препоръки за другите </w:t>
      </w:r>
      <w:r w:rsidRPr="00AE7EB9">
        <w:rPr>
          <w:rFonts w:eastAsia="Times New Roman" w:cs="Arial"/>
          <w:color w:val="000000"/>
          <w:lang w:val="en-US"/>
        </w:rPr>
        <w:t>p</w:t>
      </w:r>
      <w:r w:rsidRPr="00AE7EB9">
        <w:rPr>
          <w:rFonts w:eastAsia="Times New Roman" w:cs="Arial"/>
          <w:color w:val="000000"/>
          <w:lang w:eastAsia="bg-BG"/>
        </w:rPr>
        <w:t>-блокери, трябва да се имат предвид следните общи мерки, ако са клинично обосновани:</w:t>
      </w:r>
    </w:p>
    <w:p w14:paraId="1DD8519D" w14:textId="77777777" w:rsidR="00AE7EB9" w:rsidRPr="00AE7EB9" w:rsidRDefault="00AE7EB9" w:rsidP="00AE7EB9">
      <w:pPr>
        <w:rPr>
          <w:rFonts w:eastAsia="Times New Roman" w:cs="Arial"/>
          <w:i/>
          <w:iCs/>
          <w:color w:val="000000"/>
          <w:lang w:eastAsia="bg-BG"/>
        </w:rPr>
      </w:pPr>
    </w:p>
    <w:p w14:paraId="14656C93" w14:textId="260FAB51" w:rsidR="00AE7EB9" w:rsidRDefault="00AE7EB9" w:rsidP="00AE7EB9">
      <w:pPr>
        <w:rPr>
          <w:rFonts w:eastAsia="Times New Roman" w:cs="Arial"/>
          <w:color w:val="000000"/>
          <w:lang w:eastAsia="bg-BG"/>
        </w:rPr>
      </w:pPr>
      <w:r w:rsidRPr="00AE7EB9">
        <w:rPr>
          <w:rFonts w:eastAsia="Times New Roman" w:cs="Arial"/>
          <w:i/>
          <w:iCs/>
          <w:color w:val="000000"/>
          <w:lang w:eastAsia="bg-BG"/>
        </w:rPr>
        <w:t>Брадикардия:</w:t>
      </w:r>
      <w:r w:rsidRPr="00AE7EB9">
        <w:rPr>
          <w:rFonts w:eastAsia="Times New Roman" w:cs="Arial"/>
          <w:color w:val="000000"/>
          <w:lang w:eastAsia="bg-BG"/>
        </w:rPr>
        <w:t xml:space="preserve"> Интравенозно приложение на атропин. Ако не се наблюдава адекватен отговор, може внимателно да се даде изопреналин или друго лекарство с позитивни хронотронни свойства. При определени обстоятелства може да е необходимо трансвенозно въвеждане на пейсмейкър.</w:t>
      </w:r>
    </w:p>
    <w:p w14:paraId="422C0124" w14:textId="2D349D31" w:rsidR="00AE7EB9" w:rsidRDefault="00AE7EB9" w:rsidP="00AE7EB9">
      <w:pPr>
        <w:rPr>
          <w:rFonts w:eastAsia="Times New Roman" w:cs="Arial"/>
          <w:color w:val="000000"/>
          <w:lang w:eastAsia="bg-BG"/>
        </w:rPr>
      </w:pPr>
    </w:p>
    <w:p w14:paraId="4BCC9DF2"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Хипотония:</w:t>
      </w:r>
      <w:r w:rsidRPr="00AE7EB9">
        <w:rPr>
          <w:rFonts w:eastAsia="Times New Roman" w:cs="Arial"/>
          <w:color w:val="000000"/>
          <w:lang w:eastAsia="bg-BG"/>
        </w:rPr>
        <w:t xml:space="preserve"> Приложение на интравенозни течности и вазопресори. Глюкагон, приложен интравенозно, може да бъде от полза.</w:t>
      </w:r>
    </w:p>
    <w:p w14:paraId="4C90B05A" w14:textId="77777777" w:rsidR="00AE7EB9" w:rsidRPr="00AE7EB9" w:rsidRDefault="00AE7EB9" w:rsidP="00AE7EB9">
      <w:pPr>
        <w:spacing w:line="240" w:lineRule="auto"/>
        <w:rPr>
          <w:rFonts w:eastAsia="Times New Roman" w:cs="Arial"/>
          <w:i/>
          <w:iCs/>
          <w:color w:val="000000"/>
          <w:lang w:eastAsia="bg-BG"/>
        </w:rPr>
      </w:pPr>
    </w:p>
    <w:p w14:paraId="03D41AEB" w14:textId="557D8CD5"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Атриовентрикуларен блок (втора или трета степен):</w:t>
      </w:r>
      <w:r w:rsidRPr="00AE7EB9">
        <w:rPr>
          <w:rFonts w:eastAsia="Times New Roman" w:cs="Arial"/>
          <w:color w:val="000000"/>
          <w:lang w:eastAsia="bg-BG"/>
        </w:rPr>
        <w:t xml:space="preserve"> Пациентите трябва да бъдат внимателно проследявани и третирани с изопреналин инфузионно, или трансвенозно да бъде въведен сърдечен пейсмейкър.</w:t>
      </w:r>
    </w:p>
    <w:p w14:paraId="1EC107C2" w14:textId="77777777" w:rsidR="00AE7EB9" w:rsidRPr="00AE7EB9" w:rsidRDefault="00AE7EB9" w:rsidP="00AE7EB9">
      <w:pPr>
        <w:spacing w:line="240" w:lineRule="auto"/>
        <w:rPr>
          <w:rFonts w:eastAsia="Times New Roman" w:cs="Arial"/>
          <w:i/>
          <w:iCs/>
          <w:color w:val="000000"/>
          <w:lang w:eastAsia="bg-BG"/>
        </w:rPr>
      </w:pPr>
    </w:p>
    <w:p w14:paraId="7B196037" w14:textId="65CA58E4"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Остро влошаване на сърдечната недостатъчност:</w:t>
      </w:r>
      <w:r w:rsidRPr="00AE7EB9">
        <w:rPr>
          <w:rFonts w:eastAsia="Times New Roman" w:cs="Arial"/>
          <w:color w:val="000000"/>
          <w:lang w:eastAsia="bg-BG"/>
        </w:rPr>
        <w:t xml:space="preserve"> Интравенозно приложение на диуретици, инотропни средства, вазодилатиращи средства.</w:t>
      </w:r>
    </w:p>
    <w:p w14:paraId="112F65F5" w14:textId="77777777" w:rsidR="00AE7EB9" w:rsidRPr="00AE7EB9" w:rsidRDefault="00AE7EB9" w:rsidP="00AE7EB9">
      <w:pPr>
        <w:spacing w:line="240" w:lineRule="auto"/>
        <w:rPr>
          <w:rFonts w:eastAsia="Times New Roman" w:cs="Arial"/>
          <w:i/>
          <w:iCs/>
          <w:color w:val="000000"/>
          <w:lang w:eastAsia="bg-BG"/>
        </w:rPr>
      </w:pPr>
    </w:p>
    <w:p w14:paraId="178D1CB0" w14:textId="6E536AA6"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Бронхоспазъм:</w:t>
      </w:r>
      <w:r w:rsidRPr="00AE7EB9">
        <w:rPr>
          <w:rFonts w:eastAsia="Times New Roman" w:cs="Arial"/>
          <w:color w:val="000000"/>
          <w:lang w:eastAsia="bg-BG"/>
        </w:rPr>
        <w:t xml:space="preserve"> Назначават се бронходилататорна терапия като изопреналин, β</w:t>
      </w:r>
      <w:r w:rsidRPr="00AE7EB9">
        <w:rPr>
          <w:rFonts w:eastAsia="Times New Roman" w:cs="Arial"/>
          <w:color w:val="000000"/>
          <w:vertAlign w:val="subscript"/>
          <w:lang w:eastAsia="bg-BG"/>
        </w:rPr>
        <w:t>2</w:t>
      </w:r>
      <w:r w:rsidRPr="00AE7EB9">
        <w:rPr>
          <w:rFonts w:eastAsia="Times New Roman" w:cs="Arial"/>
          <w:color w:val="000000"/>
          <w:lang w:eastAsia="bg-BG"/>
        </w:rPr>
        <w:t>- симпатикомиметици и/или аминофилин.</w:t>
      </w:r>
    </w:p>
    <w:p w14:paraId="296AC5C9" w14:textId="77777777" w:rsidR="00AE7EB9" w:rsidRPr="00AE7EB9" w:rsidRDefault="00AE7EB9" w:rsidP="00AE7EB9">
      <w:pPr>
        <w:rPr>
          <w:rFonts w:eastAsia="Times New Roman" w:cs="Arial"/>
          <w:i/>
          <w:iCs/>
          <w:color w:val="000000"/>
          <w:lang w:eastAsia="bg-BG"/>
        </w:rPr>
      </w:pPr>
    </w:p>
    <w:p w14:paraId="567F35D8" w14:textId="62672106" w:rsidR="00AE7EB9" w:rsidRPr="00AE7EB9" w:rsidRDefault="00AE7EB9" w:rsidP="00AE7EB9">
      <w:pPr>
        <w:rPr>
          <w:rFonts w:cs="Arial"/>
        </w:rPr>
      </w:pPr>
      <w:r w:rsidRPr="00AE7EB9">
        <w:rPr>
          <w:rFonts w:eastAsia="Times New Roman" w:cs="Arial"/>
          <w:i/>
          <w:iCs/>
          <w:color w:val="000000"/>
          <w:lang w:eastAsia="bg-BG"/>
        </w:rPr>
        <w:t>Хипогликемия:</w:t>
      </w:r>
      <w:r w:rsidRPr="00AE7EB9">
        <w:rPr>
          <w:rFonts w:eastAsia="Times New Roman" w:cs="Arial"/>
          <w:color w:val="000000"/>
          <w:lang w:eastAsia="bg-BG"/>
        </w:rPr>
        <w:t xml:space="preserve"> Интравенозно приложение на глюкоза.</w:t>
      </w:r>
    </w:p>
    <w:p w14:paraId="02081B24" w14:textId="2210C2C3" w:rsidR="00395555" w:rsidRDefault="002C50EE" w:rsidP="008A6AF2">
      <w:pPr>
        <w:pStyle w:val="Heading1"/>
      </w:pPr>
      <w:r>
        <w:t>5. ФАРМАКОЛОГИЧНИ СВОЙСТВА</w:t>
      </w:r>
    </w:p>
    <w:p w14:paraId="780C6FD4" w14:textId="77777777" w:rsidR="00AE7EB9" w:rsidRPr="00AE7EB9" w:rsidRDefault="00AE7EB9" w:rsidP="00AE7EB9"/>
    <w:p w14:paraId="32B6DE66" w14:textId="102B12AD" w:rsidR="00CF77F7" w:rsidRDefault="002C50EE" w:rsidP="004A448E">
      <w:pPr>
        <w:pStyle w:val="Heading2"/>
      </w:pPr>
      <w:r>
        <w:t>5.1. Фармакодинамични свойства</w:t>
      </w:r>
    </w:p>
    <w:p w14:paraId="5F7837A9" w14:textId="21FC2CCE" w:rsidR="00AE7EB9" w:rsidRDefault="00AE7EB9" w:rsidP="00AE7EB9"/>
    <w:p w14:paraId="09B51C60"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Фармакотерапевтична група: селективен β-блокер АТС код: С07АВ07</w:t>
      </w:r>
    </w:p>
    <w:p w14:paraId="0A80EB91" w14:textId="77777777" w:rsidR="00AE7EB9" w:rsidRPr="00AE7EB9" w:rsidRDefault="00AE7EB9" w:rsidP="00AE7EB9">
      <w:pPr>
        <w:spacing w:line="240" w:lineRule="auto"/>
        <w:rPr>
          <w:rFonts w:eastAsia="Times New Roman" w:cs="Arial"/>
          <w:color w:val="000000"/>
          <w:u w:val="single"/>
          <w:lang w:eastAsia="bg-BG"/>
        </w:rPr>
      </w:pPr>
    </w:p>
    <w:p w14:paraId="040E522A" w14:textId="49FD03A0"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lastRenderedPageBreak/>
        <w:t>Механизъм на действие</w:t>
      </w:r>
    </w:p>
    <w:p w14:paraId="3472CD15"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е високо селективен β</w:t>
      </w:r>
      <w:r w:rsidRPr="00AE7EB9">
        <w:rPr>
          <w:rFonts w:eastAsia="Times New Roman" w:cs="Arial"/>
          <w:color w:val="000000"/>
          <w:vertAlign w:val="subscript"/>
          <w:lang w:eastAsia="bg-BG"/>
        </w:rPr>
        <w:t>1</w:t>
      </w:r>
      <w:r w:rsidRPr="00AE7EB9">
        <w:rPr>
          <w:rFonts w:eastAsia="Times New Roman" w:cs="Arial"/>
          <w:color w:val="000000"/>
          <w:lang w:eastAsia="bg-BG"/>
        </w:rPr>
        <w:t>-адренорецепторен блокиращ агент без вътрешна симпатикомиметична активност и без съответно мембраностабилизиращо действие. Продуктът има много слаб афинитет към β</w:t>
      </w:r>
      <w:r w:rsidRPr="00AE7EB9">
        <w:rPr>
          <w:rFonts w:eastAsia="Times New Roman" w:cs="Arial"/>
          <w:color w:val="000000"/>
          <w:vertAlign w:val="subscript"/>
          <w:lang w:eastAsia="bg-BG"/>
        </w:rPr>
        <w:t>2</w:t>
      </w:r>
      <w:r w:rsidRPr="00AE7EB9">
        <w:rPr>
          <w:rFonts w:eastAsia="Times New Roman" w:cs="Arial"/>
          <w:color w:val="000000"/>
          <w:lang w:eastAsia="bg-BG"/>
        </w:rPr>
        <w:t>-рецепторите на гладките мускули на бронхите и съдовете, както и към β</w:t>
      </w:r>
      <w:r w:rsidRPr="00AE7EB9">
        <w:rPr>
          <w:rFonts w:eastAsia="Times New Roman" w:cs="Arial"/>
          <w:color w:val="000000"/>
          <w:vertAlign w:val="subscript"/>
          <w:lang w:eastAsia="bg-BG"/>
        </w:rPr>
        <w:t>2</w:t>
      </w:r>
      <w:r w:rsidRPr="00AE7EB9">
        <w:rPr>
          <w:rFonts w:eastAsia="Times New Roman" w:cs="Arial"/>
          <w:color w:val="000000"/>
          <w:lang w:eastAsia="bg-BG"/>
        </w:rPr>
        <w:t>-рецепторите, свързани с метаболитната регулация. Затова не се очаква бизопролол да влияе на дихателната резистентност и β</w:t>
      </w:r>
      <w:r w:rsidRPr="00AE7EB9">
        <w:rPr>
          <w:rFonts w:eastAsia="Times New Roman" w:cs="Arial"/>
          <w:color w:val="000000"/>
          <w:vertAlign w:val="subscript"/>
          <w:lang w:eastAsia="bg-BG"/>
        </w:rPr>
        <w:t>2</w:t>
      </w:r>
      <w:r w:rsidRPr="00AE7EB9">
        <w:rPr>
          <w:rFonts w:eastAsia="Times New Roman" w:cs="Arial"/>
          <w:color w:val="000000"/>
          <w:lang w:eastAsia="bg-BG"/>
        </w:rPr>
        <w:t>-медиираните метаболитни ефекти, β</w:t>
      </w:r>
      <w:r w:rsidRPr="00AE7EB9">
        <w:rPr>
          <w:rFonts w:eastAsia="Times New Roman" w:cs="Arial"/>
          <w:color w:val="000000"/>
          <w:vertAlign w:val="subscript"/>
          <w:lang w:eastAsia="bg-BG"/>
        </w:rPr>
        <w:t>1</w:t>
      </w:r>
      <w:r w:rsidRPr="00AE7EB9">
        <w:rPr>
          <w:rFonts w:eastAsia="Times New Roman" w:cs="Arial"/>
          <w:color w:val="000000"/>
          <w:lang w:val="en-US"/>
        </w:rPr>
        <w:t xml:space="preserve"> </w:t>
      </w:r>
      <w:r w:rsidRPr="00AE7EB9">
        <w:rPr>
          <w:rFonts w:eastAsia="Times New Roman" w:cs="Arial"/>
          <w:color w:val="000000"/>
          <w:lang w:eastAsia="bg-BG"/>
        </w:rPr>
        <w:t>- селективностга на бизопролол е извън терапевтичните дозови граници.</w:t>
      </w:r>
    </w:p>
    <w:p w14:paraId="5601B2EF" w14:textId="77777777" w:rsidR="00AE7EB9" w:rsidRPr="00AE7EB9" w:rsidRDefault="00AE7EB9" w:rsidP="00AE7EB9">
      <w:pPr>
        <w:spacing w:line="240" w:lineRule="auto"/>
        <w:rPr>
          <w:rFonts w:eastAsia="Times New Roman" w:cs="Arial"/>
          <w:color w:val="000000"/>
          <w:u w:val="single"/>
          <w:lang w:eastAsia="bg-BG"/>
        </w:rPr>
      </w:pPr>
    </w:p>
    <w:p w14:paraId="33325E78" w14:textId="0ED9D65F"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t>Клинична ефикасност и безопасност</w:t>
      </w:r>
    </w:p>
    <w:p w14:paraId="2E5EF225"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Общо 2647 пациенти са включени в проучването </w:t>
      </w:r>
      <w:r w:rsidRPr="00AE7EB9">
        <w:rPr>
          <w:rFonts w:eastAsia="Times New Roman" w:cs="Arial"/>
          <w:color w:val="000000"/>
          <w:lang w:val="en-US"/>
        </w:rPr>
        <w:t xml:space="preserve">CIBIS </w:t>
      </w:r>
      <w:r w:rsidRPr="00AE7EB9">
        <w:rPr>
          <w:rFonts w:eastAsia="Times New Roman" w:cs="Arial"/>
          <w:color w:val="000000"/>
          <w:lang w:eastAsia="bg-BG"/>
        </w:rPr>
        <w:t>И. 83 % (</w:t>
      </w:r>
      <w:r w:rsidRPr="00AE7EB9">
        <w:rPr>
          <w:rFonts w:eastAsia="Times New Roman" w:cs="Arial"/>
          <w:color w:val="000000"/>
          <w:lang w:val="en-US"/>
        </w:rPr>
        <w:t>n</w:t>
      </w:r>
      <w:r w:rsidRPr="00AE7EB9">
        <w:rPr>
          <w:rFonts w:eastAsia="Times New Roman" w:cs="Arial"/>
          <w:color w:val="000000"/>
          <w:lang w:eastAsia="bg-BG"/>
        </w:rPr>
        <w:t xml:space="preserve">=2202) били от клас III на </w:t>
      </w:r>
      <w:r w:rsidRPr="00AE7EB9">
        <w:rPr>
          <w:rFonts w:eastAsia="Times New Roman" w:cs="Arial"/>
          <w:color w:val="000000"/>
          <w:lang w:val="en-US"/>
        </w:rPr>
        <w:t xml:space="preserve">NYHA, </w:t>
      </w:r>
      <w:r w:rsidRPr="00AE7EB9">
        <w:rPr>
          <w:rFonts w:eastAsia="Times New Roman" w:cs="Arial"/>
          <w:color w:val="000000"/>
          <w:lang w:eastAsia="bg-BG"/>
        </w:rPr>
        <w:t>а 17 % (</w:t>
      </w:r>
      <w:r w:rsidRPr="00AE7EB9">
        <w:rPr>
          <w:rFonts w:eastAsia="Times New Roman" w:cs="Arial"/>
          <w:color w:val="000000"/>
          <w:lang w:val="en-US"/>
        </w:rPr>
        <w:t>n</w:t>
      </w:r>
      <w:r w:rsidRPr="00AE7EB9">
        <w:rPr>
          <w:rFonts w:eastAsia="Times New Roman" w:cs="Arial"/>
          <w:color w:val="000000"/>
          <w:lang w:eastAsia="bg-BG"/>
        </w:rPr>
        <w:t xml:space="preserve">=445) - от клас IV на </w:t>
      </w:r>
      <w:r w:rsidRPr="00AE7EB9">
        <w:rPr>
          <w:rFonts w:eastAsia="Times New Roman" w:cs="Arial"/>
          <w:color w:val="000000"/>
          <w:lang w:val="en-US"/>
        </w:rPr>
        <w:t xml:space="preserve">NYHA. </w:t>
      </w:r>
      <w:r w:rsidRPr="00AE7EB9">
        <w:rPr>
          <w:rFonts w:eastAsia="Times New Roman" w:cs="Arial"/>
          <w:color w:val="000000"/>
          <w:lang w:eastAsia="bg-BG"/>
        </w:rPr>
        <w:t xml:space="preserve">Те са имали стабилна симптоматична систолна сърдечна недостатъчност (фракция на изтласкване ≤ 35 % на база ехокардиография). Общата смъртност е била намалена от 17,3 % до 11,8 % (относително намаление от 34 %). Отчетено е намаление на внезапната смъртност (3,6 % спрямо 6,3 %, относително намаление 44 %) и намален брой на случаите със сърдечна недостатъчност, изискващи хоспитализация (12 % срещу 17,6 %, относително намаление 36 %). Наблюдавано е и значително подобрение на функционалния статус според класификацията на </w:t>
      </w:r>
      <w:r w:rsidRPr="00AE7EB9">
        <w:rPr>
          <w:rFonts w:eastAsia="Times New Roman" w:cs="Arial"/>
          <w:color w:val="000000"/>
          <w:lang w:val="en-US"/>
        </w:rPr>
        <w:t xml:space="preserve">NYHA. </w:t>
      </w:r>
      <w:r w:rsidRPr="00AE7EB9">
        <w:rPr>
          <w:rFonts w:eastAsia="Times New Roman" w:cs="Arial"/>
          <w:color w:val="000000"/>
          <w:lang w:eastAsia="bg-BG"/>
        </w:rPr>
        <w:t>В началото на терапията и по време на титрирането на бизопролол са отчетени случаи на хоспитализация, поради поява на брадикардия (0,53 %), хипотензия (0,23 %) и остра декомпенсация (4,97 %), но те не са по- чести, отколкото в плацебо групата (0 %, 0,3 % и 6,74 %). Броят на фаталните и инвалидизиращи удари по време на цялото изследване са 20 в групата с бизопролол и 15 в плацебо групата.</w:t>
      </w:r>
    </w:p>
    <w:p w14:paraId="49843E4D" w14:textId="77777777" w:rsidR="00AE7EB9" w:rsidRPr="00AE7EB9" w:rsidRDefault="00AE7EB9" w:rsidP="00AE7EB9">
      <w:pPr>
        <w:spacing w:line="240" w:lineRule="auto"/>
        <w:rPr>
          <w:rFonts w:eastAsia="Times New Roman" w:cs="Arial"/>
          <w:color w:val="000000"/>
          <w:lang w:eastAsia="bg-BG"/>
        </w:rPr>
      </w:pPr>
    </w:p>
    <w:p w14:paraId="0B7C3309" w14:textId="1A3A4C0D"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В клиничното проучване </w:t>
      </w:r>
      <w:r w:rsidRPr="00AE7EB9">
        <w:rPr>
          <w:rFonts w:eastAsia="Times New Roman" w:cs="Arial"/>
          <w:color w:val="000000"/>
          <w:lang w:val="en-US"/>
        </w:rPr>
        <w:t xml:space="preserve">CIBIS </w:t>
      </w:r>
      <w:r w:rsidRPr="00AE7EB9">
        <w:rPr>
          <w:rFonts w:eastAsia="Times New Roman" w:cs="Arial"/>
          <w:color w:val="000000"/>
          <w:lang w:eastAsia="bg-BG"/>
        </w:rPr>
        <w:t xml:space="preserve">III са изследвани 1010 пациенти на възраст ≥ 65 години, с лека до умерена хронична сърдечна недостатъчност </w:t>
      </w:r>
      <w:r w:rsidRPr="00AE7EB9">
        <w:rPr>
          <w:rFonts w:eastAsia="Times New Roman" w:cs="Arial"/>
          <w:color w:val="000000"/>
          <w:lang w:val="en-US"/>
        </w:rPr>
        <w:t xml:space="preserve">(CHF; </w:t>
      </w:r>
      <w:r w:rsidRPr="00AE7EB9">
        <w:rPr>
          <w:rFonts w:eastAsia="Times New Roman" w:cs="Arial"/>
          <w:color w:val="000000"/>
          <w:lang w:eastAsia="bg-BG"/>
        </w:rPr>
        <w:t xml:space="preserve">II или III клас </w:t>
      </w:r>
      <w:r w:rsidRPr="00AE7EB9">
        <w:rPr>
          <w:rFonts w:eastAsia="Times New Roman" w:cs="Arial"/>
          <w:color w:val="000000"/>
          <w:lang w:val="en-US"/>
        </w:rPr>
        <w:t xml:space="preserve">NYHA) </w:t>
      </w:r>
      <w:r w:rsidRPr="00AE7EB9">
        <w:rPr>
          <w:rFonts w:eastAsia="Times New Roman" w:cs="Arial"/>
          <w:color w:val="000000"/>
          <w:lang w:eastAsia="bg-BG"/>
        </w:rPr>
        <w:t xml:space="preserve">и лява вентрикуларна фракция на изтласкване ≤ 35 %, които не са били лекувани преди с АСЕ- инхибитори, 0-блокери или ангиотензин рецепторни блокери. Изследването сравнява безопасността и ефективността на първоначална шестмесечна монотерапия с бизопролол (таргетна доза 10 </w:t>
      </w:r>
      <w:r w:rsidRPr="00AE7EB9">
        <w:rPr>
          <w:rFonts w:eastAsia="Times New Roman" w:cs="Arial"/>
          <w:color w:val="000000"/>
          <w:lang w:val="en-US"/>
        </w:rPr>
        <w:t xml:space="preserve">mg </w:t>
      </w:r>
      <w:r w:rsidRPr="00AE7EB9">
        <w:rPr>
          <w:rFonts w:eastAsia="Times New Roman" w:cs="Arial"/>
          <w:color w:val="000000"/>
          <w:lang w:eastAsia="bg-BG"/>
        </w:rPr>
        <w:t xml:space="preserve">веднъж дневно), към която се прибавя АСЕ-инхибитор еналаприл (таргетна доза 10 </w:t>
      </w:r>
      <w:r w:rsidRPr="00AE7EB9">
        <w:rPr>
          <w:rFonts w:eastAsia="Times New Roman" w:cs="Arial"/>
          <w:color w:val="000000"/>
          <w:lang w:val="en-US"/>
        </w:rPr>
        <w:t xml:space="preserve">mg </w:t>
      </w:r>
      <w:r w:rsidRPr="00AE7EB9">
        <w:rPr>
          <w:rFonts w:eastAsia="Times New Roman" w:cs="Arial"/>
          <w:color w:val="000000"/>
          <w:lang w:eastAsia="bg-BG"/>
        </w:rPr>
        <w:t>два пъти дневно) в продължение на още 6 до 24 месеца, с  противоположната последователност на първоначалното лечение. Всяка група се състои от 505 пациенти.</w:t>
      </w:r>
    </w:p>
    <w:p w14:paraId="2AC75BE7" w14:textId="77777777" w:rsidR="00AE7EB9" w:rsidRPr="00AE7EB9" w:rsidRDefault="00AE7EB9" w:rsidP="00AE7EB9">
      <w:pPr>
        <w:rPr>
          <w:rFonts w:eastAsia="Times New Roman" w:cs="Arial"/>
          <w:sz w:val="24"/>
          <w:szCs w:val="24"/>
          <w:lang w:eastAsia="bg-BG"/>
        </w:rPr>
      </w:pPr>
      <w:r w:rsidRPr="00AE7EB9">
        <w:rPr>
          <w:rFonts w:eastAsia="Times New Roman" w:cs="Arial"/>
          <w:color w:val="000000"/>
          <w:lang w:eastAsia="bg-BG"/>
        </w:rPr>
        <w:t>Двете стратегии са сляпо сравнени, както по отношение на комбинираната обща крайна цел</w:t>
      </w:r>
      <w:r w:rsidRPr="00AE7EB9">
        <w:rPr>
          <w:rFonts w:eastAsia="Times New Roman" w:cs="Arial"/>
          <w:color w:val="000000"/>
          <w:vertAlign w:val="superscript"/>
          <w:lang w:eastAsia="bg-BG"/>
        </w:rPr>
        <w:t xml:space="preserve"> </w:t>
      </w:r>
      <w:r w:rsidRPr="00AE7EB9">
        <w:rPr>
          <w:rFonts w:eastAsia="Times New Roman" w:cs="Arial"/>
          <w:color w:val="000000"/>
          <w:lang w:eastAsia="bg-BG"/>
        </w:rPr>
        <w:t>(обща смъртност или хоспитализация), така и по отношение на всеки от тези компоненти по</w:t>
      </w:r>
      <w:r w:rsidRPr="00AE7EB9">
        <w:rPr>
          <w:rFonts w:eastAsia="Times New Roman" w:cs="Arial"/>
          <w:color w:val="000000"/>
          <w:lang w:val="en-US" w:eastAsia="bg-BG"/>
        </w:rPr>
        <w:t xml:space="preserve"> </w:t>
      </w:r>
      <w:r w:rsidRPr="00AE7EB9">
        <w:rPr>
          <w:rFonts w:eastAsia="Times New Roman" w:cs="Arial"/>
          <w:color w:val="000000"/>
          <w:lang w:eastAsia="bg-BG"/>
        </w:rPr>
        <w:t xml:space="preserve">отделно. От лекуваните пациенти общата крайна цел е постигната при 178 пациенти (35,2 %) от групата, лекувана първо с бизопролол, срещу 186 пациенти (36,8 %) от групата, лекувана първо с еналаприл, което показва, че лечението, започнало с бизопролол, е сравнимо по ефективност с лечението, започнало с еналаприл. При първоначално лечение с бизопролол са починали 65 пациенти срещу 73, лекувани първо с еналаприл (междугрупова разлика р=0,44) и 151 срещу 157 хоспитализирани пациенти (р=0,66). Броят на сериозни и общи нежелани лекарствени реакции е подобен за двете групи. Анализът на данните за първата година показва незначителна тенденция към намаляване на общата смъртност на групата, лекувана първо с бизопролол, с 31 % в сравнение с тази, лекувана първо с еналаприл. Статистически значимото намаляване на риска от внезапна смърт с 46 % (р=0,049) през първата година главно допринася за по-добрата преживяемост на групата, лекувана първо с бизопролол. Двете стратегии за начало на лечение на хронична сърдечна недостатъчност показват подобни общи резултати по отношение на смъртност и хоспитализация, какго и тенденция към удължена преживяемост, по-специално чрез редукция на внезапната смърт, наблюдавана при </w:t>
      </w:r>
      <w:r w:rsidRPr="00AE7EB9">
        <w:rPr>
          <w:rFonts w:eastAsia="Times New Roman" w:cs="Arial"/>
          <w:color w:val="000000"/>
          <w:lang w:eastAsia="bg-BG"/>
        </w:rPr>
        <w:lastRenderedPageBreak/>
        <w:t>групата, лекувана първо с бизопролол. Резултатите показват, че поради сходната безопасност и ефикасност, лечението на хронична сърдечна недостатъчност може да започне или с бизопролол, или с еналаприл.</w:t>
      </w:r>
    </w:p>
    <w:p w14:paraId="2FB95E4E" w14:textId="77777777" w:rsidR="00AE7EB9" w:rsidRPr="00AE7EB9" w:rsidRDefault="00AE7EB9" w:rsidP="00AE7EB9">
      <w:pPr>
        <w:rPr>
          <w:rFonts w:eastAsia="Times New Roman" w:cs="Arial"/>
          <w:sz w:val="24"/>
          <w:szCs w:val="24"/>
          <w:lang w:eastAsia="bg-BG"/>
        </w:rPr>
      </w:pPr>
    </w:p>
    <w:p w14:paraId="0783E51B" w14:textId="3D1D7FB7" w:rsidR="00AE7EB9" w:rsidRPr="00AE7EB9" w:rsidRDefault="00AE7EB9" w:rsidP="00AE7EB9">
      <w:pPr>
        <w:rPr>
          <w:rFonts w:eastAsia="Times New Roman" w:cs="Arial"/>
          <w:sz w:val="24"/>
          <w:szCs w:val="24"/>
          <w:lang w:eastAsia="bg-BG"/>
        </w:rPr>
      </w:pPr>
      <w:r w:rsidRPr="00AE7EB9">
        <w:rPr>
          <w:rFonts w:eastAsia="Times New Roman" w:cs="Arial"/>
          <w:color w:val="000000"/>
          <w:lang w:eastAsia="bg-BG"/>
        </w:rPr>
        <w:t>Бизопролол също така се прилага за лечение на хипертония и стенокардия.</w:t>
      </w:r>
    </w:p>
    <w:p w14:paraId="0CE8FA55" w14:textId="77777777" w:rsidR="00AE7EB9" w:rsidRPr="00AE7EB9" w:rsidRDefault="00AE7EB9" w:rsidP="00AE7EB9">
      <w:pPr>
        <w:spacing w:line="240" w:lineRule="auto"/>
        <w:rPr>
          <w:rFonts w:eastAsia="Times New Roman" w:cs="Arial"/>
          <w:color w:val="000000"/>
          <w:lang w:eastAsia="bg-BG"/>
        </w:rPr>
      </w:pPr>
    </w:p>
    <w:p w14:paraId="69F8EA83" w14:textId="7563B378"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няма изразен негативен инотропен ефект.</w:t>
      </w:r>
    </w:p>
    <w:p w14:paraId="0D499C27"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достига максималния си антихипертензивен ефект 3-4 часа след перорален прием. Елиминационния му полуживот в плазмата от 10-12 часа му осигурява 24 часова ефективност след еднодозов дневен прием.</w:t>
      </w:r>
    </w:p>
    <w:p w14:paraId="5BF8419C"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Максималният хипертензивен ефект на бизопролол принципно се достига след 2 седмици.</w:t>
      </w:r>
    </w:p>
    <w:p w14:paraId="64FD5D24" w14:textId="77777777" w:rsidR="00AE7EB9" w:rsidRPr="00AE7EB9" w:rsidRDefault="00AE7EB9" w:rsidP="00AE7EB9">
      <w:pPr>
        <w:spacing w:line="240" w:lineRule="auto"/>
        <w:rPr>
          <w:rFonts w:eastAsia="Times New Roman" w:cs="Arial"/>
          <w:color w:val="000000"/>
          <w:lang w:eastAsia="bg-BG"/>
        </w:rPr>
      </w:pPr>
    </w:p>
    <w:p w14:paraId="5DF9D569" w14:textId="60D84C8B"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При интензивното приложение при пациенти с исхемична болест на сърцето без хронична сърдечна недостатъчност, бизопролол намалява сърдечната честота и ударния обем и по такъв начин понижава сърдечния дебит и кислородното потребление. При хронично приложение, първоначално повишената периферна резистентност намалява. Потискането на активността на плазмения ренин се дискутира като механизъм на действие, лежащ в основата на антихипертензивния ефект на β-блокерите.</w:t>
      </w:r>
    </w:p>
    <w:p w14:paraId="624FAF94" w14:textId="547D11E2" w:rsidR="00AE7EB9" w:rsidRPr="00AE7EB9" w:rsidRDefault="00AE7EB9" w:rsidP="00AE7EB9">
      <w:pPr>
        <w:rPr>
          <w:rFonts w:eastAsia="Times New Roman" w:cs="Arial"/>
          <w:color w:val="000000"/>
          <w:lang w:val="en-US" w:eastAsia="bg-BG"/>
        </w:rPr>
      </w:pPr>
      <w:r w:rsidRPr="00AE7EB9">
        <w:rPr>
          <w:rFonts w:eastAsia="Times New Roman" w:cs="Arial"/>
          <w:color w:val="000000"/>
          <w:lang w:eastAsia="bg-BG"/>
        </w:rPr>
        <w:t>Чрез блокадата на сърдечните β-рецептори бизопролол потиска отговора към симпатоадренергичната активност. Това предизвиква намаление на сърдечната честота и контрактилитет и поради това води до намаление на миокардната консумация на кислород, което е желан ефект при ангина пекторис с налична исхемична болест на сърцето.</w:t>
      </w:r>
    </w:p>
    <w:p w14:paraId="304BAB9B" w14:textId="77777777" w:rsidR="00AE7EB9" w:rsidRPr="00AE7EB9" w:rsidRDefault="00AE7EB9" w:rsidP="00AE7EB9"/>
    <w:p w14:paraId="35F84B81" w14:textId="37288824" w:rsidR="00CF77F7" w:rsidRDefault="002C50EE" w:rsidP="004A448E">
      <w:pPr>
        <w:pStyle w:val="Heading2"/>
      </w:pPr>
      <w:r>
        <w:t>5.2. Фармакокинетични свойства</w:t>
      </w:r>
    </w:p>
    <w:p w14:paraId="28FB916A" w14:textId="5606679F" w:rsidR="00AE7EB9" w:rsidRDefault="00AE7EB9" w:rsidP="00AE7EB9"/>
    <w:p w14:paraId="141C08C6"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t>Абсорбция</w:t>
      </w:r>
    </w:p>
    <w:p w14:paraId="12893FEA"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Бизопролол се абсорбира почти напълно (&gt;90%) от гастроинтестиналния тракт и поради много малкия ефект на </w:t>
      </w:r>
      <w:r w:rsidRPr="00AE7EB9">
        <w:rPr>
          <w:rFonts w:eastAsia="Times New Roman" w:cs="Arial"/>
          <w:i/>
          <w:iCs/>
          <w:color w:val="000000"/>
          <w:lang w:val="en-US"/>
        </w:rPr>
        <w:t>first pass</w:t>
      </w:r>
      <w:r w:rsidRPr="00AE7EB9">
        <w:rPr>
          <w:rFonts w:eastAsia="Times New Roman" w:cs="Arial"/>
          <w:color w:val="000000"/>
          <w:lang w:val="en-US"/>
        </w:rPr>
        <w:t xml:space="preserve"> </w:t>
      </w:r>
      <w:r w:rsidRPr="00AE7EB9">
        <w:rPr>
          <w:rFonts w:eastAsia="Times New Roman" w:cs="Arial"/>
          <w:color w:val="000000"/>
          <w:lang w:eastAsia="bg-BG"/>
        </w:rPr>
        <w:t>през черния дроб (приблизително 10%), има абсолютна бионаличност от около 90% след перорално приложение.</w:t>
      </w:r>
    </w:p>
    <w:p w14:paraId="518188EB" w14:textId="77777777" w:rsidR="00AE7EB9" w:rsidRPr="00AE7EB9" w:rsidRDefault="00AE7EB9" w:rsidP="00AE7EB9">
      <w:pPr>
        <w:spacing w:line="240" w:lineRule="auto"/>
        <w:rPr>
          <w:rFonts w:eastAsia="Times New Roman" w:cs="Arial"/>
          <w:color w:val="000000"/>
          <w:u w:val="single"/>
          <w:lang w:eastAsia="bg-BG"/>
        </w:rPr>
      </w:pPr>
    </w:p>
    <w:p w14:paraId="3665BF63" w14:textId="461C94B4" w:rsidR="00AE7EB9" w:rsidRPr="00AE7EB9" w:rsidRDefault="00AE7EB9" w:rsidP="00AE7EB9">
      <w:pPr>
        <w:pStyle w:val="Heading3"/>
        <w:rPr>
          <w:rFonts w:eastAsia="Times New Roman"/>
          <w:u w:val="single"/>
          <w:lang w:eastAsia="bg-BG"/>
        </w:rPr>
      </w:pPr>
      <w:r w:rsidRPr="00AE7EB9">
        <w:rPr>
          <w:rFonts w:eastAsia="Times New Roman"/>
          <w:u w:val="single"/>
          <w:lang w:eastAsia="bg-BG"/>
        </w:rPr>
        <w:t>Разпределение</w:t>
      </w:r>
    </w:p>
    <w:p w14:paraId="786C0876"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Свързването на бизопролол с плазмените протеини е около 30%. Обемът на разпределение е 3,5 </w:t>
      </w:r>
      <w:r w:rsidRPr="00AE7EB9">
        <w:rPr>
          <w:rFonts w:eastAsia="Times New Roman" w:cs="Arial"/>
          <w:color w:val="000000"/>
          <w:lang w:val="en-US"/>
        </w:rPr>
        <w:t>l/kg.</w:t>
      </w:r>
    </w:p>
    <w:p w14:paraId="36B6D815" w14:textId="77777777" w:rsidR="00AE7EB9" w:rsidRPr="00AE7EB9" w:rsidRDefault="00AE7EB9" w:rsidP="00AE7EB9">
      <w:pPr>
        <w:spacing w:line="240" w:lineRule="auto"/>
        <w:rPr>
          <w:rFonts w:eastAsia="Times New Roman" w:cs="Arial"/>
          <w:color w:val="000000"/>
          <w:u w:val="single"/>
          <w:lang w:eastAsia="bg-BG"/>
        </w:rPr>
      </w:pPr>
    </w:p>
    <w:p w14:paraId="638D8C5A" w14:textId="716E7CCE" w:rsidR="00AE7EB9" w:rsidRPr="00AE7EB9" w:rsidRDefault="00AE7EB9" w:rsidP="00AE7EB9">
      <w:pPr>
        <w:pStyle w:val="Heading3"/>
        <w:rPr>
          <w:rFonts w:eastAsia="Times New Roman"/>
          <w:u w:val="single"/>
          <w:lang w:eastAsia="bg-BG"/>
        </w:rPr>
      </w:pPr>
      <w:r w:rsidRPr="00AE7EB9">
        <w:rPr>
          <w:rFonts w:eastAsia="Times New Roman"/>
          <w:u w:val="single"/>
          <w:lang w:eastAsia="bg-BG"/>
        </w:rPr>
        <w:t>Биотрансфоомация и елиминиране</w:t>
      </w:r>
    </w:p>
    <w:p w14:paraId="484E51B4" w14:textId="328AE134"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се елиминира от организма по два пътя: 50% се метаболизират от черния дроб до неактивни метаболити, които се екскретират през бъбреците. Останалите 50% се екскретират</w:t>
      </w:r>
      <w:r w:rsidR="00C916EA" w:rsidRPr="00C916EA">
        <w:rPr>
          <w:rFonts w:eastAsia="Times New Roman" w:cs="Arial"/>
          <w:color w:val="000000"/>
          <w:lang w:eastAsia="bg-BG"/>
        </w:rPr>
        <w:t xml:space="preserve"> </w:t>
      </w:r>
      <w:r w:rsidRPr="00AE7EB9">
        <w:rPr>
          <w:rFonts w:eastAsia="Times New Roman" w:cs="Arial"/>
          <w:color w:val="000000"/>
          <w:lang w:eastAsia="bg-BG"/>
        </w:rPr>
        <w:t>непроменени през бъбреците. Тъй като елиминирането се извършва през бъбреците и черния дроб в еднаква степен, не се изисква адаптиране на дозата на бизопролол при пациенти с леки до умерени нарушения на чернодробната или бъбречната функция.</w:t>
      </w:r>
    </w:p>
    <w:p w14:paraId="7FA14DA3"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Общият клирънс на продукта е приблизително 15 </w:t>
      </w:r>
      <w:r w:rsidRPr="00AE7EB9">
        <w:rPr>
          <w:rFonts w:eastAsia="Times New Roman" w:cs="Arial"/>
          <w:color w:val="000000"/>
          <w:lang w:val="en-US"/>
        </w:rPr>
        <w:t>l/h.</w:t>
      </w:r>
    </w:p>
    <w:p w14:paraId="4EC22FFA" w14:textId="1F8C712D" w:rsidR="00AE7EB9" w:rsidRPr="00AE7EB9" w:rsidRDefault="00AE7EB9" w:rsidP="00AE7EB9">
      <w:pPr>
        <w:rPr>
          <w:rFonts w:eastAsia="Times New Roman" w:cs="Arial"/>
          <w:color w:val="000000"/>
          <w:lang w:eastAsia="bg-BG"/>
        </w:rPr>
      </w:pPr>
      <w:r w:rsidRPr="00AE7EB9">
        <w:rPr>
          <w:rFonts w:eastAsia="Times New Roman" w:cs="Arial"/>
          <w:color w:val="000000"/>
          <w:lang w:eastAsia="bg-BG"/>
        </w:rPr>
        <w:t>Елиминационният му полуживот от 10-12 часа осигурява 24 часова ефективност след еднократна дневна доза.</w:t>
      </w:r>
    </w:p>
    <w:p w14:paraId="69DE9320" w14:textId="1ABF3348" w:rsidR="00AE7EB9" w:rsidRPr="00AE7EB9" w:rsidRDefault="00AE7EB9" w:rsidP="00AE7EB9">
      <w:pPr>
        <w:rPr>
          <w:rFonts w:eastAsia="Times New Roman" w:cs="Arial"/>
          <w:color w:val="000000"/>
          <w:lang w:eastAsia="bg-BG"/>
        </w:rPr>
      </w:pPr>
    </w:p>
    <w:p w14:paraId="55106C8C"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lastRenderedPageBreak/>
        <w:t>Линейност/нелинейност</w:t>
      </w:r>
    </w:p>
    <w:p w14:paraId="42CF8232" w14:textId="46C85368"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има линейна, възрастово-независима кинетика.</w:t>
      </w:r>
    </w:p>
    <w:p w14:paraId="13A29681" w14:textId="77777777" w:rsidR="00AE7EB9" w:rsidRPr="00AE7EB9" w:rsidRDefault="00AE7EB9" w:rsidP="00AE7EB9">
      <w:pPr>
        <w:rPr>
          <w:rFonts w:eastAsia="Times New Roman" w:cs="Arial"/>
          <w:color w:val="000000"/>
          <w:lang w:eastAsia="bg-BG"/>
        </w:rPr>
      </w:pPr>
    </w:p>
    <w:p w14:paraId="341EFFEA" w14:textId="0E349E1E" w:rsidR="00AE7EB9" w:rsidRPr="00AE7EB9" w:rsidRDefault="00AE7EB9" w:rsidP="00AE7EB9">
      <w:pPr>
        <w:rPr>
          <w:rFonts w:eastAsia="Times New Roman" w:cs="Arial"/>
          <w:color w:val="000000"/>
          <w:lang w:eastAsia="bg-BG"/>
        </w:rPr>
      </w:pPr>
      <w:r w:rsidRPr="00AE7EB9">
        <w:rPr>
          <w:rFonts w:eastAsia="Times New Roman" w:cs="Arial"/>
          <w:color w:val="000000"/>
          <w:lang w:eastAsia="bg-BG"/>
        </w:rPr>
        <w:t xml:space="preserve">При пациенти с хронична сърдечна недостатъчност (III стадий по </w:t>
      </w:r>
      <w:r w:rsidRPr="00AE7EB9">
        <w:rPr>
          <w:rFonts w:eastAsia="Times New Roman" w:cs="Arial"/>
          <w:color w:val="000000"/>
          <w:lang w:val="en-US"/>
        </w:rPr>
        <w:t xml:space="preserve">NYHA), </w:t>
      </w:r>
      <w:r w:rsidRPr="00AE7EB9">
        <w:rPr>
          <w:rFonts w:eastAsia="Times New Roman" w:cs="Arial"/>
          <w:color w:val="000000"/>
          <w:lang w:eastAsia="bg-BG"/>
        </w:rPr>
        <w:t xml:space="preserve">плазмените нива на бизопролол са по-високи и периодът на полуживот е удължен в сравнение със здрави доброволци. Максималната плазмена концентрация в стабилно състояние е 64 ± 21 </w:t>
      </w:r>
      <w:r w:rsidRPr="00AE7EB9">
        <w:rPr>
          <w:rFonts w:eastAsia="Times New Roman" w:cs="Arial"/>
          <w:color w:val="000000"/>
          <w:lang w:val="en-US"/>
        </w:rPr>
        <w:t xml:space="preserve">mg/ml </w:t>
      </w:r>
      <w:r w:rsidRPr="00AE7EB9">
        <w:rPr>
          <w:rFonts w:eastAsia="Times New Roman" w:cs="Arial"/>
          <w:color w:val="000000"/>
          <w:lang w:eastAsia="bg-BG"/>
        </w:rPr>
        <w:t xml:space="preserve">при дневна доза от 10 </w:t>
      </w:r>
      <w:r w:rsidRPr="00AE7EB9">
        <w:rPr>
          <w:rFonts w:eastAsia="Times New Roman" w:cs="Arial"/>
          <w:color w:val="000000"/>
          <w:lang w:val="en-US"/>
        </w:rPr>
        <w:t xml:space="preserve">mg </w:t>
      </w:r>
      <w:r w:rsidRPr="00AE7EB9">
        <w:rPr>
          <w:rFonts w:eastAsia="Times New Roman" w:cs="Arial"/>
          <w:color w:val="000000"/>
          <w:lang w:eastAsia="bg-BG"/>
        </w:rPr>
        <w:t>и периодът на полуразпад е 17 ± 5 часа.</w:t>
      </w:r>
    </w:p>
    <w:p w14:paraId="1A710422" w14:textId="77777777" w:rsidR="00AE7EB9" w:rsidRPr="00AE7EB9" w:rsidRDefault="00AE7EB9" w:rsidP="00AE7EB9"/>
    <w:p w14:paraId="648E39DA" w14:textId="04116069" w:rsidR="00CF77F7" w:rsidRDefault="002C50EE" w:rsidP="004A448E">
      <w:pPr>
        <w:pStyle w:val="Heading2"/>
      </w:pPr>
      <w:r>
        <w:t>5.3. Предклинични данни за безопасност</w:t>
      </w:r>
    </w:p>
    <w:p w14:paraId="29AC4CDA" w14:textId="520CFD38" w:rsidR="00AE7EB9" w:rsidRDefault="00AE7EB9" w:rsidP="00AE7EB9"/>
    <w:p w14:paraId="6151B09A"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или карциногенен потенциал.</w:t>
      </w:r>
    </w:p>
    <w:p w14:paraId="47F56998" w14:textId="77777777" w:rsidR="00AE7EB9" w:rsidRPr="00AE7EB9" w:rsidRDefault="00AE7EB9" w:rsidP="00AE7EB9">
      <w:pPr>
        <w:spacing w:line="240" w:lineRule="auto"/>
        <w:rPr>
          <w:rFonts w:eastAsia="Times New Roman" w:cs="Arial"/>
          <w:color w:val="000000"/>
          <w:u w:val="single"/>
          <w:lang w:eastAsia="bg-BG"/>
        </w:rPr>
      </w:pPr>
    </w:p>
    <w:p w14:paraId="15F0EFEB" w14:textId="08372E3C"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t>Репрод</w:t>
      </w:r>
      <w:bookmarkStart w:id="1" w:name="_GoBack"/>
      <w:bookmarkEnd w:id="1"/>
      <w:r w:rsidRPr="00AE7EB9">
        <w:rPr>
          <w:rFonts w:eastAsia="Times New Roman" w:cs="Arial"/>
          <w:color w:val="000000"/>
          <w:u w:val="single"/>
          <w:lang w:eastAsia="bg-BG"/>
        </w:rPr>
        <w:t>укция</w:t>
      </w:r>
    </w:p>
    <w:p w14:paraId="575B25C2" w14:textId="5730DA65" w:rsidR="00AE7EB9" w:rsidRPr="00AE7EB9" w:rsidRDefault="00AE7EB9" w:rsidP="00AE7EB9">
      <w:pPr>
        <w:rPr>
          <w:rFonts w:cs="Arial"/>
        </w:rPr>
      </w:pPr>
      <w:r w:rsidRPr="00AE7EB9">
        <w:rPr>
          <w:rFonts w:eastAsia="Times New Roman" w:cs="Arial"/>
          <w:color w:val="000000"/>
          <w:lang w:eastAsia="bg-BG"/>
        </w:rPr>
        <w:t>В репродуктивните токсикологични изследвания бизопролол няма влияние върху фертилитета или върху общата репродуктивна способност. Подобно на други β-блокери, бизопролол във високи дози води до токсичност както при майката (намален прием на храна и спад на телесното тегло), така и при ембриона/плода (увеличен брой резорбции, намалено телесно тегло на новороденото, забавено физическо развитие), но няма тератогенен ефект.</w:t>
      </w:r>
    </w:p>
    <w:p w14:paraId="6A7820AB" w14:textId="5865F48A" w:rsidR="008A6AF2" w:rsidRDefault="002C50EE" w:rsidP="00395555">
      <w:pPr>
        <w:pStyle w:val="Heading1"/>
      </w:pPr>
      <w:r>
        <w:t>7. ПРИТЕЖАТЕЛ НА РАЗРЕШЕНИЕТО ЗА УПОТРЕБА</w:t>
      </w:r>
    </w:p>
    <w:p w14:paraId="5A63297F" w14:textId="293BE566" w:rsidR="00AE7EB9" w:rsidRDefault="00AE7EB9" w:rsidP="00AE7EB9"/>
    <w:p w14:paraId="490A4F8C"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ЕКОФАРМ ГРУП АД</w:t>
      </w:r>
    </w:p>
    <w:p w14:paraId="2B9A970F"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ул. Атанас Дуков №29, ет. 3,</w:t>
      </w:r>
    </w:p>
    <w:p w14:paraId="64A1F52F"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1407 София, България</w:t>
      </w:r>
    </w:p>
    <w:p w14:paraId="34480B01"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тел.: (02) 906 90 70</w:t>
      </w:r>
    </w:p>
    <w:p w14:paraId="79DC41FC" w14:textId="4ADAF3AA" w:rsidR="00AE7EB9" w:rsidRPr="00AE7EB9" w:rsidRDefault="00AE7EB9" w:rsidP="00AE7EB9">
      <w:pPr>
        <w:rPr>
          <w:rFonts w:cs="Arial"/>
        </w:rPr>
      </w:pPr>
      <w:r w:rsidRPr="00AE7EB9">
        <w:rPr>
          <w:rFonts w:eastAsia="Times New Roman" w:cs="Arial"/>
          <w:color w:val="000000"/>
          <w:lang w:eastAsia="bg-BG"/>
        </w:rPr>
        <w:t>факс: (02)906 90 71</w:t>
      </w:r>
    </w:p>
    <w:p w14:paraId="7BA1BA64" w14:textId="4CC2937A" w:rsidR="00CF77F7" w:rsidRDefault="002C50EE" w:rsidP="004A448E">
      <w:pPr>
        <w:pStyle w:val="Heading1"/>
      </w:pPr>
      <w:r>
        <w:t>8. НОМЕР НА РАЗРЕШЕНИЕТО ЗА УПОТРЕБА</w:t>
      </w:r>
    </w:p>
    <w:p w14:paraId="5FA09D8A" w14:textId="2FC89864" w:rsidR="00AE7EB9" w:rsidRDefault="00AE7EB9" w:rsidP="00AE7EB9"/>
    <w:p w14:paraId="6987F827"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20130201 - Бизолен 5 </w:t>
      </w:r>
      <w:r w:rsidRPr="00AE7EB9">
        <w:rPr>
          <w:rFonts w:eastAsia="Times New Roman" w:cs="Arial"/>
          <w:color w:val="000000"/>
          <w:lang w:val="en-US"/>
        </w:rPr>
        <w:t xml:space="preserve">mg </w:t>
      </w:r>
      <w:r w:rsidRPr="00AE7EB9">
        <w:rPr>
          <w:rFonts w:eastAsia="Times New Roman" w:cs="Arial"/>
          <w:color w:val="000000"/>
          <w:lang w:eastAsia="bg-BG"/>
        </w:rPr>
        <w:t>филмирани таблетки</w:t>
      </w:r>
    </w:p>
    <w:p w14:paraId="3D8B0553" w14:textId="2047DE3D" w:rsidR="00AE7EB9" w:rsidRPr="00AE7EB9" w:rsidRDefault="00AE7EB9" w:rsidP="00AE7EB9">
      <w:pPr>
        <w:rPr>
          <w:rFonts w:cs="Arial"/>
        </w:rPr>
      </w:pPr>
      <w:r w:rsidRPr="00AE7EB9">
        <w:rPr>
          <w:rFonts w:eastAsia="Times New Roman" w:cs="Arial"/>
          <w:color w:val="000000"/>
          <w:lang w:eastAsia="bg-BG"/>
        </w:rPr>
        <w:t xml:space="preserve">20130202 - Бизолен 10 </w:t>
      </w:r>
      <w:r w:rsidRPr="00AE7EB9">
        <w:rPr>
          <w:rFonts w:eastAsia="Times New Roman" w:cs="Arial"/>
          <w:color w:val="000000"/>
          <w:lang w:val="en-US"/>
        </w:rPr>
        <w:t xml:space="preserve">mg </w:t>
      </w:r>
      <w:r w:rsidRPr="00AE7EB9">
        <w:rPr>
          <w:rFonts w:eastAsia="Times New Roman" w:cs="Arial"/>
          <w:color w:val="000000"/>
          <w:lang w:eastAsia="bg-BG"/>
        </w:rPr>
        <w:t>филмирани таблетки</w:t>
      </w:r>
    </w:p>
    <w:p w14:paraId="2CCB5832" w14:textId="00259D7C" w:rsidR="007C605B" w:rsidRDefault="002C50EE" w:rsidP="007C605B">
      <w:pPr>
        <w:pStyle w:val="Heading1"/>
      </w:pPr>
      <w:r>
        <w:t>9. ДАТА НА ПЪРВО РАЗРЕШАВАНЕ/ПОДНОВЯВАНЕ НА РАЗРЕШЕНИЕТО ЗА УПОТРЕБА</w:t>
      </w:r>
    </w:p>
    <w:p w14:paraId="3E1750EC" w14:textId="1F885464" w:rsidR="00AE7EB9" w:rsidRDefault="00AE7EB9" w:rsidP="00AE7EB9"/>
    <w:p w14:paraId="11557342"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Дата на първо разрешаване: 13 юни 2013 г.</w:t>
      </w:r>
    </w:p>
    <w:p w14:paraId="4C1A3C58" w14:textId="163360EE" w:rsidR="00AE7EB9" w:rsidRPr="00AE7EB9" w:rsidRDefault="00AE7EB9" w:rsidP="00AE7EB9">
      <w:pPr>
        <w:rPr>
          <w:rFonts w:cs="Arial"/>
        </w:rPr>
      </w:pPr>
      <w:r w:rsidRPr="00AE7EB9">
        <w:rPr>
          <w:rFonts w:eastAsia="Times New Roman" w:cs="Arial"/>
          <w:color w:val="000000"/>
          <w:lang w:eastAsia="bg-BG"/>
        </w:rPr>
        <w:t>Дата на последно подновяване: 21 юни 2018 г.</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112792E"/>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DC01F2"/>
    <w:multiLevelType w:val="hybridMultilevel"/>
    <w:tmpl w:val="5CE64E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A0530"/>
    <w:multiLevelType w:val="hybridMultilevel"/>
    <w:tmpl w:val="578AE02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6E36"/>
    <w:multiLevelType w:val="hybridMultilevel"/>
    <w:tmpl w:val="3F0E4E0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15"/>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13053"/>
    <w:rsid w:val="00185A46"/>
    <w:rsid w:val="001915B6"/>
    <w:rsid w:val="001B63B7"/>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AE7EB9"/>
    <w:rsid w:val="00B275A8"/>
    <w:rsid w:val="00BF2600"/>
    <w:rsid w:val="00C0049F"/>
    <w:rsid w:val="00C07B84"/>
    <w:rsid w:val="00C33464"/>
    <w:rsid w:val="00C40420"/>
    <w:rsid w:val="00C809A7"/>
    <w:rsid w:val="00C83063"/>
    <w:rsid w:val="00C87E90"/>
    <w:rsid w:val="00C916EA"/>
    <w:rsid w:val="00CA1B57"/>
    <w:rsid w:val="00CF77F7"/>
    <w:rsid w:val="00D86297"/>
    <w:rsid w:val="00D91466"/>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4004</Words>
  <Characters>22829</Characters>
  <Application>Microsoft Office Word</Application>
  <DocSecurity>0</DocSecurity>
  <Lines>190</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2022-05-31T15:17:00Z</dcterms:created>
  <dcterms:modified xsi:type="dcterms:W3CDTF">2022-05-31T15:17:00Z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