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230C14E1" w:rsidR="002C50EE" w:rsidRDefault="002C50EE" w:rsidP="002C50EE">
      <w:pPr>
        <w:pStyle w:val="Heading1"/>
        <w:jc w:val="center"/>
      </w:pPr>
      <w:bookmarkStart w:id="0" w:name="_Hlk63124480"/>
      <w:r>
        <w:t>КРАТКА ХАРАКТЕРИСТИКА НА ПРОДУКТА</w:t>
      </w:r>
    </w:p>
    <w:p w14:paraId="2189B7AF" w14:textId="77777777" w:rsidR="00FE1090" w:rsidRPr="00FE1090" w:rsidRDefault="00FE1090" w:rsidP="00FE1090"/>
    <w:p w14:paraId="3320F4BE" w14:textId="3B58740A" w:rsidR="00C40420" w:rsidRDefault="00DD466D" w:rsidP="004A448E">
      <w:pPr>
        <w:pStyle w:val="Heading1"/>
      </w:pPr>
      <w:r>
        <w:t>1.ИМЕ НА ЛЕКАРСТВЕНИЯ ПРОДУКТ</w:t>
      </w:r>
    </w:p>
    <w:p w14:paraId="4B6877B4" w14:textId="01C50697" w:rsidR="00FE1090" w:rsidRDefault="00FE1090" w:rsidP="00FE1090"/>
    <w:p w14:paraId="26A822A8" w14:textId="77777777" w:rsidR="00FE1090" w:rsidRPr="00FE1090" w:rsidRDefault="00FE1090" w:rsidP="00FE1090">
      <w:pPr>
        <w:spacing w:line="240" w:lineRule="auto"/>
        <w:rPr>
          <w:rFonts w:eastAsia="Times New Roman" w:cs="Arial"/>
          <w:sz w:val="28"/>
          <w:szCs w:val="24"/>
          <w:lang w:val="en-US" w:eastAsia="bg-BG"/>
        </w:rPr>
      </w:pPr>
      <w:r w:rsidRPr="00FE1090">
        <w:rPr>
          <w:rFonts w:eastAsia="Times New Roman" w:cs="Arial"/>
          <w:bCs/>
          <w:color w:val="000000"/>
          <w:szCs w:val="20"/>
          <w:lang w:eastAsia="bg-BG"/>
        </w:rPr>
        <w:t xml:space="preserve">БИСОПЛЮС АЛ 5 </w:t>
      </w:r>
      <w:r w:rsidRPr="00FE1090">
        <w:rPr>
          <w:rFonts w:eastAsia="Times New Roman" w:cs="Arial"/>
          <w:bCs/>
          <w:color w:val="000000"/>
          <w:szCs w:val="20"/>
          <w:lang w:val="en-US"/>
        </w:rPr>
        <w:t xml:space="preserve">mg/12,5 mg </w:t>
      </w:r>
      <w:r w:rsidRPr="00FE1090">
        <w:rPr>
          <w:rFonts w:eastAsia="Times New Roman" w:cs="Arial"/>
          <w:bCs/>
          <w:color w:val="000000"/>
          <w:szCs w:val="20"/>
          <w:lang w:eastAsia="bg-BG"/>
        </w:rPr>
        <w:t>филмирани таблетки</w:t>
      </w:r>
    </w:p>
    <w:p w14:paraId="7E9A8C4B" w14:textId="1B46588E" w:rsidR="00FE1090" w:rsidRPr="00FE1090" w:rsidRDefault="00FE1090" w:rsidP="00FE1090">
      <w:pPr>
        <w:rPr>
          <w:rFonts w:cs="Arial"/>
          <w:sz w:val="24"/>
        </w:rPr>
      </w:pPr>
      <w:r w:rsidRPr="00FE1090">
        <w:rPr>
          <w:rFonts w:eastAsia="Times New Roman" w:cs="Arial"/>
          <w:bCs/>
          <w:color w:val="000000"/>
          <w:szCs w:val="20"/>
          <w:lang w:val="en-US"/>
        </w:rPr>
        <w:t xml:space="preserve">BISOPLUS AL </w:t>
      </w:r>
      <w:r w:rsidRPr="00FE1090">
        <w:rPr>
          <w:rFonts w:eastAsia="Times New Roman" w:cs="Arial"/>
          <w:bCs/>
          <w:color w:val="000000"/>
          <w:szCs w:val="20"/>
          <w:lang w:eastAsia="bg-BG"/>
        </w:rPr>
        <w:t xml:space="preserve">5 </w:t>
      </w:r>
      <w:r w:rsidRPr="00FE1090">
        <w:rPr>
          <w:rFonts w:eastAsia="Times New Roman" w:cs="Arial"/>
          <w:bCs/>
          <w:color w:val="000000"/>
          <w:szCs w:val="20"/>
          <w:lang w:val="en-US"/>
        </w:rPr>
        <w:t>mg/12</w:t>
      </w:r>
      <w:proofErr w:type="gramStart"/>
      <w:r w:rsidRPr="00FE1090">
        <w:rPr>
          <w:rFonts w:eastAsia="Times New Roman" w:cs="Arial"/>
          <w:bCs/>
          <w:color w:val="000000"/>
          <w:szCs w:val="20"/>
          <w:lang w:val="en-US"/>
        </w:rPr>
        <w:t>,5</w:t>
      </w:r>
      <w:proofErr w:type="gramEnd"/>
      <w:r w:rsidRPr="00FE1090">
        <w:rPr>
          <w:rFonts w:eastAsia="Times New Roman" w:cs="Arial"/>
          <w:bCs/>
          <w:color w:val="000000"/>
          <w:szCs w:val="20"/>
          <w:lang w:val="en-US"/>
        </w:rPr>
        <w:t xml:space="preserve"> mg film-coated tablets</w:t>
      </w:r>
    </w:p>
    <w:p w14:paraId="005DBD14" w14:textId="77777777" w:rsidR="00FE1090" w:rsidRPr="00FE1090" w:rsidRDefault="00FE1090" w:rsidP="00FE1090"/>
    <w:p w14:paraId="6920A680" w14:textId="74C00B09" w:rsidR="00C40420" w:rsidRDefault="00DD466D" w:rsidP="004A448E">
      <w:pPr>
        <w:pStyle w:val="Heading1"/>
      </w:pPr>
      <w:r>
        <w:t>2. КАЧЕСТВЕН И КОЛИЧЕСТВЕН СЪСТАВ</w:t>
      </w:r>
    </w:p>
    <w:p w14:paraId="0674551B" w14:textId="37F19199" w:rsidR="00FE1090" w:rsidRDefault="00FE1090" w:rsidP="00FE1090"/>
    <w:p w14:paraId="4B1D3D94"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 xml:space="preserve">Всяка филмирана таблетка Бисоплюс АЛ 5 </w:t>
      </w:r>
      <w:r w:rsidRPr="00FE1090">
        <w:rPr>
          <w:rFonts w:eastAsia="Times New Roman" w:cs="Arial"/>
          <w:bCs/>
          <w:color w:val="000000"/>
          <w:szCs w:val="20"/>
          <w:lang w:val="en-US"/>
        </w:rPr>
        <w:t xml:space="preserve">mg </w:t>
      </w:r>
      <w:r w:rsidRPr="00FE1090">
        <w:rPr>
          <w:rFonts w:eastAsia="Times New Roman" w:cs="Arial"/>
          <w:bCs/>
          <w:color w:val="000000"/>
          <w:szCs w:val="20"/>
          <w:lang w:eastAsia="bg-BG"/>
        </w:rPr>
        <w:t xml:space="preserve">/12,5 </w:t>
      </w:r>
      <w:r w:rsidRPr="00FE1090">
        <w:rPr>
          <w:rFonts w:eastAsia="Times New Roman" w:cs="Arial"/>
          <w:bCs/>
          <w:color w:val="000000"/>
          <w:szCs w:val="20"/>
          <w:lang w:val="en-US"/>
        </w:rPr>
        <w:t xml:space="preserve">mg </w:t>
      </w:r>
      <w:r w:rsidRPr="00FE1090">
        <w:rPr>
          <w:rFonts w:eastAsia="Times New Roman" w:cs="Arial"/>
          <w:bCs/>
          <w:color w:val="000000"/>
          <w:szCs w:val="20"/>
          <w:lang w:eastAsia="bg-BG"/>
        </w:rPr>
        <w:t xml:space="preserve">съдържа като активни вещества 5 </w:t>
      </w:r>
      <w:r w:rsidRPr="00FE1090">
        <w:rPr>
          <w:rFonts w:eastAsia="Times New Roman" w:cs="Arial"/>
          <w:bCs/>
          <w:color w:val="000000"/>
          <w:szCs w:val="20"/>
          <w:lang w:val="en-US"/>
        </w:rPr>
        <w:t xml:space="preserve">mg </w:t>
      </w:r>
      <w:r w:rsidRPr="00FE1090">
        <w:rPr>
          <w:rFonts w:eastAsia="Times New Roman" w:cs="Arial"/>
          <w:bCs/>
          <w:color w:val="000000"/>
          <w:szCs w:val="20"/>
          <w:lang w:eastAsia="bg-BG"/>
        </w:rPr>
        <w:t xml:space="preserve">бисопрололов фумарат </w:t>
      </w:r>
      <w:r w:rsidRPr="00FE1090">
        <w:rPr>
          <w:rFonts w:eastAsia="Times New Roman" w:cs="Arial"/>
          <w:bCs/>
          <w:color w:val="000000"/>
          <w:szCs w:val="20"/>
          <w:lang w:val="en-US"/>
        </w:rPr>
        <w:t>(</w:t>
      </w:r>
      <w:proofErr w:type="spellStart"/>
      <w:r w:rsidRPr="00FE1090">
        <w:rPr>
          <w:rFonts w:eastAsia="Times New Roman" w:cs="Arial"/>
          <w:bCs/>
          <w:color w:val="000000"/>
          <w:szCs w:val="20"/>
          <w:lang w:val="en-US"/>
        </w:rPr>
        <w:t>bisoprolol</w:t>
      </w:r>
      <w:proofErr w:type="spellEnd"/>
      <w:r w:rsidRPr="00FE1090">
        <w:rPr>
          <w:rFonts w:eastAsia="Times New Roman" w:cs="Arial"/>
          <w:bCs/>
          <w:color w:val="000000"/>
          <w:szCs w:val="20"/>
          <w:lang w:val="en-US"/>
        </w:rPr>
        <w:t xml:space="preserve"> fumarate), </w:t>
      </w:r>
      <w:r w:rsidRPr="00FE1090">
        <w:rPr>
          <w:rFonts w:eastAsia="Times New Roman" w:cs="Arial"/>
          <w:bCs/>
          <w:color w:val="000000"/>
          <w:szCs w:val="20"/>
          <w:lang w:eastAsia="bg-BG"/>
        </w:rPr>
        <w:t xml:space="preserve">еквивалентен на 4,24 </w:t>
      </w:r>
      <w:r w:rsidRPr="00FE1090">
        <w:rPr>
          <w:rFonts w:eastAsia="Times New Roman" w:cs="Arial"/>
          <w:bCs/>
          <w:color w:val="000000"/>
          <w:szCs w:val="20"/>
          <w:lang w:val="en-US"/>
        </w:rPr>
        <w:t xml:space="preserve">mg </w:t>
      </w:r>
      <w:r w:rsidRPr="00FE1090">
        <w:rPr>
          <w:rFonts w:eastAsia="Times New Roman" w:cs="Arial"/>
          <w:bCs/>
          <w:color w:val="000000"/>
          <w:szCs w:val="20"/>
          <w:lang w:eastAsia="bg-BG"/>
        </w:rPr>
        <w:t xml:space="preserve">бисопролол и 12,5 </w:t>
      </w:r>
      <w:r w:rsidRPr="00FE1090">
        <w:rPr>
          <w:rFonts w:eastAsia="Times New Roman" w:cs="Arial"/>
          <w:bCs/>
          <w:color w:val="000000"/>
          <w:szCs w:val="20"/>
          <w:lang w:val="en-US"/>
        </w:rPr>
        <w:t xml:space="preserve">mg </w:t>
      </w:r>
      <w:r w:rsidRPr="00FE1090">
        <w:rPr>
          <w:rFonts w:eastAsia="Times New Roman" w:cs="Arial"/>
          <w:bCs/>
          <w:color w:val="000000"/>
          <w:szCs w:val="20"/>
          <w:lang w:eastAsia="bg-BG"/>
        </w:rPr>
        <w:t xml:space="preserve">хидрохлоротиазид </w:t>
      </w:r>
      <w:r w:rsidRPr="00FE1090">
        <w:rPr>
          <w:rFonts w:eastAsia="Times New Roman" w:cs="Arial"/>
          <w:bCs/>
          <w:color w:val="000000"/>
          <w:szCs w:val="20"/>
          <w:lang w:val="en-US"/>
        </w:rPr>
        <w:t>(hydrochlorothiazide).</w:t>
      </w:r>
    </w:p>
    <w:p w14:paraId="2B2CC17C" w14:textId="77777777" w:rsidR="00FE1090" w:rsidRPr="00FE1090" w:rsidRDefault="00FE1090" w:rsidP="00FE1090">
      <w:pPr>
        <w:rPr>
          <w:rFonts w:eastAsia="Times New Roman" w:cs="Arial"/>
          <w:bCs/>
          <w:color w:val="000000"/>
          <w:szCs w:val="20"/>
          <w:lang w:eastAsia="bg-BG"/>
        </w:rPr>
      </w:pPr>
    </w:p>
    <w:p w14:paraId="496B7B8A" w14:textId="3DBA3269" w:rsidR="00FE1090" w:rsidRPr="00FE1090" w:rsidRDefault="00FE1090" w:rsidP="00FE1090">
      <w:pPr>
        <w:rPr>
          <w:rFonts w:cs="Arial"/>
          <w:sz w:val="24"/>
        </w:rPr>
      </w:pPr>
      <w:r w:rsidRPr="00FE1090">
        <w:rPr>
          <w:rFonts w:eastAsia="Times New Roman" w:cs="Arial"/>
          <w:bCs/>
          <w:color w:val="000000"/>
          <w:szCs w:val="20"/>
          <w:lang w:eastAsia="bg-BG"/>
        </w:rPr>
        <w:t>За пълния списък на помощните вещества, вижте точка 6.1.</w:t>
      </w:r>
    </w:p>
    <w:p w14:paraId="34DBFD49" w14:textId="77777777" w:rsidR="00FE1090" w:rsidRPr="00FE1090" w:rsidRDefault="00FE1090" w:rsidP="00FE1090"/>
    <w:p w14:paraId="614984C4" w14:textId="6F0775A1" w:rsidR="008A6AF2" w:rsidRDefault="00DD466D" w:rsidP="002C50EE">
      <w:pPr>
        <w:pStyle w:val="Heading1"/>
      </w:pPr>
      <w:r>
        <w:t>3. ЛЕКАРСТВЕНА ФОРМА</w:t>
      </w:r>
    </w:p>
    <w:p w14:paraId="0C389B8D" w14:textId="72B41FA6" w:rsidR="00FE1090" w:rsidRDefault="00FE1090" w:rsidP="00FE1090"/>
    <w:p w14:paraId="5E93E9C8"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Филмирана таблетка.</w:t>
      </w:r>
    </w:p>
    <w:p w14:paraId="6847E4B1" w14:textId="77777777" w:rsidR="00FE1090" w:rsidRPr="00FE1090" w:rsidRDefault="00FE1090" w:rsidP="00FE1090">
      <w:pPr>
        <w:spacing w:line="240" w:lineRule="auto"/>
        <w:rPr>
          <w:rFonts w:eastAsia="Times New Roman" w:cs="Arial"/>
          <w:bCs/>
          <w:color w:val="000000"/>
          <w:szCs w:val="20"/>
          <w:lang w:eastAsia="bg-BG"/>
        </w:rPr>
      </w:pPr>
    </w:p>
    <w:p w14:paraId="6B7C8D86" w14:textId="6665BE71"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 xml:space="preserve">Бисоплюс АЛ 5 </w:t>
      </w:r>
      <w:r w:rsidRPr="00FE1090">
        <w:rPr>
          <w:rFonts w:eastAsia="Times New Roman" w:cs="Arial"/>
          <w:bCs/>
          <w:color w:val="000000"/>
          <w:szCs w:val="20"/>
          <w:lang w:val="en-US"/>
        </w:rPr>
        <w:t xml:space="preserve">mg </w:t>
      </w:r>
      <w:r w:rsidRPr="00FE1090">
        <w:rPr>
          <w:rFonts w:eastAsia="Times New Roman" w:cs="Arial"/>
          <w:bCs/>
          <w:color w:val="000000"/>
          <w:szCs w:val="20"/>
          <w:lang w:eastAsia="bg-BG"/>
        </w:rPr>
        <w:t xml:space="preserve">/12,5 </w:t>
      </w:r>
      <w:r w:rsidRPr="00FE1090">
        <w:rPr>
          <w:rFonts w:eastAsia="Times New Roman" w:cs="Arial"/>
          <w:bCs/>
          <w:color w:val="000000"/>
          <w:szCs w:val="20"/>
          <w:lang w:val="en-US"/>
        </w:rPr>
        <w:t>mg</w:t>
      </w:r>
    </w:p>
    <w:p w14:paraId="032F22B0" w14:textId="244E2ECA" w:rsidR="00FE1090" w:rsidRPr="00FE1090" w:rsidRDefault="00FE1090" w:rsidP="00FE1090">
      <w:pPr>
        <w:rPr>
          <w:rFonts w:cs="Arial"/>
          <w:sz w:val="24"/>
        </w:rPr>
      </w:pPr>
      <w:r w:rsidRPr="00FE1090">
        <w:rPr>
          <w:rFonts w:eastAsia="Times New Roman" w:cs="Arial"/>
          <w:bCs/>
          <w:color w:val="000000"/>
          <w:szCs w:val="20"/>
          <w:lang w:eastAsia="bg-BG"/>
        </w:rPr>
        <w:t>Розови до червени, кръгли, биконвексни филмирани таблетки. Таблетките имат релефен отпечатък “В-Н” и “5-12”от едната страна и с делителна черта от двете страни.</w:t>
      </w:r>
    </w:p>
    <w:p w14:paraId="6E05DB26" w14:textId="77777777" w:rsidR="00FE1090" w:rsidRPr="00FE1090" w:rsidRDefault="00FE1090" w:rsidP="00FE1090"/>
    <w:p w14:paraId="490FC2C4" w14:textId="6EE1910E" w:rsidR="002C50EE" w:rsidRDefault="002C50EE" w:rsidP="002C50EE">
      <w:pPr>
        <w:pStyle w:val="Heading1"/>
      </w:pPr>
      <w:r>
        <w:t>4. КЛИНИЧНИ ДАННИ</w:t>
      </w:r>
    </w:p>
    <w:p w14:paraId="5E86C337" w14:textId="77777777" w:rsidR="00FE1090" w:rsidRPr="00FE1090" w:rsidRDefault="00FE1090" w:rsidP="00FE1090"/>
    <w:p w14:paraId="0C8E6903" w14:textId="72FBFC01" w:rsidR="008134C8" w:rsidRDefault="002C50EE" w:rsidP="004A448E">
      <w:pPr>
        <w:pStyle w:val="Heading2"/>
      </w:pPr>
      <w:r>
        <w:t>4.1. Терапевтични показания</w:t>
      </w:r>
    </w:p>
    <w:p w14:paraId="47FFA933" w14:textId="360AE6AA" w:rsidR="00FE1090" w:rsidRDefault="00FE1090" w:rsidP="00FE1090"/>
    <w:p w14:paraId="6F5A028A"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Есенциална хипертония.</w:t>
      </w:r>
    </w:p>
    <w:p w14:paraId="5B3FD921" w14:textId="6B2052AE" w:rsidR="00FE1090" w:rsidRPr="00FE1090" w:rsidRDefault="00FE1090" w:rsidP="00FE1090">
      <w:pPr>
        <w:rPr>
          <w:rFonts w:cs="Arial"/>
          <w:sz w:val="24"/>
        </w:rPr>
      </w:pPr>
      <w:r w:rsidRPr="00FE1090">
        <w:rPr>
          <w:rFonts w:eastAsia="Times New Roman" w:cs="Arial"/>
          <w:bCs/>
          <w:color w:val="000000"/>
          <w:szCs w:val="20"/>
          <w:lang w:eastAsia="bg-BG"/>
        </w:rPr>
        <w:t>Фиксираната дозова комбинация е показана при пациенти, при които контролът на кръвното налягане не е адекватен при използване на бисопрололов фумарат и хидрохлоротиазид самостоятелно.</w:t>
      </w:r>
    </w:p>
    <w:p w14:paraId="459CE55C" w14:textId="77777777" w:rsidR="00FE1090" w:rsidRPr="00FE1090" w:rsidRDefault="00FE1090" w:rsidP="00FE1090"/>
    <w:p w14:paraId="30BE2C7B" w14:textId="5210C270" w:rsidR="008134C8" w:rsidRDefault="002C50EE" w:rsidP="004A448E">
      <w:pPr>
        <w:pStyle w:val="Heading2"/>
      </w:pPr>
      <w:r>
        <w:t>4.2. Дозировка и начин на приложение</w:t>
      </w:r>
    </w:p>
    <w:p w14:paraId="68002BCF" w14:textId="699D9E55" w:rsidR="00FE1090" w:rsidRDefault="00FE1090" w:rsidP="00FE1090"/>
    <w:p w14:paraId="0609C658"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 xml:space="preserve">Фиксираната дозова комбинация (5 </w:t>
      </w:r>
      <w:r w:rsidRPr="00FE1090">
        <w:rPr>
          <w:rFonts w:eastAsia="Times New Roman" w:cs="Arial"/>
          <w:bCs/>
          <w:color w:val="000000"/>
          <w:szCs w:val="20"/>
          <w:lang w:val="en-US"/>
        </w:rPr>
        <w:t xml:space="preserve">mg </w:t>
      </w:r>
      <w:r w:rsidRPr="00FE1090">
        <w:rPr>
          <w:rFonts w:eastAsia="Times New Roman" w:cs="Arial"/>
          <w:bCs/>
          <w:color w:val="000000"/>
          <w:szCs w:val="20"/>
          <w:lang w:eastAsia="bg-BG"/>
        </w:rPr>
        <w:t xml:space="preserve">бисопрололов фумарат /12,5 </w:t>
      </w:r>
      <w:r w:rsidRPr="00FE1090">
        <w:rPr>
          <w:rFonts w:eastAsia="Times New Roman" w:cs="Arial"/>
          <w:bCs/>
          <w:color w:val="000000"/>
          <w:szCs w:val="20"/>
          <w:lang w:val="en-US"/>
        </w:rPr>
        <w:t xml:space="preserve">mg </w:t>
      </w:r>
      <w:r w:rsidRPr="00FE1090">
        <w:rPr>
          <w:rFonts w:eastAsia="Times New Roman" w:cs="Arial"/>
          <w:bCs/>
          <w:color w:val="000000"/>
          <w:szCs w:val="20"/>
          <w:lang w:eastAsia="bg-BG"/>
        </w:rPr>
        <w:t xml:space="preserve">хидрохлоротиазид) може да се прилага при пациенти, чието кръвно налягане не се контролира адекватно при използване самостоятелно на бисопролол (5 </w:t>
      </w:r>
      <w:r w:rsidRPr="00FE1090">
        <w:rPr>
          <w:rFonts w:eastAsia="Times New Roman" w:cs="Arial"/>
          <w:bCs/>
          <w:color w:val="000000"/>
          <w:szCs w:val="20"/>
          <w:lang w:val="en-US"/>
        </w:rPr>
        <w:t xml:space="preserve">mg) </w:t>
      </w:r>
      <w:r w:rsidRPr="00FE1090">
        <w:rPr>
          <w:rFonts w:eastAsia="Times New Roman" w:cs="Arial"/>
          <w:bCs/>
          <w:color w:val="000000"/>
          <w:szCs w:val="20"/>
          <w:lang w:eastAsia="bg-BG"/>
        </w:rPr>
        <w:t xml:space="preserve">и хидрохлоротиазид (12,5 </w:t>
      </w:r>
      <w:r w:rsidRPr="00FE1090">
        <w:rPr>
          <w:rFonts w:eastAsia="Times New Roman" w:cs="Arial"/>
          <w:bCs/>
          <w:color w:val="000000"/>
          <w:szCs w:val="20"/>
          <w:lang w:val="en-US"/>
        </w:rPr>
        <w:t>mg.).</w:t>
      </w:r>
    </w:p>
    <w:p w14:paraId="400ADF75"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Ако клинично е по-подходящо, може да се премине от монотерапия към фиксирана комбинация.</w:t>
      </w:r>
    </w:p>
    <w:p w14:paraId="46A729B8" w14:textId="77777777" w:rsidR="00FE1090" w:rsidRPr="00FE1090" w:rsidRDefault="00FE1090" w:rsidP="00FE1090">
      <w:pPr>
        <w:spacing w:line="240" w:lineRule="auto"/>
        <w:rPr>
          <w:rFonts w:eastAsia="Times New Roman" w:cs="Arial"/>
          <w:bCs/>
          <w:color w:val="000000"/>
          <w:szCs w:val="20"/>
          <w:u w:val="single"/>
          <w:lang w:eastAsia="bg-BG"/>
        </w:rPr>
      </w:pPr>
    </w:p>
    <w:p w14:paraId="7C2B5BE6" w14:textId="1D75AE29" w:rsidR="00FE1090" w:rsidRPr="00E16C30" w:rsidRDefault="00FE1090" w:rsidP="00E16C30">
      <w:pPr>
        <w:pStyle w:val="Heading3"/>
        <w:rPr>
          <w:rFonts w:eastAsia="Times New Roman"/>
          <w:sz w:val="28"/>
          <w:u w:val="single"/>
          <w:lang w:eastAsia="bg-BG"/>
        </w:rPr>
      </w:pPr>
      <w:r w:rsidRPr="00E16C30">
        <w:rPr>
          <w:rFonts w:eastAsia="Times New Roman"/>
          <w:u w:val="single"/>
          <w:lang w:eastAsia="bg-BG"/>
        </w:rPr>
        <w:lastRenderedPageBreak/>
        <w:t>Дозировка</w:t>
      </w:r>
    </w:p>
    <w:p w14:paraId="267182F0"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Обичайната начална доза е 1 таблетка дневно.</w:t>
      </w:r>
    </w:p>
    <w:p w14:paraId="6BB8F8BE" w14:textId="11F44BAE"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Препоръчва се индивидуално титриране на дозата.</w:t>
      </w:r>
    </w:p>
    <w:p w14:paraId="22398956" w14:textId="77777777" w:rsidR="00FE1090" w:rsidRPr="00FE1090" w:rsidRDefault="00FE1090" w:rsidP="00FE1090">
      <w:pPr>
        <w:spacing w:line="240" w:lineRule="auto"/>
        <w:rPr>
          <w:rFonts w:eastAsia="Times New Roman" w:cs="Arial"/>
          <w:bCs/>
          <w:color w:val="000000"/>
          <w:szCs w:val="20"/>
          <w:lang w:eastAsia="bg-BG"/>
        </w:rPr>
      </w:pPr>
    </w:p>
    <w:p w14:paraId="322B7CC6" w14:textId="640801CA"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При необходимост, ако антихипертензивния ефект от прием на една таблетка дневно е недостатъчен, дозата може да бъде увеличена до 2 таблетки дневно.</w:t>
      </w:r>
    </w:p>
    <w:p w14:paraId="72E0F28E" w14:textId="77777777" w:rsidR="00FE1090" w:rsidRPr="00FE1090" w:rsidRDefault="00FE1090" w:rsidP="00FE1090">
      <w:pPr>
        <w:spacing w:line="240" w:lineRule="auto"/>
        <w:rPr>
          <w:rFonts w:eastAsia="Times New Roman" w:cs="Arial"/>
          <w:bCs/>
          <w:color w:val="000000"/>
          <w:szCs w:val="20"/>
          <w:u w:val="single"/>
          <w:lang w:eastAsia="bg-BG"/>
        </w:rPr>
      </w:pPr>
    </w:p>
    <w:p w14:paraId="495E7333" w14:textId="15F854FC"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u w:val="single"/>
          <w:lang w:eastAsia="bg-BG"/>
        </w:rPr>
        <w:t>Пациенти в старческа възраст</w:t>
      </w:r>
    </w:p>
    <w:p w14:paraId="5ECFFF90" w14:textId="3B659BDB" w:rsidR="00FE1090" w:rsidRDefault="00FE1090" w:rsidP="00FE1090">
      <w:pPr>
        <w:rPr>
          <w:rFonts w:eastAsia="Times New Roman" w:cs="Arial"/>
          <w:bCs/>
          <w:color w:val="000000"/>
          <w:szCs w:val="20"/>
          <w:lang w:eastAsia="bg-BG"/>
        </w:rPr>
      </w:pPr>
      <w:r w:rsidRPr="00FE1090">
        <w:rPr>
          <w:rFonts w:eastAsia="Times New Roman" w:cs="Arial"/>
          <w:bCs/>
          <w:color w:val="000000"/>
          <w:szCs w:val="20"/>
          <w:lang w:eastAsia="bg-BG"/>
        </w:rPr>
        <w:t>Нормално не се изисква коригиране на дозата. Препоръчва се то да стартира с възможно най- ниската доза.</w:t>
      </w:r>
    </w:p>
    <w:p w14:paraId="4418F108" w14:textId="0BE39CE5" w:rsidR="00FE1090" w:rsidRDefault="00FE1090" w:rsidP="00FE1090">
      <w:pPr>
        <w:rPr>
          <w:rFonts w:eastAsia="Times New Roman" w:cs="Arial"/>
          <w:bCs/>
          <w:color w:val="000000"/>
          <w:szCs w:val="20"/>
          <w:lang w:eastAsia="bg-BG"/>
        </w:rPr>
      </w:pPr>
    </w:p>
    <w:p w14:paraId="640AD174"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i/>
          <w:iCs/>
          <w:color w:val="000000"/>
          <w:szCs w:val="20"/>
          <w:u w:val="single"/>
          <w:lang w:eastAsia="bg-BG"/>
        </w:rPr>
        <w:t>Бъбречна</w:t>
      </w:r>
      <w:r w:rsidRPr="00FE1090">
        <w:rPr>
          <w:rFonts w:eastAsia="Times New Roman" w:cs="Arial"/>
          <w:bCs/>
          <w:color w:val="000000"/>
          <w:szCs w:val="20"/>
          <w:u w:val="single"/>
          <w:lang w:eastAsia="bg-BG"/>
        </w:rPr>
        <w:t xml:space="preserve"> и чернодробна недостатъчност</w:t>
      </w:r>
    </w:p>
    <w:p w14:paraId="0E122B75"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 xml:space="preserve">При пациенти с лека до средно тежка бъбречна недостатъчност (креатининов клирънс &gt;30 </w:t>
      </w:r>
      <w:r w:rsidRPr="00FE1090">
        <w:rPr>
          <w:rFonts w:eastAsia="Times New Roman" w:cs="Arial"/>
          <w:bCs/>
          <w:color w:val="000000"/>
          <w:szCs w:val="20"/>
          <w:lang w:val="en-US"/>
        </w:rPr>
        <w:t xml:space="preserve">ml/min) </w:t>
      </w:r>
      <w:r w:rsidRPr="00FE1090">
        <w:rPr>
          <w:rFonts w:eastAsia="Times New Roman" w:cs="Arial"/>
          <w:bCs/>
          <w:color w:val="000000"/>
          <w:szCs w:val="20"/>
          <w:lang w:eastAsia="bg-BG"/>
        </w:rPr>
        <w:t>и лека до средно тежка чернодробна недостатъчност не се изисква коригиране на дозата. Въпреки това, при пациенти с леко до умерено нарушение на чернодробната функция е необходим лекарски контрол (виж точка 4.4).</w:t>
      </w:r>
    </w:p>
    <w:p w14:paraId="7CE499A8" w14:textId="77777777" w:rsidR="00FE1090" w:rsidRPr="00FE1090" w:rsidRDefault="00FE1090" w:rsidP="00FE1090">
      <w:pPr>
        <w:spacing w:line="240" w:lineRule="auto"/>
        <w:rPr>
          <w:rFonts w:eastAsia="Times New Roman" w:cs="Arial"/>
          <w:bCs/>
          <w:color w:val="000000"/>
          <w:szCs w:val="20"/>
          <w:u w:val="single"/>
          <w:lang w:eastAsia="bg-BG"/>
        </w:rPr>
      </w:pPr>
    </w:p>
    <w:p w14:paraId="6A19D296" w14:textId="673F27BE"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u w:val="single"/>
          <w:lang w:eastAsia="bg-BG"/>
        </w:rPr>
        <w:t>Педиатрични пациенти</w:t>
      </w:r>
    </w:p>
    <w:p w14:paraId="7BB0AF56"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Липсва опит в педиатрията с комбинацията бисопрололов фумарат/хидрохлоротиазид, поради което използването на тази комбинация при деца не се препоръчва.</w:t>
      </w:r>
    </w:p>
    <w:p w14:paraId="1F15FDE8" w14:textId="77777777" w:rsidR="00FE1090" w:rsidRPr="00FE1090" w:rsidRDefault="00FE1090" w:rsidP="00FE1090">
      <w:pPr>
        <w:spacing w:line="240" w:lineRule="auto"/>
        <w:rPr>
          <w:rFonts w:eastAsia="Times New Roman" w:cs="Arial"/>
          <w:bCs/>
          <w:color w:val="000000"/>
          <w:szCs w:val="20"/>
          <w:u w:val="single"/>
          <w:lang w:eastAsia="bg-BG"/>
        </w:rPr>
      </w:pPr>
    </w:p>
    <w:p w14:paraId="44437732" w14:textId="68E7C8FA" w:rsidR="00FE1090" w:rsidRPr="00E16C30" w:rsidRDefault="00FE1090" w:rsidP="00E16C30">
      <w:pPr>
        <w:pStyle w:val="Heading3"/>
        <w:rPr>
          <w:rFonts w:eastAsia="Times New Roman"/>
          <w:sz w:val="28"/>
          <w:u w:val="single"/>
          <w:lang w:eastAsia="bg-BG"/>
        </w:rPr>
      </w:pPr>
      <w:r w:rsidRPr="00E16C30">
        <w:rPr>
          <w:rFonts w:eastAsia="Times New Roman"/>
          <w:u w:val="single"/>
          <w:lang w:eastAsia="bg-BG"/>
        </w:rPr>
        <w:t>Начин на прилагане</w:t>
      </w:r>
    </w:p>
    <w:p w14:paraId="6B4083DE"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Филмираните таблетки трябва да се приемат цели, с малко течност и не трябва да се сдъвкват.</w:t>
      </w:r>
    </w:p>
    <w:p w14:paraId="3606C0A1" w14:textId="250FB929" w:rsidR="00FE1090" w:rsidRPr="00FE1090" w:rsidRDefault="00FE1090" w:rsidP="00FE1090">
      <w:pPr>
        <w:rPr>
          <w:rFonts w:cs="Arial"/>
          <w:sz w:val="28"/>
        </w:rPr>
      </w:pPr>
      <w:r w:rsidRPr="00FE1090">
        <w:rPr>
          <w:rFonts w:eastAsia="Times New Roman" w:cs="Arial"/>
          <w:bCs/>
          <w:color w:val="000000"/>
          <w:szCs w:val="20"/>
          <w:lang w:eastAsia="bg-BG"/>
        </w:rPr>
        <w:t>По принцип Бисоплюс АЛ трябва да се приема сутрин.</w:t>
      </w:r>
    </w:p>
    <w:p w14:paraId="58718930" w14:textId="77777777" w:rsidR="00FE1090" w:rsidRPr="00FE1090" w:rsidRDefault="00FE1090" w:rsidP="00FE1090"/>
    <w:p w14:paraId="28C984E8" w14:textId="29BA7404" w:rsidR="008134C8" w:rsidRDefault="002C50EE" w:rsidP="004A448E">
      <w:pPr>
        <w:pStyle w:val="Heading2"/>
      </w:pPr>
      <w:r>
        <w:t>4.3. Противопоказания</w:t>
      </w:r>
    </w:p>
    <w:p w14:paraId="710182E9" w14:textId="62080D18" w:rsidR="00FE1090" w:rsidRDefault="00FE1090" w:rsidP="00FE1090"/>
    <w:p w14:paraId="2A4CEAA2"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Свръхчувствителност към бисопрололов фумарат, хидрохлоротиазид и други тиазиди, сулфонамиди, или към някое от помощните вещества на този лекарствен продукт, изброени в точка 6.1;</w:t>
      </w:r>
    </w:p>
    <w:p w14:paraId="63D209D0"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остра сърдечна недостатъчност или по време на епизоди на декомпенсирана сърдечна недостатъчност, които изискват интравенозна инотропна терапия;</w:t>
      </w:r>
    </w:p>
    <w:p w14:paraId="0BCF5CEA"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кардиогенен шок;</w:t>
      </w:r>
    </w:p>
    <w:p w14:paraId="2D2C2326"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 xml:space="preserve">2 или </w:t>
      </w:r>
      <w:r w:rsidRPr="00FE1090">
        <w:rPr>
          <w:rFonts w:eastAsia="Times New Roman" w:cs="Arial"/>
          <w:bCs/>
          <w:i/>
          <w:iCs/>
          <w:color w:val="000000"/>
          <w:szCs w:val="20"/>
          <w:lang w:eastAsia="bg-BG"/>
        </w:rPr>
        <w:t>3</w:t>
      </w:r>
      <w:r w:rsidRPr="00FE1090">
        <w:rPr>
          <w:rFonts w:eastAsia="Times New Roman" w:cs="Arial"/>
          <w:bCs/>
          <w:color w:val="000000"/>
          <w:szCs w:val="20"/>
          <w:lang w:eastAsia="bg-BG"/>
        </w:rPr>
        <w:t xml:space="preserve"> степен </w:t>
      </w:r>
      <w:r w:rsidRPr="00FE1090">
        <w:rPr>
          <w:rFonts w:eastAsia="Times New Roman" w:cs="Arial"/>
          <w:bCs/>
          <w:color w:val="000000"/>
          <w:szCs w:val="20"/>
          <w:lang w:val="en-US"/>
        </w:rPr>
        <w:t>A</w:t>
      </w:r>
      <w:r w:rsidRPr="00FE1090">
        <w:rPr>
          <w:rFonts w:eastAsia="Times New Roman" w:cs="Arial"/>
          <w:bCs/>
          <w:color w:val="000000"/>
          <w:szCs w:val="20"/>
          <w:lang w:eastAsia="bg-BG"/>
        </w:rPr>
        <w:t>V блок;</w:t>
      </w:r>
    </w:p>
    <w:p w14:paraId="114D2DBE"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синдром на болния синусов възел;</w:t>
      </w:r>
    </w:p>
    <w:p w14:paraId="58E089B2"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синоатриален блок;</w:t>
      </w:r>
    </w:p>
    <w:p w14:paraId="390F49EE"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симптоматична брадикардия;</w:t>
      </w:r>
    </w:p>
    <w:p w14:paraId="1A940841"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тежки форми на периферна артериална оклузивна болест или тежки форми на синдром на Рейно;</w:t>
      </w:r>
    </w:p>
    <w:p w14:paraId="3C0D6275"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тежка бронхиална астма или тежка хронична обструктивна белодробна болест;</w:t>
      </w:r>
    </w:p>
    <w:p w14:paraId="6886E8DC"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метаболитна ацидоза;</w:t>
      </w:r>
    </w:p>
    <w:p w14:paraId="1AA02F45"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рефракторна хипокалиемия;</w:t>
      </w:r>
    </w:p>
    <w:p w14:paraId="0E421A66"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тежка хипонатриемия;</w:t>
      </w:r>
    </w:p>
    <w:p w14:paraId="18FB749A"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хиперкалциемия;</w:t>
      </w:r>
    </w:p>
    <w:p w14:paraId="01B4FE9B"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 xml:space="preserve">тежка бъбречна недостатъчност с олигурия или анурия (креатининов крирънс &lt;30 </w:t>
      </w:r>
      <w:r w:rsidRPr="00FE1090">
        <w:rPr>
          <w:rFonts w:eastAsia="Times New Roman" w:cs="Arial"/>
          <w:bCs/>
          <w:color w:val="000000"/>
          <w:szCs w:val="20"/>
          <w:lang w:val="en-US"/>
        </w:rPr>
        <w:t xml:space="preserve">ml/min </w:t>
      </w:r>
      <w:r w:rsidRPr="00FE1090">
        <w:rPr>
          <w:rFonts w:eastAsia="Times New Roman" w:cs="Arial"/>
          <w:bCs/>
          <w:i/>
          <w:iCs/>
          <w:color w:val="000000"/>
          <w:szCs w:val="20"/>
          <w:lang w:eastAsia="bg-BG"/>
        </w:rPr>
        <w:t>и/или</w:t>
      </w:r>
      <w:r w:rsidRPr="00FE1090">
        <w:rPr>
          <w:rFonts w:eastAsia="Times New Roman" w:cs="Arial"/>
          <w:bCs/>
          <w:color w:val="000000"/>
          <w:szCs w:val="20"/>
          <w:lang w:eastAsia="bg-BG"/>
        </w:rPr>
        <w:t xml:space="preserve"> серумен креатинин &gt; 1,8 </w:t>
      </w:r>
      <w:r w:rsidRPr="00FE1090">
        <w:rPr>
          <w:rFonts w:eastAsia="Times New Roman" w:cs="Arial"/>
          <w:bCs/>
          <w:color w:val="000000"/>
          <w:szCs w:val="20"/>
          <w:lang w:val="en-US"/>
        </w:rPr>
        <w:t>mg/</w:t>
      </w:r>
      <w:r w:rsidRPr="00FE1090">
        <w:rPr>
          <w:rFonts w:eastAsia="Times New Roman" w:cs="Arial"/>
          <w:bCs/>
          <w:color w:val="000000"/>
          <w:szCs w:val="20"/>
          <w:lang w:eastAsia="bg-BG"/>
        </w:rPr>
        <w:t xml:space="preserve">100 </w:t>
      </w:r>
      <w:r w:rsidRPr="00FE1090">
        <w:rPr>
          <w:rFonts w:eastAsia="Times New Roman" w:cs="Arial"/>
          <w:bCs/>
          <w:color w:val="000000"/>
          <w:szCs w:val="20"/>
          <w:lang w:val="en-US"/>
        </w:rPr>
        <w:t>ml);</w:t>
      </w:r>
    </w:p>
    <w:p w14:paraId="17983ECD"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остър гломерулонефриг;</w:t>
      </w:r>
    </w:p>
    <w:p w14:paraId="46AE04AF"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lastRenderedPageBreak/>
        <w:t>тежка чернодробна недостатъчност, включително чернодробна прекома и кома</w:t>
      </w:r>
    </w:p>
    <w:p w14:paraId="1CF67FA0" w14:textId="1CE8E96E"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Pr>
          <w:rFonts w:eastAsia="Times New Roman" w:cs="Arial"/>
          <w:bCs/>
          <w:color w:val="000000"/>
          <w:szCs w:val="20"/>
          <w:lang w:eastAsia="bg-BG"/>
        </w:rPr>
        <w:t>не</w:t>
      </w:r>
      <w:r w:rsidRPr="00FE1090">
        <w:rPr>
          <w:rFonts w:eastAsia="Times New Roman" w:cs="Arial"/>
          <w:bCs/>
          <w:color w:val="000000"/>
          <w:szCs w:val="20"/>
          <w:lang w:eastAsia="bg-BG"/>
        </w:rPr>
        <w:t>лекуван феохромоцитом (виж точка 4.4);</w:t>
      </w:r>
    </w:p>
    <w:p w14:paraId="378ACCA1"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подагра;</w:t>
      </w:r>
    </w:p>
    <w:p w14:paraId="62D91C78" w14:textId="77777777" w:rsidR="00FE1090" w:rsidRPr="00FE1090" w:rsidRDefault="00FE1090" w:rsidP="00FE1090">
      <w:pPr>
        <w:pStyle w:val="ListParagraph"/>
        <w:numPr>
          <w:ilvl w:val="0"/>
          <w:numId w:val="35"/>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кърмене (виж точка 4.6);</w:t>
      </w:r>
    </w:p>
    <w:p w14:paraId="69EB33A6" w14:textId="3E261B95" w:rsidR="00FE1090" w:rsidRPr="00FE1090" w:rsidRDefault="00FE1090" w:rsidP="00FE1090">
      <w:pPr>
        <w:pStyle w:val="ListParagraph"/>
        <w:numPr>
          <w:ilvl w:val="0"/>
          <w:numId w:val="35"/>
        </w:numPr>
        <w:rPr>
          <w:rFonts w:cs="Arial"/>
          <w:sz w:val="24"/>
        </w:rPr>
      </w:pPr>
      <w:r w:rsidRPr="00FE1090">
        <w:rPr>
          <w:rFonts w:eastAsia="Times New Roman" w:cs="Arial"/>
          <w:bCs/>
          <w:color w:val="000000"/>
          <w:szCs w:val="20"/>
          <w:lang w:eastAsia="bg-BG"/>
        </w:rPr>
        <w:t>едновременен прием на флоктафеин и султоприд (виж точка 4.5);</w:t>
      </w:r>
    </w:p>
    <w:p w14:paraId="6F07FF57" w14:textId="77777777" w:rsidR="00FE1090" w:rsidRPr="00FE1090" w:rsidRDefault="00FE1090" w:rsidP="00FE1090"/>
    <w:p w14:paraId="212F509C" w14:textId="2E4FE838" w:rsidR="004F498A" w:rsidRDefault="002C50EE" w:rsidP="004A448E">
      <w:pPr>
        <w:pStyle w:val="Heading2"/>
      </w:pPr>
      <w:r>
        <w:t>4.4. Специални предупреждения и предпазни мерки при употреба</w:t>
      </w:r>
    </w:p>
    <w:p w14:paraId="4A8C7C38" w14:textId="0A863BF3" w:rsidR="00FE1090" w:rsidRDefault="00FE1090" w:rsidP="00FE1090"/>
    <w:p w14:paraId="1383D0D8"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Прекъсването на терапията с бета-блокери (например бисопрололов фумарат) не трябва да става рязко, освен ако няма ясни показания за това. При продължително лечение, особено при наличие на исхемична болест на сърцето, приемът на бисопрололов фумарат/хидрохлоротиазид трябва постепенно да се спира (като дозата се разделя наполовина в продължение на 7-10 дни), тъй като внезапното спиране на терапията може да доведе до остро влошаване на състоянието на пациента.</w:t>
      </w:r>
    </w:p>
    <w:p w14:paraId="39D688C8" w14:textId="77777777" w:rsidR="00FE1090" w:rsidRDefault="00FE1090" w:rsidP="00FE1090">
      <w:pPr>
        <w:rPr>
          <w:rFonts w:eastAsia="Times New Roman" w:cs="Arial"/>
          <w:bCs/>
          <w:color w:val="000000"/>
          <w:szCs w:val="20"/>
          <w:lang w:eastAsia="bg-BG"/>
        </w:rPr>
      </w:pPr>
    </w:p>
    <w:p w14:paraId="5AB69751" w14:textId="764A2969" w:rsidR="00FE1090" w:rsidRDefault="00FE1090" w:rsidP="00FE1090">
      <w:pPr>
        <w:rPr>
          <w:rFonts w:eastAsia="Times New Roman" w:cs="Arial"/>
          <w:bCs/>
          <w:color w:val="000000"/>
          <w:szCs w:val="20"/>
          <w:lang w:eastAsia="bg-BG"/>
        </w:rPr>
      </w:pPr>
      <w:r w:rsidRPr="00FE1090">
        <w:rPr>
          <w:rFonts w:eastAsia="Times New Roman" w:cs="Arial"/>
          <w:bCs/>
          <w:color w:val="000000"/>
          <w:szCs w:val="20"/>
          <w:lang w:eastAsia="bg-BG"/>
        </w:rPr>
        <w:t>Бисоплюс АЛ трябва да се прилага внимателно при пациенти със:</w:t>
      </w:r>
    </w:p>
    <w:p w14:paraId="293117ED" w14:textId="77777777" w:rsidR="00FE1090" w:rsidRPr="00FE1090" w:rsidRDefault="00FE1090" w:rsidP="00FE1090">
      <w:pPr>
        <w:pStyle w:val="ListParagraph"/>
        <w:numPr>
          <w:ilvl w:val="0"/>
          <w:numId w:val="36"/>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сърдечна недостатъчност (при пациенти със стабилна хронична сърдечна недостатъчност лечението трябва да започне с бисопрололов фумарат като монотерапия с промяна на дозата на определени интервли);</w:t>
      </w:r>
    </w:p>
    <w:p w14:paraId="5B6FAC59" w14:textId="77777777" w:rsidR="00FE1090" w:rsidRPr="00FE1090" w:rsidRDefault="00FE1090" w:rsidP="00FE1090">
      <w:pPr>
        <w:pStyle w:val="ListParagraph"/>
        <w:numPr>
          <w:ilvl w:val="0"/>
          <w:numId w:val="36"/>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Захарен диабет с големи отклонения в стойностите на кръвната захар; симптомите на хипогликемия могат да бъдат маскирани</w:t>
      </w:r>
    </w:p>
    <w:p w14:paraId="6633B696" w14:textId="77777777" w:rsidR="00FE1090" w:rsidRPr="00FE1090" w:rsidRDefault="00FE1090" w:rsidP="00FE1090">
      <w:pPr>
        <w:pStyle w:val="ListParagraph"/>
        <w:numPr>
          <w:ilvl w:val="0"/>
          <w:numId w:val="36"/>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стриктно гладуване</w:t>
      </w:r>
    </w:p>
    <w:p w14:paraId="68F073AE" w14:textId="77777777" w:rsidR="00FE1090" w:rsidRPr="00FE1090" w:rsidRDefault="00FE1090" w:rsidP="00FE1090">
      <w:pPr>
        <w:pStyle w:val="ListParagraph"/>
        <w:numPr>
          <w:ilvl w:val="0"/>
          <w:numId w:val="36"/>
        </w:numPr>
        <w:spacing w:line="240" w:lineRule="auto"/>
        <w:rPr>
          <w:rFonts w:eastAsia="Times New Roman" w:cs="Arial"/>
          <w:bCs/>
          <w:color w:val="000000"/>
          <w:szCs w:val="20"/>
          <w:lang w:val="en-US"/>
        </w:rPr>
      </w:pPr>
      <w:r w:rsidRPr="00FE1090">
        <w:rPr>
          <w:rFonts w:eastAsia="Times New Roman" w:cs="Arial"/>
          <w:bCs/>
          <w:color w:val="000000"/>
          <w:szCs w:val="20"/>
          <w:lang w:val="en-US"/>
        </w:rPr>
        <w:t xml:space="preserve">AV </w:t>
      </w:r>
      <w:r w:rsidRPr="00FE1090">
        <w:rPr>
          <w:rFonts w:eastAsia="Times New Roman" w:cs="Arial"/>
          <w:bCs/>
          <w:color w:val="000000"/>
          <w:szCs w:val="20"/>
          <w:lang w:eastAsia="bg-BG"/>
        </w:rPr>
        <w:t>блок -</w:t>
      </w:r>
      <w:r w:rsidRPr="00FE1090">
        <w:rPr>
          <w:rFonts w:eastAsia="Times New Roman" w:cs="Arial"/>
          <w:bCs/>
          <w:color w:val="000000"/>
          <w:szCs w:val="20"/>
          <w:lang w:val="en-US"/>
        </w:rPr>
        <w:t xml:space="preserve"> </w:t>
      </w:r>
      <w:r w:rsidRPr="00FE1090">
        <w:rPr>
          <w:rFonts w:eastAsia="Times New Roman" w:cs="Arial"/>
          <w:bCs/>
          <w:color w:val="000000"/>
          <w:szCs w:val="20"/>
          <w:lang w:eastAsia="bg-BG"/>
        </w:rPr>
        <w:t>I степен</w:t>
      </w:r>
    </w:p>
    <w:p w14:paraId="6B92B638" w14:textId="77777777" w:rsidR="00FE1090" w:rsidRPr="00FE1090" w:rsidRDefault="00FE1090" w:rsidP="00FE1090">
      <w:pPr>
        <w:pStyle w:val="ListParagraph"/>
        <w:numPr>
          <w:ilvl w:val="0"/>
          <w:numId w:val="36"/>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Ангина на Принцментал</w:t>
      </w:r>
    </w:p>
    <w:p w14:paraId="766584A4" w14:textId="77777777" w:rsidR="00FE1090" w:rsidRPr="00FE1090" w:rsidRDefault="00FE1090" w:rsidP="00FE1090">
      <w:pPr>
        <w:pStyle w:val="ListParagraph"/>
        <w:numPr>
          <w:ilvl w:val="0"/>
          <w:numId w:val="36"/>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периферна артериална оклузивна болест (влошаване на симптомите е възможно, особено в началото на лечението)</w:t>
      </w:r>
    </w:p>
    <w:p w14:paraId="686A10C0" w14:textId="77777777" w:rsidR="00FE1090" w:rsidRDefault="00FE1090" w:rsidP="00FE1090">
      <w:pPr>
        <w:pStyle w:val="ListParagraph"/>
        <w:numPr>
          <w:ilvl w:val="0"/>
          <w:numId w:val="36"/>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хиповолемия</w:t>
      </w:r>
    </w:p>
    <w:p w14:paraId="6F13DDAD" w14:textId="3402BF1A" w:rsidR="00FE1090" w:rsidRPr="00FE1090" w:rsidRDefault="00FE1090" w:rsidP="00FE1090">
      <w:pPr>
        <w:pStyle w:val="ListParagraph"/>
        <w:numPr>
          <w:ilvl w:val="0"/>
          <w:numId w:val="36"/>
        </w:numPr>
        <w:spacing w:line="240" w:lineRule="auto"/>
        <w:rPr>
          <w:rFonts w:eastAsia="Times New Roman" w:cs="Arial"/>
          <w:bCs/>
          <w:color w:val="000000"/>
          <w:szCs w:val="20"/>
          <w:lang w:eastAsia="bg-BG"/>
        </w:rPr>
      </w:pPr>
      <w:r w:rsidRPr="00FE1090">
        <w:rPr>
          <w:rFonts w:eastAsia="Times New Roman" w:cs="Arial"/>
          <w:bCs/>
          <w:color w:val="000000"/>
          <w:szCs w:val="20"/>
          <w:lang w:eastAsia="bg-BG"/>
        </w:rPr>
        <w:t>увредена чернодробната функция</w:t>
      </w:r>
    </w:p>
    <w:p w14:paraId="7BD98AB0" w14:textId="77777777" w:rsidR="00FE1090" w:rsidRPr="00FE1090" w:rsidRDefault="00FE1090" w:rsidP="00FE1090">
      <w:pPr>
        <w:spacing w:line="240" w:lineRule="auto"/>
        <w:rPr>
          <w:rFonts w:eastAsia="Times New Roman" w:cs="Arial"/>
          <w:bCs/>
          <w:color w:val="000000"/>
          <w:szCs w:val="20"/>
          <w:lang w:eastAsia="bg-BG"/>
        </w:rPr>
      </w:pPr>
    </w:p>
    <w:p w14:paraId="682C37C5" w14:textId="3E206543"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Подобно на други бета блокери, бисопрололов фумарат може да увеличи чувствителността към алергени и тежестта на анафилактичните реакции. Същото се отнася и за десенсибилизиращата терапия. Прилагането на епинефрин не винаги може да доведе до очаквания терапевтичен ефект.</w:t>
      </w:r>
    </w:p>
    <w:p w14:paraId="1B9DBB73" w14:textId="77777777" w:rsidR="00FE1090" w:rsidRPr="00FE1090" w:rsidRDefault="00FE1090" w:rsidP="00FE1090">
      <w:pPr>
        <w:spacing w:line="240" w:lineRule="auto"/>
        <w:rPr>
          <w:rFonts w:eastAsia="Times New Roman" w:cs="Arial"/>
          <w:bCs/>
          <w:color w:val="000000"/>
          <w:szCs w:val="20"/>
          <w:lang w:eastAsia="bg-BG"/>
        </w:rPr>
      </w:pPr>
    </w:p>
    <w:p w14:paraId="03647F93" w14:textId="63AA697D"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Пациенти с псориазис или с анамнестични данни за псориазис трябва да използват бета блокери (напр. бисопрололов фумарат) само след внимателна преценка на съотношението полза/риск.</w:t>
      </w:r>
    </w:p>
    <w:p w14:paraId="1153A761" w14:textId="77777777" w:rsidR="00FE1090" w:rsidRPr="00FE1090" w:rsidRDefault="00FE1090" w:rsidP="00FE1090">
      <w:pPr>
        <w:spacing w:line="240" w:lineRule="auto"/>
        <w:rPr>
          <w:rFonts w:eastAsia="Times New Roman" w:cs="Arial"/>
          <w:bCs/>
          <w:color w:val="000000"/>
          <w:szCs w:val="20"/>
          <w:lang w:eastAsia="bg-BG"/>
        </w:rPr>
      </w:pPr>
    </w:p>
    <w:p w14:paraId="417ED94F" w14:textId="0D2CF8DB"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При лечение с бета блокери симптомите на тиреотоксикоза могат да бъдат маскирани.</w:t>
      </w:r>
    </w:p>
    <w:p w14:paraId="741692D9" w14:textId="77777777" w:rsidR="00FE1090" w:rsidRPr="00FE1090" w:rsidRDefault="00FE1090" w:rsidP="00FE1090">
      <w:pPr>
        <w:spacing w:line="240" w:lineRule="auto"/>
        <w:rPr>
          <w:rFonts w:eastAsia="Times New Roman" w:cs="Arial"/>
          <w:bCs/>
          <w:color w:val="000000"/>
          <w:szCs w:val="20"/>
          <w:lang w:eastAsia="bg-BG"/>
        </w:rPr>
      </w:pPr>
    </w:p>
    <w:p w14:paraId="3A637A4D" w14:textId="5148E218"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Пациентни с феохромоцитом бисопрололов фумарат може да се приема едва след прекратяване на блокадата на алфа рецепторите.</w:t>
      </w:r>
    </w:p>
    <w:p w14:paraId="3C33B9E5" w14:textId="77777777" w:rsidR="00FE1090" w:rsidRPr="00FE1090" w:rsidRDefault="00FE1090" w:rsidP="00FE1090">
      <w:pPr>
        <w:spacing w:line="240" w:lineRule="auto"/>
        <w:rPr>
          <w:rFonts w:eastAsia="Times New Roman" w:cs="Arial"/>
          <w:bCs/>
          <w:color w:val="000000"/>
          <w:szCs w:val="20"/>
          <w:lang w:eastAsia="bg-BG"/>
        </w:rPr>
      </w:pPr>
    </w:p>
    <w:p w14:paraId="1557A435" w14:textId="1B2381B5"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При пациенти под обща анестезия: бета-блокадата намалява честотата на аритмиите и миокардната исхемия по време на увода в анестезията и интубацията, както и в следопертавния период. Понастоящем се препоръчва поддържащата бета-блокада да продължи периоперативно.</w:t>
      </w:r>
    </w:p>
    <w:p w14:paraId="5E433CA0"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 xml:space="preserve">Анестезиологът трябва да бъде уведомен за наличието на бета-блокада поради възможни взаимодействия с други лекарствени продукти, които да доведат до </w:t>
      </w:r>
      <w:r w:rsidRPr="00FE1090">
        <w:rPr>
          <w:rFonts w:eastAsia="Times New Roman" w:cs="Arial"/>
          <w:bCs/>
          <w:color w:val="000000"/>
          <w:szCs w:val="20"/>
          <w:lang w:eastAsia="bg-BG"/>
        </w:rPr>
        <w:lastRenderedPageBreak/>
        <w:t>брадиаритмии, отслабване на рефлексната тахикардия и намалена рефлекторна способност за компенсиране на кръвозагубата. При преценка за необходимост от прекратяване на терапията с бета блокер преди операцията, преустановяването се извършва постепенно и следва да завърши приблизително 48 часа преди анестезията.</w:t>
      </w:r>
    </w:p>
    <w:p w14:paraId="7805D617" w14:textId="77777777" w:rsidR="00FE1090" w:rsidRPr="00FE1090" w:rsidRDefault="00FE1090" w:rsidP="00FE1090">
      <w:pPr>
        <w:spacing w:line="240" w:lineRule="auto"/>
        <w:rPr>
          <w:rFonts w:eastAsia="Times New Roman" w:cs="Arial"/>
          <w:bCs/>
          <w:color w:val="000000"/>
          <w:szCs w:val="20"/>
          <w:lang w:eastAsia="bg-BG"/>
        </w:rPr>
      </w:pPr>
    </w:p>
    <w:p w14:paraId="5479A8E1" w14:textId="276F686D"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При бронхиална астма или друг вид хронична обструктивна белодробна болест, която може да доведе до появата на симптоми, се препоръчва съпътстваща терапия с бронходилататори Понякога при пациенти с астма може да възникне повишено съпротивление от страна на дихателните пътища; тогава се налага увеличаване на дозата на р2-стимулантите. Пациенти с бронхоспазъм (бронхиална астма, обструкция на дихателните пътища) трябва да бъдат внимателно проследявани</w:t>
      </w:r>
    </w:p>
    <w:p w14:paraId="165B728B" w14:textId="77777777" w:rsidR="00FE1090" w:rsidRPr="00FE1090" w:rsidRDefault="00FE1090" w:rsidP="00FE1090">
      <w:pPr>
        <w:spacing w:line="240" w:lineRule="auto"/>
        <w:rPr>
          <w:rFonts w:eastAsia="Times New Roman" w:cs="Arial"/>
          <w:bCs/>
          <w:color w:val="000000"/>
          <w:szCs w:val="20"/>
          <w:lang w:eastAsia="bg-BG"/>
        </w:rPr>
      </w:pPr>
    </w:p>
    <w:p w14:paraId="5A50A903" w14:textId="12F32EEA"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Ако реакции на фоточувствителност настъпят се препоръчва защита на откритите части на тялото срещу слънчева светлина или изкуствена УВ светлина. При тежките случаи терапията трябва да се прекрати</w:t>
      </w:r>
    </w:p>
    <w:p w14:paraId="12716BD3" w14:textId="77777777" w:rsidR="00FE1090" w:rsidRPr="00FE1090" w:rsidRDefault="00FE1090" w:rsidP="00FE1090">
      <w:pPr>
        <w:spacing w:line="240" w:lineRule="auto"/>
        <w:rPr>
          <w:rFonts w:eastAsia="Times New Roman" w:cs="Arial"/>
          <w:bCs/>
          <w:color w:val="000000"/>
          <w:szCs w:val="20"/>
          <w:lang w:eastAsia="bg-BG"/>
        </w:rPr>
      </w:pPr>
    </w:p>
    <w:p w14:paraId="6370B9CB" w14:textId="4D46066D"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Продължителното приемане може да доведе до водно-електролитни смущения и по-специално до хипокалиемия и хипонатриемия, но също и хипомагнезиемия, хипохлоремия, както и до хиперкалциемия.</w:t>
      </w:r>
    </w:p>
    <w:p w14:paraId="1E3204D2" w14:textId="77777777" w:rsidR="00FE1090" w:rsidRPr="00FE1090" w:rsidRDefault="00FE1090" w:rsidP="00FE1090">
      <w:pPr>
        <w:rPr>
          <w:rFonts w:eastAsia="Times New Roman" w:cs="Arial"/>
          <w:bCs/>
          <w:color w:val="000000"/>
          <w:szCs w:val="20"/>
          <w:lang w:eastAsia="bg-BG"/>
        </w:rPr>
      </w:pPr>
    </w:p>
    <w:p w14:paraId="0C39F690" w14:textId="0D030E99" w:rsidR="00FE1090" w:rsidRDefault="00FE1090" w:rsidP="00FE1090">
      <w:pPr>
        <w:rPr>
          <w:rFonts w:eastAsia="Times New Roman" w:cs="Arial"/>
          <w:bCs/>
          <w:color w:val="000000"/>
          <w:szCs w:val="20"/>
          <w:lang w:eastAsia="bg-BG"/>
        </w:rPr>
      </w:pPr>
      <w:r w:rsidRPr="00FE1090">
        <w:rPr>
          <w:rFonts w:eastAsia="Times New Roman" w:cs="Arial"/>
          <w:bCs/>
          <w:color w:val="000000"/>
          <w:szCs w:val="20"/>
          <w:lang w:eastAsia="bg-BG"/>
        </w:rPr>
        <w:t xml:space="preserve">Хипокалиемията улеснява развитието на тежки аритмии, в частност </w:t>
      </w:r>
      <w:r w:rsidRPr="00FE1090">
        <w:rPr>
          <w:rFonts w:eastAsia="Times New Roman" w:cs="Arial"/>
          <w:bCs/>
          <w:color w:val="000000"/>
          <w:szCs w:val="20"/>
          <w:lang w:val="en-US"/>
        </w:rPr>
        <w:t>torsade de</w:t>
      </w:r>
      <w:r w:rsidRPr="00FE1090">
        <w:rPr>
          <w:rFonts w:eastAsia="Times New Roman" w:cs="Arial"/>
          <w:bCs/>
          <w:color w:val="000000"/>
          <w:szCs w:val="20"/>
          <w:lang w:eastAsia="bg-BG"/>
        </w:rPr>
        <w:t xml:space="preserve"> </w:t>
      </w:r>
      <w:r w:rsidRPr="00FE1090">
        <w:rPr>
          <w:rFonts w:eastAsia="Times New Roman" w:cs="Arial"/>
          <w:bCs/>
          <w:color w:val="000000"/>
          <w:szCs w:val="20"/>
          <w:lang w:val="en-US"/>
        </w:rPr>
        <w:t>pointes,</w:t>
      </w:r>
      <w:r w:rsidRPr="00FE1090">
        <w:rPr>
          <w:rFonts w:eastAsia="Times New Roman" w:cs="Arial"/>
          <w:bCs/>
          <w:color w:val="000000"/>
          <w:szCs w:val="20"/>
          <w:lang w:eastAsia="bg-BG"/>
        </w:rPr>
        <w:t xml:space="preserve"> която може да се окаже фатална</w:t>
      </w:r>
      <w:r>
        <w:rPr>
          <w:rFonts w:eastAsia="Times New Roman" w:cs="Arial"/>
          <w:bCs/>
          <w:color w:val="000000"/>
          <w:szCs w:val="20"/>
          <w:lang w:eastAsia="bg-BG"/>
        </w:rPr>
        <w:t>.</w:t>
      </w:r>
    </w:p>
    <w:p w14:paraId="7A0CD647" w14:textId="77777777" w:rsidR="00FE1090" w:rsidRDefault="00FE1090" w:rsidP="00FE1090">
      <w:pPr>
        <w:rPr>
          <w:rFonts w:eastAsia="Times New Roman" w:cs="Arial"/>
          <w:bCs/>
          <w:color w:val="000000"/>
          <w:szCs w:val="20"/>
          <w:lang w:eastAsia="bg-BG"/>
        </w:rPr>
      </w:pPr>
    </w:p>
    <w:p w14:paraId="1034DC16" w14:textId="26B49D8C" w:rsidR="00FE1090" w:rsidRPr="00FE1090" w:rsidRDefault="00FE1090" w:rsidP="00FE1090">
      <w:pPr>
        <w:rPr>
          <w:rFonts w:eastAsia="Times New Roman" w:cs="Arial"/>
          <w:sz w:val="28"/>
          <w:szCs w:val="24"/>
          <w:lang w:eastAsia="bg-BG"/>
        </w:rPr>
      </w:pPr>
      <w:r w:rsidRPr="00FE1090">
        <w:rPr>
          <w:rFonts w:eastAsia="Times New Roman" w:cs="Arial"/>
          <w:bCs/>
          <w:color w:val="000000"/>
          <w:szCs w:val="20"/>
          <w:lang w:eastAsia="bg-BG"/>
        </w:rPr>
        <w:t>По време на дълготрайно лечение с бисопрололов фумарат/хидрохлоротиазид е необходимо редовно да се изследват серумните електролити (по-специално калии, натрий, калций), креатинин и урея, серумните липиди (холестерол и триглицериди), пикочна киселина, както и кръвната захар.</w:t>
      </w:r>
    </w:p>
    <w:p w14:paraId="023F80B6" w14:textId="77777777" w:rsidR="00FE1090" w:rsidRPr="00FE1090" w:rsidRDefault="00FE1090" w:rsidP="00FE1090">
      <w:pPr>
        <w:spacing w:line="240" w:lineRule="auto"/>
        <w:rPr>
          <w:rFonts w:eastAsia="Times New Roman" w:cs="Arial"/>
          <w:bCs/>
          <w:color w:val="000000"/>
          <w:szCs w:val="20"/>
          <w:lang w:eastAsia="bg-BG"/>
        </w:rPr>
      </w:pPr>
    </w:p>
    <w:p w14:paraId="56EBE6BF" w14:textId="6586DFAB"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По време на лечение с Бисоплюс АД пациентите трябва да приемат достатъчно течности, както и богата на калий храна (напр. банани, зеленчуци, ядки) за да компенсират евентуалната загуба на калий. Загубата на калий може да се компенсира и чрез едновременно приемане калий- съхраняващи диуретици.</w:t>
      </w:r>
    </w:p>
    <w:p w14:paraId="6BEDD250" w14:textId="77777777" w:rsidR="00FE1090" w:rsidRPr="00FE1090" w:rsidRDefault="00FE1090" w:rsidP="00FE1090">
      <w:pPr>
        <w:spacing w:line="240" w:lineRule="auto"/>
        <w:rPr>
          <w:rFonts w:eastAsia="Times New Roman" w:cs="Arial"/>
          <w:bCs/>
          <w:color w:val="000000"/>
          <w:szCs w:val="20"/>
          <w:lang w:eastAsia="bg-BG"/>
        </w:rPr>
      </w:pPr>
    </w:p>
    <w:p w14:paraId="3300146A" w14:textId="59855A80"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При пациенти с хиперурекемия има повишен риск от чести пристъпи на подагра.</w:t>
      </w:r>
    </w:p>
    <w:p w14:paraId="27FB7359" w14:textId="77777777" w:rsidR="00FE1090" w:rsidRPr="00FE1090" w:rsidRDefault="00FE1090" w:rsidP="00FE1090">
      <w:pPr>
        <w:spacing w:line="240" w:lineRule="auto"/>
        <w:rPr>
          <w:rFonts w:eastAsia="Times New Roman" w:cs="Arial"/>
          <w:bCs/>
          <w:color w:val="000000"/>
          <w:szCs w:val="20"/>
          <w:lang w:eastAsia="bg-BG"/>
        </w:rPr>
      </w:pPr>
    </w:p>
    <w:p w14:paraId="251BF6FC" w14:textId="1DAA43E5"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Метаболитна алкалоза може да се влоши поради нарушение на водно-електролитното равновесие. При пациенти с холелитиаза са докладвани случаи на остър холецистит.</w:t>
      </w:r>
    </w:p>
    <w:p w14:paraId="275C7A96" w14:textId="77777777" w:rsidR="00FE1090" w:rsidRPr="00FE1090" w:rsidRDefault="00FE1090" w:rsidP="00FE1090">
      <w:pPr>
        <w:spacing w:line="240" w:lineRule="auto"/>
        <w:rPr>
          <w:rFonts w:eastAsia="Times New Roman" w:cs="Arial"/>
          <w:bCs/>
          <w:i/>
          <w:iCs/>
          <w:color w:val="000000"/>
          <w:szCs w:val="20"/>
          <w:lang w:eastAsia="bg-BG"/>
        </w:rPr>
      </w:pPr>
    </w:p>
    <w:p w14:paraId="3CDED82C" w14:textId="7484D7EC"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i/>
          <w:iCs/>
          <w:color w:val="000000"/>
          <w:szCs w:val="20"/>
          <w:lang w:eastAsia="bg-BG"/>
        </w:rPr>
        <w:t>Немеланомен рак на кожата</w:t>
      </w:r>
    </w:p>
    <w:p w14:paraId="67D8AAC6" w14:textId="77777777" w:rsidR="00FE1090" w:rsidRPr="00FE1090" w:rsidRDefault="00FE1090" w:rsidP="00FE1090">
      <w:pPr>
        <w:spacing w:line="240" w:lineRule="auto"/>
        <w:rPr>
          <w:rFonts w:eastAsia="Times New Roman" w:cs="Arial"/>
          <w:bCs/>
          <w:color w:val="000000"/>
          <w:szCs w:val="20"/>
          <w:lang w:eastAsia="bg-BG"/>
        </w:rPr>
      </w:pPr>
    </w:p>
    <w:p w14:paraId="4C17D36B" w14:textId="21D79E1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229A6CF5" w14:textId="77777777" w:rsidR="00FE1090" w:rsidRPr="00FE1090" w:rsidRDefault="00FE1090" w:rsidP="00FE1090">
      <w:pPr>
        <w:spacing w:line="240" w:lineRule="auto"/>
        <w:rPr>
          <w:rFonts w:eastAsia="Times New Roman" w:cs="Arial"/>
          <w:bCs/>
          <w:color w:val="000000"/>
          <w:szCs w:val="20"/>
          <w:lang w:eastAsia="bg-BG"/>
        </w:rPr>
      </w:pPr>
    </w:p>
    <w:p w14:paraId="49169BFE" w14:textId="7E1C66A3"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w:t>
      </w:r>
      <w:r w:rsidRPr="00FE1090">
        <w:rPr>
          <w:rFonts w:eastAsia="Times New Roman" w:cs="Arial"/>
          <w:bCs/>
          <w:color w:val="000000"/>
          <w:szCs w:val="20"/>
          <w:lang w:eastAsia="bg-BG"/>
        </w:rPr>
        <w:lastRenderedPageBreak/>
        <w:t>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ХХТЗ може да се наложи и при пациенти, които са имали предходен НМРК (вж. също точка 4.8).</w:t>
      </w:r>
    </w:p>
    <w:p w14:paraId="17025DBB" w14:textId="77777777" w:rsidR="00FE1090" w:rsidRPr="00FE1090" w:rsidRDefault="00FE1090" w:rsidP="00FE1090">
      <w:pPr>
        <w:spacing w:line="240" w:lineRule="auto"/>
        <w:rPr>
          <w:rFonts w:eastAsia="Times New Roman" w:cs="Arial"/>
          <w:bCs/>
          <w:i/>
          <w:iCs/>
          <w:color w:val="000000"/>
          <w:szCs w:val="20"/>
          <w:lang w:eastAsia="bg-BG"/>
        </w:rPr>
      </w:pPr>
    </w:p>
    <w:p w14:paraId="036B3D3D" w14:textId="1952C2A8"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i/>
          <w:iCs/>
          <w:color w:val="000000"/>
          <w:szCs w:val="20"/>
          <w:lang w:eastAsia="bg-BG"/>
        </w:rPr>
        <w:t>Хороидален излив, остра миопия и вторична закритоъгълна глаукома</w:t>
      </w:r>
    </w:p>
    <w:p w14:paraId="4418F818" w14:textId="77777777"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color w:val="000000"/>
          <w:szCs w:val="20"/>
          <w:lang w:eastAsia="bg-BG"/>
        </w:rPr>
        <w:t>Сулфонамидите или лекарствата, производни на сулфонамидите, могат да предизвикат идиосинкразия, водеща до хороидален излив с дефект на зрителното поле, преходна миопия и остра закритоъгълна глаукома. Симптомите включват остра начална фаза на понижена зрителна острота, болка в окото, която се появява в рамките на часове до седмици от началото на лечението. Нелекуваната закритоъгълна глаукома може да доведе до загуба на зрението. Като първоначална мярка, лечението трябва да бъде преустановено възможно най-бързо. Незабавна лекарска помощ и хирургична намеса може да се наложи, ако повишеното вътреочно налягане не може да бъде контролирано. Като рисков фактор за поява на закритоъгълна глаукома може да се счита анамнеза за алергия към сулфонамиди или пеницилин.</w:t>
      </w:r>
    </w:p>
    <w:p w14:paraId="3A51603E" w14:textId="77777777" w:rsidR="00FE1090" w:rsidRPr="00FE1090" w:rsidRDefault="00FE1090" w:rsidP="00FE1090">
      <w:pPr>
        <w:spacing w:line="240" w:lineRule="auto"/>
        <w:rPr>
          <w:rFonts w:eastAsia="Times New Roman" w:cs="Arial"/>
          <w:bCs/>
          <w:i/>
          <w:iCs/>
          <w:color w:val="000000"/>
          <w:szCs w:val="20"/>
          <w:lang w:eastAsia="bg-BG"/>
        </w:rPr>
      </w:pPr>
    </w:p>
    <w:p w14:paraId="0CF28DA2" w14:textId="50D29956" w:rsidR="00FE1090" w:rsidRPr="00FE1090" w:rsidRDefault="00FE1090" w:rsidP="00FE1090">
      <w:pPr>
        <w:spacing w:line="240" w:lineRule="auto"/>
        <w:rPr>
          <w:rFonts w:eastAsia="Times New Roman" w:cs="Arial"/>
          <w:sz w:val="28"/>
          <w:szCs w:val="24"/>
          <w:lang w:eastAsia="bg-BG"/>
        </w:rPr>
      </w:pPr>
      <w:r w:rsidRPr="00FE1090">
        <w:rPr>
          <w:rFonts w:eastAsia="Times New Roman" w:cs="Arial"/>
          <w:bCs/>
          <w:i/>
          <w:iCs/>
          <w:color w:val="000000"/>
          <w:szCs w:val="20"/>
          <w:lang w:eastAsia="bg-BG"/>
        </w:rPr>
        <w:t>Остра респираторна токсичност</w:t>
      </w:r>
    </w:p>
    <w:p w14:paraId="1623894C" w14:textId="435E9AD4" w:rsidR="00FE1090" w:rsidRDefault="00FE1090" w:rsidP="00FE1090">
      <w:pPr>
        <w:rPr>
          <w:rFonts w:eastAsia="Times New Roman" w:cs="Arial"/>
          <w:bCs/>
          <w:color w:val="000000"/>
          <w:szCs w:val="20"/>
          <w:lang w:eastAsia="bg-BG"/>
        </w:rPr>
      </w:pPr>
      <w:r w:rsidRPr="00FE1090">
        <w:rPr>
          <w:rFonts w:eastAsia="Times New Roman" w:cs="Arial"/>
          <w:bCs/>
          <w:color w:val="000000"/>
          <w:szCs w:val="2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FE1090">
        <w:rPr>
          <w:rFonts w:eastAsia="Times New Roman" w:cs="Arial"/>
          <w:bCs/>
          <w:color w:val="000000"/>
          <w:szCs w:val="20"/>
          <w:lang w:val="en-US"/>
        </w:rPr>
        <w:t xml:space="preserve">ARDS </w:t>
      </w:r>
      <w:r w:rsidRPr="00FE1090">
        <w:rPr>
          <w:rFonts w:eastAsia="Times New Roman" w:cs="Arial"/>
          <w:bCs/>
          <w:color w:val="000000"/>
          <w:szCs w:val="20"/>
          <w:lang w:eastAsia="bg-BG"/>
        </w:rPr>
        <w:t>трябва да бъде спрян приемът на БИСОПЛЮС АЛ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69259DA6" w14:textId="231EF767" w:rsidR="0048615F" w:rsidRPr="0048615F" w:rsidRDefault="0048615F" w:rsidP="0048615F">
      <w:pPr>
        <w:rPr>
          <w:rFonts w:cs="Arial"/>
          <w:sz w:val="24"/>
        </w:rPr>
      </w:pPr>
    </w:p>
    <w:p w14:paraId="619DED1E" w14:textId="7605DD11"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59FECD49" w14:textId="23E2C27D" w:rsidR="0048615F" w:rsidRDefault="0048615F" w:rsidP="0048615F"/>
    <w:p w14:paraId="69A869F8"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u w:val="single"/>
          <w:lang w:eastAsia="bg-BG"/>
        </w:rPr>
        <w:t>Обща информация</w:t>
      </w:r>
    </w:p>
    <w:p w14:paraId="7CF648EC"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 xml:space="preserve">Трябва да се има предвид, че поради смущения в серумното съдържание на калий, някои лекарствени </w:t>
      </w:r>
      <w:r w:rsidRPr="0048615F">
        <w:rPr>
          <w:rFonts w:eastAsia="Times New Roman" w:cs="Arial"/>
          <w:bCs/>
          <w:i/>
          <w:iCs/>
          <w:color w:val="000000"/>
          <w:szCs w:val="20"/>
          <w:lang w:eastAsia="bg-BG"/>
        </w:rPr>
        <w:t>продукти</w:t>
      </w:r>
      <w:r w:rsidRPr="0048615F">
        <w:rPr>
          <w:rFonts w:eastAsia="Times New Roman" w:cs="Arial"/>
          <w:bCs/>
          <w:color w:val="000000"/>
          <w:szCs w:val="20"/>
          <w:lang w:eastAsia="bg-BG"/>
        </w:rPr>
        <w:t xml:space="preserve"> могат да бъдат повлияни.</w:t>
      </w:r>
    </w:p>
    <w:p w14:paraId="0F589347" w14:textId="77777777" w:rsidR="0048615F" w:rsidRPr="0048615F" w:rsidRDefault="0048615F" w:rsidP="0048615F">
      <w:pPr>
        <w:spacing w:line="240" w:lineRule="auto"/>
        <w:rPr>
          <w:rFonts w:eastAsia="Times New Roman" w:cs="Arial"/>
          <w:bCs/>
          <w:color w:val="000000"/>
          <w:szCs w:val="20"/>
          <w:u w:val="single"/>
          <w:lang w:eastAsia="bg-BG"/>
        </w:rPr>
      </w:pPr>
    </w:p>
    <w:p w14:paraId="5416C2EA"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u w:val="single"/>
          <w:lang w:eastAsia="bg-BG"/>
        </w:rPr>
        <w:t>Противопоказани комбинации</w:t>
      </w:r>
    </w:p>
    <w:p w14:paraId="084066B9"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Флоктафеин:</w:t>
      </w:r>
      <w:r w:rsidRPr="0048615F">
        <w:rPr>
          <w:rFonts w:eastAsia="Times New Roman" w:cs="Arial"/>
          <w:bCs/>
          <w:color w:val="000000"/>
          <w:szCs w:val="20"/>
          <w:lang w:eastAsia="bg-BG"/>
        </w:rPr>
        <w:t xml:space="preserve"> Бисопролол може да инхибира компенсаторната сърдечно-съдова реакция към флоктафеин-индуцирана хипотония или шок.</w:t>
      </w:r>
    </w:p>
    <w:p w14:paraId="29B18746" w14:textId="77777777" w:rsidR="0048615F" w:rsidRPr="0048615F" w:rsidRDefault="0048615F" w:rsidP="0048615F">
      <w:pPr>
        <w:spacing w:line="240" w:lineRule="auto"/>
        <w:rPr>
          <w:rFonts w:eastAsia="Times New Roman" w:cs="Arial"/>
          <w:bCs/>
          <w:i/>
          <w:iCs/>
          <w:color w:val="000000"/>
          <w:szCs w:val="20"/>
          <w:lang w:eastAsia="bg-BG"/>
        </w:rPr>
      </w:pPr>
    </w:p>
    <w:p w14:paraId="1A9F4786"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Султоприд:</w:t>
      </w:r>
      <w:r w:rsidRPr="0048615F">
        <w:rPr>
          <w:rFonts w:eastAsia="Times New Roman" w:cs="Arial"/>
          <w:bCs/>
          <w:color w:val="000000"/>
          <w:szCs w:val="20"/>
          <w:lang w:eastAsia="bg-BG"/>
        </w:rPr>
        <w:t xml:space="preserve"> едновременното приемане с бисопролол може да доведе до увеличен риск от вентрикуларна аритмия.</w:t>
      </w:r>
    </w:p>
    <w:p w14:paraId="6B8790E8" w14:textId="77777777" w:rsidR="0048615F" w:rsidRPr="0048615F" w:rsidRDefault="0048615F" w:rsidP="0048615F">
      <w:pPr>
        <w:spacing w:line="240" w:lineRule="auto"/>
        <w:rPr>
          <w:rFonts w:eastAsia="Times New Roman" w:cs="Arial"/>
          <w:bCs/>
          <w:color w:val="000000"/>
          <w:szCs w:val="20"/>
          <w:u w:val="single"/>
          <w:lang w:eastAsia="bg-BG"/>
        </w:rPr>
      </w:pPr>
    </w:p>
    <w:p w14:paraId="4ACEFB15"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u w:val="single"/>
          <w:lang w:eastAsia="bg-BG"/>
        </w:rPr>
        <w:t>Комбинации, които не се препоръчват</w:t>
      </w:r>
    </w:p>
    <w:p w14:paraId="01833690"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Литий:</w:t>
      </w:r>
      <w:r w:rsidRPr="0048615F">
        <w:rPr>
          <w:rFonts w:eastAsia="Times New Roman" w:cs="Arial"/>
          <w:bCs/>
          <w:color w:val="000000"/>
          <w:szCs w:val="20"/>
          <w:lang w:eastAsia="bg-BG"/>
        </w:rPr>
        <w:t xml:space="preserve"> Бисопрололов фумарат/хидрохлоротиазид може да усили кардиотоксичното и невротоксично действие посредством намаляване на литиевата екскреция.</w:t>
      </w:r>
    </w:p>
    <w:p w14:paraId="21D0F54D" w14:textId="77777777" w:rsidR="0048615F" w:rsidRPr="0048615F" w:rsidRDefault="0048615F" w:rsidP="0048615F">
      <w:pPr>
        <w:spacing w:line="240" w:lineRule="auto"/>
        <w:rPr>
          <w:rFonts w:eastAsia="Times New Roman" w:cs="Arial"/>
          <w:bCs/>
          <w:i/>
          <w:iCs/>
          <w:color w:val="000000"/>
          <w:szCs w:val="20"/>
          <w:lang w:eastAsia="bg-BG"/>
        </w:rPr>
      </w:pPr>
    </w:p>
    <w:p w14:paraId="685F4D49"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 xml:space="preserve">Калциеви антагонисти от верапамилов тип и в по-малка степен от дилтиаземовата група: </w:t>
      </w:r>
      <w:r w:rsidRPr="0048615F">
        <w:rPr>
          <w:rFonts w:eastAsia="Times New Roman" w:cs="Arial"/>
          <w:bCs/>
          <w:color w:val="000000"/>
          <w:szCs w:val="20"/>
          <w:lang w:eastAsia="bg-BG"/>
        </w:rPr>
        <w:t xml:space="preserve">отрицателен ефект върху съкратимостта и предсърдно-камерната проводимост. </w:t>
      </w:r>
      <w:r w:rsidRPr="0048615F">
        <w:rPr>
          <w:rFonts w:eastAsia="Times New Roman" w:cs="Arial"/>
          <w:bCs/>
          <w:color w:val="000000"/>
          <w:szCs w:val="20"/>
          <w:lang w:eastAsia="bg-BG"/>
        </w:rPr>
        <w:lastRenderedPageBreak/>
        <w:t xml:space="preserve">Интравенозното прилагане на верапамил при пациенти, които са на лечение с бета блокери може да доведе до тежка хипотония и </w:t>
      </w:r>
      <w:r w:rsidRPr="0048615F">
        <w:rPr>
          <w:rFonts w:eastAsia="Times New Roman" w:cs="Arial"/>
          <w:bCs/>
          <w:i/>
          <w:iCs/>
          <w:color w:val="000000"/>
          <w:szCs w:val="20"/>
          <w:lang w:eastAsia="bg-BG"/>
        </w:rPr>
        <w:t>атриовентрнкуларен</w:t>
      </w:r>
      <w:r w:rsidRPr="0048615F">
        <w:rPr>
          <w:rFonts w:eastAsia="Times New Roman" w:cs="Arial"/>
          <w:bCs/>
          <w:color w:val="000000"/>
          <w:szCs w:val="20"/>
          <w:lang w:eastAsia="bg-BG"/>
        </w:rPr>
        <w:t xml:space="preserve"> блок.</w:t>
      </w:r>
    </w:p>
    <w:p w14:paraId="2B24C559" w14:textId="77777777" w:rsidR="0048615F" w:rsidRPr="0048615F" w:rsidRDefault="0048615F" w:rsidP="0048615F">
      <w:pPr>
        <w:spacing w:line="240" w:lineRule="auto"/>
        <w:rPr>
          <w:rFonts w:eastAsia="Times New Roman" w:cs="Arial"/>
          <w:bCs/>
          <w:i/>
          <w:iCs/>
          <w:color w:val="000000"/>
          <w:szCs w:val="20"/>
          <w:lang w:eastAsia="bg-BG"/>
        </w:rPr>
      </w:pPr>
    </w:p>
    <w:p w14:paraId="3CB39EA1"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Антихипертензивни лекарствени продукти с централно действие (например резерпин, метилдопа, гуанфацин, клонидин):</w:t>
      </w:r>
      <w:r w:rsidRPr="0048615F">
        <w:rPr>
          <w:rFonts w:eastAsia="Times New Roman" w:cs="Arial"/>
          <w:bCs/>
          <w:color w:val="000000"/>
          <w:szCs w:val="20"/>
          <w:lang w:eastAsia="bg-BG"/>
        </w:rPr>
        <w:t xml:space="preserve"> Едновременното приложение на антихипертензивни лекарствени продукти с централно действие може да доведе до по-голямо забавяне на сърдечната честота и сърдечния обем и до вазодилатация. Рязкото прекратяване на лечението, особено ако предшества преустановяване на лечение с бета-блокер може да увеличи риска от </w:t>
      </w:r>
      <w:r w:rsidRPr="0048615F">
        <w:rPr>
          <w:rFonts w:eastAsia="Times New Roman" w:cs="Arial"/>
          <w:bCs/>
          <w:color w:val="000000"/>
          <w:szCs w:val="20"/>
          <w:lang w:val="en-US"/>
        </w:rPr>
        <w:t xml:space="preserve">“rebound </w:t>
      </w:r>
      <w:r w:rsidRPr="0048615F">
        <w:rPr>
          <w:rFonts w:eastAsia="Times New Roman" w:cs="Arial"/>
          <w:bCs/>
          <w:color w:val="000000"/>
          <w:szCs w:val="20"/>
          <w:lang w:eastAsia="bg-BG"/>
        </w:rPr>
        <w:t>хипертония”.</w:t>
      </w:r>
    </w:p>
    <w:p w14:paraId="51D96246" w14:textId="77777777" w:rsidR="0048615F" w:rsidRPr="0048615F" w:rsidRDefault="0048615F" w:rsidP="0048615F">
      <w:pPr>
        <w:spacing w:line="240" w:lineRule="auto"/>
        <w:rPr>
          <w:rFonts w:eastAsia="Times New Roman" w:cs="Arial"/>
          <w:sz w:val="28"/>
          <w:szCs w:val="24"/>
          <w:lang w:eastAsia="bg-BG"/>
        </w:rPr>
      </w:pPr>
    </w:p>
    <w:p w14:paraId="1B9C04D4"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Моноаминооксидазни инхибитори (освен МАО-В инхибитори):</w:t>
      </w:r>
      <w:r w:rsidRPr="0048615F">
        <w:rPr>
          <w:rFonts w:eastAsia="Times New Roman" w:cs="Arial"/>
          <w:bCs/>
          <w:color w:val="000000"/>
          <w:szCs w:val="20"/>
          <w:lang w:eastAsia="bg-BG"/>
        </w:rPr>
        <w:t xml:space="preserve"> Повлиява хипотензивния ефект на</w:t>
      </w:r>
    </w:p>
    <w:p w14:paraId="4B71F3FC"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β-блокерите, но увеличава риска от хипертензивни кризи.</w:t>
      </w:r>
    </w:p>
    <w:p w14:paraId="6DA9E283" w14:textId="77777777" w:rsidR="0048615F" w:rsidRPr="0048615F" w:rsidRDefault="0048615F" w:rsidP="0048615F">
      <w:pPr>
        <w:spacing w:line="240" w:lineRule="auto"/>
        <w:rPr>
          <w:rFonts w:eastAsia="Times New Roman" w:cs="Arial"/>
          <w:bCs/>
          <w:color w:val="000000"/>
          <w:szCs w:val="20"/>
          <w:u w:val="single"/>
          <w:lang w:eastAsia="bg-BG"/>
        </w:rPr>
      </w:pPr>
    </w:p>
    <w:p w14:paraId="29639EDF"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u w:val="single"/>
          <w:lang w:eastAsia="bg-BG"/>
        </w:rPr>
        <w:t>Комбинации, които трябва да се прилагат с внимание:</w:t>
      </w:r>
    </w:p>
    <w:p w14:paraId="6DD29E69"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Калциеви антагонисти от дихидропиридинов тип (напр. нифедипин):</w:t>
      </w:r>
    </w:p>
    <w:p w14:paraId="44141456"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Едновременното прилагане може да доведе до увеличен риск от хипотония, като не може да се изключи и повишен риск от по-нататъшно влошаване на камерната помпена функция при пациенти със сърдечна недостатъчност.</w:t>
      </w:r>
    </w:p>
    <w:p w14:paraId="515CFA30" w14:textId="77777777" w:rsidR="0048615F" w:rsidRPr="0048615F" w:rsidRDefault="0048615F" w:rsidP="0048615F">
      <w:pPr>
        <w:spacing w:line="240" w:lineRule="auto"/>
        <w:rPr>
          <w:rFonts w:eastAsia="Times New Roman" w:cs="Arial"/>
          <w:bCs/>
          <w:color w:val="000000"/>
          <w:szCs w:val="20"/>
          <w:lang w:eastAsia="bg-BG"/>
        </w:rPr>
      </w:pPr>
    </w:p>
    <w:p w14:paraId="76F6E032"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Едновременното прилагане с други антихипертензивни средства или лекарствени продукти с понижаващо кръвното налягане действие (например трициклични антидепресанти, барбитурати, фенотиазини) може да увеличи риска от хипотония.</w:t>
      </w:r>
    </w:p>
    <w:p w14:paraId="7803D96B" w14:textId="77777777" w:rsidR="0048615F" w:rsidRPr="0048615F" w:rsidRDefault="0048615F" w:rsidP="0048615F">
      <w:pPr>
        <w:spacing w:line="240" w:lineRule="auto"/>
        <w:rPr>
          <w:rFonts w:eastAsia="Times New Roman" w:cs="Arial"/>
          <w:bCs/>
          <w:i/>
          <w:iCs/>
          <w:color w:val="000000"/>
          <w:szCs w:val="20"/>
          <w:lang w:eastAsia="bg-BG"/>
        </w:rPr>
      </w:pPr>
    </w:p>
    <w:p w14:paraId="46B8D66E"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АСЕ инхибитори (напр. каптоприя, еналаприл), ангиотензин II рецепторни антагонисти (например лосартан):</w:t>
      </w:r>
      <w:r w:rsidRPr="0048615F">
        <w:rPr>
          <w:rFonts w:eastAsia="Times New Roman" w:cs="Arial"/>
          <w:bCs/>
          <w:color w:val="000000"/>
          <w:szCs w:val="20"/>
          <w:lang w:eastAsia="bg-BG"/>
        </w:rPr>
        <w:t xml:space="preserve"> риск от значителен спад на кръвното налягане и/или остра бъбречна недостатъчност, особено в началото на лечението с АСЕ инхибитор при пациенти с предшестващ натриев дефицит (особено при пациенти със стеноза на бъбречната артерия). Ако предшестваща диуретична терапия е довела до намаляване на натрия, спрете диуретика 3 дни преди началото на терапията с АСЕ инхибитора или започнете терапия с АСЕ инхибитор в ниски дози.</w:t>
      </w:r>
    </w:p>
    <w:p w14:paraId="3C071DD7" w14:textId="77777777" w:rsidR="0048615F" w:rsidRPr="0048615F" w:rsidRDefault="0048615F" w:rsidP="0048615F">
      <w:pPr>
        <w:rPr>
          <w:rFonts w:eastAsia="Times New Roman" w:cs="Arial"/>
          <w:bCs/>
          <w:i/>
          <w:iCs/>
          <w:color w:val="000000"/>
          <w:szCs w:val="20"/>
          <w:lang w:eastAsia="bg-BG"/>
        </w:rPr>
      </w:pPr>
    </w:p>
    <w:p w14:paraId="78109FD0" w14:textId="77777777" w:rsidR="0048615F" w:rsidRPr="0048615F" w:rsidRDefault="0048615F" w:rsidP="0048615F">
      <w:pPr>
        <w:rPr>
          <w:rFonts w:cs="Arial"/>
          <w:sz w:val="36"/>
        </w:rPr>
      </w:pPr>
      <w:r w:rsidRPr="0048615F">
        <w:rPr>
          <w:rFonts w:eastAsia="Times New Roman" w:cs="Arial"/>
          <w:bCs/>
          <w:i/>
          <w:iCs/>
          <w:color w:val="000000"/>
          <w:szCs w:val="20"/>
          <w:lang w:eastAsia="bg-BG"/>
        </w:rPr>
        <w:t>Клас-1 антиаритмични лекарствени продукти (напр. дизопирамид, хинидин):</w:t>
      </w:r>
      <w:r w:rsidRPr="0048615F">
        <w:rPr>
          <w:rFonts w:eastAsia="Times New Roman" w:cs="Arial"/>
          <w:bCs/>
          <w:color w:val="000000"/>
          <w:szCs w:val="20"/>
          <w:lang w:eastAsia="bg-BG"/>
        </w:rPr>
        <w:t xml:space="preserve"> ефектът върху времето на атрио-вентрикуларната проводимост може да бъде потенцииран, а отрицателния инотропен ефект - увеличен.</w:t>
      </w:r>
    </w:p>
    <w:p w14:paraId="30CFDF2E" w14:textId="77777777" w:rsidR="0048615F" w:rsidRDefault="0048615F" w:rsidP="0048615F"/>
    <w:p w14:paraId="31B1C1DA"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Клас-III антиаритмични лекарствени продукти (напр. амиодарон):</w:t>
      </w:r>
      <w:r w:rsidRPr="0048615F">
        <w:rPr>
          <w:rFonts w:eastAsia="Times New Roman" w:cs="Arial"/>
          <w:bCs/>
          <w:color w:val="000000"/>
          <w:szCs w:val="20"/>
          <w:lang w:eastAsia="bg-BG"/>
        </w:rPr>
        <w:t xml:space="preserve"> ефектът върху времето на атрио-вентрикуларната проводимост може да бъде потенцииран</w:t>
      </w:r>
    </w:p>
    <w:p w14:paraId="0B668F61" w14:textId="77777777" w:rsidR="0048615F" w:rsidRPr="0048615F" w:rsidRDefault="0048615F" w:rsidP="0048615F">
      <w:pPr>
        <w:spacing w:line="240" w:lineRule="auto"/>
        <w:rPr>
          <w:rFonts w:eastAsia="Times New Roman" w:cs="Arial"/>
          <w:bCs/>
          <w:i/>
          <w:iCs/>
          <w:color w:val="000000"/>
          <w:szCs w:val="20"/>
          <w:lang w:eastAsia="bg-BG"/>
        </w:rPr>
      </w:pPr>
    </w:p>
    <w:p w14:paraId="78974524"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 xml:space="preserve">Някои антиаритмични лекарствени продукти могат да индуцират </w:t>
      </w:r>
      <w:proofErr w:type="spellStart"/>
      <w:r w:rsidRPr="0048615F">
        <w:rPr>
          <w:rFonts w:eastAsia="Times New Roman" w:cs="Arial"/>
          <w:bCs/>
          <w:i/>
          <w:iCs/>
          <w:color w:val="000000"/>
          <w:szCs w:val="20"/>
          <w:lang w:val="en-US"/>
        </w:rPr>
        <w:t>torsades</w:t>
      </w:r>
      <w:proofErr w:type="spellEnd"/>
      <w:r w:rsidRPr="0048615F">
        <w:rPr>
          <w:rFonts w:eastAsia="Times New Roman" w:cs="Arial"/>
          <w:bCs/>
          <w:i/>
          <w:iCs/>
          <w:color w:val="000000"/>
          <w:szCs w:val="20"/>
          <w:lang w:val="en-US"/>
        </w:rPr>
        <w:t xml:space="preserve"> de pointes:</w:t>
      </w:r>
      <w:r w:rsidRPr="0048615F">
        <w:rPr>
          <w:rFonts w:eastAsia="Times New Roman" w:cs="Arial"/>
          <w:bCs/>
          <w:color w:val="000000"/>
          <w:szCs w:val="20"/>
          <w:lang w:val="en-US"/>
        </w:rPr>
        <w:t xml:space="preserve"> </w:t>
      </w:r>
      <w:r w:rsidRPr="0048615F">
        <w:rPr>
          <w:rFonts w:eastAsia="Times New Roman" w:cs="Arial"/>
          <w:bCs/>
          <w:color w:val="000000"/>
          <w:szCs w:val="20"/>
          <w:lang w:eastAsia="bg-BG"/>
        </w:rPr>
        <w:t xml:space="preserve">Клас </w:t>
      </w:r>
      <w:r w:rsidRPr="0048615F">
        <w:rPr>
          <w:rFonts w:eastAsia="Times New Roman" w:cs="Arial"/>
          <w:bCs/>
          <w:color w:val="000000"/>
          <w:szCs w:val="20"/>
          <w:lang w:val="en-US"/>
        </w:rPr>
        <w:t xml:space="preserve">IA </w:t>
      </w:r>
      <w:r w:rsidRPr="0048615F">
        <w:rPr>
          <w:rFonts w:eastAsia="Times New Roman" w:cs="Arial"/>
          <w:bCs/>
          <w:color w:val="000000"/>
          <w:szCs w:val="20"/>
          <w:lang w:eastAsia="bg-BG"/>
        </w:rPr>
        <w:t xml:space="preserve">антиаритмични лекарствени продукти (дизопирамид, хинидин), клас III- напр.амиодарон, соталол. Хипокалиемията може да улесни възникването на </w:t>
      </w:r>
      <w:proofErr w:type="spellStart"/>
      <w:r w:rsidRPr="0048615F">
        <w:rPr>
          <w:rFonts w:eastAsia="Times New Roman" w:cs="Arial"/>
          <w:bCs/>
          <w:i/>
          <w:iCs/>
          <w:color w:val="000000"/>
          <w:szCs w:val="20"/>
          <w:lang w:val="en-US"/>
        </w:rPr>
        <w:t>torsades</w:t>
      </w:r>
      <w:proofErr w:type="spellEnd"/>
      <w:r w:rsidRPr="0048615F">
        <w:rPr>
          <w:rFonts w:eastAsia="Times New Roman" w:cs="Arial"/>
          <w:bCs/>
          <w:i/>
          <w:iCs/>
          <w:color w:val="000000"/>
          <w:szCs w:val="20"/>
          <w:lang w:val="en-US"/>
        </w:rPr>
        <w:t xml:space="preserve"> de pointes.</w:t>
      </w:r>
    </w:p>
    <w:p w14:paraId="5E446C2A" w14:textId="77777777" w:rsidR="0048615F" w:rsidRPr="0048615F" w:rsidRDefault="0048615F" w:rsidP="0048615F">
      <w:pPr>
        <w:spacing w:line="240" w:lineRule="auto"/>
        <w:rPr>
          <w:rFonts w:eastAsia="Times New Roman" w:cs="Arial"/>
          <w:bCs/>
          <w:color w:val="000000"/>
          <w:szCs w:val="20"/>
          <w:lang w:eastAsia="bg-BG"/>
        </w:rPr>
      </w:pPr>
    </w:p>
    <w:p w14:paraId="01F66B4B"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 xml:space="preserve">Неантиаригмични средства, които могат да индуцират </w:t>
      </w:r>
      <w:proofErr w:type="spellStart"/>
      <w:r w:rsidRPr="0048615F">
        <w:rPr>
          <w:rFonts w:eastAsia="Times New Roman" w:cs="Arial"/>
          <w:bCs/>
          <w:i/>
          <w:iCs/>
          <w:color w:val="000000"/>
          <w:szCs w:val="20"/>
          <w:lang w:val="en-US"/>
        </w:rPr>
        <w:t>torsades</w:t>
      </w:r>
      <w:proofErr w:type="spellEnd"/>
      <w:r w:rsidRPr="0048615F">
        <w:rPr>
          <w:rFonts w:eastAsia="Times New Roman" w:cs="Arial"/>
          <w:bCs/>
          <w:i/>
          <w:iCs/>
          <w:color w:val="000000"/>
          <w:szCs w:val="20"/>
          <w:lang w:val="en-US"/>
        </w:rPr>
        <w:t xml:space="preserve"> de pointes</w:t>
      </w:r>
      <w:r w:rsidRPr="0048615F">
        <w:rPr>
          <w:rFonts w:eastAsia="Times New Roman" w:cs="Arial"/>
          <w:bCs/>
          <w:color w:val="000000"/>
          <w:szCs w:val="20"/>
          <w:lang w:val="en-US"/>
        </w:rPr>
        <w:t xml:space="preserve"> </w:t>
      </w:r>
      <w:r w:rsidRPr="0048615F">
        <w:rPr>
          <w:rFonts w:eastAsia="Times New Roman" w:cs="Arial"/>
          <w:bCs/>
          <w:color w:val="000000"/>
          <w:szCs w:val="20"/>
          <w:lang w:eastAsia="bg-BG"/>
        </w:rPr>
        <w:t xml:space="preserve">(напр. астемизол приложен интравенозно, еритромицин, халофантрин, пентамидин, спарфлоксацин, терфенадин, винкамин): Хипокалиемията може да улесни възникването на </w:t>
      </w:r>
      <w:proofErr w:type="spellStart"/>
      <w:r w:rsidRPr="0048615F">
        <w:rPr>
          <w:rFonts w:eastAsia="Times New Roman" w:cs="Arial"/>
          <w:bCs/>
          <w:i/>
          <w:iCs/>
          <w:color w:val="000000"/>
          <w:szCs w:val="20"/>
          <w:lang w:val="en-US"/>
        </w:rPr>
        <w:t>torsades</w:t>
      </w:r>
      <w:proofErr w:type="spellEnd"/>
      <w:r w:rsidRPr="0048615F">
        <w:rPr>
          <w:rFonts w:eastAsia="Times New Roman" w:cs="Arial"/>
          <w:bCs/>
          <w:i/>
          <w:iCs/>
          <w:color w:val="000000"/>
          <w:szCs w:val="20"/>
          <w:lang w:val="en-US"/>
        </w:rPr>
        <w:t xml:space="preserve"> de pointes.</w:t>
      </w:r>
    </w:p>
    <w:p w14:paraId="657EBC2A" w14:textId="77777777" w:rsidR="0048615F" w:rsidRPr="0048615F" w:rsidRDefault="0048615F" w:rsidP="0048615F">
      <w:pPr>
        <w:spacing w:line="240" w:lineRule="auto"/>
        <w:rPr>
          <w:rFonts w:eastAsia="Times New Roman" w:cs="Arial"/>
          <w:bCs/>
          <w:i/>
          <w:iCs/>
          <w:color w:val="000000"/>
          <w:szCs w:val="20"/>
          <w:lang w:eastAsia="bg-BG"/>
        </w:rPr>
      </w:pPr>
    </w:p>
    <w:p w14:paraId="4A057FA3"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lastRenderedPageBreak/>
        <w:t>Парасимпатикомиметици (включително такрин):</w:t>
      </w:r>
      <w:r w:rsidRPr="0048615F">
        <w:rPr>
          <w:rFonts w:eastAsia="Times New Roman" w:cs="Arial"/>
          <w:bCs/>
          <w:color w:val="000000"/>
          <w:szCs w:val="20"/>
          <w:lang w:eastAsia="bg-BG"/>
        </w:rPr>
        <w:t xml:space="preserve"> може да се увеличи времето на атрио- вентрикуларната проводимост и риска от брадикардия.</w:t>
      </w:r>
    </w:p>
    <w:p w14:paraId="4FFE5BAB" w14:textId="77777777" w:rsidR="0048615F" w:rsidRPr="0048615F" w:rsidRDefault="0048615F" w:rsidP="0048615F">
      <w:pPr>
        <w:spacing w:line="240" w:lineRule="auto"/>
        <w:rPr>
          <w:rFonts w:eastAsia="Times New Roman" w:cs="Arial"/>
          <w:bCs/>
          <w:i/>
          <w:iCs/>
          <w:color w:val="000000"/>
          <w:szCs w:val="20"/>
          <w:lang w:eastAsia="bg-BG"/>
        </w:rPr>
      </w:pPr>
    </w:p>
    <w:p w14:paraId="6C0F8596"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Други бета блокери за локално приложение ( вкл. капки за очи):</w:t>
      </w:r>
      <w:r w:rsidRPr="0048615F">
        <w:rPr>
          <w:rFonts w:eastAsia="Times New Roman" w:cs="Arial"/>
          <w:bCs/>
          <w:color w:val="000000"/>
          <w:szCs w:val="20"/>
          <w:lang w:eastAsia="bg-BG"/>
        </w:rPr>
        <w:t xml:space="preserve"> могат да потенциират системните ефекти на бисопрололов фумарат.</w:t>
      </w:r>
    </w:p>
    <w:p w14:paraId="2A84BCDC" w14:textId="77777777" w:rsidR="0048615F" w:rsidRPr="0048615F" w:rsidRDefault="0048615F" w:rsidP="0048615F">
      <w:pPr>
        <w:spacing w:line="240" w:lineRule="auto"/>
        <w:rPr>
          <w:rFonts w:eastAsia="Times New Roman" w:cs="Arial"/>
          <w:bCs/>
          <w:i/>
          <w:iCs/>
          <w:color w:val="000000"/>
          <w:szCs w:val="20"/>
          <w:lang w:eastAsia="bg-BG"/>
        </w:rPr>
      </w:pPr>
    </w:p>
    <w:p w14:paraId="414E1705"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Резерпин, алфа-метилдопа, гуанфацин или клонидин</w:t>
      </w:r>
      <w:r w:rsidRPr="0048615F">
        <w:rPr>
          <w:rFonts w:eastAsia="Times New Roman" w:cs="Arial"/>
          <w:bCs/>
          <w:color w:val="000000"/>
          <w:szCs w:val="20"/>
          <w:lang w:eastAsia="bg-BG"/>
        </w:rPr>
        <w:t xml:space="preserve"> могат да доведат до силно спадане на кръвното налягане, сърдечната честота или да забавят сърдечната проводимост.</w:t>
      </w:r>
    </w:p>
    <w:p w14:paraId="6BD5DF26" w14:textId="77777777" w:rsidR="0048615F" w:rsidRPr="0048615F" w:rsidRDefault="0048615F" w:rsidP="0048615F">
      <w:pPr>
        <w:spacing w:line="240" w:lineRule="auto"/>
        <w:rPr>
          <w:rFonts w:eastAsia="Times New Roman" w:cs="Arial"/>
          <w:bCs/>
          <w:i/>
          <w:iCs/>
          <w:color w:val="000000"/>
          <w:szCs w:val="20"/>
          <w:lang w:eastAsia="bg-BG"/>
        </w:rPr>
      </w:pPr>
    </w:p>
    <w:p w14:paraId="06DEA7D3"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Инсулин или други противодиабетни лекарствени продукти:</w:t>
      </w:r>
      <w:r w:rsidRPr="0048615F">
        <w:rPr>
          <w:rFonts w:eastAsia="Times New Roman" w:cs="Arial"/>
          <w:bCs/>
          <w:color w:val="000000"/>
          <w:szCs w:val="20"/>
          <w:lang w:eastAsia="bg-BG"/>
        </w:rPr>
        <w:t xml:space="preserve"> засилват ефекта на понижаване на кръвната захар. Блокадата на бета-адренорецепториге може да маскира симптомите на хипогликемия.</w:t>
      </w:r>
    </w:p>
    <w:p w14:paraId="26D8F63D" w14:textId="77777777" w:rsidR="0048615F" w:rsidRPr="0048615F" w:rsidRDefault="0048615F" w:rsidP="0048615F">
      <w:pPr>
        <w:spacing w:line="240" w:lineRule="auto"/>
        <w:rPr>
          <w:rFonts w:eastAsia="Times New Roman" w:cs="Arial"/>
          <w:bCs/>
          <w:i/>
          <w:iCs/>
          <w:color w:val="000000"/>
          <w:szCs w:val="20"/>
          <w:lang w:eastAsia="bg-BG"/>
        </w:rPr>
      </w:pPr>
    </w:p>
    <w:p w14:paraId="6C6B388E"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Анестетици:</w:t>
      </w:r>
      <w:r w:rsidRPr="0048615F">
        <w:rPr>
          <w:rFonts w:eastAsia="Times New Roman" w:cs="Arial"/>
          <w:bCs/>
          <w:color w:val="000000"/>
          <w:szCs w:val="20"/>
          <w:lang w:eastAsia="bg-BG"/>
        </w:rPr>
        <w:t xml:space="preserve"> отслабване на рефлексната тахикардия и увеличаване риска от хипотония (вижте точка 4.4).</w:t>
      </w:r>
    </w:p>
    <w:p w14:paraId="68659AD7" w14:textId="77777777" w:rsidR="0048615F" w:rsidRPr="0048615F" w:rsidRDefault="0048615F" w:rsidP="0048615F">
      <w:pPr>
        <w:spacing w:line="240" w:lineRule="auto"/>
        <w:rPr>
          <w:rFonts w:eastAsia="Times New Roman" w:cs="Arial"/>
          <w:bCs/>
          <w:i/>
          <w:iCs/>
          <w:color w:val="000000"/>
          <w:szCs w:val="20"/>
          <w:lang w:eastAsia="bg-BG"/>
        </w:rPr>
      </w:pPr>
    </w:p>
    <w:p w14:paraId="1CF222AB"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Сърдечни гликозиди:</w:t>
      </w:r>
      <w:r w:rsidRPr="0048615F">
        <w:rPr>
          <w:rFonts w:eastAsia="Times New Roman" w:cs="Arial"/>
          <w:bCs/>
          <w:color w:val="000000"/>
          <w:szCs w:val="20"/>
          <w:lang w:eastAsia="bg-BG"/>
        </w:rPr>
        <w:t xml:space="preserve"> удължаване времето на атрио-вентрикуларната проводимост, намаляване на сърдечната честота. Ако по време на лечението с Бисоплюс АЛ възникнат хипокалемия и/или хипомагнезиемия, миокардът може да прояви признаци на нараснала чувствителност към сърдечни гликозиди, водеща до засилен ефект и проява на нежелани реакции от страна на гликозидите.</w:t>
      </w:r>
    </w:p>
    <w:p w14:paraId="1028B791" w14:textId="77777777" w:rsidR="0048615F" w:rsidRPr="0048615F" w:rsidRDefault="0048615F" w:rsidP="0048615F">
      <w:pPr>
        <w:spacing w:line="240" w:lineRule="auto"/>
        <w:rPr>
          <w:rFonts w:eastAsia="Times New Roman" w:cs="Arial"/>
          <w:bCs/>
          <w:i/>
          <w:iCs/>
          <w:color w:val="000000"/>
          <w:szCs w:val="20"/>
          <w:lang w:eastAsia="bg-BG"/>
        </w:rPr>
      </w:pPr>
    </w:p>
    <w:p w14:paraId="0516E70F"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Лекарствени продукти, инхибиращи простагландиновия синтез:</w:t>
      </w:r>
      <w:r w:rsidRPr="0048615F">
        <w:rPr>
          <w:rFonts w:eastAsia="Times New Roman" w:cs="Arial"/>
          <w:bCs/>
          <w:color w:val="000000"/>
          <w:szCs w:val="20"/>
          <w:lang w:eastAsia="bg-BG"/>
        </w:rPr>
        <w:t xml:space="preserve"> намаляват хипотензивния ефект. Прилагането на салицилати във високи дози може да потенцира техните токсичните ефекти върху централната нервна система.</w:t>
      </w:r>
    </w:p>
    <w:p w14:paraId="5AAAD276" w14:textId="77777777" w:rsidR="0048615F" w:rsidRPr="0048615F" w:rsidRDefault="0048615F" w:rsidP="0048615F">
      <w:pPr>
        <w:spacing w:line="240" w:lineRule="auto"/>
        <w:rPr>
          <w:rFonts w:eastAsia="Times New Roman" w:cs="Arial"/>
          <w:bCs/>
          <w:color w:val="000000"/>
          <w:szCs w:val="20"/>
          <w:lang w:eastAsia="bg-BG"/>
        </w:rPr>
      </w:pPr>
    </w:p>
    <w:p w14:paraId="6658D28E"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 xml:space="preserve">При пациенти, развиващи хиповолемия едновременното приложение на </w:t>
      </w:r>
      <w:r w:rsidRPr="0048615F">
        <w:rPr>
          <w:rFonts w:eastAsia="Times New Roman" w:cs="Arial"/>
          <w:bCs/>
          <w:i/>
          <w:iCs/>
          <w:color w:val="000000"/>
          <w:szCs w:val="20"/>
          <w:lang w:eastAsia="bg-BG"/>
        </w:rPr>
        <w:t>нестероидни противовъзпалителни средства</w:t>
      </w:r>
      <w:r w:rsidRPr="0048615F">
        <w:rPr>
          <w:rFonts w:eastAsia="Times New Roman" w:cs="Arial"/>
          <w:bCs/>
          <w:color w:val="000000"/>
          <w:szCs w:val="20"/>
          <w:lang w:eastAsia="bg-BG"/>
        </w:rPr>
        <w:t xml:space="preserve"> може да провокира остра бъбречна недостатъчност.</w:t>
      </w:r>
    </w:p>
    <w:p w14:paraId="78927BAE" w14:textId="77777777" w:rsidR="0048615F" w:rsidRPr="0048615F" w:rsidRDefault="0048615F" w:rsidP="0048615F">
      <w:pPr>
        <w:spacing w:line="240" w:lineRule="auto"/>
        <w:rPr>
          <w:rFonts w:eastAsia="Times New Roman" w:cs="Arial"/>
          <w:bCs/>
          <w:i/>
          <w:iCs/>
          <w:color w:val="000000"/>
          <w:szCs w:val="20"/>
          <w:lang w:eastAsia="bg-BG"/>
        </w:rPr>
      </w:pPr>
    </w:p>
    <w:p w14:paraId="269FCA35"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Бета-симпатомиметици:</w:t>
      </w:r>
      <w:r w:rsidRPr="0048615F">
        <w:rPr>
          <w:rFonts w:eastAsia="Times New Roman" w:cs="Arial"/>
          <w:bCs/>
          <w:color w:val="000000"/>
          <w:szCs w:val="20"/>
          <w:lang w:eastAsia="bg-BG"/>
        </w:rPr>
        <w:t xml:space="preserve"> Комбинацията с бисопролол може да намали ефекта на двете лекарства</w:t>
      </w:r>
    </w:p>
    <w:p w14:paraId="5B1D20CE" w14:textId="77777777" w:rsidR="0048615F" w:rsidRPr="0048615F" w:rsidRDefault="0048615F" w:rsidP="0048615F">
      <w:pPr>
        <w:spacing w:line="240" w:lineRule="auto"/>
        <w:rPr>
          <w:rFonts w:eastAsia="Times New Roman" w:cs="Arial"/>
          <w:bCs/>
          <w:i/>
          <w:iCs/>
          <w:color w:val="000000"/>
          <w:szCs w:val="20"/>
          <w:u w:val="single"/>
          <w:lang w:eastAsia="bg-BG"/>
        </w:rPr>
      </w:pPr>
    </w:p>
    <w:p w14:paraId="0780589B"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u w:val="single"/>
          <w:lang w:eastAsia="bg-BG"/>
        </w:rPr>
        <w:t>Симпатикомиметиии</w:t>
      </w:r>
      <w:r w:rsidRPr="0048615F">
        <w:rPr>
          <w:rFonts w:eastAsia="Times New Roman" w:cs="Arial"/>
          <w:bCs/>
          <w:i/>
          <w:iCs/>
          <w:color w:val="000000"/>
          <w:szCs w:val="20"/>
          <w:lang w:eastAsia="bg-BG"/>
        </w:rPr>
        <w:t>:</w:t>
      </w:r>
      <w:r w:rsidRPr="0048615F">
        <w:rPr>
          <w:rFonts w:eastAsia="Times New Roman" w:cs="Arial"/>
          <w:bCs/>
          <w:color w:val="000000"/>
          <w:szCs w:val="20"/>
          <w:lang w:eastAsia="bg-BG"/>
        </w:rPr>
        <w:t xml:space="preserve"> комбинирането с бисопролол може да намали ефекта и на двата лекарствени продукта. Високи дози на епинефрин може да са необходими за лечение на алергични реакции.</w:t>
      </w:r>
    </w:p>
    <w:p w14:paraId="61D3D6A6" w14:textId="77777777" w:rsidR="0048615F" w:rsidRPr="0048615F" w:rsidRDefault="0048615F" w:rsidP="0048615F">
      <w:pPr>
        <w:spacing w:line="240" w:lineRule="auto"/>
        <w:rPr>
          <w:rFonts w:eastAsia="Times New Roman" w:cs="Arial"/>
          <w:bCs/>
          <w:i/>
          <w:iCs/>
          <w:color w:val="000000"/>
          <w:szCs w:val="20"/>
          <w:lang w:eastAsia="bg-BG"/>
        </w:rPr>
      </w:pPr>
    </w:p>
    <w:p w14:paraId="16DE7BD1"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Симпатомиметици, които активират алфа и бета- адренорецепторите:</w:t>
      </w:r>
    </w:p>
    <w:p w14:paraId="7040CEC6"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Комбинирането с бисопролол може да доведе до повишаване на кръвното налягане. Такива взаимодействия са по-вероятни при прилагане на неселективни бета-блокери.</w:t>
      </w:r>
    </w:p>
    <w:p w14:paraId="01497792" w14:textId="77777777" w:rsidR="0048615F" w:rsidRPr="0048615F" w:rsidRDefault="0048615F" w:rsidP="0048615F">
      <w:pPr>
        <w:rPr>
          <w:rFonts w:eastAsia="Times New Roman" w:cs="Arial"/>
          <w:bCs/>
          <w:color w:val="000000"/>
          <w:szCs w:val="20"/>
          <w:lang w:eastAsia="bg-BG"/>
        </w:rPr>
      </w:pPr>
    </w:p>
    <w:p w14:paraId="7A7CD668" w14:textId="77777777" w:rsidR="0048615F" w:rsidRPr="0048615F" w:rsidRDefault="0048615F" w:rsidP="0048615F">
      <w:pPr>
        <w:rPr>
          <w:rFonts w:eastAsia="Times New Roman" w:cs="Arial"/>
          <w:sz w:val="28"/>
          <w:szCs w:val="24"/>
          <w:lang w:eastAsia="bg-BG"/>
        </w:rPr>
      </w:pPr>
      <w:r w:rsidRPr="0048615F">
        <w:rPr>
          <w:rFonts w:eastAsia="Times New Roman" w:cs="Arial"/>
          <w:bCs/>
          <w:color w:val="000000"/>
          <w:szCs w:val="20"/>
          <w:lang w:eastAsia="bg-BG"/>
        </w:rPr>
        <w:t>Едновременното прилагане на Бисоплюс АЛ и калий-губещи лекарствени продукти</w:t>
      </w:r>
      <w:r>
        <w:rPr>
          <w:rFonts w:eastAsia="Times New Roman" w:cs="Arial"/>
          <w:bCs/>
          <w:color w:val="000000"/>
          <w:szCs w:val="20"/>
          <w:lang w:eastAsia="bg-BG"/>
        </w:rPr>
        <w:t xml:space="preserve"> </w:t>
      </w:r>
      <w:r w:rsidRPr="0048615F">
        <w:rPr>
          <w:rFonts w:eastAsia="Times New Roman" w:cs="Arial"/>
          <w:bCs/>
          <w:color w:val="000000"/>
          <w:szCs w:val="20"/>
          <w:lang w:eastAsia="bg-BG"/>
        </w:rPr>
        <w:t>(глюкокортикоиди, аденокортикотропен хормон (АКТХ), карбеноксолон, амфотерицин В, фуроземид или лаксативи) може да предизвика увеличаване загубата на калий.</w:t>
      </w:r>
    </w:p>
    <w:p w14:paraId="223A40BB" w14:textId="77777777" w:rsidR="0048615F" w:rsidRPr="0048615F" w:rsidRDefault="0048615F" w:rsidP="0048615F">
      <w:pPr>
        <w:spacing w:line="240" w:lineRule="auto"/>
        <w:rPr>
          <w:rFonts w:eastAsia="Times New Roman" w:cs="Arial"/>
          <w:bCs/>
          <w:i/>
          <w:iCs/>
          <w:color w:val="000000"/>
          <w:szCs w:val="20"/>
          <w:lang w:eastAsia="bg-BG"/>
        </w:rPr>
      </w:pPr>
    </w:p>
    <w:p w14:paraId="2FD208FF"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Метилдопа:</w:t>
      </w:r>
      <w:r w:rsidRPr="0048615F">
        <w:rPr>
          <w:rFonts w:eastAsia="Times New Roman" w:cs="Arial"/>
          <w:bCs/>
          <w:color w:val="000000"/>
          <w:szCs w:val="20"/>
          <w:lang w:eastAsia="bg-BG"/>
        </w:rPr>
        <w:t xml:space="preserve"> хемолиза, дължаща се на формиране на антитела към хидрохлоротиазид е описана в изолирани случаи.</w:t>
      </w:r>
    </w:p>
    <w:p w14:paraId="27AFE7EB" w14:textId="77777777" w:rsidR="0048615F" w:rsidRPr="0048615F" w:rsidRDefault="0048615F" w:rsidP="0048615F">
      <w:pPr>
        <w:spacing w:line="240" w:lineRule="auto"/>
        <w:rPr>
          <w:rFonts w:eastAsia="Times New Roman" w:cs="Arial"/>
          <w:bCs/>
          <w:color w:val="000000"/>
          <w:szCs w:val="20"/>
          <w:lang w:eastAsia="bg-BG"/>
        </w:rPr>
      </w:pPr>
    </w:p>
    <w:p w14:paraId="2260EE93"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Ефектът на лекарствени продукти, понижаващи пикочната киселина може да се удължи при едновременното прилагане на бисопрололов фумарат/ хидрохлоротиазид.</w:t>
      </w:r>
    </w:p>
    <w:p w14:paraId="7BAD4CD3" w14:textId="77777777" w:rsidR="0048615F" w:rsidRPr="0048615F" w:rsidRDefault="0048615F" w:rsidP="0048615F">
      <w:pPr>
        <w:spacing w:line="240" w:lineRule="auto"/>
        <w:rPr>
          <w:rFonts w:eastAsia="Times New Roman" w:cs="Arial"/>
          <w:bCs/>
          <w:i/>
          <w:iCs/>
          <w:color w:val="000000"/>
          <w:szCs w:val="20"/>
          <w:lang w:eastAsia="bg-BG"/>
        </w:rPr>
      </w:pPr>
    </w:p>
    <w:p w14:paraId="4269292C"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Холестирамин, колестипол:</w:t>
      </w:r>
      <w:r w:rsidRPr="0048615F">
        <w:rPr>
          <w:rFonts w:eastAsia="Times New Roman" w:cs="Arial"/>
          <w:bCs/>
          <w:color w:val="000000"/>
          <w:szCs w:val="20"/>
          <w:lang w:eastAsia="bg-BG"/>
        </w:rPr>
        <w:t xml:space="preserve"> намаляват абсорбцията на хидрохлоротиазид от комбинилрания лекарствен продукт Бисоплюс АЛ.</w:t>
      </w:r>
    </w:p>
    <w:p w14:paraId="575D53D3" w14:textId="77777777" w:rsidR="0048615F" w:rsidRPr="0048615F" w:rsidRDefault="0048615F" w:rsidP="0048615F">
      <w:pPr>
        <w:spacing w:line="240" w:lineRule="auto"/>
        <w:rPr>
          <w:rFonts w:eastAsia="Times New Roman" w:cs="Arial"/>
          <w:bCs/>
          <w:i/>
          <w:iCs/>
          <w:color w:val="000000"/>
          <w:szCs w:val="20"/>
          <w:lang w:eastAsia="bg-BG"/>
        </w:rPr>
      </w:pPr>
    </w:p>
    <w:p w14:paraId="3265B380"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Ерготаминови деривати:</w:t>
      </w:r>
      <w:r w:rsidRPr="0048615F">
        <w:rPr>
          <w:rFonts w:eastAsia="Times New Roman" w:cs="Arial"/>
          <w:bCs/>
          <w:color w:val="000000"/>
          <w:szCs w:val="20"/>
          <w:lang w:eastAsia="bg-BG"/>
        </w:rPr>
        <w:t xml:space="preserve"> периферни циркулационни смущения.</w:t>
      </w:r>
    </w:p>
    <w:p w14:paraId="02A3F3EB" w14:textId="77777777" w:rsidR="0048615F" w:rsidRPr="0048615F" w:rsidRDefault="0048615F" w:rsidP="0048615F">
      <w:pPr>
        <w:spacing w:line="240" w:lineRule="auto"/>
        <w:rPr>
          <w:rFonts w:eastAsia="Times New Roman" w:cs="Arial"/>
          <w:bCs/>
          <w:i/>
          <w:iCs/>
          <w:color w:val="000000"/>
          <w:szCs w:val="20"/>
          <w:lang w:eastAsia="bg-BG"/>
        </w:rPr>
      </w:pPr>
    </w:p>
    <w:p w14:paraId="66D13D9C"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Трициклични антидемресанти, барбитурати, фенотиазини, както и антихипертензивни лекарствени продукти:</w:t>
      </w:r>
      <w:r w:rsidRPr="0048615F">
        <w:rPr>
          <w:rFonts w:eastAsia="Times New Roman" w:cs="Arial"/>
          <w:bCs/>
          <w:color w:val="000000"/>
          <w:szCs w:val="20"/>
          <w:lang w:eastAsia="bg-BG"/>
        </w:rPr>
        <w:t xml:space="preserve"> увеличават ефекта на понижаване на кръвното налягане.</w:t>
      </w:r>
    </w:p>
    <w:p w14:paraId="04356F35" w14:textId="77777777" w:rsidR="0048615F" w:rsidRPr="0048615F" w:rsidRDefault="0048615F" w:rsidP="0048615F">
      <w:pPr>
        <w:spacing w:line="240" w:lineRule="auto"/>
        <w:rPr>
          <w:rFonts w:eastAsia="Times New Roman" w:cs="Arial"/>
          <w:sz w:val="28"/>
          <w:szCs w:val="24"/>
          <w:lang w:eastAsia="bg-BG"/>
        </w:rPr>
      </w:pPr>
    </w:p>
    <w:p w14:paraId="10F7ED18"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Рифампицин:</w:t>
      </w:r>
      <w:r w:rsidRPr="0048615F">
        <w:rPr>
          <w:rFonts w:eastAsia="Times New Roman" w:cs="Arial"/>
          <w:bCs/>
          <w:color w:val="000000"/>
          <w:szCs w:val="20"/>
          <w:lang w:eastAsia="bg-BG"/>
        </w:rPr>
        <w:t xml:space="preserve"> лека редукция на плазмения полуживот на бисопролол, вероятно поради индукция на чернодробните метаболизиращи ензими. Обикновено не е необходима корекция в дозирането.</w:t>
      </w:r>
    </w:p>
    <w:p w14:paraId="124F64F9" w14:textId="77777777" w:rsidR="0048615F" w:rsidRPr="0048615F" w:rsidRDefault="0048615F" w:rsidP="0048615F">
      <w:pPr>
        <w:spacing w:line="240" w:lineRule="auto"/>
        <w:rPr>
          <w:rFonts w:eastAsia="Times New Roman" w:cs="Arial"/>
          <w:bCs/>
          <w:color w:val="000000"/>
          <w:szCs w:val="20"/>
          <w:lang w:eastAsia="bg-BG"/>
        </w:rPr>
      </w:pPr>
    </w:p>
    <w:p w14:paraId="0AE1613A"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 xml:space="preserve">Ефектът на </w:t>
      </w:r>
      <w:r w:rsidRPr="0048615F">
        <w:rPr>
          <w:rFonts w:eastAsia="Times New Roman" w:cs="Arial"/>
          <w:bCs/>
          <w:i/>
          <w:iCs/>
          <w:color w:val="000000"/>
          <w:szCs w:val="20"/>
          <w:lang w:eastAsia="bg-BG"/>
        </w:rPr>
        <w:t>миорелаксанти от тип-кураре</w:t>
      </w:r>
      <w:r w:rsidRPr="0048615F">
        <w:rPr>
          <w:rFonts w:eastAsia="Times New Roman" w:cs="Arial"/>
          <w:bCs/>
          <w:color w:val="000000"/>
          <w:szCs w:val="20"/>
          <w:lang w:eastAsia="bg-BG"/>
        </w:rPr>
        <w:t xml:space="preserve"> може да се увеличи или удължи от бисопрололов фумарат/хидрохлоротиазид.</w:t>
      </w:r>
    </w:p>
    <w:p w14:paraId="035BAD77" w14:textId="77777777" w:rsidR="0048615F" w:rsidRPr="0048615F" w:rsidRDefault="0048615F" w:rsidP="0048615F">
      <w:pPr>
        <w:spacing w:line="240" w:lineRule="auto"/>
        <w:rPr>
          <w:rFonts w:eastAsia="Times New Roman" w:cs="Arial"/>
          <w:bCs/>
          <w:color w:val="000000"/>
          <w:szCs w:val="20"/>
          <w:u w:val="single"/>
          <w:lang w:eastAsia="bg-BG"/>
        </w:rPr>
      </w:pPr>
    </w:p>
    <w:p w14:paraId="6F1A54F7"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u w:val="single"/>
          <w:lang w:eastAsia="bg-BG"/>
        </w:rPr>
        <w:t>Цитостатици (циклофосфамид, Флуороурацил. метотрексат)</w:t>
      </w:r>
      <w:r w:rsidRPr="0048615F">
        <w:rPr>
          <w:rFonts w:eastAsia="Times New Roman" w:cs="Arial"/>
          <w:bCs/>
          <w:color w:val="000000"/>
          <w:szCs w:val="20"/>
          <w:lang w:eastAsia="bg-BG"/>
        </w:rPr>
        <w:t>: трябва да се очаква увеличена токсичност върху костния мозък.</w:t>
      </w:r>
    </w:p>
    <w:p w14:paraId="603A8469" w14:textId="77777777" w:rsidR="0048615F" w:rsidRPr="0048615F" w:rsidRDefault="0048615F" w:rsidP="0048615F">
      <w:pPr>
        <w:spacing w:line="240" w:lineRule="auto"/>
        <w:rPr>
          <w:rFonts w:eastAsia="Times New Roman" w:cs="Arial"/>
          <w:bCs/>
          <w:color w:val="000000"/>
          <w:szCs w:val="20"/>
          <w:lang w:eastAsia="bg-BG"/>
        </w:rPr>
      </w:pPr>
    </w:p>
    <w:p w14:paraId="3FF69393"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 xml:space="preserve">Други комбинации, които трябва да се използват с внимание са </w:t>
      </w:r>
      <w:r w:rsidRPr="0048615F">
        <w:rPr>
          <w:rFonts w:eastAsia="Times New Roman" w:cs="Arial"/>
          <w:bCs/>
          <w:i/>
          <w:iCs/>
          <w:color w:val="000000"/>
          <w:szCs w:val="20"/>
          <w:lang w:eastAsia="bg-BG"/>
        </w:rPr>
        <w:t xml:space="preserve">пероралните антикоагуланти </w:t>
      </w:r>
      <w:r w:rsidRPr="0048615F">
        <w:rPr>
          <w:rFonts w:eastAsia="Times New Roman" w:cs="Arial"/>
          <w:bCs/>
          <w:color w:val="000000"/>
          <w:szCs w:val="20"/>
          <w:lang w:eastAsia="bg-BG"/>
        </w:rPr>
        <w:t xml:space="preserve">(антитромбоцитният ефект може да се намали чрез използване на тиазиди) и </w:t>
      </w:r>
      <w:r w:rsidRPr="0048615F">
        <w:rPr>
          <w:rFonts w:eastAsia="Times New Roman" w:cs="Arial"/>
          <w:bCs/>
          <w:i/>
          <w:iCs/>
          <w:color w:val="000000"/>
          <w:szCs w:val="20"/>
          <w:lang w:eastAsia="bg-BG"/>
        </w:rPr>
        <w:t>пробенецид</w:t>
      </w:r>
      <w:r w:rsidRPr="0048615F">
        <w:rPr>
          <w:rFonts w:eastAsia="Times New Roman" w:cs="Arial"/>
          <w:bCs/>
          <w:color w:val="000000"/>
          <w:szCs w:val="20"/>
          <w:lang w:eastAsia="bg-BG"/>
        </w:rPr>
        <w:t xml:space="preserve"> (намалява диуретичното действие).</w:t>
      </w:r>
    </w:p>
    <w:p w14:paraId="718849AA" w14:textId="77777777" w:rsidR="0048615F" w:rsidRPr="0048615F" w:rsidRDefault="0048615F" w:rsidP="0048615F">
      <w:pPr>
        <w:spacing w:line="240" w:lineRule="auto"/>
        <w:rPr>
          <w:rFonts w:eastAsia="Times New Roman" w:cs="Arial"/>
          <w:bCs/>
          <w:color w:val="000000"/>
          <w:szCs w:val="20"/>
          <w:u w:val="single"/>
          <w:lang w:eastAsia="bg-BG"/>
        </w:rPr>
      </w:pPr>
    </w:p>
    <w:p w14:paraId="147EE1BE"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u w:val="single"/>
          <w:lang w:eastAsia="bg-BG"/>
        </w:rPr>
        <w:t>Комбинации, изискващи обсъждане</w:t>
      </w:r>
    </w:p>
    <w:p w14:paraId="62A6E78D"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i/>
          <w:iCs/>
          <w:color w:val="000000"/>
          <w:szCs w:val="20"/>
          <w:lang w:eastAsia="bg-BG"/>
        </w:rPr>
        <w:t>Мефлоквин:</w:t>
      </w:r>
      <w:r w:rsidRPr="0048615F">
        <w:rPr>
          <w:rFonts w:eastAsia="Times New Roman" w:cs="Arial"/>
          <w:bCs/>
          <w:color w:val="000000"/>
          <w:szCs w:val="20"/>
          <w:lang w:eastAsia="bg-BG"/>
        </w:rPr>
        <w:t xml:space="preserve"> увеличен риск от брадикардия</w:t>
      </w:r>
    </w:p>
    <w:p w14:paraId="380DE889" w14:textId="77777777" w:rsidR="0048615F" w:rsidRPr="0048615F" w:rsidRDefault="0048615F" w:rsidP="0048615F">
      <w:pPr>
        <w:rPr>
          <w:rFonts w:eastAsia="Times New Roman" w:cs="Arial"/>
          <w:bCs/>
          <w:color w:val="000000"/>
          <w:szCs w:val="20"/>
          <w:lang w:eastAsia="bg-BG"/>
        </w:rPr>
      </w:pPr>
    </w:p>
    <w:p w14:paraId="089EA138" w14:textId="77777777" w:rsidR="0048615F" w:rsidRPr="0048615F" w:rsidRDefault="0048615F" w:rsidP="0048615F">
      <w:pPr>
        <w:rPr>
          <w:rFonts w:eastAsia="Times New Roman" w:cs="Arial"/>
          <w:bCs/>
          <w:color w:val="000000"/>
          <w:szCs w:val="20"/>
          <w:lang w:eastAsia="bg-BG"/>
        </w:rPr>
      </w:pPr>
      <w:r w:rsidRPr="0048615F">
        <w:rPr>
          <w:rFonts w:eastAsia="Times New Roman" w:cs="Arial"/>
          <w:bCs/>
          <w:color w:val="000000"/>
          <w:szCs w:val="20"/>
          <w:lang w:eastAsia="bg-BG"/>
        </w:rPr>
        <w:t>Кортикостероиди: понижен антихипертензивен ефект</w:t>
      </w:r>
    </w:p>
    <w:p w14:paraId="061EE0F2" w14:textId="489BA5D4" w:rsidR="0048615F" w:rsidRPr="0048615F" w:rsidRDefault="0048615F" w:rsidP="0048615F"/>
    <w:p w14:paraId="394A7584" w14:textId="3C234BE0" w:rsidR="004F498A" w:rsidRDefault="002C50EE" w:rsidP="004A448E">
      <w:pPr>
        <w:pStyle w:val="Heading2"/>
      </w:pPr>
      <w:r>
        <w:t>4.6. Фертилитет, бременност и кърмене</w:t>
      </w:r>
    </w:p>
    <w:p w14:paraId="312294A3" w14:textId="16ACF6E7" w:rsidR="0048615F" w:rsidRDefault="0048615F" w:rsidP="0048615F"/>
    <w:p w14:paraId="69CF3032" w14:textId="77777777" w:rsidR="0048615F" w:rsidRPr="0048615F" w:rsidRDefault="0048615F" w:rsidP="0048615F">
      <w:pPr>
        <w:pStyle w:val="Heading3"/>
        <w:rPr>
          <w:u w:val="single"/>
        </w:rPr>
      </w:pPr>
      <w:r w:rsidRPr="0048615F">
        <w:rPr>
          <w:u w:val="single"/>
        </w:rPr>
        <w:t>Бременност</w:t>
      </w:r>
    </w:p>
    <w:p w14:paraId="4C78EA18"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Няма достатъчен клиничен опит с хидрохлоротиазид или бисопролол по време на бременност, особено през първия триместьр. Няма достатъчно предклинични проучвания с животни с хидрохлоротиазид, а проучванията с бисопролол не доказват тератогенен ефект. Бисопролол, β- адреноцепторен блокер понижава плацентарната перфузия, и поради това може да забави растежа на плода, да предизвика възрематочна смърт, аборт или преждевременно раждане.</w:t>
      </w:r>
    </w:p>
    <w:p w14:paraId="55B98531"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Нежелани реакции (например брадикардия, хипогликемия) може да се набюдават при фетуса или новороденото.</w:t>
      </w:r>
    </w:p>
    <w:p w14:paraId="63BCB2BD" w14:textId="77777777" w:rsidR="0048615F" w:rsidRPr="0048615F" w:rsidRDefault="0048615F" w:rsidP="0048615F">
      <w:pPr>
        <w:rPr>
          <w:rFonts w:eastAsia="Times New Roman" w:cs="Arial"/>
          <w:sz w:val="28"/>
          <w:szCs w:val="24"/>
          <w:lang w:eastAsia="bg-BG"/>
        </w:rPr>
      </w:pPr>
      <w:r w:rsidRPr="0048615F">
        <w:rPr>
          <w:rFonts w:eastAsia="Times New Roman" w:cs="Arial"/>
          <w:bCs/>
          <w:color w:val="000000"/>
          <w:szCs w:val="20"/>
          <w:lang w:eastAsia="bg-BG"/>
        </w:rPr>
        <w:t>Ако лечението с β-адреноцепторен блокер се счита за необходимо, трябва да се прилага лекарствен продукт с доказан профил на безопасност. Стриктно трябва да се проследяват утероплацентарния кръвен поток и развитието на плода. Новороденото дете също трябва редовно да бъде преглеждано. Симптоми на хипогликемия и брадикардия обикновено се очакват през първите 5 дни. Хидрохлоротиазид преминава през плацентата. Според фармакологичния механи</w:t>
      </w:r>
      <w:r w:rsidRPr="0048615F">
        <w:rPr>
          <w:rFonts w:eastAsia="Times New Roman" w:cs="Arial"/>
          <w:bCs/>
          <w:color w:val="000000"/>
          <w:szCs w:val="20"/>
          <w:u w:val="single"/>
          <w:lang w:eastAsia="bg-BG"/>
        </w:rPr>
        <w:t xml:space="preserve">зъм на </w:t>
      </w:r>
      <w:r w:rsidRPr="0048615F">
        <w:rPr>
          <w:rFonts w:eastAsia="Times New Roman" w:cs="Arial"/>
          <w:bCs/>
          <w:color w:val="000000"/>
          <w:szCs w:val="20"/>
          <w:lang w:eastAsia="bg-BG"/>
        </w:rPr>
        <w:t>действие на хидрохлоротиазид, употребата му през втория и третия триместьр може да предизвика фето-плацентарна перфузия и да причини фетални и неонатални усложнения като жълтеница,</w:t>
      </w:r>
      <w:r>
        <w:rPr>
          <w:rFonts w:eastAsia="Times New Roman" w:cs="Arial"/>
          <w:bCs/>
          <w:color w:val="000000"/>
          <w:szCs w:val="20"/>
          <w:lang w:eastAsia="bg-BG"/>
        </w:rPr>
        <w:t xml:space="preserve"> </w:t>
      </w:r>
      <w:r w:rsidRPr="0048615F">
        <w:rPr>
          <w:rFonts w:eastAsia="Times New Roman" w:cs="Arial"/>
          <w:bCs/>
          <w:color w:val="000000"/>
          <w:szCs w:val="20"/>
          <w:lang w:eastAsia="bg-BG"/>
        </w:rPr>
        <w:t>нарушения на електролитния баланс и тромбоцитопения.</w:t>
      </w:r>
    </w:p>
    <w:p w14:paraId="5921E4BC"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lastRenderedPageBreak/>
        <w:t>Хидрохлоротиазид не трябва да се използва при гестационен оток, гестационна хипертония или прееклампсия, поради риск от понижаване на плазмения обем и плацентарна хипоперфузия, без да има благоприятен ефект върху хода на заболяването. Хидрохлоротиазид не трябва да се прилага за лечение на есенциална хипертония при бременни жени, освен по изключение в редки случаи, когато не може да се приложи друго лечение.</w:t>
      </w:r>
    </w:p>
    <w:p w14:paraId="7E3BD480" w14:textId="77777777" w:rsidR="0048615F" w:rsidRPr="0048615F" w:rsidRDefault="0048615F" w:rsidP="0048615F">
      <w:pPr>
        <w:spacing w:line="240" w:lineRule="auto"/>
        <w:rPr>
          <w:rFonts w:eastAsia="Times New Roman" w:cs="Arial"/>
          <w:bCs/>
          <w:color w:val="000000"/>
          <w:szCs w:val="20"/>
          <w:u w:val="single"/>
          <w:lang w:eastAsia="bg-BG"/>
        </w:rPr>
      </w:pPr>
    </w:p>
    <w:p w14:paraId="0450E59B" w14:textId="7FA1D380" w:rsidR="0048615F" w:rsidRPr="0048615F" w:rsidRDefault="0048615F" w:rsidP="0048615F">
      <w:pPr>
        <w:pStyle w:val="Heading3"/>
        <w:rPr>
          <w:u w:val="single"/>
        </w:rPr>
      </w:pPr>
      <w:r w:rsidRPr="0048615F">
        <w:rPr>
          <w:u w:val="single"/>
        </w:rPr>
        <w:t>Кърмене</w:t>
      </w:r>
    </w:p>
    <w:p w14:paraId="2E850E9A"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Хидрохлоротиазид се отделя в кърмата. Не е известно досега дали бисопролол се екскретира също през майчиното мляко.</w:t>
      </w:r>
    </w:p>
    <w:p w14:paraId="418DF2A0"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Затова този лекарствен продукт не трябва да се прилага по време на кърмене.</w:t>
      </w:r>
    </w:p>
    <w:p w14:paraId="7DA1C54E"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Трябва да се избере алтернативно лечение с установен профил на безопасност по време на кърмене, особено при новородено или преждевременно родено дете. Хидрохлоротиазид може да инхибира продукцията на майчино мляко.</w:t>
      </w:r>
    </w:p>
    <w:p w14:paraId="30C13883" w14:textId="77777777" w:rsidR="0048615F" w:rsidRPr="0048615F" w:rsidRDefault="0048615F" w:rsidP="0048615F">
      <w:pPr>
        <w:spacing w:line="240" w:lineRule="auto"/>
        <w:rPr>
          <w:rFonts w:eastAsia="Times New Roman" w:cs="Arial"/>
          <w:bCs/>
          <w:color w:val="000000"/>
          <w:szCs w:val="20"/>
          <w:u w:val="single"/>
          <w:lang w:eastAsia="bg-BG"/>
        </w:rPr>
      </w:pPr>
    </w:p>
    <w:p w14:paraId="421B31BB" w14:textId="108A9D4C" w:rsidR="0048615F" w:rsidRPr="0048615F" w:rsidRDefault="0048615F" w:rsidP="0048615F">
      <w:pPr>
        <w:pStyle w:val="Heading3"/>
        <w:rPr>
          <w:u w:val="single"/>
        </w:rPr>
      </w:pPr>
      <w:r w:rsidRPr="0048615F">
        <w:rPr>
          <w:u w:val="single"/>
        </w:rPr>
        <w:t>Фертилитет</w:t>
      </w:r>
    </w:p>
    <w:p w14:paraId="0488AC8D" w14:textId="284F9818" w:rsidR="0048615F" w:rsidRPr="0048615F" w:rsidRDefault="0048615F" w:rsidP="0048615F">
      <w:pPr>
        <w:rPr>
          <w:rFonts w:eastAsia="Times New Roman" w:cs="Arial"/>
          <w:bCs/>
          <w:color w:val="000000"/>
          <w:sz w:val="24"/>
          <w:szCs w:val="20"/>
          <w:lang w:eastAsia="bg-BG"/>
        </w:rPr>
      </w:pPr>
      <w:r w:rsidRPr="0048615F">
        <w:rPr>
          <w:rFonts w:eastAsia="Times New Roman" w:cs="Arial"/>
          <w:bCs/>
          <w:color w:val="000000"/>
          <w:szCs w:val="20"/>
          <w:lang w:eastAsia="bg-BG"/>
        </w:rPr>
        <w:t>Няма налични предклинични данни с хидрохлоротиазид и бисопролол. Както други лекарства, използвани при лечението на хипертония, клиничните доклади показват, че хидрохлоротиазид и бисопролол може да причинят импотентност при мъжки индивиди.</w:t>
      </w:r>
    </w:p>
    <w:p w14:paraId="07E6C769" w14:textId="77777777" w:rsidR="0048615F" w:rsidRPr="0048615F" w:rsidRDefault="0048615F" w:rsidP="0048615F"/>
    <w:p w14:paraId="064DF1DE" w14:textId="6C4B7576" w:rsidR="00CF77F7" w:rsidRDefault="002C50EE" w:rsidP="004A448E">
      <w:pPr>
        <w:pStyle w:val="Heading2"/>
      </w:pPr>
      <w:r>
        <w:t>4.7. Ефекти върху способността за шофиране и работа с машини</w:t>
      </w:r>
    </w:p>
    <w:p w14:paraId="25E61AF1" w14:textId="07A458C2" w:rsidR="0048615F" w:rsidRDefault="0048615F" w:rsidP="0048615F"/>
    <w:p w14:paraId="3C354E05" w14:textId="77777777" w:rsidR="0048615F" w:rsidRPr="0048615F" w:rsidRDefault="0048615F" w:rsidP="0048615F">
      <w:pPr>
        <w:spacing w:line="240" w:lineRule="auto"/>
        <w:rPr>
          <w:rFonts w:eastAsia="Times New Roman" w:cs="Arial"/>
          <w:sz w:val="28"/>
          <w:szCs w:val="24"/>
          <w:lang w:eastAsia="bg-BG"/>
        </w:rPr>
      </w:pPr>
      <w:r w:rsidRPr="0048615F">
        <w:rPr>
          <w:rFonts w:eastAsia="Times New Roman" w:cs="Arial"/>
          <w:bCs/>
          <w:color w:val="000000"/>
          <w:szCs w:val="20"/>
          <w:lang w:eastAsia="bg-BG"/>
        </w:rPr>
        <w:t>Бисопрололов фумарат/ хидрохлоротиазид нямат или имат незначителен ефект върху способността за шофиране и управление на машини.</w:t>
      </w:r>
    </w:p>
    <w:p w14:paraId="1CC34B77" w14:textId="77777777" w:rsidR="0048615F" w:rsidRPr="0048615F" w:rsidRDefault="0048615F" w:rsidP="0048615F">
      <w:pPr>
        <w:rPr>
          <w:rFonts w:eastAsia="Times New Roman" w:cs="Arial"/>
          <w:bCs/>
          <w:color w:val="000000"/>
          <w:szCs w:val="20"/>
          <w:lang w:eastAsia="bg-BG"/>
        </w:rPr>
      </w:pPr>
    </w:p>
    <w:p w14:paraId="46EDCFB6" w14:textId="443768FB" w:rsidR="0048615F" w:rsidRPr="0048615F" w:rsidRDefault="0048615F" w:rsidP="0048615F">
      <w:pPr>
        <w:rPr>
          <w:rFonts w:cs="Arial"/>
          <w:sz w:val="24"/>
        </w:rPr>
      </w:pPr>
      <w:r w:rsidRPr="0048615F">
        <w:rPr>
          <w:rFonts w:eastAsia="Times New Roman" w:cs="Arial"/>
          <w:bCs/>
          <w:color w:val="000000"/>
          <w:szCs w:val="20"/>
          <w:lang w:eastAsia="bg-BG"/>
        </w:rPr>
        <w:t>Поради индивидуални отклонения в реакциите към лекарствения продукт, обаче, способността за шофиране и управление на машини може да бъде намалена. Това трябва да се има предвид особено в началото на лечението, при промяна в лечението, както и при комбиниране с алкохол.</w:t>
      </w:r>
    </w:p>
    <w:p w14:paraId="1FF7DD8B" w14:textId="77777777" w:rsidR="0048615F" w:rsidRPr="0048615F" w:rsidRDefault="0048615F" w:rsidP="0048615F"/>
    <w:p w14:paraId="37A3FD9F" w14:textId="2EC91808" w:rsidR="00CF77F7" w:rsidRDefault="002C50EE" w:rsidP="004A448E">
      <w:pPr>
        <w:pStyle w:val="Heading2"/>
      </w:pPr>
      <w:r>
        <w:t>4.8. Нежелани лекарствени реакции</w:t>
      </w:r>
    </w:p>
    <w:p w14:paraId="73ABA978" w14:textId="1B915423" w:rsidR="0048615F" w:rsidRDefault="0048615F" w:rsidP="0048615F"/>
    <w:p w14:paraId="315579CA" w14:textId="2B2E4AE2" w:rsidR="0048615F" w:rsidRPr="0048615F" w:rsidRDefault="0048615F" w:rsidP="0048615F">
      <w:pPr>
        <w:rPr>
          <w:sz w:val="24"/>
        </w:rPr>
      </w:pPr>
      <w:r w:rsidRPr="0048615F">
        <w:rPr>
          <w:bCs/>
          <w:szCs w:val="20"/>
        </w:rPr>
        <w:t>Съобщените нежелани лекарствени реакции на този лекарствен продукт се отнасят главно до неговите фармакологични ефекти.</w:t>
      </w:r>
    </w:p>
    <w:tbl>
      <w:tblPr>
        <w:tblStyle w:val="TableGrid"/>
        <w:tblW w:w="0" w:type="auto"/>
        <w:tblLook w:val="04A0" w:firstRow="1" w:lastRow="0" w:firstColumn="1" w:lastColumn="0" w:noHBand="0" w:noVBand="1"/>
      </w:tblPr>
      <w:tblGrid>
        <w:gridCol w:w="1854"/>
        <w:gridCol w:w="1729"/>
        <w:gridCol w:w="1537"/>
        <w:gridCol w:w="1701"/>
        <w:gridCol w:w="1372"/>
        <w:gridCol w:w="1383"/>
      </w:tblGrid>
      <w:tr w:rsidR="00C35C2D" w14:paraId="266FD646" w14:textId="77777777" w:rsidTr="00C35C2D">
        <w:tc>
          <w:tcPr>
            <w:tcW w:w="1854" w:type="dxa"/>
          </w:tcPr>
          <w:p w14:paraId="56289813" w14:textId="39C96B8A" w:rsidR="0048615F" w:rsidRPr="0048615F" w:rsidRDefault="0048615F" w:rsidP="0048615F">
            <w:r w:rsidRPr="0048615F">
              <w:rPr>
                <w:bCs/>
                <w:szCs w:val="20"/>
              </w:rPr>
              <w:t>Системо-органен клас</w:t>
            </w:r>
          </w:p>
        </w:tc>
        <w:tc>
          <w:tcPr>
            <w:tcW w:w="1729" w:type="dxa"/>
          </w:tcPr>
          <w:p w14:paraId="591A3581" w14:textId="77777777" w:rsidR="00C35C2D" w:rsidRDefault="0048615F" w:rsidP="0048615F">
            <w:pPr>
              <w:rPr>
                <w:bCs/>
                <w:szCs w:val="20"/>
              </w:rPr>
            </w:pPr>
            <w:r w:rsidRPr="0048615F">
              <w:rPr>
                <w:bCs/>
                <w:szCs w:val="20"/>
              </w:rPr>
              <w:t xml:space="preserve">Чести </w:t>
            </w:r>
          </w:p>
          <w:p w14:paraId="7F2F556F" w14:textId="625E5CC7" w:rsidR="0048615F" w:rsidRPr="0048615F" w:rsidRDefault="0048615F" w:rsidP="0048615F">
            <w:r w:rsidRPr="0048615F">
              <w:rPr>
                <w:bCs/>
                <w:szCs w:val="20"/>
              </w:rPr>
              <w:t>(≥1/100 до</w:t>
            </w:r>
          </w:p>
          <w:p w14:paraId="6E5EEDD0" w14:textId="55ED8E64" w:rsidR="0048615F" w:rsidRPr="0048615F" w:rsidRDefault="0048615F" w:rsidP="0048615F">
            <w:r w:rsidRPr="0048615F">
              <w:rPr>
                <w:bCs/>
                <w:szCs w:val="20"/>
              </w:rPr>
              <w:t>&lt;1/10</w:t>
            </w:r>
          </w:p>
        </w:tc>
        <w:tc>
          <w:tcPr>
            <w:tcW w:w="1537" w:type="dxa"/>
          </w:tcPr>
          <w:p w14:paraId="4AD62765" w14:textId="157C70F7" w:rsidR="0048615F" w:rsidRPr="0048615F" w:rsidRDefault="0048615F" w:rsidP="0048615F">
            <w:r w:rsidRPr="0048615F">
              <w:rPr>
                <w:bCs/>
                <w:szCs w:val="20"/>
              </w:rPr>
              <w:t>Нечести (≥1/1 000 до &lt;1/100)</w:t>
            </w:r>
          </w:p>
        </w:tc>
        <w:tc>
          <w:tcPr>
            <w:tcW w:w="1701" w:type="dxa"/>
          </w:tcPr>
          <w:p w14:paraId="1652BEB6" w14:textId="77777777" w:rsidR="00C35C2D" w:rsidRDefault="0048615F" w:rsidP="0048615F">
            <w:pPr>
              <w:rPr>
                <w:bCs/>
                <w:szCs w:val="20"/>
              </w:rPr>
            </w:pPr>
            <w:r w:rsidRPr="0048615F">
              <w:rPr>
                <w:bCs/>
                <w:szCs w:val="20"/>
              </w:rPr>
              <w:t xml:space="preserve">Редки </w:t>
            </w:r>
          </w:p>
          <w:p w14:paraId="62067704" w14:textId="5D836F54" w:rsidR="0048615F" w:rsidRPr="0048615F" w:rsidRDefault="0048615F" w:rsidP="0048615F">
            <w:r w:rsidRPr="0048615F">
              <w:rPr>
                <w:bCs/>
                <w:szCs w:val="20"/>
              </w:rPr>
              <w:t>(≥1/10 000</w:t>
            </w:r>
          </w:p>
          <w:p w14:paraId="14B217A6" w14:textId="2D10B2A4" w:rsidR="0048615F" w:rsidRPr="0048615F" w:rsidRDefault="0048615F" w:rsidP="0048615F">
            <w:r w:rsidRPr="0048615F">
              <w:rPr>
                <w:bCs/>
                <w:szCs w:val="20"/>
              </w:rPr>
              <w:t>до &lt;1/1 000</w:t>
            </w:r>
          </w:p>
        </w:tc>
        <w:tc>
          <w:tcPr>
            <w:tcW w:w="1372" w:type="dxa"/>
          </w:tcPr>
          <w:p w14:paraId="0F41F980" w14:textId="74A1FD6A" w:rsidR="0048615F" w:rsidRPr="0048615F" w:rsidRDefault="0048615F" w:rsidP="0048615F">
            <w:r w:rsidRPr="0048615F">
              <w:rPr>
                <w:bCs/>
                <w:szCs w:val="20"/>
              </w:rPr>
              <w:t>Много редки (&lt;1/10 000)</w:t>
            </w:r>
          </w:p>
        </w:tc>
        <w:tc>
          <w:tcPr>
            <w:tcW w:w="1383" w:type="dxa"/>
          </w:tcPr>
          <w:p w14:paraId="710D4DD5" w14:textId="55100360" w:rsidR="0048615F" w:rsidRPr="0048615F" w:rsidRDefault="00C35C2D" w:rsidP="0048615F">
            <w:r>
              <w:rPr>
                <w:bCs/>
                <w:szCs w:val="20"/>
              </w:rPr>
              <w:t xml:space="preserve">С </w:t>
            </w:r>
            <w:r w:rsidR="0048615F" w:rsidRPr="0048615F">
              <w:rPr>
                <w:bCs/>
                <w:szCs w:val="20"/>
              </w:rPr>
              <w:t>неизвестна честота</w:t>
            </w:r>
          </w:p>
        </w:tc>
      </w:tr>
      <w:tr w:rsidR="00C35C2D" w14:paraId="2F75E451" w14:textId="77777777" w:rsidTr="00C35C2D">
        <w:tc>
          <w:tcPr>
            <w:tcW w:w="1854" w:type="dxa"/>
          </w:tcPr>
          <w:p w14:paraId="2B7BF281" w14:textId="2AC666E7" w:rsidR="0048615F" w:rsidRPr="0048615F" w:rsidRDefault="0048615F" w:rsidP="0048615F">
            <w:r w:rsidRPr="0048615F">
              <w:rPr>
                <w:bCs/>
                <w:szCs w:val="20"/>
              </w:rPr>
              <w:t>Нарушения на кръвта и лимфната система</w:t>
            </w:r>
          </w:p>
        </w:tc>
        <w:tc>
          <w:tcPr>
            <w:tcW w:w="1729" w:type="dxa"/>
          </w:tcPr>
          <w:p w14:paraId="4D1305BF" w14:textId="77777777" w:rsidR="0048615F" w:rsidRPr="0048615F" w:rsidRDefault="0048615F" w:rsidP="0048615F"/>
        </w:tc>
        <w:tc>
          <w:tcPr>
            <w:tcW w:w="1537" w:type="dxa"/>
          </w:tcPr>
          <w:p w14:paraId="6DD043C8" w14:textId="77777777" w:rsidR="0048615F" w:rsidRPr="0048615F" w:rsidRDefault="0048615F" w:rsidP="0048615F"/>
        </w:tc>
        <w:tc>
          <w:tcPr>
            <w:tcW w:w="1701" w:type="dxa"/>
          </w:tcPr>
          <w:p w14:paraId="69C52FDD" w14:textId="18667234" w:rsidR="0048615F" w:rsidRPr="0048615F" w:rsidRDefault="0048615F" w:rsidP="0048615F">
            <w:r w:rsidRPr="0048615F">
              <w:rPr>
                <w:bCs/>
                <w:szCs w:val="20"/>
              </w:rPr>
              <w:t>левкопения тромбоци</w:t>
            </w:r>
            <w:r w:rsidRPr="0048615F">
              <w:rPr>
                <w:bCs/>
                <w:szCs w:val="20"/>
              </w:rPr>
              <w:softHyphen/>
              <w:t>топения</w:t>
            </w:r>
          </w:p>
        </w:tc>
        <w:tc>
          <w:tcPr>
            <w:tcW w:w="1372" w:type="dxa"/>
          </w:tcPr>
          <w:p w14:paraId="4CCA13D1" w14:textId="2D37F6E7" w:rsidR="0048615F" w:rsidRPr="0048615F" w:rsidRDefault="0048615F" w:rsidP="0048615F">
            <w:r w:rsidRPr="0048615F">
              <w:rPr>
                <w:bCs/>
                <w:szCs w:val="20"/>
              </w:rPr>
              <w:t>Агрануло- цитоза</w:t>
            </w:r>
          </w:p>
        </w:tc>
        <w:tc>
          <w:tcPr>
            <w:tcW w:w="1383" w:type="dxa"/>
          </w:tcPr>
          <w:p w14:paraId="7F670D4B" w14:textId="77777777" w:rsidR="0048615F" w:rsidRPr="0048615F" w:rsidRDefault="0048615F" w:rsidP="0048615F"/>
        </w:tc>
      </w:tr>
      <w:tr w:rsidR="00C35C2D" w14:paraId="506E2A9A" w14:textId="77777777" w:rsidTr="00C35C2D">
        <w:tc>
          <w:tcPr>
            <w:tcW w:w="1854" w:type="dxa"/>
          </w:tcPr>
          <w:p w14:paraId="5707D6BB" w14:textId="77777777" w:rsidR="0048615F" w:rsidRPr="0048615F" w:rsidRDefault="0048615F" w:rsidP="0048615F">
            <w:r w:rsidRPr="0048615F">
              <w:rPr>
                <w:bCs/>
                <w:szCs w:val="20"/>
              </w:rPr>
              <w:t>Нарушения на метаболизма и</w:t>
            </w:r>
          </w:p>
          <w:p w14:paraId="58C4CAD2" w14:textId="62C5A377" w:rsidR="0048615F" w:rsidRPr="0048615F" w:rsidRDefault="0048615F" w:rsidP="0048615F">
            <w:r w:rsidRPr="0048615F">
              <w:rPr>
                <w:bCs/>
                <w:szCs w:val="20"/>
              </w:rPr>
              <w:t>храненето</w:t>
            </w:r>
          </w:p>
        </w:tc>
        <w:tc>
          <w:tcPr>
            <w:tcW w:w="1729" w:type="dxa"/>
          </w:tcPr>
          <w:p w14:paraId="531CFCC6" w14:textId="77777777" w:rsidR="0048615F" w:rsidRPr="0048615F" w:rsidRDefault="0048615F" w:rsidP="0048615F">
            <w:r w:rsidRPr="0048615F">
              <w:rPr>
                <w:bCs/>
                <w:szCs w:val="20"/>
              </w:rPr>
              <w:t>хипергликемия хиперурикемия смущения във водно-</w:t>
            </w:r>
          </w:p>
          <w:p w14:paraId="1A1A0B07" w14:textId="77777777" w:rsidR="0048615F" w:rsidRPr="0048615F" w:rsidRDefault="0048615F" w:rsidP="0048615F">
            <w:r w:rsidRPr="0048615F">
              <w:rPr>
                <w:bCs/>
                <w:szCs w:val="20"/>
              </w:rPr>
              <w:t>електролитнот</w:t>
            </w:r>
            <w:r w:rsidRPr="0048615F">
              <w:rPr>
                <w:bCs/>
                <w:szCs w:val="20"/>
              </w:rPr>
              <w:lastRenderedPageBreak/>
              <w:t>о равновесие (по- специално</w:t>
            </w:r>
          </w:p>
          <w:p w14:paraId="10A5BA80" w14:textId="049FC89A" w:rsidR="0048615F" w:rsidRPr="0048615F" w:rsidRDefault="0048615F" w:rsidP="0048615F">
            <w:r w:rsidRPr="0048615F">
              <w:rPr>
                <w:bCs/>
                <w:szCs w:val="20"/>
              </w:rPr>
              <w:t>хипокалиемия и хшюнагриемия, но също и хипомагнезиемия, хипохлоремия,</w:t>
            </w:r>
            <w:r w:rsidR="00C35C2D">
              <w:rPr>
                <w:bCs/>
                <w:szCs w:val="20"/>
              </w:rPr>
              <w:t xml:space="preserve"> </w:t>
            </w:r>
            <w:r w:rsidR="00C35C2D" w:rsidRPr="00C35C2D">
              <w:rPr>
                <w:bCs/>
                <w:szCs w:val="20"/>
              </w:rPr>
              <w:t>както и хиперкалциемия) метаболитна алкалоза</w:t>
            </w:r>
          </w:p>
        </w:tc>
        <w:tc>
          <w:tcPr>
            <w:tcW w:w="1537" w:type="dxa"/>
          </w:tcPr>
          <w:p w14:paraId="40F07CAB" w14:textId="69A4B763" w:rsidR="0048615F" w:rsidRPr="0048615F" w:rsidRDefault="0048615F" w:rsidP="0048615F">
            <w:r w:rsidRPr="0048615F">
              <w:rPr>
                <w:bCs/>
                <w:szCs w:val="20"/>
              </w:rPr>
              <w:lastRenderedPageBreak/>
              <w:t>Загуба на апетит</w:t>
            </w:r>
          </w:p>
        </w:tc>
        <w:tc>
          <w:tcPr>
            <w:tcW w:w="1701" w:type="dxa"/>
          </w:tcPr>
          <w:p w14:paraId="64EB807D" w14:textId="77777777" w:rsidR="0048615F" w:rsidRPr="0048615F" w:rsidRDefault="0048615F" w:rsidP="0048615F"/>
        </w:tc>
        <w:tc>
          <w:tcPr>
            <w:tcW w:w="1372" w:type="dxa"/>
          </w:tcPr>
          <w:p w14:paraId="39AD297B" w14:textId="77777777" w:rsidR="0048615F" w:rsidRPr="0048615F" w:rsidRDefault="0048615F" w:rsidP="0048615F"/>
        </w:tc>
        <w:tc>
          <w:tcPr>
            <w:tcW w:w="1383" w:type="dxa"/>
          </w:tcPr>
          <w:p w14:paraId="431D2701" w14:textId="77777777" w:rsidR="0048615F" w:rsidRPr="0048615F" w:rsidRDefault="0048615F" w:rsidP="0048615F"/>
        </w:tc>
      </w:tr>
      <w:tr w:rsidR="00C35C2D" w14:paraId="7617C72D" w14:textId="77777777" w:rsidTr="00C35C2D">
        <w:tc>
          <w:tcPr>
            <w:tcW w:w="1854" w:type="dxa"/>
          </w:tcPr>
          <w:p w14:paraId="2D653C99" w14:textId="6123489B" w:rsidR="00C35C2D" w:rsidRPr="00C35C2D" w:rsidRDefault="00C35C2D" w:rsidP="00C35C2D">
            <w:r w:rsidRPr="00C35C2D">
              <w:rPr>
                <w:bCs/>
                <w:szCs w:val="20"/>
              </w:rPr>
              <w:t>Психични нарушения</w:t>
            </w:r>
          </w:p>
        </w:tc>
        <w:tc>
          <w:tcPr>
            <w:tcW w:w="1729" w:type="dxa"/>
          </w:tcPr>
          <w:p w14:paraId="1FD28D94" w14:textId="77777777" w:rsidR="00C35C2D" w:rsidRPr="00C35C2D" w:rsidRDefault="00C35C2D" w:rsidP="00C35C2D"/>
        </w:tc>
        <w:tc>
          <w:tcPr>
            <w:tcW w:w="1537" w:type="dxa"/>
          </w:tcPr>
          <w:p w14:paraId="6B8E31FE" w14:textId="21A54F68" w:rsidR="00C35C2D" w:rsidRPr="00C35C2D" w:rsidRDefault="00C35C2D" w:rsidP="00C35C2D">
            <w:r w:rsidRPr="00C35C2D">
              <w:rPr>
                <w:bCs/>
                <w:szCs w:val="20"/>
              </w:rPr>
              <w:t>нарушения в съня депресия</w:t>
            </w:r>
          </w:p>
        </w:tc>
        <w:tc>
          <w:tcPr>
            <w:tcW w:w="1701" w:type="dxa"/>
          </w:tcPr>
          <w:p w14:paraId="4920C533" w14:textId="5DE40E3D" w:rsidR="00C35C2D" w:rsidRPr="00C35C2D" w:rsidRDefault="00C35C2D" w:rsidP="00C35C2D">
            <w:r w:rsidRPr="00C35C2D">
              <w:rPr>
                <w:bCs/>
                <w:szCs w:val="20"/>
              </w:rPr>
              <w:t>кошмари халюцинации</w:t>
            </w:r>
          </w:p>
        </w:tc>
        <w:tc>
          <w:tcPr>
            <w:tcW w:w="1372" w:type="dxa"/>
          </w:tcPr>
          <w:p w14:paraId="093A0CF9" w14:textId="77777777" w:rsidR="00C35C2D" w:rsidRPr="00C35C2D" w:rsidRDefault="00C35C2D" w:rsidP="00C35C2D"/>
        </w:tc>
        <w:tc>
          <w:tcPr>
            <w:tcW w:w="1383" w:type="dxa"/>
          </w:tcPr>
          <w:p w14:paraId="13105EF6" w14:textId="77777777" w:rsidR="00C35C2D" w:rsidRPr="00C35C2D" w:rsidRDefault="00C35C2D" w:rsidP="00C35C2D"/>
        </w:tc>
      </w:tr>
      <w:tr w:rsidR="00C35C2D" w14:paraId="4AA8165C" w14:textId="77777777" w:rsidTr="00C35C2D">
        <w:tc>
          <w:tcPr>
            <w:tcW w:w="1854" w:type="dxa"/>
          </w:tcPr>
          <w:p w14:paraId="0940F1F4" w14:textId="1103229D" w:rsidR="00C35C2D" w:rsidRPr="00C35C2D" w:rsidRDefault="00C35C2D" w:rsidP="00C35C2D">
            <w:r w:rsidRPr="00C35C2D">
              <w:rPr>
                <w:bCs/>
                <w:szCs w:val="20"/>
              </w:rPr>
              <w:t>Нарушения на нервната система</w:t>
            </w:r>
          </w:p>
        </w:tc>
        <w:tc>
          <w:tcPr>
            <w:tcW w:w="1729" w:type="dxa"/>
            <w:vAlign w:val="bottom"/>
          </w:tcPr>
          <w:p w14:paraId="1B8EC0A2" w14:textId="40539C74" w:rsidR="00C35C2D" w:rsidRPr="00C35C2D" w:rsidRDefault="00C35C2D" w:rsidP="00C35C2D">
            <w:r w:rsidRPr="00C35C2D">
              <w:rPr>
                <w:bCs/>
                <w:szCs w:val="20"/>
              </w:rPr>
              <w:t>умора* световъртеж* главоболие*</w:t>
            </w:r>
          </w:p>
        </w:tc>
        <w:tc>
          <w:tcPr>
            <w:tcW w:w="1537" w:type="dxa"/>
          </w:tcPr>
          <w:p w14:paraId="4E80DA05" w14:textId="77777777" w:rsidR="00C35C2D" w:rsidRPr="00C35C2D" w:rsidRDefault="00C35C2D" w:rsidP="00C35C2D"/>
        </w:tc>
        <w:tc>
          <w:tcPr>
            <w:tcW w:w="1701" w:type="dxa"/>
          </w:tcPr>
          <w:p w14:paraId="4038E37C" w14:textId="77777777" w:rsidR="00C35C2D" w:rsidRPr="00C35C2D" w:rsidRDefault="00C35C2D" w:rsidP="00C35C2D"/>
        </w:tc>
        <w:tc>
          <w:tcPr>
            <w:tcW w:w="1372" w:type="dxa"/>
          </w:tcPr>
          <w:p w14:paraId="617BD493" w14:textId="77777777" w:rsidR="00C35C2D" w:rsidRPr="00C35C2D" w:rsidRDefault="00C35C2D" w:rsidP="00C35C2D"/>
        </w:tc>
        <w:tc>
          <w:tcPr>
            <w:tcW w:w="1383" w:type="dxa"/>
          </w:tcPr>
          <w:p w14:paraId="66970502" w14:textId="77777777" w:rsidR="00C35C2D" w:rsidRPr="00C35C2D" w:rsidRDefault="00C35C2D" w:rsidP="00C35C2D"/>
        </w:tc>
      </w:tr>
      <w:tr w:rsidR="00C35C2D" w14:paraId="52C7DAB2" w14:textId="77777777" w:rsidTr="00C35C2D">
        <w:tc>
          <w:tcPr>
            <w:tcW w:w="1854" w:type="dxa"/>
          </w:tcPr>
          <w:p w14:paraId="2D6EB232" w14:textId="62A5E98D" w:rsidR="00C35C2D" w:rsidRPr="00C35C2D" w:rsidRDefault="00C35C2D" w:rsidP="00C35C2D">
            <w:r w:rsidRPr="00C35C2D">
              <w:rPr>
                <w:bCs/>
                <w:szCs w:val="20"/>
              </w:rPr>
              <w:t>Нарушения на очите</w:t>
            </w:r>
          </w:p>
        </w:tc>
        <w:tc>
          <w:tcPr>
            <w:tcW w:w="1729" w:type="dxa"/>
          </w:tcPr>
          <w:p w14:paraId="0AB6FBCA" w14:textId="77777777" w:rsidR="00C35C2D" w:rsidRPr="00C35C2D" w:rsidRDefault="00C35C2D" w:rsidP="00C35C2D"/>
        </w:tc>
        <w:tc>
          <w:tcPr>
            <w:tcW w:w="1537" w:type="dxa"/>
          </w:tcPr>
          <w:p w14:paraId="28E61CC5" w14:textId="77777777" w:rsidR="00C35C2D" w:rsidRPr="00C35C2D" w:rsidRDefault="00C35C2D" w:rsidP="00C35C2D"/>
        </w:tc>
        <w:tc>
          <w:tcPr>
            <w:tcW w:w="1701" w:type="dxa"/>
            <w:vAlign w:val="bottom"/>
          </w:tcPr>
          <w:p w14:paraId="1EEA87BC" w14:textId="11FDB725" w:rsidR="00C35C2D" w:rsidRPr="00C35C2D" w:rsidRDefault="00C35C2D" w:rsidP="00C35C2D">
            <w:r w:rsidRPr="00C35C2D">
              <w:rPr>
                <w:bCs/>
                <w:szCs w:val="20"/>
              </w:rPr>
              <w:t>намалено сълзоотделяне (да се има предвид при носене на контактни лещ и) нарушения в зрението</w:t>
            </w:r>
          </w:p>
        </w:tc>
        <w:tc>
          <w:tcPr>
            <w:tcW w:w="1372" w:type="dxa"/>
          </w:tcPr>
          <w:p w14:paraId="26660CCB" w14:textId="4D67AFA7" w:rsidR="00C35C2D" w:rsidRPr="00C35C2D" w:rsidRDefault="00C35C2D" w:rsidP="00C35C2D">
            <w:r w:rsidRPr="00C35C2D">
              <w:rPr>
                <w:bCs/>
                <w:szCs w:val="20"/>
              </w:rPr>
              <w:t>конюнктивити</w:t>
            </w:r>
          </w:p>
        </w:tc>
        <w:tc>
          <w:tcPr>
            <w:tcW w:w="1383" w:type="dxa"/>
          </w:tcPr>
          <w:p w14:paraId="340584E3" w14:textId="1DCA6FC3" w:rsidR="00C35C2D" w:rsidRPr="00C35C2D" w:rsidRDefault="00C35C2D" w:rsidP="00C35C2D">
            <w:r w:rsidRPr="00C35C2D">
              <w:rPr>
                <w:bCs/>
                <w:szCs w:val="20"/>
              </w:rPr>
              <w:t>хороидален излив</w:t>
            </w:r>
          </w:p>
        </w:tc>
      </w:tr>
      <w:tr w:rsidR="00C35C2D" w14:paraId="4C214FA7" w14:textId="77777777" w:rsidTr="00C35C2D">
        <w:tc>
          <w:tcPr>
            <w:tcW w:w="1854" w:type="dxa"/>
            <w:vAlign w:val="bottom"/>
          </w:tcPr>
          <w:p w14:paraId="581DBD86" w14:textId="7A2E5A5D" w:rsidR="00C35C2D" w:rsidRPr="00C35C2D" w:rsidRDefault="00C35C2D" w:rsidP="00C35C2D">
            <w:r w:rsidRPr="00C35C2D">
              <w:rPr>
                <w:bCs/>
                <w:szCs w:val="20"/>
              </w:rPr>
              <w:t>Нарушения на ухото и лабиринта</w:t>
            </w:r>
          </w:p>
        </w:tc>
        <w:tc>
          <w:tcPr>
            <w:tcW w:w="1729" w:type="dxa"/>
          </w:tcPr>
          <w:p w14:paraId="07FC95E0" w14:textId="77777777" w:rsidR="00C35C2D" w:rsidRPr="00C35C2D" w:rsidRDefault="00C35C2D" w:rsidP="00C35C2D"/>
        </w:tc>
        <w:tc>
          <w:tcPr>
            <w:tcW w:w="1537" w:type="dxa"/>
          </w:tcPr>
          <w:p w14:paraId="000E5DD6" w14:textId="77777777" w:rsidR="00C35C2D" w:rsidRPr="00C35C2D" w:rsidRDefault="00C35C2D" w:rsidP="00C35C2D"/>
        </w:tc>
        <w:tc>
          <w:tcPr>
            <w:tcW w:w="1701" w:type="dxa"/>
            <w:vAlign w:val="bottom"/>
          </w:tcPr>
          <w:p w14:paraId="42329BB5" w14:textId="5F4D8969" w:rsidR="00C35C2D" w:rsidRPr="00C35C2D" w:rsidRDefault="00C35C2D" w:rsidP="00C35C2D">
            <w:r w:rsidRPr="00C35C2D">
              <w:rPr>
                <w:bCs/>
                <w:szCs w:val="20"/>
              </w:rPr>
              <w:t>Нарушения на слуха</w:t>
            </w:r>
          </w:p>
        </w:tc>
        <w:tc>
          <w:tcPr>
            <w:tcW w:w="1372" w:type="dxa"/>
          </w:tcPr>
          <w:p w14:paraId="2A8C34BD" w14:textId="77777777" w:rsidR="00C35C2D" w:rsidRPr="00C35C2D" w:rsidRDefault="00C35C2D" w:rsidP="00C35C2D"/>
        </w:tc>
        <w:tc>
          <w:tcPr>
            <w:tcW w:w="1383" w:type="dxa"/>
          </w:tcPr>
          <w:p w14:paraId="5FD010CC" w14:textId="77777777" w:rsidR="00C35C2D" w:rsidRPr="00C35C2D" w:rsidRDefault="00C35C2D" w:rsidP="00C35C2D"/>
        </w:tc>
      </w:tr>
      <w:tr w:rsidR="00C35C2D" w14:paraId="38518FE6" w14:textId="77777777" w:rsidTr="00C35C2D">
        <w:tc>
          <w:tcPr>
            <w:tcW w:w="1854" w:type="dxa"/>
          </w:tcPr>
          <w:p w14:paraId="34F9A8F0" w14:textId="3C9D6314" w:rsidR="00C35C2D" w:rsidRPr="00C35C2D" w:rsidRDefault="00C35C2D" w:rsidP="00C35C2D">
            <w:r w:rsidRPr="00C35C2D">
              <w:rPr>
                <w:bCs/>
                <w:szCs w:val="20"/>
              </w:rPr>
              <w:t>Сърдечни нарушения</w:t>
            </w:r>
          </w:p>
        </w:tc>
        <w:tc>
          <w:tcPr>
            <w:tcW w:w="1729" w:type="dxa"/>
          </w:tcPr>
          <w:p w14:paraId="68D2CEE9" w14:textId="77777777" w:rsidR="00C35C2D" w:rsidRPr="00C35C2D" w:rsidRDefault="00C35C2D" w:rsidP="00C35C2D"/>
        </w:tc>
        <w:tc>
          <w:tcPr>
            <w:tcW w:w="1537" w:type="dxa"/>
            <w:vAlign w:val="bottom"/>
          </w:tcPr>
          <w:p w14:paraId="7A58A4AC" w14:textId="7CEEB940" w:rsidR="00C35C2D" w:rsidRPr="00C35C2D" w:rsidRDefault="00C35C2D" w:rsidP="00C35C2D">
            <w:r w:rsidRPr="00C35C2D">
              <w:rPr>
                <w:bCs/>
                <w:szCs w:val="20"/>
              </w:rPr>
              <w:t xml:space="preserve">брадикардия нарушения в </w:t>
            </w:r>
            <w:r w:rsidRPr="00C35C2D">
              <w:rPr>
                <w:bCs/>
                <w:szCs w:val="20"/>
                <w:lang w:val="en-US"/>
              </w:rPr>
              <w:t>AV</w:t>
            </w:r>
            <w:r w:rsidRPr="00C35C2D">
              <w:rPr>
                <w:bCs/>
                <w:szCs w:val="20"/>
              </w:rPr>
              <w:t>- проводимостта влошаване на сърдечната недостатъчност</w:t>
            </w:r>
          </w:p>
        </w:tc>
        <w:tc>
          <w:tcPr>
            <w:tcW w:w="1701" w:type="dxa"/>
          </w:tcPr>
          <w:p w14:paraId="35B24722" w14:textId="77777777" w:rsidR="00C35C2D" w:rsidRPr="00C35C2D" w:rsidRDefault="00C35C2D" w:rsidP="00C35C2D"/>
        </w:tc>
        <w:tc>
          <w:tcPr>
            <w:tcW w:w="1372" w:type="dxa"/>
          </w:tcPr>
          <w:p w14:paraId="135FA584" w14:textId="77777777" w:rsidR="00C35C2D" w:rsidRPr="00C35C2D" w:rsidRDefault="00C35C2D" w:rsidP="00C35C2D"/>
        </w:tc>
        <w:tc>
          <w:tcPr>
            <w:tcW w:w="1383" w:type="dxa"/>
          </w:tcPr>
          <w:p w14:paraId="575D7B57" w14:textId="77777777" w:rsidR="00C35C2D" w:rsidRPr="00C35C2D" w:rsidRDefault="00C35C2D" w:rsidP="00C35C2D"/>
        </w:tc>
      </w:tr>
      <w:tr w:rsidR="00C35C2D" w14:paraId="27BD6760" w14:textId="77777777" w:rsidTr="00C35C2D">
        <w:tc>
          <w:tcPr>
            <w:tcW w:w="1854" w:type="dxa"/>
          </w:tcPr>
          <w:p w14:paraId="2C0A357C" w14:textId="78EB567C" w:rsidR="00C35C2D" w:rsidRPr="00C35C2D" w:rsidRDefault="00C35C2D" w:rsidP="00C35C2D">
            <w:r w:rsidRPr="00C35C2D">
              <w:rPr>
                <w:bCs/>
                <w:szCs w:val="20"/>
              </w:rPr>
              <w:t>Съдови нарушения</w:t>
            </w:r>
          </w:p>
        </w:tc>
        <w:tc>
          <w:tcPr>
            <w:tcW w:w="1729" w:type="dxa"/>
            <w:vAlign w:val="bottom"/>
          </w:tcPr>
          <w:p w14:paraId="1EB2A21A" w14:textId="7761BDBE" w:rsidR="00C35C2D" w:rsidRPr="00C35C2D" w:rsidRDefault="00C35C2D" w:rsidP="00C35C2D">
            <w:r w:rsidRPr="00C35C2D">
              <w:rPr>
                <w:bCs/>
                <w:szCs w:val="20"/>
              </w:rPr>
              <w:t>Усещане за студени или изтръпнали крайниците</w:t>
            </w:r>
          </w:p>
        </w:tc>
        <w:tc>
          <w:tcPr>
            <w:tcW w:w="1537" w:type="dxa"/>
          </w:tcPr>
          <w:p w14:paraId="460180EF" w14:textId="7BB91509" w:rsidR="00C35C2D" w:rsidRPr="00C35C2D" w:rsidRDefault="00C35C2D" w:rsidP="00C35C2D">
            <w:r w:rsidRPr="00C35C2D">
              <w:rPr>
                <w:bCs/>
                <w:szCs w:val="20"/>
              </w:rPr>
              <w:t>ортостатична хипотония</w:t>
            </w:r>
          </w:p>
        </w:tc>
        <w:tc>
          <w:tcPr>
            <w:tcW w:w="1701" w:type="dxa"/>
          </w:tcPr>
          <w:p w14:paraId="42BC2139" w14:textId="77777777" w:rsidR="00C35C2D" w:rsidRPr="00C35C2D" w:rsidRDefault="00C35C2D" w:rsidP="00C35C2D"/>
        </w:tc>
        <w:tc>
          <w:tcPr>
            <w:tcW w:w="1372" w:type="dxa"/>
          </w:tcPr>
          <w:p w14:paraId="46535DBA" w14:textId="77777777" w:rsidR="00C35C2D" w:rsidRPr="00C35C2D" w:rsidRDefault="00C35C2D" w:rsidP="00C35C2D"/>
        </w:tc>
        <w:tc>
          <w:tcPr>
            <w:tcW w:w="1383" w:type="dxa"/>
          </w:tcPr>
          <w:p w14:paraId="073F7021" w14:textId="77777777" w:rsidR="00C35C2D" w:rsidRPr="00C35C2D" w:rsidRDefault="00C35C2D" w:rsidP="00C35C2D"/>
        </w:tc>
      </w:tr>
      <w:tr w:rsidR="00C35C2D" w14:paraId="67FA70CA" w14:textId="77777777" w:rsidTr="00C35C2D">
        <w:tc>
          <w:tcPr>
            <w:tcW w:w="1854" w:type="dxa"/>
          </w:tcPr>
          <w:p w14:paraId="283388FF" w14:textId="0668F395" w:rsidR="00C35C2D" w:rsidRPr="00C35C2D" w:rsidRDefault="00C35C2D" w:rsidP="00C35C2D">
            <w:r w:rsidRPr="00C35C2D">
              <w:rPr>
                <w:bCs/>
                <w:szCs w:val="20"/>
              </w:rPr>
              <w:lastRenderedPageBreak/>
              <w:t>Респираторни, гръдни и медиастинални нарушения</w:t>
            </w:r>
          </w:p>
        </w:tc>
        <w:tc>
          <w:tcPr>
            <w:tcW w:w="1729" w:type="dxa"/>
          </w:tcPr>
          <w:p w14:paraId="5C1B5E2D" w14:textId="77777777" w:rsidR="00C35C2D" w:rsidRPr="00C35C2D" w:rsidRDefault="00C35C2D" w:rsidP="00C35C2D"/>
        </w:tc>
        <w:tc>
          <w:tcPr>
            <w:tcW w:w="1537" w:type="dxa"/>
            <w:vAlign w:val="bottom"/>
          </w:tcPr>
          <w:p w14:paraId="20F8BF63" w14:textId="0355519B" w:rsidR="00C35C2D" w:rsidRPr="00C35C2D" w:rsidRDefault="00C35C2D" w:rsidP="00C35C2D">
            <w:r w:rsidRPr="00C35C2D">
              <w:rPr>
                <w:bCs/>
                <w:szCs w:val="20"/>
              </w:rPr>
              <w:t>бронхоспазъм при пациенти с бронхиална астма или обструктивно заболяване на дихателните пътища</w:t>
            </w:r>
          </w:p>
        </w:tc>
        <w:tc>
          <w:tcPr>
            <w:tcW w:w="1701" w:type="dxa"/>
          </w:tcPr>
          <w:p w14:paraId="01D3070B" w14:textId="7B285CCE" w:rsidR="00C35C2D" w:rsidRPr="00C35C2D" w:rsidRDefault="00C35C2D" w:rsidP="00C35C2D">
            <w:r w:rsidRPr="00C35C2D">
              <w:rPr>
                <w:bCs/>
                <w:szCs w:val="20"/>
              </w:rPr>
              <w:t>алергичен ринит</w:t>
            </w:r>
          </w:p>
        </w:tc>
        <w:tc>
          <w:tcPr>
            <w:tcW w:w="1372" w:type="dxa"/>
          </w:tcPr>
          <w:p w14:paraId="17C1EED1" w14:textId="567D3F33" w:rsidR="00C35C2D" w:rsidRPr="00C35C2D" w:rsidRDefault="00C35C2D" w:rsidP="00C35C2D">
            <w:r w:rsidRPr="00C35C2D">
              <w:rPr>
                <w:bCs/>
                <w:szCs w:val="20"/>
              </w:rPr>
              <w:t xml:space="preserve">Остър респираторен дистрес синдром </w:t>
            </w:r>
            <w:r w:rsidRPr="00C35C2D">
              <w:rPr>
                <w:bCs/>
                <w:szCs w:val="20"/>
                <w:lang w:val="en-US"/>
              </w:rPr>
              <w:t xml:space="preserve">(ARDS) </w:t>
            </w:r>
            <w:r w:rsidRPr="00C35C2D">
              <w:rPr>
                <w:bCs/>
                <w:szCs w:val="20"/>
              </w:rPr>
              <w:t>(вж. точка 4.4)</w:t>
            </w:r>
          </w:p>
        </w:tc>
        <w:tc>
          <w:tcPr>
            <w:tcW w:w="1383" w:type="dxa"/>
          </w:tcPr>
          <w:p w14:paraId="05F375CA" w14:textId="77777777" w:rsidR="00C35C2D" w:rsidRPr="00C35C2D" w:rsidRDefault="00C35C2D" w:rsidP="00C35C2D"/>
        </w:tc>
      </w:tr>
      <w:tr w:rsidR="00C35C2D" w14:paraId="600064B3" w14:textId="77777777" w:rsidTr="00C35C2D">
        <w:tc>
          <w:tcPr>
            <w:tcW w:w="1854" w:type="dxa"/>
          </w:tcPr>
          <w:p w14:paraId="0DC5EE3F" w14:textId="1DEE7BBE" w:rsidR="00C35C2D" w:rsidRPr="00C35C2D" w:rsidRDefault="00C35C2D" w:rsidP="00C35C2D">
            <w:r w:rsidRPr="00C35C2D">
              <w:rPr>
                <w:bCs/>
                <w:szCs w:val="20"/>
              </w:rPr>
              <w:t>Стомашно-чревни нарушения</w:t>
            </w:r>
          </w:p>
        </w:tc>
        <w:tc>
          <w:tcPr>
            <w:tcW w:w="1729" w:type="dxa"/>
            <w:vAlign w:val="bottom"/>
          </w:tcPr>
          <w:p w14:paraId="7D5199D6" w14:textId="610DF74C" w:rsidR="00C35C2D" w:rsidRPr="00C35C2D" w:rsidRDefault="00C35C2D" w:rsidP="00C35C2D">
            <w:r w:rsidRPr="00C35C2D">
              <w:rPr>
                <w:bCs/>
                <w:szCs w:val="20"/>
              </w:rPr>
              <w:t>гадене, повръщане, диария запек</w:t>
            </w:r>
          </w:p>
        </w:tc>
        <w:tc>
          <w:tcPr>
            <w:tcW w:w="1537" w:type="dxa"/>
          </w:tcPr>
          <w:p w14:paraId="3E87945D" w14:textId="6FD4FF30" w:rsidR="00C35C2D" w:rsidRPr="00C35C2D" w:rsidRDefault="00C35C2D" w:rsidP="00C35C2D">
            <w:r w:rsidRPr="00C35C2D">
              <w:rPr>
                <w:bCs/>
                <w:szCs w:val="20"/>
              </w:rPr>
              <w:t>стомашна болка панкреатит</w:t>
            </w:r>
          </w:p>
        </w:tc>
        <w:tc>
          <w:tcPr>
            <w:tcW w:w="1701" w:type="dxa"/>
          </w:tcPr>
          <w:p w14:paraId="725383BB" w14:textId="77777777" w:rsidR="00C35C2D" w:rsidRPr="00C35C2D" w:rsidRDefault="00C35C2D" w:rsidP="00C35C2D"/>
        </w:tc>
        <w:tc>
          <w:tcPr>
            <w:tcW w:w="1372" w:type="dxa"/>
          </w:tcPr>
          <w:p w14:paraId="08F195DF" w14:textId="77777777" w:rsidR="00C35C2D" w:rsidRPr="00C35C2D" w:rsidRDefault="00C35C2D" w:rsidP="00C35C2D"/>
        </w:tc>
        <w:tc>
          <w:tcPr>
            <w:tcW w:w="1383" w:type="dxa"/>
          </w:tcPr>
          <w:p w14:paraId="370F4615" w14:textId="77777777" w:rsidR="00C35C2D" w:rsidRPr="00C35C2D" w:rsidRDefault="00C35C2D" w:rsidP="00C35C2D"/>
        </w:tc>
      </w:tr>
      <w:tr w:rsidR="00C35C2D" w14:paraId="01972840" w14:textId="77777777" w:rsidTr="00C35C2D">
        <w:tc>
          <w:tcPr>
            <w:tcW w:w="1854" w:type="dxa"/>
            <w:vAlign w:val="bottom"/>
          </w:tcPr>
          <w:p w14:paraId="0A241566" w14:textId="594ED9CF" w:rsidR="00C35C2D" w:rsidRPr="00C35C2D" w:rsidRDefault="00C35C2D" w:rsidP="00C35C2D">
            <w:r w:rsidRPr="00C35C2D">
              <w:rPr>
                <w:bCs/>
                <w:szCs w:val="20"/>
              </w:rPr>
              <w:t>Хепато-билиарни нарушения</w:t>
            </w:r>
          </w:p>
        </w:tc>
        <w:tc>
          <w:tcPr>
            <w:tcW w:w="1729" w:type="dxa"/>
          </w:tcPr>
          <w:p w14:paraId="2555B2E3" w14:textId="77777777" w:rsidR="00C35C2D" w:rsidRPr="00C35C2D" w:rsidRDefault="00C35C2D" w:rsidP="00C35C2D"/>
        </w:tc>
        <w:tc>
          <w:tcPr>
            <w:tcW w:w="1537" w:type="dxa"/>
          </w:tcPr>
          <w:p w14:paraId="63BC7738" w14:textId="77777777" w:rsidR="00C35C2D" w:rsidRPr="00C35C2D" w:rsidRDefault="00C35C2D" w:rsidP="00C35C2D"/>
        </w:tc>
        <w:tc>
          <w:tcPr>
            <w:tcW w:w="1701" w:type="dxa"/>
            <w:vAlign w:val="bottom"/>
          </w:tcPr>
          <w:p w14:paraId="5036877E" w14:textId="4106C054" w:rsidR="00C35C2D" w:rsidRPr="00C35C2D" w:rsidRDefault="00C35C2D" w:rsidP="00C35C2D">
            <w:r w:rsidRPr="00C35C2D">
              <w:rPr>
                <w:bCs/>
                <w:szCs w:val="20"/>
              </w:rPr>
              <w:t>хепатит жълтеница</w:t>
            </w:r>
          </w:p>
        </w:tc>
        <w:tc>
          <w:tcPr>
            <w:tcW w:w="1372" w:type="dxa"/>
          </w:tcPr>
          <w:p w14:paraId="56F8D90B" w14:textId="77777777" w:rsidR="00C35C2D" w:rsidRPr="00C35C2D" w:rsidRDefault="00C35C2D" w:rsidP="00C35C2D"/>
        </w:tc>
        <w:tc>
          <w:tcPr>
            <w:tcW w:w="1383" w:type="dxa"/>
          </w:tcPr>
          <w:p w14:paraId="23AB66E5" w14:textId="77777777" w:rsidR="00C35C2D" w:rsidRPr="00C35C2D" w:rsidRDefault="00C35C2D" w:rsidP="00C35C2D"/>
        </w:tc>
      </w:tr>
      <w:tr w:rsidR="00C35C2D" w14:paraId="01091BE5" w14:textId="77777777" w:rsidTr="00C35C2D">
        <w:tc>
          <w:tcPr>
            <w:tcW w:w="1854" w:type="dxa"/>
          </w:tcPr>
          <w:p w14:paraId="1EEFD68D" w14:textId="3B0D2019" w:rsidR="00C35C2D" w:rsidRPr="00C35C2D" w:rsidRDefault="00C35C2D" w:rsidP="00C35C2D">
            <w:r w:rsidRPr="00C35C2D">
              <w:rPr>
                <w:bCs/>
                <w:szCs w:val="20"/>
              </w:rPr>
              <w:t>Нарушения на кожата и подкожната тъкан</w:t>
            </w:r>
          </w:p>
        </w:tc>
        <w:tc>
          <w:tcPr>
            <w:tcW w:w="1729" w:type="dxa"/>
          </w:tcPr>
          <w:p w14:paraId="720694A5" w14:textId="77777777" w:rsidR="00C35C2D" w:rsidRPr="00C35C2D" w:rsidRDefault="00C35C2D" w:rsidP="00C35C2D"/>
        </w:tc>
        <w:tc>
          <w:tcPr>
            <w:tcW w:w="1537" w:type="dxa"/>
          </w:tcPr>
          <w:p w14:paraId="018176D8" w14:textId="77777777" w:rsidR="00C35C2D" w:rsidRPr="00C35C2D" w:rsidRDefault="00C35C2D" w:rsidP="00C35C2D"/>
        </w:tc>
        <w:tc>
          <w:tcPr>
            <w:tcW w:w="1701" w:type="dxa"/>
          </w:tcPr>
          <w:p w14:paraId="5EB8DFC2" w14:textId="019520CC" w:rsidR="00C35C2D" w:rsidRPr="00C35C2D" w:rsidRDefault="00C35C2D" w:rsidP="00C35C2D">
            <w:r w:rsidRPr="00C35C2D">
              <w:rPr>
                <w:bCs/>
                <w:szCs w:val="20"/>
              </w:rPr>
              <w:t>реакции на сврьхчувствителн ост (сърбеж, зачервяване, обрив, фотодерматит, пурпура, уртикария)</w:t>
            </w:r>
          </w:p>
        </w:tc>
        <w:tc>
          <w:tcPr>
            <w:tcW w:w="1372" w:type="dxa"/>
            <w:vAlign w:val="bottom"/>
          </w:tcPr>
          <w:p w14:paraId="7B978E17" w14:textId="77777777" w:rsidR="00C35C2D" w:rsidRPr="00C35C2D" w:rsidRDefault="00C35C2D" w:rsidP="00C35C2D">
            <w:pPr>
              <w:rPr>
                <w:rFonts w:ascii="Times New Roman" w:eastAsia="Times New Roman" w:hAnsi="Times New Roman" w:cs="Times New Roman"/>
                <w:sz w:val="24"/>
                <w:szCs w:val="24"/>
                <w:lang w:eastAsia="bg-BG"/>
              </w:rPr>
            </w:pPr>
            <w:r w:rsidRPr="00C35C2D">
              <w:rPr>
                <w:bCs/>
                <w:szCs w:val="20"/>
              </w:rPr>
              <w:t>β-блокерите могат да провоки-рат или влошат псориазис или да индуцират псориазис-</w:t>
            </w:r>
            <w:r w:rsidRPr="00C35C2D">
              <w:rPr>
                <w:bCs/>
                <w:szCs w:val="20"/>
                <w:u w:val="single"/>
              </w:rPr>
              <w:t xml:space="preserve"> </w:t>
            </w:r>
            <w:r w:rsidRPr="00C35C2D">
              <w:rPr>
                <w:bCs/>
                <w:szCs w:val="20"/>
              </w:rPr>
              <w:t>подобен обрив алопеция</w:t>
            </w:r>
            <w:r>
              <w:rPr>
                <w:bCs/>
                <w:szCs w:val="20"/>
              </w:rPr>
              <w:t xml:space="preserve">, </w:t>
            </w:r>
            <w:r w:rsidRPr="00C35C2D">
              <w:rPr>
                <w:rFonts w:eastAsia="Times New Roman" w:cs="Arial"/>
                <w:bCs/>
                <w:color w:val="000000"/>
                <w:szCs w:val="20"/>
                <w:lang w:eastAsia="bg-BG"/>
              </w:rPr>
              <w:t>кожен лупус еритема-тозус</w:t>
            </w:r>
          </w:p>
          <w:p w14:paraId="756D0485" w14:textId="4716E262" w:rsidR="00C35C2D" w:rsidRPr="00C35C2D" w:rsidRDefault="00C35C2D" w:rsidP="00C35C2D"/>
        </w:tc>
        <w:tc>
          <w:tcPr>
            <w:tcW w:w="1383" w:type="dxa"/>
          </w:tcPr>
          <w:p w14:paraId="72534EF6" w14:textId="77777777" w:rsidR="00C35C2D" w:rsidRPr="00C35C2D" w:rsidRDefault="00C35C2D" w:rsidP="00C35C2D"/>
        </w:tc>
      </w:tr>
      <w:tr w:rsidR="00C35C2D" w14:paraId="3B777A4B" w14:textId="77777777" w:rsidTr="00C35C2D">
        <w:tc>
          <w:tcPr>
            <w:tcW w:w="1854" w:type="dxa"/>
          </w:tcPr>
          <w:p w14:paraId="557FE2A7" w14:textId="49701DA0" w:rsidR="00C35C2D" w:rsidRPr="00C35C2D" w:rsidRDefault="00C35C2D" w:rsidP="00C35C2D">
            <w:r w:rsidRPr="00C35C2D">
              <w:rPr>
                <w:bCs/>
                <w:szCs w:val="20"/>
              </w:rPr>
              <w:t>Нарушения на мускулно- скелетната система и съединителната тъкан</w:t>
            </w:r>
          </w:p>
        </w:tc>
        <w:tc>
          <w:tcPr>
            <w:tcW w:w="1729" w:type="dxa"/>
          </w:tcPr>
          <w:p w14:paraId="2626FEEE" w14:textId="77777777" w:rsidR="00C35C2D" w:rsidRPr="00C35C2D" w:rsidRDefault="00C35C2D" w:rsidP="00C35C2D"/>
        </w:tc>
        <w:tc>
          <w:tcPr>
            <w:tcW w:w="1537" w:type="dxa"/>
          </w:tcPr>
          <w:p w14:paraId="410EC2BC" w14:textId="6D2D67D4" w:rsidR="00C35C2D" w:rsidRPr="00C35C2D" w:rsidRDefault="00C35C2D" w:rsidP="00C35C2D">
            <w:r w:rsidRPr="00C35C2D">
              <w:rPr>
                <w:bCs/>
                <w:szCs w:val="20"/>
              </w:rPr>
              <w:t>мускулна слабост и спазми</w:t>
            </w:r>
          </w:p>
        </w:tc>
        <w:tc>
          <w:tcPr>
            <w:tcW w:w="1701" w:type="dxa"/>
          </w:tcPr>
          <w:p w14:paraId="6E516AB4" w14:textId="77777777" w:rsidR="00C35C2D" w:rsidRPr="00C35C2D" w:rsidRDefault="00C35C2D" w:rsidP="00C35C2D"/>
        </w:tc>
        <w:tc>
          <w:tcPr>
            <w:tcW w:w="1372" w:type="dxa"/>
          </w:tcPr>
          <w:p w14:paraId="44777560" w14:textId="77777777" w:rsidR="00C35C2D" w:rsidRPr="00C35C2D" w:rsidRDefault="00C35C2D" w:rsidP="00C35C2D"/>
        </w:tc>
        <w:tc>
          <w:tcPr>
            <w:tcW w:w="1383" w:type="dxa"/>
          </w:tcPr>
          <w:p w14:paraId="35DEB2A0" w14:textId="77777777" w:rsidR="00C35C2D" w:rsidRPr="00C35C2D" w:rsidRDefault="00C35C2D" w:rsidP="00C35C2D"/>
        </w:tc>
      </w:tr>
      <w:tr w:rsidR="00C35C2D" w14:paraId="4A68F2A3" w14:textId="77777777" w:rsidTr="00C35C2D">
        <w:tc>
          <w:tcPr>
            <w:tcW w:w="1854" w:type="dxa"/>
          </w:tcPr>
          <w:p w14:paraId="719B64BD" w14:textId="01F50EA7" w:rsidR="00C35C2D" w:rsidRPr="00C35C2D" w:rsidRDefault="00C35C2D" w:rsidP="00C35C2D">
            <w:r w:rsidRPr="00C35C2D">
              <w:rPr>
                <w:bCs/>
                <w:szCs w:val="20"/>
              </w:rPr>
              <w:t>Изследвания</w:t>
            </w:r>
          </w:p>
        </w:tc>
        <w:tc>
          <w:tcPr>
            <w:tcW w:w="1729" w:type="dxa"/>
          </w:tcPr>
          <w:p w14:paraId="313FE008" w14:textId="77777777" w:rsidR="00C35C2D" w:rsidRPr="00C35C2D" w:rsidRDefault="00C35C2D" w:rsidP="00C35C2D">
            <w:r w:rsidRPr="00C35C2D">
              <w:rPr>
                <w:bCs/>
                <w:szCs w:val="20"/>
              </w:rPr>
              <w:t>Увеличени нива на триглицеридите и холестерола</w:t>
            </w:r>
          </w:p>
          <w:p w14:paraId="71748A2A" w14:textId="7A8251B2" w:rsidR="00C35C2D" w:rsidRPr="00C35C2D" w:rsidRDefault="00C35C2D" w:rsidP="00C35C2D">
            <w:r w:rsidRPr="00C35C2D">
              <w:rPr>
                <w:bCs/>
                <w:szCs w:val="20"/>
              </w:rPr>
              <w:t>Глюкозурия</w:t>
            </w:r>
          </w:p>
        </w:tc>
        <w:tc>
          <w:tcPr>
            <w:tcW w:w="1537" w:type="dxa"/>
          </w:tcPr>
          <w:p w14:paraId="1EE54F7E" w14:textId="748512BF" w:rsidR="00C35C2D" w:rsidRPr="00C35C2D" w:rsidRDefault="00C35C2D" w:rsidP="00C35C2D">
            <w:r w:rsidRPr="00C35C2D">
              <w:rPr>
                <w:bCs/>
                <w:szCs w:val="20"/>
              </w:rPr>
              <w:t xml:space="preserve">обратимо увеличаване на серумния креатинин и урея повишени </w:t>
            </w:r>
            <w:r w:rsidRPr="00C35C2D">
              <w:rPr>
                <w:bCs/>
                <w:szCs w:val="20"/>
              </w:rPr>
              <w:lastRenderedPageBreak/>
              <w:t>нива на амилаза</w:t>
            </w:r>
          </w:p>
        </w:tc>
        <w:tc>
          <w:tcPr>
            <w:tcW w:w="1701" w:type="dxa"/>
          </w:tcPr>
          <w:p w14:paraId="5E274D58" w14:textId="302D179C" w:rsidR="00C35C2D" w:rsidRPr="00C35C2D" w:rsidRDefault="00C35C2D" w:rsidP="00C35C2D">
            <w:r w:rsidRPr="00C35C2D">
              <w:rPr>
                <w:bCs/>
                <w:szCs w:val="20"/>
              </w:rPr>
              <w:lastRenderedPageBreak/>
              <w:t xml:space="preserve">Повишени нива на чернодробните ензими </w:t>
            </w:r>
            <w:r w:rsidRPr="00C35C2D">
              <w:rPr>
                <w:bCs/>
                <w:szCs w:val="20"/>
                <w:lang w:val="en-US"/>
              </w:rPr>
              <w:t>(ASAT, ALAT)</w:t>
            </w:r>
          </w:p>
        </w:tc>
        <w:tc>
          <w:tcPr>
            <w:tcW w:w="1372" w:type="dxa"/>
          </w:tcPr>
          <w:p w14:paraId="24CF0821" w14:textId="77777777" w:rsidR="00C35C2D" w:rsidRPr="00C35C2D" w:rsidRDefault="00C35C2D" w:rsidP="00C35C2D"/>
        </w:tc>
        <w:tc>
          <w:tcPr>
            <w:tcW w:w="1383" w:type="dxa"/>
          </w:tcPr>
          <w:p w14:paraId="3577A7B1" w14:textId="77777777" w:rsidR="00C35C2D" w:rsidRPr="00C35C2D" w:rsidRDefault="00C35C2D" w:rsidP="00C35C2D"/>
        </w:tc>
      </w:tr>
      <w:tr w:rsidR="00C35C2D" w14:paraId="5AB6EBFF" w14:textId="77777777" w:rsidTr="00C35C2D">
        <w:tc>
          <w:tcPr>
            <w:tcW w:w="1854" w:type="dxa"/>
          </w:tcPr>
          <w:p w14:paraId="3731400A" w14:textId="4CEF76A4" w:rsidR="00C35C2D" w:rsidRPr="00C35C2D" w:rsidRDefault="00C35C2D" w:rsidP="00C35C2D">
            <w:r w:rsidRPr="00C35C2D">
              <w:rPr>
                <w:bCs/>
                <w:szCs w:val="20"/>
              </w:rPr>
              <w:t>Общи нарушения</w:t>
            </w:r>
          </w:p>
        </w:tc>
        <w:tc>
          <w:tcPr>
            <w:tcW w:w="1729" w:type="dxa"/>
          </w:tcPr>
          <w:p w14:paraId="77729DE4" w14:textId="19A7498C" w:rsidR="00C35C2D" w:rsidRPr="00C35C2D" w:rsidRDefault="00C35C2D" w:rsidP="00C35C2D">
            <w:r w:rsidRPr="00C35C2D">
              <w:rPr>
                <w:bCs/>
                <w:szCs w:val="20"/>
              </w:rPr>
              <w:t>умора</w:t>
            </w:r>
          </w:p>
        </w:tc>
        <w:tc>
          <w:tcPr>
            <w:tcW w:w="1537" w:type="dxa"/>
          </w:tcPr>
          <w:p w14:paraId="03202101" w14:textId="41BD3CC7" w:rsidR="00C35C2D" w:rsidRPr="00C35C2D" w:rsidRDefault="00C35C2D" w:rsidP="00C35C2D">
            <w:r w:rsidRPr="00C35C2D">
              <w:rPr>
                <w:bCs/>
                <w:szCs w:val="20"/>
              </w:rPr>
              <w:t>астения</w:t>
            </w:r>
          </w:p>
        </w:tc>
        <w:tc>
          <w:tcPr>
            <w:tcW w:w="1701" w:type="dxa"/>
          </w:tcPr>
          <w:p w14:paraId="029EC982" w14:textId="77777777" w:rsidR="00C35C2D" w:rsidRPr="00C35C2D" w:rsidRDefault="00C35C2D" w:rsidP="00C35C2D"/>
        </w:tc>
        <w:tc>
          <w:tcPr>
            <w:tcW w:w="1372" w:type="dxa"/>
          </w:tcPr>
          <w:p w14:paraId="20A51ECD" w14:textId="13D16B9F" w:rsidR="00C35C2D" w:rsidRPr="00C35C2D" w:rsidRDefault="00C35C2D" w:rsidP="00C35C2D">
            <w:r w:rsidRPr="00C35C2D">
              <w:rPr>
                <w:bCs/>
                <w:szCs w:val="20"/>
              </w:rPr>
              <w:t>Болка в гърдите</w:t>
            </w:r>
          </w:p>
        </w:tc>
        <w:tc>
          <w:tcPr>
            <w:tcW w:w="1383" w:type="dxa"/>
          </w:tcPr>
          <w:p w14:paraId="799B6D24" w14:textId="77777777" w:rsidR="00C35C2D" w:rsidRPr="00C35C2D" w:rsidRDefault="00C35C2D" w:rsidP="00C35C2D"/>
        </w:tc>
      </w:tr>
      <w:tr w:rsidR="00C35C2D" w14:paraId="5F8F303A" w14:textId="77777777" w:rsidTr="00C35C2D">
        <w:tc>
          <w:tcPr>
            <w:tcW w:w="1854" w:type="dxa"/>
          </w:tcPr>
          <w:p w14:paraId="36888176" w14:textId="641A779E" w:rsidR="00C35C2D" w:rsidRPr="00C35C2D" w:rsidRDefault="00C35C2D" w:rsidP="00C35C2D">
            <w:r w:rsidRPr="00C35C2D">
              <w:rPr>
                <w:bCs/>
                <w:szCs w:val="20"/>
              </w:rPr>
              <w:t>Нарушения на възпроизводителна та система и гърдата</w:t>
            </w:r>
          </w:p>
        </w:tc>
        <w:tc>
          <w:tcPr>
            <w:tcW w:w="1729" w:type="dxa"/>
          </w:tcPr>
          <w:p w14:paraId="2DDB4DF5" w14:textId="77777777" w:rsidR="00C35C2D" w:rsidRPr="00C35C2D" w:rsidRDefault="00C35C2D" w:rsidP="00C35C2D"/>
        </w:tc>
        <w:tc>
          <w:tcPr>
            <w:tcW w:w="1537" w:type="dxa"/>
          </w:tcPr>
          <w:p w14:paraId="514A6B6C" w14:textId="77777777" w:rsidR="00C35C2D" w:rsidRPr="00C35C2D" w:rsidRDefault="00C35C2D" w:rsidP="00C35C2D"/>
        </w:tc>
        <w:tc>
          <w:tcPr>
            <w:tcW w:w="1701" w:type="dxa"/>
          </w:tcPr>
          <w:p w14:paraId="2F07E9A6" w14:textId="666BE5D4" w:rsidR="00C35C2D" w:rsidRPr="00C35C2D" w:rsidRDefault="00C35C2D" w:rsidP="00C35C2D">
            <w:r w:rsidRPr="00C35C2D">
              <w:rPr>
                <w:bCs/>
                <w:szCs w:val="20"/>
              </w:rPr>
              <w:t>Еректилна дисфункция</w:t>
            </w:r>
          </w:p>
        </w:tc>
        <w:tc>
          <w:tcPr>
            <w:tcW w:w="1372" w:type="dxa"/>
          </w:tcPr>
          <w:p w14:paraId="5D9B4FDB" w14:textId="77777777" w:rsidR="00C35C2D" w:rsidRPr="00C35C2D" w:rsidRDefault="00C35C2D" w:rsidP="00C35C2D"/>
        </w:tc>
        <w:tc>
          <w:tcPr>
            <w:tcW w:w="1383" w:type="dxa"/>
          </w:tcPr>
          <w:p w14:paraId="2A537A7F" w14:textId="77777777" w:rsidR="00C35C2D" w:rsidRPr="00C35C2D" w:rsidRDefault="00C35C2D" w:rsidP="00C35C2D"/>
        </w:tc>
      </w:tr>
      <w:tr w:rsidR="00C35C2D" w14:paraId="2DF03AA7" w14:textId="77777777" w:rsidTr="00C35C2D">
        <w:tc>
          <w:tcPr>
            <w:tcW w:w="1854" w:type="dxa"/>
          </w:tcPr>
          <w:p w14:paraId="133A15F6" w14:textId="545CD267" w:rsidR="00C35C2D" w:rsidRPr="00C35C2D" w:rsidRDefault="00C35C2D" w:rsidP="00C35C2D">
            <w:r w:rsidRPr="00C35C2D">
              <w:rPr>
                <w:bCs/>
                <w:szCs w:val="20"/>
              </w:rPr>
              <w:t>Общи нарушения и ефекти</w:t>
            </w:r>
          </w:p>
        </w:tc>
        <w:tc>
          <w:tcPr>
            <w:tcW w:w="1729" w:type="dxa"/>
          </w:tcPr>
          <w:p w14:paraId="36693FA1" w14:textId="080091D6" w:rsidR="00C35C2D" w:rsidRPr="00C35C2D" w:rsidRDefault="00C35C2D" w:rsidP="00C35C2D">
            <w:r w:rsidRPr="00C35C2D">
              <w:rPr>
                <w:bCs/>
                <w:szCs w:val="20"/>
              </w:rPr>
              <w:t>Умора*</w:t>
            </w:r>
          </w:p>
        </w:tc>
        <w:tc>
          <w:tcPr>
            <w:tcW w:w="1537" w:type="dxa"/>
          </w:tcPr>
          <w:p w14:paraId="7EBAE557" w14:textId="18E77F1C" w:rsidR="00C35C2D" w:rsidRPr="00C35C2D" w:rsidRDefault="00C35C2D" w:rsidP="00C35C2D">
            <w:r w:rsidRPr="00C35C2D">
              <w:rPr>
                <w:bCs/>
                <w:szCs w:val="20"/>
              </w:rPr>
              <w:t>астения</w:t>
            </w:r>
          </w:p>
        </w:tc>
        <w:tc>
          <w:tcPr>
            <w:tcW w:w="1701" w:type="dxa"/>
          </w:tcPr>
          <w:p w14:paraId="62FD4359" w14:textId="77777777" w:rsidR="00C35C2D" w:rsidRPr="00C35C2D" w:rsidRDefault="00C35C2D" w:rsidP="00C35C2D"/>
        </w:tc>
        <w:tc>
          <w:tcPr>
            <w:tcW w:w="1372" w:type="dxa"/>
          </w:tcPr>
          <w:p w14:paraId="290D9A34" w14:textId="040409C7" w:rsidR="00C35C2D" w:rsidRPr="00C35C2D" w:rsidRDefault="00C35C2D" w:rsidP="00C35C2D">
            <w:r w:rsidRPr="00C35C2D">
              <w:rPr>
                <w:bCs/>
                <w:szCs w:val="20"/>
              </w:rPr>
              <w:t>Болка в гърдите</w:t>
            </w:r>
          </w:p>
        </w:tc>
        <w:tc>
          <w:tcPr>
            <w:tcW w:w="1383" w:type="dxa"/>
          </w:tcPr>
          <w:p w14:paraId="09E193D0" w14:textId="77777777" w:rsidR="00C35C2D" w:rsidRPr="00C35C2D" w:rsidRDefault="00C35C2D" w:rsidP="00C35C2D"/>
        </w:tc>
      </w:tr>
      <w:tr w:rsidR="00C35C2D" w14:paraId="58952D6F" w14:textId="77777777" w:rsidTr="00C35C2D">
        <w:tc>
          <w:tcPr>
            <w:tcW w:w="1854" w:type="dxa"/>
          </w:tcPr>
          <w:p w14:paraId="7406D2F6" w14:textId="74BF4FC4" w:rsidR="00C35C2D" w:rsidRPr="00C35C2D" w:rsidRDefault="00C35C2D" w:rsidP="00C35C2D">
            <w:r w:rsidRPr="00C35C2D">
              <w:rPr>
                <w:bCs/>
                <w:szCs w:val="20"/>
              </w:rPr>
              <w:t>Неоплазми — доброкачествени, злокачествени и неопределени (вкл. кисти и полипи)</w:t>
            </w:r>
          </w:p>
        </w:tc>
        <w:tc>
          <w:tcPr>
            <w:tcW w:w="1729" w:type="dxa"/>
          </w:tcPr>
          <w:p w14:paraId="44D80D58" w14:textId="77777777" w:rsidR="00C35C2D" w:rsidRPr="00C35C2D" w:rsidRDefault="00C35C2D" w:rsidP="00C35C2D"/>
        </w:tc>
        <w:tc>
          <w:tcPr>
            <w:tcW w:w="1537" w:type="dxa"/>
          </w:tcPr>
          <w:p w14:paraId="2F84CB0D" w14:textId="77777777" w:rsidR="00C35C2D" w:rsidRPr="00C35C2D" w:rsidRDefault="00C35C2D" w:rsidP="00C35C2D"/>
        </w:tc>
        <w:tc>
          <w:tcPr>
            <w:tcW w:w="1701" w:type="dxa"/>
          </w:tcPr>
          <w:p w14:paraId="146E82A6" w14:textId="77777777" w:rsidR="00C35C2D" w:rsidRPr="00C35C2D" w:rsidRDefault="00C35C2D" w:rsidP="00C35C2D"/>
        </w:tc>
        <w:tc>
          <w:tcPr>
            <w:tcW w:w="1372" w:type="dxa"/>
          </w:tcPr>
          <w:p w14:paraId="6E96D45F" w14:textId="77777777" w:rsidR="00C35C2D" w:rsidRPr="00C35C2D" w:rsidRDefault="00C35C2D" w:rsidP="00C35C2D"/>
        </w:tc>
        <w:tc>
          <w:tcPr>
            <w:tcW w:w="1383" w:type="dxa"/>
          </w:tcPr>
          <w:p w14:paraId="6A63FF85" w14:textId="77777777" w:rsidR="00C35C2D" w:rsidRPr="00C35C2D" w:rsidRDefault="00C35C2D" w:rsidP="00C35C2D">
            <w:r w:rsidRPr="00C35C2D">
              <w:rPr>
                <w:bCs/>
                <w:szCs w:val="20"/>
              </w:rPr>
              <w:t xml:space="preserve">Немеланомен </w:t>
            </w:r>
          </w:p>
          <w:p w14:paraId="2B5E37F3" w14:textId="194E921F" w:rsidR="00C35C2D" w:rsidRPr="00C35C2D" w:rsidRDefault="00C35C2D" w:rsidP="00C35C2D">
            <w:r w:rsidRPr="00C35C2D">
              <w:rPr>
                <w:bCs/>
                <w:szCs w:val="20"/>
              </w:rPr>
              <w:t>рак на кожата (базалнокле тъчен карцином и сквамозно- клетъчен карцином)</w:t>
            </w:r>
          </w:p>
        </w:tc>
      </w:tr>
    </w:tbl>
    <w:p w14:paraId="26EA3DDB" w14:textId="77777777" w:rsidR="00C35C2D" w:rsidRPr="00C35C2D" w:rsidRDefault="00C35C2D" w:rsidP="00C35C2D">
      <w:pPr>
        <w:rPr>
          <w:sz w:val="24"/>
        </w:rPr>
      </w:pPr>
      <w:r w:rsidRPr="00C35C2D">
        <w:rPr>
          <w:bCs/>
          <w:szCs w:val="20"/>
        </w:rPr>
        <w:t>*Тези симптоми се срещат особено в началото на лечението. Те се проявяват в повечето случаи леко и често преминават след 1-2 сед</w:t>
      </w:r>
      <w:r w:rsidRPr="00C35C2D">
        <w:rPr>
          <w:bCs/>
          <w:szCs w:val="20"/>
          <w:u w:val="single"/>
        </w:rPr>
        <w:t>мици</w:t>
      </w:r>
      <w:r w:rsidRPr="00C35C2D">
        <w:rPr>
          <w:bCs/>
          <w:szCs w:val="20"/>
        </w:rPr>
        <w:t>.</w:t>
      </w:r>
    </w:p>
    <w:p w14:paraId="5436A9D0" w14:textId="77777777" w:rsidR="00C35C2D" w:rsidRPr="00C35C2D" w:rsidRDefault="00C35C2D" w:rsidP="00C35C2D">
      <w:pPr>
        <w:rPr>
          <w:bCs/>
          <w:i/>
          <w:iCs/>
          <w:szCs w:val="20"/>
        </w:rPr>
      </w:pPr>
    </w:p>
    <w:p w14:paraId="0353B72E" w14:textId="0A720BAD" w:rsidR="00C35C2D" w:rsidRPr="00C35C2D" w:rsidRDefault="00C35C2D" w:rsidP="00C35C2D">
      <w:pPr>
        <w:rPr>
          <w:sz w:val="24"/>
        </w:rPr>
      </w:pPr>
      <w:r w:rsidRPr="00C35C2D">
        <w:rPr>
          <w:bCs/>
          <w:i/>
          <w:iCs/>
          <w:szCs w:val="20"/>
        </w:rPr>
        <w:t>Описание на избрани нежелани реакции</w:t>
      </w:r>
    </w:p>
    <w:p w14:paraId="14C6D4BD" w14:textId="77777777" w:rsidR="00C35C2D" w:rsidRPr="00C35C2D" w:rsidRDefault="00C35C2D" w:rsidP="00C35C2D">
      <w:pPr>
        <w:rPr>
          <w:bCs/>
          <w:szCs w:val="20"/>
        </w:rPr>
      </w:pPr>
    </w:p>
    <w:p w14:paraId="3DA7112A" w14:textId="501D72B8" w:rsidR="00C35C2D" w:rsidRPr="00C35C2D" w:rsidRDefault="00C35C2D" w:rsidP="00C35C2D">
      <w:pPr>
        <w:rPr>
          <w:sz w:val="24"/>
        </w:rPr>
      </w:pPr>
      <w:r w:rsidRPr="00C35C2D">
        <w:rPr>
          <w:bCs/>
          <w:szCs w:val="20"/>
        </w:rPr>
        <w:t>Немеланомен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56DC8E1E" w14:textId="77777777" w:rsidR="00C35C2D" w:rsidRPr="00C35C2D" w:rsidRDefault="00C35C2D" w:rsidP="00C35C2D">
      <w:pPr>
        <w:rPr>
          <w:bCs/>
          <w:i/>
          <w:iCs/>
          <w:szCs w:val="20"/>
        </w:rPr>
      </w:pPr>
    </w:p>
    <w:p w14:paraId="4D4A4D9A" w14:textId="2ADC0C9C" w:rsidR="00C35C2D" w:rsidRPr="00C35C2D" w:rsidRDefault="00C35C2D" w:rsidP="00C35C2D">
      <w:pPr>
        <w:rPr>
          <w:sz w:val="24"/>
        </w:rPr>
      </w:pPr>
      <w:r w:rsidRPr="00C35C2D">
        <w:rPr>
          <w:bCs/>
          <w:i/>
          <w:iCs/>
          <w:szCs w:val="20"/>
        </w:rPr>
        <w:t>Специална забележка</w:t>
      </w:r>
    </w:p>
    <w:p w14:paraId="368FF984" w14:textId="77777777" w:rsidR="00C35C2D" w:rsidRPr="00C35C2D" w:rsidRDefault="00C35C2D" w:rsidP="00C35C2D">
      <w:pPr>
        <w:rPr>
          <w:sz w:val="24"/>
        </w:rPr>
      </w:pPr>
      <w:r w:rsidRPr="00C35C2D">
        <w:rPr>
          <w:bCs/>
          <w:szCs w:val="20"/>
        </w:rPr>
        <w:t>Клинични симптоми на хипокалиемия: отпадналост, умора, мускулна слабост, парестезии, парези, апатия, адинамия на гладката мускулатура със запек, метеоризъм или сърдечна аритмия, паралитичен илеус, смущения в съзнанието, кома и промени в ЕКГ.</w:t>
      </w:r>
    </w:p>
    <w:p w14:paraId="00141CFB" w14:textId="77777777" w:rsidR="00C35C2D" w:rsidRPr="00C35C2D" w:rsidRDefault="00C35C2D" w:rsidP="00C35C2D">
      <w:pPr>
        <w:rPr>
          <w:bCs/>
          <w:szCs w:val="20"/>
        </w:rPr>
      </w:pPr>
    </w:p>
    <w:p w14:paraId="4C641E5C" w14:textId="6644FFBF" w:rsidR="00C35C2D" w:rsidRPr="00C35C2D" w:rsidRDefault="00C35C2D" w:rsidP="00C35C2D">
      <w:pPr>
        <w:rPr>
          <w:sz w:val="24"/>
        </w:rPr>
      </w:pPr>
      <w:r w:rsidRPr="00C35C2D">
        <w:rPr>
          <w:bCs/>
          <w:szCs w:val="20"/>
        </w:rPr>
        <w:t>Лечението трябва да се преустанови при:</w:t>
      </w:r>
    </w:p>
    <w:p w14:paraId="37ED8E5B" w14:textId="77777777" w:rsidR="00C35C2D" w:rsidRPr="00C35C2D" w:rsidRDefault="00C35C2D" w:rsidP="00C35C2D">
      <w:pPr>
        <w:pStyle w:val="ListParagraph"/>
        <w:numPr>
          <w:ilvl w:val="0"/>
          <w:numId w:val="37"/>
        </w:numPr>
        <w:spacing w:line="240" w:lineRule="auto"/>
        <w:rPr>
          <w:bCs/>
          <w:szCs w:val="20"/>
        </w:rPr>
      </w:pPr>
      <w:r w:rsidRPr="00C35C2D">
        <w:rPr>
          <w:bCs/>
          <w:szCs w:val="20"/>
        </w:rPr>
        <w:t>рефракторни нарушения в електролитния баланс</w:t>
      </w:r>
    </w:p>
    <w:p w14:paraId="2F7B1838" w14:textId="77777777" w:rsidR="00C35C2D" w:rsidRPr="00C35C2D" w:rsidRDefault="00C35C2D" w:rsidP="00C35C2D">
      <w:pPr>
        <w:pStyle w:val="ListParagraph"/>
        <w:numPr>
          <w:ilvl w:val="0"/>
          <w:numId w:val="37"/>
        </w:numPr>
        <w:spacing w:line="240" w:lineRule="auto"/>
        <w:rPr>
          <w:bCs/>
          <w:szCs w:val="20"/>
        </w:rPr>
      </w:pPr>
      <w:r w:rsidRPr="00C35C2D">
        <w:rPr>
          <w:bCs/>
          <w:szCs w:val="20"/>
        </w:rPr>
        <w:t>ортостатични нарушения</w:t>
      </w:r>
    </w:p>
    <w:p w14:paraId="205CEA0C" w14:textId="77777777" w:rsidR="00C35C2D" w:rsidRPr="00C35C2D" w:rsidRDefault="00C35C2D" w:rsidP="00C35C2D">
      <w:pPr>
        <w:pStyle w:val="ListParagraph"/>
        <w:numPr>
          <w:ilvl w:val="0"/>
          <w:numId w:val="37"/>
        </w:numPr>
        <w:spacing w:line="240" w:lineRule="auto"/>
        <w:rPr>
          <w:bCs/>
          <w:szCs w:val="20"/>
        </w:rPr>
      </w:pPr>
      <w:r w:rsidRPr="00C35C2D">
        <w:rPr>
          <w:bCs/>
          <w:szCs w:val="20"/>
        </w:rPr>
        <w:t>реакции на свръхчувствителност</w:t>
      </w:r>
    </w:p>
    <w:p w14:paraId="278B8FB3" w14:textId="77777777" w:rsidR="00C35C2D" w:rsidRPr="00C35C2D" w:rsidRDefault="00C35C2D" w:rsidP="00C35C2D">
      <w:pPr>
        <w:pStyle w:val="ListParagraph"/>
        <w:numPr>
          <w:ilvl w:val="0"/>
          <w:numId w:val="37"/>
        </w:numPr>
        <w:spacing w:line="240" w:lineRule="auto"/>
        <w:rPr>
          <w:bCs/>
          <w:szCs w:val="20"/>
        </w:rPr>
      </w:pPr>
      <w:r w:rsidRPr="00C35C2D">
        <w:rPr>
          <w:bCs/>
          <w:szCs w:val="20"/>
        </w:rPr>
        <w:t>продължителни гастроинтестинални смущения</w:t>
      </w:r>
    </w:p>
    <w:p w14:paraId="3014887D" w14:textId="77777777" w:rsidR="00C35C2D" w:rsidRPr="00C35C2D" w:rsidRDefault="00C35C2D" w:rsidP="00C35C2D">
      <w:pPr>
        <w:pStyle w:val="ListParagraph"/>
        <w:numPr>
          <w:ilvl w:val="0"/>
          <w:numId w:val="37"/>
        </w:numPr>
        <w:spacing w:line="240" w:lineRule="auto"/>
        <w:rPr>
          <w:bCs/>
          <w:szCs w:val="20"/>
        </w:rPr>
      </w:pPr>
      <w:r w:rsidRPr="00C35C2D">
        <w:rPr>
          <w:bCs/>
          <w:szCs w:val="20"/>
        </w:rPr>
        <w:t>смущения в ЦНС</w:t>
      </w:r>
    </w:p>
    <w:p w14:paraId="1EC501AC" w14:textId="77777777" w:rsidR="00C35C2D" w:rsidRPr="00C35C2D" w:rsidRDefault="00C35C2D" w:rsidP="00C35C2D">
      <w:pPr>
        <w:pStyle w:val="ListParagraph"/>
        <w:numPr>
          <w:ilvl w:val="0"/>
          <w:numId w:val="37"/>
        </w:numPr>
        <w:spacing w:line="240" w:lineRule="auto"/>
        <w:rPr>
          <w:bCs/>
          <w:szCs w:val="20"/>
        </w:rPr>
      </w:pPr>
      <w:r w:rsidRPr="00C35C2D">
        <w:rPr>
          <w:bCs/>
          <w:szCs w:val="20"/>
        </w:rPr>
        <w:t>панкреатит</w:t>
      </w:r>
    </w:p>
    <w:p w14:paraId="7AF36118" w14:textId="74C09A56" w:rsidR="0048615F" w:rsidRPr="00C35C2D" w:rsidRDefault="00C35C2D" w:rsidP="00C35C2D">
      <w:pPr>
        <w:pStyle w:val="ListParagraph"/>
        <w:numPr>
          <w:ilvl w:val="0"/>
          <w:numId w:val="37"/>
        </w:numPr>
        <w:rPr>
          <w:sz w:val="24"/>
        </w:rPr>
      </w:pPr>
      <w:r w:rsidRPr="00C35C2D">
        <w:rPr>
          <w:bCs/>
          <w:szCs w:val="20"/>
        </w:rPr>
        <w:t>промени в кръвните клетки (анемия, левкопения, тромбоцитопения)</w:t>
      </w:r>
    </w:p>
    <w:p w14:paraId="7269093C" w14:textId="77777777" w:rsidR="00C35C2D" w:rsidRPr="00C35C2D" w:rsidRDefault="00C35C2D" w:rsidP="00C35C2D">
      <w:pPr>
        <w:numPr>
          <w:ilvl w:val="0"/>
          <w:numId w:val="37"/>
        </w:numPr>
        <w:spacing w:line="240" w:lineRule="auto"/>
        <w:rPr>
          <w:rFonts w:eastAsia="Times New Roman" w:cs="Arial"/>
          <w:bCs/>
          <w:color w:val="000000"/>
          <w:lang w:eastAsia="bg-BG"/>
        </w:rPr>
      </w:pPr>
      <w:r w:rsidRPr="00C35C2D">
        <w:rPr>
          <w:rFonts w:eastAsia="Times New Roman" w:cs="Arial"/>
          <w:bCs/>
          <w:color w:val="000000"/>
          <w:lang w:eastAsia="bg-BG"/>
        </w:rPr>
        <w:t>остър холестазис</w:t>
      </w:r>
    </w:p>
    <w:p w14:paraId="4294392F" w14:textId="77777777" w:rsidR="00C35C2D" w:rsidRPr="00C35C2D" w:rsidRDefault="00C35C2D" w:rsidP="00C35C2D">
      <w:pPr>
        <w:numPr>
          <w:ilvl w:val="0"/>
          <w:numId w:val="37"/>
        </w:numPr>
        <w:spacing w:line="240" w:lineRule="auto"/>
        <w:rPr>
          <w:rFonts w:eastAsia="Times New Roman" w:cs="Arial"/>
          <w:bCs/>
          <w:color w:val="000000"/>
          <w:lang w:eastAsia="bg-BG"/>
        </w:rPr>
      </w:pPr>
      <w:r w:rsidRPr="00C35C2D">
        <w:rPr>
          <w:rFonts w:eastAsia="Times New Roman" w:cs="Arial"/>
          <w:bCs/>
          <w:color w:val="000000"/>
          <w:lang w:eastAsia="bg-BG"/>
        </w:rPr>
        <w:t>наличие на васкулити</w:t>
      </w:r>
    </w:p>
    <w:p w14:paraId="4B62999D" w14:textId="77777777" w:rsidR="00C35C2D" w:rsidRPr="00C35C2D" w:rsidRDefault="00C35C2D" w:rsidP="00C35C2D">
      <w:pPr>
        <w:numPr>
          <w:ilvl w:val="0"/>
          <w:numId w:val="37"/>
        </w:numPr>
        <w:spacing w:line="240" w:lineRule="auto"/>
        <w:rPr>
          <w:rFonts w:eastAsia="Times New Roman" w:cs="Arial"/>
          <w:bCs/>
          <w:color w:val="000000"/>
          <w:lang w:eastAsia="bg-BG"/>
        </w:rPr>
      </w:pPr>
      <w:r w:rsidRPr="00C35C2D">
        <w:rPr>
          <w:rFonts w:eastAsia="Times New Roman" w:cs="Arial"/>
          <w:bCs/>
          <w:color w:val="000000"/>
          <w:lang w:eastAsia="bg-BG"/>
        </w:rPr>
        <w:lastRenderedPageBreak/>
        <w:t>влошаване на съществуваща миопия глаукома</w:t>
      </w:r>
    </w:p>
    <w:p w14:paraId="4A7B38B2" w14:textId="77777777" w:rsidR="00C35C2D" w:rsidRPr="00C35C2D" w:rsidRDefault="00C35C2D" w:rsidP="00C35C2D">
      <w:pPr>
        <w:numPr>
          <w:ilvl w:val="0"/>
          <w:numId w:val="37"/>
        </w:numPr>
        <w:spacing w:line="240" w:lineRule="auto"/>
        <w:rPr>
          <w:rFonts w:eastAsia="Times New Roman" w:cs="Arial"/>
          <w:bCs/>
          <w:color w:val="000000"/>
          <w:lang w:eastAsia="bg-BG"/>
        </w:rPr>
      </w:pPr>
      <w:r w:rsidRPr="00C35C2D">
        <w:rPr>
          <w:rFonts w:eastAsia="Times New Roman" w:cs="Arial"/>
          <w:bCs/>
          <w:color w:val="000000"/>
          <w:lang w:eastAsia="bg-BG"/>
        </w:rPr>
        <w:t xml:space="preserve">концентрация на серумен креатинин повече от 1,8 </w:t>
      </w:r>
      <w:r w:rsidRPr="00C35C2D">
        <w:rPr>
          <w:rFonts w:eastAsia="Times New Roman" w:cs="Arial"/>
          <w:bCs/>
          <w:color w:val="000000"/>
          <w:lang w:val="en-US"/>
        </w:rPr>
        <w:t>mg/</w:t>
      </w:r>
      <w:r w:rsidRPr="00C35C2D">
        <w:rPr>
          <w:rFonts w:eastAsia="Times New Roman" w:cs="Arial"/>
          <w:bCs/>
          <w:color w:val="000000"/>
          <w:lang w:eastAsia="bg-BG"/>
        </w:rPr>
        <w:t xml:space="preserve">100 </w:t>
      </w:r>
      <w:r w:rsidRPr="00C35C2D">
        <w:rPr>
          <w:rFonts w:eastAsia="Times New Roman" w:cs="Arial"/>
          <w:bCs/>
          <w:color w:val="000000"/>
          <w:lang w:val="en-US"/>
        </w:rPr>
        <w:t xml:space="preserve">ml </w:t>
      </w:r>
      <w:r w:rsidRPr="00C35C2D">
        <w:rPr>
          <w:rFonts w:eastAsia="Times New Roman" w:cs="Arial"/>
          <w:bCs/>
          <w:color w:val="000000"/>
          <w:lang w:eastAsia="bg-BG"/>
        </w:rPr>
        <w:t xml:space="preserve">или креатининов клирънс ≤30 </w:t>
      </w:r>
      <w:r w:rsidRPr="00C35C2D">
        <w:rPr>
          <w:rFonts w:eastAsia="Times New Roman" w:cs="Arial"/>
          <w:bCs/>
          <w:color w:val="000000"/>
          <w:lang w:val="en-US"/>
        </w:rPr>
        <w:t>mg/min.</w:t>
      </w:r>
    </w:p>
    <w:p w14:paraId="11A4CA78" w14:textId="77777777" w:rsidR="00C35C2D" w:rsidRPr="00C35C2D" w:rsidRDefault="00C35C2D" w:rsidP="00C35C2D">
      <w:pPr>
        <w:spacing w:line="240" w:lineRule="auto"/>
        <w:ind w:left="360"/>
        <w:rPr>
          <w:rFonts w:eastAsia="Times New Roman" w:cs="Arial"/>
          <w:bCs/>
          <w:color w:val="000000"/>
          <w:lang w:eastAsia="bg-BG"/>
        </w:rPr>
      </w:pPr>
    </w:p>
    <w:p w14:paraId="005D800B" w14:textId="743ADFB3" w:rsidR="00C35C2D" w:rsidRPr="00C35C2D" w:rsidRDefault="00C35C2D" w:rsidP="00C35C2D">
      <w:pPr>
        <w:spacing w:line="240" w:lineRule="auto"/>
        <w:rPr>
          <w:rFonts w:eastAsia="Times New Roman" w:cs="Arial"/>
          <w:bCs/>
          <w:color w:val="000000"/>
          <w:lang w:eastAsia="bg-BG"/>
        </w:rPr>
      </w:pPr>
      <w:r w:rsidRPr="00C35C2D">
        <w:rPr>
          <w:rFonts w:eastAsia="Times New Roman" w:cs="Arial"/>
          <w:bCs/>
          <w:color w:val="000000"/>
          <w:u w:val="single"/>
          <w:lang w:eastAsia="bg-BG"/>
        </w:rPr>
        <w:t>Съобщаване на подозирани нежелани реакции</w:t>
      </w:r>
    </w:p>
    <w:p w14:paraId="3978BCF8" w14:textId="77777777" w:rsidR="00C35C2D" w:rsidRDefault="00C35C2D" w:rsidP="00C35C2D">
      <w:pPr>
        <w:spacing w:line="240" w:lineRule="auto"/>
        <w:rPr>
          <w:rFonts w:eastAsia="Times New Roman" w:cs="Arial"/>
          <w:bCs/>
          <w:color w:val="000000"/>
          <w:lang w:eastAsia="bg-BG"/>
        </w:rPr>
      </w:pPr>
      <w:r w:rsidRPr="00C35C2D">
        <w:rPr>
          <w:rFonts w:eastAsia="Times New Roman" w:cs="Arial"/>
          <w:bCs/>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p>
    <w:p w14:paraId="1235FC37" w14:textId="3C19810E" w:rsidR="00C35C2D" w:rsidRDefault="00C35C2D" w:rsidP="00C35C2D">
      <w:pPr>
        <w:spacing w:line="240" w:lineRule="auto"/>
        <w:rPr>
          <w:rFonts w:eastAsia="Times New Roman" w:cs="Arial"/>
          <w:bCs/>
          <w:color w:val="000000"/>
          <w:lang w:eastAsia="bg-BG"/>
        </w:rPr>
      </w:pPr>
      <w:r w:rsidRPr="00C35C2D">
        <w:rPr>
          <w:rFonts w:eastAsia="Times New Roman" w:cs="Arial"/>
          <w:bCs/>
          <w:color w:val="000000"/>
          <w:lang w:eastAsia="bg-BG"/>
        </w:rPr>
        <w:t xml:space="preserve">Изпълнителна агенция по лекарствата </w:t>
      </w:r>
    </w:p>
    <w:p w14:paraId="43FA86F2" w14:textId="7D17B98B" w:rsidR="00C35C2D" w:rsidRDefault="00C35C2D" w:rsidP="00C35C2D">
      <w:pPr>
        <w:spacing w:line="240" w:lineRule="auto"/>
        <w:rPr>
          <w:rFonts w:eastAsia="Times New Roman" w:cs="Arial"/>
          <w:bCs/>
          <w:color w:val="000000"/>
          <w:lang w:eastAsia="bg-BG"/>
        </w:rPr>
      </w:pPr>
      <w:r w:rsidRPr="00C35C2D">
        <w:rPr>
          <w:rFonts w:eastAsia="Times New Roman" w:cs="Arial"/>
          <w:bCs/>
          <w:color w:val="000000"/>
          <w:lang w:eastAsia="bg-BG"/>
        </w:rPr>
        <w:t xml:space="preserve">ул,,Дамян Груев” № 8 </w:t>
      </w:r>
    </w:p>
    <w:p w14:paraId="1E05CC5D" w14:textId="57ADDCC0" w:rsidR="00C35C2D" w:rsidRPr="00C35C2D" w:rsidRDefault="00C35C2D" w:rsidP="00C35C2D">
      <w:pPr>
        <w:spacing w:line="240" w:lineRule="auto"/>
        <w:rPr>
          <w:rFonts w:eastAsia="Times New Roman" w:cs="Arial"/>
          <w:lang w:eastAsia="bg-BG"/>
        </w:rPr>
      </w:pPr>
      <w:r w:rsidRPr="00C35C2D">
        <w:rPr>
          <w:rFonts w:eastAsia="Times New Roman" w:cs="Arial"/>
          <w:bCs/>
          <w:color w:val="000000"/>
          <w:lang w:eastAsia="bg-BG"/>
        </w:rPr>
        <w:t>1303 София</w:t>
      </w:r>
    </w:p>
    <w:p w14:paraId="5F7DBF43" w14:textId="77777777" w:rsidR="00C35C2D" w:rsidRPr="00C35C2D" w:rsidRDefault="00C35C2D" w:rsidP="00C35C2D">
      <w:pPr>
        <w:spacing w:line="240" w:lineRule="auto"/>
        <w:rPr>
          <w:rFonts w:eastAsia="Times New Roman" w:cs="Arial"/>
          <w:lang w:eastAsia="bg-BG"/>
        </w:rPr>
      </w:pPr>
      <w:r w:rsidRPr="00C35C2D">
        <w:rPr>
          <w:rFonts w:eastAsia="Times New Roman" w:cs="Arial"/>
          <w:bCs/>
          <w:color w:val="000000"/>
          <w:lang w:eastAsia="bg-BG"/>
        </w:rPr>
        <w:t>Тел.:+359 2 8903417</w:t>
      </w:r>
    </w:p>
    <w:p w14:paraId="1BEDD034" w14:textId="2FFA5FCC" w:rsidR="00C35C2D" w:rsidRPr="00C35C2D" w:rsidRDefault="00C35C2D" w:rsidP="00C35C2D">
      <w:pPr>
        <w:rPr>
          <w:rFonts w:eastAsia="Times New Roman" w:cs="Arial"/>
          <w:lang w:eastAsia="bg-BG"/>
        </w:rPr>
      </w:pPr>
      <w:r w:rsidRPr="00C35C2D">
        <w:rPr>
          <w:rFonts w:eastAsia="Times New Roman" w:cs="Arial"/>
          <w:bCs/>
          <w:color w:val="000000"/>
          <w:lang w:eastAsia="bg-BG"/>
        </w:rPr>
        <w:t xml:space="preserve">уебсайт: </w:t>
      </w:r>
      <w:r w:rsidRPr="00C35C2D">
        <w:rPr>
          <w:rFonts w:eastAsia="Times New Roman" w:cs="Arial"/>
          <w:lang w:eastAsia="bg-BG"/>
        </w:rPr>
        <w:fldChar w:fldCharType="begin"/>
      </w:r>
      <w:r w:rsidRPr="00C35C2D">
        <w:rPr>
          <w:rFonts w:eastAsia="Times New Roman" w:cs="Arial"/>
          <w:lang w:eastAsia="bg-BG"/>
        </w:rPr>
        <w:instrText xml:space="preserve"> HYPERLINK "http://www.bda.bg" </w:instrText>
      </w:r>
      <w:r w:rsidRPr="00C35C2D">
        <w:rPr>
          <w:rFonts w:cs="Arial"/>
          <w:lang w:eastAsia="bg-BG"/>
        </w:rPr>
      </w:r>
      <w:r w:rsidRPr="00C35C2D">
        <w:rPr>
          <w:rFonts w:eastAsia="Times New Roman" w:cs="Arial"/>
          <w:lang w:eastAsia="bg-BG"/>
        </w:rPr>
        <w:fldChar w:fldCharType="separate"/>
      </w:r>
      <w:r w:rsidRPr="00C35C2D">
        <w:rPr>
          <w:rFonts w:eastAsia="Times New Roman" w:cs="Arial"/>
          <w:bCs/>
          <w:color w:val="000000"/>
          <w:u w:val="single"/>
          <w:lang w:val="en-US"/>
        </w:rPr>
        <w:t>www.bda.bg</w:t>
      </w:r>
      <w:r w:rsidRPr="00C35C2D">
        <w:rPr>
          <w:rFonts w:eastAsia="Times New Roman" w:cs="Arial"/>
          <w:lang w:eastAsia="bg-BG"/>
        </w:rPr>
        <w:fldChar w:fldCharType="end"/>
      </w:r>
    </w:p>
    <w:p w14:paraId="3339F398" w14:textId="77777777" w:rsidR="00C35C2D" w:rsidRPr="00C35C2D" w:rsidRDefault="00C35C2D" w:rsidP="00C35C2D">
      <w:pPr>
        <w:rPr>
          <w:sz w:val="24"/>
        </w:rPr>
      </w:pPr>
    </w:p>
    <w:p w14:paraId="0A023CE0" w14:textId="67F6497D" w:rsidR="00CF77F7" w:rsidRDefault="002C50EE" w:rsidP="004A448E">
      <w:pPr>
        <w:pStyle w:val="Heading2"/>
      </w:pPr>
      <w:r>
        <w:t>4.9. Предозиране</w:t>
      </w:r>
    </w:p>
    <w:p w14:paraId="6E6E209E" w14:textId="11E62FEF" w:rsidR="00C35C2D" w:rsidRDefault="00C35C2D" w:rsidP="00C35C2D"/>
    <w:p w14:paraId="04E8C965" w14:textId="77777777" w:rsidR="00C35C2D" w:rsidRPr="00C35C2D" w:rsidRDefault="00C35C2D" w:rsidP="00C35C2D">
      <w:pPr>
        <w:pStyle w:val="Heading3"/>
        <w:rPr>
          <w:rFonts w:eastAsia="Times New Roman"/>
          <w:sz w:val="28"/>
          <w:u w:val="single"/>
          <w:lang w:eastAsia="bg-BG"/>
        </w:rPr>
      </w:pPr>
      <w:r w:rsidRPr="00C35C2D">
        <w:rPr>
          <w:rFonts w:eastAsia="Times New Roman"/>
          <w:u w:val="single"/>
          <w:lang w:eastAsia="bg-BG"/>
        </w:rPr>
        <w:t>Симптоми</w:t>
      </w:r>
    </w:p>
    <w:p w14:paraId="7182D459"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Симптоми на предозиране с бета-блокери включват брадикардия, хипотония, бронхоспазъм, остра сърдечна недостатъчност и хипогликемия.</w:t>
      </w:r>
    </w:p>
    <w:p w14:paraId="43193E10"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Съществува ограничен опит с предозиране на бисопрололов фумарат. Наблюдавани са брадикардия и/или хипотония. Всички пациенти са се възстановили. Съществува широка интериндивидуална вариация в чувствителността към единична висока доза бисопрололов фумарат и се смята, че по всяка вероятност пациентите със сърдечна недостатъчност са много чувствителни.</w:t>
      </w:r>
    </w:p>
    <w:p w14:paraId="3A6EBCA9"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 xml:space="preserve">Клиничната картина на остро или хронично предозиране с хидрохлоротиазид се определя от степента на загуба на течности и електролити. Най-често срещани </w:t>
      </w:r>
      <w:r w:rsidRPr="00C35C2D">
        <w:rPr>
          <w:rFonts w:eastAsia="Times New Roman" w:cs="Arial"/>
          <w:bCs/>
          <w:i/>
          <w:iCs/>
          <w:color w:val="000000"/>
          <w:szCs w:val="20"/>
          <w:lang w:eastAsia="bg-BG"/>
        </w:rPr>
        <w:t>симптоми</w:t>
      </w:r>
      <w:r w:rsidRPr="00C35C2D">
        <w:rPr>
          <w:rFonts w:eastAsia="Times New Roman" w:cs="Arial"/>
          <w:bCs/>
          <w:color w:val="000000"/>
          <w:szCs w:val="20"/>
          <w:lang w:eastAsia="bg-BG"/>
        </w:rPr>
        <w:t xml:space="preserve"> са замаяност, гадене, сънливост, хиповолемия, хипотония, хипокалиемия.</w:t>
      </w:r>
    </w:p>
    <w:p w14:paraId="1DA237D7" w14:textId="77777777" w:rsidR="00C35C2D" w:rsidRPr="00C35C2D" w:rsidRDefault="00C35C2D" w:rsidP="00C35C2D">
      <w:pPr>
        <w:spacing w:line="240" w:lineRule="auto"/>
        <w:rPr>
          <w:rFonts w:eastAsia="Times New Roman" w:cs="Arial"/>
          <w:bCs/>
          <w:color w:val="000000"/>
          <w:szCs w:val="20"/>
          <w:lang w:eastAsia="bg-BG"/>
        </w:rPr>
      </w:pPr>
    </w:p>
    <w:p w14:paraId="454878DC" w14:textId="7B44E8C1" w:rsidR="00C35C2D" w:rsidRPr="00C35C2D" w:rsidRDefault="00C35C2D" w:rsidP="00C35C2D">
      <w:pPr>
        <w:pStyle w:val="Heading3"/>
        <w:rPr>
          <w:rFonts w:eastAsia="Times New Roman"/>
          <w:sz w:val="28"/>
          <w:u w:val="single"/>
          <w:lang w:eastAsia="bg-BG"/>
        </w:rPr>
      </w:pPr>
      <w:r w:rsidRPr="00C35C2D">
        <w:rPr>
          <w:rFonts w:eastAsia="Times New Roman"/>
          <w:u w:val="single"/>
          <w:lang w:eastAsia="bg-BG"/>
        </w:rPr>
        <w:t>Лечение</w:t>
      </w:r>
    </w:p>
    <w:p w14:paraId="0851651E"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По принцип в случай на предозиране, се препоръчва прекратяване на терапията с Бисоплюс АЛ и провеждане на поддържащо и симптоматично лечение.</w:t>
      </w:r>
    </w:p>
    <w:p w14:paraId="46C991E8" w14:textId="35A0F788" w:rsidR="00C35C2D" w:rsidRPr="00C35C2D" w:rsidRDefault="00C35C2D" w:rsidP="00C35C2D">
      <w:pPr>
        <w:rPr>
          <w:rFonts w:cs="Arial"/>
          <w:sz w:val="24"/>
        </w:rPr>
      </w:pPr>
      <w:r w:rsidRPr="00C35C2D">
        <w:rPr>
          <w:rFonts w:eastAsia="Times New Roman" w:cs="Arial"/>
          <w:bCs/>
          <w:color w:val="000000"/>
          <w:szCs w:val="20"/>
          <w:lang w:eastAsia="bg-BG"/>
        </w:rPr>
        <w:t>Ограничени данни сочат, че по всяка вероятност бисопрололов фумарат не се поддава на диализа.Степента на отстраняване на хидрохлоротиазид чрез диализа не е установена.</w:t>
      </w:r>
    </w:p>
    <w:p w14:paraId="1E756935" w14:textId="77777777" w:rsidR="00C35C2D" w:rsidRPr="00C35C2D" w:rsidRDefault="00C35C2D" w:rsidP="00C35C2D"/>
    <w:p w14:paraId="02081B24" w14:textId="4B996039" w:rsidR="00395555" w:rsidRDefault="002C50EE" w:rsidP="008A6AF2">
      <w:pPr>
        <w:pStyle w:val="Heading1"/>
      </w:pPr>
      <w:r>
        <w:t>5. ФАРМАКОЛОГИЧНИ СВОЙСТВА</w:t>
      </w:r>
    </w:p>
    <w:p w14:paraId="560D4BAA" w14:textId="77777777" w:rsidR="00C35C2D" w:rsidRPr="00C35C2D" w:rsidRDefault="00C35C2D" w:rsidP="00C35C2D"/>
    <w:p w14:paraId="32B6DE66" w14:textId="571C943F" w:rsidR="00CF77F7" w:rsidRDefault="002C50EE" w:rsidP="004A448E">
      <w:pPr>
        <w:pStyle w:val="Heading2"/>
      </w:pPr>
      <w:r>
        <w:t>5.1. Фармакодинамични свойства</w:t>
      </w:r>
    </w:p>
    <w:p w14:paraId="7E700668" w14:textId="2AB2B599" w:rsidR="00C35C2D" w:rsidRDefault="00C35C2D" w:rsidP="00C35C2D"/>
    <w:p w14:paraId="42DF7FCD"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Фармакотерапевтична група: селективни бета блокери и тиазиди</w:t>
      </w:r>
    </w:p>
    <w:p w14:paraId="1336A7FA"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 xml:space="preserve">АТС </w:t>
      </w:r>
      <w:r w:rsidRPr="00C35C2D">
        <w:rPr>
          <w:rFonts w:eastAsia="Times New Roman" w:cs="Arial"/>
          <w:bCs/>
          <w:i/>
          <w:iCs/>
          <w:color w:val="000000"/>
          <w:szCs w:val="20"/>
          <w:lang w:eastAsia="bg-BG"/>
        </w:rPr>
        <w:t>код: С07ВВ07</w:t>
      </w:r>
    </w:p>
    <w:p w14:paraId="0973CA77" w14:textId="77777777" w:rsidR="00C35C2D" w:rsidRPr="00C35C2D" w:rsidRDefault="00C35C2D" w:rsidP="00C35C2D">
      <w:pPr>
        <w:spacing w:line="240" w:lineRule="auto"/>
        <w:rPr>
          <w:rFonts w:eastAsia="Times New Roman" w:cs="Arial"/>
          <w:bCs/>
          <w:color w:val="000000"/>
          <w:szCs w:val="20"/>
          <w:lang w:eastAsia="bg-BG"/>
        </w:rPr>
      </w:pPr>
    </w:p>
    <w:p w14:paraId="32D6E6C1" w14:textId="091BC57C"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Механизъм на действие</w:t>
      </w:r>
    </w:p>
    <w:p w14:paraId="795F5825"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i/>
          <w:iCs/>
          <w:color w:val="000000"/>
          <w:szCs w:val="20"/>
          <w:lang w:eastAsia="bg-BG"/>
        </w:rPr>
        <w:t>Бисопролол</w:t>
      </w:r>
    </w:p>
    <w:p w14:paraId="0FABBFDA" w14:textId="77777777" w:rsidR="00C35C2D" w:rsidRPr="00C35C2D" w:rsidRDefault="00C35C2D" w:rsidP="00C35C2D">
      <w:pPr>
        <w:rPr>
          <w:rFonts w:eastAsia="Times New Roman" w:cs="Arial"/>
          <w:sz w:val="28"/>
          <w:szCs w:val="24"/>
          <w:lang w:eastAsia="bg-BG"/>
        </w:rPr>
      </w:pPr>
      <w:r w:rsidRPr="00C35C2D">
        <w:rPr>
          <w:rFonts w:eastAsia="Times New Roman" w:cs="Arial"/>
          <w:bCs/>
          <w:color w:val="000000"/>
          <w:szCs w:val="20"/>
          <w:lang w:eastAsia="bg-BG"/>
        </w:rPr>
        <w:t xml:space="preserve">Бисопролол представлява бета блокер, който заема междинно място от гледна точка на липофилност/хидрофилност. Бисопролол притежава висока </w:t>
      </w:r>
      <w:r w:rsidRPr="00C35C2D">
        <w:rPr>
          <w:rFonts w:eastAsia="Times New Roman" w:cs="Arial"/>
          <w:color w:val="000000"/>
          <w:szCs w:val="20"/>
          <w:lang w:eastAsia="bg-BG"/>
        </w:rPr>
        <w:t>β1-селективност</w:t>
      </w:r>
      <w:r w:rsidRPr="00C35C2D">
        <w:rPr>
          <w:rFonts w:eastAsia="Times New Roman" w:cs="Arial"/>
          <w:bCs/>
          <w:color w:val="000000"/>
          <w:szCs w:val="20"/>
          <w:lang w:eastAsia="bg-BG"/>
        </w:rPr>
        <w:t xml:space="preserve"> (“кардиоселективност") без вътрешно симпатомиметично действие и без клинично значим</w:t>
      </w:r>
      <w:r>
        <w:rPr>
          <w:rFonts w:eastAsia="Times New Roman" w:cs="Arial"/>
          <w:bCs/>
          <w:color w:val="000000"/>
          <w:szCs w:val="20"/>
          <w:lang w:eastAsia="bg-BG"/>
        </w:rPr>
        <w:t xml:space="preserve"> </w:t>
      </w:r>
      <w:r w:rsidRPr="00C35C2D">
        <w:rPr>
          <w:rFonts w:eastAsia="Times New Roman" w:cs="Arial"/>
          <w:bCs/>
          <w:color w:val="000000"/>
          <w:szCs w:val="20"/>
          <w:lang w:eastAsia="bg-BG"/>
        </w:rPr>
        <w:lastRenderedPageBreak/>
        <w:t xml:space="preserve">мембраностабилизиращ ефект. Чрез блокиране на сърдечните бета рецептори бисопролол потиска отговора към симпато-адренергичната активност. Това причинява намаляване на сърдечната честота и контрактилност и по този начин намалява консумацията на кислород от </w:t>
      </w:r>
      <w:r w:rsidRPr="00C35C2D">
        <w:rPr>
          <w:rFonts w:eastAsia="Times New Roman" w:cs="Arial"/>
          <w:bCs/>
          <w:i/>
          <w:iCs/>
          <w:color w:val="000000"/>
          <w:szCs w:val="20"/>
          <w:lang w:eastAsia="bg-BG"/>
        </w:rPr>
        <w:t xml:space="preserve">сърдечния </w:t>
      </w:r>
      <w:r w:rsidRPr="00C35C2D">
        <w:rPr>
          <w:rFonts w:eastAsia="Times New Roman" w:cs="Arial"/>
          <w:bCs/>
          <w:color w:val="000000"/>
          <w:szCs w:val="20"/>
          <w:lang w:eastAsia="bg-BG"/>
        </w:rPr>
        <w:t>мускул.</w:t>
      </w:r>
    </w:p>
    <w:p w14:paraId="71AD1F4A" w14:textId="77777777" w:rsidR="00C35C2D" w:rsidRPr="00C35C2D" w:rsidRDefault="00C35C2D" w:rsidP="00C35C2D">
      <w:pPr>
        <w:spacing w:line="240" w:lineRule="auto"/>
        <w:rPr>
          <w:rFonts w:eastAsia="Times New Roman" w:cs="Arial"/>
          <w:bCs/>
          <w:i/>
          <w:iCs/>
          <w:color w:val="000000"/>
          <w:szCs w:val="20"/>
          <w:lang w:eastAsia="bg-BG"/>
        </w:rPr>
      </w:pPr>
    </w:p>
    <w:p w14:paraId="4AEBD8F9" w14:textId="2DA36D84"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i/>
          <w:iCs/>
          <w:color w:val="000000"/>
          <w:szCs w:val="20"/>
          <w:lang w:eastAsia="bg-BG"/>
        </w:rPr>
        <w:t>Хидрохлоротиазид</w:t>
      </w:r>
    </w:p>
    <w:p w14:paraId="54EFACEF" w14:textId="37B80130"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Хидрохлоротиазид е бензотиадиазинов дериват, който първично увеличава електролитната екскреция и вторично повишава отделянето на урината, чрез осмотично свързване с вода.</w:t>
      </w:r>
    </w:p>
    <w:p w14:paraId="09CA3CEC"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 xml:space="preserve">Натриевият транспорт </w:t>
      </w:r>
      <w:r w:rsidRPr="00C35C2D">
        <w:rPr>
          <w:rFonts w:eastAsia="Times New Roman" w:cs="Arial"/>
          <w:bCs/>
          <w:color w:val="000000"/>
          <w:szCs w:val="20"/>
          <w:lang w:val="en-US"/>
        </w:rPr>
        <w:t>o</w:t>
      </w:r>
      <w:r w:rsidRPr="00C35C2D">
        <w:rPr>
          <w:rFonts w:eastAsia="Times New Roman" w:cs="Arial"/>
          <w:bCs/>
          <w:color w:val="000000"/>
          <w:szCs w:val="20"/>
          <w:lang w:eastAsia="bg-BG"/>
        </w:rPr>
        <w:t>т</w:t>
      </w:r>
      <w:r w:rsidRPr="00C35C2D">
        <w:rPr>
          <w:rFonts w:eastAsia="Times New Roman" w:cs="Arial"/>
          <w:bCs/>
          <w:color w:val="000000"/>
          <w:szCs w:val="20"/>
          <w:lang w:val="en-US"/>
        </w:rPr>
        <w:t xml:space="preserve"> </w:t>
      </w:r>
      <w:r w:rsidRPr="00C35C2D">
        <w:rPr>
          <w:rFonts w:eastAsia="Times New Roman" w:cs="Arial"/>
          <w:bCs/>
          <w:color w:val="000000"/>
          <w:szCs w:val="20"/>
          <w:lang w:eastAsia="bg-BG"/>
        </w:rPr>
        <w:t xml:space="preserve">бъбречните тубули до кръвта е инхибирано. Това предотвратява натриевата реабсорбция. Натриуретичният </w:t>
      </w:r>
      <w:r w:rsidRPr="00C35C2D">
        <w:rPr>
          <w:rFonts w:eastAsia="Times New Roman" w:cs="Arial"/>
          <w:bCs/>
          <w:i/>
          <w:iCs/>
          <w:color w:val="000000"/>
          <w:szCs w:val="20"/>
          <w:lang w:eastAsia="bg-BG"/>
        </w:rPr>
        <w:t>ефект е придружен от</w:t>
      </w:r>
      <w:r w:rsidRPr="00C35C2D">
        <w:rPr>
          <w:rFonts w:eastAsia="Times New Roman" w:cs="Arial"/>
          <w:bCs/>
          <w:color w:val="000000"/>
          <w:szCs w:val="20"/>
          <w:lang w:eastAsia="bg-BG"/>
        </w:rPr>
        <w:t xml:space="preserve"> увеличение на калиевата и магнезиева екскреция.</w:t>
      </w:r>
    </w:p>
    <w:p w14:paraId="3F8B1C3F" w14:textId="77777777" w:rsidR="00C35C2D" w:rsidRPr="00C35C2D" w:rsidRDefault="00C35C2D" w:rsidP="00C35C2D">
      <w:pPr>
        <w:spacing w:line="240" w:lineRule="auto"/>
        <w:rPr>
          <w:rFonts w:eastAsia="Times New Roman" w:cs="Arial"/>
          <w:bCs/>
          <w:color w:val="000000"/>
          <w:szCs w:val="20"/>
          <w:lang w:eastAsia="bg-BG"/>
        </w:rPr>
      </w:pPr>
    </w:p>
    <w:p w14:paraId="2E8FD305" w14:textId="29125672"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Хидрохлоротиазид инхибира предоминантно натриевата абсорбция в дисталния тубул, така че около максимално 15% от натрия, преминаващ гломерулната филтрация може да се екскретира. Количеството отделени хлориди съответства на натриевото излъчване.</w:t>
      </w:r>
    </w:p>
    <w:p w14:paraId="5E9F43E0"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Хидрохлоротиазид причинява също и увеличаване на калиевата екскреция, която зависи основно от калиевата секреция в дисталните и събирателни тубули (увеличена обмяна между натриеви и калиеви йони). Салиуретичният или диуретичният ефект на хидрохлоротиазид не се повлиява от ацидоза или алкалоза.</w:t>
      </w:r>
    </w:p>
    <w:p w14:paraId="55FAA4E6" w14:textId="77777777" w:rsidR="00C35C2D" w:rsidRPr="00C35C2D" w:rsidRDefault="00C35C2D" w:rsidP="00C35C2D">
      <w:pPr>
        <w:spacing w:line="240" w:lineRule="auto"/>
        <w:rPr>
          <w:rFonts w:eastAsia="Times New Roman" w:cs="Arial"/>
          <w:bCs/>
          <w:color w:val="000000"/>
          <w:szCs w:val="20"/>
          <w:lang w:eastAsia="bg-BG"/>
        </w:rPr>
      </w:pPr>
    </w:p>
    <w:p w14:paraId="1EFBD925" w14:textId="236ADF06"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Скоростта на гломерулна филтрация в началото е намалена до леко удължена. По време на продължително лечение с хидрохлоротиазид калциевата екскреция през бъбреците е намалена, поради което е възможна хиперкалциемия.</w:t>
      </w:r>
    </w:p>
    <w:p w14:paraId="68DB14C0" w14:textId="77777777" w:rsidR="00C35C2D" w:rsidRPr="00C35C2D" w:rsidRDefault="00C35C2D" w:rsidP="00C35C2D">
      <w:pPr>
        <w:spacing w:line="240" w:lineRule="auto"/>
        <w:rPr>
          <w:rFonts w:eastAsia="Times New Roman" w:cs="Arial"/>
          <w:bCs/>
          <w:color w:val="000000"/>
          <w:szCs w:val="20"/>
          <w:lang w:eastAsia="bg-BG"/>
        </w:rPr>
      </w:pPr>
    </w:p>
    <w:p w14:paraId="3EC62214" w14:textId="0B94DC7B"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Хидрохлоротиазид намалява периферната резистентност чрез отпускане на гладката мускулатура на кръвоносните съдове.</w:t>
      </w:r>
    </w:p>
    <w:p w14:paraId="52163799"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 xml:space="preserve">При пациенти с хронична бъбречна недостатъчност (креатининов клирънс по-малко от 30 </w:t>
      </w:r>
      <w:r w:rsidRPr="00C35C2D">
        <w:rPr>
          <w:rFonts w:eastAsia="Times New Roman" w:cs="Arial"/>
          <w:bCs/>
          <w:color w:val="000000"/>
          <w:szCs w:val="20"/>
          <w:lang w:val="en-US"/>
        </w:rPr>
        <w:t xml:space="preserve">ml/min </w:t>
      </w:r>
      <w:r w:rsidRPr="00C35C2D">
        <w:rPr>
          <w:rFonts w:eastAsia="Times New Roman" w:cs="Arial"/>
          <w:bCs/>
          <w:color w:val="000000"/>
          <w:szCs w:val="20"/>
          <w:lang w:eastAsia="bg-BG"/>
        </w:rPr>
        <w:t xml:space="preserve">и/или серумен креатинин около 1,8 </w:t>
      </w:r>
      <w:r w:rsidRPr="00C35C2D">
        <w:rPr>
          <w:rFonts w:eastAsia="Times New Roman" w:cs="Arial"/>
          <w:bCs/>
          <w:color w:val="000000"/>
          <w:szCs w:val="20"/>
          <w:lang w:val="en-US"/>
        </w:rPr>
        <w:t xml:space="preserve">mg/100 ml) </w:t>
      </w:r>
      <w:r w:rsidRPr="00C35C2D">
        <w:rPr>
          <w:rFonts w:eastAsia="Times New Roman" w:cs="Arial"/>
          <w:bCs/>
          <w:color w:val="000000"/>
          <w:szCs w:val="20"/>
          <w:lang w:eastAsia="bg-BG"/>
        </w:rPr>
        <w:t xml:space="preserve">хидрохлоротиазид е отчасти неефективен. При пациенти с бъбречна и </w:t>
      </w:r>
      <w:r w:rsidRPr="00C35C2D">
        <w:rPr>
          <w:rFonts w:eastAsia="Times New Roman" w:cs="Arial"/>
          <w:bCs/>
          <w:color w:val="000000"/>
          <w:szCs w:val="20"/>
          <w:lang w:val="en-US"/>
        </w:rPr>
        <w:t>ADH</w:t>
      </w:r>
      <w:r w:rsidRPr="00C35C2D">
        <w:rPr>
          <w:rFonts w:eastAsia="Times New Roman" w:cs="Arial"/>
          <w:bCs/>
          <w:color w:val="000000"/>
          <w:szCs w:val="20"/>
          <w:lang w:eastAsia="bg-BG"/>
        </w:rPr>
        <w:t>-чувствителен безвкусен диабет, хидрохлоротиазид има антидиуретичен ефект.</w:t>
      </w:r>
    </w:p>
    <w:p w14:paraId="3A932CBB" w14:textId="77777777" w:rsidR="00C35C2D" w:rsidRPr="00C35C2D" w:rsidRDefault="00C35C2D" w:rsidP="00C35C2D">
      <w:pPr>
        <w:rPr>
          <w:rFonts w:eastAsia="Times New Roman" w:cs="Arial"/>
          <w:bCs/>
          <w:color w:val="000000"/>
          <w:szCs w:val="20"/>
          <w:lang w:eastAsia="bg-BG"/>
        </w:rPr>
      </w:pPr>
    </w:p>
    <w:p w14:paraId="24ED8520" w14:textId="56C765A4" w:rsidR="00C35C2D" w:rsidRPr="00C35C2D" w:rsidRDefault="00C35C2D" w:rsidP="00C35C2D">
      <w:pPr>
        <w:rPr>
          <w:rFonts w:cs="Arial"/>
          <w:sz w:val="28"/>
        </w:rPr>
      </w:pPr>
      <w:r w:rsidRPr="00C35C2D">
        <w:rPr>
          <w:rFonts w:eastAsia="Times New Roman" w:cs="Arial"/>
          <w:b/>
          <w:bCs/>
          <w:color w:val="000000"/>
          <w:szCs w:val="20"/>
          <w:lang w:eastAsia="bg-BG"/>
        </w:rPr>
        <w:t>Немеланомен рак на кожата:</w:t>
      </w:r>
      <w:r w:rsidRPr="00C35C2D">
        <w:rPr>
          <w:rFonts w:eastAsia="Times New Roman" w:cs="Arial"/>
          <w:bCs/>
          <w:color w:val="000000"/>
          <w:szCs w:val="20"/>
          <w:lang w:eastAsia="bg-BG"/>
        </w:rPr>
        <w:t xml:space="preserve"> 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r w:rsidRPr="00C35C2D">
        <w:rPr>
          <w:rFonts w:eastAsia="Times New Roman" w:cs="Arial"/>
          <w:bCs/>
          <w:color w:val="000000"/>
          <w:szCs w:val="20"/>
          <w:lang w:val="en-US"/>
        </w:rPr>
        <w:t xml:space="preserve">mg) </w:t>
      </w:r>
      <w:r w:rsidRPr="00C35C2D">
        <w:rPr>
          <w:rFonts w:eastAsia="Times New Roman" w:cs="Arial"/>
          <w:bCs/>
          <w:color w:val="000000"/>
          <w:szCs w:val="20"/>
          <w:lang w:eastAsia="bg-BG"/>
        </w:rPr>
        <w:t xml:space="preserve">е свързана с коригиран </w:t>
      </w:r>
      <w:r w:rsidRPr="00C35C2D">
        <w:rPr>
          <w:rFonts w:eastAsia="Times New Roman" w:cs="Arial"/>
          <w:bCs/>
          <w:color w:val="000000"/>
          <w:szCs w:val="20"/>
          <w:lang w:val="en-US"/>
        </w:rPr>
        <w:t xml:space="preserve">OR </w:t>
      </w:r>
      <w:r w:rsidRPr="00C35C2D">
        <w:rPr>
          <w:rFonts w:eastAsia="Times New Roman" w:cs="Arial"/>
          <w:bCs/>
          <w:color w:val="000000"/>
          <w:szCs w:val="20"/>
          <w:lang w:eastAsia="bg-BG"/>
        </w:rPr>
        <w:t xml:space="preserve">1,29 (95% ДИ: 1,23-1,35) за БКК и 3,98 (95% ДИ: 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 отговор с коригиран </w:t>
      </w:r>
      <w:r w:rsidRPr="00C35C2D">
        <w:rPr>
          <w:rFonts w:eastAsia="Times New Roman" w:cs="Arial"/>
          <w:bCs/>
          <w:color w:val="000000"/>
          <w:szCs w:val="20"/>
          <w:lang w:val="en-US"/>
        </w:rPr>
        <w:t xml:space="preserve">OR </w:t>
      </w:r>
      <w:r w:rsidRPr="00C35C2D">
        <w:rPr>
          <w:rFonts w:eastAsia="Times New Roman" w:cs="Arial"/>
          <w:bCs/>
          <w:color w:val="000000"/>
          <w:szCs w:val="20"/>
          <w:lang w:eastAsia="bg-BG"/>
        </w:rPr>
        <w:t xml:space="preserve">2,1 (95% ДИ: 1,7-2,6), нарастващ до </w:t>
      </w:r>
      <w:r w:rsidRPr="00C35C2D">
        <w:rPr>
          <w:rFonts w:eastAsia="Times New Roman" w:cs="Arial"/>
          <w:bCs/>
          <w:color w:val="000000"/>
          <w:szCs w:val="20"/>
          <w:lang w:val="en-US"/>
        </w:rPr>
        <w:t xml:space="preserve">OR </w:t>
      </w:r>
      <w:r w:rsidRPr="00C35C2D">
        <w:rPr>
          <w:rFonts w:eastAsia="Times New Roman" w:cs="Arial"/>
          <w:bCs/>
          <w:color w:val="000000"/>
          <w:szCs w:val="20"/>
          <w:lang w:eastAsia="bg-BG"/>
        </w:rPr>
        <w:t xml:space="preserve">3,9 (3,0-4,9) за висока употреба (~ 25 000 </w:t>
      </w:r>
      <w:r w:rsidRPr="00C35C2D">
        <w:rPr>
          <w:rFonts w:eastAsia="Times New Roman" w:cs="Arial"/>
          <w:bCs/>
          <w:color w:val="000000"/>
          <w:szCs w:val="20"/>
          <w:lang w:val="en-US"/>
        </w:rPr>
        <w:t xml:space="preserve">mg) </w:t>
      </w:r>
      <w:r w:rsidRPr="00C35C2D">
        <w:rPr>
          <w:rFonts w:eastAsia="Times New Roman" w:cs="Arial"/>
          <w:bCs/>
          <w:color w:val="000000"/>
          <w:szCs w:val="20"/>
          <w:lang w:eastAsia="bg-BG"/>
        </w:rPr>
        <w:t xml:space="preserve">и </w:t>
      </w:r>
      <w:r w:rsidRPr="00C35C2D">
        <w:rPr>
          <w:rFonts w:eastAsia="Times New Roman" w:cs="Arial"/>
          <w:bCs/>
          <w:color w:val="000000"/>
          <w:szCs w:val="20"/>
          <w:lang w:val="en-US"/>
        </w:rPr>
        <w:t xml:space="preserve">OR </w:t>
      </w:r>
      <w:r w:rsidRPr="00C35C2D">
        <w:rPr>
          <w:rFonts w:eastAsia="Times New Roman" w:cs="Arial"/>
          <w:bCs/>
          <w:color w:val="000000"/>
          <w:szCs w:val="20"/>
          <w:lang w:eastAsia="bg-BG"/>
        </w:rPr>
        <w:t xml:space="preserve">7,7 (5,7-10,5) за най-високата кумулативна доза (~ 100 000 </w:t>
      </w:r>
      <w:r w:rsidRPr="00C35C2D">
        <w:rPr>
          <w:rFonts w:eastAsia="Times New Roman" w:cs="Arial"/>
          <w:bCs/>
          <w:color w:val="000000"/>
          <w:szCs w:val="20"/>
          <w:lang w:val="en-US"/>
        </w:rPr>
        <w:t xml:space="preserve">mg) </w:t>
      </w:r>
      <w:r w:rsidRPr="00C35C2D">
        <w:rPr>
          <w:rFonts w:eastAsia="Times New Roman" w:cs="Arial"/>
          <w:bCs/>
          <w:color w:val="000000"/>
          <w:szCs w:val="20"/>
          <w:lang w:eastAsia="bg-BG"/>
        </w:rPr>
        <w:t>(вж. също точка 4.4).</w:t>
      </w:r>
    </w:p>
    <w:p w14:paraId="2286327C" w14:textId="77777777" w:rsidR="00C35C2D" w:rsidRPr="00C35C2D" w:rsidRDefault="00C35C2D" w:rsidP="00C35C2D"/>
    <w:p w14:paraId="35F84B81" w14:textId="76F1426A" w:rsidR="00CF77F7" w:rsidRDefault="002C50EE" w:rsidP="004A448E">
      <w:pPr>
        <w:pStyle w:val="Heading2"/>
      </w:pPr>
      <w:r>
        <w:t>5.2. Фармакокинетични свойства</w:t>
      </w:r>
    </w:p>
    <w:p w14:paraId="208DE089" w14:textId="7DEBAB94" w:rsidR="00C35C2D" w:rsidRDefault="00C35C2D" w:rsidP="00C35C2D"/>
    <w:p w14:paraId="21DAFD21"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i/>
          <w:iCs/>
          <w:color w:val="000000"/>
          <w:szCs w:val="20"/>
          <w:lang w:eastAsia="bg-BG"/>
        </w:rPr>
        <w:t>Бисопролол</w:t>
      </w:r>
    </w:p>
    <w:p w14:paraId="7F344B5E" w14:textId="77777777" w:rsidR="00C35C2D" w:rsidRPr="00E16C30" w:rsidRDefault="00C35C2D" w:rsidP="00C35C2D">
      <w:pPr>
        <w:spacing w:line="240" w:lineRule="auto"/>
        <w:rPr>
          <w:rFonts w:eastAsia="Times New Roman" w:cs="Arial"/>
          <w:bCs/>
          <w:color w:val="000000"/>
          <w:szCs w:val="20"/>
          <w:lang w:eastAsia="bg-BG"/>
        </w:rPr>
      </w:pPr>
    </w:p>
    <w:p w14:paraId="692D9FFF" w14:textId="76ED0DB8" w:rsidR="00C35C2D" w:rsidRPr="00E16C30" w:rsidRDefault="00C35C2D" w:rsidP="00E16C30">
      <w:pPr>
        <w:pStyle w:val="Heading3"/>
        <w:rPr>
          <w:rFonts w:eastAsia="Times New Roman"/>
          <w:sz w:val="28"/>
          <w:u w:val="single"/>
          <w:lang w:eastAsia="bg-BG"/>
        </w:rPr>
      </w:pPr>
      <w:r w:rsidRPr="00E16C30">
        <w:rPr>
          <w:rFonts w:eastAsia="Times New Roman"/>
          <w:u w:val="single"/>
          <w:lang w:eastAsia="bg-BG"/>
        </w:rPr>
        <w:t>Абсорбция</w:t>
      </w:r>
    </w:p>
    <w:p w14:paraId="11AF3260" w14:textId="77777777" w:rsidR="00C35C2D" w:rsidRPr="00E16C30" w:rsidRDefault="00C35C2D" w:rsidP="00C35C2D">
      <w:pPr>
        <w:rPr>
          <w:rFonts w:eastAsia="Times New Roman" w:cs="Arial"/>
          <w:sz w:val="28"/>
          <w:szCs w:val="24"/>
          <w:lang w:eastAsia="bg-BG"/>
        </w:rPr>
      </w:pPr>
      <w:r w:rsidRPr="00E16C30">
        <w:rPr>
          <w:rFonts w:eastAsia="Times New Roman" w:cs="Arial"/>
          <w:bCs/>
          <w:color w:val="000000"/>
          <w:szCs w:val="20"/>
          <w:lang w:eastAsia="bg-BG"/>
        </w:rPr>
        <w:t xml:space="preserve">Бионаличността на бисопролол от филмираните таблетки е около 90 %. Бисопролол </w:t>
      </w:r>
      <w:r w:rsidRPr="00E16C30">
        <w:rPr>
          <w:rFonts w:eastAsia="Times New Roman" w:cs="Arial"/>
          <w:bCs/>
          <w:color w:val="000000"/>
          <w:szCs w:val="20"/>
          <w:u w:val="single"/>
          <w:lang w:eastAsia="bg-BG"/>
        </w:rPr>
        <w:t xml:space="preserve">се </w:t>
      </w:r>
      <w:r w:rsidRPr="00E16C30">
        <w:rPr>
          <w:rFonts w:eastAsia="Times New Roman" w:cs="Arial"/>
          <w:bCs/>
          <w:color w:val="000000"/>
          <w:szCs w:val="20"/>
          <w:lang w:eastAsia="bg-BG"/>
        </w:rPr>
        <w:t xml:space="preserve">абсорбира почти пълно (&gt; 90 %) от стомашно-чревния тракт. Заедно с много слаб </w:t>
      </w:r>
      <w:r w:rsidRPr="00E16C30">
        <w:rPr>
          <w:rFonts w:eastAsia="Times New Roman" w:cs="Arial"/>
          <w:bCs/>
          <w:color w:val="000000"/>
          <w:szCs w:val="20"/>
          <w:lang w:val="en-US"/>
        </w:rPr>
        <w:t xml:space="preserve">first </w:t>
      </w:r>
      <w:r w:rsidRPr="00E16C30">
        <w:rPr>
          <w:rFonts w:eastAsia="Times New Roman" w:cs="Arial"/>
          <w:bCs/>
          <w:color w:val="000000"/>
          <w:szCs w:val="20"/>
          <w:lang w:eastAsia="bg-BG"/>
        </w:rPr>
        <w:t>р</w:t>
      </w:r>
      <w:r w:rsidRPr="00E16C30">
        <w:rPr>
          <w:rFonts w:eastAsia="Times New Roman" w:cs="Arial"/>
          <w:bCs/>
          <w:color w:val="000000"/>
          <w:szCs w:val="20"/>
          <w:lang w:val="en-US"/>
        </w:rPr>
        <w:t xml:space="preserve">ass </w:t>
      </w:r>
      <w:r w:rsidRPr="00E16C30">
        <w:rPr>
          <w:rFonts w:eastAsia="Times New Roman" w:cs="Arial"/>
          <w:bCs/>
          <w:color w:val="000000"/>
          <w:szCs w:val="20"/>
          <w:lang w:eastAsia="bg-BG"/>
        </w:rPr>
        <w:t>ефект в черния дроб (&lt; 10 %) резултира в абсолютна бионаличност от 88 %. Бисопролол може да се приема на празен стомах или по време на закуска, без това да се отрази на абсорбцията или бионаличността.</w:t>
      </w:r>
    </w:p>
    <w:p w14:paraId="6D1CC694" w14:textId="77777777" w:rsidR="00C35C2D" w:rsidRPr="00E16C30" w:rsidRDefault="00C35C2D" w:rsidP="00C35C2D">
      <w:pPr>
        <w:spacing w:line="240" w:lineRule="auto"/>
        <w:rPr>
          <w:rFonts w:eastAsia="Times New Roman" w:cs="Arial"/>
          <w:bCs/>
          <w:color w:val="000000"/>
          <w:szCs w:val="20"/>
          <w:lang w:eastAsia="bg-BG"/>
        </w:rPr>
      </w:pPr>
    </w:p>
    <w:p w14:paraId="092C43A7" w14:textId="0DBED5CD" w:rsidR="00C35C2D" w:rsidRPr="00E16C30" w:rsidRDefault="00C35C2D" w:rsidP="00E16C30">
      <w:pPr>
        <w:pStyle w:val="Heading3"/>
        <w:rPr>
          <w:rFonts w:eastAsia="Times New Roman"/>
          <w:sz w:val="28"/>
          <w:u w:val="single"/>
          <w:lang w:eastAsia="bg-BG"/>
        </w:rPr>
      </w:pPr>
      <w:r w:rsidRPr="00E16C30">
        <w:rPr>
          <w:rFonts w:eastAsia="Times New Roman"/>
          <w:u w:val="single"/>
          <w:lang w:eastAsia="bg-BG"/>
        </w:rPr>
        <w:t>Разпределение</w:t>
      </w:r>
    </w:p>
    <w:p w14:paraId="022C08AE"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 xml:space="preserve">Свързването на плазмените протеини с бисопролол е около 30 %. Патофизиологичните промени в плазмените протеини като </w:t>
      </w:r>
      <w:r w:rsidRPr="00C35C2D">
        <w:rPr>
          <w:rFonts w:eastAsia="Times New Roman" w:cs="Arial"/>
          <w:bCs/>
          <w:color w:val="000000"/>
          <w:szCs w:val="20"/>
          <w:lang w:val="en-US"/>
        </w:rPr>
        <w:t xml:space="preserve">al </w:t>
      </w:r>
      <w:r w:rsidRPr="00C35C2D">
        <w:rPr>
          <w:rFonts w:eastAsia="Times New Roman" w:cs="Arial"/>
          <w:bCs/>
          <w:color w:val="000000"/>
          <w:szCs w:val="20"/>
          <w:lang w:eastAsia="bg-BG"/>
        </w:rPr>
        <w:t xml:space="preserve">гликопротеини, не трябва да има ефект върху фармакокинетиката на бисопролол. Пикът на плазмената концентрация обикновено се достига след около 1-3 часа след приемането. Бисопролол притежава умерена липофилност и по тази причина се свързва слабо с плазмените протеини, неговият обем на разпределение е 226 ± 111 (х ± </w:t>
      </w:r>
      <w:r w:rsidRPr="00C35C2D">
        <w:rPr>
          <w:rFonts w:eastAsia="Times New Roman" w:cs="Arial"/>
          <w:bCs/>
          <w:color w:val="000000"/>
          <w:szCs w:val="20"/>
          <w:lang w:val="en-US"/>
        </w:rPr>
        <w:t>SEM).</w:t>
      </w:r>
    </w:p>
    <w:p w14:paraId="4FACB609" w14:textId="77777777" w:rsidR="00C35C2D" w:rsidRPr="00E16C30" w:rsidRDefault="00C35C2D" w:rsidP="00C35C2D">
      <w:pPr>
        <w:spacing w:line="240" w:lineRule="auto"/>
        <w:rPr>
          <w:rFonts w:eastAsia="Times New Roman" w:cs="Arial"/>
          <w:bCs/>
          <w:color w:val="000000"/>
          <w:szCs w:val="20"/>
          <w:lang w:eastAsia="bg-BG"/>
        </w:rPr>
      </w:pPr>
    </w:p>
    <w:p w14:paraId="6E55B8B9" w14:textId="03FB02F2" w:rsidR="00C35C2D" w:rsidRPr="00E16C30" w:rsidRDefault="00C35C2D" w:rsidP="00E16C30">
      <w:pPr>
        <w:pStyle w:val="Heading3"/>
        <w:rPr>
          <w:rFonts w:eastAsia="Times New Roman"/>
          <w:sz w:val="28"/>
          <w:u w:val="single"/>
          <w:lang w:eastAsia="bg-BG"/>
        </w:rPr>
      </w:pPr>
      <w:r w:rsidRPr="00E16C30">
        <w:rPr>
          <w:rFonts w:eastAsia="Times New Roman"/>
          <w:u w:val="single"/>
          <w:lang w:eastAsia="bg-BG"/>
        </w:rPr>
        <w:t>Биотрансформация</w:t>
      </w:r>
    </w:p>
    <w:p w14:paraId="699C9648"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Бисопролол се отстранява от организма чрез два, еквивалентно ефективни клирънсови пътища: половината от него се трансформира до неактивни метаболити в черния дроб и тяхната екскреция е през бъбреците, а другата половина се екскретира като непроменена субстанция през бъбреците.</w:t>
      </w:r>
    </w:p>
    <w:p w14:paraId="660C4D9C" w14:textId="77777777" w:rsidR="00C35C2D" w:rsidRPr="00E16C30" w:rsidRDefault="00C35C2D" w:rsidP="00C35C2D">
      <w:pPr>
        <w:spacing w:line="240" w:lineRule="auto"/>
        <w:rPr>
          <w:rFonts w:eastAsia="Times New Roman" w:cs="Arial"/>
          <w:bCs/>
          <w:color w:val="000000"/>
          <w:szCs w:val="20"/>
          <w:lang w:eastAsia="bg-BG"/>
        </w:rPr>
      </w:pPr>
    </w:p>
    <w:p w14:paraId="373E297D" w14:textId="2FD052FC" w:rsidR="00C35C2D" w:rsidRPr="00E16C30" w:rsidRDefault="00C35C2D" w:rsidP="00E16C30">
      <w:pPr>
        <w:pStyle w:val="Heading3"/>
        <w:rPr>
          <w:rFonts w:eastAsia="Times New Roman"/>
          <w:sz w:val="28"/>
          <w:u w:val="single"/>
          <w:lang w:eastAsia="bg-BG"/>
        </w:rPr>
      </w:pPr>
      <w:r w:rsidRPr="00E16C30">
        <w:rPr>
          <w:rFonts w:eastAsia="Times New Roman"/>
          <w:u w:val="single"/>
          <w:lang w:eastAsia="bg-BG"/>
        </w:rPr>
        <w:t>Екскреция</w:t>
      </w:r>
    </w:p>
    <w:p w14:paraId="66CA7860"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Плазменият елиминационен полуживот е 10-12 часа. С</w:t>
      </w:r>
      <w:r w:rsidRPr="00C35C2D">
        <w:rPr>
          <w:rFonts w:eastAsia="Times New Roman" w:cs="Arial"/>
          <w:bCs/>
          <w:color w:val="000000"/>
          <w:szCs w:val="20"/>
          <w:vertAlign w:val="subscript"/>
          <w:lang w:val="en-US"/>
        </w:rPr>
        <w:t>max</w:t>
      </w:r>
      <w:r w:rsidRPr="00C35C2D">
        <w:rPr>
          <w:rFonts w:eastAsia="Times New Roman" w:cs="Arial"/>
          <w:bCs/>
          <w:color w:val="000000"/>
          <w:szCs w:val="20"/>
          <w:lang w:eastAsia="bg-BG"/>
        </w:rPr>
        <w:t xml:space="preserve"> и </w:t>
      </w:r>
      <w:r w:rsidRPr="00C35C2D">
        <w:rPr>
          <w:rFonts w:eastAsia="Times New Roman" w:cs="Arial"/>
          <w:bCs/>
          <w:color w:val="000000"/>
          <w:szCs w:val="20"/>
          <w:lang w:val="en-US"/>
        </w:rPr>
        <w:t>AUC</w:t>
      </w:r>
      <w:r w:rsidRPr="00C35C2D">
        <w:rPr>
          <w:rFonts w:eastAsia="Times New Roman" w:cs="Arial"/>
          <w:bCs/>
          <w:color w:val="000000"/>
          <w:szCs w:val="20"/>
          <w:lang w:eastAsia="bg-BG"/>
        </w:rPr>
        <w:t xml:space="preserve">-стойностите на бисопролол в </w:t>
      </w:r>
      <w:r w:rsidRPr="00C35C2D">
        <w:rPr>
          <w:rFonts w:eastAsia="Times New Roman" w:cs="Arial"/>
          <w:bCs/>
          <w:color w:val="000000"/>
          <w:szCs w:val="20"/>
          <w:lang w:val="en-US"/>
        </w:rPr>
        <w:t xml:space="preserve">steady state </w:t>
      </w:r>
      <w:r w:rsidRPr="00C35C2D">
        <w:rPr>
          <w:rFonts w:eastAsia="Times New Roman" w:cs="Arial"/>
          <w:bCs/>
          <w:color w:val="000000"/>
          <w:szCs w:val="20"/>
          <w:lang w:eastAsia="bg-BG"/>
        </w:rPr>
        <w:t>са биоеквивалентни във фиксираната комбинация с хидрохлоротиазид и монопрепарата.</w:t>
      </w:r>
    </w:p>
    <w:p w14:paraId="6F43077C" w14:textId="77777777" w:rsidR="00C35C2D" w:rsidRPr="00E16C30" w:rsidRDefault="00C35C2D" w:rsidP="00C35C2D">
      <w:pPr>
        <w:spacing w:line="240" w:lineRule="auto"/>
        <w:rPr>
          <w:rFonts w:eastAsia="Times New Roman" w:cs="Arial"/>
          <w:bCs/>
          <w:i/>
          <w:iCs/>
          <w:color w:val="000000"/>
          <w:szCs w:val="20"/>
          <w:lang w:eastAsia="bg-BG"/>
        </w:rPr>
      </w:pPr>
    </w:p>
    <w:p w14:paraId="0078DE29" w14:textId="095DD1B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i/>
          <w:iCs/>
          <w:color w:val="000000"/>
          <w:szCs w:val="20"/>
          <w:lang w:eastAsia="bg-BG"/>
        </w:rPr>
        <w:t>Хидрохлоротиазид</w:t>
      </w:r>
    </w:p>
    <w:p w14:paraId="37EF71DC" w14:textId="135D9D07" w:rsidR="00C35C2D" w:rsidRPr="00E16C30" w:rsidRDefault="00C35C2D" w:rsidP="00E16C30">
      <w:pPr>
        <w:pStyle w:val="Heading3"/>
        <w:rPr>
          <w:rFonts w:eastAsia="Times New Roman"/>
          <w:sz w:val="28"/>
          <w:u w:val="single"/>
          <w:lang w:eastAsia="bg-BG"/>
        </w:rPr>
      </w:pPr>
      <w:r w:rsidRPr="00E16C30">
        <w:rPr>
          <w:rFonts w:eastAsia="Times New Roman"/>
          <w:u w:val="single"/>
          <w:lang w:eastAsia="bg-BG"/>
        </w:rPr>
        <w:t>Абсорбция</w:t>
      </w:r>
    </w:p>
    <w:p w14:paraId="77EFC9C7"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След перорално приложение около 80% от хидрохлоротиазид се абсорбира от стомашно-чревния тракт. Системната наличност е 71 ± 15%.</w:t>
      </w:r>
    </w:p>
    <w:p w14:paraId="6BCC3016" w14:textId="77777777" w:rsidR="00C35C2D" w:rsidRPr="00E16C30" w:rsidRDefault="00C35C2D" w:rsidP="00C35C2D">
      <w:pPr>
        <w:spacing w:line="240" w:lineRule="auto"/>
        <w:rPr>
          <w:rFonts w:eastAsia="Times New Roman" w:cs="Arial"/>
          <w:bCs/>
          <w:color w:val="000000"/>
          <w:szCs w:val="20"/>
          <w:lang w:eastAsia="bg-BG"/>
        </w:rPr>
      </w:pPr>
    </w:p>
    <w:p w14:paraId="451CE030" w14:textId="713DD2C8" w:rsidR="00C35C2D" w:rsidRPr="00E16C30" w:rsidRDefault="00C35C2D" w:rsidP="00E16C30">
      <w:pPr>
        <w:pStyle w:val="Heading3"/>
        <w:rPr>
          <w:rFonts w:eastAsia="Times New Roman"/>
          <w:sz w:val="28"/>
          <w:u w:val="single"/>
          <w:lang w:eastAsia="bg-BG"/>
        </w:rPr>
      </w:pPr>
      <w:r w:rsidRPr="00E16C30">
        <w:rPr>
          <w:rFonts w:eastAsia="Times New Roman"/>
          <w:u w:val="single"/>
          <w:lang w:eastAsia="bg-BG"/>
        </w:rPr>
        <w:t>Разпределение</w:t>
      </w:r>
    </w:p>
    <w:p w14:paraId="7FD165E1"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Свързването с плазмените протеини на хидрохлоротиазид е 64%; относителният обем на разпределение е 0.5-1.1</w:t>
      </w:r>
      <w:r w:rsidRPr="00C35C2D">
        <w:rPr>
          <w:rFonts w:eastAsia="Times New Roman" w:cs="Arial"/>
          <w:bCs/>
          <w:color w:val="000000"/>
          <w:szCs w:val="20"/>
          <w:lang w:val="en-US"/>
        </w:rPr>
        <w:t xml:space="preserve"> l/kg.</w:t>
      </w:r>
    </w:p>
    <w:p w14:paraId="33C1684B" w14:textId="77777777" w:rsidR="00C35C2D" w:rsidRPr="00E16C30" w:rsidRDefault="00C35C2D" w:rsidP="00C35C2D">
      <w:pPr>
        <w:spacing w:line="240" w:lineRule="auto"/>
        <w:rPr>
          <w:rFonts w:eastAsia="Times New Roman" w:cs="Arial"/>
          <w:bCs/>
          <w:color w:val="000000"/>
          <w:szCs w:val="20"/>
          <w:lang w:eastAsia="bg-BG"/>
        </w:rPr>
      </w:pPr>
    </w:p>
    <w:p w14:paraId="1F3E5DC7" w14:textId="79830E1D" w:rsidR="00C35C2D" w:rsidRPr="00E16C30" w:rsidRDefault="00C35C2D" w:rsidP="00E16C30">
      <w:pPr>
        <w:pStyle w:val="Heading3"/>
        <w:rPr>
          <w:rFonts w:eastAsia="Times New Roman"/>
          <w:sz w:val="28"/>
          <w:u w:val="single"/>
          <w:lang w:eastAsia="bg-BG"/>
        </w:rPr>
      </w:pPr>
      <w:bookmarkStart w:id="1" w:name="_GoBack"/>
      <w:r w:rsidRPr="00E16C30">
        <w:rPr>
          <w:rFonts w:eastAsia="Times New Roman"/>
          <w:u w:val="single"/>
          <w:lang w:eastAsia="bg-BG"/>
        </w:rPr>
        <w:t>Екскреция</w:t>
      </w:r>
    </w:p>
    <w:bookmarkEnd w:id="1"/>
    <w:p w14:paraId="36A06AA5"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При здрави хора повече от 95% от хидрохлоротиазид се екскретира през бъбреците като непроменена субстанция.</w:t>
      </w:r>
    </w:p>
    <w:p w14:paraId="238F660C" w14:textId="77777777" w:rsidR="00E16C30" w:rsidRPr="00E16C30" w:rsidRDefault="00E16C30" w:rsidP="00C35C2D">
      <w:pPr>
        <w:spacing w:line="240" w:lineRule="auto"/>
        <w:rPr>
          <w:rFonts w:eastAsia="Times New Roman" w:cs="Arial"/>
          <w:bCs/>
          <w:color w:val="000000"/>
          <w:szCs w:val="20"/>
          <w:lang w:eastAsia="bg-BG"/>
        </w:rPr>
      </w:pPr>
    </w:p>
    <w:p w14:paraId="4327FD21" w14:textId="0DDAF255"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При нормална бъбречна функция елиминационното време на полуживот е 9-13 часа. Пикът на плазмената концентрация обикновено се достига след 2-5 часа.</w:t>
      </w:r>
    </w:p>
    <w:p w14:paraId="7026B5E0" w14:textId="77777777" w:rsidR="00C35C2D" w:rsidRPr="00C35C2D" w:rsidRDefault="00C35C2D" w:rsidP="00C35C2D">
      <w:pPr>
        <w:spacing w:line="240" w:lineRule="auto"/>
        <w:rPr>
          <w:rFonts w:eastAsia="Times New Roman" w:cs="Arial"/>
          <w:sz w:val="28"/>
          <w:szCs w:val="24"/>
          <w:lang w:eastAsia="bg-BG"/>
        </w:rPr>
      </w:pPr>
      <w:r w:rsidRPr="00C35C2D">
        <w:rPr>
          <w:rFonts w:eastAsia="Times New Roman" w:cs="Arial"/>
          <w:bCs/>
          <w:color w:val="000000"/>
          <w:szCs w:val="20"/>
          <w:lang w:eastAsia="bg-BG"/>
        </w:rPr>
        <w:t>Този период се увеличава при наличие на намалена бъбречна функция и е около 20 часа при пациенти с терминална бъбречна недостатъчност.</w:t>
      </w:r>
    </w:p>
    <w:p w14:paraId="7754DE24" w14:textId="77777777" w:rsidR="00E16C30" w:rsidRPr="00E16C30" w:rsidRDefault="00E16C30" w:rsidP="00C35C2D">
      <w:pPr>
        <w:rPr>
          <w:rFonts w:eastAsia="Times New Roman" w:cs="Arial"/>
          <w:bCs/>
          <w:color w:val="000000"/>
          <w:szCs w:val="20"/>
          <w:lang w:eastAsia="bg-BG"/>
        </w:rPr>
      </w:pPr>
    </w:p>
    <w:p w14:paraId="5522355D" w14:textId="4A7EA38B" w:rsidR="00C35C2D" w:rsidRPr="00E16C30" w:rsidRDefault="00C35C2D" w:rsidP="00C35C2D">
      <w:pPr>
        <w:rPr>
          <w:rFonts w:cs="Arial"/>
          <w:sz w:val="24"/>
        </w:rPr>
      </w:pPr>
      <w:r w:rsidRPr="00E16C30">
        <w:rPr>
          <w:rFonts w:eastAsia="Times New Roman" w:cs="Arial"/>
          <w:bCs/>
          <w:color w:val="000000"/>
          <w:szCs w:val="20"/>
          <w:lang w:eastAsia="bg-BG"/>
        </w:rPr>
        <w:t>Диуретичният ефект започва в рамките на 1-2 часа и в зависимост от дозата се поддържа за 10-12 часа. Антихипертензивният ефект продължава до 24 часа.</w:t>
      </w:r>
    </w:p>
    <w:p w14:paraId="14F9C809" w14:textId="77777777" w:rsidR="00C35C2D" w:rsidRPr="00C35C2D" w:rsidRDefault="00C35C2D" w:rsidP="00C35C2D"/>
    <w:p w14:paraId="648E39DA" w14:textId="4612F702" w:rsidR="00CF77F7" w:rsidRDefault="002C50EE" w:rsidP="004A448E">
      <w:pPr>
        <w:pStyle w:val="Heading2"/>
      </w:pPr>
      <w:r>
        <w:lastRenderedPageBreak/>
        <w:t>5.3. Предклинични данни за безопасност</w:t>
      </w:r>
    </w:p>
    <w:p w14:paraId="609AED8D" w14:textId="329834A8" w:rsidR="00E16C30" w:rsidRDefault="00E16C30" w:rsidP="00E16C30"/>
    <w:p w14:paraId="1428E33B" w14:textId="03AC694D" w:rsidR="00E16C30" w:rsidRPr="00E16C30" w:rsidRDefault="00E16C30" w:rsidP="00E16C30">
      <w:pPr>
        <w:rPr>
          <w:sz w:val="24"/>
        </w:rPr>
      </w:pPr>
      <w:r w:rsidRPr="00E16C30">
        <w:rPr>
          <w:bCs/>
          <w:szCs w:val="20"/>
        </w:rPr>
        <w:t>Предклинични стандартни тестове (дългосрочна токсичност, мутагенност, генотоксичност и карциногенен тест) показват, че бисопролол или хидрохлоротиазид не са токсични за човек. Както другите бета блокери бисопролол във високи дози, при проучвания върху експериментални животни, показва токсични ефекти върху майката (намалява приема на храна и теглото на тялото) и към ембриона/фетуса (увеличава резорбцията, намалява теглото на поколението, обратно физическо развитие на тялото до края на лактацията). Бисопролол както и хидрохлоротиазид не са тератогенни. Липсва увеличаване на токсичността, когато двата компонента се приемат едновременно.</w:t>
      </w:r>
    </w:p>
    <w:p w14:paraId="06AE681F" w14:textId="77777777" w:rsidR="00E16C30" w:rsidRPr="00E16C30" w:rsidRDefault="00E16C30" w:rsidP="00E16C30"/>
    <w:p w14:paraId="6A7820AB" w14:textId="085068D2" w:rsidR="008A6AF2" w:rsidRDefault="002C50EE" w:rsidP="00395555">
      <w:pPr>
        <w:pStyle w:val="Heading1"/>
      </w:pPr>
      <w:r>
        <w:t>7. ПРИТЕЖАТЕЛ НА РАЗРЕШЕНИЕТО ЗА УПОТРЕБА</w:t>
      </w:r>
    </w:p>
    <w:p w14:paraId="0FD1FC76" w14:textId="05CEE8E1" w:rsidR="00E16C30" w:rsidRDefault="00E16C30" w:rsidP="00E16C30"/>
    <w:p w14:paraId="36F8C836" w14:textId="77777777" w:rsidR="00E16C30" w:rsidRPr="00E16C30" w:rsidRDefault="00E16C30" w:rsidP="00E16C30">
      <w:pPr>
        <w:spacing w:line="240" w:lineRule="auto"/>
        <w:rPr>
          <w:rFonts w:eastAsia="Times New Roman" w:cs="Arial"/>
          <w:lang w:val="en-US" w:eastAsia="bg-BG"/>
        </w:rPr>
      </w:pPr>
      <w:r w:rsidRPr="00E16C30">
        <w:rPr>
          <w:rFonts w:eastAsia="Times New Roman" w:cs="Arial"/>
          <w:bCs/>
          <w:color w:val="000000"/>
          <w:lang w:val="en-US"/>
        </w:rPr>
        <w:t>ALIUD® PHARMA GmbH</w:t>
      </w:r>
    </w:p>
    <w:p w14:paraId="0125A0CE" w14:textId="77777777" w:rsidR="00E16C30" w:rsidRPr="00E16C30" w:rsidRDefault="00E16C30" w:rsidP="00E16C30">
      <w:pPr>
        <w:spacing w:line="240" w:lineRule="auto"/>
        <w:rPr>
          <w:rFonts w:eastAsia="Times New Roman" w:cs="Arial"/>
          <w:lang w:val="en-US" w:eastAsia="bg-BG"/>
        </w:rPr>
      </w:pPr>
      <w:r w:rsidRPr="00E16C30">
        <w:rPr>
          <w:rFonts w:eastAsia="Times New Roman" w:cs="Arial"/>
          <w:bCs/>
          <w:color w:val="000000"/>
          <w:lang w:val="en-US"/>
        </w:rPr>
        <w:t xml:space="preserve">Gottlieb-Daimler-Str. </w:t>
      </w:r>
      <w:r w:rsidRPr="00E16C30">
        <w:rPr>
          <w:rFonts w:eastAsia="Times New Roman" w:cs="Arial"/>
          <w:bCs/>
          <w:color w:val="000000"/>
          <w:lang w:eastAsia="bg-BG"/>
        </w:rPr>
        <w:t>19</w:t>
      </w:r>
    </w:p>
    <w:p w14:paraId="1B96A281" w14:textId="77777777" w:rsidR="00E16C30" w:rsidRPr="00E16C30" w:rsidRDefault="00E16C30" w:rsidP="00E16C30">
      <w:pPr>
        <w:spacing w:line="240" w:lineRule="auto"/>
        <w:rPr>
          <w:rFonts w:eastAsia="Times New Roman" w:cs="Arial"/>
          <w:lang w:val="en-US" w:eastAsia="bg-BG"/>
        </w:rPr>
      </w:pPr>
      <w:r w:rsidRPr="00E16C30">
        <w:rPr>
          <w:rFonts w:eastAsia="Times New Roman" w:cs="Arial"/>
          <w:bCs/>
          <w:color w:val="000000"/>
          <w:lang w:val="en-US"/>
        </w:rPr>
        <w:t xml:space="preserve">D-89150 </w:t>
      </w:r>
      <w:proofErr w:type="spellStart"/>
      <w:r w:rsidRPr="00E16C30">
        <w:rPr>
          <w:rFonts w:eastAsia="Times New Roman" w:cs="Arial"/>
          <w:bCs/>
          <w:color w:val="000000"/>
          <w:lang w:val="en-US"/>
        </w:rPr>
        <w:t>Laichingen</w:t>
      </w:r>
      <w:proofErr w:type="spellEnd"/>
    </w:p>
    <w:p w14:paraId="7CE4F405" w14:textId="77777777" w:rsidR="00E16C30" w:rsidRPr="00E16C30" w:rsidRDefault="00E16C30" w:rsidP="00E16C30">
      <w:pPr>
        <w:spacing w:line="240" w:lineRule="auto"/>
        <w:rPr>
          <w:rFonts w:eastAsia="Times New Roman" w:cs="Arial"/>
          <w:lang w:val="en-US" w:eastAsia="bg-BG"/>
        </w:rPr>
      </w:pPr>
      <w:r w:rsidRPr="00E16C30">
        <w:rPr>
          <w:rFonts w:eastAsia="Times New Roman" w:cs="Arial"/>
          <w:bCs/>
          <w:color w:val="000000"/>
          <w:lang w:eastAsia="bg-BG"/>
        </w:rPr>
        <w:t>Германия</w:t>
      </w:r>
    </w:p>
    <w:p w14:paraId="6DC8A114" w14:textId="76726241" w:rsidR="00E16C30" w:rsidRPr="00E16C30" w:rsidRDefault="00E16C30" w:rsidP="00E16C30">
      <w:pPr>
        <w:rPr>
          <w:rFonts w:cs="Arial"/>
        </w:rPr>
      </w:pPr>
      <w:r w:rsidRPr="00E16C30">
        <w:rPr>
          <w:rFonts w:eastAsia="Times New Roman" w:cs="Arial"/>
          <w:bCs/>
          <w:color w:val="000000"/>
          <w:lang w:val="en-US"/>
        </w:rPr>
        <w:t xml:space="preserve">E-mail: </w:t>
      </w:r>
      <w:hyperlink r:id="rId5" w:history="1">
        <w:r w:rsidRPr="00E16C30">
          <w:rPr>
            <w:rFonts w:eastAsia="Times New Roman" w:cs="Arial"/>
            <w:bCs/>
            <w:color w:val="000000"/>
            <w:lang w:val="en-US"/>
          </w:rPr>
          <w:t>info@aliud.de</w:t>
        </w:r>
      </w:hyperlink>
    </w:p>
    <w:p w14:paraId="3F31C484" w14:textId="77777777" w:rsidR="00E16C30" w:rsidRPr="00E16C30" w:rsidRDefault="00E16C30" w:rsidP="00E16C30"/>
    <w:p w14:paraId="7BA1BA64" w14:textId="1D305891" w:rsidR="00CF77F7" w:rsidRDefault="002C50EE" w:rsidP="004A448E">
      <w:pPr>
        <w:pStyle w:val="Heading1"/>
      </w:pPr>
      <w:r>
        <w:t>8. НОМЕР НА РАЗРЕШЕНИЕТО ЗА УПОТРЕБА</w:t>
      </w:r>
    </w:p>
    <w:p w14:paraId="62C27D61" w14:textId="5A50CFBF" w:rsidR="00E16C30" w:rsidRDefault="00E16C30" w:rsidP="00E16C30"/>
    <w:p w14:paraId="693EC699" w14:textId="3A982F66" w:rsidR="00E16C30" w:rsidRPr="00E16C30" w:rsidRDefault="00E16C30" w:rsidP="00E16C30">
      <w:pPr>
        <w:rPr>
          <w:rFonts w:cs="Arial"/>
        </w:rPr>
      </w:pPr>
      <w:r w:rsidRPr="00E16C30">
        <w:rPr>
          <w:rFonts w:cs="Arial"/>
          <w:bCs/>
        </w:rPr>
        <w:t>Регистрационен номер:</w:t>
      </w:r>
      <w:r w:rsidRPr="00E16C30">
        <w:rPr>
          <w:rFonts w:cs="Arial"/>
          <w:bCs/>
          <w:lang w:val="en-US"/>
        </w:rPr>
        <w:t xml:space="preserve"> </w:t>
      </w:r>
      <w:r w:rsidRPr="00E16C30">
        <w:rPr>
          <w:rFonts w:cs="Arial"/>
          <w:bCs/>
        </w:rPr>
        <w:t>20060157</w:t>
      </w:r>
    </w:p>
    <w:p w14:paraId="7F4831EC" w14:textId="77777777" w:rsidR="00E16C30" w:rsidRPr="00E16C30" w:rsidRDefault="00E16C30" w:rsidP="00E16C30"/>
    <w:p w14:paraId="2CCB5832" w14:textId="7B5F3B83" w:rsidR="007C605B" w:rsidRDefault="002C50EE" w:rsidP="007C605B">
      <w:pPr>
        <w:pStyle w:val="Heading1"/>
      </w:pPr>
      <w:r>
        <w:t>9. ДАТА НА ПЪРВО РАЗРЕШАВАНЕ/ПОДНОВЯВАНЕ НА РАЗРЕШЕНИЕТО ЗА УПОТРЕБА</w:t>
      </w:r>
    </w:p>
    <w:p w14:paraId="0F7AFA2B" w14:textId="7BDBF48C" w:rsidR="00E16C30" w:rsidRDefault="00E16C30" w:rsidP="00E16C30"/>
    <w:p w14:paraId="69D80359" w14:textId="77777777" w:rsidR="00E16C30" w:rsidRPr="00E16C30" w:rsidRDefault="00E16C30" w:rsidP="00E16C30">
      <w:pPr>
        <w:spacing w:line="240" w:lineRule="auto"/>
        <w:rPr>
          <w:rFonts w:eastAsia="Times New Roman" w:cs="Arial"/>
          <w:lang w:eastAsia="bg-BG"/>
        </w:rPr>
      </w:pPr>
      <w:r w:rsidRPr="00E16C30">
        <w:rPr>
          <w:rFonts w:eastAsia="Times New Roman" w:cs="Arial"/>
          <w:bCs/>
          <w:color w:val="000000"/>
          <w:lang w:eastAsia="bg-BG"/>
        </w:rPr>
        <w:t>Дата на първо разрешаване:11.04.2006 г.</w:t>
      </w:r>
    </w:p>
    <w:p w14:paraId="40419027" w14:textId="1F056D29" w:rsidR="00E16C30" w:rsidRPr="00E16C30" w:rsidRDefault="00E16C30" w:rsidP="00E16C30">
      <w:pPr>
        <w:rPr>
          <w:rFonts w:cs="Arial"/>
        </w:rPr>
      </w:pPr>
      <w:r w:rsidRPr="00E16C30">
        <w:rPr>
          <w:rFonts w:eastAsia="Times New Roman" w:cs="Arial"/>
          <w:bCs/>
          <w:color w:val="000000"/>
          <w:lang w:eastAsia="bg-BG"/>
        </w:rPr>
        <w:t>Дата на последно подновяване: 15.11.2011</w:t>
      </w:r>
    </w:p>
    <w:p w14:paraId="7FFCF031" w14:textId="77777777" w:rsidR="00E16C30" w:rsidRPr="00E16C30" w:rsidRDefault="00E16C30" w:rsidP="00E16C30"/>
    <w:p w14:paraId="0E9D0119" w14:textId="4F50A5C6" w:rsidR="002C50EE" w:rsidRDefault="002C50EE" w:rsidP="002C50EE">
      <w:pPr>
        <w:pStyle w:val="Heading1"/>
      </w:pPr>
      <w:r>
        <w:t>10. ДАТА НА АКТУАЛИЗИРАНЕ НА ТЕКСТА</w:t>
      </w:r>
    </w:p>
    <w:p w14:paraId="63F48A2C" w14:textId="3765B3BE" w:rsidR="00E16C30" w:rsidRDefault="00E16C30" w:rsidP="00E16C30"/>
    <w:p w14:paraId="53AD603B" w14:textId="3D5199F7" w:rsidR="00E16C30" w:rsidRDefault="00E16C30" w:rsidP="00E16C30"/>
    <w:p w14:paraId="7E8C6D19" w14:textId="15442122" w:rsidR="00E16C30" w:rsidRPr="00E16C30" w:rsidRDefault="00E16C30" w:rsidP="00E16C30">
      <w:pPr>
        <w:rPr>
          <w:rFonts w:cs="Arial"/>
        </w:rPr>
      </w:pPr>
      <w:r w:rsidRPr="00E16C30">
        <w:rPr>
          <w:rFonts w:cs="Arial"/>
          <w:bCs/>
        </w:rPr>
        <w:t>11/2021</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83E7B"/>
    <w:multiLevelType w:val="hybridMultilevel"/>
    <w:tmpl w:val="9364E0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F907E93"/>
    <w:multiLevelType w:val="hybridMultilevel"/>
    <w:tmpl w:val="2B140A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A031B"/>
    <w:multiLevelType w:val="hybridMultilevel"/>
    <w:tmpl w:val="30D02BF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5"/>
  </w:num>
  <w:num w:numId="13">
    <w:abstractNumId w:val="21"/>
  </w:num>
  <w:num w:numId="14">
    <w:abstractNumId w:val="13"/>
  </w:num>
  <w:num w:numId="15">
    <w:abstractNumId w:val="31"/>
  </w:num>
  <w:num w:numId="16">
    <w:abstractNumId w:val="11"/>
  </w:num>
  <w:num w:numId="17">
    <w:abstractNumId w:val="26"/>
  </w:num>
  <w:num w:numId="18">
    <w:abstractNumId w:val="7"/>
  </w:num>
  <w:num w:numId="19">
    <w:abstractNumId w:val="28"/>
  </w:num>
  <w:num w:numId="20">
    <w:abstractNumId w:val="25"/>
  </w:num>
  <w:num w:numId="21">
    <w:abstractNumId w:val="19"/>
  </w:num>
  <w:num w:numId="22">
    <w:abstractNumId w:val="27"/>
  </w:num>
  <w:num w:numId="23">
    <w:abstractNumId w:val="20"/>
  </w:num>
  <w:num w:numId="24">
    <w:abstractNumId w:val="8"/>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10"/>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861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35C2D"/>
    <w:rsid w:val="00C40420"/>
    <w:rsid w:val="00C809A7"/>
    <w:rsid w:val="00C83063"/>
    <w:rsid w:val="00C87E90"/>
    <w:rsid w:val="00CA1B57"/>
    <w:rsid w:val="00CF77F7"/>
    <w:rsid w:val="00D86297"/>
    <w:rsid w:val="00DD466D"/>
    <w:rsid w:val="00E16C30"/>
    <w:rsid w:val="00EB6364"/>
    <w:rsid w:val="00F37B64"/>
    <w:rsid w:val="00FD69E8"/>
    <w:rsid w:val="00FE1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liud.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4742</Words>
  <Characters>27035</Characters>
  <Application>Microsoft Office Word</Application>
  <DocSecurity>0</DocSecurity>
  <Lines>225</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2022-06-30T12:26:00Z</dcterms:created>
  <dcterms:modified xsi:type="dcterms:W3CDTF">2022-06-30T12:26:00Z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