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2D92D210" w:rsidR="00C40420" w:rsidRDefault="00DD466D" w:rsidP="004A448E">
      <w:pPr>
        <w:pStyle w:val="Heading1"/>
      </w:pPr>
      <w:r>
        <w:t>1.ИМЕ НА ЛЕКАРСТВЕНИЯ ПРОДУКТ</w:t>
      </w:r>
    </w:p>
    <w:p w14:paraId="74917605" w14:textId="0B69963B" w:rsidR="00F778AB" w:rsidRDefault="00F778AB" w:rsidP="00F778AB"/>
    <w:p w14:paraId="6D5DF989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 Майлан 5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филмирани таблетки</w:t>
      </w:r>
    </w:p>
    <w:p w14:paraId="493AF9AD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 Майлан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филмирани таблетки</w:t>
      </w:r>
    </w:p>
    <w:p w14:paraId="789210B0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val="en-US"/>
        </w:rPr>
      </w:pPr>
    </w:p>
    <w:p w14:paraId="768933E4" w14:textId="645A5595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proofErr w:type="spellStart"/>
      <w:r w:rsidRPr="00F778AB">
        <w:rPr>
          <w:rFonts w:eastAsia="Times New Roman" w:cs="Arial"/>
          <w:color w:val="000000"/>
          <w:szCs w:val="20"/>
          <w:lang w:val="en-US"/>
        </w:rPr>
        <w:t>Bisoprolol</w:t>
      </w:r>
      <w:proofErr w:type="spellEnd"/>
      <w:r w:rsidRPr="00F778AB">
        <w:rPr>
          <w:rFonts w:eastAsia="Times New Roman" w:cs="Arial"/>
          <w:color w:val="000000"/>
          <w:szCs w:val="20"/>
          <w:lang w:val="en-US"/>
        </w:rPr>
        <w:t xml:space="preserve"> Mylan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5 </w:t>
      </w:r>
      <w:r w:rsidRPr="00F778AB">
        <w:rPr>
          <w:rFonts w:eastAsia="Times New Roman" w:cs="Arial"/>
          <w:color w:val="000000"/>
          <w:szCs w:val="20"/>
          <w:lang w:val="en-US"/>
        </w:rPr>
        <w:t>mg film-coated tablets</w:t>
      </w:r>
    </w:p>
    <w:p w14:paraId="6CB50503" w14:textId="0898AE10" w:rsidR="00F778AB" w:rsidRPr="00F778AB" w:rsidRDefault="00F778AB" w:rsidP="00F778AB">
      <w:pPr>
        <w:rPr>
          <w:rFonts w:cs="Arial"/>
          <w:sz w:val="24"/>
        </w:rPr>
      </w:pPr>
      <w:proofErr w:type="spellStart"/>
      <w:r w:rsidRPr="00F778AB">
        <w:rPr>
          <w:rFonts w:eastAsia="Times New Roman" w:cs="Arial"/>
          <w:color w:val="000000"/>
          <w:szCs w:val="20"/>
          <w:lang w:val="en-US"/>
        </w:rPr>
        <w:t>Bisoprolol</w:t>
      </w:r>
      <w:proofErr w:type="spellEnd"/>
      <w:r w:rsidRPr="00F778AB">
        <w:rPr>
          <w:rFonts w:eastAsia="Times New Roman" w:cs="Arial"/>
          <w:color w:val="000000"/>
          <w:szCs w:val="20"/>
          <w:lang w:val="en-US"/>
        </w:rPr>
        <w:t xml:space="preserve"> Mylan 10 mg film-coated tablets</w:t>
      </w:r>
    </w:p>
    <w:p w14:paraId="6920A680" w14:textId="0EFF5AFB" w:rsidR="00C40420" w:rsidRDefault="00DD466D" w:rsidP="004A448E">
      <w:pPr>
        <w:pStyle w:val="Heading1"/>
      </w:pPr>
      <w:r>
        <w:t>2. КАЧЕСТВЕН И КОЛИЧЕСТВЕН СЪСТАВ</w:t>
      </w:r>
    </w:p>
    <w:p w14:paraId="7552128B" w14:textId="689E43A6" w:rsidR="00F778AB" w:rsidRDefault="00F778AB" w:rsidP="00F778AB"/>
    <w:p w14:paraId="52020C34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Всяка таблетка съдържа 5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бизопрололов фумарат </w:t>
      </w:r>
      <w:r w:rsidRPr="00F778AB">
        <w:rPr>
          <w:rFonts w:eastAsia="Times New Roman" w:cs="Arial"/>
          <w:color w:val="000000"/>
          <w:szCs w:val="20"/>
          <w:lang w:val="en-US"/>
        </w:rPr>
        <w:t>(</w:t>
      </w:r>
      <w:proofErr w:type="spellStart"/>
      <w:r w:rsidRPr="00F778AB">
        <w:rPr>
          <w:rFonts w:eastAsia="Times New Roman" w:cs="Arial"/>
          <w:color w:val="000000"/>
          <w:szCs w:val="20"/>
          <w:lang w:val="en-US"/>
        </w:rPr>
        <w:t>bisoprolol</w:t>
      </w:r>
      <w:proofErr w:type="spellEnd"/>
      <w:r w:rsidRPr="00F778AB">
        <w:rPr>
          <w:rFonts w:eastAsia="Times New Roman" w:cs="Arial"/>
          <w:color w:val="000000"/>
          <w:szCs w:val="20"/>
          <w:lang w:val="en-US"/>
        </w:rPr>
        <w:t xml:space="preserve"> fumarate).</w:t>
      </w:r>
    </w:p>
    <w:p w14:paraId="339B0BB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Всяка таблетка съдържа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бизопрололов фумарат </w:t>
      </w:r>
      <w:r w:rsidRPr="00F778AB">
        <w:rPr>
          <w:rFonts w:eastAsia="Times New Roman" w:cs="Arial"/>
          <w:color w:val="000000"/>
          <w:szCs w:val="20"/>
          <w:lang w:val="en-US"/>
        </w:rPr>
        <w:t>(</w:t>
      </w:r>
      <w:proofErr w:type="spellStart"/>
      <w:r w:rsidRPr="00F778AB">
        <w:rPr>
          <w:rFonts w:eastAsia="Times New Roman" w:cs="Arial"/>
          <w:color w:val="000000"/>
          <w:szCs w:val="20"/>
          <w:lang w:val="en-US"/>
        </w:rPr>
        <w:t>bisoprolol</w:t>
      </w:r>
      <w:proofErr w:type="spellEnd"/>
      <w:r w:rsidRPr="00F778AB">
        <w:rPr>
          <w:rFonts w:eastAsia="Times New Roman" w:cs="Arial"/>
          <w:color w:val="000000"/>
          <w:szCs w:val="20"/>
          <w:lang w:val="en-US"/>
        </w:rPr>
        <w:t xml:space="preserve"> fumarate).</w:t>
      </w:r>
    </w:p>
    <w:p w14:paraId="0E7EF650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E1E6498" w14:textId="55613D71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u w:val="single"/>
          <w:lang w:eastAsia="bg-BG"/>
        </w:rPr>
        <w:t>Помощни вещества с известно действие</w:t>
      </w:r>
    </w:p>
    <w:p w14:paraId="476C3470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F05FCA0" w14:textId="37BC21DF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Всяка таблетка от 5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съдържа:</w:t>
      </w:r>
    </w:p>
    <w:p w14:paraId="33B9650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0,007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сънсет жълто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(sunset yellow) (El </w:t>
      </w:r>
      <w:r w:rsidRPr="00F778AB">
        <w:rPr>
          <w:rFonts w:eastAsia="Times New Roman" w:cs="Arial"/>
          <w:color w:val="000000"/>
          <w:szCs w:val="20"/>
          <w:lang w:eastAsia="bg-BG"/>
        </w:rPr>
        <w:t>10)</w:t>
      </w:r>
    </w:p>
    <w:p w14:paraId="1EDC289D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A66CF9B" w14:textId="1D249105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Всяка таблетка от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съдържа:</w:t>
      </w:r>
    </w:p>
    <w:p w14:paraId="05376160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0,042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сънсет жълто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(sunset yellow) (El </w:t>
      </w:r>
      <w:r w:rsidRPr="00F778AB">
        <w:rPr>
          <w:rFonts w:eastAsia="Times New Roman" w:cs="Arial"/>
          <w:color w:val="000000"/>
          <w:szCs w:val="20"/>
          <w:lang w:eastAsia="bg-BG"/>
        </w:rPr>
        <w:t>10)</w:t>
      </w:r>
    </w:p>
    <w:p w14:paraId="73FE309F" w14:textId="77777777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1A96198A" w14:textId="7F0EC08F" w:rsidR="00F778AB" w:rsidRPr="00F778AB" w:rsidRDefault="00F778AB" w:rsidP="00F778AB">
      <w:pPr>
        <w:rPr>
          <w:rFonts w:cs="Arial"/>
          <w:sz w:val="24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За пълния списък на помощните вещества, вижте точка 6.1.</w:t>
      </w:r>
    </w:p>
    <w:p w14:paraId="614984C4" w14:textId="75D78D0F" w:rsidR="008A6AF2" w:rsidRDefault="00DD466D" w:rsidP="002C50EE">
      <w:pPr>
        <w:pStyle w:val="Heading1"/>
      </w:pPr>
      <w:r>
        <w:t>3. ЛЕКАРСТВЕНА ФОРМА</w:t>
      </w:r>
    </w:p>
    <w:p w14:paraId="694B707B" w14:textId="0E271E97" w:rsidR="00F778AB" w:rsidRDefault="00F778AB" w:rsidP="00F778AB"/>
    <w:p w14:paraId="762883A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Филмирана таблетка.</w:t>
      </w:r>
    </w:p>
    <w:p w14:paraId="4BDD38D2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B50ABEA" w14:textId="317E0D9E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 Майлан 5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филмирани таблетки са бледо жълти, овални, двойно изпъкнали филмирани таблетки, с делителна линия, приблизително 9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mm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х 7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mm.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От едната страна на таблетките има надпис “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BL” </w:t>
      </w:r>
      <w:r w:rsidRPr="00F778AB">
        <w:rPr>
          <w:rFonts w:eastAsia="Times New Roman" w:cs="Arial"/>
          <w:color w:val="000000"/>
          <w:szCs w:val="20"/>
          <w:lang w:eastAsia="bg-BG"/>
        </w:rPr>
        <w:t>и “4” от двете страни на делителната линия. На обратната страна има надпис ”М”.</w:t>
      </w:r>
    </w:p>
    <w:p w14:paraId="38411298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0DFF3AB" w14:textId="00D9A2A4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 Майлан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филмирани таблетки са бледо до светло оранжеви, овални, двойно изпъкнали филмирани таблетки, с делителна линия, приблизително 9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mm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х 7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mm.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От едната страна на таблетките има надпис “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BL” </w:t>
      </w:r>
      <w:r w:rsidRPr="00F778AB">
        <w:rPr>
          <w:rFonts w:eastAsia="Times New Roman" w:cs="Arial"/>
          <w:color w:val="000000"/>
          <w:szCs w:val="20"/>
          <w:lang w:eastAsia="bg-BG"/>
        </w:rPr>
        <w:t>и “6” от двете страни на делителната линия. На обратната страна има надпис ”М</w:t>
      </w:r>
      <w:r w:rsidRPr="00F778AB">
        <w:rPr>
          <w:rFonts w:eastAsia="Times New Roman" w:cs="Arial"/>
          <w:color w:val="000000"/>
          <w:szCs w:val="20"/>
          <w:vertAlign w:val="superscript"/>
          <w:lang w:eastAsia="bg-BG"/>
        </w:rPr>
        <w:t>М</w:t>
      </w:r>
      <w:r w:rsidRPr="00F778AB">
        <w:rPr>
          <w:rFonts w:eastAsia="Times New Roman" w:cs="Arial"/>
          <w:color w:val="000000"/>
          <w:szCs w:val="20"/>
          <w:lang w:eastAsia="bg-BG"/>
        </w:rPr>
        <w:t>.</w:t>
      </w:r>
    </w:p>
    <w:p w14:paraId="62BB0D6E" w14:textId="77777777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0DCD3CA8" w14:textId="337320B8" w:rsidR="00F778AB" w:rsidRPr="00F778AB" w:rsidRDefault="00F778AB" w:rsidP="00F778AB">
      <w:pPr>
        <w:rPr>
          <w:rFonts w:cs="Arial"/>
          <w:sz w:val="24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Таблетките може да се делят на две равни дози.</w:t>
      </w:r>
    </w:p>
    <w:p w14:paraId="490FC2C4" w14:textId="2EF5550C" w:rsidR="002C50EE" w:rsidRDefault="002C50EE" w:rsidP="002C50EE">
      <w:pPr>
        <w:pStyle w:val="Heading1"/>
      </w:pPr>
      <w:r>
        <w:t>4. КЛИНИЧНИ ДАННИ</w:t>
      </w:r>
    </w:p>
    <w:p w14:paraId="14CC7C43" w14:textId="77777777" w:rsidR="00F778AB" w:rsidRPr="00F778AB" w:rsidRDefault="00F778AB" w:rsidP="00F778AB"/>
    <w:p w14:paraId="0C8E6903" w14:textId="03C7D416" w:rsidR="008134C8" w:rsidRDefault="002C50EE" w:rsidP="004A448E">
      <w:pPr>
        <w:pStyle w:val="Heading2"/>
      </w:pPr>
      <w:r>
        <w:t>4.1. Терапевтични показания</w:t>
      </w:r>
    </w:p>
    <w:p w14:paraId="241FF6E2" w14:textId="794EF9FD" w:rsidR="00F778AB" w:rsidRDefault="00F778AB" w:rsidP="00F778AB"/>
    <w:p w14:paraId="3AED350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Лечение на артериална хипертония.</w:t>
      </w:r>
    </w:p>
    <w:p w14:paraId="15998BE7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65D96076" w14:textId="3E98E5C0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Лечение на хронична исхемична болест на сърцето (ангина пекторис).</w:t>
      </w:r>
    </w:p>
    <w:p w14:paraId="0AB2BF82" w14:textId="77777777" w:rsidR="00F778AB" w:rsidRPr="00F778AB" w:rsidRDefault="00F778AB" w:rsidP="00F77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0BE2C7B" w14:textId="38A45E21" w:rsidR="008134C8" w:rsidRDefault="002C50EE" w:rsidP="004A448E">
      <w:pPr>
        <w:pStyle w:val="Heading2"/>
      </w:pPr>
      <w:r>
        <w:t>4.2. Дозировка и начин на приложение</w:t>
      </w:r>
    </w:p>
    <w:p w14:paraId="14BBF3EE" w14:textId="0989A012" w:rsidR="00F778AB" w:rsidRDefault="00F778AB" w:rsidP="00F778AB"/>
    <w:p w14:paraId="1B56FE08" w14:textId="77777777" w:rsidR="00F778AB" w:rsidRPr="00F778AB" w:rsidRDefault="00F778AB" w:rsidP="00F778AB">
      <w:pPr>
        <w:pStyle w:val="Heading3"/>
        <w:rPr>
          <w:rFonts w:eastAsia="Times New Roman"/>
          <w:sz w:val="28"/>
          <w:u w:val="single"/>
          <w:lang w:eastAsia="bg-BG"/>
        </w:rPr>
      </w:pPr>
      <w:r w:rsidRPr="00F778AB">
        <w:rPr>
          <w:rFonts w:eastAsia="Times New Roman"/>
          <w:u w:val="single"/>
          <w:lang w:eastAsia="bg-BG"/>
        </w:rPr>
        <w:t>Дозировка</w:t>
      </w:r>
      <w:bookmarkStart w:id="1" w:name="bookmark0"/>
      <w:bookmarkEnd w:id="1"/>
    </w:p>
    <w:p w14:paraId="735C438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7FCE8543" w14:textId="4DA01606" w:rsidR="00F778AB" w:rsidRPr="00F778AB" w:rsidRDefault="00F778AB" w:rsidP="00F778AB">
      <w:pPr>
        <w:rPr>
          <w:rFonts w:eastAsia="Times New Roman" w:cs="Arial"/>
          <w:i/>
          <w:iCs/>
          <w:color w:val="000000"/>
          <w:szCs w:val="20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Възрастни</w:t>
      </w:r>
    </w:p>
    <w:p w14:paraId="0F1E96C3" w14:textId="77777777" w:rsidR="00F778AB" w:rsidRPr="00F778AB" w:rsidRDefault="00F778AB" w:rsidP="00F778A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3A36926C" w14:textId="65948E29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Лечение на хипертония и хронична исхемична болест на сърцето</w:t>
      </w:r>
    </w:p>
    <w:p w14:paraId="0E574B89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A9C14B8" w14:textId="238A5E7B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Дозировката трябва да бъде индивидуализирана. Препоръчваната начална доза е 5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дневно. Обикновено дозата е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веднъж дневно, а препоръчвана максимална доза е 20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дневно.</w:t>
      </w:r>
    </w:p>
    <w:p w14:paraId="0E9A1726" w14:textId="77777777" w:rsidR="00F778AB" w:rsidRPr="00F778AB" w:rsidRDefault="00F778AB" w:rsidP="00F778A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30D3CEBB" w14:textId="45F978BF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Пациенти с увредена функция на бъбреците или на черния дроб</w:t>
      </w:r>
    </w:p>
    <w:p w14:paraId="48AEA763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При пациенти с увреждане на бъбреците в тежка степен (креатининов клирънс &lt; 20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ml/min)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и при пациенти с увреждане на функциите на черния дроб в тежка степен дозата не трябва да надвишава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веднъж дневно. Тази дозировка евентуално може да се раздели на два приема.</w:t>
      </w:r>
    </w:p>
    <w:p w14:paraId="0F8492C7" w14:textId="77777777" w:rsidR="00F778AB" w:rsidRPr="00F778AB" w:rsidRDefault="00F778AB" w:rsidP="00F778A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6F58576E" w14:textId="4876C586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Старческа възраст</w:t>
      </w:r>
    </w:p>
    <w:p w14:paraId="2B1F0854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Обикновено не се налага промяна на дозировката. Препоръчва се започване на лечението да е с най- ниската възможна доза.</w:t>
      </w:r>
    </w:p>
    <w:p w14:paraId="48ED2B33" w14:textId="77777777" w:rsidR="00F778AB" w:rsidRPr="00F778AB" w:rsidRDefault="00F778AB" w:rsidP="00F778A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608F519C" w14:textId="6BFFA1C0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Педиатрична популация</w:t>
      </w:r>
    </w:p>
    <w:p w14:paraId="753AB85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Няма данни.</w:t>
      </w:r>
    </w:p>
    <w:p w14:paraId="6D6CE2DA" w14:textId="77777777" w:rsidR="00F778AB" w:rsidRPr="00F778AB" w:rsidRDefault="00F778AB" w:rsidP="00F778A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68BFE129" w14:textId="4D9F2575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Преустановяване на лечение</w:t>
      </w:r>
    </w:p>
    <w:p w14:paraId="242DDB35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Лечението не трябва да се спира рязко (вижте точка 4.4). Дозировката трябва да се намалява постепенно наполовина през интервал от една седмица.</w:t>
      </w:r>
    </w:p>
    <w:p w14:paraId="29E61469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E3F36A8" w14:textId="0547ADE0" w:rsidR="00F778AB" w:rsidRPr="00F778AB" w:rsidRDefault="00F778AB" w:rsidP="00F778AB">
      <w:pPr>
        <w:pStyle w:val="Heading3"/>
        <w:rPr>
          <w:rFonts w:eastAsia="Times New Roman"/>
          <w:sz w:val="28"/>
          <w:u w:val="single"/>
          <w:lang w:eastAsia="bg-BG"/>
        </w:rPr>
      </w:pPr>
      <w:r w:rsidRPr="00F778AB">
        <w:rPr>
          <w:rFonts w:eastAsia="Times New Roman"/>
          <w:u w:val="single"/>
          <w:lang w:eastAsia="bg-BG"/>
        </w:rPr>
        <w:t>Начин на приложение</w:t>
      </w:r>
    </w:p>
    <w:p w14:paraId="2A207990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За перорално приложение.</w:t>
      </w:r>
    </w:p>
    <w:p w14:paraId="6089D0D0" w14:textId="77777777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1179C4EA" w14:textId="22FE9F11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Бизопролол Майлан трябва да се взема сутрин с или без храна. Таблетките трябва да се гълтат с достатъчно количество течност и не трябва да се дъвчат.</w:t>
      </w:r>
    </w:p>
    <w:p w14:paraId="1D290188" w14:textId="77777777" w:rsidR="00F778AB" w:rsidRPr="00F778AB" w:rsidRDefault="00F778AB" w:rsidP="00F778AB">
      <w:pPr>
        <w:rPr>
          <w:rFonts w:cs="Arial"/>
          <w:sz w:val="24"/>
        </w:rPr>
      </w:pPr>
    </w:p>
    <w:p w14:paraId="28C984E8" w14:textId="09955568" w:rsidR="008134C8" w:rsidRDefault="002C50EE" w:rsidP="004A448E">
      <w:pPr>
        <w:pStyle w:val="Heading2"/>
      </w:pPr>
      <w:r>
        <w:t>4.3. Противопоказания</w:t>
      </w:r>
    </w:p>
    <w:p w14:paraId="40FA28AF" w14:textId="57F79A5D" w:rsidR="00F778AB" w:rsidRDefault="00F778AB" w:rsidP="00F778AB"/>
    <w:p w14:paraId="3C6B3CC1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Бизопролол Майлан е противопоказан при пациенти с:</w:t>
      </w:r>
    </w:p>
    <w:p w14:paraId="79067CE5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свръхчувствителност към активното вещество или към някое от помощните вещества, изброени в точка 6.1.</w:t>
      </w:r>
    </w:p>
    <w:p w14:paraId="08F253A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остра сърдечна недостатъчност или по време на декомпенсация на сърдечна недостатъчност, изискващи интравенозно лечение с инотропни лекарства</w:t>
      </w:r>
    </w:p>
    <w:p w14:paraId="53800E40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кардиогенен шок</w:t>
      </w:r>
    </w:p>
    <w:p w14:paraId="72AF8C42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val="en-US"/>
        </w:rPr>
        <w:tab/>
        <w:t xml:space="preserve">AV </w:t>
      </w:r>
      <w:r w:rsidRPr="00F778AB">
        <w:rPr>
          <w:rFonts w:eastAsia="Times New Roman" w:cs="Arial"/>
          <w:color w:val="000000"/>
          <w:szCs w:val="20"/>
          <w:lang w:eastAsia="bg-BG"/>
        </w:rPr>
        <w:t>блок от втора или трета степен</w:t>
      </w:r>
    </w:p>
    <w:p w14:paraId="53A4A61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синдром на болния синусов възел</w:t>
      </w:r>
    </w:p>
    <w:p w14:paraId="6E852376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lastRenderedPageBreak/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синоатриален блок</w:t>
      </w:r>
    </w:p>
    <w:p w14:paraId="04AE54E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симптоматична брадикардия</w:t>
      </w:r>
    </w:p>
    <w:p w14:paraId="2EFC4FF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симптоматична хипотония</w:t>
      </w:r>
    </w:p>
    <w:p w14:paraId="209501C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тежка бронхиална астма</w:t>
      </w:r>
    </w:p>
    <w:p w14:paraId="0F725F4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тежка степен на периферно артериално оклузивно заболяване или тежка форма на синдром на Рейно</w:t>
      </w:r>
    </w:p>
    <w:p w14:paraId="31BEDA4D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нелекуван феохромоцитом (вижте точка 4.4).</w:t>
      </w:r>
    </w:p>
    <w:p w14:paraId="50E9C4FD" w14:textId="2A604272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метаболитна ацидоза</w:t>
      </w:r>
    </w:p>
    <w:p w14:paraId="49E1EBCD" w14:textId="77777777" w:rsidR="00F778AB" w:rsidRPr="00F778AB" w:rsidRDefault="00F778AB" w:rsidP="00F778AB"/>
    <w:p w14:paraId="212F509C" w14:textId="492C7448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4975B8A2" w14:textId="44390DD2" w:rsidR="00F778AB" w:rsidRDefault="00F778AB" w:rsidP="00F778AB"/>
    <w:p w14:paraId="26E52F2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u w:val="single"/>
          <w:lang w:eastAsia="bg-BG"/>
        </w:rPr>
        <w:t>Специални предупреждения:</w:t>
      </w:r>
    </w:p>
    <w:p w14:paraId="73E2FF20" w14:textId="77777777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5BD40B80" w14:textId="66626E4D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Освен ако не е стриктно показано, лечението с бизопролол не трябва да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F778AB">
        <w:rPr>
          <w:rFonts w:eastAsia="Times New Roman" w:cs="Arial"/>
          <w:color w:val="000000"/>
          <w:szCs w:val="20"/>
          <w:lang w:eastAsia="bg-BG"/>
        </w:rPr>
        <w:t>се прекратява внезапно, особено при пациенти с исхемична болест на сърцето, тъй като това може да доведе до преходно влошаване на сърдечното заболяване (вижте точка 4.2).</w:t>
      </w:r>
    </w:p>
    <w:p w14:paraId="692E6D97" w14:textId="352F3018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7D46690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Този лекарствен продукт съдържа по-малко от 1 </w:t>
      </w:r>
      <w:proofErr w:type="spellStart"/>
      <w:r w:rsidRPr="00F778AB">
        <w:rPr>
          <w:rFonts w:eastAsia="Times New Roman" w:cs="Arial"/>
          <w:color w:val="000000"/>
          <w:szCs w:val="20"/>
          <w:lang w:val="en-US"/>
        </w:rPr>
        <w:t>mmol</w:t>
      </w:r>
      <w:proofErr w:type="spellEnd"/>
      <w:r w:rsidRPr="00F778AB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натрий (23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mg) </w:t>
      </w:r>
      <w:r w:rsidRPr="00F778AB">
        <w:rPr>
          <w:rFonts w:eastAsia="Times New Roman" w:cs="Arial"/>
          <w:color w:val="000000"/>
          <w:szCs w:val="20"/>
          <w:lang w:eastAsia="bg-BG"/>
        </w:rPr>
        <w:t>на таблетка, т.е. практически не съдържа натрий.</w:t>
      </w:r>
    </w:p>
    <w:p w14:paraId="000FA3FD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1384E4C" w14:textId="27479443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Съдържа сънсет жълто (Е110), което може да причини алергични реакции.</w:t>
      </w:r>
    </w:p>
    <w:p w14:paraId="3234651E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u w:val="single"/>
          <w:lang w:eastAsia="bg-BG"/>
        </w:rPr>
      </w:pPr>
    </w:p>
    <w:p w14:paraId="38206CC9" w14:textId="7312C59F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u w:val="single"/>
          <w:lang w:eastAsia="bg-BG"/>
        </w:rPr>
        <w:t>Предпазни мерки:</w:t>
      </w:r>
    </w:p>
    <w:p w14:paraId="4EFA372E" w14:textId="66977ED2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 трябва да се прилага с внимание при пациенти с хипертония или ангина пекторис при съпътстваща сърдечна недостатъчност (лечението на стабилна сърдечна недостатъчност с бизопролол трябва да се започва с специална титрираща фаза [за подробности вижте КХП за бизопролол, </w:t>
      </w: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показат за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 лечението на стабилна сърдечна недостатъчност]).</w:t>
      </w:r>
    </w:p>
    <w:p w14:paraId="76AE2BE1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023C995" w14:textId="5CE92145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Бизопролол трябва да се прилага с внимание при пациенти с:</w:t>
      </w:r>
    </w:p>
    <w:p w14:paraId="27F94C3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Бронхоспазъм (бронхиална астма, обструктивни заболявания на дихателните пътища)</w:t>
      </w:r>
    </w:p>
    <w:p w14:paraId="21EDDA2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захарен диабет, с големи флуктуации в стойностите на захар в кръвта, симптоми на хипогликемия (напр. тахикардия, сърцебиене, изпотяване) може да се маскират.</w:t>
      </w:r>
    </w:p>
    <w:p w14:paraId="3CD80EB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стриктна диета</w:t>
      </w:r>
    </w:p>
    <w:p w14:paraId="47BA8EC7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по време на десенсибилизираща терапия. Подобно на всички други бета-блокери, бизопролол може да повиши, както чувствителността към алергени, така и тежестта на анафилактичните реакции. Лечението с адреналин не винаги може да даде очаквания терапевтичен резултат.</w:t>
      </w:r>
    </w:p>
    <w:p w14:paraId="5B043684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val="en-US"/>
        </w:rPr>
        <w:tab/>
        <w:t xml:space="preserve">AV </w:t>
      </w:r>
      <w:r w:rsidRPr="00F778AB">
        <w:rPr>
          <w:rFonts w:eastAsia="Times New Roman" w:cs="Arial"/>
          <w:color w:val="000000"/>
          <w:szCs w:val="20"/>
          <w:lang w:eastAsia="bg-BG"/>
        </w:rPr>
        <w:t>блок от първа степен</w:t>
      </w:r>
    </w:p>
    <w:p w14:paraId="4BAC5812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ангина на Принцметал</w:t>
      </w:r>
    </w:p>
    <w:p w14:paraId="2DBB7685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периферно артериално оклузивно заболяване. Може да се наблюдава засилване на оплакванията, особено в началото на лечението</w:t>
      </w:r>
    </w:p>
    <w:p w14:paraId="6E54D452" w14:textId="189FCB88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обща анестезия.</w:t>
      </w:r>
    </w:p>
    <w:p w14:paraId="454FD408" w14:textId="22861684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3C0F4A72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Пациенти с псориазис или анамнеза за псориазис трябва да приемат бета-блокери (напр. бизопролол) след внимателна оценка на ползата и риска.</w:t>
      </w:r>
    </w:p>
    <w:p w14:paraId="75D3C1B8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1A7C99D" w14:textId="6C117C20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Симптомите на тиреотоксикоза може да се маскират при лечение с бизопролол.</w:t>
      </w:r>
    </w:p>
    <w:p w14:paraId="578880A8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CEE497B" w14:textId="57BBB7D6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lastRenderedPageBreak/>
        <w:t>При пациенти с феохромоцитом бизопролол трябва да се прилага след алфа-рецепторна блокада.</w:t>
      </w:r>
    </w:p>
    <w:p w14:paraId="1D8C0AD1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C85A510" w14:textId="2ABC86CC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При пациенти, подлежащи на обща анестезия по време на въвеждането и интубацията и постоперативния период, бета-блокадата намалява честотата на аритмии и миокардна исхемия. Препоръчва се, поддържащата бета-блокада да продължи периоперативно. Анестезиологът трябва да бъде добре запознат с бета-блокадата, поради възможността за взаимодействие с други лекарства, водещо до брадиаритмия, отслабване на рефлекторната тахикардия и намаляване на рефлекторната способност за компенсация на кръвозагубата. Ако въпреки всичко се налага преустановяване на лечението с бета-блокер преди хирургична интервенция, това трябва да става постепенно и да приключи 48 часа преди анестезията.</w:t>
      </w:r>
    </w:p>
    <w:p w14:paraId="0FBAC5C2" w14:textId="77777777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0D1A971B" w14:textId="0B414C64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Въпреки, че кардиоселективните </w:t>
      </w:r>
      <w:r w:rsidRPr="00F778AB">
        <w:rPr>
          <w:rFonts w:eastAsia="Times New Roman" w:cs="Arial"/>
          <w:color w:val="000000"/>
          <w:szCs w:val="20"/>
          <w:lang w:val="en-US"/>
        </w:rPr>
        <w:t>(</w:t>
      </w:r>
      <w:r w:rsidRPr="00F778AB">
        <w:rPr>
          <w:rFonts w:eastAsia="Times New Roman" w:cs="Arial"/>
          <w:color w:val="000000"/>
          <w:szCs w:val="20"/>
          <w:lang w:eastAsia="bg-BG"/>
        </w:rPr>
        <w:t>бета</w:t>
      </w:r>
      <w:r w:rsidRPr="00F778AB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) </w:t>
      </w:r>
      <w:r w:rsidRPr="00F778AB">
        <w:rPr>
          <w:rFonts w:eastAsia="Times New Roman" w:cs="Arial"/>
          <w:color w:val="000000"/>
          <w:szCs w:val="20"/>
          <w:lang w:eastAsia="bg-BG"/>
        </w:rPr>
        <w:t>бета-блокери може да имат по-слаб ефект върху функцията на белите дробове, отколкото неселективните бета-блокери, както и при всички бета- блокери, те трябва да се избягват при пациенти с обструктивни заболявания на дихателните пътища, освен ако не са налице наложителни клинични причини за тяхната употреба. Когато съществуват такива причини, бизопролол може да се използва с повишено внимание. При пациенти с обструктивни заболявания на дихателните пътища, лечението с бизопролол трябва да започне с най-ниската възможна доза и пациентите трябва да бъдат внимателно наблюдавани за нови симптоми (например задух, умора, кашлица). Препоръчва се едновременно приложение на бронходилатиращо лечение при симптоматични пациенти с бронхиална астма или друго хронично обструктивно белодробно заболяване. Понякога, при пациенти с астма може да се прояви повишаване на резистентността на дихателните пътища, затова може да се наложи увеличаване на дозата на бета</w:t>
      </w:r>
      <w:r w:rsidRPr="00F778AB">
        <w:rPr>
          <w:rFonts w:eastAsia="Times New Roman" w:cs="Arial"/>
          <w:color w:val="000000"/>
          <w:szCs w:val="20"/>
          <w:vertAlign w:val="subscript"/>
          <w:lang w:eastAsia="bg-BG"/>
        </w:rPr>
        <w:t>2</w:t>
      </w:r>
      <w:r w:rsidRPr="00F778AB">
        <w:rPr>
          <w:rFonts w:eastAsia="Times New Roman" w:cs="Arial"/>
          <w:color w:val="000000"/>
          <w:szCs w:val="20"/>
          <w:lang w:eastAsia="bg-BG"/>
        </w:rPr>
        <w:t>-стимулантите.</w:t>
      </w:r>
    </w:p>
    <w:p w14:paraId="631C528C" w14:textId="77777777" w:rsidR="00F778AB" w:rsidRPr="00F778AB" w:rsidRDefault="00F778AB" w:rsidP="00F778AB">
      <w:pPr>
        <w:rPr>
          <w:rFonts w:cs="Arial"/>
          <w:sz w:val="24"/>
        </w:rPr>
      </w:pPr>
    </w:p>
    <w:p w14:paraId="619DED1E" w14:textId="2E30F04C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267F5D44" w14:textId="7F29C261" w:rsidR="00F778AB" w:rsidRDefault="00F778AB" w:rsidP="00F778AB"/>
    <w:p w14:paraId="0589E00B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Комбинации, които не се препоръчват:</w:t>
      </w:r>
    </w:p>
    <w:p w14:paraId="1564B1A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Калциеви антагонисти от групата на верапамил и в по-малка степен от групата на дилтиазем: Негативно влияние на контрактилността и атрио-вентрикуларната проводимост. Интравенозното приложение на верапамил при пациенти, лекувани с бета-блокери, може да доведе до тежка хипотензия и атриовентрикуларен блок.</w:t>
      </w:r>
    </w:p>
    <w:p w14:paraId="00130ACA" w14:textId="70FD0FD3" w:rsidR="00F778AB" w:rsidRDefault="00F778AB" w:rsidP="00F778AB">
      <w:pPr>
        <w:rPr>
          <w:rFonts w:eastAsia="Times New Roman" w:cs="Arial"/>
          <w:color w:val="000000"/>
          <w:szCs w:val="20"/>
          <w:lang w:val="en-US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 xml:space="preserve">Централно действащи антихипертензивни продукти (напр. клонидин, метилдопа, моксонидин, рилменидин): Едновременната употреба на антихипертензивни лекарства с централно действие може да доведе до по-нататъшно намаляване на централния симпатиков тонус (и може да причини намаляване на сърдечната честота и капацитет и до вазодилатация). Внезапното прекратяване на лечението може да увеличи риска от </w:t>
      </w:r>
      <w:r w:rsidRPr="00F778AB">
        <w:rPr>
          <w:rFonts w:eastAsia="Times New Roman" w:cs="Arial"/>
          <w:color w:val="000000"/>
          <w:szCs w:val="20"/>
          <w:lang w:val="en-US"/>
        </w:rPr>
        <w:t>’’rebound hypertension”.</w:t>
      </w:r>
    </w:p>
    <w:p w14:paraId="375503D8" w14:textId="5381486A" w:rsidR="00F778AB" w:rsidRDefault="00F778AB" w:rsidP="00F778AB">
      <w:pPr>
        <w:rPr>
          <w:rFonts w:eastAsia="Times New Roman" w:cs="Arial"/>
          <w:color w:val="000000"/>
          <w:szCs w:val="20"/>
          <w:lang w:val="en-US"/>
        </w:rPr>
      </w:pPr>
    </w:p>
    <w:p w14:paraId="141BE153" w14:textId="77777777" w:rsidR="00F778AB" w:rsidRPr="00F778AB" w:rsidRDefault="00F778AB" w:rsidP="00F778AB">
      <w:pPr>
        <w:rPr>
          <w:sz w:val="24"/>
        </w:rPr>
      </w:pPr>
      <w:r w:rsidRPr="00F778AB">
        <w:rPr>
          <w:b/>
          <w:bCs/>
          <w:szCs w:val="20"/>
        </w:rPr>
        <w:t>Комбинации, които трябва да се използват с внимание:</w:t>
      </w:r>
    </w:p>
    <w:p w14:paraId="0C9FD9E3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Клас I антиаритмични лекарства (напр. хинидин, дизопирамид, лидокаин, фенитоин, флекаинид, пропафенон): Ефектът върху времето на атрио-вентрикуларната проводимост може да се потенцира и да се повиши отрицателния инотропен ефект.</w:t>
      </w:r>
    </w:p>
    <w:p w14:paraId="6B769DCC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Калциеви антагонисти от дихидропиридинов тип (напр. нифедипин, фелодипин и амлодипин):</w:t>
      </w:r>
    </w:p>
    <w:p w14:paraId="40908E20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lastRenderedPageBreak/>
        <w:t>Едновременната употреба може да увеличи риска от хипотензия, както и не може да се изключи увеличаване на риска от допълнително влошаване на вентрикуларната функция, при пациенти със сърдечна недостатъчност.</w:t>
      </w:r>
    </w:p>
    <w:p w14:paraId="04A93493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Клас Ш антиаритмични лекарства (напр. амиодарон): Ефектът върху времето на атрио- вентрикуларната проводимост може да се потенцира.</w:t>
      </w:r>
    </w:p>
    <w:p w14:paraId="6A52A1CC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Бета-блокери за локално приложение (напр. капки за очи за лечение на глаукома) може да засилят системния ефект на бизопролол.</w:t>
      </w:r>
    </w:p>
    <w:p w14:paraId="7F160A5D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Парасимпатикомиметични лекарства: Едновременната употреба може да увеличи атрио- вентрикуларната проводимост, както и риска от брадикардия.</w:t>
      </w:r>
    </w:p>
    <w:p w14:paraId="0B988A46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Инсулин и перорални антидиабетни лекарства: Засилване на ефекта на намаляване на захарта в кръвта. Блокирането на бета-адренорецепторите може да маскира симптомите на хипогликемия.</w:t>
      </w:r>
    </w:p>
    <w:p w14:paraId="75FD55E6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Анестетици: Намаляване на рефлекторната тахикардия и повишаване на риска от хипотония (за допълнителна информация за обща анестезия вижте също точка 4.4).</w:t>
      </w:r>
    </w:p>
    <w:p w14:paraId="12D55AC8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Дигиталисови глюкозиди: Увеличаване на времето на атрио-вентрикуларната проводимост, с което се забавя сърдечния ритъм.</w:t>
      </w:r>
    </w:p>
    <w:p w14:paraId="1E0878CF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Нестероидни противовъзпалителни лекарствени продукти (НСПВЛП): Те може да намалят хипотензивния ефект на бизопролол.</w:t>
      </w:r>
    </w:p>
    <w:p w14:paraId="460F61FC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Бета-симпатикомиметици (напр. изопреналин, добутамин): Комбинацията с бизопролол може да намали ефекта и на двата продукта.</w:t>
      </w:r>
    </w:p>
    <w:p w14:paraId="572ED0A5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Симпатикомиметици, активиращи както бета-, така и алфа-рецепторите (напр. норадреналин, адреналин): Комбинацията с бизопролол може да не прикрие вазоконстрикцията, предизвикана от алфа-адренорецепторния ефект на тези лекарства, което води до повишаване на кръвното налягане и покачване на междинната циркулация. Приема се, че такова взаимодействие е характерно по-скоро за неселективните бета- блокери.</w:t>
      </w:r>
    </w:p>
    <w:p w14:paraId="3A072A73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Симпатикомиметици: Комбинацията с бизопролол може да намали ефектите и на двете лекарства. Може да са необходими по-високи дози на епинефрин при лечение на алергични реакции.</w:t>
      </w:r>
    </w:p>
    <w:p w14:paraId="3FF455D2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Едновременната употреба с антихипертензивни продукти, както и с други лекарства, които</w:t>
      </w:r>
    </w:p>
    <w:p w14:paraId="21C3E745" w14:textId="1B8D1D2D" w:rsidR="00F778AB" w:rsidRPr="00F778AB" w:rsidRDefault="00F778AB" w:rsidP="00F778AB">
      <w:pPr>
        <w:rPr>
          <w:rFonts w:eastAsia="Times New Roman" w:cs="Arial"/>
          <w:color w:val="000000"/>
          <w:sz w:val="24"/>
          <w:szCs w:val="20"/>
          <w:lang w:val="en-US"/>
        </w:rPr>
      </w:pPr>
      <w:r w:rsidRPr="00F778AB">
        <w:rPr>
          <w:szCs w:val="20"/>
        </w:rPr>
        <w:t>имат потенциал за намаляване на кръвното налягане (напр. трициклични антидепресанти, барбитурати, фенотиазини), може да увеличи риска от хипотония.</w:t>
      </w:r>
    </w:p>
    <w:p w14:paraId="25C5CDE1" w14:textId="3077EB1C" w:rsidR="00F778AB" w:rsidRDefault="00F778AB" w:rsidP="00F778AB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14:paraId="56786091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Комбинации, които трябва да се обмислят:</w:t>
      </w:r>
    </w:p>
    <w:p w14:paraId="631D7C4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Мефлокин: повишен риск от брадикардия.</w:t>
      </w:r>
    </w:p>
    <w:p w14:paraId="038357C2" w14:textId="43C74AA5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МАО-инхибитори (с изключение на МАО-В инхибитори): Увеличаване на хипотензивния ефект на бета-блокерите, но също риска за хипертензивна криза.</w:t>
      </w:r>
    </w:p>
    <w:p w14:paraId="4F878630" w14:textId="77777777" w:rsidR="00F778AB" w:rsidRPr="00F778AB" w:rsidRDefault="00F778AB" w:rsidP="00F778AB">
      <w:pPr>
        <w:rPr>
          <w:rFonts w:cs="Arial"/>
          <w:sz w:val="24"/>
        </w:rPr>
      </w:pPr>
    </w:p>
    <w:p w14:paraId="394A7584" w14:textId="491BE8B6" w:rsidR="004F498A" w:rsidRDefault="002C50EE" w:rsidP="004A448E">
      <w:pPr>
        <w:pStyle w:val="Heading2"/>
      </w:pPr>
      <w:r>
        <w:t>4.6. Фертилитет, бременност и кърмене</w:t>
      </w:r>
    </w:p>
    <w:p w14:paraId="4EBB5B5E" w14:textId="04AD0968" w:rsidR="00F778AB" w:rsidRDefault="00F778AB" w:rsidP="00F778AB"/>
    <w:p w14:paraId="4EF8E1ED" w14:textId="77777777" w:rsidR="00F778AB" w:rsidRPr="00F778AB" w:rsidRDefault="00F778AB" w:rsidP="00F778AB">
      <w:pPr>
        <w:pStyle w:val="Heading3"/>
        <w:rPr>
          <w:rFonts w:eastAsia="Times New Roman"/>
          <w:sz w:val="28"/>
          <w:u w:val="single"/>
          <w:lang w:eastAsia="bg-BG"/>
        </w:rPr>
      </w:pPr>
      <w:r w:rsidRPr="00F778AB">
        <w:rPr>
          <w:rFonts w:eastAsia="Times New Roman"/>
          <w:u w:val="single"/>
          <w:lang w:eastAsia="bg-BG"/>
        </w:rPr>
        <w:t>Бременност</w:t>
      </w:r>
    </w:p>
    <w:p w14:paraId="3D001C49" w14:textId="403A29A8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Бизопролол има фармакологични ефекти, които може да предизвикат увреждащи ефекти върху бременността и/или плода/новороденото. По принцип бета-адренорецепторните блокери намаляват плацентарната перфузия, която се свързва със забавяне на растежа, вътрематочна смърт или преждевременно раждане. Нежеланите лекарствени реакции (напр. хипогликемия и брадикардия) може да се проявят при плода и новороденото. Ако е</w:t>
      </w:r>
      <w:r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F778AB">
        <w:rPr>
          <w:rFonts w:eastAsia="Times New Roman" w:cs="Arial"/>
          <w:color w:val="000000"/>
          <w:szCs w:val="20"/>
          <w:lang w:eastAsia="bg-BG"/>
        </w:rPr>
        <w:lastRenderedPageBreak/>
        <w:t>необходимо лечение с бета- адренорецепторни блокери, за предпочитане са бета</w:t>
      </w:r>
      <w:r w:rsidRPr="00F778AB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F778AB">
        <w:rPr>
          <w:rFonts w:eastAsia="Times New Roman" w:cs="Arial"/>
          <w:color w:val="000000"/>
          <w:szCs w:val="20"/>
          <w:lang w:eastAsia="bg-BG"/>
        </w:rPr>
        <w:t>-селективните адренорецепторни блокери.</w:t>
      </w:r>
    </w:p>
    <w:p w14:paraId="408DD982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849F888" w14:textId="4590014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Бизопролол не се препоръчва да се използва по време на бременност, освен ако не е изрично показано. Ако лечението с бизопролол се счита за необходимо, препоръчва се да наблюдава маточно-плацентарното кръвоснабдяване и растежа на плода. В случай на увреждащи ефекти върху бременността или плода, препоръчва се да се обмисли алтернативно лечение. Новородените трябва да се наблюдават стриктно. По принцип симптоми на хипогликемия и брадикардия се очакват през първите три дни.</w:t>
      </w:r>
    </w:p>
    <w:p w14:paraId="125C9BB6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8D05558" w14:textId="1CDE2C77" w:rsidR="00F778AB" w:rsidRPr="00F778AB" w:rsidRDefault="00F778AB" w:rsidP="00F778AB">
      <w:pPr>
        <w:pStyle w:val="Heading3"/>
        <w:rPr>
          <w:rFonts w:eastAsia="Times New Roman"/>
          <w:sz w:val="28"/>
          <w:u w:val="single"/>
          <w:lang w:eastAsia="bg-BG"/>
        </w:rPr>
      </w:pPr>
      <w:r w:rsidRPr="00F778AB">
        <w:rPr>
          <w:rFonts w:eastAsia="Times New Roman"/>
          <w:u w:val="single"/>
          <w:lang w:eastAsia="bg-BG"/>
        </w:rPr>
        <w:t>Кърмене</w:t>
      </w:r>
    </w:p>
    <w:p w14:paraId="7D4E8F9A" w14:textId="05CE5DBA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Няма данни дали бизопролол се екскретира в кърмата при човек, или за безопасността на бизопролол при кърмачета. Поради това, не се препоръчва кърмене по време на лечение с бизопролол.</w:t>
      </w:r>
    </w:p>
    <w:p w14:paraId="58EE5C6B" w14:textId="77777777" w:rsidR="00F778AB" w:rsidRPr="00F778AB" w:rsidRDefault="00F778AB" w:rsidP="00F778AB"/>
    <w:p w14:paraId="064DF1DE" w14:textId="125CDB50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0F565845" w14:textId="7E84F820" w:rsidR="00F778AB" w:rsidRDefault="00F778AB" w:rsidP="00F778AB"/>
    <w:p w14:paraId="4E2FD225" w14:textId="16E7DE00" w:rsidR="00F778AB" w:rsidRPr="00F778AB" w:rsidRDefault="00F778AB" w:rsidP="00F778AB">
      <w:pPr>
        <w:rPr>
          <w:szCs w:val="20"/>
        </w:rPr>
      </w:pPr>
      <w:r w:rsidRPr="00F778AB">
        <w:rPr>
          <w:szCs w:val="20"/>
        </w:rPr>
        <w:t>При клинично проучване с пациенти с исхемична болест на сърцето бизопролол не влошава способността за шофиране. Въпреки това, поради индивидуалните различия в реакциите към лечението, способността за шофиране и работа с машини може да се наруши. Това трябва да се има предвид особено при започване на лечението или при промяна на лечението, или при употреба на алкохол.</w:t>
      </w:r>
    </w:p>
    <w:p w14:paraId="583C59C6" w14:textId="77777777" w:rsidR="00F778AB" w:rsidRPr="00F778AB" w:rsidRDefault="00F778AB" w:rsidP="00F778AB"/>
    <w:p w14:paraId="37A3FD9F" w14:textId="1E4CEE7A" w:rsidR="00CF77F7" w:rsidRDefault="002C50EE" w:rsidP="004A448E">
      <w:pPr>
        <w:pStyle w:val="Heading2"/>
      </w:pPr>
      <w:r>
        <w:t>4.8. Нежелани лекарствени реакции</w:t>
      </w:r>
    </w:p>
    <w:p w14:paraId="0865873B" w14:textId="3A018BCB" w:rsidR="00F778AB" w:rsidRDefault="00F778AB" w:rsidP="00F778AB"/>
    <w:p w14:paraId="220060D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Нежеланите лекарствени реакции са подредени съгласно следната класификация на честота: Много чести (≥1/10)</w:t>
      </w:r>
    </w:p>
    <w:p w14:paraId="0390080D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Чести (≥1/100 до &lt;1/10)</w:t>
      </w:r>
    </w:p>
    <w:p w14:paraId="47919C6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Нечести (≥1/1 000 до &lt;1/100)</w:t>
      </w:r>
    </w:p>
    <w:p w14:paraId="382B33A1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 (≥1/10 000 до &lt;1/1 000)</w:t>
      </w:r>
    </w:p>
    <w:p w14:paraId="6C687124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Много редки (&lt;1/10 000)</w:t>
      </w:r>
    </w:p>
    <w:p w14:paraId="7DC9611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С неизвестна честота (Честотата не може да бъде определена от наличните данни).</w:t>
      </w:r>
    </w:p>
    <w:p w14:paraId="218EE8FD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319FC398" w14:textId="664C8B75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Психиатрични нарушения:</w:t>
      </w:r>
    </w:p>
    <w:p w14:paraId="591F7642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Нечести: нарушения на съня, депресия.</w:t>
      </w:r>
    </w:p>
    <w:p w14:paraId="2708AC3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кошмари, халюцинации.</w:t>
      </w:r>
    </w:p>
    <w:p w14:paraId="7417A3D0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2" w:name="bookmark2"/>
    </w:p>
    <w:p w14:paraId="12C3F647" w14:textId="028CF174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нервната система:</w:t>
      </w:r>
      <w:bookmarkEnd w:id="2"/>
    </w:p>
    <w:p w14:paraId="02CBC70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Чести: замайване*, главоболие*.</w:t>
      </w:r>
      <w:r w:rsidRPr="00F778AB">
        <w:rPr>
          <w:rFonts w:eastAsia="Times New Roman" w:cs="Arial"/>
          <w:color w:val="000000"/>
          <w:szCs w:val="20"/>
          <w:lang w:eastAsia="bg-BG"/>
        </w:rPr>
        <w:tab/>
      </w:r>
    </w:p>
    <w:p w14:paraId="1B44D924" w14:textId="3A233419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синкоп.</w:t>
      </w:r>
      <w:r w:rsidRPr="00F778AB">
        <w:rPr>
          <w:rFonts w:eastAsia="Times New Roman" w:cs="Arial"/>
          <w:color w:val="000000"/>
          <w:szCs w:val="20"/>
          <w:lang w:eastAsia="bg-BG"/>
        </w:rPr>
        <w:tab/>
      </w:r>
      <w:bookmarkStart w:id="3" w:name="bookmark4"/>
      <w:bookmarkEnd w:id="3"/>
    </w:p>
    <w:p w14:paraId="73927FE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3B4B0502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окото:</w:t>
      </w:r>
    </w:p>
    <w:p w14:paraId="685CCEC6" w14:textId="012C3F7B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намалено сълзоотделяне (да се има предвид при пациенти, използващи контактни лещи.</w:t>
      </w:r>
    </w:p>
    <w:p w14:paraId="01CA977D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Много редки: конюнктивит.</w:t>
      </w:r>
    </w:p>
    <w:p w14:paraId="4E804D0E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54224FA8" w14:textId="5BC5CE18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ухото и лабиринта:</w:t>
      </w:r>
    </w:p>
    <w:p w14:paraId="4356B12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нарушения на слуха.</w:t>
      </w:r>
    </w:p>
    <w:p w14:paraId="7450E997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6FD817B0" w14:textId="2B18DFDD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Сърдечни нарушения:</w:t>
      </w:r>
    </w:p>
    <w:p w14:paraId="50119CF1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Не чести: нарушения в </w:t>
      </w:r>
      <w:r w:rsidRPr="00F778AB">
        <w:rPr>
          <w:rFonts w:eastAsia="Times New Roman" w:cs="Arial"/>
          <w:color w:val="000000"/>
          <w:szCs w:val="20"/>
          <w:lang w:val="en-US"/>
        </w:rPr>
        <w:t>AV</w:t>
      </w:r>
      <w:r w:rsidRPr="00F778AB">
        <w:rPr>
          <w:rFonts w:eastAsia="Times New Roman" w:cs="Arial"/>
          <w:color w:val="000000"/>
          <w:szCs w:val="20"/>
          <w:lang w:eastAsia="bg-BG"/>
        </w:rPr>
        <w:t>-проводимостта, влошаване на съществуваща сърдечна недостатъчност, брадикардия.</w:t>
      </w:r>
    </w:p>
    <w:p w14:paraId="23538E96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4EBEB9DE" w14:textId="5F1E2A8F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Съдови нарушения:</w:t>
      </w:r>
    </w:p>
    <w:p w14:paraId="05ED5E35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Чести: усещане за студ или изтръпване на крайниците, хипотония, особено при пациенти със сърдечна недостатъчност</w:t>
      </w:r>
    </w:p>
    <w:p w14:paraId="7E43C196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Нечести: ортостатична хипотония</w:t>
      </w:r>
    </w:p>
    <w:p w14:paraId="1076577B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4" w:name="bookmark6"/>
    </w:p>
    <w:p w14:paraId="08668963" w14:textId="5791D3C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Респираторни, гръдни и меднастинални нарушения:</w:t>
      </w:r>
      <w:bookmarkEnd w:id="4"/>
    </w:p>
    <w:p w14:paraId="60B15209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Нечести: бронхоспазъм при пациенти с бронхиална астма или анамнеза за обструктивно заболяване на дихателните пътища.</w:t>
      </w:r>
    </w:p>
    <w:p w14:paraId="0DA51085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алергичен ринит.</w:t>
      </w:r>
    </w:p>
    <w:p w14:paraId="4A6DEA3A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5" w:name="bookmark8"/>
    </w:p>
    <w:p w14:paraId="10776B5A" w14:textId="2706C986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Стомашно-чревни нарушения:</w:t>
      </w:r>
      <w:bookmarkEnd w:id="5"/>
    </w:p>
    <w:p w14:paraId="505E158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Чести: стомашно-чревни оплаквания, като гадене, повръщане, диария, запек.</w:t>
      </w:r>
    </w:p>
    <w:p w14:paraId="5211A6DB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6" w:name="bookmark10"/>
    </w:p>
    <w:p w14:paraId="446D31AA" w14:textId="75BF9706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Хепато-билиарни нарушения:</w:t>
      </w:r>
      <w:bookmarkEnd w:id="6"/>
    </w:p>
    <w:p w14:paraId="2C171B21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хепатит.</w:t>
      </w:r>
    </w:p>
    <w:p w14:paraId="164D2F66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7" w:name="bookmark12"/>
    </w:p>
    <w:p w14:paraId="0D7888B3" w14:textId="0A3B0C22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кожата и подкожната тъкан:</w:t>
      </w:r>
      <w:bookmarkEnd w:id="7"/>
    </w:p>
    <w:p w14:paraId="6420E7FC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реакции на свръхчувствителност, като сърбеж, зачервяване, обрив и ангиоедем.</w:t>
      </w:r>
    </w:p>
    <w:p w14:paraId="5D7087C9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Много редки: бета-блокерите може да провокират или да влошат псориазис или да индуцират псориазис-подобен обрив, алопеция.</w:t>
      </w:r>
    </w:p>
    <w:p w14:paraId="2BC41D49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8" w:name="bookmark14"/>
    </w:p>
    <w:p w14:paraId="411610AC" w14:textId="2A2014A1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мускуло-скелетната и съединителна тъкан:</w:t>
      </w:r>
      <w:bookmarkEnd w:id="8"/>
    </w:p>
    <w:p w14:paraId="068A6A7C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Нечести: мускулна слабост, мускулни спазми.</w:t>
      </w:r>
    </w:p>
    <w:p w14:paraId="424D170B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9" w:name="bookmark16"/>
    </w:p>
    <w:p w14:paraId="0723BBEA" w14:textId="1DA44739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репродуктивната система и гърдата:</w:t>
      </w:r>
      <w:bookmarkEnd w:id="9"/>
    </w:p>
    <w:p w14:paraId="198BF31B" w14:textId="3FA2ED81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нарушения на потентността.</w:t>
      </w:r>
    </w:p>
    <w:p w14:paraId="687E4F45" w14:textId="50B3E900" w:rsidR="005C516B" w:rsidRDefault="005C516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47537B97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b/>
          <w:bCs/>
          <w:color w:val="000000"/>
          <w:lang w:eastAsia="bg-BG"/>
        </w:rPr>
        <w:t>Общи нарушения и нарушения на мястото на приложение:</w:t>
      </w:r>
    </w:p>
    <w:p w14:paraId="68B935E8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Чести: умора*.</w:t>
      </w:r>
    </w:p>
    <w:p w14:paraId="2455EE42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Нечести: астения.</w:t>
      </w:r>
    </w:p>
    <w:p w14:paraId="48629215" w14:textId="77777777" w:rsidR="005C516B" w:rsidRPr="005C516B" w:rsidRDefault="005C516B" w:rsidP="005C516B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FA21FD0" w14:textId="15B47E6B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b/>
          <w:bCs/>
          <w:color w:val="000000"/>
          <w:lang w:eastAsia="bg-BG"/>
        </w:rPr>
        <w:t>Лабораторни изследвания:</w:t>
      </w:r>
    </w:p>
    <w:p w14:paraId="59AB2D20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Редки: повишени стойности на триглицериди и на чернодробните ензими (АЛАТ, АСАТ)</w:t>
      </w:r>
    </w:p>
    <w:p w14:paraId="589276CA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EF182B" w14:textId="088B06D9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* Тези симптоми се проявяват особено в началото на лечението. По-принцип те са леки и често отзвучават за 1 до 2 седмици.</w:t>
      </w:r>
    </w:p>
    <w:p w14:paraId="1AC333DA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D7EE08B" w14:textId="05E419EC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77913CE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</w:t>
      </w:r>
    </w:p>
    <w:p w14:paraId="20FE8429" w14:textId="3AF9A179" w:rsidR="005C516B" w:rsidRPr="005C516B" w:rsidRDefault="005C516B" w:rsidP="005C516B">
      <w:pPr>
        <w:rPr>
          <w:rFonts w:eastAsia="Times New Roman" w:cs="Arial"/>
          <w:color w:val="000000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 xml:space="preserve">нежелана реакция чрез: Изпълнителна агенция по лекарствата, ул. „Дамян Груев“ </w:t>
      </w:r>
      <w:r w:rsidRPr="005C516B">
        <w:rPr>
          <w:rFonts w:eastAsia="Times New Roman" w:cs="Arial"/>
          <w:color w:val="000000"/>
          <w:lang w:val="en-US"/>
        </w:rPr>
        <w:t xml:space="preserve"> </w:t>
      </w:r>
      <w:r w:rsidRPr="005C516B">
        <w:rPr>
          <w:rFonts w:eastAsia="Times New Roman" w:cs="Arial"/>
          <w:color w:val="000000"/>
          <w:lang w:eastAsia="bg-BG"/>
        </w:rPr>
        <w:t xml:space="preserve">№8, 1303 София, Тел.: +359 2 8903417, уебсайт: </w:t>
      </w:r>
      <w:r w:rsidRPr="005C516B">
        <w:rPr>
          <w:rFonts w:eastAsia="Times New Roman" w:cs="Arial"/>
          <w:lang w:eastAsia="bg-BG"/>
        </w:rPr>
        <w:fldChar w:fldCharType="begin"/>
      </w:r>
      <w:r w:rsidRPr="005C516B">
        <w:rPr>
          <w:rFonts w:eastAsia="Times New Roman" w:cs="Arial"/>
          <w:lang w:eastAsia="bg-BG"/>
        </w:rPr>
        <w:instrText xml:space="preserve"> HYPERLINK "http://www.bda.bg" </w:instrText>
      </w:r>
      <w:r w:rsidRPr="005C516B">
        <w:rPr>
          <w:rFonts w:eastAsia="Times New Roman" w:cs="Arial"/>
          <w:lang w:eastAsia="bg-BG"/>
        </w:rPr>
      </w:r>
      <w:r w:rsidRPr="005C516B">
        <w:rPr>
          <w:rFonts w:eastAsia="Times New Roman" w:cs="Arial"/>
          <w:lang w:eastAsia="bg-BG"/>
        </w:rPr>
        <w:fldChar w:fldCharType="separate"/>
      </w:r>
      <w:r w:rsidRPr="005C516B">
        <w:rPr>
          <w:rFonts w:eastAsia="Times New Roman" w:cs="Arial"/>
          <w:color w:val="000000"/>
          <w:u w:val="single"/>
          <w:lang w:val="en-US"/>
        </w:rPr>
        <w:t>www.bda.bg</w:t>
      </w:r>
      <w:r w:rsidRPr="005C516B">
        <w:rPr>
          <w:rFonts w:eastAsia="Times New Roman" w:cs="Arial"/>
          <w:lang w:eastAsia="bg-BG"/>
        </w:rPr>
        <w:fldChar w:fldCharType="end"/>
      </w:r>
      <w:r w:rsidRPr="005C516B">
        <w:rPr>
          <w:rFonts w:eastAsia="Times New Roman" w:cs="Arial"/>
          <w:color w:val="000000"/>
          <w:lang w:val="en-US"/>
        </w:rPr>
        <w:t>.</w:t>
      </w:r>
    </w:p>
    <w:p w14:paraId="1AE13AEB" w14:textId="77777777" w:rsidR="00F778AB" w:rsidRPr="00F778AB" w:rsidRDefault="00F778AB" w:rsidP="00F778AB">
      <w:pPr>
        <w:rPr>
          <w:rFonts w:cs="Arial"/>
          <w:sz w:val="24"/>
        </w:rPr>
      </w:pPr>
    </w:p>
    <w:p w14:paraId="0A023CE0" w14:textId="6F2D6B91" w:rsidR="00CF77F7" w:rsidRDefault="002C50EE" w:rsidP="004A448E">
      <w:pPr>
        <w:pStyle w:val="Heading2"/>
      </w:pPr>
      <w:r>
        <w:lastRenderedPageBreak/>
        <w:t>4.9. Предозиране</w:t>
      </w:r>
    </w:p>
    <w:p w14:paraId="3C84801A" w14:textId="42334AF9" w:rsidR="005C516B" w:rsidRDefault="005C516B" w:rsidP="005C516B"/>
    <w:p w14:paraId="162C819F" w14:textId="77777777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Симптоми</w:t>
      </w:r>
    </w:p>
    <w:p w14:paraId="44757E03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Най-честите признаци, очаквани при предозиране с бета-блокери са брадикардия, хипотония, бронхоспазъм, остра сърдечна недостатъчност и хипогликемия. Има ограничен опит при предозиране на бизопролол, само няколко случая са съобщени на предозиране с бизопролол (максимално 2000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mg). </w:t>
      </w:r>
      <w:r w:rsidRPr="005C516B">
        <w:rPr>
          <w:rFonts w:eastAsia="Times New Roman" w:cs="Arial"/>
          <w:color w:val="000000"/>
          <w:szCs w:val="20"/>
          <w:lang w:eastAsia="bg-BG"/>
        </w:rPr>
        <w:t>Отбелязани са брадикардия и/или хипотония. Всички пациенти са се възстановили. Има широка интериндивидуална вариабилност в чувствителността към еднократна висока доза бизопролол, като пациентите със сърдечна недостатъчност вероятно са много чувствителни.</w:t>
      </w:r>
    </w:p>
    <w:p w14:paraId="20B5CD34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A701D57" w14:textId="7D0AC1B2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Лечение</w:t>
      </w:r>
    </w:p>
    <w:p w14:paraId="6A229427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По принцип, ако настъпи предозиране, лечението с бизопролол трябва да се прекрати и се препоръчва да се назначи подпомагащо и симптоматично лечение.</w:t>
      </w:r>
    </w:p>
    <w:p w14:paraId="5879CA3F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B9A9E8B" w14:textId="798E0599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Въз основа на очакваните фармакологични действия и препоръките за други бета-блокери, </w:t>
      </w:r>
      <w:r w:rsidRPr="005C516B">
        <w:rPr>
          <w:rFonts w:eastAsia="Times New Roman" w:cs="Arial"/>
          <w:i/>
          <w:iCs/>
          <w:color w:val="000000"/>
          <w:szCs w:val="20"/>
          <w:lang w:eastAsia="bg-BG"/>
        </w:rPr>
        <w:t>когато е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 клинично основано, следните общи мерки трябва да се имат предвид:</w:t>
      </w:r>
    </w:p>
    <w:p w14:paraId="5C5206F6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5C11670" w14:textId="5350C2E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Брадикардия: Интравенозно приложение на атропин. Ако резултатът е незадоволителен, може внимателно да се приложи изопреналин или друг продукт с положително хронотропно действие. При същите обстоятелства трансвенозен пейсмейкър може временно да е необходим.</w:t>
      </w:r>
    </w:p>
    <w:p w14:paraId="633CA740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B86754B" w14:textId="51E1EC8C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Хипотония: Трябва да се приложат интравенозно разтвори и вазопресори. От полза може да е интравенозното приложение на глюкагон.</w:t>
      </w:r>
    </w:p>
    <w:p w14:paraId="148DD182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val="en-US"/>
        </w:rPr>
      </w:pPr>
    </w:p>
    <w:p w14:paraId="504E9756" w14:textId="28E92DC6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val="en-US"/>
        </w:rPr>
        <w:t xml:space="preserve">AV </w:t>
      </w:r>
      <w:r w:rsidRPr="005C516B">
        <w:rPr>
          <w:rFonts w:eastAsia="Times New Roman" w:cs="Arial"/>
          <w:color w:val="000000"/>
          <w:szCs w:val="20"/>
          <w:lang w:eastAsia="bg-BG"/>
        </w:rPr>
        <w:t>блок (втора и трета степен): Пациентите трябва внимателно да се наблюдават и лекуват с изопреналин или интравенозно поставяне на сърдечен пейсмейкър.</w:t>
      </w:r>
    </w:p>
    <w:p w14:paraId="05FBAFE8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21096F4" w14:textId="1FAB3422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Остро влошаване на сърдечна недостатъчност: Интравенозно приложение на диуретици, инотропни продукти, вазодилататори.</w:t>
      </w:r>
    </w:p>
    <w:p w14:paraId="1AB38838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17C113F" w14:textId="2398098F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Бронхоспазъм: Приложение на бронходилатиращо лечение, като изопреналин, бета</w:t>
      </w:r>
      <w:r w:rsidRPr="005C516B">
        <w:rPr>
          <w:rFonts w:eastAsia="Times New Roman" w:cs="Arial"/>
          <w:color w:val="000000"/>
          <w:szCs w:val="20"/>
          <w:vertAlign w:val="subscript"/>
          <w:lang w:eastAsia="bg-BG"/>
        </w:rPr>
        <w:t>2</w:t>
      </w:r>
      <w:r w:rsidRPr="005C516B">
        <w:rPr>
          <w:rFonts w:eastAsia="Times New Roman" w:cs="Arial"/>
          <w:color w:val="000000"/>
          <w:szCs w:val="20"/>
          <w:lang w:eastAsia="bg-BG"/>
        </w:rPr>
        <w:t>- симпатикомиметични продукти и/или аминофилин.</w:t>
      </w:r>
    </w:p>
    <w:p w14:paraId="11ADFE26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FAE4215" w14:textId="747D9AF1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Хипогликемия: Интравенозно приложение на глюкоза.</w:t>
      </w:r>
    </w:p>
    <w:p w14:paraId="047C341B" w14:textId="77777777" w:rsidR="005C516B" w:rsidRPr="005C516B" w:rsidRDefault="005C516B" w:rsidP="005C516B">
      <w:pPr>
        <w:rPr>
          <w:rFonts w:eastAsia="Times New Roman" w:cs="Arial"/>
          <w:color w:val="000000"/>
          <w:szCs w:val="20"/>
          <w:lang w:eastAsia="bg-BG"/>
        </w:rPr>
      </w:pPr>
    </w:p>
    <w:p w14:paraId="44D01104" w14:textId="5AFBAF2D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Ограничени данни предполагат, че бизопролол трудно се отстранява чрез диализа.</w:t>
      </w:r>
    </w:p>
    <w:p w14:paraId="02081B24" w14:textId="4F60DBAB" w:rsidR="00395555" w:rsidRDefault="002C50EE" w:rsidP="008A6AF2">
      <w:pPr>
        <w:pStyle w:val="Heading1"/>
      </w:pPr>
      <w:r>
        <w:t>5. ФАРМАКОЛОГИЧНИ СВОЙСТВА</w:t>
      </w:r>
    </w:p>
    <w:p w14:paraId="51D7FDDF" w14:textId="77777777" w:rsidR="005C516B" w:rsidRPr="005C516B" w:rsidRDefault="005C516B" w:rsidP="005C516B"/>
    <w:p w14:paraId="32B6DE66" w14:textId="66332A2D" w:rsidR="00CF77F7" w:rsidRDefault="002C50EE" w:rsidP="004A448E">
      <w:pPr>
        <w:pStyle w:val="Heading2"/>
      </w:pPr>
      <w:r>
        <w:t>5.1. Фармакодинамични свойства</w:t>
      </w:r>
    </w:p>
    <w:p w14:paraId="53E5FC34" w14:textId="39093A65" w:rsidR="005C516B" w:rsidRDefault="005C516B" w:rsidP="005C516B"/>
    <w:p w14:paraId="15A1C658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Фармакотерапевтична група: селективен бета-блокер, АТС код: С07 АВ07.</w:t>
      </w:r>
    </w:p>
    <w:p w14:paraId="49CE8D47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A42D710" w14:textId="5D70C1FA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71416A62" w14:textId="03D42119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Бизопролол е мощен, бета</w:t>
      </w:r>
      <w:r w:rsidRPr="005C516B">
        <w:rPr>
          <w:rFonts w:eastAsia="Times New Roman" w:cs="Arial"/>
          <w:color w:val="000000"/>
          <w:vertAlign w:val="subscript"/>
          <w:lang w:eastAsia="bg-BG"/>
        </w:rPr>
        <w:t>1</w:t>
      </w:r>
      <w:r w:rsidRPr="005C516B">
        <w:rPr>
          <w:rFonts w:eastAsia="Times New Roman" w:cs="Arial"/>
          <w:color w:val="000000"/>
          <w:lang w:eastAsia="bg-BG"/>
        </w:rPr>
        <w:t>-селективен адренорецепторен блокиращ агент, лишен от вътрешна стимулираща симпатикомиметична активност и без съответна стабилизираща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5C516B">
        <w:rPr>
          <w:rFonts w:eastAsia="Times New Roman" w:cs="Arial"/>
          <w:color w:val="000000"/>
          <w:lang w:eastAsia="bg-BG"/>
        </w:rPr>
        <w:lastRenderedPageBreak/>
        <w:t>мембранна активност. Той притежава много слаб афинитет към бета</w:t>
      </w:r>
      <w:r w:rsidRPr="005C516B">
        <w:rPr>
          <w:rFonts w:eastAsia="Times New Roman" w:cs="Arial"/>
          <w:color w:val="000000"/>
          <w:vertAlign w:val="subscript"/>
          <w:lang w:eastAsia="bg-BG"/>
        </w:rPr>
        <w:t>2</w:t>
      </w:r>
      <w:r w:rsidRPr="005C516B">
        <w:rPr>
          <w:rFonts w:eastAsia="Times New Roman" w:cs="Arial"/>
          <w:color w:val="000000"/>
          <w:lang w:eastAsia="bg-BG"/>
        </w:rPr>
        <w:t>-рецепторите в гладката мускулатура на бронхите и съдовете, както и към бета</w:t>
      </w:r>
      <w:r w:rsidRPr="005C516B">
        <w:rPr>
          <w:rFonts w:eastAsia="Times New Roman" w:cs="Arial"/>
          <w:color w:val="000000"/>
          <w:vertAlign w:val="subscript"/>
          <w:lang w:eastAsia="bg-BG"/>
        </w:rPr>
        <w:t>2</w:t>
      </w:r>
      <w:r w:rsidRPr="005C516B">
        <w:rPr>
          <w:rFonts w:eastAsia="Times New Roman" w:cs="Arial"/>
          <w:color w:val="000000"/>
          <w:lang w:eastAsia="bg-BG"/>
        </w:rPr>
        <w:t xml:space="preserve">-рецепторите, свързани с метаболитната регулация. Затова, по принцип не се очаква бизопролол да влияе на дихателната резистентност </w:t>
      </w:r>
      <w:r w:rsidRPr="005C516B">
        <w:rPr>
          <w:rFonts w:eastAsia="Times New Roman" w:cs="Arial"/>
          <w:i/>
          <w:iCs/>
          <w:color w:val="000000"/>
          <w:lang w:eastAsia="bg-BG"/>
        </w:rPr>
        <w:t xml:space="preserve">и бета медиираните </w:t>
      </w:r>
      <w:r w:rsidRPr="005C516B">
        <w:rPr>
          <w:rFonts w:eastAsia="Times New Roman" w:cs="Arial"/>
          <w:color w:val="000000"/>
          <w:lang w:eastAsia="bg-BG"/>
        </w:rPr>
        <w:t>метаболитни ефекти. Бета</w:t>
      </w:r>
      <w:r w:rsidRPr="005C516B">
        <w:rPr>
          <w:rFonts w:eastAsia="Times New Roman" w:cs="Arial"/>
          <w:color w:val="000000"/>
          <w:vertAlign w:val="subscript"/>
          <w:lang w:eastAsia="bg-BG"/>
        </w:rPr>
        <w:t>1</w:t>
      </w:r>
      <w:r w:rsidRPr="005C516B">
        <w:rPr>
          <w:rFonts w:eastAsia="Times New Roman" w:cs="Arial"/>
          <w:color w:val="000000"/>
          <w:lang w:eastAsia="bg-BG"/>
        </w:rPr>
        <w:t>-селективността на бизопролол е извън терапевтичните дозови граници.</w:t>
      </w:r>
    </w:p>
    <w:p w14:paraId="1607F96E" w14:textId="77777777" w:rsidR="005C516B" w:rsidRPr="005C516B" w:rsidRDefault="005C516B" w:rsidP="005C516B">
      <w:pPr>
        <w:rPr>
          <w:rFonts w:eastAsia="Times New Roman" w:cs="Arial"/>
          <w:color w:val="000000"/>
          <w:lang w:eastAsia="bg-BG"/>
        </w:rPr>
      </w:pPr>
    </w:p>
    <w:p w14:paraId="321216EC" w14:textId="4AF89D78" w:rsidR="005C516B" w:rsidRPr="005C516B" w:rsidRDefault="005C516B" w:rsidP="005C516B">
      <w:pPr>
        <w:rPr>
          <w:rFonts w:eastAsia="Times New Roman" w:cs="Arial"/>
          <w:color w:val="000000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Антиангигозен механизъм: Чрез блокадата на бета-рецепторите в сърцето, бизопролол потиска  отговора, към симпатиковата активност. Това предизвиква намаляване на сърдечната честота и контрактилитет и по този начин намалява миокардната консумация на кислород.</w:t>
      </w:r>
    </w:p>
    <w:p w14:paraId="3EBDDA63" w14:textId="7C066D3B" w:rsidR="005C516B" w:rsidRDefault="005C516B" w:rsidP="005C516B"/>
    <w:p w14:paraId="66501263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u w:val="single"/>
          <w:lang w:eastAsia="bg-BG"/>
        </w:rPr>
        <w:t>Фармакодинамични ефекти</w:t>
      </w:r>
    </w:p>
    <w:p w14:paraId="28DE5DEC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Бизопролол се използва за лечение на хипертония и исхемична болест на сърцето. Както и при другите бета</w:t>
      </w:r>
      <w:r w:rsidRPr="005C516B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5C516B">
        <w:rPr>
          <w:rFonts w:eastAsia="Times New Roman" w:cs="Arial"/>
          <w:color w:val="000000"/>
          <w:szCs w:val="20"/>
          <w:lang w:eastAsia="bg-BG"/>
        </w:rPr>
        <w:t>-блокиращи агенти методът на действие при хипертония не е ясен. Известно е обаче, че бизопролол намалява значително активността на ренина в плазмата.</w:t>
      </w:r>
    </w:p>
    <w:p w14:paraId="529BC19A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5C5E72B" w14:textId="42264E6F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Бизопролол също се използва за лечение на сърдечна недостатъчност.</w:t>
      </w:r>
    </w:p>
    <w:p w14:paraId="1D9976A2" w14:textId="3C5F2383" w:rsidR="005C516B" w:rsidRPr="005C516B" w:rsidRDefault="005C516B" w:rsidP="005C516B">
      <w:pPr>
        <w:rPr>
          <w:rFonts w:eastAsia="Times New Roman" w:cs="Arial"/>
          <w:color w:val="000000"/>
          <w:szCs w:val="20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След интензивното приложение при пациенти с исхемична болест на сърцето без хронична сърдечна недостатъчност бизопролол намалява сърдечната честота и ударния обем и по този начин понижава сърдечния дебит и кислородното потребление. При хронично приложение, първоначално повишената периферна резистентност намалява.</w:t>
      </w:r>
    </w:p>
    <w:p w14:paraId="28E22804" w14:textId="77777777" w:rsidR="005C516B" w:rsidRPr="005C516B" w:rsidRDefault="005C516B" w:rsidP="005C516B"/>
    <w:p w14:paraId="35F84B81" w14:textId="48389B90" w:rsidR="00CF77F7" w:rsidRDefault="002C50EE" w:rsidP="004A448E">
      <w:pPr>
        <w:pStyle w:val="Heading2"/>
      </w:pPr>
      <w:r>
        <w:t>5.2. Фармакокинетични свойства</w:t>
      </w:r>
    </w:p>
    <w:p w14:paraId="3EB4CC36" w14:textId="390B18D9" w:rsidR="005C516B" w:rsidRDefault="005C516B" w:rsidP="005C516B"/>
    <w:p w14:paraId="2F103659" w14:textId="77777777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Резорбция</w:t>
      </w:r>
    </w:p>
    <w:p w14:paraId="1C01C209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Бизопролол се резорбира почти напълно от стомашно-чревния тракт.</w:t>
      </w:r>
    </w:p>
    <w:p w14:paraId="0A7D949C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Заедно с много малкият ефект на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’’first pass” </w:t>
      </w:r>
      <w:r w:rsidRPr="005C516B">
        <w:rPr>
          <w:rFonts w:eastAsia="Times New Roman" w:cs="Arial"/>
          <w:color w:val="000000"/>
          <w:szCs w:val="20"/>
          <w:lang w:eastAsia="bg-BG"/>
        </w:rPr>
        <w:t>има висока бионаличност, приблизително 90%.</w:t>
      </w:r>
    </w:p>
    <w:p w14:paraId="0E16D3E5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EBAE723" w14:textId="601E8666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Разпределение</w:t>
      </w:r>
    </w:p>
    <w:p w14:paraId="3341E19D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Свързването с плазмените протеини на бизопролол е около 30%. Обемът на разпределение е 3,5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l/kg. 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Общият клирънс е приблизително 15 </w:t>
      </w:r>
      <w:r w:rsidRPr="005C516B">
        <w:rPr>
          <w:rFonts w:eastAsia="Times New Roman" w:cs="Arial"/>
          <w:color w:val="000000"/>
          <w:szCs w:val="20"/>
          <w:lang w:val="en-US"/>
        </w:rPr>
        <w:t>l/h.</w:t>
      </w:r>
    </w:p>
    <w:p w14:paraId="01790AD9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Плазменият елиминационен полуживот (от 10-12 часа) позволява ефективност в продължение на 24 часа, след еднократна дневна дозировка.</w:t>
      </w:r>
    </w:p>
    <w:p w14:paraId="4CD32D4D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BA1CCE6" w14:textId="1CCBADB1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Биотрансформация</w:t>
      </w:r>
    </w:p>
    <w:p w14:paraId="293E5186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Петдесет процента се метаболизира в черния дроб, с отделяне на метаболитите чрез бъбреците.</w:t>
      </w:r>
    </w:p>
    <w:p w14:paraId="5F42A36A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6CA48F9" w14:textId="5C7DC02F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Елиминиране</w:t>
      </w:r>
    </w:p>
    <w:p w14:paraId="295E5F00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Бизопролол се елиминира от организма чрез два пътя, 50% се метаболизира в черния дроб до неактивни метаболити, които след това се отделят чрез бъбреците. Останалите 50 % се отделят чрез урината в непроменена форма. Тъй като в отделянето бъбреците и черния дроб участват в еднаква степен, не се налага корекция на дозировката при пациенти с увредена функция на черния дроб или бъбречна недостатъчност.</w:t>
      </w:r>
    </w:p>
    <w:p w14:paraId="53FE84C9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46F3966" w14:textId="1A83F945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bookmarkStart w:id="10" w:name="_GoBack"/>
      <w:r w:rsidRPr="005C516B">
        <w:rPr>
          <w:rFonts w:eastAsia="Times New Roman"/>
          <w:u w:val="single"/>
          <w:lang w:eastAsia="bg-BG"/>
        </w:rPr>
        <w:lastRenderedPageBreak/>
        <w:t>Други специални популации</w:t>
      </w:r>
    </w:p>
    <w:bookmarkEnd w:id="10"/>
    <w:p w14:paraId="79C4FF84" w14:textId="58393F82" w:rsidR="005C516B" w:rsidRDefault="005C516B" w:rsidP="005C516B">
      <w:pPr>
        <w:rPr>
          <w:rFonts w:eastAsia="Times New Roman" w:cs="Arial"/>
          <w:color w:val="000000"/>
          <w:szCs w:val="20"/>
          <w:lang w:val="en-US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При пациенти с хронична сърдечна недостатъчност (III-та степен по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NYHA), 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концентрациите на бизопролол в плазмата са по-високи, а полуживотът е удължен, сравнено със здрави доброволци. Максималната равновесна концентрация в плазмата е 64±21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ng/ml, 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при дневна доза от 10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mg, 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а полуживотът е 17±5 </w:t>
      </w:r>
      <w:r w:rsidRPr="005C516B">
        <w:rPr>
          <w:rFonts w:eastAsia="Times New Roman" w:cs="Arial"/>
          <w:color w:val="000000"/>
          <w:szCs w:val="20"/>
          <w:lang w:val="en-US"/>
        </w:rPr>
        <w:t>h.</w:t>
      </w:r>
    </w:p>
    <w:p w14:paraId="27464003" w14:textId="77777777" w:rsidR="005C516B" w:rsidRPr="005C516B" w:rsidRDefault="005C516B" w:rsidP="005C516B">
      <w:pPr>
        <w:rPr>
          <w:rFonts w:cs="Arial"/>
          <w:sz w:val="24"/>
        </w:rPr>
      </w:pPr>
    </w:p>
    <w:p w14:paraId="648E39DA" w14:textId="4D126823" w:rsidR="00CF77F7" w:rsidRDefault="002C50EE" w:rsidP="004A448E">
      <w:pPr>
        <w:pStyle w:val="Heading2"/>
      </w:pPr>
      <w:r>
        <w:t>5.3. Предклинични данни за безопасност</w:t>
      </w:r>
    </w:p>
    <w:p w14:paraId="5631F7A1" w14:textId="55F5D16D" w:rsidR="005C516B" w:rsidRDefault="005C516B" w:rsidP="005C516B"/>
    <w:p w14:paraId="2F632F8B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Предклиничните данни не показват особена опасност за хора, на основа на конвенционалните изследвания за фармакологична безопасност, хронична токсичност, генотоксичност или карциногенност, възможна токсичност върху репродукцията и развитието.</w:t>
      </w:r>
    </w:p>
    <w:p w14:paraId="527018B1" w14:textId="0B23B2A7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Както и другите бета-блокери, бизопролол причинява токсичност както на майчиния организъм (намаляване на консумацията на храна и понижаване на телесното тегло) така и на ембриона/плода (повишаване на резорбциите, намаляване на теглото на потомството, повлияване на физическото развитие) при високи дози, но не е тератоген.</w:t>
      </w:r>
    </w:p>
    <w:p w14:paraId="6A7820AB" w14:textId="2DE329B9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7EC46576" w14:textId="4F75561A" w:rsidR="005C516B" w:rsidRDefault="005C516B" w:rsidP="005C516B"/>
    <w:p w14:paraId="75786573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5C516B">
        <w:rPr>
          <w:rFonts w:eastAsia="Times New Roman" w:cs="Arial"/>
          <w:color w:val="000000"/>
          <w:szCs w:val="20"/>
          <w:lang w:val="en-US"/>
        </w:rPr>
        <w:t>Mylan Ireland Limited,</w:t>
      </w:r>
    </w:p>
    <w:p w14:paraId="26D8F4C6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5C516B">
        <w:rPr>
          <w:rFonts w:eastAsia="Times New Roman" w:cs="Arial"/>
          <w:color w:val="000000"/>
          <w:szCs w:val="20"/>
          <w:lang w:val="en-US"/>
        </w:rPr>
        <w:t xml:space="preserve">Unit 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35/36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Grange Parade, </w:t>
      </w:r>
      <w:proofErr w:type="spellStart"/>
      <w:r w:rsidRPr="005C516B">
        <w:rPr>
          <w:rFonts w:eastAsia="Times New Roman" w:cs="Arial"/>
          <w:color w:val="000000"/>
          <w:szCs w:val="20"/>
          <w:lang w:val="en-US"/>
        </w:rPr>
        <w:t>Baldoyle</w:t>
      </w:r>
      <w:proofErr w:type="spellEnd"/>
      <w:r w:rsidRPr="005C516B">
        <w:rPr>
          <w:rFonts w:eastAsia="Times New Roman" w:cs="Arial"/>
          <w:color w:val="000000"/>
          <w:szCs w:val="20"/>
          <w:lang w:val="en-US"/>
        </w:rPr>
        <w:t xml:space="preserve"> Industrial state,</w:t>
      </w:r>
    </w:p>
    <w:p w14:paraId="6375158F" w14:textId="6C331D7A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eastAsia="Times New Roman" w:cs="Arial"/>
          <w:color w:val="000000"/>
          <w:szCs w:val="20"/>
          <w:lang w:val="en-US"/>
        </w:rPr>
        <w:t xml:space="preserve">Dublin 13, </w:t>
      </w:r>
      <w:r w:rsidRPr="005C516B">
        <w:rPr>
          <w:rFonts w:eastAsia="Times New Roman" w:cs="Arial"/>
          <w:color w:val="000000"/>
          <w:szCs w:val="20"/>
          <w:lang w:eastAsia="bg-BG"/>
        </w:rPr>
        <w:t>Ирландия</w:t>
      </w:r>
    </w:p>
    <w:p w14:paraId="7BA1BA64" w14:textId="7FFED172" w:rsidR="00CF77F7" w:rsidRDefault="002C50EE" w:rsidP="004A448E">
      <w:pPr>
        <w:pStyle w:val="Heading1"/>
      </w:pPr>
      <w:r>
        <w:t>8. НОМЕР НА РАЗРЕШЕНИЕТО ЗА УПОТРЕБА</w:t>
      </w:r>
    </w:p>
    <w:p w14:paraId="6DB5F3A1" w14:textId="78505302" w:rsidR="005C516B" w:rsidRDefault="005C516B" w:rsidP="005C516B"/>
    <w:p w14:paraId="43DA18A9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Бизопролол Майлан 5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5C516B">
        <w:rPr>
          <w:rFonts w:eastAsia="Times New Roman" w:cs="Arial"/>
          <w:color w:val="000000"/>
          <w:szCs w:val="20"/>
          <w:lang w:eastAsia="bg-BG"/>
        </w:rPr>
        <w:t>филмирани таблетки: 20100833</w:t>
      </w:r>
    </w:p>
    <w:p w14:paraId="3C8D66BE" w14:textId="20F0EA55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Бизопролол Майлан 10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5C516B">
        <w:rPr>
          <w:rFonts w:eastAsia="Times New Roman" w:cs="Arial"/>
          <w:color w:val="000000"/>
          <w:szCs w:val="20"/>
          <w:lang w:eastAsia="bg-BG"/>
        </w:rPr>
        <w:t>филмирани таблетки: 20100834</w:t>
      </w:r>
    </w:p>
    <w:p w14:paraId="2CCB5832" w14:textId="555A77AC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0AADF58D" w14:textId="4EB1E38F" w:rsidR="005C516B" w:rsidRDefault="005C516B" w:rsidP="005C516B"/>
    <w:p w14:paraId="48D64203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Дата на първо разрешаване: 16 декември 2010 г.</w:t>
      </w:r>
    </w:p>
    <w:p w14:paraId="1973CDC7" w14:textId="5EAF4295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Дата на последно подновяване: 19 февруари 2016 г.</w:t>
      </w:r>
    </w:p>
    <w:p w14:paraId="0E9D0119" w14:textId="17462D9B" w:rsidR="002C50EE" w:rsidRDefault="002C50EE" w:rsidP="002C50EE">
      <w:pPr>
        <w:pStyle w:val="Heading1"/>
      </w:pPr>
      <w:r>
        <w:t>10. ДАТА НА АКТУАЛИЗИРАНЕ НА ТЕКСТА</w:t>
      </w:r>
    </w:p>
    <w:p w14:paraId="7A503ED7" w14:textId="7387AC66" w:rsidR="005C516B" w:rsidRDefault="005C516B" w:rsidP="005C516B"/>
    <w:p w14:paraId="36EDAD48" w14:textId="13592219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cs="Arial"/>
          <w:szCs w:val="20"/>
        </w:rPr>
        <w:t>10/2021</w:t>
      </w:r>
    </w:p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0"/>
  </w:num>
  <w:num w:numId="28">
    <w:abstractNumId w:val="6"/>
  </w:num>
  <w:num w:numId="29">
    <w:abstractNumId w:val="19"/>
  </w:num>
  <w:num w:numId="30">
    <w:abstractNumId w:val="33"/>
  </w:num>
  <w:num w:numId="31">
    <w:abstractNumId w:val="5"/>
  </w:num>
  <w:num w:numId="32">
    <w:abstractNumId w:val="32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C516B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778AB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3081</Words>
  <Characters>17563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2022-05-31T19:08:00Z</dcterms:created>
  <dcterms:modified xsi:type="dcterms:W3CDTF">2022-05-31T19:08:00Z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