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3C30C151" w:rsidR="00DF4C8E" w:rsidRDefault="00DD466D" w:rsidP="00F44498">
      <w:pPr>
        <w:pStyle w:val="Heading1"/>
      </w:pPr>
      <w:r>
        <w:t>1.ИМЕ НА ЛЕКАРСТВЕНИЯ ПРОДУКТ</w:t>
      </w:r>
    </w:p>
    <w:p w14:paraId="357504B0" w14:textId="6541999E" w:rsidR="009A69A3" w:rsidRDefault="009A69A3" w:rsidP="009A69A3"/>
    <w:p w14:paraId="021B6989" w14:textId="77777777" w:rsidR="009A69A3" w:rsidRPr="009A69A3" w:rsidRDefault="009A69A3" w:rsidP="009A69A3">
      <w:pPr>
        <w:rPr>
          <w:sz w:val="24"/>
          <w:szCs w:val="24"/>
          <w:lang w:val="en-US"/>
        </w:rPr>
      </w:pPr>
      <w:r w:rsidRPr="009A69A3">
        <w:rPr>
          <w:lang w:eastAsia="bg-BG"/>
        </w:rPr>
        <w:t xml:space="preserve">Бизостад 10 </w:t>
      </w:r>
      <w:r w:rsidRPr="009A69A3">
        <w:rPr>
          <w:lang w:val="en-US"/>
        </w:rPr>
        <w:t xml:space="preserve">mg </w:t>
      </w:r>
      <w:r w:rsidRPr="009A69A3">
        <w:rPr>
          <w:lang w:eastAsia="bg-BG"/>
        </w:rPr>
        <w:t>филмирани таблетки</w:t>
      </w:r>
    </w:p>
    <w:p w14:paraId="20AF3FC1" w14:textId="2053FE4C" w:rsidR="009A69A3" w:rsidRDefault="009A69A3" w:rsidP="009A69A3">
      <w:pPr>
        <w:rPr>
          <w:lang w:val="en-US"/>
        </w:rPr>
      </w:pPr>
      <w:proofErr w:type="spellStart"/>
      <w:r w:rsidRPr="009A69A3">
        <w:rPr>
          <w:lang w:val="en-US"/>
        </w:rPr>
        <w:t>Bisostad</w:t>
      </w:r>
      <w:proofErr w:type="spellEnd"/>
      <w:r w:rsidRPr="009A69A3">
        <w:rPr>
          <w:lang w:val="en-US"/>
        </w:rPr>
        <w:t xml:space="preserve"> </w:t>
      </w:r>
      <w:r w:rsidRPr="009A69A3">
        <w:rPr>
          <w:lang w:eastAsia="bg-BG"/>
        </w:rPr>
        <w:t xml:space="preserve">10 </w:t>
      </w:r>
      <w:r w:rsidRPr="009A69A3">
        <w:rPr>
          <w:lang w:val="en-US"/>
        </w:rPr>
        <w:t>mg film-coated tablets</w:t>
      </w:r>
    </w:p>
    <w:p w14:paraId="514F5EBC" w14:textId="77777777" w:rsidR="009A69A3" w:rsidRPr="009A69A3" w:rsidRDefault="009A69A3" w:rsidP="009A69A3"/>
    <w:p w14:paraId="2BF7ACB1" w14:textId="6CF223D1" w:rsidR="00DF4C8E" w:rsidRDefault="00DD466D" w:rsidP="00F44498">
      <w:pPr>
        <w:pStyle w:val="Heading1"/>
      </w:pPr>
      <w:r>
        <w:t>2. КАЧЕСТВЕН И КОЛИЧЕСТВЕН СЪСТАВ</w:t>
      </w:r>
    </w:p>
    <w:p w14:paraId="2054FABE" w14:textId="77242190" w:rsidR="009A69A3" w:rsidRDefault="009A69A3" w:rsidP="009A69A3"/>
    <w:p w14:paraId="18D263C4" w14:textId="1511A23D" w:rsidR="009A69A3" w:rsidRDefault="009A69A3" w:rsidP="009A69A3">
      <w:r>
        <w:t xml:space="preserve">Една филмирана таблетка съдържа 10 </w:t>
      </w:r>
      <w:r>
        <w:rPr>
          <w:lang w:val="en-US"/>
        </w:rPr>
        <w:t>mg</w:t>
      </w:r>
      <w:r w:rsidRPr="009A69A3">
        <w:t xml:space="preserve"> </w:t>
      </w:r>
      <w:r>
        <w:t xml:space="preserve">бисопрололов фумарат </w:t>
      </w:r>
      <w:r w:rsidRPr="009A69A3">
        <w:t>(</w:t>
      </w:r>
      <w:proofErr w:type="spellStart"/>
      <w:r>
        <w:rPr>
          <w:lang w:val="en-US"/>
        </w:rPr>
        <w:t>bisoprolol</w:t>
      </w:r>
      <w:proofErr w:type="spellEnd"/>
      <w:r w:rsidRPr="009A69A3">
        <w:t xml:space="preserve"> </w:t>
      </w:r>
      <w:r>
        <w:rPr>
          <w:lang w:val="en-US"/>
        </w:rPr>
        <w:t>fumarate</w:t>
      </w:r>
      <w:r w:rsidRPr="009A69A3">
        <w:t>).</w:t>
      </w:r>
    </w:p>
    <w:p w14:paraId="6089C7D0" w14:textId="77777777" w:rsidR="009A69A3" w:rsidRPr="009A69A3" w:rsidRDefault="009A69A3" w:rsidP="009A69A3"/>
    <w:p w14:paraId="614984C4" w14:textId="20C3659C" w:rsidR="008A6AF2" w:rsidRDefault="00DD466D" w:rsidP="002C50EE">
      <w:pPr>
        <w:pStyle w:val="Heading1"/>
      </w:pPr>
      <w:r>
        <w:t>3. ЛЕКАРСТВЕНА ФОРМА</w:t>
      </w:r>
    </w:p>
    <w:p w14:paraId="031DCC7F" w14:textId="293AC7CE" w:rsidR="009A69A3" w:rsidRDefault="009A69A3" w:rsidP="009A69A3"/>
    <w:p w14:paraId="145E80FC" w14:textId="77777777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>Филмирана таблетка.</w:t>
      </w:r>
    </w:p>
    <w:p w14:paraId="583C094B" w14:textId="77777777" w:rsidR="009A69A3" w:rsidRDefault="009A69A3" w:rsidP="009A69A3">
      <w:pPr>
        <w:rPr>
          <w:lang w:eastAsia="bg-BG"/>
        </w:rPr>
      </w:pPr>
    </w:p>
    <w:p w14:paraId="088706FC" w14:textId="08E0B8A3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 xml:space="preserve">Таблетките са жълти до оранжеви, кръгли, двойно изпъкнали, с делителна черта от двете страни </w:t>
      </w:r>
      <w:r w:rsidRPr="009A69A3">
        <w:rPr>
          <w:i/>
          <w:iCs/>
          <w:lang w:eastAsia="bg-BG"/>
        </w:rPr>
        <w:t xml:space="preserve">и </w:t>
      </w:r>
      <w:r w:rsidRPr="009A69A3">
        <w:rPr>
          <w:lang w:eastAsia="bg-BG"/>
        </w:rPr>
        <w:t xml:space="preserve">релефен надпис </w:t>
      </w:r>
      <w:r w:rsidRPr="009A69A3">
        <w:rPr>
          <w:lang w:val="ru-RU"/>
        </w:rPr>
        <w:t>"</w:t>
      </w:r>
      <w:r w:rsidRPr="009A69A3">
        <w:rPr>
          <w:lang w:val="en-US"/>
        </w:rPr>
        <w:t>BSL</w:t>
      </w:r>
      <w:r w:rsidRPr="009A69A3">
        <w:rPr>
          <w:lang w:val="ru-RU"/>
        </w:rPr>
        <w:t xml:space="preserve">10" </w:t>
      </w:r>
      <w:r>
        <w:rPr>
          <w:lang w:eastAsia="bg-BG"/>
        </w:rPr>
        <w:t>на едната страна.</w:t>
      </w:r>
    </w:p>
    <w:p w14:paraId="4F0FEEFF" w14:textId="77777777" w:rsidR="009A69A3" w:rsidRPr="009A69A3" w:rsidRDefault="009A69A3" w:rsidP="009A69A3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3017E8BB" w:rsidR="00DF4C8E" w:rsidRDefault="00DF4C8E" w:rsidP="00DF4C8E">
      <w:pPr>
        <w:rPr>
          <w:rFonts w:cs="Arial"/>
          <w:sz w:val="24"/>
        </w:rPr>
      </w:pPr>
    </w:p>
    <w:p w14:paraId="34B6E8CA" w14:textId="77777777" w:rsidR="009A69A3" w:rsidRDefault="009A69A3" w:rsidP="009A69A3">
      <w:pPr>
        <w:pStyle w:val="ListParagraph"/>
        <w:numPr>
          <w:ilvl w:val="0"/>
          <w:numId w:val="34"/>
        </w:numPr>
        <w:rPr>
          <w:lang w:eastAsia="bg-BG"/>
        </w:rPr>
      </w:pPr>
      <w:r w:rsidRPr="009A69A3">
        <w:rPr>
          <w:lang w:eastAsia="bg-BG"/>
        </w:rPr>
        <w:t>Хипертония;</w:t>
      </w:r>
    </w:p>
    <w:p w14:paraId="5A242F37" w14:textId="12D29BFD" w:rsidR="009A69A3" w:rsidRPr="009A69A3" w:rsidRDefault="009A69A3" w:rsidP="009A69A3">
      <w:pPr>
        <w:pStyle w:val="ListParagraph"/>
        <w:numPr>
          <w:ilvl w:val="0"/>
          <w:numId w:val="34"/>
        </w:numPr>
        <w:rPr>
          <w:lang w:eastAsia="bg-BG"/>
        </w:rPr>
      </w:pPr>
      <w:r w:rsidRPr="009A69A3">
        <w:rPr>
          <w:lang w:eastAsia="bg-BG"/>
        </w:rPr>
        <w:t xml:space="preserve">Хронична стабилна стенокардия </w:t>
      </w:r>
      <w:r w:rsidRPr="009A69A3">
        <w:rPr>
          <w:lang w:val="ru-RU"/>
        </w:rPr>
        <w:t>(</w:t>
      </w:r>
      <w:r w:rsidRPr="009A69A3">
        <w:rPr>
          <w:lang w:val="en-US"/>
        </w:rPr>
        <w:t>angina</w:t>
      </w:r>
      <w:r w:rsidRPr="009A69A3">
        <w:rPr>
          <w:lang w:val="ru-RU"/>
        </w:rPr>
        <w:t xml:space="preserve"> </w:t>
      </w:r>
      <w:r w:rsidRPr="009A69A3">
        <w:rPr>
          <w:lang w:val="en-US"/>
        </w:rPr>
        <w:t>pectoris</w:t>
      </w:r>
      <w:r w:rsidRPr="009A69A3">
        <w:rPr>
          <w:lang w:val="ru-RU"/>
        </w:rPr>
        <w:t>).</w:t>
      </w:r>
    </w:p>
    <w:p w14:paraId="20482B85" w14:textId="77777777" w:rsidR="009A69A3" w:rsidRPr="00DF4C8E" w:rsidRDefault="009A69A3" w:rsidP="00DF4C8E">
      <w:pPr>
        <w:rPr>
          <w:rFonts w:cs="Arial"/>
          <w:sz w:val="24"/>
        </w:rPr>
      </w:pPr>
    </w:p>
    <w:p w14:paraId="778B4979" w14:textId="680D69D8" w:rsidR="00DF4C8E" w:rsidRDefault="002C50EE" w:rsidP="00F44498">
      <w:pPr>
        <w:pStyle w:val="Heading2"/>
      </w:pPr>
      <w:r>
        <w:t>4.2. Дозировка и начин на приложение</w:t>
      </w:r>
    </w:p>
    <w:p w14:paraId="65A262DA" w14:textId="21B727CE" w:rsidR="009A69A3" w:rsidRDefault="009A69A3" w:rsidP="009A69A3"/>
    <w:p w14:paraId="5F01D65C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се прилага перорално.</w:t>
      </w:r>
    </w:p>
    <w:p w14:paraId="6489663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По принцип лечението с бисопрололов фумарат е продължително.</w:t>
      </w:r>
    </w:p>
    <w:p w14:paraId="4EBDA97F" w14:textId="77777777" w:rsidR="009A69A3" w:rsidRP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22D07B" w14:textId="1A4B1DA9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При всички случаи дозата трябва да се адаптира индивидуално. Препоръчително е лечението да започне с най-ниската възможна доза. За някои пациенти е достатъчна доза от 5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дневно.</w:t>
      </w:r>
    </w:p>
    <w:p w14:paraId="00A4AE4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Обичайната доза е 10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 xml:space="preserve">бисопрололов фумарат веднъж дневно, а максималната препоръчителна дневна доза е 20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дневно.</w:t>
      </w:r>
    </w:p>
    <w:p w14:paraId="48BE274B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Таблетките трябва да се приемат сутрин. Те трябва да се преглъщат с малко количество течност и не бива да се дъвчат.</w:t>
      </w:r>
    </w:p>
    <w:p w14:paraId="20549C93" w14:textId="77777777" w:rsidR="009A69A3" w:rsidRPr="009A69A3" w:rsidRDefault="009A69A3" w:rsidP="009A69A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F631C1" w14:textId="5D1C4374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u w:val="single"/>
          <w:lang w:eastAsia="bg-BG"/>
        </w:rPr>
        <w:t>Пациенти с бъбречна недостатъчност</w:t>
      </w:r>
    </w:p>
    <w:p w14:paraId="5C3934F4" w14:textId="77777777" w:rsidR="009A69A3" w:rsidRP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DF7F53" w14:textId="6907684D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При пациенти с тежка бъбречна недостатъчност, (креатининов клирънс &lt; 20 </w:t>
      </w:r>
      <w:r w:rsidRPr="009A69A3">
        <w:rPr>
          <w:rFonts w:eastAsia="Times New Roman" w:cs="Arial"/>
          <w:color w:val="000000"/>
          <w:lang w:val="en-US"/>
        </w:rPr>
        <w:t>ml</w:t>
      </w:r>
      <w:r w:rsidRPr="009A69A3">
        <w:rPr>
          <w:rFonts w:eastAsia="Times New Roman" w:cs="Arial"/>
          <w:color w:val="000000"/>
          <w:lang w:val="ru-RU"/>
        </w:rPr>
        <w:t>/</w:t>
      </w:r>
      <w:r w:rsidRPr="009A69A3">
        <w:rPr>
          <w:rFonts w:eastAsia="Times New Roman" w:cs="Arial"/>
          <w:color w:val="000000"/>
          <w:lang w:val="en-US"/>
        </w:rPr>
        <w:t>min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 xml:space="preserve">) дозата не бива да превишава 10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бисопрололов фумарат веднъж дневно .Тази доза може евентуално да се раздели наполовина.</w:t>
      </w:r>
    </w:p>
    <w:p w14:paraId="45244E32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lastRenderedPageBreak/>
        <w:t>Опитът от приложение на бисопрололов фумарат при пациенти подложени на бъбречна диализа е ограничен, но показва, че той не се отстранява при диализата така че, при тези пациенти не е необходимо приемане на допълнителна доза след диализа или корекция на дозовия режим.</w:t>
      </w:r>
    </w:p>
    <w:p w14:paraId="41CEF9D9" w14:textId="77777777" w:rsidR="009A69A3" w:rsidRPr="009A69A3" w:rsidRDefault="009A69A3" w:rsidP="009A69A3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CD8B31A" w14:textId="19B14C76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i/>
          <w:iCs/>
          <w:color w:val="000000"/>
          <w:u w:val="single"/>
          <w:lang w:eastAsia="bg-BG"/>
        </w:rPr>
        <w:t>Пациенти с тежка чернодробна недостатъчност</w:t>
      </w:r>
    </w:p>
    <w:p w14:paraId="0A7EBED0" w14:textId="3C53CF67" w:rsidR="009A69A3" w:rsidRPr="009A69A3" w:rsidRDefault="009A69A3" w:rsidP="009A69A3">
      <w:p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 xml:space="preserve">При пациенти с тежка чернодробна недостатъчност дозата не бива да превишава 10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бисопрололов фумарат веднъж дневно.</w:t>
      </w:r>
    </w:p>
    <w:p w14:paraId="76486686" w14:textId="52922727" w:rsidR="009A69A3" w:rsidRPr="009A69A3" w:rsidRDefault="009A69A3" w:rsidP="009A69A3">
      <w:pPr>
        <w:rPr>
          <w:rFonts w:eastAsia="Times New Roman" w:cs="Arial"/>
          <w:color w:val="000000"/>
          <w:lang w:eastAsia="bg-BG"/>
        </w:rPr>
      </w:pPr>
    </w:p>
    <w:p w14:paraId="2107B9D8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</w:t>
      </w:r>
    </w:p>
    <w:p w14:paraId="40714CA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Обикновено не се изисква промяна в дозировката. Препоръчително е терапията да започне с най- ниската възможна доза.</w:t>
      </w:r>
    </w:p>
    <w:p w14:paraId="3CDACB41" w14:textId="77777777" w:rsidR="009A69A3" w:rsidRPr="009A69A3" w:rsidRDefault="009A69A3" w:rsidP="009A69A3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595F9C2" w14:textId="1BC7036A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i/>
          <w:iCs/>
          <w:color w:val="000000"/>
          <w:u w:val="single"/>
          <w:lang w:eastAsia="bg-BG"/>
        </w:rPr>
        <w:t>Деца под 12 годишна възраст и подрастващи</w:t>
      </w:r>
    </w:p>
    <w:p w14:paraId="759B5A92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Няма педиатричен опит с бисопрололов фумарат, поради което неговата употреба при деца не може да бъде препоръчана.</w:t>
      </w:r>
    </w:p>
    <w:p w14:paraId="3E6AA19E" w14:textId="77777777" w:rsidR="009A69A3" w:rsidRPr="009A69A3" w:rsidRDefault="009A69A3" w:rsidP="009A69A3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3EE7DBC" w14:textId="5F2C37EE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i/>
          <w:iCs/>
          <w:color w:val="000000"/>
          <w:u w:val="single"/>
          <w:lang w:eastAsia="bg-BG"/>
        </w:rPr>
        <w:t>Продължителност на терапията</w:t>
      </w:r>
    </w:p>
    <w:p w14:paraId="4F5A885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Лечението на трябва да се спира изведнъж особено при пациенти с исхемично заболяване на сърцето (виж също т. 4.4 “Специални предупреждения и предпазни мерки при употреба”). Дозата трябва да се намалява бавно в продължение на седмица, чрез постепенното и редуциране наполовина.</w:t>
      </w:r>
    </w:p>
    <w:p w14:paraId="4BF4E267" w14:textId="77777777" w:rsidR="009A69A3" w:rsidRPr="009A69A3" w:rsidRDefault="009A69A3" w:rsidP="009A69A3"/>
    <w:p w14:paraId="6A85390E" w14:textId="1B80C095" w:rsidR="00DF4C8E" w:rsidRDefault="002C50EE" w:rsidP="00F44498">
      <w:pPr>
        <w:pStyle w:val="Heading2"/>
      </w:pPr>
      <w:r>
        <w:t>4.3. Противопоказания</w:t>
      </w:r>
    </w:p>
    <w:p w14:paraId="3568CB34" w14:textId="104850C7" w:rsidR="009A69A3" w:rsidRDefault="009A69A3" w:rsidP="009A69A3"/>
    <w:p w14:paraId="1F0AF343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Свръхчувствителност към бисопрололов фумарат или някое от помощните вещества;</w:t>
      </w:r>
    </w:p>
    <w:p w14:paraId="41D617D8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Остра сърдечна недостатъчност или по време на епизоди на декомпенсация на сърдечна недостатъчност изискващи интравеиозна </w:t>
      </w:r>
      <w:r w:rsidRPr="009A69A3">
        <w:rPr>
          <w:rFonts w:eastAsia="Times New Roman" w:cs="Arial"/>
          <w:color w:val="000000"/>
          <w:lang w:val="ru-RU"/>
        </w:rPr>
        <w:t>(</w:t>
      </w:r>
      <w:proofErr w:type="spellStart"/>
      <w:r w:rsidRPr="009A69A3">
        <w:rPr>
          <w:rFonts w:eastAsia="Times New Roman" w:cs="Arial"/>
          <w:color w:val="000000"/>
          <w:lang w:val="en-US"/>
        </w:rPr>
        <w:t>i</w:t>
      </w:r>
      <w:proofErr w:type="spellEnd"/>
      <w:r w:rsidRPr="009A69A3">
        <w:rPr>
          <w:rFonts w:eastAsia="Times New Roman" w:cs="Arial"/>
          <w:color w:val="000000"/>
          <w:lang w:val="ru-RU"/>
        </w:rPr>
        <w:t>.</w:t>
      </w:r>
      <w:r w:rsidRPr="009A69A3">
        <w:rPr>
          <w:rFonts w:eastAsia="Times New Roman" w:cs="Arial"/>
          <w:color w:val="000000"/>
          <w:lang w:val="en-US"/>
        </w:rPr>
        <w:t>v</w:t>
      </w:r>
      <w:r w:rsidRPr="009A69A3">
        <w:rPr>
          <w:rFonts w:eastAsia="Times New Roman" w:cs="Arial"/>
          <w:color w:val="000000"/>
          <w:lang w:val="ru-RU"/>
        </w:rPr>
        <w:t xml:space="preserve">.) </w:t>
      </w:r>
      <w:r w:rsidRPr="009A69A3">
        <w:rPr>
          <w:rFonts w:eastAsia="Times New Roman" w:cs="Arial"/>
          <w:color w:val="000000"/>
          <w:lang w:eastAsia="bg-BG"/>
        </w:rPr>
        <w:t>инотропна терапия;</w:t>
      </w:r>
    </w:p>
    <w:p w14:paraId="19AF0B83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Кардиогенен шок;</w:t>
      </w:r>
    </w:p>
    <w:p w14:paraId="2E396073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val="en-US"/>
        </w:rPr>
        <w:t>AV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блок от втора или трета степен (без пейсмейкър);</w:t>
      </w:r>
    </w:p>
    <w:p w14:paraId="44A138A8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Синдром на болния синусов възел;</w:t>
      </w:r>
    </w:p>
    <w:p w14:paraId="1FE0E91A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Синоатриален блок;</w:t>
      </w:r>
    </w:p>
    <w:p w14:paraId="3B12664F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Симптоматична брадикардия (с по-малко от 50 удара/мин. преди започване на терапията);</w:t>
      </w:r>
    </w:p>
    <w:p w14:paraId="17E6DDF7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Симптоматична хипотония (систолично кръвно налягане под 100 </w:t>
      </w:r>
      <w:r w:rsidRPr="009A69A3">
        <w:rPr>
          <w:rFonts w:eastAsia="Times New Roman" w:cs="Arial"/>
          <w:color w:val="000000"/>
          <w:lang w:val="en-US"/>
        </w:rPr>
        <w:t>mm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val="en-US"/>
        </w:rPr>
        <w:t>Hg</w:t>
      </w:r>
      <w:r w:rsidRPr="009A69A3">
        <w:rPr>
          <w:rFonts w:eastAsia="Times New Roman" w:cs="Arial"/>
          <w:color w:val="000000"/>
          <w:lang w:val="ru-RU"/>
        </w:rPr>
        <w:t>);</w:t>
      </w:r>
    </w:p>
    <w:p w14:paraId="03DE3575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Тежка бронхиална астма или тежко хронично обструктивно пулмонарно заболяване;</w:t>
      </w:r>
    </w:p>
    <w:p w14:paraId="3689C780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Тежка форма на периферно оклузивно артериално заболяване или тежка форма на синдром на Рейно;</w:t>
      </w:r>
    </w:p>
    <w:p w14:paraId="361241A5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Метаболитна ацидоза;</w:t>
      </w:r>
    </w:p>
    <w:p w14:paraId="765DCC9C" w14:textId="7777777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Нелекуван феохромоцитом (виж също т. 4.4);</w:t>
      </w:r>
    </w:p>
    <w:p w14:paraId="414F8F53" w14:textId="74E63557" w:rsidR="009A69A3" w:rsidRPr="009A69A3" w:rsidRDefault="009A69A3" w:rsidP="009A69A3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Комбинациите с флоктафенин и султоприд (виж също т. 4.5).</w:t>
      </w:r>
    </w:p>
    <w:p w14:paraId="3E99430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</w:p>
    <w:p w14:paraId="115C9528" w14:textId="077F60EE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3CB63F70" w14:textId="36AC6F46" w:rsidR="009A69A3" w:rsidRDefault="009A69A3" w:rsidP="009A69A3"/>
    <w:p w14:paraId="35D9FF33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Някои лекарствени продукти, съдържащи бисопрололов фумарат могат да се използват при лечението на хронична сърдечна недостатъчност. Лечението на хронична стабилна сърдечна недостатъчност трябва да започва с постепенно титриране на дозата и в тези </w:t>
      </w:r>
      <w:r w:rsidRPr="009A69A3">
        <w:rPr>
          <w:rFonts w:eastAsia="Times New Roman" w:cs="Arial"/>
          <w:color w:val="000000"/>
          <w:lang w:eastAsia="bg-BG"/>
        </w:rPr>
        <w:lastRenderedPageBreak/>
        <w:t xml:space="preserve">случаи се предпочитат лекарствени продукти съдържащи по-малко количество бисопрололов фумарат (например 2,5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>).</w:t>
      </w:r>
    </w:p>
    <w:p w14:paraId="312D50C1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201B3A" w14:textId="5E6DB10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Комбинацията с амиодарон не се препоръчва имайки предвид риска от контрактилитетен автоматизъм и смущения в проводимостта (потискане на компенсаторните симпатикови реакции).</w:t>
      </w:r>
    </w:p>
    <w:p w14:paraId="17B6E4A1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C12F6C" w14:textId="2C175F7C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трябва да бъде използван с внимание при :</w:t>
      </w:r>
    </w:p>
    <w:p w14:paraId="408A1E1B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Бронхоспазъм (бронхиална астма; обструктивни заболявания на дихателните пътища): При бронхиална астма или други хронични обструктивни заболявания на дихателните пътища, които могат да причинят подобни симптоми, трябва да се прилага едновременно и бронходилатираща терапия. Понякога, повишение на резистентността на дихателните пътища може да се появи при пациенти с астма, затова и може да се наложи да се повиши дозата на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β</w:t>
      </w:r>
      <w:r w:rsidRPr="009A69A3">
        <w:rPr>
          <w:rFonts w:eastAsia="Times New Roman" w:cs="Arial"/>
          <w:color w:val="000000"/>
          <w:vertAlign w:val="subscript"/>
          <w:lang w:eastAsia="bg-BG"/>
        </w:rPr>
        <w:t>2</w:t>
      </w:r>
      <w:r w:rsidRPr="009A69A3">
        <w:rPr>
          <w:rFonts w:eastAsia="Times New Roman" w:cs="Arial"/>
          <w:color w:val="000000"/>
          <w:lang w:eastAsia="bg-BG"/>
        </w:rPr>
        <w:t>- стимулантите. Препоръчително е провеждането на функционален респираторен тест преди започване на лечението.</w:t>
      </w:r>
    </w:p>
    <w:p w14:paraId="7EB07ACD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При пациенти, на които предстои прилагане на обща анестезия, трябва да информират анестезиолога, че приемат бета-блокер. Препоръчва се временно спиране приема на бета блокер постепенно преди операцията, 48 часа преди прилагане на упойката;</w:t>
      </w:r>
    </w:p>
    <w:p w14:paraId="73A9CFDB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Захарен диабет, показващ големи флуктуации в нивата на кръвната захар; симптомите на хипогликемия могат да се маскират. Нивата на кръвната глюкоза трябва да се проследяват по време на терапията с бисопрололов фумарат;</w:t>
      </w:r>
    </w:p>
    <w:p w14:paraId="5DFD9AFA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Тиреотоксикоза, адренергичните симптоми могат да бъдат маскирани;</w:t>
      </w:r>
    </w:p>
    <w:p w14:paraId="3A385000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Пациенти с чернодробно заболяване;</w:t>
      </w:r>
    </w:p>
    <w:p w14:paraId="35910A72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Стриктно постене;</w:t>
      </w:r>
    </w:p>
    <w:p w14:paraId="2D15A942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По време на десенсибилизираща терапия. Както и другите Й-блокери бисопролол може да повиши както чувствителността към алергени, така и тежестта на анафилактичните реакции. Лечението с адреналин не винаги дава очаквания терапевтичен резултат;</w:t>
      </w:r>
    </w:p>
    <w:p w14:paraId="3E56F5D3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val="en-US"/>
        </w:rPr>
        <w:t>AV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блок от първа степен;</w:t>
      </w:r>
    </w:p>
    <w:p w14:paraId="2BEA2AA1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Ангина на Принцментал; β-блокерът може да повиши броя и продължителността на ангиналните атаки при пациенти с ангина на Принцментал. Приложението на β-1 селективни блокери на адренорецепторите е възможно само в случай на леки форми и само в комбинация с вазодилатиращ агент;</w:t>
      </w:r>
    </w:p>
    <w:p w14:paraId="274CB668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При периферни циркулаторни смущения, може да се очаква увеличаване на оплакванията, по- специално при започване на терапията при заболявания, като синдром на Рейно и интермитентно клаудикацио;</w:t>
      </w:r>
    </w:p>
    <w:p w14:paraId="33B95DF4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Бисопролол трябва да се приема с внимание при пациенти с брадикардия от 50 до 60 удара/минута непосредствено преди започване на терапията;</w:t>
      </w:r>
    </w:p>
    <w:p w14:paraId="6247F925" w14:textId="77777777" w:rsid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 xml:space="preserve">При пациенти с феохромоцитом (виж също т. </w:t>
      </w:r>
      <w:r w:rsidRPr="009A69A3">
        <w:rPr>
          <w:rFonts w:eastAsia="Times New Roman" w:cs="Arial"/>
          <w:color w:val="000000"/>
          <w:lang w:val="ru-RU"/>
        </w:rPr>
        <w:t xml:space="preserve">4.3.), </w:t>
      </w:r>
      <w:r w:rsidRPr="009A69A3">
        <w:rPr>
          <w:rFonts w:eastAsia="Times New Roman" w:cs="Arial"/>
          <w:color w:val="000000"/>
          <w:lang w:eastAsia="bg-BG"/>
        </w:rPr>
        <w:t>бисопролол не бива да се прилага преди провеждането на а-рецепторна блокада;</w:t>
      </w:r>
    </w:p>
    <w:p w14:paraId="03C72190" w14:textId="67F2A244" w:rsidR="009A69A3" w:rsidRPr="009A69A3" w:rsidRDefault="009A69A3" w:rsidP="009A69A3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Пациенти с псориазис или анамнеза за псориазис, трябва да приемат бисопролол само след внимателна оценка на съотношението риск/полза.</w:t>
      </w:r>
    </w:p>
    <w:p w14:paraId="445A5CF1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5F4B29" w14:textId="7E2DF69A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Започването на лечение с бисопролол изисква редовно мониториране, особено в случаите на лечение на пациенти в старческа възраст.</w:t>
      </w:r>
    </w:p>
    <w:p w14:paraId="47A12BA7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D32010" w14:textId="59AC7213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lastRenderedPageBreak/>
        <w:t>Прекратяването на терапията с бисопролол не трябва да се прави внезапно, освен ако не е ясно показано. Съществува риск от инфаркт на миокарда и внезапна смърт, ако лечението бъде спряно внезапно при пациенти с исхемична болест на сърцето. За повече информация, моля отнесете се към т. 4.2. “Дозировка и начин на приложение”.</w:t>
      </w:r>
    </w:p>
    <w:p w14:paraId="5DAECD3B" w14:textId="77777777" w:rsidR="009A69A3" w:rsidRPr="009A69A3" w:rsidRDefault="009A69A3" w:rsidP="009A69A3"/>
    <w:p w14:paraId="070777EC" w14:textId="0D147CF6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60AB44B" w14:textId="43B393A9" w:rsidR="009A69A3" w:rsidRDefault="009A69A3" w:rsidP="009A69A3"/>
    <w:p w14:paraId="33903049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Противопоказани комбинации:</w:t>
      </w:r>
    </w:p>
    <w:p w14:paraId="3EE73364" w14:textId="77777777" w:rsidR="009A69A3" w:rsidRP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Флоктафенин: В-блокерите могат да затруднят компенсаторните кардиоваскуларни реакции, което може да доведе до хипотония или шок предизвикани от флоктафенин;</w:t>
      </w:r>
    </w:p>
    <w:p w14:paraId="37E569AD" w14:textId="0E17B77F" w:rsidR="009A69A3" w:rsidRP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Султоприд: Бизостад не трябва да бъде прилаган едновременно с султоприд тъй като това води до повишаване на риска от поява на вентрикуларна аритмия;</w:t>
      </w:r>
    </w:p>
    <w:p w14:paraId="3926BD11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713E145" w14:textId="46AB6AA3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Непрепоръчителни комбинации</w:t>
      </w:r>
      <w:bookmarkEnd w:id="1"/>
    </w:p>
    <w:p w14:paraId="308A2C6F" w14:textId="77777777" w:rsidR="009A69A3" w:rsidRDefault="009A69A3" w:rsidP="009A69A3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Калциеви антагонисти (верапамил, дилтиазем, бепридил): негативно влияние върху контрактилитета, атрио-вентрикуларната проводимост и кръвното налягане;</w:t>
      </w:r>
    </w:p>
    <w:p w14:paraId="256ED1B2" w14:textId="77777777" w:rsidR="009A69A3" w:rsidRDefault="009A69A3" w:rsidP="009A69A3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 xml:space="preserve">Централно-действащи антихипертензивни лекарства (например клонидин): повишен риск от </w:t>
      </w:r>
      <w:r w:rsidRPr="009A69A3">
        <w:rPr>
          <w:rFonts w:eastAsia="Times New Roman" w:cs="Arial"/>
          <w:color w:val="000000"/>
          <w:lang w:val="ru-RU"/>
        </w:rPr>
        <w:t>"</w:t>
      </w:r>
      <w:r w:rsidRPr="009A69A3">
        <w:rPr>
          <w:rFonts w:eastAsia="Times New Roman" w:cs="Arial"/>
          <w:color w:val="000000"/>
          <w:lang w:val="en-US"/>
        </w:rPr>
        <w:t>rebound</w:t>
      </w:r>
      <w:r w:rsidRPr="009A69A3">
        <w:rPr>
          <w:rFonts w:eastAsia="Times New Roman" w:cs="Arial"/>
          <w:color w:val="000000"/>
          <w:lang w:val="ru-RU"/>
        </w:rPr>
        <w:t xml:space="preserve">” </w:t>
      </w:r>
      <w:r w:rsidRPr="009A69A3">
        <w:rPr>
          <w:rFonts w:eastAsia="Times New Roman" w:cs="Arial"/>
          <w:color w:val="000000"/>
          <w:lang w:eastAsia="bg-BG"/>
        </w:rPr>
        <w:t>хипертония, както и прекомерно намаляване на сърдечната честота и сърдечната</w:t>
      </w:r>
      <w:r w:rsidRPr="009A69A3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проводимост;</w:t>
      </w:r>
    </w:p>
    <w:p w14:paraId="71B3328D" w14:textId="21B7DB8F" w:rsidR="009A69A3" w:rsidRPr="009A69A3" w:rsidRDefault="009A69A3" w:rsidP="009A69A3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Моноаминооксидазни инхибитори (с изключение на МАО-В инхибитори): засилват хипотензивния ефект на в-блокерите, но също така и риска от хипертензивни кризи.</w:t>
      </w:r>
    </w:p>
    <w:p w14:paraId="509103C0" w14:textId="276F5DDA" w:rsidR="009A69A3" w:rsidRDefault="009A69A3" w:rsidP="009A69A3">
      <w:pPr>
        <w:rPr>
          <w:rFonts w:ascii="Times New Roman" w:eastAsia="Times New Roman" w:hAnsi="Times New Roman" w:cs="Times New Roman"/>
          <w:color w:val="000000"/>
          <w:sz w:val="44"/>
          <w:szCs w:val="44"/>
          <w:lang w:val="ru-RU" w:eastAsia="bg-BG"/>
        </w:rPr>
      </w:pPr>
    </w:p>
    <w:p w14:paraId="308EF605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Комбинации, които трябва да се използват с внимание</w:t>
      </w:r>
    </w:p>
    <w:p w14:paraId="116D12E0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Клас I антиаритмични лекарства (напр. дизопирамид, хинидин): ефектът върху времето на атриалната проводимост може да се потенцира и да се повиши негативния инотропен ефект, (необходимо е стриктно клинично и ЕКГ мониториране);</w:t>
      </w:r>
    </w:p>
    <w:p w14:paraId="2153985F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Клас III антиаритмични лекарства (напр. амиодарон): ефектът върху времето на атриална проводимост може да се потенциира;</w:t>
      </w:r>
    </w:p>
    <w:p w14:paraId="03A75BB0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Калциеви антагонисти (дихидропиридинови производни, като нифедипин): повишен риск от хипотония. При пациенти с латентна сърдечна недостатъчност, съпътстващото лечение с β-блокери може да доведе до сърдечна недостатъчност;</w:t>
      </w:r>
    </w:p>
    <w:p w14:paraId="49D89D6F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Парасимпатикомиметични лекарства (вкл. такрин и галантамин): времето на атрио- вентрикуларна проводимост може да се повиши;</w:t>
      </w:r>
    </w:p>
    <w:p w14:paraId="58FFA3A1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Други β-блокери, вкл. капки за очи - имат адитивен ефект;</w:t>
      </w:r>
    </w:p>
    <w:p w14:paraId="49564596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Инсулин и перорални антидиабетни лекарствен продукти: Засилен хипогликемичен ефект.</w:t>
      </w:r>
    </w:p>
    <w:p w14:paraId="54329B96" w14:textId="77777777" w:rsidR="009A69A3" w:rsidRDefault="009A69A3" w:rsidP="009A69A3">
      <w:pPr>
        <w:pStyle w:val="ListParagraph"/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Блокирането на В-адренорецепторите може да маскира симптомите на хипогликемия;</w:t>
      </w:r>
    </w:p>
    <w:p w14:paraId="600E8B4D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Анестетици: Смекчаване на рефлекторната тахикардия и повишен риск от хипотония;</w:t>
      </w:r>
    </w:p>
    <w:p w14:paraId="09F54760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lastRenderedPageBreak/>
        <w:t>Продължаването на β-блокадата намалява риска от аритмия по време на индукцията и интубацията. Анестезиологът трябва да е информиран, че пациентът приема бисопролол;</w:t>
      </w:r>
    </w:p>
    <w:p w14:paraId="580545CB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Дигиталисови гликозиди: намаляване на сърдечната честота, увеличаване на времето на атрио- вентрикуларна проводимост;</w:t>
      </w:r>
    </w:p>
    <w:p w14:paraId="35B5064B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Ерготаминови производни: влошаване на периферните циркулаторни нарушения;</w:t>
      </w:r>
    </w:p>
    <w:p w14:paraId="6E263916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Бета-симпатомиметици: комбинацията с бисопролол може да намали ефектите и на двата продукта;</w:t>
      </w:r>
    </w:p>
    <w:p w14:paraId="1433FB57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Симпатикомиметични лекарствени продукти, които активират бета- и алфа- адренорецепторите: комбинацията с бисопролол може да доведе до повишаване на кръвното налягане;</w:t>
      </w:r>
    </w:p>
    <w:p w14:paraId="784C2EAC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Едновременното приложение с други антихипертензивни средства, както и с лекарства за които е известно че понижават кръвното налягане, може да увеличи риска от хипотония;</w:t>
      </w:r>
    </w:p>
    <w:p w14:paraId="01722064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Може да са необходими по-високи дози епинефрин за лечението на алергични реакции;</w:t>
      </w:r>
    </w:p>
    <w:p w14:paraId="73706AD6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Трициклични антидепресанти, барбитурати, фенотиазини, както и други антихипертензивни лекарства: засилен хипотензивен ефект;</w:t>
      </w:r>
    </w:p>
    <w:p w14:paraId="437F54C5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Баклофен: повишена антихипертензивна активност;</w:t>
      </w:r>
    </w:p>
    <w:p w14:paraId="2641998B" w14:textId="77777777" w:rsid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Йод съдържащи контрастни лекарствени продукти: β-блокерите могат затруднят компенсаторните кардиоваскуларни реакции, което може да доведе до хипотония или шок предизвикан от йод съдържащи контрастни лекарствени продукти;</w:t>
      </w:r>
    </w:p>
    <w:p w14:paraId="398B6AE7" w14:textId="50855603" w:rsidR="009A69A3" w:rsidRPr="009A69A3" w:rsidRDefault="009A69A3" w:rsidP="009A69A3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Нестероидни противовъзпалителни лекарствени продукти: понижен антихипертензивен ефект (инхибиране на вазодилатиращия простагландин от нестероидните противовъзпалителни лекарства и задръжка на вода и натрий при пиразолоновите нестероидните противовъзпалителни лекарства).</w:t>
      </w:r>
    </w:p>
    <w:p w14:paraId="2661769D" w14:textId="77777777" w:rsidR="009A69A3" w:rsidRP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6C0089F4" w14:textId="77777777" w:rsid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Комбинации, които трябва да се обмислят</w:t>
      </w:r>
      <w:bookmarkEnd w:id="2"/>
    </w:p>
    <w:p w14:paraId="37D217B8" w14:textId="77777777" w:rsidR="009A69A3" w:rsidRPr="009A69A3" w:rsidRDefault="009A69A3" w:rsidP="009A69A3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Мефлоквин: повишен риск от брадикардия;</w:t>
      </w:r>
    </w:p>
    <w:p w14:paraId="5688C6E7" w14:textId="77777777" w:rsidR="009A69A3" w:rsidRPr="009A69A3" w:rsidRDefault="009A69A3" w:rsidP="009A69A3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Кортикостероиди: понижен антихипертензивен ефект поради задържане на вода и натрий;</w:t>
      </w:r>
    </w:p>
    <w:p w14:paraId="7E725A99" w14:textId="581C7386" w:rsidR="009A69A3" w:rsidRPr="009A69A3" w:rsidRDefault="009A69A3" w:rsidP="009A69A3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Рифампицин: възможно е леко скъсяване на полуживота на бисопролол поради индукция на чернодробните лекарство-метаболизиращи ензими. По принцип не е необходимо адаптиране на дозата.</w:t>
      </w:r>
    </w:p>
    <w:p w14:paraId="767032E8" w14:textId="77777777" w:rsidR="009A69A3" w:rsidRPr="009A69A3" w:rsidRDefault="009A69A3" w:rsidP="009A69A3">
      <w:pPr>
        <w:rPr>
          <w:lang w:val="ru-RU" w:eastAsia="bg-BG"/>
        </w:rPr>
      </w:pPr>
    </w:p>
    <w:p w14:paraId="29D2BD58" w14:textId="584362FC" w:rsidR="00DF4C8E" w:rsidRDefault="002C50EE" w:rsidP="00F44498">
      <w:pPr>
        <w:pStyle w:val="Heading2"/>
      </w:pPr>
      <w:r>
        <w:t>4.6. Фертилитет, бременност и кърмене</w:t>
      </w:r>
    </w:p>
    <w:p w14:paraId="2C3939EF" w14:textId="2A705E3E" w:rsidR="009A69A3" w:rsidRDefault="009A69A3" w:rsidP="009A69A3"/>
    <w:p w14:paraId="6252F84D" w14:textId="77777777" w:rsidR="009A69A3" w:rsidRPr="009A69A3" w:rsidRDefault="009A69A3" w:rsidP="009A69A3">
      <w:pPr>
        <w:pStyle w:val="Heading3"/>
        <w:rPr>
          <w:rFonts w:eastAsia="Times New Roman"/>
          <w:i/>
        </w:rPr>
      </w:pPr>
      <w:r w:rsidRPr="009A69A3">
        <w:rPr>
          <w:rFonts w:eastAsia="Times New Roman"/>
          <w:i/>
          <w:lang w:eastAsia="bg-BG"/>
        </w:rPr>
        <w:t>Бременност</w:t>
      </w:r>
    </w:p>
    <w:p w14:paraId="06139CF0" w14:textId="77777777" w:rsidR="009A69A3" w:rsidRPr="009A69A3" w:rsidRDefault="009A69A3" w:rsidP="009A69A3">
      <w:pPr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има фармакологични действия, които могат да предизвикат увреждащи действия върху бременността и/или върху плода/новороденото. По принцип, В-адренорецепторните блокери намаляват плацентната перфузия, което може да има връзка със забавянето на растежа</w:t>
      </w:r>
      <w:r w:rsidRPr="009A69A3">
        <w:rPr>
          <w:rFonts w:eastAsia="Times New Roman" w:cs="Arial"/>
          <w:color w:val="000000"/>
          <w:lang w:val="ru-RU" w:eastAsia="bg-BG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вътрематочна смърт, аборт или преждевременно раждане. Нежелани лекарствени реакции (напр. хипогликемия, брадикардия) могат да се появят при плода и новороденото. Ако е необходимо лечение с β-адренорецепторни блокери, β</w:t>
      </w:r>
      <w:r w:rsidRPr="009A69A3">
        <w:rPr>
          <w:rFonts w:eastAsia="Times New Roman" w:cs="Arial"/>
          <w:color w:val="000000"/>
          <w:vertAlign w:val="subscript"/>
          <w:lang w:eastAsia="bg-BG"/>
        </w:rPr>
        <w:t>1</w:t>
      </w:r>
      <w:r w:rsidRPr="009A69A3">
        <w:rPr>
          <w:rFonts w:eastAsia="Times New Roman" w:cs="Arial"/>
          <w:color w:val="000000"/>
          <w:lang w:val="ru-RU"/>
        </w:rPr>
        <w:t xml:space="preserve">- </w:t>
      </w:r>
      <w:r w:rsidRPr="009A69A3">
        <w:rPr>
          <w:rFonts w:eastAsia="Times New Roman" w:cs="Arial"/>
          <w:color w:val="000000"/>
          <w:lang w:eastAsia="bg-BG"/>
        </w:rPr>
        <w:t>селективните адренорецепторните блокери са за предпочитане.</w:t>
      </w:r>
    </w:p>
    <w:p w14:paraId="4D368D74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7845CE" w14:textId="6FE55D3B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не бива да се използва по време на бременността, освен ако не е ясно необходимо. Ако лечението с бисопролол се счита за необходимо, маточно-плацентния кръвоток и растежа на плода трябва бъдат проследявани. В случай на увреждащи ефекти върху бременността или плода, трябва да се обмисли алтернативно лечение. Новородените трябва да се наблюдават стриктно.</w:t>
      </w:r>
    </w:p>
    <w:p w14:paraId="561AC687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Симптомите на хипогликемия и брадикардия по принцип, се очакват през първите три дни.</w:t>
      </w:r>
    </w:p>
    <w:p w14:paraId="0C86FFB8" w14:textId="77777777" w:rsidR="009A69A3" w:rsidRDefault="009A69A3" w:rsidP="009A69A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C3F08F3" w14:textId="40DD8012" w:rsidR="009A69A3" w:rsidRPr="009A69A3" w:rsidRDefault="009A69A3" w:rsidP="009A69A3">
      <w:pPr>
        <w:pStyle w:val="Heading3"/>
        <w:rPr>
          <w:rFonts w:eastAsia="Times New Roman"/>
          <w:i/>
        </w:rPr>
      </w:pPr>
      <w:r w:rsidRPr="009A69A3">
        <w:rPr>
          <w:rFonts w:eastAsia="Times New Roman"/>
          <w:i/>
          <w:lang w:eastAsia="bg-BG"/>
        </w:rPr>
        <w:t>Кърмене</w:t>
      </w:r>
    </w:p>
    <w:p w14:paraId="79473F4B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 е известно дали този лекарствен продукт се екскретира с кърмата. Затова, кърменето не е препоръчително по време на приложение на бисопролол.</w:t>
      </w:r>
    </w:p>
    <w:p w14:paraId="33DC30E3" w14:textId="320CECC4" w:rsidR="009A69A3" w:rsidRPr="009A69A3" w:rsidRDefault="009A69A3" w:rsidP="009A69A3"/>
    <w:p w14:paraId="4DF5A2E7" w14:textId="34E3FA83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290E4F3B" w14:textId="25024388" w:rsidR="009A69A3" w:rsidRDefault="009A69A3" w:rsidP="009A69A3"/>
    <w:p w14:paraId="638F3513" w14:textId="77777777" w:rsidR="009A69A3" w:rsidRPr="009A69A3" w:rsidRDefault="009A69A3" w:rsidP="009A69A3">
      <w:pPr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При проучване с пациенти с исхемична болест на сърцето, бисопролол не влошава способността за шофиране. Въпреки това, поради индивидуалните вариации на реакциите към лекарствения продукт, способността за шофиране на превозно средство и работа с машини може да се влоши. Това трябва да се има предвид, особено при започване на терапията и при промяна на лечението, както и при употреба на алкохол.</w:t>
      </w:r>
    </w:p>
    <w:p w14:paraId="62E57B9D" w14:textId="77777777" w:rsidR="009A69A3" w:rsidRPr="009A69A3" w:rsidRDefault="009A69A3" w:rsidP="009A69A3"/>
    <w:p w14:paraId="28229498" w14:textId="6A63AFD8" w:rsidR="00DF4C8E" w:rsidRDefault="002C50EE" w:rsidP="00F44498">
      <w:pPr>
        <w:pStyle w:val="Heading2"/>
      </w:pPr>
      <w:r>
        <w:t>4.8. Нежелани лекарствени реакции</w:t>
      </w:r>
    </w:p>
    <w:p w14:paraId="0D5DDD38" w14:textId="64FC6876" w:rsidR="009A69A3" w:rsidRDefault="009A69A3" w:rsidP="009A69A3"/>
    <w:p w14:paraId="3FA41701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Докладваните нежелани лекарствени реакции, могат по принцип да се отдадат на фармакологичните свойства на В-блокиращите лекарства.</w:t>
      </w:r>
    </w:p>
    <w:p w14:paraId="1513653F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В този раздел нежеланите лекарствени реакции са изброени в низходящ ред според тяхната честота: Чести (≥1/100 до &lt;1/10), Нечести (≥1/1 000 до &lt;1/100), Редки (≥1/10 000 до &lt;1/1 000), Много редки (&lt;1/10,000)</w:t>
      </w:r>
    </w:p>
    <w:p w14:paraId="0299DD2C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41FDA3C" w14:textId="4EBEA3AC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Психични нарушения:</w:t>
      </w:r>
    </w:p>
    <w:p w14:paraId="7503FA0C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Нечести:нарушение на съня, депресия;</w:t>
      </w:r>
    </w:p>
    <w:p w14:paraId="349C9EC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кошмари, халюцинации.</w:t>
      </w:r>
    </w:p>
    <w:p w14:paraId="53F82784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7846BBE" w14:textId="63C692BC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нервната система:</w:t>
      </w:r>
    </w:p>
    <w:p w14:paraId="2E26595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Чести:Умора, изтощение, замаяност*, главоболие* и световъртеж;</w:t>
      </w:r>
    </w:p>
    <w:p w14:paraId="103E98F5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синкоп.</w:t>
      </w:r>
    </w:p>
    <w:p w14:paraId="09E3958B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4C7E9884" w14:textId="7210CF0A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очите:</w:t>
      </w:r>
      <w:bookmarkEnd w:id="3"/>
    </w:p>
    <w:p w14:paraId="2FADCB8F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намалено сълзотечение (да се има предвид при пациенти носещи лещи);</w:t>
      </w:r>
    </w:p>
    <w:p w14:paraId="3966EAFE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Много редки: конюнктивит.</w:t>
      </w:r>
    </w:p>
    <w:p w14:paraId="62C239A5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3C51D509" w14:textId="7AEC9FFA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ухото и лабиринта:</w:t>
      </w:r>
      <w:bookmarkEnd w:id="4"/>
    </w:p>
    <w:p w14:paraId="2A668E0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нарушения на слуха.</w:t>
      </w:r>
    </w:p>
    <w:p w14:paraId="064A37E0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3B63F252" w14:textId="502A6AA6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Сърдечни нарушения:</w:t>
      </w:r>
      <w:bookmarkEnd w:id="5"/>
    </w:p>
    <w:p w14:paraId="045401B8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Нечести: Брадикардия, нарушения на </w:t>
      </w:r>
      <w:r w:rsidRPr="009A69A3">
        <w:rPr>
          <w:rFonts w:eastAsia="Times New Roman" w:cs="Arial"/>
          <w:color w:val="000000"/>
          <w:lang w:val="en-US"/>
        </w:rPr>
        <w:t>AV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 xml:space="preserve">проводимостта (забавена </w:t>
      </w:r>
      <w:r w:rsidRPr="009A69A3">
        <w:rPr>
          <w:rFonts w:eastAsia="Times New Roman" w:cs="Arial"/>
          <w:color w:val="000000"/>
          <w:lang w:val="en-US"/>
        </w:rPr>
        <w:t>AV</w:t>
      </w:r>
      <w:r w:rsidRPr="009A69A3">
        <w:rPr>
          <w:rFonts w:eastAsia="Times New Roman" w:cs="Arial"/>
          <w:color w:val="000000"/>
          <w:lang w:eastAsia="bg-BG"/>
        </w:rPr>
        <w:t xml:space="preserve">-проводимост или влошаване на съществуващ </w:t>
      </w:r>
      <w:r w:rsidRPr="009A69A3">
        <w:rPr>
          <w:rFonts w:eastAsia="Times New Roman" w:cs="Arial"/>
          <w:color w:val="000000"/>
          <w:lang w:val="en-US"/>
        </w:rPr>
        <w:t>AV</w:t>
      </w:r>
      <w:r w:rsidRPr="009A69A3">
        <w:rPr>
          <w:rFonts w:eastAsia="Times New Roman" w:cs="Arial"/>
          <w:color w:val="000000"/>
          <w:lang w:eastAsia="bg-BG"/>
        </w:rPr>
        <w:t>-блок), влошаване на сърдечна недостатъчност.</w:t>
      </w:r>
    </w:p>
    <w:p w14:paraId="1F728329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25D29FBA" w14:textId="684E507C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Съдови нарушения:</w:t>
      </w:r>
      <w:bookmarkEnd w:id="6"/>
    </w:p>
    <w:p w14:paraId="1C4658AC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lastRenderedPageBreak/>
        <w:t>Чести:Усещане за студ или изтръпване на крайниците, болест на Рейно, влошаване на съществуващо интермитентно клаудикацио, хипотония;</w:t>
      </w:r>
    </w:p>
    <w:p w14:paraId="51C47781" w14:textId="071E74C5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A69A3">
        <w:rPr>
          <w:rFonts w:eastAsia="Times New Roman" w:cs="Arial"/>
          <w:color w:val="000000"/>
          <w:lang w:eastAsia="bg-BG"/>
        </w:rPr>
        <w:t>Нечести: ортостатична хипотония.</w:t>
      </w:r>
    </w:p>
    <w:p w14:paraId="367257DF" w14:textId="5BA1E99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C7E647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Респираторни, гръдни и медиастинални нарушения:</w:t>
      </w:r>
    </w:p>
    <w:p w14:paraId="1DDA2D81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Нечести: Бронхоспазъм при пациенти с бронхиална астма или анамнеза за обструктивно заболяване на дихателните пътища;</w:t>
      </w:r>
    </w:p>
    <w:p w14:paraId="56105D11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алергичен ринит.</w:t>
      </w:r>
    </w:p>
    <w:p w14:paraId="445CF61E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CCF3FA6" w14:textId="01A8D0C0" w:rsidR="009A69A3" w:rsidRP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Стомашно-чревни нарушения:</w:t>
      </w:r>
    </w:p>
    <w:p w14:paraId="45C9A16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Чести: гадене, повръщане, диария, коремна болка и констипация .</w:t>
      </w:r>
    </w:p>
    <w:p w14:paraId="5ED32EC2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3423EBD" w14:textId="3D5AC8B9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Хепатобилиарни нарушения:</w:t>
      </w:r>
    </w:p>
    <w:p w14:paraId="7F6DD3B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хепатит.</w:t>
      </w:r>
    </w:p>
    <w:p w14:paraId="611DEF3A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35F10E2" w14:textId="66B5A23D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тъкан:</w:t>
      </w:r>
    </w:p>
    <w:p w14:paraId="61177103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реакции на свръхчувствителност (сърбеж, зачервяване, обрив)</w:t>
      </w:r>
    </w:p>
    <w:p w14:paraId="5B5761CC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Много редки: В-блокиращите лекарства могат да провокират или влошат псориазис или да индуцират псориазис подобен обрив, алопеция.</w:t>
      </w:r>
    </w:p>
    <w:p w14:paraId="4FFF5EFB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24FA38E" w14:textId="546F6194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мускулно-скелетната система и съединителната тъкан:</w:t>
      </w:r>
    </w:p>
    <w:p w14:paraId="04424D4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Нечести: мускулна слабост и крампи, артропатия.</w:t>
      </w:r>
    </w:p>
    <w:p w14:paraId="725E7315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E9AD289" w14:textId="12EB9276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Нарушения на възпроизводителната система и гърдата:</w:t>
      </w:r>
    </w:p>
    <w:p w14:paraId="148BD1C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Редки: нарушение на потентността.</w:t>
      </w:r>
    </w:p>
    <w:p w14:paraId="2A5DD021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12"/>
    </w:p>
    <w:p w14:paraId="52FA6F84" w14:textId="2C71F201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Общи нарушения:</w:t>
      </w:r>
      <w:bookmarkEnd w:id="7"/>
    </w:p>
    <w:p w14:paraId="6C9500B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Чести: умора*;</w:t>
      </w:r>
    </w:p>
    <w:p w14:paraId="2B48ECDB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Нечести: астения.</w:t>
      </w:r>
    </w:p>
    <w:p w14:paraId="488DE1C0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8" w:name="bookmark14"/>
    </w:p>
    <w:p w14:paraId="27B363F4" w14:textId="6C064B91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Изследвания:</w:t>
      </w:r>
      <w:bookmarkEnd w:id="8"/>
    </w:p>
    <w:p w14:paraId="280E4BAD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Редки:увеличени нива на чернодробните ензими </w:t>
      </w:r>
      <w:r w:rsidRPr="009A69A3">
        <w:rPr>
          <w:rFonts w:eastAsia="Times New Roman" w:cs="Arial"/>
          <w:color w:val="000000"/>
          <w:lang w:val="ru-RU"/>
        </w:rPr>
        <w:t>(</w:t>
      </w:r>
      <w:r w:rsidRPr="009A69A3">
        <w:rPr>
          <w:rFonts w:eastAsia="Times New Roman" w:cs="Arial"/>
          <w:color w:val="000000"/>
          <w:lang w:val="en-US"/>
        </w:rPr>
        <w:t>ALAT</w:t>
      </w:r>
      <w:r w:rsidRPr="009A69A3">
        <w:rPr>
          <w:rFonts w:eastAsia="Times New Roman" w:cs="Arial"/>
          <w:color w:val="000000"/>
          <w:lang w:val="ru-RU"/>
        </w:rPr>
        <w:t xml:space="preserve">, </w:t>
      </w:r>
      <w:r w:rsidRPr="009A69A3">
        <w:rPr>
          <w:rFonts w:eastAsia="Times New Roman" w:cs="Arial"/>
          <w:color w:val="000000"/>
          <w:lang w:val="en-US"/>
        </w:rPr>
        <w:t>ASAT</w:t>
      </w:r>
      <w:r w:rsidRPr="009A69A3">
        <w:rPr>
          <w:rFonts w:eastAsia="Times New Roman" w:cs="Arial"/>
          <w:color w:val="000000"/>
          <w:lang w:val="ru-RU"/>
        </w:rPr>
        <w:t xml:space="preserve">), </w:t>
      </w:r>
      <w:r w:rsidRPr="009A69A3">
        <w:rPr>
          <w:rFonts w:eastAsia="Times New Roman" w:cs="Arial"/>
          <w:color w:val="000000"/>
          <w:lang w:eastAsia="bg-BG"/>
        </w:rPr>
        <w:t xml:space="preserve">увеличени нива на триглицериди, хипогликемия, поява на антинуклеарни антитела и рядко срещащи се клинични симптоми, като </w:t>
      </w:r>
      <w:r w:rsidRPr="009A69A3">
        <w:rPr>
          <w:rFonts w:eastAsia="Times New Roman" w:cs="Arial"/>
          <w:color w:val="000000"/>
          <w:lang w:val="en-US"/>
        </w:rPr>
        <w:t>lupus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синдром, които изчезват при прекратяване на лечението.</w:t>
      </w:r>
    </w:p>
    <w:p w14:paraId="6D6441C6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7A02FD" w14:textId="74E76D9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*Тези симптоми се появяват особено в началото на терапията, като обикновено се смекчават и често изчезват в продължение на 1-2 седмици.</w:t>
      </w:r>
    </w:p>
    <w:p w14:paraId="3E198A9D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ED18744" w14:textId="061A6822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73F100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095590BE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329E7A1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ул.,Дамян Груев” № 8</w:t>
      </w:r>
    </w:p>
    <w:p w14:paraId="04BF105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1303 София</w:t>
      </w:r>
    </w:p>
    <w:p w14:paraId="30E190E0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Тел.:+359 2 8903417</w:t>
      </w:r>
    </w:p>
    <w:p w14:paraId="587FA39C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уебсайт: </w:t>
      </w:r>
      <w:r w:rsidRPr="009A69A3">
        <w:rPr>
          <w:rFonts w:eastAsia="Times New Roman" w:cs="Arial"/>
        </w:rPr>
        <w:fldChar w:fldCharType="begin"/>
      </w:r>
      <w:r w:rsidRPr="009A69A3">
        <w:rPr>
          <w:rFonts w:eastAsia="Times New Roman" w:cs="Arial"/>
        </w:rPr>
        <w:instrText xml:space="preserve"> HYPERLINK "http://www.bda.bg" </w:instrText>
      </w:r>
      <w:r w:rsidRPr="009A69A3">
        <w:rPr>
          <w:rFonts w:eastAsia="Times New Roman" w:cs="Arial"/>
        </w:rPr>
      </w:r>
      <w:r w:rsidRPr="009A69A3">
        <w:rPr>
          <w:rFonts w:eastAsia="Times New Roman" w:cs="Arial"/>
        </w:rPr>
        <w:fldChar w:fldCharType="separate"/>
      </w:r>
      <w:r w:rsidRPr="009A69A3">
        <w:rPr>
          <w:rFonts w:eastAsia="Times New Roman" w:cs="Arial"/>
          <w:color w:val="000000"/>
          <w:u w:val="single"/>
          <w:lang w:val="en-US"/>
        </w:rPr>
        <w:t>www</w:t>
      </w:r>
      <w:r w:rsidRPr="009A69A3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9A69A3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9A69A3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9A69A3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9A69A3">
        <w:rPr>
          <w:rFonts w:eastAsia="Times New Roman" w:cs="Arial"/>
        </w:rPr>
        <w:fldChar w:fldCharType="end"/>
      </w:r>
    </w:p>
    <w:p w14:paraId="6D8B2F0D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</w:p>
    <w:p w14:paraId="42405CC5" w14:textId="77777777" w:rsidR="009A69A3" w:rsidRPr="009A69A3" w:rsidRDefault="009A69A3" w:rsidP="009A69A3"/>
    <w:p w14:paraId="07687653" w14:textId="3A3C35F3" w:rsidR="00DF4C8E" w:rsidRDefault="002C50EE" w:rsidP="00F44498">
      <w:pPr>
        <w:pStyle w:val="Heading2"/>
      </w:pPr>
      <w:r>
        <w:lastRenderedPageBreak/>
        <w:t>4.9. Предозиране</w:t>
      </w:r>
    </w:p>
    <w:p w14:paraId="32EE9035" w14:textId="051F0E6F" w:rsidR="009A69A3" w:rsidRDefault="009A69A3" w:rsidP="009A69A3"/>
    <w:p w14:paraId="5ABE5A49" w14:textId="77777777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>Симптоми и лечение на предозирането</w:t>
      </w:r>
    </w:p>
    <w:p w14:paraId="539A9934" w14:textId="77777777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>Най-честите очаквани симптоми при предозиране с бисопролол са: брадикардия, хипотония, бронхоспазъм, остра сърдечна недостатъчност, смущения в проводимостта и хипогликемия.</w:t>
      </w:r>
    </w:p>
    <w:p w14:paraId="13796F40" w14:textId="6CF4554D" w:rsidR="009A69A3" w:rsidRDefault="009A69A3" w:rsidP="009A69A3"/>
    <w:p w14:paraId="7368C051" w14:textId="77777777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>В случай на предозиране, терапията с бисопролол трябва да се прекрати и да се проведе спомагателно и симптоматично лечение. Трябва да се предотврати резорбция на бисопролол в гастро-интестиналния тракт; чрез прилагане на стомашна промивка, или приемане на адсорбенти (активен въглен) и лаксативен продукт (натриев сулфат). Дишането трябва да бъде мониторирано и ако е необходимо трябва да се започне изкуствено дишане. Бронхоспазмът трябва да бъде купиран, с бронходилатираща терапия, прилагане на изопреналин или β</w:t>
      </w:r>
      <w:r w:rsidRPr="009A69A3">
        <w:rPr>
          <w:vertAlign w:val="subscript"/>
          <w:lang w:eastAsia="bg-BG"/>
        </w:rPr>
        <w:t>2</w:t>
      </w:r>
      <w:r w:rsidRPr="009A69A3">
        <w:rPr>
          <w:lang w:eastAsia="bg-BG"/>
        </w:rPr>
        <w:t xml:space="preserve">-симпатикомиметични лекарствени продукти. Кардио-васкуларните усложнения трябва да бъдат лекувани симптоматично. При </w:t>
      </w:r>
      <w:r w:rsidRPr="009A69A3">
        <w:rPr>
          <w:lang w:val="en-US"/>
        </w:rPr>
        <w:t>AV</w:t>
      </w:r>
      <w:r w:rsidRPr="009A69A3">
        <w:rPr>
          <w:lang w:eastAsia="bg-BG"/>
        </w:rPr>
        <w:t xml:space="preserve">-блок (втора или трета степен) е необходимо внимателно мониториране и лечение с изопреналинова инфузия или въвеждане на трансвенозен сърдечен пейсмейкър. Брадикардията трябва да бъде лекувана с прилагане на атропин (или </w:t>
      </w:r>
      <w:r w:rsidRPr="009A69A3">
        <w:rPr>
          <w:lang w:val="en-US"/>
        </w:rPr>
        <w:t>M</w:t>
      </w:r>
      <w:r w:rsidRPr="009A69A3">
        <w:rPr>
          <w:lang w:val="ru-RU"/>
        </w:rPr>
        <w:t>-</w:t>
      </w:r>
      <w:r w:rsidRPr="009A69A3">
        <w:rPr>
          <w:lang w:val="en-US"/>
        </w:rPr>
        <w:t>methyl</w:t>
      </w:r>
      <w:r w:rsidRPr="009A69A3">
        <w:rPr>
          <w:lang w:val="ru-RU"/>
        </w:rPr>
        <w:t>-</w:t>
      </w:r>
      <w:r w:rsidRPr="009A69A3">
        <w:rPr>
          <w:lang w:val="en-US"/>
        </w:rPr>
        <w:t>atropine</w:t>
      </w:r>
      <w:r w:rsidRPr="009A69A3">
        <w:rPr>
          <w:lang w:val="ru-RU"/>
        </w:rPr>
        <w:t xml:space="preserve">) </w:t>
      </w:r>
      <w:r w:rsidRPr="009A69A3">
        <w:rPr>
          <w:lang w:eastAsia="bg-BG"/>
        </w:rPr>
        <w:t>венозно. Хипотония или шок трябва да бъдат лекувани с прилагане на плазмозаместители и вазопресори.</w:t>
      </w:r>
    </w:p>
    <w:p w14:paraId="21B1DB9F" w14:textId="77777777" w:rsidR="009A69A3" w:rsidRDefault="009A69A3" w:rsidP="009A69A3">
      <w:pPr>
        <w:rPr>
          <w:lang w:eastAsia="bg-BG"/>
        </w:rPr>
      </w:pPr>
    </w:p>
    <w:p w14:paraId="14A6DB17" w14:textId="602FB7FA" w:rsidR="009A69A3" w:rsidRPr="009A69A3" w:rsidRDefault="009A69A3" w:rsidP="009A69A3">
      <w:pPr>
        <w:rPr>
          <w:sz w:val="24"/>
          <w:szCs w:val="24"/>
        </w:rPr>
      </w:pPr>
      <w:r w:rsidRPr="009A69A3">
        <w:rPr>
          <w:lang w:eastAsia="bg-BG"/>
        </w:rPr>
        <w:t>Хипогликемията трябва да бъде лекувана с интравенозно приложение на глюкоза. Бисопролол в много малка степен се отстранява чрез диализа.</w:t>
      </w:r>
    </w:p>
    <w:p w14:paraId="5AE67EAF" w14:textId="5796F8E2" w:rsidR="009A69A3" w:rsidRPr="009A69A3" w:rsidRDefault="009A69A3" w:rsidP="009A69A3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3F432885" w:rsidR="00DF4C8E" w:rsidRDefault="002C50EE" w:rsidP="00F44498">
      <w:pPr>
        <w:pStyle w:val="Heading2"/>
      </w:pPr>
      <w:r>
        <w:t>5.1. Фармакодинамични свойства</w:t>
      </w:r>
    </w:p>
    <w:p w14:paraId="0E765448" w14:textId="6C8BF916" w:rsidR="009A69A3" w:rsidRDefault="009A69A3" w:rsidP="009A69A3"/>
    <w:p w14:paraId="5EF0560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Фармакотерапевтична група</w:t>
      </w:r>
    </w:p>
    <w:p w14:paraId="4521A14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Селективен β</w:t>
      </w:r>
      <w:r w:rsidRPr="009A69A3">
        <w:rPr>
          <w:rFonts w:eastAsia="Times New Roman" w:cs="Arial"/>
          <w:color w:val="000000"/>
          <w:vertAlign w:val="subscript"/>
          <w:lang w:eastAsia="bg-BG"/>
        </w:rPr>
        <w:t>1</w:t>
      </w:r>
      <w:r w:rsidRPr="009A69A3">
        <w:rPr>
          <w:rFonts w:eastAsia="Times New Roman" w:cs="Arial"/>
          <w:color w:val="000000"/>
          <w:lang w:eastAsia="bg-BG"/>
        </w:rPr>
        <w:t>-блокиращ агент, АТС код: С07 АВ07</w:t>
      </w:r>
    </w:p>
    <w:p w14:paraId="75DA20ED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355DB0" w14:textId="69F84E20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3857FF8E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е силен, високо β</w:t>
      </w:r>
      <w:r w:rsidRPr="009A69A3">
        <w:rPr>
          <w:rFonts w:eastAsia="Times New Roman" w:cs="Arial"/>
          <w:color w:val="000000"/>
          <w:vertAlign w:val="subscript"/>
          <w:lang w:eastAsia="bg-BG"/>
        </w:rPr>
        <w:t>1</w:t>
      </w:r>
      <w:r w:rsidRPr="009A69A3">
        <w:rPr>
          <w:rFonts w:eastAsia="Times New Roman" w:cs="Arial"/>
          <w:color w:val="000000"/>
          <w:lang w:eastAsia="bg-BG"/>
        </w:rPr>
        <w:t>-селективен- адренорецептор блокиращ агент лишен от вътрешна симпатикомиметична активност. Както при другите β- блокиращи агенти, начина на действие при хипертония е неизяснен. Все пак, е ясно че бисопролол подчертано потиска плазмената активност на ренина.</w:t>
      </w:r>
    </w:p>
    <w:p w14:paraId="1EF1A9CB" w14:textId="77777777" w:rsidR="009A69A3" w:rsidRDefault="009A69A3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F3C387" w14:textId="4C2E153D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При пациенти със стенокардия блокирането на В-рецепторите намалява сърдечната честота и контрактилитет водещо до намаление на миокардната консумация на кислород. Бизостад притежава подобна на пропранолол локално анестезираща активност.</w:t>
      </w:r>
    </w:p>
    <w:p w14:paraId="7CA0DCD1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притежава много слаб афинитет към β2- рецепторите на гладката мускулатура на бронхите и съдовете и към β2- рецепторите на метаболитната регулация</w:t>
      </w:r>
    </w:p>
    <w:p w14:paraId="50DFC444" w14:textId="77777777" w:rsidR="009A69A3" w:rsidRPr="009A69A3" w:rsidRDefault="009A69A3" w:rsidP="009A69A3"/>
    <w:p w14:paraId="79643DB7" w14:textId="380B820D" w:rsidR="00DF4C8E" w:rsidRDefault="002C50EE" w:rsidP="00F44498">
      <w:pPr>
        <w:pStyle w:val="Heading2"/>
      </w:pPr>
      <w:r>
        <w:t>5.2. Фармакокинетични свойства</w:t>
      </w:r>
    </w:p>
    <w:p w14:paraId="2C88F421" w14:textId="1D0A73CD" w:rsidR="009A69A3" w:rsidRDefault="009A69A3" w:rsidP="009A69A3"/>
    <w:p w14:paraId="1ACF8C26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Абсорбция</w:t>
      </w:r>
    </w:p>
    <w:p w14:paraId="274052E4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lastRenderedPageBreak/>
        <w:t xml:space="preserve">Бизостад се абсорбира почти напълно от гастро-интестиналният тракт. Поради много малкият ефект на </w:t>
      </w:r>
      <w:r w:rsidRPr="009A69A3">
        <w:rPr>
          <w:rFonts w:eastAsia="Times New Roman" w:cs="Arial"/>
          <w:color w:val="000000"/>
          <w:lang w:val="en-US"/>
        </w:rPr>
        <w:t>first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val="en-US"/>
        </w:rPr>
        <w:t>pass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през черния дроб, това води до висока бионаличност от приблизително 90%.</w:t>
      </w:r>
    </w:p>
    <w:p w14:paraId="068291E8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9B8BA6F" w14:textId="449440B1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Разпределение</w:t>
      </w:r>
    </w:p>
    <w:p w14:paraId="6ED52AB5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Свързването на бисопролол с плазмените протеини е около 30 %. Обемът на разпределение е 3,5 </w:t>
      </w:r>
      <w:r w:rsidRPr="009A69A3">
        <w:rPr>
          <w:rFonts w:eastAsia="Times New Roman" w:cs="Arial"/>
          <w:color w:val="000000"/>
          <w:lang w:val="en-US"/>
        </w:rPr>
        <w:t>l</w:t>
      </w:r>
      <w:r w:rsidRPr="009A69A3">
        <w:rPr>
          <w:rFonts w:eastAsia="Times New Roman" w:cs="Arial"/>
          <w:color w:val="000000"/>
          <w:lang w:val="ru-RU"/>
        </w:rPr>
        <w:t>/</w:t>
      </w:r>
      <w:r w:rsidRPr="009A69A3">
        <w:rPr>
          <w:rFonts w:eastAsia="Times New Roman" w:cs="Arial"/>
          <w:color w:val="000000"/>
          <w:lang w:val="en-US"/>
        </w:rPr>
        <w:t>kg</w:t>
      </w:r>
      <w:r w:rsidRPr="009A69A3">
        <w:rPr>
          <w:rFonts w:eastAsia="Times New Roman" w:cs="Arial"/>
          <w:color w:val="000000"/>
          <w:lang w:val="ru-RU"/>
        </w:rPr>
        <w:t xml:space="preserve">. </w:t>
      </w:r>
      <w:r w:rsidRPr="009A69A3">
        <w:rPr>
          <w:rFonts w:eastAsia="Times New Roman" w:cs="Arial"/>
          <w:color w:val="000000"/>
          <w:lang w:eastAsia="bg-BG"/>
        </w:rPr>
        <w:t xml:space="preserve">Тоталният клирънс е приблизително 15 </w:t>
      </w:r>
      <w:r w:rsidRPr="009A69A3">
        <w:rPr>
          <w:rFonts w:eastAsia="Times New Roman" w:cs="Arial"/>
          <w:color w:val="000000"/>
          <w:lang w:val="en-US"/>
        </w:rPr>
        <w:t>l</w:t>
      </w:r>
      <w:r w:rsidRPr="009A69A3">
        <w:rPr>
          <w:rFonts w:eastAsia="Times New Roman" w:cs="Arial"/>
          <w:color w:val="000000"/>
          <w:lang w:val="ru-RU"/>
        </w:rPr>
        <w:t>/</w:t>
      </w:r>
      <w:r w:rsidRPr="009A69A3">
        <w:rPr>
          <w:rFonts w:eastAsia="Times New Roman" w:cs="Arial"/>
          <w:color w:val="000000"/>
          <w:lang w:val="en-US"/>
        </w:rPr>
        <w:t>h</w:t>
      </w:r>
      <w:r w:rsidRPr="009A69A3">
        <w:rPr>
          <w:rFonts w:eastAsia="Times New Roman" w:cs="Arial"/>
          <w:color w:val="000000"/>
          <w:lang w:val="ru-RU"/>
        </w:rPr>
        <w:t>.</w:t>
      </w:r>
    </w:p>
    <w:p w14:paraId="393845EA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2D461A9" w14:textId="5A242F52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Биотрансформация</w:t>
      </w:r>
    </w:p>
    <w:p w14:paraId="28B34645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Времето на плазмено полуелиминиране е 10-12 часа осигуряващо 24 часова ефикасност след еднократна дневна доза.</w:t>
      </w:r>
    </w:p>
    <w:p w14:paraId="0A87AFFC" w14:textId="77777777" w:rsidR="009A69A3" w:rsidRDefault="009A69A3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09B8F8D" w14:textId="3EDEF5C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Елиминиране</w:t>
      </w:r>
    </w:p>
    <w:p w14:paraId="57CBBE39" w14:textId="77777777" w:rsidR="009A69A3" w:rsidRPr="009A69A3" w:rsidRDefault="009A69A3" w:rsidP="009A69A3">
      <w:pPr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се екскретира от организма, чрез два пътя, 50% се метаболизират в черния дроб в неактивни метаболити, които се елиминират чрез бъбреците. Останалите 50% се елиминират чрез</w:t>
      </w:r>
      <w:r w:rsidRPr="009A69A3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бъбреците в неметаболизирана форма. Тъй като елиминирането се извършва чрез бъбреците и</w:t>
      </w:r>
      <w:r w:rsidRPr="009A69A3">
        <w:rPr>
          <w:rFonts w:eastAsia="Times New Roman" w:cs="Arial"/>
          <w:color w:val="000000"/>
          <w:lang w:val="ru-RU" w:eastAsia="bg-BG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>черния дроб в еднаква степен, не се изисква адаптиране на дозата за пациенти с увредена чернодробна функция или бъбречна недостатъчност.</w:t>
      </w:r>
    </w:p>
    <w:p w14:paraId="57F750D9" w14:textId="77777777" w:rsidR="009E5ED1" w:rsidRDefault="009E5ED1" w:rsidP="009A69A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E4D6500" w14:textId="4936D788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b/>
          <w:bCs/>
          <w:color w:val="000000"/>
          <w:lang w:eastAsia="bg-BG"/>
        </w:rPr>
        <w:t>Линейиост/нелинейност</w:t>
      </w:r>
    </w:p>
    <w:p w14:paraId="3A28981A" w14:textId="77777777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>Бизостад притежава линейна, възрастово независима кинетика.</w:t>
      </w:r>
    </w:p>
    <w:p w14:paraId="11E6FF37" w14:textId="77777777" w:rsidR="009E5ED1" w:rsidRDefault="009E5ED1" w:rsidP="009A69A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5FF4E3" w14:textId="45E589DF" w:rsidR="009A69A3" w:rsidRPr="009A69A3" w:rsidRDefault="009A69A3" w:rsidP="009A69A3">
      <w:pPr>
        <w:spacing w:line="240" w:lineRule="auto"/>
        <w:rPr>
          <w:rFonts w:eastAsia="Times New Roman" w:cs="Arial"/>
        </w:rPr>
      </w:pPr>
      <w:r w:rsidRPr="009A69A3">
        <w:rPr>
          <w:rFonts w:eastAsia="Times New Roman" w:cs="Arial"/>
          <w:color w:val="000000"/>
          <w:lang w:eastAsia="bg-BG"/>
        </w:rPr>
        <w:t xml:space="preserve">При пациенти с хронична сърдечна недостатъчност (III функционален клас по </w:t>
      </w:r>
      <w:r w:rsidRPr="009A69A3">
        <w:rPr>
          <w:rFonts w:eastAsia="Times New Roman" w:cs="Arial"/>
          <w:color w:val="000000"/>
          <w:lang w:val="en-US"/>
        </w:rPr>
        <w:t>NYHA</w:t>
      </w:r>
      <w:r w:rsidRPr="009A69A3">
        <w:rPr>
          <w:rFonts w:eastAsia="Times New Roman" w:cs="Arial"/>
          <w:color w:val="000000"/>
          <w:lang w:val="ru-RU"/>
        </w:rPr>
        <w:t xml:space="preserve">), </w:t>
      </w:r>
      <w:r w:rsidRPr="009A69A3">
        <w:rPr>
          <w:rFonts w:eastAsia="Times New Roman" w:cs="Arial"/>
          <w:color w:val="000000"/>
          <w:lang w:eastAsia="bg-BG"/>
        </w:rPr>
        <w:t xml:space="preserve">плазмените нива на бисопролол са по-високи в сравнение с тези при здрави доброволци. Максимална плазмена концентрация при </w:t>
      </w:r>
      <w:r w:rsidRPr="009A69A3">
        <w:rPr>
          <w:rFonts w:eastAsia="Times New Roman" w:cs="Arial"/>
          <w:color w:val="000000"/>
          <w:lang w:val="ru-RU"/>
        </w:rPr>
        <w:t>“</w:t>
      </w:r>
      <w:r w:rsidRPr="009A69A3">
        <w:rPr>
          <w:rFonts w:eastAsia="Times New Roman" w:cs="Arial"/>
          <w:color w:val="000000"/>
          <w:lang w:val="en-US"/>
        </w:rPr>
        <w:t>steady</w:t>
      </w:r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val="en-US"/>
        </w:rPr>
        <w:t>state</w:t>
      </w:r>
      <w:r w:rsidRPr="009A69A3">
        <w:rPr>
          <w:rFonts w:eastAsia="Times New Roman" w:cs="Arial"/>
          <w:color w:val="000000"/>
          <w:lang w:val="ru-RU"/>
        </w:rPr>
        <w:t xml:space="preserve">” </w:t>
      </w:r>
      <w:r w:rsidRPr="009A69A3">
        <w:rPr>
          <w:rFonts w:eastAsia="Times New Roman" w:cs="Arial"/>
          <w:color w:val="000000"/>
          <w:lang w:eastAsia="bg-BG"/>
        </w:rPr>
        <w:t xml:space="preserve">е 64 ± 21 </w:t>
      </w:r>
      <w:r w:rsidRPr="009A69A3">
        <w:rPr>
          <w:rFonts w:eastAsia="Times New Roman" w:cs="Arial"/>
          <w:color w:val="000000"/>
          <w:lang w:val="en-US"/>
        </w:rPr>
        <w:t>ng</w:t>
      </w:r>
      <w:r w:rsidRPr="009A69A3">
        <w:rPr>
          <w:rFonts w:eastAsia="Times New Roman" w:cs="Arial"/>
          <w:color w:val="000000"/>
          <w:lang w:val="ru-RU"/>
        </w:rPr>
        <w:t>/</w:t>
      </w:r>
      <w:proofErr w:type="spellStart"/>
      <w:r w:rsidRPr="009A69A3">
        <w:rPr>
          <w:rFonts w:eastAsia="Times New Roman" w:cs="Arial"/>
          <w:color w:val="000000"/>
          <w:lang w:val="en-US"/>
        </w:rPr>
        <w:t>tnl</w:t>
      </w:r>
      <w:proofErr w:type="spellEnd"/>
      <w:r w:rsidRPr="009A69A3">
        <w:rPr>
          <w:rFonts w:eastAsia="Times New Roman" w:cs="Arial"/>
          <w:color w:val="000000"/>
          <w:lang w:val="ru-RU"/>
        </w:rPr>
        <w:t xml:space="preserve"> </w:t>
      </w:r>
      <w:r w:rsidRPr="009A69A3">
        <w:rPr>
          <w:rFonts w:eastAsia="Times New Roman" w:cs="Arial"/>
          <w:color w:val="000000"/>
          <w:lang w:eastAsia="bg-BG"/>
        </w:rPr>
        <w:t xml:space="preserve">при дневна доза от 10 </w:t>
      </w:r>
      <w:r w:rsidRPr="009A69A3">
        <w:rPr>
          <w:rFonts w:eastAsia="Times New Roman" w:cs="Arial"/>
          <w:color w:val="000000"/>
          <w:lang w:val="en-US"/>
        </w:rPr>
        <w:t>mg</w:t>
      </w:r>
      <w:r w:rsidRPr="009A69A3">
        <w:rPr>
          <w:rFonts w:eastAsia="Times New Roman" w:cs="Arial"/>
          <w:color w:val="000000"/>
          <w:lang w:val="ru-RU"/>
        </w:rPr>
        <w:t xml:space="preserve">, </w:t>
      </w:r>
      <w:r w:rsidRPr="009A69A3">
        <w:rPr>
          <w:rFonts w:eastAsia="Times New Roman" w:cs="Arial"/>
          <w:color w:val="000000"/>
          <w:lang w:eastAsia="bg-BG"/>
        </w:rPr>
        <w:t>а плазменият полуживот е 17 ± 5 часа.</w:t>
      </w:r>
    </w:p>
    <w:p w14:paraId="350942D6" w14:textId="1276FE1D" w:rsidR="009A69A3" w:rsidRPr="009A69A3" w:rsidRDefault="009A69A3" w:rsidP="009A69A3">
      <w:pPr>
        <w:rPr>
          <w:rFonts w:cs="Arial"/>
        </w:rPr>
      </w:pPr>
    </w:p>
    <w:p w14:paraId="028E658A" w14:textId="65D9943B" w:rsidR="00395555" w:rsidRDefault="002C50EE" w:rsidP="008A6AF2">
      <w:pPr>
        <w:pStyle w:val="Heading2"/>
      </w:pPr>
      <w:r>
        <w:t>5.3. Предклинични данни за безопасност</w:t>
      </w:r>
    </w:p>
    <w:p w14:paraId="67187E90" w14:textId="31BC4011" w:rsidR="009E5ED1" w:rsidRDefault="009E5ED1" w:rsidP="009E5ED1"/>
    <w:p w14:paraId="0418F2D2" w14:textId="77777777" w:rsidR="009E5ED1" w:rsidRPr="009E5ED1" w:rsidRDefault="009E5ED1" w:rsidP="009E5ED1">
      <w:pPr>
        <w:rPr>
          <w:sz w:val="24"/>
          <w:szCs w:val="24"/>
        </w:rPr>
      </w:pPr>
      <w:r w:rsidRPr="009E5ED1">
        <w:rPr>
          <w:lang w:eastAsia="bg-BG"/>
        </w:rPr>
        <w:t>Предклиничните данни за безопасност не показват специални рискове при хора, базирайки се на общоприетите фармакологични изследвания за безопасност, токсичност при многократно прилагане, генотоксичност или канцерогенност.</w:t>
      </w:r>
    </w:p>
    <w:p w14:paraId="4C281D08" w14:textId="77777777" w:rsidR="009E5ED1" w:rsidRPr="009E5ED1" w:rsidRDefault="009E5ED1" w:rsidP="009E5ED1">
      <w:pPr>
        <w:rPr>
          <w:sz w:val="24"/>
          <w:szCs w:val="24"/>
        </w:rPr>
      </w:pPr>
      <w:r w:rsidRPr="009E5ED1">
        <w:rPr>
          <w:lang w:eastAsia="bg-BG"/>
        </w:rPr>
        <w:t>Подобно на другите β-блокери, бисопролол предизвиква токсичност при бременни (намаляване на приема на храна и телесното тегло) и ембрио/фетална токсичност (намаляване на резорбцията и телесното тегло при новородени; забавено физическото развитие) при приемане във високи дози но не е тератогенен.</w:t>
      </w:r>
    </w:p>
    <w:p w14:paraId="1DF29948" w14:textId="77777777" w:rsidR="009E5ED1" w:rsidRPr="009E5ED1" w:rsidRDefault="009E5ED1" w:rsidP="009E5ED1"/>
    <w:p w14:paraId="6A7820AB" w14:textId="39EEA555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3497729" w14:textId="046D2C1A" w:rsidR="009E5ED1" w:rsidRDefault="009E5ED1" w:rsidP="009E5ED1"/>
    <w:p w14:paraId="51362AE3" w14:textId="77777777" w:rsidR="009E5ED1" w:rsidRPr="009E5ED1" w:rsidRDefault="009E5ED1" w:rsidP="009E5ED1">
      <w:pPr>
        <w:rPr>
          <w:sz w:val="24"/>
          <w:szCs w:val="24"/>
          <w:lang w:val="en-US"/>
        </w:rPr>
      </w:pPr>
      <w:r w:rsidRPr="009E5ED1">
        <w:rPr>
          <w:lang w:val="en-US"/>
        </w:rPr>
        <w:t xml:space="preserve">STADA </w:t>
      </w:r>
      <w:proofErr w:type="spellStart"/>
      <w:r w:rsidRPr="009E5ED1">
        <w:rPr>
          <w:lang w:val="en-US"/>
        </w:rPr>
        <w:t>Arzneimittel</w:t>
      </w:r>
      <w:proofErr w:type="spellEnd"/>
      <w:r w:rsidRPr="009E5ED1">
        <w:rPr>
          <w:lang w:val="en-US"/>
        </w:rPr>
        <w:t xml:space="preserve"> AG</w:t>
      </w:r>
    </w:p>
    <w:p w14:paraId="261814B1" w14:textId="77777777" w:rsidR="009E5ED1" w:rsidRPr="009E5ED1" w:rsidRDefault="009E5ED1" w:rsidP="009E5ED1">
      <w:pPr>
        <w:rPr>
          <w:sz w:val="24"/>
          <w:szCs w:val="24"/>
          <w:lang w:val="en-US"/>
        </w:rPr>
      </w:pPr>
      <w:proofErr w:type="spellStart"/>
      <w:r w:rsidRPr="009E5ED1">
        <w:rPr>
          <w:lang w:val="en-US"/>
        </w:rPr>
        <w:t>Stadastrasse</w:t>
      </w:r>
      <w:proofErr w:type="spellEnd"/>
      <w:r w:rsidRPr="009E5ED1">
        <w:rPr>
          <w:lang w:val="en-US"/>
        </w:rPr>
        <w:t xml:space="preserve"> </w:t>
      </w:r>
      <w:r w:rsidRPr="009E5ED1">
        <w:rPr>
          <w:lang w:eastAsia="bg-BG"/>
        </w:rPr>
        <w:t xml:space="preserve">2-1861118 </w:t>
      </w:r>
      <w:r w:rsidRPr="009E5ED1">
        <w:rPr>
          <w:lang w:val="en-US"/>
        </w:rPr>
        <w:t xml:space="preserve">Bad </w:t>
      </w:r>
      <w:proofErr w:type="spellStart"/>
      <w:r w:rsidRPr="009E5ED1">
        <w:rPr>
          <w:lang w:val="en-US"/>
        </w:rPr>
        <w:t>Vilbel</w:t>
      </w:r>
      <w:proofErr w:type="spellEnd"/>
    </w:p>
    <w:p w14:paraId="04DE960F" w14:textId="77777777" w:rsidR="009E5ED1" w:rsidRPr="009E5ED1" w:rsidRDefault="009E5ED1" w:rsidP="009E5ED1">
      <w:pPr>
        <w:rPr>
          <w:sz w:val="24"/>
          <w:szCs w:val="24"/>
          <w:lang w:val="ru-RU"/>
        </w:rPr>
      </w:pPr>
      <w:r w:rsidRPr="009E5ED1">
        <w:rPr>
          <w:lang w:eastAsia="bg-BG"/>
        </w:rPr>
        <w:t>Германия</w:t>
      </w:r>
    </w:p>
    <w:p w14:paraId="6B418A81" w14:textId="77777777" w:rsidR="009E5ED1" w:rsidRPr="009E5ED1" w:rsidRDefault="009E5ED1" w:rsidP="009E5ED1">
      <w:pPr>
        <w:rPr>
          <w:lang w:val="ru-RU"/>
        </w:rPr>
      </w:pPr>
    </w:p>
    <w:p w14:paraId="04840D59" w14:textId="6A2F6310" w:rsidR="002C50EE" w:rsidRDefault="002C50EE" w:rsidP="00395555">
      <w:pPr>
        <w:pStyle w:val="Heading1"/>
      </w:pPr>
      <w:r>
        <w:t>8. НОМЕР НА РАЗРЕШЕНИЕТО ЗА УПОТРЕБА</w:t>
      </w:r>
    </w:p>
    <w:p w14:paraId="36F83DB2" w14:textId="6C63AA2E" w:rsidR="009E5ED1" w:rsidRDefault="009E5ED1" w:rsidP="009E5ED1"/>
    <w:p w14:paraId="4684A2B8" w14:textId="03CED74B" w:rsidR="009E5ED1" w:rsidRPr="009E5ED1" w:rsidRDefault="009E5ED1" w:rsidP="009E5ED1">
      <w:r>
        <w:t>20060219</w:t>
      </w:r>
    </w:p>
    <w:p w14:paraId="2CCB5832" w14:textId="31260880" w:rsidR="007C605B" w:rsidRDefault="002C50EE" w:rsidP="007C605B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1B20EF71" w14:textId="598E8CD4" w:rsidR="009E5ED1" w:rsidRDefault="009E5ED1" w:rsidP="009E5ED1"/>
    <w:p w14:paraId="4CBD857E" w14:textId="6869E8D0" w:rsidR="009E5ED1" w:rsidRPr="009E5ED1" w:rsidRDefault="009E5ED1" w:rsidP="009E5ED1">
      <w:r>
        <w:t>17.05.2006/18.11.2011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C6BFE67" w:rsidR="007C605B" w:rsidRPr="002B0A88" w:rsidRDefault="009E5ED1" w:rsidP="009E5ED1">
      <w:pPr>
        <w:rPr>
          <w:sz w:val="24"/>
          <w:szCs w:val="24"/>
        </w:rPr>
      </w:pPr>
      <w:r>
        <w:t>09/2016</w:t>
      </w:r>
      <w:bookmarkStart w:id="9" w:name="_GoBack"/>
      <w:bookmarkEnd w:id="9"/>
    </w:p>
    <w:sectPr w:rsidR="007C605B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45"/>
    <w:multiLevelType w:val="hybridMultilevel"/>
    <w:tmpl w:val="BABAEDC0"/>
    <w:lvl w:ilvl="0" w:tplc="080C26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3E975A8A"/>
    <w:multiLevelType w:val="hybridMultilevel"/>
    <w:tmpl w:val="761208E4"/>
    <w:lvl w:ilvl="0" w:tplc="080C26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1FB0CDF"/>
    <w:multiLevelType w:val="hybridMultilevel"/>
    <w:tmpl w:val="E12CF344"/>
    <w:lvl w:ilvl="0" w:tplc="080C26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A175D"/>
    <w:multiLevelType w:val="hybridMultilevel"/>
    <w:tmpl w:val="5B648630"/>
    <w:lvl w:ilvl="0" w:tplc="080C26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8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33"/>
  </w:num>
  <w:num w:numId="12">
    <w:abstractNumId w:val="14"/>
  </w:num>
  <w:num w:numId="13">
    <w:abstractNumId w:val="22"/>
  </w:num>
  <w:num w:numId="14">
    <w:abstractNumId w:val="11"/>
  </w:num>
  <w:num w:numId="15">
    <w:abstractNumId w:val="32"/>
  </w:num>
  <w:num w:numId="16">
    <w:abstractNumId w:val="9"/>
  </w:num>
  <w:num w:numId="17">
    <w:abstractNumId w:val="28"/>
  </w:num>
  <w:num w:numId="18">
    <w:abstractNumId w:val="7"/>
  </w:num>
  <w:num w:numId="19">
    <w:abstractNumId w:val="30"/>
  </w:num>
  <w:num w:numId="20">
    <w:abstractNumId w:val="26"/>
  </w:num>
  <w:num w:numId="21">
    <w:abstractNumId w:val="20"/>
  </w:num>
  <w:num w:numId="22">
    <w:abstractNumId w:val="29"/>
  </w:num>
  <w:num w:numId="23">
    <w:abstractNumId w:val="21"/>
  </w:num>
  <w:num w:numId="24">
    <w:abstractNumId w:val="8"/>
  </w:num>
  <w:num w:numId="25">
    <w:abstractNumId w:val="25"/>
  </w:num>
  <w:num w:numId="26">
    <w:abstractNumId w:val="24"/>
  </w:num>
  <w:num w:numId="27">
    <w:abstractNumId w:val="35"/>
  </w:num>
  <w:num w:numId="28">
    <w:abstractNumId w:val="6"/>
  </w:num>
  <w:num w:numId="29">
    <w:abstractNumId w:val="23"/>
  </w:num>
  <w:num w:numId="30">
    <w:abstractNumId w:val="36"/>
  </w:num>
  <w:num w:numId="31">
    <w:abstractNumId w:val="5"/>
  </w:num>
  <w:num w:numId="32">
    <w:abstractNumId w:val="15"/>
  </w:num>
  <w:num w:numId="33">
    <w:abstractNumId w:val="34"/>
  </w:num>
  <w:num w:numId="34">
    <w:abstractNumId w:val="27"/>
  </w:num>
  <w:num w:numId="35">
    <w:abstractNumId w:val="19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A69A3"/>
    <w:rsid w:val="009B171C"/>
    <w:rsid w:val="009E5ED1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2864</Words>
  <Characters>16330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2022-04-04T14:38:00Z</dcterms:created>
  <dcterms:modified xsi:type="dcterms:W3CDTF">2022-04-04T14:38:00Z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