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673C7521" w:rsidR="00AA23EC" w:rsidRDefault="00DD466D" w:rsidP="00DD466D">
      <w:pPr>
        <w:pStyle w:val="Heading1"/>
      </w:pPr>
      <w:r>
        <w:t>1.ИМЕ НА ЛЕКАРСТВЕНИЯ ПРОДУКТ</w:t>
      </w:r>
    </w:p>
    <w:p w14:paraId="5B5F92FD" w14:textId="77777777" w:rsidR="001C660B" w:rsidRPr="001C660B" w:rsidRDefault="001C660B" w:rsidP="001C660B">
      <w:pPr>
        <w:rPr>
          <w:sz w:val="24"/>
          <w:szCs w:val="24"/>
          <w:lang w:val="en-US"/>
        </w:rPr>
      </w:pPr>
      <w:proofErr w:type="spellStart"/>
      <w:r w:rsidRPr="001C660B">
        <w:rPr>
          <w:lang w:eastAsia="bg-BG"/>
        </w:rPr>
        <w:t>Биволет</w:t>
      </w:r>
      <w:proofErr w:type="spellEnd"/>
      <w:r w:rsidRPr="001C660B">
        <w:rPr>
          <w:lang w:eastAsia="bg-BG"/>
        </w:rPr>
        <w:t xml:space="preserve"> 5 </w:t>
      </w:r>
      <w:r w:rsidRPr="001C660B">
        <w:rPr>
          <w:lang w:val="en-US"/>
        </w:rPr>
        <w:t xml:space="preserve">mg </w:t>
      </w:r>
      <w:r w:rsidRPr="001C660B">
        <w:rPr>
          <w:lang w:eastAsia="bg-BG"/>
        </w:rPr>
        <w:t>таблетки</w:t>
      </w:r>
    </w:p>
    <w:p w14:paraId="1566567F" w14:textId="7C96EBF1" w:rsidR="001C660B" w:rsidRPr="001C660B" w:rsidRDefault="001C660B" w:rsidP="001C660B">
      <w:proofErr w:type="spellStart"/>
      <w:r w:rsidRPr="001C660B">
        <w:rPr>
          <w:lang w:val="en-US"/>
        </w:rPr>
        <w:t>Bivolet</w:t>
      </w:r>
      <w:proofErr w:type="spellEnd"/>
      <w:r w:rsidRPr="001C660B">
        <w:rPr>
          <w:lang w:val="en-US"/>
        </w:rPr>
        <w:t xml:space="preserve"> </w:t>
      </w:r>
      <w:r w:rsidRPr="001C660B">
        <w:rPr>
          <w:lang w:eastAsia="bg-BG"/>
        </w:rPr>
        <w:t xml:space="preserve">5 </w:t>
      </w:r>
      <w:r w:rsidRPr="001C660B">
        <w:rPr>
          <w:lang w:val="en-US"/>
        </w:rPr>
        <w:t>mg tablets</w:t>
      </w:r>
    </w:p>
    <w:p w14:paraId="4D88B710" w14:textId="0AC475C4" w:rsidR="00D86297" w:rsidRDefault="00DD466D" w:rsidP="00AA23EC">
      <w:pPr>
        <w:pStyle w:val="Heading1"/>
      </w:pPr>
      <w:r>
        <w:t>2. КАЧЕСТВЕН И КОЛИЧЕСТВЕН СЪСТАВ</w:t>
      </w:r>
    </w:p>
    <w:p w14:paraId="499D0A3D" w14:textId="77777777" w:rsidR="001C660B" w:rsidRPr="001C660B" w:rsidRDefault="001C660B" w:rsidP="001C660B">
      <w:pPr>
        <w:rPr>
          <w:sz w:val="24"/>
          <w:szCs w:val="24"/>
        </w:rPr>
      </w:pPr>
      <w:r w:rsidRPr="001C660B">
        <w:rPr>
          <w:lang w:eastAsia="bg-BG"/>
        </w:rPr>
        <w:t xml:space="preserve">Една таблетка съдържа 5 </w:t>
      </w:r>
      <w:r w:rsidRPr="001C660B">
        <w:rPr>
          <w:lang w:val="en-US"/>
        </w:rPr>
        <w:t xml:space="preserve">mg </w:t>
      </w:r>
      <w:proofErr w:type="spellStart"/>
      <w:r w:rsidRPr="001C660B">
        <w:rPr>
          <w:lang w:eastAsia="bg-BG"/>
        </w:rPr>
        <w:t>небиволол</w:t>
      </w:r>
      <w:proofErr w:type="spellEnd"/>
      <w:r w:rsidRPr="001C660B">
        <w:rPr>
          <w:lang w:eastAsia="bg-BG"/>
        </w:rPr>
        <w:t xml:space="preserve">, като </w:t>
      </w:r>
      <w:proofErr w:type="spellStart"/>
      <w:r w:rsidRPr="001C660B">
        <w:rPr>
          <w:lang w:eastAsia="bg-BG"/>
        </w:rPr>
        <w:t>небивололов</w:t>
      </w:r>
      <w:proofErr w:type="spellEnd"/>
      <w:r w:rsidRPr="001C660B">
        <w:rPr>
          <w:lang w:eastAsia="bg-BG"/>
        </w:rPr>
        <w:t xml:space="preserve"> хидрохлорид </w:t>
      </w:r>
      <w:r w:rsidRPr="001C660B">
        <w:rPr>
          <w:i/>
          <w:iCs/>
          <w:lang w:val="en-US"/>
        </w:rPr>
        <w:t>(nebivolol as hydrochloride).</w:t>
      </w:r>
    </w:p>
    <w:p w14:paraId="616FCC3D" w14:textId="77777777" w:rsidR="001C660B" w:rsidRDefault="001C660B" w:rsidP="001C660B">
      <w:pPr>
        <w:rPr>
          <w:lang w:eastAsia="bg-BG"/>
        </w:rPr>
      </w:pPr>
    </w:p>
    <w:p w14:paraId="2DE688D1" w14:textId="6ABFF6E6" w:rsidR="001C660B" w:rsidRPr="001C660B" w:rsidRDefault="001C660B" w:rsidP="001C660B">
      <w:r w:rsidRPr="001C660B">
        <w:rPr>
          <w:lang w:eastAsia="bg-BG"/>
        </w:rPr>
        <w:t xml:space="preserve">Помощно вещество с известно действие: всяка таблетка съдържа 143,475 </w:t>
      </w:r>
      <w:r w:rsidRPr="001C660B">
        <w:rPr>
          <w:lang w:val="en-US"/>
        </w:rPr>
        <w:t xml:space="preserve">mg </w:t>
      </w:r>
      <w:r w:rsidRPr="001C660B">
        <w:rPr>
          <w:lang w:eastAsia="bg-BG"/>
        </w:rPr>
        <w:t xml:space="preserve">лактоза </w:t>
      </w:r>
      <w:proofErr w:type="spellStart"/>
      <w:r w:rsidRPr="001C660B">
        <w:rPr>
          <w:lang w:eastAsia="bg-BG"/>
        </w:rPr>
        <w:t>монохидрат</w:t>
      </w:r>
      <w:proofErr w:type="spellEnd"/>
      <w:r w:rsidRPr="001C660B">
        <w:rPr>
          <w:lang w:eastAsia="bg-BG"/>
        </w:rPr>
        <w:t>.</w:t>
      </w:r>
    </w:p>
    <w:p w14:paraId="5E332777" w14:textId="18FB3593" w:rsidR="005A66D9" w:rsidRDefault="00DD466D" w:rsidP="00CA1B57">
      <w:pPr>
        <w:pStyle w:val="Heading1"/>
      </w:pPr>
      <w:r>
        <w:t>3. ЛЕКАРСТВЕНА ФОРМА</w:t>
      </w:r>
    </w:p>
    <w:p w14:paraId="05A996E4" w14:textId="77777777" w:rsidR="001C660B" w:rsidRDefault="001C660B" w:rsidP="001C660B">
      <w:pPr>
        <w:rPr>
          <w:lang w:eastAsia="bg-BG"/>
        </w:rPr>
      </w:pPr>
    </w:p>
    <w:p w14:paraId="01D0EE15" w14:textId="58FD3A12" w:rsidR="001C660B" w:rsidRPr="001C660B" w:rsidRDefault="001C660B" w:rsidP="001C660B">
      <w:pPr>
        <w:rPr>
          <w:sz w:val="24"/>
          <w:szCs w:val="24"/>
        </w:rPr>
      </w:pPr>
      <w:r w:rsidRPr="001C660B">
        <w:rPr>
          <w:lang w:eastAsia="bg-BG"/>
        </w:rPr>
        <w:t>Таблетка.</w:t>
      </w:r>
    </w:p>
    <w:p w14:paraId="78431414" w14:textId="3B737FDE" w:rsidR="001C660B" w:rsidRPr="001C660B" w:rsidRDefault="001C660B" w:rsidP="001C660B">
      <w:pPr>
        <w:rPr>
          <w:sz w:val="24"/>
          <w:szCs w:val="24"/>
        </w:rPr>
      </w:pPr>
      <w:r w:rsidRPr="001C660B">
        <w:rPr>
          <w:lang w:eastAsia="bg-BG"/>
        </w:rPr>
        <w:t xml:space="preserve">Бели до почти </w:t>
      </w:r>
      <w:proofErr w:type="spellStart"/>
      <w:r w:rsidRPr="001C660B">
        <w:rPr>
          <w:lang w:eastAsia="bg-BG"/>
        </w:rPr>
        <w:t>бяли</w:t>
      </w:r>
      <w:proofErr w:type="spellEnd"/>
      <w:r w:rsidRPr="001C660B">
        <w:rPr>
          <w:lang w:eastAsia="bg-BG"/>
        </w:rPr>
        <w:t>, кръгли, двойно изпъкнали таблетки с кръстосани делителни черти от едната страна и гладки от другата.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05B5F3EC" w:rsidR="00FD69E8" w:rsidRDefault="002C50EE" w:rsidP="00AA23EC">
      <w:pPr>
        <w:pStyle w:val="Heading2"/>
      </w:pPr>
      <w:r>
        <w:t>4.1. Терапевтични показания</w:t>
      </w:r>
    </w:p>
    <w:p w14:paraId="3BDF1FD2" w14:textId="77777777" w:rsid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0BFCDE0" w14:textId="678030DB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3949E796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Лечение на есенциална хипертония.</w:t>
      </w:r>
    </w:p>
    <w:p w14:paraId="151F9C35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3463DD5" w14:textId="70A8C1CC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Хронична сърдечна недостатъчност</w:t>
      </w:r>
    </w:p>
    <w:p w14:paraId="18BEF424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Лечение на стабилна лека до умерена сърдечна недостатъчност в допълнение към стандартното лечение при пациенти в старческа възраст, над 70 години.</w:t>
      </w:r>
    </w:p>
    <w:p w14:paraId="305B5909" w14:textId="77777777" w:rsidR="001C660B" w:rsidRPr="001C660B" w:rsidRDefault="001C660B" w:rsidP="001C660B"/>
    <w:p w14:paraId="127F2AC9" w14:textId="79D48218" w:rsidR="00FD69E8" w:rsidRDefault="002C50EE" w:rsidP="00AA23EC">
      <w:pPr>
        <w:pStyle w:val="Heading2"/>
      </w:pPr>
      <w:r>
        <w:t>4.2. Дозировка и начин на приложение</w:t>
      </w:r>
    </w:p>
    <w:p w14:paraId="1CE8E728" w14:textId="77777777" w:rsid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72894C" w14:textId="6E99CA0A" w:rsidR="001C660B" w:rsidRPr="001C660B" w:rsidRDefault="001C660B" w:rsidP="001C660B">
      <w:pPr>
        <w:pStyle w:val="Heading3"/>
        <w:rPr>
          <w:rFonts w:eastAsia="Times New Roman"/>
          <w:u w:val="single"/>
        </w:rPr>
      </w:pPr>
      <w:r w:rsidRPr="001C660B">
        <w:rPr>
          <w:rFonts w:eastAsia="Times New Roman"/>
          <w:u w:val="single"/>
          <w:lang w:eastAsia="bg-BG"/>
        </w:rPr>
        <w:t>Дозировка</w:t>
      </w:r>
    </w:p>
    <w:p w14:paraId="6CF1AE31" w14:textId="77777777" w:rsidR="001C660B" w:rsidRPr="001C660B" w:rsidRDefault="001C660B" w:rsidP="001C660B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1009FCE8" w14:textId="211CE7B4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b/>
          <w:bCs/>
          <w:color w:val="000000"/>
          <w:lang w:eastAsia="bg-BG"/>
        </w:rPr>
        <w:t>Хипертония</w:t>
      </w:r>
      <w:bookmarkEnd w:id="1"/>
    </w:p>
    <w:p w14:paraId="6A381104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Възрастни</w:t>
      </w:r>
    </w:p>
    <w:p w14:paraId="03F1C443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Обичайната доза е една таблетка 5 </w:t>
      </w:r>
      <w:r w:rsidRPr="001C660B">
        <w:rPr>
          <w:rFonts w:eastAsia="Times New Roman" w:cs="Arial"/>
          <w:color w:val="000000"/>
          <w:lang w:val="en-US"/>
        </w:rPr>
        <w:t xml:space="preserve">mg </w:t>
      </w:r>
      <w:r w:rsidRPr="001C660B">
        <w:rPr>
          <w:rFonts w:eastAsia="Times New Roman" w:cs="Arial"/>
          <w:color w:val="000000"/>
          <w:lang w:eastAsia="bg-BG"/>
        </w:rPr>
        <w:t>дневно, за предпочитане по едно и също време през деня.</w:t>
      </w:r>
    </w:p>
    <w:p w14:paraId="6D02F0D7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Таблетките могат да се вземат по време на хранене.</w:t>
      </w:r>
    </w:p>
    <w:p w14:paraId="24DE5248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Ефектът от понижаване на кръвното налягане се забелязва след една-две седмици на лечение, а траен резултат се постига след 4 седмици.</w:t>
      </w:r>
    </w:p>
    <w:p w14:paraId="3F3CF399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0075679" w14:textId="0EB48AC9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Комбинация с други антихипертензивни средства</w:t>
      </w:r>
    </w:p>
    <w:p w14:paraId="45CAC6ED" w14:textId="0F3E4233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C660B">
        <w:rPr>
          <w:rFonts w:eastAsia="Times New Roman" w:cs="Arial"/>
          <w:color w:val="000000"/>
          <w:lang w:eastAsia="bg-BG"/>
        </w:rPr>
        <w:t>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могат да се използват самостоятелно или с други антихипертензивни средства.</w:t>
      </w:r>
    </w:p>
    <w:p w14:paraId="688FC582" w14:textId="627E58AC" w:rsidR="001C660B" w:rsidRDefault="001C660B" w:rsidP="001C660B">
      <w:pPr>
        <w:rPr>
          <w:rFonts w:eastAsia="Times New Roman" w:cs="Arial"/>
          <w:color w:val="000000"/>
          <w:lang w:val="en-US"/>
        </w:rPr>
      </w:pPr>
      <w:r w:rsidRPr="001C660B">
        <w:rPr>
          <w:rFonts w:eastAsia="Times New Roman" w:cs="Arial"/>
          <w:color w:val="000000"/>
          <w:lang w:eastAsia="bg-BG"/>
        </w:rPr>
        <w:lastRenderedPageBreak/>
        <w:t xml:space="preserve">Допълнителен антихипертензивен ефект се наблюдава само когато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се</w:t>
      </w:r>
      <w:r w:rsidRPr="001C660B">
        <w:rPr>
          <w:rFonts w:eastAsia="Times New Roman" w:cs="Arial"/>
          <w:color w:val="000000"/>
          <w:lang w:val="en-US"/>
        </w:rPr>
        <w:t xml:space="preserve"> </w:t>
      </w:r>
      <w:r w:rsidRPr="001C660B">
        <w:rPr>
          <w:rFonts w:eastAsia="Times New Roman" w:cs="Arial"/>
          <w:color w:val="000000"/>
          <w:lang w:eastAsia="bg-BG"/>
        </w:rPr>
        <w:t>приеме</w:t>
      </w:r>
      <w:r w:rsidRPr="001C660B">
        <w:rPr>
          <w:rFonts w:eastAsia="Times New Roman" w:cs="Arial"/>
          <w:color w:val="000000"/>
          <w:lang w:val="en-US"/>
        </w:rPr>
        <w:t xml:space="preserve"> </w:t>
      </w:r>
      <w:r w:rsidRPr="001C660B">
        <w:rPr>
          <w:rFonts w:eastAsia="Times New Roman" w:cs="Arial"/>
          <w:color w:val="000000"/>
          <w:lang w:eastAsia="bg-BG"/>
        </w:rPr>
        <w:t xml:space="preserve">с хидрохлоротиазид 12,5-25 </w:t>
      </w:r>
      <w:r w:rsidRPr="001C660B">
        <w:rPr>
          <w:rFonts w:eastAsia="Times New Roman" w:cs="Arial"/>
          <w:color w:val="000000"/>
          <w:lang w:val="en-US"/>
        </w:rPr>
        <w:t>mg.</w:t>
      </w:r>
    </w:p>
    <w:p w14:paraId="241C9687" w14:textId="77C77CED" w:rsidR="001C660B" w:rsidRDefault="001C660B" w:rsidP="001C660B">
      <w:pPr>
        <w:rPr>
          <w:rFonts w:eastAsia="Times New Roman" w:cs="Arial"/>
          <w:color w:val="000000"/>
          <w:lang w:val="en-US"/>
        </w:rPr>
      </w:pPr>
    </w:p>
    <w:p w14:paraId="0F9C5001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u w:val="single"/>
          <w:lang w:eastAsia="bg-BG"/>
        </w:rPr>
        <w:t>Пациенти с</w:t>
      </w:r>
      <w:r w:rsidRPr="001C660B">
        <w:rPr>
          <w:rFonts w:eastAsia="Times New Roman" w:cs="Arial"/>
          <w:color w:val="000000"/>
          <w:u w:val="single"/>
          <w:lang w:eastAsia="bg-BG"/>
        </w:rPr>
        <w:t xml:space="preserve"> бъбречна недостатъчност</w:t>
      </w:r>
    </w:p>
    <w:p w14:paraId="7AB5F1DA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При пациенти бъбречна недостатъчност, препоръчителната доза е 2,5 </w:t>
      </w:r>
      <w:r w:rsidRPr="001C660B">
        <w:rPr>
          <w:rFonts w:eastAsia="Times New Roman" w:cs="Arial"/>
          <w:color w:val="000000"/>
          <w:lang w:val="en-US"/>
        </w:rPr>
        <w:t xml:space="preserve">mg, </w:t>
      </w:r>
      <w:r w:rsidRPr="001C660B">
        <w:rPr>
          <w:rFonts w:eastAsia="Times New Roman" w:cs="Arial"/>
          <w:color w:val="000000"/>
          <w:lang w:eastAsia="bg-BG"/>
        </w:rPr>
        <w:t xml:space="preserve">а при необходимост може да се повиши до 5 </w:t>
      </w:r>
      <w:r w:rsidRPr="001C660B">
        <w:rPr>
          <w:rFonts w:eastAsia="Times New Roman" w:cs="Arial"/>
          <w:color w:val="000000"/>
          <w:lang w:val="en-US"/>
        </w:rPr>
        <w:t>mg.</w:t>
      </w:r>
    </w:p>
    <w:p w14:paraId="481D7E72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0C40F1" w14:textId="381992B2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Пациенти с чернодробна недостатъчност</w:t>
      </w:r>
    </w:p>
    <w:p w14:paraId="3E24240F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Данните при пациенти с чернодробна недостатъчност или с нарушена функция на черния дроб са ограничени. Затова употребата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при тези пациенти е противопоказано.</w:t>
      </w:r>
    </w:p>
    <w:p w14:paraId="209CBD5E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882A5F" w14:textId="718BF0AB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Пациенти в старческа възраст</w:t>
      </w:r>
    </w:p>
    <w:p w14:paraId="01CE269A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При пациенти над 65 години, препоръчителната начална доза е 2,5 </w:t>
      </w:r>
      <w:r w:rsidRPr="001C660B">
        <w:rPr>
          <w:rFonts w:eastAsia="Times New Roman" w:cs="Arial"/>
          <w:color w:val="000000"/>
          <w:lang w:val="en-US"/>
        </w:rPr>
        <w:t xml:space="preserve">mg </w:t>
      </w:r>
      <w:r w:rsidRPr="001C660B">
        <w:rPr>
          <w:rFonts w:eastAsia="Times New Roman" w:cs="Arial"/>
          <w:color w:val="000000"/>
          <w:lang w:eastAsia="bg-BG"/>
        </w:rPr>
        <w:t xml:space="preserve">дневно. Ако е необходимо дневната доза може да бъде увеличена до 5 </w:t>
      </w:r>
      <w:r w:rsidRPr="001C660B">
        <w:rPr>
          <w:rFonts w:eastAsia="Times New Roman" w:cs="Arial"/>
          <w:color w:val="000000"/>
          <w:lang w:val="en-US"/>
        </w:rPr>
        <w:t xml:space="preserve">mg. </w:t>
      </w:r>
      <w:r w:rsidRPr="001C660B">
        <w:rPr>
          <w:rFonts w:eastAsia="Times New Roman" w:cs="Arial"/>
          <w:color w:val="000000"/>
          <w:lang w:eastAsia="bg-BG"/>
        </w:rPr>
        <w:t xml:space="preserve">Въпреки това с оглед на ограничения опит при пациенти над 75 години, лечението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трябва да се проследява внимателно.</w:t>
      </w:r>
    </w:p>
    <w:p w14:paraId="56F4346C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AB9C3D" w14:textId="0A4A142A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E95B624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Ефикасността и безопасността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при деца и юноши не е установена, поради което употреба при деца и юноши не се препоръчва.</w:t>
      </w:r>
    </w:p>
    <w:p w14:paraId="65946DED" w14:textId="77777777" w:rsidR="001C660B" w:rsidRPr="001C660B" w:rsidRDefault="001C660B" w:rsidP="001C660B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07955BA" w14:textId="32AE58E1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b/>
          <w:bCs/>
          <w:color w:val="000000"/>
          <w:lang w:eastAsia="bg-BG"/>
        </w:rPr>
        <w:t>Хронична сърдечна недостатъчност</w:t>
      </w:r>
    </w:p>
    <w:p w14:paraId="19DA8176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Лечението на стабилна хронична сърдечна недостатъчност трябва да започне с постепенно повишаване на дозата до достигане на оптималната индивидуална поддържаща доза. Пациентите трябва да имат стабилна сърдечна недостатъчност без остри периоди през последните 6 седмици. Препоръчва се лекуващия лекар да има опит в лечението на хронична сърдечна недостатъчност.</w:t>
      </w:r>
    </w:p>
    <w:p w14:paraId="6EA54AE1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За тези пациенти, които получават терапия за сърдечни заболявания, включващи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и/или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и/или АСЕ инхибитори и/или антагонисти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II, дозировката на тези лекарствени продукти трябва да бъде стабилизирана през последните две седмици, преди да започне лечението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>.</w:t>
      </w:r>
    </w:p>
    <w:p w14:paraId="563690B9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Дозата трябва да се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титрира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първоначално на интервали от 1-2 седмици в </w:t>
      </w:r>
      <w:r w:rsidRPr="001C660B">
        <w:rPr>
          <w:rFonts w:eastAsia="Times New Roman" w:cs="Arial"/>
          <w:i/>
          <w:iCs/>
          <w:color w:val="000000"/>
          <w:lang w:eastAsia="bg-BG"/>
        </w:rPr>
        <w:t>зависимост</w:t>
      </w:r>
      <w:r w:rsidRPr="001C660B">
        <w:rPr>
          <w:rFonts w:eastAsia="Times New Roman" w:cs="Arial"/>
          <w:color w:val="000000"/>
          <w:lang w:eastAsia="bg-BG"/>
        </w:rPr>
        <w:t xml:space="preserve"> от индивидуалната поносимост на пациента по следните етапи: 1,25 </w:t>
      </w:r>
      <w:r w:rsidRPr="001C660B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се увеличава на 2,5 </w:t>
      </w:r>
      <w:r w:rsidRPr="001C660B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еднократно дневно, след това на 5 </w:t>
      </w:r>
      <w:r w:rsidRPr="001C660B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еднократно дневно и след това на 10 </w:t>
      </w:r>
      <w:r w:rsidRPr="001C660B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еднократно дневно.</w:t>
      </w:r>
    </w:p>
    <w:p w14:paraId="065AF422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Максималната препоръчителна доза е 10 </w:t>
      </w:r>
      <w:r w:rsidRPr="001C660B">
        <w:rPr>
          <w:rFonts w:eastAsia="Times New Roman" w:cs="Arial"/>
          <w:color w:val="000000"/>
          <w:lang w:val="en-US"/>
        </w:rPr>
        <w:t xml:space="preserve">mg </w:t>
      </w:r>
      <w:r w:rsidRPr="001C660B">
        <w:rPr>
          <w:rFonts w:eastAsia="Times New Roman" w:cs="Arial"/>
          <w:color w:val="000000"/>
          <w:lang w:eastAsia="bg-BG"/>
        </w:rPr>
        <w:t>еднократно дневно.</w:t>
      </w:r>
    </w:p>
    <w:p w14:paraId="376B83DC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54778B" w14:textId="46E417A2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При започване на лечението и при всяко повишаване на дозата е необходим медицински контрол в продължение на поне 2 часа, за да е сигурно, че клиничното състояние е стабилно (особено по отношение на кръвно налягане, сърдечна честота,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проводни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нарушения, белези на влошена сърдечна недостатъчност).</w:t>
      </w:r>
    </w:p>
    <w:p w14:paraId="457AFC5E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Проявата на нежелани ефекти може да ограничи приложението на максималната препоръчителна доза при всички пациенти. При необходимост, достигнатата доза трябва да се намали стъпка по стъпка и да се започне отново, когато е възможно.</w:t>
      </w:r>
    </w:p>
    <w:p w14:paraId="1A307911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По време на фазата на титриране, при влошаване на сърдечната недостатъчност или при непоносимост, се препоръчва първо да се намали дозата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или при необходимост да се спре веднага (при тежка хипотония, влошаване на сърдечната недостатъчност с остър белодробен оток,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кардиогенен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шок, симптоматична брадикардия или </w:t>
      </w:r>
      <w:r w:rsidRPr="001C660B">
        <w:rPr>
          <w:rFonts w:eastAsia="Times New Roman" w:cs="Arial"/>
          <w:color w:val="000000"/>
          <w:lang w:val="en-US"/>
        </w:rPr>
        <w:t xml:space="preserve">AV </w:t>
      </w:r>
      <w:r w:rsidRPr="001C660B">
        <w:rPr>
          <w:rFonts w:eastAsia="Times New Roman" w:cs="Arial"/>
          <w:color w:val="000000"/>
          <w:lang w:eastAsia="bg-BG"/>
        </w:rPr>
        <w:t>блок).</w:t>
      </w:r>
    </w:p>
    <w:p w14:paraId="50A14FA0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lastRenderedPageBreak/>
        <w:t xml:space="preserve">Лечението на стабилна хронична сърдечна недостатъчност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обикновено е продължително.</w:t>
      </w:r>
    </w:p>
    <w:p w14:paraId="57788DC8" w14:textId="27427BFB" w:rsid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C660B">
        <w:rPr>
          <w:rFonts w:eastAsia="Times New Roman" w:cs="Arial"/>
          <w:color w:val="000000"/>
          <w:lang w:eastAsia="bg-BG"/>
        </w:rPr>
        <w:t xml:space="preserve">Не е препоръчително лечението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да се преустановява внезапно, тъй като това може да доведе до временно влошаване на сърдечната недостатъчност. Ако е необходимо преустановяване на лечението, дозата трябва да се понижи постепенно, като на седмица се намалява наполовина.</w:t>
      </w:r>
    </w:p>
    <w:p w14:paraId="3C9B0F9F" w14:textId="23B30C86" w:rsid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7D7E90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Пациенти с бъбречна недостатъчност</w:t>
      </w:r>
    </w:p>
    <w:p w14:paraId="716D18CD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Не се налага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корегиране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на дозата при пациенти с лека до умерена бъбречна недостатъчност, тъй като повишаването </w:t>
      </w:r>
      <w:r w:rsidRPr="001C660B">
        <w:rPr>
          <w:rFonts w:eastAsia="Times New Roman" w:cs="Arial"/>
          <w:i/>
          <w:iCs/>
          <w:color w:val="000000"/>
          <w:lang w:eastAsia="bg-BG"/>
        </w:rPr>
        <w:t>при</w:t>
      </w:r>
      <w:r w:rsidRPr="001C660B">
        <w:rPr>
          <w:rFonts w:eastAsia="Times New Roman" w:cs="Arial"/>
          <w:color w:val="000000"/>
          <w:lang w:eastAsia="bg-BG"/>
        </w:rPr>
        <w:t xml:space="preserve"> титриране на дозата е индивидуално. Няма опит при пациенти с тежка бъбречна недостатъчност (серумен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креатенин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</w:t>
      </w:r>
      <w:r w:rsidRPr="001C660B">
        <w:rPr>
          <w:rFonts w:eastAsia="Times New Roman" w:cs="Arial"/>
          <w:color w:val="000000"/>
          <w:lang w:val="en-US"/>
        </w:rPr>
        <w:t>≥</w:t>
      </w:r>
      <w:r w:rsidRPr="001C660B">
        <w:rPr>
          <w:rFonts w:eastAsia="Times New Roman" w:cs="Arial"/>
          <w:color w:val="000000"/>
          <w:lang w:eastAsia="bg-BG"/>
        </w:rPr>
        <w:t xml:space="preserve"> 250 </w:t>
      </w:r>
      <w:proofErr w:type="spellStart"/>
      <w:r w:rsidRPr="001C660B">
        <w:rPr>
          <w:rFonts w:eastAsia="Times New Roman" w:cs="Arial"/>
          <w:color w:val="000000"/>
          <w:lang w:val="en-US"/>
        </w:rPr>
        <w:t>μmol</w:t>
      </w:r>
      <w:proofErr w:type="spellEnd"/>
      <w:r w:rsidRPr="001C660B">
        <w:rPr>
          <w:rFonts w:eastAsia="Times New Roman" w:cs="Arial"/>
          <w:color w:val="000000"/>
          <w:lang w:val="en-US"/>
        </w:rPr>
        <w:t xml:space="preserve">/1). </w:t>
      </w:r>
      <w:r w:rsidRPr="001C660B">
        <w:rPr>
          <w:rFonts w:eastAsia="Times New Roman" w:cs="Arial"/>
          <w:color w:val="000000"/>
          <w:lang w:eastAsia="bg-BG"/>
        </w:rPr>
        <w:t xml:space="preserve">Поради това не се препоръчва приложението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при тези пациенти.</w:t>
      </w:r>
    </w:p>
    <w:p w14:paraId="57743F79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15D5D0C" w14:textId="6A1F8D15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Пациенти с чернодробна недостатъчност</w:t>
      </w:r>
    </w:p>
    <w:p w14:paraId="75C7507A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Данните за пациенти с чернодробна недостатъчност са ограничени. Поради това лечението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е противопоказано при тази група пациенти.</w:t>
      </w:r>
    </w:p>
    <w:p w14:paraId="0E0697CF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A673E39" w14:textId="21B3E93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Старческа възраст</w:t>
      </w:r>
    </w:p>
    <w:p w14:paraId="65CAF748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Не се</w:t>
      </w:r>
      <w:r w:rsidRPr="001C660B">
        <w:rPr>
          <w:rFonts w:eastAsia="Times New Roman" w:cs="Arial"/>
          <w:color w:val="000000"/>
          <w:lang w:eastAsia="bg-BG"/>
        </w:rPr>
        <w:t xml:space="preserve"> налага коригиране на дозата, тъй като повишението при титриране на дозата е индивидуално.</w:t>
      </w:r>
    </w:p>
    <w:p w14:paraId="015381C6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67D789F" w14:textId="2DFA95D9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06894215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Ефикасността и безопасността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при деца и юноши на възраст под 18 години не е установена. Поради това приложението при тази група не се препоръчва.</w:t>
      </w:r>
    </w:p>
    <w:p w14:paraId="32AD5BDD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AB8DCB2" w14:textId="7BA63788" w:rsidR="001C660B" w:rsidRPr="001C660B" w:rsidRDefault="001C660B" w:rsidP="001C660B">
      <w:pPr>
        <w:pStyle w:val="Heading3"/>
        <w:rPr>
          <w:rFonts w:eastAsia="Times New Roman"/>
          <w:u w:val="single"/>
        </w:rPr>
      </w:pPr>
      <w:r w:rsidRPr="001C660B">
        <w:rPr>
          <w:rFonts w:eastAsia="Times New Roman"/>
          <w:u w:val="single"/>
          <w:lang w:eastAsia="bg-BG"/>
        </w:rPr>
        <w:t>Начин на приложение</w:t>
      </w:r>
    </w:p>
    <w:p w14:paraId="00F773EE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Перорално приложение</w:t>
      </w:r>
    </w:p>
    <w:p w14:paraId="26F42847" w14:textId="30272E14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Таблетките могат да бъдат приемани по време на хранене.</w:t>
      </w:r>
    </w:p>
    <w:p w14:paraId="3B107FAB" w14:textId="77777777" w:rsidR="001C660B" w:rsidRPr="001C660B" w:rsidRDefault="001C660B" w:rsidP="001C660B">
      <w:pPr>
        <w:rPr>
          <w:rFonts w:cs="Arial"/>
        </w:rPr>
      </w:pPr>
    </w:p>
    <w:p w14:paraId="0E366821" w14:textId="554BEA6D" w:rsidR="00FD69E8" w:rsidRDefault="002C50EE" w:rsidP="00AA23EC">
      <w:pPr>
        <w:pStyle w:val="Heading2"/>
      </w:pPr>
      <w:r>
        <w:t>4.3. Противопоказания</w:t>
      </w:r>
    </w:p>
    <w:p w14:paraId="4256D0C7" w14:textId="77777777" w:rsidR="001C660B" w:rsidRDefault="001C660B" w:rsidP="001C660B">
      <w:pPr>
        <w:rPr>
          <w:lang w:eastAsia="bg-BG"/>
        </w:rPr>
      </w:pPr>
    </w:p>
    <w:p w14:paraId="7D5C3904" w14:textId="7042EA56" w:rsidR="001C660B" w:rsidRPr="001C660B" w:rsidRDefault="001C660B" w:rsidP="001C660B">
      <w:pPr>
        <w:pStyle w:val="ListParagraph"/>
        <w:numPr>
          <w:ilvl w:val="0"/>
          <w:numId w:val="24"/>
        </w:numPr>
        <w:rPr>
          <w:lang w:eastAsia="bg-BG"/>
        </w:rPr>
      </w:pPr>
      <w:r w:rsidRPr="001C660B">
        <w:rPr>
          <w:lang w:eastAsia="bg-BG"/>
        </w:rPr>
        <w:t>Свръхчувствителност към активното вещество или към някое от помощните вещества, изброени в точка 6.1;</w:t>
      </w:r>
    </w:p>
    <w:p w14:paraId="56044A62" w14:textId="5B5EFE93" w:rsidR="001C660B" w:rsidRPr="001C660B" w:rsidRDefault="001C660B" w:rsidP="001C660B">
      <w:pPr>
        <w:pStyle w:val="ListParagraph"/>
        <w:numPr>
          <w:ilvl w:val="0"/>
          <w:numId w:val="24"/>
        </w:numPr>
        <w:rPr>
          <w:lang w:eastAsia="bg-BG"/>
        </w:rPr>
      </w:pPr>
      <w:r w:rsidRPr="001C660B">
        <w:rPr>
          <w:lang w:eastAsia="bg-BG"/>
        </w:rPr>
        <w:t>Чернодробна недостатъчност или нарушена чернодробна функция;</w:t>
      </w:r>
    </w:p>
    <w:p w14:paraId="7DA67C39" w14:textId="518726E3" w:rsidR="001C660B" w:rsidRPr="001C660B" w:rsidRDefault="001C660B" w:rsidP="001C660B">
      <w:pPr>
        <w:pStyle w:val="ListParagraph"/>
        <w:numPr>
          <w:ilvl w:val="0"/>
          <w:numId w:val="24"/>
        </w:numPr>
        <w:rPr>
          <w:lang w:eastAsia="bg-BG"/>
        </w:rPr>
      </w:pPr>
      <w:r w:rsidRPr="001C660B">
        <w:rPr>
          <w:lang w:eastAsia="bg-BG"/>
        </w:rPr>
        <w:t xml:space="preserve">Остра сърдечна недостатъчност, </w:t>
      </w:r>
      <w:proofErr w:type="spellStart"/>
      <w:r w:rsidRPr="001C660B">
        <w:rPr>
          <w:lang w:eastAsia="bg-BG"/>
        </w:rPr>
        <w:t>кардиогенен</w:t>
      </w:r>
      <w:proofErr w:type="spellEnd"/>
      <w:r w:rsidRPr="001C660B">
        <w:rPr>
          <w:lang w:eastAsia="bg-BG"/>
        </w:rPr>
        <w:t xml:space="preserve"> шок или епизоди на </w:t>
      </w:r>
      <w:proofErr w:type="spellStart"/>
      <w:r w:rsidRPr="001C660B">
        <w:rPr>
          <w:lang w:eastAsia="bg-BG"/>
        </w:rPr>
        <w:t>декомпенсирана</w:t>
      </w:r>
      <w:proofErr w:type="spellEnd"/>
      <w:r w:rsidRPr="001C660B">
        <w:rPr>
          <w:lang w:eastAsia="bg-BG"/>
        </w:rPr>
        <w:t xml:space="preserve"> сърдечна недостатъчност, налагащи интравенозно приложение на </w:t>
      </w:r>
      <w:proofErr w:type="spellStart"/>
      <w:r w:rsidRPr="001C660B">
        <w:rPr>
          <w:lang w:eastAsia="bg-BG"/>
        </w:rPr>
        <w:t>инотропна</w:t>
      </w:r>
      <w:proofErr w:type="spellEnd"/>
      <w:r w:rsidRPr="001C660B">
        <w:rPr>
          <w:lang w:eastAsia="bg-BG"/>
        </w:rPr>
        <w:t xml:space="preserve"> терапия;</w:t>
      </w:r>
    </w:p>
    <w:p w14:paraId="746204F0" w14:textId="77777777" w:rsidR="001C660B" w:rsidRPr="001C660B" w:rsidRDefault="001C660B" w:rsidP="001C660B">
      <w:pPr>
        <w:rPr>
          <w:lang w:eastAsia="bg-BG"/>
        </w:rPr>
      </w:pPr>
    </w:p>
    <w:p w14:paraId="76F882C0" w14:textId="5A5B1C85" w:rsidR="001C660B" w:rsidRPr="001C660B" w:rsidRDefault="001C660B" w:rsidP="001C660B">
      <w:r w:rsidRPr="001C660B">
        <w:rPr>
          <w:lang w:eastAsia="bg-BG"/>
        </w:rPr>
        <w:t>Освен това подобно на другите бета-</w:t>
      </w:r>
      <w:proofErr w:type="spellStart"/>
      <w:r w:rsidRPr="001C660B">
        <w:rPr>
          <w:lang w:eastAsia="bg-BG"/>
        </w:rPr>
        <w:t>блокери</w:t>
      </w:r>
      <w:proofErr w:type="spellEnd"/>
      <w:r w:rsidRPr="001C660B">
        <w:rPr>
          <w:lang w:eastAsia="bg-BG"/>
        </w:rPr>
        <w:t xml:space="preserve">, </w:t>
      </w:r>
      <w:proofErr w:type="spellStart"/>
      <w:r w:rsidRPr="001C660B">
        <w:rPr>
          <w:lang w:eastAsia="bg-BG"/>
        </w:rPr>
        <w:t>небиволол</w:t>
      </w:r>
      <w:proofErr w:type="spellEnd"/>
      <w:r w:rsidRPr="001C660B">
        <w:rPr>
          <w:lang w:eastAsia="bg-BG"/>
        </w:rPr>
        <w:t xml:space="preserve"> е противопоказан при:</w:t>
      </w:r>
    </w:p>
    <w:p w14:paraId="36BCFD41" w14:textId="77777777" w:rsidR="001C660B" w:rsidRPr="001C660B" w:rsidRDefault="001C660B" w:rsidP="001C660B">
      <w:pPr>
        <w:pStyle w:val="ListParagraph"/>
        <w:numPr>
          <w:ilvl w:val="0"/>
          <w:numId w:val="25"/>
        </w:numPr>
        <w:rPr>
          <w:lang w:eastAsia="bg-BG"/>
        </w:rPr>
      </w:pPr>
      <w:r w:rsidRPr="001C660B">
        <w:rPr>
          <w:lang w:eastAsia="bg-BG"/>
        </w:rPr>
        <w:t xml:space="preserve">Синдром на болния синусов възел </w:t>
      </w:r>
      <w:r w:rsidRPr="001C660B">
        <w:rPr>
          <w:lang w:val="en-US"/>
        </w:rPr>
        <w:t>(SS</w:t>
      </w:r>
      <w:r w:rsidRPr="001C660B">
        <w:rPr>
          <w:lang w:eastAsia="bg-BG"/>
        </w:rPr>
        <w:t xml:space="preserve">-синдром) и </w:t>
      </w:r>
      <w:proofErr w:type="spellStart"/>
      <w:r w:rsidRPr="001C660B">
        <w:rPr>
          <w:lang w:eastAsia="bg-BG"/>
        </w:rPr>
        <w:t>синуатриален</w:t>
      </w:r>
      <w:proofErr w:type="spellEnd"/>
      <w:r w:rsidRPr="001C660B">
        <w:rPr>
          <w:lang w:eastAsia="bg-BG"/>
        </w:rPr>
        <w:t xml:space="preserve"> блок </w:t>
      </w:r>
      <w:r w:rsidRPr="001C660B">
        <w:rPr>
          <w:lang w:val="en-US"/>
        </w:rPr>
        <w:t>(SA</w:t>
      </w:r>
      <w:r w:rsidRPr="001C660B">
        <w:rPr>
          <w:lang w:eastAsia="bg-BG"/>
        </w:rPr>
        <w:t>-блок);</w:t>
      </w:r>
    </w:p>
    <w:p w14:paraId="0B4C8A0C" w14:textId="77777777" w:rsidR="001C660B" w:rsidRPr="001C660B" w:rsidRDefault="001C660B" w:rsidP="001C660B">
      <w:pPr>
        <w:pStyle w:val="ListParagraph"/>
        <w:numPr>
          <w:ilvl w:val="0"/>
          <w:numId w:val="25"/>
        </w:numPr>
        <w:rPr>
          <w:lang w:val="en-US"/>
        </w:rPr>
      </w:pPr>
      <w:r w:rsidRPr="001C660B">
        <w:rPr>
          <w:lang w:val="en-US"/>
        </w:rPr>
        <w:t>AV</w:t>
      </w:r>
      <w:r w:rsidRPr="001C660B">
        <w:rPr>
          <w:lang w:eastAsia="bg-BG"/>
        </w:rPr>
        <w:t xml:space="preserve">-блок </w:t>
      </w:r>
      <w:r w:rsidRPr="001C660B">
        <w:rPr>
          <w:lang w:val="en-US"/>
        </w:rPr>
        <w:t>II</w:t>
      </w:r>
      <w:r w:rsidRPr="001C660B">
        <w:rPr>
          <w:lang w:eastAsia="bg-BG"/>
        </w:rPr>
        <w:t>-</w:t>
      </w:r>
      <w:proofErr w:type="spellStart"/>
      <w:r w:rsidRPr="001C660B">
        <w:rPr>
          <w:lang w:eastAsia="bg-BG"/>
        </w:rPr>
        <w:t>ра</w:t>
      </w:r>
      <w:proofErr w:type="spellEnd"/>
      <w:r w:rsidRPr="001C660B">
        <w:rPr>
          <w:lang w:eastAsia="bg-BG"/>
        </w:rPr>
        <w:t xml:space="preserve"> и </w:t>
      </w:r>
      <w:r w:rsidRPr="001C660B">
        <w:rPr>
          <w:lang w:val="en-US"/>
        </w:rPr>
        <w:t>III</w:t>
      </w:r>
      <w:r w:rsidRPr="001C660B">
        <w:rPr>
          <w:lang w:eastAsia="bg-BG"/>
        </w:rPr>
        <w:t>-та степен (без поставен пейсмейкър</w:t>
      </w:r>
      <w:proofErr w:type="gramStart"/>
      <w:r w:rsidRPr="001C660B">
        <w:rPr>
          <w:lang w:eastAsia="bg-BG"/>
        </w:rPr>
        <w:t>);</w:t>
      </w:r>
      <w:proofErr w:type="gramEnd"/>
    </w:p>
    <w:p w14:paraId="1258A343" w14:textId="77777777" w:rsidR="001C660B" w:rsidRPr="001C660B" w:rsidRDefault="001C660B" w:rsidP="001C660B">
      <w:pPr>
        <w:pStyle w:val="ListParagraph"/>
        <w:numPr>
          <w:ilvl w:val="0"/>
          <w:numId w:val="25"/>
        </w:numPr>
        <w:rPr>
          <w:lang w:eastAsia="bg-BG"/>
        </w:rPr>
      </w:pPr>
      <w:r w:rsidRPr="001C660B">
        <w:rPr>
          <w:lang w:eastAsia="bg-BG"/>
        </w:rPr>
        <w:t xml:space="preserve">Анамнеза за </w:t>
      </w:r>
      <w:proofErr w:type="spellStart"/>
      <w:r w:rsidRPr="001C660B">
        <w:rPr>
          <w:lang w:eastAsia="bg-BG"/>
        </w:rPr>
        <w:t>бронхоспазъм</w:t>
      </w:r>
      <w:proofErr w:type="spellEnd"/>
      <w:r w:rsidRPr="001C660B">
        <w:rPr>
          <w:lang w:eastAsia="bg-BG"/>
        </w:rPr>
        <w:t xml:space="preserve"> или бронхиална астма;</w:t>
      </w:r>
    </w:p>
    <w:p w14:paraId="6D7BFDF4" w14:textId="77777777" w:rsidR="001C660B" w:rsidRPr="001C660B" w:rsidRDefault="001C660B" w:rsidP="001C660B">
      <w:pPr>
        <w:pStyle w:val="ListParagraph"/>
        <w:numPr>
          <w:ilvl w:val="0"/>
          <w:numId w:val="25"/>
        </w:numPr>
        <w:rPr>
          <w:lang w:eastAsia="bg-BG"/>
        </w:rPr>
      </w:pPr>
      <w:proofErr w:type="spellStart"/>
      <w:r w:rsidRPr="001C660B">
        <w:rPr>
          <w:lang w:eastAsia="bg-BG"/>
        </w:rPr>
        <w:t>Нелекуван</w:t>
      </w:r>
      <w:proofErr w:type="spellEnd"/>
      <w:r w:rsidRPr="001C660B">
        <w:rPr>
          <w:lang w:eastAsia="bg-BG"/>
        </w:rPr>
        <w:t xml:space="preserve"> </w:t>
      </w:r>
      <w:proofErr w:type="spellStart"/>
      <w:r w:rsidRPr="001C660B">
        <w:rPr>
          <w:lang w:eastAsia="bg-BG"/>
        </w:rPr>
        <w:t>феохромоцитом</w:t>
      </w:r>
      <w:proofErr w:type="spellEnd"/>
      <w:r w:rsidRPr="001C660B">
        <w:rPr>
          <w:lang w:eastAsia="bg-BG"/>
        </w:rPr>
        <w:t>;</w:t>
      </w:r>
    </w:p>
    <w:p w14:paraId="48CA77D2" w14:textId="77777777" w:rsidR="001C660B" w:rsidRPr="001C660B" w:rsidRDefault="001C660B" w:rsidP="001C660B">
      <w:pPr>
        <w:pStyle w:val="ListParagraph"/>
        <w:numPr>
          <w:ilvl w:val="0"/>
          <w:numId w:val="25"/>
        </w:numPr>
        <w:rPr>
          <w:lang w:eastAsia="bg-BG"/>
        </w:rPr>
      </w:pPr>
      <w:r w:rsidRPr="001C660B">
        <w:rPr>
          <w:lang w:eastAsia="bg-BG"/>
        </w:rPr>
        <w:t xml:space="preserve">Метаболитна </w:t>
      </w:r>
      <w:proofErr w:type="spellStart"/>
      <w:r w:rsidRPr="001C660B">
        <w:rPr>
          <w:lang w:eastAsia="bg-BG"/>
        </w:rPr>
        <w:t>ацидоза</w:t>
      </w:r>
      <w:proofErr w:type="spellEnd"/>
      <w:r w:rsidRPr="001C660B">
        <w:rPr>
          <w:lang w:eastAsia="bg-BG"/>
        </w:rPr>
        <w:t>;</w:t>
      </w:r>
    </w:p>
    <w:p w14:paraId="1A6388A3" w14:textId="77777777" w:rsidR="001C660B" w:rsidRPr="001C660B" w:rsidRDefault="001C660B" w:rsidP="001C660B">
      <w:pPr>
        <w:pStyle w:val="ListParagraph"/>
        <w:numPr>
          <w:ilvl w:val="0"/>
          <w:numId w:val="25"/>
        </w:numPr>
        <w:rPr>
          <w:lang w:eastAsia="bg-BG"/>
        </w:rPr>
      </w:pPr>
      <w:r w:rsidRPr="001C660B">
        <w:rPr>
          <w:lang w:eastAsia="bg-BG"/>
        </w:rPr>
        <w:t>Брадикардия (сърдечна честота&lt; 60 удара/минута преди началото на лечението);</w:t>
      </w:r>
    </w:p>
    <w:p w14:paraId="777D846B" w14:textId="77777777" w:rsidR="001C660B" w:rsidRPr="001C660B" w:rsidRDefault="001C660B" w:rsidP="001C660B">
      <w:pPr>
        <w:pStyle w:val="ListParagraph"/>
        <w:numPr>
          <w:ilvl w:val="0"/>
          <w:numId w:val="25"/>
        </w:numPr>
        <w:rPr>
          <w:lang w:eastAsia="bg-BG"/>
        </w:rPr>
      </w:pPr>
      <w:r w:rsidRPr="001C660B">
        <w:rPr>
          <w:lang w:eastAsia="bg-BG"/>
        </w:rPr>
        <w:t>Хипотония (</w:t>
      </w:r>
      <w:proofErr w:type="spellStart"/>
      <w:r w:rsidRPr="001C660B">
        <w:rPr>
          <w:lang w:eastAsia="bg-BG"/>
        </w:rPr>
        <w:t>систолично</w:t>
      </w:r>
      <w:proofErr w:type="spellEnd"/>
      <w:r w:rsidRPr="001C660B">
        <w:rPr>
          <w:lang w:eastAsia="bg-BG"/>
        </w:rPr>
        <w:t xml:space="preserve"> артериално налягане&lt;90 </w:t>
      </w:r>
      <w:r w:rsidRPr="001C660B">
        <w:rPr>
          <w:lang w:val="en-US"/>
        </w:rPr>
        <w:t>mmHg);</w:t>
      </w:r>
    </w:p>
    <w:p w14:paraId="254DE759" w14:textId="77777777" w:rsidR="001C660B" w:rsidRPr="001C660B" w:rsidRDefault="001C660B" w:rsidP="001C660B">
      <w:pPr>
        <w:pStyle w:val="ListParagraph"/>
        <w:numPr>
          <w:ilvl w:val="0"/>
          <w:numId w:val="25"/>
        </w:numPr>
        <w:rPr>
          <w:lang w:eastAsia="bg-BG"/>
        </w:rPr>
      </w:pPr>
      <w:r w:rsidRPr="001C660B">
        <w:rPr>
          <w:lang w:eastAsia="bg-BG"/>
        </w:rPr>
        <w:t xml:space="preserve">Тежки нарушения в периферното </w:t>
      </w:r>
      <w:proofErr w:type="spellStart"/>
      <w:r w:rsidRPr="001C660B">
        <w:rPr>
          <w:lang w:eastAsia="bg-BG"/>
        </w:rPr>
        <w:t>крьвообрьщение</w:t>
      </w:r>
      <w:proofErr w:type="spellEnd"/>
      <w:r w:rsidRPr="001C660B">
        <w:rPr>
          <w:lang w:eastAsia="bg-BG"/>
        </w:rPr>
        <w:t>.</w:t>
      </w:r>
    </w:p>
    <w:p w14:paraId="5C6D3E53" w14:textId="77777777" w:rsidR="001C660B" w:rsidRPr="001C660B" w:rsidRDefault="001C660B" w:rsidP="001C660B"/>
    <w:p w14:paraId="6DDF89B4" w14:textId="69A92802" w:rsidR="00C809A7" w:rsidRDefault="002C50EE" w:rsidP="00AA23EC">
      <w:pPr>
        <w:pStyle w:val="Heading2"/>
      </w:pPr>
      <w:r>
        <w:lastRenderedPageBreak/>
        <w:t>4.4. Специални предупреждения и предпазни мерки при употреба</w:t>
      </w:r>
    </w:p>
    <w:p w14:paraId="75745308" w14:textId="77777777" w:rsid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231095" w14:textId="0E2D286B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Виж също точка 4.8 Нежелани лекарствени реакции</w:t>
      </w:r>
    </w:p>
    <w:p w14:paraId="184002C4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По принцип за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адренергичните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са в сила следните предупреждения и предпазни мерки при употреба:</w:t>
      </w:r>
    </w:p>
    <w:p w14:paraId="6AB6DC90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Анестезия</w:t>
      </w:r>
    </w:p>
    <w:p w14:paraId="1970B1CA" w14:textId="02996851" w:rsidR="001C660B" w:rsidRPr="001C660B" w:rsidRDefault="001C660B" w:rsidP="001C660B">
      <w:pPr>
        <w:rPr>
          <w:rFonts w:eastAsia="Times New Roman" w:cs="Arial"/>
          <w:color w:val="000000"/>
          <w:lang w:eastAsia="bg-BG"/>
        </w:rPr>
      </w:pPr>
      <w:r w:rsidRPr="001C660B">
        <w:rPr>
          <w:rFonts w:eastAsia="Times New Roman" w:cs="Arial"/>
          <w:color w:val="000000"/>
          <w:lang w:eastAsia="bg-BG"/>
        </w:rPr>
        <w:t xml:space="preserve">Ако не бъде преустановена, бета-блокадата намалява риска от появата на аритмии по време въвеждане в анестезия 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интубиране</w:t>
      </w:r>
      <w:proofErr w:type="spellEnd"/>
      <w:r w:rsidRPr="001C660B">
        <w:rPr>
          <w:rFonts w:eastAsia="Times New Roman" w:cs="Arial"/>
          <w:color w:val="000000"/>
          <w:lang w:eastAsia="bg-BG"/>
        </w:rPr>
        <w:t>. Когато лечението с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се прекъсва при подготовка за оперативна намеса, приложението им трябва да се преустанови поне 24 часа преди това.</w:t>
      </w:r>
    </w:p>
    <w:p w14:paraId="524395FC" w14:textId="05DDC4FC" w:rsidR="001C660B" w:rsidRPr="001C660B" w:rsidRDefault="001C660B" w:rsidP="001C660B">
      <w:pPr>
        <w:rPr>
          <w:rFonts w:eastAsia="Times New Roman" w:cs="Arial"/>
          <w:color w:val="000000"/>
          <w:lang w:eastAsia="bg-BG"/>
        </w:rPr>
      </w:pPr>
    </w:p>
    <w:p w14:paraId="49189728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Необходимо е внимание при приложението на някои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анестетици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които потискат миокардната функция. За да се предотврати появата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вагусови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реакции при тези пациенти, може да се приложи интравенозно атропин.</w:t>
      </w:r>
    </w:p>
    <w:p w14:paraId="7D3FBB93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F6BB265" w14:textId="78089B6E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Сърдечно-съдова система</w:t>
      </w:r>
    </w:p>
    <w:p w14:paraId="71A7B6DD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По принцип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не трябва да се използват при пациенти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нелекувана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застойна сърдечна недостатъчност, с изключение на случаите, когато състоянието на пациента е стабилизирано.</w:t>
      </w:r>
    </w:p>
    <w:p w14:paraId="4A1F24E2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При пациенти с исхемична болест на сърцето, приложението на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трябва да се преустановява постепенно в продължение на повече от 1-2 седмици. При необходимост в този период се започва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заместителна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терапия, за да се избегне обостряне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стенокардната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симптоматика</w:t>
      </w:r>
    </w:p>
    <w:p w14:paraId="27D6E1D2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могат да предизвикат брадикардия. Поради това при понижаване на сърдечната честота под 50-55 удара/минута в покой и/или при симптоми, насочващи за брадикардия, дозата трябва да се намали.</w:t>
      </w:r>
    </w:p>
    <w:p w14:paraId="2870520E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A20875" w14:textId="3EF06C1C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трябва да се използват внимателно при:</w:t>
      </w:r>
    </w:p>
    <w:p w14:paraId="582B622B" w14:textId="61E42C3C" w:rsidR="001C660B" w:rsidRPr="001C660B" w:rsidRDefault="001C660B" w:rsidP="001C660B">
      <w:pPr>
        <w:pStyle w:val="ListParagraph"/>
        <w:numPr>
          <w:ilvl w:val="0"/>
          <w:numId w:val="26"/>
        </w:num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Пациенти с нарушена периферно съдова циркулация (болест или синдром на </w:t>
      </w:r>
      <w:r w:rsidRPr="001C660B">
        <w:rPr>
          <w:rFonts w:eastAsia="Times New Roman" w:cs="Arial"/>
          <w:color w:val="000000"/>
          <w:lang w:val="en-US"/>
        </w:rPr>
        <w:t xml:space="preserve">Raynaud,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клаудикацио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интермитенс</w:t>
      </w:r>
      <w:proofErr w:type="spellEnd"/>
      <w:r w:rsidRPr="001C660B">
        <w:rPr>
          <w:rFonts w:eastAsia="Times New Roman" w:cs="Arial"/>
          <w:color w:val="000000"/>
          <w:lang w:eastAsia="bg-BG"/>
        </w:rPr>
        <w:t>), поради възможност от влошаване на симптоматиката;</w:t>
      </w:r>
    </w:p>
    <w:p w14:paraId="1361FA98" w14:textId="24597D44" w:rsidR="001C660B" w:rsidRPr="001C660B" w:rsidRDefault="001C660B" w:rsidP="001C660B">
      <w:pPr>
        <w:pStyle w:val="ListParagraph"/>
        <w:numPr>
          <w:ilvl w:val="0"/>
          <w:numId w:val="26"/>
        </w:num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При пациенти с </w:t>
      </w:r>
      <w:r w:rsidRPr="001C660B">
        <w:rPr>
          <w:rFonts w:eastAsia="Times New Roman" w:cs="Arial"/>
          <w:color w:val="000000"/>
          <w:lang w:val="en-US"/>
        </w:rPr>
        <w:t>AV</w:t>
      </w:r>
      <w:r w:rsidRPr="001C660B">
        <w:rPr>
          <w:rFonts w:eastAsia="Times New Roman" w:cs="Arial"/>
          <w:color w:val="000000"/>
          <w:lang w:eastAsia="bg-BG"/>
        </w:rPr>
        <w:t xml:space="preserve">-блок </w:t>
      </w:r>
      <w:r w:rsidRPr="001C660B">
        <w:rPr>
          <w:rFonts w:eastAsia="Times New Roman" w:cs="Arial"/>
          <w:color w:val="000000"/>
          <w:lang w:val="en-US"/>
        </w:rPr>
        <w:t>I</w:t>
      </w:r>
      <w:r w:rsidRPr="001C660B">
        <w:rPr>
          <w:rFonts w:eastAsia="Times New Roman" w:cs="Arial"/>
          <w:color w:val="000000"/>
          <w:lang w:eastAsia="bg-BG"/>
        </w:rPr>
        <w:t>-</w:t>
      </w:r>
      <w:proofErr w:type="spellStart"/>
      <w:r w:rsidRPr="001C660B">
        <w:rPr>
          <w:rFonts w:eastAsia="Times New Roman" w:cs="Arial"/>
          <w:color w:val="000000"/>
          <w:lang w:eastAsia="bg-BG"/>
        </w:rPr>
        <w:t>ра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степен, поради възможност за допълнително потискане на проводимостта;</w:t>
      </w:r>
    </w:p>
    <w:p w14:paraId="30D74D12" w14:textId="0AFEA606" w:rsidR="001C660B" w:rsidRPr="001C660B" w:rsidRDefault="001C660B" w:rsidP="001C660B">
      <w:pPr>
        <w:pStyle w:val="ListParagraph"/>
        <w:numPr>
          <w:ilvl w:val="0"/>
          <w:numId w:val="26"/>
        </w:num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При пациенти с ангина на </w:t>
      </w:r>
      <w:proofErr w:type="spellStart"/>
      <w:r w:rsidRPr="001C660B">
        <w:rPr>
          <w:rFonts w:eastAsia="Times New Roman" w:cs="Arial"/>
          <w:color w:val="000000"/>
          <w:lang w:val="en-US"/>
        </w:rPr>
        <w:t>Prinzmetal</w:t>
      </w:r>
      <w:proofErr w:type="spellEnd"/>
      <w:r w:rsidRPr="001C660B">
        <w:rPr>
          <w:rFonts w:eastAsia="Times New Roman" w:cs="Arial"/>
          <w:color w:val="000000"/>
          <w:lang w:val="en-US"/>
        </w:rPr>
        <w:t xml:space="preserve">, </w:t>
      </w:r>
      <w:r w:rsidRPr="001C660B">
        <w:rPr>
          <w:rFonts w:eastAsia="Times New Roman" w:cs="Arial"/>
          <w:color w:val="000000"/>
          <w:lang w:eastAsia="bg-BG"/>
        </w:rPr>
        <w:t xml:space="preserve">тъй като при тях се наблюдава коронарен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вагоспазъм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медииран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от алфа-рецепторите, които не са блокирани.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могат да увеличат честотата и продължителността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ангинозните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пристъпи при тези пациенти.</w:t>
      </w:r>
    </w:p>
    <w:p w14:paraId="795B4EF1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B479B0" w14:textId="7CE50770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По принцип не се препоръчва комбинирането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 калциеви антагонисти от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верапамилов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дилтиаземов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тип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антиаритмици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от клас I и с централно действащи антихипертензивни медикаменти (виж точка 4.5).</w:t>
      </w:r>
    </w:p>
    <w:p w14:paraId="2DA70E86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CAD4015" w14:textId="4C1DC8A4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Метаболизъм/Ендокринна система</w:t>
      </w:r>
    </w:p>
    <w:p w14:paraId="1D805C18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не повлиява нивата на кръвната глюкоза при пациенти със захарен диабет. По принцип е необходимо повишено внимание при диабетици, тъй като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може да маскира някои от симптомите на хипогликемия (тахикардия,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палпитации</w:t>
      </w:r>
      <w:proofErr w:type="spellEnd"/>
      <w:r w:rsidRPr="001C660B">
        <w:rPr>
          <w:rFonts w:eastAsia="Times New Roman" w:cs="Arial"/>
          <w:color w:val="000000"/>
          <w:lang w:eastAsia="bg-BG"/>
        </w:rPr>
        <w:t>).</w:t>
      </w:r>
    </w:p>
    <w:p w14:paraId="6059BEF0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Приложението на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може да маскира симптоматичната тахикардия при пациенти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хипертиреоидизъм</w:t>
      </w:r>
      <w:proofErr w:type="spellEnd"/>
      <w:r w:rsidRPr="001C660B">
        <w:rPr>
          <w:rFonts w:eastAsia="Times New Roman" w:cs="Arial"/>
          <w:color w:val="000000"/>
          <w:lang w:eastAsia="bg-BG"/>
        </w:rPr>
        <w:t>. Внезапното прекъсване на лечението може да засили тази симптоматика.</w:t>
      </w:r>
    </w:p>
    <w:p w14:paraId="7BFDA131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DFEDC32" w14:textId="2956A4D1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lastRenderedPageBreak/>
        <w:t>Дихателна система</w:t>
      </w:r>
    </w:p>
    <w:p w14:paraId="6552504A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трябва да се прилагат предпазливо при пациенти с хронична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обструктивна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белодробна болест, тъй като могат да провокират или засилят наличния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бронхоспазъм</w:t>
      </w:r>
      <w:proofErr w:type="spellEnd"/>
      <w:r w:rsidRPr="001C660B">
        <w:rPr>
          <w:rFonts w:eastAsia="Times New Roman" w:cs="Arial"/>
          <w:color w:val="000000"/>
          <w:lang w:eastAsia="bg-BG"/>
        </w:rPr>
        <w:t>.</w:t>
      </w:r>
    </w:p>
    <w:p w14:paraId="7C42CA45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1DF16E7" w14:textId="60DF9422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Други</w:t>
      </w:r>
    </w:p>
    <w:p w14:paraId="067E649A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Приложението на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при пациенти с анамнеза за псориазис трябва да става само след внимателна преценка.</w:t>
      </w:r>
    </w:p>
    <w:p w14:paraId="39E622C4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могат да засилят чувствителността към алергени и тежестта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анафилактичните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реакции.</w:t>
      </w:r>
    </w:p>
    <w:p w14:paraId="132DD8B7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D0833B" w14:textId="3A1A0490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Започването на лечение на хронична сърдечна недостатъчност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изисква редовно проследяване. За дозировка и начин на приложение виж точка 4.2. Лечението не трябва да се преустановява внезапно, освен ако не е категорично показано (виж точка 4.2).</w:t>
      </w:r>
    </w:p>
    <w:p w14:paraId="474B982E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4759F4" w14:textId="209FFFC4" w:rsidR="001C660B" w:rsidRPr="001C660B" w:rsidRDefault="001C660B" w:rsidP="001C660B">
      <w:pPr>
        <w:rPr>
          <w:rFonts w:ascii="Times New Roman" w:eastAsia="Times New Roman" w:hAnsi="Times New Roman" w:cs="Times New Roman"/>
          <w:sz w:val="24"/>
          <w:szCs w:val="24"/>
        </w:rPr>
      </w:pPr>
      <w:r w:rsidRPr="001C660B">
        <w:rPr>
          <w:rFonts w:eastAsia="Times New Roman" w:cs="Arial"/>
          <w:color w:val="000000"/>
          <w:lang w:eastAsia="bg-BG"/>
        </w:rPr>
        <w:t>Този лекарствен продукт съдържа лактоза. Пациенти с редки наследствени проблеми на</w:t>
      </w:r>
      <w:r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1C660B">
        <w:rPr>
          <w:lang w:eastAsia="bg-BG"/>
        </w:rPr>
        <w:t>галактозна</w:t>
      </w:r>
      <w:proofErr w:type="spellEnd"/>
      <w:r w:rsidRPr="001C660B">
        <w:rPr>
          <w:lang w:eastAsia="bg-BG"/>
        </w:rPr>
        <w:t xml:space="preserve"> непоносимост, </w:t>
      </w:r>
      <w:r w:rsidRPr="001C660B">
        <w:rPr>
          <w:lang w:val="en-US"/>
        </w:rPr>
        <w:t xml:space="preserve">Lapp </w:t>
      </w:r>
      <w:proofErr w:type="spellStart"/>
      <w:r w:rsidRPr="001C660B">
        <w:rPr>
          <w:lang w:eastAsia="bg-BG"/>
        </w:rPr>
        <w:t>лактазен</w:t>
      </w:r>
      <w:proofErr w:type="spellEnd"/>
      <w:r w:rsidRPr="001C660B">
        <w:rPr>
          <w:lang w:eastAsia="bg-BG"/>
        </w:rPr>
        <w:t xml:space="preserve"> дефицит или </w:t>
      </w:r>
      <w:proofErr w:type="spellStart"/>
      <w:r w:rsidRPr="001C660B">
        <w:rPr>
          <w:lang w:eastAsia="bg-BG"/>
        </w:rPr>
        <w:t>глюкозо-галактозна</w:t>
      </w:r>
      <w:proofErr w:type="spellEnd"/>
      <w:r w:rsidRPr="001C660B">
        <w:rPr>
          <w:lang w:eastAsia="bg-BG"/>
        </w:rPr>
        <w:t xml:space="preserve"> малабсорбция не трябва да приемат този лекарствен продукт.</w:t>
      </w:r>
    </w:p>
    <w:p w14:paraId="27DAB943" w14:textId="77777777" w:rsidR="001C660B" w:rsidRPr="001C660B" w:rsidRDefault="001C660B" w:rsidP="001C660B"/>
    <w:p w14:paraId="5D37E947" w14:textId="0AA242A9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0DE3FE7A" w14:textId="3523CBC9" w:rsidR="001C660B" w:rsidRDefault="001C660B" w:rsidP="001C660B"/>
    <w:p w14:paraId="54DE59FB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proofErr w:type="spellStart"/>
      <w:r w:rsidRPr="001C660B">
        <w:rPr>
          <w:rFonts w:eastAsia="Times New Roman" w:cs="Arial"/>
          <w:b/>
          <w:bCs/>
          <w:color w:val="000000"/>
          <w:lang w:eastAsia="bg-BG"/>
        </w:rPr>
        <w:t>Фармакодинамични</w:t>
      </w:r>
      <w:proofErr w:type="spellEnd"/>
      <w:r w:rsidRPr="001C660B">
        <w:rPr>
          <w:rFonts w:eastAsia="Times New Roman" w:cs="Arial"/>
          <w:b/>
          <w:bCs/>
          <w:color w:val="000000"/>
          <w:lang w:eastAsia="bg-BG"/>
        </w:rPr>
        <w:t xml:space="preserve"> взаимодействия</w:t>
      </w:r>
    </w:p>
    <w:p w14:paraId="712ECABF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За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са характерни следните взаимодействия:</w:t>
      </w:r>
    </w:p>
    <w:p w14:paraId="1CC84EE0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24F60D" w14:textId="6AC4D911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Комбинации, които не се препоръчват</w:t>
      </w:r>
    </w:p>
    <w:p w14:paraId="44002385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Антиаритмични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 лекарствени продукти от клас I (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хинидин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хидрохинидин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цибензолин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флекаинид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дизопирамид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лидокаин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мексилетин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пропафенон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>),</w:t>
      </w:r>
      <w:r w:rsidRPr="001C660B">
        <w:rPr>
          <w:rFonts w:eastAsia="Times New Roman" w:cs="Arial"/>
          <w:color w:val="000000"/>
          <w:lang w:eastAsia="bg-BG"/>
        </w:rPr>
        <w:t xml:space="preserve"> тъй като може да настъпи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потенциране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на ефекта им върху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атрио-вентрикуларната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проводимост и повишаване на отрицателния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инотропен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ефект (виж точка 4.4).</w:t>
      </w:r>
    </w:p>
    <w:p w14:paraId="21AC51A5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45F7424" w14:textId="431F4524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 xml:space="preserve">Калциеви антагонисти от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верапамилов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 или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дилтиаземов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 тип,</w:t>
      </w:r>
      <w:r w:rsidRPr="001C660B">
        <w:rPr>
          <w:rFonts w:eastAsia="Times New Roman" w:cs="Arial"/>
          <w:color w:val="000000"/>
          <w:lang w:eastAsia="bg-BG"/>
        </w:rPr>
        <w:t xml:space="preserve"> поради негативният им ефект върху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контрактилитета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атрио-вентрикуларната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проводимост. Интравенозното приложение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верапамил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при пациенти, приемащи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може да доведе до тежка хипотония 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атрио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вентрикуларен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блок (виж точка 4.4).</w:t>
      </w:r>
    </w:p>
    <w:p w14:paraId="278F64EB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CF76636" w14:textId="6F26336A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Антихипертензивни продукти с централно действие (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клонидин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гуанфацин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моксонидин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метилдопа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рилменидин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>):</w:t>
      </w:r>
      <w:r w:rsidRPr="001C660B">
        <w:rPr>
          <w:rFonts w:eastAsia="Times New Roman" w:cs="Arial"/>
          <w:color w:val="000000"/>
          <w:lang w:eastAsia="bg-BG"/>
        </w:rPr>
        <w:t xml:space="preserve"> едновременното им приложение може да влоши сърдечната недостатъчност чрез централно потискане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симпатикусовия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тонус (понижаване на сърдечната честота и сърдечния дебит,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вазодилатация</w:t>
      </w:r>
      <w:proofErr w:type="spellEnd"/>
      <w:r w:rsidRPr="001C660B">
        <w:rPr>
          <w:rFonts w:eastAsia="Times New Roman" w:cs="Arial"/>
          <w:color w:val="000000"/>
          <w:lang w:eastAsia="bg-BG"/>
        </w:rPr>
        <w:t>). При внезапно прекъсване на продължително лечение с тези продукти, особено ако това става преди спиране на приложението на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съществува риск от развитие на </w:t>
      </w:r>
      <w:r w:rsidRPr="001C660B">
        <w:rPr>
          <w:rFonts w:eastAsia="Times New Roman" w:cs="Arial"/>
          <w:color w:val="000000"/>
          <w:lang w:val="en-US"/>
        </w:rPr>
        <w:t xml:space="preserve">„rebound </w:t>
      </w:r>
      <w:r w:rsidRPr="001C660B">
        <w:rPr>
          <w:rFonts w:eastAsia="Times New Roman" w:cs="Arial"/>
          <w:color w:val="000000"/>
          <w:lang w:eastAsia="bg-BG"/>
        </w:rPr>
        <w:t>хипертония”.</w:t>
      </w:r>
    </w:p>
    <w:p w14:paraId="7DB6F6C7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A191D5A" w14:textId="2EDA09CE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Комбинации, които трябва да се използват с повишено внимание</w:t>
      </w:r>
    </w:p>
    <w:p w14:paraId="6087E9B9" w14:textId="32512271" w:rsidR="001C660B" w:rsidRPr="001C660B" w:rsidRDefault="001C660B" w:rsidP="001C660B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 xml:space="preserve">“ Клас III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антиаритмични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 лекарства (напр.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амиодарон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>):</w:t>
      </w:r>
      <w:r w:rsidRPr="001C660B">
        <w:rPr>
          <w:rFonts w:eastAsia="Times New Roman" w:cs="Arial"/>
          <w:color w:val="000000"/>
          <w:lang w:eastAsia="bg-BG"/>
        </w:rPr>
        <w:t xml:space="preserve"> може да се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потенцира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ефектът върху времето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атриална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проводимост.</w:t>
      </w:r>
    </w:p>
    <w:p w14:paraId="3C3321E7" w14:textId="77777777" w:rsidR="001C660B" w:rsidRPr="001C660B" w:rsidRDefault="001C660B" w:rsidP="001C660B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</w:rPr>
      </w:pP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lastRenderedPageBreak/>
        <w:t>Анестетици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>-летливи халогени:</w:t>
      </w:r>
      <w:r w:rsidRPr="001C660B">
        <w:rPr>
          <w:rFonts w:eastAsia="Times New Roman" w:cs="Arial"/>
          <w:color w:val="000000"/>
          <w:lang w:eastAsia="bg-BG"/>
        </w:rPr>
        <w:t xml:space="preserve"> едновременното приложение на бета-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адренергични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анестетици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може да намали рефлекторната тахикардия и да повиши риска от хипотония (виж точка 4.4).</w:t>
      </w:r>
    </w:p>
    <w:p w14:paraId="7A2A7591" w14:textId="749611BB" w:rsidR="001C660B" w:rsidRPr="001C660B" w:rsidRDefault="001C660B" w:rsidP="001C660B">
      <w:pPr>
        <w:pStyle w:val="ListParagraph"/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Основно правило е да се избягва внезапно прекъсване на приложението на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. Анестезиологът трябва да бъде информиран, ако пациента приема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>.</w:t>
      </w:r>
    </w:p>
    <w:p w14:paraId="49ED3CDA" w14:textId="44CC6D32" w:rsidR="001C660B" w:rsidRPr="001C660B" w:rsidRDefault="001C660B" w:rsidP="001C660B">
      <w:pPr>
        <w:pStyle w:val="ListParagraph"/>
        <w:numPr>
          <w:ilvl w:val="0"/>
          <w:numId w:val="28"/>
        </w:num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>Инсулин и перорални антидиабетни лекарствен продукти:</w:t>
      </w:r>
      <w:r w:rsidRPr="001C660B">
        <w:rPr>
          <w:rFonts w:eastAsia="Times New Roman" w:cs="Arial"/>
          <w:color w:val="000000"/>
          <w:lang w:eastAsia="bg-BG"/>
        </w:rPr>
        <w:t xml:space="preserve"> въпреки, че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не повлиява нивата на кръвната глюкоза, той може да маскира някои от симптомите на настъпваща хипогликемия (</w:t>
      </w:r>
      <w:proofErr w:type="spellStart"/>
      <w:r w:rsidRPr="001C660B">
        <w:rPr>
          <w:rFonts w:eastAsia="Times New Roman" w:cs="Arial"/>
          <w:color w:val="000000"/>
          <w:lang w:eastAsia="bg-BG"/>
        </w:rPr>
        <w:t>палпитации</w:t>
      </w:r>
      <w:proofErr w:type="spellEnd"/>
      <w:r w:rsidRPr="001C660B">
        <w:rPr>
          <w:rFonts w:eastAsia="Times New Roman" w:cs="Arial"/>
          <w:color w:val="000000"/>
          <w:lang w:eastAsia="bg-BG"/>
        </w:rPr>
        <w:t>, тахикардия).</w:t>
      </w:r>
    </w:p>
    <w:p w14:paraId="2D4456BB" w14:textId="77777777" w:rsidR="001C660B" w:rsidRPr="001C660B" w:rsidRDefault="001C660B" w:rsidP="001C660B">
      <w:pPr>
        <w:pStyle w:val="ListParagraph"/>
        <w:numPr>
          <w:ilvl w:val="0"/>
          <w:numId w:val="28"/>
        </w:num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Баклофен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амифостин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>:</w:t>
      </w:r>
      <w:r w:rsidRPr="001C660B">
        <w:rPr>
          <w:rFonts w:eastAsia="Times New Roman" w:cs="Arial"/>
          <w:color w:val="000000"/>
          <w:lang w:eastAsia="bg-BG"/>
        </w:rPr>
        <w:t xml:space="preserve"> едновременното приложение с антихипертензивни продукти засилва понижаването на кръвното налягане. Поради това, дозата на антихипертензивния медикамент, трябва да бъде съответно коригирана.</w:t>
      </w:r>
    </w:p>
    <w:p w14:paraId="28A72242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C00E1D" w14:textId="556F4496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u w:val="single"/>
          <w:lang w:eastAsia="bg-BG"/>
        </w:rPr>
        <w:t>Комбинации, които трябва да се имат в предвид</w:t>
      </w:r>
    </w:p>
    <w:p w14:paraId="195750B9" w14:textId="45C08B4B" w:rsidR="001C660B" w:rsidRPr="001C660B" w:rsidRDefault="001C660B" w:rsidP="001C660B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Дигиталисови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гликозиди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>:</w:t>
      </w:r>
      <w:r w:rsidRPr="001C660B">
        <w:rPr>
          <w:rFonts w:eastAsia="Times New Roman" w:cs="Arial"/>
          <w:color w:val="000000"/>
          <w:lang w:eastAsia="bg-BG"/>
        </w:rPr>
        <w:t xml:space="preserve"> едновременното приложение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дигиталисови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продукти и бета-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може да увеличи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атрио-вентрикуларното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време за провеждане. Клиничните изпитвания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не дават клинични доказателства за взаимодействия.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не повлиява кинетиката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дигоксин.</w:t>
      </w:r>
      <w:proofErr w:type="spellEnd"/>
    </w:p>
    <w:p w14:paraId="48E4A830" w14:textId="06AC9E08" w:rsidR="001C660B" w:rsidRPr="001C660B" w:rsidRDefault="001C660B" w:rsidP="001C660B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i/>
          <w:iCs/>
          <w:color w:val="000000"/>
          <w:lang w:eastAsia="bg-BG"/>
        </w:rPr>
        <w:t xml:space="preserve">Калциеви антагонисти от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дихидропиридинов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 тип (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амлодипин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фелодипин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лацидипин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нифедипин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никардипин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нимодипин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i/>
          <w:iCs/>
          <w:color w:val="000000"/>
          <w:lang w:eastAsia="bg-BG"/>
        </w:rPr>
        <w:t>нитрендипин</w:t>
      </w:r>
      <w:proofErr w:type="spellEnd"/>
      <w:r w:rsidRPr="001C660B">
        <w:rPr>
          <w:rFonts w:eastAsia="Times New Roman" w:cs="Arial"/>
          <w:i/>
          <w:iCs/>
          <w:color w:val="000000"/>
          <w:lang w:eastAsia="bg-BG"/>
        </w:rPr>
        <w:t>):</w:t>
      </w:r>
      <w:r w:rsidRPr="001C660B">
        <w:rPr>
          <w:rFonts w:eastAsia="Times New Roman" w:cs="Arial"/>
          <w:color w:val="000000"/>
          <w:lang w:eastAsia="bg-BG"/>
        </w:rPr>
        <w:t xml:space="preserve"> едновременното им приложение може да повиши риска от хипотония, като не може да се изключи и риск от допълнително влошаване на помпената функция на сърцето при пациенти със сърдечна недостатъчност.</w:t>
      </w:r>
    </w:p>
    <w:p w14:paraId="6C84476C" w14:textId="12FFC6B1" w:rsidR="001C660B" w:rsidRPr="001C660B" w:rsidRDefault="001C660B" w:rsidP="001C660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1C660B">
        <w:rPr>
          <w:i/>
          <w:iCs/>
          <w:lang w:eastAsia="bg-BG"/>
        </w:rPr>
        <w:t>Антипсихотици</w:t>
      </w:r>
      <w:proofErr w:type="spellEnd"/>
      <w:r w:rsidRPr="001C660B">
        <w:rPr>
          <w:i/>
          <w:iCs/>
          <w:lang w:eastAsia="bg-BG"/>
        </w:rPr>
        <w:t xml:space="preserve">, антидепресанти (трициклични, </w:t>
      </w:r>
      <w:proofErr w:type="spellStart"/>
      <w:r w:rsidRPr="001C660B">
        <w:rPr>
          <w:i/>
          <w:iCs/>
          <w:lang w:eastAsia="bg-BG"/>
        </w:rPr>
        <w:t>барбитурати</w:t>
      </w:r>
      <w:proofErr w:type="spellEnd"/>
      <w:r w:rsidRPr="001C660B">
        <w:rPr>
          <w:i/>
          <w:iCs/>
          <w:lang w:eastAsia="bg-BG"/>
        </w:rPr>
        <w:t xml:space="preserve">, </w:t>
      </w:r>
      <w:proofErr w:type="spellStart"/>
      <w:r w:rsidRPr="001C660B">
        <w:rPr>
          <w:i/>
          <w:iCs/>
          <w:lang w:eastAsia="bg-BG"/>
        </w:rPr>
        <w:t>фенотиазини</w:t>
      </w:r>
      <w:proofErr w:type="spellEnd"/>
      <w:r w:rsidRPr="001C660B">
        <w:rPr>
          <w:i/>
          <w:iCs/>
          <w:lang w:eastAsia="bg-BG"/>
        </w:rPr>
        <w:t xml:space="preserve">): </w:t>
      </w:r>
      <w:r w:rsidRPr="001C660B">
        <w:rPr>
          <w:lang w:eastAsia="bg-BG"/>
        </w:rPr>
        <w:t xml:space="preserve">едновременното им приложение може да засили </w:t>
      </w:r>
      <w:proofErr w:type="spellStart"/>
      <w:r w:rsidRPr="001C660B">
        <w:rPr>
          <w:lang w:eastAsia="bg-BG"/>
        </w:rPr>
        <w:t>хипотензивния</w:t>
      </w:r>
      <w:proofErr w:type="spellEnd"/>
      <w:r w:rsidRPr="001C660B">
        <w:rPr>
          <w:lang w:eastAsia="bg-BG"/>
        </w:rPr>
        <w:t xml:space="preserve"> ефект на бета-</w:t>
      </w:r>
      <w:proofErr w:type="spellStart"/>
      <w:r w:rsidRPr="001C660B">
        <w:rPr>
          <w:lang w:eastAsia="bg-BG"/>
        </w:rPr>
        <w:t>блокерите</w:t>
      </w:r>
      <w:proofErr w:type="spellEnd"/>
      <w:r w:rsidRPr="001C660B">
        <w:rPr>
          <w:lang w:eastAsia="bg-BG"/>
        </w:rPr>
        <w:t xml:space="preserve"> (адитивен ефект).</w:t>
      </w:r>
    </w:p>
    <w:p w14:paraId="29B4F6EB" w14:textId="50B13030" w:rsidR="001C660B" w:rsidRPr="001C660B" w:rsidRDefault="001C660B" w:rsidP="001C66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660B">
        <w:rPr>
          <w:i/>
          <w:iCs/>
          <w:lang w:eastAsia="bg-BG"/>
        </w:rPr>
        <w:t>Нестероидни противовъзпалителни средства (НСПВС):</w:t>
      </w:r>
      <w:r w:rsidRPr="001C660B">
        <w:rPr>
          <w:lang w:eastAsia="bg-BG"/>
        </w:rPr>
        <w:t xml:space="preserve"> не оказват ефект върху понижаващия кръвното налягане ефект на </w:t>
      </w:r>
      <w:proofErr w:type="spellStart"/>
      <w:r w:rsidRPr="001C660B">
        <w:rPr>
          <w:lang w:eastAsia="bg-BG"/>
        </w:rPr>
        <w:t>небиволол</w:t>
      </w:r>
      <w:proofErr w:type="spellEnd"/>
      <w:r w:rsidRPr="001C660B">
        <w:rPr>
          <w:lang w:eastAsia="bg-BG"/>
        </w:rPr>
        <w:t>.</w:t>
      </w:r>
    </w:p>
    <w:p w14:paraId="1E715271" w14:textId="0376458E" w:rsidR="001C660B" w:rsidRPr="001C660B" w:rsidRDefault="001C660B" w:rsidP="001C660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1C660B">
        <w:rPr>
          <w:i/>
          <w:iCs/>
          <w:lang w:eastAsia="bg-BG"/>
        </w:rPr>
        <w:t>Симпатикомиметични</w:t>
      </w:r>
      <w:proofErr w:type="spellEnd"/>
      <w:r w:rsidRPr="001C660B">
        <w:rPr>
          <w:i/>
          <w:iCs/>
          <w:lang w:eastAsia="bg-BG"/>
        </w:rPr>
        <w:t xml:space="preserve"> лекарствени продукти:</w:t>
      </w:r>
      <w:r w:rsidRPr="001C660B">
        <w:rPr>
          <w:lang w:eastAsia="bg-BG"/>
        </w:rPr>
        <w:t xml:space="preserve"> могат да противодействат на ефектите на бета- </w:t>
      </w:r>
      <w:proofErr w:type="spellStart"/>
      <w:r w:rsidRPr="001C660B">
        <w:rPr>
          <w:lang w:eastAsia="bg-BG"/>
        </w:rPr>
        <w:t>адренергичните</w:t>
      </w:r>
      <w:proofErr w:type="spellEnd"/>
      <w:r w:rsidRPr="001C660B">
        <w:rPr>
          <w:lang w:eastAsia="bg-BG"/>
        </w:rPr>
        <w:t xml:space="preserve"> антагонисти. Бета-</w:t>
      </w:r>
      <w:proofErr w:type="spellStart"/>
      <w:r w:rsidRPr="001C660B">
        <w:rPr>
          <w:lang w:eastAsia="bg-BG"/>
        </w:rPr>
        <w:t>блокерите</w:t>
      </w:r>
      <w:proofErr w:type="spellEnd"/>
      <w:r w:rsidRPr="001C660B">
        <w:rPr>
          <w:lang w:eastAsia="bg-BG"/>
        </w:rPr>
        <w:t xml:space="preserve"> могат да доведат до </w:t>
      </w:r>
      <w:proofErr w:type="spellStart"/>
      <w:r w:rsidRPr="001C660B">
        <w:rPr>
          <w:lang w:eastAsia="bg-BG"/>
        </w:rPr>
        <w:t>безпрепятствана</w:t>
      </w:r>
      <w:proofErr w:type="spellEnd"/>
      <w:r w:rsidRPr="001C660B">
        <w:rPr>
          <w:lang w:eastAsia="bg-BG"/>
        </w:rPr>
        <w:t xml:space="preserve"> алфа- активност на </w:t>
      </w:r>
      <w:proofErr w:type="spellStart"/>
      <w:r w:rsidRPr="001C660B">
        <w:rPr>
          <w:lang w:eastAsia="bg-BG"/>
        </w:rPr>
        <w:t>симпатикомиметиците</w:t>
      </w:r>
      <w:proofErr w:type="spellEnd"/>
      <w:r w:rsidRPr="001C660B">
        <w:rPr>
          <w:lang w:eastAsia="bg-BG"/>
        </w:rPr>
        <w:t xml:space="preserve"> с алфа- и с бета-</w:t>
      </w:r>
      <w:proofErr w:type="spellStart"/>
      <w:r w:rsidRPr="001C660B">
        <w:rPr>
          <w:lang w:eastAsia="bg-BG"/>
        </w:rPr>
        <w:t>адренергична</w:t>
      </w:r>
      <w:proofErr w:type="spellEnd"/>
      <w:r w:rsidRPr="001C660B">
        <w:rPr>
          <w:lang w:eastAsia="bg-BG"/>
        </w:rPr>
        <w:t xml:space="preserve"> активност (опасност от хипертония, тежка брадикардия и сърдечен блок).</w:t>
      </w:r>
    </w:p>
    <w:p w14:paraId="6B5716B3" w14:textId="2AF5ABB0" w:rsidR="001C660B" w:rsidRDefault="001C660B" w:rsidP="001C660B">
      <w:pPr>
        <w:rPr>
          <w:sz w:val="24"/>
          <w:szCs w:val="24"/>
        </w:rPr>
      </w:pPr>
    </w:p>
    <w:p w14:paraId="39DAC0CD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proofErr w:type="spellStart"/>
      <w:r w:rsidRPr="001C660B">
        <w:rPr>
          <w:rFonts w:eastAsia="Times New Roman" w:cs="Arial"/>
          <w:b/>
          <w:bCs/>
          <w:color w:val="000000"/>
          <w:lang w:eastAsia="bg-BG"/>
        </w:rPr>
        <w:t>Фармакокинетнчни</w:t>
      </w:r>
      <w:proofErr w:type="spellEnd"/>
      <w:r w:rsidRPr="001C660B">
        <w:rPr>
          <w:rFonts w:eastAsia="Times New Roman" w:cs="Arial"/>
          <w:b/>
          <w:bCs/>
          <w:color w:val="000000"/>
          <w:lang w:eastAsia="bg-BG"/>
        </w:rPr>
        <w:t xml:space="preserve"> взаимодействия</w:t>
      </w:r>
    </w:p>
    <w:p w14:paraId="56714038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2357DC" w14:textId="67C6F350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Тъй като в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метаболизирането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участва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изоензим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</w:t>
      </w:r>
      <w:r w:rsidRPr="001C660B">
        <w:rPr>
          <w:rFonts w:eastAsia="Times New Roman" w:cs="Arial"/>
          <w:color w:val="000000"/>
          <w:lang w:val="en-US"/>
        </w:rPr>
        <w:t xml:space="preserve">CYP2D6, </w:t>
      </w:r>
      <w:r w:rsidRPr="001C660B">
        <w:rPr>
          <w:rFonts w:eastAsia="Times New Roman" w:cs="Arial"/>
          <w:color w:val="000000"/>
          <w:lang w:eastAsia="bg-BG"/>
        </w:rPr>
        <w:t>едновременното приложение на субстанции инхибиращи този ензим (</w:t>
      </w:r>
      <w:proofErr w:type="spellStart"/>
      <w:r w:rsidRPr="001C660B">
        <w:rPr>
          <w:rFonts w:eastAsia="Times New Roman" w:cs="Arial"/>
          <w:color w:val="000000"/>
          <w:lang w:eastAsia="bg-BG"/>
        </w:rPr>
        <w:t>параксетин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флуоксетин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тиоридазин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хинидин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) може да доведе до повишаване на плазмените нива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което е свързано с повишен риск от развитие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ексецивна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брадикардия и поява на нежелани реакции.</w:t>
      </w:r>
    </w:p>
    <w:p w14:paraId="1EEE4F2B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циметидин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повишава плазмените нива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без да променя клиничния ефект. Приложението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ранитидин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не променя фармакокинетиката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. Те могат да се употребяват заедно, като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се приема по време на хранене, 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антиацидът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между две хранения.</w:t>
      </w:r>
    </w:p>
    <w:p w14:paraId="375FD999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никардипин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води до леко повишаване на плазмените нива и на двата лекарствени продукта, без да се повлиява клиничният им </w:t>
      </w:r>
      <w:r w:rsidRPr="001C660B">
        <w:rPr>
          <w:rFonts w:eastAsia="Times New Roman" w:cs="Arial"/>
          <w:color w:val="000000"/>
          <w:lang w:eastAsia="bg-BG"/>
        </w:rPr>
        <w:lastRenderedPageBreak/>
        <w:t xml:space="preserve">ефект. Едновременното приложение на алкохол,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фуроземид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или хидрохлоротиазид не променя фармакокинетиката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>.</w:t>
      </w:r>
    </w:p>
    <w:p w14:paraId="2DC84F90" w14:textId="732B862A" w:rsidR="001C660B" w:rsidRPr="001C660B" w:rsidRDefault="001C660B" w:rsidP="001C660B">
      <w:pPr>
        <w:rPr>
          <w:rFonts w:cs="Arial"/>
        </w:rPr>
      </w:pP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не повлиява фармакокинетиката и </w:t>
      </w:r>
      <w:proofErr w:type="spellStart"/>
      <w:r w:rsidRPr="001C660B">
        <w:rPr>
          <w:rFonts w:eastAsia="Times New Roman" w:cs="Arial"/>
          <w:color w:val="000000"/>
          <w:lang w:eastAsia="bg-BG"/>
        </w:rPr>
        <w:t>фармакодинамиката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1C660B">
        <w:rPr>
          <w:rFonts w:eastAsia="Times New Roman" w:cs="Arial"/>
          <w:color w:val="000000"/>
          <w:lang w:eastAsia="bg-BG"/>
        </w:rPr>
        <w:t>.</w:t>
      </w:r>
    </w:p>
    <w:p w14:paraId="394D9FBB" w14:textId="77777777" w:rsidR="001C660B" w:rsidRPr="001C660B" w:rsidRDefault="001C660B" w:rsidP="001C660B"/>
    <w:p w14:paraId="2A6346D7" w14:textId="15FD4937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395DA943" w14:textId="77777777" w:rsid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52A5449" w14:textId="1F8E83A9" w:rsidR="001C660B" w:rsidRPr="001C660B" w:rsidRDefault="001C660B" w:rsidP="001C660B">
      <w:pPr>
        <w:pStyle w:val="Heading3"/>
        <w:rPr>
          <w:rFonts w:eastAsia="Times New Roman"/>
          <w:u w:val="single"/>
        </w:rPr>
      </w:pPr>
      <w:r w:rsidRPr="001C660B">
        <w:rPr>
          <w:rFonts w:eastAsia="Times New Roman"/>
          <w:u w:val="single"/>
          <w:lang w:eastAsia="bg-BG"/>
        </w:rPr>
        <w:t>Бременност</w:t>
      </w:r>
    </w:p>
    <w:p w14:paraId="53F05ADF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има фармакологични действия, които могат да предизвикат увреждащи действия върху бременността и/или върху плода/новороденото. По принцип, бета-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намаляват плацентната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перфузия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което може да има връзка със забавянето на растежа,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вътрематочна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смърт, аборт или преждевременно раждане. Нежелани лекарствени реакции (напр. хипогликемия, брадикардия) могат да се появят при плода и новороденото. Ако е необходимо лечение с </w:t>
      </w:r>
      <w:r w:rsidRPr="001C660B">
        <w:rPr>
          <w:rFonts w:eastAsia="Times New Roman" w:cs="Arial"/>
          <w:color w:val="000000"/>
          <w:lang w:val="en-US"/>
        </w:rPr>
        <w:t>β</w:t>
      </w:r>
      <w:r w:rsidRPr="001C660B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адренорецепторни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</w:t>
      </w:r>
      <w:r w:rsidRPr="001C660B">
        <w:rPr>
          <w:rFonts w:eastAsia="Times New Roman" w:cs="Arial"/>
          <w:color w:val="000000"/>
          <w:lang w:val="en-US"/>
        </w:rPr>
        <w:t>β</w:t>
      </w:r>
      <w:r w:rsidRPr="001C660B">
        <w:rPr>
          <w:rFonts w:eastAsia="Times New Roman" w:cs="Arial"/>
          <w:color w:val="000000"/>
          <w:vertAlign w:val="subscript"/>
          <w:lang w:val="en-US"/>
        </w:rPr>
        <w:t>1</w:t>
      </w:r>
      <w:r w:rsidRPr="001C660B">
        <w:rPr>
          <w:rFonts w:eastAsia="Times New Roman" w:cs="Arial"/>
          <w:color w:val="000000"/>
          <w:lang w:val="en-US"/>
        </w:rPr>
        <w:t xml:space="preserve">- </w:t>
      </w:r>
      <w:r w:rsidRPr="001C660B">
        <w:rPr>
          <w:rFonts w:eastAsia="Times New Roman" w:cs="Arial"/>
          <w:color w:val="000000"/>
          <w:lang w:eastAsia="bg-BG"/>
        </w:rPr>
        <w:t xml:space="preserve">селективните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адренорецепторните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са за предпочитане.</w:t>
      </w:r>
    </w:p>
    <w:p w14:paraId="6E4AC906" w14:textId="77777777" w:rsidR="001C660B" w:rsidRPr="001C660B" w:rsidRDefault="001C660B" w:rsidP="001C660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DAFB7F" w14:textId="659DB58D" w:rsidR="001C660B" w:rsidRPr="001C660B" w:rsidRDefault="001C660B" w:rsidP="001C660B">
      <w:pPr>
        <w:spacing w:line="240" w:lineRule="auto"/>
        <w:rPr>
          <w:rFonts w:eastAsia="Times New Roman" w:cs="Arial"/>
        </w:rPr>
      </w:pP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не трябва да се използва по време на бременност, освен при наличие на категорична необходимост. Ако лечението с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се счита за необходимо, маточно-плацентния кръвоток и растежа на плода трябва бъдат проследявани. В случай на увреждащи ефекти върху бременността или плода, трябва да се обмисли алтернативно лечение. Новородените трябва да се наблюдават стриктно. Симптомите на хипогликемия и брадикардия по принцип, се очакват през първите три дни.</w:t>
      </w:r>
    </w:p>
    <w:p w14:paraId="40DF9499" w14:textId="77777777" w:rsidR="001C660B" w:rsidRPr="001C660B" w:rsidRDefault="001C660B" w:rsidP="001C660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9EF12D9" w14:textId="460ECD1C" w:rsidR="001C660B" w:rsidRPr="001C660B" w:rsidRDefault="001C660B" w:rsidP="001C660B">
      <w:pPr>
        <w:pStyle w:val="Heading3"/>
        <w:rPr>
          <w:rFonts w:eastAsia="Times New Roman"/>
          <w:u w:val="single"/>
        </w:rPr>
      </w:pPr>
      <w:r w:rsidRPr="001C660B">
        <w:rPr>
          <w:rFonts w:eastAsia="Times New Roman"/>
          <w:u w:val="single"/>
          <w:lang w:eastAsia="bg-BG"/>
        </w:rPr>
        <w:t>Кърмене</w:t>
      </w:r>
    </w:p>
    <w:p w14:paraId="43B2F542" w14:textId="77777777" w:rsidR="001C660B" w:rsidRPr="001C660B" w:rsidRDefault="001C660B" w:rsidP="001C660B">
      <w:pPr>
        <w:spacing w:line="240" w:lineRule="auto"/>
        <w:rPr>
          <w:rFonts w:eastAsia="Times New Roman" w:cs="Arial"/>
        </w:rPr>
      </w:pPr>
      <w:r w:rsidRPr="001C660B">
        <w:rPr>
          <w:rFonts w:eastAsia="Times New Roman" w:cs="Arial"/>
          <w:color w:val="000000"/>
          <w:lang w:eastAsia="bg-BG"/>
        </w:rPr>
        <w:t>По-голямата част от бета-</w:t>
      </w:r>
      <w:proofErr w:type="spellStart"/>
      <w:r w:rsidRPr="001C660B">
        <w:rPr>
          <w:rFonts w:eastAsia="Times New Roman" w:cs="Arial"/>
          <w:color w:val="000000"/>
          <w:lang w:eastAsia="bg-BG"/>
        </w:rPr>
        <w:t>блокерите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най-вече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липофилните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, като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и неговите активни метаболити, преминават в майчиното мляко в различна степен.</w:t>
      </w:r>
    </w:p>
    <w:p w14:paraId="30EE79FB" w14:textId="207427C7" w:rsidR="001C660B" w:rsidRDefault="001C660B" w:rsidP="001C660B">
      <w:pPr>
        <w:rPr>
          <w:rFonts w:eastAsia="Times New Roman" w:cs="Arial"/>
          <w:color w:val="000000"/>
          <w:lang w:eastAsia="bg-BG"/>
        </w:rPr>
      </w:pPr>
      <w:r w:rsidRPr="001C660B">
        <w:rPr>
          <w:rFonts w:eastAsia="Times New Roman" w:cs="Arial"/>
          <w:color w:val="000000"/>
          <w:lang w:eastAsia="bg-BG"/>
        </w:rPr>
        <w:t xml:space="preserve">Не е известно дали този лекарствен продукт се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1C660B">
        <w:rPr>
          <w:rFonts w:eastAsia="Times New Roman" w:cs="Arial"/>
          <w:color w:val="000000"/>
          <w:lang w:eastAsia="bg-BG"/>
        </w:rPr>
        <w:t xml:space="preserve"> с кърмата. Затова, кърменето не е препоръчително по време на приложение на </w:t>
      </w:r>
      <w:proofErr w:type="spellStart"/>
      <w:r w:rsidRPr="001C660B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1C660B">
        <w:rPr>
          <w:rFonts w:eastAsia="Times New Roman" w:cs="Arial"/>
          <w:color w:val="000000"/>
          <w:lang w:eastAsia="bg-BG"/>
        </w:rPr>
        <w:t>.</w:t>
      </w:r>
    </w:p>
    <w:p w14:paraId="2326CAD9" w14:textId="77777777" w:rsidR="001C660B" w:rsidRPr="001C660B" w:rsidRDefault="001C660B" w:rsidP="001C660B">
      <w:pPr>
        <w:rPr>
          <w:rFonts w:cs="Arial"/>
        </w:rPr>
      </w:pPr>
    </w:p>
    <w:p w14:paraId="71DE6E9A" w14:textId="59333206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063040FC" w14:textId="77777777" w:rsidR="001C660B" w:rsidRDefault="001C660B" w:rsidP="001C660B">
      <w:pPr>
        <w:rPr>
          <w:lang w:eastAsia="bg-BG"/>
        </w:rPr>
      </w:pPr>
    </w:p>
    <w:p w14:paraId="0617AFAC" w14:textId="55BB1C0F" w:rsidR="001C660B" w:rsidRPr="001C660B" w:rsidRDefault="001C660B" w:rsidP="001C660B">
      <w:pPr>
        <w:rPr>
          <w:sz w:val="24"/>
          <w:szCs w:val="24"/>
        </w:rPr>
      </w:pPr>
      <w:r w:rsidRPr="001C660B">
        <w:rPr>
          <w:lang w:eastAsia="bg-BG"/>
        </w:rPr>
        <w:t xml:space="preserve">Липсват изпитвания за влиянието върху способността за шофиране и работа с машини. </w:t>
      </w:r>
      <w:proofErr w:type="spellStart"/>
      <w:r w:rsidRPr="001C660B">
        <w:rPr>
          <w:lang w:eastAsia="bg-BG"/>
        </w:rPr>
        <w:t>Фармакодинамични</w:t>
      </w:r>
      <w:proofErr w:type="spellEnd"/>
      <w:r w:rsidRPr="001C660B">
        <w:rPr>
          <w:lang w:eastAsia="bg-BG"/>
        </w:rPr>
        <w:t xml:space="preserve"> проучвания показват, че </w:t>
      </w:r>
      <w:proofErr w:type="spellStart"/>
      <w:r w:rsidRPr="001C660B">
        <w:rPr>
          <w:lang w:eastAsia="bg-BG"/>
        </w:rPr>
        <w:t>небиволол</w:t>
      </w:r>
      <w:proofErr w:type="spellEnd"/>
      <w:r w:rsidRPr="001C660B">
        <w:rPr>
          <w:lang w:eastAsia="bg-BG"/>
        </w:rPr>
        <w:t xml:space="preserve"> 5 </w:t>
      </w:r>
      <w:r w:rsidRPr="001C660B">
        <w:rPr>
          <w:lang w:val="en-US"/>
        </w:rPr>
        <w:t xml:space="preserve">mg </w:t>
      </w:r>
      <w:r w:rsidRPr="001C660B">
        <w:rPr>
          <w:lang w:eastAsia="bg-BG"/>
        </w:rPr>
        <w:t>не повлиява психомоторната функция. При шофиране и работа с машини трябва да се има предвид, че в редки случаи могат да се появят световъртеж и отпадналост.</w:t>
      </w:r>
    </w:p>
    <w:p w14:paraId="1C130359" w14:textId="77777777" w:rsidR="001C660B" w:rsidRPr="001C660B" w:rsidRDefault="001C660B" w:rsidP="001C660B"/>
    <w:p w14:paraId="6698E6B8" w14:textId="0439B0F5" w:rsidR="00C809A7" w:rsidRDefault="002C50EE" w:rsidP="00AA23EC">
      <w:pPr>
        <w:pStyle w:val="Heading2"/>
      </w:pPr>
      <w:r>
        <w:t>4.8. Нежелани лекарствени реакции</w:t>
      </w:r>
    </w:p>
    <w:p w14:paraId="4FEAEC6B" w14:textId="77777777" w:rsidR="001C660B" w:rsidRDefault="001C660B" w:rsidP="001C660B">
      <w:pPr>
        <w:rPr>
          <w:lang w:eastAsia="bg-BG"/>
        </w:rPr>
      </w:pPr>
    </w:p>
    <w:p w14:paraId="21A24404" w14:textId="773BE5C7" w:rsidR="001C660B" w:rsidRPr="001C660B" w:rsidRDefault="001C660B" w:rsidP="001C660B">
      <w:pPr>
        <w:rPr>
          <w:sz w:val="24"/>
          <w:szCs w:val="24"/>
        </w:rPr>
      </w:pPr>
      <w:r w:rsidRPr="001C660B">
        <w:rPr>
          <w:lang w:eastAsia="bg-BG"/>
        </w:rPr>
        <w:t>Нежеланите лекарствени реакции са изброени по отделно за хипертония и за хронична сърдечна недостатъчност, базови различия при тези две заболявания.</w:t>
      </w:r>
    </w:p>
    <w:p w14:paraId="691814B5" w14:textId="77777777" w:rsidR="001C660B" w:rsidRPr="001C660B" w:rsidRDefault="001C660B" w:rsidP="001C660B">
      <w:pPr>
        <w:rPr>
          <w:sz w:val="24"/>
          <w:szCs w:val="24"/>
        </w:rPr>
      </w:pPr>
      <w:r w:rsidRPr="001C660B">
        <w:rPr>
          <w:lang w:eastAsia="bg-BG"/>
        </w:rPr>
        <w:t>Честотата се определя като се използва следните критерии: чести (</w:t>
      </w:r>
      <w:r w:rsidRPr="001C660B">
        <w:rPr>
          <w:lang w:val="en-US"/>
        </w:rPr>
        <w:t>≥</w:t>
      </w:r>
      <w:r w:rsidRPr="001C660B">
        <w:rPr>
          <w:lang w:eastAsia="bg-BG"/>
        </w:rPr>
        <w:t>1/100 до &lt;1/10); нечести (</w:t>
      </w:r>
      <w:r w:rsidRPr="001C660B">
        <w:rPr>
          <w:lang w:val="en-US"/>
        </w:rPr>
        <w:t>≥</w:t>
      </w:r>
      <w:r w:rsidRPr="001C660B">
        <w:rPr>
          <w:lang w:eastAsia="bg-BG"/>
        </w:rPr>
        <w:t>1/1 000 до &lt;1/100); нечести (</w:t>
      </w:r>
      <w:r w:rsidRPr="001C660B">
        <w:rPr>
          <w:lang w:val="en-US"/>
        </w:rPr>
        <w:t>≥</w:t>
      </w:r>
      <w:r w:rsidRPr="001C660B">
        <w:rPr>
          <w:lang w:eastAsia="bg-BG"/>
        </w:rPr>
        <w:t>1/1 000 до &lt;1/100); редки (</w:t>
      </w:r>
      <w:r w:rsidRPr="001C660B">
        <w:rPr>
          <w:lang w:val="en-US"/>
        </w:rPr>
        <w:t>≥</w:t>
      </w:r>
      <w:r w:rsidRPr="001C660B">
        <w:rPr>
          <w:lang w:eastAsia="bg-BG"/>
        </w:rPr>
        <w:t>1/10 000 до &lt;1/1 000); много редки (&lt;1/10 000); с неизвестна честота (от наличните данни не може да бъде направена оценка).</w:t>
      </w:r>
    </w:p>
    <w:p w14:paraId="00FB8824" w14:textId="77777777" w:rsidR="001C660B" w:rsidRDefault="001C660B" w:rsidP="001C660B">
      <w:pPr>
        <w:rPr>
          <w:u w:val="single"/>
          <w:lang w:eastAsia="bg-BG"/>
        </w:rPr>
      </w:pPr>
    </w:p>
    <w:p w14:paraId="5BDF59FD" w14:textId="027C98B8" w:rsidR="001C660B" w:rsidRPr="001C660B" w:rsidRDefault="001C660B" w:rsidP="001C660B">
      <w:pPr>
        <w:rPr>
          <w:sz w:val="24"/>
          <w:szCs w:val="24"/>
        </w:rPr>
      </w:pPr>
      <w:r w:rsidRPr="001C660B">
        <w:rPr>
          <w:u w:val="single"/>
          <w:lang w:eastAsia="bg-BG"/>
        </w:rPr>
        <w:t>Хипертония</w:t>
      </w:r>
    </w:p>
    <w:p w14:paraId="0EC38BEF" w14:textId="77777777" w:rsidR="001C660B" w:rsidRDefault="001C660B" w:rsidP="001C660B">
      <w:pPr>
        <w:rPr>
          <w:lang w:eastAsia="bg-BG"/>
        </w:rPr>
      </w:pPr>
    </w:p>
    <w:p w14:paraId="34465D54" w14:textId="7EDC0C96" w:rsidR="001C660B" w:rsidRDefault="001C660B" w:rsidP="001C660B">
      <w:pPr>
        <w:rPr>
          <w:lang w:eastAsia="bg-BG"/>
        </w:rPr>
      </w:pPr>
      <w:r w:rsidRPr="001C660B">
        <w:rPr>
          <w:lang w:eastAsia="bg-BG"/>
        </w:rPr>
        <w:lastRenderedPageBreak/>
        <w:t xml:space="preserve">Повечето нежелани лекарствени реакции са с лека до умерена проява. Те са изброени по-долу като са </w:t>
      </w:r>
      <w:proofErr w:type="spellStart"/>
      <w:r w:rsidRPr="001C660B">
        <w:rPr>
          <w:lang w:eastAsia="bg-BG"/>
        </w:rPr>
        <w:t>класифицрани</w:t>
      </w:r>
      <w:proofErr w:type="spellEnd"/>
      <w:r w:rsidRPr="001C660B">
        <w:rPr>
          <w:lang w:eastAsia="bg-BG"/>
        </w:rPr>
        <w:t xml:space="preserve"> по системи и органи и са подредени по честота на проява.</w:t>
      </w:r>
    </w:p>
    <w:p w14:paraId="5ADBE29B" w14:textId="409147EC" w:rsidR="001C660B" w:rsidRDefault="001C660B" w:rsidP="001C660B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777"/>
        <w:gridCol w:w="1913"/>
        <w:gridCol w:w="1546"/>
        <w:gridCol w:w="2460"/>
      </w:tblGrid>
      <w:tr w:rsidR="001C660B" w14:paraId="0D3712E1" w14:textId="77777777" w:rsidTr="00ED4BBC">
        <w:tc>
          <w:tcPr>
            <w:tcW w:w="1880" w:type="dxa"/>
          </w:tcPr>
          <w:p w14:paraId="554FFB91" w14:textId="100E6587" w:rsidR="001C660B" w:rsidRPr="00ED4BBC" w:rsidRDefault="001C660B" w:rsidP="001C660B">
            <w:pPr>
              <w:rPr>
                <w:b/>
                <w:bCs/>
              </w:rPr>
            </w:pPr>
            <w:proofErr w:type="spellStart"/>
            <w:r w:rsidRPr="00ED4BBC">
              <w:rPr>
                <w:b/>
                <w:bCs/>
              </w:rPr>
              <w:t>Снстема</w:t>
            </w:r>
            <w:proofErr w:type="spellEnd"/>
            <w:r w:rsidRPr="00ED4BBC">
              <w:rPr>
                <w:b/>
                <w:bCs/>
              </w:rPr>
              <w:t>/орган</w:t>
            </w:r>
          </w:p>
        </w:tc>
        <w:tc>
          <w:tcPr>
            <w:tcW w:w="1777" w:type="dxa"/>
          </w:tcPr>
          <w:p w14:paraId="7872D784" w14:textId="1359B6AD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Чести (</w:t>
            </w:r>
            <w:r w:rsidRPr="00ED4BBC">
              <w:rPr>
                <w:b/>
                <w:bCs/>
                <w:lang w:val="en-US"/>
              </w:rPr>
              <w:t>≥</w:t>
            </w:r>
            <w:r w:rsidRPr="00ED4BBC">
              <w:rPr>
                <w:b/>
                <w:bCs/>
              </w:rPr>
              <w:t>1/100 до &lt;1/10)</w:t>
            </w:r>
          </w:p>
        </w:tc>
        <w:tc>
          <w:tcPr>
            <w:tcW w:w="1913" w:type="dxa"/>
          </w:tcPr>
          <w:p w14:paraId="68C2EE18" w14:textId="73C1BB06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Нечести (</w:t>
            </w:r>
            <w:r w:rsidRPr="00ED4BBC">
              <w:rPr>
                <w:b/>
                <w:bCs/>
                <w:lang w:val="en-US"/>
              </w:rPr>
              <w:t>≥</w:t>
            </w:r>
            <w:r w:rsidRPr="00ED4BBC">
              <w:rPr>
                <w:b/>
                <w:bCs/>
              </w:rPr>
              <w:t>1/1000 до &lt;1/100)</w:t>
            </w:r>
          </w:p>
        </w:tc>
        <w:tc>
          <w:tcPr>
            <w:tcW w:w="1546" w:type="dxa"/>
          </w:tcPr>
          <w:p w14:paraId="1934F466" w14:textId="6A30CD83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Много редки (&lt;1/10 000)</w:t>
            </w:r>
          </w:p>
        </w:tc>
        <w:tc>
          <w:tcPr>
            <w:tcW w:w="2460" w:type="dxa"/>
          </w:tcPr>
          <w:p w14:paraId="1F90B331" w14:textId="6D491000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С неизвестна честота</w:t>
            </w:r>
          </w:p>
        </w:tc>
      </w:tr>
      <w:tr w:rsidR="001C660B" w14:paraId="2096826B" w14:textId="77777777" w:rsidTr="00ED4BBC">
        <w:tc>
          <w:tcPr>
            <w:tcW w:w="1880" w:type="dxa"/>
          </w:tcPr>
          <w:p w14:paraId="14DBFE6F" w14:textId="26F7C20B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Нарушения на имунната система</w:t>
            </w:r>
          </w:p>
        </w:tc>
        <w:tc>
          <w:tcPr>
            <w:tcW w:w="1777" w:type="dxa"/>
          </w:tcPr>
          <w:p w14:paraId="56BCA0BF" w14:textId="77777777" w:rsidR="001C660B" w:rsidRDefault="001C660B" w:rsidP="001C660B"/>
        </w:tc>
        <w:tc>
          <w:tcPr>
            <w:tcW w:w="1913" w:type="dxa"/>
          </w:tcPr>
          <w:p w14:paraId="1D6F909D" w14:textId="77777777" w:rsidR="001C660B" w:rsidRDefault="001C660B" w:rsidP="001C660B"/>
        </w:tc>
        <w:tc>
          <w:tcPr>
            <w:tcW w:w="1546" w:type="dxa"/>
          </w:tcPr>
          <w:p w14:paraId="5C0B869D" w14:textId="77777777" w:rsidR="001C660B" w:rsidRDefault="001C660B" w:rsidP="001C660B"/>
        </w:tc>
        <w:tc>
          <w:tcPr>
            <w:tcW w:w="2460" w:type="dxa"/>
          </w:tcPr>
          <w:p w14:paraId="41381BFD" w14:textId="09DBE529" w:rsidR="001C660B" w:rsidRDefault="001C660B" w:rsidP="001C660B">
            <w:proofErr w:type="spellStart"/>
            <w:r>
              <w:t>Ангионевротичен</w:t>
            </w:r>
            <w:proofErr w:type="spellEnd"/>
            <w:r>
              <w:t xml:space="preserve"> оток Свръхчувствителност</w:t>
            </w:r>
          </w:p>
        </w:tc>
      </w:tr>
      <w:tr w:rsidR="001C660B" w14:paraId="7C648F1A" w14:textId="77777777" w:rsidTr="00ED4BBC">
        <w:tc>
          <w:tcPr>
            <w:tcW w:w="1880" w:type="dxa"/>
          </w:tcPr>
          <w:p w14:paraId="4915FD9D" w14:textId="53F2FC1B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Психични нарушения</w:t>
            </w:r>
          </w:p>
        </w:tc>
        <w:tc>
          <w:tcPr>
            <w:tcW w:w="1777" w:type="dxa"/>
          </w:tcPr>
          <w:p w14:paraId="6BAF5975" w14:textId="77777777" w:rsidR="001C660B" w:rsidRDefault="001C660B" w:rsidP="001C660B"/>
        </w:tc>
        <w:tc>
          <w:tcPr>
            <w:tcW w:w="1913" w:type="dxa"/>
          </w:tcPr>
          <w:p w14:paraId="4107CD26" w14:textId="2BBE8A13" w:rsidR="001C660B" w:rsidRDefault="001C660B" w:rsidP="001C660B">
            <w:r>
              <w:t>Кошмари, депресия</w:t>
            </w:r>
          </w:p>
        </w:tc>
        <w:tc>
          <w:tcPr>
            <w:tcW w:w="1546" w:type="dxa"/>
          </w:tcPr>
          <w:p w14:paraId="6355F728" w14:textId="77777777" w:rsidR="001C660B" w:rsidRDefault="001C660B" w:rsidP="001C660B"/>
        </w:tc>
        <w:tc>
          <w:tcPr>
            <w:tcW w:w="2460" w:type="dxa"/>
          </w:tcPr>
          <w:p w14:paraId="73F796E4" w14:textId="77777777" w:rsidR="001C660B" w:rsidRDefault="001C660B" w:rsidP="001C660B"/>
        </w:tc>
      </w:tr>
      <w:tr w:rsidR="001C660B" w14:paraId="41216EDC" w14:textId="77777777" w:rsidTr="00ED4BBC">
        <w:tc>
          <w:tcPr>
            <w:tcW w:w="1880" w:type="dxa"/>
          </w:tcPr>
          <w:p w14:paraId="38D2D667" w14:textId="47C3D4D1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1777" w:type="dxa"/>
          </w:tcPr>
          <w:p w14:paraId="0B77EDEF" w14:textId="3EC82E91" w:rsidR="001C660B" w:rsidRDefault="001C660B" w:rsidP="001C660B">
            <w:r>
              <w:t xml:space="preserve">Главоболие, световъртеж, </w:t>
            </w:r>
            <w:proofErr w:type="spellStart"/>
            <w:r>
              <w:t>парестезии</w:t>
            </w:r>
            <w:proofErr w:type="spellEnd"/>
          </w:p>
        </w:tc>
        <w:tc>
          <w:tcPr>
            <w:tcW w:w="1913" w:type="dxa"/>
          </w:tcPr>
          <w:p w14:paraId="12EFAC5D" w14:textId="77777777" w:rsidR="001C660B" w:rsidRDefault="001C660B" w:rsidP="001C660B"/>
        </w:tc>
        <w:tc>
          <w:tcPr>
            <w:tcW w:w="1546" w:type="dxa"/>
          </w:tcPr>
          <w:p w14:paraId="0FB42AA7" w14:textId="20AF45F2" w:rsidR="001C660B" w:rsidRDefault="001C660B" w:rsidP="001C660B">
            <w:proofErr w:type="spellStart"/>
            <w:r>
              <w:t>Синкоп</w:t>
            </w:r>
            <w:proofErr w:type="spellEnd"/>
          </w:p>
        </w:tc>
        <w:tc>
          <w:tcPr>
            <w:tcW w:w="2460" w:type="dxa"/>
          </w:tcPr>
          <w:p w14:paraId="0DD50B5C" w14:textId="77777777" w:rsidR="001C660B" w:rsidRDefault="001C660B" w:rsidP="001C660B"/>
        </w:tc>
      </w:tr>
      <w:tr w:rsidR="001C660B" w14:paraId="3B2946B4" w14:textId="77777777" w:rsidTr="00ED4BBC">
        <w:tc>
          <w:tcPr>
            <w:tcW w:w="1880" w:type="dxa"/>
          </w:tcPr>
          <w:p w14:paraId="3AA6CEBB" w14:textId="4DF4FE1C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 xml:space="preserve">Зрителни </w:t>
            </w:r>
            <w:proofErr w:type="spellStart"/>
            <w:r w:rsidRPr="00ED4BBC">
              <w:rPr>
                <w:b/>
                <w:bCs/>
              </w:rPr>
              <w:t>нарушеня</w:t>
            </w:r>
            <w:proofErr w:type="spellEnd"/>
          </w:p>
        </w:tc>
        <w:tc>
          <w:tcPr>
            <w:tcW w:w="1777" w:type="dxa"/>
          </w:tcPr>
          <w:p w14:paraId="2C55A97C" w14:textId="77777777" w:rsidR="001C660B" w:rsidRDefault="001C660B" w:rsidP="001C660B"/>
        </w:tc>
        <w:tc>
          <w:tcPr>
            <w:tcW w:w="1913" w:type="dxa"/>
          </w:tcPr>
          <w:p w14:paraId="6D53D3CF" w14:textId="4AC54BF1" w:rsidR="001C660B" w:rsidRDefault="001C660B" w:rsidP="001C660B">
            <w:r>
              <w:t>Нарушено зрение</w:t>
            </w:r>
          </w:p>
        </w:tc>
        <w:tc>
          <w:tcPr>
            <w:tcW w:w="1546" w:type="dxa"/>
          </w:tcPr>
          <w:p w14:paraId="43F19D44" w14:textId="77777777" w:rsidR="001C660B" w:rsidRDefault="001C660B" w:rsidP="001C660B"/>
        </w:tc>
        <w:tc>
          <w:tcPr>
            <w:tcW w:w="2460" w:type="dxa"/>
          </w:tcPr>
          <w:p w14:paraId="272B174A" w14:textId="77777777" w:rsidR="001C660B" w:rsidRDefault="001C660B" w:rsidP="001C660B"/>
        </w:tc>
      </w:tr>
      <w:tr w:rsidR="001C660B" w14:paraId="0D10730B" w14:textId="77777777" w:rsidTr="00ED4BBC">
        <w:tc>
          <w:tcPr>
            <w:tcW w:w="1880" w:type="dxa"/>
          </w:tcPr>
          <w:p w14:paraId="398A328B" w14:textId="0DFF393E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Сърдечни нарушения</w:t>
            </w:r>
          </w:p>
        </w:tc>
        <w:tc>
          <w:tcPr>
            <w:tcW w:w="1777" w:type="dxa"/>
          </w:tcPr>
          <w:p w14:paraId="05C1DF75" w14:textId="77777777" w:rsidR="001C660B" w:rsidRDefault="001C660B" w:rsidP="001C660B"/>
        </w:tc>
        <w:tc>
          <w:tcPr>
            <w:tcW w:w="1913" w:type="dxa"/>
          </w:tcPr>
          <w:p w14:paraId="79A640A0" w14:textId="1343A717" w:rsidR="001C660B" w:rsidRDefault="001C660B" w:rsidP="001C660B">
            <w:r>
              <w:t xml:space="preserve">Брадикардия, сърдечна недостатъчност, забавена </w:t>
            </w:r>
            <w:r>
              <w:rPr>
                <w:lang w:val="en-US"/>
              </w:rPr>
              <w:t>AV</w:t>
            </w:r>
            <w:r>
              <w:t xml:space="preserve">- проводимост/ </w:t>
            </w:r>
            <w:r>
              <w:rPr>
                <w:lang w:val="en-US"/>
              </w:rPr>
              <w:t xml:space="preserve">AV- </w:t>
            </w:r>
            <w:r>
              <w:t>блок</w:t>
            </w:r>
          </w:p>
        </w:tc>
        <w:tc>
          <w:tcPr>
            <w:tcW w:w="1546" w:type="dxa"/>
          </w:tcPr>
          <w:p w14:paraId="7A0A3202" w14:textId="77777777" w:rsidR="001C660B" w:rsidRDefault="001C660B" w:rsidP="001C660B"/>
        </w:tc>
        <w:tc>
          <w:tcPr>
            <w:tcW w:w="2460" w:type="dxa"/>
          </w:tcPr>
          <w:p w14:paraId="742D688A" w14:textId="77777777" w:rsidR="001C660B" w:rsidRDefault="001C660B" w:rsidP="001C660B"/>
        </w:tc>
      </w:tr>
      <w:tr w:rsidR="001C660B" w14:paraId="7617B2C0" w14:textId="77777777" w:rsidTr="00ED4BBC">
        <w:tc>
          <w:tcPr>
            <w:tcW w:w="1880" w:type="dxa"/>
          </w:tcPr>
          <w:p w14:paraId="4B1A18AE" w14:textId="256DCD3D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Съдови нарушения</w:t>
            </w:r>
          </w:p>
        </w:tc>
        <w:tc>
          <w:tcPr>
            <w:tcW w:w="1777" w:type="dxa"/>
          </w:tcPr>
          <w:p w14:paraId="4331A114" w14:textId="77777777" w:rsidR="001C660B" w:rsidRDefault="001C660B" w:rsidP="001C660B"/>
        </w:tc>
        <w:tc>
          <w:tcPr>
            <w:tcW w:w="1913" w:type="dxa"/>
          </w:tcPr>
          <w:p w14:paraId="61FD5C3F" w14:textId="00675343" w:rsidR="001C660B" w:rsidRDefault="001C660B" w:rsidP="001C660B">
            <w:r>
              <w:t xml:space="preserve">Хипотония, влошаване на съществуващо </w:t>
            </w:r>
            <w:proofErr w:type="spellStart"/>
            <w:r>
              <w:t>интермитентно</w:t>
            </w:r>
            <w:proofErr w:type="spellEnd"/>
            <w:r>
              <w:t xml:space="preserve"> </w:t>
            </w:r>
            <w:proofErr w:type="spellStart"/>
            <w:r>
              <w:t>клаудикацио</w:t>
            </w:r>
            <w:proofErr w:type="spellEnd"/>
          </w:p>
        </w:tc>
        <w:tc>
          <w:tcPr>
            <w:tcW w:w="1546" w:type="dxa"/>
          </w:tcPr>
          <w:p w14:paraId="4FC8D0E0" w14:textId="77777777" w:rsidR="001C660B" w:rsidRDefault="001C660B" w:rsidP="001C660B"/>
        </w:tc>
        <w:tc>
          <w:tcPr>
            <w:tcW w:w="2460" w:type="dxa"/>
          </w:tcPr>
          <w:p w14:paraId="6602021B" w14:textId="77777777" w:rsidR="001C660B" w:rsidRDefault="001C660B" w:rsidP="001C660B"/>
        </w:tc>
      </w:tr>
      <w:tr w:rsidR="001C660B" w14:paraId="3F62BE5D" w14:textId="77777777" w:rsidTr="00ED4BBC">
        <w:tc>
          <w:tcPr>
            <w:tcW w:w="1880" w:type="dxa"/>
          </w:tcPr>
          <w:p w14:paraId="06317401" w14:textId="16F1EA5D" w:rsidR="001C660B" w:rsidRPr="00ED4BBC" w:rsidRDefault="001C660B" w:rsidP="001C660B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 xml:space="preserve">Нарушения на дихателната система, гръден кош и </w:t>
            </w:r>
            <w:proofErr w:type="spellStart"/>
            <w:r w:rsidRPr="00ED4BBC">
              <w:rPr>
                <w:b/>
                <w:bCs/>
              </w:rPr>
              <w:t>медиастииум</w:t>
            </w:r>
            <w:proofErr w:type="spellEnd"/>
          </w:p>
        </w:tc>
        <w:tc>
          <w:tcPr>
            <w:tcW w:w="1777" w:type="dxa"/>
          </w:tcPr>
          <w:p w14:paraId="323BEE68" w14:textId="59B8AE07" w:rsidR="001C660B" w:rsidRDefault="001C660B" w:rsidP="001C660B">
            <w:proofErr w:type="spellStart"/>
            <w:r>
              <w:t>Диспнея</w:t>
            </w:r>
            <w:proofErr w:type="spellEnd"/>
          </w:p>
        </w:tc>
        <w:tc>
          <w:tcPr>
            <w:tcW w:w="1913" w:type="dxa"/>
          </w:tcPr>
          <w:p w14:paraId="4035CD6B" w14:textId="1CF92C40" w:rsidR="001C660B" w:rsidRDefault="001C660B" w:rsidP="001C660B">
            <w:proofErr w:type="spellStart"/>
            <w:r>
              <w:t>Бронхоспазъм</w:t>
            </w:r>
            <w:proofErr w:type="spellEnd"/>
          </w:p>
        </w:tc>
        <w:tc>
          <w:tcPr>
            <w:tcW w:w="1546" w:type="dxa"/>
          </w:tcPr>
          <w:p w14:paraId="6B166034" w14:textId="77777777" w:rsidR="001C660B" w:rsidRDefault="001C660B" w:rsidP="001C660B"/>
        </w:tc>
        <w:tc>
          <w:tcPr>
            <w:tcW w:w="2460" w:type="dxa"/>
          </w:tcPr>
          <w:p w14:paraId="54759F07" w14:textId="77777777" w:rsidR="001C660B" w:rsidRDefault="001C660B" w:rsidP="001C660B"/>
        </w:tc>
      </w:tr>
      <w:tr w:rsidR="00ED4BBC" w14:paraId="3CB43DEF" w14:textId="77777777" w:rsidTr="00ED4BBC">
        <w:tc>
          <w:tcPr>
            <w:tcW w:w="1880" w:type="dxa"/>
          </w:tcPr>
          <w:p w14:paraId="4A2DC210" w14:textId="75FBBBAE" w:rsidR="00ED4BBC" w:rsidRPr="00ED4BBC" w:rsidRDefault="00ED4BBC" w:rsidP="00ED4BBC">
            <w:pPr>
              <w:rPr>
                <w:b/>
                <w:bCs/>
              </w:rPr>
            </w:pPr>
            <w:proofErr w:type="spellStart"/>
            <w:r w:rsidRPr="00ED4BBC">
              <w:rPr>
                <w:b/>
                <w:bCs/>
              </w:rPr>
              <w:t>Гастро</w:t>
            </w:r>
            <w:proofErr w:type="spellEnd"/>
            <w:r w:rsidRPr="00ED4BBC">
              <w:rPr>
                <w:b/>
                <w:bCs/>
              </w:rPr>
              <w:t xml:space="preserve">- </w:t>
            </w:r>
            <w:proofErr w:type="spellStart"/>
            <w:r w:rsidRPr="00ED4BBC">
              <w:rPr>
                <w:b/>
                <w:bCs/>
              </w:rPr>
              <w:t>интестинални</w:t>
            </w:r>
            <w:proofErr w:type="spellEnd"/>
            <w:r w:rsidRPr="00ED4BBC">
              <w:rPr>
                <w:b/>
                <w:bCs/>
              </w:rPr>
              <w:t xml:space="preserve"> нарушения</w:t>
            </w:r>
          </w:p>
        </w:tc>
        <w:tc>
          <w:tcPr>
            <w:tcW w:w="1777" w:type="dxa"/>
          </w:tcPr>
          <w:p w14:paraId="587AB634" w14:textId="555BF394" w:rsidR="00ED4BBC" w:rsidRDefault="00ED4BBC" w:rsidP="00ED4BBC">
            <w:r>
              <w:t>Констипация, гадене, диария</w:t>
            </w:r>
          </w:p>
        </w:tc>
        <w:tc>
          <w:tcPr>
            <w:tcW w:w="1913" w:type="dxa"/>
          </w:tcPr>
          <w:p w14:paraId="76ACD349" w14:textId="439C47DC" w:rsidR="00ED4BBC" w:rsidRDefault="00ED4BBC" w:rsidP="00ED4BBC">
            <w:r>
              <w:t xml:space="preserve">Диспепсия, </w:t>
            </w:r>
            <w:proofErr w:type="spellStart"/>
            <w:r>
              <w:t>флатуленция</w:t>
            </w:r>
            <w:proofErr w:type="spellEnd"/>
            <w:r>
              <w:t>, повръщане</w:t>
            </w:r>
          </w:p>
        </w:tc>
        <w:tc>
          <w:tcPr>
            <w:tcW w:w="1546" w:type="dxa"/>
          </w:tcPr>
          <w:p w14:paraId="5F329506" w14:textId="77777777" w:rsidR="00ED4BBC" w:rsidRDefault="00ED4BBC" w:rsidP="00ED4BBC"/>
        </w:tc>
        <w:tc>
          <w:tcPr>
            <w:tcW w:w="2460" w:type="dxa"/>
          </w:tcPr>
          <w:p w14:paraId="328BEA9C" w14:textId="77777777" w:rsidR="00ED4BBC" w:rsidRDefault="00ED4BBC" w:rsidP="00ED4BBC"/>
        </w:tc>
      </w:tr>
      <w:tr w:rsidR="00ED4BBC" w14:paraId="6F770DDC" w14:textId="77777777" w:rsidTr="00ED4BBC">
        <w:tc>
          <w:tcPr>
            <w:tcW w:w="1880" w:type="dxa"/>
          </w:tcPr>
          <w:p w14:paraId="69B8DCCD" w14:textId="5D7DAD9E" w:rsidR="00ED4BBC" w:rsidRPr="00ED4BBC" w:rsidRDefault="00ED4BBC" w:rsidP="00ED4BBC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Нарушения на кожата н подкожната тъкан</w:t>
            </w:r>
          </w:p>
        </w:tc>
        <w:tc>
          <w:tcPr>
            <w:tcW w:w="1777" w:type="dxa"/>
          </w:tcPr>
          <w:p w14:paraId="73FBA2A6" w14:textId="77777777" w:rsidR="00ED4BBC" w:rsidRDefault="00ED4BBC" w:rsidP="00ED4BBC"/>
        </w:tc>
        <w:tc>
          <w:tcPr>
            <w:tcW w:w="1913" w:type="dxa"/>
          </w:tcPr>
          <w:p w14:paraId="179BB604" w14:textId="397A796A" w:rsidR="00ED4BBC" w:rsidRDefault="00ED4BBC" w:rsidP="00ED4BBC">
            <w:proofErr w:type="spellStart"/>
            <w:r>
              <w:t>Пруритус</w:t>
            </w:r>
            <w:proofErr w:type="spellEnd"/>
            <w:r>
              <w:t xml:space="preserve">, </w:t>
            </w:r>
            <w:proofErr w:type="spellStart"/>
            <w:r>
              <w:t>еритематозен</w:t>
            </w:r>
            <w:proofErr w:type="spellEnd"/>
            <w:r>
              <w:t xml:space="preserve"> обрив</w:t>
            </w:r>
          </w:p>
        </w:tc>
        <w:tc>
          <w:tcPr>
            <w:tcW w:w="1546" w:type="dxa"/>
          </w:tcPr>
          <w:p w14:paraId="4BA266BC" w14:textId="2A90AA61" w:rsidR="00ED4BBC" w:rsidRDefault="00ED4BBC" w:rsidP="00ED4BBC">
            <w:r>
              <w:t>Утежняване на псориазис</w:t>
            </w:r>
          </w:p>
        </w:tc>
        <w:tc>
          <w:tcPr>
            <w:tcW w:w="2460" w:type="dxa"/>
          </w:tcPr>
          <w:p w14:paraId="304C0560" w14:textId="0AE52109" w:rsidR="00ED4BBC" w:rsidRDefault="00ED4BBC" w:rsidP="00ED4BBC">
            <w:r>
              <w:t>Уртикария</w:t>
            </w:r>
          </w:p>
        </w:tc>
      </w:tr>
      <w:tr w:rsidR="00ED4BBC" w14:paraId="33D76F4C" w14:textId="77777777" w:rsidTr="00ED4BBC">
        <w:tc>
          <w:tcPr>
            <w:tcW w:w="1880" w:type="dxa"/>
          </w:tcPr>
          <w:p w14:paraId="133108ED" w14:textId="77777777" w:rsidR="00ED4BBC" w:rsidRPr="00ED4BBC" w:rsidRDefault="00ED4BBC" w:rsidP="00ED4BBC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Нарушения</w:t>
            </w:r>
            <w:r w:rsidRPr="00ED4BBC">
              <w:rPr>
                <w:b/>
                <w:bCs/>
              </w:rPr>
              <w:tab/>
              <w:t>на</w:t>
            </w:r>
          </w:p>
          <w:p w14:paraId="455BB6E5" w14:textId="5B30177B" w:rsidR="00ED4BBC" w:rsidRPr="00ED4BBC" w:rsidRDefault="00ED4BBC" w:rsidP="00ED4BBC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>репродуктивна система, млечна жлеза</w:t>
            </w:r>
          </w:p>
        </w:tc>
        <w:tc>
          <w:tcPr>
            <w:tcW w:w="1777" w:type="dxa"/>
          </w:tcPr>
          <w:p w14:paraId="6A844056" w14:textId="77777777" w:rsidR="00ED4BBC" w:rsidRDefault="00ED4BBC" w:rsidP="00ED4BBC"/>
        </w:tc>
        <w:tc>
          <w:tcPr>
            <w:tcW w:w="1913" w:type="dxa"/>
          </w:tcPr>
          <w:p w14:paraId="6EA51894" w14:textId="5F01AA0A" w:rsidR="00ED4BBC" w:rsidRDefault="00ED4BBC" w:rsidP="00ED4BBC">
            <w:r>
              <w:t>Импотентност</w:t>
            </w:r>
          </w:p>
        </w:tc>
        <w:tc>
          <w:tcPr>
            <w:tcW w:w="1546" w:type="dxa"/>
          </w:tcPr>
          <w:p w14:paraId="4EACD0D6" w14:textId="77777777" w:rsidR="00ED4BBC" w:rsidRDefault="00ED4BBC" w:rsidP="00ED4BBC"/>
        </w:tc>
        <w:tc>
          <w:tcPr>
            <w:tcW w:w="2460" w:type="dxa"/>
          </w:tcPr>
          <w:p w14:paraId="56D4914F" w14:textId="77777777" w:rsidR="00ED4BBC" w:rsidRDefault="00ED4BBC" w:rsidP="00ED4BBC"/>
        </w:tc>
      </w:tr>
      <w:tr w:rsidR="00ED4BBC" w14:paraId="415BCFBC" w14:textId="77777777" w:rsidTr="00ED4BBC">
        <w:tc>
          <w:tcPr>
            <w:tcW w:w="1880" w:type="dxa"/>
          </w:tcPr>
          <w:p w14:paraId="6AD58A27" w14:textId="5DE53219" w:rsidR="00ED4BBC" w:rsidRPr="00ED4BBC" w:rsidRDefault="00ED4BBC" w:rsidP="00ED4BBC">
            <w:pPr>
              <w:rPr>
                <w:b/>
                <w:bCs/>
              </w:rPr>
            </w:pPr>
            <w:r w:rsidRPr="00ED4BBC">
              <w:rPr>
                <w:b/>
                <w:bCs/>
              </w:rPr>
              <w:t xml:space="preserve">Общи нарушения и ефекти на </w:t>
            </w:r>
            <w:r w:rsidRPr="00ED4BBC">
              <w:rPr>
                <w:b/>
                <w:bCs/>
              </w:rPr>
              <w:lastRenderedPageBreak/>
              <w:t>мястото на приложение</w:t>
            </w:r>
          </w:p>
        </w:tc>
        <w:tc>
          <w:tcPr>
            <w:tcW w:w="1777" w:type="dxa"/>
          </w:tcPr>
          <w:p w14:paraId="1D21E851" w14:textId="3CBFDB93" w:rsidR="00ED4BBC" w:rsidRDefault="00ED4BBC" w:rsidP="00ED4BBC">
            <w:r>
              <w:lastRenderedPageBreak/>
              <w:t>Отпадналост, оток</w:t>
            </w:r>
          </w:p>
        </w:tc>
        <w:tc>
          <w:tcPr>
            <w:tcW w:w="1913" w:type="dxa"/>
          </w:tcPr>
          <w:p w14:paraId="38DA1F80" w14:textId="77777777" w:rsidR="00ED4BBC" w:rsidRDefault="00ED4BBC" w:rsidP="00ED4BBC"/>
        </w:tc>
        <w:tc>
          <w:tcPr>
            <w:tcW w:w="1546" w:type="dxa"/>
          </w:tcPr>
          <w:p w14:paraId="22F7548F" w14:textId="77777777" w:rsidR="00ED4BBC" w:rsidRDefault="00ED4BBC" w:rsidP="00ED4BBC"/>
        </w:tc>
        <w:tc>
          <w:tcPr>
            <w:tcW w:w="2460" w:type="dxa"/>
          </w:tcPr>
          <w:p w14:paraId="0573AA60" w14:textId="77777777" w:rsidR="00ED4BBC" w:rsidRDefault="00ED4BBC" w:rsidP="00ED4BBC"/>
        </w:tc>
      </w:tr>
    </w:tbl>
    <w:p w14:paraId="54D88E7D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>Освен това при приложението на някои бета-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се съобщават и следните нежелани лекарствени реакции: халюцинации, психози, объркване, студени/</w:t>
      </w:r>
      <w:proofErr w:type="spellStart"/>
      <w:r w:rsidRPr="00ED4BBC">
        <w:rPr>
          <w:rFonts w:eastAsia="Times New Roman" w:cs="Arial"/>
          <w:color w:val="000000"/>
          <w:lang w:eastAsia="bg-BG"/>
        </w:rPr>
        <w:t>цианотични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крайници, феномен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Рейно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, сухота в очите,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окуло-мукокутанейна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токсичност от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практололов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тип.</w:t>
      </w:r>
    </w:p>
    <w:p w14:paraId="60A56210" w14:textId="77777777" w:rsidR="00ED4BBC" w:rsidRPr="00ED4BBC" w:rsidRDefault="00ED4BBC" w:rsidP="00ED4B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DF2E79" w14:textId="504ACCF3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u w:val="single"/>
          <w:lang w:eastAsia="bg-BG"/>
        </w:rPr>
        <w:t>Хронична сърдечна недостатъчност (ХСН)</w:t>
      </w:r>
    </w:p>
    <w:p w14:paraId="39E2E3D2" w14:textId="77777777" w:rsidR="00ED4BBC" w:rsidRPr="00ED4BBC" w:rsidRDefault="00ED4BBC" w:rsidP="00ED4B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706A25D" w14:textId="6A46D193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Данните за нежеланите реакции при пациенти с ХСН са налични от плацебо-контролирано клинично проучване, включващо 1067 пациенти, приемащи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и 1061 пациенти приемащи плацебо. В това проучване общо 449 (42,1%), приемащи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съобщават за поне вероятно свързани нежелани реакции, в сравнение с 334 (31,5%), приемащи плацебо. Най-често докладваните нежелани реакции при пациентите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са брадикардия и замаяност, като и двете се проявяват при около 11% от пациентите. Честотата при плацебо е съответно 2% и 7%.</w:t>
      </w:r>
    </w:p>
    <w:p w14:paraId="53959A4C" w14:textId="77777777" w:rsidR="00ED4BBC" w:rsidRDefault="00ED4BBC" w:rsidP="00ED4BBC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D4BBC">
        <w:rPr>
          <w:rFonts w:eastAsia="Times New Roman" w:cs="Arial"/>
          <w:color w:val="000000"/>
          <w:lang w:eastAsia="bg-BG"/>
        </w:rPr>
        <w:t>Следната честота е докладвана за нежеланите реакции (поне вероятно свързани с лечението), които се приемат за специфично значими при лечението на хронична сърдечна недостатъчност:</w:t>
      </w:r>
    </w:p>
    <w:p w14:paraId="1A0CD7B0" w14:textId="14AD0D8E" w:rsidR="00ED4BBC" w:rsidRPr="00ED4BBC" w:rsidRDefault="00ED4BBC" w:rsidP="00ED4BB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Влошаване на сърдечната недостатъчност - проявява се при 5,8% от пациентите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сравнение с 5,2% от пациентите на плацебо;</w:t>
      </w:r>
    </w:p>
    <w:p w14:paraId="41E48C92" w14:textId="65756571" w:rsidR="00ED4BBC" w:rsidRPr="00ED4BBC" w:rsidRDefault="00ED4BBC" w:rsidP="00ED4BB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proofErr w:type="spellStart"/>
      <w:r w:rsidRPr="00ED4BBC">
        <w:rPr>
          <w:rFonts w:eastAsia="Times New Roman" w:cs="Arial"/>
          <w:color w:val="000000"/>
          <w:lang w:eastAsia="bg-BG"/>
        </w:rPr>
        <w:t>Постурална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хипотония - проявява се при 2,1% от пациентите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сравнение с 1,0% от пациентите на плацебо;</w:t>
      </w:r>
    </w:p>
    <w:p w14:paraId="77F18AE3" w14:textId="302E5EBF" w:rsidR="00ED4BBC" w:rsidRPr="00ED4BBC" w:rsidRDefault="00ED4BBC" w:rsidP="00ED4BB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ED4BBC">
        <w:rPr>
          <w:rFonts w:eastAsia="Times New Roman" w:cs="Arial"/>
          <w:color w:val="000000"/>
          <w:lang w:eastAsia="bg-BG"/>
        </w:rPr>
        <w:t xml:space="preserve">Непоносимост към продукта - проявява се при 1,6% от пациентите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сравнение с 0,8% от пациентите на плацебо;</w:t>
      </w:r>
    </w:p>
    <w:p w14:paraId="086A1C1B" w14:textId="5C60CB9C" w:rsidR="00ED4BBC" w:rsidRPr="00ED4BBC" w:rsidRDefault="00ED4BBC" w:rsidP="00ED4BB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ED4BBC">
        <w:rPr>
          <w:rFonts w:eastAsia="Times New Roman" w:cs="Arial"/>
          <w:color w:val="000000"/>
          <w:lang w:eastAsia="bg-BG"/>
        </w:rPr>
        <w:t>Атрио-вентрикуларен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блок I степен - проявява се при 1,4% от пациентите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сравнение с 0,9% от пациентите на плацебо;</w:t>
      </w:r>
    </w:p>
    <w:p w14:paraId="69C4F22D" w14:textId="5517FBFA" w:rsidR="00ED4BBC" w:rsidRPr="00ED4BBC" w:rsidRDefault="00ED4BBC" w:rsidP="00ED4BB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ED4BBC">
        <w:rPr>
          <w:rFonts w:eastAsia="Times New Roman" w:cs="Arial"/>
          <w:color w:val="000000"/>
          <w:lang w:eastAsia="bg-BG"/>
        </w:rPr>
        <w:t xml:space="preserve">Оток на долните крайници - проявява се при 1,0% от пациентите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сравнение с 0,2% от пациентите на плацебо.</w:t>
      </w:r>
    </w:p>
    <w:p w14:paraId="72741497" w14:textId="77777777" w:rsidR="00ED4BBC" w:rsidRPr="00ED4BBC" w:rsidRDefault="00ED4BBC" w:rsidP="00ED4BBC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438B954B" w14:textId="7613D8E1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b/>
          <w:bCs/>
          <w:color w:val="000000"/>
          <w:u w:val="single"/>
          <w:lang w:eastAsia="bg-BG"/>
        </w:rPr>
        <w:t>Съобщаване на подозирани нежелани реакции</w:t>
      </w:r>
    </w:p>
    <w:p w14:paraId="5CEB3C21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3798A58D" w14:textId="77777777" w:rsidR="00ED4BBC" w:rsidRPr="00ED4BBC" w:rsidRDefault="00ED4BBC" w:rsidP="00ED4B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6EAEAE" w14:textId="5C86B9F4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7C302A3D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>ул. „Дамян Груев” №8</w:t>
      </w:r>
    </w:p>
    <w:p w14:paraId="5ED16EFA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>1303 София</w:t>
      </w:r>
    </w:p>
    <w:p w14:paraId="239B60BD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>Тел.:+359 2 8903417</w:t>
      </w:r>
    </w:p>
    <w:p w14:paraId="1ADAE610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ED4BBC">
          <w:rPr>
            <w:rFonts w:eastAsia="Times New Roman" w:cs="Arial"/>
            <w:color w:val="000000"/>
            <w:lang w:val="en-US"/>
          </w:rPr>
          <w:t>www.bda.bg</w:t>
        </w:r>
      </w:hyperlink>
    </w:p>
    <w:p w14:paraId="20810CFE" w14:textId="77777777" w:rsidR="001C660B" w:rsidRPr="001C660B" w:rsidRDefault="001C660B" w:rsidP="001C660B"/>
    <w:p w14:paraId="4239D218" w14:textId="05FB8815" w:rsidR="00C809A7" w:rsidRDefault="002C50EE" w:rsidP="00AA23EC">
      <w:pPr>
        <w:pStyle w:val="Heading2"/>
      </w:pPr>
      <w:r>
        <w:t>4.9. Предозиране</w:t>
      </w:r>
    </w:p>
    <w:p w14:paraId="751523F0" w14:textId="77777777" w:rsidR="00ED4BBC" w:rsidRDefault="00ED4BBC" w:rsidP="00ED4B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1DB8F5" w14:textId="71D78BA5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Липсват данни за предозиране с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таблетки.</w:t>
      </w:r>
    </w:p>
    <w:p w14:paraId="644D81A4" w14:textId="77777777" w:rsidR="00ED4BBC" w:rsidRPr="00ED4BBC" w:rsidRDefault="00ED4BBC" w:rsidP="00ED4BBC">
      <w:pPr>
        <w:pStyle w:val="Heading3"/>
        <w:rPr>
          <w:rFonts w:eastAsia="Times New Roman"/>
          <w:u w:val="single"/>
        </w:rPr>
      </w:pPr>
      <w:r w:rsidRPr="00ED4BBC">
        <w:rPr>
          <w:rFonts w:eastAsia="Times New Roman"/>
          <w:u w:val="single"/>
          <w:lang w:eastAsia="bg-BG"/>
        </w:rPr>
        <w:t>Симптоми</w:t>
      </w:r>
    </w:p>
    <w:p w14:paraId="0C736D56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Най-честите очаквани симптоми при предозиране с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са: брадикардия, хипотония,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бронхоспазъм</w:t>
      </w:r>
      <w:proofErr w:type="spellEnd"/>
      <w:r w:rsidRPr="00ED4BBC">
        <w:rPr>
          <w:rFonts w:eastAsia="Times New Roman" w:cs="Arial"/>
          <w:color w:val="000000"/>
          <w:lang w:eastAsia="bg-BG"/>
        </w:rPr>
        <w:t>, остра сърдечна недостатъчност.</w:t>
      </w:r>
    </w:p>
    <w:p w14:paraId="490D2701" w14:textId="77777777" w:rsidR="00ED4BBC" w:rsidRPr="00ED4BBC" w:rsidRDefault="00ED4BBC" w:rsidP="00ED4B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3364047" w14:textId="01AC462F" w:rsidR="00ED4BBC" w:rsidRPr="00ED4BBC" w:rsidRDefault="00ED4BBC" w:rsidP="00ED4BBC">
      <w:pPr>
        <w:pStyle w:val="Heading3"/>
        <w:rPr>
          <w:rFonts w:eastAsia="Times New Roman"/>
          <w:u w:val="single"/>
        </w:rPr>
      </w:pPr>
      <w:r w:rsidRPr="00ED4BBC">
        <w:rPr>
          <w:rFonts w:eastAsia="Times New Roman"/>
          <w:u w:val="single"/>
          <w:lang w:eastAsia="bg-BG"/>
        </w:rPr>
        <w:lastRenderedPageBreak/>
        <w:t>Лечение на предозирането</w:t>
      </w:r>
    </w:p>
    <w:p w14:paraId="1DA04E85" w14:textId="134CBAF0" w:rsidR="00ED4BBC" w:rsidRPr="00ED4BBC" w:rsidRDefault="00ED4BBC" w:rsidP="00ED4BBC">
      <w:pPr>
        <w:rPr>
          <w:rFonts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В случай на предозиране, терапията с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трябва да се прекрати и да се проведе спомагателно и симптоматично лечение. Трябва да се предотврати резорбция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гастро-интестиналния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тракт; чрез прилагане на стомашна промивка, или приемане на адсорбенти (активен въглен) 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лаксативен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продукт (натриев сулфат). При необходимост се провежда изкуствена белодробна вентилация. Брадикардията или силно изразените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вагусови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реакции се лекуват чрез приложение на атропин или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метилатропин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. При хипотония и шок се вливат плазма или плазмени заместители и при интравенозно приложение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изопреналин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хидрохлорид с начална доза около 5 </w:t>
      </w:r>
      <w:proofErr w:type="spellStart"/>
      <w:r w:rsidRPr="00ED4BBC">
        <w:rPr>
          <w:rFonts w:eastAsia="Times New Roman" w:cs="Arial"/>
          <w:color w:val="000000"/>
          <w:lang w:val="en-US"/>
        </w:rPr>
        <w:t>μg</w:t>
      </w:r>
      <w:proofErr w:type="spellEnd"/>
      <w:r w:rsidRPr="00ED4BBC">
        <w:rPr>
          <w:rFonts w:eastAsia="Times New Roman" w:cs="Arial"/>
          <w:color w:val="000000"/>
          <w:lang w:val="en-US"/>
        </w:rPr>
        <w:t xml:space="preserve">/min </w:t>
      </w:r>
      <w:r w:rsidRPr="00ED4BBC">
        <w:rPr>
          <w:rFonts w:eastAsia="Times New Roman" w:cs="Arial"/>
          <w:color w:val="000000"/>
          <w:lang w:eastAsia="bg-BG"/>
        </w:rPr>
        <w:t xml:space="preserve">или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добутамин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 начална доза 2,5 </w:t>
      </w:r>
      <w:proofErr w:type="spellStart"/>
      <w:r w:rsidRPr="00ED4BBC">
        <w:rPr>
          <w:rFonts w:eastAsia="Times New Roman" w:cs="Arial"/>
          <w:color w:val="000000"/>
          <w:lang w:val="en-US"/>
        </w:rPr>
        <w:t>μg</w:t>
      </w:r>
      <w:proofErr w:type="spellEnd"/>
      <w:r w:rsidRPr="00ED4BBC">
        <w:rPr>
          <w:rFonts w:eastAsia="Times New Roman" w:cs="Arial"/>
          <w:color w:val="000000"/>
          <w:lang w:val="en-US"/>
        </w:rPr>
        <w:t xml:space="preserve">/min </w:t>
      </w:r>
      <w:r w:rsidRPr="00ED4BBC">
        <w:rPr>
          <w:rFonts w:eastAsia="Times New Roman" w:cs="Arial"/>
          <w:color w:val="000000"/>
          <w:lang w:eastAsia="bg-BG"/>
        </w:rPr>
        <w:t xml:space="preserve">до достигане на желания ефект. При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рефрактерни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случаи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изопреналин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може да се комбинира с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допамин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. Ако отново не се постигне желания ефект, може да се обмисли интравенозно приложение на 50-100 </w:t>
      </w:r>
      <w:proofErr w:type="spellStart"/>
      <w:r w:rsidRPr="00ED4BBC">
        <w:rPr>
          <w:rFonts w:eastAsia="Times New Roman" w:cs="Arial"/>
          <w:color w:val="000000"/>
          <w:lang w:val="en-US"/>
        </w:rPr>
        <w:t>μg</w:t>
      </w:r>
      <w:proofErr w:type="spellEnd"/>
      <w:r w:rsidRPr="00ED4BBC">
        <w:rPr>
          <w:rFonts w:eastAsia="Times New Roman" w:cs="Arial"/>
          <w:color w:val="000000"/>
          <w:lang w:val="en-US"/>
        </w:rPr>
        <w:t xml:space="preserve">/kg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глюкагон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и при необходимост да се повтори в рамките на един час, последвано от интравенозна инфузия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глюкагон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70 </w:t>
      </w:r>
      <w:proofErr w:type="spellStart"/>
      <w:r w:rsidRPr="00ED4BBC">
        <w:rPr>
          <w:rFonts w:eastAsia="Times New Roman" w:cs="Arial"/>
          <w:color w:val="000000"/>
          <w:lang w:val="en-US"/>
        </w:rPr>
        <w:t>μg</w:t>
      </w:r>
      <w:proofErr w:type="spellEnd"/>
      <w:r w:rsidRPr="00ED4BBC">
        <w:rPr>
          <w:rFonts w:eastAsia="Times New Roman" w:cs="Arial"/>
          <w:color w:val="000000"/>
          <w:lang w:val="en-US"/>
        </w:rPr>
        <w:t xml:space="preserve">/kg/h. </w:t>
      </w:r>
      <w:r w:rsidRPr="00ED4BBC">
        <w:rPr>
          <w:rFonts w:eastAsia="Times New Roman" w:cs="Arial"/>
          <w:color w:val="000000"/>
          <w:lang w:eastAsia="bg-BG"/>
        </w:rPr>
        <w:t>В екстремни случаи на брадикардия може да се наложи поставяне на временен пейсмейкър.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471096B6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1481FD47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proofErr w:type="spellStart"/>
      <w:r w:rsidRPr="00ED4BBC">
        <w:rPr>
          <w:rFonts w:eastAsia="Times New Roman" w:cs="Arial"/>
          <w:color w:val="000000"/>
          <w:lang w:eastAsia="bg-BG"/>
        </w:rPr>
        <w:t>Фармакотерапевтична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група: Селективен бета-блокиращ агент</w:t>
      </w:r>
    </w:p>
    <w:p w14:paraId="59DE5BB1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>АТС код: С07 АВ12</w:t>
      </w:r>
    </w:p>
    <w:p w14:paraId="3091256D" w14:textId="77777777" w:rsidR="00ED4BBC" w:rsidRPr="00ED4BBC" w:rsidRDefault="00ED4BBC" w:rsidP="00ED4B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707968" w14:textId="2781907F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u w:val="single"/>
          <w:lang w:eastAsia="bg-BG"/>
        </w:rPr>
        <w:t xml:space="preserve">Механизъм на действие и </w:t>
      </w:r>
      <w:proofErr w:type="spellStart"/>
      <w:r w:rsidRPr="00ED4BBC">
        <w:rPr>
          <w:rFonts w:eastAsia="Times New Roman" w:cs="Arial"/>
          <w:color w:val="000000"/>
          <w:u w:val="single"/>
          <w:lang w:eastAsia="bg-BG"/>
        </w:rPr>
        <w:t>фармакодинамични</w:t>
      </w:r>
      <w:proofErr w:type="spellEnd"/>
      <w:r w:rsidRPr="00ED4BBC">
        <w:rPr>
          <w:rFonts w:eastAsia="Times New Roman" w:cs="Arial"/>
          <w:color w:val="000000"/>
          <w:u w:val="single"/>
          <w:lang w:eastAsia="bg-BG"/>
        </w:rPr>
        <w:t xml:space="preserve"> ефекти</w:t>
      </w:r>
    </w:p>
    <w:p w14:paraId="6FEE5808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рацемична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смес от два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енантиомера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, </w:t>
      </w:r>
      <w:r w:rsidRPr="00ED4BBC">
        <w:rPr>
          <w:rFonts w:eastAsia="Times New Roman" w:cs="Arial"/>
          <w:color w:val="000000"/>
          <w:lang w:val="en-US"/>
        </w:rPr>
        <w:t>SRRR</w:t>
      </w:r>
      <w:r w:rsidRPr="00ED4BBC">
        <w:rPr>
          <w:rFonts w:eastAsia="Times New Roman" w:cs="Arial"/>
          <w:color w:val="000000"/>
          <w:lang w:eastAsia="bg-BG"/>
        </w:rPr>
        <w:t>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(или </w:t>
      </w:r>
      <w:r w:rsidRPr="00ED4BBC">
        <w:rPr>
          <w:rFonts w:eastAsia="Times New Roman" w:cs="Arial"/>
          <w:color w:val="000000"/>
          <w:lang w:val="en-US"/>
        </w:rPr>
        <w:t>d</w:t>
      </w:r>
      <w:r w:rsidRPr="00ED4BBC">
        <w:rPr>
          <w:rFonts w:eastAsia="Times New Roman" w:cs="Arial"/>
          <w:color w:val="000000"/>
          <w:lang w:eastAsia="bg-BG"/>
        </w:rPr>
        <w:t>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) и </w:t>
      </w:r>
      <w:r w:rsidRPr="00ED4BBC">
        <w:rPr>
          <w:rFonts w:eastAsia="Times New Roman" w:cs="Arial"/>
          <w:color w:val="000000"/>
          <w:lang w:val="en-US"/>
        </w:rPr>
        <w:t xml:space="preserve">RSSS-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(или 1-небиволол).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съчетава два фармакологични ефекта:</w:t>
      </w:r>
    </w:p>
    <w:p w14:paraId="539E8E79" w14:textId="77777777" w:rsidR="00ED4BBC" w:rsidRDefault="00ED4BBC" w:rsidP="00ED4BB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ED4BBC">
        <w:rPr>
          <w:rFonts w:eastAsia="Times New Roman" w:cs="Arial"/>
          <w:color w:val="000000"/>
          <w:lang w:eastAsia="bg-BG"/>
        </w:rPr>
        <w:t xml:space="preserve">конкурентен и селективен бета-рецепторен антагонистичен ефект. Този ефект с дължи на </w:t>
      </w:r>
      <w:r w:rsidRPr="00ED4BBC">
        <w:rPr>
          <w:rFonts w:eastAsia="Times New Roman" w:cs="Arial"/>
          <w:color w:val="000000"/>
          <w:lang w:val="en-US"/>
        </w:rPr>
        <w:t xml:space="preserve">SRRR-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енантиомера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(или </w:t>
      </w:r>
      <w:r w:rsidRPr="00ED4BBC">
        <w:rPr>
          <w:rFonts w:eastAsia="Times New Roman" w:cs="Arial"/>
          <w:color w:val="000000"/>
          <w:lang w:val="en-US"/>
        </w:rPr>
        <w:t>d</w:t>
      </w:r>
      <w:r w:rsidRPr="00ED4BBC">
        <w:rPr>
          <w:rFonts w:eastAsia="Times New Roman" w:cs="Arial"/>
          <w:color w:val="000000"/>
          <w:lang w:eastAsia="bg-BG"/>
        </w:rPr>
        <w:t>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>)</w:t>
      </w:r>
    </w:p>
    <w:p w14:paraId="07B6733C" w14:textId="57BEF3DF" w:rsidR="00ED4BBC" w:rsidRPr="00ED4BBC" w:rsidRDefault="00ED4BBC" w:rsidP="00ED4BB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ED4BBC">
        <w:rPr>
          <w:rFonts w:eastAsia="Times New Roman" w:cs="Arial"/>
          <w:color w:val="000000"/>
          <w:lang w:eastAsia="bg-BG"/>
        </w:rPr>
        <w:t xml:space="preserve">проявява слабо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вазодлативно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действие в резултат на взаимодействие със системата </w:t>
      </w:r>
      <w:r w:rsidRPr="00ED4BBC">
        <w:rPr>
          <w:rFonts w:eastAsia="Times New Roman" w:cs="Arial"/>
          <w:color w:val="000000"/>
          <w:lang w:val="en-US"/>
        </w:rPr>
        <w:t xml:space="preserve">L-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аргинин</w:t>
      </w:r>
      <w:proofErr w:type="spellEnd"/>
      <w:r w:rsidRPr="00ED4BBC">
        <w:rPr>
          <w:rFonts w:eastAsia="Times New Roman" w:cs="Arial"/>
          <w:color w:val="000000"/>
          <w:lang w:eastAsia="bg-BG"/>
        </w:rPr>
        <w:t>/азотен окис.</w:t>
      </w:r>
    </w:p>
    <w:p w14:paraId="25F4482C" w14:textId="77777777" w:rsidR="00ED4BBC" w:rsidRPr="00ED4BBC" w:rsidRDefault="00ED4BBC" w:rsidP="00ED4B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6F8861" w14:textId="0AC0EA9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3ACFEB4C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Еднократното и многократно приложение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понижава сърдечната честота и кръвното налягане в покой и при усилие при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нормотевзивни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индивиди 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хипертензивни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пациенти. Антихипертензивният ефект се запазва и при продължително лечение. В терапевтични дози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е лишен от алфа-антагонистична активност.</w:t>
      </w:r>
    </w:p>
    <w:p w14:paraId="018C9F1E" w14:textId="77777777" w:rsidR="00ED4BBC" w:rsidRPr="00ED4BBC" w:rsidRDefault="00ED4BBC" w:rsidP="00ED4B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1BD38F" w14:textId="77777777" w:rsidR="00ED4BBC" w:rsidRPr="00ED4BBC" w:rsidRDefault="00ED4BBC" w:rsidP="00ED4BBC">
      <w:pPr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При остро и продължително лечение на хипертоници с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се понижава периферното системно съдово съпротивление. Благодарение на увеличаване на ударния обем, независимо от намаляване на сърдечната честота, се ограничава намалението на минутния сърдечен обем в покой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ED4BBC">
        <w:rPr>
          <w:rFonts w:eastAsia="Times New Roman" w:cs="Arial"/>
          <w:color w:val="000000"/>
          <w:lang w:eastAsia="bg-BG"/>
        </w:rPr>
        <w:t xml:space="preserve">и при движение. Все още не е добре установено клиничното значение на тези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хемодинамични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параметри в сравнение с други селективни бета1-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D4BBC">
        <w:rPr>
          <w:rFonts w:eastAsia="Times New Roman" w:cs="Arial"/>
          <w:color w:val="000000"/>
          <w:lang w:eastAsia="bg-BG"/>
        </w:rPr>
        <w:t>.</w:t>
      </w:r>
    </w:p>
    <w:p w14:paraId="5E8FFB13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При хипертоници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повишава </w:t>
      </w:r>
      <w:r w:rsidRPr="00ED4BBC">
        <w:rPr>
          <w:rFonts w:eastAsia="Times New Roman" w:cs="Arial"/>
          <w:color w:val="000000"/>
          <w:lang w:val="en-US"/>
        </w:rPr>
        <w:t>NO</w:t>
      </w:r>
      <w:r w:rsidRPr="00ED4BBC">
        <w:rPr>
          <w:rFonts w:eastAsia="Times New Roman" w:cs="Arial"/>
          <w:color w:val="000000"/>
          <w:lang w:eastAsia="bg-BG"/>
        </w:rPr>
        <w:t>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медиирания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отговор на съдовете към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ацетилхолин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, който е понижен при пациенти с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ендотелна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дисфункция.</w:t>
      </w:r>
    </w:p>
    <w:p w14:paraId="38D7453C" w14:textId="77777777" w:rsidR="00ED4BBC" w:rsidRPr="00ED4BBC" w:rsidRDefault="00ED4BBC" w:rsidP="00ED4BB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9FF7EB" w14:textId="568EA185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В плацебо-контролирано проучване за заболеваемост </w:t>
      </w:r>
      <w:r w:rsidRPr="00ED4BBC">
        <w:rPr>
          <w:rFonts w:eastAsia="Times New Roman" w:cs="Arial"/>
          <w:i/>
          <w:iCs/>
          <w:color w:val="000000"/>
          <w:lang w:eastAsia="bg-BG"/>
        </w:rPr>
        <w:t>и</w:t>
      </w:r>
      <w:r w:rsidRPr="00ED4BBC">
        <w:rPr>
          <w:rFonts w:eastAsia="Times New Roman" w:cs="Arial"/>
          <w:color w:val="000000"/>
          <w:lang w:eastAsia="bg-BG"/>
        </w:rPr>
        <w:t xml:space="preserve"> смъртност с 2128 пациенти </w:t>
      </w:r>
      <w:r w:rsidRPr="00ED4BBC">
        <w:rPr>
          <w:rFonts w:eastAsia="Times New Roman" w:cs="Arial"/>
          <w:color w:val="000000"/>
          <w:lang w:val="en-US"/>
        </w:rPr>
        <w:t>≥</w:t>
      </w:r>
      <w:r w:rsidRPr="00ED4BBC">
        <w:rPr>
          <w:rFonts w:eastAsia="Times New Roman" w:cs="Arial"/>
          <w:color w:val="000000"/>
          <w:lang w:eastAsia="bg-BG"/>
        </w:rPr>
        <w:t xml:space="preserve">70 години (средна възраст 75.2 години) със стабилна хронична сърдечна недостатъчност с или без нарушена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левокамерна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фракция на изтласкване </w:t>
      </w:r>
      <w:r w:rsidRPr="00ED4BBC">
        <w:rPr>
          <w:rFonts w:eastAsia="Times New Roman" w:cs="Arial"/>
          <w:color w:val="000000"/>
          <w:lang w:val="en-US"/>
        </w:rPr>
        <w:t xml:space="preserve">(LVEF: </w:t>
      </w:r>
      <w:r w:rsidRPr="00ED4BBC">
        <w:rPr>
          <w:rFonts w:eastAsia="Times New Roman" w:cs="Arial"/>
          <w:color w:val="000000"/>
          <w:lang w:eastAsia="bg-BG"/>
        </w:rPr>
        <w:t xml:space="preserve">36 ±12,3%, при следното разпределение: </w:t>
      </w:r>
      <w:r w:rsidRPr="00ED4BBC">
        <w:rPr>
          <w:rFonts w:eastAsia="Times New Roman" w:cs="Arial"/>
          <w:color w:val="000000"/>
          <w:lang w:val="en-US"/>
        </w:rPr>
        <w:t xml:space="preserve">LVEF </w:t>
      </w:r>
      <w:r w:rsidRPr="00ED4BBC">
        <w:rPr>
          <w:rFonts w:eastAsia="Times New Roman" w:cs="Arial"/>
          <w:color w:val="000000"/>
          <w:lang w:eastAsia="bg-BG"/>
        </w:rPr>
        <w:t xml:space="preserve">по- малко от 35% при 56% от пациентите, </w:t>
      </w:r>
      <w:r w:rsidRPr="00ED4BBC">
        <w:rPr>
          <w:rFonts w:eastAsia="Times New Roman" w:cs="Arial"/>
          <w:color w:val="000000"/>
          <w:lang w:val="en-US"/>
        </w:rPr>
        <w:t xml:space="preserve">LVEF </w:t>
      </w:r>
      <w:r w:rsidRPr="00ED4BBC">
        <w:rPr>
          <w:rFonts w:eastAsia="Times New Roman" w:cs="Arial"/>
          <w:color w:val="000000"/>
          <w:lang w:eastAsia="bg-BG"/>
        </w:rPr>
        <w:t xml:space="preserve">между 35% и 45% </w:t>
      </w:r>
      <w:r w:rsidRPr="00ED4BBC">
        <w:rPr>
          <w:rFonts w:eastAsia="Times New Roman" w:cs="Arial"/>
          <w:color w:val="000000"/>
          <w:lang w:eastAsia="bg-BG"/>
        </w:rPr>
        <w:lastRenderedPageBreak/>
        <w:t xml:space="preserve">при 25% от пациентите и </w:t>
      </w:r>
      <w:r w:rsidRPr="00ED4BBC">
        <w:rPr>
          <w:rFonts w:eastAsia="Times New Roman" w:cs="Arial"/>
          <w:color w:val="000000"/>
          <w:lang w:val="en-US"/>
        </w:rPr>
        <w:t xml:space="preserve">LVEF </w:t>
      </w:r>
      <w:r w:rsidRPr="00ED4BBC">
        <w:rPr>
          <w:rFonts w:eastAsia="Times New Roman" w:cs="Arial"/>
          <w:color w:val="000000"/>
          <w:lang w:eastAsia="bg-BG"/>
        </w:rPr>
        <w:t xml:space="preserve">повече от 45% при 19% от пациентите) проследени в продължение средно на 20 месеца,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, добавен към стандартното лечение,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сигнификантно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удължава времето до проява на смъртен изход или хоспитализация по повод сърдечно-съдови събития (първична крайна точка за ефикасност), като релативния риск намалява с 14% (абсолютно намаление: 4.2%). Намалението на риска се проявява след 6-ития месец от началото на лечението и се поддържа по време на цялото лечение (средна продължителност 18 месеца). Ефектът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е независим от възраст, пол 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левокамерна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фракция на изтласкване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сигнификантна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разлика в сравнение с плацебо (абсолютно намаление 2.3%).</w:t>
      </w:r>
    </w:p>
    <w:p w14:paraId="0288D637" w14:textId="77777777" w:rsidR="00ED4BBC" w:rsidRPr="00ED4BBC" w:rsidRDefault="00ED4BBC" w:rsidP="00ED4BBC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17F6E16B" w14:textId="1B68120A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i/>
          <w:iCs/>
          <w:color w:val="000000"/>
          <w:lang w:val="en-US"/>
        </w:rPr>
        <w:t>In vitro u in vivo</w:t>
      </w:r>
      <w:r w:rsidRPr="00ED4BBC">
        <w:rPr>
          <w:rFonts w:eastAsia="Times New Roman" w:cs="Arial"/>
          <w:color w:val="000000"/>
          <w:lang w:val="en-US"/>
        </w:rPr>
        <w:t xml:space="preserve"> </w:t>
      </w:r>
      <w:r w:rsidRPr="00ED4BBC">
        <w:rPr>
          <w:rFonts w:eastAsia="Times New Roman" w:cs="Arial"/>
          <w:color w:val="000000"/>
          <w:lang w:eastAsia="bg-BG"/>
        </w:rPr>
        <w:t>изследвания върху животни показват, че във фармакологични дози той няма мембранно-стабилизиращо действие.</w:t>
      </w:r>
    </w:p>
    <w:p w14:paraId="753280B0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При здрави доброволци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не оказва значително действие върху максималния физически капацитет и издръжливост.</w:t>
      </w:r>
    </w:p>
    <w:p w14:paraId="6272ACF1" w14:textId="77777777" w:rsidR="00ED4BBC" w:rsidRPr="00ED4BBC" w:rsidRDefault="00ED4BBC" w:rsidP="00ED4BBC"/>
    <w:p w14:paraId="0A962168" w14:textId="070D7E76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2BB91DA1" w14:textId="77777777" w:rsidR="00ED4BBC" w:rsidRPr="00ED4BBC" w:rsidRDefault="00ED4BBC" w:rsidP="00ED4BBC"/>
    <w:p w14:paraId="50F01E99" w14:textId="138CB7E9" w:rsidR="00ED4BBC" w:rsidRPr="00ED4BBC" w:rsidRDefault="00ED4BBC" w:rsidP="00ED4BBC">
      <w:pPr>
        <w:pStyle w:val="Heading3"/>
        <w:rPr>
          <w:rFonts w:eastAsia="Times New Roman"/>
          <w:u w:val="single"/>
        </w:rPr>
      </w:pPr>
      <w:r w:rsidRPr="00ED4BBC">
        <w:rPr>
          <w:rFonts w:eastAsia="Times New Roman"/>
          <w:u w:val="single"/>
          <w:lang w:eastAsia="bg-BG"/>
        </w:rPr>
        <w:t>Абсорбция</w:t>
      </w:r>
    </w:p>
    <w:p w14:paraId="26D2B1EB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И двата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енантиомера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се абсорбират бързо след перорално приложение. Абсорбцията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не се повлиява от храната. Той може да се приема с или без храна.</w:t>
      </w:r>
    </w:p>
    <w:p w14:paraId="1CF8E598" w14:textId="77777777" w:rsidR="00ED4BBC" w:rsidRPr="00ED4BBC" w:rsidRDefault="00ED4BBC" w:rsidP="00ED4BB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C005225" w14:textId="0D5BFCAB" w:rsidR="00ED4BBC" w:rsidRPr="00ED4BBC" w:rsidRDefault="00ED4BBC" w:rsidP="00ED4BBC">
      <w:pPr>
        <w:pStyle w:val="Heading3"/>
        <w:rPr>
          <w:rFonts w:eastAsia="Times New Roman"/>
          <w:u w:val="single"/>
        </w:rPr>
      </w:pPr>
      <w:r w:rsidRPr="00ED4BBC">
        <w:rPr>
          <w:rFonts w:eastAsia="Times New Roman"/>
          <w:u w:val="single"/>
          <w:lang w:eastAsia="bg-BG"/>
        </w:rPr>
        <w:t>Метаболизъм</w:t>
      </w:r>
    </w:p>
    <w:p w14:paraId="335C441D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се подлага на екстензивен метаболизъм,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очасти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активни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хидрокси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метаболити.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чрез ациклично и ароматно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хидроксилиране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, </w:t>
      </w:r>
      <w:r w:rsidRPr="00ED4BBC">
        <w:rPr>
          <w:rFonts w:eastAsia="Times New Roman" w:cs="Arial"/>
          <w:color w:val="000000"/>
          <w:lang w:val="en-US"/>
        </w:rPr>
        <w:t>N</w:t>
      </w:r>
      <w:r w:rsidRPr="00ED4BBC">
        <w:rPr>
          <w:rFonts w:eastAsia="Times New Roman" w:cs="Arial"/>
          <w:color w:val="000000"/>
          <w:lang w:eastAsia="bg-BG"/>
        </w:rPr>
        <w:t>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деалкилизиране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глюкуронизиране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, допълнително се образуват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глюкурониди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хидрокси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метаболити.</w:t>
      </w:r>
    </w:p>
    <w:p w14:paraId="75ADCAF3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Метаболизмът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чрез ароматно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дехидроксилиране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е обект на </w:t>
      </w:r>
      <w:r w:rsidRPr="00ED4BBC">
        <w:rPr>
          <w:rFonts w:eastAsia="Times New Roman" w:cs="Arial"/>
          <w:color w:val="000000"/>
          <w:lang w:val="en-US"/>
        </w:rPr>
        <w:t xml:space="preserve">CYP2D6 </w:t>
      </w:r>
      <w:r w:rsidRPr="00ED4BBC">
        <w:rPr>
          <w:rFonts w:eastAsia="Times New Roman" w:cs="Arial"/>
          <w:color w:val="000000"/>
          <w:lang w:eastAsia="bg-BG"/>
        </w:rPr>
        <w:t xml:space="preserve">зависим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оксидативен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полиморфизъм. Бионаличността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при перорално приложение е 12% при пациенти с бавен метаболизъм, пиковите плазмени концентрации е около 1,3-1,4 пъти.</w:t>
      </w:r>
    </w:p>
    <w:p w14:paraId="274FB1E2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Поради разликите в скоростта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метаболизиране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, дозата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трябва винаги да се съобразява с индивидуалните изисквания на пациента, и в този смисъл при пациенти с бавен метаболизъм са необходими по-ниски дози.</w:t>
      </w:r>
    </w:p>
    <w:p w14:paraId="3767EA44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При пациенти с бърз метаболизъм, времето на полуживот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енантиомерите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е средно 10 часа. При пациентите с бавен метаболизъм, това време е 3-5 пъти по-дълго. При пациенти с Бърз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метаболзъм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, плазмените нива на </w:t>
      </w:r>
      <w:r w:rsidRPr="00ED4BBC">
        <w:rPr>
          <w:rFonts w:eastAsia="Times New Roman" w:cs="Arial"/>
          <w:color w:val="000000"/>
          <w:lang w:val="en-US"/>
        </w:rPr>
        <w:t>RSSS</w:t>
      </w:r>
      <w:r w:rsidRPr="00ED4BBC">
        <w:rPr>
          <w:rFonts w:eastAsia="Times New Roman" w:cs="Arial"/>
          <w:color w:val="000000"/>
          <w:lang w:eastAsia="bg-BG"/>
        </w:rPr>
        <w:t>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енантиомра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са малко по-високи от тези на </w:t>
      </w:r>
      <w:r w:rsidRPr="00ED4BBC">
        <w:rPr>
          <w:rFonts w:eastAsia="Times New Roman" w:cs="Arial"/>
          <w:color w:val="000000"/>
          <w:lang w:val="en-US"/>
        </w:rPr>
        <w:t xml:space="preserve">SRRR-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енантиомера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. При пациенти с бавен метаболизъм тази разлика е малко по-голяма. При пациенти с бърз метаболизъм, времето на полуживот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хидроксиметаболитите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на двата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енантиомера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е около 24 часа, а при пациенти с бавен метаболизъм е около2 пъти по-дълго.</w:t>
      </w:r>
    </w:p>
    <w:p w14:paraId="28931144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Плазмените нива в </w:t>
      </w:r>
      <w:r w:rsidRPr="00ED4BBC">
        <w:rPr>
          <w:rFonts w:eastAsia="Times New Roman" w:cs="Arial"/>
          <w:color w:val="000000"/>
          <w:lang w:val="en-US"/>
        </w:rPr>
        <w:t xml:space="preserve">steady-state, </w:t>
      </w:r>
      <w:r w:rsidRPr="00ED4BBC">
        <w:rPr>
          <w:rFonts w:eastAsia="Times New Roman" w:cs="Arial"/>
          <w:color w:val="000000"/>
          <w:lang w:eastAsia="bg-BG"/>
        </w:rPr>
        <w:t xml:space="preserve">при повечето пациенти (тези с бърз метаболизъм) се постига в рамките на 24 часа за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и за няколко дни за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хидроксиметаболитите</w:t>
      </w:r>
      <w:proofErr w:type="spellEnd"/>
      <w:r w:rsidRPr="00ED4BBC">
        <w:rPr>
          <w:rFonts w:eastAsia="Times New Roman" w:cs="Arial"/>
          <w:color w:val="000000"/>
          <w:lang w:eastAsia="bg-BG"/>
        </w:rPr>
        <w:t>.</w:t>
      </w:r>
    </w:p>
    <w:p w14:paraId="2D0A1A06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Плазмените концентрации са пропорционални на дозата в рамките на 1-30 </w:t>
      </w:r>
      <w:r w:rsidRPr="00ED4BBC">
        <w:rPr>
          <w:rFonts w:eastAsia="Times New Roman" w:cs="Arial"/>
          <w:color w:val="000000"/>
          <w:lang w:val="en-US"/>
        </w:rPr>
        <w:t xml:space="preserve">mg. </w:t>
      </w:r>
      <w:r w:rsidRPr="00ED4BBC">
        <w:rPr>
          <w:rFonts w:eastAsia="Times New Roman" w:cs="Arial"/>
          <w:color w:val="000000"/>
          <w:lang w:eastAsia="bg-BG"/>
        </w:rPr>
        <w:t xml:space="preserve">Фармакокинетиката на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не се повлиява от възрастта.</w:t>
      </w:r>
    </w:p>
    <w:p w14:paraId="6AE2797F" w14:textId="77777777" w:rsidR="00ED4BBC" w:rsidRPr="00ED4BBC" w:rsidRDefault="00ED4BBC" w:rsidP="00ED4BBC">
      <w:pPr>
        <w:rPr>
          <w:rFonts w:eastAsia="Times New Roman" w:cs="Arial"/>
          <w:i/>
          <w:iCs/>
          <w:color w:val="000000"/>
          <w:lang w:eastAsia="bg-BG"/>
        </w:rPr>
      </w:pPr>
    </w:p>
    <w:p w14:paraId="6E11ABCD" w14:textId="2C69406B" w:rsidR="00ED4BBC" w:rsidRPr="00ED4BBC" w:rsidRDefault="00ED4BBC" w:rsidP="00ED4BBC">
      <w:pPr>
        <w:pStyle w:val="Heading3"/>
        <w:rPr>
          <w:rFonts w:eastAsia="Times New Roman"/>
          <w:u w:val="single"/>
          <w:lang w:eastAsia="bg-BG"/>
        </w:rPr>
      </w:pPr>
      <w:r w:rsidRPr="00ED4BBC">
        <w:rPr>
          <w:rFonts w:eastAsia="Times New Roman"/>
          <w:u w:val="single"/>
          <w:lang w:eastAsia="bg-BG"/>
        </w:rPr>
        <w:t>Разпределение</w:t>
      </w:r>
    </w:p>
    <w:p w14:paraId="5F05EAD5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И двата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енантиомера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плазмата се свързват главно с албумин. Свързването с плазмените протеини е 98.1% за </w:t>
      </w:r>
      <w:r w:rsidRPr="00ED4BBC">
        <w:rPr>
          <w:rFonts w:eastAsia="Times New Roman" w:cs="Arial"/>
          <w:color w:val="000000"/>
          <w:lang w:val="en-US"/>
        </w:rPr>
        <w:t>SRRR</w:t>
      </w:r>
      <w:r w:rsidRPr="00ED4BBC">
        <w:rPr>
          <w:rFonts w:eastAsia="Times New Roman" w:cs="Arial"/>
          <w:color w:val="000000"/>
          <w:lang w:eastAsia="bg-BG"/>
        </w:rPr>
        <w:t>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и 97.9% за </w:t>
      </w:r>
      <w:r w:rsidRPr="00ED4BBC">
        <w:rPr>
          <w:rFonts w:eastAsia="Times New Roman" w:cs="Arial"/>
          <w:color w:val="000000"/>
          <w:lang w:val="en-US"/>
        </w:rPr>
        <w:t>RSSS</w:t>
      </w:r>
      <w:r w:rsidRPr="00ED4BBC">
        <w:rPr>
          <w:rFonts w:eastAsia="Times New Roman" w:cs="Arial"/>
          <w:color w:val="000000"/>
          <w:lang w:eastAsia="bg-BG"/>
        </w:rPr>
        <w:t>-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>.</w:t>
      </w:r>
    </w:p>
    <w:p w14:paraId="476A9BDA" w14:textId="77777777" w:rsidR="00ED4BBC" w:rsidRPr="00ED4BBC" w:rsidRDefault="00ED4BBC" w:rsidP="00ED4BB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10ED5E8" w14:textId="40B052F0" w:rsidR="00ED4BBC" w:rsidRPr="00ED4BBC" w:rsidRDefault="00ED4BBC" w:rsidP="00ED4BBC">
      <w:pPr>
        <w:pStyle w:val="Heading3"/>
        <w:rPr>
          <w:rFonts w:eastAsia="Times New Roman"/>
          <w:u w:val="single"/>
        </w:rPr>
      </w:pPr>
      <w:r w:rsidRPr="00ED4BBC">
        <w:rPr>
          <w:rFonts w:eastAsia="Times New Roman"/>
          <w:u w:val="single"/>
          <w:lang w:eastAsia="bg-BG"/>
        </w:rPr>
        <w:lastRenderedPageBreak/>
        <w:t>Екскреция</w:t>
      </w:r>
    </w:p>
    <w:p w14:paraId="3130E7AB" w14:textId="77777777" w:rsidR="00ED4BBC" w:rsidRPr="00ED4BBC" w:rsidRDefault="00ED4BBC" w:rsidP="00ED4BBC">
      <w:pPr>
        <w:spacing w:line="240" w:lineRule="auto"/>
        <w:rPr>
          <w:rFonts w:eastAsia="Times New Roman" w:cs="Arial"/>
        </w:rPr>
      </w:pPr>
      <w:r w:rsidRPr="00ED4BBC">
        <w:rPr>
          <w:rFonts w:eastAsia="Times New Roman" w:cs="Arial"/>
          <w:color w:val="000000"/>
          <w:lang w:eastAsia="bg-BG"/>
        </w:rPr>
        <w:t xml:space="preserve">Една седмица след приложението, 38% от дозата се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урината и 48% във </w:t>
      </w:r>
      <w:proofErr w:type="spellStart"/>
      <w:r w:rsidRPr="00ED4BBC">
        <w:rPr>
          <w:rFonts w:eastAsia="Times New Roman" w:cs="Arial"/>
          <w:color w:val="000000"/>
          <w:lang w:eastAsia="bg-BG"/>
        </w:rPr>
        <w:t>фецеса</w:t>
      </w:r>
      <w:proofErr w:type="spellEnd"/>
      <w:r w:rsidRPr="00ED4BBC">
        <w:rPr>
          <w:rFonts w:eastAsia="Times New Roman" w:cs="Arial"/>
          <w:color w:val="000000"/>
          <w:lang w:eastAsia="bg-BG"/>
        </w:rPr>
        <w:t>.</w:t>
      </w:r>
    </w:p>
    <w:p w14:paraId="5CD90C15" w14:textId="77B27C22" w:rsidR="00ED4BBC" w:rsidRDefault="00ED4BBC" w:rsidP="00ED4BBC">
      <w:pPr>
        <w:rPr>
          <w:rFonts w:eastAsia="Times New Roman" w:cs="Arial"/>
          <w:color w:val="000000"/>
          <w:lang w:eastAsia="bg-BG"/>
        </w:rPr>
      </w:pPr>
      <w:proofErr w:type="spellStart"/>
      <w:r w:rsidRPr="00ED4BBC">
        <w:rPr>
          <w:rFonts w:eastAsia="Times New Roman" w:cs="Arial"/>
          <w:color w:val="000000"/>
          <w:lang w:eastAsia="bg-BG"/>
        </w:rPr>
        <w:t>Екскретираният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непроменен </w:t>
      </w:r>
      <w:proofErr w:type="spellStart"/>
      <w:r w:rsidRPr="00ED4BBC">
        <w:rPr>
          <w:rFonts w:eastAsia="Times New Roman" w:cs="Arial"/>
          <w:color w:val="000000"/>
          <w:lang w:eastAsia="bg-BG"/>
        </w:rPr>
        <w:t>небиволол</w:t>
      </w:r>
      <w:proofErr w:type="spellEnd"/>
      <w:r w:rsidRPr="00ED4BBC">
        <w:rPr>
          <w:rFonts w:eastAsia="Times New Roman" w:cs="Arial"/>
          <w:color w:val="000000"/>
          <w:lang w:eastAsia="bg-BG"/>
        </w:rPr>
        <w:t xml:space="preserve"> в урината е по-малка от 0.5% от приетата доза.</w:t>
      </w:r>
    </w:p>
    <w:p w14:paraId="15510B9B" w14:textId="77777777" w:rsidR="00ED4BBC" w:rsidRPr="00ED4BBC" w:rsidRDefault="00ED4BBC" w:rsidP="00ED4BBC">
      <w:pPr>
        <w:rPr>
          <w:rFonts w:cs="Arial"/>
        </w:rPr>
      </w:pPr>
    </w:p>
    <w:p w14:paraId="674BE4E2" w14:textId="6136F879" w:rsidR="009B171C" w:rsidRDefault="002C50EE" w:rsidP="00CA1B57">
      <w:pPr>
        <w:pStyle w:val="Heading2"/>
      </w:pPr>
      <w:r>
        <w:t>5.3. Предклинични данни за безопасност</w:t>
      </w:r>
    </w:p>
    <w:p w14:paraId="2EA44497" w14:textId="77777777" w:rsidR="00ED4BBC" w:rsidRPr="00ED4BBC" w:rsidRDefault="00ED4BBC" w:rsidP="00ED4BBC">
      <w:pPr>
        <w:rPr>
          <w:sz w:val="24"/>
          <w:szCs w:val="24"/>
        </w:rPr>
      </w:pPr>
      <w:r w:rsidRPr="00ED4BBC">
        <w:rPr>
          <w:lang w:eastAsia="bg-BG"/>
        </w:rPr>
        <w:t xml:space="preserve">Предклиничните данни за безопасност не разкриват специален риск за хората, базирайки се на проучвания за </w:t>
      </w:r>
      <w:proofErr w:type="spellStart"/>
      <w:r w:rsidRPr="00ED4BBC">
        <w:rPr>
          <w:lang w:eastAsia="bg-BG"/>
        </w:rPr>
        <w:t>генотоксичност</w:t>
      </w:r>
      <w:proofErr w:type="spellEnd"/>
      <w:r w:rsidRPr="00ED4BBC">
        <w:rPr>
          <w:lang w:eastAsia="bg-BG"/>
        </w:rPr>
        <w:t xml:space="preserve"> и за карциногенен потенциал.</w:t>
      </w:r>
    </w:p>
    <w:p w14:paraId="14E71885" w14:textId="77777777" w:rsidR="00ED4BBC" w:rsidRPr="00ED4BBC" w:rsidRDefault="00ED4BBC" w:rsidP="00ED4BBC"/>
    <w:p w14:paraId="6940F72E" w14:textId="6EE80E3F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6898E336" w14:textId="77777777" w:rsidR="00ED4BBC" w:rsidRPr="00ED4BBC" w:rsidRDefault="00ED4BBC" w:rsidP="00ED4BBC">
      <w:pPr>
        <w:rPr>
          <w:sz w:val="24"/>
          <w:szCs w:val="24"/>
        </w:rPr>
      </w:pPr>
      <w:proofErr w:type="spellStart"/>
      <w:r w:rsidRPr="00ED4BBC">
        <w:rPr>
          <w:lang w:val="en-US"/>
        </w:rPr>
        <w:t>Heo</w:t>
      </w:r>
      <w:proofErr w:type="spellEnd"/>
      <w:r w:rsidRPr="00ED4BBC">
        <w:rPr>
          <w:lang w:val="en-US"/>
        </w:rPr>
        <w:t xml:space="preserve"> </w:t>
      </w:r>
      <w:proofErr w:type="spellStart"/>
      <w:r w:rsidRPr="00ED4BBC">
        <w:rPr>
          <w:lang w:eastAsia="bg-BG"/>
        </w:rPr>
        <w:t>Бялканика</w:t>
      </w:r>
      <w:proofErr w:type="spellEnd"/>
      <w:r w:rsidRPr="00ED4BBC">
        <w:rPr>
          <w:lang w:eastAsia="bg-BG"/>
        </w:rPr>
        <w:t xml:space="preserve"> ЕООД</w:t>
      </w:r>
    </w:p>
    <w:p w14:paraId="4C517CC3" w14:textId="77777777" w:rsidR="00ED4BBC" w:rsidRPr="00ED4BBC" w:rsidRDefault="00ED4BBC" w:rsidP="00ED4BBC">
      <w:pPr>
        <w:rPr>
          <w:sz w:val="24"/>
          <w:szCs w:val="24"/>
        </w:rPr>
      </w:pPr>
      <w:r w:rsidRPr="00ED4BBC">
        <w:rPr>
          <w:lang w:eastAsia="bg-BG"/>
        </w:rPr>
        <w:t>Ул. „</w:t>
      </w:r>
      <w:proofErr w:type="spellStart"/>
      <w:r w:rsidRPr="00ED4BBC">
        <w:rPr>
          <w:lang w:eastAsia="bg-BG"/>
        </w:rPr>
        <w:t>Земляне</w:t>
      </w:r>
      <w:proofErr w:type="spellEnd"/>
      <w:r w:rsidRPr="00ED4BBC">
        <w:rPr>
          <w:lang w:eastAsia="bg-BG"/>
        </w:rPr>
        <w:t>”№ 35, София 1618</w:t>
      </w:r>
    </w:p>
    <w:p w14:paraId="57778C55" w14:textId="6D2C1F20" w:rsidR="00ED4BBC" w:rsidRPr="00ED4BBC" w:rsidRDefault="00ED4BBC" w:rsidP="00ED4BBC">
      <w:r w:rsidRPr="00ED4BBC">
        <w:rPr>
          <w:lang w:eastAsia="bg-BG"/>
        </w:rPr>
        <w:t>България</w:t>
      </w:r>
    </w:p>
    <w:p w14:paraId="04840D59" w14:textId="50B30A1B" w:rsidR="002C50EE" w:rsidRDefault="002C50EE" w:rsidP="002C50EE">
      <w:pPr>
        <w:pStyle w:val="Heading1"/>
      </w:pPr>
      <w:r>
        <w:t>8. НОМЕР НА РАЗРЕШЕНИЕТО ЗА УПОТРЕБА</w:t>
      </w:r>
    </w:p>
    <w:p w14:paraId="7F9794D5" w14:textId="76922694" w:rsidR="00ED4BBC" w:rsidRPr="00ED4BBC" w:rsidRDefault="00ED4BBC" w:rsidP="00ED4BBC">
      <w:r>
        <w:rPr>
          <w:lang w:val="en-US"/>
        </w:rPr>
        <w:t xml:space="preserve">Per. </w:t>
      </w:r>
      <w:r>
        <w:t>№ 20130172</w:t>
      </w:r>
    </w:p>
    <w:p w14:paraId="5900CBF3" w14:textId="5FDEE6E9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054D6F43" w14:textId="06410557" w:rsidR="00ED4BBC" w:rsidRPr="00ED4BBC" w:rsidRDefault="00ED4BBC" w:rsidP="00ED4BBC">
      <w:r>
        <w:t>16 май 2013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436BB6D9" w:rsidR="00C87E90" w:rsidRPr="003E3126" w:rsidRDefault="00ED4BBC" w:rsidP="00ED4BBC">
      <w:r>
        <w:t>Май 2018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81560A"/>
    <w:multiLevelType w:val="hybridMultilevel"/>
    <w:tmpl w:val="CC66E3B2"/>
    <w:lvl w:ilvl="0" w:tplc="10B8C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124E1"/>
    <w:multiLevelType w:val="hybridMultilevel"/>
    <w:tmpl w:val="25C2F174"/>
    <w:lvl w:ilvl="0" w:tplc="10B8C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46BD0"/>
    <w:multiLevelType w:val="hybridMultilevel"/>
    <w:tmpl w:val="62E6841A"/>
    <w:lvl w:ilvl="0" w:tplc="10B8C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22395"/>
    <w:multiLevelType w:val="hybridMultilevel"/>
    <w:tmpl w:val="F3EC5FC0"/>
    <w:lvl w:ilvl="0" w:tplc="10B8C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4384D"/>
    <w:multiLevelType w:val="hybridMultilevel"/>
    <w:tmpl w:val="97AE560A"/>
    <w:lvl w:ilvl="0" w:tplc="10B8C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25"/>
  </w:num>
  <w:num w:numId="12">
    <w:abstractNumId w:val="12"/>
  </w:num>
  <w:num w:numId="13">
    <w:abstractNumId w:val="17"/>
  </w:num>
  <w:num w:numId="14">
    <w:abstractNumId w:val="10"/>
  </w:num>
  <w:num w:numId="15">
    <w:abstractNumId w:val="24"/>
  </w:num>
  <w:num w:numId="16">
    <w:abstractNumId w:val="8"/>
  </w:num>
  <w:num w:numId="17">
    <w:abstractNumId w:val="19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20"/>
  </w:num>
  <w:num w:numId="23">
    <w:abstractNumId w:val="16"/>
  </w:num>
  <w:num w:numId="24">
    <w:abstractNumId w:val="21"/>
  </w:num>
  <w:num w:numId="25">
    <w:abstractNumId w:val="6"/>
  </w:num>
  <w:num w:numId="26">
    <w:abstractNumId w:val="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C660B"/>
    <w:rsid w:val="001D1B23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ED4BBC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2021-08-26T11:26:00Z</dcterms:created>
  <dcterms:modified xsi:type="dcterms:W3CDTF">2021-08-26T11:26:00Z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