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7A328C" w14:textId="16329281" w:rsidR="002C50EE" w:rsidRDefault="002C50EE" w:rsidP="002C50EE">
      <w:pPr>
        <w:pStyle w:val="Heading1"/>
        <w:jc w:val="center"/>
      </w:pPr>
      <w:bookmarkStart w:id="0" w:name="_Hlk63124480"/>
      <w:r>
        <w:t>КРАТКА ХАРАКТЕРИСТИКА НА ПРОДУКТА</w:t>
      </w:r>
    </w:p>
    <w:p w14:paraId="3320F4BE" w14:textId="781D8C32" w:rsidR="00C40420" w:rsidRDefault="00DD466D" w:rsidP="004A448E">
      <w:pPr>
        <w:pStyle w:val="Heading1"/>
      </w:pPr>
      <w:r>
        <w:t>1.ИМЕ НА ЛЕКАРСТВЕНИЯ ПРОДУКТ</w:t>
      </w:r>
    </w:p>
    <w:p w14:paraId="209850C7" w14:textId="0E5FAA74" w:rsidR="001621CE" w:rsidRDefault="001621CE" w:rsidP="001621CE"/>
    <w:p w14:paraId="31761B4A" w14:textId="77777777" w:rsidR="001621CE" w:rsidRPr="001621CE" w:rsidRDefault="001621CE" w:rsidP="001621CE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1621CE">
        <w:rPr>
          <w:rFonts w:eastAsia="Times New Roman" w:cs="Arial"/>
          <w:color w:val="000000"/>
          <w:szCs w:val="20"/>
          <w:lang w:eastAsia="bg-BG"/>
        </w:rPr>
        <w:t xml:space="preserve">Блокбис </w:t>
      </w:r>
      <w:r w:rsidRPr="001621CE">
        <w:rPr>
          <w:rFonts w:eastAsia="Times New Roman" w:cs="Arial"/>
          <w:i/>
          <w:iCs/>
          <w:color w:val="000000"/>
          <w:szCs w:val="20"/>
          <w:lang w:eastAsia="bg-BG"/>
        </w:rPr>
        <w:t>5</w:t>
      </w:r>
      <w:r w:rsidRPr="001621CE">
        <w:rPr>
          <w:rFonts w:eastAsia="Times New Roman" w:cs="Arial"/>
          <w:color w:val="000000"/>
          <w:szCs w:val="20"/>
          <w:lang w:eastAsia="bg-BG"/>
        </w:rPr>
        <w:t xml:space="preserve"> </w:t>
      </w:r>
      <w:r w:rsidRPr="001621CE">
        <w:rPr>
          <w:rFonts w:eastAsia="Times New Roman" w:cs="Arial"/>
          <w:color w:val="000000"/>
          <w:szCs w:val="20"/>
          <w:lang w:val="en-US"/>
        </w:rPr>
        <w:t xml:space="preserve">mg </w:t>
      </w:r>
      <w:r w:rsidRPr="001621CE">
        <w:rPr>
          <w:rFonts w:eastAsia="Times New Roman" w:cs="Arial"/>
          <w:color w:val="000000"/>
          <w:szCs w:val="20"/>
          <w:lang w:eastAsia="bg-BG"/>
        </w:rPr>
        <w:t>таблетки</w:t>
      </w:r>
    </w:p>
    <w:p w14:paraId="1B01AA72" w14:textId="77777777" w:rsidR="001621CE" w:rsidRPr="001621CE" w:rsidRDefault="001621CE" w:rsidP="001621CE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proofErr w:type="spellStart"/>
      <w:r w:rsidRPr="001621CE">
        <w:rPr>
          <w:rFonts w:eastAsia="Times New Roman" w:cs="Arial"/>
          <w:color w:val="000000"/>
          <w:szCs w:val="20"/>
          <w:lang w:val="en-US"/>
        </w:rPr>
        <w:t>Blokbis</w:t>
      </w:r>
      <w:proofErr w:type="spellEnd"/>
      <w:r w:rsidRPr="001621CE">
        <w:rPr>
          <w:rFonts w:eastAsia="Times New Roman" w:cs="Arial"/>
          <w:color w:val="000000"/>
          <w:szCs w:val="20"/>
          <w:lang w:val="en-US"/>
        </w:rPr>
        <w:t xml:space="preserve"> </w:t>
      </w:r>
      <w:r w:rsidRPr="001621CE">
        <w:rPr>
          <w:rFonts w:eastAsia="Times New Roman" w:cs="Arial"/>
          <w:color w:val="000000"/>
          <w:szCs w:val="20"/>
          <w:lang w:eastAsia="bg-BG"/>
        </w:rPr>
        <w:t xml:space="preserve">5 </w:t>
      </w:r>
      <w:r w:rsidRPr="001621CE">
        <w:rPr>
          <w:rFonts w:eastAsia="Times New Roman" w:cs="Arial"/>
          <w:color w:val="000000"/>
          <w:szCs w:val="20"/>
          <w:lang w:val="en-US"/>
        </w:rPr>
        <w:t>mg tablets</w:t>
      </w:r>
    </w:p>
    <w:p w14:paraId="321656F0" w14:textId="77777777" w:rsidR="001621CE" w:rsidRPr="001621CE" w:rsidRDefault="001621CE" w:rsidP="001621CE">
      <w:pPr>
        <w:spacing w:line="240" w:lineRule="auto"/>
        <w:rPr>
          <w:rFonts w:eastAsia="Times New Roman" w:cs="Arial"/>
          <w:color w:val="000000"/>
          <w:szCs w:val="20"/>
          <w:lang w:eastAsia="bg-BG"/>
        </w:rPr>
      </w:pPr>
    </w:p>
    <w:p w14:paraId="29F4929C" w14:textId="43D088A1" w:rsidR="001621CE" w:rsidRPr="001621CE" w:rsidRDefault="001621CE" w:rsidP="001621CE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1621CE">
        <w:rPr>
          <w:rFonts w:eastAsia="Times New Roman" w:cs="Arial"/>
          <w:color w:val="000000"/>
          <w:szCs w:val="20"/>
          <w:lang w:eastAsia="bg-BG"/>
        </w:rPr>
        <w:t xml:space="preserve">Блокбис 10 </w:t>
      </w:r>
      <w:r w:rsidRPr="001621CE">
        <w:rPr>
          <w:rFonts w:eastAsia="Times New Roman" w:cs="Arial"/>
          <w:color w:val="000000"/>
          <w:szCs w:val="20"/>
          <w:lang w:val="en-US"/>
        </w:rPr>
        <w:t xml:space="preserve">mg </w:t>
      </w:r>
      <w:r w:rsidRPr="001621CE">
        <w:rPr>
          <w:rFonts w:eastAsia="Times New Roman" w:cs="Arial"/>
          <w:color w:val="000000"/>
          <w:szCs w:val="20"/>
          <w:lang w:eastAsia="bg-BG"/>
        </w:rPr>
        <w:t>таблетки</w:t>
      </w:r>
    </w:p>
    <w:p w14:paraId="071AD48C" w14:textId="26A9312E" w:rsidR="001621CE" w:rsidRPr="001621CE" w:rsidRDefault="001621CE" w:rsidP="001621CE">
      <w:pPr>
        <w:rPr>
          <w:rFonts w:cs="Arial"/>
          <w:sz w:val="24"/>
        </w:rPr>
      </w:pPr>
      <w:proofErr w:type="spellStart"/>
      <w:r w:rsidRPr="001621CE">
        <w:rPr>
          <w:rFonts w:eastAsia="Times New Roman" w:cs="Arial"/>
          <w:color w:val="000000"/>
          <w:szCs w:val="20"/>
          <w:lang w:val="en-US"/>
        </w:rPr>
        <w:t>Blokbis</w:t>
      </w:r>
      <w:proofErr w:type="spellEnd"/>
      <w:r w:rsidRPr="001621CE">
        <w:rPr>
          <w:rFonts w:eastAsia="Times New Roman" w:cs="Arial"/>
          <w:color w:val="000000"/>
          <w:szCs w:val="20"/>
          <w:lang w:val="en-US"/>
        </w:rPr>
        <w:t xml:space="preserve"> </w:t>
      </w:r>
      <w:r w:rsidRPr="001621CE">
        <w:rPr>
          <w:rFonts w:eastAsia="Times New Roman" w:cs="Arial"/>
          <w:color w:val="000000"/>
          <w:szCs w:val="20"/>
          <w:lang w:eastAsia="bg-BG"/>
        </w:rPr>
        <w:t xml:space="preserve">10 </w:t>
      </w:r>
      <w:r w:rsidRPr="001621CE">
        <w:rPr>
          <w:rFonts w:eastAsia="Times New Roman" w:cs="Arial"/>
          <w:color w:val="000000"/>
          <w:szCs w:val="20"/>
          <w:lang w:val="en-US"/>
        </w:rPr>
        <w:t>mg tablets</w:t>
      </w:r>
    </w:p>
    <w:p w14:paraId="6920A680" w14:textId="1E1215D9" w:rsidR="00C40420" w:rsidRDefault="00DD466D" w:rsidP="004A448E">
      <w:pPr>
        <w:pStyle w:val="Heading1"/>
      </w:pPr>
      <w:r>
        <w:t>2. КАЧЕСТВЕН И КОЛИЧЕСТВЕН СЪСТАВ</w:t>
      </w:r>
    </w:p>
    <w:p w14:paraId="36DCE572" w14:textId="535B286B" w:rsidR="001621CE" w:rsidRDefault="001621CE" w:rsidP="001621CE"/>
    <w:p w14:paraId="5B5866DD" w14:textId="77777777" w:rsidR="001621CE" w:rsidRPr="001621CE" w:rsidRDefault="001621CE" w:rsidP="001621CE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1621CE">
        <w:rPr>
          <w:rFonts w:eastAsia="Times New Roman" w:cs="Arial"/>
          <w:color w:val="000000"/>
          <w:szCs w:val="20"/>
          <w:u w:val="single"/>
          <w:lang w:eastAsia="bg-BG"/>
        </w:rPr>
        <w:t xml:space="preserve">Блокбис 5 </w:t>
      </w:r>
      <w:r w:rsidRPr="001621CE">
        <w:rPr>
          <w:rFonts w:eastAsia="Times New Roman" w:cs="Arial"/>
          <w:color w:val="000000"/>
          <w:szCs w:val="20"/>
          <w:u w:val="single"/>
          <w:lang w:val="en-US"/>
        </w:rPr>
        <w:t xml:space="preserve">mg </w:t>
      </w:r>
      <w:r w:rsidRPr="001621CE">
        <w:rPr>
          <w:rFonts w:eastAsia="Times New Roman" w:cs="Arial"/>
          <w:color w:val="000000"/>
          <w:szCs w:val="20"/>
          <w:u w:val="single"/>
          <w:lang w:eastAsia="bg-BG"/>
        </w:rPr>
        <w:t>таблетки</w:t>
      </w:r>
    </w:p>
    <w:p w14:paraId="696F1DA6" w14:textId="77777777" w:rsidR="001621CE" w:rsidRPr="001621CE" w:rsidRDefault="001621CE" w:rsidP="001621CE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1621CE">
        <w:rPr>
          <w:rFonts w:eastAsia="Times New Roman" w:cs="Arial"/>
          <w:color w:val="000000"/>
          <w:szCs w:val="20"/>
          <w:lang w:eastAsia="bg-BG"/>
        </w:rPr>
        <w:t xml:space="preserve">Всяка таблетка съдържа 4,24 </w:t>
      </w:r>
      <w:r w:rsidRPr="001621CE">
        <w:rPr>
          <w:rFonts w:eastAsia="Times New Roman" w:cs="Arial"/>
          <w:color w:val="000000"/>
          <w:szCs w:val="20"/>
          <w:lang w:val="en-US"/>
        </w:rPr>
        <w:t xml:space="preserve">mg </w:t>
      </w:r>
      <w:r w:rsidRPr="001621CE">
        <w:rPr>
          <w:rFonts w:eastAsia="Times New Roman" w:cs="Arial"/>
          <w:color w:val="000000"/>
          <w:szCs w:val="20"/>
          <w:lang w:eastAsia="bg-BG"/>
        </w:rPr>
        <w:t xml:space="preserve">бисопролол, еквивалентни на 5 </w:t>
      </w:r>
      <w:r w:rsidRPr="001621CE">
        <w:rPr>
          <w:rFonts w:eastAsia="Times New Roman" w:cs="Arial"/>
          <w:color w:val="000000"/>
          <w:szCs w:val="20"/>
          <w:lang w:val="en-US"/>
        </w:rPr>
        <w:t xml:space="preserve">mg </w:t>
      </w:r>
      <w:r w:rsidRPr="001621CE">
        <w:rPr>
          <w:rFonts w:eastAsia="Times New Roman" w:cs="Arial"/>
          <w:color w:val="000000"/>
          <w:szCs w:val="20"/>
          <w:lang w:eastAsia="bg-BG"/>
        </w:rPr>
        <w:t xml:space="preserve">бисопрололов фумарат </w:t>
      </w:r>
      <w:r w:rsidRPr="001621CE">
        <w:rPr>
          <w:rFonts w:eastAsia="Times New Roman" w:cs="Arial"/>
          <w:color w:val="000000"/>
          <w:szCs w:val="20"/>
          <w:lang w:val="en-US"/>
        </w:rPr>
        <w:t>(</w:t>
      </w:r>
      <w:proofErr w:type="spellStart"/>
      <w:r w:rsidRPr="001621CE">
        <w:rPr>
          <w:rFonts w:eastAsia="Times New Roman" w:cs="Arial"/>
          <w:color w:val="000000"/>
          <w:szCs w:val="20"/>
          <w:lang w:val="en-US"/>
        </w:rPr>
        <w:t>bisoprolol</w:t>
      </w:r>
      <w:proofErr w:type="spellEnd"/>
      <w:r w:rsidRPr="001621CE">
        <w:rPr>
          <w:rFonts w:eastAsia="Times New Roman" w:cs="Arial"/>
          <w:color w:val="000000"/>
          <w:szCs w:val="20"/>
          <w:lang w:val="en-US"/>
        </w:rPr>
        <w:t xml:space="preserve"> fumarate).</w:t>
      </w:r>
    </w:p>
    <w:p w14:paraId="66D162B0" w14:textId="77777777" w:rsidR="001621CE" w:rsidRPr="001621CE" w:rsidRDefault="001621CE" w:rsidP="001621CE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1621CE">
        <w:rPr>
          <w:rFonts w:eastAsia="Times New Roman" w:cs="Arial"/>
          <w:color w:val="000000"/>
          <w:szCs w:val="20"/>
          <w:lang w:eastAsia="bg-BG"/>
        </w:rPr>
        <w:t>Помощно вещество с известно действие:</w:t>
      </w:r>
    </w:p>
    <w:p w14:paraId="09C3DDAC" w14:textId="77777777" w:rsidR="001621CE" w:rsidRPr="001621CE" w:rsidRDefault="001621CE" w:rsidP="001621CE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1621CE">
        <w:rPr>
          <w:rFonts w:eastAsia="Times New Roman" w:cs="Arial"/>
          <w:color w:val="000000"/>
          <w:szCs w:val="20"/>
          <w:lang w:eastAsia="bg-BG"/>
        </w:rPr>
        <w:t xml:space="preserve">Всяка таблетка съдържа 135,20 </w:t>
      </w:r>
      <w:r w:rsidRPr="001621CE">
        <w:rPr>
          <w:rFonts w:eastAsia="Times New Roman" w:cs="Arial"/>
          <w:color w:val="000000"/>
          <w:szCs w:val="20"/>
          <w:lang w:val="en-US"/>
        </w:rPr>
        <w:t xml:space="preserve">mg </w:t>
      </w:r>
      <w:r w:rsidRPr="001621CE">
        <w:rPr>
          <w:rFonts w:eastAsia="Times New Roman" w:cs="Arial"/>
          <w:color w:val="000000"/>
          <w:szCs w:val="20"/>
          <w:lang w:eastAsia="bg-BG"/>
        </w:rPr>
        <w:t>лактоза монохидрат.</w:t>
      </w:r>
    </w:p>
    <w:p w14:paraId="0BF01F95" w14:textId="77777777" w:rsidR="001621CE" w:rsidRPr="001621CE" w:rsidRDefault="001621CE" w:rsidP="001621CE">
      <w:pPr>
        <w:spacing w:line="240" w:lineRule="auto"/>
        <w:rPr>
          <w:rFonts w:eastAsia="Times New Roman" w:cs="Arial"/>
          <w:color w:val="000000"/>
          <w:szCs w:val="20"/>
          <w:u w:val="single"/>
          <w:lang w:eastAsia="bg-BG"/>
        </w:rPr>
      </w:pPr>
    </w:p>
    <w:p w14:paraId="3A1BB9E5" w14:textId="4D1A7B11" w:rsidR="001621CE" w:rsidRPr="001621CE" w:rsidRDefault="001621CE" w:rsidP="001621CE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1621CE">
        <w:rPr>
          <w:rFonts w:eastAsia="Times New Roman" w:cs="Arial"/>
          <w:color w:val="000000"/>
          <w:szCs w:val="20"/>
          <w:u w:val="single"/>
          <w:lang w:eastAsia="bg-BG"/>
        </w:rPr>
        <w:t xml:space="preserve">Блокбис 10 </w:t>
      </w:r>
      <w:r w:rsidRPr="001621CE">
        <w:rPr>
          <w:rFonts w:eastAsia="Times New Roman" w:cs="Arial"/>
          <w:color w:val="000000"/>
          <w:szCs w:val="20"/>
          <w:u w:val="single"/>
          <w:lang w:val="en-US"/>
        </w:rPr>
        <w:t xml:space="preserve">mg </w:t>
      </w:r>
      <w:r w:rsidRPr="001621CE">
        <w:rPr>
          <w:rFonts w:eastAsia="Times New Roman" w:cs="Arial"/>
          <w:color w:val="000000"/>
          <w:szCs w:val="20"/>
          <w:u w:val="single"/>
          <w:lang w:eastAsia="bg-BG"/>
        </w:rPr>
        <w:t>таблетки</w:t>
      </w:r>
    </w:p>
    <w:p w14:paraId="54B758B0" w14:textId="77777777" w:rsidR="001621CE" w:rsidRPr="001621CE" w:rsidRDefault="001621CE" w:rsidP="001621CE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1621CE">
        <w:rPr>
          <w:rFonts w:eastAsia="Times New Roman" w:cs="Arial"/>
          <w:color w:val="000000"/>
          <w:szCs w:val="20"/>
          <w:lang w:eastAsia="bg-BG"/>
        </w:rPr>
        <w:t xml:space="preserve">Всяка таблетка съдържа 8,49 </w:t>
      </w:r>
      <w:r w:rsidRPr="001621CE">
        <w:rPr>
          <w:rFonts w:eastAsia="Times New Roman" w:cs="Arial"/>
          <w:color w:val="000000"/>
          <w:szCs w:val="20"/>
          <w:lang w:val="en-US"/>
        </w:rPr>
        <w:t xml:space="preserve">mg </w:t>
      </w:r>
      <w:r w:rsidRPr="001621CE">
        <w:rPr>
          <w:rFonts w:eastAsia="Times New Roman" w:cs="Arial"/>
          <w:color w:val="000000"/>
          <w:szCs w:val="20"/>
          <w:lang w:eastAsia="bg-BG"/>
        </w:rPr>
        <w:t xml:space="preserve">бисопролол, еквивалентни на 10 </w:t>
      </w:r>
      <w:r w:rsidRPr="001621CE">
        <w:rPr>
          <w:rFonts w:eastAsia="Times New Roman" w:cs="Arial"/>
          <w:color w:val="000000"/>
          <w:szCs w:val="20"/>
          <w:lang w:val="en-US"/>
        </w:rPr>
        <w:t xml:space="preserve">mg </w:t>
      </w:r>
      <w:r w:rsidRPr="001621CE">
        <w:rPr>
          <w:rFonts w:eastAsia="Times New Roman" w:cs="Arial"/>
          <w:color w:val="000000"/>
          <w:szCs w:val="20"/>
          <w:lang w:eastAsia="bg-BG"/>
        </w:rPr>
        <w:t>бисопрололов фумарат (</w:t>
      </w:r>
      <w:proofErr w:type="spellStart"/>
      <w:r w:rsidRPr="001621CE">
        <w:rPr>
          <w:rFonts w:eastAsia="Times New Roman" w:cs="Arial"/>
          <w:i/>
          <w:iCs/>
          <w:color w:val="000000"/>
          <w:szCs w:val="20"/>
          <w:lang w:val="en-US"/>
        </w:rPr>
        <w:t>bisoprolol</w:t>
      </w:r>
      <w:proofErr w:type="spellEnd"/>
      <w:r w:rsidRPr="001621CE">
        <w:rPr>
          <w:rFonts w:eastAsia="Times New Roman" w:cs="Arial"/>
          <w:i/>
          <w:iCs/>
          <w:color w:val="000000"/>
          <w:szCs w:val="20"/>
          <w:lang w:val="en-US"/>
        </w:rPr>
        <w:t xml:space="preserve"> fumarate).</w:t>
      </w:r>
    </w:p>
    <w:p w14:paraId="18D23141" w14:textId="77777777" w:rsidR="001621CE" w:rsidRPr="001621CE" w:rsidRDefault="001621CE" w:rsidP="001621CE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1621CE">
        <w:rPr>
          <w:rFonts w:eastAsia="Times New Roman" w:cs="Arial"/>
          <w:color w:val="000000"/>
          <w:szCs w:val="20"/>
          <w:lang w:eastAsia="bg-BG"/>
        </w:rPr>
        <w:t>Помощно вещество с известно действие:</w:t>
      </w:r>
    </w:p>
    <w:p w14:paraId="52B851DF" w14:textId="77777777" w:rsidR="001621CE" w:rsidRPr="001621CE" w:rsidRDefault="001621CE" w:rsidP="001621CE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1621CE">
        <w:rPr>
          <w:rFonts w:eastAsia="Times New Roman" w:cs="Arial"/>
          <w:color w:val="000000"/>
          <w:szCs w:val="20"/>
          <w:lang w:eastAsia="bg-BG"/>
        </w:rPr>
        <w:t xml:space="preserve">Всяка таблетка съдържа 130,20 </w:t>
      </w:r>
      <w:r w:rsidRPr="001621CE">
        <w:rPr>
          <w:rFonts w:eastAsia="Times New Roman" w:cs="Arial"/>
          <w:color w:val="000000"/>
          <w:szCs w:val="20"/>
          <w:lang w:val="en-US"/>
        </w:rPr>
        <w:t xml:space="preserve">mg </w:t>
      </w:r>
      <w:r w:rsidRPr="001621CE">
        <w:rPr>
          <w:rFonts w:eastAsia="Times New Roman" w:cs="Arial"/>
          <w:color w:val="000000"/>
          <w:szCs w:val="20"/>
          <w:lang w:eastAsia="bg-BG"/>
        </w:rPr>
        <w:t>лактоза монохидрат.</w:t>
      </w:r>
    </w:p>
    <w:p w14:paraId="739D5398" w14:textId="77777777" w:rsidR="001621CE" w:rsidRPr="001621CE" w:rsidRDefault="001621CE" w:rsidP="001621CE">
      <w:pPr>
        <w:rPr>
          <w:rFonts w:eastAsia="Times New Roman" w:cs="Arial"/>
          <w:color w:val="000000"/>
          <w:szCs w:val="20"/>
          <w:lang w:eastAsia="bg-BG"/>
        </w:rPr>
      </w:pPr>
    </w:p>
    <w:p w14:paraId="6B2A8130" w14:textId="15F859E5" w:rsidR="001621CE" w:rsidRPr="001621CE" w:rsidRDefault="001621CE" w:rsidP="001621CE">
      <w:pPr>
        <w:rPr>
          <w:rFonts w:cs="Arial"/>
          <w:sz w:val="24"/>
        </w:rPr>
      </w:pPr>
      <w:r w:rsidRPr="001621CE">
        <w:rPr>
          <w:rFonts w:eastAsia="Times New Roman" w:cs="Arial"/>
          <w:color w:val="000000"/>
          <w:szCs w:val="20"/>
          <w:lang w:eastAsia="bg-BG"/>
        </w:rPr>
        <w:t>За пълния списък на помощните вещества вижте точка 6.1</w:t>
      </w:r>
    </w:p>
    <w:p w14:paraId="614984C4" w14:textId="5A531AFC" w:rsidR="008A6AF2" w:rsidRDefault="00DD466D" w:rsidP="002C50EE">
      <w:pPr>
        <w:pStyle w:val="Heading1"/>
      </w:pPr>
      <w:r>
        <w:t>3. ЛЕКАРСТВЕНА ФОРМА</w:t>
      </w:r>
    </w:p>
    <w:p w14:paraId="413F1501" w14:textId="2C15B0F0" w:rsidR="001621CE" w:rsidRDefault="001621CE" w:rsidP="001621CE"/>
    <w:p w14:paraId="414FA312" w14:textId="77777777" w:rsidR="001621CE" w:rsidRPr="001621CE" w:rsidRDefault="001621CE" w:rsidP="001621CE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1621CE">
        <w:rPr>
          <w:rFonts w:eastAsia="Times New Roman" w:cs="Arial"/>
          <w:color w:val="000000"/>
          <w:szCs w:val="20"/>
          <w:lang w:eastAsia="bg-BG"/>
        </w:rPr>
        <w:t>Таблетка</w:t>
      </w:r>
    </w:p>
    <w:p w14:paraId="7B8CDB69" w14:textId="77777777" w:rsidR="001621CE" w:rsidRPr="001621CE" w:rsidRDefault="001621CE" w:rsidP="001621CE">
      <w:pPr>
        <w:spacing w:line="240" w:lineRule="auto"/>
        <w:rPr>
          <w:rFonts w:eastAsia="Times New Roman" w:cs="Arial"/>
          <w:color w:val="000000"/>
          <w:szCs w:val="20"/>
          <w:lang w:eastAsia="bg-BG"/>
        </w:rPr>
      </w:pPr>
    </w:p>
    <w:p w14:paraId="272FB1D9" w14:textId="7BF1851E" w:rsidR="001621CE" w:rsidRPr="001621CE" w:rsidRDefault="001621CE" w:rsidP="001621CE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1621CE">
        <w:rPr>
          <w:rFonts w:eastAsia="Times New Roman" w:cs="Arial"/>
          <w:color w:val="000000"/>
          <w:szCs w:val="20"/>
          <w:lang w:eastAsia="bg-BG"/>
        </w:rPr>
        <w:t xml:space="preserve">Блокбис 5 </w:t>
      </w:r>
      <w:r w:rsidRPr="001621CE">
        <w:rPr>
          <w:rFonts w:eastAsia="Times New Roman" w:cs="Arial"/>
          <w:color w:val="000000"/>
          <w:szCs w:val="20"/>
          <w:lang w:val="en-US"/>
        </w:rPr>
        <w:t xml:space="preserve">mg </w:t>
      </w:r>
      <w:r w:rsidRPr="001621CE">
        <w:rPr>
          <w:rFonts w:eastAsia="Times New Roman" w:cs="Arial"/>
          <w:color w:val="000000"/>
          <w:szCs w:val="20"/>
          <w:lang w:eastAsia="bg-BG"/>
        </w:rPr>
        <w:t xml:space="preserve">таблетки са бледожълти на цвят, мозаечни, кръгли, изпъкнали, със следната идентификационна маркировка: </w:t>
      </w:r>
      <w:r w:rsidRPr="001621CE">
        <w:rPr>
          <w:rFonts w:eastAsia="Times New Roman" w:cs="Arial"/>
          <w:color w:val="000000"/>
          <w:szCs w:val="20"/>
          <w:lang w:val="en-US"/>
        </w:rPr>
        <w:t xml:space="preserve">BI </w:t>
      </w:r>
      <w:r w:rsidRPr="001621CE">
        <w:rPr>
          <w:rFonts w:eastAsia="Times New Roman" w:cs="Arial"/>
          <w:color w:val="000000"/>
          <w:szCs w:val="20"/>
          <w:lang w:eastAsia="bg-BG"/>
        </w:rPr>
        <w:t>в средата над делителната черта и цифрата 5 под нея. Таблетката може да бъде разделена на две равни дози.</w:t>
      </w:r>
    </w:p>
    <w:p w14:paraId="1DFB5899" w14:textId="77777777" w:rsidR="001621CE" w:rsidRPr="001621CE" w:rsidRDefault="001621CE" w:rsidP="001621CE">
      <w:pPr>
        <w:spacing w:line="240" w:lineRule="auto"/>
        <w:rPr>
          <w:rFonts w:eastAsia="Times New Roman" w:cs="Arial"/>
          <w:color w:val="000000"/>
          <w:szCs w:val="20"/>
          <w:lang w:eastAsia="bg-BG"/>
        </w:rPr>
      </w:pPr>
    </w:p>
    <w:p w14:paraId="6BC6902C" w14:textId="65CA53BD" w:rsidR="001621CE" w:rsidRPr="001621CE" w:rsidRDefault="001621CE" w:rsidP="001621CE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1621CE">
        <w:rPr>
          <w:rFonts w:eastAsia="Times New Roman" w:cs="Arial"/>
          <w:color w:val="000000"/>
          <w:szCs w:val="20"/>
          <w:lang w:eastAsia="bg-BG"/>
        </w:rPr>
        <w:t xml:space="preserve">Блокбис 10 </w:t>
      </w:r>
      <w:r w:rsidRPr="001621CE">
        <w:rPr>
          <w:rFonts w:eastAsia="Times New Roman" w:cs="Arial"/>
          <w:color w:val="000000"/>
          <w:szCs w:val="20"/>
          <w:lang w:val="en-US"/>
        </w:rPr>
        <w:t xml:space="preserve">mg </w:t>
      </w:r>
      <w:r w:rsidRPr="001621CE">
        <w:rPr>
          <w:rFonts w:eastAsia="Times New Roman" w:cs="Arial"/>
          <w:color w:val="000000"/>
          <w:szCs w:val="20"/>
          <w:lang w:eastAsia="bg-BG"/>
        </w:rPr>
        <w:t xml:space="preserve">таблетки са с бежов цвят, мозаечни, кръгли, изпъкнали, със следната идентификационна маркировка: </w:t>
      </w:r>
      <w:r w:rsidRPr="001621CE">
        <w:rPr>
          <w:rFonts w:eastAsia="Times New Roman" w:cs="Arial"/>
          <w:color w:val="000000"/>
          <w:szCs w:val="20"/>
          <w:lang w:val="en-US"/>
        </w:rPr>
        <w:t xml:space="preserve">BI </w:t>
      </w:r>
      <w:r w:rsidRPr="001621CE">
        <w:rPr>
          <w:rFonts w:eastAsia="Times New Roman" w:cs="Arial"/>
          <w:color w:val="000000"/>
          <w:szCs w:val="20"/>
          <w:lang w:eastAsia="bg-BG"/>
        </w:rPr>
        <w:t>в средата над делителната черта и цифрата 10 под нея.</w:t>
      </w:r>
    </w:p>
    <w:p w14:paraId="5731BE67" w14:textId="3B95C69F" w:rsidR="001621CE" w:rsidRPr="001621CE" w:rsidRDefault="001621CE" w:rsidP="001621CE">
      <w:pPr>
        <w:rPr>
          <w:rFonts w:cs="Arial"/>
          <w:sz w:val="24"/>
        </w:rPr>
      </w:pPr>
      <w:r w:rsidRPr="001621CE">
        <w:rPr>
          <w:rFonts w:eastAsia="Times New Roman" w:cs="Arial"/>
          <w:color w:val="000000"/>
          <w:szCs w:val="20"/>
          <w:lang w:eastAsia="bg-BG"/>
        </w:rPr>
        <w:t>Таблетката може да бъде разделена на две равни дози.</w:t>
      </w:r>
    </w:p>
    <w:p w14:paraId="490FC2C4" w14:textId="78172AE3" w:rsidR="002C50EE" w:rsidRDefault="002C50EE" w:rsidP="002C50EE">
      <w:pPr>
        <w:pStyle w:val="Heading1"/>
      </w:pPr>
      <w:r>
        <w:t>4. КЛИНИЧНИ ДАННИ</w:t>
      </w:r>
    </w:p>
    <w:p w14:paraId="2BD52F4B" w14:textId="77777777" w:rsidR="001621CE" w:rsidRPr="001621CE" w:rsidRDefault="001621CE" w:rsidP="001621CE"/>
    <w:p w14:paraId="0C8E6903" w14:textId="2C840838" w:rsidR="008134C8" w:rsidRDefault="002C50EE" w:rsidP="004A448E">
      <w:pPr>
        <w:pStyle w:val="Heading2"/>
      </w:pPr>
      <w:r>
        <w:t>4.1. Терапевтични показания</w:t>
      </w:r>
    </w:p>
    <w:p w14:paraId="603C1A1E" w14:textId="7CC2DF90" w:rsidR="001621CE" w:rsidRDefault="001621CE" w:rsidP="001621CE"/>
    <w:p w14:paraId="353CF8AF" w14:textId="77777777" w:rsidR="001621CE" w:rsidRPr="001621CE" w:rsidRDefault="001621CE" w:rsidP="001621CE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1621CE">
        <w:rPr>
          <w:rFonts w:eastAsia="Times New Roman" w:cs="Arial"/>
          <w:color w:val="000000"/>
          <w:szCs w:val="20"/>
          <w:lang w:eastAsia="bg-BG"/>
        </w:rPr>
        <w:t>Хипертония</w:t>
      </w:r>
    </w:p>
    <w:p w14:paraId="5B07A261" w14:textId="7F1D1515" w:rsidR="001621CE" w:rsidRPr="001621CE" w:rsidRDefault="001621CE" w:rsidP="001621CE">
      <w:pPr>
        <w:rPr>
          <w:rFonts w:cs="Arial"/>
          <w:sz w:val="24"/>
        </w:rPr>
      </w:pPr>
      <w:r w:rsidRPr="001621CE">
        <w:rPr>
          <w:rFonts w:eastAsia="Times New Roman" w:cs="Arial"/>
          <w:color w:val="000000"/>
          <w:szCs w:val="20"/>
          <w:lang w:eastAsia="bg-BG"/>
        </w:rPr>
        <w:t>Хронична стабилна ангина пекторис</w:t>
      </w:r>
    </w:p>
    <w:p w14:paraId="30BE2C7B" w14:textId="05328840" w:rsidR="008134C8" w:rsidRDefault="002C50EE" w:rsidP="004A448E">
      <w:pPr>
        <w:pStyle w:val="Heading2"/>
      </w:pPr>
      <w:r>
        <w:lastRenderedPageBreak/>
        <w:t>4.2. Дозировка и начин на приложение</w:t>
      </w:r>
    </w:p>
    <w:p w14:paraId="7EA1B246" w14:textId="1C411C05" w:rsidR="001621CE" w:rsidRDefault="001621CE" w:rsidP="001621CE"/>
    <w:p w14:paraId="0A982407" w14:textId="77777777" w:rsidR="001621CE" w:rsidRPr="001621CE" w:rsidRDefault="001621CE" w:rsidP="001621CE">
      <w:pPr>
        <w:pStyle w:val="Heading3"/>
        <w:rPr>
          <w:rFonts w:eastAsia="Times New Roman"/>
          <w:sz w:val="28"/>
          <w:u w:val="single"/>
          <w:lang w:eastAsia="bg-BG"/>
        </w:rPr>
      </w:pPr>
      <w:r w:rsidRPr="001621CE">
        <w:rPr>
          <w:rFonts w:eastAsia="Times New Roman"/>
          <w:u w:val="single"/>
          <w:lang w:eastAsia="bg-BG"/>
        </w:rPr>
        <w:t>Дозировка</w:t>
      </w:r>
      <w:bookmarkStart w:id="1" w:name="bookmark0"/>
      <w:bookmarkEnd w:id="1"/>
    </w:p>
    <w:p w14:paraId="09AAD333" w14:textId="77777777" w:rsidR="001621CE" w:rsidRPr="001621CE" w:rsidRDefault="001621CE" w:rsidP="001621CE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1621CE">
        <w:rPr>
          <w:rFonts w:eastAsia="Times New Roman" w:cs="Arial"/>
          <w:color w:val="000000"/>
          <w:szCs w:val="20"/>
          <w:lang w:eastAsia="bg-BG"/>
        </w:rPr>
        <w:t>Дозировката трябва да се адаптира индивидуално. Препоръчва се лечението да започне с най-</w:t>
      </w:r>
    </w:p>
    <w:p w14:paraId="08DCB793" w14:textId="64C3DD71" w:rsidR="001621CE" w:rsidRPr="001621CE" w:rsidRDefault="001621CE" w:rsidP="001621CE">
      <w:pPr>
        <w:rPr>
          <w:rFonts w:eastAsia="Times New Roman" w:cs="Arial"/>
          <w:color w:val="000000"/>
          <w:szCs w:val="20"/>
          <w:lang w:eastAsia="bg-BG"/>
        </w:rPr>
      </w:pPr>
      <w:r w:rsidRPr="001621CE">
        <w:rPr>
          <w:rFonts w:eastAsia="Times New Roman" w:cs="Arial"/>
          <w:color w:val="000000"/>
          <w:szCs w:val="20"/>
          <w:lang w:eastAsia="bg-BG"/>
        </w:rPr>
        <w:t xml:space="preserve">ниската възможна доза. При някои пациенти, 5 </w:t>
      </w:r>
      <w:r w:rsidRPr="001621CE">
        <w:rPr>
          <w:rFonts w:eastAsia="Times New Roman" w:cs="Arial"/>
          <w:color w:val="000000"/>
          <w:szCs w:val="20"/>
          <w:lang w:val="en-US"/>
        </w:rPr>
        <w:t xml:space="preserve">mg </w:t>
      </w:r>
      <w:r w:rsidRPr="001621CE">
        <w:rPr>
          <w:rFonts w:eastAsia="Times New Roman" w:cs="Arial"/>
          <w:color w:val="000000"/>
          <w:szCs w:val="20"/>
          <w:lang w:eastAsia="bg-BG"/>
        </w:rPr>
        <w:t xml:space="preserve">дневно може да са достатъчни. Обичайната доза е 10 </w:t>
      </w:r>
      <w:r w:rsidRPr="001621CE">
        <w:rPr>
          <w:rFonts w:eastAsia="Times New Roman" w:cs="Arial"/>
          <w:color w:val="000000"/>
          <w:szCs w:val="20"/>
          <w:lang w:val="en-US"/>
        </w:rPr>
        <w:t xml:space="preserve">mg </w:t>
      </w:r>
      <w:r w:rsidRPr="001621CE">
        <w:rPr>
          <w:rFonts w:eastAsia="Times New Roman" w:cs="Arial"/>
          <w:color w:val="000000"/>
          <w:szCs w:val="20"/>
          <w:lang w:eastAsia="bg-BG"/>
        </w:rPr>
        <w:t xml:space="preserve">веднъж дневно при максимална препоръчителна доза от 20 </w:t>
      </w:r>
      <w:r w:rsidRPr="001621CE">
        <w:rPr>
          <w:rFonts w:eastAsia="Times New Roman" w:cs="Arial"/>
          <w:color w:val="000000"/>
          <w:szCs w:val="20"/>
          <w:lang w:val="en-US"/>
        </w:rPr>
        <w:t>mg/</w:t>
      </w:r>
      <w:r w:rsidRPr="001621CE">
        <w:rPr>
          <w:rFonts w:eastAsia="Times New Roman" w:cs="Arial"/>
          <w:color w:val="000000"/>
          <w:szCs w:val="20"/>
          <w:lang w:eastAsia="bg-BG"/>
        </w:rPr>
        <w:t>дневно.</w:t>
      </w:r>
    </w:p>
    <w:p w14:paraId="49132B84" w14:textId="7F793D44" w:rsidR="001621CE" w:rsidRPr="001621CE" w:rsidRDefault="001621CE" w:rsidP="001621CE">
      <w:pPr>
        <w:rPr>
          <w:rFonts w:eastAsia="Times New Roman" w:cs="Arial"/>
          <w:color w:val="000000"/>
          <w:szCs w:val="20"/>
          <w:lang w:eastAsia="bg-BG"/>
        </w:rPr>
      </w:pPr>
    </w:p>
    <w:p w14:paraId="0057EF25" w14:textId="77777777" w:rsidR="001621CE" w:rsidRPr="001621CE" w:rsidRDefault="001621CE" w:rsidP="001621CE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1621CE">
        <w:rPr>
          <w:rFonts w:eastAsia="Times New Roman" w:cs="Arial"/>
          <w:i/>
          <w:iCs/>
          <w:color w:val="000000"/>
          <w:szCs w:val="20"/>
          <w:lang w:eastAsia="bg-BG"/>
        </w:rPr>
        <w:t>Специални популации</w:t>
      </w:r>
    </w:p>
    <w:p w14:paraId="5D0811A7" w14:textId="77777777" w:rsidR="001621CE" w:rsidRPr="001621CE" w:rsidRDefault="001621CE" w:rsidP="001621CE">
      <w:pPr>
        <w:spacing w:line="240" w:lineRule="auto"/>
        <w:rPr>
          <w:rFonts w:eastAsia="Times New Roman" w:cs="Arial"/>
          <w:i/>
          <w:iCs/>
          <w:color w:val="000000"/>
          <w:szCs w:val="20"/>
          <w:lang w:eastAsia="bg-BG"/>
        </w:rPr>
      </w:pPr>
    </w:p>
    <w:p w14:paraId="487DFF7C" w14:textId="0D5A51FD" w:rsidR="001621CE" w:rsidRPr="001621CE" w:rsidRDefault="001621CE" w:rsidP="001621CE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1621CE">
        <w:rPr>
          <w:rFonts w:eastAsia="Times New Roman" w:cs="Arial"/>
          <w:i/>
          <w:iCs/>
          <w:color w:val="000000"/>
          <w:szCs w:val="20"/>
          <w:lang w:eastAsia="bg-BG"/>
        </w:rPr>
        <w:t>Бъбречно или чернодробно увреждане</w:t>
      </w:r>
    </w:p>
    <w:p w14:paraId="24BF15DC" w14:textId="77777777" w:rsidR="001621CE" w:rsidRPr="001621CE" w:rsidRDefault="001621CE" w:rsidP="001621CE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1621CE">
        <w:rPr>
          <w:rFonts w:eastAsia="Times New Roman" w:cs="Arial"/>
          <w:color w:val="000000"/>
          <w:szCs w:val="20"/>
          <w:lang w:eastAsia="bg-BG"/>
        </w:rPr>
        <w:t xml:space="preserve">Корекция на дозата при пациенти с леко до умерено чернодробно увреждане обикновено не е необходима. При пациенти с тежка бъбречна недостатъчност (креатининов клирънс &lt; 20 </w:t>
      </w:r>
      <w:r w:rsidRPr="001621CE">
        <w:rPr>
          <w:rFonts w:eastAsia="Times New Roman" w:cs="Arial"/>
          <w:color w:val="000000"/>
          <w:szCs w:val="20"/>
          <w:lang w:val="en-US"/>
        </w:rPr>
        <w:t xml:space="preserve">ml/min) </w:t>
      </w:r>
      <w:r w:rsidRPr="001621CE">
        <w:rPr>
          <w:rFonts w:eastAsia="Times New Roman" w:cs="Arial"/>
          <w:color w:val="000000"/>
          <w:szCs w:val="20"/>
          <w:lang w:eastAsia="bg-BG"/>
        </w:rPr>
        <w:t xml:space="preserve">или тежко чернодробно увреждане, дозата не трябва да надвишава 10 </w:t>
      </w:r>
      <w:r w:rsidRPr="001621CE">
        <w:rPr>
          <w:rFonts w:eastAsia="Times New Roman" w:cs="Arial"/>
          <w:color w:val="000000"/>
          <w:szCs w:val="20"/>
          <w:lang w:val="en-US"/>
        </w:rPr>
        <w:t xml:space="preserve">mg </w:t>
      </w:r>
      <w:r w:rsidRPr="001621CE">
        <w:rPr>
          <w:rFonts w:eastAsia="Times New Roman" w:cs="Arial"/>
          <w:color w:val="000000"/>
          <w:szCs w:val="20"/>
          <w:lang w:eastAsia="bg-BG"/>
        </w:rPr>
        <w:t>веднъж дневно. Тази доза може да бъде разделена на две равни половини.</w:t>
      </w:r>
    </w:p>
    <w:p w14:paraId="485AEB00" w14:textId="77777777" w:rsidR="001621CE" w:rsidRPr="001621CE" w:rsidRDefault="001621CE" w:rsidP="001621CE">
      <w:pPr>
        <w:spacing w:line="240" w:lineRule="auto"/>
        <w:rPr>
          <w:rFonts w:eastAsia="Times New Roman" w:cs="Arial"/>
          <w:i/>
          <w:iCs/>
          <w:color w:val="000000"/>
          <w:szCs w:val="20"/>
          <w:lang w:eastAsia="bg-BG"/>
        </w:rPr>
      </w:pPr>
    </w:p>
    <w:p w14:paraId="51B66AAB" w14:textId="199A1D18" w:rsidR="001621CE" w:rsidRPr="001621CE" w:rsidRDefault="001621CE" w:rsidP="001621CE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1621CE">
        <w:rPr>
          <w:rFonts w:eastAsia="Times New Roman" w:cs="Arial"/>
          <w:i/>
          <w:iCs/>
          <w:color w:val="000000"/>
          <w:szCs w:val="20"/>
          <w:lang w:eastAsia="bg-BG"/>
        </w:rPr>
        <w:t>Пациенти в старческа възраст</w:t>
      </w:r>
    </w:p>
    <w:p w14:paraId="5E27027A" w14:textId="77777777" w:rsidR="001621CE" w:rsidRPr="001621CE" w:rsidRDefault="001621CE" w:rsidP="001621CE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1621CE">
        <w:rPr>
          <w:rFonts w:eastAsia="Times New Roman" w:cs="Arial"/>
          <w:color w:val="000000"/>
          <w:szCs w:val="20"/>
          <w:lang w:eastAsia="bg-BG"/>
        </w:rPr>
        <w:t>Обикновено не се налага коригиране на дозата. Препоръчва се лечението да започне с най- ниската възможна доза.</w:t>
      </w:r>
    </w:p>
    <w:p w14:paraId="18E43951" w14:textId="77777777" w:rsidR="001621CE" w:rsidRPr="001621CE" w:rsidRDefault="001621CE" w:rsidP="001621CE">
      <w:pPr>
        <w:spacing w:line="240" w:lineRule="auto"/>
        <w:rPr>
          <w:rFonts w:eastAsia="Times New Roman" w:cs="Arial"/>
          <w:i/>
          <w:iCs/>
          <w:color w:val="000000"/>
          <w:szCs w:val="20"/>
          <w:lang w:eastAsia="bg-BG"/>
        </w:rPr>
      </w:pPr>
    </w:p>
    <w:p w14:paraId="1996F2CA" w14:textId="62F62B33" w:rsidR="001621CE" w:rsidRPr="001621CE" w:rsidRDefault="001621CE" w:rsidP="001621CE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1621CE">
        <w:rPr>
          <w:rFonts w:eastAsia="Times New Roman" w:cs="Arial"/>
          <w:i/>
          <w:iCs/>
          <w:color w:val="000000"/>
          <w:szCs w:val="20"/>
          <w:lang w:eastAsia="bg-BG"/>
        </w:rPr>
        <w:t>Педиатрична популация</w:t>
      </w:r>
    </w:p>
    <w:p w14:paraId="4EECFB82" w14:textId="77777777" w:rsidR="001621CE" w:rsidRPr="001621CE" w:rsidRDefault="001621CE" w:rsidP="001621CE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1621CE">
        <w:rPr>
          <w:rFonts w:eastAsia="Times New Roman" w:cs="Arial"/>
          <w:color w:val="000000"/>
          <w:szCs w:val="20"/>
          <w:lang w:eastAsia="bg-BG"/>
        </w:rPr>
        <w:t>Употребата на Блокбис таблетки не се препоръчва при деца поради липса на данни (вж. точка 5.3).</w:t>
      </w:r>
    </w:p>
    <w:p w14:paraId="36584AE6" w14:textId="77777777" w:rsidR="001621CE" w:rsidRPr="001621CE" w:rsidRDefault="001621CE" w:rsidP="001621CE">
      <w:pPr>
        <w:spacing w:line="240" w:lineRule="auto"/>
        <w:rPr>
          <w:rFonts w:eastAsia="Times New Roman" w:cs="Arial"/>
          <w:i/>
          <w:iCs/>
          <w:color w:val="000000"/>
          <w:szCs w:val="20"/>
          <w:lang w:eastAsia="bg-BG"/>
        </w:rPr>
      </w:pPr>
    </w:p>
    <w:p w14:paraId="7479990B" w14:textId="0677A096" w:rsidR="001621CE" w:rsidRPr="001621CE" w:rsidRDefault="001621CE" w:rsidP="001621CE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1621CE">
        <w:rPr>
          <w:rFonts w:eastAsia="Times New Roman" w:cs="Arial"/>
          <w:i/>
          <w:iCs/>
          <w:color w:val="000000"/>
          <w:szCs w:val="20"/>
          <w:lang w:eastAsia="bg-BG"/>
        </w:rPr>
        <w:t>Прекратяване на лечението</w:t>
      </w:r>
    </w:p>
    <w:p w14:paraId="77F12DA2" w14:textId="77777777" w:rsidR="001621CE" w:rsidRPr="001621CE" w:rsidRDefault="001621CE" w:rsidP="001621CE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1621CE">
        <w:rPr>
          <w:rFonts w:eastAsia="Times New Roman" w:cs="Arial"/>
          <w:color w:val="000000"/>
          <w:szCs w:val="20"/>
          <w:lang w:eastAsia="bg-BG"/>
        </w:rPr>
        <w:t>Лечението не трябва да се спира внезапно (вж. точка 4.4). Дозировката трябва да се понижава бавно, чрез седмично намаляване на дозата на половина.</w:t>
      </w:r>
    </w:p>
    <w:p w14:paraId="0D7AE714" w14:textId="77777777" w:rsidR="001621CE" w:rsidRPr="001621CE" w:rsidRDefault="001621CE" w:rsidP="001621CE">
      <w:pPr>
        <w:spacing w:line="240" w:lineRule="auto"/>
        <w:rPr>
          <w:rFonts w:eastAsia="Times New Roman" w:cs="Arial"/>
          <w:color w:val="000000"/>
          <w:szCs w:val="20"/>
          <w:u w:val="single"/>
          <w:lang w:eastAsia="bg-BG"/>
        </w:rPr>
      </w:pPr>
    </w:p>
    <w:p w14:paraId="7A709CC1" w14:textId="743E1A11" w:rsidR="001621CE" w:rsidRPr="001621CE" w:rsidRDefault="001621CE" w:rsidP="001621CE">
      <w:pPr>
        <w:pStyle w:val="Heading3"/>
        <w:rPr>
          <w:rFonts w:eastAsia="Times New Roman"/>
          <w:sz w:val="28"/>
          <w:u w:val="single"/>
          <w:lang w:eastAsia="bg-BG"/>
        </w:rPr>
      </w:pPr>
      <w:r w:rsidRPr="001621CE">
        <w:rPr>
          <w:rFonts w:eastAsia="Times New Roman"/>
          <w:u w:val="single"/>
          <w:lang w:eastAsia="bg-BG"/>
        </w:rPr>
        <w:t>Начин на приложение</w:t>
      </w:r>
    </w:p>
    <w:p w14:paraId="4D3A9086" w14:textId="77777777" w:rsidR="001621CE" w:rsidRPr="001621CE" w:rsidRDefault="001621CE" w:rsidP="001621CE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1621CE">
        <w:rPr>
          <w:rFonts w:eastAsia="Times New Roman" w:cs="Arial"/>
          <w:color w:val="000000"/>
          <w:szCs w:val="20"/>
          <w:lang w:eastAsia="bg-BG"/>
        </w:rPr>
        <w:t>Таблетките Блокбис са предназначени за перорално приложение.</w:t>
      </w:r>
    </w:p>
    <w:p w14:paraId="5AC73A9F" w14:textId="77777777" w:rsidR="001621CE" w:rsidRPr="001621CE" w:rsidRDefault="001621CE" w:rsidP="001621CE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1621CE">
        <w:rPr>
          <w:rFonts w:eastAsia="Times New Roman" w:cs="Arial"/>
          <w:color w:val="000000"/>
          <w:szCs w:val="20"/>
          <w:lang w:eastAsia="bg-BG"/>
        </w:rPr>
        <w:t>Таблетката трябва да се поглъща с достатъчно количество течност (напр. чаша вода).</w:t>
      </w:r>
    </w:p>
    <w:p w14:paraId="6930637E" w14:textId="58735024" w:rsidR="001621CE" w:rsidRDefault="001621CE" w:rsidP="001621CE">
      <w:pPr>
        <w:rPr>
          <w:rFonts w:eastAsia="Times New Roman" w:cs="Arial"/>
          <w:color w:val="000000"/>
          <w:szCs w:val="20"/>
          <w:lang w:eastAsia="bg-BG"/>
        </w:rPr>
      </w:pPr>
      <w:r w:rsidRPr="001621CE">
        <w:rPr>
          <w:rFonts w:eastAsia="Times New Roman" w:cs="Arial"/>
          <w:color w:val="000000"/>
          <w:szCs w:val="20"/>
          <w:lang w:eastAsia="bg-BG"/>
        </w:rPr>
        <w:t>Таблетката може да се приема със или без храна.</w:t>
      </w:r>
    </w:p>
    <w:p w14:paraId="5AD65A61" w14:textId="77777777" w:rsidR="001621CE" w:rsidRPr="001621CE" w:rsidRDefault="001621CE" w:rsidP="001621CE">
      <w:pPr>
        <w:rPr>
          <w:rFonts w:cs="Arial"/>
          <w:sz w:val="24"/>
        </w:rPr>
      </w:pPr>
    </w:p>
    <w:p w14:paraId="28C984E8" w14:textId="4B8543AC" w:rsidR="008134C8" w:rsidRDefault="002C50EE" w:rsidP="004A448E">
      <w:pPr>
        <w:pStyle w:val="Heading2"/>
      </w:pPr>
      <w:r>
        <w:t>4.3. Противопоказания</w:t>
      </w:r>
    </w:p>
    <w:p w14:paraId="5281FD2B" w14:textId="5FDA32BC" w:rsidR="001621CE" w:rsidRDefault="001621CE" w:rsidP="001621CE"/>
    <w:p w14:paraId="3CAF2676" w14:textId="77777777" w:rsidR="001621CE" w:rsidRPr="001621CE" w:rsidRDefault="001621CE" w:rsidP="001621CE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1621CE">
        <w:rPr>
          <w:rFonts w:eastAsia="Times New Roman" w:cs="Arial"/>
          <w:color w:val="000000"/>
          <w:szCs w:val="20"/>
          <w:lang w:eastAsia="bg-BG"/>
        </w:rPr>
        <w:t>Бисопролол е противопоказан при пациенти със:</w:t>
      </w:r>
    </w:p>
    <w:p w14:paraId="7EC18BFC" w14:textId="77777777" w:rsidR="001621CE" w:rsidRPr="001621CE" w:rsidRDefault="001621CE" w:rsidP="001621CE">
      <w:pPr>
        <w:spacing w:line="240" w:lineRule="auto"/>
        <w:rPr>
          <w:rFonts w:eastAsia="Times New Roman" w:cs="Arial"/>
          <w:color w:val="000000"/>
          <w:szCs w:val="20"/>
          <w:lang w:eastAsia="bg-BG"/>
        </w:rPr>
      </w:pPr>
    </w:p>
    <w:p w14:paraId="26635788" w14:textId="1B3C98E0" w:rsidR="001621CE" w:rsidRPr="001621CE" w:rsidRDefault="001621CE" w:rsidP="001621CE">
      <w:pPr>
        <w:pStyle w:val="ListParagraph"/>
        <w:numPr>
          <w:ilvl w:val="0"/>
          <w:numId w:val="36"/>
        </w:num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1621CE">
        <w:rPr>
          <w:rFonts w:eastAsia="Times New Roman" w:cs="Arial"/>
          <w:color w:val="000000"/>
          <w:szCs w:val="20"/>
          <w:lang w:eastAsia="bg-BG"/>
        </w:rPr>
        <w:t>свръхчувствителност към активното вещество или към някое от помощните вещества, изброени в точка 6.1</w:t>
      </w:r>
    </w:p>
    <w:p w14:paraId="4C21CE01" w14:textId="77777777" w:rsidR="001621CE" w:rsidRPr="001621CE" w:rsidRDefault="001621CE" w:rsidP="001621CE">
      <w:pPr>
        <w:pStyle w:val="ListParagraph"/>
        <w:numPr>
          <w:ilvl w:val="0"/>
          <w:numId w:val="36"/>
        </w:num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1621CE">
        <w:rPr>
          <w:rFonts w:eastAsia="Times New Roman" w:cs="Arial"/>
          <w:color w:val="000000"/>
          <w:szCs w:val="20"/>
          <w:lang w:eastAsia="bg-BG"/>
        </w:rPr>
        <w:t xml:space="preserve">остра сърдечна недостатъчност или по време на епизоди от декомпенсирана сърдечна недостатъчност, изискваща </w:t>
      </w:r>
      <w:proofErr w:type="spellStart"/>
      <w:r w:rsidRPr="001621CE">
        <w:rPr>
          <w:rFonts w:eastAsia="Times New Roman" w:cs="Arial"/>
          <w:color w:val="000000"/>
          <w:szCs w:val="20"/>
          <w:lang w:val="en-US"/>
        </w:rPr>
        <w:t>i.v.</w:t>
      </w:r>
      <w:proofErr w:type="spellEnd"/>
      <w:r w:rsidRPr="001621CE">
        <w:rPr>
          <w:rFonts w:eastAsia="Times New Roman" w:cs="Arial"/>
          <w:color w:val="000000"/>
          <w:szCs w:val="20"/>
          <w:lang w:val="en-US"/>
        </w:rPr>
        <w:t xml:space="preserve"> </w:t>
      </w:r>
      <w:r w:rsidRPr="001621CE">
        <w:rPr>
          <w:rFonts w:eastAsia="Times New Roman" w:cs="Arial"/>
          <w:color w:val="000000"/>
          <w:szCs w:val="20"/>
          <w:lang w:eastAsia="bg-BG"/>
        </w:rPr>
        <w:t>инотропно лечение</w:t>
      </w:r>
    </w:p>
    <w:p w14:paraId="47E8CEC9" w14:textId="77777777" w:rsidR="001621CE" w:rsidRPr="001621CE" w:rsidRDefault="001621CE" w:rsidP="001621CE">
      <w:pPr>
        <w:pStyle w:val="ListParagraph"/>
        <w:numPr>
          <w:ilvl w:val="0"/>
          <w:numId w:val="36"/>
        </w:num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1621CE">
        <w:rPr>
          <w:rFonts w:eastAsia="Times New Roman" w:cs="Arial"/>
          <w:color w:val="000000"/>
          <w:szCs w:val="20"/>
          <w:lang w:eastAsia="bg-BG"/>
        </w:rPr>
        <w:t>кардиогенен шок</w:t>
      </w:r>
    </w:p>
    <w:p w14:paraId="4951C75E" w14:textId="77777777" w:rsidR="001621CE" w:rsidRPr="001621CE" w:rsidRDefault="001621CE" w:rsidP="001621CE">
      <w:pPr>
        <w:pStyle w:val="ListParagraph"/>
        <w:numPr>
          <w:ilvl w:val="0"/>
          <w:numId w:val="36"/>
        </w:num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1621CE">
        <w:rPr>
          <w:rFonts w:eastAsia="Times New Roman" w:cs="Arial"/>
          <w:color w:val="000000"/>
          <w:szCs w:val="20"/>
          <w:lang w:eastAsia="bg-BG"/>
        </w:rPr>
        <w:t xml:space="preserve">втора или трета степен </w:t>
      </w:r>
      <w:r w:rsidRPr="001621CE">
        <w:rPr>
          <w:rFonts w:eastAsia="Times New Roman" w:cs="Arial"/>
          <w:color w:val="000000"/>
          <w:szCs w:val="20"/>
          <w:lang w:val="en-US"/>
        </w:rPr>
        <w:t xml:space="preserve">AV </w:t>
      </w:r>
      <w:r w:rsidRPr="001621CE">
        <w:rPr>
          <w:rFonts w:eastAsia="Times New Roman" w:cs="Arial"/>
          <w:color w:val="000000"/>
          <w:szCs w:val="20"/>
          <w:lang w:eastAsia="bg-BG"/>
        </w:rPr>
        <w:t>блок</w:t>
      </w:r>
    </w:p>
    <w:p w14:paraId="615A2C86" w14:textId="77777777" w:rsidR="001621CE" w:rsidRPr="001621CE" w:rsidRDefault="001621CE" w:rsidP="001621CE">
      <w:pPr>
        <w:pStyle w:val="ListParagraph"/>
        <w:numPr>
          <w:ilvl w:val="0"/>
          <w:numId w:val="36"/>
        </w:num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1621CE">
        <w:rPr>
          <w:rFonts w:eastAsia="Times New Roman" w:cs="Arial"/>
          <w:color w:val="000000"/>
          <w:szCs w:val="20"/>
          <w:lang w:eastAsia="bg-BG"/>
        </w:rPr>
        <w:t>синдром на болния синусов възел</w:t>
      </w:r>
    </w:p>
    <w:p w14:paraId="5B6B068A" w14:textId="77777777" w:rsidR="001621CE" w:rsidRPr="001621CE" w:rsidRDefault="001621CE" w:rsidP="001621CE">
      <w:pPr>
        <w:pStyle w:val="ListParagraph"/>
        <w:numPr>
          <w:ilvl w:val="0"/>
          <w:numId w:val="36"/>
        </w:num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1621CE">
        <w:rPr>
          <w:rFonts w:eastAsia="Times New Roman" w:cs="Arial"/>
          <w:color w:val="000000"/>
          <w:szCs w:val="20"/>
          <w:lang w:eastAsia="bg-BG"/>
        </w:rPr>
        <w:t>синоатриален блок</w:t>
      </w:r>
    </w:p>
    <w:p w14:paraId="1E7097C4" w14:textId="77777777" w:rsidR="001621CE" w:rsidRPr="001621CE" w:rsidRDefault="001621CE" w:rsidP="001621CE">
      <w:pPr>
        <w:pStyle w:val="ListParagraph"/>
        <w:numPr>
          <w:ilvl w:val="0"/>
          <w:numId w:val="36"/>
        </w:num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1621CE">
        <w:rPr>
          <w:rFonts w:eastAsia="Times New Roman" w:cs="Arial"/>
          <w:color w:val="000000"/>
          <w:szCs w:val="20"/>
          <w:lang w:eastAsia="bg-BG"/>
        </w:rPr>
        <w:lastRenderedPageBreak/>
        <w:t xml:space="preserve">симптоматична брадикардия с по-малко от 60 удара/минута преди началото на терапията </w:t>
      </w:r>
      <w:r w:rsidRPr="001621CE">
        <w:rPr>
          <w:rFonts w:eastAsia="Times New Roman" w:cs="Arial"/>
          <w:color w:val="000000"/>
          <w:szCs w:val="20"/>
          <w:lang w:val="en-US" w:eastAsia="bg-BG"/>
        </w:rPr>
        <w:t>-----</w:t>
      </w:r>
    </w:p>
    <w:p w14:paraId="64F79EFD" w14:textId="77777777" w:rsidR="001621CE" w:rsidRPr="001621CE" w:rsidRDefault="001621CE" w:rsidP="001621CE">
      <w:pPr>
        <w:pStyle w:val="ListParagraph"/>
        <w:numPr>
          <w:ilvl w:val="0"/>
          <w:numId w:val="36"/>
        </w:num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1621CE">
        <w:rPr>
          <w:rFonts w:eastAsia="Times New Roman" w:cs="Arial"/>
          <w:color w:val="000000"/>
          <w:szCs w:val="20"/>
          <w:lang w:eastAsia="bg-BG"/>
        </w:rPr>
        <w:t xml:space="preserve">симптоматична хипотония (систолично кръвно налягане под 100 </w:t>
      </w:r>
      <w:r w:rsidRPr="001621CE">
        <w:rPr>
          <w:rFonts w:eastAsia="Times New Roman" w:cs="Arial"/>
          <w:color w:val="000000"/>
          <w:szCs w:val="20"/>
          <w:lang w:val="en-US"/>
        </w:rPr>
        <w:t xml:space="preserve">mm Hg) </w:t>
      </w:r>
    </w:p>
    <w:p w14:paraId="02F8AD20" w14:textId="77777777" w:rsidR="001621CE" w:rsidRPr="001621CE" w:rsidRDefault="001621CE" w:rsidP="001621CE">
      <w:pPr>
        <w:pStyle w:val="ListParagraph"/>
        <w:numPr>
          <w:ilvl w:val="0"/>
          <w:numId w:val="36"/>
        </w:num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1621CE">
        <w:rPr>
          <w:rFonts w:eastAsia="Times New Roman" w:cs="Arial"/>
          <w:color w:val="000000"/>
          <w:szCs w:val="20"/>
          <w:lang w:eastAsia="bg-BG"/>
        </w:rPr>
        <w:t xml:space="preserve">тежка форма на бронхиална астма или тежка форма на хронична обструктивна белодробна болест </w:t>
      </w:r>
    </w:p>
    <w:p w14:paraId="6889AC09" w14:textId="0A9B4D7F" w:rsidR="001621CE" w:rsidRPr="001621CE" w:rsidRDefault="001621CE" w:rsidP="001621CE">
      <w:pPr>
        <w:pStyle w:val="ListParagraph"/>
        <w:numPr>
          <w:ilvl w:val="0"/>
          <w:numId w:val="36"/>
        </w:num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1621CE">
        <w:rPr>
          <w:rFonts w:eastAsia="Times New Roman" w:cs="Arial"/>
          <w:color w:val="000000"/>
          <w:szCs w:val="20"/>
          <w:lang w:eastAsia="bg-BG"/>
        </w:rPr>
        <w:t xml:space="preserve">тежки форми на периферно артериално оклузивно заболяване или тежки форми на синдром на Рейно </w:t>
      </w:r>
    </w:p>
    <w:p w14:paraId="33E6D19F" w14:textId="607AF804" w:rsidR="001621CE" w:rsidRPr="001621CE" w:rsidRDefault="001621CE" w:rsidP="001621CE">
      <w:pPr>
        <w:pStyle w:val="ListParagraph"/>
        <w:numPr>
          <w:ilvl w:val="0"/>
          <w:numId w:val="36"/>
        </w:num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1621CE">
        <w:rPr>
          <w:rFonts w:eastAsia="Times New Roman" w:cs="Arial"/>
          <w:color w:val="000000"/>
          <w:szCs w:val="20"/>
          <w:lang w:eastAsia="bg-BG"/>
        </w:rPr>
        <w:t>метаболитна ацидоза</w:t>
      </w:r>
    </w:p>
    <w:p w14:paraId="39049369" w14:textId="7587338D" w:rsidR="001621CE" w:rsidRPr="001621CE" w:rsidRDefault="001621CE" w:rsidP="001621CE">
      <w:pPr>
        <w:pStyle w:val="ListParagraph"/>
        <w:numPr>
          <w:ilvl w:val="0"/>
          <w:numId w:val="36"/>
        </w:num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1621CE">
        <w:rPr>
          <w:rFonts w:eastAsia="Times New Roman" w:cs="Arial"/>
          <w:color w:val="000000"/>
          <w:szCs w:val="20"/>
          <w:lang w:eastAsia="bg-BG"/>
        </w:rPr>
        <w:t>нелекуван феохромоцитом (вж. точка 4.4)</w:t>
      </w:r>
    </w:p>
    <w:p w14:paraId="50D94783" w14:textId="0113EC4A" w:rsidR="001621CE" w:rsidRPr="001621CE" w:rsidRDefault="001621CE" w:rsidP="001621CE">
      <w:pPr>
        <w:pStyle w:val="ListParagraph"/>
        <w:numPr>
          <w:ilvl w:val="0"/>
          <w:numId w:val="36"/>
        </w:numPr>
        <w:rPr>
          <w:rFonts w:eastAsia="Times New Roman" w:cs="Arial"/>
          <w:color w:val="000000"/>
          <w:szCs w:val="20"/>
          <w:lang w:eastAsia="bg-BG"/>
        </w:rPr>
      </w:pPr>
      <w:r w:rsidRPr="001621CE">
        <w:rPr>
          <w:rFonts w:eastAsia="Times New Roman" w:cs="Arial"/>
          <w:color w:val="000000"/>
          <w:szCs w:val="20"/>
          <w:lang w:eastAsia="bg-BG"/>
        </w:rPr>
        <w:t>комбинация с флоктафенин и султоприд (вж. също точка 4.5)</w:t>
      </w:r>
    </w:p>
    <w:p w14:paraId="745C7D37" w14:textId="77777777" w:rsidR="001621CE" w:rsidRPr="001621CE" w:rsidRDefault="001621CE" w:rsidP="001621CE"/>
    <w:p w14:paraId="212F509C" w14:textId="6C562B41" w:rsidR="004F498A" w:rsidRDefault="002C50EE" w:rsidP="004A448E">
      <w:pPr>
        <w:pStyle w:val="Heading2"/>
      </w:pPr>
      <w:r>
        <w:t>4.4. Специални предупреждения и предпазни мерки при употреба</w:t>
      </w:r>
    </w:p>
    <w:p w14:paraId="40C64BA8" w14:textId="12514D5E" w:rsidR="001621CE" w:rsidRDefault="001621CE" w:rsidP="001621CE"/>
    <w:p w14:paraId="7907E5AD" w14:textId="77777777" w:rsidR="001621CE" w:rsidRPr="001621CE" w:rsidRDefault="001621CE" w:rsidP="001621CE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1621CE">
        <w:rPr>
          <w:rFonts w:eastAsia="Times New Roman" w:cs="Arial"/>
          <w:color w:val="000000"/>
          <w:szCs w:val="20"/>
          <w:lang w:eastAsia="bg-BG"/>
        </w:rPr>
        <w:t>Бисопролол трябва да се използва с повишено внимание при пациенти с хипертония или ангина пекторис и съпътстваща сърдечна недостатъчност.</w:t>
      </w:r>
    </w:p>
    <w:p w14:paraId="37D05F2A" w14:textId="77777777" w:rsidR="001621CE" w:rsidRPr="001621CE" w:rsidRDefault="001621CE" w:rsidP="001621CE">
      <w:pPr>
        <w:rPr>
          <w:rFonts w:eastAsia="Times New Roman" w:cs="Arial"/>
          <w:color w:val="000000"/>
          <w:szCs w:val="20"/>
          <w:lang w:eastAsia="bg-BG"/>
        </w:rPr>
      </w:pPr>
    </w:p>
    <w:p w14:paraId="07504D2B" w14:textId="77777777" w:rsidR="001621CE" w:rsidRPr="001621CE" w:rsidRDefault="001621CE" w:rsidP="001621CE">
      <w:pPr>
        <w:rPr>
          <w:rFonts w:eastAsia="Times New Roman" w:cs="Arial"/>
          <w:sz w:val="28"/>
          <w:szCs w:val="24"/>
          <w:lang w:eastAsia="bg-BG"/>
        </w:rPr>
      </w:pPr>
      <w:r w:rsidRPr="001621CE">
        <w:rPr>
          <w:rFonts w:eastAsia="Times New Roman" w:cs="Arial"/>
          <w:color w:val="000000"/>
          <w:szCs w:val="20"/>
          <w:lang w:eastAsia="bg-BG"/>
        </w:rPr>
        <w:t>За лечението на хронична сърдечна недостатъчност се използват други дозировка на лекарствени продукти, които съдържат бисопролол. Употребата на бета-блокери при това показание изисква много внимателен подход и трябва да започне с фаза на много стриктно</w:t>
      </w:r>
      <w:r w:rsidRPr="001621CE">
        <w:rPr>
          <w:rFonts w:eastAsia="Times New Roman" w:cs="Arial"/>
          <w:b/>
          <w:bCs/>
          <w:color w:val="000000"/>
          <w:szCs w:val="20"/>
          <w:lang w:eastAsia="bg-BG"/>
        </w:rPr>
        <w:t xml:space="preserve"> </w:t>
      </w:r>
      <w:r w:rsidRPr="001621CE">
        <w:rPr>
          <w:rFonts w:eastAsia="Times New Roman" w:cs="Arial"/>
          <w:color w:val="000000"/>
          <w:szCs w:val="20"/>
          <w:lang w:eastAsia="bg-BG"/>
        </w:rPr>
        <w:t>титриране. В тази фаза се налага повишаване на дозата на стъпки, не всички от които могат да</w:t>
      </w:r>
      <w:r w:rsidRPr="001621CE">
        <w:rPr>
          <w:rFonts w:eastAsia="Times New Roman" w:cs="Arial"/>
          <w:color w:val="000000"/>
          <w:szCs w:val="20"/>
          <w:lang w:val="en-US" w:eastAsia="bg-BG"/>
        </w:rPr>
        <w:t xml:space="preserve"> </w:t>
      </w:r>
      <w:r w:rsidRPr="001621CE">
        <w:rPr>
          <w:rFonts w:eastAsia="Times New Roman" w:cs="Arial"/>
          <w:color w:val="000000"/>
          <w:szCs w:val="20"/>
          <w:lang w:eastAsia="bg-BG"/>
        </w:rPr>
        <w:t>се постигнат с този лекарствен продукт. Ето защо, този продукт не трябва да се използва за лечение на хронична сърдечна недостатъчност.</w:t>
      </w:r>
    </w:p>
    <w:p w14:paraId="419C06A4" w14:textId="77777777" w:rsidR="001621CE" w:rsidRPr="001621CE" w:rsidRDefault="001621CE" w:rsidP="001621CE">
      <w:pPr>
        <w:spacing w:line="240" w:lineRule="auto"/>
        <w:rPr>
          <w:rFonts w:eastAsia="Times New Roman" w:cs="Arial"/>
          <w:color w:val="000000"/>
          <w:szCs w:val="20"/>
          <w:lang w:eastAsia="bg-BG"/>
        </w:rPr>
      </w:pPr>
    </w:p>
    <w:p w14:paraId="2EAD1CD3" w14:textId="69F39B5C" w:rsidR="001621CE" w:rsidRPr="001621CE" w:rsidRDefault="001621CE" w:rsidP="001621CE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1621CE">
        <w:rPr>
          <w:rFonts w:eastAsia="Times New Roman" w:cs="Arial"/>
          <w:color w:val="000000"/>
          <w:szCs w:val="20"/>
          <w:lang w:eastAsia="bg-BG"/>
        </w:rPr>
        <w:t>Комбинацията с амиодарон трябва да се използва с повишено внимание, като се има предвид риска от контрактилен автоматизъм и проводни нарушения (потискане на компенсаторни симпатикови реакции).</w:t>
      </w:r>
    </w:p>
    <w:p w14:paraId="34EEBCBE" w14:textId="77777777" w:rsidR="001621CE" w:rsidRPr="001621CE" w:rsidRDefault="001621CE" w:rsidP="001621CE">
      <w:pPr>
        <w:rPr>
          <w:rFonts w:eastAsia="Times New Roman" w:cs="Arial"/>
          <w:color w:val="000000"/>
          <w:szCs w:val="20"/>
          <w:lang w:eastAsia="bg-BG"/>
        </w:rPr>
      </w:pPr>
    </w:p>
    <w:p w14:paraId="5411C0C0" w14:textId="19B7A2D6" w:rsidR="001621CE" w:rsidRPr="001621CE" w:rsidRDefault="001621CE" w:rsidP="001621CE">
      <w:pPr>
        <w:rPr>
          <w:rFonts w:eastAsia="Times New Roman" w:cs="Arial"/>
          <w:color w:val="000000"/>
          <w:szCs w:val="20"/>
          <w:lang w:val="en-US" w:eastAsia="bg-BG"/>
        </w:rPr>
      </w:pPr>
      <w:r w:rsidRPr="001621CE">
        <w:rPr>
          <w:rFonts w:eastAsia="Times New Roman" w:cs="Arial"/>
          <w:color w:val="000000"/>
          <w:szCs w:val="20"/>
          <w:lang w:eastAsia="bg-BG"/>
        </w:rPr>
        <w:t>Комбинираната употреба на бисопролол с калциеви антагонисти от верапамилов и дилтиаземов тип, и с централно действащи антихипертензивни лекарства обикновено не се препоръчва (вж. също точка 4.5). Блокбис трябва да се използва с повишено внимание при:</w:t>
      </w:r>
    </w:p>
    <w:p w14:paraId="50802CEE" w14:textId="39D58796" w:rsidR="001621CE" w:rsidRDefault="001621CE" w:rsidP="001621CE"/>
    <w:p w14:paraId="1AB43EB6" w14:textId="77777777" w:rsidR="001621CE" w:rsidRPr="001621CE" w:rsidRDefault="001621CE" w:rsidP="001621CE">
      <w:pPr>
        <w:pStyle w:val="ListParagraph"/>
        <w:numPr>
          <w:ilvl w:val="0"/>
          <w:numId w:val="37"/>
        </w:num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1621CE">
        <w:rPr>
          <w:rFonts w:eastAsia="Times New Roman" w:cs="Arial"/>
          <w:color w:val="000000"/>
          <w:szCs w:val="20"/>
          <w:lang w:eastAsia="bg-BG"/>
        </w:rPr>
        <w:t>бронхоспазъм (бронхиална астма, заболявания с обструкция на дихателните пътища): При бронхиална астма или други хронични обструктивни белодробни заболявания, трябва да се прилага едновременно бронходилатираща терапия. Понякога при пациенти с астма може да се наблюдава увеличена резистентност на дихателните пътища, ето защо може да се наложи дозата бета</w:t>
      </w:r>
      <w:r w:rsidRPr="001621CE">
        <w:rPr>
          <w:rFonts w:eastAsia="Times New Roman" w:cs="Arial"/>
          <w:color w:val="000000"/>
          <w:szCs w:val="20"/>
          <w:vertAlign w:val="subscript"/>
          <w:lang w:eastAsia="bg-BG"/>
        </w:rPr>
        <w:t>2</w:t>
      </w:r>
      <w:r w:rsidRPr="001621CE">
        <w:rPr>
          <w:rFonts w:eastAsia="Times New Roman" w:cs="Arial"/>
          <w:color w:val="000000"/>
          <w:szCs w:val="20"/>
          <w:lang w:eastAsia="bg-BG"/>
        </w:rPr>
        <w:t>-стимуланти да се повиши. Препоръчва се провеждането на функционално изследване на дишането преди началото на терапията.</w:t>
      </w:r>
    </w:p>
    <w:p w14:paraId="0FD67A93" w14:textId="77777777" w:rsidR="001621CE" w:rsidRPr="001621CE" w:rsidRDefault="001621CE" w:rsidP="001621CE">
      <w:pPr>
        <w:pStyle w:val="ListParagraph"/>
        <w:numPr>
          <w:ilvl w:val="0"/>
          <w:numId w:val="37"/>
        </w:num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1621CE">
        <w:rPr>
          <w:rFonts w:eastAsia="Times New Roman" w:cs="Arial"/>
          <w:color w:val="000000"/>
          <w:szCs w:val="20"/>
          <w:lang w:eastAsia="bg-BG"/>
        </w:rPr>
        <w:t>едновременната употреба с антихолинестеразни средства (включително такрин): времето за провеждане през атриовентрикуларния възел и/или брадикардията може да се увеличат (вж. също точка 4.5).</w:t>
      </w:r>
    </w:p>
    <w:p w14:paraId="3229248E" w14:textId="77777777" w:rsidR="001621CE" w:rsidRPr="001621CE" w:rsidRDefault="001621CE" w:rsidP="001621CE">
      <w:pPr>
        <w:pStyle w:val="ListParagraph"/>
        <w:numPr>
          <w:ilvl w:val="0"/>
          <w:numId w:val="37"/>
        </w:num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1621CE">
        <w:rPr>
          <w:rFonts w:eastAsia="Times New Roman" w:cs="Arial"/>
          <w:color w:val="000000"/>
          <w:szCs w:val="20"/>
          <w:lang w:eastAsia="bg-BG"/>
        </w:rPr>
        <w:t xml:space="preserve">едновременната употреба с анестетици: отслабване на рефлексната тахикардия и увеличаване на риска от хипотония (вж. също точка 4.5). Продължаването на бета- блокадата намалява риска от аритмия при въвеждане в анестезия и по време на интубация. Анестезиологьт трябва да е информиран, когато пациентът приема </w:t>
      </w:r>
      <w:r w:rsidRPr="001621CE">
        <w:rPr>
          <w:rFonts w:eastAsia="Times New Roman" w:cs="Arial"/>
          <w:color w:val="000000"/>
          <w:szCs w:val="20"/>
          <w:lang w:eastAsia="bg-BG"/>
        </w:rPr>
        <w:lastRenderedPageBreak/>
        <w:t>бисопролол фумарат. Ако е необходимо да се преустанови терапията с бета-блокери преди операцията, това трябва да се извърши постепенно и да приключи около 48 часа преди анестезията.</w:t>
      </w:r>
    </w:p>
    <w:p w14:paraId="6F6C3C8A" w14:textId="77777777" w:rsidR="001621CE" w:rsidRPr="001621CE" w:rsidRDefault="001621CE" w:rsidP="001621CE">
      <w:pPr>
        <w:pStyle w:val="ListParagraph"/>
        <w:numPr>
          <w:ilvl w:val="0"/>
          <w:numId w:val="38"/>
        </w:num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1621CE">
        <w:rPr>
          <w:rFonts w:eastAsia="Times New Roman" w:cs="Arial"/>
          <w:color w:val="000000"/>
          <w:szCs w:val="20"/>
          <w:lang w:eastAsia="bg-BG"/>
        </w:rPr>
        <w:t>йод-контрастни вещества: бета-блокерите може да повлияят неблагоприятно компенсаторните сърдечно-съдовите реакции, свързани с хипотония или шок, индуциран от Йод-контрастни вещества.</w:t>
      </w:r>
    </w:p>
    <w:p w14:paraId="265B7BFC" w14:textId="77777777" w:rsidR="001621CE" w:rsidRPr="001621CE" w:rsidRDefault="001621CE" w:rsidP="001621CE">
      <w:pPr>
        <w:pStyle w:val="ListParagraph"/>
        <w:numPr>
          <w:ilvl w:val="0"/>
          <w:numId w:val="38"/>
        </w:num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1621CE">
        <w:rPr>
          <w:rFonts w:eastAsia="Times New Roman" w:cs="Arial"/>
          <w:color w:val="000000"/>
          <w:szCs w:val="20"/>
          <w:lang w:eastAsia="bg-BG"/>
        </w:rPr>
        <w:t>захарен диабет с големи вариации в стойностите на кръвната захар; симптомите на хипогликемия може да бъдат маскирани. Нивата на кръвната захар трябва да се проследяват по време на лечение с бисопролол.</w:t>
      </w:r>
    </w:p>
    <w:p w14:paraId="56417A29" w14:textId="77777777" w:rsidR="001621CE" w:rsidRPr="001621CE" w:rsidRDefault="001621CE" w:rsidP="001621CE">
      <w:pPr>
        <w:pStyle w:val="ListParagraph"/>
        <w:numPr>
          <w:ilvl w:val="0"/>
          <w:numId w:val="38"/>
        </w:num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1621CE">
        <w:rPr>
          <w:rFonts w:eastAsia="Times New Roman" w:cs="Arial"/>
          <w:color w:val="000000"/>
          <w:szCs w:val="20"/>
          <w:lang w:eastAsia="bg-BG"/>
        </w:rPr>
        <w:t xml:space="preserve">тиреотоксикоза - адренергичните симптоми може да се маскират </w:t>
      </w:r>
    </w:p>
    <w:p w14:paraId="396B8255" w14:textId="77777777" w:rsidR="001621CE" w:rsidRPr="001621CE" w:rsidRDefault="001621CE" w:rsidP="001621CE">
      <w:pPr>
        <w:pStyle w:val="ListParagraph"/>
        <w:numPr>
          <w:ilvl w:val="0"/>
          <w:numId w:val="38"/>
        </w:num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1621CE">
        <w:rPr>
          <w:rFonts w:eastAsia="Times New Roman" w:cs="Arial"/>
          <w:color w:val="000000"/>
          <w:szCs w:val="20"/>
          <w:lang w:eastAsia="bg-BG"/>
        </w:rPr>
        <w:t>строго постене</w:t>
      </w:r>
    </w:p>
    <w:p w14:paraId="5F21B8FC" w14:textId="77777777" w:rsidR="001621CE" w:rsidRPr="001621CE" w:rsidRDefault="001621CE" w:rsidP="001621CE">
      <w:pPr>
        <w:pStyle w:val="ListParagraph"/>
        <w:numPr>
          <w:ilvl w:val="0"/>
          <w:numId w:val="38"/>
        </w:num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1621CE">
        <w:rPr>
          <w:rFonts w:eastAsia="Times New Roman" w:cs="Arial"/>
          <w:color w:val="000000"/>
          <w:szCs w:val="20"/>
          <w:lang w:eastAsia="bg-BG"/>
        </w:rPr>
        <w:t>провеждане на десенсибилизация: подобно на другите бета-блокери, бисопролол фумарат може да увеличи както чувствителността към алергени, така и тежестта на анафилактичните реакции. Лечението с адреналин не винаги дава очаквания терапевтичен ефект. Може да се наложи прилагането на по-високи дози епинефрин (адреналин).</w:t>
      </w:r>
    </w:p>
    <w:p w14:paraId="4C7AA347" w14:textId="77777777" w:rsidR="001621CE" w:rsidRPr="001621CE" w:rsidRDefault="001621CE" w:rsidP="001621CE">
      <w:pPr>
        <w:pStyle w:val="ListParagraph"/>
        <w:numPr>
          <w:ilvl w:val="0"/>
          <w:numId w:val="38"/>
        </w:num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1621CE">
        <w:rPr>
          <w:rFonts w:eastAsia="Times New Roman" w:cs="Arial"/>
          <w:color w:val="000000"/>
          <w:szCs w:val="20"/>
          <w:lang w:val="en-US"/>
        </w:rPr>
        <w:t xml:space="preserve">AV </w:t>
      </w:r>
      <w:r w:rsidRPr="001621CE">
        <w:rPr>
          <w:rFonts w:eastAsia="Times New Roman" w:cs="Arial"/>
          <w:color w:val="000000"/>
          <w:szCs w:val="20"/>
          <w:lang w:eastAsia="bg-BG"/>
        </w:rPr>
        <w:t>блок първа степен</w:t>
      </w:r>
    </w:p>
    <w:p w14:paraId="5F7E5902" w14:textId="77777777" w:rsidR="001621CE" w:rsidRPr="001621CE" w:rsidRDefault="001621CE" w:rsidP="001621CE">
      <w:pPr>
        <w:pStyle w:val="ListParagraph"/>
        <w:numPr>
          <w:ilvl w:val="0"/>
          <w:numId w:val="38"/>
        </w:num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1621CE">
        <w:rPr>
          <w:rFonts w:eastAsia="Times New Roman" w:cs="Arial"/>
          <w:color w:val="000000"/>
          <w:szCs w:val="20"/>
          <w:lang w:eastAsia="bg-BG"/>
        </w:rPr>
        <w:t>ангина на Принцметал: бета-блокерите могат да доведат до увеличаване броя и продължителността на пристъпите при пациенти с ангина на Принцметал. Употребата на селективни бета1-адренорецепторни блокери е възможна в случаи на леки форми и само в комбинация с вазодилатиращо средство.</w:t>
      </w:r>
    </w:p>
    <w:p w14:paraId="44A73FCE" w14:textId="77777777" w:rsidR="001621CE" w:rsidRPr="001621CE" w:rsidRDefault="001621CE" w:rsidP="001621CE">
      <w:pPr>
        <w:pStyle w:val="ListParagraph"/>
        <w:numPr>
          <w:ilvl w:val="0"/>
          <w:numId w:val="38"/>
        </w:num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1621CE">
        <w:rPr>
          <w:rFonts w:eastAsia="Times New Roman" w:cs="Arial"/>
          <w:color w:val="000000"/>
          <w:szCs w:val="20"/>
          <w:lang w:eastAsia="bg-BG"/>
        </w:rPr>
        <w:t>периферни артериални оклузивни заболявания, като феномен на Рейно и клаудикацио интермитенс: може да настъпи засилване на оплакванията, особено в началото на терапията.</w:t>
      </w:r>
    </w:p>
    <w:p w14:paraId="20482F60" w14:textId="77777777" w:rsidR="001621CE" w:rsidRPr="001621CE" w:rsidRDefault="001621CE" w:rsidP="001621CE">
      <w:pPr>
        <w:pStyle w:val="ListParagraph"/>
        <w:numPr>
          <w:ilvl w:val="0"/>
          <w:numId w:val="38"/>
        </w:num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1621CE">
        <w:rPr>
          <w:rFonts w:eastAsia="Times New Roman" w:cs="Arial"/>
          <w:color w:val="000000"/>
          <w:szCs w:val="20"/>
          <w:lang w:eastAsia="bg-BG"/>
        </w:rPr>
        <w:t>при пациенти с феохромоцитом (вж. точка 4.3), бисопролол трябва да се прилага само след алфа-рецепторна блокада.</w:t>
      </w:r>
    </w:p>
    <w:p w14:paraId="4FBF4ACD" w14:textId="0C4E3B90" w:rsidR="001621CE" w:rsidRPr="001621CE" w:rsidRDefault="001621CE" w:rsidP="001621CE">
      <w:pPr>
        <w:pStyle w:val="ListParagraph"/>
        <w:numPr>
          <w:ilvl w:val="0"/>
          <w:numId w:val="38"/>
        </w:num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1621CE">
        <w:rPr>
          <w:rFonts w:eastAsia="Times New Roman" w:cs="Arial"/>
          <w:color w:val="000000"/>
          <w:szCs w:val="20"/>
          <w:lang w:eastAsia="bg-BG"/>
        </w:rPr>
        <w:t>предшестващ или съществуващ псориазис - бисопролол трябва да се назначава само след внимателна оценка на съотношението полза/риск.</w:t>
      </w:r>
    </w:p>
    <w:p w14:paraId="304FB3F1" w14:textId="5549CC4E" w:rsidR="001621CE" w:rsidRPr="001621CE" w:rsidRDefault="001621CE" w:rsidP="001621CE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</w:p>
    <w:p w14:paraId="7549CD37" w14:textId="77777777" w:rsidR="001621CE" w:rsidRPr="001621CE" w:rsidRDefault="001621CE" w:rsidP="001621CE">
      <w:pPr>
        <w:rPr>
          <w:rFonts w:eastAsia="Times New Roman" w:cs="Arial"/>
          <w:sz w:val="28"/>
          <w:szCs w:val="24"/>
          <w:lang w:eastAsia="bg-BG"/>
        </w:rPr>
      </w:pPr>
      <w:r w:rsidRPr="001621CE">
        <w:rPr>
          <w:rFonts w:cs="Arial"/>
          <w:szCs w:val="20"/>
        </w:rPr>
        <w:t>Началото на терапията с таблетки бисопролол фумарат изисква редовно мониториране, особено при лечение на пациенти в старческа възраст. Спирането на лечението с бисопролол не трябва</w:t>
      </w:r>
      <w:r w:rsidRPr="001621CE">
        <w:rPr>
          <w:rFonts w:cs="Arial"/>
          <w:i/>
          <w:iCs/>
          <w:szCs w:val="20"/>
        </w:rPr>
        <w:t xml:space="preserve"> </w:t>
      </w:r>
      <w:r w:rsidRPr="001621CE">
        <w:rPr>
          <w:rFonts w:cs="Arial"/>
          <w:szCs w:val="20"/>
        </w:rPr>
        <w:t>да става внезапно, освен ако не е категорично необходимо. Ако лечението при пациенти с</w:t>
      </w:r>
      <w:r>
        <w:rPr>
          <w:rFonts w:cs="Arial"/>
          <w:szCs w:val="20"/>
          <w:lang w:val="en-US"/>
        </w:rPr>
        <w:t xml:space="preserve"> </w:t>
      </w:r>
      <w:r w:rsidRPr="001621CE">
        <w:rPr>
          <w:rFonts w:eastAsia="Times New Roman" w:cs="Arial"/>
          <w:color w:val="000000"/>
          <w:szCs w:val="20"/>
          <w:lang w:eastAsia="bg-BG"/>
        </w:rPr>
        <w:t>исхемична болест на сърцето се прекрати рязко има риск от инфаркт на миокарда и внезапна смърт. За повече информация, моля вижте точка 4.2 „Дозировка и начин на приложение”.</w:t>
      </w:r>
    </w:p>
    <w:p w14:paraId="52F41844" w14:textId="77777777" w:rsidR="001621CE" w:rsidRPr="001621CE" w:rsidRDefault="001621CE" w:rsidP="001621CE">
      <w:pPr>
        <w:spacing w:line="240" w:lineRule="auto"/>
        <w:rPr>
          <w:rFonts w:eastAsia="Times New Roman" w:cs="Arial"/>
          <w:color w:val="000000"/>
          <w:szCs w:val="20"/>
          <w:lang w:eastAsia="bg-BG"/>
        </w:rPr>
      </w:pPr>
    </w:p>
    <w:p w14:paraId="2B52ADE5" w14:textId="17FCA935" w:rsidR="001621CE" w:rsidRPr="001621CE" w:rsidRDefault="001621CE" w:rsidP="001621CE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1621CE">
        <w:rPr>
          <w:rFonts w:eastAsia="Times New Roman" w:cs="Arial"/>
          <w:color w:val="000000"/>
          <w:szCs w:val="20"/>
          <w:lang w:eastAsia="bg-BG"/>
        </w:rPr>
        <w:t xml:space="preserve">Таблетките Блокбис 5 </w:t>
      </w:r>
      <w:r w:rsidRPr="001621CE">
        <w:rPr>
          <w:rFonts w:eastAsia="Times New Roman" w:cs="Arial"/>
          <w:color w:val="000000"/>
          <w:szCs w:val="20"/>
          <w:lang w:val="en-US"/>
        </w:rPr>
        <w:t xml:space="preserve">mg </w:t>
      </w:r>
      <w:r w:rsidRPr="001621CE">
        <w:rPr>
          <w:rFonts w:eastAsia="Times New Roman" w:cs="Arial"/>
          <w:color w:val="000000"/>
          <w:szCs w:val="20"/>
          <w:lang w:eastAsia="bg-BG"/>
        </w:rPr>
        <w:t xml:space="preserve">съдържат 135,20 </w:t>
      </w:r>
      <w:r w:rsidRPr="001621CE">
        <w:rPr>
          <w:rFonts w:eastAsia="Times New Roman" w:cs="Arial"/>
          <w:color w:val="000000"/>
          <w:szCs w:val="20"/>
          <w:lang w:val="en-US"/>
        </w:rPr>
        <w:t xml:space="preserve">mg </w:t>
      </w:r>
      <w:r w:rsidRPr="001621CE">
        <w:rPr>
          <w:rFonts w:eastAsia="Times New Roman" w:cs="Arial"/>
          <w:color w:val="000000"/>
          <w:szCs w:val="20"/>
          <w:lang w:eastAsia="bg-BG"/>
        </w:rPr>
        <w:t xml:space="preserve">лактоза монохидрат. Таблетките Блокбис 10 </w:t>
      </w:r>
      <w:r w:rsidRPr="001621CE">
        <w:rPr>
          <w:rFonts w:eastAsia="Times New Roman" w:cs="Arial"/>
          <w:color w:val="000000"/>
          <w:szCs w:val="20"/>
          <w:lang w:val="en-US"/>
        </w:rPr>
        <w:t xml:space="preserve">mg </w:t>
      </w:r>
      <w:r w:rsidRPr="001621CE">
        <w:rPr>
          <w:rFonts w:eastAsia="Times New Roman" w:cs="Arial"/>
          <w:color w:val="000000"/>
          <w:szCs w:val="20"/>
          <w:lang w:eastAsia="bg-BG"/>
        </w:rPr>
        <w:t xml:space="preserve">съдържат 130,20 </w:t>
      </w:r>
      <w:r w:rsidRPr="001621CE">
        <w:rPr>
          <w:rFonts w:eastAsia="Times New Roman" w:cs="Arial"/>
          <w:color w:val="000000"/>
          <w:szCs w:val="20"/>
          <w:lang w:val="en-US"/>
        </w:rPr>
        <w:t xml:space="preserve">mg </w:t>
      </w:r>
      <w:r w:rsidRPr="001621CE">
        <w:rPr>
          <w:rFonts w:eastAsia="Times New Roman" w:cs="Arial"/>
          <w:color w:val="000000"/>
          <w:szCs w:val="20"/>
          <w:lang w:eastAsia="bg-BG"/>
        </w:rPr>
        <w:t>лактоза монохидрат.</w:t>
      </w:r>
    </w:p>
    <w:p w14:paraId="0B2FAE45" w14:textId="706A9B8E" w:rsidR="001621CE" w:rsidRDefault="001621CE" w:rsidP="001621CE">
      <w:pPr>
        <w:spacing w:line="240" w:lineRule="auto"/>
        <w:rPr>
          <w:rFonts w:eastAsia="Times New Roman" w:cs="Arial"/>
          <w:color w:val="000000"/>
          <w:szCs w:val="20"/>
          <w:lang w:eastAsia="bg-BG"/>
        </w:rPr>
      </w:pPr>
      <w:r w:rsidRPr="001621CE">
        <w:rPr>
          <w:rFonts w:eastAsia="Times New Roman" w:cs="Arial"/>
          <w:color w:val="000000"/>
          <w:szCs w:val="20"/>
          <w:lang w:eastAsia="bg-BG"/>
        </w:rPr>
        <w:t xml:space="preserve">Пациенти с редки наследствени проблеми на галактозна непоносимост, </w:t>
      </w:r>
      <w:r w:rsidRPr="001621CE">
        <w:rPr>
          <w:rFonts w:eastAsia="Times New Roman" w:cs="Arial"/>
          <w:color w:val="000000"/>
          <w:szCs w:val="20"/>
          <w:lang w:val="en-US"/>
        </w:rPr>
        <w:t xml:space="preserve">Lapp </w:t>
      </w:r>
      <w:r w:rsidRPr="001621CE">
        <w:rPr>
          <w:rFonts w:eastAsia="Times New Roman" w:cs="Arial"/>
          <w:color w:val="000000"/>
          <w:szCs w:val="20"/>
          <w:lang w:eastAsia="bg-BG"/>
        </w:rPr>
        <w:t xml:space="preserve"> лактазен дефицит или глюкозо-галактозна малабсорбция не трябва да приемат това лекарство.</w:t>
      </w:r>
    </w:p>
    <w:p w14:paraId="44DE779E" w14:textId="77777777" w:rsidR="004C68BC" w:rsidRPr="001621CE" w:rsidRDefault="004C68BC" w:rsidP="001621CE">
      <w:pPr>
        <w:spacing w:line="240" w:lineRule="auto"/>
        <w:rPr>
          <w:rFonts w:eastAsia="Times New Roman" w:cs="Arial"/>
          <w:sz w:val="32"/>
          <w:szCs w:val="24"/>
          <w:lang w:val="en-US" w:eastAsia="bg-BG"/>
        </w:rPr>
      </w:pPr>
    </w:p>
    <w:p w14:paraId="619DED1E" w14:textId="2FF79133" w:rsidR="004F498A" w:rsidRDefault="002C50EE" w:rsidP="004A448E">
      <w:pPr>
        <w:pStyle w:val="Heading2"/>
      </w:pPr>
      <w:r>
        <w:t>4.5. Взаимодействие с други лекарствени продукти и други форми на</w:t>
      </w:r>
      <w:r w:rsidR="004F1CE7" w:rsidRPr="004F1CE7">
        <w:rPr>
          <w:lang w:val="ru-RU"/>
        </w:rPr>
        <w:t xml:space="preserve"> </w:t>
      </w:r>
      <w:r w:rsidR="004F1CE7">
        <w:t>взаимодействие</w:t>
      </w:r>
      <w:r>
        <w:t xml:space="preserve"> </w:t>
      </w:r>
    </w:p>
    <w:p w14:paraId="478A12B7" w14:textId="16FCD15F" w:rsidR="004C68BC" w:rsidRDefault="004C68BC" w:rsidP="004C68BC"/>
    <w:p w14:paraId="52D864A8" w14:textId="77777777" w:rsidR="004C68BC" w:rsidRPr="004C68BC" w:rsidRDefault="004C68BC" w:rsidP="004C68BC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4C68BC">
        <w:rPr>
          <w:rFonts w:eastAsia="Times New Roman" w:cs="Arial"/>
          <w:i/>
          <w:iCs/>
          <w:color w:val="000000"/>
          <w:szCs w:val="20"/>
          <w:lang w:eastAsia="bg-BG"/>
        </w:rPr>
        <w:t>Противопоказани комбинации</w:t>
      </w:r>
    </w:p>
    <w:p w14:paraId="529A6090" w14:textId="77777777" w:rsidR="004C68BC" w:rsidRPr="004C68BC" w:rsidRDefault="004C68BC" w:rsidP="004C68BC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4C68BC">
        <w:rPr>
          <w:rFonts w:eastAsia="Times New Roman" w:cs="Arial"/>
          <w:color w:val="000000"/>
          <w:szCs w:val="20"/>
          <w:lang w:eastAsia="bg-BG"/>
        </w:rPr>
        <w:lastRenderedPageBreak/>
        <w:t>Флоктафенин: бета-блокерите могат да възпрепятстват компенсаторните сърдечно-съдови реакции, свързани с хипотония или шок, което може да е предизвикано от флоктафенин.</w:t>
      </w:r>
    </w:p>
    <w:p w14:paraId="65AC10E4" w14:textId="77777777" w:rsidR="004C68BC" w:rsidRPr="004C68BC" w:rsidRDefault="004C68BC" w:rsidP="004C68BC">
      <w:pPr>
        <w:spacing w:line="240" w:lineRule="auto"/>
        <w:rPr>
          <w:rFonts w:eastAsia="Times New Roman" w:cs="Arial"/>
          <w:color w:val="000000"/>
          <w:szCs w:val="20"/>
          <w:lang w:eastAsia="bg-BG"/>
        </w:rPr>
      </w:pPr>
    </w:p>
    <w:p w14:paraId="077764DC" w14:textId="5B79AB43" w:rsidR="004C68BC" w:rsidRPr="004C68BC" w:rsidRDefault="004C68BC" w:rsidP="004C68BC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4C68BC">
        <w:rPr>
          <w:rFonts w:eastAsia="Times New Roman" w:cs="Arial"/>
          <w:color w:val="000000"/>
          <w:szCs w:val="20"/>
          <w:lang w:eastAsia="bg-BG"/>
        </w:rPr>
        <w:t>Султоприд: бисопролол фумарат не трябва да се прилага едновременно със султоприд, тъй като има повишен риск от камерна аритмия.</w:t>
      </w:r>
    </w:p>
    <w:p w14:paraId="41E3B3FC" w14:textId="77777777" w:rsidR="004C68BC" w:rsidRPr="004C68BC" w:rsidRDefault="004C68BC" w:rsidP="004C68BC">
      <w:pPr>
        <w:spacing w:line="240" w:lineRule="auto"/>
        <w:rPr>
          <w:rFonts w:eastAsia="Times New Roman" w:cs="Arial"/>
          <w:i/>
          <w:iCs/>
          <w:color w:val="000000"/>
          <w:szCs w:val="20"/>
          <w:lang w:eastAsia="bg-BG"/>
        </w:rPr>
      </w:pPr>
    </w:p>
    <w:p w14:paraId="0A64F8A8" w14:textId="1510D5B8" w:rsidR="004C68BC" w:rsidRPr="004C68BC" w:rsidRDefault="004C68BC" w:rsidP="004C68BC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4C68BC">
        <w:rPr>
          <w:rFonts w:eastAsia="Times New Roman" w:cs="Arial"/>
          <w:i/>
          <w:iCs/>
          <w:color w:val="000000"/>
          <w:szCs w:val="20"/>
          <w:lang w:eastAsia="bg-BG"/>
        </w:rPr>
        <w:t>Комбинации, които не се препоръчват</w:t>
      </w:r>
    </w:p>
    <w:p w14:paraId="5EA4095D" w14:textId="77777777" w:rsidR="004C68BC" w:rsidRPr="004C68BC" w:rsidRDefault="004C68BC" w:rsidP="004C68BC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4C68BC">
        <w:rPr>
          <w:rFonts w:eastAsia="Times New Roman" w:cs="Arial"/>
          <w:color w:val="000000"/>
          <w:szCs w:val="20"/>
          <w:lang w:eastAsia="bg-BG"/>
        </w:rPr>
        <w:t>Калциеви антагонисти от типа на верапамил, бепридил и в по-малка степен от типа на дилтиазем: негативен ефект върху контрактилитета и атриовентрикуларната проводимост. Интравенозното приложение на верапамил при пациенти, подложени на лечение с бета-блокери може да доведе до тежка хипотония и атриовентрикуларен блок.</w:t>
      </w:r>
    </w:p>
    <w:p w14:paraId="60C45DC7" w14:textId="77777777" w:rsidR="004C68BC" w:rsidRPr="004C68BC" w:rsidRDefault="004C68BC" w:rsidP="004C68BC">
      <w:pPr>
        <w:spacing w:line="240" w:lineRule="auto"/>
        <w:rPr>
          <w:rFonts w:eastAsia="Times New Roman" w:cs="Arial"/>
          <w:color w:val="000000"/>
          <w:szCs w:val="20"/>
          <w:lang w:eastAsia="bg-BG"/>
        </w:rPr>
      </w:pPr>
    </w:p>
    <w:p w14:paraId="560827CD" w14:textId="577C909B" w:rsidR="004C68BC" w:rsidRPr="004C68BC" w:rsidRDefault="004C68BC" w:rsidP="004C68BC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4C68BC">
        <w:rPr>
          <w:rFonts w:eastAsia="Times New Roman" w:cs="Arial"/>
          <w:color w:val="000000"/>
          <w:szCs w:val="20"/>
          <w:lang w:eastAsia="bg-BG"/>
        </w:rPr>
        <w:t>Централно-действащи антихипертензивни лекарствени продукти (напр. клонидин, метилдопа, моксонидин, рилменидин): едновременната употреба на централно-действащи антихипертензивни лекарствени продукти може да доведе до понижаване на сърдечната честота и сърдечния дебит и до вазодилатация. Рязкото спиране може да увеличи риска от „ребаунд хипертония”.</w:t>
      </w:r>
    </w:p>
    <w:p w14:paraId="26F01401" w14:textId="77777777" w:rsidR="004C68BC" w:rsidRPr="004C68BC" w:rsidRDefault="004C68BC" w:rsidP="004C68BC">
      <w:pPr>
        <w:spacing w:line="240" w:lineRule="auto"/>
        <w:rPr>
          <w:rFonts w:eastAsia="Times New Roman" w:cs="Arial"/>
          <w:color w:val="000000"/>
          <w:szCs w:val="20"/>
          <w:lang w:eastAsia="bg-BG"/>
        </w:rPr>
      </w:pPr>
    </w:p>
    <w:p w14:paraId="11EBB659" w14:textId="684E8278" w:rsidR="004C68BC" w:rsidRPr="004C68BC" w:rsidRDefault="004C68BC" w:rsidP="004C68BC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4C68BC">
        <w:rPr>
          <w:rFonts w:eastAsia="Times New Roman" w:cs="Arial"/>
          <w:color w:val="000000"/>
          <w:szCs w:val="20"/>
          <w:lang w:eastAsia="bg-BG"/>
        </w:rPr>
        <w:t>Инхибитори на моноаминооксидазата (с изключение на МАО-В инхибитори): Засилен хипотензивен ефект на бета-блокерите, но и риск от хипертензивна криза.</w:t>
      </w:r>
    </w:p>
    <w:p w14:paraId="194DD95C" w14:textId="77777777" w:rsidR="004C68BC" w:rsidRPr="004C68BC" w:rsidRDefault="004C68BC" w:rsidP="004C68BC">
      <w:pPr>
        <w:spacing w:line="240" w:lineRule="auto"/>
        <w:rPr>
          <w:rFonts w:eastAsia="Times New Roman" w:cs="Arial"/>
          <w:i/>
          <w:iCs/>
          <w:color w:val="000000"/>
          <w:szCs w:val="20"/>
          <w:lang w:eastAsia="bg-BG"/>
        </w:rPr>
      </w:pPr>
    </w:p>
    <w:p w14:paraId="1ABF23C4" w14:textId="633C3F1B" w:rsidR="004C68BC" w:rsidRPr="004C68BC" w:rsidRDefault="004C68BC" w:rsidP="004C68BC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4C68BC">
        <w:rPr>
          <w:rFonts w:eastAsia="Times New Roman" w:cs="Arial"/>
          <w:i/>
          <w:iCs/>
          <w:color w:val="000000"/>
          <w:szCs w:val="20"/>
          <w:lang w:eastAsia="bg-BG"/>
        </w:rPr>
        <w:t>Комбинации, изискващи повишено внимание</w:t>
      </w:r>
    </w:p>
    <w:p w14:paraId="31CBC8DB" w14:textId="77777777" w:rsidR="004C68BC" w:rsidRPr="004C68BC" w:rsidRDefault="004C68BC" w:rsidP="004C68BC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4C68BC">
        <w:rPr>
          <w:rFonts w:eastAsia="Times New Roman" w:cs="Arial"/>
          <w:color w:val="000000"/>
          <w:szCs w:val="20"/>
          <w:lang w:eastAsia="bg-BG"/>
        </w:rPr>
        <w:t>Клас I антиаритмични средства (напр. дизопирамид, хинидин): ефектът върху времето за провеждане през атриовентрикуларния възел може се засили, а отрицателният инотропен ефект може да се увеличи. (Необходимо е стриктно клинично и ЕКГ мониториране).</w:t>
      </w:r>
    </w:p>
    <w:p w14:paraId="2239E2D4" w14:textId="77777777" w:rsidR="004C68BC" w:rsidRPr="004C68BC" w:rsidRDefault="004C68BC" w:rsidP="004C68BC">
      <w:pPr>
        <w:spacing w:line="240" w:lineRule="auto"/>
        <w:rPr>
          <w:rFonts w:eastAsia="Times New Roman" w:cs="Arial"/>
          <w:color w:val="000000"/>
          <w:szCs w:val="20"/>
          <w:lang w:eastAsia="bg-BG"/>
        </w:rPr>
      </w:pPr>
    </w:p>
    <w:p w14:paraId="71E54B4D" w14:textId="5A985D23" w:rsidR="004C68BC" w:rsidRPr="004C68BC" w:rsidRDefault="004C68BC" w:rsidP="004C68BC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4C68BC">
        <w:rPr>
          <w:rFonts w:eastAsia="Times New Roman" w:cs="Arial"/>
          <w:color w:val="000000"/>
          <w:szCs w:val="20"/>
          <w:lang w:eastAsia="bg-BG"/>
        </w:rPr>
        <w:t>Клас Ш антиаритмични средства (напр. амиодарон): ефектът върху атриовентрикуларното проводно време може да се засили (вж. точка 4.4).</w:t>
      </w:r>
    </w:p>
    <w:p w14:paraId="526B8382" w14:textId="77777777" w:rsidR="004C68BC" w:rsidRPr="004C68BC" w:rsidRDefault="004C68BC" w:rsidP="004C68BC">
      <w:pPr>
        <w:spacing w:line="240" w:lineRule="auto"/>
        <w:rPr>
          <w:rFonts w:eastAsia="Times New Roman" w:cs="Arial"/>
          <w:color w:val="000000"/>
          <w:szCs w:val="20"/>
          <w:lang w:eastAsia="bg-BG"/>
        </w:rPr>
      </w:pPr>
    </w:p>
    <w:p w14:paraId="0486CFB3" w14:textId="21BFB410" w:rsidR="004C68BC" w:rsidRPr="004C68BC" w:rsidRDefault="004C68BC" w:rsidP="004C68BC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4C68BC">
        <w:rPr>
          <w:rFonts w:eastAsia="Times New Roman" w:cs="Arial"/>
          <w:color w:val="000000"/>
          <w:szCs w:val="20"/>
          <w:lang w:eastAsia="bg-BG"/>
        </w:rPr>
        <w:t>Калциеви антагонисти от дихидропиридинов тип: едновременната употреба може да повиши риска от хипотония; не може да бъде изключено увеличение на риска от допълнително влошаване на камерната помпена функция при пациенти със сърдечна недостатъчност.</w:t>
      </w:r>
    </w:p>
    <w:p w14:paraId="14C3E2E7" w14:textId="77777777" w:rsidR="004C68BC" w:rsidRPr="004C68BC" w:rsidRDefault="004C68BC" w:rsidP="004C68BC">
      <w:pPr>
        <w:spacing w:line="240" w:lineRule="auto"/>
        <w:rPr>
          <w:rFonts w:eastAsia="Times New Roman" w:cs="Arial"/>
          <w:color w:val="000000"/>
          <w:szCs w:val="20"/>
          <w:lang w:eastAsia="bg-BG"/>
        </w:rPr>
      </w:pPr>
    </w:p>
    <w:p w14:paraId="42DAA9EB" w14:textId="01A0E6D3" w:rsidR="004C68BC" w:rsidRPr="004C68BC" w:rsidRDefault="004C68BC" w:rsidP="004C68BC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4C68BC">
        <w:rPr>
          <w:rFonts w:eastAsia="Times New Roman" w:cs="Arial"/>
          <w:color w:val="000000"/>
          <w:szCs w:val="20"/>
          <w:lang w:eastAsia="bg-BG"/>
        </w:rPr>
        <w:t>Парасимпатикомиметици (включително такрин): времето за провеждане през атриовентрикуларния възел и/или брадикардията може да се увеличат (вж. също точка 4.4).</w:t>
      </w:r>
    </w:p>
    <w:p w14:paraId="0DE43D3E" w14:textId="77777777" w:rsidR="004C68BC" w:rsidRPr="004C68BC" w:rsidRDefault="004C68BC" w:rsidP="004C68BC">
      <w:pPr>
        <w:spacing w:line="240" w:lineRule="auto"/>
        <w:rPr>
          <w:rFonts w:eastAsia="Times New Roman" w:cs="Arial"/>
          <w:color w:val="000000"/>
          <w:szCs w:val="20"/>
          <w:lang w:eastAsia="bg-BG"/>
        </w:rPr>
      </w:pPr>
    </w:p>
    <w:p w14:paraId="59B5766F" w14:textId="39E47EE0" w:rsidR="004C68BC" w:rsidRPr="004C68BC" w:rsidRDefault="004C68BC" w:rsidP="004C68BC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4C68BC">
        <w:rPr>
          <w:rFonts w:eastAsia="Times New Roman" w:cs="Arial"/>
          <w:color w:val="000000"/>
          <w:szCs w:val="20"/>
          <w:lang w:eastAsia="bg-BG"/>
        </w:rPr>
        <w:t>Други бета-блокери, включително локални бета-блокери (напр. очни капки за лечение на глаукома) могат да допринесат за системните ефекти на бисопролол.</w:t>
      </w:r>
    </w:p>
    <w:p w14:paraId="2481BF93" w14:textId="77777777" w:rsidR="004C68BC" w:rsidRPr="004C68BC" w:rsidRDefault="004C68BC" w:rsidP="004C68BC">
      <w:pPr>
        <w:spacing w:line="240" w:lineRule="auto"/>
        <w:rPr>
          <w:rFonts w:eastAsia="Times New Roman" w:cs="Arial"/>
          <w:color w:val="000000"/>
          <w:szCs w:val="20"/>
          <w:lang w:eastAsia="bg-BG"/>
        </w:rPr>
      </w:pPr>
    </w:p>
    <w:p w14:paraId="218D66E7" w14:textId="080E37DD" w:rsidR="004C68BC" w:rsidRPr="004C68BC" w:rsidRDefault="004C68BC" w:rsidP="004C68BC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4C68BC">
        <w:rPr>
          <w:rFonts w:eastAsia="Times New Roman" w:cs="Arial"/>
          <w:color w:val="000000"/>
          <w:szCs w:val="20"/>
          <w:lang w:eastAsia="bg-BG"/>
        </w:rPr>
        <w:t>Инсулин и перорални антидиабетни средства: увеличават ефекта на понижаване на кръвната захар. Блокадата на бета-адренорецепгорите може да маскира симптомите на хипогликемия.</w:t>
      </w:r>
    </w:p>
    <w:p w14:paraId="17FE7C3A" w14:textId="77777777" w:rsidR="004C68BC" w:rsidRPr="004C68BC" w:rsidRDefault="004C68BC" w:rsidP="004C68BC">
      <w:pPr>
        <w:rPr>
          <w:rFonts w:eastAsia="Times New Roman" w:cs="Arial"/>
          <w:color w:val="000000"/>
          <w:szCs w:val="20"/>
          <w:lang w:eastAsia="bg-BG"/>
        </w:rPr>
      </w:pPr>
    </w:p>
    <w:p w14:paraId="7BF8E9A6" w14:textId="6521B9FF" w:rsidR="004C68BC" w:rsidRDefault="004C68BC" w:rsidP="004C68BC">
      <w:pPr>
        <w:rPr>
          <w:rFonts w:eastAsia="Times New Roman" w:cs="Arial"/>
          <w:color w:val="000000"/>
          <w:szCs w:val="20"/>
          <w:lang w:eastAsia="bg-BG"/>
        </w:rPr>
      </w:pPr>
      <w:r w:rsidRPr="004C68BC">
        <w:rPr>
          <w:rFonts w:eastAsia="Times New Roman" w:cs="Arial"/>
          <w:color w:val="000000"/>
          <w:szCs w:val="20"/>
          <w:lang w:eastAsia="bg-BG"/>
        </w:rPr>
        <w:t>Дигиталисови гликозиди: намаляване на сърдечната честота, увеличаване на времето за  провеждане през атриовентрикуларния възел.</w:t>
      </w:r>
    </w:p>
    <w:p w14:paraId="59E95C1A" w14:textId="687F43EF" w:rsidR="004C68BC" w:rsidRDefault="004C68BC" w:rsidP="004C68BC">
      <w:pPr>
        <w:rPr>
          <w:rFonts w:eastAsia="Times New Roman" w:cs="Arial"/>
          <w:color w:val="000000"/>
          <w:szCs w:val="20"/>
          <w:lang w:eastAsia="bg-BG"/>
        </w:rPr>
      </w:pPr>
    </w:p>
    <w:p w14:paraId="7570FF58" w14:textId="77777777" w:rsidR="004C68BC" w:rsidRPr="004C68BC" w:rsidRDefault="004C68BC" w:rsidP="004C68BC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4C68BC">
        <w:rPr>
          <w:rFonts w:eastAsia="Times New Roman" w:cs="Arial"/>
          <w:color w:val="000000"/>
          <w:szCs w:val="20"/>
          <w:lang w:eastAsia="bg-BG"/>
        </w:rPr>
        <w:lastRenderedPageBreak/>
        <w:t>Анестетици: отслабване на рефлекторната тахикардия и повишен риск от хипотония (за повече информация относно анестетици вж. също точка 4.4).</w:t>
      </w:r>
    </w:p>
    <w:p w14:paraId="3C3F6835" w14:textId="77777777" w:rsidR="004C68BC" w:rsidRPr="004C68BC" w:rsidRDefault="004C68BC" w:rsidP="004C68BC">
      <w:pPr>
        <w:spacing w:line="240" w:lineRule="auto"/>
        <w:rPr>
          <w:rFonts w:eastAsia="Times New Roman" w:cs="Arial"/>
          <w:color w:val="000000"/>
          <w:szCs w:val="20"/>
          <w:lang w:eastAsia="bg-BG"/>
        </w:rPr>
      </w:pPr>
    </w:p>
    <w:p w14:paraId="0B00BA86" w14:textId="6B51CD57" w:rsidR="004C68BC" w:rsidRPr="004C68BC" w:rsidRDefault="004C68BC" w:rsidP="004C68BC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4C68BC">
        <w:rPr>
          <w:rFonts w:eastAsia="Times New Roman" w:cs="Arial"/>
          <w:color w:val="000000"/>
          <w:szCs w:val="20"/>
          <w:lang w:eastAsia="bg-BG"/>
        </w:rPr>
        <w:t>Ерготаминови производни: влошаване на периферните циркулаторни нарушения.</w:t>
      </w:r>
    </w:p>
    <w:p w14:paraId="3F113D37" w14:textId="77777777" w:rsidR="004C68BC" w:rsidRPr="004C68BC" w:rsidRDefault="004C68BC" w:rsidP="004C68BC">
      <w:pPr>
        <w:spacing w:line="240" w:lineRule="auto"/>
        <w:rPr>
          <w:rFonts w:eastAsia="Times New Roman" w:cs="Arial"/>
          <w:color w:val="000000"/>
          <w:szCs w:val="20"/>
          <w:lang w:eastAsia="bg-BG"/>
        </w:rPr>
      </w:pPr>
    </w:p>
    <w:p w14:paraId="36005B5B" w14:textId="678D9EC8" w:rsidR="004C68BC" w:rsidRPr="004C68BC" w:rsidRDefault="004C68BC" w:rsidP="004C68BC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4C68BC">
        <w:rPr>
          <w:rFonts w:eastAsia="Times New Roman" w:cs="Arial"/>
          <w:color w:val="000000"/>
          <w:szCs w:val="20"/>
          <w:lang w:eastAsia="bg-BG"/>
        </w:rPr>
        <w:t>Бета-симпатикомиметици (напр. изопреналин, добутамин): комбинацията с бисопролол фумарат може да намали ефектите и на двата лекарствени продукта.</w:t>
      </w:r>
    </w:p>
    <w:p w14:paraId="5624BAB3" w14:textId="77777777" w:rsidR="004C68BC" w:rsidRPr="004C68BC" w:rsidRDefault="004C68BC" w:rsidP="004C68BC">
      <w:pPr>
        <w:spacing w:line="240" w:lineRule="auto"/>
        <w:rPr>
          <w:rFonts w:eastAsia="Times New Roman" w:cs="Arial"/>
          <w:color w:val="000000"/>
          <w:szCs w:val="20"/>
          <w:lang w:eastAsia="bg-BG"/>
        </w:rPr>
      </w:pPr>
    </w:p>
    <w:p w14:paraId="46BD8022" w14:textId="136649AA" w:rsidR="004C68BC" w:rsidRPr="004C68BC" w:rsidRDefault="004C68BC" w:rsidP="004C68BC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4C68BC">
        <w:rPr>
          <w:rFonts w:eastAsia="Times New Roman" w:cs="Arial"/>
          <w:color w:val="000000"/>
          <w:szCs w:val="20"/>
          <w:lang w:eastAsia="bg-BG"/>
        </w:rPr>
        <w:t>Симпатикомиметици, които активират както бета, така и алфа-адренорецепторите (напр. норепинефрин, епинефрин): Комбинацията с бисопролол може да демаскира алфа- адренорецепторно-медиираните вазоконстрикторни ефекти на тези средства и да доведе до повишаване на кръвното налягане и влошаване на интермитентно клаудикацио. Такива взаимодействия се считат за по-вероятни при неселективните бета-блокери.</w:t>
      </w:r>
    </w:p>
    <w:p w14:paraId="641387A0" w14:textId="77777777" w:rsidR="004C68BC" w:rsidRPr="004C68BC" w:rsidRDefault="004C68BC" w:rsidP="004C68BC">
      <w:pPr>
        <w:spacing w:line="240" w:lineRule="auto"/>
        <w:rPr>
          <w:rFonts w:eastAsia="Times New Roman" w:cs="Arial"/>
          <w:color w:val="000000"/>
          <w:szCs w:val="20"/>
          <w:lang w:eastAsia="bg-BG"/>
        </w:rPr>
      </w:pPr>
    </w:p>
    <w:p w14:paraId="6EE97C87" w14:textId="5A1B4ADB" w:rsidR="004C68BC" w:rsidRPr="004C68BC" w:rsidRDefault="004C68BC" w:rsidP="004C68BC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4C68BC">
        <w:rPr>
          <w:rFonts w:eastAsia="Times New Roman" w:cs="Arial"/>
          <w:color w:val="000000"/>
          <w:szCs w:val="20"/>
          <w:lang w:eastAsia="bg-BG"/>
        </w:rPr>
        <w:t>Трициклични антидепресанти, барбитурати, фенотиазини, както и други антихипертензивни средства и други лекарствени продукти с хипотензивен потенциал: повишен риск от хипотония.</w:t>
      </w:r>
    </w:p>
    <w:p w14:paraId="2A7F0661" w14:textId="77777777" w:rsidR="004C68BC" w:rsidRPr="004C68BC" w:rsidRDefault="004C68BC" w:rsidP="004C68BC">
      <w:pPr>
        <w:spacing w:line="240" w:lineRule="auto"/>
        <w:rPr>
          <w:rFonts w:eastAsia="Times New Roman" w:cs="Arial"/>
          <w:color w:val="000000"/>
          <w:szCs w:val="20"/>
          <w:lang w:eastAsia="bg-BG"/>
        </w:rPr>
      </w:pPr>
    </w:p>
    <w:p w14:paraId="0E5B41A1" w14:textId="5C46FDAF" w:rsidR="004C68BC" w:rsidRPr="004C68BC" w:rsidRDefault="004C68BC" w:rsidP="004C68BC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4C68BC">
        <w:rPr>
          <w:rFonts w:eastAsia="Times New Roman" w:cs="Arial"/>
          <w:color w:val="000000"/>
          <w:szCs w:val="20"/>
          <w:lang w:eastAsia="bg-BG"/>
        </w:rPr>
        <w:t>Баклофен: повишена антихипертензивна активност</w:t>
      </w:r>
    </w:p>
    <w:p w14:paraId="238E0190" w14:textId="77777777" w:rsidR="004C68BC" w:rsidRPr="004C68BC" w:rsidRDefault="004C68BC" w:rsidP="004C68BC">
      <w:pPr>
        <w:spacing w:line="240" w:lineRule="auto"/>
        <w:rPr>
          <w:rFonts w:eastAsia="Times New Roman" w:cs="Arial"/>
          <w:color w:val="000000"/>
          <w:szCs w:val="20"/>
          <w:lang w:eastAsia="bg-BG"/>
        </w:rPr>
      </w:pPr>
    </w:p>
    <w:p w14:paraId="5DF17742" w14:textId="66248EFA" w:rsidR="004C68BC" w:rsidRPr="004C68BC" w:rsidRDefault="004C68BC" w:rsidP="004C68BC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4C68BC">
        <w:rPr>
          <w:rFonts w:eastAsia="Times New Roman" w:cs="Arial"/>
          <w:color w:val="000000"/>
          <w:szCs w:val="20"/>
          <w:lang w:eastAsia="bg-BG"/>
        </w:rPr>
        <w:t>Амифостин: повишена хипотензивна активност</w:t>
      </w:r>
    </w:p>
    <w:p w14:paraId="0D5EEB51" w14:textId="77777777" w:rsidR="004C68BC" w:rsidRPr="004C68BC" w:rsidRDefault="004C68BC" w:rsidP="004C68BC">
      <w:pPr>
        <w:spacing w:line="240" w:lineRule="auto"/>
        <w:rPr>
          <w:rFonts w:eastAsia="Times New Roman" w:cs="Arial"/>
          <w:color w:val="000000"/>
          <w:szCs w:val="20"/>
          <w:lang w:eastAsia="bg-BG"/>
        </w:rPr>
      </w:pPr>
    </w:p>
    <w:p w14:paraId="1378FA8B" w14:textId="19DEA4A4" w:rsidR="004C68BC" w:rsidRPr="004C68BC" w:rsidRDefault="004C68BC" w:rsidP="004C68BC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4C68BC">
        <w:rPr>
          <w:rFonts w:eastAsia="Times New Roman" w:cs="Arial"/>
          <w:color w:val="000000"/>
          <w:szCs w:val="20"/>
          <w:lang w:eastAsia="bg-BG"/>
        </w:rPr>
        <w:t>Нестероидни противовъзпалителни средства (НСПВС): нестероидните противовъзпалителни средства могат да понижат хипотензивния ефект на бисопролол (потискане на вазодилатативен простагландин от НСПВС и водна и солева задръжка с пиразолонови НСПВС)</w:t>
      </w:r>
    </w:p>
    <w:p w14:paraId="0C29A325" w14:textId="77777777" w:rsidR="004C68BC" w:rsidRPr="004C68BC" w:rsidRDefault="004C68BC" w:rsidP="004C68BC">
      <w:pPr>
        <w:spacing w:line="240" w:lineRule="auto"/>
        <w:rPr>
          <w:rFonts w:eastAsia="Times New Roman" w:cs="Arial"/>
          <w:i/>
          <w:iCs/>
          <w:color w:val="000000"/>
          <w:szCs w:val="20"/>
          <w:lang w:eastAsia="bg-BG"/>
        </w:rPr>
      </w:pPr>
    </w:p>
    <w:p w14:paraId="233058A0" w14:textId="0D763DB3" w:rsidR="004C68BC" w:rsidRPr="004C68BC" w:rsidRDefault="004C68BC" w:rsidP="004C68BC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4C68BC">
        <w:rPr>
          <w:rFonts w:eastAsia="Times New Roman" w:cs="Arial"/>
          <w:i/>
          <w:iCs/>
          <w:color w:val="000000"/>
          <w:szCs w:val="20"/>
          <w:lang w:eastAsia="bg-BG"/>
        </w:rPr>
        <w:t xml:space="preserve">Комбинации, които трябва да се вземат предвид </w:t>
      </w:r>
      <w:r w:rsidRPr="004C68BC">
        <w:rPr>
          <w:rFonts w:eastAsia="Times New Roman" w:cs="Arial"/>
          <w:color w:val="000000"/>
          <w:szCs w:val="20"/>
          <w:lang w:eastAsia="bg-BG"/>
        </w:rPr>
        <w:t>Мефлокин: повишен риск от брадикардия.</w:t>
      </w:r>
    </w:p>
    <w:p w14:paraId="0BFE5634" w14:textId="77777777" w:rsidR="004C68BC" w:rsidRPr="004C68BC" w:rsidRDefault="004C68BC" w:rsidP="004C68BC">
      <w:pPr>
        <w:spacing w:line="240" w:lineRule="auto"/>
        <w:rPr>
          <w:rFonts w:eastAsia="Times New Roman" w:cs="Arial"/>
          <w:color w:val="000000"/>
          <w:szCs w:val="20"/>
          <w:lang w:eastAsia="bg-BG"/>
        </w:rPr>
      </w:pPr>
    </w:p>
    <w:p w14:paraId="10C4B976" w14:textId="34646EE0" w:rsidR="004C68BC" w:rsidRPr="004C68BC" w:rsidRDefault="004C68BC" w:rsidP="004C68BC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4C68BC">
        <w:rPr>
          <w:rFonts w:eastAsia="Times New Roman" w:cs="Arial"/>
          <w:color w:val="000000"/>
          <w:szCs w:val="20"/>
          <w:lang w:eastAsia="bg-BG"/>
        </w:rPr>
        <w:t>Кортикостероиди: отслабване на антихипертензивния ефект поради задържане на вода и натрий.</w:t>
      </w:r>
    </w:p>
    <w:p w14:paraId="56EEAE21" w14:textId="77777777" w:rsidR="004C68BC" w:rsidRPr="004C68BC" w:rsidRDefault="004C68BC" w:rsidP="004C68BC">
      <w:pPr>
        <w:spacing w:line="240" w:lineRule="auto"/>
        <w:rPr>
          <w:rFonts w:eastAsia="Times New Roman" w:cs="Arial"/>
          <w:color w:val="000000"/>
          <w:szCs w:val="20"/>
          <w:lang w:eastAsia="bg-BG"/>
        </w:rPr>
      </w:pPr>
    </w:p>
    <w:p w14:paraId="660B9458" w14:textId="373DBFAA" w:rsidR="004C68BC" w:rsidRPr="004C68BC" w:rsidRDefault="004C68BC" w:rsidP="004C68BC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4C68BC">
        <w:rPr>
          <w:rFonts w:eastAsia="Times New Roman" w:cs="Arial"/>
          <w:color w:val="000000"/>
          <w:szCs w:val="20"/>
          <w:lang w:eastAsia="bg-BG"/>
        </w:rPr>
        <w:t>Моноаминооксидазни инхибитори (с изключение на МАО-В инхибиторите): засилват хипотензивния ефект на бета-блокерите, но също така увеличават риска от хипертензивна криза.</w:t>
      </w:r>
    </w:p>
    <w:p w14:paraId="6023225B" w14:textId="77777777" w:rsidR="004C68BC" w:rsidRPr="004C68BC" w:rsidRDefault="004C68BC" w:rsidP="004C68BC">
      <w:pPr>
        <w:rPr>
          <w:rFonts w:eastAsia="Times New Roman" w:cs="Arial"/>
          <w:color w:val="000000"/>
          <w:szCs w:val="20"/>
          <w:lang w:eastAsia="bg-BG"/>
        </w:rPr>
      </w:pPr>
    </w:p>
    <w:p w14:paraId="755E16A4" w14:textId="259FCAEE" w:rsidR="004C68BC" w:rsidRDefault="004C68BC" w:rsidP="004C68BC">
      <w:pPr>
        <w:rPr>
          <w:rFonts w:eastAsia="Times New Roman" w:cs="Arial"/>
          <w:color w:val="000000"/>
          <w:szCs w:val="20"/>
          <w:lang w:eastAsia="bg-BG"/>
        </w:rPr>
      </w:pPr>
      <w:r w:rsidRPr="004C68BC">
        <w:rPr>
          <w:rFonts w:eastAsia="Times New Roman" w:cs="Arial"/>
          <w:color w:val="000000"/>
          <w:szCs w:val="20"/>
          <w:lang w:eastAsia="bg-BG"/>
        </w:rPr>
        <w:t>Рифампицин: възможно е слабо намаляване на елиминационния полуживот на бисопролол поради индукцията на чернодробните ензими, метаболизиращи лекарството. Обикновено не е необходимо адаптиране на дозировката.</w:t>
      </w:r>
    </w:p>
    <w:p w14:paraId="7E38E0D4" w14:textId="77777777" w:rsidR="004C68BC" w:rsidRPr="004C68BC" w:rsidRDefault="004C68BC" w:rsidP="004C68BC">
      <w:pPr>
        <w:rPr>
          <w:rFonts w:cs="Arial"/>
          <w:sz w:val="28"/>
        </w:rPr>
      </w:pPr>
    </w:p>
    <w:p w14:paraId="394A7584" w14:textId="51730AA5" w:rsidR="004F498A" w:rsidRDefault="002C50EE" w:rsidP="004A448E">
      <w:pPr>
        <w:pStyle w:val="Heading2"/>
      </w:pPr>
      <w:r>
        <w:t>4.6. Фертилитет, бременност и кърмене</w:t>
      </w:r>
    </w:p>
    <w:p w14:paraId="456C437E" w14:textId="656613A9" w:rsidR="004C68BC" w:rsidRDefault="004C68BC" w:rsidP="004C68BC"/>
    <w:p w14:paraId="30DE2AC2" w14:textId="77777777" w:rsidR="004C68BC" w:rsidRPr="004C68BC" w:rsidRDefault="004C68BC" w:rsidP="004C68BC">
      <w:pPr>
        <w:pStyle w:val="Heading3"/>
        <w:rPr>
          <w:rFonts w:eastAsia="Times New Roman"/>
          <w:sz w:val="28"/>
          <w:u w:val="single"/>
          <w:lang w:eastAsia="bg-BG"/>
        </w:rPr>
      </w:pPr>
      <w:r w:rsidRPr="004C68BC">
        <w:rPr>
          <w:rFonts w:eastAsia="Times New Roman"/>
          <w:u w:val="single"/>
          <w:lang w:eastAsia="bg-BG"/>
        </w:rPr>
        <w:t>Бременност:</w:t>
      </w:r>
    </w:p>
    <w:p w14:paraId="561B3270" w14:textId="77777777" w:rsidR="004C68BC" w:rsidRPr="004C68BC" w:rsidRDefault="004C68BC" w:rsidP="004C68BC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4C68BC">
        <w:rPr>
          <w:rFonts w:eastAsia="Times New Roman" w:cs="Arial"/>
          <w:color w:val="000000"/>
          <w:szCs w:val="20"/>
          <w:lang w:eastAsia="bg-BG"/>
        </w:rPr>
        <w:t xml:space="preserve">Бисопролол фумарат притежава фармакологични ефекти, които могат да предизвикат увреждащо действие върху бременността и/или плода/новороденото. Най-общо, бета- адренорецепторните блокери редуцират плацентната перфузия, което се свързва със забавяне на растежа, интраутеринна смърт, аборт или преждевременно раждане. Нежелани реакции (напр. хипогликемия, брадикардия) могат да настъпят при плода и </w:t>
      </w:r>
      <w:r w:rsidRPr="004C68BC">
        <w:rPr>
          <w:rFonts w:eastAsia="Times New Roman" w:cs="Arial"/>
          <w:color w:val="000000"/>
          <w:szCs w:val="20"/>
          <w:lang w:eastAsia="bg-BG"/>
        </w:rPr>
        <w:lastRenderedPageBreak/>
        <w:t>новороденото. Ако е необходимо провеждане на лечение с бета-адренорецепторни блокери, за предпочитане са бета</w:t>
      </w:r>
      <w:r w:rsidRPr="004C68BC">
        <w:rPr>
          <w:rFonts w:eastAsia="Times New Roman" w:cs="Arial"/>
          <w:color w:val="000000"/>
          <w:szCs w:val="20"/>
          <w:vertAlign w:val="subscript"/>
          <w:lang w:eastAsia="bg-BG"/>
        </w:rPr>
        <w:t>1</w:t>
      </w:r>
      <w:r w:rsidRPr="004C68BC">
        <w:rPr>
          <w:rFonts w:eastAsia="Times New Roman" w:cs="Arial"/>
          <w:color w:val="000000"/>
          <w:szCs w:val="20"/>
          <w:lang w:eastAsia="bg-BG"/>
        </w:rPr>
        <w:t>-блокери.</w:t>
      </w:r>
    </w:p>
    <w:p w14:paraId="180D20E6" w14:textId="56ED7775" w:rsidR="004C68BC" w:rsidRPr="004C68BC" w:rsidRDefault="004C68BC" w:rsidP="004C68BC">
      <w:pPr>
        <w:rPr>
          <w:rFonts w:eastAsia="Times New Roman" w:cs="Arial"/>
          <w:color w:val="000000"/>
          <w:szCs w:val="20"/>
          <w:lang w:eastAsia="bg-BG"/>
        </w:rPr>
      </w:pPr>
      <w:r w:rsidRPr="004C68BC">
        <w:rPr>
          <w:rFonts w:eastAsia="Times New Roman" w:cs="Arial"/>
          <w:color w:val="000000"/>
          <w:szCs w:val="20"/>
          <w:lang w:eastAsia="bg-BG"/>
        </w:rPr>
        <w:t>Бисопролол фумарат не трябва да се употребява по време на бременност, освен ако не е категорично необходимо. Ако лечението с бисопролол се счита за необходимо, трябва да се наблюдават маточноплацентното кръвоснабдяване и растежа на плода. В случай на неблагоприятни ефекти върху бременността или плода, трябва да се обмисли алтернативно лечение. Новороденото трябва да бъде наблюдавано внимателно. Симптоми на хипогликемия и брадикардия обикновено могат да се очакват през първите 3 дни.</w:t>
      </w:r>
    </w:p>
    <w:p w14:paraId="6F0CA655" w14:textId="5355FB1F" w:rsidR="004C68BC" w:rsidRPr="004C68BC" w:rsidRDefault="004C68BC" w:rsidP="004C68BC">
      <w:pPr>
        <w:rPr>
          <w:rFonts w:eastAsia="Times New Roman" w:cs="Arial"/>
          <w:color w:val="000000"/>
          <w:szCs w:val="20"/>
          <w:lang w:eastAsia="bg-BG"/>
        </w:rPr>
      </w:pPr>
    </w:p>
    <w:p w14:paraId="26FB91DD" w14:textId="77777777" w:rsidR="004C68BC" w:rsidRPr="004C68BC" w:rsidRDefault="004C68BC" w:rsidP="004C68BC">
      <w:pPr>
        <w:pStyle w:val="Heading3"/>
        <w:rPr>
          <w:rFonts w:eastAsia="Times New Roman"/>
          <w:sz w:val="28"/>
          <w:u w:val="single"/>
          <w:lang w:eastAsia="bg-BG"/>
        </w:rPr>
      </w:pPr>
      <w:r w:rsidRPr="004C68BC">
        <w:rPr>
          <w:rFonts w:eastAsia="Times New Roman"/>
          <w:u w:val="single"/>
          <w:lang w:eastAsia="bg-BG"/>
        </w:rPr>
        <w:t>Кърмене:</w:t>
      </w:r>
    </w:p>
    <w:p w14:paraId="248FB200" w14:textId="512999AD" w:rsidR="004C68BC" w:rsidRPr="004C68BC" w:rsidRDefault="004C68BC" w:rsidP="004C68BC">
      <w:pPr>
        <w:rPr>
          <w:rFonts w:eastAsia="Times New Roman" w:cs="Arial"/>
          <w:color w:val="000000"/>
          <w:szCs w:val="20"/>
          <w:lang w:eastAsia="bg-BG"/>
        </w:rPr>
      </w:pPr>
      <w:r w:rsidRPr="004C68BC">
        <w:rPr>
          <w:rFonts w:eastAsia="Times New Roman" w:cs="Arial"/>
          <w:color w:val="000000"/>
          <w:szCs w:val="20"/>
          <w:lang w:eastAsia="bg-BG"/>
        </w:rPr>
        <w:t>Не е известно дали бисопролол фумарат се екскретира в човешката кърма. Следователно, кърменето не се препоръчва по време на прилагане на бисопролол фумарат таблетки.</w:t>
      </w:r>
    </w:p>
    <w:p w14:paraId="43F96C9F" w14:textId="77777777" w:rsidR="004C68BC" w:rsidRPr="004C68BC" w:rsidRDefault="004C68BC" w:rsidP="004C68BC"/>
    <w:p w14:paraId="064DF1DE" w14:textId="351C53DD" w:rsidR="00CF77F7" w:rsidRDefault="002C50EE" w:rsidP="004A448E">
      <w:pPr>
        <w:pStyle w:val="Heading2"/>
      </w:pPr>
      <w:r>
        <w:t>4.7. Ефекти върху способността за шофиране и работа с машини</w:t>
      </w:r>
    </w:p>
    <w:p w14:paraId="1ACA1AEE" w14:textId="5677E78A" w:rsidR="004C68BC" w:rsidRDefault="004C68BC" w:rsidP="004C68BC"/>
    <w:p w14:paraId="61321D0F" w14:textId="77777777" w:rsidR="004C68BC" w:rsidRPr="004C68BC" w:rsidRDefault="004C68BC" w:rsidP="004C68BC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4C68BC">
        <w:rPr>
          <w:rFonts w:eastAsia="Times New Roman" w:cs="Arial"/>
          <w:color w:val="000000"/>
          <w:szCs w:val="20"/>
          <w:lang w:eastAsia="bg-BG"/>
        </w:rPr>
        <w:t>Този лекарствен продукт може да повлияе незначително способностите за шофиране и работа с машини.</w:t>
      </w:r>
    </w:p>
    <w:p w14:paraId="50FA731F" w14:textId="2147F455" w:rsidR="004C68BC" w:rsidRPr="004C68BC" w:rsidRDefault="004C68BC" w:rsidP="004C68BC">
      <w:pPr>
        <w:rPr>
          <w:rFonts w:eastAsia="Times New Roman" w:cs="Arial"/>
          <w:color w:val="000000"/>
          <w:szCs w:val="20"/>
          <w:lang w:eastAsia="bg-BG"/>
        </w:rPr>
      </w:pPr>
      <w:r w:rsidRPr="004C68BC">
        <w:rPr>
          <w:rFonts w:eastAsia="Times New Roman" w:cs="Arial"/>
          <w:color w:val="000000"/>
          <w:szCs w:val="20"/>
          <w:lang w:eastAsia="bg-BG"/>
        </w:rPr>
        <w:t>В проучване при пациенти с исхемична болест на сърцето, бисопролол не нарушава способността за шофиране. Въпреки това, поради индивидуалните вариации на реакциите към лекарствения продукт, способността за шофиране и работа с машини може да бъде нарушена. Това трябва да се вземе под внимание особено в началото на лечението, при смяна на лечението, също така и при употреба на алкохол.</w:t>
      </w:r>
    </w:p>
    <w:p w14:paraId="60751AF2" w14:textId="77777777" w:rsidR="004C68BC" w:rsidRPr="004C68BC" w:rsidRDefault="004C68BC" w:rsidP="004C68BC"/>
    <w:p w14:paraId="37A3FD9F" w14:textId="5D9A4B38" w:rsidR="00CF77F7" w:rsidRDefault="002C50EE" w:rsidP="004A448E">
      <w:pPr>
        <w:pStyle w:val="Heading2"/>
      </w:pPr>
      <w:r>
        <w:t>4.8. Нежелани лекарствени реакции</w:t>
      </w:r>
    </w:p>
    <w:p w14:paraId="03449277" w14:textId="78B3A104" w:rsidR="004C68BC" w:rsidRDefault="004C68BC" w:rsidP="004C68BC"/>
    <w:p w14:paraId="001CC13F" w14:textId="77777777" w:rsidR="004C68BC" w:rsidRPr="004C68BC" w:rsidRDefault="004C68BC" w:rsidP="004C68BC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4C68BC">
        <w:rPr>
          <w:rFonts w:eastAsia="Times New Roman" w:cs="Arial"/>
          <w:color w:val="000000"/>
          <w:szCs w:val="20"/>
          <w:lang w:eastAsia="bg-BG"/>
        </w:rPr>
        <w:t>Следната терминология е използвана при класификацията на наблюдаваните нежелани лекарствени реакции:</w:t>
      </w:r>
    </w:p>
    <w:p w14:paraId="6825370B" w14:textId="77777777" w:rsidR="004C68BC" w:rsidRPr="004C68BC" w:rsidRDefault="004C68BC" w:rsidP="004C68BC">
      <w:pPr>
        <w:spacing w:line="240" w:lineRule="auto"/>
        <w:rPr>
          <w:rFonts w:eastAsia="Times New Roman" w:cs="Arial"/>
          <w:color w:val="000000"/>
          <w:szCs w:val="20"/>
          <w:lang w:eastAsia="bg-BG"/>
        </w:rPr>
      </w:pPr>
    </w:p>
    <w:p w14:paraId="6A2E4BA0" w14:textId="69EA9A10" w:rsidR="004C68BC" w:rsidRPr="004C68BC" w:rsidRDefault="004C68BC" w:rsidP="004C68BC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4C68BC">
        <w:rPr>
          <w:rFonts w:eastAsia="Times New Roman" w:cs="Arial"/>
          <w:color w:val="000000"/>
          <w:szCs w:val="20"/>
          <w:lang w:eastAsia="bg-BG"/>
        </w:rPr>
        <w:t>Много чести (≥ 1/10)</w:t>
      </w:r>
    </w:p>
    <w:p w14:paraId="0D182CBF" w14:textId="77777777" w:rsidR="004C68BC" w:rsidRPr="004C68BC" w:rsidRDefault="004C68BC" w:rsidP="004C68BC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4C68BC">
        <w:rPr>
          <w:rFonts w:eastAsia="Times New Roman" w:cs="Arial"/>
          <w:color w:val="000000"/>
          <w:szCs w:val="20"/>
          <w:lang w:eastAsia="bg-BG"/>
        </w:rPr>
        <w:t>Чести (≥ 1/100 до &lt; 1/10)</w:t>
      </w:r>
    </w:p>
    <w:p w14:paraId="7379414C" w14:textId="77777777" w:rsidR="004C68BC" w:rsidRPr="004C68BC" w:rsidRDefault="004C68BC" w:rsidP="004C68BC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4C68BC">
        <w:rPr>
          <w:rFonts w:eastAsia="Times New Roman" w:cs="Arial"/>
          <w:color w:val="000000"/>
          <w:szCs w:val="20"/>
          <w:lang w:eastAsia="bg-BG"/>
        </w:rPr>
        <w:t>Нечести (≥ 1/1 000 до &lt; 1/100)</w:t>
      </w:r>
    </w:p>
    <w:p w14:paraId="0DCAFD5E" w14:textId="77777777" w:rsidR="004C68BC" w:rsidRPr="004C68BC" w:rsidRDefault="004C68BC" w:rsidP="004C68BC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4C68BC">
        <w:rPr>
          <w:rFonts w:eastAsia="Times New Roman" w:cs="Arial"/>
          <w:color w:val="000000"/>
          <w:szCs w:val="20"/>
          <w:lang w:eastAsia="bg-BG"/>
        </w:rPr>
        <w:t>Редки (≥ 1/10 000 до &lt; 1/1 000)</w:t>
      </w:r>
    </w:p>
    <w:p w14:paraId="3F66C342" w14:textId="77777777" w:rsidR="004C68BC" w:rsidRPr="004C68BC" w:rsidRDefault="004C68BC" w:rsidP="004C68BC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4C68BC">
        <w:rPr>
          <w:rFonts w:eastAsia="Times New Roman" w:cs="Arial"/>
          <w:color w:val="000000"/>
          <w:szCs w:val="20"/>
          <w:lang w:eastAsia="bg-BG"/>
        </w:rPr>
        <w:t>Много редки (&lt; 1/10 000)</w:t>
      </w:r>
    </w:p>
    <w:p w14:paraId="645D9916" w14:textId="77777777" w:rsidR="004C68BC" w:rsidRPr="004C68BC" w:rsidRDefault="004C68BC" w:rsidP="004C68BC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4C68BC">
        <w:rPr>
          <w:rFonts w:eastAsia="Times New Roman" w:cs="Arial"/>
          <w:color w:val="000000"/>
          <w:szCs w:val="20"/>
          <w:lang w:eastAsia="bg-BG"/>
        </w:rPr>
        <w:t>С неизвестна честота (честотата не може да бъде определена от наличните данни)</w:t>
      </w:r>
    </w:p>
    <w:p w14:paraId="63179C1F" w14:textId="77777777" w:rsidR="004C68BC" w:rsidRPr="004C68BC" w:rsidRDefault="004C68BC" w:rsidP="004C68BC">
      <w:pPr>
        <w:spacing w:line="240" w:lineRule="auto"/>
        <w:rPr>
          <w:rFonts w:eastAsia="Times New Roman" w:cs="Arial"/>
          <w:color w:val="000000"/>
          <w:szCs w:val="20"/>
          <w:u w:val="single"/>
          <w:lang w:eastAsia="bg-BG"/>
        </w:rPr>
      </w:pPr>
    </w:p>
    <w:p w14:paraId="75C6C039" w14:textId="76BD9C06" w:rsidR="004C68BC" w:rsidRPr="004C68BC" w:rsidRDefault="004C68BC" w:rsidP="004C68BC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4C68BC">
        <w:rPr>
          <w:rFonts w:eastAsia="Times New Roman" w:cs="Arial"/>
          <w:color w:val="000000"/>
          <w:szCs w:val="20"/>
          <w:u w:val="single"/>
          <w:lang w:eastAsia="bg-BG"/>
        </w:rPr>
        <w:t>Нарушения на имунната система</w:t>
      </w:r>
    </w:p>
    <w:p w14:paraId="64C945BD" w14:textId="21092975" w:rsidR="004C68BC" w:rsidRPr="004C68BC" w:rsidRDefault="004C68BC" w:rsidP="004C68BC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4C68BC">
        <w:rPr>
          <w:rFonts w:eastAsia="Times New Roman" w:cs="Arial"/>
          <w:i/>
          <w:iCs/>
          <w:color w:val="000000"/>
          <w:szCs w:val="20"/>
          <w:lang w:eastAsia="bg-BG"/>
        </w:rPr>
        <w:t>Редки:</w:t>
      </w:r>
      <w:r w:rsidRPr="004C68BC">
        <w:rPr>
          <w:rFonts w:eastAsia="Times New Roman" w:cs="Arial"/>
          <w:color w:val="000000"/>
          <w:szCs w:val="20"/>
          <w:lang w:eastAsia="bg-BG"/>
        </w:rPr>
        <w:t xml:space="preserve"> Алергичен ринит, появата на антинуклеарни антитела с необичайни клинични</w:t>
      </w:r>
    </w:p>
    <w:p w14:paraId="18854764" w14:textId="77777777" w:rsidR="004C68BC" w:rsidRPr="004C68BC" w:rsidRDefault="004C68BC" w:rsidP="004C68BC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4C68BC">
        <w:rPr>
          <w:rFonts w:eastAsia="Times New Roman" w:cs="Arial"/>
          <w:color w:val="000000"/>
          <w:szCs w:val="20"/>
          <w:lang w:eastAsia="bg-BG"/>
        </w:rPr>
        <w:t>симптоми, като синдром на лупус, които отзвучават при прекратяване на лечението.</w:t>
      </w:r>
    </w:p>
    <w:p w14:paraId="2B4B7B7A" w14:textId="77777777" w:rsidR="004C68BC" w:rsidRPr="004C68BC" w:rsidRDefault="004C68BC" w:rsidP="004C68BC">
      <w:pPr>
        <w:spacing w:line="240" w:lineRule="auto"/>
        <w:rPr>
          <w:rFonts w:eastAsia="Times New Roman" w:cs="Arial"/>
          <w:color w:val="000000"/>
          <w:szCs w:val="20"/>
          <w:u w:val="single"/>
          <w:lang w:eastAsia="bg-BG"/>
        </w:rPr>
      </w:pPr>
    </w:p>
    <w:p w14:paraId="4C10981A" w14:textId="1BCD3A8A" w:rsidR="004C68BC" w:rsidRPr="004C68BC" w:rsidRDefault="004C68BC" w:rsidP="004C68BC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4C68BC">
        <w:rPr>
          <w:rFonts w:eastAsia="Times New Roman" w:cs="Arial"/>
          <w:color w:val="000000"/>
          <w:szCs w:val="20"/>
          <w:u w:val="single"/>
          <w:lang w:eastAsia="bg-BG"/>
        </w:rPr>
        <w:t>Нарушения на метаболизма и храненето</w:t>
      </w:r>
    </w:p>
    <w:p w14:paraId="33A7EFF1" w14:textId="56F422BD" w:rsidR="004C68BC" w:rsidRPr="004C68BC" w:rsidRDefault="004C68BC" w:rsidP="004C68BC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4C68BC">
        <w:rPr>
          <w:rFonts w:eastAsia="Times New Roman" w:cs="Arial"/>
          <w:i/>
          <w:iCs/>
          <w:color w:val="000000"/>
          <w:szCs w:val="20"/>
          <w:lang w:eastAsia="bg-BG"/>
        </w:rPr>
        <w:t>Редки:</w:t>
      </w:r>
      <w:r w:rsidRPr="004C68BC">
        <w:rPr>
          <w:rFonts w:eastAsia="Times New Roman" w:cs="Arial"/>
          <w:color w:val="000000"/>
          <w:szCs w:val="20"/>
          <w:lang w:eastAsia="bg-BG"/>
        </w:rPr>
        <w:t xml:space="preserve"> Повишени триглицериди, хипогликемия</w:t>
      </w:r>
    </w:p>
    <w:p w14:paraId="4CACC9DD" w14:textId="142C4231" w:rsidR="004C68BC" w:rsidRPr="004C68BC" w:rsidRDefault="004C68BC" w:rsidP="004C68BC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4C68BC">
        <w:rPr>
          <w:rFonts w:eastAsia="Times New Roman" w:cs="Arial"/>
          <w:i/>
          <w:iCs/>
          <w:color w:val="000000"/>
          <w:szCs w:val="20"/>
          <w:lang w:eastAsia="bg-BG"/>
        </w:rPr>
        <w:t>Много редки:</w:t>
      </w:r>
      <w:r w:rsidRPr="004C68BC">
        <w:rPr>
          <w:rFonts w:eastAsia="Times New Roman" w:cs="Arial"/>
          <w:color w:val="000000"/>
          <w:szCs w:val="20"/>
          <w:lang w:eastAsia="bg-BG"/>
        </w:rPr>
        <w:t xml:space="preserve"> </w:t>
      </w:r>
      <w:r w:rsidRPr="004C68BC">
        <w:rPr>
          <w:rFonts w:eastAsia="Times New Roman" w:cs="Arial"/>
          <w:color w:val="000000"/>
          <w:szCs w:val="20"/>
          <w:lang w:val="en-US" w:eastAsia="bg-BG"/>
        </w:rPr>
        <w:t xml:space="preserve"> </w:t>
      </w:r>
      <w:r w:rsidRPr="004C68BC">
        <w:rPr>
          <w:rFonts w:eastAsia="Times New Roman" w:cs="Arial"/>
          <w:color w:val="000000"/>
          <w:szCs w:val="20"/>
          <w:lang w:eastAsia="bg-BG"/>
        </w:rPr>
        <w:t>Хипогликемичен шок</w:t>
      </w:r>
    </w:p>
    <w:p w14:paraId="10B1ECE2" w14:textId="77777777" w:rsidR="004C68BC" w:rsidRPr="004C68BC" w:rsidRDefault="004C68BC" w:rsidP="004C68BC">
      <w:pPr>
        <w:spacing w:line="240" w:lineRule="auto"/>
        <w:rPr>
          <w:rFonts w:eastAsia="Times New Roman" w:cs="Arial"/>
          <w:color w:val="000000"/>
          <w:szCs w:val="20"/>
          <w:u w:val="single"/>
          <w:lang w:eastAsia="bg-BG"/>
        </w:rPr>
      </w:pPr>
    </w:p>
    <w:p w14:paraId="1BC910E8" w14:textId="09CCCBC5" w:rsidR="004C68BC" w:rsidRPr="004C68BC" w:rsidRDefault="004C68BC" w:rsidP="004C68BC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4C68BC">
        <w:rPr>
          <w:rFonts w:eastAsia="Times New Roman" w:cs="Arial"/>
          <w:color w:val="000000"/>
          <w:szCs w:val="20"/>
          <w:u w:val="single"/>
          <w:lang w:eastAsia="bg-BG"/>
        </w:rPr>
        <w:t>Психични нарушения</w:t>
      </w:r>
    </w:p>
    <w:p w14:paraId="0B9A6429" w14:textId="72E95537" w:rsidR="004C68BC" w:rsidRPr="004C68BC" w:rsidRDefault="004C68BC" w:rsidP="004C68BC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4C68BC">
        <w:rPr>
          <w:rFonts w:eastAsia="Times New Roman" w:cs="Arial"/>
          <w:i/>
          <w:iCs/>
          <w:color w:val="000000"/>
          <w:szCs w:val="20"/>
          <w:lang w:eastAsia="bg-BG"/>
        </w:rPr>
        <w:t>Нечести:</w:t>
      </w:r>
      <w:r w:rsidRPr="004C68BC">
        <w:rPr>
          <w:rFonts w:eastAsia="Times New Roman" w:cs="Arial"/>
          <w:color w:val="000000"/>
          <w:szCs w:val="20"/>
          <w:lang w:eastAsia="bg-BG"/>
        </w:rPr>
        <w:t xml:space="preserve"> Нарушения на съня, депресия</w:t>
      </w:r>
    </w:p>
    <w:p w14:paraId="3D011E22" w14:textId="3E644993" w:rsidR="004C68BC" w:rsidRPr="004C68BC" w:rsidRDefault="004C68BC" w:rsidP="004C68BC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4C68BC">
        <w:rPr>
          <w:rFonts w:eastAsia="Times New Roman" w:cs="Arial"/>
          <w:i/>
          <w:iCs/>
          <w:color w:val="000000"/>
          <w:szCs w:val="20"/>
          <w:lang w:eastAsia="bg-BG"/>
        </w:rPr>
        <w:t>Редки:</w:t>
      </w:r>
      <w:r w:rsidRPr="004C68BC">
        <w:rPr>
          <w:rFonts w:eastAsia="Times New Roman" w:cs="Arial"/>
          <w:color w:val="000000"/>
          <w:szCs w:val="20"/>
          <w:lang w:eastAsia="bg-BG"/>
        </w:rPr>
        <w:t xml:space="preserve"> Кошмари, халюцинации</w:t>
      </w:r>
    </w:p>
    <w:p w14:paraId="6DE9CACD" w14:textId="77777777" w:rsidR="004C68BC" w:rsidRPr="004C68BC" w:rsidRDefault="004C68BC" w:rsidP="004C68BC">
      <w:pPr>
        <w:spacing w:line="240" w:lineRule="auto"/>
        <w:rPr>
          <w:rFonts w:eastAsia="Times New Roman" w:cs="Arial"/>
          <w:color w:val="000000"/>
          <w:szCs w:val="20"/>
          <w:u w:val="single"/>
          <w:lang w:eastAsia="bg-BG"/>
        </w:rPr>
      </w:pPr>
    </w:p>
    <w:p w14:paraId="6EEDE2C1" w14:textId="14D942F1" w:rsidR="004C68BC" w:rsidRPr="004C68BC" w:rsidRDefault="004C68BC" w:rsidP="004C68BC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4C68BC">
        <w:rPr>
          <w:rFonts w:eastAsia="Times New Roman" w:cs="Arial"/>
          <w:color w:val="000000"/>
          <w:szCs w:val="20"/>
          <w:u w:val="single"/>
          <w:lang w:eastAsia="bg-BG"/>
        </w:rPr>
        <w:t>Нарушения на нервната система</w:t>
      </w:r>
    </w:p>
    <w:p w14:paraId="3720EF3D" w14:textId="77777777" w:rsidR="004C68BC" w:rsidRPr="004C68BC" w:rsidRDefault="004C68BC" w:rsidP="004C68BC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4C68BC">
        <w:rPr>
          <w:rFonts w:eastAsia="Times New Roman" w:cs="Arial"/>
          <w:i/>
          <w:iCs/>
          <w:color w:val="000000"/>
          <w:szCs w:val="20"/>
          <w:lang w:eastAsia="bg-BG"/>
        </w:rPr>
        <w:t>Чести:</w:t>
      </w:r>
      <w:r w:rsidRPr="004C68BC">
        <w:rPr>
          <w:rFonts w:eastAsia="Times New Roman" w:cs="Arial"/>
          <w:color w:val="000000"/>
          <w:szCs w:val="20"/>
          <w:lang w:eastAsia="bg-BG"/>
        </w:rPr>
        <w:tab/>
        <w:t>Умора, изтощение, замаяност*, главоболие*</w:t>
      </w:r>
    </w:p>
    <w:p w14:paraId="0586CB02" w14:textId="77777777" w:rsidR="004C68BC" w:rsidRPr="004C68BC" w:rsidRDefault="004C68BC" w:rsidP="004C68BC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4C68BC">
        <w:rPr>
          <w:rFonts w:eastAsia="Times New Roman" w:cs="Arial"/>
          <w:i/>
          <w:iCs/>
          <w:color w:val="000000"/>
          <w:szCs w:val="20"/>
          <w:lang w:eastAsia="bg-BG"/>
        </w:rPr>
        <w:t>Редки:</w:t>
      </w:r>
      <w:r w:rsidRPr="004C68BC">
        <w:rPr>
          <w:rFonts w:eastAsia="Times New Roman" w:cs="Arial"/>
          <w:color w:val="000000"/>
          <w:szCs w:val="20"/>
          <w:lang w:eastAsia="bg-BG"/>
        </w:rPr>
        <w:tab/>
        <w:t>Синкоп</w:t>
      </w:r>
    </w:p>
    <w:p w14:paraId="0FAEE2C7" w14:textId="77777777" w:rsidR="004C68BC" w:rsidRPr="004C68BC" w:rsidRDefault="004C68BC" w:rsidP="004C68BC">
      <w:pPr>
        <w:spacing w:line="240" w:lineRule="auto"/>
        <w:rPr>
          <w:rFonts w:eastAsia="Times New Roman" w:cs="Arial"/>
          <w:color w:val="000000"/>
          <w:szCs w:val="20"/>
          <w:u w:val="single"/>
          <w:lang w:eastAsia="bg-BG"/>
        </w:rPr>
      </w:pPr>
    </w:p>
    <w:p w14:paraId="1F26C905" w14:textId="3D15FD9A" w:rsidR="004C68BC" w:rsidRPr="004C68BC" w:rsidRDefault="004C68BC" w:rsidP="004C68BC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4C68BC">
        <w:rPr>
          <w:rFonts w:eastAsia="Times New Roman" w:cs="Arial"/>
          <w:color w:val="000000"/>
          <w:szCs w:val="20"/>
          <w:u w:val="single"/>
          <w:lang w:eastAsia="bg-BG"/>
        </w:rPr>
        <w:t>Нарушения на очите</w:t>
      </w:r>
    </w:p>
    <w:p w14:paraId="2DFA8E9F" w14:textId="14571EF7" w:rsidR="004C68BC" w:rsidRPr="004C68BC" w:rsidRDefault="004C68BC" w:rsidP="004C68BC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4C68BC">
        <w:rPr>
          <w:rFonts w:eastAsia="Times New Roman" w:cs="Arial"/>
          <w:i/>
          <w:iCs/>
          <w:color w:val="000000"/>
          <w:szCs w:val="20"/>
          <w:lang w:eastAsia="bg-BG"/>
        </w:rPr>
        <w:t>Редки:</w:t>
      </w:r>
      <w:r w:rsidRPr="004C68BC">
        <w:rPr>
          <w:rFonts w:eastAsia="Times New Roman" w:cs="Arial"/>
          <w:color w:val="000000"/>
          <w:szCs w:val="20"/>
          <w:lang w:eastAsia="bg-BG"/>
        </w:rPr>
        <w:t xml:space="preserve"> Намалена лакримация (да се вземе под внимание, в случай, че пациентът носи</w:t>
      </w:r>
    </w:p>
    <w:p w14:paraId="003E4062" w14:textId="77777777" w:rsidR="004C68BC" w:rsidRPr="004C68BC" w:rsidRDefault="004C68BC" w:rsidP="004C68BC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4C68BC">
        <w:rPr>
          <w:rFonts w:eastAsia="Times New Roman" w:cs="Arial"/>
          <w:color w:val="000000"/>
          <w:szCs w:val="20"/>
          <w:lang w:eastAsia="bg-BG"/>
        </w:rPr>
        <w:t>лещи)</w:t>
      </w:r>
    </w:p>
    <w:p w14:paraId="6F38A22D" w14:textId="0EE34CAD" w:rsidR="004C68BC" w:rsidRPr="004C68BC" w:rsidRDefault="004C68BC" w:rsidP="004C68BC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4C68BC">
        <w:rPr>
          <w:rFonts w:eastAsia="Times New Roman" w:cs="Arial"/>
          <w:i/>
          <w:iCs/>
          <w:color w:val="000000"/>
          <w:szCs w:val="20"/>
          <w:lang w:eastAsia="bg-BG"/>
        </w:rPr>
        <w:t>Много редки:</w:t>
      </w:r>
      <w:r w:rsidRPr="004C68BC">
        <w:rPr>
          <w:rFonts w:eastAsia="Times New Roman" w:cs="Arial"/>
          <w:i/>
          <w:iCs/>
          <w:color w:val="000000"/>
          <w:szCs w:val="20"/>
          <w:lang w:val="en-US" w:eastAsia="bg-BG"/>
        </w:rPr>
        <w:t xml:space="preserve"> </w:t>
      </w:r>
      <w:r w:rsidRPr="004C68BC">
        <w:rPr>
          <w:rFonts w:eastAsia="Times New Roman" w:cs="Arial"/>
          <w:color w:val="000000"/>
          <w:szCs w:val="20"/>
          <w:lang w:eastAsia="bg-BG"/>
        </w:rPr>
        <w:t xml:space="preserve"> Конюнктивит</w:t>
      </w:r>
    </w:p>
    <w:p w14:paraId="53A6C432" w14:textId="77777777" w:rsidR="004C68BC" w:rsidRPr="004C68BC" w:rsidRDefault="004C68BC" w:rsidP="004C68BC">
      <w:pPr>
        <w:spacing w:line="240" w:lineRule="auto"/>
        <w:rPr>
          <w:rFonts w:eastAsia="Times New Roman" w:cs="Arial"/>
          <w:color w:val="000000"/>
          <w:szCs w:val="20"/>
          <w:u w:val="single"/>
          <w:lang w:eastAsia="bg-BG"/>
        </w:rPr>
      </w:pPr>
    </w:p>
    <w:p w14:paraId="6AB2897D" w14:textId="433E9A00" w:rsidR="004C68BC" w:rsidRPr="004C68BC" w:rsidRDefault="004C68BC" w:rsidP="004C68BC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4C68BC">
        <w:rPr>
          <w:rFonts w:eastAsia="Times New Roman" w:cs="Arial"/>
          <w:color w:val="000000"/>
          <w:szCs w:val="20"/>
          <w:u w:val="single"/>
          <w:lang w:eastAsia="bg-BG"/>
        </w:rPr>
        <w:t>Нарушения на ухото и лабиринта</w:t>
      </w:r>
    </w:p>
    <w:p w14:paraId="5E517346" w14:textId="77777777" w:rsidR="004C68BC" w:rsidRPr="004C68BC" w:rsidRDefault="004C68BC" w:rsidP="004C68BC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4C68BC">
        <w:rPr>
          <w:rFonts w:eastAsia="Times New Roman" w:cs="Arial"/>
          <w:i/>
          <w:iCs/>
          <w:color w:val="000000"/>
          <w:szCs w:val="20"/>
          <w:lang w:eastAsia="bg-BG"/>
        </w:rPr>
        <w:t>Редки:</w:t>
      </w:r>
      <w:r w:rsidRPr="004C68BC">
        <w:rPr>
          <w:rFonts w:eastAsia="Times New Roman" w:cs="Arial"/>
          <w:color w:val="000000"/>
          <w:szCs w:val="20"/>
          <w:lang w:eastAsia="bg-BG"/>
        </w:rPr>
        <w:tab/>
        <w:t>Нарушение на слуха</w:t>
      </w:r>
    </w:p>
    <w:p w14:paraId="00A322D7" w14:textId="77777777" w:rsidR="004C68BC" w:rsidRPr="004C68BC" w:rsidRDefault="004C68BC" w:rsidP="004C68BC">
      <w:pPr>
        <w:spacing w:line="240" w:lineRule="auto"/>
        <w:rPr>
          <w:rFonts w:eastAsia="Times New Roman" w:cs="Arial"/>
          <w:color w:val="000000"/>
          <w:szCs w:val="20"/>
          <w:u w:val="single"/>
          <w:lang w:eastAsia="bg-BG"/>
        </w:rPr>
      </w:pPr>
    </w:p>
    <w:p w14:paraId="75C02FB9" w14:textId="3FC195F8" w:rsidR="004C68BC" w:rsidRPr="004C68BC" w:rsidRDefault="004C68BC" w:rsidP="004C68BC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4C68BC">
        <w:rPr>
          <w:rFonts w:eastAsia="Times New Roman" w:cs="Arial"/>
          <w:color w:val="000000"/>
          <w:szCs w:val="20"/>
          <w:u w:val="single"/>
          <w:lang w:eastAsia="bg-BG"/>
        </w:rPr>
        <w:t>Сърдечни нарушения</w:t>
      </w:r>
    </w:p>
    <w:p w14:paraId="68F3D09A" w14:textId="4874517E" w:rsidR="004C68BC" w:rsidRPr="004C68BC" w:rsidRDefault="004C68BC" w:rsidP="004C68BC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4C68BC">
        <w:rPr>
          <w:rFonts w:eastAsia="Times New Roman" w:cs="Arial"/>
          <w:i/>
          <w:iCs/>
          <w:color w:val="000000"/>
          <w:szCs w:val="20"/>
          <w:lang w:eastAsia="bg-BG"/>
        </w:rPr>
        <w:t>Нечести:</w:t>
      </w:r>
      <w:r w:rsidRPr="004C68BC">
        <w:rPr>
          <w:rFonts w:eastAsia="Times New Roman" w:cs="Arial"/>
          <w:color w:val="000000"/>
          <w:szCs w:val="20"/>
          <w:lang w:eastAsia="bg-BG"/>
        </w:rPr>
        <w:t xml:space="preserve"> Брадикардия, нарушение на </w:t>
      </w:r>
      <w:r w:rsidRPr="004C68BC">
        <w:rPr>
          <w:rFonts w:eastAsia="Times New Roman" w:cs="Arial"/>
          <w:color w:val="000000"/>
          <w:szCs w:val="20"/>
          <w:lang w:val="en-US"/>
        </w:rPr>
        <w:t xml:space="preserve">AV </w:t>
      </w:r>
      <w:r w:rsidRPr="004C68BC">
        <w:rPr>
          <w:rFonts w:eastAsia="Times New Roman" w:cs="Arial"/>
          <w:color w:val="000000"/>
          <w:szCs w:val="20"/>
          <w:lang w:eastAsia="bg-BG"/>
        </w:rPr>
        <w:t xml:space="preserve">проводимостта (забавено </w:t>
      </w:r>
      <w:r w:rsidRPr="004C68BC">
        <w:rPr>
          <w:rFonts w:eastAsia="Times New Roman" w:cs="Arial"/>
          <w:color w:val="000000"/>
          <w:szCs w:val="20"/>
          <w:lang w:val="en-US"/>
        </w:rPr>
        <w:t>AV</w:t>
      </w:r>
      <w:r w:rsidRPr="004C68BC">
        <w:rPr>
          <w:rFonts w:eastAsia="Times New Roman" w:cs="Arial"/>
          <w:color w:val="000000"/>
          <w:szCs w:val="20"/>
          <w:lang w:eastAsia="bg-BG"/>
        </w:rPr>
        <w:t xml:space="preserve"> провеждане или</w:t>
      </w:r>
    </w:p>
    <w:p w14:paraId="1E3502BB" w14:textId="3AD1B1C5" w:rsidR="004C68BC" w:rsidRDefault="004C68BC" w:rsidP="004C68BC">
      <w:pPr>
        <w:rPr>
          <w:rFonts w:eastAsia="Times New Roman" w:cs="Arial"/>
          <w:color w:val="000000"/>
          <w:szCs w:val="20"/>
          <w:lang w:eastAsia="bg-BG"/>
        </w:rPr>
      </w:pPr>
      <w:r w:rsidRPr="004C68BC">
        <w:rPr>
          <w:rFonts w:eastAsia="Times New Roman" w:cs="Arial"/>
          <w:color w:val="000000"/>
          <w:szCs w:val="20"/>
          <w:lang w:eastAsia="bg-BG"/>
        </w:rPr>
        <w:t xml:space="preserve">засилване на съществуващ </w:t>
      </w:r>
      <w:r w:rsidRPr="004C68BC">
        <w:rPr>
          <w:rFonts w:eastAsia="Times New Roman" w:cs="Arial"/>
          <w:color w:val="000000"/>
          <w:szCs w:val="20"/>
          <w:lang w:val="en-US"/>
        </w:rPr>
        <w:t>AV</w:t>
      </w:r>
      <w:r w:rsidRPr="004C68BC">
        <w:rPr>
          <w:rFonts w:eastAsia="Times New Roman" w:cs="Arial"/>
          <w:color w:val="000000"/>
          <w:szCs w:val="20"/>
          <w:lang w:eastAsia="bg-BG"/>
        </w:rPr>
        <w:t>-блок), влошаване на съществуваща сърдечна недостатъчност</w:t>
      </w:r>
    </w:p>
    <w:p w14:paraId="199D9721" w14:textId="4DBB882E" w:rsidR="004C68BC" w:rsidRDefault="004C68BC" w:rsidP="004C68BC">
      <w:pPr>
        <w:rPr>
          <w:rFonts w:eastAsia="Times New Roman" w:cs="Arial"/>
          <w:color w:val="000000"/>
          <w:szCs w:val="20"/>
          <w:lang w:eastAsia="bg-BG"/>
        </w:rPr>
      </w:pPr>
    </w:p>
    <w:p w14:paraId="52A0A0C4" w14:textId="77777777" w:rsidR="004C68BC" w:rsidRPr="004C68BC" w:rsidRDefault="004C68BC" w:rsidP="004C68BC">
      <w:pPr>
        <w:spacing w:line="240" w:lineRule="auto"/>
        <w:rPr>
          <w:rFonts w:eastAsia="Times New Roman" w:cs="Arial"/>
          <w:lang w:eastAsia="bg-BG"/>
        </w:rPr>
      </w:pPr>
      <w:r w:rsidRPr="004C68BC">
        <w:rPr>
          <w:rFonts w:eastAsia="Times New Roman" w:cs="Arial"/>
          <w:color w:val="000000"/>
          <w:u w:val="single"/>
          <w:lang w:eastAsia="bg-BG"/>
        </w:rPr>
        <w:t>Съдови нарушения</w:t>
      </w:r>
    </w:p>
    <w:p w14:paraId="77446939" w14:textId="31CB2B60" w:rsidR="004C68BC" w:rsidRPr="004C68BC" w:rsidRDefault="004C68BC" w:rsidP="004C68BC">
      <w:pPr>
        <w:spacing w:line="240" w:lineRule="auto"/>
        <w:rPr>
          <w:rFonts w:eastAsia="Times New Roman" w:cs="Arial"/>
          <w:lang w:eastAsia="bg-BG"/>
        </w:rPr>
      </w:pPr>
      <w:r w:rsidRPr="004C68BC">
        <w:rPr>
          <w:rFonts w:eastAsia="Times New Roman" w:cs="Arial"/>
          <w:i/>
          <w:iCs/>
          <w:color w:val="000000"/>
          <w:lang w:eastAsia="bg-BG"/>
        </w:rPr>
        <w:t>Чести:</w:t>
      </w:r>
      <w:r>
        <w:rPr>
          <w:rFonts w:eastAsia="Times New Roman" w:cs="Arial"/>
          <w:color w:val="000000"/>
          <w:lang w:eastAsia="bg-BG"/>
        </w:rPr>
        <w:t xml:space="preserve"> </w:t>
      </w:r>
      <w:r w:rsidRPr="004C68BC">
        <w:rPr>
          <w:rFonts w:eastAsia="Times New Roman" w:cs="Arial"/>
          <w:color w:val="000000"/>
          <w:lang w:eastAsia="bg-BG"/>
        </w:rPr>
        <w:t>Усещане за студ или изтръпване на крайниците, хипотония, синдром на Рейно,</w:t>
      </w:r>
    </w:p>
    <w:p w14:paraId="1685B0BD" w14:textId="77777777" w:rsidR="004C68BC" w:rsidRPr="004C68BC" w:rsidRDefault="004C68BC" w:rsidP="004C68BC">
      <w:pPr>
        <w:spacing w:line="240" w:lineRule="auto"/>
        <w:rPr>
          <w:rFonts w:eastAsia="Times New Roman" w:cs="Arial"/>
          <w:lang w:eastAsia="bg-BG"/>
        </w:rPr>
      </w:pPr>
      <w:r w:rsidRPr="004C68BC">
        <w:rPr>
          <w:rFonts w:eastAsia="Times New Roman" w:cs="Arial"/>
          <w:color w:val="000000"/>
          <w:lang w:eastAsia="bg-BG"/>
        </w:rPr>
        <w:t>влошаване на съществуващо клаудикацио интермитенс</w:t>
      </w:r>
    </w:p>
    <w:p w14:paraId="21D9EE0C" w14:textId="41100FCB" w:rsidR="004C68BC" w:rsidRPr="004C68BC" w:rsidRDefault="004C68BC" w:rsidP="004C68BC">
      <w:pPr>
        <w:spacing w:line="240" w:lineRule="auto"/>
        <w:rPr>
          <w:rFonts w:eastAsia="Times New Roman" w:cs="Arial"/>
          <w:lang w:eastAsia="bg-BG"/>
        </w:rPr>
      </w:pPr>
      <w:r w:rsidRPr="004C68BC">
        <w:rPr>
          <w:rFonts w:eastAsia="Times New Roman" w:cs="Arial"/>
          <w:i/>
          <w:iCs/>
          <w:color w:val="000000"/>
          <w:lang w:eastAsia="bg-BG"/>
        </w:rPr>
        <w:t>Нечести:</w:t>
      </w:r>
      <w:r>
        <w:rPr>
          <w:rFonts w:eastAsia="Times New Roman" w:cs="Arial"/>
          <w:color w:val="000000"/>
          <w:lang w:eastAsia="bg-BG"/>
        </w:rPr>
        <w:t xml:space="preserve"> </w:t>
      </w:r>
      <w:r w:rsidRPr="004C68BC">
        <w:rPr>
          <w:rFonts w:eastAsia="Times New Roman" w:cs="Arial"/>
          <w:color w:val="000000"/>
          <w:lang w:eastAsia="bg-BG"/>
        </w:rPr>
        <w:t>Ортостатична хипотония</w:t>
      </w:r>
    </w:p>
    <w:p w14:paraId="484788B2" w14:textId="77777777" w:rsidR="004C68BC" w:rsidRPr="004C68BC" w:rsidRDefault="004C68BC" w:rsidP="004C68BC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408DFC5B" w14:textId="381993CA" w:rsidR="004C68BC" w:rsidRPr="004C68BC" w:rsidRDefault="004C68BC" w:rsidP="004C68BC">
      <w:pPr>
        <w:spacing w:line="240" w:lineRule="auto"/>
        <w:rPr>
          <w:rFonts w:eastAsia="Times New Roman" w:cs="Arial"/>
          <w:lang w:eastAsia="bg-BG"/>
        </w:rPr>
      </w:pPr>
      <w:r w:rsidRPr="004C68BC">
        <w:rPr>
          <w:rFonts w:eastAsia="Times New Roman" w:cs="Arial"/>
          <w:color w:val="000000"/>
          <w:u w:val="single"/>
          <w:lang w:eastAsia="bg-BG"/>
        </w:rPr>
        <w:t>Респираторни, гръдни и медиастинални нарушения</w:t>
      </w:r>
    </w:p>
    <w:p w14:paraId="2216F92A" w14:textId="731E95C4" w:rsidR="004C68BC" w:rsidRPr="004C68BC" w:rsidRDefault="004C68BC" w:rsidP="004C68BC">
      <w:pPr>
        <w:spacing w:line="240" w:lineRule="auto"/>
        <w:rPr>
          <w:rFonts w:eastAsia="Times New Roman" w:cs="Arial"/>
          <w:lang w:eastAsia="bg-BG"/>
        </w:rPr>
      </w:pPr>
      <w:r w:rsidRPr="004C68BC">
        <w:rPr>
          <w:rFonts w:eastAsia="Times New Roman" w:cs="Arial"/>
          <w:i/>
          <w:iCs/>
          <w:color w:val="000000"/>
          <w:lang w:eastAsia="bg-BG"/>
        </w:rPr>
        <w:t>Нечести:</w:t>
      </w:r>
      <w:r>
        <w:rPr>
          <w:rFonts w:eastAsia="Times New Roman" w:cs="Arial"/>
          <w:color w:val="000000"/>
          <w:lang w:eastAsia="bg-BG"/>
        </w:rPr>
        <w:t xml:space="preserve"> </w:t>
      </w:r>
      <w:r w:rsidRPr="004C68BC">
        <w:rPr>
          <w:rFonts w:eastAsia="Times New Roman" w:cs="Arial"/>
          <w:color w:val="000000"/>
          <w:lang w:eastAsia="bg-BG"/>
        </w:rPr>
        <w:t>Бронхоспазъм при пациенти с бронхиална астма или анамнеза за заболяване с</w:t>
      </w:r>
    </w:p>
    <w:p w14:paraId="66618C62" w14:textId="77777777" w:rsidR="004C68BC" w:rsidRPr="004C68BC" w:rsidRDefault="004C68BC" w:rsidP="004C68BC">
      <w:pPr>
        <w:spacing w:line="240" w:lineRule="auto"/>
        <w:rPr>
          <w:rFonts w:eastAsia="Times New Roman" w:cs="Arial"/>
          <w:lang w:eastAsia="bg-BG"/>
        </w:rPr>
      </w:pPr>
      <w:r w:rsidRPr="004C68BC">
        <w:rPr>
          <w:rFonts w:eastAsia="Times New Roman" w:cs="Arial"/>
          <w:color w:val="000000"/>
          <w:lang w:eastAsia="bg-BG"/>
        </w:rPr>
        <w:t>обструкция на дихателните пътища</w:t>
      </w:r>
    </w:p>
    <w:p w14:paraId="47537A6C" w14:textId="6F4BA32C" w:rsidR="004C68BC" w:rsidRPr="004C68BC" w:rsidRDefault="004C68BC" w:rsidP="004C68BC">
      <w:pPr>
        <w:spacing w:line="240" w:lineRule="auto"/>
        <w:rPr>
          <w:rFonts w:eastAsia="Times New Roman" w:cs="Arial"/>
          <w:lang w:eastAsia="bg-BG"/>
        </w:rPr>
      </w:pPr>
      <w:r w:rsidRPr="004C68BC">
        <w:rPr>
          <w:rFonts w:eastAsia="Times New Roman" w:cs="Arial"/>
          <w:i/>
          <w:iCs/>
          <w:color w:val="000000"/>
          <w:lang w:eastAsia="bg-BG"/>
        </w:rPr>
        <w:t>Редки:</w:t>
      </w:r>
      <w:r>
        <w:rPr>
          <w:rFonts w:eastAsia="Times New Roman" w:cs="Arial"/>
          <w:color w:val="000000"/>
          <w:lang w:eastAsia="bg-BG"/>
        </w:rPr>
        <w:t xml:space="preserve"> </w:t>
      </w:r>
      <w:r w:rsidRPr="004C68BC">
        <w:rPr>
          <w:rFonts w:eastAsia="Times New Roman" w:cs="Arial"/>
          <w:color w:val="000000"/>
          <w:lang w:eastAsia="bg-BG"/>
        </w:rPr>
        <w:t>Алергичен ринит</w:t>
      </w:r>
    </w:p>
    <w:p w14:paraId="60222351" w14:textId="77777777" w:rsidR="004C68BC" w:rsidRPr="004C68BC" w:rsidRDefault="004C68BC" w:rsidP="004C68BC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688C4D82" w14:textId="7B53FD1C" w:rsidR="004C68BC" w:rsidRPr="004C68BC" w:rsidRDefault="004C68BC" w:rsidP="004C68BC">
      <w:pPr>
        <w:spacing w:line="240" w:lineRule="auto"/>
        <w:rPr>
          <w:rFonts w:eastAsia="Times New Roman" w:cs="Arial"/>
          <w:lang w:eastAsia="bg-BG"/>
        </w:rPr>
      </w:pPr>
      <w:r w:rsidRPr="004C68BC">
        <w:rPr>
          <w:rFonts w:eastAsia="Times New Roman" w:cs="Arial"/>
          <w:color w:val="000000"/>
          <w:u w:val="single"/>
          <w:lang w:eastAsia="bg-BG"/>
        </w:rPr>
        <w:t>Стомашно-чревни нарушения</w:t>
      </w:r>
    </w:p>
    <w:p w14:paraId="698670FB" w14:textId="2CA3C2F7" w:rsidR="004C68BC" w:rsidRPr="004C68BC" w:rsidRDefault="004C68BC" w:rsidP="004C68BC">
      <w:pPr>
        <w:spacing w:line="240" w:lineRule="auto"/>
        <w:rPr>
          <w:rFonts w:eastAsia="Times New Roman" w:cs="Arial"/>
          <w:lang w:eastAsia="bg-BG"/>
        </w:rPr>
      </w:pPr>
      <w:r w:rsidRPr="004C68BC">
        <w:rPr>
          <w:rFonts w:eastAsia="Times New Roman" w:cs="Arial"/>
          <w:i/>
          <w:iCs/>
          <w:color w:val="000000"/>
          <w:lang w:eastAsia="bg-BG"/>
        </w:rPr>
        <w:t>Чести:</w:t>
      </w:r>
      <w:r>
        <w:rPr>
          <w:rFonts w:eastAsia="Times New Roman" w:cs="Arial"/>
          <w:color w:val="000000"/>
          <w:lang w:eastAsia="bg-BG"/>
        </w:rPr>
        <w:t xml:space="preserve"> </w:t>
      </w:r>
      <w:r w:rsidRPr="004C68BC">
        <w:rPr>
          <w:rFonts w:eastAsia="Times New Roman" w:cs="Arial"/>
          <w:color w:val="000000"/>
          <w:lang w:eastAsia="bg-BG"/>
        </w:rPr>
        <w:t>Стомашно-чревни оплаквания, като гадене, повръщане, диария, коремна болка и</w:t>
      </w:r>
    </w:p>
    <w:p w14:paraId="65A93794" w14:textId="77777777" w:rsidR="004C68BC" w:rsidRPr="004C68BC" w:rsidRDefault="004C68BC" w:rsidP="004C68BC">
      <w:pPr>
        <w:spacing w:line="240" w:lineRule="auto"/>
        <w:rPr>
          <w:rFonts w:eastAsia="Times New Roman" w:cs="Arial"/>
          <w:lang w:eastAsia="bg-BG"/>
        </w:rPr>
      </w:pPr>
      <w:r w:rsidRPr="004C68BC">
        <w:rPr>
          <w:rFonts w:eastAsia="Times New Roman" w:cs="Arial"/>
          <w:color w:val="000000"/>
          <w:lang w:eastAsia="bg-BG"/>
        </w:rPr>
        <w:t>запек</w:t>
      </w:r>
    </w:p>
    <w:p w14:paraId="3315C577" w14:textId="77777777" w:rsidR="004C68BC" w:rsidRPr="004C68BC" w:rsidRDefault="004C68BC" w:rsidP="004C68BC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27C62646" w14:textId="383A63DC" w:rsidR="004C68BC" w:rsidRPr="004C68BC" w:rsidRDefault="004C68BC" w:rsidP="004C68BC">
      <w:pPr>
        <w:spacing w:line="240" w:lineRule="auto"/>
        <w:rPr>
          <w:rFonts w:eastAsia="Times New Roman" w:cs="Arial"/>
          <w:lang w:eastAsia="bg-BG"/>
        </w:rPr>
      </w:pPr>
      <w:r w:rsidRPr="004C68BC">
        <w:rPr>
          <w:rFonts w:eastAsia="Times New Roman" w:cs="Arial"/>
          <w:color w:val="000000"/>
          <w:u w:val="single"/>
          <w:lang w:eastAsia="bg-BG"/>
        </w:rPr>
        <w:t>Хепатобилиарни нарушения</w:t>
      </w:r>
    </w:p>
    <w:p w14:paraId="77B7086B" w14:textId="77777777" w:rsidR="004C68BC" w:rsidRPr="004C68BC" w:rsidRDefault="004C68BC" w:rsidP="004C68BC">
      <w:pPr>
        <w:spacing w:line="240" w:lineRule="auto"/>
        <w:rPr>
          <w:rFonts w:eastAsia="Times New Roman" w:cs="Arial"/>
          <w:lang w:eastAsia="bg-BG"/>
        </w:rPr>
      </w:pPr>
      <w:r w:rsidRPr="004C68BC">
        <w:rPr>
          <w:rFonts w:eastAsia="Times New Roman" w:cs="Arial"/>
          <w:i/>
          <w:iCs/>
          <w:color w:val="000000"/>
          <w:lang w:eastAsia="bg-BG"/>
        </w:rPr>
        <w:t>Редки:</w:t>
      </w:r>
      <w:r w:rsidRPr="004C68BC">
        <w:rPr>
          <w:rFonts w:eastAsia="Times New Roman" w:cs="Arial"/>
          <w:color w:val="000000"/>
          <w:lang w:eastAsia="bg-BG"/>
        </w:rPr>
        <w:tab/>
        <w:t>Хепатит</w:t>
      </w:r>
    </w:p>
    <w:p w14:paraId="749CA387" w14:textId="77777777" w:rsidR="004C68BC" w:rsidRPr="004C68BC" w:rsidRDefault="004C68BC" w:rsidP="004C68BC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43CAEB87" w14:textId="18B1B5EA" w:rsidR="004C68BC" w:rsidRPr="004C68BC" w:rsidRDefault="004C68BC" w:rsidP="004C68BC">
      <w:pPr>
        <w:spacing w:line="240" w:lineRule="auto"/>
        <w:rPr>
          <w:rFonts w:eastAsia="Times New Roman" w:cs="Arial"/>
          <w:lang w:eastAsia="bg-BG"/>
        </w:rPr>
      </w:pPr>
      <w:r w:rsidRPr="004C68BC">
        <w:rPr>
          <w:rFonts w:eastAsia="Times New Roman" w:cs="Arial"/>
          <w:color w:val="000000"/>
          <w:u w:val="single"/>
          <w:lang w:eastAsia="bg-BG"/>
        </w:rPr>
        <w:t>Нарушения на кожата и подкожната тъкан</w:t>
      </w:r>
    </w:p>
    <w:p w14:paraId="5ABA8138" w14:textId="74E793D9" w:rsidR="004C68BC" w:rsidRPr="004C68BC" w:rsidRDefault="004C68BC" w:rsidP="004C68BC">
      <w:pPr>
        <w:spacing w:line="240" w:lineRule="auto"/>
        <w:rPr>
          <w:rFonts w:eastAsia="Times New Roman" w:cs="Arial"/>
          <w:lang w:eastAsia="bg-BG"/>
        </w:rPr>
      </w:pPr>
      <w:r w:rsidRPr="004C68BC">
        <w:rPr>
          <w:rFonts w:eastAsia="Times New Roman" w:cs="Arial"/>
          <w:i/>
          <w:iCs/>
          <w:color w:val="000000"/>
          <w:lang w:eastAsia="bg-BG"/>
        </w:rPr>
        <w:t>Редки:</w:t>
      </w:r>
      <w:r>
        <w:rPr>
          <w:rFonts w:eastAsia="Times New Roman" w:cs="Arial"/>
          <w:color w:val="000000"/>
          <w:lang w:eastAsia="bg-BG"/>
        </w:rPr>
        <w:t xml:space="preserve"> </w:t>
      </w:r>
      <w:r w:rsidRPr="004C68BC">
        <w:rPr>
          <w:rFonts w:eastAsia="Times New Roman" w:cs="Arial"/>
          <w:color w:val="000000"/>
          <w:lang w:eastAsia="bg-BG"/>
        </w:rPr>
        <w:t>Реакции на свръхчувствителност (сърбеж, зачервяване, обрив)</w:t>
      </w:r>
    </w:p>
    <w:p w14:paraId="3FFC1FC1" w14:textId="77777777" w:rsidR="004C68BC" w:rsidRPr="004C68BC" w:rsidRDefault="004C68BC" w:rsidP="004C68BC">
      <w:pPr>
        <w:spacing w:line="240" w:lineRule="auto"/>
        <w:rPr>
          <w:rFonts w:eastAsia="Times New Roman" w:cs="Arial"/>
          <w:lang w:eastAsia="bg-BG"/>
        </w:rPr>
      </w:pPr>
      <w:r w:rsidRPr="004C68BC">
        <w:rPr>
          <w:rFonts w:eastAsia="Times New Roman" w:cs="Arial"/>
          <w:i/>
          <w:iCs/>
          <w:color w:val="000000"/>
          <w:lang w:eastAsia="bg-BG"/>
        </w:rPr>
        <w:t>Много редки:</w:t>
      </w:r>
      <w:r w:rsidRPr="004C68BC">
        <w:rPr>
          <w:rFonts w:eastAsia="Times New Roman" w:cs="Arial"/>
          <w:color w:val="000000"/>
          <w:lang w:eastAsia="bg-BG"/>
        </w:rPr>
        <w:t xml:space="preserve"> Бета-блокерите могат да причинят или влошат псориазис или индуцират псориазоподобен обрив, алопеция</w:t>
      </w:r>
    </w:p>
    <w:p w14:paraId="2B89F1CB" w14:textId="77777777" w:rsidR="004C68BC" w:rsidRPr="004C68BC" w:rsidRDefault="004C68BC" w:rsidP="004C68BC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465B03DB" w14:textId="65453833" w:rsidR="004C68BC" w:rsidRPr="004C68BC" w:rsidRDefault="004C68BC" w:rsidP="004C68BC">
      <w:pPr>
        <w:spacing w:line="240" w:lineRule="auto"/>
        <w:rPr>
          <w:rFonts w:eastAsia="Times New Roman" w:cs="Arial"/>
          <w:lang w:eastAsia="bg-BG"/>
        </w:rPr>
      </w:pPr>
      <w:r w:rsidRPr="004C68BC">
        <w:rPr>
          <w:rFonts w:eastAsia="Times New Roman" w:cs="Arial"/>
          <w:color w:val="000000"/>
          <w:u w:val="single"/>
          <w:lang w:eastAsia="bg-BG"/>
        </w:rPr>
        <w:t>Нарушения на мускулно-скелетната система и съединителната тъкан</w:t>
      </w:r>
    </w:p>
    <w:p w14:paraId="2CAFD31C" w14:textId="3A82906D" w:rsidR="004C68BC" w:rsidRPr="004C68BC" w:rsidRDefault="004C68BC" w:rsidP="004C68BC">
      <w:pPr>
        <w:spacing w:line="240" w:lineRule="auto"/>
        <w:rPr>
          <w:rFonts w:eastAsia="Times New Roman" w:cs="Arial"/>
          <w:lang w:eastAsia="bg-BG"/>
        </w:rPr>
      </w:pPr>
      <w:r w:rsidRPr="004C68BC">
        <w:rPr>
          <w:rFonts w:eastAsia="Times New Roman" w:cs="Arial"/>
          <w:i/>
          <w:iCs/>
          <w:color w:val="000000"/>
          <w:lang w:eastAsia="bg-BG"/>
        </w:rPr>
        <w:t>Нечести:</w:t>
      </w:r>
      <w:r>
        <w:rPr>
          <w:rFonts w:eastAsia="Times New Roman" w:cs="Arial"/>
          <w:color w:val="000000"/>
          <w:lang w:eastAsia="bg-BG"/>
        </w:rPr>
        <w:t xml:space="preserve"> </w:t>
      </w:r>
      <w:r w:rsidRPr="004C68BC">
        <w:rPr>
          <w:rFonts w:eastAsia="Times New Roman" w:cs="Arial"/>
          <w:color w:val="000000"/>
          <w:lang w:eastAsia="bg-BG"/>
        </w:rPr>
        <w:t>Мускулна слабост и крампи, артропатия</w:t>
      </w:r>
    </w:p>
    <w:p w14:paraId="371EA6A9" w14:textId="77777777" w:rsidR="004C68BC" w:rsidRPr="004C68BC" w:rsidRDefault="004C68BC" w:rsidP="004C68BC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704297E2" w14:textId="660DB67C" w:rsidR="004C68BC" w:rsidRPr="004C68BC" w:rsidRDefault="004C68BC" w:rsidP="004C68BC">
      <w:pPr>
        <w:spacing w:line="240" w:lineRule="auto"/>
        <w:rPr>
          <w:rFonts w:eastAsia="Times New Roman" w:cs="Arial"/>
          <w:lang w:eastAsia="bg-BG"/>
        </w:rPr>
      </w:pPr>
      <w:r w:rsidRPr="004C68BC">
        <w:rPr>
          <w:rFonts w:eastAsia="Times New Roman" w:cs="Arial"/>
          <w:color w:val="000000"/>
          <w:u w:val="single"/>
          <w:lang w:eastAsia="bg-BG"/>
        </w:rPr>
        <w:t>Нарушения на възпроизводителната система и гърдата</w:t>
      </w:r>
    </w:p>
    <w:p w14:paraId="45C9BA94" w14:textId="77777777" w:rsidR="004C68BC" w:rsidRPr="004C68BC" w:rsidRDefault="004C68BC" w:rsidP="004C68BC">
      <w:pPr>
        <w:spacing w:line="240" w:lineRule="auto"/>
        <w:rPr>
          <w:rFonts w:eastAsia="Times New Roman" w:cs="Arial"/>
          <w:lang w:eastAsia="bg-BG"/>
        </w:rPr>
      </w:pPr>
      <w:r w:rsidRPr="004C68BC">
        <w:rPr>
          <w:rFonts w:eastAsia="Times New Roman" w:cs="Arial"/>
          <w:i/>
          <w:iCs/>
          <w:color w:val="000000"/>
          <w:lang w:eastAsia="bg-BG"/>
        </w:rPr>
        <w:t>Редки:</w:t>
      </w:r>
      <w:r w:rsidRPr="004C68BC">
        <w:rPr>
          <w:rFonts w:eastAsia="Times New Roman" w:cs="Arial"/>
          <w:color w:val="000000"/>
          <w:lang w:eastAsia="bg-BG"/>
        </w:rPr>
        <w:tab/>
        <w:t>Смущения в потентността</w:t>
      </w:r>
    </w:p>
    <w:p w14:paraId="65D00C7E" w14:textId="77777777" w:rsidR="004C68BC" w:rsidRPr="004C68BC" w:rsidRDefault="004C68BC" w:rsidP="004C68BC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670794CF" w14:textId="2DEC85A6" w:rsidR="004C68BC" w:rsidRPr="004C68BC" w:rsidRDefault="004C68BC" w:rsidP="004C68BC">
      <w:pPr>
        <w:spacing w:line="240" w:lineRule="auto"/>
        <w:rPr>
          <w:rFonts w:eastAsia="Times New Roman" w:cs="Arial"/>
          <w:lang w:eastAsia="bg-BG"/>
        </w:rPr>
      </w:pPr>
      <w:r w:rsidRPr="004C68BC">
        <w:rPr>
          <w:rFonts w:eastAsia="Times New Roman" w:cs="Arial"/>
          <w:color w:val="000000"/>
          <w:u w:val="single"/>
          <w:lang w:eastAsia="bg-BG"/>
        </w:rPr>
        <w:t>Обши нарушения и ефекти на мястото на приложение</w:t>
      </w:r>
    </w:p>
    <w:p w14:paraId="28E4A942" w14:textId="77777777" w:rsidR="004C68BC" w:rsidRPr="004C68BC" w:rsidRDefault="004C68BC" w:rsidP="004C68BC">
      <w:pPr>
        <w:spacing w:line="240" w:lineRule="auto"/>
        <w:rPr>
          <w:rFonts w:eastAsia="Times New Roman" w:cs="Arial"/>
          <w:lang w:eastAsia="bg-BG"/>
        </w:rPr>
      </w:pPr>
      <w:r w:rsidRPr="004C68BC">
        <w:rPr>
          <w:rFonts w:eastAsia="Times New Roman" w:cs="Arial"/>
          <w:color w:val="000000"/>
          <w:lang w:eastAsia="bg-BG"/>
        </w:rPr>
        <w:t>Чести:</w:t>
      </w:r>
      <w:r w:rsidRPr="004C68BC">
        <w:rPr>
          <w:rFonts w:eastAsia="Times New Roman" w:cs="Arial"/>
          <w:color w:val="000000"/>
          <w:lang w:eastAsia="bg-BG"/>
        </w:rPr>
        <w:tab/>
        <w:t>Умора*</w:t>
      </w:r>
    </w:p>
    <w:p w14:paraId="673E1D92" w14:textId="50FD68F9" w:rsidR="004C68BC" w:rsidRPr="004C68BC" w:rsidRDefault="004C68BC" w:rsidP="004C68BC">
      <w:pPr>
        <w:spacing w:line="240" w:lineRule="auto"/>
        <w:rPr>
          <w:rFonts w:eastAsia="Times New Roman" w:cs="Arial"/>
          <w:lang w:eastAsia="bg-BG"/>
        </w:rPr>
      </w:pPr>
      <w:r>
        <w:rPr>
          <w:rFonts w:eastAsia="Times New Roman" w:cs="Arial"/>
          <w:color w:val="000000"/>
          <w:lang w:eastAsia="bg-BG"/>
        </w:rPr>
        <w:t xml:space="preserve">Нечести: </w:t>
      </w:r>
      <w:r w:rsidRPr="004C68BC">
        <w:rPr>
          <w:rFonts w:eastAsia="Times New Roman" w:cs="Arial"/>
          <w:color w:val="000000"/>
          <w:lang w:eastAsia="bg-BG"/>
        </w:rPr>
        <w:t>Астения</w:t>
      </w:r>
    </w:p>
    <w:p w14:paraId="28F60FF5" w14:textId="77777777" w:rsidR="004C68BC" w:rsidRPr="004C68BC" w:rsidRDefault="004C68BC" w:rsidP="004C68BC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550146A6" w14:textId="797C19C8" w:rsidR="004C68BC" w:rsidRPr="004C68BC" w:rsidRDefault="004C68BC" w:rsidP="004C68BC">
      <w:pPr>
        <w:spacing w:line="240" w:lineRule="auto"/>
        <w:rPr>
          <w:rFonts w:eastAsia="Times New Roman" w:cs="Arial"/>
          <w:lang w:eastAsia="bg-BG"/>
        </w:rPr>
      </w:pPr>
      <w:r w:rsidRPr="004C68BC">
        <w:rPr>
          <w:rFonts w:eastAsia="Times New Roman" w:cs="Arial"/>
          <w:color w:val="000000"/>
          <w:u w:val="single"/>
          <w:lang w:eastAsia="bg-BG"/>
        </w:rPr>
        <w:t>Изследвания</w:t>
      </w:r>
    </w:p>
    <w:p w14:paraId="2D003BA0" w14:textId="77777777" w:rsidR="004C68BC" w:rsidRPr="004C68BC" w:rsidRDefault="004C68BC" w:rsidP="004C68BC">
      <w:pPr>
        <w:spacing w:line="240" w:lineRule="auto"/>
        <w:rPr>
          <w:rFonts w:eastAsia="Times New Roman" w:cs="Arial"/>
          <w:lang w:eastAsia="bg-BG"/>
        </w:rPr>
      </w:pPr>
      <w:r w:rsidRPr="004C68BC">
        <w:rPr>
          <w:rFonts w:eastAsia="Times New Roman" w:cs="Arial"/>
          <w:color w:val="000000"/>
          <w:lang w:eastAsia="bg-BG"/>
        </w:rPr>
        <w:lastRenderedPageBreak/>
        <w:t>Редки:</w:t>
      </w:r>
      <w:r w:rsidRPr="004C68BC">
        <w:rPr>
          <w:rFonts w:eastAsia="Times New Roman" w:cs="Arial"/>
          <w:color w:val="000000"/>
          <w:lang w:eastAsia="bg-BG"/>
        </w:rPr>
        <w:tab/>
        <w:t xml:space="preserve">Повишени триглицериди, повишени чернодробни ензими </w:t>
      </w:r>
      <w:r w:rsidRPr="004C68BC">
        <w:rPr>
          <w:rFonts w:eastAsia="Times New Roman" w:cs="Arial"/>
          <w:color w:val="000000"/>
          <w:lang w:val="en-US"/>
        </w:rPr>
        <w:t>(ALAT, ASAT)</w:t>
      </w:r>
    </w:p>
    <w:p w14:paraId="5A1B4F6B" w14:textId="77777777" w:rsidR="004C68BC" w:rsidRPr="004C68BC" w:rsidRDefault="004C68BC" w:rsidP="004C68BC">
      <w:pPr>
        <w:spacing w:line="240" w:lineRule="auto"/>
        <w:rPr>
          <w:rFonts w:eastAsia="Times New Roman" w:cs="Arial"/>
          <w:i/>
          <w:iCs/>
          <w:color w:val="000000"/>
          <w:lang w:eastAsia="bg-BG"/>
        </w:rPr>
      </w:pPr>
    </w:p>
    <w:p w14:paraId="7CFC437C" w14:textId="02CEFF0D" w:rsidR="004C68BC" w:rsidRPr="004C68BC" w:rsidRDefault="004C68BC" w:rsidP="004C68BC">
      <w:pPr>
        <w:spacing w:line="240" w:lineRule="auto"/>
        <w:rPr>
          <w:rFonts w:eastAsia="Times New Roman" w:cs="Arial"/>
          <w:lang w:eastAsia="bg-BG"/>
        </w:rPr>
      </w:pPr>
      <w:r w:rsidRPr="004C68BC">
        <w:rPr>
          <w:rFonts w:eastAsia="Times New Roman" w:cs="Arial"/>
          <w:i/>
          <w:iCs/>
          <w:color w:val="000000"/>
          <w:lang w:eastAsia="bg-BG"/>
        </w:rPr>
        <w:t>*Тези симптоми се наблюдават по-специално в началото на лечението. Те обикновено са леки и отзвучават до 1 -2 седмици.</w:t>
      </w:r>
    </w:p>
    <w:p w14:paraId="172D18D9" w14:textId="77777777" w:rsidR="004C68BC" w:rsidRPr="004C68BC" w:rsidRDefault="004C68BC" w:rsidP="004C68BC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74B5EE7F" w14:textId="64C29077" w:rsidR="004C68BC" w:rsidRPr="004C68BC" w:rsidRDefault="004C68BC" w:rsidP="004C68BC">
      <w:pPr>
        <w:spacing w:line="240" w:lineRule="auto"/>
        <w:rPr>
          <w:rFonts w:eastAsia="Times New Roman" w:cs="Arial"/>
          <w:lang w:eastAsia="bg-BG"/>
        </w:rPr>
      </w:pPr>
      <w:r w:rsidRPr="004C68BC">
        <w:rPr>
          <w:rFonts w:eastAsia="Times New Roman" w:cs="Arial"/>
          <w:color w:val="000000"/>
          <w:u w:val="single"/>
          <w:lang w:eastAsia="bg-BG"/>
        </w:rPr>
        <w:t>Съобщаване на подозирани нежелани реакции</w:t>
      </w:r>
    </w:p>
    <w:p w14:paraId="2E643995" w14:textId="028B611F" w:rsidR="004C68BC" w:rsidRPr="004C68BC" w:rsidRDefault="004C68BC" w:rsidP="004C68BC">
      <w:pPr>
        <w:rPr>
          <w:rFonts w:eastAsia="Times New Roman" w:cs="Arial"/>
          <w:color w:val="000000"/>
          <w:lang w:eastAsia="bg-BG"/>
        </w:rPr>
      </w:pPr>
      <w:r w:rsidRPr="004C68BC">
        <w:rPr>
          <w:rFonts w:eastAsia="Times New Roman" w:cs="Arial"/>
          <w:color w:val="000000"/>
          <w:lang w:eastAsia="bg-BG"/>
        </w:rPr>
        <w:t xml:space="preserve">Съобщаването на подозирани нежелани реакции след разрешаване за употреба на лекарствения продукт е важно. Това позволява да продължи наблюдението на съотношението полза/риск за лекарствения продукт. От медицинските специалисти се изисква да съобщават всяка подозирана нежелана реакция чрез Изпълнителна агенция по лекарствата, ул., Дамян Груев” № 8,1303 София, тел.: 02 8903417, уебсайт: </w:t>
      </w:r>
      <w:r w:rsidRPr="004C68BC">
        <w:rPr>
          <w:rFonts w:eastAsia="Times New Roman" w:cs="Arial"/>
          <w:lang w:eastAsia="bg-BG"/>
        </w:rPr>
        <w:fldChar w:fldCharType="begin"/>
      </w:r>
      <w:r w:rsidRPr="004C68BC">
        <w:rPr>
          <w:rFonts w:eastAsia="Times New Roman" w:cs="Arial"/>
          <w:lang w:eastAsia="bg-BG"/>
        </w:rPr>
        <w:instrText xml:space="preserve"> HYPERLINK "http://www.bda.bg" </w:instrText>
      </w:r>
      <w:r w:rsidRPr="004C68BC">
        <w:rPr>
          <w:rFonts w:eastAsia="Times New Roman" w:cs="Arial"/>
          <w:lang w:eastAsia="bg-BG"/>
        </w:rPr>
      </w:r>
      <w:r w:rsidRPr="004C68BC">
        <w:rPr>
          <w:rFonts w:eastAsia="Times New Roman" w:cs="Arial"/>
          <w:lang w:eastAsia="bg-BG"/>
        </w:rPr>
        <w:fldChar w:fldCharType="separate"/>
      </w:r>
      <w:r w:rsidRPr="004C68BC">
        <w:rPr>
          <w:rFonts w:eastAsia="Times New Roman" w:cs="Arial"/>
          <w:color w:val="000000"/>
          <w:lang w:val="en-US"/>
        </w:rPr>
        <w:t>www.bda.bg</w:t>
      </w:r>
      <w:r w:rsidRPr="004C68BC">
        <w:rPr>
          <w:rFonts w:eastAsia="Times New Roman" w:cs="Arial"/>
          <w:lang w:eastAsia="bg-BG"/>
        </w:rPr>
        <w:fldChar w:fldCharType="end"/>
      </w:r>
      <w:r w:rsidRPr="004C68BC">
        <w:rPr>
          <w:rFonts w:eastAsia="Times New Roman" w:cs="Arial"/>
          <w:color w:val="000000"/>
          <w:lang w:val="en-US"/>
        </w:rPr>
        <w:t>.</w:t>
      </w:r>
    </w:p>
    <w:p w14:paraId="71CE6A96" w14:textId="77777777" w:rsidR="004C68BC" w:rsidRPr="004C68BC" w:rsidRDefault="004C68BC" w:rsidP="004C68BC"/>
    <w:p w14:paraId="0A023CE0" w14:textId="24B0EF00" w:rsidR="00CF77F7" w:rsidRDefault="002C50EE" w:rsidP="004A448E">
      <w:pPr>
        <w:pStyle w:val="Heading2"/>
      </w:pPr>
      <w:r>
        <w:t>4.9. Предозиране</w:t>
      </w:r>
    </w:p>
    <w:p w14:paraId="3E4D6969" w14:textId="50CE32EA" w:rsidR="004C68BC" w:rsidRDefault="004C68BC" w:rsidP="004C68BC"/>
    <w:p w14:paraId="35F1BB96" w14:textId="77777777" w:rsidR="004C68BC" w:rsidRPr="00EC43F9" w:rsidRDefault="004C68BC" w:rsidP="00EC43F9">
      <w:pPr>
        <w:pStyle w:val="Heading3"/>
        <w:rPr>
          <w:rFonts w:eastAsia="Times New Roman"/>
          <w:sz w:val="28"/>
          <w:u w:val="single"/>
          <w:lang w:eastAsia="bg-BG"/>
        </w:rPr>
      </w:pPr>
      <w:r w:rsidRPr="00EC43F9">
        <w:rPr>
          <w:rFonts w:eastAsia="Times New Roman"/>
          <w:u w:val="single"/>
          <w:lang w:eastAsia="bg-BG"/>
        </w:rPr>
        <w:t>Симптоми</w:t>
      </w:r>
    </w:p>
    <w:p w14:paraId="11841753" w14:textId="4C100C5D" w:rsidR="004C68BC" w:rsidRDefault="004C68BC" w:rsidP="004C68BC">
      <w:pPr>
        <w:spacing w:line="240" w:lineRule="auto"/>
        <w:rPr>
          <w:rFonts w:eastAsia="Times New Roman" w:cs="Arial"/>
          <w:color w:val="000000"/>
          <w:szCs w:val="20"/>
          <w:lang w:eastAsia="bg-BG"/>
        </w:rPr>
      </w:pPr>
      <w:r w:rsidRPr="004C68BC">
        <w:rPr>
          <w:rFonts w:eastAsia="Times New Roman" w:cs="Arial"/>
          <w:color w:val="000000"/>
          <w:szCs w:val="20"/>
          <w:lang w:eastAsia="bg-BG"/>
        </w:rPr>
        <w:t>Най-честите признаци, които се очакват при предозиране с бета-блокери са: брадикардия, хипотония, бронхоспазъм, остра сърдечна недостатъчност и хипогликемия. Досега са</w:t>
      </w:r>
      <w:r w:rsidRPr="004C68BC">
        <w:rPr>
          <w:rFonts w:eastAsia="Times New Roman" w:cs="Arial"/>
          <w:color w:val="000000"/>
          <w:szCs w:val="20"/>
          <w:u w:val="single"/>
          <w:lang w:eastAsia="bg-BG"/>
        </w:rPr>
        <w:t xml:space="preserve"> </w:t>
      </w:r>
      <w:r w:rsidRPr="004C68BC">
        <w:rPr>
          <w:rFonts w:eastAsia="Times New Roman" w:cs="Arial"/>
          <w:color w:val="000000"/>
          <w:szCs w:val="20"/>
          <w:lang w:eastAsia="bg-BG"/>
        </w:rPr>
        <w:t>докладвани няколко случая на предозиране с бисопролол (максимална доза:</w:t>
      </w:r>
      <w:r w:rsidRPr="004C68BC">
        <w:rPr>
          <w:rFonts w:eastAsia="Times New Roman" w:cs="Arial"/>
          <w:color w:val="000000"/>
          <w:szCs w:val="20"/>
          <w:lang w:val="en-US"/>
        </w:rPr>
        <w:t xml:space="preserve"> 2</w:t>
      </w:r>
      <w:r w:rsidRPr="004C68BC">
        <w:rPr>
          <w:rFonts w:eastAsia="Times New Roman" w:cs="Arial"/>
          <w:color w:val="000000"/>
          <w:szCs w:val="20"/>
          <w:lang w:eastAsia="bg-BG"/>
        </w:rPr>
        <w:t xml:space="preserve"> </w:t>
      </w:r>
      <w:r w:rsidRPr="004C68BC">
        <w:rPr>
          <w:rFonts w:eastAsia="Times New Roman" w:cs="Arial"/>
          <w:color w:val="000000"/>
          <w:szCs w:val="20"/>
          <w:lang w:val="en-US"/>
        </w:rPr>
        <w:t>000</w:t>
      </w:r>
      <w:r w:rsidRPr="004C68BC">
        <w:rPr>
          <w:rFonts w:eastAsia="Times New Roman" w:cs="Arial"/>
          <w:color w:val="000000"/>
          <w:szCs w:val="20"/>
          <w:lang w:eastAsia="bg-BG"/>
        </w:rPr>
        <w:t xml:space="preserve"> </w:t>
      </w:r>
      <w:r w:rsidRPr="004C68BC">
        <w:rPr>
          <w:rFonts w:eastAsia="Times New Roman" w:cs="Arial"/>
          <w:color w:val="000000"/>
          <w:szCs w:val="20"/>
          <w:lang w:val="en-US"/>
        </w:rPr>
        <w:t>mg).</w:t>
      </w:r>
      <w:r w:rsidRPr="004C68BC">
        <w:rPr>
          <w:rFonts w:eastAsia="Times New Roman" w:cs="Arial"/>
          <w:color w:val="000000"/>
          <w:szCs w:val="20"/>
          <w:lang w:eastAsia="bg-BG"/>
        </w:rPr>
        <w:t xml:space="preserve"> Наблюдавани са брадикардия и/или х</w:t>
      </w:r>
      <w:r>
        <w:rPr>
          <w:rFonts w:eastAsia="Times New Roman" w:cs="Arial"/>
          <w:color w:val="000000"/>
          <w:szCs w:val="20"/>
          <w:lang w:eastAsia="bg-BG"/>
        </w:rPr>
        <w:t xml:space="preserve">ипотония. Всички пациенти са се </w:t>
      </w:r>
      <w:r w:rsidRPr="004C68BC">
        <w:rPr>
          <w:rFonts w:eastAsia="Times New Roman" w:cs="Arial"/>
          <w:color w:val="000000"/>
          <w:szCs w:val="20"/>
          <w:lang w:eastAsia="bg-BG"/>
        </w:rPr>
        <w:t>възстановили. Налице е широка интериндивидуална вариабилност в чувствителността към единична висока доза бисопролол, като се предполага, че пациентите със сърдечна недостатъчност са най-чувствителни.</w:t>
      </w:r>
    </w:p>
    <w:p w14:paraId="1EB7295F" w14:textId="73BAF654" w:rsidR="004C68BC" w:rsidRDefault="004C68BC" w:rsidP="004C68BC">
      <w:pPr>
        <w:spacing w:line="240" w:lineRule="auto"/>
        <w:rPr>
          <w:rFonts w:eastAsia="Times New Roman" w:cs="Arial"/>
          <w:color w:val="000000"/>
          <w:szCs w:val="20"/>
          <w:lang w:eastAsia="bg-BG"/>
        </w:rPr>
      </w:pPr>
    </w:p>
    <w:p w14:paraId="356AD319" w14:textId="77777777" w:rsidR="004C68BC" w:rsidRPr="00EC43F9" w:rsidRDefault="004C68BC" w:rsidP="00EC43F9">
      <w:pPr>
        <w:pStyle w:val="Heading3"/>
        <w:rPr>
          <w:rFonts w:eastAsia="Times New Roman"/>
          <w:sz w:val="28"/>
          <w:u w:val="single"/>
          <w:lang w:eastAsia="bg-BG"/>
        </w:rPr>
      </w:pPr>
      <w:r w:rsidRPr="00EC43F9">
        <w:rPr>
          <w:rFonts w:eastAsia="Times New Roman"/>
          <w:u w:val="single"/>
          <w:lang w:eastAsia="bg-BG"/>
        </w:rPr>
        <w:t>Лечение</w:t>
      </w:r>
    </w:p>
    <w:p w14:paraId="5E312CAA" w14:textId="77777777" w:rsidR="004C68BC" w:rsidRPr="004C68BC" w:rsidRDefault="004C68BC" w:rsidP="004C68BC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4C68BC">
        <w:rPr>
          <w:rFonts w:eastAsia="Times New Roman" w:cs="Arial"/>
          <w:color w:val="000000"/>
          <w:szCs w:val="20"/>
          <w:lang w:eastAsia="bg-BG"/>
        </w:rPr>
        <w:t>По принцип при предозиране, лечението с бисопролол трябва да се преустанови и да се проведе поддържащо и симптоматично лечение. Въз основа на очакваното фармакологично действие и препоръките за други бета-блокери, когато е клинично оправдано трябва да се вземат следните общи мерки:</w:t>
      </w:r>
    </w:p>
    <w:p w14:paraId="30CA9A96" w14:textId="77777777" w:rsidR="004C68BC" w:rsidRPr="004C68BC" w:rsidRDefault="004C68BC" w:rsidP="004C68BC">
      <w:pPr>
        <w:spacing w:line="240" w:lineRule="auto"/>
        <w:rPr>
          <w:rFonts w:eastAsia="Times New Roman" w:cs="Arial"/>
          <w:i/>
          <w:iCs/>
          <w:color w:val="000000"/>
          <w:szCs w:val="20"/>
          <w:lang w:eastAsia="bg-BG"/>
        </w:rPr>
      </w:pPr>
    </w:p>
    <w:p w14:paraId="1F8B5F1C" w14:textId="394896B6" w:rsidR="004C68BC" w:rsidRPr="004C68BC" w:rsidRDefault="004C68BC" w:rsidP="004C68BC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4C68BC">
        <w:rPr>
          <w:rFonts w:eastAsia="Times New Roman" w:cs="Arial"/>
          <w:i/>
          <w:iCs/>
          <w:color w:val="000000"/>
          <w:szCs w:val="20"/>
          <w:lang w:eastAsia="bg-BG"/>
        </w:rPr>
        <w:t>Брадикардия:</w:t>
      </w:r>
    </w:p>
    <w:p w14:paraId="40CC777C" w14:textId="77777777" w:rsidR="004C68BC" w:rsidRPr="004C68BC" w:rsidRDefault="004C68BC" w:rsidP="004C68BC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4C68BC">
        <w:rPr>
          <w:rFonts w:eastAsia="Times New Roman" w:cs="Arial"/>
          <w:color w:val="000000"/>
          <w:szCs w:val="20"/>
          <w:lang w:eastAsia="bg-BG"/>
        </w:rPr>
        <w:t>Интравенозно приложение на атропин. Ако повлияването е недостатъчно, с повишено внимание може да се приложи изопреналин или друго средство с положителни хронотропни свойства. При някои обстоятелства може да се наложи трансвенозно поставяне на пейсмейкър.</w:t>
      </w:r>
    </w:p>
    <w:p w14:paraId="7BF2D627" w14:textId="77777777" w:rsidR="004C68BC" w:rsidRPr="004C68BC" w:rsidRDefault="004C68BC" w:rsidP="004C68BC">
      <w:pPr>
        <w:spacing w:line="240" w:lineRule="auto"/>
        <w:rPr>
          <w:rFonts w:eastAsia="Times New Roman" w:cs="Arial"/>
          <w:i/>
          <w:iCs/>
          <w:color w:val="000000"/>
          <w:szCs w:val="20"/>
          <w:lang w:eastAsia="bg-BG"/>
        </w:rPr>
      </w:pPr>
    </w:p>
    <w:p w14:paraId="7F10A05E" w14:textId="6799377E" w:rsidR="004C68BC" w:rsidRPr="004C68BC" w:rsidRDefault="004C68BC" w:rsidP="004C68BC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4C68BC">
        <w:rPr>
          <w:rFonts w:eastAsia="Times New Roman" w:cs="Arial"/>
          <w:i/>
          <w:iCs/>
          <w:color w:val="000000"/>
          <w:szCs w:val="20"/>
          <w:lang w:eastAsia="bg-BG"/>
        </w:rPr>
        <w:t>Хипотония:</w:t>
      </w:r>
    </w:p>
    <w:p w14:paraId="3BE52B90" w14:textId="77777777" w:rsidR="004C68BC" w:rsidRPr="004C68BC" w:rsidRDefault="004C68BC" w:rsidP="004C68BC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4C68BC">
        <w:rPr>
          <w:rFonts w:eastAsia="Times New Roman" w:cs="Arial"/>
          <w:color w:val="000000"/>
          <w:szCs w:val="20"/>
          <w:lang w:eastAsia="bg-BG"/>
        </w:rPr>
        <w:t>Трябва да се приложат интравенозно течности и вазопресори. Глюкагон интравенозно може да бъде от полза.</w:t>
      </w:r>
    </w:p>
    <w:p w14:paraId="0226FB31" w14:textId="77777777" w:rsidR="004C68BC" w:rsidRPr="004C68BC" w:rsidRDefault="004C68BC" w:rsidP="004C68BC">
      <w:pPr>
        <w:spacing w:line="240" w:lineRule="auto"/>
        <w:rPr>
          <w:rFonts w:eastAsia="Times New Roman" w:cs="Arial"/>
          <w:i/>
          <w:iCs/>
          <w:color w:val="000000"/>
          <w:szCs w:val="20"/>
          <w:lang w:eastAsia="bg-BG"/>
        </w:rPr>
      </w:pPr>
    </w:p>
    <w:p w14:paraId="61C4FF10" w14:textId="2E0EA043" w:rsidR="004C68BC" w:rsidRPr="004C68BC" w:rsidRDefault="004C68BC" w:rsidP="004C68BC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4C68BC">
        <w:rPr>
          <w:rFonts w:eastAsia="Times New Roman" w:cs="Arial"/>
          <w:i/>
          <w:iCs/>
          <w:color w:val="000000"/>
          <w:szCs w:val="20"/>
          <w:lang w:eastAsia="bg-BG"/>
        </w:rPr>
        <w:t xml:space="preserve">А </w:t>
      </w:r>
      <w:r w:rsidRPr="004C68BC">
        <w:rPr>
          <w:rFonts w:eastAsia="Times New Roman" w:cs="Arial"/>
          <w:i/>
          <w:iCs/>
          <w:color w:val="000000"/>
          <w:szCs w:val="20"/>
          <w:lang w:val="en-US"/>
        </w:rPr>
        <w:t>V</w:t>
      </w:r>
      <w:r w:rsidRPr="004C68BC">
        <w:rPr>
          <w:rFonts w:eastAsia="Times New Roman" w:cs="Arial"/>
          <w:i/>
          <w:iCs/>
          <w:color w:val="000000"/>
          <w:szCs w:val="20"/>
          <w:lang w:eastAsia="bg-BG"/>
        </w:rPr>
        <w:t>-блок (II или III степен):</w:t>
      </w:r>
    </w:p>
    <w:p w14:paraId="5D79FB27" w14:textId="77777777" w:rsidR="004C68BC" w:rsidRPr="004C68BC" w:rsidRDefault="004C68BC" w:rsidP="004C68BC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4C68BC">
        <w:rPr>
          <w:rFonts w:eastAsia="Times New Roman" w:cs="Arial"/>
          <w:color w:val="000000"/>
          <w:szCs w:val="20"/>
          <w:lang w:eastAsia="bg-BG"/>
        </w:rPr>
        <w:t>Пациентите трябва да бъдат внимателно мониторирани и да бъдат третирани инфузионно с изопреналин или да им бъде поставен трансвенозен сърдечен пейсмейкър.</w:t>
      </w:r>
    </w:p>
    <w:p w14:paraId="27DD281E" w14:textId="77777777" w:rsidR="004C68BC" w:rsidRPr="004C68BC" w:rsidRDefault="004C68BC" w:rsidP="004C68BC">
      <w:pPr>
        <w:spacing w:line="240" w:lineRule="auto"/>
        <w:rPr>
          <w:rFonts w:eastAsia="Times New Roman" w:cs="Arial"/>
          <w:i/>
          <w:iCs/>
          <w:color w:val="000000"/>
          <w:szCs w:val="20"/>
          <w:lang w:eastAsia="bg-BG"/>
        </w:rPr>
      </w:pPr>
    </w:p>
    <w:p w14:paraId="2BA4E80D" w14:textId="2C7F39E7" w:rsidR="004C68BC" w:rsidRPr="004C68BC" w:rsidRDefault="004C68BC" w:rsidP="004C68BC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4C68BC">
        <w:rPr>
          <w:rFonts w:eastAsia="Times New Roman" w:cs="Arial"/>
          <w:i/>
          <w:iCs/>
          <w:color w:val="000000"/>
          <w:szCs w:val="20"/>
          <w:lang w:eastAsia="bg-BG"/>
        </w:rPr>
        <w:t>Остро влошаване на сърдечна недостатъчност:</w:t>
      </w:r>
    </w:p>
    <w:p w14:paraId="70670F3D" w14:textId="77777777" w:rsidR="004C68BC" w:rsidRPr="004C68BC" w:rsidRDefault="004C68BC" w:rsidP="004C68BC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4C68BC">
        <w:rPr>
          <w:rFonts w:eastAsia="Times New Roman" w:cs="Arial"/>
          <w:color w:val="000000"/>
          <w:szCs w:val="20"/>
          <w:lang w:eastAsia="bg-BG"/>
        </w:rPr>
        <w:t xml:space="preserve">Прилагане на диуретици </w:t>
      </w:r>
      <w:proofErr w:type="spellStart"/>
      <w:r w:rsidRPr="004C68BC">
        <w:rPr>
          <w:rFonts w:eastAsia="Times New Roman" w:cs="Arial"/>
          <w:i/>
          <w:iCs/>
          <w:color w:val="000000"/>
          <w:szCs w:val="20"/>
          <w:lang w:val="en-US"/>
        </w:rPr>
        <w:t>i.v.</w:t>
      </w:r>
      <w:proofErr w:type="spellEnd"/>
      <w:r w:rsidRPr="004C68BC">
        <w:rPr>
          <w:rFonts w:eastAsia="Times New Roman" w:cs="Arial"/>
          <w:i/>
          <w:iCs/>
          <w:color w:val="000000"/>
          <w:szCs w:val="20"/>
          <w:lang w:val="en-US"/>
        </w:rPr>
        <w:t>,</w:t>
      </w:r>
      <w:r w:rsidRPr="004C68BC">
        <w:rPr>
          <w:rFonts w:eastAsia="Times New Roman" w:cs="Arial"/>
          <w:color w:val="000000"/>
          <w:szCs w:val="20"/>
          <w:lang w:val="en-US"/>
        </w:rPr>
        <w:t xml:space="preserve"> </w:t>
      </w:r>
      <w:r w:rsidRPr="004C68BC">
        <w:rPr>
          <w:rFonts w:eastAsia="Times New Roman" w:cs="Arial"/>
          <w:color w:val="000000"/>
          <w:szCs w:val="20"/>
          <w:lang w:eastAsia="bg-BG"/>
        </w:rPr>
        <w:t>инотропни средства, съдоразширяващи средства.</w:t>
      </w:r>
    </w:p>
    <w:p w14:paraId="69AABE45" w14:textId="77777777" w:rsidR="004C68BC" w:rsidRPr="004C68BC" w:rsidRDefault="004C68BC" w:rsidP="004C68BC">
      <w:pPr>
        <w:spacing w:line="240" w:lineRule="auto"/>
        <w:rPr>
          <w:rFonts w:eastAsia="Times New Roman" w:cs="Arial"/>
          <w:i/>
          <w:iCs/>
          <w:color w:val="000000"/>
          <w:szCs w:val="20"/>
          <w:lang w:eastAsia="bg-BG"/>
        </w:rPr>
      </w:pPr>
    </w:p>
    <w:p w14:paraId="3CC0932B" w14:textId="6A58BF2B" w:rsidR="004C68BC" w:rsidRPr="004C68BC" w:rsidRDefault="004C68BC" w:rsidP="004C68BC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4C68BC">
        <w:rPr>
          <w:rFonts w:eastAsia="Times New Roman" w:cs="Arial"/>
          <w:i/>
          <w:iCs/>
          <w:color w:val="000000"/>
          <w:szCs w:val="20"/>
          <w:lang w:eastAsia="bg-BG"/>
        </w:rPr>
        <w:t>Бронхоспазми:</w:t>
      </w:r>
    </w:p>
    <w:p w14:paraId="42DAA3C6" w14:textId="77777777" w:rsidR="004C68BC" w:rsidRPr="004C68BC" w:rsidRDefault="004C68BC" w:rsidP="004C68BC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4C68BC">
        <w:rPr>
          <w:rFonts w:eastAsia="Times New Roman" w:cs="Arial"/>
          <w:color w:val="000000"/>
          <w:szCs w:val="20"/>
          <w:lang w:eastAsia="bg-BG"/>
        </w:rPr>
        <w:lastRenderedPageBreak/>
        <w:t>Прилагане на лечение с бронходилататори, като например изопреналин, бета</w:t>
      </w:r>
      <w:r w:rsidRPr="004C68BC">
        <w:rPr>
          <w:rFonts w:eastAsia="Times New Roman" w:cs="Arial"/>
          <w:color w:val="000000"/>
          <w:szCs w:val="20"/>
          <w:vertAlign w:val="subscript"/>
          <w:lang w:eastAsia="bg-BG"/>
        </w:rPr>
        <w:t>2</w:t>
      </w:r>
      <w:r w:rsidRPr="004C68BC">
        <w:rPr>
          <w:rFonts w:eastAsia="Times New Roman" w:cs="Arial"/>
          <w:color w:val="000000"/>
          <w:szCs w:val="20"/>
          <w:lang w:eastAsia="bg-BG"/>
        </w:rPr>
        <w:t>- симпатомиметици и/или аминофилин.</w:t>
      </w:r>
    </w:p>
    <w:p w14:paraId="2BB7EC74" w14:textId="77777777" w:rsidR="004C68BC" w:rsidRPr="004C68BC" w:rsidRDefault="004C68BC" w:rsidP="004C68BC">
      <w:pPr>
        <w:spacing w:line="240" w:lineRule="auto"/>
        <w:rPr>
          <w:rFonts w:eastAsia="Times New Roman" w:cs="Arial"/>
          <w:i/>
          <w:iCs/>
          <w:color w:val="000000"/>
          <w:szCs w:val="20"/>
          <w:lang w:eastAsia="bg-BG"/>
        </w:rPr>
      </w:pPr>
    </w:p>
    <w:p w14:paraId="58C9C3E3" w14:textId="56523B40" w:rsidR="004C68BC" w:rsidRPr="004C68BC" w:rsidRDefault="004C68BC" w:rsidP="004C68BC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4C68BC">
        <w:rPr>
          <w:rFonts w:eastAsia="Times New Roman" w:cs="Arial"/>
          <w:i/>
          <w:iCs/>
          <w:color w:val="000000"/>
          <w:szCs w:val="20"/>
          <w:lang w:eastAsia="bg-BG"/>
        </w:rPr>
        <w:t>Хипогликемия:</w:t>
      </w:r>
    </w:p>
    <w:p w14:paraId="4F6CB6F4" w14:textId="77777777" w:rsidR="004C68BC" w:rsidRPr="004C68BC" w:rsidRDefault="004C68BC" w:rsidP="004C68BC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4C68BC">
        <w:rPr>
          <w:rFonts w:eastAsia="Times New Roman" w:cs="Arial"/>
          <w:color w:val="000000"/>
          <w:szCs w:val="20"/>
          <w:lang w:eastAsia="bg-BG"/>
        </w:rPr>
        <w:t xml:space="preserve">Прилагане на глюкоза </w:t>
      </w:r>
      <w:proofErr w:type="spellStart"/>
      <w:r w:rsidRPr="004C68BC">
        <w:rPr>
          <w:rFonts w:eastAsia="Times New Roman" w:cs="Arial"/>
          <w:i/>
          <w:iCs/>
          <w:color w:val="000000"/>
          <w:szCs w:val="20"/>
          <w:lang w:val="en-US"/>
        </w:rPr>
        <w:t>i.v.</w:t>
      </w:r>
      <w:proofErr w:type="spellEnd"/>
      <w:r w:rsidRPr="004C68BC">
        <w:rPr>
          <w:rFonts w:eastAsia="Times New Roman" w:cs="Arial"/>
          <w:i/>
          <w:iCs/>
          <w:color w:val="000000"/>
          <w:szCs w:val="20"/>
          <w:lang w:val="en-US"/>
        </w:rPr>
        <w:t>.</w:t>
      </w:r>
    </w:p>
    <w:p w14:paraId="212FB9E5" w14:textId="77777777" w:rsidR="004C68BC" w:rsidRPr="004C68BC" w:rsidRDefault="004C68BC" w:rsidP="004C68BC">
      <w:pPr>
        <w:spacing w:line="240" w:lineRule="auto"/>
        <w:rPr>
          <w:rFonts w:eastAsia="Times New Roman" w:cs="Arial"/>
          <w:color w:val="000000"/>
          <w:szCs w:val="20"/>
          <w:lang w:eastAsia="bg-BG"/>
        </w:rPr>
      </w:pPr>
    </w:p>
    <w:p w14:paraId="6688E608" w14:textId="49F6EEB0" w:rsidR="004C68BC" w:rsidRPr="004C68BC" w:rsidRDefault="004C68BC" w:rsidP="004C68BC">
      <w:pPr>
        <w:spacing w:line="240" w:lineRule="auto"/>
        <w:rPr>
          <w:rFonts w:eastAsia="Times New Roman" w:cs="Arial"/>
          <w:sz w:val="32"/>
          <w:szCs w:val="24"/>
          <w:lang w:eastAsia="bg-BG"/>
        </w:rPr>
      </w:pPr>
      <w:r w:rsidRPr="004C68BC">
        <w:rPr>
          <w:rFonts w:eastAsia="Times New Roman" w:cs="Arial"/>
          <w:color w:val="000000"/>
          <w:szCs w:val="20"/>
          <w:lang w:eastAsia="bg-BG"/>
        </w:rPr>
        <w:t>Ограничените налични данни предполагат, че бисопролол почти не се диализира.</w:t>
      </w:r>
    </w:p>
    <w:p w14:paraId="02081B24" w14:textId="17497F6D" w:rsidR="00395555" w:rsidRDefault="002C50EE" w:rsidP="008A6AF2">
      <w:pPr>
        <w:pStyle w:val="Heading1"/>
      </w:pPr>
      <w:r>
        <w:t>5. ФАРМАКОЛОГИЧНИ СВОЙСТВА</w:t>
      </w:r>
    </w:p>
    <w:p w14:paraId="79AA343D" w14:textId="77777777" w:rsidR="004C68BC" w:rsidRPr="004C68BC" w:rsidRDefault="004C68BC" w:rsidP="004C68BC"/>
    <w:p w14:paraId="32B6DE66" w14:textId="49C71C9B" w:rsidR="00CF77F7" w:rsidRDefault="002C50EE" w:rsidP="004A448E">
      <w:pPr>
        <w:pStyle w:val="Heading2"/>
      </w:pPr>
      <w:r>
        <w:t>5.1. Фармакодинамични свойства</w:t>
      </w:r>
    </w:p>
    <w:p w14:paraId="76A1379A" w14:textId="21DF1239" w:rsidR="004C68BC" w:rsidRDefault="004C68BC" w:rsidP="004C68BC"/>
    <w:p w14:paraId="46F6F936" w14:textId="77777777" w:rsidR="004C68BC" w:rsidRPr="004C68BC" w:rsidRDefault="004C68BC" w:rsidP="004C68BC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4C68BC">
        <w:rPr>
          <w:rFonts w:eastAsia="Times New Roman" w:cs="Arial"/>
          <w:color w:val="000000"/>
          <w:szCs w:val="20"/>
          <w:lang w:eastAsia="bg-BG"/>
        </w:rPr>
        <w:t>Фармакотерапевтична група: селективни бета-блокери, АТС код: С07АВ07</w:t>
      </w:r>
    </w:p>
    <w:p w14:paraId="696EE7F0" w14:textId="77777777" w:rsidR="004C68BC" w:rsidRPr="004C68BC" w:rsidRDefault="004C68BC" w:rsidP="004C68BC">
      <w:pPr>
        <w:spacing w:line="240" w:lineRule="auto"/>
        <w:rPr>
          <w:rFonts w:eastAsia="Times New Roman" w:cs="Arial"/>
          <w:color w:val="000000"/>
          <w:szCs w:val="20"/>
          <w:lang w:eastAsia="bg-BG"/>
        </w:rPr>
      </w:pPr>
    </w:p>
    <w:p w14:paraId="0BC367F5" w14:textId="2CAFA58D" w:rsidR="004C68BC" w:rsidRPr="004C68BC" w:rsidRDefault="004C68BC" w:rsidP="004C68BC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4C68BC">
        <w:rPr>
          <w:rFonts w:eastAsia="Times New Roman" w:cs="Arial"/>
          <w:color w:val="000000"/>
          <w:szCs w:val="20"/>
          <w:lang w:eastAsia="bg-BG"/>
        </w:rPr>
        <w:t>Бисопролол е мощен, високо селективен бета</w:t>
      </w:r>
      <w:r w:rsidRPr="004C68BC">
        <w:rPr>
          <w:rFonts w:eastAsia="Times New Roman" w:cs="Arial"/>
          <w:color w:val="000000"/>
          <w:szCs w:val="20"/>
          <w:vertAlign w:val="subscript"/>
          <w:lang w:eastAsia="bg-BG"/>
        </w:rPr>
        <w:t>1</w:t>
      </w:r>
      <w:r w:rsidRPr="004C68BC">
        <w:rPr>
          <w:rFonts w:eastAsia="Times New Roman" w:cs="Arial"/>
          <w:color w:val="000000"/>
          <w:szCs w:val="20"/>
          <w:lang w:eastAsia="bg-BG"/>
        </w:rPr>
        <w:t>-блокер, лишен от вътрешна симпатомиметична активност. Какго и при другите бета-блокери, начинът на действие при хипертония не е ясен. Въпреки това, е известно, че бисопролол изразено потиска плазмената ренинова активност. При пациенти със стенокардия, блокадата на бета-рецепторите редуцира сърдечната дейност и по този начин намалява кислородните нужди.</w:t>
      </w:r>
    </w:p>
    <w:p w14:paraId="4102F573" w14:textId="77777777" w:rsidR="004C68BC" w:rsidRPr="004C68BC" w:rsidRDefault="004C68BC" w:rsidP="004C68BC">
      <w:pPr>
        <w:rPr>
          <w:rFonts w:eastAsia="Times New Roman" w:cs="Arial"/>
          <w:color w:val="000000"/>
          <w:szCs w:val="20"/>
          <w:lang w:eastAsia="bg-BG"/>
        </w:rPr>
      </w:pPr>
    </w:p>
    <w:p w14:paraId="05CAD12E" w14:textId="298F1CC3" w:rsidR="004C68BC" w:rsidRPr="004C68BC" w:rsidRDefault="004C68BC" w:rsidP="004C68BC">
      <w:pPr>
        <w:rPr>
          <w:rFonts w:eastAsia="Times New Roman" w:cs="Arial"/>
          <w:color w:val="000000"/>
          <w:szCs w:val="20"/>
          <w:lang w:eastAsia="bg-BG"/>
        </w:rPr>
      </w:pPr>
      <w:r w:rsidRPr="004C68BC">
        <w:rPr>
          <w:rFonts w:eastAsia="Times New Roman" w:cs="Arial"/>
          <w:color w:val="000000"/>
          <w:szCs w:val="20"/>
          <w:lang w:eastAsia="bg-BG"/>
        </w:rPr>
        <w:t>Бисопролол притежава сходни с пропранолол локални анестетични свойства.</w:t>
      </w:r>
    </w:p>
    <w:p w14:paraId="724F3276" w14:textId="77777777" w:rsidR="004C68BC" w:rsidRPr="004C68BC" w:rsidRDefault="004C68BC" w:rsidP="004C68BC"/>
    <w:p w14:paraId="35F84B81" w14:textId="15347A8C" w:rsidR="00CF77F7" w:rsidRDefault="002C50EE" w:rsidP="004A448E">
      <w:pPr>
        <w:pStyle w:val="Heading2"/>
      </w:pPr>
      <w:r>
        <w:t>5.2. Фармакокинетични свойства</w:t>
      </w:r>
    </w:p>
    <w:p w14:paraId="194E056F" w14:textId="61332C1E" w:rsidR="004C68BC" w:rsidRDefault="004C68BC" w:rsidP="004C68BC"/>
    <w:p w14:paraId="5C44056B" w14:textId="6066C9B6" w:rsidR="004C68BC" w:rsidRPr="004C68BC" w:rsidRDefault="004C68BC" w:rsidP="004C68BC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4C68BC">
        <w:rPr>
          <w:rFonts w:eastAsia="Times New Roman" w:cs="Arial"/>
          <w:color w:val="000000"/>
          <w:szCs w:val="20"/>
          <w:lang w:eastAsia="bg-BG"/>
        </w:rPr>
        <w:t>Бисопролол се абсорбира почти напълно в стомашно-чревния тракт. Заедно с изключително слабия метаболизъм при първото преминаване през черния дроб, това води до висока бионаличност от приблизително 90 %. Свързването с плазмените протеини на би</w:t>
      </w:r>
      <w:r w:rsidRPr="004C68BC">
        <w:rPr>
          <w:rFonts w:eastAsia="Times New Roman" w:cs="Arial"/>
          <w:color w:val="000000"/>
          <w:szCs w:val="20"/>
          <w:u w:val="single"/>
          <w:lang w:eastAsia="bg-BG"/>
        </w:rPr>
        <w:t>сопроло</w:t>
      </w:r>
      <w:r w:rsidRPr="004C68BC">
        <w:rPr>
          <w:rFonts w:eastAsia="Times New Roman" w:cs="Arial"/>
          <w:color w:val="000000"/>
          <w:szCs w:val="20"/>
          <w:lang w:eastAsia="bg-BG"/>
        </w:rPr>
        <w:t xml:space="preserve">л е около 30 %. Обемът на разпределение е 3,5 </w:t>
      </w:r>
      <w:r w:rsidRPr="004C68BC">
        <w:rPr>
          <w:rFonts w:eastAsia="Times New Roman" w:cs="Arial"/>
          <w:color w:val="000000"/>
          <w:szCs w:val="20"/>
          <w:lang w:val="en-US"/>
        </w:rPr>
        <w:t xml:space="preserve">l/kg. </w:t>
      </w:r>
      <w:r w:rsidRPr="004C68BC">
        <w:rPr>
          <w:rFonts w:eastAsia="Times New Roman" w:cs="Arial"/>
          <w:color w:val="000000"/>
          <w:szCs w:val="20"/>
          <w:lang w:eastAsia="bg-BG"/>
        </w:rPr>
        <w:t>Общият клирънс е приблизително 15</w:t>
      </w:r>
      <w:r w:rsidRPr="004C68BC">
        <w:rPr>
          <w:rFonts w:eastAsia="Times New Roman" w:cs="Arial"/>
          <w:color w:val="000000"/>
          <w:szCs w:val="20"/>
          <w:lang w:val="en-US"/>
        </w:rPr>
        <w:t xml:space="preserve"> l/h.</w:t>
      </w:r>
      <w:r w:rsidRPr="004C68BC">
        <w:rPr>
          <w:rFonts w:eastAsia="Times New Roman" w:cs="Arial"/>
          <w:color w:val="000000"/>
          <w:szCs w:val="20"/>
          <w:lang w:eastAsia="bg-BG"/>
        </w:rPr>
        <w:t xml:space="preserve"> Елиминационният полуживот (10-12 часа) осигурява 24-часова ефикасност при дозиране веднъж дневно.</w:t>
      </w:r>
    </w:p>
    <w:p w14:paraId="3890B7FB" w14:textId="77777777" w:rsidR="004C68BC" w:rsidRPr="004C68BC" w:rsidRDefault="004C68BC" w:rsidP="004C68BC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</w:p>
    <w:p w14:paraId="2724778E" w14:textId="77777777" w:rsidR="004C68BC" w:rsidRPr="004C68BC" w:rsidRDefault="004C68BC" w:rsidP="004C68BC">
      <w:pPr>
        <w:rPr>
          <w:rFonts w:eastAsia="Times New Roman" w:cs="Arial"/>
          <w:sz w:val="28"/>
          <w:szCs w:val="24"/>
          <w:lang w:eastAsia="bg-BG"/>
        </w:rPr>
      </w:pPr>
      <w:r w:rsidRPr="004C68BC">
        <w:rPr>
          <w:rFonts w:eastAsia="Times New Roman" w:cs="Arial"/>
          <w:color w:val="000000"/>
          <w:szCs w:val="20"/>
          <w:lang w:eastAsia="bg-BG"/>
        </w:rPr>
        <w:t>Бисопролол се екскретира от организма по два пътя - 50 % се метаболизират в черния дроб до неактивни метаболити, които впоследствие се екскретират чрез бъбреците. Останалите 30% се</w:t>
      </w:r>
      <w:r w:rsidRPr="004C68BC">
        <w:rPr>
          <w:rFonts w:eastAsia="Times New Roman" w:cs="Arial"/>
          <w:color w:val="000000"/>
          <w:szCs w:val="20"/>
          <w:lang w:val="en-US" w:eastAsia="bg-BG"/>
        </w:rPr>
        <w:t xml:space="preserve"> </w:t>
      </w:r>
      <w:r w:rsidRPr="004C68BC">
        <w:rPr>
          <w:rFonts w:eastAsia="Times New Roman" w:cs="Arial"/>
          <w:color w:val="000000"/>
          <w:szCs w:val="20"/>
          <w:lang w:eastAsia="bg-BG"/>
        </w:rPr>
        <w:t xml:space="preserve">екскретират чрез бъбреците в неметаболизирана форма. Тъй като елиминирането се извършва в еднаква степен чрез бъбреците и черния дроб, не се налага коригиране на дозата при пациенти с леко до умерено увредена чернодробна функция или бъбречна недостатъчност. При пациенти с тежко бъбречно увреждане (креатининов клирьнс &lt; 20 </w:t>
      </w:r>
      <w:r w:rsidRPr="004C68BC">
        <w:rPr>
          <w:rFonts w:eastAsia="Times New Roman" w:cs="Arial"/>
          <w:color w:val="000000"/>
          <w:szCs w:val="20"/>
          <w:lang w:val="en-US"/>
        </w:rPr>
        <w:t xml:space="preserve">ml/min) </w:t>
      </w:r>
      <w:r w:rsidRPr="004C68BC">
        <w:rPr>
          <w:rFonts w:eastAsia="Times New Roman" w:cs="Arial"/>
          <w:color w:val="000000"/>
          <w:szCs w:val="20"/>
          <w:lang w:eastAsia="bg-BG"/>
        </w:rPr>
        <w:t xml:space="preserve">или тежко чернодробно увреждане, дозата не трябва да надвишава 10 </w:t>
      </w:r>
      <w:r w:rsidRPr="004C68BC">
        <w:rPr>
          <w:rFonts w:eastAsia="Times New Roman" w:cs="Arial"/>
          <w:color w:val="000000"/>
          <w:szCs w:val="20"/>
          <w:lang w:val="en-US"/>
        </w:rPr>
        <w:t xml:space="preserve">mg </w:t>
      </w:r>
      <w:r w:rsidRPr="004C68BC">
        <w:rPr>
          <w:rFonts w:eastAsia="Times New Roman" w:cs="Arial"/>
          <w:color w:val="000000"/>
          <w:szCs w:val="20"/>
          <w:lang w:eastAsia="bg-BG"/>
        </w:rPr>
        <w:t>веднъж дневно. Тази доза може да бъде разделена на две равни половини.</w:t>
      </w:r>
    </w:p>
    <w:p w14:paraId="763FC6D1" w14:textId="77777777" w:rsidR="004C68BC" w:rsidRPr="004C68BC" w:rsidRDefault="004C68BC" w:rsidP="004C68BC">
      <w:pPr>
        <w:spacing w:line="240" w:lineRule="auto"/>
        <w:rPr>
          <w:rFonts w:eastAsia="Times New Roman" w:cs="Arial"/>
          <w:color w:val="000000"/>
          <w:szCs w:val="20"/>
          <w:lang w:eastAsia="bg-BG"/>
        </w:rPr>
      </w:pPr>
    </w:p>
    <w:p w14:paraId="3D0B4C8A" w14:textId="6AFFE6A2" w:rsidR="004C68BC" w:rsidRPr="004C68BC" w:rsidRDefault="004C68BC" w:rsidP="004C68BC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4C68BC">
        <w:rPr>
          <w:rFonts w:eastAsia="Times New Roman" w:cs="Arial"/>
          <w:color w:val="000000"/>
          <w:szCs w:val="20"/>
          <w:lang w:eastAsia="bg-BG"/>
        </w:rPr>
        <w:t>Кинетиката на бисопролол фумарат е линейна и не зависи от възрастта.</w:t>
      </w:r>
    </w:p>
    <w:p w14:paraId="03306EF7" w14:textId="75842EAF" w:rsidR="004C68BC" w:rsidRPr="004C68BC" w:rsidRDefault="004C68BC" w:rsidP="004C68BC">
      <w:pPr>
        <w:rPr>
          <w:rFonts w:eastAsia="Times New Roman" w:cs="Arial"/>
          <w:color w:val="000000"/>
          <w:sz w:val="24"/>
          <w:szCs w:val="20"/>
          <w:lang w:val="en-US" w:eastAsia="bg-BG"/>
        </w:rPr>
      </w:pPr>
      <w:r w:rsidRPr="004C68BC">
        <w:rPr>
          <w:rFonts w:eastAsia="Times New Roman" w:cs="Arial"/>
          <w:color w:val="000000"/>
          <w:szCs w:val="20"/>
          <w:lang w:eastAsia="bg-BG"/>
        </w:rPr>
        <w:t xml:space="preserve">При пациенти с хронична сърдечна недостатъчност (стадий Ш по </w:t>
      </w:r>
      <w:r w:rsidRPr="004C68BC">
        <w:rPr>
          <w:rFonts w:eastAsia="Times New Roman" w:cs="Arial"/>
          <w:color w:val="000000"/>
          <w:szCs w:val="20"/>
          <w:lang w:val="en-US"/>
        </w:rPr>
        <w:t xml:space="preserve">NYHA) </w:t>
      </w:r>
      <w:r w:rsidRPr="004C68BC">
        <w:rPr>
          <w:rFonts w:eastAsia="Times New Roman" w:cs="Arial"/>
          <w:color w:val="000000"/>
          <w:szCs w:val="20"/>
          <w:lang w:eastAsia="bg-BG"/>
        </w:rPr>
        <w:t xml:space="preserve">плазмените концентрации на бисопролол са по-високи и елиминационният полуживот е удължен, в сравнение със здрави доброволци. Максималната плазмена концентрация в равновесно състояние е 64 ± 21 </w:t>
      </w:r>
      <w:r w:rsidRPr="004C68BC">
        <w:rPr>
          <w:rFonts w:eastAsia="Times New Roman" w:cs="Arial"/>
          <w:color w:val="000000"/>
          <w:szCs w:val="20"/>
          <w:lang w:val="en-US"/>
        </w:rPr>
        <w:t xml:space="preserve">ng/ml </w:t>
      </w:r>
      <w:r w:rsidRPr="004C68BC">
        <w:rPr>
          <w:rFonts w:eastAsia="Times New Roman" w:cs="Arial"/>
          <w:color w:val="000000"/>
          <w:szCs w:val="20"/>
          <w:lang w:eastAsia="bg-BG"/>
        </w:rPr>
        <w:t xml:space="preserve">при дневна доза от 10 </w:t>
      </w:r>
      <w:r w:rsidRPr="004C68BC">
        <w:rPr>
          <w:rFonts w:eastAsia="Times New Roman" w:cs="Arial"/>
          <w:color w:val="000000"/>
          <w:szCs w:val="20"/>
          <w:lang w:val="en-US"/>
        </w:rPr>
        <w:t xml:space="preserve">mg, </w:t>
      </w:r>
      <w:r w:rsidRPr="004C68BC">
        <w:rPr>
          <w:rFonts w:eastAsia="Times New Roman" w:cs="Arial"/>
          <w:color w:val="000000"/>
          <w:szCs w:val="20"/>
          <w:lang w:eastAsia="bg-BG"/>
        </w:rPr>
        <w:t>а елиминационният полуживот е 17 ± 5часа.</w:t>
      </w:r>
    </w:p>
    <w:p w14:paraId="79C4E229" w14:textId="77777777" w:rsidR="004C68BC" w:rsidRPr="004C68BC" w:rsidRDefault="004C68BC" w:rsidP="004C68BC"/>
    <w:p w14:paraId="648E39DA" w14:textId="6275FA50" w:rsidR="00CF77F7" w:rsidRDefault="002C50EE" w:rsidP="004A448E">
      <w:pPr>
        <w:pStyle w:val="Heading2"/>
      </w:pPr>
      <w:r>
        <w:t>5.3. Предклинични данни за безопасност</w:t>
      </w:r>
    </w:p>
    <w:p w14:paraId="6310B38A" w14:textId="12C4A53B" w:rsidR="004C68BC" w:rsidRDefault="004C68BC" w:rsidP="004C68BC"/>
    <w:p w14:paraId="1D0371B9" w14:textId="6732B21C" w:rsidR="004C68BC" w:rsidRPr="004C68BC" w:rsidRDefault="004C68BC" w:rsidP="004C68BC">
      <w:pPr>
        <w:rPr>
          <w:sz w:val="24"/>
        </w:rPr>
      </w:pPr>
      <w:r w:rsidRPr="004C68BC">
        <w:rPr>
          <w:szCs w:val="20"/>
        </w:rPr>
        <w:t>Неклиничните данни не показват особен риск за хора на базата на конвенционалните фармакологични проучвания за безопасност, токсичност при многократно прилагане, генотоксичност и карц</w:t>
      </w:r>
      <w:bookmarkStart w:id="2" w:name="_GoBack"/>
      <w:bookmarkEnd w:id="2"/>
      <w:r w:rsidRPr="004C68BC">
        <w:rPr>
          <w:szCs w:val="20"/>
        </w:rPr>
        <w:t>иногенен потенциал. Подобно на другите бета-блокери, бисопролол фумарат води до токсичност при майката (понижен прием на храна или понижено телесно тегло) и ембрио/фетотоксичност (повишена честота на резорбция, намалено телесно тегло на поколението, забавено физическо развитие) при високи дози, но не е тератогенен.</w:t>
      </w:r>
    </w:p>
    <w:p w14:paraId="6A7820AB" w14:textId="1EE7C945" w:rsidR="008A6AF2" w:rsidRDefault="002C50EE" w:rsidP="00395555">
      <w:pPr>
        <w:pStyle w:val="Heading1"/>
      </w:pPr>
      <w:r>
        <w:t>7. ПРИТЕЖАТЕЛ НА РАЗРЕШЕНИЕТО ЗА УПОТРЕБА</w:t>
      </w:r>
    </w:p>
    <w:p w14:paraId="3D212187" w14:textId="3B0FFA21" w:rsidR="004C68BC" w:rsidRDefault="004C68BC" w:rsidP="004C68BC"/>
    <w:p w14:paraId="7C8D1933" w14:textId="77777777" w:rsidR="004C68BC" w:rsidRPr="004C68BC" w:rsidRDefault="004C68BC" w:rsidP="004C68BC">
      <w:pPr>
        <w:spacing w:line="240" w:lineRule="auto"/>
        <w:rPr>
          <w:rFonts w:eastAsia="Times New Roman" w:cs="Arial"/>
          <w:sz w:val="28"/>
          <w:szCs w:val="24"/>
          <w:lang w:val="en-US" w:eastAsia="bg-BG"/>
        </w:rPr>
      </w:pPr>
      <w:proofErr w:type="spellStart"/>
      <w:r w:rsidRPr="004C68BC">
        <w:rPr>
          <w:rFonts w:eastAsia="Times New Roman" w:cs="Arial"/>
          <w:color w:val="000000"/>
          <w:szCs w:val="20"/>
          <w:lang w:val="en-US"/>
        </w:rPr>
        <w:t>Teva</w:t>
      </w:r>
      <w:proofErr w:type="spellEnd"/>
      <w:r w:rsidRPr="004C68BC">
        <w:rPr>
          <w:rFonts w:eastAsia="Times New Roman" w:cs="Arial"/>
          <w:color w:val="000000"/>
          <w:szCs w:val="20"/>
          <w:lang w:val="en-US"/>
        </w:rPr>
        <w:t xml:space="preserve"> B.V.</w:t>
      </w:r>
    </w:p>
    <w:p w14:paraId="4C0CABA5" w14:textId="77777777" w:rsidR="004C68BC" w:rsidRPr="004C68BC" w:rsidRDefault="004C68BC" w:rsidP="004C68BC">
      <w:pPr>
        <w:spacing w:line="240" w:lineRule="auto"/>
        <w:rPr>
          <w:rFonts w:eastAsia="Times New Roman" w:cs="Arial"/>
          <w:sz w:val="28"/>
          <w:szCs w:val="24"/>
          <w:lang w:val="en-US" w:eastAsia="bg-BG"/>
        </w:rPr>
      </w:pPr>
      <w:proofErr w:type="spellStart"/>
      <w:r w:rsidRPr="004C68BC">
        <w:rPr>
          <w:rFonts w:eastAsia="Times New Roman" w:cs="Arial"/>
          <w:color w:val="000000"/>
          <w:szCs w:val="20"/>
          <w:lang w:val="en-US"/>
        </w:rPr>
        <w:t>Swensweg</w:t>
      </w:r>
      <w:proofErr w:type="spellEnd"/>
      <w:r w:rsidRPr="004C68BC">
        <w:rPr>
          <w:rFonts w:eastAsia="Times New Roman" w:cs="Arial"/>
          <w:color w:val="000000"/>
          <w:szCs w:val="20"/>
          <w:lang w:val="en-US"/>
        </w:rPr>
        <w:t xml:space="preserve"> </w:t>
      </w:r>
      <w:r w:rsidRPr="004C68BC">
        <w:rPr>
          <w:rFonts w:eastAsia="Times New Roman" w:cs="Arial"/>
          <w:color w:val="000000"/>
          <w:szCs w:val="20"/>
          <w:lang w:eastAsia="bg-BG"/>
        </w:rPr>
        <w:t xml:space="preserve">5, 2031 </w:t>
      </w:r>
      <w:r w:rsidRPr="004C68BC">
        <w:rPr>
          <w:rFonts w:eastAsia="Times New Roman" w:cs="Arial"/>
          <w:color w:val="000000"/>
          <w:szCs w:val="20"/>
          <w:lang w:val="en-US"/>
        </w:rPr>
        <w:t>GA Haarlem</w:t>
      </w:r>
    </w:p>
    <w:p w14:paraId="6EFBA5C4" w14:textId="1D21A4FF" w:rsidR="004C68BC" w:rsidRPr="004C68BC" w:rsidRDefault="004C68BC" w:rsidP="004C68BC">
      <w:pPr>
        <w:rPr>
          <w:rFonts w:cs="Arial"/>
          <w:sz w:val="24"/>
        </w:rPr>
      </w:pPr>
      <w:r w:rsidRPr="004C68BC">
        <w:rPr>
          <w:rFonts w:eastAsia="Times New Roman" w:cs="Arial"/>
          <w:color w:val="000000"/>
          <w:szCs w:val="20"/>
          <w:lang w:eastAsia="bg-BG"/>
        </w:rPr>
        <w:t>Нидерландия</w:t>
      </w:r>
    </w:p>
    <w:p w14:paraId="7BA1BA64" w14:textId="2EC38C20" w:rsidR="00CF77F7" w:rsidRDefault="002C50EE" w:rsidP="004A448E">
      <w:pPr>
        <w:pStyle w:val="Heading1"/>
      </w:pPr>
      <w:r>
        <w:t>8. НОМЕР НА РАЗРЕШЕНИЕТО ЗА УПОТРЕБА</w:t>
      </w:r>
    </w:p>
    <w:p w14:paraId="1EE37807" w14:textId="17805433" w:rsidR="004C68BC" w:rsidRDefault="004C68BC" w:rsidP="004C68BC"/>
    <w:p w14:paraId="6EE76C7A" w14:textId="77777777" w:rsidR="004C68BC" w:rsidRPr="004C68BC" w:rsidRDefault="004C68BC" w:rsidP="004C68BC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4C68BC">
        <w:rPr>
          <w:rFonts w:eastAsia="Times New Roman" w:cs="Arial"/>
          <w:color w:val="000000"/>
          <w:szCs w:val="20"/>
          <w:lang w:eastAsia="bg-BG"/>
        </w:rPr>
        <w:t xml:space="preserve">Блокбис 5 </w:t>
      </w:r>
      <w:r w:rsidRPr="004C68BC">
        <w:rPr>
          <w:rFonts w:eastAsia="Times New Roman" w:cs="Arial"/>
          <w:color w:val="000000"/>
          <w:szCs w:val="20"/>
          <w:lang w:val="en-US"/>
        </w:rPr>
        <w:t xml:space="preserve">mg </w:t>
      </w:r>
      <w:r w:rsidRPr="004C68BC">
        <w:rPr>
          <w:rFonts w:eastAsia="Times New Roman" w:cs="Arial"/>
          <w:color w:val="000000"/>
          <w:szCs w:val="20"/>
          <w:lang w:eastAsia="bg-BG"/>
        </w:rPr>
        <w:t xml:space="preserve">- </w:t>
      </w:r>
      <w:proofErr w:type="spellStart"/>
      <w:r w:rsidRPr="004C68BC">
        <w:rPr>
          <w:rFonts w:eastAsia="Times New Roman" w:cs="Arial"/>
          <w:color w:val="000000"/>
          <w:szCs w:val="20"/>
          <w:lang w:val="en-US"/>
        </w:rPr>
        <w:t>pe</w:t>
      </w:r>
      <w:proofErr w:type="spellEnd"/>
      <w:r w:rsidRPr="004C68BC">
        <w:rPr>
          <w:rFonts w:eastAsia="Times New Roman" w:cs="Arial"/>
          <w:color w:val="000000"/>
          <w:szCs w:val="20"/>
          <w:lang w:eastAsia="bg-BG"/>
        </w:rPr>
        <w:t>г</w:t>
      </w:r>
      <w:r w:rsidRPr="004C68BC">
        <w:rPr>
          <w:rFonts w:eastAsia="Times New Roman" w:cs="Arial"/>
          <w:color w:val="000000"/>
          <w:szCs w:val="20"/>
          <w:lang w:val="en-US"/>
        </w:rPr>
        <w:t xml:space="preserve">. </w:t>
      </w:r>
      <w:r w:rsidRPr="004C68BC">
        <w:rPr>
          <w:rFonts w:eastAsia="Times New Roman" w:cs="Arial"/>
          <w:color w:val="000000"/>
          <w:szCs w:val="20"/>
          <w:lang w:eastAsia="bg-BG"/>
        </w:rPr>
        <w:t>№ 20100129</w:t>
      </w:r>
    </w:p>
    <w:p w14:paraId="312AF016" w14:textId="3F396760" w:rsidR="004C68BC" w:rsidRPr="004C68BC" w:rsidRDefault="004C68BC" w:rsidP="004C68BC">
      <w:pPr>
        <w:rPr>
          <w:rFonts w:cs="Arial"/>
          <w:sz w:val="24"/>
        </w:rPr>
      </w:pPr>
      <w:r w:rsidRPr="004C68BC">
        <w:rPr>
          <w:rFonts w:eastAsia="Times New Roman" w:cs="Arial"/>
          <w:color w:val="000000"/>
          <w:szCs w:val="20"/>
          <w:lang w:eastAsia="bg-BG"/>
        </w:rPr>
        <w:t xml:space="preserve">Блокбис 10 </w:t>
      </w:r>
      <w:r w:rsidRPr="004C68BC">
        <w:rPr>
          <w:rFonts w:eastAsia="Times New Roman" w:cs="Arial"/>
          <w:color w:val="000000"/>
          <w:szCs w:val="20"/>
          <w:lang w:val="en-US"/>
        </w:rPr>
        <w:t>mg -</w:t>
      </w:r>
      <w:r w:rsidRPr="004C68BC">
        <w:rPr>
          <w:rFonts w:eastAsia="Times New Roman" w:cs="Arial"/>
          <w:color w:val="000000"/>
          <w:szCs w:val="20"/>
          <w:lang w:eastAsia="bg-BG"/>
        </w:rPr>
        <w:t xml:space="preserve"> </w:t>
      </w:r>
      <w:proofErr w:type="spellStart"/>
      <w:r w:rsidRPr="004C68BC">
        <w:rPr>
          <w:rFonts w:eastAsia="Times New Roman" w:cs="Arial"/>
          <w:color w:val="000000"/>
          <w:szCs w:val="20"/>
          <w:lang w:val="en-US"/>
        </w:rPr>
        <w:t>pe</w:t>
      </w:r>
      <w:proofErr w:type="spellEnd"/>
      <w:r w:rsidRPr="004C68BC">
        <w:rPr>
          <w:rFonts w:eastAsia="Times New Roman" w:cs="Arial"/>
          <w:color w:val="000000"/>
          <w:szCs w:val="20"/>
          <w:lang w:eastAsia="bg-BG"/>
        </w:rPr>
        <w:t>г.</w:t>
      </w:r>
      <w:r w:rsidRPr="004C68BC">
        <w:rPr>
          <w:rFonts w:eastAsia="Times New Roman" w:cs="Arial"/>
          <w:color w:val="000000"/>
          <w:szCs w:val="20"/>
          <w:lang w:val="en-US"/>
        </w:rPr>
        <w:t xml:space="preserve"> № 20100130</w:t>
      </w:r>
    </w:p>
    <w:p w14:paraId="2CCB5832" w14:textId="183FACD0" w:rsidR="007C605B" w:rsidRDefault="002C50EE" w:rsidP="007C605B">
      <w:pPr>
        <w:pStyle w:val="Heading1"/>
      </w:pPr>
      <w:r>
        <w:t>9. ДАТА НА ПЪРВО РАЗРЕШАВАНЕ/ПОДНОВЯВАНЕ НА РАЗРЕШЕНИЕТО ЗА УПОТРЕБА</w:t>
      </w:r>
    </w:p>
    <w:p w14:paraId="5DD5605B" w14:textId="5DDE771F" w:rsidR="004C68BC" w:rsidRDefault="004C68BC" w:rsidP="004C68BC"/>
    <w:p w14:paraId="0E375959" w14:textId="77777777" w:rsidR="004C68BC" w:rsidRPr="004C68BC" w:rsidRDefault="004C68BC" w:rsidP="004C68BC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4C68BC">
        <w:rPr>
          <w:rFonts w:eastAsia="Times New Roman" w:cs="Arial"/>
          <w:color w:val="000000"/>
          <w:szCs w:val="20"/>
          <w:lang w:eastAsia="bg-BG"/>
        </w:rPr>
        <w:t>Дата на първо разрешаване: 25.02.2010 г.</w:t>
      </w:r>
    </w:p>
    <w:p w14:paraId="3A8CC7F7" w14:textId="7C6B58A9" w:rsidR="004C68BC" w:rsidRPr="004C68BC" w:rsidRDefault="004C68BC" w:rsidP="004C68BC">
      <w:pPr>
        <w:rPr>
          <w:rFonts w:cs="Arial"/>
          <w:sz w:val="24"/>
        </w:rPr>
      </w:pPr>
      <w:r w:rsidRPr="004C68BC">
        <w:rPr>
          <w:rFonts w:eastAsia="Times New Roman" w:cs="Arial"/>
          <w:color w:val="000000"/>
          <w:szCs w:val="20"/>
          <w:lang w:eastAsia="bg-BG"/>
        </w:rPr>
        <w:t>Дата на последно подновяване: 06.04.2012 г.</w:t>
      </w:r>
    </w:p>
    <w:p w14:paraId="0E9D0119" w14:textId="0245C6D7" w:rsidR="002C50EE" w:rsidRDefault="002C50EE" w:rsidP="002C50EE">
      <w:pPr>
        <w:pStyle w:val="Heading1"/>
      </w:pPr>
      <w:r>
        <w:t>10. ДАТА НА АКТУАЛИЗИРАНЕ НА ТЕКСТА</w:t>
      </w:r>
    </w:p>
    <w:bookmarkEnd w:id="0"/>
    <w:p w14:paraId="43FB38A2" w14:textId="5500C507" w:rsidR="007C605B" w:rsidRPr="003E3126" w:rsidRDefault="007C605B" w:rsidP="00CF77F7"/>
    <w:sectPr w:rsidR="007C605B" w:rsidRPr="003E31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" w15:restartNumberingAfterBreak="0">
    <w:nsid w:val="00000003"/>
    <w:multiLevelType w:val="multilevel"/>
    <w:tmpl w:val="293C6334"/>
    <w:lvl w:ilvl="0">
      <w:start w:val="1"/>
      <w:numFmt w:val="decimal"/>
      <w:lvlText w:val="%1."/>
      <w:lvlJc w:val="left"/>
      <w:rPr>
        <w:rFonts w:ascii="Arial" w:eastAsia="Times New Roman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2" w15:restartNumberingAfterBreak="0">
    <w:nsid w:val="00894126"/>
    <w:multiLevelType w:val="multilevel"/>
    <w:tmpl w:val="588ED07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3" w15:restartNumberingAfterBreak="0">
    <w:nsid w:val="00AE4925"/>
    <w:multiLevelType w:val="multilevel"/>
    <w:tmpl w:val="4CC8ED5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4" w15:restartNumberingAfterBreak="0">
    <w:nsid w:val="04834C69"/>
    <w:multiLevelType w:val="multilevel"/>
    <w:tmpl w:val="DC0A14F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5" w15:restartNumberingAfterBreak="0">
    <w:nsid w:val="099A0F47"/>
    <w:multiLevelType w:val="hybridMultilevel"/>
    <w:tmpl w:val="5F3E39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3A2C2D"/>
    <w:multiLevelType w:val="multilevel"/>
    <w:tmpl w:val="00000000"/>
    <w:lvl w:ilvl="0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7" w15:restartNumberingAfterBreak="0">
    <w:nsid w:val="185D5744"/>
    <w:multiLevelType w:val="hybridMultilevel"/>
    <w:tmpl w:val="9518506C"/>
    <w:lvl w:ilvl="0" w:tplc="E20A4D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016EEE"/>
    <w:multiLevelType w:val="hybridMultilevel"/>
    <w:tmpl w:val="52F6376E"/>
    <w:lvl w:ilvl="0" w:tplc="4F7A9382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6343B0"/>
    <w:multiLevelType w:val="hybridMultilevel"/>
    <w:tmpl w:val="DD4E8C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1258ED"/>
    <w:multiLevelType w:val="hybridMultilevel"/>
    <w:tmpl w:val="AA423BD4"/>
    <w:lvl w:ilvl="0" w:tplc="040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5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7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9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1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3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5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7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97" w:hanging="360"/>
      </w:pPr>
      <w:rPr>
        <w:rFonts w:ascii="Wingdings" w:hAnsi="Wingdings" w:hint="default"/>
      </w:rPr>
    </w:lvl>
  </w:abstractNum>
  <w:abstractNum w:abstractNumId="11" w15:restartNumberingAfterBreak="0">
    <w:nsid w:val="26177103"/>
    <w:multiLevelType w:val="multilevel"/>
    <w:tmpl w:val="E82C6D4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2" w15:restartNumberingAfterBreak="0">
    <w:nsid w:val="28E338E7"/>
    <w:multiLevelType w:val="hybridMultilevel"/>
    <w:tmpl w:val="C744269C"/>
    <w:lvl w:ilvl="0" w:tplc="E20A4D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C0F0359"/>
    <w:multiLevelType w:val="hybridMultilevel"/>
    <w:tmpl w:val="44CA7B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A60FB9"/>
    <w:multiLevelType w:val="hybridMultilevel"/>
    <w:tmpl w:val="BA3E8EEE"/>
    <w:lvl w:ilvl="0" w:tplc="D63C3370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000000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A002FE"/>
    <w:multiLevelType w:val="hybridMultilevel"/>
    <w:tmpl w:val="60D40E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D687B88"/>
    <w:multiLevelType w:val="multilevel"/>
    <w:tmpl w:val="00000000"/>
    <w:lvl w:ilvl="0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7" w15:restartNumberingAfterBreak="0">
    <w:nsid w:val="403D3417"/>
    <w:multiLevelType w:val="multilevel"/>
    <w:tmpl w:val="B57254D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8" w15:restartNumberingAfterBreak="0">
    <w:nsid w:val="42823E3C"/>
    <w:multiLevelType w:val="hybridMultilevel"/>
    <w:tmpl w:val="80B077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30E33D8"/>
    <w:multiLevelType w:val="hybridMultilevel"/>
    <w:tmpl w:val="71309C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3ED0C31"/>
    <w:multiLevelType w:val="hybridMultilevel"/>
    <w:tmpl w:val="2946DD8C"/>
    <w:lvl w:ilvl="0" w:tplc="83C2330A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A817B77"/>
    <w:multiLevelType w:val="multilevel"/>
    <w:tmpl w:val="00000000"/>
    <w:lvl w:ilvl="0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22" w15:restartNumberingAfterBreak="0">
    <w:nsid w:val="4B960DEC"/>
    <w:multiLevelType w:val="hybridMultilevel"/>
    <w:tmpl w:val="DE7AABEA"/>
    <w:lvl w:ilvl="0" w:tplc="7E0614AE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D31061F"/>
    <w:multiLevelType w:val="hybridMultilevel"/>
    <w:tmpl w:val="7BE09C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DFE48DA"/>
    <w:multiLevelType w:val="hybridMultilevel"/>
    <w:tmpl w:val="8D98AC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F088CA4">
      <w:numFmt w:val="bullet"/>
      <w:lvlText w:val="•"/>
      <w:lvlJc w:val="left"/>
      <w:pPr>
        <w:ind w:left="1800" w:hanging="720"/>
      </w:pPr>
      <w:rPr>
        <w:rFonts w:ascii="Arial" w:eastAsiaTheme="minorHAnsi" w:hAnsi="Arial" w:cs="Arial" w:hint="default"/>
        <w:sz w:val="22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FAB1ABA"/>
    <w:multiLevelType w:val="hybridMultilevel"/>
    <w:tmpl w:val="EEEC7F7E"/>
    <w:lvl w:ilvl="0" w:tplc="E38E44DA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0A8116B"/>
    <w:multiLevelType w:val="hybridMultilevel"/>
    <w:tmpl w:val="F18C2434"/>
    <w:lvl w:ilvl="0" w:tplc="04B87F8E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C2302E"/>
    <w:multiLevelType w:val="hybridMultilevel"/>
    <w:tmpl w:val="FF02BB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C1F677A"/>
    <w:multiLevelType w:val="hybridMultilevel"/>
    <w:tmpl w:val="96EC7004"/>
    <w:lvl w:ilvl="0" w:tplc="D63C3370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000000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E122928"/>
    <w:multiLevelType w:val="hybridMultilevel"/>
    <w:tmpl w:val="A8F06C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1B539E2"/>
    <w:multiLevelType w:val="hybridMultilevel"/>
    <w:tmpl w:val="E3BC63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2232121"/>
    <w:multiLevelType w:val="hybridMultilevel"/>
    <w:tmpl w:val="66C6516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3BC7DEC"/>
    <w:multiLevelType w:val="hybridMultilevel"/>
    <w:tmpl w:val="EE04B8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3AD1413"/>
    <w:multiLevelType w:val="hybridMultilevel"/>
    <w:tmpl w:val="9B941132"/>
    <w:lvl w:ilvl="0" w:tplc="7E0614AE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4646080"/>
    <w:multiLevelType w:val="hybridMultilevel"/>
    <w:tmpl w:val="AF3E92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8AD577B"/>
    <w:multiLevelType w:val="hybridMultilevel"/>
    <w:tmpl w:val="3F8AF83A"/>
    <w:lvl w:ilvl="0" w:tplc="E20A4D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B9E39A0"/>
    <w:multiLevelType w:val="hybridMultilevel"/>
    <w:tmpl w:val="E28A72A8"/>
    <w:lvl w:ilvl="0" w:tplc="61A8CAF0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EFB2D78"/>
    <w:multiLevelType w:val="multilevel"/>
    <w:tmpl w:val="00000000"/>
    <w:lvl w:ilvl="0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num w:numId="1">
    <w:abstractNumId w:val="28"/>
  </w:num>
  <w:num w:numId="2">
    <w:abstractNumId w:val="0"/>
  </w:num>
  <w:num w:numId="3">
    <w:abstractNumId w:val="14"/>
  </w:num>
  <w:num w:numId="4">
    <w:abstractNumId w:val="3"/>
  </w:num>
  <w:num w:numId="5">
    <w:abstractNumId w:val="1"/>
  </w:num>
  <w:num w:numId="6">
    <w:abstractNumId w:val="17"/>
  </w:num>
  <w:num w:numId="7">
    <w:abstractNumId w:val="11"/>
  </w:num>
  <w:num w:numId="8">
    <w:abstractNumId w:val="16"/>
  </w:num>
  <w:num w:numId="9">
    <w:abstractNumId w:val="2"/>
  </w:num>
  <w:num w:numId="10">
    <w:abstractNumId w:val="4"/>
  </w:num>
  <w:num w:numId="11">
    <w:abstractNumId w:val="32"/>
  </w:num>
  <w:num w:numId="12">
    <w:abstractNumId w:val="15"/>
  </w:num>
  <w:num w:numId="13">
    <w:abstractNumId w:val="20"/>
  </w:num>
  <w:num w:numId="14">
    <w:abstractNumId w:val="13"/>
  </w:num>
  <w:num w:numId="15">
    <w:abstractNumId w:val="30"/>
  </w:num>
  <w:num w:numId="16">
    <w:abstractNumId w:val="10"/>
  </w:num>
  <w:num w:numId="17">
    <w:abstractNumId w:val="25"/>
  </w:num>
  <w:num w:numId="18">
    <w:abstractNumId w:val="8"/>
  </w:num>
  <w:num w:numId="19">
    <w:abstractNumId w:val="27"/>
  </w:num>
  <w:num w:numId="20">
    <w:abstractNumId w:val="24"/>
  </w:num>
  <w:num w:numId="21">
    <w:abstractNumId w:val="18"/>
  </w:num>
  <w:num w:numId="22">
    <w:abstractNumId w:val="26"/>
  </w:num>
  <w:num w:numId="23">
    <w:abstractNumId w:val="19"/>
  </w:num>
  <w:num w:numId="24">
    <w:abstractNumId w:val="9"/>
  </w:num>
  <w:num w:numId="25">
    <w:abstractNumId w:val="23"/>
  </w:num>
  <w:num w:numId="26">
    <w:abstractNumId w:val="22"/>
  </w:num>
  <w:num w:numId="27">
    <w:abstractNumId w:val="33"/>
  </w:num>
  <w:num w:numId="28">
    <w:abstractNumId w:val="6"/>
  </w:num>
  <w:num w:numId="29">
    <w:abstractNumId w:val="21"/>
  </w:num>
  <w:num w:numId="30">
    <w:abstractNumId w:val="37"/>
  </w:num>
  <w:num w:numId="31">
    <w:abstractNumId w:val="5"/>
  </w:num>
  <w:num w:numId="32">
    <w:abstractNumId w:val="36"/>
  </w:num>
  <w:num w:numId="33">
    <w:abstractNumId w:val="29"/>
  </w:num>
  <w:num w:numId="34">
    <w:abstractNumId w:val="34"/>
  </w:num>
  <w:num w:numId="35">
    <w:abstractNumId w:val="31"/>
  </w:num>
  <w:num w:numId="36">
    <w:abstractNumId w:val="35"/>
  </w:num>
  <w:num w:numId="37">
    <w:abstractNumId w:val="7"/>
  </w:num>
  <w:num w:numId="3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3A00"/>
    <w:rsid w:val="001621CE"/>
    <w:rsid w:val="00185A46"/>
    <w:rsid w:val="001915B6"/>
    <w:rsid w:val="001D1B23"/>
    <w:rsid w:val="002B3C38"/>
    <w:rsid w:val="002B4DBB"/>
    <w:rsid w:val="002C50EE"/>
    <w:rsid w:val="00340A0A"/>
    <w:rsid w:val="003765DC"/>
    <w:rsid w:val="00395555"/>
    <w:rsid w:val="003E3126"/>
    <w:rsid w:val="00426E5F"/>
    <w:rsid w:val="004A448E"/>
    <w:rsid w:val="004C68BC"/>
    <w:rsid w:val="004D4D6B"/>
    <w:rsid w:val="004F1CE7"/>
    <w:rsid w:val="004F498A"/>
    <w:rsid w:val="00517A5B"/>
    <w:rsid w:val="00593A00"/>
    <w:rsid w:val="005A66D9"/>
    <w:rsid w:val="00605BCA"/>
    <w:rsid w:val="006158A1"/>
    <w:rsid w:val="00617B1F"/>
    <w:rsid w:val="00672487"/>
    <w:rsid w:val="00672600"/>
    <w:rsid w:val="00681D4A"/>
    <w:rsid w:val="00685882"/>
    <w:rsid w:val="0075649D"/>
    <w:rsid w:val="007C605B"/>
    <w:rsid w:val="008134C8"/>
    <w:rsid w:val="00814073"/>
    <w:rsid w:val="00826F0D"/>
    <w:rsid w:val="00893B92"/>
    <w:rsid w:val="008A6AF2"/>
    <w:rsid w:val="008C70A2"/>
    <w:rsid w:val="009773E4"/>
    <w:rsid w:val="009B171C"/>
    <w:rsid w:val="009F1313"/>
    <w:rsid w:val="00A20351"/>
    <w:rsid w:val="00A65A81"/>
    <w:rsid w:val="00AA23EC"/>
    <w:rsid w:val="00AC63CE"/>
    <w:rsid w:val="00AE2107"/>
    <w:rsid w:val="00B275A8"/>
    <w:rsid w:val="00BF2600"/>
    <w:rsid w:val="00C0049F"/>
    <w:rsid w:val="00C07B84"/>
    <w:rsid w:val="00C33464"/>
    <w:rsid w:val="00C40420"/>
    <w:rsid w:val="00C809A7"/>
    <w:rsid w:val="00C83063"/>
    <w:rsid w:val="00C87E90"/>
    <w:rsid w:val="00CA1B57"/>
    <w:rsid w:val="00CF77F7"/>
    <w:rsid w:val="00D86297"/>
    <w:rsid w:val="00DD466D"/>
    <w:rsid w:val="00EB6364"/>
    <w:rsid w:val="00EC43F9"/>
    <w:rsid w:val="00F37B64"/>
    <w:rsid w:val="00FD6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984BA7"/>
  <w15:docId w15:val="{3DA60348-CCDC-4D6D-877F-EA9575E07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B6364"/>
    <w:pPr>
      <w:spacing w:after="0" w:line="256" w:lineRule="auto"/>
    </w:pPr>
    <w:rPr>
      <w:rFonts w:ascii="Arial" w:hAnsi="Arial"/>
      <w:lang w:val="bg-BG"/>
    </w:rPr>
  </w:style>
  <w:style w:type="paragraph" w:styleId="Heading1">
    <w:name w:val="heading 1"/>
    <w:basedOn w:val="Normal"/>
    <w:next w:val="Normal"/>
    <w:link w:val="Heading1Char"/>
    <w:uiPriority w:val="9"/>
    <w:qFormat/>
    <w:rsid w:val="00681D4A"/>
    <w:pPr>
      <w:keepNext/>
      <w:keepLines/>
      <w:spacing w:before="240" w:line="259" w:lineRule="auto"/>
      <w:outlineLvl w:val="0"/>
    </w:pPr>
    <w:rPr>
      <w:rFonts w:eastAsiaTheme="majorEastAsia" w:cstheme="majorBidi"/>
      <w:color w:val="000000" w:themeColor="text1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81D4A"/>
    <w:pPr>
      <w:keepNext/>
      <w:keepLines/>
      <w:spacing w:before="40" w:line="259" w:lineRule="auto"/>
      <w:outlineLvl w:val="1"/>
    </w:pPr>
    <w:rPr>
      <w:rFonts w:eastAsiaTheme="majorEastAsia" w:cstheme="majorBidi"/>
      <w:color w:val="000000" w:themeColor="tex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81D4A"/>
    <w:pPr>
      <w:keepNext/>
      <w:keepLines/>
      <w:spacing w:before="40" w:line="259" w:lineRule="auto"/>
      <w:outlineLvl w:val="2"/>
    </w:pPr>
    <w:rPr>
      <w:rFonts w:eastAsiaTheme="majorEastAsia" w:cstheme="majorBidi"/>
      <w:color w:val="000000" w:themeColor="text1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81D4A"/>
    <w:pPr>
      <w:keepNext/>
      <w:keepLines/>
      <w:spacing w:before="40" w:line="259" w:lineRule="auto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Стил1"/>
    <w:basedOn w:val="Heading3"/>
    <w:next w:val="Normal"/>
    <w:link w:val="10"/>
    <w:qFormat/>
    <w:rsid w:val="00C87E90"/>
    <w:pPr>
      <w:widowControl w:val="0"/>
      <w:spacing w:after="1080" w:line="240" w:lineRule="auto"/>
      <w:ind w:left="4400"/>
      <w:jc w:val="center"/>
    </w:pPr>
    <w:rPr>
      <w:b/>
      <w:sz w:val="22"/>
      <w:szCs w:val="22"/>
    </w:rPr>
  </w:style>
  <w:style w:type="character" w:customStyle="1" w:styleId="10">
    <w:name w:val="Стил1 Знак"/>
    <w:basedOn w:val="Heading3Char"/>
    <w:link w:val="1"/>
    <w:rsid w:val="00C87E90"/>
    <w:rPr>
      <w:rFonts w:ascii="Arial" w:eastAsiaTheme="majorEastAsia" w:hAnsi="Arial" w:cstheme="majorBidi"/>
      <w:b/>
      <w:color w:val="000000" w:themeColor="text1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681D4A"/>
    <w:rPr>
      <w:rFonts w:ascii="Arial" w:eastAsiaTheme="majorEastAsia" w:hAnsi="Arial" w:cstheme="majorBidi"/>
      <w:color w:val="000000" w:themeColor="text1"/>
      <w:sz w:val="24"/>
      <w:szCs w:val="24"/>
    </w:rPr>
  </w:style>
  <w:style w:type="paragraph" w:styleId="ListParagraph">
    <w:name w:val="List Paragraph"/>
    <w:basedOn w:val="Normal"/>
    <w:uiPriority w:val="34"/>
    <w:qFormat/>
    <w:rsid w:val="00685882"/>
    <w:pPr>
      <w:spacing w:line="259" w:lineRule="auto"/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681D4A"/>
    <w:rPr>
      <w:rFonts w:ascii="Arial" w:eastAsiaTheme="majorEastAsia" w:hAnsi="Arial" w:cstheme="majorBidi"/>
      <w:color w:val="000000" w:themeColor="text1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81D4A"/>
    <w:rPr>
      <w:rFonts w:ascii="Arial" w:eastAsiaTheme="majorEastAsia" w:hAnsi="Arial" w:cstheme="majorBidi"/>
      <w:color w:val="000000" w:themeColor="text1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681D4A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table" w:styleId="TableGrid">
    <w:name w:val="Table Grid"/>
    <w:basedOn w:val="TableNormal"/>
    <w:uiPriority w:val="39"/>
    <w:rsid w:val="007564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646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3266</Words>
  <Characters>18622</Characters>
  <Application>Microsoft Office Word</Application>
  <DocSecurity>0</DocSecurity>
  <Lines>155</Lines>
  <Paragraphs>43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petar vasilev</dc:creator>
  <cp:keywords/>
  <dc:description/>
  <cp:lastModifiedBy>Потребител на Windows</cp:lastModifiedBy>
  <cp:revision>2</cp:revision>
  <dcterms:created xsi:type="dcterms:W3CDTF">2022-05-30T15:00:00Z</dcterms:created>
  <dcterms:modified xsi:type="dcterms:W3CDTF">2022-05-30T15:00:00Z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8080e56-8894-418a-9b19-f357e77b996f_Enabled">
    <vt:lpwstr>true</vt:lpwstr>
  </property>
  <property fmtid="{D5CDD505-2E9C-101B-9397-08002B2CF9AE}" pid="3" name="MSIP_Label_78080e56-8894-418a-9b19-f357e77b996f_SetDate">
    <vt:lpwstr>2021-02-06T20:50:59Z</vt:lpwstr>
  </property>
  <property fmtid="{D5CDD505-2E9C-101B-9397-08002B2CF9AE}" pid="4" name="MSIP_Label_78080e56-8894-418a-9b19-f357e77b996f_Method">
    <vt:lpwstr>Standard</vt:lpwstr>
  </property>
  <property fmtid="{D5CDD505-2E9C-101B-9397-08002B2CF9AE}" pid="5" name="MSIP_Label_78080e56-8894-418a-9b19-f357e77b996f_Name">
    <vt:lpwstr>Internal Use Unencrypted</vt:lpwstr>
  </property>
  <property fmtid="{D5CDD505-2E9C-101B-9397-08002B2CF9AE}" pid="6" name="MSIP_Label_78080e56-8894-418a-9b19-f357e77b996f_SiteId">
    <vt:lpwstr>6c7fadf5-6b9d-485a-85cb-f8112e9720ec</vt:lpwstr>
  </property>
  <property fmtid="{D5CDD505-2E9C-101B-9397-08002B2CF9AE}" pid="7" name="MSIP_Label_78080e56-8894-418a-9b19-f357e77b996f_ActionId">
    <vt:lpwstr>0a32757c-47c4-4949-90c3-637a5e65fde2</vt:lpwstr>
  </property>
  <property fmtid="{D5CDD505-2E9C-101B-9397-08002B2CF9AE}" pid="8" name="MSIP_Label_78080e56-8894-418a-9b19-f357e77b996f_ContentBits">
    <vt:lpwstr>2</vt:lpwstr>
  </property>
</Properties>
</file>