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70074151" w:rsidR="00C40420" w:rsidRDefault="00DD466D" w:rsidP="004A448E">
      <w:pPr>
        <w:pStyle w:val="Heading1"/>
      </w:pPr>
      <w:r>
        <w:t>1.ИМЕ НА ЛЕКАРСТВЕНИЯ ПРОДУКТ</w:t>
      </w:r>
    </w:p>
    <w:p w14:paraId="6161A43B" w14:textId="79E6432C" w:rsidR="00543F04" w:rsidRDefault="00543F04" w:rsidP="00543F04"/>
    <w:p w14:paraId="5E2B77E2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Блокбис Кор 2,5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>таблетки</w:t>
      </w:r>
    </w:p>
    <w:p w14:paraId="44A2F32A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proofErr w:type="spellStart"/>
      <w:r w:rsidRPr="00543F04">
        <w:rPr>
          <w:rFonts w:eastAsia="Times New Roman" w:cs="Arial"/>
          <w:color w:val="000000"/>
          <w:lang w:val="en-US"/>
        </w:rPr>
        <w:t>Blokbis</w:t>
      </w:r>
      <w:proofErr w:type="spellEnd"/>
      <w:r w:rsidRPr="00543F04">
        <w:rPr>
          <w:rFonts w:eastAsia="Times New Roman" w:cs="Arial"/>
          <w:color w:val="000000"/>
          <w:lang w:val="en-US"/>
        </w:rPr>
        <w:t xml:space="preserve"> </w:t>
      </w:r>
      <w:r w:rsidRPr="00543F04">
        <w:rPr>
          <w:rFonts w:eastAsia="Times New Roman" w:cs="Arial"/>
          <w:color w:val="000000"/>
          <w:lang w:eastAsia="bg-BG"/>
        </w:rPr>
        <w:t>Сог 2</w:t>
      </w:r>
      <w:proofErr w:type="gramStart"/>
      <w:r w:rsidRPr="00543F04">
        <w:rPr>
          <w:rFonts w:eastAsia="Times New Roman" w:cs="Arial"/>
          <w:color w:val="000000"/>
          <w:lang w:eastAsia="bg-BG"/>
        </w:rPr>
        <w:t>,5</w:t>
      </w:r>
      <w:proofErr w:type="gramEnd"/>
      <w:r w:rsidRPr="00543F04">
        <w:rPr>
          <w:rFonts w:eastAsia="Times New Roman" w:cs="Arial"/>
          <w:color w:val="000000"/>
          <w:lang w:eastAsia="bg-BG"/>
        </w:rPr>
        <w:t xml:space="preserve"> </w:t>
      </w:r>
      <w:r w:rsidRPr="00543F04">
        <w:rPr>
          <w:rFonts w:eastAsia="Times New Roman" w:cs="Arial"/>
          <w:color w:val="000000"/>
          <w:lang w:val="en-US"/>
        </w:rPr>
        <w:t>mg tablets</w:t>
      </w:r>
      <w:r w:rsidRPr="00543F04">
        <w:rPr>
          <w:rFonts w:eastAsia="Times New Roman" w:cs="Arial"/>
          <w:color w:val="000000"/>
          <w:lang w:val="en-US"/>
        </w:rPr>
        <w:tab/>
      </w:r>
    </w:p>
    <w:p w14:paraId="3CA0A2D6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8C376C5" w14:textId="36F580F2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Блокбис Кор 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>таблетки</w:t>
      </w:r>
    </w:p>
    <w:p w14:paraId="11ABE3BA" w14:textId="0DB032EB" w:rsidR="00543F04" w:rsidRPr="00543F04" w:rsidRDefault="00543F04" w:rsidP="00543F04">
      <w:pPr>
        <w:rPr>
          <w:rFonts w:cs="Arial"/>
        </w:rPr>
      </w:pPr>
      <w:proofErr w:type="spellStart"/>
      <w:r w:rsidRPr="00543F04">
        <w:rPr>
          <w:rFonts w:eastAsia="Times New Roman" w:cs="Arial"/>
          <w:color w:val="000000"/>
          <w:lang w:val="en-US"/>
        </w:rPr>
        <w:t>Blokbis</w:t>
      </w:r>
      <w:proofErr w:type="spellEnd"/>
      <w:r w:rsidRPr="00543F04">
        <w:rPr>
          <w:rFonts w:eastAsia="Times New Roman" w:cs="Arial"/>
          <w:color w:val="000000"/>
          <w:lang w:val="en-US"/>
        </w:rPr>
        <w:t xml:space="preserve"> </w:t>
      </w:r>
      <w:r w:rsidRPr="00543F04">
        <w:rPr>
          <w:rFonts w:eastAsia="Times New Roman" w:cs="Arial"/>
          <w:color w:val="000000"/>
          <w:lang w:eastAsia="bg-BG"/>
        </w:rPr>
        <w:t xml:space="preserve">Сог 5 </w:t>
      </w:r>
      <w:r w:rsidRPr="00543F04">
        <w:rPr>
          <w:rFonts w:eastAsia="Times New Roman" w:cs="Arial"/>
          <w:color w:val="000000"/>
          <w:lang w:val="en-US"/>
        </w:rPr>
        <w:t>mg tablets</w:t>
      </w:r>
    </w:p>
    <w:p w14:paraId="6920A680" w14:textId="03609777" w:rsidR="00C40420" w:rsidRDefault="00DD466D" w:rsidP="004A448E">
      <w:pPr>
        <w:pStyle w:val="Heading1"/>
      </w:pPr>
      <w:r>
        <w:t>2. КАЧЕСТВЕН И КОЛИЧЕСТВЕН СЪСТАВ</w:t>
      </w:r>
    </w:p>
    <w:p w14:paraId="2B9F51A6" w14:textId="1A0C2799" w:rsidR="00543F04" w:rsidRDefault="00543F04" w:rsidP="00543F04"/>
    <w:p w14:paraId="34091F2B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Всяка таблетка съдържа 2,5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 xml:space="preserve">или 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 xml:space="preserve">бисопрололов фумарат </w:t>
      </w:r>
      <w:r w:rsidRPr="00543F04">
        <w:rPr>
          <w:rFonts w:eastAsia="Times New Roman" w:cs="Arial"/>
          <w:color w:val="000000"/>
          <w:lang w:val="en-US"/>
        </w:rPr>
        <w:t>(</w:t>
      </w:r>
      <w:proofErr w:type="spellStart"/>
      <w:r w:rsidRPr="00543F04">
        <w:rPr>
          <w:rFonts w:eastAsia="Times New Roman" w:cs="Arial"/>
          <w:color w:val="000000"/>
          <w:lang w:val="en-US"/>
        </w:rPr>
        <w:t>bisoprolol</w:t>
      </w:r>
      <w:proofErr w:type="spellEnd"/>
      <w:r w:rsidRPr="00543F04">
        <w:rPr>
          <w:rFonts w:eastAsia="Times New Roman" w:cs="Arial"/>
          <w:color w:val="000000"/>
          <w:lang w:val="en-US"/>
        </w:rPr>
        <w:t xml:space="preserve"> fumarate).</w:t>
      </w:r>
    </w:p>
    <w:p w14:paraId="48A2DCD0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CFD77FB" w14:textId="2D2391F3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Помощно вещество с известно действие</w:t>
      </w:r>
      <w:r w:rsidRPr="00543F04">
        <w:rPr>
          <w:rFonts w:eastAsia="Times New Roman" w:cs="Arial"/>
          <w:color w:val="000000"/>
          <w:lang w:eastAsia="bg-BG"/>
        </w:rPr>
        <w:t>: лактоза монохидрат.</w:t>
      </w:r>
    </w:p>
    <w:p w14:paraId="02F0BD57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Всяка таблетка от 2,5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 xml:space="preserve">съдържа 68,15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>лактоза монохидрат.</w:t>
      </w:r>
    </w:p>
    <w:p w14:paraId="689C6E52" w14:textId="10BFE792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Всяка таблетка от 5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 xml:space="preserve">съдържа 136,2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>лактоза монохидрат.</w:t>
      </w:r>
    </w:p>
    <w:p w14:paraId="1E87909D" w14:textId="77777777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5F57C756" w14:textId="64EACB56" w:rsidR="00543F04" w:rsidRPr="00543F04" w:rsidRDefault="00543F04" w:rsidP="00543F04">
      <w:pPr>
        <w:rPr>
          <w:rFonts w:cs="Arial"/>
        </w:rPr>
      </w:pPr>
      <w:r w:rsidRPr="00543F04">
        <w:rPr>
          <w:rFonts w:eastAsia="Times New Roman" w:cs="Arial"/>
          <w:color w:val="000000"/>
          <w:lang w:eastAsia="bg-BG"/>
        </w:rPr>
        <w:t>За пълния списък на помощните вещества, вижте точка 6.1.</w:t>
      </w:r>
    </w:p>
    <w:p w14:paraId="614984C4" w14:textId="33AC7A3D" w:rsidR="008A6AF2" w:rsidRDefault="00DD466D" w:rsidP="002C50EE">
      <w:pPr>
        <w:pStyle w:val="Heading1"/>
      </w:pPr>
      <w:r>
        <w:t>3. ЛЕКАРСТВЕНА ФОРМА</w:t>
      </w:r>
    </w:p>
    <w:p w14:paraId="7ADA3D30" w14:textId="216A6223" w:rsidR="00543F04" w:rsidRDefault="00543F04" w:rsidP="00543F04"/>
    <w:p w14:paraId="4CB4368C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Таблетка</w:t>
      </w:r>
    </w:p>
    <w:p w14:paraId="389D6E34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 xml:space="preserve">Блокбис Кор 2.5 </w:t>
      </w:r>
      <w:r w:rsidRPr="00543F04">
        <w:rPr>
          <w:rFonts w:eastAsia="Times New Roman" w:cs="Arial"/>
          <w:color w:val="000000"/>
          <w:u w:val="single"/>
          <w:lang w:val="en-US"/>
        </w:rPr>
        <w:t xml:space="preserve">mg </w:t>
      </w:r>
      <w:r w:rsidRPr="00543F04">
        <w:rPr>
          <w:rFonts w:eastAsia="Times New Roman" w:cs="Arial"/>
          <w:color w:val="000000"/>
          <w:u w:val="single"/>
          <w:lang w:eastAsia="bg-BG"/>
        </w:rPr>
        <w:t>таблетки</w:t>
      </w:r>
      <w:r w:rsidRPr="00543F04">
        <w:rPr>
          <w:rFonts w:eastAsia="Times New Roman" w:cs="Arial"/>
          <w:color w:val="000000"/>
          <w:lang w:eastAsia="bg-BG"/>
        </w:rPr>
        <w:t>: бели, овални, необвити, с делителна черта от двете страни, маркировка “</w:t>
      </w:r>
      <w:r w:rsidRPr="00543F04">
        <w:rPr>
          <w:rFonts w:eastAsia="Times New Roman" w:cs="Arial"/>
          <w:color w:val="000000"/>
          <w:lang w:val="en-US"/>
        </w:rPr>
        <w:t>BI</w:t>
      </w:r>
      <w:r w:rsidRPr="00543F04">
        <w:rPr>
          <w:rFonts w:eastAsia="Times New Roman" w:cs="Arial"/>
          <w:color w:val="000000"/>
          <w:lang w:eastAsia="bg-BG"/>
        </w:rPr>
        <w:t>” и “2.5” от двете страни на делителната черта.</w:t>
      </w:r>
    </w:p>
    <w:p w14:paraId="0A999676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 xml:space="preserve">Блокбис Кор 5 </w:t>
      </w:r>
      <w:r w:rsidRPr="00543F04">
        <w:rPr>
          <w:rFonts w:eastAsia="Times New Roman" w:cs="Arial"/>
          <w:color w:val="000000"/>
          <w:u w:val="single"/>
          <w:lang w:val="en-US"/>
        </w:rPr>
        <w:t xml:space="preserve">mg </w:t>
      </w:r>
      <w:r w:rsidRPr="00543F04">
        <w:rPr>
          <w:rFonts w:eastAsia="Times New Roman" w:cs="Arial"/>
          <w:color w:val="000000"/>
          <w:u w:val="single"/>
          <w:lang w:eastAsia="bg-BG"/>
        </w:rPr>
        <w:t>таблетки</w:t>
      </w:r>
      <w:r w:rsidRPr="00543F04">
        <w:rPr>
          <w:rFonts w:eastAsia="Times New Roman" w:cs="Arial"/>
          <w:color w:val="000000"/>
          <w:lang w:eastAsia="bg-BG"/>
        </w:rPr>
        <w:t xml:space="preserve">: бледо жълти, кръгли, необвити, изпъкнали, с делителна черта от едната страна и маркировка </w:t>
      </w:r>
      <w:r w:rsidRPr="00543F04">
        <w:rPr>
          <w:rFonts w:eastAsia="Times New Roman" w:cs="Arial"/>
          <w:color w:val="000000"/>
          <w:lang w:val="en-US"/>
        </w:rPr>
        <w:t xml:space="preserve">“BI” </w:t>
      </w:r>
      <w:r w:rsidRPr="00543F04">
        <w:rPr>
          <w:rFonts w:eastAsia="Times New Roman" w:cs="Arial"/>
          <w:color w:val="000000"/>
          <w:lang w:eastAsia="bg-BG"/>
        </w:rPr>
        <w:t>и “5” от двете страни на делителната черта.</w:t>
      </w:r>
    </w:p>
    <w:p w14:paraId="1C327DB3" w14:textId="77777777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09438A65" w14:textId="1A8284EF" w:rsidR="00543F04" w:rsidRPr="00543F04" w:rsidRDefault="00543F04" w:rsidP="00543F04">
      <w:pPr>
        <w:rPr>
          <w:rFonts w:cs="Arial"/>
        </w:rPr>
      </w:pPr>
      <w:r w:rsidRPr="00543F04">
        <w:rPr>
          <w:rFonts w:eastAsia="Times New Roman" w:cs="Arial"/>
          <w:color w:val="000000"/>
          <w:lang w:eastAsia="bg-BG"/>
        </w:rPr>
        <w:t>Таблетката може да бъде разделена на две равни дози.</w:t>
      </w:r>
    </w:p>
    <w:p w14:paraId="490FC2C4" w14:textId="28E631D5" w:rsidR="002C50EE" w:rsidRDefault="002C50EE" w:rsidP="002C50EE">
      <w:pPr>
        <w:pStyle w:val="Heading1"/>
      </w:pPr>
      <w:r>
        <w:t>4. КЛИНИЧНИ ДАННИ</w:t>
      </w:r>
    </w:p>
    <w:p w14:paraId="22128914" w14:textId="77777777" w:rsidR="00D33570" w:rsidRPr="00D33570" w:rsidRDefault="00D33570" w:rsidP="00D33570"/>
    <w:p w14:paraId="0C8E6903" w14:textId="02134BB5" w:rsidR="008134C8" w:rsidRDefault="002C50EE" w:rsidP="004A448E">
      <w:pPr>
        <w:pStyle w:val="Heading2"/>
      </w:pPr>
      <w:r>
        <w:t>4.1. Терапевтични показания</w:t>
      </w:r>
    </w:p>
    <w:p w14:paraId="394C1322" w14:textId="3686C88D" w:rsidR="00543F04" w:rsidRDefault="00543F04" w:rsidP="00543F04"/>
    <w:p w14:paraId="6BC8AD2D" w14:textId="6020100A" w:rsidR="00543F04" w:rsidRDefault="00543F04" w:rsidP="00543F04">
      <w:r>
        <w:t>Лечение на стабилна умерена до тежка хронична сърдечна недостатъчност с намалена систолична камерна функция (фракция на изтласкване &lt;35%, доказана ехокардиографски) в комбинация с АСЕ инхибитори и диуретици и при необходимост със сърдечни гликозиди (за допълнителна информация вж. точка 5.1).</w:t>
      </w:r>
    </w:p>
    <w:p w14:paraId="49143FF3" w14:textId="77777777" w:rsidR="00D33570" w:rsidRPr="00543F04" w:rsidRDefault="00D33570" w:rsidP="00543F04"/>
    <w:p w14:paraId="30BE2C7B" w14:textId="205F01C8" w:rsidR="008134C8" w:rsidRDefault="002C50EE" w:rsidP="004A448E">
      <w:pPr>
        <w:pStyle w:val="Heading2"/>
      </w:pPr>
      <w:r>
        <w:t>4.2. Дозировка и начин на приложение</w:t>
      </w:r>
    </w:p>
    <w:p w14:paraId="77D42A66" w14:textId="216B759B" w:rsidR="00543F04" w:rsidRDefault="00543F04" w:rsidP="00543F04"/>
    <w:p w14:paraId="599E17EC" w14:textId="77777777" w:rsidR="00543F04" w:rsidRPr="00543F04" w:rsidRDefault="00543F04" w:rsidP="00543F04">
      <w:pPr>
        <w:pStyle w:val="Heading3"/>
        <w:rPr>
          <w:rFonts w:eastAsia="Times New Roman"/>
          <w:u w:val="single"/>
          <w:lang w:eastAsia="bg-BG"/>
        </w:rPr>
      </w:pPr>
      <w:r w:rsidRPr="00543F04">
        <w:rPr>
          <w:rFonts w:eastAsia="Times New Roman"/>
          <w:u w:val="single"/>
          <w:lang w:eastAsia="bg-BG"/>
        </w:rPr>
        <w:t>Дозировка</w:t>
      </w:r>
    </w:p>
    <w:p w14:paraId="2108A3CF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b/>
          <w:bCs/>
          <w:i/>
          <w:iCs/>
          <w:color w:val="000000"/>
          <w:lang w:eastAsia="bg-BG"/>
        </w:rPr>
        <w:t>Лечение на стабилна хронична сърдечна недостатъчност</w:t>
      </w:r>
    </w:p>
    <w:p w14:paraId="63810554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Препоръчва се лекуващият лекар да има опит в лечението на хронична сърдечна недостатъчност.</w:t>
      </w:r>
    </w:p>
    <w:p w14:paraId="3BC46C20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B64C24" w14:textId="3CB9B794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Титрационна фаза</w:t>
      </w:r>
    </w:p>
    <w:p w14:paraId="5793FF1B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бисопролол изисква фаза на</w:t>
      </w:r>
      <w:r w:rsidRPr="00543F04">
        <w:rPr>
          <w:rFonts w:eastAsia="Times New Roman" w:cs="Arial"/>
          <w:i/>
          <w:iCs/>
          <w:color w:val="000000"/>
          <w:lang w:eastAsia="bg-BG"/>
        </w:rPr>
        <w:t xml:space="preserve"> </w:t>
      </w:r>
      <w:r w:rsidRPr="00543F04">
        <w:rPr>
          <w:rFonts w:eastAsia="Times New Roman" w:cs="Arial"/>
          <w:color w:val="000000"/>
          <w:lang w:eastAsia="bg-BG"/>
        </w:rPr>
        <w:t>титриране.</w:t>
      </w:r>
    </w:p>
    <w:p w14:paraId="328B7A2D" w14:textId="7974ECC6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Максималната препоръчителна доза е 10 </w:t>
      </w:r>
      <w:r w:rsidRPr="00543F04">
        <w:rPr>
          <w:rFonts w:eastAsia="Times New Roman" w:cs="Arial"/>
          <w:color w:val="000000"/>
          <w:lang w:val="en-US"/>
        </w:rPr>
        <w:t xml:space="preserve">mg </w:t>
      </w:r>
      <w:r w:rsidRPr="00543F04">
        <w:rPr>
          <w:rFonts w:eastAsia="Times New Roman" w:cs="Arial"/>
          <w:color w:val="000000"/>
          <w:lang w:eastAsia="bg-BG"/>
        </w:rPr>
        <w:t>еднократно дневно.</w:t>
      </w:r>
    </w:p>
    <w:p w14:paraId="15AC7061" w14:textId="161EEB90" w:rsidR="00543F04" w:rsidRDefault="00543F04" w:rsidP="00543F04"/>
    <w:p w14:paraId="7DD207F7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b/>
          <w:bCs/>
          <w:i/>
          <w:iCs/>
          <w:color w:val="000000"/>
          <w:lang w:eastAsia="bg-BG"/>
        </w:rPr>
        <w:t>Специални популации</w:t>
      </w:r>
    </w:p>
    <w:p w14:paraId="7F63FACA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888FAE" w14:textId="7F912C78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Деца</w:t>
      </w:r>
    </w:p>
    <w:p w14:paraId="7AFCF746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Няма опит с бисопролол при деца, поради което използването му при деца не се препоръчва.</w:t>
      </w:r>
    </w:p>
    <w:p w14:paraId="417B239E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A73C61" w14:textId="399919AF" w:rsidR="00543F04" w:rsidRPr="00543F04" w:rsidRDefault="00543F04" w:rsidP="00543F04">
      <w:pPr>
        <w:pStyle w:val="Heading3"/>
        <w:rPr>
          <w:rFonts w:eastAsia="Times New Roman"/>
          <w:u w:val="single"/>
          <w:lang w:eastAsia="bg-BG"/>
        </w:rPr>
      </w:pPr>
      <w:r w:rsidRPr="00543F04">
        <w:rPr>
          <w:rFonts w:eastAsia="Times New Roman"/>
          <w:u w:val="single"/>
          <w:lang w:eastAsia="bg-BG"/>
        </w:rPr>
        <w:t>Начин на приложение</w:t>
      </w:r>
    </w:p>
    <w:p w14:paraId="3B3FA777" w14:textId="2C124475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Перорално приложение</w:t>
      </w:r>
    </w:p>
    <w:p w14:paraId="53D91119" w14:textId="77777777" w:rsidR="00543F04" w:rsidRPr="00543F04" w:rsidRDefault="00543F04" w:rsidP="00543F04"/>
    <w:p w14:paraId="28C984E8" w14:textId="2597F906" w:rsidR="008134C8" w:rsidRDefault="002C50EE" w:rsidP="004A448E">
      <w:pPr>
        <w:pStyle w:val="Heading2"/>
      </w:pPr>
      <w:r>
        <w:t>4.3. Противопоказания</w:t>
      </w:r>
    </w:p>
    <w:p w14:paraId="52392C07" w14:textId="765AE201" w:rsidR="00543F04" w:rsidRDefault="00543F04" w:rsidP="00543F04"/>
    <w:p w14:paraId="071AEFC5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Бисопролол е противопоказан при пациенти със:</w:t>
      </w:r>
    </w:p>
    <w:p w14:paraId="2F6D1782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свръхчувствителност към бисопролол или към някое от помощните вещества, изброени в точка 6.1;</w:t>
      </w:r>
    </w:p>
    <w:p w14:paraId="072B9FE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остра сърдечна недостатъчност или с декомпенсирана сърдечна недостатъчност, изискваща интравенозно приложение на лекарства с инотропно действие;</w:t>
      </w:r>
    </w:p>
    <w:p w14:paraId="2FA169C9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кардиогенен шок;</w:t>
      </w:r>
    </w:p>
    <w:p w14:paraId="5E63FED6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 xml:space="preserve">атриовентрикуларен </w:t>
      </w:r>
      <w:r w:rsidRPr="00543F04">
        <w:rPr>
          <w:rFonts w:eastAsia="Times New Roman" w:cs="Arial"/>
          <w:color w:val="000000"/>
          <w:lang w:val="en-US"/>
        </w:rPr>
        <w:t xml:space="preserve">(AV) </w:t>
      </w:r>
      <w:r w:rsidRPr="00543F04">
        <w:rPr>
          <w:rFonts w:eastAsia="Times New Roman" w:cs="Arial"/>
          <w:color w:val="000000"/>
          <w:lang w:eastAsia="bg-BG"/>
        </w:rPr>
        <w:t>блок втора или трета степен;</w:t>
      </w:r>
    </w:p>
    <w:p w14:paraId="3D34482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синдром на болния синусов възел;</w:t>
      </w:r>
    </w:p>
    <w:p w14:paraId="19C02BE0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 xml:space="preserve">синоатриален </w:t>
      </w:r>
      <w:r w:rsidRPr="00543F04">
        <w:rPr>
          <w:rFonts w:eastAsia="Times New Roman" w:cs="Arial"/>
          <w:color w:val="000000"/>
          <w:lang w:val="en-US"/>
        </w:rPr>
        <w:t xml:space="preserve">(SA) </w:t>
      </w:r>
      <w:r w:rsidRPr="00543F04">
        <w:rPr>
          <w:rFonts w:eastAsia="Times New Roman" w:cs="Arial"/>
          <w:color w:val="000000"/>
          <w:lang w:eastAsia="bg-BG"/>
        </w:rPr>
        <w:t>блок;</w:t>
      </w:r>
    </w:p>
    <w:p w14:paraId="7C5FFCF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симптоматична брадикардия;</w:t>
      </w:r>
    </w:p>
    <w:p w14:paraId="0977E88C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симптоматична хипотония;</w:t>
      </w:r>
    </w:p>
    <w:p w14:paraId="5820F67C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тежка бронхиална астма или тежка хронична обструктивна белодробна болест (ХОББ);</w:t>
      </w:r>
    </w:p>
    <w:p w14:paraId="039CD2A9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тежка форма на периферни артериални оклузивни заболявания или тежка форма на</w:t>
      </w:r>
    </w:p>
    <w:p w14:paraId="324A482E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синдром на Рейно;</w:t>
      </w:r>
    </w:p>
    <w:p w14:paraId="66BFDBAF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нелекуван феохромоцитом (вж. точка 4.4);</w:t>
      </w:r>
    </w:p>
    <w:p w14:paraId="179D3BEC" w14:textId="3C218FCB" w:rsid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метаболитна ацидоза;</w:t>
      </w:r>
    </w:p>
    <w:p w14:paraId="6E963C2E" w14:textId="77777777" w:rsidR="00D33570" w:rsidRPr="00543F04" w:rsidRDefault="00D33570" w:rsidP="00543F04">
      <w:pPr>
        <w:rPr>
          <w:rFonts w:cs="Arial"/>
        </w:rPr>
      </w:pPr>
    </w:p>
    <w:p w14:paraId="212F509C" w14:textId="47C84662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6940EBF9" w14:textId="7AA9AF82" w:rsidR="00543F04" w:rsidRDefault="00543F04" w:rsidP="00543F04"/>
    <w:p w14:paraId="7D01B430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Лечението на стабилна сърдечна недостатъчност с бисопролол трябва да започва със специална титрационна фаза.</w:t>
      </w:r>
    </w:p>
    <w:p w14:paraId="22E51842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56AA2AD" w14:textId="6FDD968A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Прекратяването на лечението с бисопролол не трябва да се извършва внезапно, особено при пациенти с исхемична болест на сърцето, освен при наличието на категорични индикации, тъй като това може да доведе до преходно влошаване на сърдечния статус.</w:t>
      </w:r>
    </w:p>
    <w:p w14:paraId="3DF5DF92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6EFAFD3" w14:textId="49E053A6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Началото на терапията и прекратяването на лечението на стабилна хронична сърдечна недостатъчност с бисопролол изискват редовен мониторинг.</w:t>
      </w:r>
    </w:p>
    <w:p w14:paraId="2AEEF439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38F77C" w14:textId="1C8EBCD5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lastRenderedPageBreak/>
        <w:t>Няма терапевтичен опит в лечението с бисопролол на сърдечна недостатъчност при пациенти със следните заболявания и състояния:</w:t>
      </w:r>
    </w:p>
    <w:p w14:paraId="287B34FA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инсулино-зависим захарен диабет (тип I)</w:t>
      </w:r>
    </w:p>
    <w:p w14:paraId="19AC2800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тежко нарушена бъбречна функция</w:t>
      </w:r>
    </w:p>
    <w:p w14:paraId="7C873EEB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тежко нарушена чернодробна функция</w:t>
      </w:r>
    </w:p>
    <w:p w14:paraId="6B85C30A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рестриктивна кардиомиопатия</w:t>
      </w:r>
    </w:p>
    <w:p w14:paraId="059858A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вродени сърдечни заболявания</w:t>
      </w:r>
    </w:p>
    <w:p w14:paraId="408D1E6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хемодинамично значими органични клапни заболявания</w:t>
      </w:r>
    </w:p>
    <w:p w14:paraId="00D38626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инфаркт на миокарда в последните 3 месеца</w:t>
      </w:r>
    </w:p>
    <w:p w14:paraId="340AD6C2" w14:textId="77777777" w:rsid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CE0C89" w14:textId="1BF22890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Бисопролол трябва да се използва с внимание при:</w:t>
      </w:r>
    </w:p>
    <w:p w14:paraId="74C3CE77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захарен диабет с големи колебания в стойностите на кръвната захар; симптомите на хипогликемия могат да бъдат маскирани;</w:t>
      </w:r>
    </w:p>
    <w:p w14:paraId="16D4A9B6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строга диета (постене);</w:t>
      </w:r>
    </w:p>
    <w:p w14:paraId="20453A52" w14:textId="77777777" w:rsidR="00543F04" w:rsidRPr="00543F04" w:rsidRDefault="00543F04" w:rsidP="00543F04">
      <w:pPr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в хода на десенсибилизираща терапия; подобно на другите бета-блокери, бисопролол фумарат може да увеличи чувствителността към алергени, както и тежестта на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543F04">
        <w:rPr>
          <w:rFonts w:eastAsia="Times New Roman" w:cs="Arial"/>
          <w:color w:val="000000"/>
          <w:lang w:eastAsia="bg-BG"/>
        </w:rPr>
        <w:t>анафилактичните реакции. Лечението с адреналин не винаги дава очаквания терапевтичен ефект.</w:t>
      </w:r>
    </w:p>
    <w:p w14:paraId="1ADB21B3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val="en-US"/>
        </w:rPr>
        <w:tab/>
        <w:t xml:space="preserve">AV </w:t>
      </w:r>
      <w:r w:rsidRPr="00543F04">
        <w:rPr>
          <w:rFonts w:eastAsia="Times New Roman" w:cs="Arial"/>
          <w:color w:val="000000"/>
          <w:lang w:eastAsia="bg-BG"/>
        </w:rPr>
        <w:t>блок първа степен;</w:t>
      </w:r>
    </w:p>
    <w:p w14:paraId="63A8958F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ангина на Принцметал;</w:t>
      </w:r>
    </w:p>
    <w:p w14:paraId="5B49519D" w14:textId="27FE7B4A" w:rsid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•</w:t>
      </w:r>
      <w:r w:rsidRPr="00543F04">
        <w:rPr>
          <w:rFonts w:eastAsia="Times New Roman" w:cs="Arial"/>
          <w:color w:val="000000"/>
          <w:lang w:eastAsia="bg-BG"/>
        </w:rPr>
        <w:tab/>
        <w:t>периферни артериални оклузивни заболявания (може да се наблюдава влошаване на оплакванията особено в началото на лечението);</w:t>
      </w:r>
    </w:p>
    <w:p w14:paraId="3CF7DED4" w14:textId="0C2C4A8D" w:rsid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7EE5D684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Пациентите с псориазис или с анамнеза за псориазис трябва да приемат β-блокери (вкл. бисопролол) само след внимателна оценка на съотношението полза/риск.</w:t>
      </w:r>
    </w:p>
    <w:p w14:paraId="2DD8A8D7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6377B2" w14:textId="6D7B4A2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По време на лечение с бисопролол симптомите на тиреотоксикоза могат да бъдат маскирани.</w:t>
      </w:r>
    </w:p>
    <w:p w14:paraId="721E19EB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CF3B750" w14:textId="6BD1FE85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При пациенти с феохромоцитом бисопролол трябва да се прилага след α-рецепторна блокада.</w:t>
      </w:r>
    </w:p>
    <w:p w14:paraId="18E82331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CCC5520" w14:textId="07D531E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При пациенти, подложени на обща анестезия, бета-блокадата намалява честотата на аритмии и миокардна исхемия по време на въвеждането в анестезия и интубацията и в постоперативния период. Препоръчва се поддържащата бета-блокада да бъде продължена периоперативно. Анестезиологьт трябва да бъде добре запознат с бета-блокадата, тъй като възможността на бисопролол да взаимодействия с други лекарства води до брадиаритмия, отслабване на рефлекторната тахикардия и намаляване на рефлекторната способност за компенсация на кръвозагубата. Ако въпреки всичко е необходимо прекратяване на терапията с бета-блокери преди хирургичната интервенция, това трябва да стане постепенно и да завърши около 48 часа преди анестезията.</w:t>
      </w:r>
    </w:p>
    <w:p w14:paraId="7A7A742C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5EA7708" w14:textId="1C9AD21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При симптоми на бронхиална астма или други хронични обструктивни белодробни заболявалия се препоръчва едновременно прилагане на бронходилатиращата терапия. В някои случаи при пациенти с астма може да се наблюдава повишаване на резистентността на дихателните пътища, тогава дозата на β</w:t>
      </w:r>
      <w:r w:rsidRPr="00543F04">
        <w:rPr>
          <w:rFonts w:eastAsia="Times New Roman" w:cs="Arial"/>
          <w:color w:val="000000"/>
          <w:vertAlign w:val="subscript"/>
          <w:lang w:eastAsia="bg-BG"/>
        </w:rPr>
        <w:t>2</w:t>
      </w:r>
      <w:r w:rsidRPr="00543F04">
        <w:rPr>
          <w:rFonts w:eastAsia="Times New Roman" w:cs="Arial"/>
          <w:color w:val="000000"/>
          <w:lang w:eastAsia="bg-BG"/>
        </w:rPr>
        <w:t>-стимулантите може да бъде повишена.</w:t>
      </w:r>
    </w:p>
    <w:p w14:paraId="796599C4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E52F8C" w14:textId="46C7C88D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Бисопролол може да даде позитивни резултати по време на антидопингов контрол.</w:t>
      </w:r>
    </w:p>
    <w:p w14:paraId="3ED91A25" w14:textId="77777777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1A34CD68" w14:textId="49C8FE85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lastRenderedPageBreak/>
        <w:t>Продуктът съдържа лактоза монохидрат. Пациенти с редки наследствени проблеми на непоносимост към галактоза, пълен лакгазен дефицит или глюкозо-галактозна малабсорбция не трябва да приемат това лекарство.</w:t>
      </w:r>
    </w:p>
    <w:p w14:paraId="64A9F56D" w14:textId="77777777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619DED1E" w14:textId="79CD4110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524602DE" w14:textId="62E8D963" w:rsidR="00543F04" w:rsidRDefault="00543F04" w:rsidP="00543F04"/>
    <w:p w14:paraId="4B7D40F8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b/>
          <w:bCs/>
          <w:i/>
          <w:iCs/>
          <w:color w:val="000000"/>
          <w:lang w:eastAsia="bg-BG"/>
        </w:rPr>
        <w:t>Комбинации, които не се препоръчват</w:t>
      </w:r>
    </w:p>
    <w:p w14:paraId="1F3234E0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Антиаритмици клас I:</w:t>
      </w:r>
      <w:r w:rsidRPr="00543F04">
        <w:rPr>
          <w:rFonts w:eastAsia="Times New Roman" w:cs="Arial"/>
          <w:color w:val="000000"/>
          <w:lang w:eastAsia="bg-BG"/>
        </w:rPr>
        <w:t xml:space="preserve"> Ефектът върху атрио-вентрикуларното време за проводимост може да се потенцира и да се увеличи негативният инотропен ефект.</w:t>
      </w:r>
    </w:p>
    <w:p w14:paraId="2BEFD513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23337D" w14:textId="7AC9D4A6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Калциеви антагонисти</w:t>
      </w:r>
      <w:r w:rsidRPr="00543F04">
        <w:rPr>
          <w:rFonts w:eastAsia="Times New Roman" w:cs="Arial"/>
          <w:color w:val="000000"/>
          <w:lang w:eastAsia="bg-BG"/>
        </w:rPr>
        <w:t xml:space="preserve"> от верапамилов тип и в по-малка степен от дилтиаземов тип: негативно влияние върху контрактилитета и атриовентрикуларната проводимост. Интравенозното прилагане на верапамил при пациенти на лечение с бета-блокери може да доведе да тежка хипотония и атрио-вентрикуларен блок.</w:t>
      </w:r>
    </w:p>
    <w:p w14:paraId="3B3A9B57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57B3281" w14:textId="2ACDFB9E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Централно-действащи антихипертензивни средства: едновременната употреба на централно действащи антихипертензивни лекарствени продукти може да доведе до забавяне на сърдечната честота и сърдечния дебит и до вазодилатация. Внезапното прекратяване на терапията може да повиши риска от "ребаунд хипертония".</w:t>
      </w:r>
    </w:p>
    <w:p w14:paraId="333D2D05" w14:textId="77777777" w:rsidR="00543F04" w:rsidRPr="00543F04" w:rsidRDefault="00543F04" w:rsidP="00543F04">
      <w:pPr>
        <w:rPr>
          <w:rFonts w:eastAsia="Times New Roman" w:cs="Arial"/>
          <w:color w:val="000000"/>
          <w:u w:val="single"/>
          <w:lang w:eastAsia="bg-BG"/>
        </w:rPr>
      </w:pPr>
    </w:p>
    <w:p w14:paraId="7709F51C" w14:textId="77777777" w:rsid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Моноаминооксидазни инхибитори</w:t>
      </w:r>
      <w:r w:rsidRPr="00543F04">
        <w:rPr>
          <w:rFonts w:eastAsia="Times New Roman" w:cs="Arial"/>
          <w:color w:val="000000"/>
          <w:lang w:eastAsia="bg-BG"/>
        </w:rPr>
        <w:t xml:space="preserve"> (с изключение на МАО -В инхибитори): повишаване на хипотензивния ефект на бета-блокерите, както и риск от хипертензивни кризи</w:t>
      </w:r>
    </w:p>
    <w:p w14:paraId="1651000A" w14:textId="77777777" w:rsid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25CDA908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b/>
          <w:bCs/>
          <w:i/>
          <w:iCs/>
          <w:color w:val="000000"/>
          <w:lang w:eastAsia="bg-BG"/>
        </w:rPr>
        <w:t>Комбинации, използването на които изисква внимание</w:t>
      </w:r>
    </w:p>
    <w:p w14:paraId="5DDA4D1B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Калциеви антагонисти</w:t>
      </w:r>
      <w:r w:rsidRPr="00543F04">
        <w:rPr>
          <w:rFonts w:eastAsia="Times New Roman" w:cs="Arial"/>
          <w:color w:val="000000"/>
          <w:lang w:eastAsia="bg-BG"/>
        </w:rPr>
        <w:t xml:space="preserve"> от дихидропиридинов тип: едновременната употреба може да повиши риска от хипотония; при пациенти със сърдечна недостатъчност не може да бъде изключен повишен риск от допълнително влошаване на камерната помпена функция.</w:t>
      </w:r>
    </w:p>
    <w:p w14:paraId="559FEC4C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ACCDD4D" w14:textId="0B87038D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Антиаритмици клас Ш</w:t>
      </w:r>
      <w:r w:rsidRPr="00543F04">
        <w:rPr>
          <w:rFonts w:eastAsia="Times New Roman" w:cs="Arial"/>
          <w:color w:val="000000"/>
          <w:lang w:eastAsia="bg-BG"/>
        </w:rPr>
        <w:t xml:space="preserve"> (напр. амиодарон): възможно е потенциране на ефекта по отношение времето на </w:t>
      </w:r>
      <w:r w:rsidRPr="00543F04">
        <w:rPr>
          <w:rFonts w:eastAsia="Times New Roman" w:cs="Arial"/>
          <w:color w:val="000000"/>
          <w:lang w:val="en-US"/>
        </w:rPr>
        <w:t xml:space="preserve">AV </w:t>
      </w:r>
      <w:r w:rsidRPr="00543F04">
        <w:rPr>
          <w:rFonts w:eastAsia="Times New Roman" w:cs="Arial"/>
          <w:color w:val="000000"/>
          <w:lang w:eastAsia="bg-BG"/>
        </w:rPr>
        <w:t>проводимостта.</w:t>
      </w:r>
    </w:p>
    <w:p w14:paraId="6D28128A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0529A4E" w14:textId="733902A9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Парасимпатикомиметици</w:t>
      </w:r>
      <w:r w:rsidRPr="00543F04">
        <w:rPr>
          <w:rFonts w:eastAsia="Times New Roman" w:cs="Arial"/>
          <w:color w:val="000000"/>
          <w:lang w:eastAsia="bg-BG"/>
        </w:rPr>
        <w:t>: Едновременното приложение може да удължи атрио- вентрикуларното преводно време и риска от брадикардия.</w:t>
      </w:r>
    </w:p>
    <w:p w14:paraId="2CA25BBC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BF6792E" w14:textId="355C2FCB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Бета-блокери за локално приложение</w:t>
      </w:r>
      <w:r w:rsidRPr="00543F04">
        <w:rPr>
          <w:rFonts w:eastAsia="Times New Roman" w:cs="Arial"/>
          <w:color w:val="000000"/>
          <w:lang w:eastAsia="bg-BG"/>
        </w:rPr>
        <w:t xml:space="preserve"> (напр. очни капки за лечение на глаукома) могат да потенцират системните ефекти на бисопролол.</w:t>
      </w:r>
    </w:p>
    <w:p w14:paraId="5A2A380E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993A130" w14:textId="6BA5FEBB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Инсулин и перорални антидиабетни средства</w:t>
      </w:r>
      <w:r w:rsidRPr="00543F04">
        <w:rPr>
          <w:rFonts w:eastAsia="Times New Roman" w:cs="Arial"/>
          <w:color w:val="000000"/>
          <w:lang w:eastAsia="bg-BG"/>
        </w:rPr>
        <w:t>: засилване на хипогликемичния ефект. Блокадата на бета-рецепторите може да маскира симптомите на хипогликемия.</w:t>
      </w:r>
    </w:p>
    <w:p w14:paraId="66A93086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F9BB995" w14:textId="20B54F20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Анестетици</w:t>
      </w:r>
      <w:r w:rsidRPr="00543F04">
        <w:rPr>
          <w:rFonts w:eastAsia="Times New Roman" w:cs="Arial"/>
          <w:color w:val="000000"/>
          <w:lang w:eastAsia="bg-BG"/>
        </w:rPr>
        <w:t>: отслабване на рефлекторната тахикардия и повишен риск от хипотония.</w:t>
      </w:r>
    </w:p>
    <w:p w14:paraId="32496596" w14:textId="77777777" w:rsidR="00543F04" w:rsidRPr="00543F04" w:rsidRDefault="00543F04" w:rsidP="00543F04">
      <w:pPr>
        <w:rPr>
          <w:rFonts w:eastAsia="Times New Roman" w:cs="Arial"/>
          <w:color w:val="000000"/>
          <w:u w:val="single"/>
          <w:lang w:eastAsia="bg-BG"/>
        </w:rPr>
      </w:pPr>
    </w:p>
    <w:p w14:paraId="19E88388" w14:textId="0AFE2028" w:rsid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Дигиталисови гликозиди</w:t>
      </w:r>
      <w:r w:rsidRPr="00543F04">
        <w:rPr>
          <w:rFonts w:eastAsia="Times New Roman" w:cs="Arial"/>
          <w:color w:val="000000"/>
          <w:lang w:eastAsia="bg-BG"/>
        </w:rPr>
        <w:t>: забавяне на сърдечната честота, повишаване на времето на предсърдно-камерната проводимост.</w:t>
      </w:r>
    </w:p>
    <w:p w14:paraId="52245D05" w14:textId="58117563" w:rsidR="00543F04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4B57A1F5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Нестероидни противовъзпалителни средства (НСПВС)</w:t>
      </w:r>
      <w:r w:rsidRPr="00543F04">
        <w:rPr>
          <w:rFonts w:eastAsia="Times New Roman" w:cs="Arial"/>
          <w:color w:val="000000"/>
          <w:lang w:eastAsia="bg-BG"/>
        </w:rPr>
        <w:t>: НСПВС могат да отслабят хипотензивния ефект на бисопролол.</w:t>
      </w:r>
    </w:p>
    <w:p w14:paraId="162953FB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BED036D" w14:textId="39B9561C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lastRenderedPageBreak/>
        <w:t>Бета-симпатомиметични средства</w:t>
      </w:r>
      <w:r w:rsidRPr="00543F04">
        <w:rPr>
          <w:rFonts w:eastAsia="Times New Roman" w:cs="Arial"/>
          <w:color w:val="000000"/>
          <w:lang w:eastAsia="bg-BG"/>
        </w:rPr>
        <w:t xml:space="preserve"> (напр. изопреналин, добутамин): комбинация с бисопролол може да намали ефектите и на двете лекарства.</w:t>
      </w:r>
    </w:p>
    <w:p w14:paraId="49B5E3B0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B548715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Симпатомиметици. които активират едновременно алфа- и бета-рецепторите: Комбинирането с бисопролол</w:t>
      </w:r>
      <w:r w:rsidRPr="00543F04">
        <w:rPr>
          <w:rFonts w:eastAsia="Times New Roman" w:cs="Arial"/>
          <w:color w:val="000000"/>
          <w:lang w:eastAsia="bg-BG"/>
        </w:rPr>
        <w:t xml:space="preserve"> може да доведе до хипотония.</w:t>
      </w:r>
    </w:p>
    <w:p w14:paraId="74C33B6B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521964BD" w14:textId="64CF036C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Едновременната употреба с </w:t>
      </w:r>
      <w:r w:rsidRPr="00543F04">
        <w:rPr>
          <w:rFonts w:eastAsia="Times New Roman" w:cs="Arial"/>
          <w:color w:val="000000"/>
          <w:u w:val="single"/>
          <w:lang w:eastAsia="bg-BG"/>
        </w:rPr>
        <w:t>антихипертензивни средства,</w:t>
      </w:r>
      <w:r w:rsidRPr="00543F04">
        <w:rPr>
          <w:rFonts w:eastAsia="Times New Roman" w:cs="Arial"/>
          <w:color w:val="000000"/>
          <w:lang w:eastAsia="bg-BG"/>
        </w:rPr>
        <w:t xml:space="preserve"> както и с други, лекарствени средства, които имат потенциал да понижават артериалното налягане може да повиши риска от хипотония.</w:t>
      </w:r>
    </w:p>
    <w:p w14:paraId="1948BCF6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33A9482" w14:textId="00CB7B60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Антихолинестеразни средства</w:t>
      </w:r>
      <w:r w:rsidRPr="00543F04">
        <w:rPr>
          <w:rFonts w:eastAsia="Times New Roman" w:cs="Arial"/>
          <w:color w:val="000000"/>
          <w:lang w:eastAsia="bg-BG"/>
        </w:rPr>
        <w:t xml:space="preserve"> (вкл. такрин): времето на предсърдно-камерната проводимост може да нарасне и да се повиши риска от брадикардия (вж. точка 4.4).</w:t>
      </w:r>
    </w:p>
    <w:p w14:paraId="2B02AA49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95FFDA4" w14:textId="1685EDDB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Ерготаминови деривати</w:t>
      </w:r>
      <w:r w:rsidRPr="00543F04">
        <w:rPr>
          <w:rFonts w:eastAsia="Times New Roman" w:cs="Arial"/>
          <w:color w:val="000000"/>
          <w:lang w:eastAsia="bg-BG"/>
        </w:rPr>
        <w:t>: обостряне на периферните циркулаторни нарушения.</w:t>
      </w:r>
    </w:p>
    <w:p w14:paraId="0D3EE811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292622F" w14:textId="204B8BCD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Трициклични антидепресанти, барбитурати, фенотиазини:</w:t>
      </w:r>
      <w:r w:rsidRPr="00543F04">
        <w:rPr>
          <w:rFonts w:eastAsia="Times New Roman" w:cs="Arial"/>
          <w:color w:val="000000"/>
          <w:lang w:eastAsia="bg-BG"/>
        </w:rPr>
        <w:t xml:space="preserve"> повишаване на риска от хипотония.</w:t>
      </w:r>
    </w:p>
    <w:p w14:paraId="24667FE1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CD643D" w14:textId="415992EE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Баклофен</w:t>
      </w:r>
      <w:r w:rsidRPr="00543F04">
        <w:rPr>
          <w:rFonts w:eastAsia="Times New Roman" w:cs="Arial"/>
          <w:color w:val="000000"/>
          <w:lang w:eastAsia="bg-BG"/>
        </w:rPr>
        <w:t>: повишена антихипертензивна активност</w:t>
      </w:r>
    </w:p>
    <w:p w14:paraId="61EAF050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68B56B8" w14:textId="0B449A95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Амифостин</w:t>
      </w:r>
      <w:r w:rsidRPr="00543F04">
        <w:rPr>
          <w:rFonts w:eastAsia="Times New Roman" w:cs="Arial"/>
          <w:color w:val="000000"/>
          <w:lang w:eastAsia="bg-BG"/>
        </w:rPr>
        <w:t>: повишена хипотензивна активност.</w:t>
      </w:r>
    </w:p>
    <w:p w14:paraId="0923AC22" w14:textId="77777777" w:rsidR="00543F04" w:rsidRPr="00543F04" w:rsidRDefault="00543F04" w:rsidP="00543F04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A8AB387" w14:textId="0D121105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b/>
          <w:bCs/>
          <w:i/>
          <w:iCs/>
          <w:color w:val="000000"/>
          <w:lang w:eastAsia="bg-BG"/>
        </w:rPr>
        <w:t>Комбинации, които трябва да бъдат взети под внимание</w:t>
      </w:r>
    </w:p>
    <w:p w14:paraId="5615FDFC" w14:textId="1B18D2D1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Мефлоквин</w:t>
      </w:r>
      <w:r w:rsidRPr="00543F04">
        <w:rPr>
          <w:rFonts w:eastAsia="Times New Roman" w:cs="Arial"/>
          <w:color w:val="000000"/>
          <w:lang w:eastAsia="bg-BG"/>
        </w:rPr>
        <w:t>: повишен риск от брадикардия.</w:t>
      </w:r>
    </w:p>
    <w:p w14:paraId="3A0D4561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4BD9260" w14:textId="0404751B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Флоктафенин</w:t>
      </w:r>
      <w:r w:rsidRPr="00543F04">
        <w:rPr>
          <w:rFonts w:eastAsia="Times New Roman" w:cs="Arial"/>
          <w:color w:val="000000"/>
          <w:lang w:eastAsia="bg-BG"/>
        </w:rPr>
        <w:t>: бета-блокерите могат да затруднят компенсаторните сърдечно-съдови реакции, при хипотония или шок, които могат да бъдат предизвикани от флоктафенин.</w:t>
      </w:r>
    </w:p>
    <w:p w14:paraId="60DD0BC1" w14:textId="77777777" w:rsidR="00543F04" w:rsidRPr="00543F04" w:rsidRDefault="00543F04" w:rsidP="00543F04">
      <w:pPr>
        <w:rPr>
          <w:rFonts w:eastAsia="Times New Roman" w:cs="Arial"/>
          <w:color w:val="000000"/>
          <w:u w:val="single"/>
          <w:lang w:eastAsia="bg-BG"/>
        </w:rPr>
      </w:pPr>
    </w:p>
    <w:p w14:paraId="30D1385F" w14:textId="2A2B7966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Султоприд</w:t>
      </w:r>
      <w:r w:rsidRPr="00543F04">
        <w:rPr>
          <w:rFonts w:eastAsia="Times New Roman" w:cs="Arial"/>
          <w:color w:val="000000"/>
          <w:lang w:eastAsia="bg-BG"/>
        </w:rPr>
        <w:t>: бисопролол не трябва да бъде прилаган едновременно със султоприд, поради повишен риск от камерна аритмия.</w:t>
      </w:r>
    </w:p>
    <w:p w14:paraId="5837ECD4" w14:textId="47ABD496" w:rsidR="00543F04" w:rsidRDefault="00543F04" w:rsidP="00543F04"/>
    <w:p w14:paraId="260760BA" w14:textId="206D3E5B" w:rsidR="00543F04" w:rsidRDefault="00543F04" w:rsidP="00543F04">
      <w:r>
        <w:rPr>
          <w:u w:val="single"/>
        </w:rPr>
        <w:t>Кортикостероиди</w:t>
      </w:r>
      <w:r>
        <w:t>: намаляване на антихипертензивния ефект в резултат на водна и натриева задръжка.</w:t>
      </w:r>
    </w:p>
    <w:p w14:paraId="19FDFCAE" w14:textId="77777777" w:rsidR="00543F04" w:rsidRPr="00543F04" w:rsidRDefault="00543F04" w:rsidP="00543F04"/>
    <w:p w14:paraId="394A7584" w14:textId="789B7D34" w:rsidR="004F498A" w:rsidRDefault="002C50EE" w:rsidP="004A448E">
      <w:pPr>
        <w:pStyle w:val="Heading2"/>
      </w:pPr>
      <w:r>
        <w:t>4.6. Фертилитет, бременност и кърмене</w:t>
      </w:r>
    </w:p>
    <w:p w14:paraId="001F3093" w14:textId="47973478" w:rsidR="00543F04" w:rsidRDefault="00543F04" w:rsidP="00543F04"/>
    <w:p w14:paraId="2E6DA3BE" w14:textId="77777777" w:rsidR="00543F04" w:rsidRPr="00543F04" w:rsidRDefault="00543F04" w:rsidP="00543F04">
      <w:pPr>
        <w:pStyle w:val="Heading3"/>
        <w:rPr>
          <w:rFonts w:eastAsia="Times New Roman"/>
          <w:u w:val="single"/>
          <w:lang w:eastAsia="bg-BG"/>
        </w:rPr>
      </w:pPr>
      <w:r w:rsidRPr="00543F04">
        <w:rPr>
          <w:rFonts w:eastAsia="Times New Roman"/>
          <w:u w:val="single"/>
          <w:lang w:eastAsia="bg-BG"/>
        </w:rPr>
        <w:t>Бременност</w:t>
      </w:r>
    </w:p>
    <w:p w14:paraId="3F2F866B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Бисопролол фумарат не трябва да се прилага по време на бременност, освен при категорична необходимост. Ако лечението с бисопролол се счита за необходимо, трябва да се наблюдават кръвоснабдяването на матката и плацентата и растежа на плода. В случай на неблагоприятни ефекти върху бременността или плода, трябва да се обмисли алтернативно лечение.</w:t>
      </w:r>
    </w:p>
    <w:p w14:paraId="1D447AE9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Новороденото трябва да бъде наблюдавано внимателно. Симптоми на хипогликемия и брадикардия се очакват най-общо през първите 3 дни.</w:t>
      </w:r>
    </w:p>
    <w:p w14:paraId="1472DCE9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2BED6C" w14:textId="07D51427" w:rsidR="00543F04" w:rsidRPr="00543F04" w:rsidRDefault="00543F04" w:rsidP="00543F04">
      <w:pPr>
        <w:pStyle w:val="Heading3"/>
        <w:rPr>
          <w:rFonts w:eastAsia="Times New Roman"/>
          <w:u w:val="single"/>
          <w:lang w:eastAsia="bg-BG"/>
        </w:rPr>
      </w:pPr>
      <w:r w:rsidRPr="00543F04">
        <w:rPr>
          <w:rFonts w:eastAsia="Times New Roman"/>
          <w:u w:val="single"/>
          <w:lang w:eastAsia="bg-BG"/>
        </w:rPr>
        <w:t>Кърмене</w:t>
      </w:r>
    </w:p>
    <w:p w14:paraId="0EC4BADC" w14:textId="159187BA" w:rsidR="00543F04" w:rsidRPr="00543F04" w:rsidRDefault="00543F04" w:rsidP="00543F04">
      <w:pPr>
        <w:rPr>
          <w:rFonts w:eastAsia="Times New Roman" w:cs="Arial"/>
          <w:color w:val="000000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По време на лечение с бисопролол кърменето не се препоръчва.</w:t>
      </w:r>
    </w:p>
    <w:p w14:paraId="0B109D13" w14:textId="77777777" w:rsidR="00543F04" w:rsidRPr="00543F04" w:rsidRDefault="00543F04" w:rsidP="00543F04"/>
    <w:p w14:paraId="064DF1DE" w14:textId="3FD36DF6" w:rsidR="00CF77F7" w:rsidRDefault="002C50EE" w:rsidP="004A448E">
      <w:pPr>
        <w:pStyle w:val="Heading2"/>
      </w:pPr>
      <w:r>
        <w:lastRenderedPageBreak/>
        <w:t>4.7. Ефекти върху способността за шофиране и работа с машини</w:t>
      </w:r>
    </w:p>
    <w:p w14:paraId="2D2E4C89" w14:textId="643AF943" w:rsidR="00543F04" w:rsidRDefault="00543F04" w:rsidP="00543F04"/>
    <w:p w14:paraId="457962D8" w14:textId="23D23D5F" w:rsidR="00543F04" w:rsidRDefault="00543F04" w:rsidP="00543F04">
      <w:r>
        <w:t>Поради индивидуалния отговор на пациентите към лечението способността за шофиране или работа с машини може да бъде нарушена. Това трябва да се вземе под внимание особено в началото на лечението, при смяна на лечението и при употреба на алкохол.</w:t>
      </w:r>
    </w:p>
    <w:p w14:paraId="5389311D" w14:textId="77777777" w:rsidR="00543F04" w:rsidRPr="00543F04" w:rsidRDefault="00543F04" w:rsidP="00543F04"/>
    <w:p w14:paraId="37A3FD9F" w14:textId="512E09F0" w:rsidR="00CF77F7" w:rsidRDefault="002C50EE" w:rsidP="004A448E">
      <w:pPr>
        <w:pStyle w:val="Heading2"/>
      </w:pPr>
      <w:r>
        <w:t>4.8. Нежелани лекарствени реакции</w:t>
      </w:r>
    </w:p>
    <w:p w14:paraId="6E40254F" w14:textId="2DE441D5" w:rsidR="00543F04" w:rsidRDefault="00543F04" w:rsidP="00543F04"/>
    <w:p w14:paraId="4D3AE6A5" w14:textId="77777777" w:rsidR="00543F04" w:rsidRDefault="00543F04" w:rsidP="00543F04">
      <w:r>
        <w:t>Нежеланите лекарствени реакции са групирани по честота съгласно следната конвенция: много чести (≥ 1/10); чести (≥ 1/100 до &lt; 1/10); нечести (≥ 1/1 000 до &lt; 1/100); редки (≥ 1/10 000 до &lt;1/1 000); много редки (&lt;1/10 000); с неизвестна честота (честотата не може да бъде определена от наличните данни).</w:t>
      </w:r>
    </w:p>
    <w:p w14:paraId="13E2FDF7" w14:textId="77777777" w:rsidR="00543F04" w:rsidRDefault="00543F04" w:rsidP="00543F04">
      <w:pPr>
        <w:rPr>
          <w:u w:val="single"/>
        </w:rPr>
      </w:pPr>
    </w:p>
    <w:p w14:paraId="67AF229A" w14:textId="5ED10613" w:rsidR="00543F04" w:rsidRDefault="00543F04" w:rsidP="00543F04">
      <w:r>
        <w:rPr>
          <w:u w:val="single"/>
        </w:rPr>
        <w:t>Изследвания</w:t>
      </w:r>
    </w:p>
    <w:p w14:paraId="44CF65E8" w14:textId="77777777" w:rsidR="00543F04" w:rsidRDefault="00543F04" w:rsidP="00543F04">
      <w:r>
        <w:rPr>
          <w:i/>
          <w:iCs/>
        </w:rPr>
        <w:t>Редки:</w:t>
      </w:r>
      <w:r>
        <w:t xml:space="preserve"> повишени стойности на триглицеридите, повишени стойности на чернодробните ензими </w:t>
      </w:r>
      <w:r>
        <w:rPr>
          <w:lang w:val="en-US"/>
        </w:rPr>
        <w:t>(ALAT, ASAT).</w:t>
      </w:r>
    </w:p>
    <w:p w14:paraId="55EA9969" w14:textId="77777777" w:rsidR="00543F04" w:rsidRDefault="00543F04" w:rsidP="00543F04">
      <w:pPr>
        <w:rPr>
          <w:u w:val="single"/>
        </w:rPr>
      </w:pPr>
    </w:p>
    <w:p w14:paraId="638547B3" w14:textId="0635B843" w:rsidR="00543F04" w:rsidRDefault="00543F04" w:rsidP="00543F04">
      <w:r>
        <w:rPr>
          <w:u w:val="single"/>
        </w:rPr>
        <w:t>Сърдечни нарушения</w:t>
      </w:r>
    </w:p>
    <w:p w14:paraId="0B1C96BE" w14:textId="77777777" w:rsidR="00543F04" w:rsidRDefault="00543F04" w:rsidP="00543F04">
      <w:r>
        <w:rPr>
          <w:i/>
          <w:iCs/>
        </w:rPr>
        <w:t>Много чести:</w:t>
      </w:r>
      <w:r>
        <w:t xml:space="preserve"> брадикардия</w:t>
      </w:r>
    </w:p>
    <w:p w14:paraId="62CF9C09" w14:textId="77777777" w:rsidR="00543F04" w:rsidRDefault="00543F04" w:rsidP="00543F04">
      <w:r>
        <w:rPr>
          <w:i/>
          <w:iCs/>
        </w:rPr>
        <w:t>Чести:</w:t>
      </w:r>
      <w:r>
        <w:t xml:space="preserve"> влошаване на сърдечната недостатъчност</w:t>
      </w:r>
    </w:p>
    <w:p w14:paraId="51A1FB22" w14:textId="77777777" w:rsidR="00543F04" w:rsidRDefault="00543F04" w:rsidP="00543F04">
      <w:r>
        <w:rPr>
          <w:i/>
          <w:iCs/>
        </w:rPr>
        <w:t>Нечести:</w:t>
      </w:r>
      <w:r>
        <w:t xml:space="preserve"> нарушения на </w:t>
      </w:r>
      <w:r>
        <w:rPr>
          <w:lang w:val="en-US"/>
        </w:rPr>
        <w:t>AV</w:t>
      </w:r>
      <w:r>
        <w:t>-проводимостта,</w:t>
      </w:r>
    </w:p>
    <w:p w14:paraId="04C255BA" w14:textId="77777777" w:rsidR="00543F04" w:rsidRDefault="00543F04" w:rsidP="00543F04">
      <w:pPr>
        <w:rPr>
          <w:u w:val="single"/>
        </w:rPr>
      </w:pPr>
    </w:p>
    <w:p w14:paraId="4E2C167A" w14:textId="240C3E64" w:rsidR="00543F04" w:rsidRDefault="00543F04" w:rsidP="00543F04">
      <w:r>
        <w:rPr>
          <w:u w:val="single"/>
        </w:rPr>
        <w:t>Нарушения на нервната система</w:t>
      </w:r>
    </w:p>
    <w:p w14:paraId="0C6718F8" w14:textId="77777777" w:rsidR="00543F04" w:rsidRDefault="00543F04" w:rsidP="00543F04">
      <w:r>
        <w:rPr>
          <w:i/>
          <w:iCs/>
        </w:rPr>
        <w:t>Чести:</w:t>
      </w:r>
      <w:r>
        <w:t xml:space="preserve"> замаяност и главоболие</w:t>
      </w:r>
    </w:p>
    <w:p w14:paraId="6A35A2FB" w14:textId="77777777" w:rsidR="00543F04" w:rsidRDefault="00543F04" w:rsidP="00543F04">
      <w:r>
        <w:rPr>
          <w:i/>
          <w:iCs/>
        </w:rPr>
        <w:t>Редки:</w:t>
      </w:r>
      <w:r>
        <w:t xml:space="preserve"> синкоп.</w:t>
      </w:r>
    </w:p>
    <w:p w14:paraId="1FE8170A" w14:textId="77777777" w:rsidR="00543F04" w:rsidRDefault="00543F04" w:rsidP="00543F04">
      <w:pPr>
        <w:rPr>
          <w:u w:val="single"/>
        </w:rPr>
      </w:pPr>
    </w:p>
    <w:p w14:paraId="26BA5C90" w14:textId="2E5F7A6B" w:rsidR="00543F04" w:rsidRDefault="00543F04" w:rsidP="00543F04">
      <w:r>
        <w:rPr>
          <w:u w:val="single"/>
        </w:rPr>
        <w:t>Нарушения на очите</w:t>
      </w:r>
    </w:p>
    <w:p w14:paraId="567DD0EF" w14:textId="77777777" w:rsidR="00543F04" w:rsidRDefault="00543F04" w:rsidP="00543F04">
      <w:r>
        <w:rPr>
          <w:i/>
          <w:iCs/>
        </w:rPr>
        <w:t>Редки:</w:t>
      </w:r>
      <w:r>
        <w:t xml:space="preserve"> намаление на сълзоотделянето</w:t>
      </w:r>
    </w:p>
    <w:p w14:paraId="33C54BBF" w14:textId="77777777" w:rsidR="00543F04" w:rsidRDefault="00543F04" w:rsidP="00543F04">
      <w:r>
        <w:rPr>
          <w:i/>
          <w:iCs/>
        </w:rPr>
        <w:t>Много редки:</w:t>
      </w:r>
      <w:r>
        <w:t xml:space="preserve"> конюнктивит</w:t>
      </w:r>
    </w:p>
    <w:p w14:paraId="1EEE8112" w14:textId="77777777" w:rsidR="00543F04" w:rsidRDefault="00543F04" w:rsidP="00543F04">
      <w:pPr>
        <w:rPr>
          <w:u w:val="single"/>
        </w:rPr>
      </w:pPr>
    </w:p>
    <w:p w14:paraId="32F7BFF2" w14:textId="25C8AF01" w:rsidR="00543F04" w:rsidRDefault="00543F04" w:rsidP="00543F04">
      <w:r>
        <w:rPr>
          <w:u w:val="single"/>
        </w:rPr>
        <w:t>Нарушения на ухото и лабиринта</w:t>
      </w:r>
    </w:p>
    <w:p w14:paraId="658B6D6B" w14:textId="77777777" w:rsidR="00543F04" w:rsidRDefault="00543F04" w:rsidP="00543F04">
      <w:r>
        <w:rPr>
          <w:i/>
          <w:iCs/>
        </w:rPr>
        <w:t>Редки:</w:t>
      </w:r>
      <w:r>
        <w:t xml:space="preserve"> слухови нарушения</w:t>
      </w:r>
    </w:p>
    <w:p w14:paraId="5B0F6B29" w14:textId="77777777" w:rsidR="00543F04" w:rsidRDefault="00543F04" w:rsidP="00543F04">
      <w:pPr>
        <w:rPr>
          <w:u w:val="single"/>
        </w:rPr>
      </w:pPr>
    </w:p>
    <w:p w14:paraId="30F19F27" w14:textId="3EDA62DC" w:rsidR="00543F04" w:rsidRDefault="00543F04" w:rsidP="00543F04">
      <w:r>
        <w:rPr>
          <w:u w:val="single"/>
        </w:rPr>
        <w:t>Респираторни, гръдни и медиастинални нарушения</w:t>
      </w:r>
    </w:p>
    <w:p w14:paraId="4073699E" w14:textId="77777777" w:rsidR="00543F04" w:rsidRDefault="00543F04" w:rsidP="00543F04">
      <w:r>
        <w:rPr>
          <w:i/>
          <w:iCs/>
        </w:rPr>
        <w:t>Нечести:</w:t>
      </w:r>
      <w:r>
        <w:t xml:space="preserve"> бронхоспазъм при пациенти с бронхиална астма или анамнеза за обструктивни</w:t>
      </w:r>
      <w:r>
        <w:rPr>
          <w:vertAlign w:val="superscript"/>
        </w:rPr>
        <w:t xml:space="preserve"> </w:t>
      </w:r>
      <w:r>
        <w:t>заболявания на дихателните пътища</w:t>
      </w:r>
    </w:p>
    <w:p w14:paraId="26A7B30F" w14:textId="77777777" w:rsidR="00543F04" w:rsidRDefault="00543F04" w:rsidP="00543F04">
      <w:r>
        <w:rPr>
          <w:i/>
          <w:iCs/>
        </w:rPr>
        <w:t>Редки:</w:t>
      </w:r>
      <w:r>
        <w:t xml:space="preserve"> алергичен ринит</w:t>
      </w:r>
    </w:p>
    <w:p w14:paraId="0A8D0611" w14:textId="77777777" w:rsidR="00543F04" w:rsidRDefault="00543F04" w:rsidP="00543F04"/>
    <w:p w14:paraId="5F2E75D1" w14:textId="77777777" w:rsidR="00543F04" w:rsidRDefault="00543F04" w:rsidP="00543F04">
      <w:r>
        <w:rPr>
          <w:u w:val="single"/>
        </w:rPr>
        <w:t>Стомашно-чревни нарушения</w:t>
      </w:r>
    </w:p>
    <w:p w14:paraId="28BE6538" w14:textId="7E716842" w:rsidR="00543F04" w:rsidRDefault="00543F04" w:rsidP="00543F04">
      <w:r>
        <w:rPr>
          <w:i/>
          <w:iCs/>
        </w:rPr>
        <w:t>Чести:</w:t>
      </w:r>
      <w:r>
        <w:t xml:space="preserve"> стомашно-чревни оплаквания, като: гадене, повръщане, диария, запек</w:t>
      </w:r>
    </w:p>
    <w:p w14:paraId="5FB9AD9A" w14:textId="7145D013" w:rsidR="00543F04" w:rsidRDefault="00543F04" w:rsidP="00543F04"/>
    <w:p w14:paraId="11F221F9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110E0ECC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Редки:</w:t>
      </w:r>
      <w:r w:rsidRPr="00543F04">
        <w:rPr>
          <w:rFonts w:eastAsia="Times New Roman" w:cs="Arial"/>
          <w:color w:val="000000"/>
          <w:lang w:eastAsia="bg-BG"/>
        </w:rPr>
        <w:t xml:space="preserve"> реакции на свръхчувствителност (сърбеж, зачервяване, обрив)</w:t>
      </w:r>
    </w:p>
    <w:p w14:paraId="635A6A92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543F04">
        <w:rPr>
          <w:rFonts w:eastAsia="Times New Roman" w:cs="Arial"/>
          <w:color w:val="000000"/>
          <w:lang w:eastAsia="bg-BG"/>
        </w:rPr>
        <w:t xml:space="preserve"> алопеция. бета-блокерите могат да провокират или влошат псориазис или да индуцират появата на псориазо-подобен обрив</w:t>
      </w:r>
    </w:p>
    <w:p w14:paraId="2E43F544" w14:textId="77777777" w:rsidR="00543F04" w:rsidRDefault="00543F04" w:rsidP="00543F04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eastAsia="bg-BG"/>
        </w:rPr>
      </w:pPr>
    </w:p>
    <w:p w14:paraId="1EB7414D" w14:textId="739B777D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Нарушения на мускулно-скелетната система и съединителната тъкан</w:t>
      </w:r>
    </w:p>
    <w:p w14:paraId="7750EDC7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lastRenderedPageBreak/>
        <w:t>Нечести:</w:t>
      </w:r>
      <w:r w:rsidRPr="00543F04">
        <w:rPr>
          <w:rFonts w:eastAsia="Times New Roman" w:cs="Arial"/>
          <w:color w:val="000000"/>
          <w:lang w:eastAsia="bg-BG"/>
        </w:rPr>
        <w:t xml:space="preserve"> мускулна слабост и мускулни крампи</w:t>
      </w:r>
    </w:p>
    <w:p w14:paraId="257584FC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6BEDE15" w14:textId="0024F91D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Съдови нарушения</w:t>
      </w:r>
    </w:p>
    <w:p w14:paraId="135AAFF6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bookmarkStart w:id="1" w:name="bookmark0"/>
      <w:r w:rsidRPr="00543F04">
        <w:rPr>
          <w:rFonts w:eastAsia="Times New Roman" w:cs="Arial"/>
          <w:i/>
          <w:iCs/>
          <w:color w:val="000000"/>
          <w:lang w:eastAsia="bg-BG"/>
        </w:rPr>
        <w:t>Чести:</w:t>
      </w:r>
      <w:r w:rsidRPr="00543F04">
        <w:rPr>
          <w:rFonts w:eastAsia="Times New Roman" w:cs="Arial"/>
          <w:b/>
          <w:bCs/>
          <w:color w:val="000000"/>
          <w:lang w:eastAsia="bg-BG"/>
        </w:rPr>
        <w:t xml:space="preserve"> чувство на студенина или изтръпване на крайниците, хнпотония</w:t>
      </w:r>
      <w:bookmarkEnd w:id="1"/>
    </w:p>
    <w:p w14:paraId="242709D3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91D2C3D" w14:textId="287B7AE9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Общи нарушения и ефекти на мястото на приложение</w:t>
      </w:r>
    </w:p>
    <w:p w14:paraId="0F36D8A9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Чести:</w:t>
      </w:r>
      <w:r w:rsidRPr="00543F04">
        <w:rPr>
          <w:rFonts w:eastAsia="Times New Roman" w:cs="Arial"/>
          <w:color w:val="000000"/>
          <w:lang w:val="en-US"/>
        </w:rPr>
        <w:t xml:space="preserve"> </w:t>
      </w:r>
      <w:r w:rsidRPr="00543F04">
        <w:rPr>
          <w:rFonts w:eastAsia="Times New Roman" w:cs="Arial"/>
          <w:color w:val="000000"/>
          <w:lang w:eastAsia="bg-BG"/>
        </w:rPr>
        <w:t>астения, умора</w:t>
      </w:r>
    </w:p>
    <w:p w14:paraId="7A26D8B5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6227D39" w14:textId="08B09A94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Хепатобилиарни нарушения</w:t>
      </w:r>
    </w:p>
    <w:p w14:paraId="342AC588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Редки:</w:t>
      </w:r>
      <w:r w:rsidRPr="00543F04">
        <w:rPr>
          <w:rFonts w:eastAsia="Times New Roman" w:cs="Arial"/>
          <w:color w:val="000000"/>
          <w:lang w:eastAsia="bg-BG"/>
        </w:rPr>
        <w:t xml:space="preserve"> хепатит</w:t>
      </w:r>
    </w:p>
    <w:p w14:paraId="2B9B60A6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E8B35E" w14:textId="3F5499C1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Нарушения на възпроизводителната система и гърдата</w:t>
      </w:r>
    </w:p>
    <w:p w14:paraId="6536097E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Редки:</w:t>
      </w:r>
      <w:r w:rsidRPr="00543F04">
        <w:rPr>
          <w:rFonts w:eastAsia="Times New Roman" w:cs="Arial"/>
          <w:color w:val="000000"/>
          <w:lang w:eastAsia="bg-BG"/>
        </w:rPr>
        <w:t xml:space="preserve"> нарушения в потентността</w:t>
      </w:r>
    </w:p>
    <w:p w14:paraId="21E88A25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51719A3" w14:textId="02D78A7D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Психични нарушения</w:t>
      </w:r>
    </w:p>
    <w:p w14:paraId="423F6D83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Нечести:</w:t>
      </w:r>
      <w:r w:rsidRPr="00543F04">
        <w:rPr>
          <w:rFonts w:eastAsia="Times New Roman" w:cs="Arial"/>
          <w:color w:val="000000"/>
          <w:lang w:eastAsia="bg-BG"/>
        </w:rPr>
        <w:t xml:space="preserve"> нарушения на съня, депресия</w:t>
      </w:r>
    </w:p>
    <w:p w14:paraId="165918A1" w14:textId="7777777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i/>
          <w:iCs/>
          <w:color w:val="000000"/>
          <w:lang w:eastAsia="bg-BG"/>
        </w:rPr>
        <w:t>Редки:</w:t>
      </w:r>
      <w:r w:rsidRPr="00543F04">
        <w:rPr>
          <w:rFonts w:eastAsia="Times New Roman" w:cs="Arial"/>
          <w:color w:val="000000"/>
          <w:lang w:eastAsia="bg-BG"/>
        </w:rPr>
        <w:t xml:space="preserve"> нощни кошмари, халюцинации</w:t>
      </w:r>
    </w:p>
    <w:p w14:paraId="6C01C2F2" w14:textId="77777777" w:rsidR="00543F04" w:rsidRPr="00543F04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3128A63" w14:textId="710871C7" w:rsidR="00543F04" w:rsidRPr="00543F04" w:rsidRDefault="00543F04" w:rsidP="00543F04">
      <w:pPr>
        <w:spacing w:line="240" w:lineRule="auto"/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E4C4EA8" w14:textId="1AA0AE3C" w:rsidR="00543F04" w:rsidRPr="00543F04" w:rsidRDefault="00543F04" w:rsidP="00543F04">
      <w:pPr>
        <w:rPr>
          <w:rFonts w:eastAsia="Times New Roman" w:cs="Arial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лекарствата; ул. „Дамян Груев” № 8; 1303 София; тел.: 02 8903417; уебсайт: </w:t>
      </w:r>
      <w:r w:rsidRPr="00543F04">
        <w:rPr>
          <w:rFonts w:eastAsia="Times New Roman" w:cs="Arial"/>
          <w:lang w:eastAsia="bg-BG"/>
        </w:rPr>
        <w:fldChar w:fldCharType="begin"/>
      </w:r>
      <w:r w:rsidRPr="00543F04">
        <w:rPr>
          <w:rFonts w:eastAsia="Times New Roman" w:cs="Arial"/>
          <w:lang w:eastAsia="bg-BG"/>
        </w:rPr>
        <w:instrText xml:space="preserve"> HYPERLINK "http://www.bda.bg" </w:instrText>
      </w:r>
      <w:r w:rsidRPr="00543F04">
        <w:rPr>
          <w:rFonts w:eastAsia="Times New Roman" w:cs="Arial"/>
          <w:lang w:eastAsia="bg-BG"/>
        </w:rPr>
      </w:r>
      <w:r w:rsidRPr="00543F04">
        <w:rPr>
          <w:rFonts w:eastAsia="Times New Roman" w:cs="Arial"/>
          <w:lang w:eastAsia="bg-BG"/>
        </w:rPr>
        <w:fldChar w:fldCharType="separate"/>
      </w:r>
      <w:r w:rsidRPr="00543F04">
        <w:rPr>
          <w:rFonts w:eastAsia="Times New Roman" w:cs="Arial"/>
          <w:color w:val="000000"/>
          <w:lang w:val="en-US"/>
        </w:rPr>
        <w:t>www.bda.bg</w:t>
      </w:r>
      <w:r w:rsidRPr="00543F04">
        <w:rPr>
          <w:rFonts w:eastAsia="Times New Roman" w:cs="Arial"/>
          <w:lang w:eastAsia="bg-BG"/>
        </w:rPr>
        <w:fldChar w:fldCharType="end"/>
      </w:r>
    </w:p>
    <w:p w14:paraId="2148F211" w14:textId="77777777" w:rsidR="00543F04" w:rsidRPr="00543F04" w:rsidRDefault="00543F04" w:rsidP="00543F04"/>
    <w:p w14:paraId="0A023CE0" w14:textId="4CB3A840" w:rsidR="00CF77F7" w:rsidRDefault="002C50EE" w:rsidP="004A448E">
      <w:pPr>
        <w:pStyle w:val="Heading2"/>
      </w:pPr>
      <w:r>
        <w:t>4.9. Предозиране</w:t>
      </w:r>
    </w:p>
    <w:p w14:paraId="234A7F03" w14:textId="7BF74ECF" w:rsidR="00543F04" w:rsidRDefault="00543F04" w:rsidP="00543F04"/>
    <w:p w14:paraId="3665F246" w14:textId="77777777" w:rsidR="00543F04" w:rsidRPr="00D33570" w:rsidRDefault="00543F04" w:rsidP="00D33570">
      <w:pPr>
        <w:pStyle w:val="Heading3"/>
        <w:rPr>
          <w:rFonts w:eastAsia="Times New Roman"/>
          <w:u w:val="single"/>
          <w:lang w:eastAsia="bg-BG"/>
        </w:rPr>
      </w:pPr>
      <w:r w:rsidRPr="00D33570">
        <w:rPr>
          <w:rFonts w:eastAsia="Times New Roman"/>
          <w:u w:val="single"/>
          <w:lang w:eastAsia="bg-BG"/>
        </w:rPr>
        <w:t>Симптоми</w:t>
      </w:r>
    </w:p>
    <w:p w14:paraId="000C3522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Най-честите симптоми, които се наблюдават при предозиране с бета-блокери са брадикрадия, хипотония, бронхоспазъм, остра сърдечна недостатъчност и хипогликемия. Налице е широка интериндивидуална вариабилност в чувствителността към еднократна висока доза бисопролол; пациенти със сърдечна недостатъчност вероятно са много чувствителни.</w:t>
      </w:r>
    </w:p>
    <w:p w14:paraId="4E286908" w14:textId="77777777" w:rsidR="00543F04" w:rsidRPr="00D33570" w:rsidRDefault="00543F04" w:rsidP="00543F0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F5F1AB0" w14:textId="2BFE1996" w:rsidR="00543F04" w:rsidRPr="00D33570" w:rsidRDefault="00543F04" w:rsidP="00D33570">
      <w:pPr>
        <w:pStyle w:val="Heading3"/>
        <w:rPr>
          <w:rFonts w:eastAsia="Times New Roman"/>
          <w:u w:val="single"/>
          <w:lang w:eastAsia="bg-BG"/>
        </w:rPr>
      </w:pPr>
      <w:r w:rsidRPr="00D33570">
        <w:rPr>
          <w:rFonts w:eastAsia="Times New Roman"/>
          <w:u w:val="single"/>
          <w:lang w:eastAsia="bg-BG"/>
        </w:rPr>
        <w:t>Лечение</w:t>
      </w:r>
    </w:p>
    <w:p w14:paraId="2E8FBAC4" w14:textId="77777777" w:rsidR="00543F04" w:rsidRPr="00543F04" w:rsidRDefault="00543F04" w:rsidP="00543F0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43F04">
        <w:rPr>
          <w:rFonts w:eastAsia="Times New Roman" w:cs="Arial"/>
          <w:color w:val="000000"/>
          <w:lang w:eastAsia="bg-BG"/>
        </w:rPr>
        <w:t>При предозиране, лечението с бисопролол трябва да се прекрати и да се проведе поддържаща и симптоматична терапия.</w:t>
      </w:r>
    </w:p>
    <w:p w14:paraId="0FA45A0E" w14:textId="77777777" w:rsidR="00543F04" w:rsidRPr="00D33570" w:rsidRDefault="00543F04" w:rsidP="00543F04">
      <w:pPr>
        <w:rPr>
          <w:rFonts w:eastAsia="Times New Roman" w:cs="Arial"/>
          <w:color w:val="000000"/>
          <w:lang w:eastAsia="bg-BG"/>
        </w:rPr>
      </w:pPr>
    </w:p>
    <w:p w14:paraId="5997484B" w14:textId="7F523411" w:rsidR="00543F04" w:rsidRPr="00D33570" w:rsidRDefault="00543F04" w:rsidP="00543F04">
      <w:pPr>
        <w:rPr>
          <w:rFonts w:cs="Arial"/>
        </w:rPr>
      </w:pPr>
      <w:r w:rsidRPr="00D33570">
        <w:rPr>
          <w:rFonts w:eastAsia="Times New Roman" w:cs="Arial"/>
          <w:color w:val="000000"/>
          <w:lang w:eastAsia="bg-BG"/>
        </w:rPr>
        <w:t>Ограничени данни предполагат, че бисопролол се диализира трудно.</w:t>
      </w:r>
    </w:p>
    <w:p w14:paraId="02081B24" w14:textId="35B5ABCA" w:rsidR="00395555" w:rsidRDefault="002C50EE" w:rsidP="008A6AF2">
      <w:pPr>
        <w:pStyle w:val="Heading1"/>
      </w:pPr>
      <w:r>
        <w:t>5. ФАРМАКОЛОГИЧНИ СВОЙСТВА</w:t>
      </w:r>
    </w:p>
    <w:p w14:paraId="158C250D" w14:textId="77777777" w:rsidR="00D33570" w:rsidRPr="00D33570" w:rsidRDefault="00D33570" w:rsidP="00D33570"/>
    <w:p w14:paraId="32B6DE66" w14:textId="75ABE053" w:rsidR="00CF77F7" w:rsidRDefault="002C50EE" w:rsidP="004A448E">
      <w:pPr>
        <w:pStyle w:val="Heading2"/>
      </w:pPr>
      <w:r>
        <w:t>5.1. Фармакодинамични свойства</w:t>
      </w:r>
    </w:p>
    <w:p w14:paraId="5DC9C9FC" w14:textId="2156AFE0" w:rsidR="00D33570" w:rsidRDefault="00D33570" w:rsidP="00D33570"/>
    <w:p w14:paraId="23A1F3CF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Фармакотерапевтична група: селективни бета-блокери, АТС код: С07АВ07</w:t>
      </w:r>
    </w:p>
    <w:p w14:paraId="406CDE73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130B85" w14:textId="307CD7BB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Бисопролол е високо селективен бета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>1</w:t>
      </w:r>
      <w:r w:rsidRPr="00D33570">
        <w:rPr>
          <w:rFonts w:eastAsia="Times New Roman" w:cs="Arial"/>
          <w:color w:val="000000"/>
          <w:lang w:eastAsia="bg-BG"/>
        </w:rPr>
        <w:t>-адренорецепторен блокер, без вътрешна</w:t>
      </w:r>
    </w:p>
    <w:p w14:paraId="68011B2B" w14:textId="77777777" w:rsidR="00D33570" w:rsidRPr="00D33570" w:rsidRDefault="00D33570" w:rsidP="00D33570">
      <w:pPr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lastRenderedPageBreak/>
        <w:t>симпатикомиметична и съответна мембраностабилизираща активност. Той показва нисък афинитет към бета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>2</w:t>
      </w:r>
      <w:r w:rsidRPr="00D33570">
        <w:rPr>
          <w:rFonts w:eastAsia="Times New Roman" w:cs="Arial"/>
          <w:color w:val="000000"/>
          <w:lang w:eastAsia="bg-BG"/>
        </w:rPr>
        <w:t>-рецепторите на гладката мускулатура на бронхите и съдовете, както и към</w:t>
      </w: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D33570">
        <w:rPr>
          <w:rFonts w:eastAsia="Times New Roman" w:cs="Arial"/>
          <w:color w:val="000000"/>
          <w:lang w:eastAsia="bg-BG"/>
        </w:rPr>
        <w:t>β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>2</w:t>
      </w:r>
      <w:r w:rsidRPr="00D33570">
        <w:rPr>
          <w:rFonts w:eastAsia="Times New Roman" w:cs="Arial"/>
          <w:color w:val="000000"/>
          <w:lang w:eastAsia="bg-BG"/>
        </w:rPr>
        <w:t>-рецепторите, участващи в регулацията на метаболизма. Поради това, бисопролол най-общо не повлиява резистентностга на дихателните пътища и бета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>2</w:t>
      </w:r>
      <w:r w:rsidRPr="00D33570">
        <w:rPr>
          <w:rFonts w:eastAsia="Times New Roman" w:cs="Arial"/>
          <w:color w:val="000000"/>
          <w:lang w:eastAsia="bg-BG"/>
        </w:rPr>
        <w:t>-медиираните метаболитни ефекти. Неговата бета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 xml:space="preserve">1 </w:t>
      </w:r>
      <w:r w:rsidRPr="00D33570">
        <w:rPr>
          <w:rFonts w:eastAsia="Times New Roman" w:cs="Arial"/>
          <w:color w:val="000000"/>
          <w:lang w:eastAsia="bg-BG"/>
        </w:rPr>
        <w:t>-селективност се разпростира извън терапевтичния дозов обхват.</w:t>
      </w:r>
    </w:p>
    <w:p w14:paraId="2213711D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D7C2E9F" w14:textId="5CB83699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 xml:space="preserve">Общо 2647 пациенти са били включени в клинично проучване </w:t>
      </w:r>
      <w:r w:rsidRPr="00D33570">
        <w:rPr>
          <w:rFonts w:eastAsia="Times New Roman" w:cs="Arial"/>
          <w:color w:val="000000"/>
          <w:lang w:val="en-US"/>
        </w:rPr>
        <w:t xml:space="preserve">CIBIS </w:t>
      </w:r>
      <w:r w:rsidRPr="00D33570">
        <w:rPr>
          <w:rFonts w:eastAsia="Times New Roman" w:cs="Arial"/>
          <w:color w:val="000000"/>
          <w:lang w:eastAsia="bg-BG"/>
        </w:rPr>
        <w:t>II. 83% (</w:t>
      </w:r>
      <w:r w:rsidRPr="00D33570">
        <w:rPr>
          <w:rFonts w:eastAsia="Times New Roman" w:cs="Arial"/>
          <w:color w:val="000000"/>
          <w:lang w:val="en-US"/>
        </w:rPr>
        <w:t>n</w:t>
      </w:r>
      <w:r w:rsidRPr="00D33570">
        <w:rPr>
          <w:rFonts w:eastAsia="Times New Roman" w:cs="Arial"/>
          <w:color w:val="000000"/>
          <w:lang w:eastAsia="bg-BG"/>
        </w:rPr>
        <w:t xml:space="preserve"> = 2202) са били в клас Ш по </w:t>
      </w:r>
      <w:r w:rsidRPr="00D33570">
        <w:rPr>
          <w:rFonts w:eastAsia="Times New Roman" w:cs="Arial"/>
          <w:color w:val="000000"/>
          <w:lang w:val="en-US"/>
        </w:rPr>
        <w:t xml:space="preserve">NYHA </w:t>
      </w:r>
      <w:r w:rsidRPr="00D33570">
        <w:rPr>
          <w:rFonts w:eastAsia="Times New Roman" w:cs="Arial"/>
          <w:color w:val="000000"/>
          <w:lang w:eastAsia="bg-BG"/>
        </w:rPr>
        <w:t>и 17% (</w:t>
      </w:r>
      <w:r w:rsidRPr="00D33570">
        <w:rPr>
          <w:rFonts w:eastAsia="Times New Roman" w:cs="Arial"/>
          <w:color w:val="000000"/>
          <w:lang w:val="en-US"/>
        </w:rPr>
        <w:t>n</w:t>
      </w:r>
      <w:r w:rsidRPr="00D33570">
        <w:rPr>
          <w:rFonts w:eastAsia="Times New Roman" w:cs="Arial"/>
          <w:color w:val="000000"/>
          <w:lang w:eastAsia="bg-BG"/>
        </w:rPr>
        <w:t xml:space="preserve"> = 445) в клас IV по </w:t>
      </w:r>
      <w:r w:rsidRPr="00D33570">
        <w:rPr>
          <w:rFonts w:eastAsia="Times New Roman" w:cs="Arial"/>
          <w:color w:val="000000"/>
          <w:lang w:val="en-US"/>
        </w:rPr>
        <w:t xml:space="preserve">NYHA. </w:t>
      </w:r>
      <w:r w:rsidRPr="00D33570">
        <w:rPr>
          <w:rFonts w:eastAsia="Times New Roman" w:cs="Arial"/>
          <w:color w:val="000000"/>
          <w:lang w:eastAsia="bg-BG"/>
        </w:rPr>
        <w:t xml:space="preserve">Те са имали стабилни симптоматична систолична сърдечна недостатъчност (фракция на изтласкване &lt;35%, установена ехокардиографски). Общата смъртност е била намалена от 17,3% до 11,8% (относително намаление 34%). Установено е намаляване случаите на внезапна смърт (3,6% спрямо 6,3%, относително намаление 44%) и броя на епизодите на сърдечна недостатъчност, изискващи хоспитализация (12% спрямо 17,6%, относително намаление 36%). В края на изследването е било отчетено сигнификантно подобрение на функционалния статус по </w:t>
      </w:r>
      <w:r w:rsidRPr="00D33570">
        <w:rPr>
          <w:rFonts w:eastAsia="Times New Roman" w:cs="Arial"/>
          <w:color w:val="000000"/>
          <w:lang w:val="en-US"/>
        </w:rPr>
        <w:t xml:space="preserve">NYHA </w:t>
      </w:r>
      <w:r w:rsidRPr="00D33570">
        <w:rPr>
          <w:rFonts w:eastAsia="Times New Roman" w:cs="Arial"/>
          <w:color w:val="000000"/>
          <w:lang w:eastAsia="bg-BG"/>
        </w:rPr>
        <w:t>класификация. В началото на лечението и при титриране с бисопролол са били установени - хоспитализация в резултат на брадикрадия (0,53%), хипотония (0,23%), и остра декомпенсация (4,97%), но те не са били по-чести в сравнение с плацебо-групата (0%, 0,3% и 6,74%). Броят на фаталните и изваждащи от проучването инциденти по време на общия период на проучването са били 20 в групата с бисопролол и 15 в плацебо групата.</w:t>
      </w:r>
    </w:p>
    <w:p w14:paraId="636C719D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0152FBF" w14:textId="5EE71DBB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Бисопролол досега е използван за лечение на хипертония и стенокардия.</w:t>
      </w:r>
    </w:p>
    <w:p w14:paraId="15D63B5F" w14:textId="77D5B61C" w:rsidR="00D33570" w:rsidRPr="00D33570" w:rsidRDefault="00D33570" w:rsidP="00D33570">
      <w:pPr>
        <w:rPr>
          <w:rFonts w:eastAsia="Times New Roman" w:cs="Arial"/>
          <w:color w:val="000000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При остро приложение при пациенти с коронарна сърдечна болест без хронична сърдечна недостатъчност, бисопролол намалява сърдечната честота и ударния обем, както и сърдечния дебит и кислородната консумация. При хронично приложение първоначално повишената периферна резистентност се понижава.</w:t>
      </w:r>
    </w:p>
    <w:p w14:paraId="1474B2DE" w14:textId="77777777" w:rsidR="00D33570" w:rsidRPr="00D33570" w:rsidRDefault="00D33570" w:rsidP="00D33570"/>
    <w:p w14:paraId="35F84B81" w14:textId="61613345" w:rsidR="00CF77F7" w:rsidRDefault="002C50EE" w:rsidP="004A448E">
      <w:pPr>
        <w:pStyle w:val="Heading2"/>
      </w:pPr>
      <w:r>
        <w:t>5.2. Фармакокинетични свойства</w:t>
      </w:r>
    </w:p>
    <w:p w14:paraId="68F8B5CE" w14:textId="28639493" w:rsidR="00D33570" w:rsidRDefault="00D33570" w:rsidP="00D33570"/>
    <w:p w14:paraId="2633BBD2" w14:textId="77777777" w:rsidR="00D33570" w:rsidRPr="00D33570" w:rsidRDefault="00D33570" w:rsidP="00D33570">
      <w:pPr>
        <w:pStyle w:val="Heading3"/>
        <w:rPr>
          <w:rFonts w:eastAsia="Times New Roman"/>
          <w:u w:val="single"/>
          <w:lang w:eastAsia="bg-BG"/>
        </w:rPr>
      </w:pPr>
      <w:r w:rsidRPr="00D33570">
        <w:rPr>
          <w:rFonts w:eastAsia="Times New Roman"/>
          <w:u w:val="single"/>
          <w:lang w:eastAsia="bg-BG"/>
        </w:rPr>
        <w:t>Абсорбция</w:t>
      </w:r>
    </w:p>
    <w:p w14:paraId="3D97FF20" w14:textId="1DA90265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 xml:space="preserve">Бисопролол се резорбира почти напълно в гастро-интестиналния тракт. Едновременно с малкия </w:t>
      </w:r>
      <w:r w:rsidRPr="00D33570">
        <w:rPr>
          <w:rFonts w:eastAsia="Times New Roman" w:cs="Arial"/>
          <w:color w:val="000000"/>
          <w:lang w:val="en-US"/>
        </w:rPr>
        <w:t xml:space="preserve">first pass </w:t>
      </w:r>
      <w:r w:rsidRPr="00D33570">
        <w:rPr>
          <w:rFonts w:eastAsia="Times New Roman" w:cs="Arial"/>
          <w:color w:val="000000"/>
          <w:lang w:eastAsia="bg-BG"/>
        </w:rPr>
        <w:t xml:space="preserve">ефект в черния дроб, това води до висока бионаличност - приблизително 90%.При пациенти със сърдечна недостатъчност </w:t>
      </w:r>
      <w:r w:rsidRPr="00D33570">
        <w:rPr>
          <w:rFonts w:eastAsia="Times New Roman" w:cs="Arial"/>
          <w:color w:val="000000"/>
          <w:lang w:val="en-US"/>
        </w:rPr>
        <w:t xml:space="preserve">(NYHA </w:t>
      </w:r>
      <w:r>
        <w:rPr>
          <w:rFonts w:eastAsia="Times New Roman" w:cs="Arial"/>
          <w:color w:val="000000"/>
          <w:lang w:eastAsia="bg-BG"/>
        </w:rPr>
        <w:t xml:space="preserve">Клас Ш) плазмените </w:t>
      </w:r>
      <w:r w:rsidRPr="00D33570">
        <w:rPr>
          <w:rFonts w:eastAsia="Times New Roman" w:cs="Arial"/>
          <w:color w:val="000000"/>
          <w:lang w:eastAsia="bg-BG"/>
        </w:rPr>
        <w:t xml:space="preserve">концентрации на бисопролол са по-високи и полуживотът е удължен в сравнение с този при здрави доброволци. Максималните плазмени концентрации в равновесно състояние са 64±21 </w:t>
      </w:r>
      <w:r w:rsidRPr="00D33570">
        <w:rPr>
          <w:rFonts w:eastAsia="Times New Roman" w:cs="Arial"/>
          <w:color w:val="000000"/>
          <w:lang w:val="en-US"/>
        </w:rPr>
        <w:t xml:space="preserve">ng/ml </w:t>
      </w:r>
      <w:r w:rsidRPr="00D33570">
        <w:rPr>
          <w:rFonts w:eastAsia="Times New Roman" w:cs="Arial"/>
          <w:color w:val="000000"/>
          <w:lang w:eastAsia="bg-BG"/>
        </w:rPr>
        <w:t xml:space="preserve">при дневна доза 10 </w:t>
      </w:r>
      <w:r w:rsidRPr="00D33570">
        <w:rPr>
          <w:rFonts w:eastAsia="Times New Roman" w:cs="Arial"/>
          <w:color w:val="000000"/>
          <w:lang w:val="en-US"/>
        </w:rPr>
        <w:t xml:space="preserve">mg, </w:t>
      </w:r>
      <w:r w:rsidRPr="00D33570">
        <w:rPr>
          <w:rFonts w:eastAsia="Times New Roman" w:cs="Arial"/>
          <w:color w:val="000000"/>
          <w:lang w:eastAsia="bg-BG"/>
        </w:rPr>
        <w:t>а полуживотът е 17±5 часа.</w:t>
      </w:r>
    </w:p>
    <w:p w14:paraId="26B401D4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B234399" w14:textId="2C287241" w:rsidR="00D33570" w:rsidRPr="00D33570" w:rsidRDefault="00D33570" w:rsidP="00D33570">
      <w:pPr>
        <w:pStyle w:val="Heading3"/>
        <w:rPr>
          <w:rFonts w:eastAsia="Times New Roman"/>
          <w:u w:val="single"/>
          <w:lang w:eastAsia="bg-BG"/>
        </w:rPr>
      </w:pPr>
      <w:r w:rsidRPr="00D33570">
        <w:rPr>
          <w:rFonts w:eastAsia="Times New Roman"/>
          <w:u w:val="single"/>
          <w:lang w:eastAsia="bg-BG"/>
        </w:rPr>
        <w:t>Разпределение</w:t>
      </w:r>
    </w:p>
    <w:p w14:paraId="62E4F74F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 xml:space="preserve">Свързването с плазмените протеини на бисопролол е около 30%. Обемът на разпределение е 3,5 </w:t>
      </w:r>
      <w:r w:rsidRPr="00D33570">
        <w:rPr>
          <w:rFonts w:eastAsia="Times New Roman" w:cs="Arial"/>
          <w:color w:val="000000"/>
          <w:lang w:val="en-US"/>
        </w:rPr>
        <w:t>l/kg.</w:t>
      </w:r>
    </w:p>
    <w:p w14:paraId="1F286668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6B9BC72" w14:textId="77777777" w:rsidR="00D33570" w:rsidRDefault="00D33570" w:rsidP="00D3357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D33570">
        <w:rPr>
          <w:rStyle w:val="Heading3Char"/>
          <w:u w:val="single"/>
          <w:lang w:eastAsia="bg-BG"/>
        </w:rPr>
        <w:t>Биотрансформация и елиминиране</w:t>
      </w:r>
      <w:r w:rsidRPr="00D33570">
        <w:rPr>
          <w:rFonts w:eastAsia="Times New Roman" w:cs="Arial"/>
          <w:color w:val="000000"/>
          <w:u w:val="single"/>
          <w:lang w:eastAsia="bg-BG"/>
        </w:rPr>
        <w:t xml:space="preserve"> </w:t>
      </w:r>
    </w:p>
    <w:p w14:paraId="32223D83" w14:textId="77777777" w:rsidR="00D33570" w:rsidRDefault="00D33570" w:rsidP="00D33570">
      <w:pPr>
        <w:spacing w:line="240" w:lineRule="auto"/>
        <w:rPr>
          <w:rFonts w:eastAsia="Times New Roman" w:cs="Arial"/>
          <w:color w:val="000000"/>
          <w:lang w:val="en-US"/>
        </w:rPr>
      </w:pPr>
      <w:r w:rsidRPr="00D33570">
        <w:rPr>
          <w:rFonts w:eastAsia="Times New Roman" w:cs="Arial"/>
          <w:color w:val="000000"/>
          <w:lang w:eastAsia="bg-BG"/>
        </w:rPr>
        <w:t xml:space="preserve">Общият клирънс е средно 15 </w:t>
      </w:r>
      <w:r w:rsidRPr="00D33570">
        <w:rPr>
          <w:rFonts w:eastAsia="Times New Roman" w:cs="Arial"/>
          <w:color w:val="000000"/>
          <w:lang w:val="en-US"/>
        </w:rPr>
        <w:t xml:space="preserve">l/h. </w:t>
      </w:r>
    </w:p>
    <w:p w14:paraId="04F06A6B" w14:textId="3E7F3BB4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 xml:space="preserve">Времето на полуживот (10-12 часа) осигурява 24 часа ефикасност след еднократна дневна доза. Бисопролол се екскретира от организма по два пътя - 50 % се метаболизира в черния дроб до неактивни метаболити, конто след това се екскретират през бъбреците, а останалите 50% се екскретират през бъбреците в неметаболизирана форма. Тъй като елиминирането заема еднакво място както чрез бъбреците, така и чрез черния дроб, не </w:t>
      </w:r>
      <w:r w:rsidRPr="00D33570">
        <w:rPr>
          <w:rFonts w:eastAsia="Times New Roman" w:cs="Arial"/>
          <w:color w:val="000000"/>
          <w:lang w:eastAsia="bg-BG"/>
        </w:rPr>
        <w:lastRenderedPageBreak/>
        <w:t>се изисква корекция и адаптиране на дозата при пациенти с нарушена чернодробна функция или бъбречна недостатъчност.</w:t>
      </w:r>
    </w:p>
    <w:p w14:paraId="0F835F40" w14:textId="77777777" w:rsidR="00D33570" w:rsidRPr="00D33570" w:rsidRDefault="00D33570" w:rsidP="00D3357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62F40BF" w14:textId="6BED73E1" w:rsidR="00D33570" w:rsidRPr="00D33570" w:rsidRDefault="00D33570" w:rsidP="00D33570">
      <w:pPr>
        <w:pStyle w:val="Heading3"/>
        <w:rPr>
          <w:rFonts w:eastAsia="Times New Roman"/>
          <w:u w:val="single"/>
          <w:lang w:eastAsia="bg-BG"/>
        </w:rPr>
      </w:pPr>
      <w:r w:rsidRPr="00D33570">
        <w:rPr>
          <w:rFonts w:eastAsia="Times New Roman"/>
          <w:u w:val="single"/>
          <w:lang w:eastAsia="bg-BG"/>
        </w:rPr>
        <w:t>Линейност/нелинейност</w:t>
      </w:r>
    </w:p>
    <w:p w14:paraId="0F47A518" w14:textId="3C760DD5" w:rsidR="00D33570" w:rsidRDefault="00D33570" w:rsidP="00D33570">
      <w:pPr>
        <w:rPr>
          <w:rFonts w:eastAsia="Times New Roman" w:cs="Arial"/>
          <w:color w:val="000000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Кинетиката на бисопролол е линейна и независима от възрастта.</w:t>
      </w:r>
    </w:p>
    <w:p w14:paraId="17FD815E" w14:textId="77777777" w:rsidR="00D33570" w:rsidRPr="00D33570" w:rsidRDefault="00D33570" w:rsidP="00D33570">
      <w:pPr>
        <w:rPr>
          <w:rFonts w:cs="Arial"/>
          <w:lang w:val="en-US"/>
        </w:rPr>
      </w:pPr>
      <w:bookmarkStart w:id="2" w:name="_GoBack"/>
      <w:bookmarkEnd w:id="2"/>
    </w:p>
    <w:p w14:paraId="648E39DA" w14:textId="77CD902A" w:rsidR="00CF77F7" w:rsidRDefault="002C50EE" w:rsidP="004A448E">
      <w:pPr>
        <w:pStyle w:val="Heading2"/>
      </w:pPr>
      <w:r>
        <w:t>5.3. Предклинични данни за безопасност</w:t>
      </w:r>
    </w:p>
    <w:p w14:paraId="2420934C" w14:textId="10BF7DCA" w:rsidR="00D33570" w:rsidRDefault="00D33570" w:rsidP="00D33570"/>
    <w:p w14:paraId="54BADF4A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Предклиничните данни не показват специална опасност за хора, въз основа на</w:t>
      </w:r>
    </w:p>
    <w:p w14:paraId="20150EFF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конвенционалните изследвания за фармакологична безопасност, токсичност при многократно</w:t>
      </w:r>
      <w:r w:rsidRPr="00D33570">
        <w:rPr>
          <w:rFonts w:eastAsia="Times New Roman" w:cs="Arial"/>
          <w:color w:val="000000"/>
          <w:vertAlign w:val="subscript"/>
          <w:lang w:eastAsia="bg-BG"/>
        </w:rPr>
        <w:t xml:space="preserve"> </w:t>
      </w:r>
      <w:r w:rsidRPr="00D33570">
        <w:rPr>
          <w:rFonts w:eastAsia="Times New Roman" w:cs="Arial"/>
          <w:color w:val="000000"/>
          <w:lang w:eastAsia="bg-BG"/>
        </w:rPr>
        <w:t>дозиране, генотоксичност или канцерогенност. Подобно на другите β-блокери, бисепролол</w:t>
      </w:r>
    </w:p>
    <w:p w14:paraId="1D49642F" w14:textId="75D454DD" w:rsidR="00D33570" w:rsidRPr="00D33570" w:rsidRDefault="00D33570" w:rsidP="00D33570">
      <w:pPr>
        <w:rPr>
          <w:rFonts w:cs="Arial"/>
        </w:rPr>
      </w:pPr>
      <w:r w:rsidRPr="00D33570">
        <w:rPr>
          <w:rFonts w:eastAsia="Times New Roman" w:cs="Arial"/>
          <w:color w:val="000000"/>
          <w:lang w:eastAsia="bg-BG"/>
        </w:rPr>
        <w:t>предизвиква токсични ефекти при майката (намаляване приема на храна и намаляване на</w:t>
      </w:r>
      <w:r>
        <w:rPr>
          <w:rFonts w:eastAsia="Times New Roman" w:cs="Arial"/>
          <w:color w:val="000000"/>
          <w:lang w:eastAsia="bg-BG"/>
        </w:rPr>
        <w:t xml:space="preserve"> </w:t>
      </w:r>
      <w:r>
        <w:t>телесното тегло) и ембрио/фетална токсичност (повишена честота на резорбция, намаляване на теглото при раждане, забавяне на физическото развитие) при високи дози, без данни за тератогенно действие.</w:t>
      </w:r>
    </w:p>
    <w:p w14:paraId="6A7820AB" w14:textId="6DC8936D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42CCA13A" w14:textId="3F5205D0" w:rsidR="00D33570" w:rsidRDefault="00D33570" w:rsidP="00D33570"/>
    <w:p w14:paraId="293CFFCE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val="en-US" w:eastAsia="bg-BG"/>
        </w:rPr>
      </w:pPr>
      <w:proofErr w:type="spellStart"/>
      <w:r w:rsidRPr="00D33570">
        <w:rPr>
          <w:rFonts w:eastAsia="Times New Roman" w:cs="Arial"/>
          <w:color w:val="000000"/>
          <w:lang w:val="en-US"/>
        </w:rPr>
        <w:t>Teva</w:t>
      </w:r>
      <w:proofErr w:type="spellEnd"/>
      <w:r w:rsidRPr="00D33570">
        <w:rPr>
          <w:rFonts w:eastAsia="Times New Roman" w:cs="Arial"/>
          <w:color w:val="000000"/>
          <w:lang w:val="en-US"/>
        </w:rPr>
        <w:t xml:space="preserve"> B.V.</w:t>
      </w:r>
    </w:p>
    <w:p w14:paraId="242E59CE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val="en-US" w:eastAsia="bg-BG"/>
        </w:rPr>
      </w:pPr>
      <w:proofErr w:type="spellStart"/>
      <w:r w:rsidRPr="00D33570">
        <w:rPr>
          <w:rFonts w:eastAsia="Times New Roman" w:cs="Arial"/>
          <w:color w:val="000000"/>
          <w:lang w:val="en-US"/>
        </w:rPr>
        <w:t>Swensweg</w:t>
      </w:r>
      <w:proofErr w:type="spellEnd"/>
      <w:r w:rsidRPr="00D33570">
        <w:rPr>
          <w:rFonts w:eastAsia="Times New Roman" w:cs="Arial"/>
          <w:color w:val="000000"/>
          <w:lang w:val="en-US"/>
        </w:rPr>
        <w:t xml:space="preserve"> </w:t>
      </w:r>
      <w:r w:rsidRPr="00D33570">
        <w:rPr>
          <w:rFonts w:eastAsia="Times New Roman" w:cs="Arial"/>
          <w:color w:val="000000"/>
          <w:lang w:eastAsia="bg-BG"/>
        </w:rPr>
        <w:t xml:space="preserve">5, 2031 </w:t>
      </w:r>
      <w:r w:rsidRPr="00D33570">
        <w:rPr>
          <w:rFonts w:eastAsia="Times New Roman" w:cs="Arial"/>
          <w:color w:val="000000"/>
          <w:lang w:val="en-US"/>
        </w:rPr>
        <w:t>GA Haarlem</w:t>
      </w:r>
    </w:p>
    <w:p w14:paraId="48B5CAF0" w14:textId="2137F0C1" w:rsidR="00D33570" w:rsidRPr="00D33570" w:rsidRDefault="00D33570" w:rsidP="00D33570">
      <w:pPr>
        <w:rPr>
          <w:rFonts w:cs="Arial"/>
        </w:rPr>
      </w:pPr>
      <w:r w:rsidRPr="00D33570">
        <w:rPr>
          <w:rFonts w:eastAsia="Times New Roman" w:cs="Arial"/>
          <w:color w:val="000000"/>
          <w:lang w:eastAsia="bg-BG"/>
        </w:rPr>
        <w:t>Нидерландия</w:t>
      </w:r>
    </w:p>
    <w:p w14:paraId="7BA1BA64" w14:textId="7A1BE970" w:rsidR="00CF77F7" w:rsidRDefault="002C50EE" w:rsidP="004A448E">
      <w:pPr>
        <w:pStyle w:val="Heading1"/>
      </w:pPr>
      <w:r>
        <w:t>8. НОМЕР НА РАЗРЕШЕНИЕТО ЗА УПОТРЕБА</w:t>
      </w:r>
    </w:p>
    <w:p w14:paraId="1BD758EA" w14:textId="2F7AB9CA" w:rsidR="00D33570" w:rsidRDefault="00D33570" w:rsidP="00D33570"/>
    <w:p w14:paraId="5BEF1234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 xml:space="preserve">Блокбис Кор 2,5 </w:t>
      </w:r>
      <w:r w:rsidRPr="00D33570">
        <w:rPr>
          <w:rFonts w:eastAsia="Times New Roman" w:cs="Arial"/>
          <w:color w:val="000000"/>
          <w:lang w:val="en-US"/>
        </w:rPr>
        <w:t xml:space="preserve">mg </w:t>
      </w:r>
      <w:r w:rsidRPr="00D33570">
        <w:rPr>
          <w:rFonts w:eastAsia="Times New Roman" w:cs="Arial"/>
          <w:color w:val="000000"/>
          <w:lang w:eastAsia="bg-BG"/>
        </w:rPr>
        <w:t>таблетки - рег.</w:t>
      </w:r>
      <w:r w:rsidRPr="00D33570">
        <w:rPr>
          <w:rFonts w:eastAsia="Times New Roman" w:cs="Arial"/>
          <w:color w:val="000000"/>
          <w:lang w:val="en-US"/>
        </w:rPr>
        <w:t xml:space="preserve"> </w:t>
      </w:r>
      <w:r w:rsidRPr="00D33570">
        <w:rPr>
          <w:rFonts w:eastAsia="Times New Roman" w:cs="Arial"/>
          <w:color w:val="000000"/>
          <w:lang w:eastAsia="bg-BG"/>
        </w:rPr>
        <w:t>№ 20100325</w:t>
      </w:r>
    </w:p>
    <w:p w14:paraId="12363761" w14:textId="7D9A347F" w:rsidR="00D33570" w:rsidRPr="00D33570" w:rsidRDefault="00D33570" w:rsidP="00D33570">
      <w:pPr>
        <w:rPr>
          <w:rFonts w:cs="Arial"/>
        </w:rPr>
      </w:pPr>
      <w:r w:rsidRPr="00D33570">
        <w:rPr>
          <w:rFonts w:eastAsia="Times New Roman" w:cs="Arial"/>
          <w:color w:val="000000"/>
          <w:lang w:eastAsia="bg-BG"/>
        </w:rPr>
        <w:t xml:space="preserve">Блокбис Кор 5 </w:t>
      </w:r>
      <w:r w:rsidRPr="00D33570">
        <w:rPr>
          <w:rFonts w:eastAsia="Times New Roman" w:cs="Arial"/>
          <w:color w:val="000000"/>
          <w:lang w:val="en-US"/>
        </w:rPr>
        <w:t xml:space="preserve">mg </w:t>
      </w:r>
      <w:r w:rsidRPr="00D33570">
        <w:rPr>
          <w:rFonts w:eastAsia="Times New Roman" w:cs="Arial"/>
          <w:color w:val="000000"/>
          <w:lang w:eastAsia="bg-BG"/>
        </w:rPr>
        <w:t>таблетки - рег.</w:t>
      </w:r>
      <w:r w:rsidRPr="00D33570">
        <w:rPr>
          <w:rFonts w:eastAsia="Times New Roman" w:cs="Arial"/>
          <w:color w:val="000000"/>
          <w:lang w:val="en-US"/>
        </w:rPr>
        <w:t xml:space="preserve"> </w:t>
      </w:r>
      <w:r w:rsidRPr="00D33570">
        <w:rPr>
          <w:rFonts w:eastAsia="Times New Roman" w:cs="Arial"/>
          <w:color w:val="000000"/>
          <w:lang w:eastAsia="bg-BG"/>
        </w:rPr>
        <w:t>№ 20100326</w:t>
      </w:r>
    </w:p>
    <w:p w14:paraId="2CCB5832" w14:textId="1FDCE3A6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7816265A" w14:textId="04CA3CBD" w:rsidR="00D33570" w:rsidRDefault="00D33570" w:rsidP="00D33570"/>
    <w:p w14:paraId="40439F9A" w14:textId="77777777" w:rsidR="00D33570" w:rsidRPr="00D33570" w:rsidRDefault="00D33570" w:rsidP="00D33570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D33570">
        <w:rPr>
          <w:rFonts w:eastAsia="Times New Roman" w:cs="Arial"/>
          <w:color w:val="000000"/>
          <w:lang w:eastAsia="bg-BG"/>
        </w:rPr>
        <w:t>Дата на първо разрешаване: 19.05.2010 г.</w:t>
      </w:r>
    </w:p>
    <w:p w14:paraId="5D88E3D1" w14:textId="7D4E9C53" w:rsidR="00D33570" w:rsidRPr="00D33570" w:rsidRDefault="00D33570" w:rsidP="00D33570">
      <w:pPr>
        <w:rPr>
          <w:rFonts w:cs="Arial"/>
        </w:rPr>
      </w:pPr>
      <w:r w:rsidRPr="00D33570">
        <w:rPr>
          <w:rFonts w:eastAsia="Times New Roman" w:cs="Arial"/>
          <w:color w:val="000000"/>
          <w:lang w:eastAsia="bg-BG"/>
        </w:rPr>
        <w:t>Дата на последно подновяване: 08.05.2015 г.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6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29"/>
  </w:num>
  <w:num w:numId="12">
    <w:abstractNumId w:val="13"/>
  </w:num>
  <w:num w:numId="13">
    <w:abstractNumId w:val="18"/>
  </w:num>
  <w:num w:numId="14">
    <w:abstractNumId w:val="11"/>
  </w:num>
  <w:num w:numId="15">
    <w:abstractNumId w:val="28"/>
  </w:num>
  <w:num w:numId="16">
    <w:abstractNumId w:val="9"/>
  </w:num>
  <w:num w:numId="17">
    <w:abstractNumId w:val="23"/>
  </w:num>
  <w:num w:numId="18">
    <w:abstractNumId w:val="7"/>
  </w:num>
  <w:num w:numId="19">
    <w:abstractNumId w:val="25"/>
  </w:num>
  <w:num w:numId="20">
    <w:abstractNumId w:val="22"/>
  </w:num>
  <w:num w:numId="21">
    <w:abstractNumId w:val="16"/>
  </w:num>
  <w:num w:numId="22">
    <w:abstractNumId w:val="24"/>
  </w:num>
  <w:num w:numId="23">
    <w:abstractNumId w:val="17"/>
  </w:num>
  <w:num w:numId="24">
    <w:abstractNumId w:val="8"/>
  </w:num>
  <w:num w:numId="25">
    <w:abstractNumId w:val="21"/>
  </w:num>
  <w:num w:numId="26">
    <w:abstractNumId w:val="20"/>
  </w:num>
  <w:num w:numId="27">
    <w:abstractNumId w:val="30"/>
  </w:num>
  <w:num w:numId="28">
    <w:abstractNumId w:val="6"/>
  </w:num>
  <w:num w:numId="29">
    <w:abstractNumId w:val="19"/>
  </w:num>
  <w:num w:numId="30">
    <w:abstractNumId w:val="33"/>
  </w:num>
  <w:num w:numId="31">
    <w:abstractNumId w:val="5"/>
  </w:num>
  <w:num w:numId="32">
    <w:abstractNumId w:val="32"/>
  </w:num>
  <w:num w:numId="33">
    <w:abstractNumId w:val="27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43F04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33570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2593</Words>
  <Characters>14786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2022-05-29T15:16:00Z</dcterms:created>
  <dcterms:modified xsi:type="dcterms:W3CDTF">2022-05-29T15:16:00Z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